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A04" w:rsidRDefault="00E72A04" w:rsidP="00317748">
      <w:pPr>
        <w:tabs>
          <w:tab w:val="left" w:pos="720"/>
        </w:tabs>
        <w:jc w:val="center"/>
        <w:rPr>
          <w:rFonts w:cs="Verdana"/>
          <w:bCs/>
          <w:snapToGrid w:val="0"/>
          <w:lang w:val="en-US" w:eastAsia="es-ES"/>
        </w:rPr>
      </w:pPr>
      <w:bookmarkStart w:id="0" w:name="_GoBack"/>
      <w:bookmarkEnd w:id="0"/>
    </w:p>
    <w:p w:rsidR="00E15BBF" w:rsidRPr="00334C3C" w:rsidRDefault="00E15BBF" w:rsidP="00BE70F8">
      <w:pPr>
        <w:tabs>
          <w:tab w:val="left" w:pos="720"/>
        </w:tabs>
        <w:rPr>
          <w:rFonts w:cs="Verdana"/>
          <w:b/>
          <w:bCs/>
          <w:caps/>
          <w:snapToGrid w:val="0"/>
          <w:lang w:val="en-US" w:eastAsia="es-ES"/>
        </w:rPr>
      </w:pPr>
    </w:p>
    <w:p w:rsidR="00E15BBF" w:rsidRPr="00334C3C" w:rsidRDefault="00E15BBF" w:rsidP="00317748">
      <w:pPr>
        <w:tabs>
          <w:tab w:val="left" w:pos="720"/>
        </w:tabs>
        <w:rPr>
          <w:rFonts w:cs="Verdana"/>
          <w:b/>
          <w:bCs/>
          <w:caps/>
          <w:snapToGrid w:val="0"/>
          <w:lang w:val="en-US" w:eastAsia="es-ES"/>
        </w:rPr>
      </w:pPr>
    </w:p>
    <w:p w:rsidR="00E15BBF" w:rsidRPr="00334C3C" w:rsidRDefault="00E15BBF" w:rsidP="00317748">
      <w:pPr>
        <w:tabs>
          <w:tab w:val="left" w:pos="720"/>
        </w:tabs>
        <w:jc w:val="center"/>
        <w:rPr>
          <w:rFonts w:cs="Verdana"/>
          <w:b/>
          <w:bCs/>
          <w:caps/>
          <w:snapToGrid w:val="0"/>
          <w:lang w:val="en-US" w:eastAsia="es-ES"/>
        </w:rPr>
      </w:pPr>
    </w:p>
    <w:p w:rsidR="00E15BBF" w:rsidRPr="00334C3C" w:rsidRDefault="00E15BBF" w:rsidP="00317748">
      <w:pPr>
        <w:tabs>
          <w:tab w:val="left" w:pos="720"/>
        </w:tabs>
        <w:rPr>
          <w:rFonts w:cs="Verdana"/>
          <w:b/>
          <w:bCs/>
          <w:caps/>
          <w:snapToGrid w:val="0"/>
          <w:lang w:val="en-US" w:eastAsia="es-ES"/>
        </w:rPr>
      </w:pPr>
    </w:p>
    <w:p w:rsidR="00E15BBF" w:rsidRDefault="00E15BBF" w:rsidP="00317748">
      <w:pPr>
        <w:tabs>
          <w:tab w:val="left" w:pos="720"/>
        </w:tabs>
        <w:rPr>
          <w:rFonts w:cs="Verdana"/>
          <w:b/>
          <w:bCs/>
          <w:caps/>
          <w:snapToGrid w:val="0"/>
          <w:lang w:val="en-US" w:eastAsia="es-ES"/>
        </w:rPr>
      </w:pPr>
    </w:p>
    <w:p w:rsidR="00BE70F8" w:rsidRPr="00334C3C" w:rsidRDefault="00BE70F8" w:rsidP="00317748">
      <w:pPr>
        <w:tabs>
          <w:tab w:val="left" w:pos="720"/>
        </w:tabs>
        <w:rPr>
          <w:rFonts w:cs="Verdana"/>
          <w:b/>
          <w:bCs/>
          <w:caps/>
          <w:snapToGrid w:val="0"/>
          <w:lang w:val="en-US" w:eastAsia="es-ES"/>
        </w:rPr>
      </w:pPr>
    </w:p>
    <w:p w:rsidR="00E15BBF" w:rsidRPr="00334C3C" w:rsidRDefault="00E15BBF" w:rsidP="00317748">
      <w:pPr>
        <w:tabs>
          <w:tab w:val="left" w:pos="720"/>
        </w:tabs>
        <w:rPr>
          <w:rFonts w:cs="Verdana"/>
          <w:b/>
          <w:bCs/>
          <w:caps/>
          <w:snapToGrid w:val="0"/>
          <w:lang w:val="en-US" w:eastAsia="es-ES"/>
        </w:rPr>
      </w:pPr>
    </w:p>
    <w:p w:rsidR="00E15BBF" w:rsidRPr="002E60EB" w:rsidRDefault="00653381" w:rsidP="00317748">
      <w:pPr>
        <w:tabs>
          <w:tab w:val="left" w:pos="720"/>
        </w:tabs>
        <w:jc w:val="center"/>
        <w:rPr>
          <w:rFonts w:cs="Verdana"/>
          <w:b/>
          <w:bCs/>
          <w:caps/>
          <w:snapToGrid w:val="0"/>
          <w:lang w:val="en-US" w:eastAsia="es-ES"/>
        </w:rPr>
      </w:pPr>
      <w:r w:rsidRPr="002E60EB">
        <w:rPr>
          <w:rFonts w:cs="Verdana"/>
          <w:b/>
          <w:bCs/>
          <w:caps/>
          <w:snapToGrid w:val="0"/>
          <w:lang w:val="en-US" w:eastAsia="es-ES"/>
        </w:rPr>
        <w:t>iNter-american cour</w:t>
      </w:r>
      <w:r w:rsidR="00E15BBF" w:rsidRPr="002E60EB">
        <w:rPr>
          <w:rFonts w:cs="Verdana"/>
          <w:b/>
          <w:bCs/>
          <w:caps/>
          <w:snapToGrid w:val="0"/>
          <w:lang w:val="en-US" w:eastAsia="es-ES"/>
        </w:rPr>
        <w:t>t</w:t>
      </w:r>
      <w:r w:rsidRPr="002E60EB">
        <w:rPr>
          <w:rFonts w:cs="Verdana"/>
          <w:b/>
          <w:bCs/>
          <w:caps/>
          <w:snapToGrid w:val="0"/>
          <w:lang w:val="en-US" w:eastAsia="es-ES"/>
        </w:rPr>
        <w:t xml:space="preserve"> </w:t>
      </w:r>
      <w:r w:rsidR="00E15BBF" w:rsidRPr="002E60EB">
        <w:rPr>
          <w:rFonts w:cs="Verdana"/>
          <w:b/>
          <w:bCs/>
          <w:caps/>
          <w:snapToGrid w:val="0"/>
          <w:lang w:val="en-US" w:eastAsia="es-ES"/>
        </w:rPr>
        <w:t>of human rights</w:t>
      </w:r>
    </w:p>
    <w:p w:rsidR="00E15BBF" w:rsidRPr="002E60EB" w:rsidRDefault="00E15BBF" w:rsidP="00317748">
      <w:pPr>
        <w:tabs>
          <w:tab w:val="left" w:pos="720"/>
        </w:tabs>
        <w:jc w:val="center"/>
        <w:rPr>
          <w:rFonts w:cs="Verdana"/>
          <w:b/>
          <w:bCs/>
          <w:caps/>
          <w:snapToGrid w:val="0"/>
          <w:lang w:val="en-US" w:eastAsia="es-ES"/>
        </w:rPr>
      </w:pPr>
      <w:r w:rsidRPr="002E60EB">
        <w:rPr>
          <w:rFonts w:cs="Verdana"/>
          <w:b/>
          <w:bCs/>
          <w:caps/>
          <w:snapToGrid w:val="0"/>
          <w:lang w:val="en-US" w:eastAsia="es-ES"/>
        </w:rPr>
        <w:t xml:space="preserve"> </w:t>
      </w:r>
    </w:p>
    <w:p w:rsidR="00E15BBF" w:rsidRPr="002E60EB" w:rsidRDefault="00E15BBF" w:rsidP="00317748">
      <w:pPr>
        <w:tabs>
          <w:tab w:val="left" w:pos="720"/>
        </w:tabs>
        <w:jc w:val="center"/>
        <w:rPr>
          <w:rFonts w:cs="Verdana"/>
          <w:b/>
          <w:bCs/>
          <w:caps/>
          <w:snapToGrid w:val="0"/>
          <w:lang w:val="en-US" w:eastAsia="es-ES"/>
        </w:rPr>
      </w:pPr>
    </w:p>
    <w:p w:rsidR="00E15BBF" w:rsidRPr="002E60EB" w:rsidRDefault="00E15BBF" w:rsidP="00317748">
      <w:pPr>
        <w:tabs>
          <w:tab w:val="left" w:pos="720"/>
        </w:tabs>
        <w:jc w:val="center"/>
        <w:rPr>
          <w:rFonts w:cs="Verdana"/>
          <w:b/>
          <w:bCs/>
          <w:caps/>
          <w:snapToGrid w:val="0"/>
          <w:lang w:val="en-US" w:eastAsia="es-ES"/>
        </w:rPr>
      </w:pPr>
    </w:p>
    <w:p w:rsidR="00E15BBF" w:rsidRPr="002E60EB" w:rsidRDefault="00E15BBF" w:rsidP="00317748">
      <w:pPr>
        <w:tabs>
          <w:tab w:val="left" w:pos="720"/>
        </w:tabs>
        <w:jc w:val="center"/>
        <w:rPr>
          <w:rFonts w:cs="Verdana"/>
          <w:b/>
          <w:bCs/>
          <w:caps/>
          <w:snapToGrid w:val="0"/>
          <w:lang w:val="en-US" w:eastAsia="es-ES"/>
        </w:rPr>
      </w:pPr>
      <w:r w:rsidRPr="002E60EB">
        <w:rPr>
          <w:rFonts w:cs="Verdana"/>
          <w:b/>
          <w:bCs/>
          <w:caps/>
          <w:snapToGrid w:val="0"/>
          <w:lang w:val="en-US" w:eastAsia="es-ES"/>
        </w:rPr>
        <w:t xml:space="preserve">Case of Vélez Restrepo and family </w:t>
      </w:r>
    </w:p>
    <w:p w:rsidR="00E15BBF" w:rsidRPr="002E60EB" w:rsidRDefault="00BF6EA2" w:rsidP="00317748">
      <w:pPr>
        <w:tabs>
          <w:tab w:val="left" w:pos="720"/>
        </w:tabs>
        <w:jc w:val="center"/>
        <w:rPr>
          <w:rFonts w:cs="Verdana"/>
          <w:b/>
          <w:bCs/>
          <w:caps/>
          <w:snapToGrid w:val="0"/>
          <w:lang w:val="en-US" w:eastAsia="es-ES"/>
        </w:rPr>
      </w:pPr>
      <w:r>
        <w:rPr>
          <w:rFonts w:cs="Verdana"/>
          <w:b/>
          <w:bCs/>
          <w:i/>
          <w:snapToGrid w:val="0"/>
          <w:lang w:val="en-US" w:eastAsia="es-ES"/>
        </w:rPr>
        <w:t>v</w:t>
      </w:r>
      <w:r w:rsidR="00E15BBF" w:rsidRPr="002E60EB">
        <w:rPr>
          <w:rFonts w:cs="Verdana"/>
          <w:b/>
          <w:bCs/>
          <w:i/>
          <w:caps/>
          <w:snapToGrid w:val="0"/>
          <w:lang w:val="en-US" w:eastAsia="es-ES"/>
        </w:rPr>
        <w:t>.</w:t>
      </w:r>
      <w:r w:rsidR="00E15BBF" w:rsidRPr="002E60EB">
        <w:rPr>
          <w:rFonts w:cs="Verdana"/>
          <w:b/>
          <w:bCs/>
          <w:caps/>
          <w:snapToGrid w:val="0"/>
          <w:lang w:val="en-US" w:eastAsia="es-ES"/>
        </w:rPr>
        <w:t xml:space="preserve"> Colombia</w:t>
      </w:r>
    </w:p>
    <w:p w:rsidR="00E15BBF" w:rsidRPr="002E60EB" w:rsidRDefault="00E15BBF" w:rsidP="00317748">
      <w:pPr>
        <w:tabs>
          <w:tab w:val="left" w:pos="720"/>
        </w:tabs>
        <w:jc w:val="center"/>
        <w:rPr>
          <w:rFonts w:cs="Verdana"/>
          <w:b/>
          <w:bCs/>
          <w:caps/>
          <w:snapToGrid w:val="0"/>
          <w:lang w:val="en-US" w:eastAsia="es-ES"/>
        </w:rPr>
      </w:pPr>
    </w:p>
    <w:p w:rsidR="00E15BBF" w:rsidRPr="002E60EB" w:rsidRDefault="00E15BBF" w:rsidP="00317748">
      <w:pPr>
        <w:tabs>
          <w:tab w:val="left" w:pos="720"/>
        </w:tabs>
        <w:jc w:val="center"/>
        <w:rPr>
          <w:rFonts w:cs="Verdana"/>
          <w:b/>
          <w:bCs/>
          <w:caps/>
          <w:snapToGrid w:val="0"/>
          <w:lang w:val="en-US" w:eastAsia="es-ES"/>
        </w:rPr>
      </w:pPr>
    </w:p>
    <w:p w:rsidR="00E15BBF" w:rsidRPr="002E60EB" w:rsidRDefault="00E15BBF" w:rsidP="00317748">
      <w:pPr>
        <w:tabs>
          <w:tab w:val="left" w:pos="720"/>
        </w:tabs>
        <w:jc w:val="center"/>
        <w:rPr>
          <w:rFonts w:cs="Verdana"/>
          <w:b/>
          <w:bCs/>
          <w:caps/>
          <w:snapToGrid w:val="0"/>
          <w:lang w:val="en-US" w:eastAsia="es-ES"/>
        </w:rPr>
      </w:pPr>
    </w:p>
    <w:p w:rsidR="00E15BBF" w:rsidRPr="002E60EB" w:rsidRDefault="009A77CE" w:rsidP="00317748">
      <w:pPr>
        <w:tabs>
          <w:tab w:val="left" w:pos="720"/>
        </w:tabs>
        <w:jc w:val="center"/>
        <w:rPr>
          <w:rFonts w:cs="Verdana"/>
          <w:b/>
          <w:bCs/>
          <w:caps/>
          <w:snapToGrid w:val="0"/>
          <w:lang w:val="en-US" w:eastAsia="es-ES"/>
        </w:rPr>
      </w:pPr>
      <w:r w:rsidRPr="002E60EB">
        <w:rPr>
          <w:rFonts w:cs="Verdana"/>
          <w:b/>
          <w:bCs/>
          <w:caps/>
          <w:snapToGrid w:val="0"/>
          <w:lang w:val="en-US" w:eastAsia="es-ES"/>
        </w:rPr>
        <w:t xml:space="preserve">JUDGMENT OF </w:t>
      </w:r>
      <w:r w:rsidR="00E15BBF" w:rsidRPr="002E60EB">
        <w:rPr>
          <w:rFonts w:cs="Verdana"/>
          <w:b/>
          <w:bCs/>
          <w:caps/>
          <w:snapToGrid w:val="0"/>
          <w:lang w:val="en-US" w:eastAsia="es-ES"/>
        </w:rPr>
        <w:t xml:space="preserve">SEPTEMBER </w:t>
      </w:r>
      <w:r w:rsidRPr="002E60EB">
        <w:rPr>
          <w:rFonts w:cs="Verdana"/>
          <w:b/>
          <w:bCs/>
          <w:caps/>
          <w:snapToGrid w:val="0"/>
          <w:lang w:val="en-US" w:eastAsia="es-ES"/>
        </w:rPr>
        <w:t xml:space="preserve">3, </w:t>
      </w:r>
      <w:r w:rsidR="00E15BBF" w:rsidRPr="002E60EB">
        <w:rPr>
          <w:rFonts w:cs="Verdana"/>
          <w:b/>
          <w:bCs/>
          <w:caps/>
          <w:snapToGrid w:val="0"/>
          <w:lang w:val="en-US" w:eastAsia="es-ES"/>
        </w:rPr>
        <w:t xml:space="preserve">2012 </w:t>
      </w:r>
    </w:p>
    <w:p w:rsidR="00E15BBF" w:rsidRPr="002E60EB" w:rsidRDefault="009A77CE" w:rsidP="00317748">
      <w:pPr>
        <w:tabs>
          <w:tab w:val="left" w:pos="720"/>
        </w:tabs>
        <w:jc w:val="center"/>
        <w:rPr>
          <w:rFonts w:cs="Verdana"/>
          <w:b/>
          <w:bCs/>
          <w:caps/>
          <w:snapToGrid w:val="0"/>
          <w:lang w:val="en-US" w:eastAsia="es-ES"/>
        </w:rPr>
      </w:pPr>
      <w:r w:rsidRPr="002E60EB">
        <w:rPr>
          <w:rFonts w:cs="Verdana"/>
          <w:b/>
          <w:bCs/>
          <w:i/>
          <w:snapToGrid w:val="0"/>
          <w:lang w:val="en-US" w:eastAsia="es-ES"/>
        </w:rPr>
        <w:t>(Preliminary objection, merits, reparations and c</w:t>
      </w:r>
      <w:r w:rsidR="00E15BBF" w:rsidRPr="002E60EB">
        <w:rPr>
          <w:rFonts w:cs="Verdana"/>
          <w:b/>
          <w:bCs/>
          <w:i/>
          <w:snapToGrid w:val="0"/>
          <w:lang w:val="en-US" w:eastAsia="es-ES"/>
        </w:rPr>
        <w:t>osts</w:t>
      </w:r>
      <w:r w:rsidR="00E15BBF" w:rsidRPr="002E60EB">
        <w:rPr>
          <w:rFonts w:cs="Verdana"/>
          <w:b/>
          <w:bCs/>
          <w:i/>
          <w:caps/>
          <w:snapToGrid w:val="0"/>
          <w:lang w:val="en-US" w:eastAsia="es-ES"/>
        </w:rPr>
        <w:t>)</w:t>
      </w:r>
    </w:p>
    <w:p w:rsidR="00E15BBF" w:rsidRPr="002E60EB" w:rsidRDefault="00E15BBF" w:rsidP="00317748">
      <w:pPr>
        <w:tabs>
          <w:tab w:val="left" w:pos="720"/>
        </w:tabs>
        <w:rPr>
          <w:b/>
          <w:smallCaps/>
          <w:lang w:val="en-US"/>
        </w:rPr>
      </w:pPr>
    </w:p>
    <w:p w:rsidR="00E15BBF" w:rsidRPr="002E60EB" w:rsidRDefault="00E15BBF" w:rsidP="00317748">
      <w:pPr>
        <w:tabs>
          <w:tab w:val="left" w:pos="720"/>
        </w:tabs>
        <w:jc w:val="both"/>
        <w:rPr>
          <w:lang w:val="en-US"/>
        </w:rPr>
      </w:pPr>
    </w:p>
    <w:p w:rsidR="00E15BBF" w:rsidRPr="002E60EB" w:rsidRDefault="00E15BBF" w:rsidP="00317748">
      <w:pPr>
        <w:tabs>
          <w:tab w:val="left" w:pos="720"/>
        </w:tabs>
        <w:jc w:val="both"/>
        <w:rPr>
          <w:lang w:val="en-US"/>
        </w:rPr>
      </w:pPr>
    </w:p>
    <w:p w:rsidR="00E15BBF" w:rsidRPr="002E60EB" w:rsidRDefault="00E15BBF" w:rsidP="00317748">
      <w:pPr>
        <w:tabs>
          <w:tab w:val="left" w:pos="720"/>
        </w:tabs>
        <w:jc w:val="both"/>
        <w:rPr>
          <w:lang w:val="en-US"/>
        </w:rPr>
      </w:pPr>
    </w:p>
    <w:p w:rsidR="00E15BBF" w:rsidRPr="002E60EB" w:rsidRDefault="00E15BBF" w:rsidP="00317748">
      <w:pPr>
        <w:tabs>
          <w:tab w:val="left" w:pos="720"/>
        </w:tabs>
        <w:jc w:val="both"/>
        <w:rPr>
          <w:i/>
          <w:lang w:val="en-US"/>
        </w:rPr>
      </w:pPr>
      <w:r w:rsidRPr="002E60EB">
        <w:rPr>
          <w:lang w:val="en-US"/>
        </w:rPr>
        <w:t>In the case of</w:t>
      </w:r>
      <w:r w:rsidRPr="002E60EB">
        <w:rPr>
          <w:i/>
          <w:lang w:val="en-US"/>
        </w:rPr>
        <w:t xml:space="preserve"> Vélez Restrepo and family, </w:t>
      </w:r>
    </w:p>
    <w:p w:rsidR="00E15BBF" w:rsidRPr="002E60EB" w:rsidRDefault="00E15BBF" w:rsidP="00317748">
      <w:pPr>
        <w:tabs>
          <w:tab w:val="left" w:pos="720"/>
        </w:tabs>
        <w:jc w:val="both"/>
        <w:rPr>
          <w:lang w:val="en-US"/>
        </w:rPr>
      </w:pPr>
    </w:p>
    <w:p w:rsidR="00E15BBF" w:rsidRPr="002E60EB" w:rsidRDefault="009A77CE" w:rsidP="00317748">
      <w:pPr>
        <w:tabs>
          <w:tab w:val="left" w:pos="720"/>
        </w:tabs>
        <w:jc w:val="both"/>
        <w:rPr>
          <w:lang w:val="en-US"/>
        </w:rPr>
      </w:pPr>
      <w:r w:rsidRPr="002E60EB">
        <w:rPr>
          <w:lang w:val="en-US"/>
        </w:rPr>
        <w:t>t</w:t>
      </w:r>
      <w:r w:rsidR="00E15BBF" w:rsidRPr="002E60EB">
        <w:rPr>
          <w:lang w:val="en-US"/>
        </w:rPr>
        <w:t xml:space="preserve">he Inter-American Court of Human Rights (hereinafter </w:t>
      </w:r>
      <w:r w:rsidR="00087093" w:rsidRPr="002E60EB">
        <w:rPr>
          <w:lang w:val="en-US"/>
        </w:rPr>
        <w:t>“</w:t>
      </w:r>
      <w:r w:rsidR="00E15BBF" w:rsidRPr="002E60EB">
        <w:rPr>
          <w:lang w:val="en-US"/>
        </w:rPr>
        <w:t>the Inter-American Court</w:t>
      </w:r>
      <w:r w:rsidR="00087093" w:rsidRPr="002E60EB">
        <w:rPr>
          <w:lang w:val="en-US"/>
        </w:rPr>
        <w:t>”</w:t>
      </w:r>
      <w:r w:rsidRPr="002E60EB">
        <w:rPr>
          <w:lang w:val="en-US"/>
        </w:rPr>
        <w:t xml:space="preserve"> </w:t>
      </w:r>
      <w:r w:rsidR="00E15BBF" w:rsidRPr="002E60EB">
        <w:rPr>
          <w:lang w:val="en-US"/>
        </w:rPr>
        <w:t xml:space="preserve">or </w:t>
      </w:r>
      <w:r w:rsidR="00087093" w:rsidRPr="002E60EB">
        <w:rPr>
          <w:lang w:val="en-US"/>
        </w:rPr>
        <w:t>“</w:t>
      </w:r>
      <w:r w:rsidR="00E15BBF" w:rsidRPr="002E60EB">
        <w:rPr>
          <w:lang w:val="en-US"/>
        </w:rPr>
        <w:t xml:space="preserve">the </w:t>
      </w:r>
      <w:r w:rsidRPr="002E60EB">
        <w:rPr>
          <w:lang w:val="en-US"/>
        </w:rPr>
        <w:t>Court</w:t>
      </w:r>
      <w:r w:rsidR="00087093" w:rsidRPr="002E60EB">
        <w:rPr>
          <w:lang w:val="en-US"/>
        </w:rPr>
        <w:t>”</w:t>
      </w:r>
      <w:r w:rsidR="00E15BBF" w:rsidRPr="002E60EB">
        <w:rPr>
          <w:lang w:val="en-US"/>
        </w:rPr>
        <w:t>), composed of the following judges:</w:t>
      </w:r>
      <w:r w:rsidRPr="002E60EB">
        <w:rPr>
          <w:rStyle w:val="Refdenotaalpie"/>
          <w:lang w:val="en-US"/>
        </w:rPr>
        <w:footnoteReference w:customMarkFollows="1" w:id="1"/>
        <w:t>*</w:t>
      </w:r>
    </w:p>
    <w:p w:rsidR="00E15BBF" w:rsidRPr="002E60EB" w:rsidRDefault="00E15BBF" w:rsidP="00317748">
      <w:pPr>
        <w:tabs>
          <w:tab w:val="left" w:pos="720"/>
        </w:tabs>
        <w:jc w:val="both"/>
        <w:rPr>
          <w:lang w:val="en-US"/>
        </w:rPr>
      </w:pPr>
    </w:p>
    <w:p w:rsidR="00E15BBF" w:rsidRPr="009C0529" w:rsidRDefault="00E15BBF" w:rsidP="00BF6EA2">
      <w:pPr>
        <w:tabs>
          <w:tab w:val="left" w:pos="720"/>
        </w:tabs>
        <w:ind w:left="720"/>
        <w:rPr>
          <w:rFonts w:cs="Verdana"/>
          <w:lang w:val="es-ES"/>
        </w:rPr>
      </w:pPr>
      <w:r w:rsidRPr="009C0529">
        <w:rPr>
          <w:rFonts w:cs="Verdana"/>
          <w:lang w:val="es-ES"/>
        </w:rPr>
        <w:t>Diego García-Sayán, President</w:t>
      </w:r>
    </w:p>
    <w:p w:rsidR="00E15BBF" w:rsidRPr="009C0529" w:rsidRDefault="00E15BBF" w:rsidP="00BF6EA2">
      <w:pPr>
        <w:tabs>
          <w:tab w:val="left" w:pos="720"/>
        </w:tabs>
        <w:ind w:left="720"/>
        <w:rPr>
          <w:rFonts w:cs="Verdana"/>
          <w:lang w:val="es-ES"/>
        </w:rPr>
      </w:pPr>
      <w:r w:rsidRPr="009C0529">
        <w:rPr>
          <w:rFonts w:cs="Verdana"/>
          <w:lang w:val="es-ES"/>
        </w:rPr>
        <w:t xml:space="preserve">Manuel E. Ventura Robles, Vice-President </w:t>
      </w:r>
    </w:p>
    <w:p w:rsidR="00E15BBF" w:rsidRPr="00BF6EA2" w:rsidRDefault="00E15BBF" w:rsidP="00BF6EA2">
      <w:pPr>
        <w:tabs>
          <w:tab w:val="left" w:pos="720"/>
        </w:tabs>
        <w:ind w:left="720"/>
        <w:rPr>
          <w:rFonts w:cs="Verdana"/>
          <w:lang w:val="en-US"/>
        </w:rPr>
      </w:pPr>
      <w:r w:rsidRPr="00BF6EA2">
        <w:rPr>
          <w:rFonts w:cs="Verdana"/>
          <w:lang w:val="en-US"/>
        </w:rPr>
        <w:t>Leonardo A. Franco, Judge</w:t>
      </w:r>
    </w:p>
    <w:p w:rsidR="00E15BBF" w:rsidRPr="002E60EB" w:rsidRDefault="00E15BBF" w:rsidP="00BF6EA2">
      <w:pPr>
        <w:tabs>
          <w:tab w:val="left" w:pos="720"/>
        </w:tabs>
        <w:ind w:left="720"/>
        <w:rPr>
          <w:rFonts w:cs="Verdana"/>
          <w:lang w:val="en-US"/>
        </w:rPr>
      </w:pPr>
      <w:r w:rsidRPr="002E60EB">
        <w:rPr>
          <w:rFonts w:cs="Verdana"/>
          <w:lang w:val="en-US"/>
        </w:rPr>
        <w:t>Rhadys Abreu Blondet, Judge</w:t>
      </w:r>
    </w:p>
    <w:p w:rsidR="00E15BBF" w:rsidRPr="002E60EB" w:rsidRDefault="00E15BBF" w:rsidP="00BF6EA2">
      <w:pPr>
        <w:tabs>
          <w:tab w:val="left" w:pos="720"/>
        </w:tabs>
        <w:ind w:left="720"/>
        <w:rPr>
          <w:rFonts w:cs="Verdana"/>
          <w:lang w:val="en-US"/>
        </w:rPr>
      </w:pPr>
      <w:r w:rsidRPr="002E60EB">
        <w:rPr>
          <w:rFonts w:cs="Verdana"/>
          <w:lang w:val="en-US"/>
        </w:rPr>
        <w:t>Alberto Pérez Pérez, Judge, and</w:t>
      </w:r>
    </w:p>
    <w:p w:rsidR="00E15BBF" w:rsidRPr="002E60EB" w:rsidRDefault="00E15BBF" w:rsidP="00BF6EA2">
      <w:pPr>
        <w:tabs>
          <w:tab w:val="left" w:pos="720"/>
        </w:tabs>
        <w:ind w:left="720"/>
        <w:rPr>
          <w:rFonts w:cs="Verdana"/>
          <w:lang w:val="en-US"/>
        </w:rPr>
      </w:pPr>
      <w:r w:rsidRPr="002E60EB">
        <w:rPr>
          <w:rFonts w:cs="Verdana"/>
          <w:lang w:val="en-US"/>
        </w:rPr>
        <w:t xml:space="preserve">Eduardo Vio Grossi, Judge; </w:t>
      </w:r>
    </w:p>
    <w:p w:rsidR="00E15BBF" w:rsidRPr="002E60EB" w:rsidRDefault="00E15BBF" w:rsidP="00317748">
      <w:pPr>
        <w:tabs>
          <w:tab w:val="left" w:pos="720"/>
        </w:tabs>
        <w:jc w:val="both"/>
        <w:rPr>
          <w:lang w:val="en-US"/>
        </w:rPr>
      </w:pPr>
    </w:p>
    <w:p w:rsidR="00E15BBF" w:rsidRPr="002E60EB" w:rsidRDefault="009A77CE" w:rsidP="00317748">
      <w:pPr>
        <w:tabs>
          <w:tab w:val="left" w:pos="720"/>
        </w:tabs>
        <w:jc w:val="both"/>
        <w:rPr>
          <w:lang w:val="en-US"/>
        </w:rPr>
      </w:pPr>
      <w:r w:rsidRPr="002E60EB">
        <w:rPr>
          <w:lang w:val="en-US"/>
        </w:rPr>
        <w:t>a</w:t>
      </w:r>
      <w:r w:rsidR="00E15BBF" w:rsidRPr="002E60EB">
        <w:rPr>
          <w:lang w:val="en-US"/>
        </w:rPr>
        <w:t>lso present,</w:t>
      </w:r>
    </w:p>
    <w:p w:rsidR="00E15BBF" w:rsidRPr="002E60EB" w:rsidRDefault="00E15BBF" w:rsidP="00317748">
      <w:pPr>
        <w:tabs>
          <w:tab w:val="left" w:pos="720"/>
        </w:tabs>
        <w:jc w:val="both"/>
        <w:rPr>
          <w:lang w:val="en-US"/>
        </w:rPr>
      </w:pPr>
    </w:p>
    <w:p w:rsidR="00E15BBF" w:rsidRPr="002E60EB" w:rsidRDefault="00E15BBF" w:rsidP="00317748">
      <w:pPr>
        <w:tabs>
          <w:tab w:val="left" w:pos="720"/>
        </w:tabs>
        <w:jc w:val="both"/>
        <w:rPr>
          <w:lang w:val="en-US"/>
        </w:rPr>
      </w:pPr>
      <w:r w:rsidRPr="002E60EB">
        <w:rPr>
          <w:lang w:val="en-US"/>
        </w:rPr>
        <w:tab/>
        <w:t xml:space="preserve">Pablo Saavedra Alessandri, Secretary, and </w:t>
      </w:r>
    </w:p>
    <w:p w:rsidR="00E15BBF" w:rsidRPr="002E60EB" w:rsidRDefault="00E15BBF" w:rsidP="00317748">
      <w:pPr>
        <w:tabs>
          <w:tab w:val="left" w:pos="720"/>
        </w:tabs>
        <w:jc w:val="both"/>
        <w:rPr>
          <w:lang w:val="en-US"/>
        </w:rPr>
      </w:pPr>
      <w:r w:rsidRPr="002E60EB">
        <w:rPr>
          <w:rFonts w:cs="Verdana"/>
          <w:lang w:val="en-US" w:eastAsia="es-MX"/>
        </w:rPr>
        <w:tab/>
        <w:t>Emilia Segares Rodríguez, Deputy Secretary,</w:t>
      </w:r>
    </w:p>
    <w:p w:rsidR="00E15BBF" w:rsidRPr="002E60EB" w:rsidRDefault="00E15BBF" w:rsidP="00317748">
      <w:pPr>
        <w:tabs>
          <w:tab w:val="left" w:pos="720"/>
        </w:tabs>
        <w:jc w:val="both"/>
        <w:rPr>
          <w:rFonts w:cs="Verdana"/>
          <w:lang w:val="en-US"/>
        </w:rPr>
      </w:pPr>
    </w:p>
    <w:p w:rsidR="00E15BBF" w:rsidRPr="002E60EB" w:rsidRDefault="00E15BBF" w:rsidP="00317748">
      <w:pPr>
        <w:tabs>
          <w:tab w:val="left" w:pos="720"/>
        </w:tabs>
        <w:jc w:val="both"/>
        <w:rPr>
          <w:rFonts w:cs="Verdana"/>
          <w:lang w:val="en-US"/>
        </w:rPr>
      </w:pPr>
      <w:r w:rsidRPr="002E60EB">
        <w:rPr>
          <w:rFonts w:cs="Verdana"/>
          <w:lang w:val="en-US"/>
        </w:rPr>
        <w:t xml:space="preserve">pursuant to Articles 62(3) and 63(1) of the American Convention on Human Rights (hereinafter </w:t>
      </w:r>
      <w:r w:rsidR="00087093" w:rsidRPr="002E60EB">
        <w:rPr>
          <w:rFonts w:cs="Verdana"/>
          <w:lang w:val="en-US"/>
        </w:rPr>
        <w:t>“</w:t>
      </w:r>
      <w:r w:rsidRPr="002E60EB">
        <w:rPr>
          <w:rFonts w:cs="Verdana"/>
          <w:lang w:val="en-US"/>
        </w:rPr>
        <w:t>the American Convention</w:t>
      </w:r>
      <w:r w:rsidR="00087093" w:rsidRPr="002E60EB">
        <w:rPr>
          <w:rFonts w:cs="Verdana"/>
          <w:lang w:val="en-US"/>
        </w:rPr>
        <w:t>”</w:t>
      </w:r>
      <w:r w:rsidRPr="002E60EB">
        <w:rPr>
          <w:rFonts w:cs="Verdana"/>
          <w:lang w:val="en-US"/>
        </w:rPr>
        <w:t xml:space="preserve"> or </w:t>
      </w:r>
      <w:r w:rsidR="00087093" w:rsidRPr="002E60EB">
        <w:rPr>
          <w:rFonts w:cs="Verdana"/>
          <w:lang w:val="en-US"/>
        </w:rPr>
        <w:t>“</w:t>
      </w:r>
      <w:r w:rsidRPr="002E60EB">
        <w:rPr>
          <w:rFonts w:cs="Verdana"/>
          <w:lang w:val="en-US"/>
        </w:rPr>
        <w:t>the Convention</w:t>
      </w:r>
      <w:r w:rsidR="00087093" w:rsidRPr="002E60EB">
        <w:rPr>
          <w:rFonts w:cs="Verdana"/>
          <w:lang w:val="en-US"/>
        </w:rPr>
        <w:t>”</w:t>
      </w:r>
      <w:r w:rsidRPr="002E60EB">
        <w:rPr>
          <w:rFonts w:cs="Verdana"/>
          <w:lang w:val="en-US"/>
        </w:rPr>
        <w:t>) and to Articles 31, 32, 65 and 67 of the Rules of Procedure of the Court</w:t>
      </w:r>
      <w:r w:rsidRPr="002E60EB">
        <w:rPr>
          <w:rStyle w:val="Refdenotaalpie"/>
          <w:lang w:val="en-US"/>
        </w:rPr>
        <w:footnoteReference w:id="2"/>
      </w:r>
      <w:r w:rsidRPr="002E60EB">
        <w:rPr>
          <w:rFonts w:cs="Verdana"/>
          <w:lang w:val="en-US"/>
        </w:rPr>
        <w:t xml:space="preserve"> (hereinafter </w:t>
      </w:r>
      <w:r w:rsidR="00087093" w:rsidRPr="002E60EB">
        <w:rPr>
          <w:rFonts w:cs="Verdana"/>
          <w:lang w:val="en-US"/>
        </w:rPr>
        <w:t>“</w:t>
      </w:r>
      <w:r w:rsidRPr="002E60EB">
        <w:rPr>
          <w:rFonts w:cs="Verdana"/>
          <w:lang w:val="en-US"/>
        </w:rPr>
        <w:t>the Rules of Procedure</w:t>
      </w:r>
      <w:r w:rsidR="00087093" w:rsidRPr="002E60EB">
        <w:rPr>
          <w:rFonts w:cs="Verdana"/>
          <w:lang w:val="en-US"/>
        </w:rPr>
        <w:t>”</w:t>
      </w:r>
      <w:r w:rsidRPr="002E60EB">
        <w:rPr>
          <w:rFonts w:cs="Verdana"/>
          <w:lang w:val="en-US"/>
        </w:rPr>
        <w:t xml:space="preserve">), </w:t>
      </w:r>
      <w:r w:rsidR="009A77CE" w:rsidRPr="002E60EB">
        <w:rPr>
          <w:rFonts w:cs="Verdana"/>
          <w:lang w:val="en-US"/>
        </w:rPr>
        <w:t xml:space="preserve">delivers </w:t>
      </w:r>
      <w:r w:rsidRPr="002E60EB">
        <w:rPr>
          <w:rFonts w:cs="Verdana"/>
          <w:lang w:val="en-US"/>
        </w:rPr>
        <w:t xml:space="preserve">this Judgment, structured </w:t>
      </w:r>
      <w:r w:rsidR="009A77CE" w:rsidRPr="002E60EB">
        <w:rPr>
          <w:rFonts w:cs="Verdana"/>
          <w:lang w:val="en-US"/>
        </w:rPr>
        <w:t>as follows</w:t>
      </w:r>
      <w:r w:rsidRPr="002E60EB">
        <w:rPr>
          <w:rFonts w:cs="Verdana"/>
          <w:lang w:val="en-US"/>
        </w:rPr>
        <w:t xml:space="preserve">: </w:t>
      </w:r>
    </w:p>
    <w:p w:rsidR="00E15BBF" w:rsidRPr="002E60EB" w:rsidRDefault="00E15BBF" w:rsidP="002711CF">
      <w:pPr>
        <w:tabs>
          <w:tab w:val="left" w:pos="720"/>
        </w:tabs>
        <w:jc w:val="both"/>
        <w:rPr>
          <w:rFonts w:cs="Verdana"/>
          <w:lang w:val="en-US"/>
        </w:rPr>
      </w:pPr>
    </w:p>
    <w:p w:rsidR="00E15BBF" w:rsidRPr="002E60EB" w:rsidRDefault="00E15BBF" w:rsidP="00317748">
      <w:pPr>
        <w:tabs>
          <w:tab w:val="left" w:pos="720"/>
        </w:tabs>
        <w:jc w:val="both"/>
        <w:rPr>
          <w:rFonts w:cs="Verdana"/>
          <w:lang w:val="en-US"/>
        </w:rPr>
      </w:pPr>
    </w:p>
    <w:p w:rsidR="00E15BBF" w:rsidRPr="002E60EB" w:rsidRDefault="00E15BBF" w:rsidP="00317748">
      <w:pPr>
        <w:tabs>
          <w:tab w:val="left" w:pos="720"/>
        </w:tabs>
        <w:jc w:val="both"/>
        <w:rPr>
          <w:rFonts w:cs="Verdana"/>
          <w:lang w:val="en-US"/>
        </w:rPr>
      </w:pPr>
    </w:p>
    <w:p w:rsidR="00E15BBF" w:rsidRPr="002E60EB" w:rsidRDefault="00E15BBF" w:rsidP="00317748">
      <w:pPr>
        <w:rPr>
          <w:lang w:val="en-US"/>
        </w:rPr>
      </w:pPr>
    </w:p>
    <w:tbl>
      <w:tblPr>
        <w:tblW w:w="11260" w:type="dxa"/>
        <w:tblInd w:w="-72" w:type="dxa"/>
        <w:tblLook w:val="00A0" w:firstRow="1" w:lastRow="0" w:firstColumn="1" w:lastColumn="0" w:noHBand="0" w:noVBand="0"/>
      </w:tblPr>
      <w:tblGrid>
        <w:gridCol w:w="9756"/>
        <w:gridCol w:w="1504"/>
      </w:tblGrid>
      <w:tr w:rsidR="00E15BBF" w:rsidRPr="002E60EB" w:rsidTr="00F80823">
        <w:trPr>
          <w:trHeight w:val="472"/>
        </w:trPr>
        <w:tc>
          <w:tcPr>
            <w:tcW w:w="4332" w:type="pct"/>
          </w:tcPr>
          <w:tbl>
            <w:tblPr>
              <w:tblW w:w="9468" w:type="dxa"/>
              <w:tblLook w:val="00A0" w:firstRow="1" w:lastRow="0" w:firstColumn="1" w:lastColumn="0" w:noHBand="0" w:noVBand="0"/>
            </w:tblPr>
            <w:tblGrid>
              <w:gridCol w:w="8209"/>
              <w:gridCol w:w="1259"/>
            </w:tblGrid>
            <w:tr w:rsidR="00F80823" w:rsidRPr="002E60EB" w:rsidTr="00276E39">
              <w:trPr>
                <w:trHeight w:val="472"/>
              </w:trPr>
              <w:tc>
                <w:tcPr>
                  <w:tcW w:w="4335" w:type="pct"/>
                </w:tcPr>
                <w:p w:rsidR="00F80823" w:rsidRPr="002E60EB" w:rsidRDefault="00F80823" w:rsidP="00276E39">
                  <w:pPr>
                    <w:pStyle w:val="Ttulo2"/>
                    <w:tabs>
                      <w:tab w:val="left" w:pos="720"/>
                    </w:tabs>
                    <w:spacing w:before="0" w:after="0"/>
                    <w:ind w:left="720"/>
                    <w:jc w:val="center"/>
                    <w:rPr>
                      <w:rFonts w:ascii="Verdana" w:hAnsi="Verdana"/>
                      <w:i w:val="0"/>
                      <w:sz w:val="20"/>
                      <w:szCs w:val="20"/>
                      <w:lang w:val="en-US" w:eastAsia="en-US"/>
                    </w:rPr>
                  </w:pPr>
                  <w:r w:rsidRPr="002E60EB">
                    <w:rPr>
                      <w:rFonts w:ascii="Verdana" w:hAnsi="Verdana"/>
                      <w:i w:val="0"/>
                      <w:sz w:val="20"/>
                      <w:szCs w:val="20"/>
                      <w:lang w:val="en-US" w:eastAsia="en-US"/>
                    </w:rPr>
                    <w:lastRenderedPageBreak/>
                    <w:t>TABLE OF CONTENTS</w:t>
                  </w:r>
                </w:p>
                <w:p w:rsidR="00F80823" w:rsidRPr="002E60EB" w:rsidRDefault="00F80823" w:rsidP="00F80823">
                  <w:pPr>
                    <w:rPr>
                      <w:lang w:val="en-US"/>
                    </w:rPr>
                  </w:pPr>
                </w:p>
                <w:p w:rsidR="00F80823" w:rsidRPr="002E60EB" w:rsidRDefault="00F80823" w:rsidP="00276E39">
                  <w:pPr>
                    <w:pStyle w:val="Ttulo2"/>
                    <w:tabs>
                      <w:tab w:val="left" w:pos="720"/>
                    </w:tabs>
                    <w:spacing w:before="0" w:after="0"/>
                    <w:ind w:left="720"/>
                    <w:jc w:val="both"/>
                    <w:rPr>
                      <w:rFonts w:ascii="Verdana" w:hAnsi="Verdana" w:cs="Verdana"/>
                      <w:i w:val="0"/>
                      <w:caps/>
                      <w:snapToGrid w:val="0"/>
                      <w:sz w:val="20"/>
                      <w:szCs w:val="20"/>
                      <w:lang w:val="en-US" w:eastAsia="es-ES"/>
                    </w:rPr>
                  </w:pPr>
                </w:p>
              </w:tc>
              <w:tc>
                <w:tcPr>
                  <w:tcW w:w="665" w:type="pct"/>
                </w:tcPr>
                <w:p w:rsidR="00F80823" w:rsidRPr="002E60EB" w:rsidRDefault="00F80823" w:rsidP="00276E39">
                  <w:pPr>
                    <w:tabs>
                      <w:tab w:val="left" w:pos="720"/>
                    </w:tabs>
                    <w:jc w:val="center"/>
                    <w:rPr>
                      <w:b/>
                      <w:lang w:val="en-US" w:eastAsia="es-ES"/>
                    </w:rPr>
                  </w:pPr>
                </w:p>
                <w:p w:rsidR="00F80823" w:rsidRPr="002E60EB" w:rsidRDefault="00F80823" w:rsidP="00276E39">
                  <w:pPr>
                    <w:tabs>
                      <w:tab w:val="left" w:pos="720"/>
                    </w:tabs>
                    <w:jc w:val="center"/>
                    <w:rPr>
                      <w:b/>
                      <w:lang w:val="en-US" w:eastAsia="es-ES"/>
                    </w:rPr>
                  </w:pPr>
                  <w:r w:rsidRPr="002E60EB">
                    <w:rPr>
                      <w:b/>
                      <w:lang w:val="en-US" w:eastAsia="es-ES"/>
                    </w:rPr>
                    <w:t>Paras.</w:t>
                  </w:r>
                </w:p>
              </w:tc>
            </w:tr>
            <w:tr w:rsidR="00F80823" w:rsidRPr="002E60EB" w:rsidTr="00276E39">
              <w:trPr>
                <w:trHeight w:val="20"/>
              </w:trPr>
              <w:tc>
                <w:tcPr>
                  <w:tcW w:w="4335" w:type="pct"/>
                </w:tcPr>
                <w:p w:rsidR="00F80823" w:rsidRPr="002E60EB" w:rsidRDefault="00F80823" w:rsidP="00F80823">
                  <w:pPr>
                    <w:pStyle w:val="Ttulo2"/>
                    <w:numPr>
                      <w:ilvl w:val="0"/>
                      <w:numId w:val="3"/>
                    </w:numPr>
                    <w:tabs>
                      <w:tab w:val="left" w:pos="720"/>
                    </w:tabs>
                    <w:spacing w:before="0" w:after="0"/>
                    <w:ind w:left="0" w:firstLine="0"/>
                    <w:jc w:val="both"/>
                    <w:rPr>
                      <w:rFonts w:ascii="Verdana" w:hAnsi="Verdana"/>
                      <w:b w:val="0"/>
                      <w:sz w:val="20"/>
                      <w:szCs w:val="20"/>
                      <w:lang w:val="en-US" w:eastAsia="es-ES"/>
                    </w:rPr>
                  </w:pPr>
                  <w:r w:rsidRPr="002E60EB">
                    <w:rPr>
                      <w:rFonts w:ascii="Verdana" w:hAnsi="Verdana" w:cs="Verdana"/>
                      <w:i w:val="0"/>
                      <w:caps/>
                      <w:snapToGrid w:val="0"/>
                      <w:sz w:val="20"/>
                      <w:szCs w:val="20"/>
                      <w:lang w:val="en-US" w:eastAsia="es-ES"/>
                    </w:rPr>
                    <w:t>INTRODUCTION OF THE CASE AND PURPOSE OF THE DISPUTE</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1-3</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0" w:firstLine="0"/>
                    <w:contextualSpacing w:val="0"/>
                    <w:jc w:val="both"/>
                    <w:rPr>
                      <w:b/>
                      <w:sz w:val="20"/>
                      <w:szCs w:val="20"/>
                      <w:lang w:val="en-US" w:eastAsia="es-ES"/>
                    </w:rPr>
                  </w:pPr>
                  <w:r w:rsidRPr="002E60EB">
                    <w:rPr>
                      <w:b/>
                      <w:bCs/>
                      <w:sz w:val="20"/>
                      <w:szCs w:val="20"/>
                      <w:lang w:val="en-US"/>
                    </w:rPr>
                    <w:t>PROCEEDINGS BEFORE THE COURT</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4-12</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720"/>
                    <w:contextualSpacing w:val="0"/>
                    <w:rPr>
                      <w:b/>
                      <w:bCs/>
                      <w:sz w:val="20"/>
                      <w:szCs w:val="20"/>
                      <w:lang w:val="en-US"/>
                    </w:rPr>
                  </w:pPr>
                  <w:r w:rsidRPr="002E60EB">
                    <w:rPr>
                      <w:b/>
                      <w:bCs/>
                      <w:sz w:val="20"/>
                      <w:szCs w:val="20"/>
                      <w:lang w:val="en-US"/>
                    </w:rPr>
                    <w:t xml:space="preserve">PARTIAL ACKNOWLEDGEMENT OF INTERNATIONAL RESPONSIBILITY </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13-26</w:t>
                  </w:r>
                </w:p>
              </w:tc>
            </w:tr>
            <w:tr w:rsidR="00F80823" w:rsidRPr="002E60EB" w:rsidTr="00276E39">
              <w:trPr>
                <w:trHeight w:val="20"/>
              </w:trPr>
              <w:tc>
                <w:tcPr>
                  <w:tcW w:w="4335" w:type="pct"/>
                </w:tcPr>
                <w:p w:rsidR="00F80823" w:rsidRPr="002E60EB" w:rsidRDefault="00F80823" w:rsidP="00276E39">
                  <w:pPr>
                    <w:pStyle w:val="Prrafodelista"/>
                    <w:tabs>
                      <w:tab w:val="left" w:pos="720"/>
                    </w:tabs>
                    <w:rPr>
                      <w:bCs/>
                      <w:sz w:val="20"/>
                      <w:szCs w:val="20"/>
                      <w:lang w:val="en-US"/>
                    </w:rPr>
                  </w:pPr>
                  <w:r w:rsidRPr="002E60EB">
                    <w:rPr>
                      <w:bCs/>
                      <w:sz w:val="20"/>
                      <w:szCs w:val="20"/>
                      <w:lang w:val="en-US"/>
                    </w:rPr>
                    <w:t>A) The State’s partial acknowledgement of responsibility and observations of the Commission and the representative</w:t>
                  </w:r>
                </w:p>
                <w:p w:rsidR="00F80823" w:rsidRPr="002E60EB" w:rsidRDefault="00F80823" w:rsidP="00276E39">
                  <w:pPr>
                    <w:pStyle w:val="Prrafodelista"/>
                    <w:tabs>
                      <w:tab w:val="left" w:pos="720"/>
                    </w:tabs>
                    <w:rPr>
                      <w:b/>
                      <w:bCs/>
                      <w:sz w:val="20"/>
                      <w:szCs w:val="20"/>
                      <w:lang w:val="en-US"/>
                    </w:rPr>
                  </w:pPr>
                  <w:r w:rsidRPr="002E60EB">
                    <w:rPr>
                      <w:bCs/>
                      <w:sz w:val="20"/>
                      <w:szCs w:val="20"/>
                      <w:lang w:val="en-US"/>
                    </w:rPr>
                    <w:t>B) Considerations of the Court</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13-19</w:t>
                  </w:r>
                </w:p>
                <w:p w:rsidR="00F80823" w:rsidRPr="002E60EB" w:rsidRDefault="00F80823" w:rsidP="00276E39">
                  <w:pPr>
                    <w:tabs>
                      <w:tab w:val="left" w:pos="720"/>
                    </w:tabs>
                    <w:jc w:val="center"/>
                    <w:rPr>
                      <w:lang w:val="en-US" w:eastAsia="es-ES"/>
                    </w:rPr>
                  </w:pPr>
                </w:p>
                <w:p w:rsidR="00F80823" w:rsidRPr="002E60EB" w:rsidRDefault="00F80823" w:rsidP="00276E39">
                  <w:pPr>
                    <w:tabs>
                      <w:tab w:val="left" w:pos="720"/>
                    </w:tabs>
                    <w:jc w:val="center"/>
                    <w:rPr>
                      <w:lang w:val="en-US" w:eastAsia="es-ES"/>
                    </w:rPr>
                  </w:pPr>
                  <w:r w:rsidRPr="002E60EB">
                    <w:rPr>
                      <w:lang w:val="en-US" w:eastAsia="es-ES"/>
                    </w:rPr>
                    <w:t>20-26</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0" w:firstLine="0"/>
                    <w:contextualSpacing w:val="0"/>
                    <w:rPr>
                      <w:b/>
                      <w:sz w:val="20"/>
                      <w:szCs w:val="20"/>
                      <w:lang w:val="en-US" w:eastAsia="es-ES"/>
                    </w:rPr>
                  </w:pPr>
                  <w:r w:rsidRPr="002E60EB">
                    <w:rPr>
                      <w:b/>
                      <w:sz w:val="20"/>
                      <w:szCs w:val="20"/>
                      <w:lang w:val="en-US" w:eastAsia="es-ES"/>
                    </w:rPr>
                    <w:t>PRELIMINARY OBJECTION</w:t>
                  </w:r>
                </w:p>
                <w:p w:rsidR="00F80823" w:rsidRPr="002E60EB" w:rsidRDefault="00F80823" w:rsidP="00F80823">
                  <w:pPr>
                    <w:pStyle w:val="Prrafodelista"/>
                    <w:numPr>
                      <w:ilvl w:val="0"/>
                      <w:numId w:val="31"/>
                    </w:numPr>
                    <w:tabs>
                      <w:tab w:val="left" w:pos="720"/>
                    </w:tabs>
                    <w:contextualSpacing w:val="0"/>
                    <w:rPr>
                      <w:sz w:val="20"/>
                      <w:szCs w:val="20"/>
                      <w:lang w:val="en-US" w:eastAsia="es-ES"/>
                    </w:rPr>
                  </w:pPr>
                  <w:r w:rsidRPr="002E60EB">
                    <w:rPr>
                      <w:sz w:val="20"/>
                      <w:szCs w:val="20"/>
                      <w:lang w:val="en-US"/>
                    </w:rPr>
                    <w:t>Arguments of the State and observations of the representative and the Inter-American Commission</w:t>
                  </w:r>
                </w:p>
                <w:p w:rsidR="00F80823" w:rsidRPr="002E60EB" w:rsidRDefault="00F80823" w:rsidP="00F80823">
                  <w:pPr>
                    <w:pStyle w:val="Prrafodelista"/>
                    <w:numPr>
                      <w:ilvl w:val="0"/>
                      <w:numId w:val="31"/>
                    </w:numPr>
                    <w:tabs>
                      <w:tab w:val="left" w:pos="720"/>
                    </w:tabs>
                    <w:contextualSpacing w:val="0"/>
                    <w:rPr>
                      <w:sz w:val="20"/>
                      <w:szCs w:val="20"/>
                      <w:lang w:val="en-US" w:eastAsia="es-ES"/>
                    </w:rPr>
                  </w:pPr>
                  <w:r w:rsidRPr="002E60EB">
                    <w:rPr>
                      <w:sz w:val="20"/>
                      <w:szCs w:val="20"/>
                      <w:lang w:val="en-US"/>
                    </w:rPr>
                    <w:t>Considerations of the Court</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27-33</w:t>
                  </w:r>
                </w:p>
                <w:p w:rsidR="00F80823" w:rsidRPr="002E60EB" w:rsidRDefault="00F80823" w:rsidP="00276E39">
                  <w:pPr>
                    <w:tabs>
                      <w:tab w:val="left" w:pos="720"/>
                    </w:tabs>
                    <w:jc w:val="center"/>
                    <w:rPr>
                      <w:lang w:val="en-US" w:eastAsia="es-ES"/>
                    </w:rPr>
                  </w:pPr>
                  <w:r w:rsidRPr="002E60EB">
                    <w:rPr>
                      <w:lang w:val="en-US" w:eastAsia="es-ES"/>
                    </w:rPr>
                    <w:t>27-29</w:t>
                  </w:r>
                </w:p>
                <w:p w:rsidR="00F80823" w:rsidRPr="002E60EB" w:rsidRDefault="00F80823" w:rsidP="00276E39">
                  <w:pPr>
                    <w:tabs>
                      <w:tab w:val="left" w:pos="720"/>
                    </w:tabs>
                    <w:jc w:val="center"/>
                    <w:rPr>
                      <w:lang w:val="en-US" w:eastAsia="es-ES"/>
                    </w:rPr>
                  </w:pPr>
                </w:p>
                <w:p w:rsidR="00F80823" w:rsidRPr="002E60EB" w:rsidRDefault="00F80823" w:rsidP="00276E39">
                  <w:pPr>
                    <w:tabs>
                      <w:tab w:val="left" w:pos="720"/>
                    </w:tabs>
                    <w:jc w:val="center"/>
                    <w:rPr>
                      <w:lang w:val="en-US" w:eastAsia="es-ES"/>
                    </w:rPr>
                  </w:pPr>
                  <w:r w:rsidRPr="002E60EB">
                    <w:rPr>
                      <w:lang w:val="en-US" w:eastAsia="es-ES"/>
                    </w:rPr>
                    <w:t>30-33</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0" w:firstLine="0"/>
                    <w:contextualSpacing w:val="0"/>
                    <w:rPr>
                      <w:b/>
                      <w:sz w:val="20"/>
                      <w:szCs w:val="20"/>
                      <w:lang w:val="en-US" w:eastAsia="es-ES"/>
                    </w:rPr>
                  </w:pPr>
                  <w:r w:rsidRPr="002E60EB">
                    <w:rPr>
                      <w:b/>
                      <w:sz w:val="20"/>
                      <w:szCs w:val="20"/>
                      <w:lang w:val="en-US" w:eastAsia="es-ES"/>
                    </w:rPr>
                    <w:t>PRIOR CONSIDERATIONS</w:t>
                  </w:r>
                </w:p>
                <w:p w:rsidR="00F80823" w:rsidRPr="002E60EB" w:rsidRDefault="00F80823" w:rsidP="00F80823">
                  <w:pPr>
                    <w:pStyle w:val="Prrafodelista"/>
                    <w:numPr>
                      <w:ilvl w:val="5"/>
                      <w:numId w:val="8"/>
                    </w:numPr>
                    <w:tabs>
                      <w:tab w:val="clear" w:pos="3515"/>
                      <w:tab w:val="left" w:pos="1029"/>
                    </w:tabs>
                    <w:ind w:left="720"/>
                    <w:rPr>
                      <w:sz w:val="20"/>
                      <w:szCs w:val="20"/>
                      <w:lang w:val="en-US"/>
                    </w:rPr>
                  </w:pPr>
                  <w:r w:rsidRPr="002E60EB">
                    <w:rPr>
                      <w:sz w:val="20"/>
                      <w:szCs w:val="20"/>
                      <w:lang w:val="en-US"/>
                    </w:rPr>
                    <w:t>Alleged failure to comply with basic requirements for the submission of the case to the Court by the Commission</w:t>
                  </w:r>
                </w:p>
                <w:p w:rsidR="00F80823" w:rsidRPr="002E60EB" w:rsidRDefault="00F80823" w:rsidP="00F80823">
                  <w:pPr>
                    <w:pStyle w:val="Prrafodelista"/>
                    <w:numPr>
                      <w:ilvl w:val="5"/>
                      <w:numId w:val="8"/>
                    </w:numPr>
                    <w:tabs>
                      <w:tab w:val="clear" w:pos="3515"/>
                      <w:tab w:val="left" w:pos="1029"/>
                    </w:tabs>
                    <w:ind w:left="720"/>
                    <w:rPr>
                      <w:sz w:val="20"/>
                      <w:szCs w:val="20"/>
                      <w:lang w:val="en-US"/>
                    </w:rPr>
                  </w:pPr>
                  <w:r w:rsidRPr="002E60EB">
                    <w:rPr>
                      <w:sz w:val="20"/>
                      <w:szCs w:val="20"/>
                      <w:lang w:val="en-US"/>
                    </w:rPr>
                    <w:t>The factual framework of the case</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34-57</w:t>
                  </w:r>
                </w:p>
                <w:p w:rsidR="00F80823" w:rsidRPr="002E60EB" w:rsidRDefault="00F80823" w:rsidP="00276E39">
                  <w:pPr>
                    <w:tabs>
                      <w:tab w:val="left" w:pos="720"/>
                    </w:tabs>
                    <w:jc w:val="center"/>
                    <w:rPr>
                      <w:lang w:val="en-US" w:eastAsia="es-ES"/>
                    </w:rPr>
                  </w:pPr>
                  <w:r w:rsidRPr="002E60EB">
                    <w:rPr>
                      <w:lang w:val="en-US" w:eastAsia="es-ES"/>
                    </w:rPr>
                    <w:t>36-42</w:t>
                  </w:r>
                </w:p>
                <w:p w:rsidR="00F80823" w:rsidRPr="002E60EB" w:rsidRDefault="00F80823" w:rsidP="00276E39">
                  <w:pPr>
                    <w:tabs>
                      <w:tab w:val="left" w:pos="720"/>
                    </w:tabs>
                    <w:jc w:val="center"/>
                    <w:rPr>
                      <w:lang w:val="en-US" w:eastAsia="es-ES"/>
                    </w:rPr>
                  </w:pPr>
                </w:p>
                <w:p w:rsidR="00F80823" w:rsidRPr="002E60EB" w:rsidRDefault="00F80823" w:rsidP="00276E39">
                  <w:pPr>
                    <w:tabs>
                      <w:tab w:val="left" w:pos="720"/>
                    </w:tabs>
                    <w:jc w:val="center"/>
                    <w:rPr>
                      <w:lang w:val="en-US" w:eastAsia="es-ES"/>
                    </w:rPr>
                  </w:pPr>
                  <w:r w:rsidRPr="002E60EB">
                    <w:rPr>
                      <w:lang w:val="en-US" w:eastAsia="es-ES"/>
                    </w:rPr>
                    <w:t>43-57</w:t>
                  </w:r>
                </w:p>
              </w:tc>
            </w:tr>
            <w:tr w:rsidR="00F80823" w:rsidRPr="002E60EB" w:rsidTr="00276E39">
              <w:trPr>
                <w:trHeight w:val="20"/>
              </w:trPr>
              <w:tc>
                <w:tcPr>
                  <w:tcW w:w="4335" w:type="pct"/>
                </w:tcPr>
                <w:p w:rsidR="00F80823" w:rsidRPr="002E60EB" w:rsidRDefault="00F80823" w:rsidP="00F80823">
                  <w:pPr>
                    <w:pStyle w:val="Prrafodelista"/>
                    <w:keepNext/>
                    <w:numPr>
                      <w:ilvl w:val="0"/>
                      <w:numId w:val="3"/>
                    </w:numPr>
                    <w:tabs>
                      <w:tab w:val="left" w:pos="720"/>
                    </w:tabs>
                    <w:ind w:left="0" w:firstLine="0"/>
                    <w:contextualSpacing w:val="0"/>
                    <w:outlineLvl w:val="1"/>
                    <w:rPr>
                      <w:rFonts w:cs="Verdana"/>
                      <w:b/>
                      <w:smallCaps/>
                      <w:sz w:val="20"/>
                      <w:szCs w:val="20"/>
                      <w:lang w:val="en-US"/>
                    </w:rPr>
                  </w:pPr>
                  <w:r w:rsidRPr="002E60EB">
                    <w:rPr>
                      <w:rFonts w:cs="Verdana"/>
                      <w:b/>
                      <w:smallCaps/>
                      <w:sz w:val="20"/>
                      <w:szCs w:val="20"/>
                      <w:lang w:val="en-US"/>
                    </w:rPr>
                    <w:t>COMPETENCE</w:t>
                  </w:r>
                </w:p>
              </w:tc>
              <w:tc>
                <w:tcPr>
                  <w:tcW w:w="665" w:type="pct"/>
                </w:tcPr>
                <w:p w:rsidR="00F80823" w:rsidRPr="002E60EB" w:rsidRDefault="00F80823" w:rsidP="00276E39">
                  <w:pPr>
                    <w:tabs>
                      <w:tab w:val="left" w:pos="0"/>
                    </w:tabs>
                    <w:jc w:val="center"/>
                    <w:rPr>
                      <w:lang w:val="en-US" w:eastAsia="es-ES"/>
                    </w:rPr>
                  </w:pPr>
                  <w:r w:rsidRPr="002E60EB">
                    <w:rPr>
                      <w:lang w:val="en-US" w:eastAsia="es-ES"/>
                    </w:rPr>
                    <w:t>58</w:t>
                  </w:r>
                </w:p>
              </w:tc>
            </w:tr>
            <w:tr w:rsidR="00F80823" w:rsidRPr="002E60EB" w:rsidTr="00276E39">
              <w:trPr>
                <w:trHeight w:val="20"/>
              </w:trPr>
              <w:tc>
                <w:tcPr>
                  <w:tcW w:w="4335" w:type="pct"/>
                </w:tcPr>
                <w:p w:rsidR="00F80823" w:rsidRPr="002E60EB" w:rsidRDefault="00F80823" w:rsidP="00F80823">
                  <w:pPr>
                    <w:pStyle w:val="Prrafodelista"/>
                    <w:keepNext/>
                    <w:numPr>
                      <w:ilvl w:val="0"/>
                      <w:numId w:val="3"/>
                    </w:numPr>
                    <w:tabs>
                      <w:tab w:val="left" w:pos="720"/>
                    </w:tabs>
                    <w:ind w:left="0" w:firstLine="0"/>
                    <w:contextualSpacing w:val="0"/>
                    <w:outlineLvl w:val="1"/>
                    <w:rPr>
                      <w:rFonts w:cs="Verdana"/>
                      <w:b/>
                      <w:smallCaps/>
                      <w:sz w:val="20"/>
                      <w:szCs w:val="20"/>
                      <w:lang w:val="en-US"/>
                    </w:rPr>
                  </w:pPr>
                  <w:r w:rsidRPr="002E60EB">
                    <w:rPr>
                      <w:rFonts w:cs="Verdana"/>
                      <w:b/>
                      <w:smallCaps/>
                      <w:sz w:val="20"/>
                      <w:szCs w:val="20"/>
                      <w:lang w:val="en-US"/>
                    </w:rPr>
                    <w:t>EVIDENCE</w:t>
                  </w:r>
                </w:p>
              </w:tc>
              <w:tc>
                <w:tcPr>
                  <w:tcW w:w="665" w:type="pct"/>
                </w:tcPr>
                <w:p w:rsidR="00F80823" w:rsidRPr="002E60EB" w:rsidRDefault="00F80823" w:rsidP="00276E39">
                  <w:pPr>
                    <w:tabs>
                      <w:tab w:val="left" w:pos="0"/>
                    </w:tabs>
                    <w:jc w:val="center"/>
                    <w:rPr>
                      <w:lang w:val="en-US" w:eastAsia="es-ES"/>
                    </w:rPr>
                  </w:pPr>
                  <w:r w:rsidRPr="002E60EB">
                    <w:rPr>
                      <w:lang w:val="en-US" w:eastAsia="es-ES"/>
                    </w:rPr>
                    <w:t>59-76</w:t>
                  </w:r>
                </w:p>
              </w:tc>
            </w:tr>
            <w:tr w:rsidR="00F80823" w:rsidRPr="002E60EB" w:rsidTr="00276E39">
              <w:trPr>
                <w:trHeight w:val="20"/>
              </w:trPr>
              <w:tc>
                <w:tcPr>
                  <w:tcW w:w="4335" w:type="pct"/>
                </w:tcPr>
                <w:p w:rsidR="00F80823" w:rsidRPr="002E60EB" w:rsidRDefault="00F80823" w:rsidP="00276E39">
                  <w:pPr>
                    <w:pStyle w:val="Prrafodelista"/>
                    <w:tabs>
                      <w:tab w:val="left" w:pos="1080"/>
                    </w:tabs>
                    <w:rPr>
                      <w:rFonts w:cs="Verdana"/>
                      <w:sz w:val="20"/>
                      <w:szCs w:val="20"/>
                      <w:lang w:val="en-US"/>
                    </w:rPr>
                  </w:pPr>
                  <w:r w:rsidRPr="002E60EB">
                    <w:rPr>
                      <w:rFonts w:cs="Verdana"/>
                      <w:sz w:val="20"/>
                      <w:szCs w:val="20"/>
                      <w:lang w:val="en-US"/>
                    </w:rPr>
                    <w:t>A) Documentary, testimonial and expert evidence</w:t>
                  </w:r>
                </w:p>
                <w:p w:rsidR="00F80823" w:rsidRPr="002E60EB" w:rsidRDefault="00F80823" w:rsidP="00276E39">
                  <w:pPr>
                    <w:pStyle w:val="Prrafodelista"/>
                    <w:tabs>
                      <w:tab w:val="left" w:pos="1080"/>
                    </w:tabs>
                    <w:autoSpaceDE w:val="0"/>
                    <w:autoSpaceDN w:val="0"/>
                    <w:adjustRightInd w:val="0"/>
                    <w:rPr>
                      <w:rFonts w:cs="Verdana"/>
                      <w:sz w:val="20"/>
                      <w:szCs w:val="20"/>
                      <w:lang w:val="en-US"/>
                    </w:rPr>
                  </w:pPr>
                  <w:r w:rsidRPr="002E60EB">
                    <w:rPr>
                      <w:rFonts w:cs="Verdana"/>
                      <w:sz w:val="20"/>
                      <w:szCs w:val="20"/>
                      <w:lang w:val="en-US"/>
                    </w:rPr>
                    <w:t>B) Admission of the evidence</w:t>
                  </w:r>
                </w:p>
              </w:tc>
              <w:tc>
                <w:tcPr>
                  <w:tcW w:w="665" w:type="pct"/>
                </w:tcPr>
                <w:p w:rsidR="00F80823" w:rsidRPr="002E60EB" w:rsidRDefault="00F80823" w:rsidP="00276E39">
                  <w:pPr>
                    <w:tabs>
                      <w:tab w:val="left" w:pos="0"/>
                    </w:tabs>
                    <w:jc w:val="center"/>
                    <w:rPr>
                      <w:lang w:val="en-US" w:eastAsia="es-ES"/>
                    </w:rPr>
                  </w:pPr>
                  <w:r w:rsidRPr="002E60EB">
                    <w:rPr>
                      <w:lang w:val="en-US" w:eastAsia="es-ES"/>
                    </w:rPr>
                    <w:t>60</w:t>
                  </w:r>
                </w:p>
                <w:p w:rsidR="00F80823" w:rsidRPr="002E60EB" w:rsidRDefault="00F80823" w:rsidP="00276E39">
                  <w:pPr>
                    <w:tabs>
                      <w:tab w:val="left" w:pos="0"/>
                    </w:tabs>
                    <w:jc w:val="center"/>
                    <w:rPr>
                      <w:lang w:val="en-US" w:eastAsia="es-ES"/>
                    </w:rPr>
                  </w:pPr>
                  <w:r w:rsidRPr="002E60EB">
                    <w:rPr>
                      <w:lang w:val="en-US" w:eastAsia="es-ES"/>
                    </w:rPr>
                    <w:t>61-76</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0" w:firstLine="0"/>
                    <w:contextualSpacing w:val="0"/>
                    <w:rPr>
                      <w:b/>
                      <w:sz w:val="20"/>
                      <w:szCs w:val="20"/>
                      <w:lang w:val="en-US"/>
                    </w:rPr>
                  </w:pPr>
                  <w:r w:rsidRPr="002E60EB">
                    <w:rPr>
                      <w:b/>
                      <w:sz w:val="20"/>
                      <w:szCs w:val="20"/>
                      <w:lang w:val="en-US"/>
                    </w:rPr>
                    <w:t>PROVEN FACTS</w:t>
                  </w:r>
                </w:p>
                <w:p w:rsidR="00F80823" w:rsidRPr="002E60EB" w:rsidRDefault="00F80823" w:rsidP="00276E39">
                  <w:pPr>
                    <w:tabs>
                      <w:tab w:val="left" w:pos="1066"/>
                    </w:tabs>
                    <w:ind w:left="720"/>
                    <w:rPr>
                      <w:lang w:val="en-US"/>
                    </w:rPr>
                  </w:pPr>
                  <w:r w:rsidRPr="002E60EB">
                    <w:rPr>
                      <w:lang w:val="en-US"/>
                    </w:rPr>
                    <w:t>A)</w:t>
                  </w:r>
                  <w:r w:rsidRPr="002E60EB">
                    <w:rPr>
                      <w:lang w:val="en-US"/>
                    </w:rPr>
                    <w:tab/>
                    <w:t>Attack against Mr. Vélez Restrepo on August 29, 1996</w:t>
                  </w:r>
                </w:p>
                <w:p w:rsidR="00F80823" w:rsidRPr="002E60EB" w:rsidRDefault="00F80823" w:rsidP="00276E39">
                  <w:pPr>
                    <w:pStyle w:val="Prrafodelista"/>
                    <w:tabs>
                      <w:tab w:val="left" w:pos="720"/>
                      <w:tab w:val="left" w:pos="1066"/>
                    </w:tabs>
                    <w:rPr>
                      <w:sz w:val="20"/>
                      <w:szCs w:val="20"/>
                      <w:lang w:val="en-US"/>
                    </w:rPr>
                  </w:pPr>
                  <w:r w:rsidRPr="002E60EB">
                    <w:rPr>
                      <w:sz w:val="20"/>
                      <w:szCs w:val="20"/>
                      <w:lang w:val="en-US"/>
                    </w:rPr>
                    <w:t>B)</w:t>
                  </w:r>
                  <w:r w:rsidRPr="002E60EB">
                    <w:rPr>
                      <w:sz w:val="20"/>
                      <w:szCs w:val="20"/>
                      <w:lang w:val="en-US"/>
                    </w:rPr>
                    <w:tab/>
                    <w:t>Facts subsequent to the attack of August 29, 1996</w:t>
                  </w:r>
                </w:p>
                <w:p w:rsidR="00F80823" w:rsidRPr="002E60EB" w:rsidRDefault="00F80823" w:rsidP="00276E39">
                  <w:pPr>
                    <w:pStyle w:val="Prrafodelista"/>
                    <w:tabs>
                      <w:tab w:val="left" w:pos="720"/>
                      <w:tab w:val="left" w:pos="1066"/>
                    </w:tabs>
                    <w:rPr>
                      <w:sz w:val="20"/>
                      <w:szCs w:val="20"/>
                      <w:lang w:val="en-US"/>
                    </w:rPr>
                  </w:pPr>
                  <w:r w:rsidRPr="002E60EB">
                    <w:rPr>
                      <w:sz w:val="20"/>
                      <w:szCs w:val="20"/>
                      <w:lang w:val="en-US"/>
                    </w:rPr>
                    <w:t>C)</w:t>
                  </w:r>
                  <w:r w:rsidRPr="002E60EB">
                    <w:rPr>
                      <w:sz w:val="20"/>
                      <w:szCs w:val="20"/>
                      <w:lang w:val="en-US"/>
                    </w:rPr>
                    <w:tab/>
                    <w:t>Facts relating to the domestic investigations and the pre-trial administrative conciliation procedure</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77-122</w:t>
                  </w:r>
                </w:p>
                <w:p w:rsidR="00F80823" w:rsidRPr="002E60EB" w:rsidRDefault="00F80823" w:rsidP="00276E39">
                  <w:pPr>
                    <w:tabs>
                      <w:tab w:val="left" w:pos="720"/>
                    </w:tabs>
                    <w:jc w:val="center"/>
                    <w:rPr>
                      <w:lang w:val="en-US" w:eastAsia="es-ES"/>
                    </w:rPr>
                  </w:pPr>
                  <w:r w:rsidRPr="002E60EB">
                    <w:rPr>
                      <w:lang w:val="en-US" w:eastAsia="es-ES"/>
                    </w:rPr>
                    <w:t>77-83</w:t>
                  </w:r>
                </w:p>
                <w:p w:rsidR="00F80823" w:rsidRPr="002E60EB" w:rsidRDefault="00F80823" w:rsidP="00276E39">
                  <w:pPr>
                    <w:tabs>
                      <w:tab w:val="left" w:pos="720"/>
                    </w:tabs>
                    <w:jc w:val="center"/>
                    <w:rPr>
                      <w:lang w:val="en-US" w:eastAsia="es-ES"/>
                    </w:rPr>
                  </w:pPr>
                  <w:r w:rsidRPr="002E60EB">
                    <w:rPr>
                      <w:lang w:val="en-US" w:eastAsia="es-ES"/>
                    </w:rPr>
                    <w:t>84-97</w:t>
                  </w:r>
                </w:p>
                <w:p w:rsidR="00F80823" w:rsidRPr="002E60EB" w:rsidRDefault="00F80823" w:rsidP="00276E39">
                  <w:pPr>
                    <w:tabs>
                      <w:tab w:val="left" w:pos="720"/>
                    </w:tabs>
                    <w:jc w:val="center"/>
                    <w:rPr>
                      <w:lang w:val="en-US" w:eastAsia="es-ES"/>
                    </w:rPr>
                  </w:pPr>
                  <w:r w:rsidRPr="002E60EB">
                    <w:rPr>
                      <w:lang w:val="en-US" w:eastAsia="es-ES"/>
                    </w:rPr>
                    <w:t>98-122</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0" w:firstLine="0"/>
                    <w:contextualSpacing w:val="0"/>
                    <w:rPr>
                      <w:b/>
                      <w:sz w:val="20"/>
                      <w:szCs w:val="20"/>
                      <w:lang w:val="en-US"/>
                    </w:rPr>
                  </w:pPr>
                  <w:r w:rsidRPr="002E60EB">
                    <w:rPr>
                      <w:b/>
                      <w:caps/>
                      <w:sz w:val="20"/>
                      <w:szCs w:val="20"/>
                      <w:lang w:val="en-US"/>
                    </w:rPr>
                    <w:t xml:space="preserve">RIGHTS TO personal integrity AND TO freedom of thought and expression, IN RELATION TO THE OBLIGATION TO RESPECT AND GUARANTEE RIGHTS </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123-215</w:t>
                  </w:r>
                </w:p>
              </w:tc>
            </w:tr>
            <w:tr w:rsidR="00F80823" w:rsidRPr="002E60EB" w:rsidTr="00276E39">
              <w:trPr>
                <w:trHeight w:val="20"/>
              </w:trPr>
              <w:tc>
                <w:tcPr>
                  <w:tcW w:w="4335" w:type="pct"/>
                </w:tcPr>
                <w:p w:rsidR="00F80823" w:rsidRPr="002E60EB" w:rsidRDefault="00F80823" w:rsidP="00276E39">
                  <w:pPr>
                    <w:tabs>
                      <w:tab w:val="left" w:pos="720"/>
                    </w:tabs>
                    <w:ind w:left="720"/>
                    <w:rPr>
                      <w:lang w:val="en-US"/>
                    </w:rPr>
                  </w:pPr>
                  <w:r w:rsidRPr="002E60EB">
                    <w:rPr>
                      <w:lang w:val="en-US"/>
                    </w:rPr>
                    <w:t>A) General considerations of the Court</w:t>
                  </w:r>
                </w:p>
                <w:p w:rsidR="00F80823" w:rsidRPr="002E60EB" w:rsidRDefault="00F80823" w:rsidP="00276E39">
                  <w:pPr>
                    <w:tabs>
                      <w:tab w:val="left" w:pos="720"/>
                    </w:tabs>
                    <w:ind w:left="720"/>
                    <w:rPr>
                      <w:lang w:val="en-US"/>
                    </w:rPr>
                  </w:pPr>
                  <w:r w:rsidRPr="002E60EB">
                    <w:rPr>
                      <w:lang w:val="en-US"/>
                    </w:rPr>
                    <w:t xml:space="preserve">B) The facts </w:t>
                  </w:r>
                  <w:r w:rsidR="00C024E1" w:rsidRPr="002E60EB">
                    <w:rPr>
                      <w:lang w:val="en-US"/>
                    </w:rPr>
                    <w:t xml:space="preserve">concerning </w:t>
                  </w:r>
                  <w:r w:rsidRPr="002E60EB">
                    <w:rPr>
                      <w:lang w:val="en-US"/>
                    </w:rPr>
                    <w:t>the attack on August 29, 1996</w:t>
                  </w:r>
                </w:p>
                <w:p w:rsidR="00F80823" w:rsidRPr="002E60EB" w:rsidRDefault="00F80823" w:rsidP="00276E39">
                  <w:pPr>
                    <w:tabs>
                      <w:tab w:val="left" w:pos="720"/>
                    </w:tabs>
                    <w:autoSpaceDE w:val="0"/>
                    <w:autoSpaceDN w:val="0"/>
                    <w:adjustRightInd w:val="0"/>
                    <w:ind w:left="1080"/>
                    <w:rPr>
                      <w:lang w:val="en-US"/>
                    </w:rPr>
                  </w:pPr>
                  <w:r w:rsidRPr="002E60EB">
                    <w:rPr>
                      <w:lang w:val="en-US"/>
                    </w:rPr>
                    <w:t>B.1) Violation of the right to personal integrity</w:t>
                  </w:r>
                </w:p>
                <w:p w:rsidR="00F80823" w:rsidRPr="002E60EB" w:rsidRDefault="00F80823" w:rsidP="00276E39">
                  <w:pPr>
                    <w:tabs>
                      <w:tab w:val="left" w:pos="720"/>
                    </w:tabs>
                    <w:ind w:left="1080"/>
                    <w:rPr>
                      <w:lang w:val="en-US"/>
                    </w:rPr>
                  </w:pPr>
                  <w:r w:rsidRPr="002E60EB">
                    <w:rPr>
                      <w:lang w:val="en-US"/>
                    </w:rPr>
                    <w:t>B.2) Violation of the right to freedom of thought and expression</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123-126</w:t>
                  </w:r>
                </w:p>
                <w:p w:rsidR="00F80823" w:rsidRPr="002E60EB" w:rsidRDefault="00F80823" w:rsidP="00276E39">
                  <w:pPr>
                    <w:tabs>
                      <w:tab w:val="left" w:pos="720"/>
                    </w:tabs>
                    <w:jc w:val="center"/>
                    <w:rPr>
                      <w:lang w:val="en-US" w:eastAsia="es-ES"/>
                    </w:rPr>
                  </w:pPr>
                  <w:r w:rsidRPr="002E60EB">
                    <w:rPr>
                      <w:lang w:val="en-US" w:eastAsia="es-ES"/>
                    </w:rPr>
                    <w:t>127-149</w:t>
                  </w:r>
                </w:p>
                <w:p w:rsidR="00F80823" w:rsidRPr="002E60EB" w:rsidRDefault="00F80823" w:rsidP="00276E39">
                  <w:pPr>
                    <w:tabs>
                      <w:tab w:val="left" w:pos="720"/>
                    </w:tabs>
                    <w:jc w:val="center"/>
                    <w:rPr>
                      <w:lang w:val="en-US" w:eastAsia="es-ES"/>
                    </w:rPr>
                  </w:pPr>
                  <w:r w:rsidRPr="002E60EB">
                    <w:rPr>
                      <w:lang w:val="en-US" w:eastAsia="es-ES"/>
                    </w:rPr>
                    <w:t>127-135</w:t>
                  </w:r>
                </w:p>
                <w:p w:rsidR="00F80823" w:rsidRPr="002E60EB" w:rsidRDefault="00F80823" w:rsidP="00276E39">
                  <w:pPr>
                    <w:tabs>
                      <w:tab w:val="left" w:pos="720"/>
                    </w:tabs>
                    <w:jc w:val="center"/>
                    <w:rPr>
                      <w:lang w:val="en-US" w:eastAsia="es-ES"/>
                    </w:rPr>
                  </w:pPr>
                  <w:r w:rsidRPr="002E60EB">
                    <w:rPr>
                      <w:lang w:val="en-US" w:eastAsia="es-ES"/>
                    </w:rPr>
                    <w:t>136-149</w:t>
                  </w:r>
                </w:p>
              </w:tc>
            </w:tr>
            <w:tr w:rsidR="00F80823" w:rsidRPr="002E60EB" w:rsidTr="00276E39">
              <w:trPr>
                <w:trHeight w:val="20"/>
              </w:trPr>
              <w:tc>
                <w:tcPr>
                  <w:tcW w:w="4335" w:type="pct"/>
                </w:tcPr>
                <w:p w:rsidR="00F80823" w:rsidRPr="002E60EB" w:rsidRDefault="00F80823" w:rsidP="00276E39">
                  <w:pPr>
                    <w:pStyle w:val="Prrafodelista"/>
                    <w:tabs>
                      <w:tab w:val="left" w:pos="720"/>
                    </w:tabs>
                    <w:autoSpaceDE w:val="0"/>
                    <w:autoSpaceDN w:val="0"/>
                    <w:adjustRightInd w:val="0"/>
                    <w:rPr>
                      <w:sz w:val="20"/>
                      <w:szCs w:val="20"/>
                      <w:lang w:val="en-US"/>
                    </w:rPr>
                  </w:pPr>
                  <w:r w:rsidRPr="002E60EB">
                    <w:rPr>
                      <w:sz w:val="20"/>
                      <w:szCs w:val="20"/>
                      <w:lang w:val="en-US"/>
                    </w:rPr>
                    <w:t xml:space="preserve">C) Regarding events after the attack on August 29, 1996 </w:t>
                  </w:r>
                </w:p>
                <w:p w:rsidR="00F80823" w:rsidRPr="002E60EB" w:rsidRDefault="00F80823" w:rsidP="00276E39">
                  <w:pPr>
                    <w:tabs>
                      <w:tab w:val="left" w:pos="1530"/>
                    </w:tabs>
                    <w:autoSpaceDE w:val="0"/>
                    <w:autoSpaceDN w:val="0"/>
                    <w:adjustRightInd w:val="0"/>
                    <w:ind w:left="1080"/>
                    <w:jc w:val="both"/>
                    <w:rPr>
                      <w:lang w:val="en-US"/>
                    </w:rPr>
                  </w:pPr>
                  <w:r w:rsidRPr="002E60EB">
                    <w:rPr>
                      <w:lang w:val="en-US"/>
                    </w:rPr>
                    <w:t>C.1) Obligation to respect the right to personal integrity in relation to the threats, harassment, and attempted arbitrary deprivation of liberty</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150-215</w:t>
                  </w:r>
                </w:p>
                <w:p w:rsidR="00F80823" w:rsidRPr="002E60EB" w:rsidRDefault="00F80823" w:rsidP="00276E39">
                  <w:pPr>
                    <w:tabs>
                      <w:tab w:val="left" w:pos="720"/>
                    </w:tabs>
                    <w:jc w:val="center"/>
                    <w:rPr>
                      <w:lang w:val="en-US" w:eastAsia="es-ES"/>
                    </w:rPr>
                  </w:pPr>
                  <w:r w:rsidRPr="002E60EB">
                    <w:rPr>
                      <w:lang w:val="en-US" w:eastAsia="es-ES"/>
                    </w:rPr>
                    <w:t>152-182</w:t>
                  </w:r>
                </w:p>
              </w:tc>
            </w:tr>
            <w:tr w:rsidR="00F80823" w:rsidRPr="002E60EB" w:rsidTr="00276E39">
              <w:trPr>
                <w:trHeight w:val="20"/>
              </w:trPr>
              <w:tc>
                <w:tcPr>
                  <w:tcW w:w="4335" w:type="pct"/>
                </w:tcPr>
                <w:p w:rsidR="00F80823" w:rsidRPr="002E60EB" w:rsidRDefault="00F80823" w:rsidP="00276E39">
                  <w:pPr>
                    <w:tabs>
                      <w:tab w:val="left" w:pos="709"/>
                    </w:tabs>
                    <w:ind w:left="1440"/>
                    <w:jc w:val="both"/>
                    <w:rPr>
                      <w:rFonts w:cs="Arial"/>
                      <w:lang w:val="en-US"/>
                    </w:rPr>
                  </w:pPr>
                  <w:r w:rsidRPr="002E60EB">
                    <w:rPr>
                      <w:rFonts w:cs="Arial"/>
                      <w:lang w:val="en-US"/>
                    </w:rPr>
                    <w:t>C.1.a) Regarding</w:t>
                  </w:r>
                  <w:r w:rsidR="00C024E1" w:rsidRPr="002E60EB">
                    <w:rPr>
                      <w:rFonts w:cs="Arial"/>
                      <w:lang w:val="en-US"/>
                    </w:rPr>
                    <w:t xml:space="preserve"> the evidence to consider proved</w:t>
                  </w:r>
                  <w:r w:rsidRPr="002E60EB">
                    <w:rPr>
                      <w:rFonts w:cs="Arial"/>
                      <w:lang w:val="en-US"/>
                    </w:rPr>
                    <w:t xml:space="preserve"> the threats and harassment</w:t>
                  </w:r>
                </w:p>
                <w:p w:rsidR="00F80823" w:rsidRPr="002E60EB" w:rsidRDefault="00F80823" w:rsidP="00276E39">
                  <w:pPr>
                    <w:ind w:left="1440"/>
                    <w:jc w:val="both"/>
                    <w:rPr>
                      <w:rFonts w:cs="Arial"/>
                      <w:lang w:val="en-US"/>
                    </w:rPr>
                  </w:pPr>
                  <w:r w:rsidRPr="002E60EB">
                    <w:rPr>
                      <w:rFonts w:cs="Arial"/>
                      <w:lang w:val="en-US"/>
                    </w:rPr>
                    <w:t>C.1.b) Regarding</w:t>
                  </w:r>
                  <w:r w:rsidR="00C024E1" w:rsidRPr="002E60EB">
                    <w:rPr>
                      <w:rFonts w:cs="Arial"/>
                      <w:lang w:val="en-US"/>
                    </w:rPr>
                    <w:t xml:space="preserve"> the evidence to consider proved</w:t>
                  </w:r>
                  <w:r w:rsidRPr="002E60EB">
                    <w:rPr>
                      <w:rFonts w:cs="Arial"/>
                      <w:lang w:val="en-US"/>
                    </w:rPr>
                    <w:t xml:space="preserve"> the attempted arbitrary deprivation of liberty</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157-160</w:t>
                  </w:r>
                </w:p>
                <w:p w:rsidR="00F80823" w:rsidRPr="002E60EB" w:rsidRDefault="00F80823" w:rsidP="00276E39">
                  <w:pPr>
                    <w:tabs>
                      <w:tab w:val="left" w:pos="720"/>
                    </w:tabs>
                    <w:jc w:val="center"/>
                    <w:rPr>
                      <w:lang w:val="en-US" w:eastAsia="es-ES"/>
                    </w:rPr>
                  </w:pPr>
                </w:p>
                <w:p w:rsidR="00F80823" w:rsidRPr="002E60EB" w:rsidRDefault="00F80823" w:rsidP="00276E39">
                  <w:pPr>
                    <w:tabs>
                      <w:tab w:val="left" w:pos="720"/>
                    </w:tabs>
                    <w:jc w:val="center"/>
                    <w:rPr>
                      <w:lang w:val="en-US" w:eastAsia="es-ES"/>
                    </w:rPr>
                  </w:pPr>
                  <w:r w:rsidRPr="002E60EB">
                    <w:rPr>
                      <w:lang w:val="en-US" w:eastAsia="es-ES"/>
                    </w:rPr>
                    <w:t>161-163</w:t>
                  </w:r>
                </w:p>
                <w:p w:rsidR="00F80823" w:rsidRPr="002E60EB" w:rsidRDefault="00F80823" w:rsidP="00276E39">
                  <w:pPr>
                    <w:tabs>
                      <w:tab w:val="left" w:pos="720"/>
                    </w:tabs>
                    <w:jc w:val="center"/>
                    <w:rPr>
                      <w:lang w:val="en-US" w:eastAsia="es-ES"/>
                    </w:rPr>
                  </w:pPr>
                </w:p>
              </w:tc>
            </w:tr>
            <w:tr w:rsidR="00F80823" w:rsidRPr="002E60EB" w:rsidTr="00276E39">
              <w:trPr>
                <w:trHeight w:val="20"/>
              </w:trPr>
              <w:tc>
                <w:tcPr>
                  <w:tcW w:w="4335" w:type="pct"/>
                </w:tcPr>
                <w:p w:rsidR="00F80823" w:rsidRPr="002E60EB" w:rsidRDefault="00F80823" w:rsidP="00276E39">
                  <w:pPr>
                    <w:ind w:left="1440"/>
                    <w:rPr>
                      <w:lang w:val="en-US"/>
                    </w:rPr>
                  </w:pPr>
                  <w:r w:rsidRPr="002E60EB">
                    <w:rPr>
                      <w:lang w:val="en-US"/>
                    </w:rPr>
                    <w:t>C.1.c) Determination of the State’s responsibility for the threats, harassment and attempted deprivation of liberty</w:t>
                  </w:r>
                </w:p>
                <w:p w:rsidR="00F80823" w:rsidRPr="002E60EB" w:rsidRDefault="00F80823" w:rsidP="00276E39">
                  <w:pPr>
                    <w:ind w:left="1440"/>
                    <w:rPr>
                      <w:lang w:val="en-US"/>
                    </w:rPr>
                  </w:pPr>
                  <w:r w:rsidRPr="002E60EB">
                    <w:rPr>
                      <w:lang w:val="en-US"/>
                    </w:rPr>
                    <w:t>C.1.d) Alleged violation of Article 5(1) of the Convention Americana</w:t>
                  </w:r>
                </w:p>
                <w:p w:rsidR="00F80823" w:rsidRPr="002E60EB" w:rsidRDefault="00F80823" w:rsidP="00276E39">
                  <w:pPr>
                    <w:ind w:left="1440"/>
                    <w:rPr>
                      <w:lang w:val="en-US"/>
                    </w:rPr>
                  </w:pPr>
                  <w:r w:rsidRPr="002E60EB">
                    <w:rPr>
                      <w:lang w:val="en-US"/>
                    </w:rPr>
                    <w:t>C.1.e) Alleged violation of Article 4(1) (Right to Life) of the Convention</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164-175</w:t>
                  </w:r>
                </w:p>
                <w:p w:rsidR="00F80823" w:rsidRPr="002E60EB" w:rsidRDefault="00F80823" w:rsidP="00276E39">
                  <w:pPr>
                    <w:tabs>
                      <w:tab w:val="left" w:pos="720"/>
                    </w:tabs>
                    <w:jc w:val="center"/>
                    <w:rPr>
                      <w:lang w:val="en-US" w:eastAsia="es-ES"/>
                    </w:rPr>
                  </w:pPr>
                </w:p>
                <w:p w:rsidR="00F80823" w:rsidRPr="002E60EB" w:rsidRDefault="00F80823" w:rsidP="00276E39">
                  <w:pPr>
                    <w:tabs>
                      <w:tab w:val="left" w:pos="720"/>
                    </w:tabs>
                    <w:jc w:val="center"/>
                    <w:rPr>
                      <w:lang w:val="en-US" w:eastAsia="es-ES"/>
                    </w:rPr>
                  </w:pPr>
                  <w:r w:rsidRPr="002E60EB">
                    <w:rPr>
                      <w:lang w:val="en-US" w:eastAsia="es-ES"/>
                    </w:rPr>
                    <w:t>176-181</w:t>
                  </w:r>
                </w:p>
                <w:p w:rsidR="00F80823" w:rsidRPr="002E60EB" w:rsidRDefault="00F80823" w:rsidP="00276E39">
                  <w:pPr>
                    <w:tabs>
                      <w:tab w:val="left" w:pos="720"/>
                    </w:tabs>
                    <w:jc w:val="center"/>
                    <w:rPr>
                      <w:lang w:val="en-US" w:eastAsia="es-ES"/>
                    </w:rPr>
                  </w:pPr>
                  <w:r w:rsidRPr="002E60EB">
                    <w:rPr>
                      <w:lang w:val="en-US" w:eastAsia="es-ES"/>
                    </w:rPr>
                    <w:t>182</w:t>
                  </w:r>
                </w:p>
              </w:tc>
            </w:tr>
            <w:tr w:rsidR="00F80823" w:rsidRPr="002E60EB" w:rsidTr="00276E39">
              <w:trPr>
                <w:trHeight w:val="20"/>
              </w:trPr>
              <w:tc>
                <w:tcPr>
                  <w:tcW w:w="4335" w:type="pct"/>
                </w:tcPr>
                <w:p w:rsidR="00F80823" w:rsidRPr="002E60EB" w:rsidRDefault="00F80823" w:rsidP="00276E39">
                  <w:pPr>
                    <w:tabs>
                      <w:tab w:val="left" w:pos="1080"/>
                    </w:tabs>
                    <w:autoSpaceDE w:val="0"/>
                    <w:autoSpaceDN w:val="0"/>
                    <w:adjustRightInd w:val="0"/>
                    <w:ind w:left="1080"/>
                    <w:rPr>
                      <w:lang w:val="en-US"/>
                    </w:rPr>
                  </w:pPr>
                  <w:r w:rsidRPr="002E60EB">
                    <w:rPr>
                      <w:lang w:val="en-US"/>
                    </w:rPr>
                    <w:t>C.2) Obligation to guarantee the right to personal integrity of Mr. Vélez Restrepo, his wife and children</w:t>
                  </w:r>
                  <w:r w:rsidR="00C024E1" w:rsidRPr="002E60EB">
                    <w:rPr>
                      <w:lang w:val="en-US"/>
                    </w:rPr>
                    <w:t>,</w:t>
                  </w:r>
                  <w:r w:rsidRPr="002E60EB">
                    <w:rPr>
                      <w:lang w:val="en-US"/>
                    </w:rPr>
                    <w:t xml:space="preserve"> by the investigation and the adoption of measures of protection </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183-205</w:t>
                  </w:r>
                </w:p>
              </w:tc>
            </w:tr>
            <w:tr w:rsidR="00F80823" w:rsidRPr="002E60EB" w:rsidTr="00276E39">
              <w:trPr>
                <w:trHeight w:val="20"/>
              </w:trPr>
              <w:tc>
                <w:tcPr>
                  <w:tcW w:w="4335" w:type="pct"/>
                </w:tcPr>
                <w:p w:rsidR="00F80823" w:rsidRPr="002E60EB" w:rsidRDefault="00F80823" w:rsidP="00276E39">
                  <w:pPr>
                    <w:tabs>
                      <w:tab w:val="left" w:pos="1080"/>
                    </w:tabs>
                    <w:autoSpaceDE w:val="0"/>
                    <w:autoSpaceDN w:val="0"/>
                    <w:adjustRightInd w:val="0"/>
                    <w:ind w:left="1080"/>
                    <w:rPr>
                      <w:lang w:val="en-US"/>
                    </w:rPr>
                  </w:pPr>
                  <w:r w:rsidRPr="002E60EB">
                    <w:rPr>
                      <w:lang w:val="en-US"/>
                    </w:rPr>
                    <w:t>C.3) Violation of the right to freedom of thought and expression of Mr. Vélez Restrepo</w:t>
                  </w:r>
                </w:p>
                <w:p w:rsidR="00F80823" w:rsidRPr="002E60EB" w:rsidRDefault="00F80823" w:rsidP="00276E39">
                  <w:pPr>
                    <w:tabs>
                      <w:tab w:val="left" w:pos="1080"/>
                      <w:tab w:val="left" w:pos="1530"/>
                    </w:tabs>
                    <w:autoSpaceDE w:val="0"/>
                    <w:autoSpaceDN w:val="0"/>
                    <w:adjustRightInd w:val="0"/>
                    <w:ind w:left="1080"/>
                    <w:rPr>
                      <w:rFonts w:cs="Arial"/>
                      <w:lang w:val="en-US"/>
                    </w:rPr>
                  </w:pPr>
                </w:p>
              </w:tc>
              <w:tc>
                <w:tcPr>
                  <w:tcW w:w="665" w:type="pct"/>
                </w:tcPr>
                <w:p w:rsidR="00F80823" w:rsidRPr="002E60EB" w:rsidRDefault="00F80823" w:rsidP="00276E39">
                  <w:pPr>
                    <w:tabs>
                      <w:tab w:val="left" w:pos="720"/>
                    </w:tabs>
                    <w:rPr>
                      <w:lang w:val="en-US" w:eastAsia="es-ES"/>
                    </w:rPr>
                  </w:pPr>
                  <w:r w:rsidRPr="002E60EB">
                    <w:rPr>
                      <w:lang w:val="en-US" w:eastAsia="es-ES"/>
                    </w:rPr>
                    <w:lastRenderedPageBreak/>
                    <w:t xml:space="preserve">  206-215</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0" w:firstLine="0"/>
                    <w:contextualSpacing w:val="0"/>
                    <w:rPr>
                      <w:rFonts w:cs="Verdana"/>
                      <w:b/>
                      <w:bCs/>
                      <w:caps/>
                      <w:sz w:val="20"/>
                      <w:szCs w:val="20"/>
                      <w:lang w:val="en-US"/>
                    </w:rPr>
                  </w:pPr>
                  <w:r w:rsidRPr="002E60EB">
                    <w:rPr>
                      <w:b/>
                      <w:sz w:val="20"/>
                      <w:szCs w:val="20"/>
                      <w:lang w:val="en-US"/>
                    </w:rPr>
                    <w:lastRenderedPageBreak/>
                    <w:t xml:space="preserve">RIGHT TO FREEDOM OF MOVEMENT AND RESIDENCE, RIGHTS OF THE FAMILY, AND RIGHTS OF THE CHILD, IN RELATION TO THE OBLIGATION TO RESPECT AND GUARANTEE THE RIGHTS </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216-232</w:t>
                  </w:r>
                </w:p>
              </w:tc>
            </w:tr>
            <w:tr w:rsidR="00F80823" w:rsidRPr="002E60EB" w:rsidTr="00276E39">
              <w:trPr>
                <w:trHeight w:val="20"/>
              </w:trPr>
              <w:tc>
                <w:tcPr>
                  <w:tcW w:w="4335" w:type="pct"/>
                </w:tcPr>
                <w:p w:rsidR="00F80823" w:rsidRPr="002E60EB" w:rsidRDefault="00F80823" w:rsidP="00F80823">
                  <w:pPr>
                    <w:pStyle w:val="Prrafodelista"/>
                    <w:numPr>
                      <w:ilvl w:val="0"/>
                      <w:numId w:val="32"/>
                    </w:numPr>
                    <w:tabs>
                      <w:tab w:val="left" w:pos="1066"/>
                    </w:tabs>
                    <w:ind w:firstLine="0"/>
                    <w:rPr>
                      <w:sz w:val="20"/>
                      <w:szCs w:val="20"/>
                      <w:lang w:val="en-US"/>
                    </w:rPr>
                  </w:pPr>
                  <w:r w:rsidRPr="002E60EB">
                    <w:rPr>
                      <w:sz w:val="20"/>
                      <w:szCs w:val="20"/>
                      <w:lang w:val="en-US"/>
                    </w:rPr>
                    <w:t>Observations of the Commission and arguments of the parties</w:t>
                  </w:r>
                </w:p>
                <w:p w:rsidR="00F80823" w:rsidRPr="002E60EB" w:rsidRDefault="00F80823" w:rsidP="00F80823">
                  <w:pPr>
                    <w:pStyle w:val="Prrafodelista"/>
                    <w:numPr>
                      <w:ilvl w:val="0"/>
                      <w:numId w:val="32"/>
                    </w:numPr>
                    <w:tabs>
                      <w:tab w:val="left" w:pos="1066"/>
                    </w:tabs>
                    <w:ind w:firstLine="0"/>
                    <w:rPr>
                      <w:sz w:val="20"/>
                      <w:szCs w:val="20"/>
                      <w:lang w:val="en-US"/>
                    </w:rPr>
                  </w:pPr>
                  <w:r w:rsidRPr="002E60EB">
                    <w:rPr>
                      <w:sz w:val="20"/>
                      <w:szCs w:val="20"/>
                      <w:lang w:val="en-US"/>
                    </w:rPr>
                    <w:t>Considerations of the Court</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216-218</w:t>
                  </w:r>
                </w:p>
                <w:p w:rsidR="00F80823" w:rsidRPr="002E60EB" w:rsidRDefault="00F80823" w:rsidP="00276E39">
                  <w:pPr>
                    <w:tabs>
                      <w:tab w:val="left" w:pos="720"/>
                    </w:tabs>
                    <w:jc w:val="center"/>
                    <w:rPr>
                      <w:lang w:val="en-US" w:eastAsia="es-ES"/>
                    </w:rPr>
                  </w:pPr>
                  <w:r w:rsidRPr="002E60EB">
                    <w:rPr>
                      <w:lang w:val="en-US" w:eastAsia="es-ES"/>
                    </w:rPr>
                    <w:t>219-232</w:t>
                  </w:r>
                </w:p>
              </w:tc>
            </w:tr>
            <w:tr w:rsidR="00F80823" w:rsidRPr="002E60EB" w:rsidTr="00276E39">
              <w:trPr>
                <w:trHeight w:val="20"/>
              </w:trPr>
              <w:tc>
                <w:tcPr>
                  <w:tcW w:w="4335" w:type="pct"/>
                </w:tcPr>
                <w:p w:rsidR="00F80823" w:rsidRPr="002E60EB" w:rsidRDefault="00F80823" w:rsidP="00276E39">
                  <w:pPr>
                    <w:ind w:left="990"/>
                    <w:rPr>
                      <w:lang w:val="en-US"/>
                    </w:rPr>
                  </w:pPr>
                  <w:r w:rsidRPr="002E60EB">
                    <w:rPr>
                      <w:lang w:val="en-US"/>
                    </w:rPr>
                    <w:t>B.1)</w:t>
                  </w:r>
                  <w:r w:rsidRPr="002E60EB">
                    <w:rPr>
                      <w:lang w:val="en-US"/>
                    </w:rPr>
                    <w:tab/>
                    <w:t>Freedom of movement and residence</w:t>
                  </w:r>
                </w:p>
                <w:p w:rsidR="00F80823" w:rsidRPr="002E60EB" w:rsidRDefault="00F80823" w:rsidP="00276E39">
                  <w:pPr>
                    <w:keepNext/>
                    <w:ind w:left="990"/>
                    <w:rPr>
                      <w:rFonts w:eastAsia="Calibri"/>
                      <w:lang w:val="en-US"/>
                    </w:rPr>
                  </w:pPr>
                  <w:r w:rsidRPr="002E60EB">
                    <w:rPr>
                      <w:rFonts w:eastAsia="Calibri"/>
                      <w:lang w:val="en-US"/>
                    </w:rPr>
                    <w:t>B.2)</w:t>
                  </w:r>
                  <w:r w:rsidRPr="002E60EB">
                    <w:rPr>
                      <w:rFonts w:eastAsia="Calibri"/>
                      <w:lang w:val="en-US"/>
                    </w:rPr>
                    <w:tab/>
                    <w:t xml:space="preserve">Protection of the family and rights of the child </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220-224</w:t>
                  </w:r>
                </w:p>
                <w:p w:rsidR="00F80823" w:rsidRPr="002E60EB" w:rsidRDefault="00F80823" w:rsidP="00276E39">
                  <w:pPr>
                    <w:tabs>
                      <w:tab w:val="left" w:pos="720"/>
                    </w:tabs>
                    <w:jc w:val="center"/>
                    <w:rPr>
                      <w:lang w:val="en-US" w:eastAsia="es-ES"/>
                    </w:rPr>
                  </w:pPr>
                  <w:r w:rsidRPr="002E60EB">
                    <w:rPr>
                      <w:lang w:val="en-US" w:eastAsia="es-ES"/>
                    </w:rPr>
                    <w:t>225-232</w:t>
                  </w:r>
                </w:p>
              </w:tc>
            </w:tr>
            <w:tr w:rsidR="00F80823" w:rsidRPr="002E60EB" w:rsidTr="00276E39">
              <w:trPr>
                <w:trHeight w:val="20"/>
              </w:trPr>
              <w:tc>
                <w:tcPr>
                  <w:tcW w:w="4335" w:type="pct"/>
                </w:tcPr>
                <w:p w:rsidR="00F80823" w:rsidRPr="002E60EB" w:rsidRDefault="00F80823" w:rsidP="00F80823">
                  <w:pPr>
                    <w:pStyle w:val="Prrafodelista"/>
                    <w:numPr>
                      <w:ilvl w:val="0"/>
                      <w:numId w:val="3"/>
                    </w:numPr>
                    <w:tabs>
                      <w:tab w:val="left" w:pos="720"/>
                    </w:tabs>
                    <w:ind w:left="0" w:firstLine="0"/>
                    <w:contextualSpacing w:val="0"/>
                    <w:rPr>
                      <w:rFonts w:cs="Verdana"/>
                      <w:b/>
                      <w:bCs/>
                      <w:caps/>
                      <w:sz w:val="20"/>
                      <w:szCs w:val="20"/>
                      <w:lang w:val="en-US"/>
                    </w:rPr>
                  </w:pPr>
                  <w:r w:rsidRPr="002E60EB">
                    <w:rPr>
                      <w:rFonts w:cs="Verdana"/>
                      <w:b/>
                      <w:bCs/>
                      <w:caps/>
                      <w:sz w:val="20"/>
                      <w:szCs w:val="20"/>
                      <w:lang w:val="en-US"/>
                    </w:rPr>
                    <w:t xml:space="preserve">RIGHT TO JUDICIAL GUARANTEES AND JUDICIAL PROTECTION, </w:t>
                  </w:r>
                  <w:r w:rsidRPr="002E60EB">
                    <w:rPr>
                      <w:b/>
                      <w:sz w:val="20"/>
                      <w:szCs w:val="20"/>
                      <w:lang w:val="en-US"/>
                    </w:rPr>
                    <w:t>IN RELATION TO THE OBLIGATION TO RESPECT AND GUARANTEE THE RIGHTS</w:t>
                  </w:r>
                </w:p>
              </w:tc>
              <w:tc>
                <w:tcPr>
                  <w:tcW w:w="665" w:type="pct"/>
                </w:tcPr>
                <w:p w:rsidR="00F80823" w:rsidRPr="002E60EB" w:rsidRDefault="00F80823" w:rsidP="00276E39">
                  <w:pPr>
                    <w:tabs>
                      <w:tab w:val="left" w:pos="720"/>
                    </w:tabs>
                    <w:jc w:val="center"/>
                    <w:rPr>
                      <w:lang w:val="en-US" w:eastAsia="es-ES"/>
                    </w:rPr>
                  </w:pPr>
                </w:p>
                <w:p w:rsidR="00F80823" w:rsidRPr="002E60EB" w:rsidRDefault="00F80823" w:rsidP="00276E39">
                  <w:pPr>
                    <w:tabs>
                      <w:tab w:val="left" w:pos="720"/>
                    </w:tabs>
                    <w:jc w:val="center"/>
                    <w:rPr>
                      <w:lang w:val="en-US" w:eastAsia="es-ES"/>
                    </w:rPr>
                  </w:pPr>
                  <w:r w:rsidRPr="002E60EB">
                    <w:rPr>
                      <w:lang w:val="en-US" w:eastAsia="es-ES"/>
                    </w:rPr>
                    <w:t>233-252</w:t>
                  </w:r>
                </w:p>
              </w:tc>
            </w:tr>
            <w:tr w:rsidR="00F80823" w:rsidRPr="002E60EB" w:rsidTr="00276E39">
              <w:trPr>
                <w:trHeight w:val="347"/>
              </w:trPr>
              <w:tc>
                <w:tcPr>
                  <w:tcW w:w="4335" w:type="pct"/>
                </w:tcPr>
                <w:p w:rsidR="00F80823" w:rsidRPr="002E60EB" w:rsidRDefault="00F80823" w:rsidP="00276E39">
                  <w:pPr>
                    <w:tabs>
                      <w:tab w:val="left" w:pos="720"/>
                    </w:tabs>
                    <w:ind w:left="720"/>
                    <w:rPr>
                      <w:lang w:val="en-US"/>
                    </w:rPr>
                  </w:pPr>
                  <w:r w:rsidRPr="002E60EB">
                    <w:rPr>
                      <w:lang w:val="en-US"/>
                    </w:rPr>
                    <w:t xml:space="preserve">A) Alleged violation of the guarantee of a </w:t>
                  </w:r>
                  <w:r w:rsidR="00615D3A" w:rsidRPr="002E60EB">
                    <w:rPr>
                      <w:lang w:val="en-US"/>
                    </w:rPr>
                    <w:t>natural judge</w:t>
                  </w:r>
                  <w:r w:rsidRPr="002E60EB">
                    <w:rPr>
                      <w:lang w:val="en-US"/>
                    </w:rPr>
                    <w:t xml:space="preserve"> </w:t>
                  </w:r>
                </w:p>
                <w:p w:rsidR="00F80823" w:rsidRPr="002E60EB" w:rsidRDefault="00F80823" w:rsidP="00276E39">
                  <w:pPr>
                    <w:tabs>
                      <w:tab w:val="left" w:pos="720"/>
                    </w:tabs>
                    <w:ind w:left="720"/>
                    <w:rPr>
                      <w:lang w:val="en-US"/>
                    </w:rPr>
                  </w:pPr>
                  <w:r w:rsidRPr="002E60EB">
                    <w:rPr>
                      <w:lang w:val="en-US"/>
                    </w:rPr>
                    <w:t>B) Absence of effective and diligent investigations</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236-245</w:t>
                  </w:r>
                </w:p>
                <w:p w:rsidR="00F80823" w:rsidRPr="002E60EB" w:rsidRDefault="00F80823" w:rsidP="00276E39">
                  <w:pPr>
                    <w:tabs>
                      <w:tab w:val="left" w:pos="720"/>
                    </w:tabs>
                    <w:jc w:val="center"/>
                    <w:rPr>
                      <w:lang w:val="en-US" w:eastAsia="es-ES"/>
                    </w:rPr>
                  </w:pPr>
                  <w:r w:rsidRPr="002E60EB">
                    <w:rPr>
                      <w:lang w:val="en-US" w:eastAsia="es-ES"/>
                    </w:rPr>
                    <w:t>246-252</w:t>
                  </w:r>
                </w:p>
              </w:tc>
            </w:tr>
            <w:tr w:rsidR="00F80823" w:rsidRPr="002E60EB" w:rsidTr="00276E39">
              <w:trPr>
                <w:trHeight w:val="279"/>
              </w:trPr>
              <w:tc>
                <w:tcPr>
                  <w:tcW w:w="4335" w:type="pct"/>
                  <w:vAlign w:val="center"/>
                </w:tcPr>
                <w:p w:rsidR="00F80823" w:rsidRPr="002E60EB" w:rsidRDefault="00F80823" w:rsidP="00276E39">
                  <w:pPr>
                    <w:tabs>
                      <w:tab w:val="left" w:pos="720"/>
                    </w:tabs>
                    <w:rPr>
                      <w:b/>
                      <w:bCs/>
                      <w:lang w:val="en-US"/>
                    </w:rPr>
                  </w:pPr>
                  <w:r w:rsidRPr="002E60EB">
                    <w:rPr>
                      <w:b/>
                      <w:lang w:val="en-US"/>
                    </w:rPr>
                    <w:t xml:space="preserve">XII. </w:t>
                  </w:r>
                  <w:r w:rsidRPr="002E60EB">
                    <w:rPr>
                      <w:b/>
                      <w:lang w:val="en-US"/>
                    </w:rPr>
                    <w:tab/>
                    <w:t xml:space="preserve">REPARATIONS </w:t>
                  </w:r>
                  <w:r w:rsidRPr="002E60EB">
                    <w:rPr>
                      <w:b/>
                      <w:bCs/>
                      <w:lang w:val="en-US"/>
                    </w:rPr>
                    <w:t>(APPLICATION OF ARTICLE 63(1) OF THE AMERICAN CONVENTION)</w:t>
                  </w:r>
                </w:p>
                <w:p w:rsidR="00F80823" w:rsidRPr="002E60EB" w:rsidRDefault="00F80823" w:rsidP="00276E39">
                  <w:pPr>
                    <w:tabs>
                      <w:tab w:val="left" w:pos="900"/>
                      <w:tab w:val="left" w:pos="1080"/>
                    </w:tabs>
                    <w:ind w:left="720"/>
                    <w:rPr>
                      <w:lang w:val="en-US"/>
                    </w:rPr>
                  </w:pPr>
                  <w:r w:rsidRPr="002E60EB">
                    <w:rPr>
                      <w:lang w:val="en-US"/>
                    </w:rPr>
                    <w:t>A) Injured party</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253-316</w:t>
                  </w:r>
                </w:p>
                <w:p w:rsidR="00F80823" w:rsidRPr="002E60EB" w:rsidRDefault="00F80823" w:rsidP="00276E39">
                  <w:pPr>
                    <w:tabs>
                      <w:tab w:val="left" w:pos="720"/>
                    </w:tabs>
                    <w:jc w:val="center"/>
                    <w:rPr>
                      <w:lang w:val="en-US" w:eastAsia="es-ES"/>
                    </w:rPr>
                  </w:pPr>
                </w:p>
                <w:p w:rsidR="00F80823" w:rsidRPr="002E60EB" w:rsidRDefault="00F80823" w:rsidP="00276E39">
                  <w:pPr>
                    <w:tabs>
                      <w:tab w:val="left" w:pos="720"/>
                    </w:tabs>
                    <w:jc w:val="center"/>
                    <w:rPr>
                      <w:lang w:val="en-US" w:eastAsia="es-ES"/>
                    </w:rPr>
                  </w:pPr>
                  <w:r w:rsidRPr="002E60EB">
                    <w:rPr>
                      <w:lang w:val="en-US" w:eastAsia="es-ES"/>
                    </w:rPr>
                    <w:t>258</w:t>
                  </w:r>
                </w:p>
              </w:tc>
            </w:tr>
            <w:tr w:rsidR="00F80823" w:rsidRPr="002E60EB" w:rsidTr="00276E39">
              <w:trPr>
                <w:trHeight w:val="279"/>
              </w:trPr>
              <w:tc>
                <w:tcPr>
                  <w:tcW w:w="4335" w:type="pct"/>
                  <w:vAlign w:val="center"/>
                </w:tcPr>
                <w:p w:rsidR="00F80823" w:rsidRPr="002E60EB" w:rsidRDefault="00F80823" w:rsidP="00276E39">
                  <w:pPr>
                    <w:tabs>
                      <w:tab w:val="left" w:pos="720"/>
                    </w:tabs>
                    <w:ind w:left="720"/>
                    <w:rPr>
                      <w:b/>
                      <w:lang w:val="en-US"/>
                    </w:rPr>
                  </w:pPr>
                  <w:r w:rsidRPr="002E60EB">
                    <w:rPr>
                      <w:lang w:val="en-US"/>
                    </w:rPr>
                    <w:t xml:space="preserve">B) Measures of integral reparation: restitution, rehabilitation and satisfaction, guarantee of non-repetition, and obligation to investigate </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259-285</w:t>
                  </w:r>
                </w:p>
                <w:p w:rsidR="00F80823" w:rsidRPr="002E60EB" w:rsidRDefault="00F80823" w:rsidP="00276E39">
                  <w:pPr>
                    <w:tabs>
                      <w:tab w:val="left" w:pos="720"/>
                    </w:tabs>
                    <w:rPr>
                      <w:lang w:val="en-US" w:eastAsia="es-ES"/>
                    </w:rPr>
                  </w:pPr>
                </w:p>
              </w:tc>
            </w:tr>
            <w:tr w:rsidR="00F80823" w:rsidRPr="002E60EB" w:rsidTr="00276E39">
              <w:trPr>
                <w:trHeight w:val="279"/>
              </w:trPr>
              <w:tc>
                <w:tcPr>
                  <w:tcW w:w="4335" w:type="pct"/>
                  <w:vAlign w:val="center"/>
                </w:tcPr>
                <w:p w:rsidR="00F80823" w:rsidRPr="002E60EB" w:rsidRDefault="00F80823" w:rsidP="00276E39">
                  <w:pPr>
                    <w:ind w:left="720"/>
                    <w:rPr>
                      <w:lang w:val="en-US"/>
                    </w:rPr>
                  </w:pPr>
                  <w:r w:rsidRPr="002E60EB">
                    <w:rPr>
                      <w:lang w:val="en-US"/>
                    </w:rPr>
                    <w:t>C) Other measures requested</w:t>
                  </w:r>
                </w:p>
                <w:p w:rsidR="00F80823" w:rsidRPr="002E60EB" w:rsidRDefault="00F80823" w:rsidP="00276E39">
                  <w:pPr>
                    <w:ind w:left="720"/>
                    <w:rPr>
                      <w:lang w:val="en-US"/>
                    </w:rPr>
                  </w:pPr>
                  <w:r w:rsidRPr="002E60EB">
                    <w:rPr>
                      <w:lang w:val="en-US"/>
                    </w:rPr>
                    <w:t>D) Compensation</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286-290</w:t>
                  </w:r>
                </w:p>
                <w:p w:rsidR="00F80823" w:rsidRPr="002E60EB" w:rsidRDefault="00F80823" w:rsidP="00276E39">
                  <w:pPr>
                    <w:tabs>
                      <w:tab w:val="left" w:pos="720"/>
                    </w:tabs>
                    <w:jc w:val="center"/>
                    <w:rPr>
                      <w:lang w:val="en-US" w:eastAsia="es-ES"/>
                    </w:rPr>
                  </w:pPr>
                  <w:r w:rsidRPr="002E60EB">
                    <w:rPr>
                      <w:lang w:val="en-US" w:eastAsia="es-ES"/>
                    </w:rPr>
                    <w:t>291-302</w:t>
                  </w:r>
                </w:p>
              </w:tc>
            </w:tr>
            <w:tr w:rsidR="00F80823" w:rsidRPr="002E60EB" w:rsidTr="00276E39">
              <w:trPr>
                <w:trHeight w:val="279"/>
              </w:trPr>
              <w:tc>
                <w:tcPr>
                  <w:tcW w:w="4335" w:type="pct"/>
                  <w:vAlign w:val="center"/>
                </w:tcPr>
                <w:p w:rsidR="00F80823" w:rsidRPr="002E60EB" w:rsidRDefault="00F80823" w:rsidP="00276E39">
                  <w:pPr>
                    <w:ind w:left="720"/>
                    <w:rPr>
                      <w:lang w:val="en-US"/>
                    </w:rPr>
                  </w:pPr>
                  <w:r w:rsidRPr="002E60EB">
                    <w:rPr>
                      <w:lang w:val="en-US"/>
                    </w:rPr>
                    <w:t>E) Costs and expenses</w:t>
                  </w:r>
                </w:p>
                <w:p w:rsidR="00F80823" w:rsidRPr="002E60EB" w:rsidRDefault="00F80823" w:rsidP="00F80823">
                  <w:pPr>
                    <w:ind w:left="720"/>
                    <w:rPr>
                      <w:lang w:val="en-US"/>
                    </w:rPr>
                  </w:pPr>
                  <w:r w:rsidRPr="002E60EB">
                    <w:rPr>
                      <w:bCs/>
                      <w:lang w:val="en-US"/>
                    </w:rPr>
                    <w:t>F) Means of complying with the payments ordered</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303-309</w:t>
                  </w:r>
                </w:p>
                <w:p w:rsidR="00F80823" w:rsidRPr="002E60EB" w:rsidRDefault="00F80823" w:rsidP="00276E39">
                  <w:pPr>
                    <w:tabs>
                      <w:tab w:val="left" w:pos="720"/>
                    </w:tabs>
                    <w:jc w:val="center"/>
                    <w:rPr>
                      <w:lang w:val="en-US" w:eastAsia="es-ES"/>
                    </w:rPr>
                  </w:pPr>
                  <w:r w:rsidRPr="002E60EB">
                    <w:rPr>
                      <w:lang w:val="en-US" w:eastAsia="es-ES"/>
                    </w:rPr>
                    <w:t>310-316</w:t>
                  </w:r>
                </w:p>
              </w:tc>
            </w:tr>
            <w:tr w:rsidR="00F80823" w:rsidRPr="002E60EB" w:rsidTr="00276E39">
              <w:tc>
                <w:tcPr>
                  <w:tcW w:w="4335" w:type="pct"/>
                </w:tcPr>
                <w:p w:rsidR="00F80823" w:rsidRPr="002E60EB" w:rsidRDefault="00F80823" w:rsidP="00276E39">
                  <w:pPr>
                    <w:tabs>
                      <w:tab w:val="left" w:pos="720"/>
                    </w:tabs>
                    <w:jc w:val="both"/>
                    <w:rPr>
                      <w:b/>
                      <w:lang w:val="en-US" w:eastAsia="es-ES"/>
                    </w:rPr>
                  </w:pPr>
                  <w:r w:rsidRPr="002E60EB">
                    <w:rPr>
                      <w:b/>
                      <w:lang w:val="en-US"/>
                    </w:rPr>
                    <w:t>XIII.</w:t>
                  </w:r>
                  <w:r w:rsidRPr="002E60EB">
                    <w:rPr>
                      <w:b/>
                      <w:lang w:val="en-US"/>
                    </w:rPr>
                    <w:tab/>
                    <w:t>OPERATIVE PARAGRAPHS</w:t>
                  </w:r>
                </w:p>
              </w:tc>
              <w:tc>
                <w:tcPr>
                  <w:tcW w:w="665" w:type="pct"/>
                </w:tcPr>
                <w:p w:rsidR="00F80823" w:rsidRPr="002E60EB" w:rsidRDefault="00F80823" w:rsidP="00276E39">
                  <w:pPr>
                    <w:tabs>
                      <w:tab w:val="left" w:pos="720"/>
                    </w:tabs>
                    <w:jc w:val="center"/>
                    <w:rPr>
                      <w:lang w:val="en-US" w:eastAsia="es-ES"/>
                    </w:rPr>
                  </w:pPr>
                  <w:r w:rsidRPr="002E60EB">
                    <w:rPr>
                      <w:lang w:val="en-US" w:eastAsia="es-ES"/>
                    </w:rPr>
                    <w:t>317</w:t>
                  </w:r>
                </w:p>
              </w:tc>
            </w:tr>
          </w:tbl>
          <w:p w:rsidR="00F80823" w:rsidRPr="002E60EB" w:rsidRDefault="00F80823" w:rsidP="00F80823">
            <w:pPr>
              <w:rPr>
                <w:lang w:val="en-US"/>
              </w:rPr>
            </w:pPr>
          </w:p>
          <w:p w:rsidR="00E15BBF" w:rsidRPr="002E60EB" w:rsidRDefault="00E15BBF" w:rsidP="00F80823">
            <w:pPr>
              <w:pStyle w:val="Ttulo2"/>
              <w:tabs>
                <w:tab w:val="left" w:pos="720"/>
              </w:tabs>
              <w:spacing w:before="0" w:after="0"/>
              <w:jc w:val="center"/>
              <w:rPr>
                <w:rFonts w:ascii="Verdana" w:hAnsi="Verdana" w:cs="Verdana"/>
                <w:i w:val="0"/>
                <w:caps/>
                <w:snapToGrid w:val="0"/>
                <w:sz w:val="20"/>
                <w:szCs w:val="20"/>
                <w:lang w:val="en-US" w:eastAsia="es-ES"/>
              </w:rPr>
            </w:pPr>
          </w:p>
        </w:tc>
        <w:tc>
          <w:tcPr>
            <w:tcW w:w="668" w:type="pct"/>
          </w:tcPr>
          <w:p w:rsidR="00E15BBF" w:rsidRPr="002E60EB" w:rsidRDefault="00E15BBF" w:rsidP="00F80823">
            <w:pPr>
              <w:tabs>
                <w:tab w:val="left" w:pos="720"/>
              </w:tabs>
              <w:rPr>
                <w:b/>
                <w:lang w:val="en-US" w:eastAsia="es-ES"/>
              </w:rPr>
            </w:pPr>
          </w:p>
        </w:tc>
      </w:tr>
    </w:tbl>
    <w:p w:rsidR="00E15BBF" w:rsidRPr="002E60EB" w:rsidRDefault="00E15BBF" w:rsidP="002711CF">
      <w:pPr>
        <w:tabs>
          <w:tab w:val="left" w:pos="720"/>
        </w:tabs>
        <w:jc w:val="both"/>
        <w:rPr>
          <w:rFonts w:cs="Verdana"/>
          <w:lang w:val="en-US"/>
        </w:rPr>
      </w:pPr>
    </w:p>
    <w:p w:rsidR="00E15BBF" w:rsidRPr="002E60EB" w:rsidRDefault="00EF2223" w:rsidP="00317748">
      <w:pPr>
        <w:pStyle w:val="Ttulo2"/>
        <w:tabs>
          <w:tab w:val="left" w:pos="720"/>
        </w:tabs>
        <w:spacing w:before="0" w:after="0"/>
        <w:jc w:val="center"/>
        <w:rPr>
          <w:rFonts w:ascii="Verdana" w:hAnsi="Verdana" w:cs="Verdana"/>
          <w:i w:val="0"/>
          <w:caps/>
          <w:snapToGrid w:val="0"/>
          <w:sz w:val="20"/>
          <w:szCs w:val="20"/>
          <w:lang w:val="en-US" w:eastAsia="es-ES"/>
        </w:rPr>
      </w:pPr>
      <w:bookmarkStart w:id="1" w:name="_Ref313874630"/>
      <w:bookmarkStart w:id="2" w:name="_Ref303528949"/>
      <w:r w:rsidRPr="002E60EB">
        <w:rPr>
          <w:rFonts w:ascii="Verdana" w:hAnsi="Verdana" w:cs="Verdana"/>
          <w:i w:val="0"/>
          <w:caps/>
          <w:snapToGrid w:val="0"/>
          <w:sz w:val="20"/>
          <w:szCs w:val="20"/>
          <w:lang w:val="en-US" w:eastAsia="es-ES"/>
        </w:rPr>
        <w:br w:type="page"/>
      </w:r>
      <w:r w:rsidR="00E15BBF" w:rsidRPr="002E60EB">
        <w:rPr>
          <w:rFonts w:ascii="Verdana" w:hAnsi="Verdana" w:cs="Verdana"/>
          <w:i w:val="0"/>
          <w:caps/>
          <w:snapToGrid w:val="0"/>
          <w:sz w:val="20"/>
          <w:szCs w:val="20"/>
          <w:lang w:val="en-US" w:eastAsia="es-ES"/>
        </w:rPr>
        <w:lastRenderedPageBreak/>
        <w:t>I</w:t>
      </w:r>
    </w:p>
    <w:p w:rsidR="00E15BBF" w:rsidRPr="002E60EB" w:rsidRDefault="000613B3" w:rsidP="00317748">
      <w:pPr>
        <w:pStyle w:val="Ttulo2"/>
        <w:tabs>
          <w:tab w:val="left" w:pos="720"/>
        </w:tabs>
        <w:spacing w:before="0" w:after="0"/>
        <w:jc w:val="center"/>
        <w:rPr>
          <w:rFonts w:ascii="Verdana" w:hAnsi="Verdana" w:cs="Verdana"/>
          <w:i w:val="0"/>
          <w:caps/>
          <w:snapToGrid w:val="0"/>
          <w:sz w:val="20"/>
          <w:szCs w:val="20"/>
          <w:lang w:val="en-US" w:eastAsia="es-ES"/>
        </w:rPr>
      </w:pPr>
      <w:r w:rsidRPr="002E60EB">
        <w:rPr>
          <w:rFonts w:ascii="Verdana" w:hAnsi="Verdana" w:cs="Verdana"/>
          <w:i w:val="0"/>
          <w:caps/>
          <w:snapToGrid w:val="0"/>
          <w:sz w:val="20"/>
          <w:szCs w:val="20"/>
          <w:lang w:val="en-US" w:eastAsia="es-ES"/>
        </w:rPr>
        <w:t>INTRODUCTION OF</w:t>
      </w:r>
      <w:r w:rsidR="00E15BBF" w:rsidRPr="002E60EB">
        <w:rPr>
          <w:rFonts w:ascii="Verdana" w:hAnsi="Verdana" w:cs="Verdana"/>
          <w:i w:val="0"/>
          <w:caps/>
          <w:snapToGrid w:val="0"/>
          <w:sz w:val="20"/>
          <w:szCs w:val="20"/>
          <w:lang w:val="en-US" w:eastAsia="es-ES"/>
        </w:rPr>
        <w:t xml:space="preserve"> THE CASE AND PURPOSE OF THE DISPUTE</w:t>
      </w:r>
    </w:p>
    <w:p w:rsidR="00E15BBF" w:rsidRPr="002E60EB" w:rsidRDefault="00E15BBF" w:rsidP="00317748">
      <w:pPr>
        <w:rPr>
          <w:lang w:val="en-US" w:eastAsia="es-ES"/>
        </w:rPr>
      </w:pPr>
    </w:p>
    <w:p w:rsidR="00E15BBF" w:rsidRPr="002E60EB" w:rsidRDefault="00E15BBF" w:rsidP="002711CF">
      <w:pPr>
        <w:numPr>
          <w:ilvl w:val="0"/>
          <w:numId w:val="1"/>
        </w:numPr>
        <w:tabs>
          <w:tab w:val="left" w:pos="720"/>
        </w:tabs>
        <w:jc w:val="both"/>
        <w:rPr>
          <w:lang w:val="en-US" w:eastAsia="es-ES"/>
        </w:rPr>
      </w:pPr>
      <w:r w:rsidRPr="002E60EB">
        <w:rPr>
          <w:lang w:val="en-US" w:eastAsia="es-ES"/>
        </w:rPr>
        <w:t xml:space="preserve">On March 2, 2011, </w:t>
      </w:r>
      <w:r w:rsidR="000D76B9" w:rsidRPr="002E60EB">
        <w:rPr>
          <w:rFonts w:eastAsia="Helvetica"/>
          <w:lang w:val="en-US"/>
        </w:rPr>
        <w:t>in accordance with</w:t>
      </w:r>
      <w:r w:rsidRPr="002E60EB">
        <w:rPr>
          <w:rFonts w:eastAsia="Helvetica"/>
          <w:lang w:val="en-US"/>
        </w:rPr>
        <w:t xml:space="preserve"> the provisions of Articles 51 and 61 of the Convention, the Inter-American Commission on Human Rights (hereinafter </w:t>
      </w:r>
      <w:r w:rsidR="00087093" w:rsidRPr="002E60EB">
        <w:rPr>
          <w:rFonts w:eastAsia="Helvetica"/>
          <w:lang w:val="en-US"/>
        </w:rPr>
        <w:t>“</w:t>
      </w:r>
      <w:r w:rsidRPr="002E60EB">
        <w:rPr>
          <w:rFonts w:eastAsia="Helvetica"/>
          <w:lang w:val="en-US"/>
        </w:rPr>
        <w:t>the Commission</w:t>
      </w:r>
      <w:r w:rsidR="00087093" w:rsidRPr="002E60EB">
        <w:rPr>
          <w:rFonts w:eastAsia="Helvetica"/>
          <w:lang w:val="en-US"/>
        </w:rPr>
        <w:t>”</w:t>
      </w:r>
      <w:r w:rsidRPr="002E60EB">
        <w:rPr>
          <w:rFonts w:eastAsia="Helvetica"/>
          <w:lang w:val="en-US"/>
        </w:rPr>
        <w:t xml:space="preserve"> or </w:t>
      </w:r>
      <w:r w:rsidR="00087093" w:rsidRPr="002E60EB">
        <w:rPr>
          <w:rFonts w:eastAsia="Helvetica"/>
          <w:lang w:val="en-US"/>
        </w:rPr>
        <w:t>“</w:t>
      </w:r>
      <w:r w:rsidRPr="002E60EB">
        <w:rPr>
          <w:rFonts w:eastAsia="Helvetica"/>
          <w:lang w:val="en-US"/>
        </w:rPr>
        <w:t>Inter-American Commission</w:t>
      </w:r>
      <w:r w:rsidR="00087093" w:rsidRPr="002E60EB">
        <w:rPr>
          <w:rFonts w:eastAsia="Helvetica"/>
          <w:lang w:val="en-US"/>
        </w:rPr>
        <w:t>”</w:t>
      </w:r>
      <w:r w:rsidRPr="002E60EB">
        <w:rPr>
          <w:rFonts w:eastAsia="Helvetica"/>
          <w:lang w:val="en-US"/>
        </w:rPr>
        <w:t>) submitted to the</w:t>
      </w:r>
      <w:r w:rsidR="000D76B9" w:rsidRPr="002E60EB">
        <w:rPr>
          <w:rFonts w:eastAsia="Helvetica"/>
          <w:lang w:val="en-US"/>
        </w:rPr>
        <w:t xml:space="preserve"> jurisdiction of the</w:t>
      </w:r>
      <w:r w:rsidRPr="002E60EB">
        <w:rPr>
          <w:rFonts w:eastAsia="Helvetica"/>
          <w:lang w:val="en-US"/>
        </w:rPr>
        <w:t xml:space="preserve"> Inter-American Court a </w:t>
      </w:r>
      <w:r w:rsidR="000D76B9" w:rsidRPr="002E60EB">
        <w:rPr>
          <w:rFonts w:eastAsia="Helvetica"/>
          <w:lang w:val="en-US"/>
        </w:rPr>
        <w:t xml:space="preserve">brief </w:t>
      </w:r>
      <w:r w:rsidRPr="002E60EB">
        <w:rPr>
          <w:lang w:val="en-US"/>
        </w:rPr>
        <w:t xml:space="preserve">(hereinafter </w:t>
      </w:r>
      <w:r w:rsidR="00087093" w:rsidRPr="002E60EB">
        <w:rPr>
          <w:lang w:val="en-US"/>
        </w:rPr>
        <w:t>“</w:t>
      </w:r>
      <w:r w:rsidR="006F10AD" w:rsidRPr="002E60EB">
        <w:rPr>
          <w:lang w:val="en-US"/>
        </w:rPr>
        <w:t>submission</w:t>
      </w:r>
      <w:r w:rsidRPr="002E60EB">
        <w:rPr>
          <w:lang w:val="en-US"/>
        </w:rPr>
        <w:t xml:space="preserve"> brief</w:t>
      </w:r>
      <w:r w:rsidR="00087093" w:rsidRPr="002E60EB">
        <w:rPr>
          <w:lang w:val="en-US"/>
        </w:rPr>
        <w:t>”</w:t>
      </w:r>
      <w:r w:rsidRPr="002E60EB">
        <w:rPr>
          <w:lang w:val="en-US"/>
        </w:rPr>
        <w:t>)</w:t>
      </w:r>
      <w:r w:rsidR="000D76B9" w:rsidRPr="002E60EB">
        <w:rPr>
          <w:lang w:val="en-US"/>
        </w:rPr>
        <w:t xml:space="preserve"> </w:t>
      </w:r>
      <w:r w:rsidR="000D76B9" w:rsidRPr="002E60EB">
        <w:rPr>
          <w:rFonts w:eastAsia="Helvetica"/>
          <w:lang w:val="en-US"/>
        </w:rPr>
        <w:t>in relation to case No. 12,658</w:t>
      </w:r>
      <w:r w:rsidRPr="002E60EB">
        <w:rPr>
          <w:lang w:val="en-US"/>
        </w:rPr>
        <w:t xml:space="preserve"> </w:t>
      </w:r>
      <w:r w:rsidRPr="002E60EB">
        <w:rPr>
          <w:rFonts w:eastAsia="Helvetica"/>
          <w:lang w:val="en-US"/>
        </w:rPr>
        <w:t xml:space="preserve">against the Republic of Colombia (hereinafter </w:t>
      </w:r>
      <w:r w:rsidR="00087093" w:rsidRPr="002E60EB">
        <w:rPr>
          <w:rFonts w:eastAsia="Helvetica"/>
          <w:lang w:val="en-US"/>
        </w:rPr>
        <w:t>“</w:t>
      </w:r>
      <w:r w:rsidRPr="002E60EB">
        <w:rPr>
          <w:rFonts w:eastAsia="Helvetica"/>
          <w:lang w:val="en-US"/>
        </w:rPr>
        <w:t>the State</w:t>
      </w:r>
      <w:r w:rsidR="00087093" w:rsidRPr="002E60EB">
        <w:rPr>
          <w:rFonts w:eastAsia="Helvetica"/>
          <w:lang w:val="en-US"/>
        </w:rPr>
        <w:t>”</w:t>
      </w:r>
      <w:r w:rsidRPr="002E60EB">
        <w:rPr>
          <w:rFonts w:eastAsia="Helvetica"/>
          <w:lang w:val="en-US"/>
        </w:rPr>
        <w:t xml:space="preserve"> or </w:t>
      </w:r>
      <w:r w:rsidR="00087093" w:rsidRPr="002E60EB">
        <w:rPr>
          <w:rFonts w:eastAsia="Helvetica"/>
          <w:lang w:val="en-US"/>
        </w:rPr>
        <w:t>“</w:t>
      </w:r>
      <w:r w:rsidRPr="002E60EB">
        <w:rPr>
          <w:rFonts w:eastAsia="Helvetica"/>
          <w:lang w:val="en-US"/>
        </w:rPr>
        <w:t>Colombia</w:t>
      </w:r>
      <w:r w:rsidR="00087093" w:rsidRPr="002E60EB">
        <w:rPr>
          <w:rFonts w:eastAsia="Helvetica"/>
          <w:lang w:val="en-US"/>
        </w:rPr>
        <w:t>”</w:t>
      </w:r>
      <w:r w:rsidRPr="002E60EB">
        <w:rPr>
          <w:rFonts w:eastAsia="Helvetica"/>
          <w:lang w:val="en-US"/>
        </w:rPr>
        <w:t xml:space="preserve">). The initial </w:t>
      </w:r>
      <w:r w:rsidR="006F10AD" w:rsidRPr="002E60EB">
        <w:rPr>
          <w:rFonts w:eastAsia="Helvetica"/>
          <w:lang w:val="en-US"/>
        </w:rPr>
        <w:t>petition</w:t>
      </w:r>
      <w:r w:rsidRPr="002E60EB">
        <w:rPr>
          <w:rFonts w:eastAsia="Helvetica"/>
          <w:lang w:val="en-US"/>
        </w:rPr>
        <w:t xml:space="preserve"> was </w:t>
      </w:r>
      <w:r w:rsidR="000D76B9" w:rsidRPr="002E60EB">
        <w:rPr>
          <w:rFonts w:eastAsia="Helvetica"/>
          <w:lang w:val="en-US"/>
        </w:rPr>
        <w:t>lodged with</w:t>
      </w:r>
      <w:r w:rsidRPr="002E60EB">
        <w:rPr>
          <w:rFonts w:eastAsia="Helvetica"/>
          <w:lang w:val="en-US"/>
        </w:rPr>
        <w:t xml:space="preserve"> the Commission on July 29, 2005</w:t>
      </w:r>
      <w:r w:rsidR="000D76B9" w:rsidRPr="002E60EB">
        <w:rPr>
          <w:rFonts w:eastAsia="Helvetica"/>
          <w:lang w:val="en-US"/>
        </w:rPr>
        <w:t>,</w:t>
      </w:r>
      <w:r w:rsidRPr="002E60EB">
        <w:rPr>
          <w:rFonts w:eastAsia="Helvetica"/>
          <w:lang w:val="en-US"/>
        </w:rPr>
        <w:t xml:space="preserve"> by </w:t>
      </w:r>
      <w:r w:rsidRPr="002E60EB">
        <w:rPr>
          <w:lang w:val="en-US"/>
        </w:rPr>
        <w:t xml:space="preserve">Luis Gonzalo Vélez Restrepo, also known as </w:t>
      </w:r>
      <w:r w:rsidR="00087093" w:rsidRPr="002E60EB">
        <w:rPr>
          <w:lang w:val="en-US"/>
        </w:rPr>
        <w:t>“</w:t>
      </w:r>
      <w:r w:rsidRPr="002E60EB">
        <w:rPr>
          <w:lang w:val="en-US"/>
        </w:rPr>
        <w:t>Richard</w:t>
      </w:r>
      <w:r w:rsidR="00087093" w:rsidRPr="002E60EB">
        <w:rPr>
          <w:lang w:val="en-US"/>
        </w:rPr>
        <w:t>”</w:t>
      </w:r>
      <w:r w:rsidRPr="002E60EB">
        <w:rPr>
          <w:lang w:val="en-US"/>
        </w:rPr>
        <w:t xml:space="preserve"> Vélez, </w:t>
      </w:r>
      <w:r w:rsidR="000D76B9" w:rsidRPr="002E60EB">
        <w:rPr>
          <w:lang w:val="en-US"/>
        </w:rPr>
        <w:t xml:space="preserve">and by </w:t>
      </w:r>
      <w:r w:rsidRPr="002E60EB">
        <w:rPr>
          <w:lang w:val="en-US"/>
        </w:rPr>
        <w:t xml:space="preserve">Aracelly Román Amariles, also known as </w:t>
      </w:r>
      <w:r w:rsidR="00087093" w:rsidRPr="002E60EB">
        <w:rPr>
          <w:lang w:val="en-US"/>
        </w:rPr>
        <w:t>“</w:t>
      </w:r>
      <w:r w:rsidRPr="002E60EB">
        <w:rPr>
          <w:lang w:val="en-US"/>
        </w:rPr>
        <w:t>Sara Román</w:t>
      </w:r>
      <w:r w:rsidR="00087093" w:rsidRPr="002E60EB">
        <w:rPr>
          <w:lang w:val="en-US"/>
        </w:rPr>
        <w:t>”</w:t>
      </w:r>
      <w:r w:rsidRPr="002E60EB">
        <w:rPr>
          <w:lang w:val="en-US"/>
        </w:rPr>
        <w:t xml:space="preserve"> </w:t>
      </w:r>
      <w:r w:rsidRPr="002E60EB">
        <w:rPr>
          <w:rFonts w:eastAsia="Helvetica"/>
          <w:lang w:val="en-US"/>
        </w:rPr>
        <w:t xml:space="preserve">(hereinafter </w:t>
      </w:r>
      <w:r w:rsidR="00087093" w:rsidRPr="002E60EB">
        <w:rPr>
          <w:rFonts w:eastAsia="Helvetica"/>
          <w:lang w:val="en-US"/>
        </w:rPr>
        <w:t>“</w:t>
      </w:r>
      <w:r w:rsidRPr="002E60EB">
        <w:rPr>
          <w:rFonts w:eastAsia="Helvetica"/>
          <w:lang w:val="en-US"/>
        </w:rPr>
        <w:t xml:space="preserve">Mr. </w:t>
      </w:r>
      <w:r w:rsidRPr="002E60EB">
        <w:rPr>
          <w:lang w:val="en-US"/>
        </w:rPr>
        <w:t>Vélez Restrepo</w:t>
      </w:r>
      <w:r w:rsidR="00087093" w:rsidRPr="002E60EB">
        <w:rPr>
          <w:lang w:val="en-US"/>
        </w:rPr>
        <w:t>”</w:t>
      </w:r>
      <w:r w:rsidRPr="002E60EB">
        <w:rPr>
          <w:lang w:val="en-US"/>
        </w:rPr>
        <w:t xml:space="preserve"> and </w:t>
      </w:r>
      <w:r w:rsidR="00087093" w:rsidRPr="002E60EB">
        <w:rPr>
          <w:lang w:val="en-US"/>
        </w:rPr>
        <w:t>“</w:t>
      </w:r>
      <w:r w:rsidRPr="002E60EB">
        <w:rPr>
          <w:lang w:val="en-US"/>
        </w:rPr>
        <w:t>Mrs. Román Amariles</w:t>
      </w:r>
      <w:r w:rsidR="00087093" w:rsidRPr="002E60EB">
        <w:rPr>
          <w:lang w:val="en-US"/>
        </w:rPr>
        <w:t>”</w:t>
      </w:r>
      <w:r w:rsidRPr="002E60EB">
        <w:rPr>
          <w:lang w:val="en-US"/>
        </w:rPr>
        <w:t xml:space="preserve">), on behalf of </w:t>
      </w:r>
      <w:r w:rsidR="000D76B9" w:rsidRPr="002E60EB">
        <w:rPr>
          <w:lang w:val="en-US"/>
        </w:rPr>
        <w:t xml:space="preserve">themselves and </w:t>
      </w:r>
      <w:r w:rsidRPr="002E60EB">
        <w:rPr>
          <w:lang w:val="en-US"/>
        </w:rPr>
        <w:t>their children Mateo and Juliana</w:t>
      </w:r>
      <w:r w:rsidR="000D76B9" w:rsidRPr="002E60EB">
        <w:rPr>
          <w:lang w:val="en-US"/>
        </w:rPr>
        <w:t xml:space="preserve">, both with the surname </w:t>
      </w:r>
      <w:r w:rsidRPr="002E60EB">
        <w:rPr>
          <w:lang w:val="en-US"/>
        </w:rPr>
        <w:t xml:space="preserve">Vélez Román (hereinafter </w:t>
      </w:r>
      <w:r w:rsidR="00087093" w:rsidRPr="002E60EB">
        <w:rPr>
          <w:lang w:val="en-US"/>
        </w:rPr>
        <w:t>“</w:t>
      </w:r>
      <w:r w:rsidRPr="002E60EB">
        <w:rPr>
          <w:lang w:val="en-US"/>
        </w:rPr>
        <w:t>the children</w:t>
      </w:r>
      <w:r w:rsidR="00087093" w:rsidRPr="002E60EB">
        <w:rPr>
          <w:lang w:val="en-US"/>
        </w:rPr>
        <w:t>”</w:t>
      </w:r>
      <w:r w:rsidRPr="002E60EB">
        <w:rPr>
          <w:lang w:val="en-US"/>
        </w:rPr>
        <w:t xml:space="preserve"> and</w:t>
      </w:r>
      <w:r w:rsidR="000D76B9" w:rsidRPr="002E60EB">
        <w:rPr>
          <w:lang w:val="en-US"/>
        </w:rPr>
        <w:t xml:space="preserve">, </w:t>
      </w:r>
      <w:r w:rsidR="006F10AD" w:rsidRPr="002E60EB">
        <w:rPr>
          <w:lang w:val="en-US"/>
        </w:rPr>
        <w:t>considered</w:t>
      </w:r>
      <w:r w:rsidR="000D76B9" w:rsidRPr="002E60EB">
        <w:rPr>
          <w:lang w:val="en-US"/>
        </w:rPr>
        <w:t xml:space="preserve"> as a whole,</w:t>
      </w:r>
      <w:r w:rsidRPr="002E60EB">
        <w:rPr>
          <w:lang w:val="en-US"/>
        </w:rPr>
        <w:t xml:space="preserve"> </w:t>
      </w:r>
      <w:r w:rsidR="00087093" w:rsidRPr="002E60EB">
        <w:rPr>
          <w:lang w:val="en-US"/>
        </w:rPr>
        <w:t>“</w:t>
      </w:r>
      <w:r w:rsidRPr="002E60EB">
        <w:rPr>
          <w:lang w:val="en-US"/>
        </w:rPr>
        <w:t>the Vélez Román family</w:t>
      </w:r>
      <w:r w:rsidR="00087093" w:rsidRPr="002E60EB">
        <w:rPr>
          <w:lang w:val="en-US"/>
        </w:rPr>
        <w:t>”</w:t>
      </w:r>
      <w:r w:rsidRPr="002E60EB">
        <w:rPr>
          <w:lang w:val="en-US"/>
        </w:rPr>
        <w:t>). On July 24, 2008, the</w:t>
      </w:r>
      <w:r w:rsidRPr="002E60EB">
        <w:rPr>
          <w:rFonts w:eastAsia="Helvetica"/>
          <w:lang w:val="en-US"/>
        </w:rPr>
        <w:t xml:space="preserve"> </w:t>
      </w:r>
      <w:r w:rsidR="000D76B9" w:rsidRPr="002E60EB">
        <w:rPr>
          <w:rFonts w:eastAsia="Helvetica"/>
          <w:lang w:val="en-US"/>
        </w:rPr>
        <w:t xml:space="preserve">Inter-American </w:t>
      </w:r>
      <w:r w:rsidRPr="002E60EB">
        <w:rPr>
          <w:rFonts w:eastAsia="Helvetica"/>
          <w:lang w:val="en-US"/>
        </w:rPr>
        <w:t xml:space="preserve">Commission </w:t>
      </w:r>
      <w:r w:rsidR="000D76B9" w:rsidRPr="002E60EB">
        <w:rPr>
          <w:rFonts w:eastAsia="Helvetica"/>
          <w:lang w:val="en-US"/>
        </w:rPr>
        <w:t xml:space="preserve">approved </w:t>
      </w:r>
      <w:r w:rsidRPr="002E60EB">
        <w:rPr>
          <w:rFonts w:eastAsia="Helvetica"/>
          <w:lang w:val="en-US"/>
        </w:rPr>
        <w:t xml:space="preserve">Admissibility Report No. </w:t>
      </w:r>
      <w:r w:rsidRPr="002E60EB">
        <w:rPr>
          <w:lang w:val="en-US"/>
        </w:rPr>
        <w:t>47/08.</w:t>
      </w:r>
      <w:r w:rsidRPr="002E60EB">
        <w:rPr>
          <w:rStyle w:val="Refdenotaalpie"/>
          <w:lang w:val="en-US"/>
        </w:rPr>
        <w:footnoteReference w:id="3"/>
      </w:r>
      <w:r w:rsidRPr="002E60EB">
        <w:rPr>
          <w:lang w:val="en-US"/>
        </w:rPr>
        <w:t xml:space="preserve"> On October 23, 201</w:t>
      </w:r>
      <w:r w:rsidR="000D76B9" w:rsidRPr="002E60EB">
        <w:rPr>
          <w:lang w:val="en-US"/>
        </w:rPr>
        <w:t>0</w:t>
      </w:r>
      <w:r w:rsidRPr="002E60EB">
        <w:rPr>
          <w:lang w:val="en-US"/>
        </w:rPr>
        <w:t>, the Commission a</w:t>
      </w:r>
      <w:r w:rsidR="000D76B9" w:rsidRPr="002E60EB">
        <w:rPr>
          <w:lang w:val="en-US"/>
        </w:rPr>
        <w:t>pproved</w:t>
      </w:r>
      <w:r w:rsidRPr="002E60EB">
        <w:rPr>
          <w:lang w:val="en-US"/>
        </w:rPr>
        <w:t xml:space="preserve"> Report on Merits No. 136/10</w:t>
      </w:r>
      <w:r w:rsidRPr="002E60EB">
        <w:rPr>
          <w:rStyle w:val="Refdenotaalpie"/>
          <w:lang w:val="en-US"/>
        </w:rPr>
        <w:footnoteReference w:id="4"/>
      </w:r>
      <w:r w:rsidRPr="002E60EB">
        <w:rPr>
          <w:lang w:val="en-US"/>
        </w:rPr>
        <w:t xml:space="preserve"> (</w:t>
      </w:r>
      <w:r w:rsidR="005D2A1D" w:rsidRPr="002E60EB">
        <w:rPr>
          <w:lang w:val="en-US"/>
        </w:rPr>
        <w:t xml:space="preserve">hereinafter also </w:t>
      </w:r>
      <w:r w:rsidR="00087093" w:rsidRPr="002E60EB">
        <w:rPr>
          <w:lang w:val="en-US"/>
        </w:rPr>
        <w:t>“</w:t>
      </w:r>
      <w:r w:rsidR="005D2A1D" w:rsidRPr="002E60EB">
        <w:rPr>
          <w:lang w:val="en-US"/>
        </w:rPr>
        <w:t xml:space="preserve">the Merits </w:t>
      </w:r>
      <w:r w:rsidRPr="002E60EB">
        <w:rPr>
          <w:lang w:val="en-US"/>
        </w:rPr>
        <w:t>Report</w:t>
      </w:r>
      <w:r w:rsidR="00087093" w:rsidRPr="002E60EB">
        <w:rPr>
          <w:lang w:val="en-US"/>
        </w:rPr>
        <w:t>”</w:t>
      </w:r>
      <w:r w:rsidR="006F10AD" w:rsidRPr="002E60EB">
        <w:rPr>
          <w:lang w:val="en-US"/>
        </w:rPr>
        <w:t xml:space="preserve"> </w:t>
      </w:r>
      <w:r w:rsidRPr="002E60EB">
        <w:rPr>
          <w:lang w:val="en-US"/>
        </w:rPr>
        <w:t xml:space="preserve">or </w:t>
      </w:r>
      <w:r w:rsidR="00087093" w:rsidRPr="002E60EB">
        <w:rPr>
          <w:lang w:val="en-US"/>
        </w:rPr>
        <w:t>“</w:t>
      </w:r>
      <w:r w:rsidRPr="002E60EB">
        <w:rPr>
          <w:lang w:val="en-US"/>
        </w:rPr>
        <w:t>Report No. 136/10</w:t>
      </w:r>
      <w:r w:rsidR="00087093" w:rsidRPr="002E60EB">
        <w:rPr>
          <w:lang w:val="en-US"/>
        </w:rPr>
        <w:t>”</w:t>
      </w:r>
      <w:r w:rsidRPr="002E60EB">
        <w:rPr>
          <w:lang w:val="en-US"/>
        </w:rPr>
        <w:t xml:space="preserve">), </w:t>
      </w:r>
      <w:r w:rsidR="005D2A1D" w:rsidRPr="002E60EB">
        <w:rPr>
          <w:lang w:val="en-US"/>
        </w:rPr>
        <w:t>in keeping with</w:t>
      </w:r>
      <w:r w:rsidR="000D76B9" w:rsidRPr="002E60EB">
        <w:rPr>
          <w:lang w:val="en-US"/>
        </w:rPr>
        <w:t xml:space="preserve"> Article 50 of the Convention, </w:t>
      </w:r>
      <w:r w:rsidR="005D2A1D" w:rsidRPr="002E60EB">
        <w:rPr>
          <w:lang w:val="en-US"/>
        </w:rPr>
        <w:t>in</w:t>
      </w:r>
      <w:r w:rsidRPr="002E60EB">
        <w:rPr>
          <w:lang w:val="en-US"/>
        </w:rPr>
        <w:t xml:space="preserve"> which it </w:t>
      </w:r>
      <w:r w:rsidR="005D2A1D" w:rsidRPr="002E60EB">
        <w:rPr>
          <w:lang w:val="en-US"/>
        </w:rPr>
        <w:t xml:space="preserve">made </w:t>
      </w:r>
      <w:r w:rsidRPr="002E60EB">
        <w:rPr>
          <w:lang w:val="en-US"/>
        </w:rPr>
        <w:t>a series of recommendations to the State.</w:t>
      </w:r>
      <w:r w:rsidRPr="002E60EB">
        <w:rPr>
          <w:lang w:val="en-US" w:eastAsia="es-ES"/>
        </w:rPr>
        <w:t xml:space="preserve"> </w:t>
      </w:r>
      <w:r w:rsidR="00401908" w:rsidRPr="002E60EB">
        <w:rPr>
          <w:lang w:val="en-US" w:eastAsia="es-ES"/>
        </w:rPr>
        <w:t>This report</w:t>
      </w:r>
      <w:r w:rsidR="005D2A1D" w:rsidRPr="002E60EB">
        <w:rPr>
          <w:lang w:val="en-US" w:eastAsia="es-ES"/>
        </w:rPr>
        <w:t xml:space="preserve"> was notified to the</w:t>
      </w:r>
      <w:r w:rsidRPr="002E60EB">
        <w:rPr>
          <w:lang w:val="en-US" w:eastAsia="es-ES"/>
        </w:rPr>
        <w:t xml:space="preserve"> State </w:t>
      </w:r>
      <w:r w:rsidR="005D2A1D" w:rsidRPr="002E60EB">
        <w:rPr>
          <w:lang w:val="en-US" w:eastAsia="es-ES"/>
        </w:rPr>
        <w:t xml:space="preserve">in a communication of </w:t>
      </w:r>
      <w:r w:rsidRPr="002E60EB">
        <w:rPr>
          <w:lang w:val="en-US" w:eastAsia="es-ES"/>
        </w:rPr>
        <w:t xml:space="preserve">December 2, 2010, and </w:t>
      </w:r>
      <w:r w:rsidR="005D2A1D" w:rsidRPr="002E60EB">
        <w:rPr>
          <w:lang w:val="en-US" w:eastAsia="es-ES"/>
        </w:rPr>
        <w:t>granted</w:t>
      </w:r>
      <w:r w:rsidRPr="002E60EB">
        <w:rPr>
          <w:lang w:val="en-US" w:eastAsia="es-ES"/>
        </w:rPr>
        <w:t xml:space="preserve"> two-month</w:t>
      </w:r>
      <w:r w:rsidR="005D2A1D" w:rsidRPr="002E60EB">
        <w:rPr>
          <w:lang w:val="en-US" w:eastAsia="es-ES"/>
        </w:rPr>
        <w:t>s</w:t>
      </w:r>
      <w:r w:rsidRPr="002E60EB">
        <w:rPr>
          <w:lang w:val="en-US" w:eastAsia="es-ES"/>
        </w:rPr>
        <w:t xml:space="preserve"> to </w:t>
      </w:r>
      <w:r w:rsidR="00401908" w:rsidRPr="002E60EB">
        <w:rPr>
          <w:lang w:val="en-US" w:eastAsia="es-ES"/>
        </w:rPr>
        <w:t>provide information</w:t>
      </w:r>
      <w:r w:rsidRPr="002E60EB">
        <w:rPr>
          <w:lang w:val="en-US" w:eastAsia="es-ES"/>
        </w:rPr>
        <w:t xml:space="preserve"> on the measures </w:t>
      </w:r>
      <w:r w:rsidR="00401908" w:rsidRPr="002E60EB">
        <w:rPr>
          <w:lang w:val="en-US" w:eastAsia="es-ES"/>
        </w:rPr>
        <w:t>taken</w:t>
      </w:r>
      <w:r w:rsidRPr="002E60EB">
        <w:rPr>
          <w:lang w:val="en-US" w:eastAsia="es-ES"/>
        </w:rPr>
        <w:t xml:space="preserve"> to comply with the recommendations </w:t>
      </w:r>
      <w:r w:rsidR="005D2A1D" w:rsidRPr="002E60EB">
        <w:rPr>
          <w:lang w:val="en-US" w:eastAsia="es-ES"/>
        </w:rPr>
        <w:t xml:space="preserve">made </w:t>
      </w:r>
      <w:r w:rsidRPr="002E60EB">
        <w:rPr>
          <w:lang w:val="en-US" w:eastAsia="es-ES"/>
        </w:rPr>
        <w:t xml:space="preserve">therein. </w:t>
      </w:r>
      <w:r w:rsidRPr="002E60EB">
        <w:rPr>
          <w:lang w:val="en-US"/>
        </w:rPr>
        <w:t>On January 13, 2011, the State requested a one-month extension to the deadline set by the Commission; a three week extension was granted until February 22, 2011.</w:t>
      </w:r>
      <w:r w:rsidRPr="002E60EB">
        <w:rPr>
          <w:b/>
          <w:lang w:val="en-US"/>
        </w:rPr>
        <w:t xml:space="preserve"> </w:t>
      </w:r>
      <w:r w:rsidRPr="002E60EB">
        <w:rPr>
          <w:lang w:val="en-US"/>
        </w:rPr>
        <w:t xml:space="preserve">When the extension expired, </w:t>
      </w:r>
      <w:r w:rsidR="00EF2223" w:rsidRPr="002E60EB">
        <w:rPr>
          <w:lang w:val="en-US"/>
        </w:rPr>
        <w:t>Colombia</w:t>
      </w:r>
      <w:r w:rsidRPr="002E60EB">
        <w:rPr>
          <w:lang w:val="en-US"/>
        </w:rPr>
        <w:t xml:space="preserve"> </w:t>
      </w:r>
      <w:r w:rsidR="00EF2223" w:rsidRPr="002E60EB">
        <w:rPr>
          <w:lang w:val="en-US"/>
        </w:rPr>
        <w:t xml:space="preserve">presented the respective </w:t>
      </w:r>
      <w:r w:rsidR="00401908" w:rsidRPr="002E60EB">
        <w:rPr>
          <w:lang w:val="en-US"/>
        </w:rPr>
        <w:t>information</w:t>
      </w:r>
      <w:r w:rsidRPr="002E60EB">
        <w:rPr>
          <w:lang w:val="en-US"/>
        </w:rPr>
        <w:t xml:space="preserve"> and </w:t>
      </w:r>
      <w:r w:rsidR="00EF2223" w:rsidRPr="002E60EB">
        <w:rPr>
          <w:lang w:val="en-US"/>
        </w:rPr>
        <w:t xml:space="preserve">asked </w:t>
      </w:r>
      <w:r w:rsidRPr="002E60EB">
        <w:rPr>
          <w:lang w:val="en-US"/>
        </w:rPr>
        <w:t xml:space="preserve">the Commission to issue a report in </w:t>
      </w:r>
      <w:r w:rsidR="00401908" w:rsidRPr="002E60EB">
        <w:rPr>
          <w:lang w:val="en-US"/>
        </w:rPr>
        <w:t xml:space="preserve">keeping </w:t>
      </w:r>
      <w:r w:rsidRPr="002E60EB">
        <w:rPr>
          <w:lang w:val="en-US"/>
        </w:rPr>
        <w:t>with the provisions of Article 51 of the Convention.</w:t>
      </w:r>
      <w:r w:rsidR="00EF2223" w:rsidRPr="002E60EB">
        <w:rPr>
          <w:b/>
          <w:lang w:val="en-US"/>
        </w:rPr>
        <w:t xml:space="preserve"> </w:t>
      </w:r>
      <w:r w:rsidRPr="002E60EB">
        <w:rPr>
          <w:lang w:val="en-US"/>
        </w:rPr>
        <w:t xml:space="preserve">The Commission decided to submit </w:t>
      </w:r>
      <w:r w:rsidR="00087093" w:rsidRPr="002E60EB">
        <w:rPr>
          <w:lang w:val="en-US"/>
        </w:rPr>
        <w:t>“</w:t>
      </w:r>
      <w:r w:rsidR="00EF2223" w:rsidRPr="002E60EB">
        <w:rPr>
          <w:lang w:val="en-US"/>
        </w:rPr>
        <w:t>all</w:t>
      </w:r>
      <w:r w:rsidRPr="002E60EB">
        <w:rPr>
          <w:lang w:val="en-US"/>
        </w:rPr>
        <w:t xml:space="preserve"> the facts and human rights </w:t>
      </w:r>
      <w:r w:rsidR="00EF2223" w:rsidRPr="002E60EB">
        <w:rPr>
          <w:lang w:val="en-US"/>
        </w:rPr>
        <w:t xml:space="preserve">violations </w:t>
      </w:r>
      <w:r w:rsidRPr="002E60EB">
        <w:rPr>
          <w:lang w:val="en-US"/>
        </w:rPr>
        <w:t>described in Merits</w:t>
      </w:r>
      <w:r w:rsidR="00EF2223" w:rsidRPr="002E60EB">
        <w:rPr>
          <w:lang w:val="en-US"/>
        </w:rPr>
        <w:t xml:space="preserve"> Report</w:t>
      </w:r>
      <w:r w:rsidRPr="002E60EB">
        <w:rPr>
          <w:lang w:val="en-US"/>
        </w:rPr>
        <w:t xml:space="preserve"> No. 136/10,</w:t>
      </w:r>
      <w:r w:rsidR="00087093" w:rsidRPr="002E60EB">
        <w:rPr>
          <w:lang w:val="en-US"/>
        </w:rPr>
        <w:t>”</w:t>
      </w:r>
      <w:r w:rsidRPr="002E60EB">
        <w:rPr>
          <w:lang w:val="en-US"/>
        </w:rPr>
        <w:t xml:space="preserve"> </w:t>
      </w:r>
      <w:r w:rsidR="00401908" w:rsidRPr="002E60EB">
        <w:rPr>
          <w:lang w:val="en-US"/>
        </w:rPr>
        <w:t xml:space="preserve">to the jurisdiction of the Inter-American Court, </w:t>
      </w:r>
      <w:r w:rsidR="00087093" w:rsidRPr="002E60EB">
        <w:rPr>
          <w:lang w:val="en-US"/>
        </w:rPr>
        <w:t>“</w:t>
      </w:r>
      <w:r w:rsidR="00401908" w:rsidRPr="002E60EB">
        <w:rPr>
          <w:lang w:val="en-US"/>
        </w:rPr>
        <w:t>because of</w:t>
      </w:r>
      <w:r w:rsidRPr="002E60EB">
        <w:rPr>
          <w:lang w:val="en-US"/>
        </w:rPr>
        <w:t xml:space="preserve"> the need to obtain justice for the [</w:t>
      </w:r>
      <w:r w:rsidR="00EF2223" w:rsidRPr="002E60EB">
        <w:rPr>
          <w:lang w:val="en-US"/>
        </w:rPr>
        <w:t>presumed</w:t>
      </w:r>
      <w:r w:rsidRPr="002E60EB">
        <w:rPr>
          <w:lang w:val="en-US"/>
        </w:rPr>
        <w:t xml:space="preserve">] victims </w:t>
      </w:r>
      <w:r w:rsidR="00EF2223" w:rsidRPr="002E60EB">
        <w:rPr>
          <w:lang w:val="en-US"/>
        </w:rPr>
        <w:t xml:space="preserve">and owing to the State’s </w:t>
      </w:r>
      <w:r w:rsidRPr="002E60EB">
        <w:rPr>
          <w:lang w:val="en-US"/>
        </w:rPr>
        <w:t>[alleged] failure to comply with the recommendations.</w:t>
      </w:r>
      <w:r w:rsidR="00087093" w:rsidRPr="002E60EB">
        <w:rPr>
          <w:lang w:val="en-US"/>
        </w:rPr>
        <w:t>”</w:t>
      </w:r>
      <w:r w:rsidRPr="002E60EB">
        <w:rPr>
          <w:lang w:val="en-US"/>
        </w:rPr>
        <w:t xml:space="preserve"> The Commission appointed </w:t>
      </w:r>
      <w:r w:rsidRPr="002E60EB">
        <w:rPr>
          <w:lang w:val="en-US" w:eastAsia="es-ES"/>
        </w:rPr>
        <w:t>María Silvia Guillén Cardona</w:t>
      </w:r>
      <w:r w:rsidRPr="002E60EB">
        <w:rPr>
          <w:lang w:val="en-US"/>
        </w:rPr>
        <w:t>, Commissioner, Santiago A. Cantón,</w:t>
      </w:r>
      <w:r w:rsidRPr="002E60EB">
        <w:rPr>
          <w:color w:val="0000FF"/>
          <w:lang w:val="en-US"/>
        </w:rPr>
        <w:t xml:space="preserve"> </w:t>
      </w:r>
      <w:r w:rsidR="00EF2223" w:rsidRPr="002E60EB">
        <w:rPr>
          <w:lang w:val="en-US" w:eastAsia="es-ES"/>
        </w:rPr>
        <w:t>then</w:t>
      </w:r>
      <w:r w:rsidRPr="002E60EB">
        <w:rPr>
          <w:color w:val="0000FF"/>
          <w:lang w:val="en-US" w:eastAsia="es-ES"/>
        </w:rPr>
        <w:t xml:space="preserve"> </w:t>
      </w:r>
      <w:r w:rsidRPr="002E60EB">
        <w:rPr>
          <w:lang w:val="en-US"/>
        </w:rPr>
        <w:t>Executive Secretary, and Catalina Bo</w:t>
      </w:r>
      <w:r w:rsidR="001A6950" w:rsidRPr="002E60EB">
        <w:rPr>
          <w:lang w:val="en-US"/>
        </w:rPr>
        <w:t xml:space="preserve">tero, Special Rapporteur for </w:t>
      </w:r>
      <w:r w:rsidRPr="002E60EB">
        <w:rPr>
          <w:lang w:val="en-US"/>
        </w:rPr>
        <w:t xml:space="preserve">Freedom of Expression, as </w:t>
      </w:r>
      <w:r w:rsidR="00EF2223" w:rsidRPr="002E60EB">
        <w:rPr>
          <w:lang w:val="en-US"/>
        </w:rPr>
        <w:t>d</w:t>
      </w:r>
      <w:r w:rsidRPr="002E60EB">
        <w:rPr>
          <w:lang w:val="en-US"/>
        </w:rPr>
        <w:t>elegates</w:t>
      </w:r>
      <w:r w:rsidR="00EF2223" w:rsidRPr="002E60EB">
        <w:rPr>
          <w:lang w:val="en-US"/>
        </w:rPr>
        <w:t>,</w:t>
      </w:r>
      <w:r w:rsidRPr="002E60EB">
        <w:rPr>
          <w:lang w:val="en-US"/>
        </w:rPr>
        <w:t xml:space="preserve"> </w:t>
      </w:r>
      <w:r w:rsidR="00EF2223" w:rsidRPr="002E60EB">
        <w:rPr>
          <w:lang w:val="en-US"/>
        </w:rPr>
        <w:t>and</w:t>
      </w:r>
      <w:r w:rsidRPr="002E60EB">
        <w:rPr>
          <w:lang w:val="en-US"/>
        </w:rPr>
        <w:t xml:space="preserve"> </w:t>
      </w:r>
      <w:r w:rsidR="001A6950" w:rsidRPr="002E60EB">
        <w:rPr>
          <w:lang w:val="en-US"/>
        </w:rPr>
        <w:t xml:space="preserve">designated </w:t>
      </w:r>
      <w:r w:rsidRPr="002E60EB">
        <w:rPr>
          <w:lang w:val="en-US"/>
        </w:rPr>
        <w:t xml:space="preserve">Elizabeth Abi-Mershed, Deputy Executive Secretary, </w:t>
      </w:r>
      <w:r w:rsidRPr="002E60EB">
        <w:rPr>
          <w:lang w:val="en-US" w:eastAsia="es-ES"/>
        </w:rPr>
        <w:t>Silvia Serrano Guzmán and Michael Camilleri</w:t>
      </w:r>
      <w:r w:rsidR="00EF2223" w:rsidRPr="002E60EB">
        <w:rPr>
          <w:lang w:val="en-US" w:eastAsia="es-ES"/>
        </w:rPr>
        <w:t>, as legal advisers.</w:t>
      </w:r>
      <w:r w:rsidRPr="002E60EB">
        <w:rPr>
          <w:b/>
          <w:lang w:val="en-US" w:eastAsia="es-ES"/>
        </w:rPr>
        <w:t xml:space="preserve"> </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According to the Commission, this case relate</w:t>
      </w:r>
      <w:r w:rsidR="00EF2223" w:rsidRPr="002E60EB">
        <w:rPr>
          <w:lang w:val="en-US" w:eastAsia="es-ES"/>
        </w:rPr>
        <w:t>s</w:t>
      </w:r>
      <w:r w:rsidRPr="002E60EB">
        <w:rPr>
          <w:lang w:val="en-US" w:eastAsia="es-ES"/>
        </w:rPr>
        <w:t xml:space="preserve"> to the </w:t>
      </w:r>
      <w:r w:rsidR="00EF2223" w:rsidRPr="002E60EB">
        <w:rPr>
          <w:lang w:val="en-US" w:eastAsia="es-ES"/>
        </w:rPr>
        <w:t xml:space="preserve">supposed </w:t>
      </w:r>
      <w:r w:rsidR="00087093" w:rsidRPr="002E60EB">
        <w:rPr>
          <w:lang w:val="en-US" w:eastAsia="es-ES"/>
        </w:rPr>
        <w:t>“</w:t>
      </w:r>
      <w:r w:rsidRPr="002E60EB">
        <w:rPr>
          <w:lang w:val="en-US"/>
        </w:rPr>
        <w:t xml:space="preserve">attack against Luis Gonzalo ‘Richard Vélez Restrepo by soldiers of the Colombian </w:t>
      </w:r>
      <w:r w:rsidR="00EF2223" w:rsidRPr="002E60EB">
        <w:rPr>
          <w:lang w:val="en-US"/>
        </w:rPr>
        <w:t>N</w:t>
      </w:r>
      <w:r w:rsidRPr="002E60EB">
        <w:rPr>
          <w:lang w:val="en-US"/>
        </w:rPr>
        <w:t xml:space="preserve">ational </w:t>
      </w:r>
      <w:r w:rsidR="00EF2223" w:rsidRPr="002E60EB">
        <w:rPr>
          <w:lang w:val="en-US"/>
        </w:rPr>
        <w:t>A</w:t>
      </w:r>
      <w:r w:rsidRPr="002E60EB">
        <w:rPr>
          <w:lang w:val="en-US"/>
        </w:rPr>
        <w:t xml:space="preserve">rmy on August 29, 1996, while he was filming a </w:t>
      </w:r>
      <w:r w:rsidR="001A6950" w:rsidRPr="002E60EB">
        <w:rPr>
          <w:lang w:val="en-US"/>
        </w:rPr>
        <w:t xml:space="preserve">protest </w:t>
      </w:r>
      <w:r w:rsidRPr="002E60EB">
        <w:rPr>
          <w:lang w:val="en-US"/>
        </w:rPr>
        <w:t xml:space="preserve">demonstration, in which that institution’s soldiers beat several of the </w:t>
      </w:r>
      <w:r w:rsidR="001A6950" w:rsidRPr="002E60EB">
        <w:rPr>
          <w:lang w:val="en-US"/>
        </w:rPr>
        <w:t xml:space="preserve">protesters – </w:t>
      </w:r>
      <w:r w:rsidRPr="002E60EB">
        <w:rPr>
          <w:lang w:val="en-US"/>
        </w:rPr>
        <w:t>acts that were documented by the journalist,</w:t>
      </w:r>
      <w:r w:rsidR="00087093" w:rsidRPr="002E60EB">
        <w:rPr>
          <w:lang w:val="en-US"/>
        </w:rPr>
        <w:t>”</w:t>
      </w:r>
      <w:r w:rsidRPr="002E60EB">
        <w:rPr>
          <w:lang w:val="en-US"/>
        </w:rPr>
        <w:t xml:space="preserve"> and </w:t>
      </w:r>
      <w:r w:rsidR="001A6950" w:rsidRPr="002E60EB">
        <w:rPr>
          <w:lang w:val="en-US"/>
        </w:rPr>
        <w:t xml:space="preserve">to </w:t>
      </w:r>
      <w:r w:rsidRPr="002E60EB">
        <w:rPr>
          <w:lang w:val="en-US"/>
        </w:rPr>
        <w:t xml:space="preserve">the alleged </w:t>
      </w:r>
      <w:r w:rsidR="00087093" w:rsidRPr="002E60EB">
        <w:rPr>
          <w:lang w:val="en-US"/>
        </w:rPr>
        <w:t>“</w:t>
      </w:r>
      <w:r w:rsidRPr="002E60EB">
        <w:rPr>
          <w:lang w:val="en-US"/>
        </w:rPr>
        <w:t xml:space="preserve">death threats against Richard Vélez and his family, threats which intensified when Mr. Vélez tried to </w:t>
      </w:r>
      <w:r w:rsidR="00EF2223" w:rsidRPr="002E60EB">
        <w:rPr>
          <w:lang w:val="en-US"/>
        </w:rPr>
        <w:t>advance</w:t>
      </w:r>
      <w:r w:rsidRPr="002E60EB">
        <w:rPr>
          <w:lang w:val="en-US"/>
        </w:rPr>
        <w:t xml:space="preserve"> the judicial proceedings against his </w:t>
      </w:r>
      <w:r w:rsidR="00EF2223" w:rsidRPr="002E60EB">
        <w:rPr>
          <w:lang w:val="en-US"/>
        </w:rPr>
        <w:t>attackers</w:t>
      </w:r>
      <w:r w:rsidRPr="002E60EB">
        <w:rPr>
          <w:lang w:val="en-US"/>
        </w:rPr>
        <w:t xml:space="preserve">, and which </w:t>
      </w:r>
      <w:r w:rsidR="001A6950" w:rsidRPr="002E60EB">
        <w:rPr>
          <w:lang w:val="en-US"/>
        </w:rPr>
        <w:t>resulted in</w:t>
      </w:r>
      <w:r w:rsidRPr="002E60EB">
        <w:rPr>
          <w:lang w:val="en-US"/>
        </w:rPr>
        <w:t xml:space="preserve"> </w:t>
      </w:r>
      <w:r w:rsidR="00EF2223" w:rsidRPr="002E60EB">
        <w:rPr>
          <w:lang w:val="en-US"/>
        </w:rPr>
        <w:t>a</w:t>
      </w:r>
      <w:r w:rsidRPr="002E60EB">
        <w:rPr>
          <w:lang w:val="en-US"/>
        </w:rPr>
        <w:t xml:space="preserve"> [</w:t>
      </w:r>
      <w:r w:rsidR="00EF2223" w:rsidRPr="002E60EB">
        <w:rPr>
          <w:lang w:val="en-US"/>
        </w:rPr>
        <w:t>supposed</w:t>
      </w:r>
      <w:r w:rsidRPr="002E60EB">
        <w:rPr>
          <w:lang w:val="en-US"/>
        </w:rPr>
        <w:t>] attempt</w:t>
      </w:r>
      <w:r w:rsidR="00EF2223" w:rsidRPr="002E60EB">
        <w:rPr>
          <w:lang w:val="en-US"/>
        </w:rPr>
        <w:t xml:space="preserve"> to</w:t>
      </w:r>
      <w:r w:rsidRPr="002E60EB">
        <w:rPr>
          <w:lang w:val="en-US"/>
        </w:rPr>
        <w:t xml:space="preserve"> </w:t>
      </w:r>
      <w:r w:rsidR="00680790" w:rsidRPr="002E60EB">
        <w:rPr>
          <w:lang w:val="en-US"/>
        </w:rPr>
        <w:t>abduct</w:t>
      </w:r>
      <w:r w:rsidR="00EF2223" w:rsidRPr="002E60EB">
        <w:rPr>
          <w:lang w:val="en-US"/>
        </w:rPr>
        <w:t xml:space="preserve"> him</w:t>
      </w:r>
      <w:r w:rsidRPr="002E60EB">
        <w:rPr>
          <w:lang w:val="en-US"/>
        </w:rPr>
        <w:t>.</w:t>
      </w:r>
      <w:r w:rsidR="00087093" w:rsidRPr="002E60EB">
        <w:rPr>
          <w:lang w:val="en-US"/>
        </w:rPr>
        <w:t>”</w:t>
      </w:r>
      <w:r w:rsidRPr="002E60EB">
        <w:rPr>
          <w:lang w:val="en-US"/>
        </w:rPr>
        <w:t xml:space="preserve"> </w:t>
      </w:r>
      <w:r w:rsidR="00EF2223" w:rsidRPr="002E60EB">
        <w:rPr>
          <w:lang w:val="en-US"/>
        </w:rPr>
        <w:t>According to the Commission, a</w:t>
      </w:r>
      <w:r w:rsidRPr="002E60EB">
        <w:rPr>
          <w:lang w:val="en-US"/>
        </w:rPr>
        <w:t xml:space="preserve">s a </w:t>
      </w:r>
      <w:r w:rsidR="00EF2223" w:rsidRPr="002E60EB">
        <w:rPr>
          <w:lang w:val="en-US"/>
        </w:rPr>
        <w:t xml:space="preserve">result </w:t>
      </w:r>
      <w:r w:rsidRPr="002E60EB">
        <w:rPr>
          <w:lang w:val="en-US"/>
        </w:rPr>
        <w:t xml:space="preserve">of these </w:t>
      </w:r>
      <w:r w:rsidR="00EF2223" w:rsidRPr="002E60EB">
        <w:rPr>
          <w:lang w:val="en-US"/>
        </w:rPr>
        <w:t>even</w:t>
      </w:r>
      <w:r w:rsidRPr="002E60EB">
        <w:rPr>
          <w:lang w:val="en-US"/>
        </w:rPr>
        <w:t>ts, Mr. Vélez</w:t>
      </w:r>
      <w:r w:rsidR="00EF2223" w:rsidRPr="002E60EB">
        <w:rPr>
          <w:lang w:val="en-US"/>
        </w:rPr>
        <w:t xml:space="preserve"> Restrepo</w:t>
      </w:r>
      <w:r w:rsidRPr="002E60EB">
        <w:rPr>
          <w:lang w:val="en-US"/>
        </w:rPr>
        <w:t xml:space="preserve"> </w:t>
      </w:r>
      <w:r w:rsidR="00087093" w:rsidRPr="002E60EB">
        <w:rPr>
          <w:lang w:val="en-US"/>
        </w:rPr>
        <w:t>“</w:t>
      </w:r>
      <w:r w:rsidR="00AC1940" w:rsidRPr="002E60EB">
        <w:rPr>
          <w:lang w:val="en-US"/>
        </w:rPr>
        <w:t>left</w:t>
      </w:r>
      <w:r w:rsidRPr="002E60EB">
        <w:rPr>
          <w:lang w:val="en-US"/>
        </w:rPr>
        <w:t xml:space="preserve"> Colombia</w:t>
      </w:r>
      <w:r w:rsidR="00AC1940" w:rsidRPr="002E60EB">
        <w:rPr>
          <w:lang w:val="en-US"/>
        </w:rPr>
        <w:t xml:space="preserve"> to go into exile</w:t>
      </w:r>
      <w:r w:rsidR="00087093" w:rsidRPr="002E60EB">
        <w:rPr>
          <w:lang w:val="en-US"/>
        </w:rPr>
        <w:t>”</w:t>
      </w:r>
      <w:r w:rsidRPr="002E60EB">
        <w:rPr>
          <w:lang w:val="en-US"/>
        </w:rPr>
        <w:t xml:space="preserve"> on October 9, 1997, and</w:t>
      </w:r>
      <w:r w:rsidR="00AC1940" w:rsidRPr="002E60EB">
        <w:rPr>
          <w:lang w:val="en-US"/>
        </w:rPr>
        <w:t xml:space="preserve"> currently</w:t>
      </w:r>
      <w:r w:rsidRPr="002E60EB">
        <w:rPr>
          <w:lang w:val="en-US"/>
        </w:rPr>
        <w:t xml:space="preserve"> </w:t>
      </w:r>
      <w:r w:rsidR="00087093" w:rsidRPr="002E60EB">
        <w:rPr>
          <w:lang w:val="en-US"/>
        </w:rPr>
        <w:t>“</w:t>
      </w:r>
      <w:r w:rsidR="00AC1940" w:rsidRPr="002E60EB">
        <w:rPr>
          <w:lang w:val="en-US"/>
        </w:rPr>
        <w:t>is unable to</w:t>
      </w:r>
      <w:r w:rsidRPr="002E60EB">
        <w:rPr>
          <w:lang w:val="en-US"/>
        </w:rPr>
        <w:t xml:space="preserve"> work as a journalist.</w:t>
      </w:r>
      <w:r w:rsidR="00087093" w:rsidRPr="002E60EB">
        <w:rPr>
          <w:lang w:val="en-US"/>
        </w:rPr>
        <w:t>”</w:t>
      </w:r>
      <w:r w:rsidRPr="002E60EB">
        <w:rPr>
          <w:lang w:val="en-US" w:eastAsia="es-ES"/>
        </w:rPr>
        <w:t xml:space="preserve"> </w:t>
      </w:r>
      <w:r w:rsidR="00AC1940" w:rsidRPr="002E60EB">
        <w:rPr>
          <w:lang w:val="en-US" w:eastAsia="es-ES"/>
        </w:rPr>
        <w:t>In ad</w:t>
      </w:r>
      <w:r w:rsidRPr="002E60EB">
        <w:rPr>
          <w:lang w:val="en-US" w:eastAsia="es-ES"/>
        </w:rPr>
        <w:t xml:space="preserve">dition, the </w:t>
      </w:r>
      <w:r w:rsidR="00AC1940" w:rsidRPr="002E60EB">
        <w:rPr>
          <w:lang w:val="en-US" w:eastAsia="es-ES"/>
        </w:rPr>
        <w:t xml:space="preserve">Merits Report </w:t>
      </w:r>
      <w:r w:rsidRPr="002E60EB">
        <w:rPr>
          <w:lang w:val="en-US" w:eastAsia="es-ES"/>
        </w:rPr>
        <w:t xml:space="preserve">refers to the alleged </w:t>
      </w:r>
      <w:r w:rsidR="00087093" w:rsidRPr="002E60EB">
        <w:rPr>
          <w:lang w:val="en-US" w:eastAsia="es-ES"/>
        </w:rPr>
        <w:t>“</w:t>
      </w:r>
      <w:r w:rsidRPr="002E60EB">
        <w:rPr>
          <w:lang w:val="en-US" w:eastAsia="es-ES"/>
        </w:rPr>
        <w:t>[failure to]</w:t>
      </w:r>
      <w:r w:rsidR="00AC1940" w:rsidRPr="002E60EB">
        <w:rPr>
          <w:lang w:val="en-US" w:eastAsia="es-ES"/>
        </w:rPr>
        <w:t xml:space="preserve"> conduct</w:t>
      </w:r>
      <w:r w:rsidRPr="002E60EB">
        <w:rPr>
          <w:lang w:val="en-US" w:eastAsia="es-ES"/>
        </w:rPr>
        <w:t xml:space="preserve"> a </w:t>
      </w:r>
      <w:r w:rsidR="00AC1940" w:rsidRPr="002E60EB">
        <w:rPr>
          <w:lang w:val="en-US" w:eastAsia="es-ES"/>
        </w:rPr>
        <w:t xml:space="preserve">thorough </w:t>
      </w:r>
      <w:r w:rsidRPr="002E60EB">
        <w:rPr>
          <w:lang w:val="en-US" w:eastAsia="es-ES"/>
        </w:rPr>
        <w:t>investigation</w:t>
      </w:r>
      <w:r w:rsidR="00AC1940" w:rsidRPr="002E60EB">
        <w:rPr>
          <w:lang w:val="en-US" w:eastAsia="es-ES"/>
        </w:rPr>
        <w:t>, within a reasonable time and in the ordinary jurisdiction,</w:t>
      </w:r>
      <w:r w:rsidRPr="002E60EB">
        <w:rPr>
          <w:lang w:val="en-US" w:eastAsia="es-ES"/>
        </w:rPr>
        <w:t xml:space="preserve"> into</w:t>
      </w:r>
      <w:r w:rsidR="00AC1940" w:rsidRPr="002E60EB">
        <w:rPr>
          <w:lang w:val="en-US" w:eastAsia="es-ES"/>
        </w:rPr>
        <w:t xml:space="preserve"> all</w:t>
      </w:r>
      <w:r w:rsidRPr="002E60EB">
        <w:rPr>
          <w:lang w:val="en-US" w:eastAsia="es-ES"/>
        </w:rPr>
        <w:t xml:space="preserve"> the acts of violence and harassment against </w:t>
      </w:r>
      <w:r w:rsidR="00AC1940" w:rsidRPr="002E60EB">
        <w:rPr>
          <w:lang w:val="en-US" w:eastAsia="es-ES"/>
        </w:rPr>
        <w:t>[</w:t>
      </w:r>
      <w:r w:rsidRPr="002E60EB">
        <w:rPr>
          <w:lang w:val="en-US" w:eastAsia="es-ES"/>
        </w:rPr>
        <w:t>Mr.</w:t>
      </w:r>
      <w:r w:rsidR="00AC1940" w:rsidRPr="002E60EB">
        <w:rPr>
          <w:lang w:val="en-US" w:eastAsia="es-ES"/>
        </w:rPr>
        <w:t>]</w:t>
      </w:r>
      <w:r w:rsidRPr="002E60EB">
        <w:rPr>
          <w:lang w:val="en-US" w:eastAsia="es-ES"/>
        </w:rPr>
        <w:t xml:space="preserve"> Vélez Restrepo and his family in order to identify, prosecute and punish those responsible for </w:t>
      </w:r>
      <w:r w:rsidR="00AC1940" w:rsidRPr="002E60EB">
        <w:rPr>
          <w:lang w:val="en-US" w:eastAsia="es-ES"/>
        </w:rPr>
        <w:t xml:space="preserve">the said </w:t>
      </w:r>
      <w:r w:rsidRPr="002E60EB">
        <w:rPr>
          <w:lang w:val="en-US" w:eastAsia="es-ES"/>
        </w:rPr>
        <w:t>acts,</w:t>
      </w:r>
      <w:r w:rsidR="00087093" w:rsidRPr="002E60EB">
        <w:rPr>
          <w:lang w:val="en-US" w:eastAsia="es-ES"/>
        </w:rPr>
        <w:t>”</w:t>
      </w:r>
      <w:r w:rsidRPr="002E60EB">
        <w:rPr>
          <w:lang w:val="en-US" w:eastAsia="es-ES"/>
        </w:rPr>
        <w:t xml:space="preserve"> </w:t>
      </w:r>
      <w:r w:rsidR="00AC1940" w:rsidRPr="002E60EB">
        <w:rPr>
          <w:lang w:val="en-US" w:eastAsia="es-ES"/>
        </w:rPr>
        <w:t>and also to</w:t>
      </w:r>
      <w:r w:rsidRPr="002E60EB">
        <w:rPr>
          <w:lang w:val="en-US" w:eastAsia="es-ES"/>
        </w:rPr>
        <w:t xml:space="preserve"> the </w:t>
      </w:r>
      <w:r w:rsidR="00AC1940" w:rsidRPr="002E60EB">
        <w:rPr>
          <w:lang w:val="en-US" w:eastAsia="es-ES"/>
        </w:rPr>
        <w:t xml:space="preserve">supposed </w:t>
      </w:r>
      <w:r w:rsidR="00087093" w:rsidRPr="002E60EB">
        <w:rPr>
          <w:lang w:val="en-US" w:eastAsia="es-ES"/>
        </w:rPr>
        <w:t>“</w:t>
      </w:r>
      <w:r w:rsidR="000D39EE" w:rsidRPr="002E60EB">
        <w:rPr>
          <w:lang w:val="en-US" w:eastAsia="es-ES"/>
        </w:rPr>
        <w:t>shortcomings</w:t>
      </w:r>
      <w:r w:rsidR="00AC1940" w:rsidRPr="002E60EB">
        <w:rPr>
          <w:lang w:val="en-US" w:eastAsia="es-ES"/>
        </w:rPr>
        <w:t xml:space="preserve"> in the investigation </w:t>
      </w:r>
      <w:r w:rsidRPr="002E60EB">
        <w:rPr>
          <w:lang w:val="en-US" w:eastAsia="es-ES"/>
        </w:rPr>
        <w:t>and omissions in the protection of Mr. Vélez [Restrepo] and his family.</w:t>
      </w:r>
      <w:r w:rsidR="00087093" w:rsidRPr="002E60EB">
        <w:rPr>
          <w:lang w:val="en-US" w:eastAsia="es-ES"/>
        </w:rPr>
        <w:t>”</w:t>
      </w:r>
      <w:r w:rsidRPr="002E60EB">
        <w:rPr>
          <w:lang w:val="en-US" w:eastAsia="es-ES"/>
        </w:rPr>
        <w:t xml:space="preserve"> </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lastRenderedPageBreak/>
        <w:t xml:space="preserve">Based on the </w:t>
      </w:r>
      <w:r w:rsidR="00AC1940" w:rsidRPr="002E60EB">
        <w:rPr>
          <w:lang w:val="en-US" w:eastAsia="es-ES"/>
        </w:rPr>
        <w:t>above</w:t>
      </w:r>
      <w:r w:rsidRPr="002E60EB">
        <w:rPr>
          <w:lang w:val="en-US" w:eastAsia="es-ES"/>
        </w:rPr>
        <w:t xml:space="preserve">, </w:t>
      </w:r>
      <w:r w:rsidRPr="002E60EB">
        <w:rPr>
          <w:rFonts w:cs="Arial"/>
          <w:lang w:val="en-US"/>
        </w:rPr>
        <w:t xml:space="preserve">the Commission </w:t>
      </w:r>
      <w:r w:rsidR="00AC1940" w:rsidRPr="002E60EB">
        <w:rPr>
          <w:rFonts w:cs="Arial"/>
          <w:lang w:val="en-US"/>
        </w:rPr>
        <w:t>asked</w:t>
      </w:r>
      <w:r w:rsidRPr="002E60EB">
        <w:rPr>
          <w:rFonts w:cs="Arial"/>
          <w:lang w:val="en-US"/>
        </w:rPr>
        <w:t xml:space="preserve"> the Court </w:t>
      </w:r>
      <w:r w:rsidR="00AC1940" w:rsidRPr="002E60EB">
        <w:rPr>
          <w:rFonts w:cs="Arial"/>
          <w:lang w:val="en-US"/>
        </w:rPr>
        <w:t>to declare the</w:t>
      </w:r>
      <w:r w:rsidRPr="002E60EB">
        <w:rPr>
          <w:rFonts w:cs="Arial"/>
          <w:lang w:val="en-US"/>
        </w:rPr>
        <w:t xml:space="preserve"> international responsib</w:t>
      </w:r>
      <w:r w:rsidR="00AC1940" w:rsidRPr="002E60EB">
        <w:rPr>
          <w:rFonts w:cs="Arial"/>
          <w:lang w:val="en-US"/>
        </w:rPr>
        <w:t>ility of Colombia</w:t>
      </w:r>
      <w:r w:rsidRPr="002E60EB">
        <w:rPr>
          <w:rFonts w:cs="Arial"/>
          <w:lang w:val="en-US"/>
        </w:rPr>
        <w:t xml:space="preserve"> for the </w:t>
      </w:r>
      <w:r w:rsidR="00AC1940" w:rsidRPr="002E60EB">
        <w:rPr>
          <w:rFonts w:cs="Arial"/>
          <w:lang w:val="en-US"/>
        </w:rPr>
        <w:t xml:space="preserve">alleged </w:t>
      </w:r>
      <w:r w:rsidRPr="002E60EB">
        <w:rPr>
          <w:rFonts w:cs="Arial"/>
          <w:lang w:val="en-US"/>
        </w:rPr>
        <w:t>violation of Articles</w:t>
      </w:r>
      <w:r w:rsidRPr="002E60EB">
        <w:rPr>
          <w:lang w:val="en-US" w:eastAsia="es-ES"/>
        </w:rPr>
        <w:t xml:space="preserve"> </w:t>
      </w:r>
      <w:r w:rsidRPr="002E60EB">
        <w:rPr>
          <w:rFonts w:cs="Arial"/>
          <w:lang w:val="en-US"/>
        </w:rPr>
        <w:t>5 (</w:t>
      </w:r>
      <w:r w:rsidR="00AC1940" w:rsidRPr="002E60EB">
        <w:rPr>
          <w:rFonts w:cs="Arial"/>
          <w:lang w:val="en-US"/>
        </w:rPr>
        <w:t>R</w:t>
      </w:r>
      <w:r w:rsidRPr="002E60EB">
        <w:rPr>
          <w:rFonts w:cs="Arial"/>
          <w:lang w:val="en-US"/>
        </w:rPr>
        <w:t xml:space="preserve">ight to </w:t>
      </w:r>
      <w:r w:rsidR="00AC1940" w:rsidRPr="002E60EB">
        <w:rPr>
          <w:rFonts w:cs="Arial"/>
          <w:lang w:val="en-US"/>
        </w:rPr>
        <w:t>H</w:t>
      </w:r>
      <w:r w:rsidRPr="002E60EB">
        <w:rPr>
          <w:rFonts w:cs="Arial"/>
          <w:lang w:val="en-US"/>
        </w:rPr>
        <w:t xml:space="preserve">umane </w:t>
      </w:r>
      <w:r w:rsidR="00334C3C" w:rsidRPr="002E60EB">
        <w:rPr>
          <w:rFonts w:cs="Arial"/>
          <w:lang w:val="en-US"/>
        </w:rPr>
        <w:t>Treatment</w:t>
      </w:r>
      <w:r w:rsidR="00AC1940" w:rsidRPr="002E60EB">
        <w:rPr>
          <w:rFonts w:cs="Arial"/>
          <w:lang w:val="en-US"/>
        </w:rPr>
        <w:t xml:space="preserve">), 17 </w:t>
      </w:r>
      <w:r w:rsidRPr="002E60EB">
        <w:rPr>
          <w:rFonts w:cs="Arial"/>
          <w:lang w:val="en-US"/>
        </w:rPr>
        <w:t>(</w:t>
      </w:r>
      <w:r w:rsidR="00AC1940" w:rsidRPr="002E60EB">
        <w:rPr>
          <w:rFonts w:cs="Arial"/>
          <w:lang w:val="en-US"/>
        </w:rPr>
        <w:t>R</w:t>
      </w:r>
      <w:r w:rsidRPr="002E60EB">
        <w:rPr>
          <w:rFonts w:cs="Arial"/>
          <w:lang w:val="en-US"/>
        </w:rPr>
        <w:t xml:space="preserve">ights of the </w:t>
      </w:r>
      <w:r w:rsidR="00AC1940" w:rsidRPr="002E60EB">
        <w:rPr>
          <w:rFonts w:cs="Arial"/>
          <w:lang w:val="en-US"/>
        </w:rPr>
        <w:t>F</w:t>
      </w:r>
      <w:r w:rsidRPr="002E60EB">
        <w:rPr>
          <w:rFonts w:cs="Arial"/>
          <w:lang w:val="en-US"/>
        </w:rPr>
        <w:t>amily), 22(1) (</w:t>
      </w:r>
      <w:r w:rsidR="00AC1940" w:rsidRPr="002E60EB">
        <w:rPr>
          <w:rFonts w:cs="Arial"/>
          <w:lang w:val="en-US"/>
        </w:rPr>
        <w:t>R</w:t>
      </w:r>
      <w:r w:rsidRPr="002E60EB">
        <w:rPr>
          <w:rFonts w:cs="Arial"/>
          <w:lang w:val="en-US"/>
        </w:rPr>
        <w:t xml:space="preserve">ight to </w:t>
      </w:r>
      <w:r w:rsidR="00AC1940" w:rsidRPr="002E60EB">
        <w:rPr>
          <w:rFonts w:cs="Arial"/>
          <w:lang w:val="en-US"/>
        </w:rPr>
        <w:t>F</w:t>
      </w:r>
      <w:r w:rsidRPr="002E60EB">
        <w:rPr>
          <w:rFonts w:cs="Arial"/>
          <w:lang w:val="en-US"/>
        </w:rPr>
        <w:t xml:space="preserve">reedom of </w:t>
      </w:r>
      <w:r w:rsidR="00AC1940" w:rsidRPr="002E60EB">
        <w:rPr>
          <w:rFonts w:cs="Arial"/>
          <w:lang w:val="en-US"/>
        </w:rPr>
        <w:t>M</w:t>
      </w:r>
      <w:r w:rsidRPr="002E60EB">
        <w:rPr>
          <w:rFonts w:cs="Arial"/>
          <w:lang w:val="en-US"/>
        </w:rPr>
        <w:t xml:space="preserve">ovement and </w:t>
      </w:r>
      <w:r w:rsidR="00AC1940" w:rsidRPr="002E60EB">
        <w:rPr>
          <w:rFonts w:cs="Arial"/>
          <w:lang w:val="en-US"/>
        </w:rPr>
        <w:t>R</w:t>
      </w:r>
      <w:r w:rsidRPr="002E60EB">
        <w:rPr>
          <w:rFonts w:cs="Arial"/>
          <w:lang w:val="en-US"/>
        </w:rPr>
        <w:t>esidence), 8(1)</w:t>
      </w:r>
      <w:r w:rsidR="00276E39" w:rsidRPr="002E60EB">
        <w:rPr>
          <w:rFonts w:cs="Arial"/>
          <w:lang w:val="en-US"/>
        </w:rPr>
        <w:t xml:space="preserve"> (Right to Judicial G</w:t>
      </w:r>
      <w:r w:rsidR="00AC1940" w:rsidRPr="002E60EB">
        <w:rPr>
          <w:rFonts w:cs="Arial"/>
          <w:lang w:val="en-US"/>
        </w:rPr>
        <w:t>uarantees)</w:t>
      </w:r>
      <w:r w:rsidRPr="002E60EB">
        <w:rPr>
          <w:rFonts w:cs="Arial"/>
          <w:lang w:val="en-US"/>
        </w:rPr>
        <w:t xml:space="preserve"> and 25 (</w:t>
      </w:r>
      <w:r w:rsidR="00AC1940" w:rsidRPr="002E60EB">
        <w:rPr>
          <w:rFonts w:cs="Arial"/>
          <w:lang w:val="en-US"/>
        </w:rPr>
        <w:t>R</w:t>
      </w:r>
      <w:r w:rsidRPr="002E60EB">
        <w:rPr>
          <w:rFonts w:cs="Arial"/>
          <w:lang w:val="en-US"/>
        </w:rPr>
        <w:t xml:space="preserve">ight to </w:t>
      </w:r>
      <w:r w:rsidR="00AC1940" w:rsidRPr="002E60EB">
        <w:rPr>
          <w:rFonts w:cs="Arial"/>
          <w:lang w:val="en-US"/>
        </w:rPr>
        <w:t>J</w:t>
      </w:r>
      <w:r w:rsidRPr="002E60EB">
        <w:rPr>
          <w:rFonts w:cs="Arial"/>
          <w:lang w:val="en-US"/>
        </w:rPr>
        <w:t xml:space="preserve">udicial </w:t>
      </w:r>
      <w:r w:rsidR="00AC1940" w:rsidRPr="002E60EB">
        <w:rPr>
          <w:rFonts w:cs="Arial"/>
          <w:lang w:val="en-US"/>
        </w:rPr>
        <w:t>P</w:t>
      </w:r>
      <w:r w:rsidRPr="002E60EB">
        <w:rPr>
          <w:rFonts w:cs="Arial"/>
          <w:lang w:val="en-US"/>
        </w:rPr>
        <w:t xml:space="preserve">rotection) of the </w:t>
      </w:r>
      <w:r w:rsidR="00AC1940" w:rsidRPr="002E60EB">
        <w:rPr>
          <w:rFonts w:cs="Arial"/>
          <w:lang w:val="en-US"/>
        </w:rPr>
        <w:t xml:space="preserve">American </w:t>
      </w:r>
      <w:r w:rsidRPr="002E60EB">
        <w:rPr>
          <w:rFonts w:cs="Arial"/>
          <w:lang w:val="en-US"/>
        </w:rPr>
        <w:t xml:space="preserve">Convention, in relation to Article 1(1) thereof, to the detriment of </w:t>
      </w:r>
      <w:r w:rsidR="00AC1940" w:rsidRPr="002E60EB">
        <w:rPr>
          <w:rFonts w:cs="Arial"/>
          <w:lang w:val="en-US"/>
        </w:rPr>
        <w:t>Luis</w:t>
      </w:r>
      <w:r w:rsidRPr="002E60EB">
        <w:rPr>
          <w:lang w:val="en-US" w:eastAsia="es-ES"/>
        </w:rPr>
        <w:t xml:space="preserve"> Gonzalo </w:t>
      </w:r>
      <w:r w:rsidR="00087093" w:rsidRPr="002E60EB">
        <w:rPr>
          <w:lang w:val="en-US" w:eastAsia="es-ES"/>
        </w:rPr>
        <w:t>“</w:t>
      </w:r>
      <w:r w:rsidRPr="002E60EB">
        <w:rPr>
          <w:lang w:val="en-US" w:eastAsia="es-ES"/>
        </w:rPr>
        <w:t>Richard</w:t>
      </w:r>
      <w:r w:rsidR="00087093" w:rsidRPr="002E60EB">
        <w:rPr>
          <w:lang w:val="en-US" w:eastAsia="es-ES"/>
        </w:rPr>
        <w:t>”</w:t>
      </w:r>
      <w:r w:rsidRPr="002E60EB">
        <w:rPr>
          <w:lang w:val="en-US" w:eastAsia="es-ES"/>
        </w:rPr>
        <w:t xml:space="preserve"> Vélez Restrepo</w:t>
      </w:r>
      <w:r w:rsidR="00AC1940" w:rsidRPr="002E60EB">
        <w:rPr>
          <w:lang w:val="en-US" w:eastAsia="es-ES"/>
        </w:rPr>
        <w:t xml:space="preserve">, his wife Aracelly Román Amariles, </w:t>
      </w:r>
      <w:r w:rsidR="00276E39" w:rsidRPr="002E60EB">
        <w:rPr>
          <w:lang w:val="en-US" w:eastAsia="es-ES"/>
        </w:rPr>
        <w:t>and their</w:t>
      </w:r>
      <w:r w:rsidR="00AC1940" w:rsidRPr="002E60EB">
        <w:rPr>
          <w:lang w:val="en-US" w:eastAsia="es-ES"/>
        </w:rPr>
        <w:t xml:space="preserve"> children Mateo and Juliana Vélez Román</w:t>
      </w:r>
      <w:r w:rsidRPr="002E60EB">
        <w:rPr>
          <w:rFonts w:cs="Arial"/>
          <w:lang w:val="en-US"/>
        </w:rPr>
        <w:t xml:space="preserve">. </w:t>
      </w:r>
      <w:r w:rsidR="00AC1940" w:rsidRPr="002E60EB">
        <w:rPr>
          <w:rFonts w:cs="Arial"/>
          <w:lang w:val="en-US"/>
        </w:rPr>
        <w:t>The</w:t>
      </w:r>
      <w:r w:rsidRPr="002E60EB">
        <w:rPr>
          <w:rFonts w:cs="Arial"/>
          <w:lang w:val="en-US"/>
        </w:rPr>
        <w:t xml:space="preserve"> Commission </w:t>
      </w:r>
      <w:r w:rsidR="00AC1940" w:rsidRPr="002E60EB">
        <w:rPr>
          <w:rFonts w:cs="Arial"/>
          <w:lang w:val="en-US"/>
        </w:rPr>
        <w:t>asked</w:t>
      </w:r>
      <w:r w:rsidRPr="002E60EB">
        <w:rPr>
          <w:rFonts w:cs="Arial"/>
          <w:lang w:val="en-US"/>
        </w:rPr>
        <w:t xml:space="preserve"> the Court </w:t>
      </w:r>
      <w:r w:rsidR="00AC1940" w:rsidRPr="002E60EB">
        <w:rPr>
          <w:rFonts w:cs="Arial"/>
          <w:lang w:val="en-US"/>
        </w:rPr>
        <w:t xml:space="preserve">to </w:t>
      </w:r>
      <w:r w:rsidRPr="002E60EB">
        <w:rPr>
          <w:rFonts w:cs="Arial"/>
          <w:lang w:val="en-US"/>
        </w:rPr>
        <w:t>declare th</w:t>
      </w:r>
      <w:r w:rsidR="00AC1940" w:rsidRPr="002E60EB">
        <w:rPr>
          <w:rFonts w:cs="Arial"/>
          <w:lang w:val="en-US"/>
        </w:rPr>
        <w:t>at the</w:t>
      </w:r>
      <w:r w:rsidRPr="002E60EB">
        <w:rPr>
          <w:rFonts w:cs="Arial"/>
          <w:lang w:val="en-US"/>
        </w:rPr>
        <w:t xml:space="preserve"> State </w:t>
      </w:r>
      <w:r w:rsidR="00AC1940" w:rsidRPr="002E60EB">
        <w:rPr>
          <w:rFonts w:cs="Arial"/>
          <w:lang w:val="en-US"/>
        </w:rPr>
        <w:t>had violated Article</w:t>
      </w:r>
      <w:r w:rsidRPr="002E60EB">
        <w:rPr>
          <w:rFonts w:cs="Arial"/>
          <w:lang w:val="en-US"/>
        </w:rPr>
        <w:t xml:space="preserve"> </w:t>
      </w:r>
      <w:r w:rsidR="00AC1940" w:rsidRPr="002E60EB">
        <w:rPr>
          <w:rFonts w:cs="Arial"/>
          <w:lang w:val="en-US"/>
        </w:rPr>
        <w:t>13 (Right to Freedom of Thought and Expression) of the Convention, in relation to Article 1(1) thereof, to the detriment of Luis</w:t>
      </w:r>
      <w:r w:rsidR="00AC1940" w:rsidRPr="002E60EB">
        <w:rPr>
          <w:lang w:val="en-US" w:eastAsia="es-ES"/>
        </w:rPr>
        <w:t xml:space="preserve"> Gonzalo </w:t>
      </w:r>
      <w:r w:rsidR="00087093" w:rsidRPr="002E60EB">
        <w:rPr>
          <w:lang w:val="en-US" w:eastAsia="es-ES"/>
        </w:rPr>
        <w:t>“</w:t>
      </w:r>
      <w:r w:rsidR="00AC1940" w:rsidRPr="002E60EB">
        <w:rPr>
          <w:lang w:val="en-US" w:eastAsia="es-ES"/>
        </w:rPr>
        <w:t>Richard</w:t>
      </w:r>
      <w:r w:rsidR="00087093" w:rsidRPr="002E60EB">
        <w:rPr>
          <w:lang w:val="en-US" w:eastAsia="es-ES"/>
        </w:rPr>
        <w:t>”</w:t>
      </w:r>
      <w:r w:rsidR="00AC1940" w:rsidRPr="002E60EB">
        <w:rPr>
          <w:lang w:val="en-US" w:eastAsia="es-ES"/>
        </w:rPr>
        <w:t xml:space="preserve"> Vélez Restrepo</w:t>
      </w:r>
      <w:r w:rsidR="001466BD" w:rsidRPr="002E60EB">
        <w:rPr>
          <w:lang w:val="en-US" w:eastAsia="es-ES"/>
        </w:rPr>
        <w:t xml:space="preserve">. In addition, it asked the Court to declare the State’s responsibility for the violation of </w:t>
      </w:r>
      <w:r w:rsidRPr="002E60EB">
        <w:rPr>
          <w:rFonts w:cs="Arial"/>
          <w:lang w:val="en-US"/>
        </w:rPr>
        <w:t>Article 19 (</w:t>
      </w:r>
      <w:r w:rsidR="001466BD" w:rsidRPr="002E60EB">
        <w:rPr>
          <w:rFonts w:cs="Arial"/>
          <w:lang w:val="en-US"/>
        </w:rPr>
        <w:t>R</w:t>
      </w:r>
      <w:r w:rsidRPr="002E60EB">
        <w:rPr>
          <w:rFonts w:cs="Arial"/>
          <w:lang w:val="en-US"/>
        </w:rPr>
        <w:t xml:space="preserve">ights of the </w:t>
      </w:r>
      <w:r w:rsidR="001466BD" w:rsidRPr="002E60EB">
        <w:rPr>
          <w:rFonts w:cs="Arial"/>
          <w:lang w:val="en-US"/>
        </w:rPr>
        <w:t>C</w:t>
      </w:r>
      <w:r w:rsidRPr="002E60EB">
        <w:rPr>
          <w:rFonts w:cs="Arial"/>
          <w:lang w:val="en-US"/>
        </w:rPr>
        <w:t>hild) of the American Convention, in relation to Article 1(1)</w:t>
      </w:r>
      <w:r w:rsidR="001466BD" w:rsidRPr="002E60EB">
        <w:rPr>
          <w:rFonts w:cs="Arial"/>
          <w:lang w:val="en-US"/>
        </w:rPr>
        <w:t xml:space="preserve"> of this treaty</w:t>
      </w:r>
      <w:r w:rsidRPr="002E60EB">
        <w:rPr>
          <w:rFonts w:cs="Arial"/>
          <w:lang w:val="en-US"/>
        </w:rPr>
        <w:t xml:space="preserve">, to the detriment of Mateo and Juliana Vélez </w:t>
      </w:r>
      <w:r w:rsidR="001466BD" w:rsidRPr="002E60EB">
        <w:rPr>
          <w:rFonts w:cs="Arial"/>
          <w:lang w:val="en-US"/>
        </w:rPr>
        <w:t>Román</w:t>
      </w:r>
      <w:r w:rsidRPr="002E60EB">
        <w:rPr>
          <w:rFonts w:cs="Arial"/>
          <w:lang w:val="en-US"/>
        </w:rPr>
        <w:t xml:space="preserve">. </w:t>
      </w:r>
      <w:r w:rsidR="001466BD" w:rsidRPr="002E60EB">
        <w:rPr>
          <w:rFonts w:cs="Arial"/>
          <w:lang w:val="en-US"/>
        </w:rPr>
        <w:t>T</w:t>
      </w:r>
      <w:r w:rsidRPr="002E60EB">
        <w:rPr>
          <w:rFonts w:cs="Arial"/>
          <w:lang w:val="en-US"/>
        </w:rPr>
        <w:t xml:space="preserve">he Commission asked the Court to order the State to adopt specific measures of reparation. </w:t>
      </w:r>
    </w:p>
    <w:p w:rsidR="00E15BBF" w:rsidRPr="002E60EB" w:rsidRDefault="00E15BBF" w:rsidP="00317748">
      <w:pPr>
        <w:tabs>
          <w:tab w:val="left" w:pos="720"/>
        </w:tabs>
        <w:jc w:val="both"/>
        <w:rPr>
          <w:lang w:val="en-US" w:eastAsia="es-ES"/>
        </w:rPr>
      </w:pPr>
    </w:p>
    <w:p w:rsidR="00E15BBF" w:rsidRPr="002E60EB" w:rsidRDefault="00E15BBF" w:rsidP="00317748">
      <w:pPr>
        <w:tabs>
          <w:tab w:val="left" w:pos="720"/>
        </w:tabs>
        <w:jc w:val="both"/>
        <w:rPr>
          <w:b/>
          <w:lang w:val="en-US" w:eastAsia="es-ES"/>
        </w:rPr>
      </w:pPr>
    </w:p>
    <w:p w:rsidR="00E15BBF" w:rsidRPr="002E60EB" w:rsidRDefault="00E15BBF" w:rsidP="00317748">
      <w:pPr>
        <w:pStyle w:val="Ttulo2"/>
        <w:tabs>
          <w:tab w:val="left" w:pos="720"/>
        </w:tabs>
        <w:spacing w:before="0" w:after="0"/>
        <w:jc w:val="center"/>
        <w:rPr>
          <w:rFonts w:ascii="Verdana" w:hAnsi="Verdana" w:cs="Verdana"/>
          <w:i w:val="0"/>
          <w:caps/>
          <w:snapToGrid w:val="0"/>
          <w:sz w:val="20"/>
          <w:szCs w:val="20"/>
          <w:lang w:val="en-US" w:eastAsia="es-ES"/>
        </w:rPr>
      </w:pPr>
      <w:r w:rsidRPr="002E60EB">
        <w:rPr>
          <w:rFonts w:ascii="Verdana" w:hAnsi="Verdana" w:cs="Verdana"/>
          <w:i w:val="0"/>
          <w:caps/>
          <w:snapToGrid w:val="0"/>
          <w:sz w:val="20"/>
          <w:szCs w:val="20"/>
          <w:lang w:val="en-US" w:eastAsia="es-ES"/>
        </w:rPr>
        <w:t>II</w:t>
      </w:r>
    </w:p>
    <w:p w:rsidR="00E15BBF" w:rsidRPr="002E60EB" w:rsidRDefault="00E15BBF" w:rsidP="00317748">
      <w:pPr>
        <w:pStyle w:val="Ttulo2"/>
        <w:tabs>
          <w:tab w:val="left" w:pos="720"/>
        </w:tabs>
        <w:spacing w:before="0" w:after="0"/>
        <w:jc w:val="center"/>
        <w:rPr>
          <w:rFonts w:ascii="Verdana" w:hAnsi="Verdana" w:cs="Verdana"/>
          <w:i w:val="0"/>
          <w:caps/>
          <w:snapToGrid w:val="0"/>
          <w:sz w:val="20"/>
          <w:szCs w:val="20"/>
          <w:lang w:val="en-US" w:eastAsia="es-ES"/>
        </w:rPr>
      </w:pPr>
      <w:r w:rsidRPr="002E60EB">
        <w:rPr>
          <w:rFonts w:ascii="Verdana" w:hAnsi="Verdana" w:cs="Verdana"/>
          <w:i w:val="0"/>
          <w:caps/>
          <w:snapToGrid w:val="0"/>
          <w:sz w:val="20"/>
          <w:szCs w:val="20"/>
          <w:lang w:val="en-US" w:eastAsia="es-ES"/>
        </w:rPr>
        <w:t>PROCEEDING</w:t>
      </w:r>
      <w:r w:rsidR="001466BD" w:rsidRPr="002E60EB">
        <w:rPr>
          <w:rFonts w:ascii="Verdana" w:hAnsi="Verdana" w:cs="Verdana"/>
          <w:i w:val="0"/>
          <w:caps/>
          <w:snapToGrid w:val="0"/>
          <w:sz w:val="20"/>
          <w:szCs w:val="20"/>
          <w:lang w:val="en-US" w:eastAsia="es-ES"/>
        </w:rPr>
        <w:t>S</w:t>
      </w:r>
      <w:r w:rsidRPr="002E60EB">
        <w:rPr>
          <w:rFonts w:ascii="Verdana" w:hAnsi="Verdana" w:cs="Verdana"/>
          <w:i w:val="0"/>
          <w:caps/>
          <w:snapToGrid w:val="0"/>
          <w:sz w:val="20"/>
          <w:szCs w:val="20"/>
          <w:lang w:val="en-US" w:eastAsia="es-ES"/>
        </w:rPr>
        <w:t xml:space="preserve"> BEFORE THE COURT</w:t>
      </w:r>
    </w:p>
    <w:p w:rsidR="00E15BBF" w:rsidRPr="002E60EB" w:rsidRDefault="00E15BBF" w:rsidP="002711CF">
      <w:pPr>
        <w:tabs>
          <w:tab w:val="left" w:pos="720"/>
        </w:tabs>
        <w:jc w:val="both"/>
        <w:rPr>
          <w:lang w:val="en-US" w:eastAsia="es-ES"/>
        </w:rPr>
      </w:pPr>
    </w:p>
    <w:p w:rsidR="00E15BBF" w:rsidRPr="002E60EB" w:rsidRDefault="001466BD" w:rsidP="00317748">
      <w:pPr>
        <w:numPr>
          <w:ilvl w:val="0"/>
          <w:numId w:val="1"/>
        </w:numPr>
        <w:tabs>
          <w:tab w:val="left" w:pos="720"/>
        </w:tabs>
        <w:jc w:val="both"/>
        <w:rPr>
          <w:lang w:val="en-US" w:eastAsia="es-ES"/>
        </w:rPr>
      </w:pPr>
      <w:r w:rsidRPr="002E60EB">
        <w:rPr>
          <w:lang w:val="en-US" w:eastAsia="es-ES"/>
        </w:rPr>
        <w:t>T</w:t>
      </w:r>
      <w:r w:rsidR="00E15BBF" w:rsidRPr="002E60EB">
        <w:rPr>
          <w:lang w:val="en-US" w:eastAsia="es-ES"/>
        </w:rPr>
        <w:t>he Inter-American Commission</w:t>
      </w:r>
      <w:r w:rsidRPr="002E60EB">
        <w:rPr>
          <w:lang w:val="en-US" w:eastAsia="es-ES"/>
        </w:rPr>
        <w:t xml:space="preserve">’s submission of the case was notified to the State and to </w:t>
      </w:r>
      <w:r w:rsidR="00E15BBF" w:rsidRPr="002E60EB">
        <w:rPr>
          <w:bCs/>
          <w:lang w:val="en-US"/>
        </w:rPr>
        <w:t>Arturo Car</w:t>
      </w:r>
      <w:r w:rsidR="00334C3C" w:rsidRPr="002E60EB">
        <w:rPr>
          <w:bCs/>
          <w:lang w:val="en-US"/>
        </w:rPr>
        <w:t>r</w:t>
      </w:r>
      <w:r w:rsidR="00E15BBF" w:rsidRPr="002E60EB">
        <w:rPr>
          <w:bCs/>
          <w:lang w:val="en-US"/>
        </w:rPr>
        <w:t xml:space="preserve">illo, representative of the </w:t>
      </w:r>
      <w:r w:rsidRPr="002E60EB">
        <w:rPr>
          <w:bCs/>
          <w:lang w:val="en-US"/>
        </w:rPr>
        <w:t>presumed victim</w:t>
      </w:r>
      <w:r w:rsidR="00E15BBF" w:rsidRPr="002E60EB">
        <w:rPr>
          <w:bCs/>
          <w:lang w:val="en-US"/>
        </w:rPr>
        <w:t>s</w:t>
      </w:r>
      <w:r w:rsidR="00E15BBF" w:rsidRPr="002E60EB">
        <w:rPr>
          <w:rStyle w:val="Refdenotaalpie"/>
          <w:lang w:val="en-US" w:eastAsia="es-ES"/>
        </w:rPr>
        <w:footnoteReference w:id="5"/>
      </w:r>
      <w:r w:rsidR="00E15BBF" w:rsidRPr="002E60EB">
        <w:rPr>
          <w:bCs/>
          <w:lang w:val="en-US"/>
        </w:rPr>
        <w:t xml:space="preserve"> (hereinafter </w:t>
      </w:r>
      <w:r w:rsidR="00087093" w:rsidRPr="002E60EB">
        <w:rPr>
          <w:bCs/>
          <w:lang w:val="en-US"/>
        </w:rPr>
        <w:t>“</w:t>
      </w:r>
      <w:r w:rsidR="00E15BBF" w:rsidRPr="002E60EB">
        <w:rPr>
          <w:bCs/>
          <w:lang w:val="en-US"/>
        </w:rPr>
        <w:t>the representative</w:t>
      </w:r>
      <w:r w:rsidR="00087093" w:rsidRPr="002E60EB">
        <w:rPr>
          <w:bCs/>
          <w:lang w:val="en-US"/>
        </w:rPr>
        <w:t>”</w:t>
      </w:r>
      <w:r w:rsidR="00E15BBF" w:rsidRPr="002E60EB">
        <w:rPr>
          <w:bCs/>
          <w:lang w:val="en-US"/>
        </w:rPr>
        <w:t>)</w:t>
      </w:r>
      <w:r w:rsidR="00276E39" w:rsidRPr="002E60EB">
        <w:rPr>
          <w:bCs/>
          <w:lang w:val="en-US"/>
        </w:rPr>
        <w:t>,</w:t>
      </w:r>
      <w:r w:rsidR="00E15BBF" w:rsidRPr="002E60EB">
        <w:rPr>
          <w:bCs/>
          <w:lang w:val="en-US"/>
        </w:rPr>
        <w:t xml:space="preserve"> on April 6, 2011.</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On June 8, 2011, the representative </w:t>
      </w:r>
      <w:r w:rsidR="003B4903" w:rsidRPr="002E60EB">
        <w:rPr>
          <w:lang w:val="en-US" w:eastAsia="es-ES"/>
        </w:rPr>
        <w:t>submitted to the Court his</w:t>
      </w:r>
      <w:r w:rsidRPr="002E60EB">
        <w:rPr>
          <w:lang w:val="en-US" w:eastAsia="es-ES"/>
        </w:rPr>
        <w:t xml:space="preserve"> brief </w:t>
      </w:r>
      <w:r w:rsidR="003B4903" w:rsidRPr="002E60EB">
        <w:rPr>
          <w:lang w:val="en-US" w:eastAsia="es-ES"/>
        </w:rPr>
        <w:t xml:space="preserve">with </w:t>
      </w:r>
      <w:r w:rsidRPr="002E60EB">
        <w:rPr>
          <w:lang w:val="en-US" w:eastAsia="es-ES"/>
        </w:rPr>
        <w:t xml:space="preserve">pleadings, motions and evidence (hereinafter </w:t>
      </w:r>
      <w:r w:rsidR="00087093" w:rsidRPr="002E60EB">
        <w:rPr>
          <w:lang w:val="en-US" w:eastAsia="es-ES"/>
        </w:rPr>
        <w:t>“</w:t>
      </w:r>
      <w:r w:rsidRPr="002E60EB">
        <w:rPr>
          <w:lang w:val="en-US" w:eastAsia="es-ES"/>
        </w:rPr>
        <w:t xml:space="preserve">the pleadings and </w:t>
      </w:r>
      <w:r w:rsidR="003B4903" w:rsidRPr="002E60EB">
        <w:rPr>
          <w:lang w:val="en-US" w:eastAsia="es-ES"/>
        </w:rPr>
        <w:t>motions brief</w:t>
      </w:r>
      <w:r w:rsidR="00087093" w:rsidRPr="002E60EB">
        <w:rPr>
          <w:lang w:val="en-US" w:eastAsia="es-ES"/>
        </w:rPr>
        <w:t>”</w:t>
      </w:r>
      <w:r w:rsidRPr="002E60EB">
        <w:rPr>
          <w:lang w:val="en-US" w:eastAsia="es-ES"/>
        </w:rPr>
        <w:t xml:space="preserve">), </w:t>
      </w:r>
      <w:r w:rsidR="003B4903" w:rsidRPr="002E60EB">
        <w:rPr>
          <w:lang w:val="en-US" w:eastAsia="es-ES"/>
        </w:rPr>
        <w:t>under</w:t>
      </w:r>
      <w:r w:rsidRPr="002E60EB">
        <w:rPr>
          <w:lang w:val="en-US" w:eastAsia="es-ES"/>
        </w:rPr>
        <w:t xml:space="preserve"> Article 40 of the </w:t>
      </w:r>
      <w:r w:rsidR="003B4903" w:rsidRPr="002E60EB">
        <w:rPr>
          <w:lang w:val="en-US" w:eastAsia="es-ES"/>
        </w:rPr>
        <w:t xml:space="preserve">Court’s </w:t>
      </w:r>
      <w:r w:rsidR="00276E39" w:rsidRPr="002E60EB">
        <w:rPr>
          <w:lang w:val="en-US" w:eastAsia="es-ES"/>
        </w:rPr>
        <w:t>Rules of Procedure. Overall, t</w:t>
      </w:r>
      <w:r w:rsidRPr="002E60EB">
        <w:rPr>
          <w:lang w:val="en-US" w:eastAsia="es-ES"/>
        </w:rPr>
        <w:t xml:space="preserve">he representative agreed with the </w:t>
      </w:r>
      <w:r w:rsidR="003B4903" w:rsidRPr="002E60EB">
        <w:rPr>
          <w:lang w:val="en-US" w:eastAsia="es-ES"/>
        </w:rPr>
        <w:t xml:space="preserve">facts </w:t>
      </w:r>
      <w:r w:rsidR="00276E39" w:rsidRPr="002E60EB">
        <w:rPr>
          <w:lang w:val="en-US" w:eastAsia="es-ES"/>
        </w:rPr>
        <w:t>described</w:t>
      </w:r>
      <w:r w:rsidRPr="002E60EB">
        <w:rPr>
          <w:lang w:val="en-US" w:eastAsia="es-ES"/>
        </w:rPr>
        <w:t xml:space="preserve"> </w:t>
      </w:r>
      <w:r w:rsidR="003B4903" w:rsidRPr="002E60EB">
        <w:rPr>
          <w:lang w:val="en-US" w:eastAsia="es-ES"/>
        </w:rPr>
        <w:t>by</w:t>
      </w:r>
      <w:r w:rsidRPr="002E60EB">
        <w:rPr>
          <w:lang w:val="en-US" w:eastAsia="es-ES"/>
        </w:rPr>
        <w:t xml:space="preserve"> the Commission and asked the Court to declare the State's international responsibility for the alleged violation of the same articles of the Convention i</w:t>
      </w:r>
      <w:r w:rsidR="003B4903" w:rsidRPr="002E60EB">
        <w:rPr>
          <w:lang w:val="en-US" w:eastAsia="es-ES"/>
        </w:rPr>
        <w:t>ndicated</w:t>
      </w:r>
      <w:r w:rsidRPr="002E60EB">
        <w:rPr>
          <w:lang w:val="en-US" w:eastAsia="es-ES"/>
        </w:rPr>
        <w:t xml:space="preserve"> by the Inter-American Commission, adding that Colombia </w:t>
      </w:r>
      <w:r w:rsidR="003B4903" w:rsidRPr="002E60EB">
        <w:rPr>
          <w:lang w:val="en-US" w:eastAsia="es-ES"/>
        </w:rPr>
        <w:t xml:space="preserve">had </w:t>
      </w:r>
      <w:r w:rsidRPr="002E60EB">
        <w:rPr>
          <w:lang w:val="en-US" w:eastAsia="es-ES"/>
        </w:rPr>
        <w:t xml:space="preserve">also violated Articles 4(1) (Right to Life) and 11 </w:t>
      </w:r>
      <w:r w:rsidRPr="002E60EB">
        <w:rPr>
          <w:rFonts w:eastAsia="Calibri" w:cs="Arial"/>
          <w:lang w:val="en-US"/>
        </w:rPr>
        <w:t>(Right to Privacy</w:t>
      </w:r>
      <w:r w:rsidRPr="002E60EB">
        <w:rPr>
          <w:lang w:val="en-US" w:eastAsia="es-ES"/>
        </w:rPr>
        <w:t xml:space="preserve">), in relation </w:t>
      </w:r>
      <w:r w:rsidR="003B4903" w:rsidRPr="002E60EB">
        <w:rPr>
          <w:lang w:val="en-US" w:eastAsia="es-ES"/>
        </w:rPr>
        <w:t xml:space="preserve">to </w:t>
      </w:r>
      <w:r w:rsidRPr="002E60EB">
        <w:rPr>
          <w:lang w:val="en-US" w:eastAsia="es-ES"/>
        </w:rPr>
        <w:t xml:space="preserve">Article 1(1) thereof, to the detriment of Mr. Vélez Restrepo. Consequently, </w:t>
      </w:r>
      <w:r w:rsidR="003B4903" w:rsidRPr="002E60EB">
        <w:rPr>
          <w:lang w:val="en-US" w:eastAsia="es-ES"/>
        </w:rPr>
        <w:t>he</w:t>
      </w:r>
      <w:r w:rsidRPr="002E60EB">
        <w:rPr>
          <w:lang w:val="en-US" w:eastAsia="es-ES"/>
        </w:rPr>
        <w:t xml:space="preserve"> requested the Court to order </w:t>
      </w:r>
      <w:r w:rsidR="003B4903" w:rsidRPr="002E60EB">
        <w:rPr>
          <w:lang w:val="en-US" w:eastAsia="es-ES"/>
        </w:rPr>
        <w:t xml:space="preserve">different measures of </w:t>
      </w:r>
      <w:r w:rsidRPr="002E60EB">
        <w:rPr>
          <w:lang w:val="en-US" w:eastAsia="es-ES"/>
        </w:rPr>
        <w:t xml:space="preserve">reparation. </w:t>
      </w:r>
    </w:p>
    <w:p w:rsidR="00E15BBF" w:rsidRPr="002E60EB" w:rsidRDefault="00E15BBF" w:rsidP="00317748">
      <w:pPr>
        <w:tabs>
          <w:tab w:val="left" w:pos="720"/>
        </w:tabs>
        <w:jc w:val="both"/>
        <w:rPr>
          <w:lang w:val="en-US"/>
        </w:rPr>
      </w:pPr>
    </w:p>
    <w:p w:rsidR="00E15BBF" w:rsidRPr="002E60EB" w:rsidRDefault="00343246" w:rsidP="00317748">
      <w:pPr>
        <w:numPr>
          <w:ilvl w:val="0"/>
          <w:numId w:val="1"/>
        </w:numPr>
        <w:tabs>
          <w:tab w:val="left" w:pos="720"/>
        </w:tabs>
        <w:jc w:val="both"/>
        <w:rPr>
          <w:lang w:val="en-US" w:eastAsia="es-ES"/>
        </w:rPr>
      </w:pPr>
      <w:r w:rsidRPr="002E60EB">
        <w:rPr>
          <w:lang w:val="en-US"/>
        </w:rPr>
        <w:t xml:space="preserve">On October 4, 2011, </w:t>
      </w:r>
      <w:r w:rsidR="00E15BBF" w:rsidRPr="002E60EB">
        <w:rPr>
          <w:lang w:val="en-US"/>
        </w:rPr>
        <w:t xml:space="preserve">Colombia </w:t>
      </w:r>
      <w:r w:rsidRPr="002E60EB">
        <w:rPr>
          <w:lang w:val="en-US"/>
        </w:rPr>
        <w:t>presented it</w:t>
      </w:r>
      <w:r w:rsidR="00E15BBF" w:rsidRPr="002E60EB">
        <w:rPr>
          <w:lang w:val="en-US"/>
        </w:rPr>
        <w:t xml:space="preserve"> brief </w:t>
      </w:r>
      <w:r w:rsidRPr="002E60EB">
        <w:rPr>
          <w:lang w:val="en-US"/>
        </w:rPr>
        <w:t>with</w:t>
      </w:r>
      <w:r w:rsidR="00E15BBF" w:rsidRPr="002E60EB">
        <w:rPr>
          <w:lang w:val="en-US"/>
        </w:rPr>
        <w:t xml:space="preserve"> preliminary objections, answer</w:t>
      </w:r>
      <w:r w:rsidRPr="002E60EB">
        <w:rPr>
          <w:lang w:val="en-US"/>
        </w:rPr>
        <w:t>ing</w:t>
      </w:r>
      <w:r w:rsidR="00E15BBF" w:rsidRPr="002E60EB">
        <w:rPr>
          <w:lang w:val="en-US"/>
        </w:rPr>
        <w:t xml:space="preserve"> the brief submitting the case, and </w:t>
      </w:r>
      <w:r w:rsidRPr="002E60EB">
        <w:rPr>
          <w:lang w:val="en-US"/>
        </w:rPr>
        <w:t>with</w:t>
      </w:r>
      <w:r w:rsidR="00E15BBF" w:rsidRPr="002E60EB">
        <w:rPr>
          <w:lang w:val="en-US"/>
        </w:rPr>
        <w:t xml:space="preserve"> observations </w:t>
      </w:r>
      <w:r w:rsidRPr="002E60EB">
        <w:rPr>
          <w:lang w:val="en-US"/>
        </w:rPr>
        <w:t>on</w:t>
      </w:r>
      <w:r w:rsidR="00E15BBF" w:rsidRPr="002E60EB">
        <w:rPr>
          <w:lang w:val="en-US"/>
        </w:rPr>
        <w:t xml:space="preserve"> the pleadings and motions</w:t>
      </w:r>
      <w:r w:rsidRPr="002E60EB">
        <w:rPr>
          <w:lang w:val="en-US"/>
        </w:rPr>
        <w:t xml:space="preserve"> brief</w:t>
      </w:r>
      <w:r w:rsidR="00E15BBF" w:rsidRPr="002E60EB">
        <w:rPr>
          <w:lang w:val="en-US"/>
        </w:rPr>
        <w:t xml:space="preserve"> (hereinafter </w:t>
      </w:r>
      <w:r w:rsidR="00087093" w:rsidRPr="002E60EB">
        <w:rPr>
          <w:lang w:val="en-US"/>
        </w:rPr>
        <w:t>“</w:t>
      </w:r>
      <w:r w:rsidRPr="002E60EB">
        <w:rPr>
          <w:lang w:val="en-US"/>
        </w:rPr>
        <w:t>the answering brief</w:t>
      </w:r>
      <w:r w:rsidR="00087093" w:rsidRPr="002E60EB">
        <w:rPr>
          <w:lang w:val="en-US"/>
        </w:rPr>
        <w:t>”</w:t>
      </w:r>
      <w:r w:rsidR="00E15BBF" w:rsidRPr="002E60EB">
        <w:rPr>
          <w:lang w:val="en-US"/>
        </w:rPr>
        <w:t xml:space="preserve">). </w:t>
      </w:r>
      <w:r w:rsidR="00E15BBF" w:rsidRPr="002E60EB">
        <w:rPr>
          <w:lang w:val="en-US" w:eastAsia="es-ES"/>
        </w:rPr>
        <w:t>In this brief, the State filed a preliminary objection (</w:t>
      </w:r>
      <w:r w:rsidR="00E15BBF" w:rsidRPr="002E60EB">
        <w:rPr>
          <w:i/>
          <w:lang w:val="en-US" w:eastAsia="es-ES"/>
        </w:rPr>
        <w:t xml:space="preserve">infra </w:t>
      </w:r>
      <w:r w:rsidR="00E15BBF" w:rsidRPr="002E60EB">
        <w:rPr>
          <w:lang w:val="en-US" w:eastAsia="es-ES"/>
        </w:rPr>
        <w:t xml:space="preserve">para. </w:t>
      </w:r>
      <w:r w:rsidRPr="002E60EB">
        <w:rPr>
          <w:lang w:val="en-US" w:eastAsia="es-ES"/>
        </w:rPr>
        <w:t>27</w:t>
      </w:r>
      <w:r w:rsidR="00E15BBF" w:rsidRPr="002E60EB">
        <w:rPr>
          <w:lang w:val="en-US" w:eastAsia="es-ES"/>
        </w:rPr>
        <w:t xml:space="preserve">) and </w:t>
      </w:r>
      <w:r w:rsidRPr="002E60EB">
        <w:rPr>
          <w:lang w:val="en-US" w:eastAsia="es-ES"/>
        </w:rPr>
        <w:t>made</w:t>
      </w:r>
      <w:r w:rsidR="00E15BBF" w:rsidRPr="002E60EB">
        <w:rPr>
          <w:lang w:val="en-US" w:eastAsia="es-ES"/>
        </w:rPr>
        <w:t xml:space="preserve"> a partial acknowledgment of international responsibility (</w:t>
      </w:r>
      <w:r w:rsidR="00E15BBF" w:rsidRPr="002E60EB">
        <w:rPr>
          <w:i/>
          <w:lang w:val="en-US" w:eastAsia="es-ES"/>
        </w:rPr>
        <w:t xml:space="preserve">infra </w:t>
      </w:r>
      <w:r w:rsidR="00E15BBF" w:rsidRPr="002E60EB">
        <w:rPr>
          <w:lang w:val="en-US" w:eastAsia="es-ES"/>
        </w:rPr>
        <w:t>par</w:t>
      </w:r>
      <w:r w:rsidR="00B91548" w:rsidRPr="002E60EB">
        <w:rPr>
          <w:lang w:val="en-US" w:eastAsia="es-ES"/>
        </w:rPr>
        <w:t>a</w:t>
      </w:r>
      <w:r w:rsidR="00E15BBF" w:rsidRPr="002E60EB">
        <w:rPr>
          <w:lang w:val="en-US" w:eastAsia="es-ES"/>
        </w:rPr>
        <w:t xml:space="preserve">s. </w:t>
      </w:r>
      <w:r w:rsidRPr="002E60EB">
        <w:rPr>
          <w:lang w:val="en-US" w:eastAsia="es-ES"/>
        </w:rPr>
        <w:t>13 and 17). Also,</w:t>
      </w:r>
      <w:r w:rsidR="00E15BBF" w:rsidRPr="002E60EB">
        <w:rPr>
          <w:lang w:val="en-US" w:eastAsia="es-ES"/>
        </w:rPr>
        <w:t xml:space="preserve"> in this brief, the State </w:t>
      </w:r>
      <w:r w:rsidRPr="002E60EB">
        <w:rPr>
          <w:lang w:val="en-US" w:eastAsia="es-ES"/>
        </w:rPr>
        <w:t>asserted that it was</w:t>
      </w:r>
      <w:r w:rsidR="00E15BBF" w:rsidRPr="002E60EB">
        <w:rPr>
          <w:lang w:val="en-US" w:eastAsia="es-ES"/>
        </w:rPr>
        <w:t xml:space="preserve"> not responsible for </w:t>
      </w:r>
      <w:r w:rsidR="00087093" w:rsidRPr="002E60EB">
        <w:rPr>
          <w:lang w:val="en-US" w:eastAsia="es-ES"/>
        </w:rPr>
        <w:t>“</w:t>
      </w:r>
      <w:r w:rsidR="00276E39" w:rsidRPr="002E60EB">
        <w:rPr>
          <w:lang w:val="en-US" w:eastAsia="es-ES"/>
        </w:rPr>
        <w:t>the even</w:t>
      </w:r>
      <w:r w:rsidR="00E15BBF" w:rsidRPr="002E60EB">
        <w:rPr>
          <w:lang w:val="en-US" w:eastAsia="es-ES"/>
        </w:rPr>
        <w:t xml:space="preserve">ts [and alleged </w:t>
      </w:r>
      <w:r w:rsidR="00276E39" w:rsidRPr="002E60EB">
        <w:rPr>
          <w:lang w:val="en-US" w:eastAsia="es-ES"/>
        </w:rPr>
        <w:t>violations] relating</w:t>
      </w:r>
      <w:r w:rsidR="00E15BBF" w:rsidRPr="002E60EB">
        <w:rPr>
          <w:lang w:val="en-US" w:eastAsia="es-ES"/>
        </w:rPr>
        <w:t xml:space="preserve"> to the </w:t>
      </w:r>
      <w:r w:rsidRPr="002E60EB">
        <w:rPr>
          <w:lang w:val="en-US" w:eastAsia="es-ES"/>
        </w:rPr>
        <w:t xml:space="preserve">presumed </w:t>
      </w:r>
      <w:r w:rsidR="00B91548" w:rsidRPr="002E60EB">
        <w:rPr>
          <w:lang w:val="en-US" w:eastAsia="es-ES"/>
        </w:rPr>
        <w:t>threats, harassment</w:t>
      </w:r>
      <w:r w:rsidR="00E15BBF" w:rsidRPr="002E60EB">
        <w:rPr>
          <w:lang w:val="en-US" w:eastAsia="es-ES"/>
        </w:rPr>
        <w:t xml:space="preserve"> and attempted </w:t>
      </w:r>
      <w:r w:rsidR="00334C3C" w:rsidRPr="002E60EB">
        <w:rPr>
          <w:lang w:val="en-US" w:eastAsia="es-ES"/>
        </w:rPr>
        <w:t>kidnapping</w:t>
      </w:r>
      <w:r w:rsidR="00E15BBF" w:rsidRPr="002E60EB">
        <w:rPr>
          <w:lang w:val="en-US" w:eastAsia="es-ES"/>
        </w:rPr>
        <w:t xml:space="preserve"> </w:t>
      </w:r>
      <w:r w:rsidRPr="002E60EB">
        <w:rPr>
          <w:lang w:val="en-US" w:eastAsia="es-ES"/>
        </w:rPr>
        <w:t>against</w:t>
      </w:r>
      <w:r w:rsidR="00E15BBF" w:rsidRPr="002E60EB">
        <w:rPr>
          <w:lang w:val="en-US" w:eastAsia="es-ES"/>
        </w:rPr>
        <w:t xml:space="preserve"> Mr. </w:t>
      </w:r>
      <w:r w:rsidRPr="002E60EB">
        <w:rPr>
          <w:lang w:val="en-US" w:eastAsia="es-ES"/>
        </w:rPr>
        <w:t xml:space="preserve">[…] </w:t>
      </w:r>
      <w:r w:rsidR="00E15BBF" w:rsidRPr="002E60EB">
        <w:rPr>
          <w:lang w:val="en-US" w:eastAsia="es-ES"/>
        </w:rPr>
        <w:t>Vélez Restrepo</w:t>
      </w:r>
      <w:r w:rsidR="00276E39" w:rsidRPr="002E60EB">
        <w:rPr>
          <w:lang w:val="en-US" w:eastAsia="es-ES"/>
        </w:rPr>
        <w:t>.</w:t>
      </w:r>
      <w:r w:rsidR="00087093" w:rsidRPr="002E60EB">
        <w:rPr>
          <w:lang w:val="en-US" w:eastAsia="es-ES"/>
        </w:rPr>
        <w:t>”</w:t>
      </w:r>
      <w:r w:rsidR="00E15BBF" w:rsidRPr="002E60EB">
        <w:rPr>
          <w:lang w:val="en-US" w:eastAsia="es-ES"/>
        </w:rPr>
        <w:t xml:space="preserve"> </w:t>
      </w:r>
      <w:r w:rsidRPr="002E60EB">
        <w:rPr>
          <w:lang w:val="en-US" w:eastAsia="es-ES"/>
        </w:rPr>
        <w:t>In addition,</w:t>
      </w:r>
      <w:r w:rsidR="00E15BBF" w:rsidRPr="002E60EB">
        <w:rPr>
          <w:lang w:val="en-US" w:eastAsia="es-ES"/>
        </w:rPr>
        <w:t xml:space="preserve"> it </w:t>
      </w:r>
      <w:r w:rsidRPr="002E60EB">
        <w:rPr>
          <w:lang w:val="en-US" w:eastAsia="es-ES"/>
        </w:rPr>
        <w:t>referred to</w:t>
      </w:r>
      <w:r w:rsidR="00E15BBF" w:rsidRPr="002E60EB">
        <w:rPr>
          <w:lang w:val="en-US" w:eastAsia="es-ES"/>
        </w:rPr>
        <w:t xml:space="preserve"> the reparations</w:t>
      </w:r>
      <w:r w:rsidRPr="002E60EB">
        <w:rPr>
          <w:lang w:val="en-US" w:eastAsia="es-ES"/>
        </w:rPr>
        <w:t xml:space="preserve"> requested</w:t>
      </w:r>
      <w:r w:rsidR="00E15BBF" w:rsidRPr="002E60EB">
        <w:rPr>
          <w:lang w:val="en-US" w:eastAsia="es-ES"/>
        </w:rPr>
        <w:t>. The State appointed Luz Marina Gil Garcia and Juana Ines Acosta Lopez as</w:t>
      </w:r>
      <w:r w:rsidRPr="002E60EB">
        <w:rPr>
          <w:lang w:val="en-US" w:eastAsia="es-ES"/>
        </w:rPr>
        <w:t xml:space="preserve"> its</w:t>
      </w:r>
      <w:r w:rsidR="00E15BBF" w:rsidRPr="002E60EB">
        <w:rPr>
          <w:lang w:val="en-US" w:eastAsia="es-ES"/>
        </w:rPr>
        <w:t xml:space="preserve"> Agents</w:t>
      </w:r>
      <w:r w:rsidR="00276E39" w:rsidRPr="002E60EB">
        <w:rPr>
          <w:lang w:val="en-US" w:eastAsia="es-ES"/>
        </w:rPr>
        <w:t>.</w:t>
      </w:r>
      <w:r w:rsidR="00E15BBF" w:rsidRPr="002E60EB">
        <w:rPr>
          <w:rStyle w:val="Refdenotaalpie"/>
          <w:lang w:val="en-US" w:eastAsia="es-ES"/>
        </w:rPr>
        <w:footnoteReference w:id="6"/>
      </w:r>
      <w:r w:rsidR="00E15BBF" w:rsidRPr="002E60EB">
        <w:rPr>
          <w:lang w:val="en-US" w:eastAsia="es-ES"/>
        </w:rPr>
        <w:t xml:space="preserve"> </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lastRenderedPageBreak/>
        <w:t>On November 25, 2011</w:t>
      </w:r>
      <w:r w:rsidR="00343246" w:rsidRPr="002E60EB">
        <w:rPr>
          <w:lang w:val="en-US" w:eastAsia="es-ES"/>
        </w:rPr>
        <w:t>,</w:t>
      </w:r>
      <w:r w:rsidRPr="002E60EB">
        <w:rPr>
          <w:lang w:val="en-US" w:eastAsia="es-ES"/>
        </w:rPr>
        <w:t xml:space="preserve"> the Inter-American Commission and the representative</w:t>
      </w:r>
      <w:r w:rsidRPr="002E60EB">
        <w:rPr>
          <w:rStyle w:val="Refdenotaalpie"/>
          <w:lang w:val="en-US" w:eastAsia="es-ES"/>
        </w:rPr>
        <w:footnoteReference w:id="7"/>
      </w:r>
      <w:r w:rsidRPr="002E60EB">
        <w:rPr>
          <w:lang w:val="en-US" w:eastAsia="es-ES"/>
        </w:rPr>
        <w:t xml:space="preserve"> presented their observations </w:t>
      </w:r>
      <w:r w:rsidR="00343246" w:rsidRPr="002E60EB">
        <w:rPr>
          <w:lang w:val="en-US" w:eastAsia="es-ES"/>
        </w:rPr>
        <w:t>on</w:t>
      </w:r>
      <w:r w:rsidRPr="002E60EB">
        <w:rPr>
          <w:lang w:val="en-US" w:eastAsia="es-ES"/>
        </w:rPr>
        <w:t xml:space="preserve"> the preliminary objection and </w:t>
      </w:r>
      <w:r w:rsidR="00343246" w:rsidRPr="002E60EB">
        <w:rPr>
          <w:lang w:val="en-US" w:eastAsia="es-ES"/>
        </w:rPr>
        <w:t xml:space="preserve">the </w:t>
      </w:r>
      <w:r w:rsidRPr="002E60EB">
        <w:rPr>
          <w:lang w:val="en-US" w:eastAsia="es-ES"/>
        </w:rPr>
        <w:t>partial acknowledgment of responsibility made by the State.</w:t>
      </w:r>
    </w:p>
    <w:p w:rsidR="00E15BBF" w:rsidRPr="002E60EB" w:rsidRDefault="00E15BBF" w:rsidP="00317748">
      <w:pPr>
        <w:tabs>
          <w:tab w:val="left" w:pos="720"/>
        </w:tabs>
        <w:jc w:val="both"/>
        <w:rPr>
          <w:lang w:val="en-US" w:eastAsia="es-ES"/>
        </w:rPr>
      </w:pPr>
    </w:p>
    <w:p w:rsidR="00E15BBF" w:rsidRPr="002E60EB" w:rsidRDefault="00073521" w:rsidP="00317748">
      <w:pPr>
        <w:numPr>
          <w:ilvl w:val="0"/>
          <w:numId w:val="1"/>
        </w:numPr>
        <w:tabs>
          <w:tab w:val="left" w:pos="720"/>
        </w:tabs>
        <w:jc w:val="both"/>
        <w:rPr>
          <w:lang w:val="en-US" w:eastAsia="es-ES"/>
        </w:rPr>
      </w:pPr>
      <w:r w:rsidRPr="002E60EB">
        <w:rPr>
          <w:lang w:val="en-US" w:eastAsia="es-ES"/>
        </w:rPr>
        <w:t>Following</w:t>
      </w:r>
      <w:r w:rsidR="00E15BBF" w:rsidRPr="002E60EB">
        <w:rPr>
          <w:lang w:val="en-US" w:eastAsia="es-ES"/>
        </w:rPr>
        <w:t xml:space="preserve"> the </w:t>
      </w:r>
      <w:r w:rsidRPr="002E60EB">
        <w:rPr>
          <w:lang w:val="en-US" w:eastAsia="es-ES"/>
        </w:rPr>
        <w:t xml:space="preserve">presentation </w:t>
      </w:r>
      <w:r w:rsidR="00E15BBF" w:rsidRPr="002E60EB">
        <w:rPr>
          <w:lang w:val="en-US" w:eastAsia="es-ES"/>
        </w:rPr>
        <w:t>of the</w:t>
      </w:r>
      <w:r w:rsidRPr="002E60EB">
        <w:rPr>
          <w:lang w:val="en-US" w:eastAsia="es-ES"/>
        </w:rPr>
        <w:t xml:space="preserve"> main</w:t>
      </w:r>
      <w:r w:rsidR="00E15BBF" w:rsidRPr="002E60EB">
        <w:rPr>
          <w:lang w:val="en-US" w:eastAsia="es-ES"/>
        </w:rPr>
        <w:t xml:space="preserve"> briefs (</w:t>
      </w:r>
      <w:r w:rsidR="00E15BBF" w:rsidRPr="002E60EB">
        <w:rPr>
          <w:i/>
          <w:lang w:val="en-US" w:eastAsia="es-ES"/>
        </w:rPr>
        <w:t xml:space="preserve">supra </w:t>
      </w:r>
      <w:r w:rsidR="00E15BBF" w:rsidRPr="002E60EB">
        <w:rPr>
          <w:lang w:val="en-US" w:eastAsia="es-ES"/>
        </w:rPr>
        <w:t>par</w:t>
      </w:r>
      <w:r w:rsidRPr="002E60EB">
        <w:rPr>
          <w:lang w:val="en-US" w:eastAsia="es-ES"/>
        </w:rPr>
        <w:t>a</w:t>
      </w:r>
      <w:r w:rsidR="00E15BBF" w:rsidRPr="002E60EB">
        <w:rPr>
          <w:lang w:val="en-US" w:eastAsia="es-ES"/>
        </w:rPr>
        <w:t xml:space="preserve">s. </w:t>
      </w:r>
      <w:r w:rsidRPr="002E60EB">
        <w:rPr>
          <w:lang w:val="en-US" w:eastAsia="es-ES"/>
        </w:rPr>
        <w:t>1, 5 and 6),</w:t>
      </w:r>
      <w:r w:rsidR="00E15BBF" w:rsidRPr="002E60EB">
        <w:rPr>
          <w:lang w:val="en-US" w:eastAsia="es-ES"/>
        </w:rPr>
        <w:t xml:space="preserve"> as well as other </w:t>
      </w:r>
      <w:r w:rsidRPr="002E60EB">
        <w:rPr>
          <w:lang w:val="en-US" w:eastAsia="es-ES"/>
        </w:rPr>
        <w:t xml:space="preserve">briefs forwarded </w:t>
      </w:r>
      <w:r w:rsidR="00E15BBF" w:rsidRPr="002E60EB">
        <w:rPr>
          <w:lang w:val="en-US" w:eastAsia="es-ES"/>
        </w:rPr>
        <w:t xml:space="preserve">by the parties, the President of the Court (hereinafter </w:t>
      </w:r>
      <w:r w:rsidR="00087093" w:rsidRPr="002E60EB">
        <w:rPr>
          <w:lang w:val="en-US" w:eastAsia="es-ES"/>
        </w:rPr>
        <w:t>“</w:t>
      </w:r>
      <w:r w:rsidR="00E15BBF" w:rsidRPr="002E60EB">
        <w:rPr>
          <w:lang w:val="en-US" w:eastAsia="es-ES"/>
        </w:rPr>
        <w:t>the President</w:t>
      </w:r>
      <w:r w:rsidR="00087093" w:rsidRPr="002E60EB">
        <w:rPr>
          <w:lang w:val="en-US" w:eastAsia="es-ES"/>
        </w:rPr>
        <w:t>”</w:t>
      </w:r>
      <w:r w:rsidR="00E15BBF" w:rsidRPr="002E60EB">
        <w:rPr>
          <w:lang w:val="en-US" w:eastAsia="es-ES"/>
        </w:rPr>
        <w:t>) issued an Order dated January 25, 2012</w:t>
      </w:r>
      <w:r w:rsidRPr="002E60EB">
        <w:rPr>
          <w:lang w:val="en-US" w:eastAsia="es-ES"/>
        </w:rPr>
        <w:t>,</w:t>
      </w:r>
      <w:r w:rsidR="00E15BBF" w:rsidRPr="002E60EB">
        <w:rPr>
          <w:rStyle w:val="Refdenotaalpie"/>
          <w:lang w:val="en-US" w:eastAsia="es-ES"/>
        </w:rPr>
        <w:footnoteReference w:id="8"/>
      </w:r>
      <w:r w:rsidR="00E15BBF" w:rsidRPr="002E60EB">
        <w:rPr>
          <w:lang w:val="en-US" w:eastAsia="es-ES"/>
        </w:rPr>
        <w:t xml:space="preserve"> </w:t>
      </w:r>
      <w:r w:rsidRPr="002E60EB">
        <w:rPr>
          <w:lang w:val="en-US" w:eastAsia="es-ES"/>
        </w:rPr>
        <w:t xml:space="preserve">in which he </w:t>
      </w:r>
      <w:r w:rsidR="006960B4" w:rsidRPr="002E60EB">
        <w:rPr>
          <w:lang w:val="en-US" w:eastAsia="es-ES"/>
        </w:rPr>
        <w:t>ruled on</w:t>
      </w:r>
      <w:r w:rsidR="00E15BBF" w:rsidRPr="002E60EB">
        <w:rPr>
          <w:lang w:val="en-US" w:eastAsia="es-ES"/>
        </w:rPr>
        <w:t xml:space="preserve"> the State’s objections to the </w:t>
      </w:r>
      <w:r w:rsidRPr="002E60EB">
        <w:rPr>
          <w:lang w:val="en-US" w:eastAsia="es-ES"/>
        </w:rPr>
        <w:t xml:space="preserve">expert </w:t>
      </w:r>
      <w:r w:rsidR="00E15BBF" w:rsidRPr="002E60EB">
        <w:rPr>
          <w:lang w:val="en-US" w:eastAsia="es-ES"/>
        </w:rPr>
        <w:t xml:space="preserve">evidence offered and the </w:t>
      </w:r>
      <w:r w:rsidRPr="002E60EB">
        <w:rPr>
          <w:lang w:val="en-US" w:eastAsia="es-ES"/>
        </w:rPr>
        <w:t xml:space="preserve">representatives’ </w:t>
      </w:r>
      <w:r w:rsidR="006960B4" w:rsidRPr="002E60EB">
        <w:rPr>
          <w:lang w:val="en-US" w:eastAsia="es-ES"/>
        </w:rPr>
        <w:t>objection</w:t>
      </w:r>
      <w:r w:rsidR="001D1480" w:rsidRPr="002E60EB">
        <w:rPr>
          <w:lang w:val="en-US" w:eastAsia="es-ES"/>
        </w:rPr>
        <w:t xml:space="preserve"> to</w:t>
      </w:r>
      <w:r w:rsidR="00E15BBF" w:rsidRPr="002E60EB">
        <w:rPr>
          <w:lang w:val="en-US" w:eastAsia="es-ES"/>
        </w:rPr>
        <w:t xml:space="preserve"> one of the experts offered by the State</w:t>
      </w:r>
      <w:r w:rsidRPr="002E60EB">
        <w:rPr>
          <w:lang w:val="en-US" w:eastAsia="es-ES"/>
        </w:rPr>
        <w:t>, and</w:t>
      </w:r>
      <w:r w:rsidR="00E15BBF" w:rsidRPr="002E60EB">
        <w:rPr>
          <w:lang w:val="en-US" w:eastAsia="es-ES"/>
        </w:rPr>
        <w:t xml:space="preserve"> </w:t>
      </w:r>
      <w:r w:rsidRPr="002E60EB">
        <w:rPr>
          <w:lang w:val="en-US" w:eastAsia="es-ES"/>
        </w:rPr>
        <w:t>required</w:t>
      </w:r>
      <w:r w:rsidR="00E15BBF" w:rsidRPr="002E60EB">
        <w:rPr>
          <w:lang w:val="en-US" w:eastAsia="es-ES"/>
        </w:rPr>
        <w:t xml:space="preserve"> </w:t>
      </w:r>
      <w:r w:rsidRPr="002E60EB">
        <w:rPr>
          <w:lang w:val="en-US" w:eastAsia="es-ES"/>
        </w:rPr>
        <w:t xml:space="preserve">that the testimony of </w:t>
      </w:r>
      <w:r w:rsidR="00E15BBF" w:rsidRPr="002E60EB">
        <w:rPr>
          <w:lang w:val="en-US" w:eastAsia="es-ES"/>
        </w:rPr>
        <w:t>one witness and four expert witnesses</w:t>
      </w:r>
      <w:r w:rsidRPr="002E60EB">
        <w:rPr>
          <w:lang w:val="en-US" w:eastAsia="es-ES"/>
        </w:rPr>
        <w:t xml:space="preserve"> be received by affidavit. These affidavits </w:t>
      </w:r>
      <w:r w:rsidR="00E15BBF" w:rsidRPr="002E60EB">
        <w:rPr>
          <w:lang w:val="en-US" w:eastAsia="es-ES"/>
        </w:rPr>
        <w:t xml:space="preserve">were </w:t>
      </w:r>
      <w:r w:rsidRPr="002E60EB">
        <w:rPr>
          <w:lang w:val="en-US" w:eastAsia="es-ES"/>
        </w:rPr>
        <w:t xml:space="preserve">presented </w:t>
      </w:r>
      <w:r w:rsidR="00E15BBF" w:rsidRPr="002E60EB">
        <w:rPr>
          <w:lang w:val="en-US" w:eastAsia="es-ES"/>
        </w:rPr>
        <w:t xml:space="preserve">by the parties and the Commission on February 20, 21 and 28, 2012. </w:t>
      </w:r>
      <w:r w:rsidRPr="002E60EB">
        <w:rPr>
          <w:lang w:val="en-US" w:eastAsia="es-ES"/>
        </w:rPr>
        <w:t>In addition,</w:t>
      </w:r>
      <w:r w:rsidR="00E15BBF" w:rsidRPr="002E60EB">
        <w:rPr>
          <w:lang w:val="en-US" w:eastAsia="es-ES"/>
        </w:rPr>
        <w:t xml:space="preserve"> </w:t>
      </w:r>
      <w:r w:rsidRPr="002E60EB">
        <w:rPr>
          <w:lang w:val="en-US" w:eastAsia="es-ES"/>
        </w:rPr>
        <w:t>in</w:t>
      </w:r>
      <w:r w:rsidR="00E15BBF" w:rsidRPr="002E60EB">
        <w:rPr>
          <w:lang w:val="en-US" w:eastAsia="es-ES"/>
        </w:rPr>
        <w:t xml:space="preserve"> the same Order, the President summoned the parties and the Commission to a public hearing (</w:t>
      </w:r>
      <w:r w:rsidR="00E15BBF" w:rsidRPr="002E60EB">
        <w:rPr>
          <w:i/>
          <w:lang w:val="en-US" w:eastAsia="es-ES"/>
        </w:rPr>
        <w:t xml:space="preserve">infra </w:t>
      </w:r>
      <w:r w:rsidR="00E15BBF" w:rsidRPr="002E60EB">
        <w:rPr>
          <w:lang w:val="en-US" w:eastAsia="es-ES"/>
        </w:rPr>
        <w:t>par</w:t>
      </w:r>
      <w:r w:rsidRPr="002E60EB">
        <w:rPr>
          <w:lang w:val="en-US" w:eastAsia="es-ES"/>
        </w:rPr>
        <w:t>a</w:t>
      </w:r>
      <w:r w:rsidR="00E15BBF" w:rsidRPr="002E60EB">
        <w:rPr>
          <w:lang w:val="en-US" w:eastAsia="es-ES"/>
        </w:rPr>
        <w:t xml:space="preserve">. </w:t>
      </w:r>
      <w:r w:rsidRPr="002E60EB">
        <w:rPr>
          <w:lang w:val="en-US" w:eastAsia="es-ES"/>
        </w:rPr>
        <w:t>9</w:t>
      </w:r>
      <w:r w:rsidR="00E15BBF" w:rsidRPr="002E60EB">
        <w:rPr>
          <w:lang w:val="en-US" w:eastAsia="es-ES"/>
        </w:rPr>
        <w:t>).</w:t>
      </w:r>
    </w:p>
    <w:p w:rsidR="00E15BBF" w:rsidRPr="002E60EB" w:rsidRDefault="00E15BBF" w:rsidP="00317748">
      <w:pPr>
        <w:pStyle w:val="MediumGrid1-Accent21"/>
        <w:ind w:left="0"/>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The public hearing was held </w:t>
      </w:r>
      <w:r w:rsidR="00073521" w:rsidRPr="002E60EB">
        <w:rPr>
          <w:lang w:val="en-US" w:eastAsia="es-ES"/>
        </w:rPr>
        <w:t xml:space="preserve">at the seat of the Court </w:t>
      </w:r>
      <w:r w:rsidRPr="002E60EB">
        <w:rPr>
          <w:lang w:val="en-US" w:eastAsia="es-ES"/>
        </w:rPr>
        <w:t xml:space="preserve">on February 24, 2012, during </w:t>
      </w:r>
      <w:r w:rsidR="00073521" w:rsidRPr="002E60EB">
        <w:rPr>
          <w:lang w:val="en-US" w:eastAsia="es-ES"/>
        </w:rPr>
        <w:t>its</w:t>
      </w:r>
      <w:r w:rsidRPr="002E60EB">
        <w:rPr>
          <w:lang w:val="en-US" w:eastAsia="es-ES"/>
        </w:rPr>
        <w:t xml:space="preserve"> </w:t>
      </w:r>
      <w:r w:rsidR="00073521" w:rsidRPr="002E60EB">
        <w:rPr>
          <w:lang w:val="en-US" w:eastAsia="es-ES"/>
        </w:rPr>
        <w:t>ninety-fourth regular session</w:t>
      </w:r>
      <w:r w:rsidRPr="002E60EB">
        <w:rPr>
          <w:lang w:val="en-US" w:eastAsia="es-ES"/>
        </w:rPr>
        <w:t>.</w:t>
      </w:r>
      <w:r w:rsidRPr="002E60EB">
        <w:rPr>
          <w:rStyle w:val="Refdenotaalpie"/>
          <w:lang w:val="en-US" w:eastAsia="es-ES"/>
        </w:rPr>
        <w:footnoteReference w:id="9"/>
      </w:r>
      <w:r w:rsidRPr="002E60EB">
        <w:rPr>
          <w:lang w:val="en-US" w:eastAsia="es-ES"/>
        </w:rPr>
        <w:t xml:space="preserve"> </w:t>
      </w:r>
      <w:r w:rsidR="00073521" w:rsidRPr="002E60EB">
        <w:rPr>
          <w:lang w:val="en-US" w:eastAsia="es-ES"/>
        </w:rPr>
        <w:t>During</w:t>
      </w:r>
      <w:r w:rsidRPr="002E60EB">
        <w:rPr>
          <w:lang w:val="en-US" w:eastAsia="es-ES"/>
        </w:rPr>
        <w:t xml:space="preserve"> the hearing, </w:t>
      </w:r>
      <w:r w:rsidR="00073521" w:rsidRPr="002E60EB">
        <w:rPr>
          <w:lang w:val="en-US" w:eastAsia="es-ES"/>
        </w:rPr>
        <w:t>the testimony of</w:t>
      </w:r>
      <w:r w:rsidRPr="002E60EB">
        <w:rPr>
          <w:lang w:val="en-US" w:eastAsia="es-ES"/>
        </w:rPr>
        <w:t xml:space="preserve"> two </w:t>
      </w:r>
      <w:r w:rsidR="001466BD" w:rsidRPr="002E60EB">
        <w:rPr>
          <w:lang w:val="en-US" w:eastAsia="es-ES"/>
        </w:rPr>
        <w:t>presumed victim</w:t>
      </w:r>
      <w:r w:rsidRPr="002E60EB">
        <w:rPr>
          <w:lang w:val="en-US" w:eastAsia="es-ES"/>
        </w:rPr>
        <w:t>s and one expert witness</w:t>
      </w:r>
      <w:r w:rsidR="00073521" w:rsidRPr="002E60EB">
        <w:rPr>
          <w:lang w:val="en-US" w:eastAsia="es-ES"/>
        </w:rPr>
        <w:t xml:space="preserve"> were received</w:t>
      </w:r>
      <w:r w:rsidRPr="002E60EB">
        <w:rPr>
          <w:lang w:val="en-US" w:eastAsia="es-ES"/>
        </w:rPr>
        <w:t xml:space="preserve">, </w:t>
      </w:r>
      <w:r w:rsidR="00073521" w:rsidRPr="002E60EB">
        <w:rPr>
          <w:lang w:val="en-US" w:eastAsia="es-ES"/>
        </w:rPr>
        <w:t>together with</w:t>
      </w:r>
      <w:r w:rsidRPr="002E60EB">
        <w:rPr>
          <w:lang w:val="en-US" w:eastAsia="es-ES"/>
        </w:rPr>
        <w:t xml:space="preserve"> the </w:t>
      </w:r>
      <w:r w:rsidR="00073521" w:rsidRPr="002E60EB">
        <w:rPr>
          <w:lang w:val="en-US" w:eastAsia="es-ES"/>
        </w:rPr>
        <w:t xml:space="preserve">final oral </w:t>
      </w:r>
      <w:r w:rsidRPr="002E60EB">
        <w:rPr>
          <w:lang w:val="en-US" w:eastAsia="es-ES"/>
        </w:rPr>
        <w:t>observations and arguments of the Inter-American Commission, the representative, and the State.</w:t>
      </w:r>
    </w:p>
    <w:p w:rsidR="00E15BBF" w:rsidRPr="002E60EB" w:rsidRDefault="00E15BBF" w:rsidP="00317748">
      <w:pPr>
        <w:pStyle w:val="MediumGrid1-Accent21"/>
        <w:ind w:left="0"/>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rPr>
        <w:t xml:space="preserve">The </w:t>
      </w:r>
      <w:r w:rsidR="00D00C5F" w:rsidRPr="002E60EB">
        <w:rPr>
          <w:lang w:val="en-US"/>
        </w:rPr>
        <w:t>Court</w:t>
      </w:r>
      <w:r w:rsidRPr="002E60EB">
        <w:rPr>
          <w:lang w:val="en-US"/>
        </w:rPr>
        <w:t xml:space="preserve"> received three amic</w:t>
      </w:r>
      <w:r w:rsidR="00073521" w:rsidRPr="002E60EB">
        <w:rPr>
          <w:lang w:val="en-US"/>
        </w:rPr>
        <w:t>i</w:t>
      </w:r>
      <w:r w:rsidRPr="002E60EB">
        <w:rPr>
          <w:lang w:val="en-US"/>
        </w:rPr>
        <w:t xml:space="preserve"> curiae briefs from: the Public Action</w:t>
      </w:r>
      <w:r w:rsidR="00073521" w:rsidRPr="002E60EB">
        <w:rPr>
          <w:lang w:val="en-US"/>
        </w:rPr>
        <w:t xml:space="preserve"> Group</w:t>
      </w:r>
      <w:r w:rsidRPr="002E60EB">
        <w:rPr>
          <w:lang w:val="en-US"/>
        </w:rPr>
        <w:t xml:space="preserve"> of the </w:t>
      </w:r>
      <w:r w:rsidR="00B91548" w:rsidRPr="002E60EB">
        <w:rPr>
          <w:lang w:val="en-US"/>
        </w:rPr>
        <w:t xml:space="preserve">Faculty of </w:t>
      </w:r>
      <w:r w:rsidRPr="002E60EB">
        <w:rPr>
          <w:lang w:val="en-US"/>
        </w:rPr>
        <w:t>Jurisprudence</w:t>
      </w:r>
      <w:r w:rsidR="00B91548" w:rsidRPr="002E60EB">
        <w:rPr>
          <w:lang w:val="en-US"/>
        </w:rPr>
        <w:t xml:space="preserve"> </w:t>
      </w:r>
      <w:r w:rsidRPr="002E60EB">
        <w:rPr>
          <w:lang w:val="en-US"/>
        </w:rPr>
        <w:t>of the Universi</w:t>
      </w:r>
      <w:r w:rsidR="00073521" w:rsidRPr="002E60EB">
        <w:rPr>
          <w:lang w:val="en-US"/>
        </w:rPr>
        <w:t>dad de</w:t>
      </w:r>
      <w:r w:rsidRPr="002E60EB">
        <w:rPr>
          <w:lang w:val="en-US"/>
        </w:rPr>
        <w:t xml:space="preserve"> Rosario</w:t>
      </w:r>
      <w:r w:rsidR="00073521" w:rsidRPr="002E60EB">
        <w:rPr>
          <w:lang w:val="en-US"/>
        </w:rPr>
        <w:t>;</w:t>
      </w:r>
      <w:r w:rsidRPr="002E60EB">
        <w:rPr>
          <w:rStyle w:val="Refdenotaalpie"/>
          <w:lang w:val="en-US" w:eastAsia="es-ES"/>
        </w:rPr>
        <w:footnoteReference w:id="10"/>
      </w:r>
      <w:r w:rsidRPr="002E60EB">
        <w:rPr>
          <w:lang w:val="en-US"/>
        </w:rPr>
        <w:t xml:space="preserve"> the Legal Clinic for Social Justice and </w:t>
      </w:r>
      <w:r w:rsidR="00B91548" w:rsidRPr="002E60EB">
        <w:rPr>
          <w:lang w:val="en-US"/>
        </w:rPr>
        <w:t xml:space="preserve">the </w:t>
      </w:r>
      <w:r w:rsidRPr="002E60EB">
        <w:rPr>
          <w:lang w:val="en-US"/>
        </w:rPr>
        <w:t>Master</w:t>
      </w:r>
      <w:r w:rsidR="00073521" w:rsidRPr="002E60EB">
        <w:rPr>
          <w:lang w:val="en-US"/>
        </w:rPr>
        <w:t>’s Program in</w:t>
      </w:r>
      <w:r w:rsidRPr="002E60EB">
        <w:rPr>
          <w:lang w:val="en-US"/>
        </w:rPr>
        <w:t xml:space="preserve"> </w:t>
      </w:r>
      <w:r w:rsidR="00087093" w:rsidRPr="002E60EB">
        <w:rPr>
          <w:lang w:val="en-US"/>
        </w:rPr>
        <w:t>“</w:t>
      </w:r>
      <w:r w:rsidRPr="002E60EB">
        <w:rPr>
          <w:lang w:val="en-US"/>
        </w:rPr>
        <w:t>Human Rights, Democracy, and International Justice</w:t>
      </w:r>
      <w:r w:rsidR="00087093" w:rsidRPr="002E60EB">
        <w:rPr>
          <w:lang w:val="en-US"/>
        </w:rPr>
        <w:t>”</w:t>
      </w:r>
      <w:r w:rsidRPr="002E60EB">
        <w:rPr>
          <w:lang w:val="en-US"/>
        </w:rPr>
        <w:t xml:space="preserve"> of the Universi</w:t>
      </w:r>
      <w:r w:rsidR="00073521" w:rsidRPr="002E60EB">
        <w:rPr>
          <w:lang w:val="en-US"/>
        </w:rPr>
        <w:t>dad de</w:t>
      </w:r>
      <w:r w:rsidRPr="002E60EB">
        <w:rPr>
          <w:lang w:val="en-US"/>
        </w:rPr>
        <w:t xml:space="preserve"> Valencia, Spain</w:t>
      </w:r>
      <w:r w:rsidR="00073521" w:rsidRPr="002E60EB">
        <w:rPr>
          <w:lang w:val="en-US"/>
        </w:rPr>
        <w:t>,</w:t>
      </w:r>
      <w:r w:rsidRPr="002E60EB">
        <w:rPr>
          <w:rStyle w:val="Refdenotaalpie"/>
          <w:lang w:val="en-US" w:eastAsia="es-ES"/>
        </w:rPr>
        <w:footnoteReference w:id="11"/>
      </w:r>
      <w:r w:rsidRPr="002E60EB">
        <w:rPr>
          <w:lang w:val="en-US"/>
        </w:rPr>
        <w:t xml:space="preserve"> and the organization</w:t>
      </w:r>
      <w:r w:rsidR="00B91548" w:rsidRPr="002E60EB">
        <w:rPr>
          <w:lang w:val="en-US"/>
        </w:rPr>
        <w:t>, Article 19</w:t>
      </w:r>
      <w:r w:rsidRPr="002E60EB">
        <w:rPr>
          <w:lang w:val="en-US"/>
        </w:rPr>
        <w:t>.</w:t>
      </w:r>
      <w:r w:rsidRPr="002E60EB">
        <w:rPr>
          <w:rStyle w:val="Refdenotaalpie"/>
          <w:lang w:val="en-US" w:eastAsia="es-ES"/>
        </w:rPr>
        <w:footnoteReference w:id="12"/>
      </w:r>
      <w:r w:rsidRPr="002E60EB">
        <w:rPr>
          <w:lang w:val="en-US" w:eastAsia="es-ES"/>
        </w:rPr>
        <w:t xml:space="preserve"> </w:t>
      </w:r>
      <w:r w:rsidR="00B91548" w:rsidRPr="002E60EB">
        <w:rPr>
          <w:lang w:val="en-US" w:eastAsia="es-ES"/>
        </w:rPr>
        <w:t>The State aske</w:t>
      </w:r>
      <w:r w:rsidR="00073521" w:rsidRPr="002E60EB">
        <w:rPr>
          <w:lang w:val="en-US" w:eastAsia="es-ES"/>
        </w:rPr>
        <w:t>d</w:t>
      </w:r>
      <w:r w:rsidR="00B91548" w:rsidRPr="002E60EB">
        <w:rPr>
          <w:lang w:val="en-US" w:eastAsia="es-ES"/>
        </w:rPr>
        <w:t xml:space="preserve"> the Court not to admit</w:t>
      </w:r>
      <w:r w:rsidR="00073521" w:rsidRPr="002E60EB">
        <w:rPr>
          <w:lang w:val="en-US" w:eastAsia="es-ES"/>
        </w:rPr>
        <w:t xml:space="preserve"> the latter because it was time-barred (</w:t>
      </w:r>
      <w:r w:rsidR="00073521" w:rsidRPr="002E60EB">
        <w:rPr>
          <w:i/>
          <w:lang w:val="en-US" w:eastAsia="es-ES"/>
        </w:rPr>
        <w:t>infra</w:t>
      </w:r>
      <w:r w:rsidR="00073521" w:rsidRPr="002E60EB">
        <w:rPr>
          <w:lang w:val="en-US" w:eastAsia="es-ES"/>
        </w:rPr>
        <w:t xml:space="preserve"> paras. 67 and 68). </w:t>
      </w:r>
    </w:p>
    <w:p w:rsidR="00E15BBF" w:rsidRPr="002E60EB" w:rsidRDefault="00E15BBF" w:rsidP="00317748">
      <w:pPr>
        <w:pStyle w:val="MediumGrid1-Accent21"/>
        <w:ind w:left="0"/>
        <w:rPr>
          <w:lang w:val="en-US" w:eastAsia="es-ES"/>
        </w:rPr>
      </w:pPr>
    </w:p>
    <w:bookmarkEnd w:id="1"/>
    <w:bookmarkEnd w:id="2"/>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On March 26, 2012, the representative and the State </w:t>
      </w:r>
      <w:r w:rsidR="00E34EA3" w:rsidRPr="002E60EB">
        <w:rPr>
          <w:lang w:val="en-US" w:eastAsia="es-ES"/>
        </w:rPr>
        <w:t xml:space="preserve">forwarded </w:t>
      </w:r>
      <w:r w:rsidRPr="002E60EB">
        <w:rPr>
          <w:lang w:val="en-US" w:eastAsia="es-ES"/>
        </w:rPr>
        <w:t xml:space="preserve">their final written </w:t>
      </w:r>
      <w:r w:rsidR="00F45688" w:rsidRPr="002E60EB">
        <w:rPr>
          <w:lang w:val="en-US" w:eastAsia="es-ES"/>
        </w:rPr>
        <w:t>argument</w:t>
      </w:r>
      <w:r w:rsidRPr="002E60EB">
        <w:rPr>
          <w:lang w:val="en-US" w:eastAsia="es-ES"/>
        </w:rPr>
        <w:t xml:space="preserve">s, and the Inter-American Commission </w:t>
      </w:r>
      <w:r w:rsidR="00E34EA3" w:rsidRPr="002E60EB">
        <w:rPr>
          <w:lang w:val="en-US" w:eastAsia="es-ES"/>
        </w:rPr>
        <w:t xml:space="preserve">presented </w:t>
      </w:r>
      <w:r w:rsidRPr="002E60EB">
        <w:rPr>
          <w:lang w:val="en-US" w:eastAsia="es-ES"/>
        </w:rPr>
        <w:t>its final written observations,</w:t>
      </w:r>
      <w:r w:rsidR="00EE3F1D" w:rsidRPr="002E60EB">
        <w:rPr>
          <w:lang w:val="en-US" w:eastAsia="es-ES"/>
        </w:rPr>
        <w:t xml:space="preserve"> </w:t>
      </w:r>
      <w:r w:rsidR="00EE3F1D" w:rsidRPr="002E60EB">
        <w:rPr>
          <w:lang w:val="en-US" w:eastAsia="es-ES"/>
        </w:rPr>
        <w:lastRenderedPageBreak/>
        <w:t xml:space="preserve">together with their </w:t>
      </w:r>
      <w:r w:rsidR="00E34EA3" w:rsidRPr="002E60EB">
        <w:rPr>
          <w:lang w:val="en-US" w:eastAsia="es-ES"/>
        </w:rPr>
        <w:t>response</w:t>
      </w:r>
      <w:r w:rsidR="00EE3F1D" w:rsidRPr="002E60EB">
        <w:rPr>
          <w:lang w:val="en-US" w:eastAsia="es-ES"/>
        </w:rPr>
        <w:t>s</w:t>
      </w:r>
      <w:r w:rsidR="00E34EA3" w:rsidRPr="002E60EB">
        <w:rPr>
          <w:lang w:val="en-US" w:eastAsia="es-ES"/>
        </w:rPr>
        <w:t xml:space="preserve"> </w:t>
      </w:r>
      <w:r w:rsidRPr="002E60EB">
        <w:rPr>
          <w:lang w:val="en-US" w:eastAsia="es-ES"/>
        </w:rPr>
        <w:t>to the information requested by the Court at the public hearing.</w:t>
      </w:r>
      <w:r w:rsidRPr="002E60EB">
        <w:rPr>
          <w:b/>
          <w:lang w:val="en-US" w:eastAsia="es-ES"/>
        </w:rPr>
        <w:t xml:space="preserve"> </w:t>
      </w:r>
      <w:r w:rsidRPr="002E60EB">
        <w:rPr>
          <w:lang w:val="en-US" w:eastAsia="es-ES"/>
        </w:rPr>
        <w:t>On April 1</w:t>
      </w:r>
      <w:r w:rsidR="00E34EA3" w:rsidRPr="002E60EB">
        <w:rPr>
          <w:lang w:val="en-US" w:eastAsia="es-ES"/>
        </w:rPr>
        <w:t>3</w:t>
      </w:r>
      <w:r w:rsidRPr="002E60EB">
        <w:rPr>
          <w:lang w:val="en-US" w:eastAsia="es-ES"/>
        </w:rPr>
        <w:t>, 2012, the</w:t>
      </w:r>
      <w:r w:rsidR="00E34EA3" w:rsidRPr="002E60EB">
        <w:rPr>
          <w:lang w:val="en-US" w:eastAsia="es-ES"/>
        </w:rPr>
        <w:t>se briefs were forwarded to the</w:t>
      </w:r>
      <w:r w:rsidRPr="002E60EB">
        <w:rPr>
          <w:lang w:val="en-US" w:eastAsia="es-ES"/>
        </w:rPr>
        <w:t xml:space="preserve"> parties and the Inter-American Commission. The President </w:t>
      </w:r>
      <w:r w:rsidR="00E34EA3" w:rsidRPr="002E60EB">
        <w:rPr>
          <w:lang w:val="en-US" w:eastAsia="es-ES"/>
        </w:rPr>
        <w:t>granted a time frame</w:t>
      </w:r>
      <w:r w:rsidRPr="002E60EB">
        <w:rPr>
          <w:lang w:val="en-US"/>
        </w:rPr>
        <w:t xml:space="preserve"> for the representative and the Commission to submit any observations they </w:t>
      </w:r>
      <w:r w:rsidR="00EE3F1D" w:rsidRPr="002E60EB">
        <w:rPr>
          <w:lang w:val="en-US"/>
        </w:rPr>
        <w:t>considered</w:t>
      </w:r>
      <w:r w:rsidRPr="002E60EB">
        <w:rPr>
          <w:lang w:val="en-US"/>
        </w:rPr>
        <w:t xml:space="preserve"> pertinent </w:t>
      </w:r>
      <w:r w:rsidR="00E34EA3" w:rsidRPr="002E60EB">
        <w:rPr>
          <w:lang w:val="en-US"/>
        </w:rPr>
        <w:t>on</w:t>
      </w:r>
      <w:r w:rsidRPr="002E60EB">
        <w:rPr>
          <w:lang w:val="en-US"/>
        </w:rPr>
        <w:t xml:space="preserve"> the documentation </w:t>
      </w:r>
      <w:r w:rsidR="00E34EA3" w:rsidRPr="002E60EB">
        <w:rPr>
          <w:lang w:val="en-US"/>
        </w:rPr>
        <w:t xml:space="preserve">presented </w:t>
      </w:r>
      <w:r w:rsidRPr="002E60EB">
        <w:rPr>
          <w:lang w:val="en-US"/>
        </w:rPr>
        <w:t xml:space="preserve">by the State </w:t>
      </w:r>
      <w:r w:rsidR="00E34EA3" w:rsidRPr="002E60EB">
        <w:rPr>
          <w:lang w:val="en-US"/>
        </w:rPr>
        <w:t xml:space="preserve">together </w:t>
      </w:r>
      <w:r w:rsidRPr="002E60EB">
        <w:rPr>
          <w:lang w:val="en-US"/>
        </w:rPr>
        <w:t xml:space="preserve">with </w:t>
      </w:r>
      <w:r w:rsidR="00E34EA3" w:rsidRPr="002E60EB">
        <w:rPr>
          <w:lang w:val="en-US"/>
        </w:rPr>
        <w:t>their</w:t>
      </w:r>
      <w:r w:rsidRPr="002E60EB">
        <w:rPr>
          <w:lang w:val="en-US"/>
        </w:rPr>
        <w:t xml:space="preserve"> final written </w:t>
      </w:r>
      <w:r w:rsidR="00EE3F1D" w:rsidRPr="002E60EB">
        <w:rPr>
          <w:lang w:val="en-US"/>
        </w:rPr>
        <w:t>arguments</w:t>
      </w:r>
      <w:r w:rsidRPr="002E60EB">
        <w:rPr>
          <w:lang w:val="en-US"/>
        </w:rPr>
        <w:t xml:space="preserve">, </w:t>
      </w:r>
      <w:r w:rsidR="00EE3F1D" w:rsidRPr="002E60EB">
        <w:rPr>
          <w:lang w:val="en-US"/>
        </w:rPr>
        <w:t>as well as on</w:t>
      </w:r>
      <w:r w:rsidRPr="002E60EB">
        <w:rPr>
          <w:lang w:val="en-US"/>
        </w:rPr>
        <w:t xml:space="preserve"> the </w:t>
      </w:r>
      <w:r w:rsidR="00E34EA3" w:rsidRPr="002E60EB">
        <w:rPr>
          <w:lang w:val="en-US"/>
        </w:rPr>
        <w:t xml:space="preserve">documentation forwarded </w:t>
      </w:r>
      <w:r w:rsidR="00EE3F1D" w:rsidRPr="002E60EB">
        <w:rPr>
          <w:lang w:val="en-US"/>
        </w:rPr>
        <w:t>by expert witness Tulande</w:t>
      </w:r>
      <w:r w:rsidRPr="002E60EB">
        <w:rPr>
          <w:lang w:val="en-US"/>
        </w:rPr>
        <w:t xml:space="preserve"> on March 28, 2012. In its brief </w:t>
      </w:r>
      <w:r w:rsidR="00E34EA3" w:rsidRPr="002E60EB">
        <w:rPr>
          <w:lang w:val="en-US"/>
        </w:rPr>
        <w:t xml:space="preserve">of </w:t>
      </w:r>
      <w:r w:rsidRPr="002E60EB">
        <w:rPr>
          <w:lang w:val="en-US"/>
        </w:rPr>
        <w:t>May 2, 2012, the</w:t>
      </w:r>
      <w:r w:rsidRPr="002E60EB">
        <w:rPr>
          <w:b/>
          <w:lang w:val="en-US"/>
        </w:rPr>
        <w:t xml:space="preserve"> </w:t>
      </w:r>
      <w:r w:rsidRPr="002E60EB">
        <w:rPr>
          <w:lang w:val="en-US"/>
        </w:rPr>
        <w:t xml:space="preserve">Commission indicated that </w:t>
      </w:r>
      <w:r w:rsidR="00087093" w:rsidRPr="002E60EB">
        <w:rPr>
          <w:lang w:val="en-US"/>
        </w:rPr>
        <w:t>“</w:t>
      </w:r>
      <w:r w:rsidRPr="002E60EB">
        <w:rPr>
          <w:lang w:val="en-US"/>
        </w:rPr>
        <w:t>it ha</w:t>
      </w:r>
      <w:r w:rsidR="00E34EA3" w:rsidRPr="002E60EB">
        <w:rPr>
          <w:lang w:val="en-US"/>
        </w:rPr>
        <w:t>[</w:t>
      </w:r>
      <w:r w:rsidRPr="002E60EB">
        <w:rPr>
          <w:lang w:val="en-US"/>
        </w:rPr>
        <w:t>d</w:t>
      </w:r>
      <w:r w:rsidR="00E34EA3" w:rsidRPr="002E60EB">
        <w:rPr>
          <w:lang w:val="en-US"/>
        </w:rPr>
        <w:t>]</w:t>
      </w:r>
      <w:r w:rsidRPr="002E60EB">
        <w:rPr>
          <w:lang w:val="en-US"/>
        </w:rPr>
        <w:t xml:space="preserve"> no </w:t>
      </w:r>
      <w:r w:rsidR="00EE3F1D" w:rsidRPr="002E60EB">
        <w:rPr>
          <w:lang w:val="en-US"/>
        </w:rPr>
        <w:t>observatio</w:t>
      </w:r>
      <w:r w:rsidR="00E34EA3" w:rsidRPr="002E60EB">
        <w:rPr>
          <w:lang w:val="en-US"/>
        </w:rPr>
        <w:t xml:space="preserve">ns </w:t>
      </w:r>
      <w:r w:rsidRPr="002E60EB">
        <w:rPr>
          <w:lang w:val="en-US"/>
        </w:rPr>
        <w:t xml:space="preserve">to make </w:t>
      </w:r>
      <w:r w:rsidR="00E34EA3" w:rsidRPr="002E60EB">
        <w:rPr>
          <w:lang w:val="en-US"/>
        </w:rPr>
        <w:t xml:space="preserve">on </w:t>
      </w:r>
      <w:r w:rsidRPr="002E60EB">
        <w:rPr>
          <w:lang w:val="en-US"/>
        </w:rPr>
        <w:t>the information provided</w:t>
      </w:r>
      <w:r w:rsidR="00E34EA3" w:rsidRPr="002E60EB">
        <w:rPr>
          <w:lang w:val="en-US"/>
        </w:rPr>
        <w:t xml:space="preserve"> by expert witness Tulande or</w:t>
      </w:r>
      <w:r w:rsidRPr="002E60EB">
        <w:rPr>
          <w:lang w:val="en-US"/>
        </w:rPr>
        <w:t xml:space="preserve"> [by the] State.</w:t>
      </w:r>
      <w:r w:rsidR="00087093" w:rsidRPr="002E60EB">
        <w:rPr>
          <w:lang w:val="en-US"/>
        </w:rPr>
        <w:t>”</w:t>
      </w:r>
      <w:r w:rsidRPr="002E60EB">
        <w:rPr>
          <w:lang w:val="en-US"/>
        </w:rPr>
        <w:t xml:space="preserve"> The representative did not submit any observations. </w:t>
      </w:r>
    </w:p>
    <w:p w:rsidR="00E15BBF" w:rsidRPr="002E60EB" w:rsidRDefault="00E15BBF" w:rsidP="00260DED">
      <w:pPr>
        <w:pStyle w:val="MediumGrid1-Accent21"/>
        <w:ind w:left="0"/>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On July 6, 2012, the Secretariat of the Court, </w:t>
      </w:r>
      <w:r w:rsidR="000C7779" w:rsidRPr="002E60EB">
        <w:rPr>
          <w:lang w:val="en-US" w:eastAsia="es-ES"/>
        </w:rPr>
        <w:t>on the</w:t>
      </w:r>
      <w:r w:rsidRPr="002E60EB">
        <w:rPr>
          <w:lang w:val="en-US" w:eastAsia="es-ES"/>
        </w:rPr>
        <w:t xml:space="preserve"> instructions </w:t>
      </w:r>
      <w:r w:rsidR="000C7779" w:rsidRPr="002E60EB">
        <w:rPr>
          <w:lang w:val="en-US" w:eastAsia="es-ES"/>
        </w:rPr>
        <w:t xml:space="preserve">of </w:t>
      </w:r>
      <w:r w:rsidRPr="002E60EB">
        <w:rPr>
          <w:lang w:val="en-US" w:eastAsia="es-ES"/>
        </w:rPr>
        <w:t xml:space="preserve">the President, </w:t>
      </w:r>
      <w:r w:rsidR="000C7779" w:rsidRPr="002E60EB">
        <w:rPr>
          <w:lang w:val="en-US" w:eastAsia="es-ES"/>
        </w:rPr>
        <w:t xml:space="preserve">asked </w:t>
      </w:r>
      <w:r w:rsidRPr="002E60EB">
        <w:rPr>
          <w:lang w:val="en-US" w:eastAsia="es-ES"/>
        </w:rPr>
        <w:t xml:space="preserve">the State and the representative to provide specific information, documentation, or explanations </w:t>
      </w:r>
      <w:r w:rsidR="000C7779" w:rsidRPr="002E60EB">
        <w:rPr>
          <w:lang w:val="en-US" w:eastAsia="es-ES"/>
        </w:rPr>
        <w:t>as useful</w:t>
      </w:r>
      <w:r w:rsidRPr="002E60EB">
        <w:rPr>
          <w:lang w:val="en-US" w:eastAsia="es-ES"/>
        </w:rPr>
        <w:t xml:space="preserve"> evidence. On July 18, 2012, Colombia submitted a document in </w:t>
      </w:r>
      <w:r w:rsidR="00EE3F1D" w:rsidRPr="002E60EB">
        <w:rPr>
          <w:lang w:val="en-US" w:eastAsia="es-ES"/>
        </w:rPr>
        <w:t xml:space="preserve">partial </w:t>
      </w:r>
      <w:r w:rsidRPr="002E60EB">
        <w:rPr>
          <w:lang w:val="en-US" w:eastAsia="es-ES"/>
        </w:rPr>
        <w:t xml:space="preserve">response to the requests for </w:t>
      </w:r>
      <w:r w:rsidR="000C7779" w:rsidRPr="002E60EB">
        <w:rPr>
          <w:lang w:val="en-US" w:eastAsia="es-ES"/>
        </w:rPr>
        <w:t xml:space="preserve">helpful </w:t>
      </w:r>
      <w:r w:rsidRPr="002E60EB">
        <w:rPr>
          <w:lang w:val="en-US" w:eastAsia="es-ES"/>
        </w:rPr>
        <w:t>evidence and, following an extension</w:t>
      </w:r>
      <w:r w:rsidR="000C7779" w:rsidRPr="002E60EB">
        <w:rPr>
          <w:lang w:val="en-US" w:eastAsia="es-ES"/>
        </w:rPr>
        <w:t xml:space="preserve"> granted to it</w:t>
      </w:r>
      <w:r w:rsidRPr="002E60EB">
        <w:rPr>
          <w:lang w:val="en-US" w:eastAsia="es-ES"/>
        </w:rPr>
        <w:t xml:space="preserve">, </w:t>
      </w:r>
      <w:r w:rsidR="000C7779" w:rsidRPr="002E60EB">
        <w:rPr>
          <w:lang w:val="en-US" w:eastAsia="es-ES"/>
        </w:rPr>
        <w:t>forwarded the rest</w:t>
      </w:r>
      <w:r w:rsidRPr="002E60EB">
        <w:rPr>
          <w:lang w:val="en-US" w:eastAsia="es-ES"/>
        </w:rPr>
        <w:t xml:space="preserve"> of the documents and information requested by the President</w:t>
      </w:r>
      <w:r w:rsidR="000C7779" w:rsidRPr="002E60EB">
        <w:rPr>
          <w:lang w:val="en-US" w:eastAsia="es-ES"/>
        </w:rPr>
        <w:t xml:space="preserve"> on July 27</w:t>
      </w:r>
      <w:r w:rsidR="00EE3F1D" w:rsidRPr="002E60EB">
        <w:rPr>
          <w:lang w:val="en-US" w:eastAsia="es-ES"/>
        </w:rPr>
        <w:t>,</w:t>
      </w:r>
      <w:r w:rsidR="000C7779" w:rsidRPr="002E60EB">
        <w:rPr>
          <w:lang w:val="en-US" w:eastAsia="es-ES"/>
        </w:rPr>
        <w:t xml:space="preserve"> and August 1</w:t>
      </w:r>
      <w:r w:rsidR="000C7779" w:rsidRPr="002E60EB">
        <w:rPr>
          <w:lang w:val="en-US"/>
        </w:rPr>
        <w:t xml:space="preserve"> and 13,</w:t>
      </w:r>
      <w:r w:rsidR="000C7779" w:rsidRPr="002E60EB">
        <w:rPr>
          <w:lang w:val="en-US" w:eastAsia="es-ES"/>
        </w:rPr>
        <w:t xml:space="preserve"> 2012</w:t>
      </w:r>
      <w:r w:rsidRPr="002E60EB">
        <w:rPr>
          <w:lang w:val="en-US" w:eastAsia="es-ES"/>
        </w:rPr>
        <w:t xml:space="preserve">. On August 9, 2012, the Commission </w:t>
      </w:r>
      <w:r w:rsidR="00EE3F1D" w:rsidRPr="002E60EB">
        <w:rPr>
          <w:lang w:val="en-US" w:eastAsia="es-ES"/>
        </w:rPr>
        <w:t>submitted</w:t>
      </w:r>
      <w:r w:rsidRPr="002E60EB">
        <w:rPr>
          <w:lang w:val="en-US" w:eastAsia="es-ES"/>
        </w:rPr>
        <w:t xml:space="preserve"> a </w:t>
      </w:r>
      <w:r w:rsidR="000C7779" w:rsidRPr="002E60EB">
        <w:rPr>
          <w:lang w:val="en-US" w:eastAsia="es-ES"/>
        </w:rPr>
        <w:t xml:space="preserve">communication </w:t>
      </w:r>
      <w:r w:rsidRPr="002E60EB">
        <w:rPr>
          <w:lang w:val="en-US" w:eastAsia="es-ES"/>
        </w:rPr>
        <w:t xml:space="preserve">in which it </w:t>
      </w:r>
      <w:r w:rsidR="000C7779" w:rsidRPr="002E60EB">
        <w:rPr>
          <w:lang w:val="en-US" w:eastAsia="es-ES"/>
        </w:rPr>
        <w:t xml:space="preserve">indicated that </w:t>
      </w:r>
      <w:r w:rsidRPr="002E60EB">
        <w:rPr>
          <w:lang w:val="en-US" w:eastAsia="es-ES"/>
        </w:rPr>
        <w:t xml:space="preserve">it had no </w:t>
      </w:r>
      <w:r w:rsidR="000C7779" w:rsidRPr="002E60EB">
        <w:rPr>
          <w:lang w:val="en-US" w:eastAsia="es-ES"/>
        </w:rPr>
        <w:t xml:space="preserve">observations </w:t>
      </w:r>
      <w:r w:rsidRPr="002E60EB">
        <w:rPr>
          <w:lang w:val="en-US" w:eastAsia="es-ES"/>
        </w:rPr>
        <w:t xml:space="preserve">to make </w:t>
      </w:r>
      <w:r w:rsidR="000C7779" w:rsidRPr="002E60EB">
        <w:rPr>
          <w:lang w:val="en-US" w:eastAsia="es-ES"/>
        </w:rPr>
        <w:t xml:space="preserve">on </w:t>
      </w:r>
      <w:r w:rsidRPr="002E60EB">
        <w:rPr>
          <w:lang w:val="en-US" w:eastAsia="es-ES"/>
        </w:rPr>
        <w:t xml:space="preserve">the documents provided by </w:t>
      </w:r>
      <w:r w:rsidR="000C7779" w:rsidRPr="002E60EB">
        <w:rPr>
          <w:lang w:val="en-US" w:eastAsia="es-ES"/>
        </w:rPr>
        <w:t xml:space="preserve">Colombia. </w:t>
      </w:r>
      <w:r w:rsidRPr="002E60EB">
        <w:rPr>
          <w:lang w:val="en-US"/>
        </w:rPr>
        <w:t xml:space="preserve">After </w:t>
      </w:r>
      <w:r w:rsidR="000C7779" w:rsidRPr="002E60EB">
        <w:rPr>
          <w:lang w:val="en-US"/>
        </w:rPr>
        <w:t xml:space="preserve">having been granted </w:t>
      </w:r>
      <w:r w:rsidRPr="002E60EB">
        <w:rPr>
          <w:lang w:val="en-US"/>
        </w:rPr>
        <w:t>an extensi</w:t>
      </w:r>
      <w:r w:rsidR="000C7779" w:rsidRPr="002E60EB">
        <w:rPr>
          <w:lang w:val="en-US"/>
        </w:rPr>
        <w:t>o</w:t>
      </w:r>
      <w:r w:rsidRPr="002E60EB">
        <w:rPr>
          <w:lang w:val="en-US"/>
        </w:rPr>
        <w:t xml:space="preserve">n, </w:t>
      </w:r>
      <w:r w:rsidR="000C7779" w:rsidRPr="002E60EB">
        <w:rPr>
          <w:lang w:val="en-US"/>
        </w:rPr>
        <w:t xml:space="preserve">on August 21, 2012, </w:t>
      </w:r>
      <w:r w:rsidRPr="002E60EB">
        <w:rPr>
          <w:lang w:val="en-US"/>
        </w:rPr>
        <w:t>the representative</w:t>
      </w:r>
      <w:r w:rsidR="000C7779" w:rsidRPr="002E60EB">
        <w:rPr>
          <w:lang w:val="en-US"/>
        </w:rPr>
        <w:t xml:space="preserve"> indicated that he had no observations to make on the said documentation. Also, </w:t>
      </w:r>
      <w:r w:rsidRPr="002E60EB">
        <w:rPr>
          <w:lang w:val="en-US" w:eastAsia="es-ES"/>
        </w:rPr>
        <w:t xml:space="preserve">on July 26, 2012, the representative </w:t>
      </w:r>
      <w:r w:rsidR="000C7779" w:rsidRPr="002E60EB">
        <w:rPr>
          <w:lang w:val="en-US" w:eastAsia="es-ES"/>
        </w:rPr>
        <w:t xml:space="preserve">forwarded his response to the request for useful </w:t>
      </w:r>
      <w:r w:rsidRPr="002E60EB">
        <w:rPr>
          <w:lang w:val="en-US" w:eastAsia="es-ES"/>
        </w:rPr>
        <w:t xml:space="preserve">evidence, submitting documentation </w:t>
      </w:r>
      <w:r w:rsidR="000C7779" w:rsidRPr="002E60EB">
        <w:rPr>
          <w:lang w:val="en-US" w:eastAsia="es-ES"/>
        </w:rPr>
        <w:t>that was already in the case file.</w:t>
      </w:r>
    </w:p>
    <w:p w:rsidR="00E15BBF" w:rsidRPr="002E60EB" w:rsidRDefault="00E15BBF" w:rsidP="00317748">
      <w:pPr>
        <w:tabs>
          <w:tab w:val="left" w:pos="720"/>
        </w:tabs>
        <w:jc w:val="both"/>
        <w:rPr>
          <w:lang w:val="en-US" w:eastAsia="es-ES"/>
        </w:rPr>
      </w:pPr>
    </w:p>
    <w:p w:rsidR="00E15BBF" w:rsidRPr="002E60EB" w:rsidRDefault="00E15BBF" w:rsidP="00317748">
      <w:pPr>
        <w:tabs>
          <w:tab w:val="left" w:pos="720"/>
        </w:tabs>
        <w:jc w:val="both"/>
        <w:rPr>
          <w:lang w:val="en-US" w:eastAsia="es-ES"/>
        </w:rPr>
      </w:pPr>
    </w:p>
    <w:p w:rsidR="00E15BBF" w:rsidRPr="002E60EB" w:rsidRDefault="00E15BBF" w:rsidP="00317748">
      <w:pPr>
        <w:pStyle w:val="Ttulo"/>
        <w:rPr>
          <w:lang w:val="en-US"/>
        </w:rPr>
      </w:pPr>
      <w:r w:rsidRPr="002E60EB">
        <w:rPr>
          <w:rFonts w:ascii="Verdana" w:hAnsi="Verdana"/>
          <w:smallCaps/>
          <w:sz w:val="20"/>
          <w:lang w:val="en-US"/>
        </w:rPr>
        <w:t>III</w:t>
      </w:r>
    </w:p>
    <w:p w:rsidR="00E15BBF" w:rsidRPr="002E60EB" w:rsidRDefault="00E15BBF" w:rsidP="002711CF">
      <w:pPr>
        <w:contextualSpacing/>
        <w:jc w:val="center"/>
        <w:rPr>
          <w:b/>
          <w:lang w:val="en-US"/>
        </w:rPr>
      </w:pPr>
      <w:r w:rsidRPr="002E60EB">
        <w:rPr>
          <w:b/>
          <w:lang w:val="en-US"/>
        </w:rPr>
        <w:t>PARTIAL ACKNOWLEDGMENT OF INTERNATIONAL RESPONSIBILITY</w:t>
      </w:r>
    </w:p>
    <w:p w:rsidR="00E15BBF" w:rsidRPr="002E60EB" w:rsidRDefault="00E15BBF" w:rsidP="00317748">
      <w:pPr>
        <w:contextualSpacing/>
        <w:jc w:val="both"/>
        <w:rPr>
          <w:b/>
          <w:u w:val="single"/>
          <w:lang w:val="en-US"/>
        </w:rPr>
      </w:pPr>
    </w:p>
    <w:p w:rsidR="00E15BBF" w:rsidRPr="002E60EB" w:rsidRDefault="008518A9" w:rsidP="00317748">
      <w:pPr>
        <w:numPr>
          <w:ilvl w:val="0"/>
          <w:numId w:val="14"/>
        </w:numPr>
        <w:ind w:left="0" w:firstLine="0"/>
        <w:contextualSpacing/>
        <w:jc w:val="both"/>
        <w:rPr>
          <w:rFonts w:cs="Verdana"/>
          <w:b/>
          <w:i/>
          <w:iCs/>
          <w:lang w:val="en-US"/>
        </w:rPr>
      </w:pPr>
      <w:r w:rsidRPr="002E60EB">
        <w:rPr>
          <w:rFonts w:cs="Verdana"/>
          <w:b/>
          <w:i/>
          <w:iCs/>
          <w:lang w:val="en-US"/>
        </w:rPr>
        <w:t>The State’s partial a</w:t>
      </w:r>
      <w:r w:rsidR="00E15BBF" w:rsidRPr="002E60EB">
        <w:rPr>
          <w:rFonts w:cs="Verdana"/>
          <w:b/>
          <w:i/>
          <w:iCs/>
          <w:lang w:val="en-US"/>
        </w:rPr>
        <w:t xml:space="preserve">cknowledgment of </w:t>
      </w:r>
      <w:r w:rsidRPr="002E60EB">
        <w:rPr>
          <w:rFonts w:cs="Verdana"/>
          <w:b/>
          <w:i/>
          <w:iCs/>
          <w:lang w:val="en-US"/>
        </w:rPr>
        <w:t>international responsibility</w:t>
      </w:r>
      <w:r w:rsidR="00E15BBF" w:rsidRPr="002E60EB">
        <w:rPr>
          <w:rFonts w:cs="Verdana"/>
          <w:b/>
          <w:i/>
          <w:iCs/>
          <w:lang w:val="en-US"/>
        </w:rPr>
        <w:t xml:space="preserve"> and observations of the </w:t>
      </w:r>
      <w:r w:rsidR="00914CDE" w:rsidRPr="002E60EB">
        <w:rPr>
          <w:rFonts w:cs="Verdana"/>
          <w:b/>
          <w:i/>
          <w:iCs/>
          <w:lang w:val="en-US"/>
        </w:rPr>
        <w:t>Commission and the representative</w:t>
      </w:r>
    </w:p>
    <w:p w:rsidR="00E15BBF" w:rsidRPr="002E60EB" w:rsidRDefault="00E15BBF" w:rsidP="00317748">
      <w:pPr>
        <w:pStyle w:val="MediumGrid1-Accent21"/>
        <w:ind w:left="0"/>
        <w:rPr>
          <w:lang w:val="en-US"/>
        </w:rPr>
      </w:pPr>
    </w:p>
    <w:p w:rsidR="00E15BBF" w:rsidRPr="002E60EB" w:rsidRDefault="00E15BBF" w:rsidP="00317748">
      <w:pPr>
        <w:numPr>
          <w:ilvl w:val="0"/>
          <w:numId w:val="1"/>
        </w:numPr>
        <w:tabs>
          <w:tab w:val="left" w:pos="720"/>
        </w:tabs>
        <w:jc w:val="both"/>
        <w:rPr>
          <w:lang w:val="en-US" w:eastAsia="es-ES"/>
        </w:rPr>
      </w:pPr>
      <w:r w:rsidRPr="002E60EB">
        <w:rPr>
          <w:lang w:val="en-US"/>
        </w:rPr>
        <w:t>In its answer</w:t>
      </w:r>
      <w:r w:rsidR="00740159" w:rsidRPr="002E60EB">
        <w:rPr>
          <w:lang w:val="en-US"/>
        </w:rPr>
        <w:t>ing</w:t>
      </w:r>
      <w:r w:rsidRPr="002E60EB">
        <w:rPr>
          <w:lang w:val="en-US"/>
        </w:rPr>
        <w:t xml:space="preserve"> brief, the State </w:t>
      </w:r>
      <w:r w:rsidR="00740159" w:rsidRPr="002E60EB">
        <w:rPr>
          <w:lang w:val="en-US"/>
        </w:rPr>
        <w:t xml:space="preserve">made a partial acknowledgement of </w:t>
      </w:r>
      <w:r w:rsidRPr="002E60EB">
        <w:rPr>
          <w:lang w:val="en-US"/>
        </w:rPr>
        <w:t>its international responsibility. In it</w:t>
      </w:r>
      <w:r w:rsidR="00740159" w:rsidRPr="002E60EB">
        <w:rPr>
          <w:lang w:val="en-US"/>
        </w:rPr>
        <w:t>s</w:t>
      </w:r>
      <w:r w:rsidRPr="002E60EB">
        <w:rPr>
          <w:lang w:val="en-US"/>
        </w:rPr>
        <w:t xml:space="preserve"> final arguments</w:t>
      </w:r>
      <w:r w:rsidR="00740159" w:rsidRPr="002E60EB">
        <w:rPr>
          <w:lang w:val="en-US"/>
        </w:rPr>
        <w:t xml:space="preserve"> brief</w:t>
      </w:r>
      <w:r w:rsidRPr="002E60EB">
        <w:rPr>
          <w:lang w:val="en-US"/>
        </w:rPr>
        <w:t xml:space="preserve">, it </w:t>
      </w:r>
      <w:r w:rsidR="00087093" w:rsidRPr="002E60EB">
        <w:rPr>
          <w:lang w:val="en-US"/>
        </w:rPr>
        <w:t>“</w:t>
      </w:r>
      <w:r w:rsidRPr="002E60EB">
        <w:rPr>
          <w:lang w:val="en-US"/>
        </w:rPr>
        <w:t>expanded</w:t>
      </w:r>
      <w:r w:rsidR="00087093" w:rsidRPr="002E60EB">
        <w:rPr>
          <w:lang w:val="en-US"/>
        </w:rPr>
        <w:t>”</w:t>
      </w:r>
      <w:r w:rsidRPr="002E60EB">
        <w:rPr>
          <w:lang w:val="en-US"/>
        </w:rPr>
        <w:t xml:space="preserve"> </w:t>
      </w:r>
      <w:r w:rsidR="00740159" w:rsidRPr="002E60EB">
        <w:rPr>
          <w:lang w:val="en-US"/>
        </w:rPr>
        <w:t xml:space="preserve">this </w:t>
      </w:r>
      <w:r w:rsidRPr="002E60EB">
        <w:rPr>
          <w:lang w:val="en-US"/>
        </w:rPr>
        <w:t>acknowledge</w:t>
      </w:r>
      <w:r w:rsidR="00740159" w:rsidRPr="002E60EB">
        <w:rPr>
          <w:lang w:val="en-US"/>
        </w:rPr>
        <w:t>ment</w:t>
      </w:r>
      <w:r w:rsidRPr="002E60EB">
        <w:rPr>
          <w:lang w:val="en-US"/>
        </w:rPr>
        <w:t xml:space="preserve"> </w:t>
      </w:r>
      <w:r w:rsidR="00761A66" w:rsidRPr="002E60EB">
        <w:rPr>
          <w:lang w:val="en-US"/>
        </w:rPr>
        <w:t>concerning</w:t>
      </w:r>
      <w:r w:rsidRPr="002E60EB">
        <w:rPr>
          <w:lang w:val="en-US"/>
        </w:rPr>
        <w:t xml:space="preserve"> the violation of Article 5 of the Convention </w:t>
      </w:r>
      <w:r w:rsidR="00740159" w:rsidRPr="002E60EB">
        <w:rPr>
          <w:lang w:val="en-US"/>
        </w:rPr>
        <w:t xml:space="preserve">to </w:t>
      </w:r>
      <w:r w:rsidRPr="002E60EB">
        <w:rPr>
          <w:lang w:val="en-US"/>
        </w:rPr>
        <w:t>Mr. Vélez Restrepo’s wife and their children Juliana and Mateo Vélez Román (</w:t>
      </w:r>
      <w:r w:rsidRPr="002E60EB">
        <w:rPr>
          <w:i/>
          <w:lang w:val="en-US"/>
        </w:rPr>
        <w:t xml:space="preserve">infra </w:t>
      </w:r>
      <w:r w:rsidRPr="002E60EB">
        <w:rPr>
          <w:lang w:val="en-US"/>
        </w:rPr>
        <w:t>para. 14</w:t>
      </w:r>
      <w:r w:rsidR="00EF7D5D" w:rsidRPr="002E60EB">
        <w:rPr>
          <w:lang w:val="en-US"/>
        </w:rPr>
        <w:t>(</w:t>
      </w:r>
      <w:r w:rsidRPr="002E60EB">
        <w:rPr>
          <w:lang w:val="en-US"/>
        </w:rPr>
        <w:t>a</w:t>
      </w:r>
      <w:r w:rsidR="00EF7D5D" w:rsidRPr="002E60EB">
        <w:rPr>
          <w:lang w:val="en-US"/>
        </w:rPr>
        <w:t>)</w:t>
      </w:r>
      <w:r w:rsidRPr="002E60EB">
        <w:rPr>
          <w:lang w:val="en-US"/>
        </w:rPr>
        <w:t xml:space="preserve">). </w:t>
      </w:r>
    </w:p>
    <w:p w:rsidR="00E15BBF" w:rsidRPr="002E60EB" w:rsidRDefault="00E15BBF" w:rsidP="00317748">
      <w:pPr>
        <w:tabs>
          <w:tab w:val="left" w:pos="720"/>
        </w:tabs>
        <w:jc w:val="both"/>
        <w:rPr>
          <w:lang w:val="en-US" w:eastAsia="es-ES"/>
        </w:rPr>
      </w:pPr>
    </w:p>
    <w:p w:rsidR="00E15BBF" w:rsidRPr="002E60EB" w:rsidRDefault="002711CF" w:rsidP="00317748">
      <w:pPr>
        <w:numPr>
          <w:ilvl w:val="0"/>
          <w:numId w:val="1"/>
        </w:numPr>
        <w:tabs>
          <w:tab w:val="left" w:pos="720"/>
        </w:tabs>
        <w:jc w:val="both"/>
        <w:rPr>
          <w:lang w:val="en-US" w:eastAsia="es-ES"/>
        </w:rPr>
      </w:pPr>
      <w:r w:rsidRPr="002E60EB">
        <w:rPr>
          <w:lang w:val="en-US"/>
        </w:rPr>
        <w:t>Regarding</w:t>
      </w:r>
      <w:r w:rsidR="00E15BBF" w:rsidRPr="002E60EB">
        <w:rPr>
          <w:lang w:val="en-US"/>
        </w:rPr>
        <w:t xml:space="preserve"> the facts and </w:t>
      </w:r>
      <w:r w:rsidRPr="002E60EB">
        <w:rPr>
          <w:lang w:val="en-US"/>
        </w:rPr>
        <w:t xml:space="preserve">legal </w:t>
      </w:r>
      <w:r w:rsidR="00E15BBF" w:rsidRPr="002E60EB">
        <w:rPr>
          <w:lang w:val="en-US"/>
        </w:rPr>
        <w:t xml:space="preserve">claims, it partially acknowledged its responsibility </w:t>
      </w:r>
      <w:r w:rsidRPr="002E60EB">
        <w:rPr>
          <w:lang w:val="en-US"/>
        </w:rPr>
        <w:t xml:space="preserve">as </w:t>
      </w:r>
      <w:r w:rsidR="00334C3C" w:rsidRPr="002E60EB">
        <w:rPr>
          <w:lang w:val="en-US"/>
        </w:rPr>
        <w:t>follows</w:t>
      </w:r>
      <w:r w:rsidR="00E15BBF" w:rsidRPr="002E60EB">
        <w:rPr>
          <w:lang w:val="en-US"/>
        </w:rPr>
        <w:t xml:space="preserve">: </w:t>
      </w:r>
    </w:p>
    <w:p w:rsidR="00E15BBF" w:rsidRPr="002E60EB" w:rsidRDefault="00E15BBF" w:rsidP="00317748">
      <w:pPr>
        <w:autoSpaceDE w:val="0"/>
        <w:autoSpaceDN w:val="0"/>
        <w:adjustRightInd w:val="0"/>
        <w:contextualSpacing/>
        <w:jc w:val="both"/>
        <w:rPr>
          <w:rFonts w:cs="Verdana"/>
          <w:lang w:val="en-US"/>
        </w:rPr>
      </w:pPr>
    </w:p>
    <w:p w:rsidR="00E15BBF" w:rsidRPr="002E60EB" w:rsidRDefault="00E15BBF" w:rsidP="00317748">
      <w:pPr>
        <w:autoSpaceDE w:val="0"/>
        <w:autoSpaceDN w:val="0"/>
        <w:adjustRightInd w:val="0"/>
        <w:ind w:left="720"/>
        <w:contextualSpacing/>
        <w:jc w:val="both"/>
        <w:rPr>
          <w:rFonts w:cs="Verdana"/>
          <w:b/>
          <w:lang w:val="en-US"/>
        </w:rPr>
      </w:pPr>
      <w:r w:rsidRPr="002E60EB">
        <w:rPr>
          <w:rFonts w:cs="Verdana"/>
          <w:lang w:val="en-US"/>
        </w:rPr>
        <w:t xml:space="preserve">a) </w:t>
      </w:r>
      <w:r w:rsidR="002711CF" w:rsidRPr="002E60EB">
        <w:rPr>
          <w:rFonts w:cs="Verdana"/>
          <w:lang w:val="en-US"/>
        </w:rPr>
        <w:tab/>
        <w:t xml:space="preserve">It </w:t>
      </w:r>
      <w:r w:rsidR="00087093" w:rsidRPr="002E60EB">
        <w:rPr>
          <w:rFonts w:cs="Verdana"/>
          <w:lang w:val="en-US"/>
        </w:rPr>
        <w:t>“</w:t>
      </w:r>
      <w:r w:rsidR="002711CF" w:rsidRPr="002E60EB">
        <w:rPr>
          <w:rFonts w:cs="Verdana"/>
          <w:lang w:val="en-US"/>
        </w:rPr>
        <w:t>acknowledges, by its acts,</w:t>
      </w:r>
      <w:r w:rsidRPr="002E60EB">
        <w:rPr>
          <w:rFonts w:cs="Verdana"/>
          <w:lang w:val="en-US"/>
        </w:rPr>
        <w:t xml:space="preserve"> </w:t>
      </w:r>
      <w:r w:rsidRPr="002E60EB">
        <w:rPr>
          <w:lang w:val="en-US"/>
        </w:rPr>
        <w:t>the violation of the right to personal integrity</w:t>
      </w:r>
      <w:r w:rsidR="002711CF" w:rsidRPr="002E60EB">
        <w:rPr>
          <w:lang w:val="en-US"/>
        </w:rPr>
        <w:t xml:space="preserve"> recognized</w:t>
      </w:r>
      <w:r w:rsidRPr="002E60EB">
        <w:rPr>
          <w:lang w:val="en-US"/>
        </w:rPr>
        <w:t xml:space="preserve"> in Article 5 of the Convention</w:t>
      </w:r>
      <w:r w:rsidR="00761A66" w:rsidRPr="002E60EB">
        <w:rPr>
          <w:lang w:val="en-US"/>
        </w:rPr>
        <w:t>,</w:t>
      </w:r>
      <w:r w:rsidRPr="002E60EB">
        <w:rPr>
          <w:lang w:val="en-US"/>
        </w:rPr>
        <w:t xml:space="preserve"> in relation to Article 1(1) </w:t>
      </w:r>
      <w:r w:rsidR="002711CF" w:rsidRPr="002E60EB">
        <w:rPr>
          <w:lang w:val="en-US"/>
        </w:rPr>
        <w:t>of this instrument,</w:t>
      </w:r>
      <w:r w:rsidRPr="002E60EB">
        <w:rPr>
          <w:lang w:val="en-US"/>
        </w:rPr>
        <w:t xml:space="preserve"> </w:t>
      </w:r>
      <w:r w:rsidR="002711CF" w:rsidRPr="002E60EB">
        <w:rPr>
          <w:lang w:val="en-US"/>
        </w:rPr>
        <w:t>with regard to</w:t>
      </w:r>
      <w:r w:rsidRPr="002E60EB">
        <w:rPr>
          <w:lang w:val="en-US"/>
        </w:rPr>
        <w:t xml:space="preserve"> </w:t>
      </w:r>
      <w:r w:rsidR="00AC1940" w:rsidRPr="002E60EB">
        <w:rPr>
          <w:lang w:val="en-US"/>
        </w:rPr>
        <w:t>Luis</w:t>
      </w:r>
      <w:r w:rsidRPr="002E60EB">
        <w:rPr>
          <w:rFonts w:cs="Verdana"/>
          <w:lang w:val="en-US"/>
        </w:rPr>
        <w:t xml:space="preserve"> Gonzalo </w:t>
      </w:r>
      <w:r w:rsidR="00087093" w:rsidRPr="002E60EB">
        <w:rPr>
          <w:rFonts w:cs="Verdana"/>
          <w:lang w:val="en-US"/>
        </w:rPr>
        <w:t>“</w:t>
      </w:r>
      <w:r w:rsidRPr="002E60EB">
        <w:rPr>
          <w:rFonts w:cs="Verdana"/>
          <w:lang w:val="en-US"/>
        </w:rPr>
        <w:t>Richard</w:t>
      </w:r>
      <w:r w:rsidR="00087093" w:rsidRPr="002E60EB">
        <w:rPr>
          <w:rFonts w:cs="Verdana"/>
          <w:lang w:val="en-US"/>
        </w:rPr>
        <w:t>”</w:t>
      </w:r>
      <w:r w:rsidRPr="002E60EB">
        <w:rPr>
          <w:rFonts w:cs="Verdana"/>
          <w:lang w:val="en-US"/>
        </w:rPr>
        <w:t xml:space="preserve"> Vélez Restrepo</w:t>
      </w:r>
      <w:r w:rsidRPr="002E60EB">
        <w:rPr>
          <w:lang w:val="en-US"/>
        </w:rPr>
        <w:t>, his wife Arace</w:t>
      </w:r>
      <w:r w:rsidR="00334C3C" w:rsidRPr="002E60EB">
        <w:rPr>
          <w:lang w:val="en-US"/>
        </w:rPr>
        <w:t>l</w:t>
      </w:r>
      <w:r w:rsidRPr="002E60EB">
        <w:rPr>
          <w:lang w:val="en-US"/>
        </w:rPr>
        <w:t xml:space="preserve">ly Roman Amariles, and </w:t>
      </w:r>
      <w:r w:rsidR="002711CF" w:rsidRPr="002E60EB">
        <w:rPr>
          <w:lang w:val="en-US"/>
        </w:rPr>
        <w:t>their</w:t>
      </w:r>
      <w:r w:rsidRPr="002E60EB">
        <w:rPr>
          <w:lang w:val="en-US"/>
        </w:rPr>
        <w:t xml:space="preserve"> children Juliana Velez Roman and Mateo Velez Roman, for the attack</w:t>
      </w:r>
      <w:r w:rsidR="002711CF" w:rsidRPr="002E60EB">
        <w:rPr>
          <w:lang w:val="en-US"/>
        </w:rPr>
        <w:t xml:space="preserve"> su</w:t>
      </w:r>
      <w:r w:rsidR="00761A66" w:rsidRPr="002E60EB">
        <w:rPr>
          <w:lang w:val="en-US"/>
        </w:rPr>
        <w:t>ffered by Mr. Vélez as a result of acts by</w:t>
      </w:r>
      <w:r w:rsidR="002711CF" w:rsidRPr="002E60EB">
        <w:rPr>
          <w:lang w:val="en-US"/>
        </w:rPr>
        <w:t xml:space="preserve"> </w:t>
      </w:r>
      <w:r w:rsidRPr="002E60EB">
        <w:rPr>
          <w:lang w:val="en-US"/>
        </w:rPr>
        <w:t>members of the National Army</w:t>
      </w:r>
      <w:r w:rsidR="002711CF" w:rsidRPr="002E60EB">
        <w:rPr>
          <w:lang w:val="en-US"/>
        </w:rPr>
        <w:t xml:space="preserve"> when he refused to give up his video camera on August 29, 1996</w:t>
      </w:r>
      <w:r w:rsidR="00EF7D5D" w:rsidRPr="002E60EB">
        <w:rPr>
          <w:rFonts w:cs="Verdana"/>
          <w:b/>
          <w:lang w:val="en-US"/>
        </w:rPr>
        <w:t>.</w:t>
      </w:r>
      <w:r w:rsidR="00087093" w:rsidRPr="002E60EB">
        <w:rPr>
          <w:rFonts w:cs="Verdana"/>
          <w:b/>
          <w:lang w:val="en-US"/>
        </w:rPr>
        <w:t>”</w:t>
      </w:r>
      <w:r w:rsidR="00EF7D5D" w:rsidRPr="002E60EB">
        <w:rPr>
          <w:rFonts w:cs="Verdana"/>
          <w:b/>
          <w:lang w:val="en-US"/>
        </w:rPr>
        <w:t xml:space="preserve"> </w:t>
      </w:r>
      <w:r w:rsidR="000F3982" w:rsidRPr="002E60EB">
        <w:rPr>
          <w:rFonts w:cs="Verdana"/>
          <w:lang w:val="en-US"/>
        </w:rPr>
        <w:t>In addition</w:t>
      </w:r>
      <w:r w:rsidRPr="002E60EB">
        <w:rPr>
          <w:rFonts w:cs="Verdana"/>
          <w:lang w:val="en-US"/>
        </w:rPr>
        <w:t>, it affirmed that</w:t>
      </w:r>
      <w:r w:rsidR="002711CF" w:rsidRPr="002E60EB">
        <w:rPr>
          <w:rFonts w:cs="Verdana"/>
          <w:lang w:val="en-US"/>
        </w:rPr>
        <w:t xml:space="preserve"> it</w:t>
      </w:r>
      <w:r w:rsidRPr="002E60EB">
        <w:rPr>
          <w:rFonts w:cs="Verdana"/>
          <w:lang w:val="en-US"/>
        </w:rPr>
        <w:t xml:space="preserve"> </w:t>
      </w:r>
      <w:r w:rsidR="00087093" w:rsidRPr="002E60EB">
        <w:rPr>
          <w:rFonts w:cs="Verdana"/>
          <w:lang w:val="en-US"/>
        </w:rPr>
        <w:t>“</w:t>
      </w:r>
      <w:r w:rsidRPr="002E60EB">
        <w:rPr>
          <w:rFonts w:cs="Verdana"/>
          <w:lang w:val="en-US"/>
        </w:rPr>
        <w:t xml:space="preserve">does not acknowledge the violation of the right to personal integrity of Mr. Vélez and his </w:t>
      </w:r>
      <w:r w:rsidR="002711CF" w:rsidRPr="002E60EB">
        <w:rPr>
          <w:rFonts w:cs="Verdana"/>
          <w:lang w:val="en-US"/>
        </w:rPr>
        <w:t xml:space="preserve">immediate </w:t>
      </w:r>
      <w:r w:rsidR="00761A66" w:rsidRPr="002E60EB">
        <w:rPr>
          <w:rFonts w:cs="Verdana"/>
          <w:lang w:val="en-US"/>
        </w:rPr>
        <w:t>family</w:t>
      </w:r>
      <w:r w:rsidRPr="002E60EB">
        <w:rPr>
          <w:rFonts w:cs="Verdana"/>
          <w:lang w:val="en-US"/>
        </w:rPr>
        <w:t xml:space="preserve"> </w:t>
      </w:r>
      <w:r w:rsidR="00761A66" w:rsidRPr="002E60EB">
        <w:rPr>
          <w:rFonts w:cs="Verdana"/>
          <w:lang w:val="en-US"/>
        </w:rPr>
        <w:t>as regards</w:t>
      </w:r>
      <w:r w:rsidRPr="002E60EB">
        <w:rPr>
          <w:rFonts w:cs="Verdana"/>
          <w:lang w:val="en-US"/>
        </w:rPr>
        <w:t xml:space="preserve"> the </w:t>
      </w:r>
      <w:r w:rsidR="002711CF" w:rsidRPr="002E60EB">
        <w:rPr>
          <w:rFonts w:cs="Verdana"/>
          <w:lang w:val="en-US"/>
        </w:rPr>
        <w:t xml:space="preserve">presumed harassment, </w:t>
      </w:r>
      <w:r w:rsidRPr="002E60EB">
        <w:rPr>
          <w:rFonts w:cs="Verdana"/>
          <w:lang w:val="en-US"/>
        </w:rPr>
        <w:t>threats</w:t>
      </w:r>
      <w:r w:rsidR="002711CF" w:rsidRPr="002E60EB">
        <w:rPr>
          <w:rFonts w:cs="Verdana"/>
          <w:lang w:val="en-US"/>
        </w:rPr>
        <w:t xml:space="preserve"> </w:t>
      </w:r>
      <w:r w:rsidRPr="002E60EB">
        <w:rPr>
          <w:rFonts w:cs="Verdana"/>
          <w:lang w:val="en-US"/>
        </w:rPr>
        <w:t xml:space="preserve">and attempted </w:t>
      </w:r>
      <w:r w:rsidR="00334C3C" w:rsidRPr="002E60EB">
        <w:rPr>
          <w:rFonts w:cs="Verdana"/>
          <w:lang w:val="en-US"/>
        </w:rPr>
        <w:t>kidnapping</w:t>
      </w:r>
      <w:r w:rsidRPr="002E60EB">
        <w:rPr>
          <w:rFonts w:cs="Verdana"/>
          <w:lang w:val="en-US"/>
        </w:rPr>
        <w:t xml:space="preserve"> alleged by the [Commission] and the representatives.</w:t>
      </w:r>
      <w:r w:rsidR="00087093" w:rsidRPr="002E60EB">
        <w:rPr>
          <w:rFonts w:cs="Verdana"/>
          <w:lang w:val="en-US"/>
        </w:rPr>
        <w:t>”</w:t>
      </w:r>
      <w:r w:rsidRPr="002E60EB">
        <w:rPr>
          <w:rFonts w:cs="Verdana"/>
          <w:lang w:val="en-US"/>
        </w:rPr>
        <w:t xml:space="preserve"> </w:t>
      </w:r>
    </w:p>
    <w:p w:rsidR="00E15BBF" w:rsidRPr="002E60EB" w:rsidRDefault="00E15BBF" w:rsidP="00317748">
      <w:pPr>
        <w:autoSpaceDE w:val="0"/>
        <w:autoSpaceDN w:val="0"/>
        <w:adjustRightInd w:val="0"/>
        <w:ind w:left="720"/>
        <w:contextualSpacing/>
        <w:jc w:val="both"/>
        <w:rPr>
          <w:rFonts w:cs="Verdana"/>
          <w:lang w:val="en-US"/>
        </w:rPr>
      </w:pPr>
    </w:p>
    <w:p w:rsidR="00E15BBF" w:rsidRPr="002E60EB" w:rsidRDefault="00E15BBF" w:rsidP="00317748">
      <w:pPr>
        <w:autoSpaceDE w:val="0"/>
        <w:autoSpaceDN w:val="0"/>
        <w:adjustRightInd w:val="0"/>
        <w:ind w:left="720"/>
        <w:contextualSpacing/>
        <w:jc w:val="both"/>
        <w:rPr>
          <w:rFonts w:cs="Verdana"/>
          <w:b/>
          <w:lang w:val="en-US"/>
        </w:rPr>
      </w:pPr>
      <w:r w:rsidRPr="002E60EB">
        <w:rPr>
          <w:rFonts w:cs="Verdana"/>
          <w:lang w:val="en-US"/>
        </w:rPr>
        <w:t>b)</w:t>
      </w:r>
      <w:r w:rsidRPr="002E60EB">
        <w:rPr>
          <w:rFonts w:cs="Verdana"/>
          <w:lang w:val="en-US"/>
        </w:rPr>
        <w:tab/>
      </w:r>
      <w:r w:rsidR="00087093" w:rsidRPr="002E60EB">
        <w:rPr>
          <w:rFonts w:cs="Verdana"/>
          <w:lang w:val="en-US"/>
        </w:rPr>
        <w:t>“</w:t>
      </w:r>
      <w:r w:rsidR="00C35687" w:rsidRPr="002E60EB">
        <w:rPr>
          <w:rFonts w:cs="Verdana"/>
          <w:lang w:val="en-US"/>
        </w:rPr>
        <w:t>By its acts,</w:t>
      </w:r>
      <w:r w:rsidRPr="002E60EB">
        <w:rPr>
          <w:lang w:val="en-US"/>
        </w:rPr>
        <w:t xml:space="preserve"> the violation of the</w:t>
      </w:r>
      <w:r w:rsidR="00761A66" w:rsidRPr="002E60EB">
        <w:rPr>
          <w:lang w:val="en-US"/>
        </w:rPr>
        <w:t xml:space="preserve"> individual dimension of</w:t>
      </w:r>
      <w:r w:rsidRPr="002E60EB">
        <w:rPr>
          <w:lang w:val="en-US"/>
        </w:rPr>
        <w:t xml:space="preserve"> right to freedom of expression </w:t>
      </w:r>
      <w:r w:rsidR="006A1135" w:rsidRPr="002E60EB">
        <w:rPr>
          <w:lang w:val="en-US"/>
        </w:rPr>
        <w:t xml:space="preserve">recognized </w:t>
      </w:r>
      <w:r w:rsidRPr="002E60EB">
        <w:rPr>
          <w:lang w:val="en-US"/>
        </w:rPr>
        <w:t xml:space="preserve">in Article 13 of the American Convention of </w:t>
      </w:r>
      <w:r w:rsidRPr="002E60EB">
        <w:rPr>
          <w:rFonts w:cs="Verdana"/>
          <w:lang w:val="en-US"/>
        </w:rPr>
        <w:t xml:space="preserve">Luis Gonzalo </w:t>
      </w:r>
      <w:r w:rsidR="00087093" w:rsidRPr="002E60EB">
        <w:rPr>
          <w:rFonts w:cs="Verdana"/>
          <w:lang w:val="en-US"/>
        </w:rPr>
        <w:t>“</w:t>
      </w:r>
      <w:r w:rsidRPr="002E60EB">
        <w:rPr>
          <w:rFonts w:cs="Verdana"/>
          <w:lang w:val="en-US"/>
        </w:rPr>
        <w:t>Richard</w:t>
      </w:r>
      <w:r w:rsidR="00087093" w:rsidRPr="002E60EB">
        <w:rPr>
          <w:rFonts w:cs="Verdana"/>
          <w:lang w:val="en-US"/>
        </w:rPr>
        <w:t>”</w:t>
      </w:r>
      <w:r w:rsidRPr="002E60EB">
        <w:rPr>
          <w:rFonts w:cs="Verdana"/>
          <w:lang w:val="en-US"/>
        </w:rPr>
        <w:t xml:space="preserve"> Vélez Restrepo</w:t>
      </w:r>
      <w:r w:rsidRPr="002E60EB">
        <w:rPr>
          <w:lang w:val="en-US"/>
        </w:rPr>
        <w:t xml:space="preserve">, </w:t>
      </w:r>
      <w:r w:rsidR="006A1135" w:rsidRPr="002E60EB">
        <w:rPr>
          <w:lang w:val="en-US"/>
        </w:rPr>
        <w:t xml:space="preserve">in relation to Article 1(1) of this instrument, taking into account that he was prevented from exercising </w:t>
      </w:r>
      <w:r w:rsidRPr="002E60EB">
        <w:rPr>
          <w:lang w:val="en-US"/>
        </w:rPr>
        <w:t>his right to seek information as a result of the attack of August 29, 1996.</w:t>
      </w:r>
      <w:r w:rsidR="00087093" w:rsidRPr="002E60EB">
        <w:rPr>
          <w:lang w:val="en-US"/>
        </w:rPr>
        <w:t>”</w:t>
      </w:r>
      <w:r w:rsidRPr="002E60EB">
        <w:rPr>
          <w:lang w:val="en-US"/>
        </w:rPr>
        <w:t xml:space="preserve"> </w:t>
      </w:r>
      <w:r w:rsidRPr="002E60EB">
        <w:rPr>
          <w:rFonts w:cs="Verdana"/>
          <w:lang w:val="en-US"/>
        </w:rPr>
        <w:t xml:space="preserve">The State asserted that </w:t>
      </w:r>
      <w:r w:rsidR="00087093" w:rsidRPr="002E60EB">
        <w:rPr>
          <w:rFonts w:cs="Verdana"/>
          <w:lang w:val="en-US"/>
        </w:rPr>
        <w:t>“</w:t>
      </w:r>
      <w:r w:rsidRPr="002E60EB">
        <w:rPr>
          <w:rFonts w:cs="Verdana"/>
          <w:lang w:val="en-US"/>
        </w:rPr>
        <w:t xml:space="preserve">the attacks that occurred [that day] interrupted the victim’s journalistic work, thereby violating his </w:t>
      </w:r>
      <w:r w:rsidRPr="002E60EB">
        <w:rPr>
          <w:rFonts w:cs="Verdana"/>
          <w:lang w:val="en-US"/>
        </w:rPr>
        <w:lastRenderedPageBreak/>
        <w:t>right to seek information.</w:t>
      </w:r>
      <w:r w:rsidR="00087093" w:rsidRPr="002E60EB">
        <w:rPr>
          <w:rFonts w:cs="Verdana"/>
          <w:lang w:val="en-US"/>
        </w:rPr>
        <w:t>”</w:t>
      </w:r>
      <w:r w:rsidRPr="002E60EB">
        <w:rPr>
          <w:rFonts w:cs="Verdana"/>
          <w:lang w:val="en-US"/>
        </w:rPr>
        <w:t xml:space="preserve"> Colombia also </w:t>
      </w:r>
      <w:r w:rsidR="006A1135" w:rsidRPr="002E60EB">
        <w:rPr>
          <w:rFonts w:cs="Verdana"/>
          <w:lang w:val="en-US"/>
        </w:rPr>
        <w:t xml:space="preserve">maintained </w:t>
      </w:r>
      <w:r w:rsidRPr="002E60EB">
        <w:rPr>
          <w:rFonts w:cs="Verdana"/>
          <w:lang w:val="en-US"/>
        </w:rPr>
        <w:t xml:space="preserve">that it </w:t>
      </w:r>
      <w:r w:rsidR="00087093" w:rsidRPr="002E60EB">
        <w:rPr>
          <w:rFonts w:cs="Verdana"/>
          <w:lang w:val="en-US"/>
        </w:rPr>
        <w:t>“</w:t>
      </w:r>
      <w:r w:rsidRPr="002E60EB">
        <w:rPr>
          <w:rFonts w:cs="Verdana"/>
          <w:lang w:val="en-US"/>
        </w:rPr>
        <w:t xml:space="preserve">is not responsible for </w:t>
      </w:r>
      <w:r w:rsidR="00761A66" w:rsidRPr="002E60EB">
        <w:rPr>
          <w:rFonts w:cs="Verdana"/>
          <w:lang w:val="en-US"/>
        </w:rPr>
        <w:t>violating</w:t>
      </w:r>
      <w:r w:rsidRPr="002E60EB">
        <w:rPr>
          <w:rFonts w:cs="Verdana"/>
          <w:lang w:val="en-US"/>
        </w:rPr>
        <w:t xml:space="preserve"> the social dimension of freedom of thought and expression</w:t>
      </w:r>
      <w:r w:rsidR="00EF7D5D" w:rsidRPr="002E60EB">
        <w:rPr>
          <w:rFonts w:cs="Verdana"/>
          <w:lang w:val="en-US"/>
        </w:rPr>
        <w:t>,</w:t>
      </w:r>
      <w:r w:rsidR="00087093" w:rsidRPr="002E60EB">
        <w:rPr>
          <w:rFonts w:cs="Verdana"/>
          <w:lang w:val="en-US"/>
        </w:rPr>
        <w:t>”</w:t>
      </w:r>
      <w:r w:rsidRPr="002E60EB">
        <w:rPr>
          <w:rFonts w:cs="Verdana"/>
          <w:lang w:val="en-US"/>
        </w:rPr>
        <w:t xml:space="preserve"> and </w:t>
      </w:r>
      <w:r w:rsidR="00087093" w:rsidRPr="002E60EB">
        <w:rPr>
          <w:rFonts w:cs="Verdana"/>
          <w:lang w:val="en-US"/>
        </w:rPr>
        <w:t>“</w:t>
      </w:r>
      <w:r w:rsidRPr="002E60EB">
        <w:rPr>
          <w:rFonts w:cs="Verdana"/>
          <w:lang w:val="en-US"/>
        </w:rPr>
        <w:t xml:space="preserve">is not responsible for </w:t>
      </w:r>
      <w:r w:rsidR="00761A66" w:rsidRPr="002E60EB">
        <w:rPr>
          <w:rFonts w:cs="Verdana"/>
          <w:lang w:val="en-US"/>
        </w:rPr>
        <w:t>violating</w:t>
      </w:r>
      <w:r w:rsidRPr="002E60EB">
        <w:rPr>
          <w:rFonts w:cs="Verdana"/>
          <w:lang w:val="en-US"/>
        </w:rPr>
        <w:t xml:space="preserve"> the right to freedom of thought and expression of Mr. Vélez and his </w:t>
      </w:r>
      <w:r w:rsidR="006A1135" w:rsidRPr="002E60EB">
        <w:rPr>
          <w:rFonts w:cs="Verdana"/>
          <w:lang w:val="en-US"/>
        </w:rPr>
        <w:t xml:space="preserve">immediate </w:t>
      </w:r>
      <w:r w:rsidRPr="002E60EB">
        <w:rPr>
          <w:rFonts w:cs="Verdana"/>
          <w:lang w:val="en-US"/>
        </w:rPr>
        <w:t xml:space="preserve">family </w:t>
      </w:r>
      <w:r w:rsidR="00761A66" w:rsidRPr="002E60EB">
        <w:rPr>
          <w:rFonts w:cs="Verdana"/>
          <w:lang w:val="en-US"/>
        </w:rPr>
        <w:t xml:space="preserve">as regards </w:t>
      </w:r>
      <w:r w:rsidRPr="002E60EB">
        <w:rPr>
          <w:rFonts w:cs="Verdana"/>
          <w:lang w:val="en-US"/>
        </w:rPr>
        <w:t xml:space="preserve">the </w:t>
      </w:r>
      <w:r w:rsidR="006A1135" w:rsidRPr="002E60EB">
        <w:rPr>
          <w:rFonts w:cs="Verdana"/>
          <w:lang w:val="en-US"/>
        </w:rPr>
        <w:t xml:space="preserve">presumed </w:t>
      </w:r>
      <w:r w:rsidRPr="002E60EB">
        <w:rPr>
          <w:rFonts w:cs="Verdana"/>
          <w:lang w:val="en-US"/>
        </w:rPr>
        <w:t xml:space="preserve">harassment, threats and attempted </w:t>
      </w:r>
      <w:r w:rsidR="00334C3C" w:rsidRPr="002E60EB">
        <w:rPr>
          <w:rFonts w:cs="Verdana"/>
          <w:lang w:val="en-US"/>
        </w:rPr>
        <w:t>kidnapping</w:t>
      </w:r>
      <w:r w:rsidR="00087093" w:rsidRPr="002E60EB">
        <w:rPr>
          <w:rFonts w:cs="Verdana"/>
          <w:lang w:val="en-US"/>
        </w:rPr>
        <w:t>”</w:t>
      </w:r>
      <w:r w:rsidRPr="002E60EB">
        <w:rPr>
          <w:rFonts w:cs="Verdana"/>
          <w:lang w:val="en-US"/>
        </w:rPr>
        <w:t xml:space="preserve"> that </w:t>
      </w:r>
      <w:r w:rsidR="006A1135" w:rsidRPr="002E60EB">
        <w:rPr>
          <w:rFonts w:cs="Verdana"/>
          <w:lang w:val="en-US"/>
        </w:rPr>
        <w:t xml:space="preserve">supposedly </w:t>
      </w:r>
      <w:r w:rsidRPr="002E60EB">
        <w:rPr>
          <w:rFonts w:cs="Verdana"/>
          <w:lang w:val="en-US"/>
        </w:rPr>
        <w:t>occurred after August 29, 1996.</w:t>
      </w:r>
    </w:p>
    <w:p w:rsidR="00E15BBF" w:rsidRPr="002E60EB" w:rsidRDefault="00E15BBF" w:rsidP="00317748">
      <w:pPr>
        <w:autoSpaceDE w:val="0"/>
        <w:autoSpaceDN w:val="0"/>
        <w:adjustRightInd w:val="0"/>
        <w:ind w:left="720"/>
        <w:contextualSpacing/>
        <w:jc w:val="both"/>
        <w:rPr>
          <w:rFonts w:cs="Verdana"/>
          <w:lang w:val="en-US"/>
        </w:rPr>
      </w:pPr>
    </w:p>
    <w:p w:rsidR="00E15BBF" w:rsidRPr="002E60EB" w:rsidRDefault="00E15BBF" w:rsidP="00317748">
      <w:pPr>
        <w:autoSpaceDE w:val="0"/>
        <w:autoSpaceDN w:val="0"/>
        <w:adjustRightInd w:val="0"/>
        <w:ind w:left="720"/>
        <w:contextualSpacing/>
        <w:jc w:val="both"/>
        <w:rPr>
          <w:lang w:val="en-US"/>
        </w:rPr>
      </w:pPr>
      <w:r w:rsidRPr="002E60EB">
        <w:rPr>
          <w:rFonts w:cs="Verdana"/>
          <w:lang w:val="en-US"/>
        </w:rPr>
        <w:t>c)</w:t>
      </w:r>
      <w:r w:rsidRPr="002E60EB">
        <w:rPr>
          <w:rFonts w:cs="Verdana"/>
          <w:lang w:val="en-US"/>
        </w:rPr>
        <w:tab/>
      </w:r>
      <w:r w:rsidR="00087093" w:rsidRPr="002E60EB">
        <w:rPr>
          <w:rFonts w:cs="Verdana"/>
          <w:lang w:val="en-US"/>
        </w:rPr>
        <w:t>“</w:t>
      </w:r>
      <w:r w:rsidR="006A1135" w:rsidRPr="002E60EB">
        <w:rPr>
          <w:lang w:val="en-US"/>
        </w:rPr>
        <w:t>Partially</w:t>
      </w:r>
      <w:r w:rsidRPr="002E60EB">
        <w:rPr>
          <w:lang w:val="en-US"/>
        </w:rPr>
        <w:t>, for the violation of the right</w:t>
      </w:r>
      <w:r w:rsidR="006A1135" w:rsidRPr="002E60EB">
        <w:rPr>
          <w:lang w:val="en-US"/>
        </w:rPr>
        <w:t>s</w:t>
      </w:r>
      <w:r w:rsidRPr="002E60EB">
        <w:rPr>
          <w:lang w:val="en-US"/>
        </w:rPr>
        <w:t xml:space="preserve"> to judicial guarantees and judicial protection (Articles 8 and 25 of the American Convention)</w:t>
      </w:r>
      <w:r w:rsidR="00761A66" w:rsidRPr="002E60EB">
        <w:rPr>
          <w:lang w:val="en-US"/>
        </w:rPr>
        <w:t>,</w:t>
      </w:r>
      <w:r w:rsidRPr="002E60EB">
        <w:rPr>
          <w:lang w:val="en-US"/>
        </w:rPr>
        <w:t xml:space="preserve"> in relation to Article 1(1) </w:t>
      </w:r>
      <w:r w:rsidR="006A1135" w:rsidRPr="002E60EB">
        <w:rPr>
          <w:lang w:val="en-US"/>
        </w:rPr>
        <w:t>of this instrument</w:t>
      </w:r>
      <w:r w:rsidRPr="002E60EB">
        <w:rPr>
          <w:lang w:val="en-US"/>
        </w:rPr>
        <w:t xml:space="preserve">, </w:t>
      </w:r>
      <w:r w:rsidR="006A1135" w:rsidRPr="002E60EB">
        <w:rPr>
          <w:lang w:val="en-US"/>
        </w:rPr>
        <w:t xml:space="preserve">with regard to </w:t>
      </w:r>
      <w:r w:rsidRPr="002E60EB">
        <w:rPr>
          <w:rFonts w:cs="Verdana"/>
          <w:lang w:val="en-US"/>
        </w:rPr>
        <w:t xml:space="preserve">Richard Vélez Restrepo, Aracelly Román Amariles, Juliana Vélez Román </w:t>
      </w:r>
      <w:r w:rsidR="00EF7D5D" w:rsidRPr="002E60EB">
        <w:rPr>
          <w:rFonts w:cs="Verdana"/>
          <w:lang w:val="en-US"/>
        </w:rPr>
        <w:t>and</w:t>
      </w:r>
      <w:r w:rsidRPr="002E60EB">
        <w:rPr>
          <w:rFonts w:cs="Verdana"/>
          <w:lang w:val="en-US"/>
        </w:rPr>
        <w:t xml:space="preserve"> Mateo Vélez Román</w:t>
      </w:r>
      <w:r w:rsidRPr="002E60EB">
        <w:rPr>
          <w:lang w:val="en-US"/>
        </w:rPr>
        <w:t xml:space="preserve">. </w:t>
      </w:r>
      <w:r w:rsidR="00761A66" w:rsidRPr="002E60EB">
        <w:rPr>
          <w:lang w:val="en-US"/>
        </w:rPr>
        <w:t>E</w:t>
      </w:r>
      <w:r w:rsidR="006A1135" w:rsidRPr="002E60EB">
        <w:rPr>
          <w:lang w:val="en-US"/>
        </w:rPr>
        <w:t>ssentially,</w:t>
      </w:r>
      <w:r w:rsidRPr="002E60EB">
        <w:rPr>
          <w:lang w:val="en-US"/>
        </w:rPr>
        <w:t xml:space="preserve"> because: </w:t>
      </w:r>
    </w:p>
    <w:p w:rsidR="00761A66" w:rsidRPr="002E60EB" w:rsidRDefault="00761A66" w:rsidP="00317748">
      <w:pPr>
        <w:autoSpaceDE w:val="0"/>
        <w:autoSpaceDN w:val="0"/>
        <w:adjustRightInd w:val="0"/>
        <w:ind w:left="720"/>
        <w:contextualSpacing/>
        <w:jc w:val="both"/>
        <w:rPr>
          <w:lang w:val="en-US"/>
        </w:rPr>
      </w:pPr>
    </w:p>
    <w:p w:rsidR="00E15BBF" w:rsidRPr="002E60EB" w:rsidRDefault="00E15BBF" w:rsidP="00317748">
      <w:pPr>
        <w:numPr>
          <w:ilvl w:val="0"/>
          <w:numId w:val="9"/>
        </w:numPr>
        <w:autoSpaceDE w:val="0"/>
        <w:autoSpaceDN w:val="0"/>
        <w:adjustRightInd w:val="0"/>
        <w:ind w:hanging="720"/>
        <w:contextualSpacing/>
        <w:jc w:val="both"/>
        <w:rPr>
          <w:rFonts w:cs="Verdana"/>
          <w:lang w:val="en-US"/>
        </w:rPr>
      </w:pPr>
      <w:r w:rsidRPr="002E60EB">
        <w:rPr>
          <w:rFonts w:cs="Verdana"/>
          <w:lang w:val="en-US"/>
        </w:rPr>
        <w:t>No serious investigation was undertaken that would have</w:t>
      </w:r>
      <w:r w:rsidR="006A1135" w:rsidRPr="002E60EB">
        <w:rPr>
          <w:rFonts w:cs="Verdana"/>
          <w:lang w:val="en-US"/>
        </w:rPr>
        <w:t xml:space="preserve"> allowed the determination and [eventual] </w:t>
      </w:r>
      <w:r w:rsidRPr="002E60EB">
        <w:rPr>
          <w:rFonts w:cs="Verdana"/>
          <w:lang w:val="en-US"/>
        </w:rPr>
        <w:t xml:space="preserve">criminal punishment of the perpetrators </w:t>
      </w:r>
      <w:r w:rsidR="006A1135" w:rsidRPr="002E60EB">
        <w:rPr>
          <w:rFonts w:cs="Verdana"/>
          <w:lang w:val="en-US"/>
        </w:rPr>
        <w:t xml:space="preserve">of the </w:t>
      </w:r>
      <w:r w:rsidRPr="002E60EB">
        <w:rPr>
          <w:rFonts w:cs="Verdana"/>
          <w:lang w:val="en-US"/>
        </w:rPr>
        <w:t>attack</w:t>
      </w:r>
      <w:r w:rsidR="006A1135" w:rsidRPr="002E60EB">
        <w:rPr>
          <w:rFonts w:cs="Verdana"/>
          <w:lang w:val="en-US"/>
        </w:rPr>
        <w:t xml:space="preserve"> suffered by</w:t>
      </w:r>
      <w:r w:rsidRPr="002E60EB">
        <w:rPr>
          <w:rFonts w:cs="Verdana"/>
          <w:lang w:val="en-US"/>
        </w:rPr>
        <w:t xml:space="preserve"> </w:t>
      </w:r>
      <w:r w:rsidR="00AC1940" w:rsidRPr="002E60EB">
        <w:rPr>
          <w:rFonts w:cs="Verdana"/>
          <w:lang w:val="en-US"/>
        </w:rPr>
        <w:t>Luis</w:t>
      </w:r>
      <w:r w:rsidRPr="002E60EB">
        <w:rPr>
          <w:rFonts w:cs="Verdana"/>
          <w:lang w:val="en-US"/>
        </w:rPr>
        <w:t xml:space="preserve"> Gonzalo </w:t>
      </w:r>
      <w:r w:rsidR="00087093" w:rsidRPr="002E60EB">
        <w:rPr>
          <w:rFonts w:cs="Verdana"/>
          <w:lang w:val="en-US"/>
        </w:rPr>
        <w:t>“</w:t>
      </w:r>
      <w:r w:rsidRPr="002E60EB">
        <w:rPr>
          <w:rFonts w:cs="Verdana"/>
          <w:lang w:val="en-US"/>
        </w:rPr>
        <w:t>Richard</w:t>
      </w:r>
      <w:r w:rsidR="00087093" w:rsidRPr="002E60EB">
        <w:rPr>
          <w:rFonts w:cs="Verdana"/>
          <w:lang w:val="en-US"/>
        </w:rPr>
        <w:t>”</w:t>
      </w:r>
      <w:r w:rsidRPr="002E60EB">
        <w:rPr>
          <w:rFonts w:cs="Verdana"/>
          <w:lang w:val="en-US"/>
        </w:rPr>
        <w:t xml:space="preserve"> Vélez Restrepo</w:t>
      </w:r>
      <w:r w:rsidR="006A1135" w:rsidRPr="002E60EB">
        <w:rPr>
          <w:rFonts w:cs="Verdana"/>
          <w:lang w:val="en-US"/>
        </w:rPr>
        <w:t xml:space="preserve"> on August 29, 1996.</w:t>
      </w:r>
      <w:r w:rsidR="00087093" w:rsidRPr="002E60EB">
        <w:rPr>
          <w:rFonts w:cs="Verdana"/>
          <w:lang w:val="en-US"/>
        </w:rPr>
        <w:t>”</w:t>
      </w:r>
      <w:r w:rsidRPr="002E60EB">
        <w:rPr>
          <w:rFonts w:cs="Verdana"/>
          <w:lang w:val="en-US"/>
        </w:rPr>
        <w:t xml:space="preserve"> </w:t>
      </w:r>
      <w:r w:rsidR="006A1135" w:rsidRPr="002E60EB">
        <w:rPr>
          <w:rFonts w:cs="Verdana"/>
          <w:lang w:val="en-US"/>
        </w:rPr>
        <w:t xml:space="preserve">Colombia </w:t>
      </w:r>
      <w:r w:rsidRPr="002E60EB">
        <w:rPr>
          <w:rFonts w:cs="Verdana"/>
          <w:lang w:val="en-US"/>
        </w:rPr>
        <w:t xml:space="preserve">explained that </w:t>
      </w:r>
      <w:r w:rsidR="00087093" w:rsidRPr="002E60EB">
        <w:rPr>
          <w:rFonts w:cs="Verdana"/>
          <w:lang w:val="en-US"/>
        </w:rPr>
        <w:t>“</w:t>
      </w:r>
      <w:r w:rsidRPr="002E60EB">
        <w:rPr>
          <w:rFonts w:cs="Verdana"/>
          <w:lang w:val="en-US"/>
        </w:rPr>
        <w:t xml:space="preserve">[t]his acknowledgment involves two aspects: the loss of the criminal </w:t>
      </w:r>
      <w:r w:rsidR="006A1135" w:rsidRPr="002E60EB">
        <w:rPr>
          <w:rFonts w:cs="Verdana"/>
          <w:lang w:val="en-US"/>
        </w:rPr>
        <w:t>case file (owing</w:t>
      </w:r>
      <w:r w:rsidRPr="002E60EB">
        <w:rPr>
          <w:rFonts w:cs="Verdana"/>
          <w:lang w:val="en-US"/>
        </w:rPr>
        <w:t xml:space="preserve"> to</w:t>
      </w:r>
      <w:r w:rsidR="006A1135" w:rsidRPr="002E60EB">
        <w:rPr>
          <w:rFonts w:cs="Verdana"/>
          <w:lang w:val="en-US"/>
        </w:rPr>
        <w:t>]</w:t>
      </w:r>
      <w:r w:rsidRPr="002E60EB">
        <w:rPr>
          <w:rFonts w:cs="Verdana"/>
          <w:lang w:val="en-US"/>
        </w:rPr>
        <w:t xml:space="preserve"> circumstances </w:t>
      </w:r>
      <w:r w:rsidR="006A1135" w:rsidRPr="002E60EB">
        <w:rPr>
          <w:rFonts w:cs="Verdana"/>
          <w:lang w:val="en-US"/>
        </w:rPr>
        <w:t xml:space="preserve">inherent in </w:t>
      </w:r>
      <w:r w:rsidRPr="002E60EB">
        <w:rPr>
          <w:rFonts w:cs="Verdana"/>
          <w:lang w:val="en-US"/>
        </w:rPr>
        <w:t xml:space="preserve">an area of </w:t>
      </w:r>
      <w:r w:rsidR="00761A66" w:rsidRPr="002E60EB">
        <w:rPr>
          <w:rFonts w:cs="Verdana"/>
          <w:lang w:val="en-US"/>
        </w:rPr>
        <w:t>détente</w:t>
      </w:r>
      <w:r w:rsidRPr="002E60EB">
        <w:rPr>
          <w:rFonts w:cs="Verdana"/>
          <w:lang w:val="en-US"/>
        </w:rPr>
        <w:t xml:space="preserve"> </w:t>
      </w:r>
      <w:r w:rsidR="006A1135" w:rsidRPr="002E60EB">
        <w:rPr>
          <w:rFonts w:cs="Verdana"/>
          <w:lang w:val="en-US"/>
        </w:rPr>
        <w:t>decreed in the context of the peace</w:t>
      </w:r>
      <w:r w:rsidRPr="002E60EB">
        <w:rPr>
          <w:rFonts w:cs="Verdana"/>
          <w:lang w:val="en-US"/>
        </w:rPr>
        <w:t xml:space="preserve"> process that the State </w:t>
      </w:r>
      <w:r w:rsidR="00761A66" w:rsidRPr="002E60EB">
        <w:rPr>
          <w:rFonts w:cs="Verdana"/>
          <w:lang w:val="en-US"/>
        </w:rPr>
        <w:t xml:space="preserve">had embarked on </w:t>
      </w:r>
      <w:r w:rsidRPr="002E60EB">
        <w:rPr>
          <w:rFonts w:cs="Verdana"/>
          <w:lang w:val="en-US"/>
        </w:rPr>
        <w:t>at the time of the events […],</w:t>
      </w:r>
      <w:r w:rsidR="00087093" w:rsidRPr="002E60EB">
        <w:rPr>
          <w:rFonts w:cs="Verdana"/>
          <w:lang w:val="en-US"/>
        </w:rPr>
        <w:t>”</w:t>
      </w:r>
      <w:r w:rsidRPr="002E60EB">
        <w:rPr>
          <w:rFonts w:cs="Verdana"/>
          <w:lang w:val="en-US"/>
        </w:rPr>
        <w:t xml:space="preserve"> and</w:t>
      </w:r>
      <w:r w:rsidR="00D50A8A" w:rsidRPr="002E60EB">
        <w:rPr>
          <w:rFonts w:cs="Verdana"/>
          <w:lang w:val="en-US"/>
        </w:rPr>
        <w:t xml:space="preserve"> </w:t>
      </w:r>
      <w:r w:rsidRPr="002E60EB">
        <w:rPr>
          <w:rFonts w:cs="Verdana"/>
          <w:lang w:val="en-US"/>
        </w:rPr>
        <w:t>because</w:t>
      </w:r>
      <w:r w:rsidR="00D50A8A" w:rsidRPr="002E60EB">
        <w:rPr>
          <w:rFonts w:cs="Verdana"/>
          <w:lang w:val="en-US"/>
        </w:rPr>
        <w:t>, since it was</w:t>
      </w:r>
      <w:r w:rsidRPr="002E60EB">
        <w:rPr>
          <w:rFonts w:cs="Verdana"/>
          <w:lang w:val="en-US"/>
        </w:rPr>
        <w:t xml:space="preserve"> impossible to </w:t>
      </w:r>
      <w:r w:rsidR="00D50A8A" w:rsidRPr="002E60EB">
        <w:rPr>
          <w:rFonts w:cs="Verdana"/>
          <w:lang w:val="en-US"/>
        </w:rPr>
        <w:t xml:space="preserve">consult </w:t>
      </w:r>
      <w:r w:rsidRPr="002E60EB">
        <w:rPr>
          <w:rFonts w:cs="Verdana"/>
          <w:lang w:val="en-US"/>
        </w:rPr>
        <w:t xml:space="preserve">the </w:t>
      </w:r>
      <w:r w:rsidR="00D50A8A" w:rsidRPr="002E60EB">
        <w:rPr>
          <w:rFonts w:cs="Verdana"/>
          <w:lang w:val="en-US"/>
        </w:rPr>
        <w:t>case file</w:t>
      </w:r>
      <w:r w:rsidRPr="002E60EB">
        <w:rPr>
          <w:rFonts w:cs="Verdana"/>
          <w:lang w:val="en-US"/>
        </w:rPr>
        <w:t xml:space="preserve">, it has </w:t>
      </w:r>
      <w:r w:rsidR="00D50A8A" w:rsidRPr="002E60EB">
        <w:rPr>
          <w:rFonts w:cs="Verdana"/>
          <w:lang w:val="en-US"/>
        </w:rPr>
        <w:t>been un</w:t>
      </w:r>
      <w:r w:rsidRPr="002E60EB">
        <w:rPr>
          <w:rFonts w:cs="Verdana"/>
          <w:lang w:val="en-US"/>
        </w:rPr>
        <w:t xml:space="preserve">able to comply </w:t>
      </w:r>
      <w:r w:rsidR="00087093" w:rsidRPr="002E60EB">
        <w:rPr>
          <w:rFonts w:cs="Verdana"/>
          <w:lang w:val="en-US"/>
        </w:rPr>
        <w:t>“</w:t>
      </w:r>
      <w:r w:rsidRPr="002E60EB">
        <w:rPr>
          <w:rFonts w:cs="Verdana"/>
          <w:lang w:val="en-US"/>
        </w:rPr>
        <w:t xml:space="preserve">with its </w:t>
      </w:r>
      <w:r w:rsidR="00D50A8A" w:rsidRPr="002E60EB">
        <w:rPr>
          <w:rFonts w:cs="Verdana"/>
          <w:lang w:val="en-US"/>
        </w:rPr>
        <w:t xml:space="preserve">obligation </w:t>
      </w:r>
      <w:r w:rsidRPr="002E60EB">
        <w:rPr>
          <w:rFonts w:cs="Verdana"/>
          <w:lang w:val="en-US"/>
        </w:rPr>
        <w:t xml:space="preserve">to </w:t>
      </w:r>
      <w:r w:rsidR="00D50A8A" w:rsidRPr="002E60EB">
        <w:rPr>
          <w:rFonts w:cs="Verdana"/>
          <w:lang w:val="en-US"/>
        </w:rPr>
        <w:t>prove</w:t>
      </w:r>
      <w:r w:rsidRPr="002E60EB">
        <w:rPr>
          <w:rFonts w:cs="Verdana"/>
          <w:lang w:val="en-US"/>
        </w:rPr>
        <w:t xml:space="preserve"> that the conclusion reached by the 22</w:t>
      </w:r>
      <w:r w:rsidRPr="002E60EB">
        <w:rPr>
          <w:rFonts w:cs="Verdana"/>
          <w:vertAlign w:val="superscript"/>
          <w:lang w:val="en-US"/>
        </w:rPr>
        <w:t>nd</w:t>
      </w:r>
      <w:r w:rsidRPr="002E60EB">
        <w:rPr>
          <w:rFonts w:cs="Verdana"/>
          <w:lang w:val="en-US"/>
        </w:rPr>
        <w:t xml:space="preserve"> Military Criminal </w:t>
      </w:r>
      <w:r w:rsidR="00D50A8A" w:rsidRPr="002E60EB">
        <w:rPr>
          <w:rFonts w:cs="Verdana"/>
          <w:lang w:val="en-US"/>
        </w:rPr>
        <w:t xml:space="preserve">Judge regarding </w:t>
      </w:r>
      <w:r w:rsidRPr="002E60EB">
        <w:rPr>
          <w:rFonts w:cs="Verdana"/>
          <w:lang w:val="en-US"/>
        </w:rPr>
        <w:t xml:space="preserve">the failure to </w:t>
      </w:r>
      <w:r w:rsidR="00D50A8A" w:rsidRPr="002E60EB">
        <w:rPr>
          <w:rFonts w:cs="Verdana"/>
          <w:lang w:val="en-US"/>
        </w:rPr>
        <w:t>i</w:t>
      </w:r>
      <w:r w:rsidR="00761A66" w:rsidRPr="002E60EB">
        <w:rPr>
          <w:rFonts w:cs="Verdana"/>
          <w:lang w:val="en-US"/>
        </w:rPr>
        <w:t>dentify</w:t>
      </w:r>
      <w:r w:rsidR="00D50A8A" w:rsidRPr="002E60EB">
        <w:rPr>
          <w:rFonts w:cs="Verdana"/>
          <w:lang w:val="en-US"/>
        </w:rPr>
        <w:t xml:space="preserve"> those presumably responsible</w:t>
      </w:r>
      <w:r w:rsidRPr="002E60EB">
        <w:rPr>
          <w:rFonts w:cs="Verdana"/>
          <w:lang w:val="en-US"/>
        </w:rPr>
        <w:t xml:space="preserve"> </w:t>
      </w:r>
      <w:r w:rsidR="00761A66" w:rsidRPr="002E60EB">
        <w:rPr>
          <w:rFonts w:cs="Verdana"/>
          <w:lang w:val="en-US"/>
        </w:rPr>
        <w:t>resulted from</w:t>
      </w:r>
      <w:r w:rsidRPr="002E60EB">
        <w:rPr>
          <w:rFonts w:cs="Verdana"/>
          <w:lang w:val="en-US"/>
        </w:rPr>
        <w:t xml:space="preserve"> a serious </w:t>
      </w:r>
      <w:r w:rsidR="00761A66" w:rsidRPr="002E60EB">
        <w:rPr>
          <w:rFonts w:cs="Verdana"/>
          <w:lang w:val="en-US"/>
        </w:rPr>
        <w:t>decision</w:t>
      </w:r>
      <w:r w:rsidR="00D50A8A" w:rsidRPr="002E60EB">
        <w:rPr>
          <w:rFonts w:cs="Verdana"/>
          <w:lang w:val="en-US"/>
        </w:rPr>
        <w:t xml:space="preserve"> </w:t>
      </w:r>
      <w:r w:rsidR="00761A66" w:rsidRPr="002E60EB">
        <w:rPr>
          <w:rFonts w:cs="Verdana"/>
          <w:lang w:val="en-US"/>
        </w:rPr>
        <w:t>under</w:t>
      </w:r>
      <w:r w:rsidR="00D50A8A" w:rsidRPr="002E60EB">
        <w:rPr>
          <w:rFonts w:cs="Verdana"/>
          <w:lang w:val="en-US"/>
        </w:rPr>
        <w:t>taken with</w:t>
      </w:r>
      <w:r w:rsidRPr="002E60EB">
        <w:rPr>
          <w:rFonts w:cs="Verdana"/>
          <w:lang w:val="en-US"/>
        </w:rPr>
        <w:t xml:space="preserve"> due diligence in the investigation </w:t>
      </w:r>
      <w:r w:rsidR="00D50A8A" w:rsidRPr="002E60EB">
        <w:rPr>
          <w:rFonts w:cs="Verdana"/>
          <w:lang w:val="en-US"/>
        </w:rPr>
        <w:t xml:space="preserve">conducted </w:t>
      </w:r>
      <w:r w:rsidRPr="002E60EB">
        <w:rPr>
          <w:rFonts w:cs="Verdana"/>
          <w:lang w:val="en-US"/>
        </w:rPr>
        <w:t>by the military justice system</w:t>
      </w:r>
      <w:r w:rsidR="00D50A8A" w:rsidRPr="002E60EB">
        <w:rPr>
          <w:rFonts w:cs="Verdana"/>
          <w:lang w:val="en-US"/>
        </w:rPr>
        <w:t>.</w:t>
      </w:r>
      <w:r w:rsidR="00087093" w:rsidRPr="002E60EB">
        <w:rPr>
          <w:rFonts w:cs="Verdana"/>
          <w:lang w:val="en-US"/>
        </w:rPr>
        <w:t>”</w:t>
      </w:r>
      <w:r w:rsidRPr="002E60EB">
        <w:rPr>
          <w:rFonts w:cs="Verdana"/>
          <w:b/>
          <w:lang w:val="en-US"/>
        </w:rPr>
        <w:t xml:space="preserve"> </w:t>
      </w:r>
    </w:p>
    <w:p w:rsidR="00E15BBF" w:rsidRPr="002E60EB" w:rsidRDefault="00087093" w:rsidP="00317748">
      <w:pPr>
        <w:numPr>
          <w:ilvl w:val="0"/>
          <w:numId w:val="9"/>
        </w:numPr>
        <w:autoSpaceDE w:val="0"/>
        <w:autoSpaceDN w:val="0"/>
        <w:adjustRightInd w:val="0"/>
        <w:ind w:hanging="720"/>
        <w:contextualSpacing/>
        <w:jc w:val="both"/>
        <w:rPr>
          <w:rFonts w:cs="Verdana"/>
          <w:lang w:val="en-US"/>
        </w:rPr>
      </w:pPr>
      <w:r w:rsidRPr="002E60EB">
        <w:rPr>
          <w:rFonts w:cs="Verdana"/>
          <w:lang w:val="en-US"/>
        </w:rPr>
        <w:t>“</w:t>
      </w:r>
      <w:r w:rsidR="00E15BBF" w:rsidRPr="002E60EB">
        <w:rPr>
          <w:rFonts w:cs="Verdana"/>
          <w:lang w:val="en-US"/>
        </w:rPr>
        <w:t>No serious investigation was undertaken that would have</w:t>
      </w:r>
      <w:r w:rsidR="00D50A8A" w:rsidRPr="002E60EB">
        <w:rPr>
          <w:rFonts w:cs="Verdana"/>
          <w:lang w:val="en-US"/>
        </w:rPr>
        <w:t xml:space="preserve"> determined and</w:t>
      </w:r>
      <w:r w:rsidR="00E15BBF" w:rsidRPr="002E60EB">
        <w:rPr>
          <w:rFonts w:cs="Verdana"/>
          <w:lang w:val="en-US"/>
        </w:rPr>
        <w:t xml:space="preserve"> eventually </w:t>
      </w:r>
      <w:r w:rsidR="00D50A8A" w:rsidRPr="002E60EB">
        <w:rPr>
          <w:rFonts w:cs="Verdana"/>
          <w:lang w:val="en-US"/>
        </w:rPr>
        <w:t xml:space="preserve">led to the criminal punishment of the presumed authors </w:t>
      </w:r>
      <w:r w:rsidR="00E15BBF" w:rsidRPr="002E60EB">
        <w:rPr>
          <w:rFonts w:cs="Verdana"/>
          <w:lang w:val="en-US"/>
        </w:rPr>
        <w:t xml:space="preserve">of the threats </w:t>
      </w:r>
      <w:r w:rsidR="00D50A8A" w:rsidRPr="002E60EB">
        <w:rPr>
          <w:rFonts w:cs="Verdana"/>
          <w:lang w:val="en-US"/>
        </w:rPr>
        <w:t xml:space="preserve">of which </w:t>
      </w:r>
      <w:r w:rsidR="00E15BBF" w:rsidRPr="002E60EB">
        <w:rPr>
          <w:rFonts w:cs="Verdana"/>
          <w:lang w:val="en-US"/>
        </w:rPr>
        <w:t>Mr. Vélez Restrepo</w:t>
      </w:r>
      <w:r w:rsidR="00D50A8A" w:rsidRPr="002E60EB">
        <w:rPr>
          <w:rFonts w:cs="Verdana"/>
          <w:lang w:val="en-US"/>
        </w:rPr>
        <w:t xml:space="preserve"> was a victim, and</w:t>
      </w:r>
    </w:p>
    <w:p w:rsidR="00E15BBF" w:rsidRPr="002E60EB" w:rsidRDefault="00E15BBF" w:rsidP="00317748">
      <w:pPr>
        <w:numPr>
          <w:ilvl w:val="0"/>
          <w:numId w:val="9"/>
        </w:numPr>
        <w:autoSpaceDE w:val="0"/>
        <w:autoSpaceDN w:val="0"/>
        <w:adjustRightInd w:val="0"/>
        <w:ind w:hanging="720"/>
        <w:contextualSpacing/>
        <w:jc w:val="both"/>
        <w:rPr>
          <w:rFonts w:cs="Verdana"/>
          <w:lang w:val="en-US"/>
        </w:rPr>
      </w:pPr>
      <w:r w:rsidRPr="002E60EB">
        <w:rPr>
          <w:rFonts w:cs="Verdana"/>
          <w:lang w:val="en-US"/>
        </w:rPr>
        <w:t>The</w:t>
      </w:r>
      <w:r w:rsidR="00D50A8A" w:rsidRPr="002E60EB">
        <w:rPr>
          <w:rFonts w:cs="Verdana"/>
          <w:lang w:val="en-US"/>
        </w:rPr>
        <w:t>re was a violation of</w:t>
      </w:r>
      <w:r w:rsidRPr="002E60EB">
        <w:rPr>
          <w:rFonts w:cs="Verdana"/>
          <w:lang w:val="en-US"/>
        </w:rPr>
        <w:t xml:space="preserve"> reasonable time </w:t>
      </w:r>
      <w:r w:rsidR="00D50A8A" w:rsidRPr="002E60EB">
        <w:rPr>
          <w:rFonts w:cs="Verdana"/>
          <w:lang w:val="en-US"/>
        </w:rPr>
        <w:t>in</w:t>
      </w:r>
      <w:r w:rsidRPr="002E60EB">
        <w:rPr>
          <w:rFonts w:cs="Verdana"/>
          <w:lang w:val="en-US"/>
        </w:rPr>
        <w:t xml:space="preserve"> the investigation </w:t>
      </w:r>
      <w:r w:rsidR="00D50A8A" w:rsidRPr="002E60EB">
        <w:rPr>
          <w:rFonts w:cs="Verdana"/>
          <w:lang w:val="en-US"/>
        </w:rPr>
        <w:t xml:space="preserve">conducted into the presumed </w:t>
      </w:r>
      <w:r w:rsidRPr="002E60EB">
        <w:rPr>
          <w:rFonts w:cs="Verdana"/>
          <w:lang w:val="en-US"/>
        </w:rPr>
        <w:t xml:space="preserve">attempted </w:t>
      </w:r>
      <w:r w:rsidR="00334C3C" w:rsidRPr="002E60EB">
        <w:rPr>
          <w:rFonts w:cs="Verdana"/>
          <w:lang w:val="en-US"/>
        </w:rPr>
        <w:t>kidnapping</w:t>
      </w:r>
      <w:r w:rsidRPr="002E60EB">
        <w:rPr>
          <w:rFonts w:cs="Verdana"/>
          <w:lang w:val="en-US"/>
        </w:rPr>
        <w:t xml:space="preserve"> </w:t>
      </w:r>
      <w:r w:rsidR="00D50A8A" w:rsidRPr="002E60EB">
        <w:rPr>
          <w:rFonts w:cs="Verdana"/>
          <w:lang w:val="en-US"/>
        </w:rPr>
        <w:t xml:space="preserve">that supposedly took place against </w:t>
      </w:r>
      <w:r w:rsidRPr="002E60EB">
        <w:rPr>
          <w:rFonts w:cs="Verdana"/>
          <w:lang w:val="en-US"/>
        </w:rPr>
        <w:t>Mr. Vélez Restrepo on October 6, 199[7].</w:t>
      </w:r>
      <w:r w:rsidR="00087093" w:rsidRPr="002E60EB">
        <w:rPr>
          <w:rFonts w:cs="Verdana"/>
          <w:lang w:val="en-US"/>
        </w:rPr>
        <w:t>”</w:t>
      </w:r>
    </w:p>
    <w:p w:rsidR="00E15BBF" w:rsidRPr="002E60EB" w:rsidRDefault="00E15BBF" w:rsidP="00317748">
      <w:pPr>
        <w:contextualSpacing/>
        <w:jc w:val="both"/>
        <w:rPr>
          <w:rFonts w:cs="Verdana"/>
          <w:lang w:val="en-US"/>
        </w:rPr>
      </w:pPr>
    </w:p>
    <w:p w:rsidR="00E15BBF" w:rsidRPr="002E60EB" w:rsidRDefault="00E15BBF" w:rsidP="00317748">
      <w:pPr>
        <w:ind w:left="720"/>
        <w:contextualSpacing/>
        <w:jc w:val="both"/>
        <w:rPr>
          <w:rFonts w:cs="Verdana"/>
          <w:b/>
          <w:lang w:val="en-US"/>
        </w:rPr>
      </w:pPr>
      <w:r w:rsidRPr="002E60EB">
        <w:rPr>
          <w:rFonts w:cs="Verdana"/>
          <w:lang w:val="en-US"/>
        </w:rPr>
        <w:t>d)</w:t>
      </w:r>
      <w:r w:rsidRPr="002E60EB">
        <w:rPr>
          <w:rFonts w:cs="Verdana"/>
          <w:lang w:val="en-US"/>
        </w:rPr>
        <w:tab/>
        <w:t>Colombia affirmed</w:t>
      </w:r>
      <w:r w:rsidR="00761A66" w:rsidRPr="002E60EB">
        <w:rPr>
          <w:rFonts w:cs="Verdana"/>
          <w:lang w:val="en-US"/>
        </w:rPr>
        <w:t xml:space="preserve"> that it was not responsible for</w:t>
      </w:r>
      <w:r w:rsidRPr="002E60EB">
        <w:rPr>
          <w:rFonts w:cs="Verdana"/>
          <w:lang w:val="en-US"/>
        </w:rPr>
        <w:t xml:space="preserve"> the alleged violation of the principle of </w:t>
      </w:r>
      <w:r w:rsidR="00D50A8A" w:rsidRPr="002E60EB">
        <w:rPr>
          <w:rFonts w:cs="Verdana"/>
          <w:lang w:val="en-US"/>
        </w:rPr>
        <w:t xml:space="preserve">the </w:t>
      </w:r>
      <w:r w:rsidR="00615D3A" w:rsidRPr="002E60EB">
        <w:rPr>
          <w:rFonts w:cs="Verdana"/>
          <w:lang w:val="en-US"/>
        </w:rPr>
        <w:t>natural judge</w:t>
      </w:r>
      <w:r w:rsidRPr="002E60EB">
        <w:rPr>
          <w:rFonts w:cs="Verdana"/>
          <w:lang w:val="en-US"/>
        </w:rPr>
        <w:t xml:space="preserve">. </w:t>
      </w:r>
      <w:r w:rsidR="000F3982" w:rsidRPr="002E60EB">
        <w:rPr>
          <w:rFonts w:cs="Verdana"/>
          <w:lang w:val="en-US"/>
        </w:rPr>
        <w:t>In addition</w:t>
      </w:r>
      <w:r w:rsidR="00761A66" w:rsidRPr="002E60EB">
        <w:rPr>
          <w:rFonts w:cs="Verdana"/>
          <w:lang w:val="en-US"/>
        </w:rPr>
        <w:t>, it argued that it wa</w:t>
      </w:r>
      <w:r w:rsidRPr="002E60EB">
        <w:rPr>
          <w:rFonts w:cs="Verdana"/>
          <w:lang w:val="en-US"/>
        </w:rPr>
        <w:t>s not responsible for the alleged violations of the right to movement and residence, the right</w:t>
      </w:r>
      <w:r w:rsidR="00D50A8A" w:rsidRPr="002E60EB">
        <w:rPr>
          <w:rFonts w:cs="Verdana"/>
          <w:lang w:val="en-US"/>
        </w:rPr>
        <w:t>s of the</w:t>
      </w:r>
      <w:r w:rsidRPr="002E60EB">
        <w:rPr>
          <w:rFonts w:cs="Verdana"/>
          <w:lang w:val="en-US"/>
        </w:rPr>
        <w:t xml:space="preserve"> family</w:t>
      </w:r>
      <w:r w:rsidR="00D50A8A" w:rsidRPr="002E60EB">
        <w:rPr>
          <w:rFonts w:cs="Verdana"/>
          <w:lang w:val="en-US"/>
        </w:rPr>
        <w:t>,</w:t>
      </w:r>
      <w:r w:rsidRPr="002E60EB">
        <w:rPr>
          <w:rFonts w:cs="Verdana"/>
          <w:lang w:val="en-US"/>
        </w:rPr>
        <w:t xml:space="preserve"> and the right</w:t>
      </w:r>
      <w:r w:rsidR="00D50A8A" w:rsidRPr="002E60EB">
        <w:rPr>
          <w:rFonts w:cs="Verdana"/>
          <w:lang w:val="en-US"/>
        </w:rPr>
        <w:t>s</w:t>
      </w:r>
      <w:r w:rsidRPr="002E60EB">
        <w:rPr>
          <w:rFonts w:cs="Verdana"/>
          <w:lang w:val="en-US"/>
        </w:rPr>
        <w:t xml:space="preserve"> of the child </w:t>
      </w:r>
      <w:r w:rsidR="00D50A8A" w:rsidRPr="002E60EB">
        <w:rPr>
          <w:rFonts w:cs="Verdana"/>
          <w:lang w:val="en-US"/>
        </w:rPr>
        <w:t>to the detriment of</w:t>
      </w:r>
      <w:r w:rsidRPr="002E60EB">
        <w:rPr>
          <w:rFonts w:cs="Verdana"/>
          <w:lang w:val="en-US"/>
        </w:rPr>
        <w:t xml:space="preserve"> Mr. Vélez</w:t>
      </w:r>
      <w:r w:rsidR="00D50A8A" w:rsidRPr="002E60EB">
        <w:rPr>
          <w:rFonts w:cs="Verdana"/>
          <w:lang w:val="en-US"/>
        </w:rPr>
        <w:t xml:space="preserve"> Restrepo</w:t>
      </w:r>
      <w:r w:rsidRPr="002E60EB">
        <w:rPr>
          <w:rFonts w:cs="Verdana"/>
          <w:lang w:val="en-US"/>
        </w:rPr>
        <w:t xml:space="preserve"> and his family</w:t>
      </w:r>
      <w:r w:rsidR="00D50A8A" w:rsidRPr="002E60EB">
        <w:rPr>
          <w:rFonts w:cs="Verdana"/>
          <w:lang w:val="en-US"/>
        </w:rPr>
        <w:t>;</w:t>
      </w:r>
      <w:r w:rsidR="00EF7D5D" w:rsidRPr="002E60EB">
        <w:rPr>
          <w:rFonts w:cs="Verdana"/>
          <w:lang w:val="en-US"/>
        </w:rPr>
        <w:t xml:space="preserve"> </w:t>
      </w:r>
      <w:r w:rsidRPr="002E60EB">
        <w:rPr>
          <w:rFonts w:cs="Verdana"/>
          <w:lang w:val="en-US"/>
        </w:rPr>
        <w:t xml:space="preserve">the alleged violation of the right to life </w:t>
      </w:r>
      <w:r w:rsidR="00D50A8A" w:rsidRPr="002E60EB">
        <w:rPr>
          <w:rFonts w:cs="Verdana"/>
          <w:lang w:val="en-US"/>
        </w:rPr>
        <w:t xml:space="preserve">of </w:t>
      </w:r>
      <w:r w:rsidRPr="002E60EB">
        <w:rPr>
          <w:rFonts w:cs="Verdana"/>
          <w:lang w:val="en-US"/>
        </w:rPr>
        <w:t>Mr. Vélez Restrepo</w:t>
      </w:r>
      <w:r w:rsidR="00D50A8A" w:rsidRPr="002E60EB">
        <w:rPr>
          <w:rFonts w:cs="Verdana"/>
          <w:lang w:val="en-US"/>
        </w:rPr>
        <w:t xml:space="preserve">, and </w:t>
      </w:r>
      <w:r w:rsidRPr="002E60EB">
        <w:rPr>
          <w:rFonts w:cs="Verdana"/>
          <w:lang w:val="en-US"/>
        </w:rPr>
        <w:t>the alleged violation of the honor and dignity</w:t>
      </w:r>
      <w:r w:rsidR="00D50A8A" w:rsidRPr="002E60EB">
        <w:rPr>
          <w:rFonts w:cs="Verdana"/>
          <w:lang w:val="en-US"/>
        </w:rPr>
        <w:t xml:space="preserve"> of Mr. Vélez Restrepo</w:t>
      </w:r>
      <w:r w:rsidR="00EF7D5D" w:rsidRPr="002E60EB">
        <w:rPr>
          <w:rFonts w:cs="Verdana"/>
          <w:lang w:val="en-US"/>
        </w:rPr>
        <w:t>.</w:t>
      </w:r>
    </w:p>
    <w:p w:rsidR="00E15BBF" w:rsidRPr="002E60EB" w:rsidRDefault="00E15BBF" w:rsidP="00317748">
      <w:pPr>
        <w:tabs>
          <w:tab w:val="left" w:pos="720"/>
        </w:tabs>
        <w:jc w:val="both"/>
        <w:rPr>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Colombia </w:t>
      </w:r>
      <w:r w:rsidR="00B136DD" w:rsidRPr="002E60EB">
        <w:rPr>
          <w:lang w:val="en-US"/>
        </w:rPr>
        <w:t xml:space="preserve">also stated </w:t>
      </w:r>
      <w:r w:rsidRPr="002E60EB">
        <w:rPr>
          <w:lang w:val="en-US"/>
        </w:rPr>
        <w:t>that it recognize</w:t>
      </w:r>
      <w:r w:rsidR="00B136DD" w:rsidRPr="002E60EB">
        <w:rPr>
          <w:lang w:val="en-US"/>
        </w:rPr>
        <w:t xml:space="preserve"> as victims both</w:t>
      </w:r>
      <w:r w:rsidRPr="002E60EB">
        <w:rPr>
          <w:lang w:val="en-US"/>
        </w:rPr>
        <w:t xml:space="preserve"> Mr. Vélez Restrepo, </w:t>
      </w:r>
      <w:r w:rsidR="00B136DD" w:rsidRPr="002E60EB">
        <w:rPr>
          <w:lang w:val="en-US"/>
        </w:rPr>
        <w:t xml:space="preserve">and also </w:t>
      </w:r>
      <w:r w:rsidRPr="002E60EB">
        <w:rPr>
          <w:lang w:val="en-US"/>
        </w:rPr>
        <w:t>his wife Aracelly Román Amariles and their children Juliana and Mateo Vélez Román.</w:t>
      </w:r>
    </w:p>
    <w:p w:rsidR="00E15BBF" w:rsidRPr="002E60EB" w:rsidRDefault="00E15BBF" w:rsidP="00317748">
      <w:pPr>
        <w:tabs>
          <w:tab w:val="left" w:pos="720"/>
        </w:tabs>
        <w:jc w:val="both"/>
        <w:rPr>
          <w:lang w:val="en-US"/>
        </w:rPr>
      </w:pPr>
    </w:p>
    <w:p w:rsidR="00E15BBF" w:rsidRPr="002E60EB" w:rsidRDefault="00B136DD" w:rsidP="00317748">
      <w:pPr>
        <w:numPr>
          <w:ilvl w:val="0"/>
          <w:numId w:val="1"/>
        </w:numPr>
        <w:tabs>
          <w:tab w:val="left" w:pos="720"/>
        </w:tabs>
        <w:jc w:val="both"/>
        <w:rPr>
          <w:lang w:val="en-US"/>
        </w:rPr>
      </w:pPr>
      <w:r w:rsidRPr="002E60EB">
        <w:rPr>
          <w:rFonts w:cs="Verdana"/>
          <w:lang w:val="en-US"/>
        </w:rPr>
        <w:t>Regarding</w:t>
      </w:r>
      <w:r w:rsidR="00E15BBF" w:rsidRPr="002E60EB">
        <w:rPr>
          <w:rFonts w:cs="Verdana"/>
          <w:lang w:val="en-US"/>
        </w:rPr>
        <w:t xml:space="preserve"> the reparations, the State </w:t>
      </w:r>
      <w:r w:rsidRPr="002E60EB">
        <w:rPr>
          <w:rFonts w:cs="Verdana"/>
          <w:lang w:val="en-US"/>
        </w:rPr>
        <w:t xml:space="preserve">indicated </w:t>
      </w:r>
      <w:r w:rsidR="00E15BBF" w:rsidRPr="002E60EB">
        <w:rPr>
          <w:rFonts w:cs="Verdana"/>
          <w:lang w:val="en-US"/>
        </w:rPr>
        <w:t xml:space="preserve">that it </w:t>
      </w:r>
      <w:r w:rsidR="00087093" w:rsidRPr="002E60EB">
        <w:rPr>
          <w:rFonts w:cs="Verdana"/>
          <w:lang w:val="en-US"/>
        </w:rPr>
        <w:t>“</w:t>
      </w:r>
      <w:r w:rsidR="00E15BBF" w:rsidRPr="002E60EB">
        <w:rPr>
          <w:rFonts w:cs="Verdana"/>
          <w:lang w:val="en-US"/>
        </w:rPr>
        <w:t>deeply regretted the events that occurred and that its</w:t>
      </w:r>
      <w:r w:rsidRPr="002E60EB">
        <w:rPr>
          <w:rFonts w:cs="Verdana"/>
          <w:lang w:val="en-US"/>
        </w:rPr>
        <w:t xml:space="preserve"> intention was, above all, </w:t>
      </w:r>
      <w:r w:rsidR="00E15BBF" w:rsidRPr="002E60EB">
        <w:rPr>
          <w:rFonts w:cs="Verdana"/>
          <w:lang w:val="en-US"/>
        </w:rPr>
        <w:t xml:space="preserve">to achieve comprehensive reparation for the victims in this case and that similar events </w:t>
      </w:r>
      <w:r w:rsidRPr="002E60EB">
        <w:rPr>
          <w:rFonts w:cs="Verdana"/>
          <w:lang w:val="en-US"/>
        </w:rPr>
        <w:t>are not repeated</w:t>
      </w:r>
      <w:r w:rsidR="00E15BBF" w:rsidRPr="002E60EB">
        <w:rPr>
          <w:rFonts w:cs="Verdana"/>
          <w:lang w:val="en-US"/>
        </w:rPr>
        <w:t>.</w:t>
      </w:r>
      <w:r w:rsidR="00087093" w:rsidRPr="002E60EB">
        <w:rPr>
          <w:rFonts w:cs="Verdana"/>
          <w:lang w:val="en-US"/>
        </w:rPr>
        <w:t>”</w:t>
      </w:r>
      <w:r w:rsidR="00E15BBF" w:rsidRPr="002E60EB">
        <w:rPr>
          <w:rFonts w:cs="Verdana"/>
          <w:lang w:val="en-US"/>
        </w:rPr>
        <w:t xml:space="preserve"> </w:t>
      </w:r>
      <w:r w:rsidR="00E15BBF" w:rsidRPr="002E60EB">
        <w:rPr>
          <w:lang w:val="en-US"/>
        </w:rPr>
        <w:t xml:space="preserve">The State </w:t>
      </w:r>
      <w:r w:rsidRPr="002E60EB">
        <w:rPr>
          <w:lang w:val="en-US"/>
        </w:rPr>
        <w:t xml:space="preserve">indicated </w:t>
      </w:r>
      <w:r w:rsidR="00E15BBF" w:rsidRPr="002E60EB">
        <w:rPr>
          <w:lang w:val="en-US"/>
        </w:rPr>
        <w:t xml:space="preserve">its </w:t>
      </w:r>
      <w:r w:rsidR="00087093" w:rsidRPr="002E60EB">
        <w:rPr>
          <w:lang w:val="en-US"/>
        </w:rPr>
        <w:t>“</w:t>
      </w:r>
      <w:r w:rsidR="00E15BBF" w:rsidRPr="002E60EB">
        <w:rPr>
          <w:lang w:val="en-US"/>
        </w:rPr>
        <w:t xml:space="preserve">good faith to repair the damage </w:t>
      </w:r>
      <w:r w:rsidRPr="002E60EB">
        <w:rPr>
          <w:lang w:val="en-US"/>
        </w:rPr>
        <w:t>caused by</w:t>
      </w:r>
      <w:r w:rsidR="00E15BBF" w:rsidRPr="002E60EB">
        <w:rPr>
          <w:lang w:val="en-US"/>
        </w:rPr>
        <w:t xml:space="preserve"> the absence of a serious investigation into the threats and personal injury, and the </w:t>
      </w:r>
      <w:r w:rsidRPr="002E60EB">
        <w:rPr>
          <w:lang w:val="en-US"/>
        </w:rPr>
        <w:t xml:space="preserve">efforts it will take to advance the ongoing </w:t>
      </w:r>
      <w:r w:rsidR="00E15BBF" w:rsidRPr="002E60EB">
        <w:rPr>
          <w:lang w:val="en-US"/>
        </w:rPr>
        <w:t xml:space="preserve">investigation into the </w:t>
      </w:r>
      <w:r w:rsidRPr="002E60EB">
        <w:rPr>
          <w:lang w:val="en-US"/>
        </w:rPr>
        <w:t xml:space="preserve">presumed </w:t>
      </w:r>
      <w:r w:rsidR="00E15BBF" w:rsidRPr="002E60EB">
        <w:rPr>
          <w:lang w:val="en-US"/>
        </w:rPr>
        <w:t xml:space="preserve">attempted </w:t>
      </w:r>
      <w:r w:rsidR="00334C3C" w:rsidRPr="002E60EB">
        <w:rPr>
          <w:lang w:val="en-US"/>
        </w:rPr>
        <w:t>kidnapping</w:t>
      </w:r>
      <w:r w:rsidR="00E15BBF" w:rsidRPr="002E60EB">
        <w:rPr>
          <w:lang w:val="en-US"/>
        </w:rPr>
        <w:t>.</w:t>
      </w:r>
      <w:r w:rsidR="00087093" w:rsidRPr="002E60EB">
        <w:rPr>
          <w:lang w:val="en-US"/>
        </w:rPr>
        <w:t>”</w:t>
      </w:r>
      <w:r w:rsidR="00E15BBF" w:rsidRPr="002E60EB">
        <w:rPr>
          <w:lang w:val="en-US"/>
        </w:rPr>
        <w:t xml:space="preserve"> </w:t>
      </w:r>
      <w:r w:rsidR="00E15BBF" w:rsidRPr="002E60EB">
        <w:rPr>
          <w:rFonts w:cs="Verdana"/>
          <w:lang w:val="en-US"/>
        </w:rPr>
        <w:t xml:space="preserve">However, it </w:t>
      </w:r>
      <w:r w:rsidRPr="002E60EB">
        <w:rPr>
          <w:rFonts w:cs="Verdana"/>
          <w:lang w:val="en-US"/>
        </w:rPr>
        <w:t>opposed</w:t>
      </w:r>
      <w:r w:rsidR="00E15BBF" w:rsidRPr="002E60EB">
        <w:rPr>
          <w:rFonts w:cs="Verdana"/>
          <w:lang w:val="en-US"/>
        </w:rPr>
        <w:t xml:space="preserve"> </w:t>
      </w:r>
      <w:r w:rsidR="00087093" w:rsidRPr="002E60EB">
        <w:rPr>
          <w:rFonts w:cs="Verdana"/>
          <w:lang w:val="en-US"/>
        </w:rPr>
        <w:t>“</w:t>
      </w:r>
      <w:r w:rsidR="00E15BBF" w:rsidRPr="002E60EB">
        <w:rPr>
          <w:rFonts w:cs="Verdana"/>
          <w:lang w:val="en-US"/>
        </w:rPr>
        <w:t xml:space="preserve">the </w:t>
      </w:r>
      <w:r w:rsidRPr="002E60EB">
        <w:rPr>
          <w:rFonts w:cs="Verdana"/>
          <w:lang w:val="en-US"/>
        </w:rPr>
        <w:t>reparation requested</w:t>
      </w:r>
      <w:r w:rsidR="00E15BBF" w:rsidRPr="002E60EB">
        <w:rPr>
          <w:rFonts w:cs="Verdana"/>
          <w:lang w:val="en-US"/>
        </w:rPr>
        <w:t xml:space="preserve"> </w:t>
      </w:r>
      <w:r w:rsidRPr="002E60EB">
        <w:rPr>
          <w:rFonts w:cs="Verdana"/>
          <w:lang w:val="en-US"/>
        </w:rPr>
        <w:t>as regard</w:t>
      </w:r>
      <w:r w:rsidR="00E15BBF" w:rsidRPr="002E60EB">
        <w:rPr>
          <w:rFonts w:cs="Verdana"/>
          <w:lang w:val="en-US"/>
        </w:rPr>
        <w:t xml:space="preserve"> reopening the criminal investigations</w:t>
      </w:r>
      <w:r w:rsidR="00761A66" w:rsidRPr="002E60EB">
        <w:rPr>
          <w:rFonts w:cs="Verdana"/>
          <w:lang w:val="en-US"/>
        </w:rPr>
        <w:t xml:space="preserve"> into</w:t>
      </w:r>
      <w:r w:rsidR="00E15BBF" w:rsidRPr="002E60EB">
        <w:rPr>
          <w:rFonts w:cs="Verdana"/>
          <w:lang w:val="en-US"/>
        </w:rPr>
        <w:t xml:space="preserve"> personal injury and threats, which </w:t>
      </w:r>
      <w:r w:rsidRPr="002E60EB">
        <w:rPr>
          <w:rFonts w:cs="Verdana"/>
          <w:lang w:val="en-US"/>
        </w:rPr>
        <w:t xml:space="preserve">have </w:t>
      </w:r>
      <w:r w:rsidR="00E15BBF" w:rsidRPr="002E60EB">
        <w:rPr>
          <w:rFonts w:cs="Verdana"/>
          <w:lang w:val="en-US"/>
        </w:rPr>
        <w:t xml:space="preserve">now </w:t>
      </w:r>
      <w:r w:rsidRPr="002E60EB">
        <w:rPr>
          <w:rFonts w:cs="Verdana"/>
          <w:lang w:val="en-US"/>
        </w:rPr>
        <w:t>prescribed</w:t>
      </w:r>
      <w:r w:rsidR="00E15BBF" w:rsidRPr="002E60EB">
        <w:rPr>
          <w:rFonts w:cs="Verdana"/>
          <w:lang w:val="en-US"/>
        </w:rPr>
        <w:t xml:space="preserve">, [on the grounds that] </w:t>
      </w:r>
      <w:r w:rsidRPr="002E60EB">
        <w:rPr>
          <w:rFonts w:cs="Verdana"/>
          <w:lang w:val="en-US"/>
        </w:rPr>
        <w:t>this</w:t>
      </w:r>
      <w:r w:rsidR="00E15BBF" w:rsidRPr="002E60EB">
        <w:rPr>
          <w:rFonts w:cs="Verdana"/>
          <w:lang w:val="en-US"/>
        </w:rPr>
        <w:t xml:space="preserve"> would constitute a violation of the international obligations </w:t>
      </w:r>
      <w:r w:rsidRPr="002E60EB">
        <w:rPr>
          <w:rFonts w:cs="Verdana"/>
          <w:lang w:val="en-US"/>
        </w:rPr>
        <w:t xml:space="preserve">embodied </w:t>
      </w:r>
      <w:r w:rsidR="00E15BBF" w:rsidRPr="002E60EB">
        <w:rPr>
          <w:rFonts w:cs="Verdana"/>
          <w:lang w:val="en-US"/>
        </w:rPr>
        <w:t>in the American Convention.</w:t>
      </w:r>
      <w:r w:rsidR="00087093" w:rsidRPr="002E60EB">
        <w:rPr>
          <w:rFonts w:cs="Verdana"/>
          <w:lang w:val="en-US"/>
        </w:rPr>
        <w:t>”</w:t>
      </w:r>
      <w:r w:rsidR="00E15BBF" w:rsidRPr="002E60EB">
        <w:rPr>
          <w:rFonts w:cs="Verdana"/>
          <w:lang w:val="en-US"/>
        </w:rPr>
        <w:t xml:space="preserve"> </w:t>
      </w:r>
      <w:r w:rsidRPr="002E60EB">
        <w:rPr>
          <w:rFonts w:cs="Verdana"/>
          <w:lang w:val="en-US"/>
        </w:rPr>
        <w:t>Regarding</w:t>
      </w:r>
      <w:r w:rsidR="00E15BBF" w:rsidRPr="002E60EB">
        <w:rPr>
          <w:rFonts w:cs="Verdana"/>
          <w:lang w:val="en-US"/>
        </w:rPr>
        <w:t xml:space="preserve"> the measures to protect Mr. Vélez Restrepo</w:t>
      </w:r>
      <w:r w:rsidRPr="002E60EB">
        <w:rPr>
          <w:rFonts w:cs="Verdana"/>
          <w:lang w:val="en-US"/>
        </w:rPr>
        <w:t>’s family</w:t>
      </w:r>
      <w:r w:rsidR="00E15BBF" w:rsidRPr="002E60EB">
        <w:rPr>
          <w:rFonts w:cs="Verdana"/>
          <w:lang w:val="en-US"/>
        </w:rPr>
        <w:t>, the specia</w:t>
      </w:r>
      <w:r w:rsidRPr="002E60EB">
        <w:rPr>
          <w:rFonts w:cs="Verdana"/>
          <w:lang w:val="en-US"/>
        </w:rPr>
        <w:t>l</w:t>
      </w:r>
      <w:r w:rsidR="00E15BBF" w:rsidRPr="002E60EB">
        <w:rPr>
          <w:rFonts w:cs="Verdana"/>
          <w:lang w:val="en-US"/>
        </w:rPr>
        <w:t xml:space="preserve"> programs to protect </w:t>
      </w:r>
      <w:r w:rsidR="00FB514F" w:rsidRPr="002E60EB">
        <w:rPr>
          <w:rFonts w:cs="Verdana"/>
          <w:lang w:val="en-US"/>
        </w:rPr>
        <w:t>journalists at risk</w:t>
      </w:r>
      <w:r w:rsidR="00E15BBF" w:rsidRPr="002E60EB">
        <w:rPr>
          <w:rFonts w:cs="Verdana"/>
          <w:lang w:val="en-US"/>
        </w:rPr>
        <w:t xml:space="preserve"> and </w:t>
      </w:r>
      <w:r w:rsidRPr="002E60EB">
        <w:rPr>
          <w:rFonts w:cs="Verdana"/>
          <w:lang w:val="en-US"/>
        </w:rPr>
        <w:t xml:space="preserve">to </w:t>
      </w:r>
      <w:r w:rsidR="00E15BBF" w:rsidRPr="002E60EB">
        <w:rPr>
          <w:rFonts w:cs="Verdana"/>
          <w:lang w:val="en-US"/>
        </w:rPr>
        <w:t xml:space="preserve">investigate crimes against them, and the training for the military forces, the State indicated that </w:t>
      </w:r>
      <w:r w:rsidR="00087093" w:rsidRPr="002E60EB">
        <w:rPr>
          <w:rFonts w:cs="Verdana"/>
          <w:lang w:val="en-US"/>
        </w:rPr>
        <w:t>“</w:t>
      </w:r>
      <w:r w:rsidR="00E15BBF" w:rsidRPr="002E60EB">
        <w:rPr>
          <w:rFonts w:cs="Verdana"/>
          <w:lang w:val="en-US"/>
        </w:rPr>
        <w:t xml:space="preserve">these three reparations </w:t>
      </w:r>
      <w:r w:rsidR="00362A4F" w:rsidRPr="002E60EB">
        <w:rPr>
          <w:rFonts w:cs="Verdana"/>
          <w:lang w:val="en-US"/>
        </w:rPr>
        <w:t xml:space="preserve">are </w:t>
      </w:r>
      <w:r w:rsidR="00761A66" w:rsidRPr="002E60EB">
        <w:rPr>
          <w:rFonts w:cs="Verdana"/>
          <w:lang w:val="en-US"/>
        </w:rPr>
        <w:t>unwarranted</w:t>
      </w:r>
      <w:r w:rsidR="00362A4F" w:rsidRPr="002E60EB">
        <w:rPr>
          <w:rFonts w:cs="Verdana"/>
          <w:lang w:val="en-US"/>
        </w:rPr>
        <w:t>,</w:t>
      </w:r>
      <w:r w:rsidR="00E15BBF" w:rsidRPr="002E60EB">
        <w:rPr>
          <w:rFonts w:cs="Verdana"/>
          <w:lang w:val="en-US"/>
        </w:rPr>
        <w:t xml:space="preserve"> since the State has been </w:t>
      </w:r>
      <w:r w:rsidR="00362A4F" w:rsidRPr="002E60EB">
        <w:rPr>
          <w:rFonts w:cs="Verdana"/>
          <w:lang w:val="en-US"/>
        </w:rPr>
        <w:t>complying with them</w:t>
      </w:r>
      <w:r w:rsidR="00E15BBF" w:rsidRPr="002E60EB">
        <w:rPr>
          <w:rFonts w:cs="Verdana"/>
          <w:lang w:val="en-US"/>
        </w:rPr>
        <w:t xml:space="preserve"> […</w:t>
      </w:r>
      <w:r w:rsidR="00362A4F" w:rsidRPr="002E60EB">
        <w:rPr>
          <w:rFonts w:cs="Verdana"/>
          <w:lang w:val="en-US"/>
        </w:rPr>
        <w:t xml:space="preserve"> and</w:t>
      </w:r>
      <w:r w:rsidR="00E15BBF" w:rsidRPr="002E60EB">
        <w:rPr>
          <w:rFonts w:cs="Verdana"/>
          <w:lang w:val="en-US"/>
        </w:rPr>
        <w:t>] will continue to comply</w:t>
      </w:r>
      <w:r w:rsidR="00362A4F" w:rsidRPr="002E60EB">
        <w:rPr>
          <w:rFonts w:cs="Verdana"/>
          <w:lang w:val="en-US"/>
        </w:rPr>
        <w:t xml:space="preserve"> with them</w:t>
      </w:r>
      <w:r w:rsidR="00E15BBF" w:rsidRPr="002E60EB">
        <w:rPr>
          <w:rFonts w:cs="Verdana"/>
          <w:lang w:val="en-US"/>
        </w:rPr>
        <w:t>.</w:t>
      </w:r>
      <w:r w:rsidR="00087093" w:rsidRPr="002E60EB">
        <w:rPr>
          <w:rFonts w:cs="Verdana"/>
          <w:lang w:val="en-US"/>
        </w:rPr>
        <w:t>”</w:t>
      </w:r>
      <w:r w:rsidR="00E15BBF" w:rsidRPr="002E60EB">
        <w:rPr>
          <w:rFonts w:cs="Verdana"/>
          <w:b/>
          <w:lang w:val="en-US"/>
        </w:rPr>
        <w:t xml:space="preserve"> </w:t>
      </w:r>
      <w:r w:rsidR="00E15BBF" w:rsidRPr="002E60EB">
        <w:rPr>
          <w:rFonts w:cs="Verdana"/>
          <w:lang w:val="en-US"/>
        </w:rPr>
        <w:t xml:space="preserve">As for the measures of psychosocial and medical </w:t>
      </w:r>
      <w:r w:rsidR="00E15BBF" w:rsidRPr="002E60EB">
        <w:rPr>
          <w:rFonts w:cs="Verdana"/>
          <w:lang w:val="en-US"/>
        </w:rPr>
        <w:lastRenderedPageBreak/>
        <w:t xml:space="preserve">rehabilitation, Colombia </w:t>
      </w:r>
      <w:r w:rsidR="00362A4F" w:rsidRPr="002E60EB">
        <w:rPr>
          <w:rFonts w:cs="Verdana"/>
          <w:lang w:val="en-US"/>
        </w:rPr>
        <w:t xml:space="preserve">indicated </w:t>
      </w:r>
      <w:r w:rsidR="00E15BBF" w:rsidRPr="002E60EB">
        <w:rPr>
          <w:rFonts w:cs="Verdana"/>
          <w:lang w:val="en-US"/>
        </w:rPr>
        <w:t xml:space="preserve">that it </w:t>
      </w:r>
      <w:r w:rsidR="00087093" w:rsidRPr="002E60EB">
        <w:rPr>
          <w:rFonts w:cs="Verdana"/>
          <w:lang w:val="en-US"/>
        </w:rPr>
        <w:t>“</w:t>
      </w:r>
      <w:r w:rsidR="00362A4F" w:rsidRPr="002E60EB">
        <w:rPr>
          <w:rFonts w:cs="Verdana"/>
          <w:lang w:val="en-US"/>
        </w:rPr>
        <w:t>would delay its</w:t>
      </w:r>
      <w:r w:rsidR="00E15BBF" w:rsidRPr="002E60EB">
        <w:rPr>
          <w:rFonts w:cs="Verdana"/>
          <w:lang w:val="en-US"/>
        </w:rPr>
        <w:t xml:space="preserve"> </w:t>
      </w:r>
      <w:r w:rsidR="00362A4F" w:rsidRPr="002E60EB">
        <w:rPr>
          <w:rFonts w:cs="Verdana"/>
          <w:lang w:val="en-US"/>
        </w:rPr>
        <w:t xml:space="preserve">observations </w:t>
      </w:r>
      <w:r w:rsidR="00E15BBF" w:rsidRPr="002E60EB">
        <w:rPr>
          <w:rFonts w:cs="Verdana"/>
          <w:lang w:val="en-US"/>
        </w:rPr>
        <w:t xml:space="preserve">on this measure of reparation </w:t>
      </w:r>
      <w:r w:rsidR="00362A4F" w:rsidRPr="002E60EB">
        <w:rPr>
          <w:rFonts w:cs="Verdana"/>
          <w:lang w:val="en-US"/>
        </w:rPr>
        <w:t>until</w:t>
      </w:r>
      <w:r w:rsidR="00E15BBF" w:rsidRPr="002E60EB">
        <w:rPr>
          <w:rFonts w:cs="Verdana"/>
          <w:lang w:val="en-US"/>
        </w:rPr>
        <w:t xml:space="preserve"> its closing argument</w:t>
      </w:r>
      <w:r w:rsidR="00362A4F" w:rsidRPr="002E60EB">
        <w:rPr>
          <w:rFonts w:cs="Verdana"/>
          <w:lang w:val="en-US"/>
        </w:rPr>
        <w:t>s</w:t>
      </w:r>
      <w:r w:rsidR="00E15BBF" w:rsidRPr="002E60EB">
        <w:rPr>
          <w:rFonts w:cs="Verdana"/>
          <w:lang w:val="en-US"/>
        </w:rPr>
        <w:t xml:space="preserve"> in order to have a more informed opinion after hearing the </w:t>
      </w:r>
      <w:r w:rsidR="00362A4F" w:rsidRPr="002E60EB">
        <w:rPr>
          <w:rFonts w:cs="Verdana"/>
          <w:lang w:val="en-US"/>
        </w:rPr>
        <w:t xml:space="preserve">relevant </w:t>
      </w:r>
      <w:r w:rsidR="00E15BBF" w:rsidRPr="002E60EB">
        <w:rPr>
          <w:rFonts w:cs="Verdana"/>
          <w:lang w:val="en-US"/>
        </w:rPr>
        <w:t xml:space="preserve">testimony </w:t>
      </w:r>
      <w:r w:rsidR="00362A4F" w:rsidRPr="002E60EB">
        <w:rPr>
          <w:rFonts w:cs="Verdana"/>
          <w:lang w:val="en-US"/>
        </w:rPr>
        <w:t>that would be submitted to</w:t>
      </w:r>
      <w:r w:rsidR="00E15BBF" w:rsidRPr="002E60EB">
        <w:rPr>
          <w:rFonts w:cs="Verdana"/>
          <w:lang w:val="en-US"/>
        </w:rPr>
        <w:t xml:space="preserve"> the Court.</w:t>
      </w:r>
      <w:r w:rsidR="00087093" w:rsidRPr="002E60EB">
        <w:rPr>
          <w:rFonts w:cs="Verdana"/>
          <w:lang w:val="en-US"/>
        </w:rPr>
        <w:t>”</w:t>
      </w:r>
      <w:r w:rsidR="00E15BBF" w:rsidRPr="002E60EB">
        <w:rPr>
          <w:rFonts w:cs="Verdana"/>
          <w:lang w:val="en-US"/>
        </w:rPr>
        <w:t xml:space="preserve"> </w:t>
      </w:r>
      <w:r w:rsidR="00362A4F" w:rsidRPr="002E60EB">
        <w:rPr>
          <w:rFonts w:cs="Verdana"/>
          <w:lang w:val="en-US"/>
        </w:rPr>
        <w:t>However</w:t>
      </w:r>
      <w:r w:rsidR="00E15BBF" w:rsidRPr="002E60EB">
        <w:rPr>
          <w:rFonts w:cs="Verdana"/>
          <w:lang w:val="en-US"/>
        </w:rPr>
        <w:t xml:space="preserve">, in its </w:t>
      </w:r>
      <w:r w:rsidR="00362A4F" w:rsidRPr="002E60EB">
        <w:rPr>
          <w:rFonts w:cs="Verdana"/>
          <w:lang w:val="en-US"/>
        </w:rPr>
        <w:t xml:space="preserve">final </w:t>
      </w:r>
      <w:r w:rsidR="00E15BBF" w:rsidRPr="002E60EB">
        <w:rPr>
          <w:rFonts w:cs="Verdana"/>
          <w:lang w:val="en-US"/>
        </w:rPr>
        <w:t xml:space="preserve">arguments, the State did not </w:t>
      </w:r>
      <w:r w:rsidR="00362A4F" w:rsidRPr="002E60EB">
        <w:rPr>
          <w:rFonts w:cs="Verdana"/>
          <w:lang w:val="en-US"/>
        </w:rPr>
        <w:t xml:space="preserve">give </w:t>
      </w:r>
      <w:r w:rsidR="00E15BBF" w:rsidRPr="002E60EB">
        <w:rPr>
          <w:rFonts w:cs="Verdana"/>
          <w:lang w:val="en-US"/>
        </w:rPr>
        <w:t xml:space="preserve">any </w:t>
      </w:r>
      <w:r w:rsidR="00362A4F" w:rsidRPr="002E60EB">
        <w:rPr>
          <w:rFonts w:cs="Verdana"/>
          <w:lang w:val="en-US"/>
        </w:rPr>
        <w:t xml:space="preserve">opinion </w:t>
      </w:r>
      <w:r w:rsidR="00E15BBF" w:rsidRPr="002E60EB">
        <w:rPr>
          <w:rFonts w:cs="Verdana"/>
          <w:lang w:val="en-US"/>
        </w:rPr>
        <w:t xml:space="preserve">in this respect. Regarding the measure of </w:t>
      </w:r>
      <w:r w:rsidR="00087093" w:rsidRPr="002E60EB">
        <w:rPr>
          <w:rFonts w:cs="Verdana"/>
          <w:lang w:val="en-US"/>
        </w:rPr>
        <w:t>“</w:t>
      </w:r>
      <w:r w:rsidR="00E15BBF" w:rsidRPr="002E60EB">
        <w:rPr>
          <w:rFonts w:cs="Verdana"/>
          <w:lang w:val="en-US"/>
        </w:rPr>
        <w:t>educational rehabilitation</w:t>
      </w:r>
      <w:r w:rsidR="00087093" w:rsidRPr="002E60EB">
        <w:rPr>
          <w:rFonts w:cs="Verdana"/>
          <w:lang w:val="en-US"/>
        </w:rPr>
        <w:t>”</w:t>
      </w:r>
      <w:r w:rsidR="00E15BBF" w:rsidRPr="002E60EB">
        <w:rPr>
          <w:rFonts w:cs="Verdana"/>
          <w:lang w:val="en-US"/>
        </w:rPr>
        <w:t xml:space="preserve"> and the measures of satisfaction and guarantees of non-repetition, </w:t>
      </w:r>
      <w:r w:rsidR="00362A4F" w:rsidRPr="002E60EB">
        <w:rPr>
          <w:rFonts w:cs="Verdana"/>
          <w:lang w:val="en-US"/>
        </w:rPr>
        <w:t>Colombia stated</w:t>
      </w:r>
      <w:r w:rsidR="00E15BBF" w:rsidRPr="002E60EB">
        <w:rPr>
          <w:rFonts w:cs="Verdana"/>
          <w:lang w:val="en-US"/>
        </w:rPr>
        <w:t xml:space="preserve"> that it </w:t>
      </w:r>
      <w:r w:rsidR="00087093" w:rsidRPr="002E60EB">
        <w:rPr>
          <w:rFonts w:cs="Verdana"/>
          <w:lang w:val="en-US"/>
        </w:rPr>
        <w:t>“</w:t>
      </w:r>
      <w:r w:rsidR="00E15BBF" w:rsidRPr="002E60EB">
        <w:rPr>
          <w:rFonts w:cs="Verdana"/>
          <w:lang w:val="en-US"/>
        </w:rPr>
        <w:t>adheres to whatever the Court decides</w:t>
      </w:r>
      <w:r w:rsidR="00087093" w:rsidRPr="002E60EB">
        <w:rPr>
          <w:rFonts w:cs="Verdana"/>
          <w:lang w:val="en-US"/>
        </w:rPr>
        <w:t>”</w:t>
      </w:r>
      <w:r w:rsidR="00E15BBF" w:rsidRPr="002E60EB">
        <w:rPr>
          <w:rFonts w:cs="Verdana"/>
          <w:lang w:val="en-US"/>
        </w:rPr>
        <w:t xml:space="preserve"> </w:t>
      </w:r>
      <w:r w:rsidR="00362A4F" w:rsidRPr="002E60EB">
        <w:rPr>
          <w:rFonts w:cs="Verdana"/>
          <w:lang w:val="en-US"/>
        </w:rPr>
        <w:t>based on criteria</w:t>
      </w:r>
      <w:r w:rsidR="00E15BBF" w:rsidRPr="002E60EB">
        <w:rPr>
          <w:rFonts w:cs="Verdana"/>
          <w:lang w:val="en-US"/>
        </w:rPr>
        <w:t xml:space="preserve"> of reasonableness and proportionality, and </w:t>
      </w:r>
      <w:r w:rsidR="00362A4F" w:rsidRPr="002E60EB">
        <w:rPr>
          <w:rFonts w:cs="Verdana"/>
          <w:lang w:val="en-US"/>
        </w:rPr>
        <w:t xml:space="preserve">respecting </w:t>
      </w:r>
      <w:r w:rsidR="00E15BBF" w:rsidRPr="002E60EB">
        <w:rPr>
          <w:rFonts w:cs="Verdana"/>
          <w:lang w:val="en-US"/>
        </w:rPr>
        <w:t>the</w:t>
      </w:r>
      <w:r w:rsidR="00C15538" w:rsidRPr="002E60EB">
        <w:rPr>
          <w:rFonts w:cs="Verdana"/>
          <w:lang w:val="en-US"/>
        </w:rPr>
        <w:t xml:space="preserve"> causal nexus</w:t>
      </w:r>
      <w:r w:rsidR="00E15BBF" w:rsidRPr="002E60EB">
        <w:rPr>
          <w:rFonts w:cs="Verdana"/>
          <w:lang w:val="en-US"/>
        </w:rPr>
        <w:t xml:space="preserve"> </w:t>
      </w:r>
      <w:r w:rsidR="00362A4F" w:rsidRPr="002E60EB">
        <w:rPr>
          <w:rFonts w:cs="Verdana"/>
          <w:lang w:val="en-US"/>
        </w:rPr>
        <w:t>with</w:t>
      </w:r>
      <w:r w:rsidR="00E15BBF" w:rsidRPr="002E60EB">
        <w:rPr>
          <w:rFonts w:cs="Verdana"/>
          <w:lang w:val="en-US"/>
        </w:rPr>
        <w:t xml:space="preserve"> the violations</w:t>
      </w:r>
      <w:r w:rsidR="00C15538" w:rsidRPr="002E60EB">
        <w:rPr>
          <w:rFonts w:cs="Verdana"/>
          <w:lang w:val="en-US"/>
        </w:rPr>
        <w:t xml:space="preserve"> proved</w:t>
      </w:r>
      <w:r w:rsidR="00E15BBF" w:rsidRPr="002E60EB">
        <w:rPr>
          <w:rFonts w:cs="Verdana"/>
          <w:lang w:val="en-US"/>
        </w:rPr>
        <w:t xml:space="preserve">. </w:t>
      </w:r>
      <w:r w:rsidR="00362A4F" w:rsidRPr="002E60EB">
        <w:rPr>
          <w:rFonts w:cs="Verdana"/>
          <w:lang w:val="en-US"/>
        </w:rPr>
        <w:t xml:space="preserve">The </w:t>
      </w:r>
      <w:r w:rsidR="00E15BBF" w:rsidRPr="002E60EB">
        <w:rPr>
          <w:rFonts w:cs="Verdana"/>
          <w:lang w:val="en-US"/>
        </w:rPr>
        <w:t xml:space="preserve">State </w:t>
      </w:r>
      <w:r w:rsidR="00362A4F" w:rsidRPr="002E60EB">
        <w:rPr>
          <w:rFonts w:cs="Verdana"/>
          <w:lang w:val="en-US"/>
        </w:rPr>
        <w:t xml:space="preserve">also analyzed </w:t>
      </w:r>
      <w:r w:rsidR="00E15BBF" w:rsidRPr="002E60EB">
        <w:rPr>
          <w:rFonts w:cs="Verdana"/>
          <w:lang w:val="en-US"/>
        </w:rPr>
        <w:t xml:space="preserve">the </w:t>
      </w:r>
      <w:r w:rsidR="00362A4F" w:rsidRPr="002E60EB">
        <w:rPr>
          <w:rFonts w:cs="Verdana"/>
          <w:lang w:val="en-US"/>
        </w:rPr>
        <w:t xml:space="preserve">requests </w:t>
      </w:r>
      <w:r w:rsidR="00E15BBF" w:rsidRPr="002E60EB">
        <w:rPr>
          <w:rFonts w:cs="Verdana"/>
          <w:lang w:val="en-US"/>
        </w:rPr>
        <w:t xml:space="preserve">for </w:t>
      </w:r>
      <w:r w:rsidR="00362A4F" w:rsidRPr="002E60EB">
        <w:rPr>
          <w:rFonts w:cs="Verdana"/>
          <w:lang w:val="en-US"/>
        </w:rPr>
        <w:t xml:space="preserve">compensation for </w:t>
      </w:r>
      <w:r w:rsidR="00E15BBF" w:rsidRPr="002E60EB">
        <w:rPr>
          <w:rFonts w:cs="Verdana"/>
          <w:lang w:val="en-US"/>
        </w:rPr>
        <w:t xml:space="preserve">pecuniary and non-pecuniary damage and reimbursement of costs and expenses, being </w:t>
      </w:r>
      <w:r w:rsidR="00087093" w:rsidRPr="002E60EB">
        <w:rPr>
          <w:rFonts w:cs="Verdana"/>
          <w:lang w:val="en-US"/>
        </w:rPr>
        <w:t>“</w:t>
      </w:r>
      <w:r w:rsidR="00E15BBF" w:rsidRPr="002E60EB">
        <w:rPr>
          <w:rFonts w:cs="Verdana"/>
          <w:lang w:val="en-US"/>
        </w:rPr>
        <w:t>aware of th</w:t>
      </w:r>
      <w:r w:rsidR="00362A4F" w:rsidRPr="002E60EB">
        <w:rPr>
          <w:rFonts w:cs="Verdana"/>
          <w:lang w:val="en-US"/>
        </w:rPr>
        <w:t>e</w:t>
      </w:r>
      <w:r w:rsidR="00E15BBF" w:rsidRPr="002E60EB">
        <w:rPr>
          <w:rFonts w:cs="Verdana"/>
          <w:lang w:val="en-US"/>
        </w:rPr>
        <w:t xml:space="preserve"> obligation [to </w:t>
      </w:r>
      <w:r w:rsidR="00362A4F" w:rsidRPr="002E60EB">
        <w:rPr>
          <w:rFonts w:cs="Verdana"/>
          <w:lang w:val="en-US"/>
        </w:rPr>
        <w:t xml:space="preserve">make </w:t>
      </w:r>
      <w:r w:rsidR="00C15538" w:rsidRPr="002E60EB">
        <w:rPr>
          <w:rFonts w:cs="Verdana"/>
          <w:lang w:val="en-US"/>
        </w:rPr>
        <w:t>pecuniary</w:t>
      </w:r>
      <w:r w:rsidR="00362A4F" w:rsidRPr="002E60EB">
        <w:rPr>
          <w:rFonts w:cs="Verdana"/>
          <w:lang w:val="en-US"/>
        </w:rPr>
        <w:t xml:space="preserve"> reparation] </w:t>
      </w:r>
      <w:r w:rsidR="00E15BBF" w:rsidRPr="002E60EB">
        <w:rPr>
          <w:rFonts w:cs="Verdana"/>
          <w:lang w:val="en-US"/>
        </w:rPr>
        <w:t xml:space="preserve">and in </w:t>
      </w:r>
      <w:r w:rsidR="00C15538" w:rsidRPr="002E60EB">
        <w:rPr>
          <w:rFonts w:cs="Verdana"/>
          <w:lang w:val="en-US"/>
        </w:rPr>
        <w:t>keeping</w:t>
      </w:r>
      <w:r w:rsidR="00E15BBF" w:rsidRPr="002E60EB">
        <w:rPr>
          <w:rFonts w:cs="Verdana"/>
          <w:lang w:val="en-US"/>
        </w:rPr>
        <w:t xml:space="preserve"> with the terms of its partial acknowledgment of responsibility.</w:t>
      </w:r>
      <w:r w:rsidR="00087093" w:rsidRPr="002E60EB">
        <w:rPr>
          <w:rFonts w:cs="Verdana"/>
          <w:lang w:val="en-US"/>
        </w:rPr>
        <w:t>”</w:t>
      </w:r>
      <w:r w:rsidR="00E15BBF" w:rsidRPr="002E60EB">
        <w:rPr>
          <w:rFonts w:cs="Verdana"/>
          <w:lang w:val="en-US"/>
        </w:rPr>
        <w:t xml:space="preserve"> The State asked the Court to </w:t>
      </w:r>
      <w:r w:rsidR="00087093" w:rsidRPr="002E60EB">
        <w:rPr>
          <w:rFonts w:cs="Verdana"/>
          <w:lang w:val="en-US"/>
        </w:rPr>
        <w:t>“</w:t>
      </w:r>
      <w:r w:rsidR="00362A4F" w:rsidRPr="002E60EB">
        <w:rPr>
          <w:rFonts w:cs="Verdana"/>
          <w:lang w:val="en-US"/>
        </w:rPr>
        <w:t>establish</w:t>
      </w:r>
      <w:r w:rsidR="00E15BBF" w:rsidRPr="002E60EB">
        <w:rPr>
          <w:rFonts w:cs="Verdana"/>
          <w:lang w:val="en-US"/>
        </w:rPr>
        <w:t xml:space="preserve"> the amounts it </w:t>
      </w:r>
      <w:r w:rsidR="00036FC4" w:rsidRPr="002E60EB">
        <w:rPr>
          <w:rFonts w:cs="Verdana"/>
          <w:lang w:val="en-US"/>
        </w:rPr>
        <w:t xml:space="preserve">considered </w:t>
      </w:r>
      <w:r w:rsidR="00E15BBF" w:rsidRPr="002E60EB">
        <w:rPr>
          <w:rFonts w:cs="Verdana"/>
          <w:lang w:val="en-US"/>
        </w:rPr>
        <w:t>appropriate,</w:t>
      </w:r>
      <w:r w:rsidR="00087093" w:rsidRPr="002E60EB">
        <w:rPr>
          <w:rFonts w:cs="Verdana"/>
          <w:lang w:val="en-US"/>
        </w:rPr>
        <w:t>”</w:t>
      </w:r>
      <w:r w:rsidR="00E15BBF" w:rsidRPr="002E60EB">
        <w:rPr>
          <w:rFonts w:cs="Verdana"/>
          <w:lang w:val="en-US"/>
        </w:rPr>
        <w:t xml:space="preserve"> but argued that the total amount requested was excessive compared to </w:t>
      </w:r>
      <w:r w:rsidR="00C15538" w:rsidRPr="002E60EB">
        <w:rPr>
          <w:rFonts w:cs="Verdana"/>
          <w:lang w:val="en-US"/>
        </w:rPr>
        <w:t>the sums</w:t>
      </w:r>
      <w:r w:rsidR="00E15BBF" w:rsidRPr="002E60EB">
        <w:rPr>
          <w:rFonts w:cs="Verdana"/>
          <w:lang w:val="en-US"/>
        </w:rPr>
        <w:t xml:space="preserve"> ordered in other cases, and maintained that some claims for </w:t>
      </w:r>
      <w:r w:rsidR="00036FC4" w:rsidRPr="002E60EB">
        <w:rPr>
          <w:rFonts w:cs="Verdana"/>
          <w:lang w:val="en-US"/>
        </w:rPr>
        <w:t xml:space="preserve">compensation had no causal </w:t>
      </w:r>
      <w:r w:rsidR="00AE5BA1" w:rsidRPr="002E60EB">
        <w:rPr>
          <w:rFonts w:cs="Verdana"/>
          <w:lang w:val="en-US"/>
        </w:rPr>
        <w:t>nexus</w:t>
      </w:r>
      <w:r w:rsidR="00036FC4" w:rsidRPr="002E60EB">
        <w:rPr>
          <w:rFonts w:cs="Verdana"/>
          <w:lang w:val="en-US"/>
        </w:rPr>
        <w:t xml:space="preserve"> </w:t>
      </w:r>
      <w:r w:rsidR="00E15BBF" w:rsidRPr="002E60EB">
        <w:rPr>
          <w:rFonts w:cs="Verdana"/>
          <w:lang w:val="en-US"/>
        </w:rPr>
        <w:t xml:space="preserve">or supporting evidence. </w:t>
      </w:r>
    </w:p>
    <w:p w:rsidR="00E15BBF" w:rsidRPr="002E60EB" w:rsidRDefault="00E15BBF" w:rsidP="00317748">
      <w:pPr>
        <w:tabs>
          <w:tab w:val="left" w:pos="720"/>
        </w:tabs>
        <w:jc w:val="both"/>
        <w:rPr>
          <w:lang w:val="en-US"/>
        </w:rPr>
      </w:pPr>
    </w:p>
    <w:p w:rsidR="00E15BBF" w:rsidRPr="002E60EB" w:rsidRDefault="003D6271" w:rsidP="00317748">
      <w:pPr>
        <w:numPr>
          <w:ilvl w:val="0"/>
          <w:numId w:val="1"/>
        </w:numPr>
        <w:tabs>
          <w:tab w:val="left" w:pos="720"/>
        </w:tabs>
        <w:jc w:val="both"/>
        <w:rPr>
          <w:lang w:val="en-US"/>
        </w:rPr>
      </w:pPr>
      <w:r w:rsidRPr="002E60EB">
        <w:rPr>
          <w:rFonts w:cs="Verdana"/>
          <w:lang w:val="en-US"/>
        </w:rPr>
        <w:t>The</w:t>
      </w:r>
      <w:r w:rsidR="00E15BBF" w:rsidRPr="002E60EB">
        <w:rPr>
          <w:rFonts w:cs="Verdana"/>
          <w:lang w:val="en-US"/>
        </w:rPr>
        <w:t xml:space="preserve"> Court </w:t>
      </w:r>
      <w:r w:rsidRPr="002E60EB">
        <w:rPr>
          <w:rFonts w:cs="Verdana"/>
          <w:lang w:val="en-US"/>
        </w:rPr>
        <w:t xml:space="preserve">underscores </w:t>
      </w:r>
      <w:r w:rsidR="00E15BBF" w:rsidRPr="002E60EB">
        <w:rPr>
          <w:rFonts w:cs="Verdana"/>
          <w:lang w:val="en-US"/>
        </w:rPr>
        <w:t>that</w:t>
      </w:r>
      <w:r w:rsidRPr="002E60EB">
        <w:rPr>
          <w:rFonts w:cs="Verdana"/>
          <w:lang w:val="en-US"/>
        </w:rPr>
        <w:t>,</w:t>
      </w:r>
      <w:r w:rsidR="00E15BBF" w:rsidRPr="002E60EB">
        <w:rPr>
          <w:rFonts w:cs="Verdana"/>
          <w:lang w:val="en-US"/>
        </w:rPr>
        <w:t xml:space="preserve"> during the public hearing before this Court, the State addressed the victims to apolog</w:t>
      </w:r>
      <w:r w:rsidRPr="002E60EB">
        <w:rPr>
          <w:rFonts w:cs="Verdana"/>
          <w:lang w:val="en-US"/>
        </w:rPr>
        <w:t>ize</w:t>
      </w:r>
      <w:r w:rsidR="00E15BBF" w:rsidRPr="002E60EB">
        <w:rPr>
          <w:rFonts w:cs="Verdana"/>
          <w:lang w:val="en-US"/>
        </w:rPr>
        <w:t xml:space="preserve">, </w:t>
      </w:r>
      <w:r w:rsidRPr="002E60EB">
        <w:rPr>
          <w:rFonts w:cs="Verdana"/>
          <w:lang w:val="en-US"/>
        </w:rPr>
        <w:t>as follows</w:t>
      </w:r>
      <w:r w:rsidR="00E15BBF" w:rsidRPr="002E60EB">
        <w:rPr>
          <w:rFonts w:cs="Verdana"/>
          <w:lang w:val="en-US"/>
        </w:rPr>
        <w:t>:</w:t>
      </w:r>
    </w:p>
    <w:p w:rsidR="00E15BBF" w:rsidRPr="002E60EB" w:rsidRDefault="00E15BBF" w:rsidP="00317748">
      <w:pPr>
        <w:contextualSpacing/>
        <w:jc w:val="both"/>
        <w:rPr>
          <w:lang w:val="en-US"/>
        </w:rPr>
      </w:pPr>
    </w:p>
    <w:p w:rsidR="00E15BBF" w:rsidRPr="002E60EB" w:rsidRDefault="00C15538" w:rsidP="00317748">
      <w:pPr>
        <w:ind w:left="720" w:right="360"/>
        <w:contextualSpacing/>
        <w:jc w:val="both"/>
        <w:rPr>
          <w:sz w:val="16"/>
          <w:szCs w:val="16"/>
          <w:lang w:val="en-US"/>
        </w:rPr>
      </w:pPr>
      <w:r w:rsidRPr="002E60EB">
        <w:rPr>
          <w:sz w:val="16"/>
          <w:szCs w:val="16"/>
          <w:lang w:val="en-US"/>
        </w:rPr>
        <w:t>[T</w:t>
      </w:r>
      <w:r w:rsidR="00E15BBF" w:rsidRPr="002E60EB">
        <w:rPr>
          <w:sz w:val="16"/>
          <w:szCs w:val="16"/>
          <w:lang w:val="en-US"/>
        </w:rPr>
        <w:t xml:space="preserve">he State] would also like to address [the victims] to apologize for the events that occurred and </w:t>
      </w:r>
      <w:r w:rsidR="003D6271" w:rsidRPr="002E60EB">
        <w:rPr>
          <w:sz w:val="16"/>
          <w:szCs w:val="16"/>
          <w:lang w:val="en-US"/>
        </w:rPr>
        <w:t xml:space="preserve">to </w:t>
      </w:r>
      <w:r w:rsidR="00E15BBF" w:rsidRPr="002E60EB">
        <w:rPr>
          <w:sz w:val="16"/>
          <w:szCs w:val="16"/>
          <w:lang w:val="en-US"/>
        </w:rPr>
        <w:t>reiterate its willingness to remedy these incidents that should n</w:t>
      </w:r>
      <w:r w:rsidR="003D6271" w:rsidRPr="002E60EB">
        <w:rPr>
          <w:sz w:val="16"/>
          <w:szCs w:val="16"/>
          <w:lang w:val="en-US"/>
        </w:rPr>
        <w:t>ever</w:t>
      </w:r>
      <w:r w:rsidR="00E15BBF" w:rsidRPr="002E60EB">
        <w:rPr>
          <w:sz w:val="16"/>
          <w:szCs w:val="16"/>
          <w:lang w:val="en-US"/>
        </w:rPr>
        <w:t xml:space="preserve"> have taken place. Mr. Vélez, the State regrets having violated your right </w:t>
      </w:r>
      <w:r w:rsidRPr="002E60EB">
        <w:rPr>
          <w:sz w:val="16"/>
          <w:szCs w:val="16"/>
          <w:lang w:val="en-US"/>
        </w:rPr>
        <w:t xml:space="preserve">to </w:t>
      </w:r>
      <w:r w:rsidR="00E15BBF" w:rsidRPr="002E60EB">
        <w:rPr>
          <w:sz w:val="16"/>
          <w:szCs w:val="16"/>
          <w:lang w:val="en-US"/>
        </w:rPr>
        <w:t xml:space="preserve">personal integrity </w:t>
      </w:r>
      <w:r w:rsidR="003D6271" w:rsidRPr="002E60EB">
        <w:rPr>
          <w:sz w:val="16"/>
          <w:szCs w:val="16"/>
          <w:lang w:val="en-US"/>
        </w:rPr>
        <w:t>owing</w:t>
      </w:r>
      <w:r w:rsidR="00E15BBF" w:rsidRPr="002E60EB">
        <w:rPr>
          <w:sz w:val="16"/>
          <w:szCs w:val="16"/>
          <w:lang w:val="en-US"/>
        </w:rPr>
        <w:t xml:space="preserve"> to the </w:t>
      </w:r>
      <w:r w:rsidR="003D6271" w:rsidRPr="002E60EB">
        <w:rPr>
          <w:sz w:val="16"/>
          <w:szCs w:val="16"/>
          <w:lang w:val="en-US"/>
        </w:rPr>
        <w:t xml:space="preserve">attack </w:t>
      </w:r>
      <w:r w:rsidR="00E15BBF" w:rsidRPr="002E60EB">
        <w:rPr>
          <w:sz w:val="16"/>
          <w:szCs w:val="16"/>
          <w:lang w:val="en-US"/>
        </w:rPr>
        <w:t xml:space="preserve">you suffered as a result of the acts of </w:t>
      </w:r>
      <w:r w:rsidR="003D6271" w:rsidRPr="002E60EB">
        <w:rPr>
          <w:sz w:val="16"/>
          <w:szCs w:val="16"/>
          <w:lang w:val="en-US"/>
        </w:rPr>
        <w:t xml:space="preserve">some </w:t>
      </w:r>
      <w:r w:rsidR="00E15BBF" w:rsidRPr="002E60EB">
        <w:rPr>
          <w:sz w:val="16"/>
          <w:szCs w:val="16"/>
          <w:lang w:val="en-US"/>
        </w:rPr>
        <w:t xml:space="preserve">members of the National Army when you refused to </w:t>
      </w:r>
      <w:r w:rsidR="003D6271" w:rsidRPr="002E60EB">
        <w:rPr>
          <w:sz w:val="16"/>
          <w:szCs w:val="16"/>
          <w:lang w:val="en-US"/>
        </w:rPr>
        <w:t xml:space="preserve">hand </w:t>
      </w:r>
      <w:r w:rsidR="00E15BBF" w:rsidRPr="002E60EB">
        <w:rPr>
          <w:sz w:val="16"/>
          <w:szCs w:val="16"/>
          <w:lang w:val="en-US"/>
        </w:rPr>
        <w:t xml:space="preserve">over your video camera to </w:t>
      </w:r>
      <w:r w:rsidR="003D6271" w:rsidRPr="002E60EB">
        <w:rPr>
          <w:sz w:val="16"/>
          <w:szCs w:val="16"/>
          <w:lang w:val="en-US"/>
        </w:rPr>
        <w:t>them</w:t>
      </w:r>
      <w:r w:rsidR="00E15BBF" w:rsidRPr="002E60EB">
        <w:rPr>
          <w:sz w:val="16"/>
          <w:szCs w:val="16"/>
          <w:lang w:val="en-US"/>
        </w:rPr>
        <w:t xml:space="preserve"> on August 29, 1996.</w:t>
      </w:r>
      <w:r w:rsidR="003D6271" w:rsidRPr="002E60EB">
        <w:rPr>
          <w:sz w:val="16"/>
          <w:szCs w:val="16"/>
          <w:lang w:val="en-US"/>
        </w:rPr>
        <w:t xml:space="preserve"> It regrets </w:t>
      </w:r>
      <w:r w:rsidR="00E15BBF" w:rsidRPr="002E60EB">
        <w:rPr>
          <w:sz w:val="16"/>
          <w:szCs w:val="16"/>
          <w:lang w:val="en-US"/>
        </w:rPr>
        <w:t xml:space="preserve">having violated </w:t>
      </w:r>
      <w:r w:rsidR="003D6271" w:rsidRPr="002E60EB">
        <w:rPr>
          <w:sz w:val="16"/>
          <w:szCs w:val="16"/>
          <w:lang w:val="en-US"/>
        </w:rPr>
        <w:t xml:space="preserve">the </w:t>
      </w:r>
      <w:r w:rsidR="00E15BBF" w:rsidRPr="002E60EB">
        <w:rPr>
          <w:sz w:val="16"/>
          <w:szCs w:val="16"/>
          <w:lang w:val="en-US"/>
        </w:rPr>
        <w:t xml:space="preserve">individual </w:t>
      </w:r>
      <w:r w:rsidR="003D6271" w:rsidRPr="002E60EB">
        <w:rPr>
          <w:sz w:val="16"/>
          <w:szCs w:val="16"/>
          <w:lang w:val="en-US"/>
        </w:rPr>
        <w:t xml:space="preserve">dimension of your </w:t>
      </w:r>
      <w:r w:rsidR="00E15BBF" w:rsidRPr="002E60EB">
        <w:rPr>
          <w:sz w:val="16"/>
          <w:szCs w:val="16"/>
          <w:lang w:val="en-US"/>
        </w:rPr>
        <w:t>right to freedom of expression by prevent</w:t>
      </w:r>
      <w:r w:rsidRPr="002E60EB">
        <w:rPr>
          <w:sz w:val="16"/>
          <w:szCs w:val="16"/>
          <w:lang w:val="en-US"/>
        </w:rPr>
        <w:t>ing</w:t>
      </w:r>
      <w:r w:rsidR="00E15BBF" w:rsidRPr="002E60EB">
        <w:rPr>
          <w:sz w:val="16"/>
          <w:szCs w:val="16"/>
          <w:lang w:val="en-US"/>
        </w:rPr>
        <w:t xml:space="preserve"> you from exercising your right to</w:t>
      </w:r>
      <w:r w:rsidR="003D6271" w:rsidRPr="002E60EB">
        <w:rPr>
          <w:sz w:val="16"/>
          <w:szCs w:val="16"/>
          <w:lang w:val="en-US"/>
        </w:rPr>
        <w:t xml:space="preserve"> seek</w:t>
      </w:r>
      <w:r w:rsidR="00E15BBF" w:rsidRPr="002E60EB">
        <w:rPr>
          <w:sz w:val="16"/>
          <w:szCs w:val="16"/>
          <w:lang w:val="en-US"/>
        </w:rPr>
        <w:t xml:space="preserve"> information </w:t>
      </w:r>
      <w:r w:rsidR="003D6271" w:rsidRPr="002E60EB">
        <w:rPr>
          <w:sz w:val="16"/>
          <w:szCs w:val="16"/>
          <w:lang w:val="en-US"/>
        </w:rPr>
        <w:t>owing to the attack</w:t>
      </w:r>
      <w:r w:rsidR="00E15BBF" w:rsidRPr="002E60EB">
        <w:rPr>
          <w:sz w:val="16"/>
          <w:szCs w:val="16"/>
          <w:lang w:val="en-US"/>
        </w:rPr>
        <w:t xml:space="preserve"> suffered on August 29, 1996. Mr. Vélez, Mrs. Román, and, through you, Juliana and Mateo, the State regrets </w:t>
      </w:r>
      <w:r w:rsidRPr="002E60EB">
        <w:rPr>
          <w:sz w:val="16"/>
          <w:szCs w:val="16"/>
          <w:lang w:val="en-US"/>
        </w:rPr>
        <w:t>having violated your rights to</w:t>
      </w:r>
      <w:r w:rsidR="00E15BBF" w:rsidRPr="002E60EB">
        <w:rPr>
          <w:sz w:val="16"/>
          <w:szCs w:val="16"/>
          <w:lang w:val="en-US"/>
        </w:rPr>
        <w:t xml:space="preserve"> </w:t>
      </w:r>
      <w:r w:rsidR="003D6271" w:rsidRPr="002E60EB">
        <w:rPr>
          <w:sz w:val="16"/>
          <w:szCs w:val="16"/>
          <w:lang w:val="en-US"/>
        </w:rPr>
        <w:t>judicial guarantees and</w:t>
      </w:r>
      <w:r w:rsidR="00E15BBF" w:rsidRPr="002E60EB">
        <w:rPr>
          <w:sz w:val="16"/>
          <w:szCs w:val="16"/>
          <w:lang w:val="en-US"/>
        </w:rPr>
        <w:t xml:space="preserve"> judicial </w:t>
      </w:r>
      <w:r w:rsidR="003D6271" w:rsidRPr="002E60EB">
        <w:rPr>
          <w:sz w:val="16"/>
          <w:szCs w:val="16"/>
          <w:lang w:val="en-US"/>
        </w:rPr>
        <w:t>protection.</w:t>
      </w:r>
      <w:r w:rsidR="00E15BBF" w:rsidRPr="002E60EB">
        <w:rPr>
          <w:sz w:val="16"/>
          <w:szCs w:val="16"/>
          <w:lang w:val="en-US"/>
        </w:rPr>
        <w:t xml:space="preserve"> The State acknowledges</w:t>
      </w:r>
      <w:r w:rsidR="00680790" w:rsidRPr="002E60EB">
        <w:rPr>
          <w:sz w:val="16"/>
          <w:szCs w:val="16"/>
          <w:lang w:val="en-US"/>
        </w:rPr>
        <w:t xml:space="preserve"> as unjustifiable</w:t>
      </w:r>
      <w:r w:rsidR="00E15BBF" w:rsidRPr="002E60EB">
        <w:rPr>
          <w:sz w:val="16"/>
          <w:szCs w:val="16"/>
          <w:lang w:val="en-US"/>
        </w:rPr>
        <w:t xml:space="preserve"> </w:t>
      </w:r>
      <w:r w:rsidR="00680790" w:rsidRPr="002E60EB">
        <w:rPr>
          <w:sz w:val="16"/>
          <w:szCs w:val="16"/>
          <w:lang w:val="en-US"/>
        </w:rPr>
        <w:t>that</w:t>
      </w:r>
      <w:r w:rsidR="00E15BBF" w:rsidRPr="002E60EB">
        <w:rPr>
          <w:sz w:val="16"/>
          <w:szCs w:val="16"/>
          <w:lang w:val="en-US"/>
        </w:rPr>
        <w:t xml:space="preserve"> a diligent investigation</w:t>
      </w:r>
      <w:r w:rsidR="00680790" w:rsidRPr="002E60EB">
        <w:rPr>
          <w:sz w:val="16"/>
          <w:szCs w:val="16"/>
          <w:lang w:val="en-US"/>
        </w:rPr>
        <w:t xml:space="preserve"> was not conducted</w:t>
      </w:r>
      <w:r w:rsidR="00E15BBF" w:rsidRPr="002E60EB">
        <w:rPr>
          <w:sz w:val="16"/>
          <w:szCs w:val="16"/>
          <w:lang w:val="en-US"/>
        </w:rPr>
        <w:t xml:space="preserve"> </w:t>
      </w:r>
      <w:r w:rsidR="003D6271" w:rsidRPr="002E60EB">
        <w:rPr>
          <w:sz w:val="16"/>
          <w:szCs w:val="16"/>
          <w:lang w:val="en-US"/>
        </w:rPr>
        <w:t xml:space="preserve">that would have allowed </w:t>
      </w:r>
      <w:r w:rsidR="00E15BBF" w:rsidRPr="002E60EB">
        <w:rPr>
          <w:sz w:val="16"/>
          <w:szCs w:val="16"/>
          <w:lang w:val="en-US"/>
        </w:rPr>
        <w:t>the perpetrators of the attack suffered on August 29, 1996</w:t>
      </w:r>
      <w:r w:rsidR="003D6271" w:rsidRPr="002E60EB">
        <w:rPr>
          <w:sz w:val="16"/>
          <w:szCs w:val="16"/>
          <w:lang w:val="en-US"/>
        </w:rPr>
        <w:t>, to be determined and criminally punished</w:t>
      </w:r>
      <w:r w:rsidR="00680790" w:rsidRPr="002E60EB">
        <w:rPr>
          <w:sz w:val="16"/>
          <w:szCs w:val="16"/>
          <w:lang w:val="en-US"/>
        </w:rPr>
        <w:t>;</w:t>
      </w:r>
      <w:r w:rsidR="00E15BBF" w:rsidRPr="002E60EB">
        <w:rPr>
          <w:sz w:val="16"/>
          <w:szCs w:val="16"/>
          <w:lang w:val="en-US"/>
        </w:rPr>
        <w:t xml:space="preserve"> </w:t>
      </w:r>
      <w:r w:rsidR="00680790" w:rsidRPr="002E60EB">
        <w:rPr>
          <w:sz w:val="16"/>
          <w:szCs w:val="16"/>
          <w:lang w:val="en-US"/>
        </w:rPr>
        <w:t>t</w:t>
      </w:r>
      <w:r w:rsidR="00E15BBF" w:rsidRPr="002E60EB">
        <w:rPr>
          <w:sz w:val="16"/>
          <w:szCs w:val="16"/>
          <w:lang w:val="en-US"/>
        </w:rPr>
        <w:t xml:space="preserve">hat </w:t>
      </w:r>
      <w:r w:rsidR="00680790" w:rsidRPr="002E60EB">
        <w:rPr>
          <w:sz w:val="16"/>
          <w:szCs w:val="16"/>
          <w:lang w:val="en-US"/>
        </w:rPr>
        <w:t xml:space="preserve">a diligent investigation was not conducted that would have allowed </w:t>
      </w:r>
      <w:r w:rsidRPr="002E60EB">
        <w:rPr>
          <w:sz w:val="16"/>
          <w:szCs w:val="16"/>
          <w:lang w:val="en-US"/>
        </w:rPr>
        <w:t xml:space="preserve">the </w:t>
      </w:r>
      <w:r w:rsidR="00680790" w:rsidRPr="002E60EB">
        <w:rPr>
          <w:sz w:val="16"/>
          <w:szCs w:val="16"/>
          <w:lang w:val="en-US"/>
        </w:rPr>
        <w:t xml:space="preserve">presumed authors of the threats that occurred to be determined and eventually criminally punished, and that there </w:t>
      </w:r>
      <w:r w:rsidRPr="002E60EB">
        <w:rPr>
          <w:sz w:val="16"/>
          <w:szCs w:val="16"/>
          <w:lang w:val="en-US"/>
        </w:rPr>
        <w:t>has been a violation of</w:t>
      </w:r>
      <w:r w:rsidR="00680790" w:rsidRPr="002E60EB">
        <w:rPr>
          <w:sz w:val="16"/>
          <w:szCs w:val="16"/>
          <w:lang w:val="en-US"/>
        </w:rPr>
        <w:t xml:space="preserve"> </w:t>
      </w:r>
      <w:r w:rsidR="00E15BBF" w:rsidRPr="002E60EB">
        <w:rPr>
          <w:sz w:val="16"/>
          <w:szCs w:val="16"/>
          <w:lang w:val="en-US"/>
        </w:rPr>
        <w:t>reasonable time</w:t>
      </w:r>
      <w:r w:rsidR="00680790" w:rsidRPr="002E60EB">
        <w:rPr>
          <w:sz w:val="16"/>
          <w:szCs w:val="16"/>
          <w:lang w:val="en-US"/>
        </w:rPr>
        <w:t xml:space="preserve"> in the investigation underway for </w:t>
      </w:r>
      <w:r w:rsidR="00E15BBF" w:rsidRPr="002E60EB">
        <w:rPr>
          <w:sz w:val="16"/>
          <w:szCs w:val="16"/>
          <w:lang w:val="en-US"/>
        </w:rPr>
        <w:t xml:space="preserve">the </w:t>
      </w:r>
      <w:r w:rsidR="00680790" w:rsidRPr="002E60EB">
        <w:rPr>
          <w:sz w:val="16"/>
          <w:szCs w:val="16"/>
          <w:lang w:val="en-US"/>
        </w:rPr>
        <w:t xml:space="preserve">presumed </w:t>
      </w:r>
      <w:r w:rsidR="00E15BBF" w:rsidRPr="002E60EB">
        <w:rPr>
          <w:sz w:val="16"/>
          <w:szCs w:val="16"/>
          <w:lang w:val="en-US"/>
        </w:rPr>
        <w:t xml:space="preserve">attempted </w:t>
      </w:r>
      <w:r w:rsidR="00334C3C" w:rsidRPr="002E60EB">
        <w:rPr>
          <w:sz w:val="16"/>
          <w:szCs w:val="16"/>
          <w:lang w:val="en-US"/>
        </w:rPr>
        <w:t>kidnapping</w:t>
      </w:r>
      <w:r w:rsidR="00E15BBF" w:rsidRPr="002E60EB">
        <w:rPr>
          <w:sz w:val="16"/>
          <w:szCs w:val="16"/>
          <w:lang w:val="en-US"/>
        </w:rPr>
        <w:t xml:space="preserve"> </w:t>
      </w:r>
      <w:r w:rsidR="00680790" w:rsidRPr="002E60EB">
        <w:rPr>
          <w:sz w:val="16"/>
          <w:szCs w:val="16"/>
          <w:lang w:val="en-US"/>
        </w:rPr>
        <w:t>of</w:t>
      </w:r>
      <w:r w:rsidR="00E15BBF" w:rsidRPr="002E60EB">
        <w:rPr>
          <w:sz w:val="16"/>
          <w:szCs w:val="16"/>
          <w:lang w:val="en-US"/>
        </w:rPr>
        <w:t xml:space="preserve"> October 1997. </w:t>
      </w:r>
    </w:p>
    <w:p w:rsidR="00E15BBF" w:rsidRPr="002E60EB" w:rsidRDefault="00E15BBF" w:rsidP="00317748">
      <w:pPr>
        <w:contextualSpacing/>
        <w:jc w:val="both"/>
        <w:rPr>
          <w:lang w:val="en-US"/>
        </w:rPr>
      </w:pPr>
    </w:p>
    <w:p w:rsidR="00E15BBF" w:rsidRPr="002E60EB" w:rsidRDefault="00E15BBF" w:rsidP="00317748">
      <w:pPr>
        <w:numPr>
          <w:ilvl w:val="0"/>
          <w:numId w:val="1"/>
        </w:numPr>
        <w:tabs>
          <w:tab w:val="left" w:pos="720"/>
        </w:tabs>
        <w:jc w:val="both"/>
        <w:rPr>
          <w:rFonts w:cs="Verdana"/>
          <w:lang w:val="en-US"/>
        </w:rPr>
      </w:pPr>
      <w:r w:rsidRPr="002E60EB">
        <w:rPr>
          <w:rFonts w:eastAsia="Calibri" w:cs="Arial"/>
          <w:lang w:val="en-US"/>
        </w:rPr>
        <w:t xml:space="preserve">The Commission </w:t>
      </w:r>
      <w:r w:rsidR="00680790" w:rsidRPr="002E60EB">
        <w:rPr>
          <w:rFonts w:eastAsia="Calibri" w:cs="Arial"/>
          <w:lang w:val="en-US"/>
        </w:rPr>
        <w:t xml:space="preserve">indicated </w:t>
      </w:r>
      <w:r w:rsidRPr="002E60EB">
        <w:rPr>
          <w:rFonts w:eastAsia="Calibri" w:cs="Arial"/>
          <w:lang w:val="en-US"/>
        </w:rPr>
        <w:t xml:space="preserve">that </w:t>
      </w:r>
      <w:r w:rsidR="00087093" w:rsidRPr="002E60EB">
        <w:rPr>
          <w:rFonts w:eastAsia="Calibri" w:cs="Arial"/>
          <w:lang w:val="en-US"/>
        </w:rPr>
        <w:t>“</w:t>
      </w:r>
      <w:r w:rsidRPr="002E60EB">
        <w:rPr>
          <w:rFonts w:eastAsia="Calibri" w:cs="Arial"/>
          <w:lang w:val="en-US"/>
        </w:rPr>
        <w:t xml:space="preserve">it </w:t>
      </w:r>
      <w:r w:rsidR="00680790" w:rsidRPr="002E60EB">
        <w:rPr>
          <w:rFonts w:eastAsia="Calibri" w:cs="Arial"/>
          <w:lang w:val="en-US"/>
        </w:rPr>
        <w:t xml:space="preserve">assessed positively </w:t>
      </w:r>
      <w:r w:rsidRPr="002E60EB">
        <w:rPr>
          <w:rFonts w:eastAsia="Calibri" w:cs="Arial"/>
          <w:lang w:val="en-US"/>
        </w:rPr>
        <w:t xml:space="preserve">the State of Colombia’s partial acknowledgment of responsibility and considers that </w:t>
      </w:r>
      <w:r w:rsidR="00680790" w:rsidRPr="002E60EB">
        <w:rPr>
          <w:rFonts w:eastAsia="Calibri" w:cs="Arial"/>
          <w:lang w:val="en-US"/>
        </w:rPr>
        <w:t>it makes a</w:t>
      </w:r>
      <w:r w:rsidRPr="002E60EB">
        <w:rPr>
          <w:rFonts w:eastAsia="Calibri" w:cs="Arial"/>
          <w:lang w:val="en-US"/>
        </w:rPr>
        <w:t xml:space="preserve"> positive contribution to th</w:t>
      </w:r>
      <w:r w:rsidR="00680790" w:rsidRPr="002E60EB">
        <w:rPr>
          <w:rFonts w:eastAsia="Calibri" w:cs="Arial"/>
          <w:lang w:val="en-US"/>
        </w:rPr>
        <w:t>ese</w:t>
      </w:r>
      <w:r w:rsidRPr="002E60EB">
        <w:rPr>
          <w:rFonts w:eastAsia="Calibri" w:cs="Arial"/>
          <w:lang w:val="en-US"/>
        </w:rPr>
        <w:t xml:space="preserve"> Inter-American proceeding</w:t>
      </w:r>
      <w:r w:rsidR="00680790" w:rsidRPr="002E60EB">
        <w:rPr>
          <w:rFonts w:eastAsia="Calibri" w:cs="Arial"/>
          <w:lang w:val="en-US"/>
        </w:rPr>
        <w:t>s</w:t>
      </w:r>
      <w:r w:rsidRPr="002E60EB">
        <w:rPr>
          <w:rFonts w:eastAsia="Calibri" w:cs="Arial"/>
          <w:lang w:val="en-US"/>
        </w:rPr>
        <w:t xml:space="preserve"> and, in general, to the </w:t>
      </w:r>
      <w:r w:rsidR="00680790" w:rsidRPr="002E60EB">
        <w:rPr>
          <w:rFonts w:eastAsia="Calibri" w:cs="Arial"/>
          <w:lang w:val="en-US"/>
        </w:rPr>
        <w:t xml:space="preserve">exercise </w:t>
      </w:r>
      <w:r w:rsidRPr="002E60EB">
        <w:rPr>
          <w:rFonts w:eastAsia="Calibri" w:cs="Arial"/>
          <w:lang w:val="en-US"/>
        </w:rPr>
        <w:t>of human rights.</w:t>
      </w:r>
      <w:r w:rsidR="00087093" w:rsidRPr="002E60EB">
        <w:rPr>
          <w:rFonts w:eastAsia="Calibri" w:cs="Arial"/>
          <w:lang w:val="en-US"/>
        </w:rPr>
        <w:t>”</w:t>
      </w:r>
      <w:r w:rsidRPr="002E60EB">
        <w:rPr>
          <w:rFonts w:eastAsia="Calibri" w:cs="Arial"/>
          <w:lang w:val="en-US"/>
        </w:rPr>
        <w:t xml:space="preserve"> </w:t>
      </w:r>
      <w:r w:rsidR="00680790" w:rsidRPr="002E60EB">
        <w:rPr>
          <w:rFonts w:eastAsia="Calibri" w:cs="Arial"/>
          <w:lang w:val="en-US"/>
        </w:rPr>
        <w:t>T</w:t>
      </w:r>
      <w:r w:rsidRPr="002E60EB">
        <w:rPr>
          <w:rFonts w:eastAsia="Calibri" w:cs="Arial"/>
          <w:lang w:val="en-US"/>
        </w:rPr>
        <w:t xml:space="preserve">he Commission </w:t>
      </w:r>
      <w:r w:rsidR="00680790" w:rsidRPr="002E60EB">
        <w:rPr>
          <w:rFonts w:eastAsia="Calibri" w:cs="Arial"/>
          <w:lang w:val="en-US"/>
        </w:rPr>
        <w:t>considered</w:t>
      </w:r>
      <w:r w:rsidRPr="002E60EB">
        <w:rPr>
          <w:rFonts w:eastAsia="Calibri" w:cs="Arial"/>
          <w:lang w:val="en-US"/>
        </w:rPr>
        <w:t xml:space="preserve"> that</w:t>
      </w:r>
      <w:r w:rsidR="00680790" w:rsidRPr="002E60EB">
        <w:rPr>
          <w:rFonts w:eastAsia="Calibri" w:cs="Arial"/>
          <w:lang w:val="en-US"/>
        </w:rPr>
        <w:t>, regarding the facts,</w:t>
      </w:r>
      <w:r w:rsidRPr="002E60EB">
        <w:rPr>
          <w:rFonts w:eastAsia="Calibri" w:cs="Arial"/>
          <w:lang w:val="en-US"/>
        </w:rPr>
        <w:t xml:space="preserve"> </w:t>
      </w:r>
      <w:r w:rsidR="00680790" w:rsidRPr="002E60EB">
        <w:rPr>
          <w:rFonts w:eastAsia="Calibri" w:cs="Arial"/>
          <w:lang w:val="en-US"/>
        </w:rPr>
        <w:t>this</w:t>
      </w:r>
      <w:r w:rsidRPr="002E60EB">
        <w:rPr>
          <w:rFonts w:eastAsia="Calibri" w:cs="Arial"/>
          <w:lang w:val="en-US"/>
        </w:rPr>
        <w:t xml:space="preserve"> acknowledgment </w:t>
      </w:r>
      <w:r w:rsidR="00087093" w:rsidRPr="002E60EB">
        <w:rPr>
          <w:rFonts w:eastAsia="Calibri" w:cs="Arial"/>
          <w:lang w:val="en-US"/>
        </w:rPr>
        <w:t>“</w:t>
      </w:r>
      <w:r w:rsidR="00680790" w:rsidRPr="002E60EB">
        <w:rPr>
          <w:rFonts w:eastAsia="Calibri" w:cs="Arial"/>
          <w:lang w:val="en-US"/>
        </w:rPr>
        <w:t xml:space="preserve">is </w:t>
      </w:r>
      <w:r w:rsidRPr="002E60EB">
        <w:rPr>
          <w:rFonts w:eastAsia="Calibri" w:cs="Arial"/>
          <w:lang w:val="en-US"/>
        </w:rPr>
        <w:t>ambiguous on several points,</w:t>
      </w:r>
      <w:r w:rsidR="00087093" w:rsidRPr="002E60EB">
        <w:rPr>
          <w:rFonts w:eastAsia="Calibri" w:cs="Arial"/>
          <w:lang w:val="en-US"/>
        </w:rPr>
        <w:t>”</w:t>
      </w:r>
      <w:r w:rsidRPr="002E60EB">
        <w:rPr>
          <w:rFonts w:eastAsia="Calibri" w:cs="Arial"/>
          <w:lang w:val="en-US"/>
        </w:rPr>
        <w:t xml:space="preserve"> </w:t>
      </w:r>
      <w:r w:rsidR="00680790" w:rsidRPr="002E60EB">
        <w:rPr>
          <w:rFonts w:eastAsia="Calibri" w:cs="Arial"/>
          <w:lang w:val="en-US"/>
        </w:rPr>
        <w:t xml:space="preserve">because </w:t>
      </w:r>
      <w:r w:rsidRPr="002E60EB">
        <w:rPr>
          <w:rFonts w:eastAsia="Calibri" w:cs="Arial"/>
          <w:lang w:val="en-US"/>
        </w:rPr>
        <w:t xml:space="preserve">the State affirms that some facts of the </w:t>
      </w:r>
      <w:r w:rsidR="00680790" w:rsidRPr="002E60EB">
        <w:rPr>
          <w:rFonts w:eastAsia="Calibri" w:cs="Arial"/>
          <w:lang w:val="en-US"/>
        </w:rPr>
        <w:t xml:space="preserve">Merits Report </w:t>
      </w:r>
      <w:r w:rsidRPr="002E60EB">
        <w:rPr>
          <w:rFonts w:eastAsia="Calibri" w:cs="Arial"/>
          <w:lang w:val="en-US"/>
        </w:rPr>
        <w:t xml:space="preserve">are </w:t>
      </w:r>
      <w:r w:rsidR="00087093" w:rsidRPr="002E60EB">
        <w:rPr>
          <w:rFonts w:eastAsia="Calibri" w:cs="Arial"/>
          <w:lang w:val="en-US"/>
        </w:rPr>
        <w:t>“</w:t>
      </w:r>
      <w:r w:rsidRPr="002E60EB">
        <w:rPr>
          <w:rFonts w:eastAsia="Calibri" w:cs="Arial"/>
          <w:lang w:val="en-US"/>
        </w:rPr>
        <w:t>partially true,</w:t>
      </w:r>
      <w:r w:rsidR="00087093" w:rsidRPr="002E60EB">
        <w:rPr>
          <w:rFonts w:eastAsia="Calibri" w:cs="Arial"/>
          <w:lang w:val="en-US"/>
        </w:rPr>
        <w:t>”</w:t>
      </w:r>
      <w:r w:rsidRPr="002E60EB">
        <w:rPr>
          <w:rFonts w:eastAsia="Calibri" w:cs="Arial"/>
          <w:lang w:val="en-US"/>
        </w:rPr>
        <w:t xml:space="preserve"> without specifying </w:t>
      </w:r>
      <w:r w:rsidR="00680790" w:rsidRPr="002E60EB">
        <w:rPr>
          <w:rFonts w:eastAsia="Calibri" w:cs="Arial"/>
          <w:lang w:val="en-US"/>
        </w:rPr>
        <w:t xml:space="preserve">which </w:t>
      </w:r>
      <w:r w:rsidR="002E3C4B" w:rsidRPr="002E60EB">
        <w:rPr>
          <w:rFonts w:eastAsia="Calibri" w:cs="Arial"/>
          <w:lang w:val="en-US"/>
        </w:rPr>
        <w:t>facts</w:t>
      </w:r>
      <w:r w:rsidR="00680790" w:rsidRPr="002E60EB">
        <w:rPr>
          <w:rFonts w:eastAsia="Calibri" w:cs="Arial"/>
          <w:lang w:val="en-US"/>
        </w:rPr>
        <w:t xml:space="preserve"> it accepts as true</w:t>
      </w:r>
      <w:r w:rsidRPr="002E60EB">
        <w:rPr>
          <w:rFonts w:eastAsia="Calibri" w:cs="Arial"/>
          <w:lang w:val="en-US"/>
        </w:rPr>
        <w:t xml:space="preserve"> </w:t>
      </w:r>
      <w:r w:rsidR="00680790" w:rsidRPr="002E60EB">
        <w:rPr>
          <w:rFonts w:eastAsia="Calibri" w:cs="Arial"/>
          <w:lang w:val="en-US"/>
        </w:rPr>
        <w:t>and which it does</w:t>
      </w:r>
      <w:r w:rsidRPr="002E60EB">
        <w:rPr>
          <w:rFonts w:eastAsia="Calibri" w:cs="Arial"/>
          <w:lang w:val="en-US"/>
        </w:rPr>
        <w:t xml:space="preserve"> not. </w:t>
      </w:r>
      <w:r w:rsidR="002E3C4B" w:rsidRPr="002E60EB">
        <w:rPr>
          <w:rFonts w:eastAsia="Calibri" w:cs="Arial"/>
          <w:lang w:val="en-US"/>
        </w:rPr>
        <w:t>The</w:t>
      </w:r>
      <w:r w:rsidRPr="002E60EB">
        <w:rPr>
          <w:rFonts w:eastAsia="Calibri" w:cs="Arial"/>
          <w:lang w:val="en-US"/>
        </w:rPr>
        <w:t xml:space="preserve"> Commission</w:t>
      </w:r>
      <w:r w:rsidR="002E3C4B" w:rsidRPr="002E60EB">
        <w:rPr>
          <w:rFonts w:eastAsia="Calibri" w:cs="Arial"/>
          <w:lang w:val="en-US"/>
        </w:rPr>
        <w:t xml:space="preserve"> also</w:t>
      </w:r>
      <w:r w:rsidRPr="002E60EB">
        <w:rPr>
          <w:rFonts w:eastAsia="Calibri" w:cs="Arial"/>
          <w:lang w:val="en-US"/>
        </w:rPr>
        <w:t xml:space="preserve"> indicated </w:t>
      </w:r>
      <w:r w:rsidR="00C15538" w:rsidRPr="002E60EB">
        <w:rPr>
          <w:rFonts w:eastAsia="Calibri" w:cs="Arial"/>
          <w:lang w:val="en-US"/>
        </w:rPr>
        <w:t>the</w:t>
      </w:r>
      <w:r w:rsidRPr="002E60EB">
        <w:rPr>
          <w:rFonts w:eastAsia="Calibri" w:cs="Arial"/>
          <w:lang w:val="en-US"/>
        </w:rPr>
        <w:t xml:space="preserve"> alleged violations</w:t>
      </w:r>
      <w:r w:rsidR="00C15538" w:rsidRPr="002E60EB">
        <w:rPr>
          <w:rFonts w:eastAsia="Calibri" w:cs="Arial"/>
          <w:lang w:val="en-US"/>
        </w:rPr>
        <w:t xml:space="preserve"> that</w:t>
      </w:r>
      <w:r w:rsidR="002E3C4B" w:rsidRPr="002E60EB">
        <w:rPr>
          <w:rFonts w:eastAsia="Calibri" w:cs="Arial"/>
          <w:lang w:val="en-US"/>
        </w:rPr>
        <w:t xml:space="preserve"> </w:t>
      </w:r>
      <w:r w:rsidRPr="002E60EB">
        <w:rPr>
          <w:rFonts w:eastAsia="Calibri" w:cs="Arial"/>
          <w:lang w:val="en-US"/>
        </w:rPr>
        <w:t>it underst</w:t>
      </w:r>
      <w:r w:rsidR="002E3C4B" w:rsidRPr="002E60EB">
        <w:rPr>
          <w:rFonts w:eastAsia="Calibri" w:cs="Arial"/>
          <w:lang w:val="en-US"/>
        </w:rPr>
        <w:t>ood were</w:t>
      </w:r>
      <w:r w:rsidRPr="002E60EB">
        <w:rPr>
          <w:rFonts w:eastAsia="Calibri" w:cs="Arial"/>
          <w:lang w:val="en-US"/>
        </w:rPr>
        <w:t xml:space="preserve"> acknowledged </w:t>
      </w:r>
      <w:r w:rsidR="002E3C4B" w:rsidRPr="002E60EB">
        <w:rPr>
          <w:rFonts w:eastAsia="Calibri" w:cs="Arial"/>
          <w:lang w:val="en-US"/>
        </w:rPr>
        <w:t xml:space="preserve">by </w:t>
      </w:r>
      <w:r w:rsidRPr="002E60EB">
        <w:rPr>
          <w:rFonts w:eastAsia="Calibri" w:cs="Arial"/>
          <w:lang w:val="en-US"/>
        </w:rPr>
        <w:t xml:space="preserve">the State and </w:t>
      </w:r>
      <w:r w:rsidR="00C15538" w:rsidRPr="002E60EB">
        <w:rPr>
          <w:rFonts w:eastAsia="Calibri" w:cs="Arial"/>
          <w:lang w:val="en-US"/>
        </w:rPr>
        <w:t>those that</w:t>
      </w:r>
      <w:r w:rsidRPr="002E60EB">
        <w:rPr>
          <w:rFonts w:eastAsia="Calibri" w:cs="Arial"/>
          <w:lang w:val="en-US"/>
        </w:rPr>
        <w:t xml:space="preserve"> </w:t>
      </w:r>
      <w:r w:rsidR="002E3C4B" w:rsidRPr="002E60EB">
        <w:rPr>
          <w:rFonts w:eastAsia="Calibri" w:cs="Arial"/>
          <w:lang w:val="en-US"/>
        </w:rPr>
        <w:t>we</w:t>
      </w:r>
      <w:r w:rsidRPr="002E60EB">
        <w:rPr>
          <w:rFonts w:eastAsia="Calibri" w:cs="Arial"/>
          <w:lang w:val="en-US"/>
        </w:rPr>
        <w:t xml:space="preserve">re not </w:t>
      </w:r>
      <w:r w:rsidR="002E3C4B" w:rsidRPr="002E60EB">
        <w:rPr>
          <w:rFonts w:eastAsia="Calibri" w:cs="Arial"/>
          <w:lang w:val="en-US"/>
        </w:rPr>
        <w:t xml:space="preserve">included </w:t>
      </w:r>
      <w:r w:rsidRPr="002E60EB">
        <w:rPr>
          <w:rFonts w:eastAsia="Calibri" w:cs="Arial"/>
          <w:lang w:val="en-US"/>
        </w:rPr>
        <w:t xml:space="preserve">in </w:t>
      </w:r>
      <w:r w:rsidR="002E3C4B" w:rsidRPr="002E60EB">
        <w:rPr>
          <w:rFonts w:eastAsia="Calibri" w:cs="Arial"/>
          <w:lang w:val="en-US"/>
        </w:rPr>
        <w:t>the said</w:t>
      </w:r>
      <w:r w:rsidRPr="002E60EB">
        <w:rPr>
          <w:rFonts w:eastAsia="Calibri" w:cs="Arial"/>
          <w:lang w:val="en-US"/>
        </w:rPr>
        <w:t xml:space="preserve"> acknowledgment. The Commission </w:t>
      </w:r>
      <w:r w:rsidR="002E3C4B" w:rsidRPr="002E60EB">
        <w:rPr>
          <w:rFonts w:eastAsia="Calibri" w:cs="Arial"/>
          <w:lang w:val="en-US"/>
        </w:rPr>
        <w:t xml:space="preserve">asked that </w:t>
      </w:r>
      <w:r w:rsidRPr="002E60EB">
        <w:rPr>
          <w:rFonts w:eastAsia="Calibri" w:cs="Arial"/>
          <w:lang w:val="en-US"/>
        </w:rPr>
        <w:t xml:space="preserve">the Court </w:t>
      </w:r>
      <w:r w:rsidR="00C15538" w:rsidRPr="002E60EB">
        <w:rPr>
          <w:rFonts w:eastAsia="Calibri" w:cs="Arial"/>
          <w:lang w:val="en-US"/>
        </w:rPr>
        <w:t xml:space="preserve">to </w:t>
      </w:r>
      <w:r w:rsidRPr="002E60EB">
        <w:rPr>
          <w:rFonts w:eastAsia="Calibri" w:cs="Arial"/>
          <w:lang w:val="en-US"/>
        </w:rPr>
        <w:t>give legal effect to the</w:t>
      </w:r>
      <w:r w:rsidR="002E3C4B" w:rsidRPr="002E60EB">
        <w:rPr>
          <w:rFonts w:eastAsia="Calibri" w:cs="Arial"/>
          <w:lang w:val="en-US"/>
        </w:rPr>
        <w:t xml:space="preserve"> said</w:t>
      </w:r>
      <w:r w:rsidRPr="002E60EB">
        <w:rPr>
          <w:rFonts w:eastAsia="Calibri" w:cs="Arial"/>
          <w:lang w:val="en-US"/>
        </w:rPr>
        <w:t xml:space="preserve"> acknowledgment</w:t>
      </w:r>
      <w:r w:rsidR="002E3C4B" w:rsidRPr="002E60EB">
        <w:rPr>
          <w:rFonts w:eastAsia="Calibri" w:cs="Arial"/>
          <w:lang w:val="en-US"/>
        </w:rPr>
        <w:t>;</w:t>
      </w:r>
      <w:r w:rsidRPr="002E60EB">
        <w:rPr>
          <w:rFonts w:eastAsia="Calibri" w:cs="Arial"/>
          <w:lang w:val="en-US"/>
        </w:rPr>
        <w:t xml:space="preserve"> </w:t>
      </w:r>
      <w:r w:rsidR="00087093" w:rsidRPr="002E60EB">
        <w:rPr>
          <w:rFonts w:eastAsia="Calibri" w:cs="Arial"/>
          <w:lang w:val="en-US"/>
        </w:rPr>
        <w:t>“</w:t>
      </w:r>
      <w:r w:rsidR="002E3C4B" w:rsidRPr="002E60EB">
        <w:rPr>
          <w:rFonts w:eastAsia="Calibri" w:cs="Arial"/>
          <w:lang w:val="en-US"/>
        </w:rPr>
        <w:t>compile</w:t>
      </w:r>
      <w:r w:rsidRPr="002E60EB">
        <w:rPr>
          <w:rFonts w:eastAsia="Calibri" w:cs="Arial"/>
          <w:lang w:val="en-US"/>
        </w:rPr>
        <w:t xml:space="preserve"> a detailed description of the facts […] and the violations that took place,</w:t>
      </w:r>
      <w:r w:rsidR="00087093" w:rsidRPr="002E60EB">
        <w:rPr>
          <w:rFonts w:eastAsia="Calibri" w:cs="Arial"/>
          <w:lang w:val="en-US"/>
        </w:rPr>
        <w:t>”</w:t>
      </w:r>
      <w:r w:rsidRPr="002E60EB">
        <w:rPr>
          <w:rFonts w:eastAsia="Calibri" w:cs="Arial"/>
          <w:lang w:val="en-US"/>
        </w:rPr>
        <w:t xml:space="preserve"> and </w:t>
      </w:r>
      <w:r w:rsidR="00087093" w:rsidRPr="002E60EB">
        <w:rPr>
          <w:rFonts w:eastAsia="Calibri" w:cs="Arial"/>
          <w:lang w:val="en-US"/>
        </w:rPr>
        <w:t>“</w:t>
      </w:r>
      <w:r w:rsidR="002E3C4B" w:rsidRPr="002E60EB">
        <w:rPr>
          <w:rFonts w:eastAsia="Calibri" w:cs="Arial"/>
          <w:lang w:val="en-US"/>
        </w:rPr>
        <w:t>make</w:t>
      </w:r>
      <w:r w:rsidRPr="002E60EB">
        <w:rPr>
          <w:rFonts w:eastAsia="Calibri" w:cs="Arial"/>
          <w:lang w:val="en-US"/>
        </w:rPr>
        <w:t xml:space="preserve"> a</w:t>
      </w:r>
      <w:r w:rsidR="002E3C4B" w:rsidRPr="002E60EB">
        <w:rPr>
          <w:rFonts w:eastAsia="Calibri" w:cs="Arial"/>
          <w:lang w:val="en-US"/>
        </w:rPr>
        <w:t xml:space="preserve"> comprehensive</w:t>
      </w:r>
      <w:r w:rsidRPr="002E60EB">
        <w:rPr>
          <w:rFonts w:eastAsia="Calibri" w:cs="Arial"/>
          <w:lang w:val="en-US"/>
        </w:rPr>
        <w:t xml:space="preserve"> analysis of the </w:t>
      </w:r>
      <w:r w:rsidR="00C15538" w:rsidRPr="002E60EB">
        <w:rPr>
          <w:rFonts w:eastAsia="Calibri" w:cs="Arial"/>
          <w:lang w:val="en-US"/>
        </w:rPr>
        <w:t>violations that have</w:t>
      </w:r>
      <w:r w:rsidR="002E3C4B" w:rsidRPr="002E60EB">
        <w:rPr>
          <w:rFonts w:eastAsia="Calibri" w:cs="Arial"/>
          <w:lang w:val="en-US"/>
        </w:rPr>
        <w:t xml:space="preserve"> been </w:t>
      </w:r>
      <w:r w:rsidRPr="002E60EB">
        <w:rPr>
          <w:rFonts w:eastAsia="Calibri" w:cs="Arial"/>
          <w:lang w:val="en-US"/>
        </w:rPr>
        <w:t xml:space="preserve">partially accepted and </w:t>
      </w:r>
      <w:r w:rsidR="00C15538" w:rsidRPr="002E60EB">
        <w:rPr>
          <w:rFonts w:eastAsia="Calibri" w:cs="Arial"/>
          <w:lang w:val="en-US"/>
        </w:rPr>
        <w:t>those that a</w:t>
      </w:r>
      <w:r w:rsidR="002E3C4B" w:rsidRPr="002E60EB">
        <w:rPr>
          <w:rFonts w:eastAsia="Calibri" w:cs="Arial"/>
          <w:lang w:val="en-US"/>
        </w:rPr>
        <w:t>re contested.</w:t>
      </w:r>
      <w:r w:rsidR="00087093" w:rsidRPr="002E60EB">
        <w:rPr>
          <w:rFonts w:eastAsia="Calibri" w:cs="Arial"/>
          <w:lang w:val="en-US"/>
        </w:rPr>
        <w:t>”</w:t>
      </w:r>
      <w:r w:rsidRPr="002E60EB">
        <w:rPr>
          <w:rFonts w:eastAsia="Calibri" w:cs="Arial"/>
          <w:lang w:val="en-US"/>
        </w:rPr>
        <w:t xml:space="preserve"> </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b/>
          <w:u w:val="single"/>
          <w:lang w:val="en-US"/>
        </w:rPr>
      </w:pPr>
      <w:r w:rsidRPr="002E60EB">
        <w:rPr>
          <w:rFonts w:cs="Verdana"/>
          <w:lang w:val="en-US"/>
        </w:rPr>
        <w:t xml:space="preserve">In </w:t>
      </w:r>
      <w:r w:rsidR="001D1480" w:rsidRPr="002E60EB">
        <w:rPr>
          <w:rFonts w:cs="Verdana"/>
          <w:lang w:val="en-US"/>
        </w:rPr>
        <w:t>his</w:t>
      </w:r>
      <w:r w:rsidRPr="002E60EB">
        <w:rPr>
          <w:rFonts w:cs="Verdana"/>
          <w:lang w:val="en-US"/>
        </w:rPr>
        <w:t xml:space="preserve"> brief </w:t>
      </w:r>
      <w:r w:rsidR="001D1480" w:rsidRPr="002E60EB">
        <w:rPr>
          <w:rFonts w:cs="Verdana"/>
          <w:lang w:val="en-US"/>
        </w:rPr>
        <w:t>with</w:t>
      </w:r>
      <w:r w:rsidRPr="002E60EB">
        <w:rPr>
          <w:rFonts w:cs="Verdana"/>
          <w:lang w:val="en-US"/>
        </w:rPr>
        <w:t xml:space="preserve"> observations </w:t>
      </w:r>
      <w:r w:rsidR="001D1480" w:rsidRPr="002E60EB">
        <w:rPr>
          <w:rFonts w:cs="Verdana"/>
          <w:lang w:val="en-US"/>
        </w:rPr>
        <w:t>on</w:t>
      </w:r>
      <w:r w:rsidRPr="002E60EB">
        <w:rPr>
          <w:rFonts w:cs="Verdana"/>
          <w:lang w:val="en-US"/>
        </w:rPr>
        <w:t xml:space="preserve"> the State’s partial acknowledgment of responsibility</w:t>
      </w:r>
      <w:r w:rsidR="001D1480" w:rsidRPr="002E60EB">
        <w:rPr>
          <w:rFonts w:cs="Verdana"/>
          <w:lang w:val="en-US"/>
        </w:rPr>
        <w:t xml:space="preserve"> </w:t>
      </w:r>
      <w:r w:rsidRPr="002E60EB">
        <w:rPr>
          <w:rFonts w:cs="Verdana"/>
          <w:lang w:val="en-US"/>
        </w:rPr>
        <w:t>in its answer</w:t>
      </w:r>
      <w:r w:rsidR="001D1480" w:rsidRPr="002E60EB">
        <w:rPr>
          <w:rFonts w:cs="Verdana"/>
          <w:lang w:val="en-US"/>
        </w:rPr>
        <w:t>ing brief</w:t>
      </w:r>
      <w:r w:rsidRPr="002E60EB">
        <w:rPr>
          <w:rFonts w:cs="Verdana"/>
          <w:lang w:val="en-US"/>
        </w:rPr>
        <w:t>, the representative</w:t>
      </w:r>
      <w:r w:rsidR="001D1480" w:rsidRPr="002E60EB">
        <w:rPr>
          <w:rFonts w:cs="Verdana"/>
          <w:lang w:val="en-US"/>
        </w:rPr>
        <w:t xml:space="preserve"> referred to </w:t>
      </w:r>
      <w:r w:rsidRPr="002E60EB">
        <w:rPr>
          <w:rFonts w:cs="Verdana"/>
          <w:lang w:val="en-US"/>
        </w:rPr>
        <w:t xml:space="preserve">alleged violations </w:t>
      </w:r>
      <w:r w:rsidR="001D1480" w:rsidRPr="002E60EB">
        <w:rPr>
          <w:rFonts w:cs="Verdana"/>
          <w:lang w:val="en-US"/>
        </w:rPr>
        <w:t xml:space="preserve">that Colombia had </w:t>
      </w:r>
      <w:r w:rsidRPr="002E60EB">
        <w:rPr>
          <w:rFonts w:cs="Verdana"/>
          <w:lang w:val="en-US"/>
        </w:rPr>
        <w:t xml:space="preserve">not </w:t>
      </w:r>
      <w:r w:rsidR="001D1480" w:rsidRPr="002E60EB">
        <w:rPr>
          <w:rFonts w:cs="Verdana"/>
          <w:lang w:val="en-US"/>
        </w:rPr>
        <w:t>acknowledged</w:t>
      </w:r>
      <w:r w:rsidRPr="002E60EB">
        <w:rPr>
          <w:rFonts w:cs="Verdana"/>
          <w:lang w:val="en-US"/>
        </w:rPr>
        <w:t xml:space="preserve">. </w:t>
      </w:r>
    </w:p>
    <w:p w:rsidR="00E15BBF" w:rsidRPr="002E60EB" w:rsidRDefault="00E15BBF" w:rsidP="002711CF">
      <w:pPr>
        <w:contextualSpacing/>
        <w:jc w:val="both"/>
        <w:rPr>
          <w:b/>
          <w:u w:val="single"/>
          <w:lang w:val="en-US"/>
        </w:rPr>
      </w:pPr>
    </w:p>
    <w:p w:rsidR="00E15BBF" w:rsidRPr="002E60EB" w:rsidRDefault="00E15BBF" w:rsidP="00317748">
      <w:pPr>
        <w:pStyle w:val="MediumGrid1-Accent21"/>
        <w:numPr>
          <w:ilvl w:val="0"/>
          <w:numId w:val="14"/>
        </w:numPr>
        <w:ind w:left="0" w:firstLine="0"/>
        <w:jc w:val="both"/>
        <w:rPr>
          <w:rFonts w:cs="Verdana"/>
          <w:b/>
          <w:i/>
          <w:iCs/>
          <w:lang w:val="en-US"/>
        </w:rPr>
      </w:pPr>
      <w:r w:rsidRPr="002E60EB">
        <w:rPr>
          <w:rFonts w:cs="Verdana"/>
          <w:b/>
          <w:i/>
          <w:iCs/>
          <w:lang w:val="en-US"/>
        </w:rPr>
        <w:t xml:space="preserve">Considerations of the Court </w:t>
      </w:r>
    </w:p>
    <w:p w:rsidR="00E15BBF" w:rsidRPr="002E60EB" w:rsidRDefault="00E15BBF" w:rsidP="002711CF">
      <w:pPr>
        <w:rPr>
          <w:rFonts w:cs="Verdana"/>
          <w:lang w:val="en-US"/>
        </w:rPr>
      </w:pPr>
    </w:p>
    <w:p w:rsidR="00E15BBF" w:rsidRPr="002E60EB" w:rsidRDefault="00E15BBF" w:rsidP="00317748">
      <w:pPr>
        <w:numPr>
          <w:ilvl w:val="0"/>
          <w:numId w:val="1"/>
        </w:numPr>
        <w:tabs>
          <w:tab w:val="left" w:pos="720"/>
          <w:tab w:val="left" w:pos="2610"/>
        </w:tabs>
        <w:jc w:val="both"/>
        <w:rPr>
          <w:rFonts w:cs="Verdana"/>
          <w:lang w:val="en-US"/>
        </w:rPr>
      </w:pPr>
      <w:r w:rsidRPr="002E60EB">
        <w:rPr>
          <w:lang w:val="en-US"/>
        </w:rPr>
        <w:t>Pursuant to Articles 62 and 64 of the Court Rules</w:t>
      </w:r>
      <w:r w:rsidR="00B61A58" w:rsidRPr="002E60EB">
        <w:rPr>
          <w:lang w:val="en-US"/>
        </w:rPr>
        <w:t xml:space="preserve"> of Procedure,</w:t>
      </w:r>
      <w:r w:rsidRPr="002E60EB">
        <w:rPr>
          <w:rStyle w:val="Refdenotaalpie"/>
          <w:rFonts w:cs="Verdana"/>
          <w:lang w:val="en-US"/>
        </w:rPr>
        <w:footnoteReference w:id="13"/>
      </w:r>
      <w:r w:rsidRPr="002E60EB">
        <w:rPr>
          <w:lang w:val="en-US"/>
        </w:rPr>
        <w:t xml:space="preserve"> and in exercise of its</w:t>
      </w:r>
      <w:r w:rsidR="00B61A58" w:rsidRPr="002E60EB">
        <w:rPr>
          <w:lang w:val="en-US"/>
        </w:rPr>
        <w:t xml:space="preserve"> authority for the</w:t>
      </w:r>
      <w:r w:rsidRPr="002E60EB">
        <w:rPr>
          <w:lang w:val="en-US"/>
        </w:rPr>
        <w:t xml:space="preserve"> judicial protection of international human rights, an issue of </w:t>
      </w:r>
      <w:r w:rsidRPr="002E60EB">
        <w:rPr>
          <w:lang w:val="en-US"/>
        </w:rPr>
        <w:lastRenderedPageBreak/>
        <w:t xml:space="preserve">international public </w:t>
      </w:r>
      <w:r w:rsidR="00B61A58" w:rsidRPr="002E60EB">
        <w:rPr>
          <w:lang w:val="en-US"/>
        </w:rPr>
        <w:t xml:space="preserve">order </w:t>
      </w:r>
      <w:r w:rsidRPr="002E60EB">
        <w:rPr>
          <w:lang w:val="en-US"/>
        </w:rPr>
        <w:t xml:space="preserve">that transcends the will of the parties, it is incumbent upon the Court to ensure that the acts of acknowledgment are </w:t>
      </w:r>
      <w:r w:rsidR="00394102" w:rsidRPr="002E60EB">
        <w:rPr>
          <w:lang w:val="en-US"/>
        </w:rPr>
        <w:t>acceptable for the objectives that</w:t>
      </w:r>
      <w:r w:rsidRPr="002E60EB">
        <w:rPr>
          <w:lang w:val="en-US"/>
        </w:rPr>
        <w:t xml:space="preserve"> the </w:t>
      </w:r>
      <w:r w:rsidR="00394102" w:rsidRPr="002E60EB">
        <w:rPr>
          <w:lang w:val="en-US"/>
        </w:rPr>
        <w:t>i</w:t>
      </w:r>
      <w:r w:rsidRPr="002E60EB">
        <w:rPr>
          <w:lang w:val="en-US"/>
        </w:rPr>
        <w:t xml:space="preserve">nter-American system seeks to </w:t>
      </w:r>
      <w:r w:rsidR="00394102" w:rsidRPr="002E60EB">
        <w:rPr>
          <w:lang w:val="en-US"/>
        </w:rPr>
        <w:t>achieve</w:t>
      </w:r>
      <w:r w:rsidRPr="002E60EB">
        <w:rPr>
          <w:lang w:val="en-US"/>
        </w:rPr>
        <w:t xml:space="preserve">. </w:t>
      </w:r>
      <w:r w:rsidR="00394102" w:rsidRPr="002E60EB">
        <w:rPr>
          <w:lang w:val="en-US"/>
        </w:rPr>
        <w:t>In t</w:t>
      </w:r>
      <w:r w:rsidRPr="002E60EB">
        <w:rPr>
          <w:lang w:val="en-US"/>
        </w:rPr>
        <w:t>his task</w:t>
      </w:r>
      <w:r w:rsidR="00394102" w:rsidRPr="002E60EB">
        <w:rPr>
          <w:lang w:val="en-US"/>
        </w:rPr>
        <w:t>, the Court</w:t>
      </w:r>
      <w:r w:rsidRPr="002E60EB">
        <w:rPr>
          <w:lang w:val="en-US"/>
        </w:rPr>
        <w:t xml:space="preserve"> is not limited </w:t>
      </w:r>
      <w:r w:rsidR="00394102" w:rsidRPr="002E60EB">
        <w:rPr>
          <w:lang w:val="en-US"/>
        </w:rPr>
        <w:t xml:space="preserve">merely </w:t>
      </w:r>
      <w:r w:rsidRPr="002E60EB">
        <w:rPr>
          <w:lang w:val="en-US"/>
        </w:rPr>
        <w:t>to observ</w:t>
      </w:r>
      <w:r w:rsidR="00394102" w:rsidRPr="002E60EB">
        <w:rPr>
          <w:lang w:val="en-US"/>
        </w:rPr>
        <w:t>ing</w:t>
      </w:r>
      <w:r w:rsidRPr="002E60EB">
        <w:rPr>
          <w:lang w:val="en-US"/>
        </w:rPr>
        <w:t>, record</w:t>
      </w:r>
      <w:r w:rsidR="00394102" w:rsidRPr="002E60EB">
        <w:rPr>
          <w:lang w:val="en-US"/>
        </w:rPr>
        <w:t>ing</w:t>
      </w:r>
      <w:r w:rsidRPr="002E60EB">
        <w:rPr>
          <w:lang w:val="en-US"/>
        </w:rPr>
        <w:t>, or tak</w:t>
      </w:r>
      <w:r w:rsidR="00394102" w:rsidRPr="002E60EB">
        <w:rPr>
          <w:lang w:val="en-US"/>
        </w:rPr>
        <w:t>ing</w:t>
      </w:r>
      <w:r w:rsidRPr="002E60EB">
        <w:rPr>
          <w:lang w:val="en-US"/>
        </w:rPr>
        <w:t xml:space="preserve"> note of </w:t>
      </w:r>
      <w:r w:rsidR="00394102" w:rsidRPr="002E60EB">
        <w:rPr>
          <w:lang w:val="en-US"/>
        </w:rPr>
        <w:t>the</w:t>
      </w:r>
      <w:r w:rsidRPr="002E60EB">
        <w:rPr>
          <w:lang w:val="en-US"/>
        </w:rPr>
        <w:t xml:space="preserve"> acknowledgment</w:t>
      </w:r>
      <w:r w:rsidR="00394102" w:rsidRPr="002E60EB">
        <w:rPr>
          <w:lang w:val="en-US"/>
        </w:rPr>
        <w:t xml:space="preserve"> made</w:t>
      </w:r>
      <w:r w:rsidRPr="002E60EB">
        <w:rPr>
          <w:lang w:val="en-US"/>
        </w:rPr>
        <w:t xml:space="preserve"> by the State, or to verify</w:t>
      </w:r>
      <w:r w:rsidR="00394102" w:rsidRPr="002E60EB">
        <w:rPr>
          <w:lang w:val="en-US"/>
        </w:rPr>
        <w:t>ing</w:t>
      </w:r>
      <w:r w:rsidRPr="002E60EB">
        <w:rPr>
          <w:lang w:val="en-US"/>
        </w:rPr>
        <w:t xml:space="preserve"> the formal conditions of </w:t>
      </w:r>
      <w:r w:rsidR="00394102" w:rsidRPr="002E60EB">
        <w:rPr>
          <w:lang w:val="en-US"/>
        </w:rPr>
        <w:t xml:space="preserve">the </w:t>
      </w:r>
      <w:r w:rsidRPr="002E60EB">
        <w:rPr>
          <w:lang w:val="en-US"/>
        </w:rPr>
        <w:t>said act</w:t>
      </w:r>
      <w:r w:rsidR="00394102" w:rsidRPr="002E60EB">
        <w:rPr>
          <w:lang w:val="en-US"/>
        </w:rPr>
        <w:t>s</w:t>
      </w:r>
      <w:r w:rsidRPr="002E60EB">
        <w:rPr>
          <w:lang w:val="en-US"/>
        </w:rPr>
        <w:t xml:space="preserve">, but </w:t>
      </w:r>
      <w:r w:rsidR="00394102" w:rsidRPr="002E60EB">
        <w:rPr>
          <w:lang w:val="en-US"/>
        </w:rPr>
        <w:t xml:space="preserve">rather it must relate them to </w:t>
      </w:r>
      <w:r w:rsidRPr="002E60EB">
        <w:rPr>
          <w:lang w:val="en-US"/>
        </w:rPr>
        <w:t xml:space="preserve">the nature and gravity of the alleged violations, the requirements and interests of justice, the particular circumstances of the </w:t>
      </w:r>
      <w:r w:rsidR="00394102" w:rsidRPr="002E60EB">
        <w:rPr>
          <w:lang w:val="en-US"/>
        </w:rPr>
        <w:t xml:space="preserve">specific </w:t>
      </w:r>
      <w:r w:rsidRPr="002E60EB">
        <w:rPr>
          <w:lang w:val="en-US"/>
        </w:rPr>
        <w:t xml:space="preserve">case, and </w:t>
      </w:r>
      <w:r w:rsidR="00394102" w:rsidRPr="002E60EB">
        <w:rPr>
          <w:lang w:val="en-US"/>
        </w:rPr>
        <w:t xml:space="preserve">the </w:t>
      </w:r>
      <w:r w:rsidRPr="002E60EB">
        <w:rPr>
          <w:lang w:val="en-US"/>
        </w:rPr>
        <w:t>attitude and position of the parties, so that</w:t>
      </w:r>
      <w:r w:rsidR="00394102" w:rsidRPr="002E60EB">
        <w:rPr>
          <w:lang w:val="en-US"/>
        </w:rPr>
        <w:t>,</w:t>
      </w:r>
      <w:r w:rsidRPr="002E60EB">
        <w:rPr>
          <w:lang w:val="en-US"/>
        </w:rPr>
        <w:t xml:space="preserve"> </w:t>
      </w:r>
      <w:r w:rsidR="00394102" w:rsidRPr="002E60EB">
        <w:rPr>
          <w:lang w:val="en-US"/>
        </w:rPr>
        <w:t>insofar as</w:t>
      </w:r>
      <w:r w:rsidRPr="002E60EB">
        <w:rPr>
          <w:lang w:val="en-US"/>
        </w:rPr>
        <w:t xml:space="preserve"> possible and in exercise of its</w:t>
      </w:r>
      <w:r w:rsidR="00394102" w:rsidRPr="002E60EB">
        <w:rPr>
          <w:lang w:val="en-US"/>
        </w:rPr>
        <w:t xml:space="preserve"> competence</w:t>
      </w:r>
      <w:r w:rsidRPr="002E60EB">
        <w:rPr>
          <w:lang w:val="en-US"/>
        </w:rPr>
        <w:t>,</w:t>
      </w:r>
      <w:r w:rsidR="00394102" w:rsidRPr="002E60EB">
        <w:rPr>
          <w:lang w:val="en-US"/>
        </w:rPr>
        <w:t xml:space="preserve"> it is able to assess</w:t>
      </w:r>
      <w:r w:rsidRPr="002E60EB">
        <w:rPr>
          <w:lang w:val="en-US"/>
        </w:rPr>
        <w:t xml:space="preserve"> the truth </w:t>
      </w:r>
      <w:r w:rsidR="00394102" w:rsidRPr="002E60EB">
        <w:rPr>
          <w:lang w:val="en-US"/>
        </w:rPr>
        <w:t>about</w:t>
      </w:r>
      <w:r w:rsidRPr="002E60EB">
        <w:rPr>
          <w:lang w:val="en-US"/>
        </w:rPr>
        <w:t xml:space="preserve"> </w:t>
      </w:r>
      <w:r w:rsidR="00394102" w:rsidRPr="002E60EB">
        <w:rPr>
          <w:lang w:val="en-US"/>
        </w:rPr>
        <w:t>what happened</w:t>
      </w:r>
      <w:r w:rsidRPr="002E60EB">
        <w:rPr>
          <w:lang w:val="en-US"/>
        </w:rPr>
        <w:t>.</w:t>
      </w:r>
      <w:r w:rsidR="00C62D9A" w:rsidRPr="002E60EB">
        <w:rPr>
          <w:rStyle w:val="Refdenotaalpie"/>
          <w:rFonts w:cs="Verdana"/>
          <w:lang w:val="en-US"/>
        </w:rPr>
        <w:footnoteReference w:id="14"/>
      </w:r>
    </w:p>
    <w:p w:rsidR="00E15BBF" w:rsidRPr="002E60EB" w:rsidRDefault="00E15BBF" w:rsidP="002711CF">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lang w:val="en-US"/>
        </w:rPr>
        <w:t>In the instant case, the Court finds</w:t>
      </w:r>
      <w:r w:rsidR="00394102" w:rsidRPr="002E60EB">
        <w:rPr>
          <w:lang w:val="en-US"/>
        </w:rPr>
        <w:t xml:space="preserve"> </w:t>
      </w:r>
      <w:r w:rsidRPr="002E60EB">
        <w:rPr>
          <w:lang w:val="en-US"/>
        </w:rPr>
        <w:t>that</w:t>
      </w:r>
      <w:r w:rsidR="00394102" w:rsidRPr="002E60EB">
        <w:rPr>
          <w:lang w:val="en-US"/>
        </w:rPr>
        <w:t>, as in other cases</w:t>
      </w:r>
      <w:r w:rsidR="00C15538" w:rsidRPr="002E60EB">
        <w:rPr>
          <w:lang w:val="en-US"/>
        </w:rPr>
        <w:t xml:space="preserve"> involving Colombia</w:t>
      </w:r>
      <w:r w:rsidR="00394102" w:rsidRPr="002E60EB">
        <w:rPr>
          <w:lang w:val="en-US"/>
        </w:rPr>
        <w:t xml:space="preserve"> before the Court,</w:t>
      </w:r>
      <w:r w:rsidR="00C62D9A" w:rsidRPr="002E60EB">
        <w:rPr>
          <w:rStyle w:val="Refdenotaalpie"/>
          <w:lang w:val="en-US"/>
        </w:rPr>
        <w:footnoteReference w:id="15"/>
      </w:r>
      <w:r w:rsidRPr="002E60EB">
        <w:rPr>
          <w:lang w:val="en-US"/>
        </w:rPr>
        <w:t xml:space="preserve"> the </w:t>
      </w:r>
      <w:r w:rsidR="00394102" w:rsidRPr="002E60EB">
        <w:rPr>
          <w:lang w:val="en-US"/>
        </w:rPr>
        <w:t xml:space="preserve">State’s </w:t>
      </w:r>
      <w:r w:rsidRPr="002E60EB">
        <w:rPr>
          <w:lang w:val="en-US"/>
        </w:rPr>
        <w:t xml:space="preserve">partial acknowledgement of </w:t>
      </w:r>
      <w:r w:rsidR="00C15538" w:rsidRPr="002E60EB">
        <w:rPr>
          <w:lang w:val="en-US"/>
        </w:rPr>
        <w:t xml:space="preserve">the </w:t>
      </w:r>
      <w:r w:rsidRPr="002E60EB">
        <w:rPr>
          <w:lang w:val="en-US"/>
        </w:rPr>
        <w:t xml:space="preserve">facts, acquiescence with regard to some of the legal claims, and </w:t>
      </w:r>
      <w:r w:rsidR="00394102" w:rsidRPr="002E60EB">
        <w:rPr>
          <w:lang w:val="en-US"/>
        </w:rPr>
        <w:t xml:space="preserve">expression of </w:t>
      </w:r>
      <w:r w:rsidRPr="002E60EB">
        <w:rPr>
          <w:lang w:val="en-US"/>
        </w:rPr>
        <w:t xml:space="preserve">willingness to </w:t>
      </w:r>
      <w:r w:rsidR="00087093" w:rsidRPr="002E60EB">
        <w:rPr>
          <w:lang w:val="en-US"/>
        </w:rPr>
        <w:t>“</w:t>
      </w:r>
      <w:r w:rsidRPr="002E60EB">
        <w:rPr>
          <w:lang w:val="en-US"/>
        </w:rPr>
        <w:t>achieve comprehensive reparation for the victims,</w:t>
      </w:r>
      <w:r w:rsidR="00087093" w:rsidRPr="002E60EB">
        <w:rPr>
          <w:lang w:val="en-US"/>
        </w:rPr>
        <w:t>”</w:t>
      </w:r>
      <w:r w:rsidR="00394102" w:rsidRPr="002E60EB">
        <w:rPr>
          <w:lang w:val="en-US"/>
        </w:rPr>
        <w:t xml:space="preserve"> </w:t>
      </w:r>
      <w:r w:rsidRPr="002E60EB">
        <w:rPr>
          <w:lang w:val="en-US"/>
        </w:rPr>
        <w:t>constitute a positive contribution to these proceedings, to the exercise of the underlying principles of the American Convention</w:t>
      </w:r>
      <w:bookmarkStart w:id="3" w:name="_Ref120800657"/>
      <w:r w:rsidR="00C62D9A" w:rsidRPr="002E60EB">
        <w:rPr>
          <w:rStyle w:val="Refdenotaalpie"/>
          <w:lang w:val="en-US"/>
        </w:rPr>
        <w:footnoteReference w:id="16"/>
      </w:r>
      <w:bookmarkEnd w:id="3"/>
      <w:r w:rsidRPr="002E60EB">
        <w:rPr>
          <w:lang w:val="en-US"/>
        </w:rPr>
        <w:t xml:space="preserve"> and, in part, to satisfying the </w:t>
      </w:r>
      <w:r w:rsidR="00C105C2" w:rsidRPr="002E60EB">
        <w:rPr>
          <w:lang w:val="en-US"/>
        </w:rPr>
        <w:t xml:space="preserve">needs for </w:t>
      </w:r>
      <w:r w:rsidRPr="002E60EB">
        <w:rPr>
          <w:lang w:val="en-US"/>
        </w:rPr>
        <w:t xml:space="preserve">reparation </w:t>
      </w:r>
      <w:r w:rsidR="00C105C2" w:rsidRPr="002E60EB">
        <w:rPr>
          <w:lang w:val="en-US"/>
        </w:rPr>
        <w:t>of</w:t>
      </w:r>
      <w:r w:rsidRPr="002E60EB">
        <w:rPr>
          <w:lang w:val="en-US"/>
        </w:rPr>
        <w:t xml:space="preserve"> the victims of human rights violations.</w:t>
      </w:r>
      <w:r w:rsidR="00C62D9A" w:rsidRPr="002E60EB">
        <w:rPr>
          <w:rFonts w:cs="Verdana"/>
          <w:iCs/>
          <w:vertAlign w:val="superscript"/>
          <w:lang w:val="en-US"/>
        </w:rPr>
        <w:footnoteReference w:id="17"/>
      </w:r>
      <w:r w:rsidRPr="002E60EB">
        <w:rPr>
          <w:lang w:val="en-US"/>
        </w:rPr>
        <w:t xml:space="preserve"> Furthermore, as in other cases</w:t>
      </w:r>
      <w:r w:rsidR="00C62D9A" w:rsidRPr="002E60EB">
        <w:rPr>
          <w:lang w:val="en-US"/>
        </w:rPr>
        <w:t>,</w:t>
      </w:r>
      <w:r w:rsidR="00C62D9A" w:rsidRPr="002E60EB">
        <w:rPr>
          <w:rStyle w:val="Refdenotaalpie"/>
          <w:lang w:val="en-US"/>
        </w:rPr>
        <w:footnoteReference w:id="18"/>
      </w:r>
      <w:r w:rsidRPr="002E60EB">
        <w:rPr>
          <w:lang w:val="en-US"/>
        </w:rPr>
        <w:t xml:space="preserve"> the Court considers that</w:t>
      </w:r>
      <w:r w:rsidRPr="002E60EB">
        <w:rPr>
          <w:rFonts w:cs="Times"/>
          <w:lang w:val="en-US"/>
        </w:rPr>
        <w:t xml:space="preserve"> the acknowledgement made by the State </w:t>
      </w:r>
      <w:r w:rsidRPr="002E60EB">
        <w:rPr>
          <w:lang w:val="en-US"/>
        </w:rPr>
        <w:t xml:space="preserve">produces full legal effects </w:t>
      </w:r>
      <w:r w:rsidR="00C105C2" w:rsidRPr="002E60EB">
        <w:rPr>
          <w:lang w:val="en-US"/>
        </w:rPr>
        <w:t xml:space="preserve">according </w:t>
      </w:r>
      <w:r w:rsidRPr="002E60EB">
        <w:rPr>
          <w:lang w:val="en-US"/>
        </w:rPr>
        <w:t xml:space="preserve">to Articles 57 and 58 of the Court’s Rules of Procedure, and has considerable symbolic value to guarantee </w:t>
      </w:r>
      <w:r w:rsidR="00C105C2" w:rsidRPr="002E60EB">
        <w:rPr>
          <w:lang w:val="en-US"/>
        </w:rPr>
        <w:t xml:space="preserve">the </w:t>
      </w:r>
      <w:r w:rsidRPr="002E60EB">
        <w:rPr>
          <w:lang w:val="en-US"/>
        </w:rPr>
        <w:t>non-repetition of similar acts.</w:t>
      </w:r>
    </w:p>
    <w:p w:rsidR="00E15BBF" w:rsidRPr="002E60EB" w:rsidRDefault="00E15BBF" w:rsidP="00317748">
      <w:pPr>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Taking into account the terms of the State’s acknowledgment and the </w:t>
      </w:r>
      <w:r w:rsidR="00C62D9A" w:rsidRPr="002E60EB">
        <w:rPr>
          <w:rFonts w:cs="Verdana"/>
          <w:lang w:val="en-US"/>
        </w:rPr>
        <w:t xml:space="preserve">corresponding </w:t>
      </w:r>
      <w:r w:rsidRPr="002E60EB">
        <w:rPr>
          <w:rFonts w:cs="Verdana"/>
          <w:lang w:val="en-US"/>
        </w:rPr>
        <w:t xml:space="preserve">observations of the Commission and the representative, the Court considers that the international responsibility of the State is no longer in dispute for the violation of Article 5 (Right to Humane Treatment) of the American Convention, to the detriment of </w:t>
      </w:r>
      <w:r w:rsidR="00AC1940" w:rsidRPr="002E60EB">
        <w:rPr>
          <w:rFonts w:cs="Verdana"/>
          <w:lang w:val="en-US"/>
        </w:rPr>
        <w:t>Luis</w:t>
      </w:r>
      <w:r w:rsidRPr="002E60EB">
        <w:rPr>
          <w:rFonts w:cs="Verdana"/>
          <w:lang w:val="en-US"/>
        </w:rPr>
        <w:t xml:space="preserve"> Gonzalo Vélez Restrepo, his </w:t>
      </w:r>
      <w:r w:rsidR="00C62D9A" w:rsidRPr="002E60EB">
        <w:rPr>
          <w:rFonts w:cs="Verdana"/>
          <w:lang w:val="en-US"/>
        </w:rPr>
        <w:t>wife</w:t>
      </w:r>
      <w:r w:rsidRPr="002E60EB">
        <w:rPr>
          <w:rFonts w:cs="Verdana"/>
          <w:lang w:val="en-US"/>
        </w:rPr>
        <w:t xml:space="preserve"> Aracelly Román Amariles, and their children Juliana </w:t>
      </w:r>
      <w:r w:rsidR="00C62D9A" w:rsidRPr="002E60EB">
        <w:rPr>
          <w:rFonts w:cs="Verdana"/>
          <w:lang w:val="en-US"/>
        </w:rPr>
        <w:t>and</w:t>
      </w:r>
      <w:r w:rsidRPr="002E60EB">
        <w:rPr>
          <w:rFonts w:cs="Verdana"/>
          <w:lang w:val="en-US"/>
        </w:rPr>
        <w:t xml:space="preserve"> Mateo Vélez Román, </w:t>
      </w:r>
      <w:r w:rsidR="00C62D9A" w:rsidRPr="002E60EB">
        <w:rPr>
          <w:rFonts w:cs="Verdana"/>
          <w:lang w:val="en-US"/>
        </w:rPr>
        <w:t xml:space="preserve">owing to </w:t>
      </w:r>
      <w:r w:rsidRPr="002E60EB">
        <w:rPr>
          <w:rFonts w:cs="Verdana"/>
          <w:lang w:val="en-US"/>
        </w:rPr>
        <w:t xml:space="preserve">the physical </w:t>
      </w:r>
      <w:r w:rsidR="00C62D9A" w:rsidRPr="002E60EB">
        <w:rPr>
          <w:rFonts w:cs="Verdana"/>
          <w:lang w:val="en-US"/>
        </w:rPr>
        <w:t xml:space="preserve">attack on </w:t>
      </w:r>
      <w:r w:rsidRPr="002E60EB">
        <w:rPr>
          <w:rFonts w:cs="Verdana"/>
          <w:lang w:val="en-US"/>
        </w:rPr>
        <w:t>Mr. Vélez Restrepo perpetrated by members of the National Army on August 29</w:t>
      </w:r>
      <w:r w:rsidR="00C62D9A" w:rsidRPr="002E60EB">
        <w:rPr>
          <w:rFonts w:cs="Verdana"/>
          <w:lang w:val="en-US"/>
        </w:rPr>
        <w:t>,</w:t>
      </w:r>
      <w:r w:rsidRPr="002E60EB">
        <w:rPr>
          <w:rFonts w:cs="Verdana"/>
          <w:lang w:val="en-US"/>
        </w:rPr>
        <w:t xml:space="preserve"> 1996, wh</w:t>
      </w:r>
      <w:r w:rsidR="00C62D9A" w:rsidRPr="002E60EB">
        <w:rPr>
          <w:rFonts w:cs="Verdana"/>
          <w:lang w:val="en-US"/>
        </w:rPr>
        <w:t>en</w:t>
      </w:r>
      <w:r w:rsidRPr="002E60EB">
        <w:rPr>
          <w:rFonts w:cs="Verdana"/>
          <w:lang w:val="en-US"/>
        </w:rPr>
        <w:t xml:space="preserve">, in his capacity as a news cameraman, </w:t>
      </w:r>
      <w:r w:rsidR="00C62D9A" w:rsidRPr="002E60EB">
        <w:rPr>
          <w:rFonts w:cs="Verdana"/>
          <w:lang w:val="en-US"/>
        </w:rPr>
        <w:t xml:space="preserve">he </w:t>
      </w:r>
      <w:r w:rsidRPr="002E60EB">
        <w:rPr>
          <w:rFonts w:cs="Verdana"/>
          <w:lang w:val="en-US"/>
        </w:rPr>
        <w:t xml:space="preserve">was filming the riots that occurred during a </w:t>
      </w:r>
      <w:r w:rsidR="009708BF" w:rsidRPr="002E60EB">
        <w:rPr>
          <w:rFonts w:cs="Verdana"/>
          <w:lang w:val="en-US"/>
        </w:rPr>
        <w:t xml:space="preserve">protest </w:t>
      </w:r>
      <w:r w:rsidRPr="002E60EB">
        <w:rPr>
          <w:rFonts w:cs="Verdana"/>
          <w:lang w:val="en-US"/>
        </w:rPr>
        <w:t xml:space="preserve">demonstration </w:t>
      </w:r>
      <w:r w:rsidR="00C62D9A" w:rsidRPr="002E60EB">
        <w:rPr>
          <w:rFonts w:cs="Verdana"/>
          <w:lang w:val="en-US"/>
        </w:rPr>
        <w:t xml:space="preserve">organized </w:t>
      </w:r>
      <w:r w:rsidRPr="002E60EB">
        <w:rPr>
          <w:rFonts w:cs="Verdana"/>
          <w:lang w:val="en-US"/>
        </w:rPr>
        <w:t xml:space="preserve">by </w:t>
      </w:r>
      <w:r w:rsidR="009708BF" w:rsidRPr="002E60EB">
        <w:rPr>
          <w:rFonts w:cs="Verdana"/>
          <w:lang w:val="en-US"/>
        </w:rPr>
        <w:t xml:space="preserve">coca-growing </w:t>
      </w:r>
      <w:r w:rsidRPr="002E60EB">
        <w:rPr>
          <w:rFonts w:cs="Verdana"/>
          <w:lang w:val="en-US"/>
        </w:rPr>
        <w:t xml:space="preserve">peasants. </w:t>
      </w:r>
      <w:r w:rsidR="000F3982" w:rsidRPr="002E60EB">
        <w:rPr>
          <w:rFonts w:cs="Verdana"/>
          <w:lang w:val="en-US"/>
        </w:rPr>
        <w:t>In addition</w:t>
      </w:r>
      <w:r w:rsidRPr="002E60EB">
        <w:rPr>
          <w:rFonts w:cs="Verdana"/>
          <w:lang w:val="en-US"/>
        </w:rPr>
        <w:t xml:space="preserve">, the </w:t>
      </w:r>
      <w:r w:rsidR="00C62D9A" w:rsidRPr="002E60EB">
        <w:rPr>
          <w:rFonts w:cs="Verdana"/>
          <w:lang w:val="en-US"/>
        </w:rPr>
        <w:t xml:space="preserve">dispute </w:t>
      </w:r>
      <w:r w:rsidRPr="002E60EB">
        <w:rPr>
          <w:rFonts w:cs="Verdana"/>
          <w:lang w:val="en-US"/>
        </w:rPr>
        <w:t xml:space="preserve">has ceased </w:t>
      </w:r>
      <w:r w:rsidR="00C62D9A" w:rsidRPr="002E60EB">
        <w:rPr>
          <w:rFonts w:cs="Verdana"/>
          <w:lang w:val="en-US"/>
        </w:rPr>
        <w:t xml:space="preserve">regarding </w:t>
      </w:r>
      <w:r w:rsidRPr="002E60EB">
        <w:rPr>
          <w:rFonts w:cs="Verdana"/>
          <w:lang w:val="en-US"/>
        </w:rPr>
        <w:t xml:space="preserve">the violation of Article 13 </w:t>
      </w:r>
      <w:r w:rsidRPr="002E60EB">
        <w:rPr>
          <w:rFonts w:cs="Verdana"/>
          <w:lang w:val="en-US"/>
        </w:rPr>
        <w:lastRenderedPageBreak/>
        <w:t>(Right to Freedom of Expression and Thought)</w:t>
      </w:r>
      <w:r w:rsidR="00C62D9A" w:rsidRPr="002E60EB">
        <w:rPr>
          <w:rFonts w:cs="Verdana"/>
          <w:lang w:val="en-US"/>
        </w:rPr>
        <w:t xml:space="preserve"> of the Convention</w:t>
      </w:r>
      <w:r w:rsidRPr="002E60EB">
        <w:rPr>
          <w:rFonts w:cs="Verdana"/>
          <w:lang w:val="en-US"/>
        </w:rPr>
        <w:t xml:space="preserve"> to the detriment of </w:t>
      </w:r>
      <w:r w:rsidR="00AC1940" w:rsidRPr="002E60EB">
        <w:rPr>
          <w:rFonts w:cs="Verdana"/>
          <w:lang w:val="en-US"/>
        </w:rPr>
        <w:t>Luis</w:t>
      </w:r>
      <w:r w:rsidRPr="002E60EB">
        <w:rPr>
          <w:rFonts w:cs="Verdana"/>
          <w:lang w:val="en-US"/>
        </w:rPr>
        <w:t xml:space="preserve"> Gonzalo Vélez Restrepo </w:t>
      </w:r>
      <w:r w:rsidR="0079750B" w:rsidRPr="002E60EB">
        <w:rPr>
          <w:rFonts w:cs="Verdana"/>
          <w:lang w:val="en-US"/>
        </w:rPr>
        <w:t xml:space="preserve">as a result of this attack. However, </w:t>
      </w:r>
      <w:r w:rsidRPr="002E60EB">
        <w:rPr>
          <w:rFonts w:cs="Verdana"/>
          <w:lang w:val="en-US"/>
        </w:rPr>
        <w:t xml:space="preserve">the Court notes that Colombia </w:t>
      </w:r>
      <w:r w:rsidR="0079750B" w:rsidRPr="002E60EB">
        <w:rPr>
          <w:rFonts w:cs="Verdana"/>
          <w:lang w:val="en-US"/>
        </w:rPr>
        <w:t xml:space="preserve">contested </w:t>
      </w:r>
      <w:r w:rsidRPr="002E60EB">
        <w:rPr>
          <w:rFonts w:cs="Verdana"/>
          <w:lang w:val="en-US"/>
        </w:rPr>
        <w:t xml:space="preserve">the facts </w:t>
      </w:r>
      <w:r w:rsidR="0079750B" w:rsidRPr="002E60EB">
        <w:rPr>
          <w:rFonts w:cs="Verdana"/>
          <w:lang w:val="en-US"/>
        </w:rPr>
        <w:t xml:space="preserve">relating to </w:t>
      </w:r>
      <w:r w:rsidRPr="002E60EB">
        <w:rPr>
          <w:rFonts w:cs="Verdana"/>
          <w:lang w:val="en-US"/>
        </w:rPr>
        <w:t xml:space="preserve">the injuries that the Commission and the representative alleged </w:t>
      </w:r>
      <w:r w:rsidR="0079750B" w:rsidRPr="002E60EB">
        <w:rPr>
          <w:rFonts w:cs="Verdana"/>
          <w:lang w:val="en-US"/>
        </w:rPr>
        <w:t xml:space="preserve">that </w:t>
      </w:r>
      <w:r w:rsidRPr="002E60EB">
        <w:rPr>
          <w:rFonts w:cs="Verdana"/>
          <w:lang w:val="en-US"/>
        </w:rPr>
        <w:t xml:space="preserve">Mr. Vélez Restrepo </w:t>
      </w:r>
      <w:r w:rsidR="0079750B" w:rsidRPr="002E60EB">
        <w:rPr>
          <w:rFonts w:cs="Verdana"/>
          <w:lang w:val="en-US"/>
        </w:rPr>
        <w:t xml:space="preserve">had </w:t>
      </w:r>
      <w:r w:rsidRPr="002E60EB">
        <w:rPr>
          <w:rFonts w:cs="Verdana"/>
          <w:lang w:val="en-US"/>
        </w:rPr>
        <w:t xml:space="preserve">suffered as a result of </w:t>
      </w:r>
      <w:r w:rsidR="009708BF" w:rsidRPr="002E60EB">
        <w:rPr>
          <w:rFonts w:cs="Verdana"/>
          <w:lang w:val="en-US"/>
        </w:rPr>
        <w:t>this</w:t>
      </w:r>
      <w:r w:rsidR="0079750B" w:rsidRPr="002E60EB">
        <w:rPr>
          <w:rFonts w:cs="Verdana"/>
          <w:lang w:val="en-US"/>
        </w:rPr>
        <w:t xml:space="preserve"> attack</w:t>
      </w:r>
      <w:r w:rsidRPr="002E60EB">
        <w:rPr>
          <w:rFonts w:cs="Verdana"/>
          <w:lang w:val="en-US"/>
        </w:rPr>
        <w:t xml:space="preserve"> on August 29, 1996. </w:t>
      </w:r>
      <w:r w:rsidR="0079750B" w:rsidRPr="002E60EB">
        <w:rPr>
          <w:rFonts w:cs="Verdana"/>
          <w:lang w:val="en-US"/>
        </w:rPr>
        <w:t>Colombia also contested</w:t>
      </w:r>
      <w:r w:rsidRPr="002E60EB">
        <w:rPr>
          <w:rFonts w:cs="Verdana"/>
          <w:lang w:val="en-US"/>
        </w:rPr>
        <w:t xml:space="preserve"> the</w:t>
      </w:r>
      <w:r w:rsidR="0079750B" w:rsidRPr="002E60EB">
        <w:rPr>
          <w:rFonts w:cs="Verdana"/>
          <w:lang w:val="en-US"/>
        </w:rPr>
        <w:t xml:space="preserve"> alleged</w:t>
      </w:r>
      <w:r w:rsidRPr="002E60EB">
        <w:rPr>
          <w:rFonts w:cs="Verdana"/>
          <w:lang w:val="en-US"/>
        </w:rPr>
        <w:t xml:space="preserve"> violation of the </w:t>
      </w:r>
      <w:r w:rsidR="0079750B" w:rsidRPr="002E60EB">
        <w:rPr>
          <w:rFonts w:cs="Verdana"/>
          <w:lang w:val="en-US"/>
        </w:rPr>
        <w:t>social dimension of the right</w:t>
      </w:r>
      <w:r w:rsidRPr="002E60EB">
        <w:rPr>
          <w:rFonts w:cs="Verdana"/>
          <w:lang w:val="en-US"/>
        </w:rPr>
        <w:t xml:space="preserve"> to freedom of thought and expression as a result of the </w:t>
      </w:r>
      <w:r w:rsidR="0079750B" w:rsidRPr="002E60EB">
        <w:rPr>
          <w:rFonts w:cs="Verdana"/>
          <w:lang w:val="en-US"/>
        </w:rPr>
        <w:t xml:space="preserve">said </w:t>
      </w:r>
      <w:r w:rsidRPr="002E60EB">
        <w:rPr>
          <w:rFonts w:cs="Verdana"/>
          <w:lang w:val="en-US"/>
        </w:rPr>
        <w:t>events of August 29, 1996.</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b/>
          <w:lang w:val="en-US"/>
        </w:rPr>
      </w:pPr>
      <w:r w:rsidRPr="002E60EB">
        <w:rPr>
          <w:rFonts w:cs="Verdana"/>
          <w:lang w:val="en-US"/>
        </w:rPr>
        <w:t xml:space="preserve">The </w:t>
      </w:r>
      <w:r w:rsidR="00D00C5F" w:rsidRPr="002E60EB">
        <w:rPr>
          <w:rFonts w:cs="Verdana"/>
          <w:lang w:val="en-US"/>
        </w:rPr>
        <w:t>Court</w:t>
      </w:r>
      <w:r w:rsidRPr="002E60EB">
        <w:rPr>
          <w:rFonts w:cs="Verdana"/>
          <w:lang w:val="en-US"/>
        </w:rPr>
        <w:t xml:space="preserve"> also </w:t>
      </w:r>
      <w:r w:rsidR="0079750B" w:rsidRPr="002E60EB">
        <w:rPr>
          <w:rFonts w:cs="Verdana"/>
          <w:lang w:val="en-US"/>
        </w:rPr>
        <w:t xml:space="preserve">understands </w:t>
      </w:r>
      <w:r w:rsidRPr="002E60EB">
        <w:rPr>
          <w:rFonts w:cs="Verdana"/>
          <w:lang w:val="en-US"/>
        </w:rPr>
        <w:t xml:space="preserve">that, </w:t>
      </w:r>
      <w:r w:rsidR="006E01B0" w:rsidRPr="002E60EB">
        <w:rPr>
          <w:rFonts w:cs="Verdana"/>
          <w:lang w:val="en-US"/>
        </w:rPr>
        <w:t xml:space="preserve">since </w:t>
      </w:r>
      <w:r w:rsidRPr="002E60EB">
        <w:rPr>
          <w:rFonts w:cs="Verdana"/>
          <w:lang w:val="en-US"/>
        </w:rPr>
        <w:t>the State</w:t>
      </w:r>
      <w:r w:rsidR="006E01B0" w:rsidRPr="002E60EB">
        <w:rPr>
          <w:rFonts w:cs="Verdana"/>
          <w:lang w:val="en-US"/>
        </w:rPr>
        <w:t xml:space="preserve"> has</w:t>
      </w:r>
      <w:r w:rsidRPr="002E60EB">
        <w:rPr>
          <w:rFonts w:cs="Verdana"/>
          <w:lang w:val="en-US"/>
        </w:rPr>
        <w:t xml:space="preserve"> acknowled</w:t>
      </w:r>
      <w:r w:rsidR="006E01B0" w:rsidRPr="002E60EB">
        <w:rPr>
          <w:rFonts w:cs="Verdana"/>
          <w:lang w:val="en-US"/>
        </w:rPr>
        <w:t>ged</w:t>
      </w:r>
      <w:r w:rsidRPr="002E60EB">
        <w:rPr>
          <w:rFonts w:cs="Verdana"/>
          <w:lang w:val="en-US"/>
        </w:rPr>
        <w:t xml:space="preserve"> its responsibility for the violation of Articles 8</w:t>
      </w:r>
      <w:r w:rsidR="006E01B0" w:rsidRPr="002E60EB">
        <w:rPr>
          <w:rFonts w:cs="Verdana"/>
          <w:lang w:val="en-US"/>
        </w:rPr>
        <w:t>(1)</w:t>
      </w:r>
      <w:r w:rsidRPr="002E60EB">
        <w:rPr>
          <w:rFonts w:cs="Verdana"/>
          <w:lang w:val="en-US"/>
        </w:rPr>
        <w:t xml:space="preserve"> and 25 of the American Convention </w:t>
      </w:r>
      <w:r w:rsidR="006E01B0" w:rsidRPr="002E60EB">
        <w:rPr>
          <w:rFonts w:cs="Verdana"/>
          <w:lang w:val="en-US"/>
        </w:rPr>
        <w:t xml:space="preserve">owing to </w:t>
      </w:r>
      <w:r w:rsidRPr="002E60EB">
        <w:rPr>
          <w:rFonts w:cs="Verdana"/>
          <w:lang w:val="en-US"/>
        </w:rPr>
        <w:t xml:space="preserve">the lack of a </w:t>
      </w:r>
      <w:r w:rsidR="00087093" w:rsidRPr="002E60EB">
        <w:rPr>
          <w:rFonts w:cs="Verdana"/>
          <w:lang w:val="en-US"/>
        </w:rPr>
        <w:t>“</w:t>
      </w:r>
      <w:r w:rsidRPr="002E60EB">
        <w:rPr>
          <w:rFonts w:cs="Verdana"/>
          <w:lang w:val="en-US"/>
        </w:rPr>
        <w:t xml:space="preserve">serious investigation that would allow the determination and </w:t>
      </w:r>
      <w:r w:rsidR="006E01B0" w:rsidRPr="002E60EB">
        <w:rPr>
          <w:rFonts w:cs="Verdana"/>
          <w:lang w:val="en-US"/>
        </w:rPr>
        <w:t xml:space="preserve">criminal </w:t>
      </w:r>
      <w:r w:rsidRPr="002E60EB">
        <w:rPr>
          <w:rFonts w:cs="Verdana"/>
          <w:lang w:val="en-US"/>
        </w:rPr>
        <w:t>punishment of the perpetrators</w:t>
      </w:r>
      <w:r w:rsidR="00087093" w:rsidRPr="002E60EB">
        <w:rPr>
          <w:rFonts w:cs="Verdana"/>
          <w:lang w:val="en-US"/>
        </w:rPr>
        <w:t>”</w:t>
      </w:r>
      <w:r w:rsidRPr="002E60EB">
        <w:rPr>
          <w:rFonts w:cs="Verdana"/>
          <w:lang w:val="en-US"/>
        </w:rPr>
        <w:t xml:space="preserve"> of the </w:t>
      </w:r>
      <w:r w:rsidR="006E01B0" w:rsidRPr="002E60EB">
        <w:rPr>
          <w:rFonts w:cs="Verdana"/>
          <w:lang w:val="en-US"/>
        </w:rPr>
        <w:t xml:space="preserve">said </w:t>
      </w:r>
      <w:r w:rsidRPr="002E60EB">
        <w:rPr>
          <w:rFonts w:cs="Verdana"/>
          <w:lang w:val="en-US"/>
        </w:rPr>
        <w:t xml:space="preserve">attacks on August 29, 1996, and </w:t>
      </w:r>
      <w:r w:rsidR="006E01B0" w:rsidRPr="002E60EB">
        <w:rPr>
          <w:rFonts w:cs="Verdana"/>
          <w:lang w:val="en-US"/>
        </w:rPr>
        <w:t xml:space="preserve">of the </w:t>
      </w:r>
      <w:r w:rsidRPr="002E60EB">
        <w:rPr>
          <w:rFonts w:cs="Verdana"/>
          <w:lang w:val="en-US"/>
        </w:rPr>
        <w:t xml:space="preserve">subsequent </w:t>
      </w:r>
      <w:r w:rsidR="006E01B0" w:rsidRPr="002E60EB">
        <w:rPr>
          <w:rFonts w:cs="Verdana"/>
          <w:lang w:val="en-US"/>
        </w:rPr>
        <w:t xml:space="preserve">supposed </w:t>
      </w:r>
      <w:r w:rsidRPr="002E60EB">
        <w:rPr>
          <w:rFonts w:cs="Verdana"/>
          <w:lang w:val="en-US"/>
        </w:rPr>
        <w:t xml:space="preserve">threats and harassment, the dispute </w:t>
      </w:r>
      <w:r w:rsidR="006E01B0" w:rsidRPr="002E60EB">
        <w:rPr>
          <w:rFonts w:cs="Verdana"/>
          <w:lang w:val="en-US"/>
        </w:rPr>
        <w:t xml:space="preserve">has ceased with regard to </w:t>
      </w:r>
      <w:r w:rsidRPr="002E60EB">
        <w:rPr>
          <w:rFonts w:cs="Verdana"/>
          <w:lang w:val="en-US"/>
        </w:rPr>
        <w:t xml:space="preserve">the violation of </w:t>
      </w:r>
      <w:r w:rsidR="006E01B0" w:rsidRPr="002E60EB">
        <w:rPr>
          <w:rFonts w:cs="Verdana"/>
          <w:lang w:val="en-US"/>
        </w:rPr>
        <w:t xml:space="preserve">these </w:t>
      </w:r>
      <w:r w:rsidRPr="002E60EB">
        <w:rPr>
          <w:rFonts w:cs="Verdana"/>
          <w:lang w:val="en-US"/>
        </w:rPr>
        <w:t xml:space="preserve">articles </w:t>
      </w:r>
      <w:r w:rsidR="006E01B0" w:rsidRPr="002E60EB">
        <w:rPr>
          <w:rFonts w:cs="Verdana"/>
          <w:lang w:val="en-US"/>
        </w:rPr>
        <w:t>based on</w:t>
      </w:r>
      <w:r w:rsidRPr="002E60EB">
        <w:rPr>
          <w:rFonts w:cs="Verdana"/>
          <w:lang w:val="en-US"/>
        </w:rPr>
        <w:t xml:space="preserve"> the lack of due diligence in </w:t>
      </w:r>
      <w:r w:rsidR="006E01B0" w:rsidRPr="002E60EB">
        <w:rPr>
          <w:rFonts w:cs="Verdana"/>
          <w:lang w:val="en-US"/>
        </w:rPr>
        <w:t>the said</w:t>
      </w:r>
      <w:r w:rsidRPr="002E60EB">
        <w:rPr>
          <w:rFonts w:cs="Verdana"/>
          <w:lang w:val="en-US"/>
        </w:rPr>
        <w:t xml:space="preserve"> investigations. N</w:t>
      </w:r>
      <w:r w:rsidR="006E01B0" w:rsidRPr="002E60EB">
        <w:rPr>
          <w:rFonts w:cs="Verdana"/>
          <w:lang w:val="en-US"/>
        </w:rPr>
        <w:t>ever</w:t>
      </w:r>
      <w:r w:rsidRPr="002E60EB">
        <w:rPr>
          <w:rFonts w:cs="Verdana"/>
          <w:lang w:val="en-US"/>
        </w:rPr>
        <w:t xml:space="preserve">theless, the </w:t>
      </w:r>
      <w:r w:rsidR="006E01B0" w:rsidRPr="002E60EB">
        <w:rPr>
          <w:rFonts w:cs="Verdana"/>
          <w:lang w:val="en-US"/>
        </w:rPr>
        <w:t xml:space="preserve">dispute subsists with </w:t>
      </w:r>
      <w:r w:rsidRPr="002E60EB">
        <w:rPr>
          <w:rFonts w:cs="Verdana"/>
          <w:lang w:val="en-US"/>
        </w:rPr>
        <w:t>regard</w:t>
      </w:r>
      <w:r w:rsidR="006E01B0" w:rsidRPr="002E60EB">
        <w:rPr>
          <w:rFonts w:cs="Verdana"/>
          <w:lang w:val="en-US"/>
        </w:rPr>
        <w:t xml:space="preserve"> to</w:t>
      </w:r>
      <w:r w:rsidR="009708BF" w:rsidRPr="002E60EB">
        <w:rPr>
          <w:rFonts w:cs="Verdana"/>
          <w:lang w:val="en-US"/>
        </w:rPr>
        <w:t xml:space="preserve"> the alleged violation of</w:t>
      </w:r>
      <w:r w:rsidRPr="002E60EB">
        <w:rPr>
          <w:rFonts w:cs="Verdana"/>
          <w:lang w:val="en-US"/>
        </w:rPr>
        <w:t xml:space="preserve"> the right to a </w:t>
      </w:r>
      <w:r w:rsidR="00615D3A" w:rsidRPr="002E60EB">
        <w:rPr>
          <w:rFonts w:cs="Verdana"/>
          <w:lang w:val="en-US"/>
        </w:rPr>
        <w:t>natural judge</w:t>
      </w:r>
      <w:r w:rsidR="006E01B0" w:rsidRPr="002E60EB">
        <w:rPr>
          <w:rFonts w:cs="Verdana"/>
          <w:lang w:val="en-US"/>
        </w:rPr>
        <w:t xml:space="preserve">, </w:t>
      </w:r>
      <w:r w:rsidR="009708BF" w:rsidRPr="002E60EB">
        <w:rPr>
          <w:rFonts w:cs="Verdana"/>
          <w:lang w:val="en-US"/>
        </w:rPr>
        <w:t>given that</w:t>
      </w:r>
      <w:r w:rsidR="006E01B0" w:rsidRPr="002E60EB">
        <w:rPr>
          <w:rFonts w:cs="Verdana"/>
          <w:lang w:val="en-US"/>
        </w:rPr>
        <w:t xml:space="preserve"> </w:t>
      </w:r>
      <w:r w:rsidRPr="002E60EB">
        <w:rPr>
          <w:rFonts w:cs="Verdana"/>
          <w:lang w:val="en-US"/>
        </w:rPr>
        <w:t>the State does not</w:t>
      </w:r>
      <w:r w:rsidR="006E01B0" w:rsidRPr="002E60EB">
        <w:rPr>
          <w:rFonts w:cs="Verdana"/>
          <w:lang w:val="en-US"/>
        </w:rPr>
        <w:t xml:space="preserve"> acknowledge</w:t>
      </w:r>
      <w:r w:rsidRPr="002E60EB">
        <w:rPr>
          <w:rFonts w:cs="Verdana"/>
          <w:lang w:val="en-US"/>
        </w:rPr>
        <w:t xml:space="preserve"> </w:t>
      </w:r>
      <w:r w:rsidR="006E01B0" w:rsidRPr="002E60EB">
        <w:rPr>
          <w:rFonts w:cs="Verdana"/>
          <w:lang w:val="en-US"/>
        </w:rPr>
        <w:t>its</w:t>
      </w:r>
      <w:r w:rsidRPr="002E60EB">
        <w:rPr>
          <w:rFonts w:cs="Verdana"/>
          <w:lang w:val="en-US"/>
        </w:rPr>
        <w:t xml:space="preserve"> alleged violation </w:t>
      </w:r>
      <w:r w:rsidR="006E01B0" w:rsidRPr="002E60EB">
        <w:rPr>
          <w:rFonts w:cs="Verdana"/>
          <w:lang w:val="en-US"/>
        </w:rPr>
        <w:t xml:space="preserve">because </w:t>
      </w:r>
      <w:r w:rsidRPr="002E60EB">
        <w:rPr>
          <w:rFonts w:cs="Verdana"/>
          <w:lang w:val="en-US"/>
        </w:rPr>
        <w:t>the investigation into the events of August 29, 1996</w:t>
      </w:r>
      <w:r w:rsidR="006E01B0" w:rsidRPr="002E60EB">
        <w:rPr>
          <w:rFonts w:cs="Verdana"/>
          <w:lang w:val="en-US"/>
        </w:rPr>
        <w:t xml:space="preserve">, was conducted </w:t>
      </w:r>
      <w:r w:rsidRPr="002E60EB">
        <w:rPr>
          <w:rFonts w:cs="Verdana"/>
          <w:lang w:val="en-US"/>
        </w:rPr>
        <w:t xml:space="preserve">by the military criminal justice system. </w:t>
      </w:r>
      <w:r w:rsidR="006E01B0" w:rsidRPr="002E60EB">
        <w:rPr>
          <w:rFonts w:cs="Verdana"/>
          <w:lang w:val="en-US"/>
        </w:rPr>
        <w:t>Regarding</w:t>
      </w:r>
      <w:r w:rsidRPr="002E60EB">
        <w:rPr>
          <w:rFonts w:cs="Verdana"/>
          <w:lang w:val="en-US"/>
        </w:rPr>
        <w:t xml:space="preserve"> the investigation </w:t>
      </w:r>
      <w:r w:rsidR="006E01B0" w:rsidRPr="002E60EB">
        <w:rPr>
          <w:rFonts w:cs="Verdana"/>
          <w:lang w:val="en-US"/>
        </w:rPr>
        <w:t>into</w:t>
      </w:r>
      <w:r w:rsidRPr="002E60EB">
        <w:rPr>
          <w:rFonts w:cs="Verdana"/>
          <w:lang w:val="en-US"/>
        </w:rPr>
        <w:t xml:space="preserve"> the attempted arbitrary deprivation of liberty of October 6, 1997, the State </w:t>
      </w:r>
      <w:r w:rsidR="006E01B0" w:rsidRPr="002E60EB">
        <w:rPr>
          <w:rFonts w:cs="Verdana"/>
          <w:lang w:val="en-US"/>
        </w:rPr>
        <w:t xml:space="preserve">acknowledged </w:t>
      </w:r>
      <w:r w:rsidRPr="002E60EB">
        <w:rPr>
          <w:rFonts w:cs="Verdana"/>
          <w:lang w:val="en-US"/>
        </w:rPr>
        <w:t xml:space="preserve">the violation of </w:t>
      </w:r>
      <w:r w:rsidR="00087093" w:rsidRPr="002E60EB">
        <w:rPr>
          <w:rFonts w:cs="Verdana"/>
          <w:lang w:val="en-US"/>
        </w:rPr>
        <w:t>“</w:t>
      </w:r>
      <w:r w:rsidRPr="002E60EB">
        <w:rPr>
          <w:rFonts w:cs="Verdana"/>
          <w:lang w:val="en-US"/>
        </w:rPr>
        <w:t>reasonable time</w:t>
      </w:r>
      <w:r w:rsidR="00087093" w:rsidRPr="002E60EB">
        <w:rPr>
          <w:rFonts w:cs="Verdana"/>
          <w:lang w:val="en-US"/>
        </w:rPr>
        <w:t>”</w:t>
      </w:r>
      <w:r w:rsidRPr="002E60EB">
        <w:rPr>
          <w:rFonts w:cs="Verdana"/>
          <w:lang w:val="en-US"/>
        </w:rPr>
        <w:t xml:space="preserve"> </w:t>
      </w:r>
      <w:r w:rsidR="006E01B0" w:rsidRPr="002E60EB">
        <w:rPr>
          <w:rFonts w:cs="Verdana"/>
          <w:lang w:val="en-US"/>
        </w:rPr>
        <w:t>in</w:t>
      </w:r>
      <w:r w:rsidRPr="002E60EB">
        <w:rPr>
          <w:rFonts w:cs="Verdana"/>
          <w:lang w:val="en-US"/>
        </w:rPr>
        <w:t xml:space="preserve"> the investigation into the </w:t>
      </w:r>
      <w:r w:rsidR="006E01B0" w:rsidRPr="002E60EB">
        <w:rPr>
          <w:rFonts w:cs="Verdana"/>
          <w:lang w:val="en-US"/>
        </w:rPr>
        <w:t xml:space="preserve">offense </w:t>
      </w:r>
      <w:r w:rsidRPr="002E60EB">
        <w:rPr>
          <w:rFonts w:cs="Verdana"/>
          <w:lang w:val="en-US"/>
        </w:rPr>
        <w:t xml:space="preserve">of attempted </w:t>
      </w:r>
      <w:r w:rsidR="00334C3C" w:rsidRPr="002E60EB">
        <w:rPr>
          <w:rFonts w:cs="Verdana"/>
          <w:lang w:val="en-US"/>
        </w:rPr>
        <w:t>kidnapping</w:t>
      </w:r>
      <w:r w:rsidR="006E01B0" w:rsidRPr="002E60EB">
        <w:rPr>
          <w:rFonts w:cs="Verdana"/>
          <w:lang w:val="en-US"/>
        </w:rPr>
        <w:t>, but</w:t>
      </w:r>
      <w:r w:rsidRPr="002E60EB">
        <w:rPr>
          <w:rFonts w:cs="Verdana"/>
          <w:lang w:val="en-US"/>
        </w:rPr>
        <w:t xml:space="preserve"> did not express</w:t>
      </w:r>
      <w:r w:rsidR="006E01B0" w:rsidRPr="002E60EB">
        <w:rPr>
          <w:rFonts w:cs="Verdana"/>
          <w:lang w:val="en-US"/>
        </w:rPr>
        <w:t>ly</w:t>
      </w:r>
      <w:r w:rsidRPr="002E60EB">
        <w:rPr>
          <w:rFonts w:cs="Verdana"/>
          <w:lang w:val="en-US"/>
        </w:rPr>
        <w:t xml:space="preserve"> </w:t>
      </w:r>
      <w:r w:rsidR="006E01B0" w:rsidRPr="002E60EB">
        <w:rPr>
          <w:rFonts w:cs="Verdana"/>
          <w:lang w:val="en-US"/>
        </w:rPr>
        <w:t xml:space="preserve">indicate that it </w:t>
      </w:r>
      <w:r w:rsidRPr="002E60EB">
        <w:rPr>
          <w:rFonts w:cs="Verdana"/>
          <w:lang w:val="en-US"/>
        </w:rPr>
        <w:t>acknowledge</w:t>
      </w:r>
      <w:r w:rsidR="006E01B0" w:rsidRPr="002E60EB">
        <w:rPr>
          <w:rFonts w:cs="Verdana"/>
          <w:lang w:val="en-US"/>
        </w:rPr>
        <w:t>d a violation owing to the</w:t>
      </w:r>
      <w:r w:rsidRPr="002E60EB">
        <w:rPr>
          <w:rFonts w:cs="Verdana"/>
          <w:lang w:val="en-US"/>
        </w:rPr>
        <w:t xml:space="preserve"> </w:t>
      </w:r>
      <w:r w:rsidR="00087093" w:rsidRPr="002E60EB">
        <w:rPr>
          <w:rFonts w:cs="Verdana"/>
          <w:lang w:val="en-US"/>
        </w:rPr>
        <w:t>“</w:t>
      </w:r>
      <w:r w:rsidRPr="002E60EB">
        <w:rPr>
          <w:rFonts w:cs="Verdana"/>
          <w:lang w:val="en-US"/>
        </w:rPr>
        <w:t>lack of due diligence</w:t>
      </w:r>
      <w:r w:rsidR="00087093" w:rsidRPr="002E60EB">
        <w:rPr>
          <w:rFonts w:cs="Verdana"/>
          <w:lang w:val="en-US"/>
        </w:rPr>
        <w:t>”</w:t>
      </w:r>
      <w:r w:rsidRPr="002E60EB">
        <w:rPr>
          <w:rFonts w:cs="Verdana"/>
          <w:lang w:val="en-US"/>
        </w:rPr>
        <w:t xml:space="preserve"> in the investigation alleged by the Inter-American Commission</w:t>
      </w:r>
      <w:r w:rsidR="006E01B0" w:rsidRPr="002E60EB">
        <w:rPr>
          <w:rFonts w:cs="Verdana"/>
          <w:lang w:val="en-US"/>
        </w:rPr>
        <w:t>; therefore,</w:t>
      </w:r>
      <w:r w:rsidRPr="002E60EB">
        <w:rPr>
          <w:rFonts w:cs="Verdana"/>
          <w:lang w:val="en-US"/>
        </w:rPr>
        <w:t xml:space="preserve"> </w:t>
      </w:r>
      <w:r w:rsidR="006E01B0" w:rsidRPr="002E60EB">
        <w:rPr>
          <w:rFonts w:cs="Verdana"/>
          <w:lang w:val="en-US"/>
        </w:rPr>
        <w:t xml:space="preserve">the Court will rule in this regard </w:t>
      </w:r>
      <w:r w:rsidRPr="002E60EB">
        <w:rPr>
          <w:rFonts w:cs="Verdana"/>
          <w:lang w:val="en-US"/>
        </w:rPr>
        <w:t>(</w:t>
      </w:r>
      <w:r w:rsidRPr="002E60EB">
        <w:rPr>
          <w:rFonts w:cs="Verdana"/>
          <w:i/>
          <w:lang w:val="en-US"/>
        </w:rPr>
        <w:t>infra</w:t>
      </w:r>
      <w:r w:rsidR="006E01B0" w:rsidRPr="002E60EB">
        <w:rPr>
          <w:rFonts w:cs="Verdana"/>
          <w:lang w:val="en-US"/>
        </w:rPr>
        <w:t xml:space="preserve"> para. 251</w:t>
      </w:r>
      <w:r w:rsidRPr="002E60EB">
        <w:rPr>
          <w:rFonts w:cs="Verdana"/>
          <w:lang w:val="en-US"/>
        </w:rPr>
        <w:t>)</w:t>
      </w:r>
    </w:p>
    <w:p w:rsidR="00E15BBF" w:rsidRPr="002E60EB" w:rsidRDefault="00E15BBF" w:rsidP="00317748">
      <w:pPr>
        <w:tabs>
          <w:tab w:val="left" w:pos="720"/>
        </w:tabs>
        <w:jc w:val="both"/>
        <w:rPr>
          <w:rFonts w:cs="Verdana"/>
          <w:lang w:val="en-US"/>
        </w:rPr>
      </w:pPr>
    </w:p>
    <w:p w:rsidR="00E15BBF" w:rsidRPr="002E60EB" w:rsidRDefault="006E01B0" w:rsidP="00317748">
      <w:pPr>
        <w:numPr>
          <w:ilvl w:val="0"/>
          <w:numId w:val="1"/>
        </w:numPr>
        <w:tabs>
          <w:tab w:val="left" w:pos="720"/>
        </w:tabs>
        <w:jc w:val="both"/>
        <w:rPr>
          <w:rFonts w:cs="Verdana"/>
          <w:lang w:val="en-US"/>
        </w:rPr>
      </w:pPr>
      <w:r w:rsidRPr="002E60EB">
        <w:rPr>
          <w:rFonts w:cs="Verdana"/>
          <w:lang w:val="en-US"/>
        </w:rPr>
        <w:t>Furthermore,</w:t>
      </w:r>
      <w:r w:rsidR="00E15BBF" w:rsidRPr="002E60EB">
        <w:rPr>
          <w:rFonts w:cs="Verdana"/>
          <w:lang w:val="en-US"/>
        </w:rPr>
        <w:t xml:space="preserve"> the </w:t>
      </w:r>
      <w:r w:rsidRPr="002E60EB">
        <w:rPr>
          <w:rFonts w:cs="Verdana"/>
          <w:lang w:val="en-US"/>
        </w:rPr>
        <w:t>dispute subsists</w:t>
      </w:r>
      <w:r w:rsidR="00E15BBF" w:rsidRPr="002E60EB">
        <w:rPr>
          <w:rFonts w:cs="Verdana"/>
          <w:lang w:val="en-US"/>
        </w:rPr>
        <w:t xml:space="preserve"> regarding the </w:t>
      </w:r>
      <w:r w:rsidRPr="002E60EB">
        <w:rPr>
          <w:rFonts w:cs="Verdana"/>
          <w:lang w:val="en-US"/>
        </w:rPr>
        <w:t xml:space="preserve">State’s </w:t>
      </w:r>
      <w:r w:rsidR="00E15BBF" w:rsidRPr="002E60EB">
        <w:rPr>
          <w:rFonts w:cs="Verdana"/>
          <w:lang w:val="en-US"/>
        </w:rPr>
        <w:t xml:space="preserve">alleged responsibility for the violation of Articles </w:t>
      </w:r>
      <w:r w:rsidRPr="002E60EB">
        <w:rPr>
          <w:rFonts w:cs="Verdana"/>
          <w:lang w:val="en-US"/>
        </w:rPr>
        <w:t>5</w:t>
      </w:r>
      <w:r w:rsidR="00E15BBF" w:rsidRPr="002E60EB">
        <w:rPr>
          <w:rFonts w:cs="Verdana"/>
          <w:lang w:val="en-US"/>
        </w:rPr>
        <w:t xml:space="preserve"> and 13 of the American Convention </w:t>
      </w:r>
      <w:r w:rsidRPr="002E60EB">
        <w:rPr>
          <w:rFonts w:cs="Verdana"/>
          <w:lang w:val="en-US"/>
        </w:rPr>
        <w:t>as a result of</w:t>
      </w:r>
      <w:r w:rsidR="00E15BBF" w:rsidRPr="002E60EB">
        <w:rPr>
          <w:rFonts w:cs="Verdana"/>
          <w:lang w:val="en-US"/>
        </w:rPr>
        <w:t xml:space="preserve"> the alleged threats, harassment, and attempted </w:t>
      </w:r>
      <w:r w:rsidRPr="002E60EB">
        <w:rPr>
          <w:rFonts w:cs="Verdana"/>
          <w:lang w:val="en-US"/>
        </w:rPr>
        <w:t xml:space="preserve">deprivation of liberty that took place after </w:t>
      </w:r>
      <w:r w:rsidR="00E15BBF" w:rsidRPr="002E60EB">
        <w:rPr>
          <w:rFonts w:cs="Verdana"/>
          <w:lang w:val="en-US"/>
        </w:rPr>
        <w:t xml:space="preserve">the events of August 29, 1996, since Colombia argues that there is </w:t>
      </w:r>
      <w:r w:rsidRPr="002E60EB">
        <w:rPr>
          <w:rFonts w:cs="Verdana"/>
          <w:lang w:val="en-US"/>
        </w:rPr>
        <w:t>in</w:t>
      </w:r>
      <w:r w:rsidR="00E15BBF" w:rsidRPr="002E60EB">
        <w:rPr>
          <w:rFonts w:cs="Verdana"/>
          <w:lang w:val="en-US"/>
        </w:rPr>
        <w:t xml:space="preserve">sufficient evidence that </w:t>
      </w:r>
      <w:r w:rsidRPr="002E60EB">
        <w:rPr>
          <w:rFonts w:cs="Verdana"/>
          <w:lang w:val="en-US"/>
        </w:rPr>
        <w:t>such</w:t>
      </w:r>
      <w:r w:rsidR="00E15BBF" w:rsidRPr="002E60EB">
        <w:rPr>
          <w:rFonts w:cs="Verdana"/>
          <w:lang w:val="en-US"/>
        </w:rPr>
        <w:t xml:space="preserve"> events took place</w:t>
      </w:r>
      <w:r w:rsidRPr="002E60EB">
        <w:rPr>
          <w:rFonts w:cs="Verdana"/>
          <w:lang w:val="en-US"/>
        </w:rPr>
        <w:t>,</w:t>
      </w:r>
      <w:r w:rsidR="00E15BBF" w:rsidRPr="002E60EB">
        <w:rPr>
          <w:rFonts w:cs="Verdana"/>
          <w:lang w:val="en-US"/>
        </w:rPr>
        <w:t xml:space="preserve"> and </w:t>
      </w:r>
      <w:r w:rsidRPr="002E60EB">
        <w:rPr>
          <w:rFonts w:cs="Verdana"/>
          <w:lang w:val="en-US"/>
        </w:rPr>
        <w:t xml:space="preserve">also </w:t>
      </w:r>
      <w:r w:rsidR="009708BF" w:rsidRPr="002E60EB">
        <w:rPr>
          <w:rFonts w:cs="Verdana"/>
          <w:lang w:val="en-US"/>
        </w:rPr>
        <w:t>that the participation of Stat</w:t>
      </w:r>
      <w:r w:rsidR="00E15BBF" w:rsidRPr="002E60EB">
        <w:rPr>
          <w:rFonts w:cs="Verdana"/>
          <w:lang w:val="en-US"/>
        </w:rPr>
        <w:t>e agents</w:t>
      </w:r>
      <w:r w:rsidRPr="002E60EB">
        <w:rPr>
          <w:rFonts w:cs="Verdana"/>
          <w:lang w:val="en-US"/>
        </w:rPr>
        <w:t xml:space="preserve"> in such events and the </w:t>
      </w:r>
      <w:r w:rsidR="00AE5BA1" w:rsidRPr="002E60EB">
        <w:rPr>
          <w:rFonts w:cs="Verdana"/>
          <w:lang w:val="en-US"/>
        </w:rPr>
        <w:t>causal nexus</w:t>
      </w:r>
      <w:r w:rsidRPr="002E60EB">
        <w:rPr>
          <w:rFonts w:cs="Verdana"/>
          <w:lang w:val="en-US"/>
        </w:rPr>
        <w:t xml:space="preserve"> between the attack on August 29, 1996, and the presumed subsequent threats</w:t>
      </w:r>
      <w:r w:rsidR="00E15BBF" w:rsidRPr="002E60EB">
        <w:rPr>
          <w:rFonts w:cs="Verdana"/>
          <w:lang w:val="en-US"/>
        </w:rPr>
        <w:t xml:space="preserve"> has not been prove</w:t>
      </w:r>
      <w:r w:rsidRPr="002E60EB">
        <w:rPr>
          <w:rFonts w:cs="Verdana"/>
          <w:lang w:val="en-US"/>
        </w:rPr>
        <w:t>d</w:t>
      </w:r>
      <w:r w:rsidR="00E15BBF" w:rsidRPr="002E60EB">
        <w:rPr>
          <w:rFonts w:cs="Verdana"/>
          <w:lang w:val="en-US"/>
        </w:rPr>
        <w:t xml:space="preserve">. </w:t>
      </w:r>
      <w:r w:rsidRPr="002E60EB">
        <w:rPr>
          <w:rFonts w:cs="Verdana"/>
          <w:lang w:val="en-US"/>
        </w:rPr>
        <w:t>The</w:t>
      </w:r>
      <w:r w:rsidR="00E15BBF" w:rsidRPr="002E60EB">
        <w:rPr>
          <w:rFonts w:cs="Verdana"/>
          <w:lang w:val="en-US"/>
        </w:rPr>
        <w:t xml:space="preserve"> State a</w:t>
      </w:r>
      <w:r w:rsidRPr="002E60EB">
        <w:rPr>
          <w:rFonts w:cs="Verdana"/>
          <w:lang w:val="en-US"/>
        </w:rPr>
        <w:t>lso a</w:t>
      </w:r>
      <w:r w:rsidR="00E15BBF" w:rsidRPr="002E60EB">
        <w:rPr>
          <w:rFonts w:cs="Verdana"/>
          <w:lang w:val="en-US"/>
        </w:rPr>
        <w:t xml:space="preserve">rgues that it </w:t>
      </w:r>
      <w:r w:rsidR="00EC2835" w:rsidRPr="002E60EB">
        <w:rPr>
          <w:rFonts w:cs="Verdana"/>
          <w:lang w:val="en-US"/>
        </w:rPr>
        <w:t xml:space="preserve">has </w:t>
      </w:r>
      <w:r w:rsidR="00E15BBF" w:rsidRPr="002E60EB">
        <w:rPr>
          <w:rFonts w:cs="Verdana"/>
          <w:lang w:val="en-US"/>
        </w:rPr>
        <w:t xml:space="preserve">complied with its obligation to </w:t>
      </w:r>
      <w:r w:rsidR="00EC2835" w:rsidRPr="002E60EB">
        <w:rPr>
          <w:rFonts w:cs="Verdana"/>
          <w:lang w:val="en-US"/>
        </w:rPr>
        <w:t xml:space="preserve">offer </w:t>
      </w:r>
      <w:r w:rsidR="00E15BBF" w:rsidRPr="002E60EB">
        <w:rPr>
          <w:rFonts w:cs="Verdana"/>
          <w:lang w:val="en-US"/>
        </w:rPr>
        <w:t xml:space="preserve">measures of protection to Mr. Vélez Restrepo and his family </w:t>
      </w:r>
      <w:r w:rsidR="00EC2835" w:rsidRPr="002E60EB">
        <w:rPr>
          <w:rFonts w:cs="Verdana"/>
          <w:lang w:val="en-US"/>
        </w:rPr>
        <w:t>following</w:t>
      </w:r>
      <w:r w:rsidR="00E15BBF" w:rsidRPr="002E60EB">
        <w:rPr>
          <w:rFonts w:cs="Verdana"/>
          <w:lang w:val="en-US"/>
        </w:rPr>
        <w:t xml:space="preserve"> the specific request made by Mr. Vélez Restrepo to </w:t>
      </w:r>
      <w:r w:rsidR="00087093" w:rsidRPr="002E60EB">
        <w:rPr>
          <w:rFonts w:cs="Verdana"/>
          <w:lang w:val="en-US"/>
        </w:rPr>
        <w:t>“</w:t>
      </w:r>
      <w:r w:rsidR="00E15BBF" w:rsidRPr="002E60EB">
        <w:rPr>
          <w:rFonts w:cs="Verdana"/>
          <w:lang w:val="en-US"/>
        </w:rPr>
        <w:t xml:space="preserve">the </w:t>
      </w:r>
      <w:r w:rsidR="00EC2835" w:rsidRPr="002E60EB">
        <w:rPr>
          <w:rFonts w:cs="Verdana"/>
          <w:lang w:val="en-US"/>
        </w:rPr>
        <w:t xml:space="preserve">competent </w:t>
      </w:r>
      <w:r w:rsidR="00E15BBF" w:rsidRPr="002E60EB">
        <w:rPr>
          <w:rFonts w:cs="Verdana"/>
          <w:lang w:val="en-US"/>
        </w:rPr>
        <w:t>authorities</w:t>
      </w:r>
      <w:r w:rsidR="00087093" w:rsidRPr="002E60EB">
        <w:rPr>
          <w:rFonts w:cs="Verdana"/>
          <w:lang w:val="en-US"/>
        </w:rPr>
        <w:t>”</w:t>
      </w:r>
      <w:r w:rsidR="00E15BBF" w:rsidRPr="002E60EB">
        <w:rPr>
          <w:rFonts w:cs="Verdana"/>
          <w:lang w:val="en-US"/>
        </w:rPr>
        <w:t xml:space="preserve"> on October 6, 1997. </w:t>
      </w:r>
      <w:r w:rsidR="00EC2835" w:rsidRPr="002E60EB">
        <w:rPr>
          <w:rFonts w:cs="Verdana"/>
          <w:lang w:val="en-US"/>
        </w:rPr>
        <w:t xml:space="preserve">In addition, </w:t>
      </w:r>
      <w:r w:rsidR="00E15BBF" w:rsidRPr="002E60EB">
        <w:rPr>
          <w:rFonts w:cs="Verdana"/>
          <w:lang w:val="en-US"/>
        </w:rPr>
        <w:t xml:space="preserve">Colombia did not </w:t>
      </w:r>
      <w:r w:rsidR="009708BF" w:rsidRPr="002E60EB">
        <w:rPr>
          <w:rFonts w:cs="Verdana"/>
          <w:lang w:val="en-US"/>
        </w:rPr>
        <w:t>acknowledge</w:t>
      </w:r>
      <w:r w:rsidR="00E15BBF" w:rsidRPr="002E60EB">
        <w:rPr>
          <w:rFonts w:cs="Verdana"/>
          <w:lang w:val="en-US"/>
        </w:rPr>
        <w:t xml:space="preserve"> the violations alleged by the Commission and the representative of Articles 22</w:t>
      </w:r>
      <w:r w:rsidR="00EC2835" w:rsidRPr="002E60EB">
        <w:rPr>
          <w:rFonts w:cs="Verdana"/>
          <w:lang w:val="en-US"/>
        </w:rPr>
        <w:t>(</w:t>
      </w:r>
      <w:r w:rsidR="00E15BBF" w:rsidRPr="002E60EB">
        <w:rPr>
          <w:rFonts w:cs="Verdana"/>
          <w:lang w:val="en-US"/>
        </w:rPr>
        <w:t>1</w:t>
      </w:r>
      <w:r w:rsidR="00EC2835" w:rsidRPr="002E60EB">
        <w:rPr>
          <w:rFonts w:cs="Verdana"/>
          <w:lang w:val="en-US"/>
        </w:rPr>
        <w:t>)</w:t>
      </w:r>
      <w:r w:rsidR="00E15BBF" w:rsidRPr="002E60EB">
        <w:rPr>
          <w:rFonts w:cs="Verdana"/>
          <w:lang w:val="en-US"/>
        </w:rPr>
        <w:t xml:space="preserve"> (</w:t>
      </w:r>
      <w:r w:rsidR="00EC2835" w:rsidRPr="002E60EB">
        <w:rPr>
          <w:rFonts w:cs="Verdana"/>
          <w:lang w:val="en-US"/>
        </w:rPr>
        <w:t>Freedom of</w:t>
      </w:r>
      <w:r w:rsidR="00E15BBF" w:rsidRPr="002E60EB">
        <w:rPr>
          <w:rFonts w:cs="Verdana"/>
          <w:lang w:val="en-US"/>
        </w:rPr>
        <w:t xml:space="preserve"> Movement and Residence), 17</w:t>
      </w:r>
      <w:r w:rsidR="00EC2835" w:rsidRPr="002E60EB">
        <w:rPr>
          <w:rFonts w:cs="Verdana"/>
          <w:lang w:val="en-US"/>
        </w:rPr>
        <w:t>(</w:t>
      </w:r>
      <w:r w:rsidR="00E15BBF" w:rsidRPr="002E60EB">
        <w:rPr>
          <w:rFonts w:cs="Verdana"/>
          <w:lang w:val="en-US"/>
        </w:rPr>
        <w:t>1</w:t>
      </w:r>
      <w:r w:rsidR="00EC2835" w:rsidRPr="002E60EB">
        <w:rPr>
          <w:rFonts w:cs="Verdana"/>
          <w:lang w:val="en-US"/>
        </w:rPr>
        <w:t>)</w:t>
      </w:r>
      <w:r w:rsidR="00E15BBF" w:rsidRPr="002E60EB">
        <w:rPr>
          <w:rFonts w:cs="Verdana"/>
          <w:lang w:val="en-US"/>
        </w:rPr>
        <w:t xml:space="preserve"> (Rights of the Family) and 19 (Rights of the Child) of the Convention </w:t>
      </w:r>
      <w:r w:rsidR="00EC2835" w:rsidRPr="002E60EB">
        <w:rPr>
          <w:rFonts w:cs="Verdana"/>
          <w:lang w:val="en-US"/>
        </w:rPr>
        <w:t xml:space="preserve">to the detriment of </w:t>
      </w:r>
      <w:r w:rsidR="00E15BBF" w:rsidRPr="002E60EB">
        <w:rPr>
          <w:rFonts w:cs="Verdana"/>
          <w:lang w:val="en-US"/>
        </w:rPr>
        <w:t xml:space="preserve">Mr. Vélez Restrepo, </w:t>
      </w:r>
      <w:r w:rsidR="00E15BBF" w:rsidRPr="002E60EB">
        <w:rPr>
          <w:lang w:val="en-US"/>
        </w:rPr>
        <w:t xml:space="preserve">his wife </w:t>
      </w:r>
      <w:r w:rsidR="00EC2835" w:rsidRPr="002E60EB">
        <w:rPr>
          <w:lang w:val="en-US"/>
        </w:rPr>
        <w:t xml:space="preserve">Mrs. </w:t>
      </w:r>
      <w:r w:rsidR="00E15BBF" w:rsidRPr="002E60EB">
        <w:rPr>
          <w:lang w:val="en-US"/>
        </w:rPr>
        <w:t>Román Amariles, and their children</w:t>
      </w:r>
      <w:r w:rsidR="00EC2835" w:rsidRPr="002E60EB">
        <w:rPr>
          <w:lang w:val="en-US"/>
        </w:rPr>
        <w:t xml:space="preserve"> Mateo and</w:t>
      </w:r>
      <w:r w:rsidR="00E15BBF" w:rsidRPr="002E60EB">
        <w:rPr>
          <w:lang w:val="en-US"/>
        </w:rPr>
        <w:t xml:space="preserve"> Juliana Vélez Román</w:t>
      </w:r>
      <w:r w:rsidR="00E15BBF" w:rsidRPr="002E60EB">
        <w:rPr>
          <w:rFonts w:cs="Verdana"/>
          <w:lang w:val="en-US"/>
        </w:rPr>
        <w:t xml:space="preserve">. </w:t>
      </w:r>
      <w:r w:rsidR="00EC2835" w:rsidRPr="002E60EB">
        <w:rPr>
          <w:rFonts w:cs="Verdana"/>
          <w:lang w:val="en-US"/>
        </w:rPr>
        <w:t>The dispute also subsists with regard to</w:t>
      </w:r>
      <w:r w:rsidR="00E15BBF" w:rsidRPr="002E60EB">
        <w:rPr>
          <w:rFonts w:cs="Verdana"/>
          <w:lang w:val="en-US"/>
        </w:rPr>
        <w:t xml:space="preserve"> the violation alleged by the representative of Article 4 (Right to Life) of the Convention to the detriment of Mr. Vélez Restrepo </w:t>
      </w:r>
      <w:r w:rsidR="00EC2835" w:rsidRPr="002E60EB">
        <w:rPr>
          <w:rFonts w:cs="Verdana"/>
          <w:lang w:val="en-US"/>
        </w:rPr>
        <w:t xml:space="preserve">owing to </w:t>
      </w:r>
      <w:r w:rsidR="00E15BBF" w:rsidRPr="002E60EB">
        <w:rPr>
          <w:rFonts w:cs="Verdana"/>
          <w:lang w:val="en-US"/>
        </w:rPr>
        <w:t xml:space="preserve">the alleged </w:t>
      </w:r>
      <w:r w:rsidR="00087093" w:rsidRPr="002E60EB">
        <w:rPr>
          <w:rFonts w:cs="Verdana"/>
          <w:lang w:val="en-US"/>
        </w:rPr>
        <w:t>“</w:t>
      </w:r>
      <w:r w:rsidR="00E15BBF" w:rsidRPr="002E60EB">
        <w:rPr>
          <w:rFonts w:cs="Verdana"/>
          <w:lang w:val="en-US"/>
        </w:rPr>
        <w:t>forced disappearance attempt</w:t>
      </w:r>
      <w:r w:rsidR="00087093" w:rsidRPr="002E60EB">
        <w:rPr>
          <w:rFonts w:cs="Verdana"/>
          <w:lang w:val="en-US"/>
        </w:rPr>
        <w:t>”</w:t>
      </w:r>
      <w:r w:rsidR="00E15BBF" w:rsidRPr="002E60EB">
        <w:rPr>
          <w:rFonts w:cs="Verdana"/>
          <w:lang w:val="en-US"/>
        </w:rPr>
        <w:t xml:space="preserve"> </w:t>
      </w:r>
      <w:r w:rsidR="00EC2835" w:rsidRPr="002E60EB">
        <w:rPr>
          <w:rFonts w:cs="Verdana"/>
          <w:lang w:val="en-US"/>
        </w:rPr>
        <w:t>in relation to the</w:t>
      </w:r>
      <w:r w:rsidR="00E15BBF" w:rsidRPr="002E60EB">
        <w:rPr>
          <w:rFonts w:cs="Verdana"/>
          <w:lang w:val="en-US"/>
        </w:rPr>
        <w:t xml:space="preserve"> events that occurred on October 6, 1997, described by the Inter-American Commission as an </w:t>
      </w:r>
      <w:r w:rsidR="00087093" w:rsidRPr="002E60EB">
        <w:rPr>
          <w:rFonts w:cs="Verdana"/>
          <w:lang w:val="en-US"/>
        </w:rPr>
        <w:t>“</w:t>
      </w:r>
      <w:r w:rsidR="00E15BBF" w:rsidRPr="002E60EB">
        <w:rPr>
          <w:rFonts w:cs="Verdana"/>
          <w:lang w:val="en-US"/>
        </w:rPr>
        <w:t xml:space="preserve">attempted </w:t>
      </w:r>
      <w:r w:rsidR="00334C3C" w:rsidRPr="002E60EB">
        <w:rPr>
          <w:rFonts w:cs="Verdana"/>
          <w:lang w:val="en-US"/>
        </w:rPr>
        <w:t>kidnapping</w:t>
      </w:r>
      <w:r w:rsidR="00E15BBF" w:rsidRPr="002E60EB">
        <w:rPr>
          <w:rFonts w:cs="Verdana"/>
          <w:lang w:val="en-US"/>
        </w:rPr>
        <w:t>.</w:t>
      </w:r>
      <w:r w:rsidR="00087093" w:rsidRPr="002E60EB">
        <w:rPr>
          <w:rFonts w:cs="Verdana"/>
          <w:lang w:val="en-US"/>
        </w:rPr>
        <w:t>”</w:t>
      </w:r>
      <w:r w:rsidR="00E15BBF" w:rsidRPr="002E60EB">
        <w:rPr>
          <w:rFonts w:cs="Verdana"/>
          <w:lang w:val="en-US"/>
        </w:rPr>
        <w:t xml:space="preserve"> The State also did not acknowledge the violation alleged by the representative of Article 11</w:t>
      </w:r>
      <w:r w:rsidR="00EC2835" w:rsidRPr="002E60EB">
        <w:rPr>
          <w:rFonts w:cs="Verdana"/>
          <w:lang w:val="en-US"/>
        </w:rPr>
        <w:t>(1)</w:t>
      </w:r>
      <w:r w:rsidR="00E15BBF" w:rsidRPr="002E60EB">
        <w:rPr>
          <w:rFonts w:cs="Verdana"/>
          <w:lang w:val="en-US"/>
        </w:rPr>
        <w:t xml:space="preserve"> (</w:t>
      </w:r>
      <w:r w:rsidR="009708BF" w:rsidRPr="002E60EB">
        <w:rPr>
          <w:rFonts w:cs="Verdana"/>
          <w:lang w:val="en-US"/>
        </w:rPr>
        <w:t>R</w:t>
      </w:r>
      <w:r w:rsidR="00E15BBF" w:rsidRPr="002E60EB">
        <w:rPr>
          <w:rFonts w:cs="Verdana"/>
          <w:lang w:val="en-US"/>
        </w:rPr>
        <w:t xml:space="preserve">ight to </w:t>
      </w:r>
      <w:r w:rsidR="00EC2835" w:rsidRPr="002E60EB">
        <w:rPr>
          <w:rFonts w:cs="Verdana"/>
          <w:lang w:val="en-US"/>
        </w:rPr>
        <w:t>honor and dignity</w:t>
      </w:r>
      <w:r w:rsidR="00E15BBF" w:rsidRPr="002E60EB">
        <w:rPr>
          <w:rFonts w:cs="Verdana"/>
          <w:lang w:val="en-US"/>
        </w:rPr>
        <w:t xml:space="preserve">) of the Convention </w:t>
      </w:r>
      <w:r w:rsidR="00EC2835" w:rsidRPr="002E60EB">
        <w:rPr>
          <w:rFonts w:cs="Verdana"/>
          <w:lang w:val="en-US"/>
        </w:rPr>
        <w:t>to the detriment of</w:t>
      </w:r>
      <w:r w:rsidR="00E15BBF" w:rsidRPr="002E60EB">
        <w:rPr>
          <w:rFonts w:cs="Verdana"/>
          <w:lang w:val="en-US"/>
        </w:rPr>
        <w:t xml:space="preserve"> Mr. Vélez Restrepo </w:t>
      </w:r>
      <w:r w:rsidR="00087093" w:rsidRPr="002E60EB">
        <w:rPr>
          <w:rFonts w:cs="Verdana"/>
          <w:lang w:val="en-US"/>
        </w:rPr>
        <w:t>“</w:t>
      </w:r>
      <w:r w:rsidR="00E15BBF" w:rsidRPr="002E60EB">
        <w:rPr>
          <w:rFonts w:cs="Verdana"/>
          <w:lang w:val="en-US"/>
        </w:rPr>
        <w:t>as a result</w:t>
      </w:r>
      <w:r w:rsidR="00087093" w:rsidRPr="002E60EB">
        <w:rPr>
          <w:rFonts w:cs="Verdana"/>
          <w:lang w:val="en-US"/>
        </w:rPr>
        <w:t>”</w:t>
      </w:r>
      <w:r w:rsidR="00E15BBF" w:rsidRPr="002E60EB">
        <w:rPr>
          <w:rFonts w:cs="Verdana"/>
          <w:lang w:val="en-US"/>
        </w:rPr>
        <w:t xml:space="preserve"> of the </w:t>
      </w:r>
      <w:r w:rsidR="00087093" w:rsidRPr="002E60EB">
        <w:rPr>
          <w:rFonts w:cs="Verdana"/>
          <w:lang w:val="en-US"/>
        </w:rPr>
        <w:t>“</w:t>
      </w:r>
      <w:r w:rsidR="00E15BBF" w:rsidRPr="002E60EB">
        <w:rPr>
          <w:rFonts w:cs="Verdana"/>
          <w:lang w:val="en-US"/>
        </w:rPr>
        <w:t>persistent</w:t>
      </w:r>
      <w:r w:rsidR="00087093" w:rsidRPr="002E60EB">
        <w:rPr>
          <w:rFonts w:cs="Verdana"/>
          <w:lang w:val="en-US"/>
        </w:rPr>
        <w:t>”</w:t>
      </w:r>
      <w:r w:rsidR="00E15BBF" w:rsidRPr="002E60EB">
        <w:rPr>
          <w:rFonts w:cs="Verdana"/>
          <w:lang w:val="en-US"/>
        </w:rPr>
        <w:t xml:space="preserve"> alleged violation</w:t>
      </w:r>
      <w:r w:rsidR="00EC2835" w:rsidRPr="002E60EB">
        <w:rPr>
          <w:rFonts w:cs="Verdana"/>
          <w:lang w:val="en-US"/>
        </w:rPr>
        <w:t xml:space="preserve"> of Article 13</w:t>
      </w:r>
      <w:r w:rsidR="00E15BBF" w:rsidRPr="002E60EB">
        <w:rPr>
          <w:rFonts w:cs="Verdana"/>
          <w:lang w:val="en-US"/>
        </w:rPr>
        <w:t xml:space="preserve"> of the Convention. </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bCs/>
          <w:lang w:val="en-US"/>
        </w:rPr>
        <w:t xml:space="preserve">In the preceding paragraphs, the </w:t>
      </w:r>
      <w:r w:rsidR="00D00C5F" w:rsidRPr="002E60EB">
        <w:rPr>
          <w:bCs/>
          <w:lang w:val="en-US"/>
        </w:rPr>
        <w:t>Court</w:t>
      </w:r>
      <w:r w:rsidRPr="002E60EB">
        <w:rPr>
          <w:bCs/>
          <w:lang w:val="en-US"/>
        </w:rPr>
        <w:t xml:space="preserve"> </w:t>
      </w:r>
      <w:r w:rsidR="00EC2835" w:rsidRPr="002E60EB">
        <w:rPr>
          <w:bCs/>
          <w:lang w:val="en-US"/>
        </w:rPr>
        <w:t>has indicated</w:t>
      </w:r>
      <w:r w:rsidRPr="002E60EB">
        <w:rPr>
          <w:bCs/>
          <w:lang w:val="en-US"/>
        </w:rPr>
        <w:t xml:space="preserve"> the facts and legal claims that the State has acknowledged with </w:t>
      </w:r>
      <w:r w:rsidR="00EC2835" w:rsidRPr="002E60EB">
        <w:rPr>
          <w:bCs/>
          <w:lang w:val="en-US"/>
        </w:rPr>
        <w:t xml:space="preserve">regard </w:t>
      </w:r>
      <w:r w:rsidRPr="002E60EB">
        <w:rPr>
          <w:bCs/>
          <w:lang w:val="en-US"/>
        </w:rPr>
        <w:t>to the violation of Articles 5, 13, 8, and 25 of the American Convention.</w:t>
      </w:r>
      <w:r w:rsidR="00EC2835" w:rsidRPr="002E60EB">
        <w:rPr>
          <w:bCs/>
          <w:lang w:val="en-US"/>
        </w:rPr>
        <w:t xml:space="preserve"> T</w:t>
      </w:r>
      <w:r w:rsidRPr="002E60EB">
        <w:rPr>
          <w:bCs/>
          <w:lang w:val="en-US"/>
        </w:rPr>
        <w:t xml:space="preserve">he State </w:t>
      </w:r>
      <w:r w:rsidR="00EC2835" w:rsidRPr="002E60EB">
        <w:rPr>
          <w:bCs/>
          <w:lang w:val="en-US"/>
        </w:rPr>
        <w:t xml:space="preserve">also acknowledged as victims both </w:t>
      </w:r>
      <w:r w:rsidR="009708BF" w:rsidRPr="002E60EB">
        <w:rPr>
          <w:bCs/>
          <w:lang w:val="en-US"/>
        </w:rPr>
        <w:t>Mr. Vélez Restrepo, and</w:t>
      </w:r>
      <w:r w:rsidRPr="002E60EB">
        <w:rPr>
          <w:bCs/>
          <w:lang w:val="en-US"/>
        </w:rPr>
        <w:t xml:space="preserve"> </w:t>
      </w:r>
      <w:r w:rsidR="00EC2835" w:rsidRPr="002E60EB">
        <w:rPr>
          <w:bCs/>
          <w:lang w:val="en-US"/>
        </w:rPr>
        <w:t>also his wife, Aracelly Román Amariles,</w:t>
      </w:r>
      <w:r w:rsidRPr="002E60EB">
        <w:rPr>
          <w:bCs/>
          <w:lang w:val="en-US"/>
        </w:rPr>
        <w:t xml:space="preserve"> and </w:t>
      </w:r>
      <w:r w:rsidRPr="002E60EB">
        <w:rPr>
          <w:lang w:val="en-US"/>
        </w:rPr>
        <w:t>their children</w:t>
      </w:r>
      <w:r w:rsidR="00EC2835" w:rsidRPr="002E60EB">
        <w:rPr>
          <w:lang w:val="en-US"/>
        </w:rPr>
        <w:t xml:space="preserve"> Mateo and</w:t>
      </w:r>
      <w:r w:rsidRPr="002E60EB">
        <w:rPr>
          <w:lang w:val="en-US"/>
        </w:rPr>
        <w:t xml:space="preserve"> Juliana Vélez Román</w:t>
      </w:r>
      <w:r w:rsidRPr="002E60EB">
        <w:rPr>
          <w:bCs/>
          <w:lang w:val="en-US"/>
        </w:rPr>
        <w:t xml:space="preserve">, </w:t>
      </w:r>
      <w:r w:rsidR="00EC2835" w:rsidRPr="002E60EB">
        <w:rPr>
          <w:bCs/>
          <w:lang w:val="en-US"/>
        </w:rPr>
        <w:t>as previously indicated</w:t>
      </w:r>
      <w:r w:rsidRPr="002E60EB">
        <w:rPr>
          <w:bCs/>
          <w:lang w:val="en-US"/>
        </w:rPr>
        <w:t xml:space="preserve">. </w:t>
      </w:r>
      <w:r w:rsidR="00EC2835" w:rsidRPr="002E60EB">
        <w:rPr>
          <w:bCs/>
          <w:lang w:val="en-US"/>
        </w:rPr>
        <w:t>Regarding</w:t>
      </w:r>
      <w:r w:rsidRPr="002E60EB">
        <w:rPr>
          <w:bCs/>
          <w:lang w:val="en-US"/>
        </w:rPr>
        <w:t xml:space="preserve"> the claims for reparations, the State expressed its willingness to repair </w:t>
      </w:r>
      <w:r w:rsidR="00EC2835" w:rsidRPr="002E60EB">
        <w:rPr>
          <w:bCs/>
          <w:lang w:val="en-US"/>
        </w:rPr>
        <w:t>fully t</w:t>
      </w:r>
      <w:r w:rsidRPr="002E60EB">
        <w:rPr>
          <w:bCs/>
          <w:lang w:val="en-US"/>
        </w:rPr>
        <w:t xml:space="preserve">he </w:t>
      </w:r>
      <w:r w:rsidR="00EC2835" w:rsidRPr="002E60EB">
        <w:rPr>
          <w:bCs/>
          <w:lang w:val="en-US"/>
        </w:rPr>
        <w:t>harm</w:t>
      </w:r>
      <w:r w:rsidRPr="002E60EB">
        <w:rPr>
          <w:bCs/>
          <w:lang w:val="en-US"/>
        </w:rPr>
        <w:t xml:space="preserve"> caused by the violations </w:t>
      </w:r>
      <w:r w:rsidR="00EC2835" w:rsidRPr="002E60EB">
        <w:rPr>
          <w:bCs/>
          <w:lang w:val="en-US"/>
        </w:rPr>
        <w:t xml:space="preserve">that it had </w:t>
      </w:r>
      <w:r w:rsidRPr="002E60EB">
        <w:rPr>
          <w:bCs/>
          <w:lang w:val="en-US"/>
        </w:rPr>
        <w:t xml:space="preserve">acknowledged, but </w:t>
      </w:r>
      <w:r w:rsidR="00EC2835" w:rsidRPr="002E60EB">
        <w:rPr>
          <w:bCs/>
          <w:lang w:val="en-US"/>
        </w:rPr>
        <w:t>contested</w:t>
      </w:r>
      <w:r w:rsidRPr="002E60EB">
        <w:rPr>
          <w:bCs/>
          <w:lang w:val="en-US"/>
        </w:rPr>
        <w:t xml:space="preserve"> </w:t>
      </w:r>
      <w:r w:rsidR="00087093" w:rsidRPr="002E60EB">
        <w:rPr>
          <w:bCs/>
          <w:lang w:val="en-US"/>
        </w:rPr>
        <w:t>“</w:t>
      </w:r>
      <w:r w:rsidRPr="002E60EB">
        <w:rPr>
          <w:bCs/>
          <w:lang w:val="en-US"/>
        </w:rPr>
        <w:t xml:space="preserve">the </w:t>
      </w:r>
      <w:r w:rsidR="000D6B42" w:rsidRPr="002E60EB">
        <w:rPr>
          <w:bCs/>
          <w:lang w:val="en-US"/>
        </w:rPr>
        <w:t xml:space="preserve">requested </w:t>
      </w:r>
      <w:r w:rsidRPr="002E60EB">
        <w:rPr>
          <w:bCs/>
          <w:lang w:val="en-US"/>
        </w:rPr>
        <w:t>re</w:t>
      </w:r>
      <w:r w:rsidR="00EC2835" w:rsidRPr="002E60EB">
        <w:rPr>
          <w:bCs/>
          <w:lang w:val="en-US"/>
        </w:rPr>
        <w:t>paration</w:t>
      </w:r>
      <w:r w:rsidRPr="002E60EB">
        <w:rPr>
          <w:bCs/>
          <w:lang w:val="en-US"/>
        </w:rPr>
        <w:t xml:space="preserve"> </w:t>
      </w:r>
      <w:r w:rsidR="000D6B42" w:rsidRPr="002E60EB">
        <w:rPr>
          <w:bCs/>
          <w:lang w:val="en-US"/>
        </w:rPr>
        <w:t>of</w:t>
      </w:r>
      <w:r w:rsidR="009708BF" w:rsidRPr="002E60EB">
        <w:rPr>
          <w:bCs/>
          <w:lang w:val="en-US"/>
        </w:rPr>
        <w:t xml:space="preserve"> reopening</w:t>
      </w:r>
      <w:r w:rsidRPr="002E60EB">
        <w:rPr>
          <w:bCs/>
          <w:lang w:val="en-US"/>
        </w:rPr>
        <w:t xml:space="preserve"> the criminal investigations into personal injuries and threats that </w:t>
      </w:r>
      <w:r w:rsidR="000D6B42" w:rsidRPr="002E60EB">
        <w:rPr>
          <w:bCs/>
          <w:lang w:val="en-US"/>
        </w:rPr>
        <w:t>had prescribed.</w:t>
      </w:r>
      <w:r w:rsidR="00087093" w:rsidRPr="002E60EB">
        <w:rPr>
          <w:bCs/>
          <w:lang w:val="en-US"/>
        </w:rPr>
        <w:t>”</w:t>
      </w:r>
      <w:r w:rsidR="000D6B42" w:rsidRPr="002E60EB">
        <w:rPr>
          <w:bCs/>
          <w:lang w:val="en-US"/>
        </w:rPr>
        <w:t xml:space="preserve"> </w:t>
      </w:r>
      <w:r w:rsidRPr="002E60EB">
        <w:rPr>
          <w:bCs/>
          <w:lang w:val="en-US"/>
        </w:rPr>
        <w:t xml:space="preserve">Colombia also referred to the reparations it considers it has </w:t>
      </w:r>
      <w:r w:rsidR="000D6B42" w:rsidRPr="002E60EB">
        <w:rPr>
          <w:bCs/>
          <w:lang w:val="en-US"/>
        </w:rPr>
        <w:t>been complying with</w:t>
      </w:r>
      <w:r w:rsidRPr="002E60EB">
        <w:rPr>
          <w:bCs/>
          <w:lang w:val="en-US"/>
        </w:rPr>
        <w:t xml:space="preserve"> and</w:t>
      </w:r>
      <w:r w:rsidR="000D6B42" w:rsidRPr="002E60EB">
        <w:rPr>
          <w:bCs/>
          <w:lang w:val="en-US"/>
        </w:rPr>
        <w:t xml:space="preserve"> with which it</w:t>
      </w:r>
      <w:r w:rsidRPr="002E60EB">
        <w:rPr>
          <w:bCs/>
          <w:lang w:val="en-US"/>
        </w:rPr>
        <w:t xml:space="preserve"> will continue to </w:t>
      </w:r>
      <w:r w:rsidR="000D6B42" w:rsidRPr="002E60EB">
        <w:rPr>
          <w:bCs/>
          <w:lang w:val="en-US"/>
        </w:rPr>
        <w:t>comply</w:t>
      </w:r>
      <w:r w:rsidRPr="002E60EB">
        <w:rPr>
          <w:bCs/>
          <w:lang w:val="en-US"/>
        </w:rPr>
        <w:t xml:space="preserve">. As </w:t>
      </w:r>
      <w:r w:rsidR="000D6B42" w:rsidRPr="002E60EB">
        <w:rPr>
          <w:bCs/>
          <w:lang w:val="en-US"/>
        </w:rPr>
        <w:t>for</w:t>
      </w:r>
      <w:r w:rsidRPr="002E60EB">
        <w:rPr>
          <w:bCs/>
          <w:lang w:val="en-US"/>
        </w:rPr>
        <w:t xml:space="preserve"> the other reparations requested, the State indicated that it defers to the</w:t>
      </w:r>
      <w:r w:rsidR="000D6B42" w:rsidRPr="002E60EB">
        <w:rPr>
          <w:bCs/>
          <w:lang w:val="en-US"/>
        </w:rPr>
        <w:t xml:space="preserve"> decision of the</w:t>
      </w:r>
      <w:r w:rsidRPr="002E60EB">
        <w:rPr>
          <w:bCs/>
          <w:lang w:val="en-US"/>
        </w:rPr>
        <w:t xml:space="preserve"> Court. </w:t>
      </w:r>
      <w:r w:rsidRPr="002E60EB">
        <w:rPr>
          <w:bCs/>
          <w:lang w:val="en-US"/>
        </w:rPr>
        <w:lastRenderedPageBreak/>
        <w:t xml:space="preserve">The State </w:t>
      </w:r>
      <w:r w:rsidR="000D6B42" w:rsidRPr="002E60EB">
        <w:rPr>
          <w:bCs/>
          <w:lang w:val="en-US"/>
        </w:rPr>
        <w:t xml:space="preserve">asked </w:t>
      </w:r>
      <w:r w:rsidRPr="002E60EB">
        <w:rPr>
          <w:bCs/>
          <w:lang w:val="en-US"/>
        </w:rPr>
        <w:t xml:space="preserve">the Court to </w:t>
      </w:r>
      <w:r w:rsidR="00087093" w:rsidRPr="002E60EB">
        <w:rPr>
          <w:bCs/>
          <w:lang w:val="en-US"/>
        </w:rPr>
        <w:t>“</w:t>
      </w:r>
      <w:r w:rsidR="000D6B42" w:rsidRPr="002E60EB">
        <w:rPr>
          <w:bCs/>
          <w:lang w:val="en-US"/>
        </w:rPr>
        <w:t>establish</w:t>
      </w:r>
      <w:r w:rsidRPr="002E60EB">
        <w:rPr>
          <w:bCs/>
          <w:lang w:val="en-US"/>
        </w:rPr>
        <w:t xml:space="preserve"> the amounts it </w:t>
      </w:r>
      <w:r w:rsidR="000D6B42" w:rsidRPr="002E60EB">
        <w:rPr>
          <w:bCs/>
          <w:lang w:val="en-US"/>
        </w:rPr>
        <w:t xml:space="preserve">considers </w:t>
      </w:r>
      <w:r w:rsidRPr="002E60EB">
        <w:rPr>
          <w:bCs/>
          <w:lang w:val="en-US"/>
        </w:rPr>
        <w:t>appropriate</w:t>
      </w:r>
      <w:r w:rsidR="00087093" w:rsidRPr="002E60EB">
        <w:rPr>
          <w:bCs/>
          <w:lang w:val="en-US"/>
        </w:rPr>
        <w:t>”</w:t>
      </w:r>
      <w:r w:rsidRPr="002E60EB">
        <w:rPr>
          <w:bCs/>
          <w:lang w:val="en-US"/>
        </w:rPr>
        <w:t xml:space="preserve"> with regard to the requests for compensation for pecuniary and non-pecuniary damage and reimbursement of costs and expenses, but it maintained that some of the claims for damages </w:t>
      </w:r>
      <w:r w:rsidR="000D6B42" w:rsidRPr="002E60EB">
        <w:rPr>
          <w:bCs/>
          <w:lang w:val="en-US"/>
        </w:rPr>
        <w:t>lacked a</w:t>
      </w:r>
      <w:r w:rsidRPr="002E60EB">
        <w:rPr>
          <w:bCs/>
          <w:lang w:val="en-US"/>
        </w:rPr>
        <w:t xml:space="preserve"> causal </w:t>
      </w:r>
      <w:r w:rsidR="00AE5BA1" w:rsidRPr="002E60EB">
        <w:rPr>
          <w:bCs/>
          <w:lang w:val="en-US"/>
        </w:rPr>
        <w:t>nexus</w:t>
      </w:r>
      <w:r w:rsidR="000D6B42" w:rsidRPr="002E60EB">
        <w:rPr>
          <w:bCs/>
          <w:lang w:val="en-US"/>
        </w:rPr>
        <w:t xml:space="preserve"> </w:t>
      </w:r>
      <w:r w:rsidRPr="002E60EB">
        <w:rPr>
          <w:bCs/>
          <w:lang w:val="en-US"/>
        </w:rPr>
        <w:t xml:space="preserve">or supporting evidence. </w:t>
      </w:r>
    </w:p>
    <w:p w:rsidR="00E15BBF" w:rsidRPr="002E60EB" w:rsidRDefault="00E15BBF" w:rsidP="00317748">
      <w:pPr>
        <w:tabs>
          <w:tab w:val="left" w:pos="720"/>
        </w:tabs>
        <w:jc w:val="both"/>
        <w:rPr>
          <w:rFonts w:cs="Verdana"/>
          <w:b/>
          <w:lang w:val="en-US"/>
        </w:rPr>
      </w:pPr>
    </w:p>
    <w:p w:rsidR="00E15BBF" w:rsidRPr="002E60EB" w:rsidRDefault="00E15BBF" w:rsidP="00317748">
      <w:pPr>
        <w:numPr>
          <w:ilvl w:val="0"/>
          <w:numId w:val="1"/>
        </w:numPr>
        <w:tabs>
          <w:tab w:val="left" w:pos="720"/>
        </w:tabs>
        <w:jc w:val="both"/>
        <w:rPr>
          <w:rFonts w:cs="Verdana"/>
          <w:lang w:val="en-US"/>
        </w:rPr>
      </w:pPr>
      <w:r w:rsidRPr="002E60EB">
        <w:rPr>
          <w:lang w:val="en-US"/>
        </w:rPr>
        <w:t xml:space="preserve">Taking into </w:t>
      </w:r>
      <w:r w:rsidR="000D6B42" w:rsidRPr="002E60EB">
        <w:rPr>
          <w:lang w:val="en-US"/>
        </w:rPr>
        <w:t xml:space="preserve">consideration </w:t>
      </w:r>
      <w:r w:rsidRPr="002E60EB">
        <w:rPr>
          <w:lang w:val="en-US"/>
        </w:rPr>
        <w:t xml:space="preserve">that </w:t>
      </w:r>
      <w:r w:rsidR="000D6B42" w:rsidRPr="002E60EB">
        <w:rPr>
          <w:lang w:val="en-US"/>
        </w:rPr>
        <w:t xml:space="preserve">several </w:t>
      </w:r>
      <w:r w:rsidRPr="002E60EB">
        <w:rPr>
          <w:lang w:val="en-US"/>
        </w:rPr>
        <w:t>issues remain in dispute w</w:t>
      </w:r>
      <w:r w:rsidR="009708BF" w:rsidRPr="002E60EB">
        <w:rPr>
          <w:lang w:val="en-US"/>
        </w:rPr>
        <w:t>ith regard to some of the facts that constitute</w:t>
      </w:r>
      <w:r w:rsidRPr="002E60EB">
        <w:rPr>
          <w:lang w:val="en-US"/>
        </w:rPr>
        <w:t xml:space="preserve"> alleged violations of Articles </w:t>
      </w:r>
      <w:r w:rsidRPr="002E60EB">
        <w:rPr>
          <w:bCs/>
          <w:lang w:val="en-US"/>
        </w:rPr>
        <w:t xml:space="preserve">5, 13, 22, 19, 8(1), 25, 4 and 11 of the Convention, </w:t>
      </w:r>
      <w:r w:rsidR="009708BF" w:rsidRPr="002E60EB">
        <w:rPr>
          <w:bCs/>
          <w:lang w:val="en-US"/>
        </w:rPr>
        <w:t xml:space="preserve">as well as the determination of </w:t>
      </w:r>
      <w:r w:rsidRPr="002E60EB">
        <w:rPr>
          <w:bCs/>
          <w:lang w:val="en-US"/>
        </w:rPr>
        <w:t xml:space="preserve">appropriate measures of reparation, the Court </w:t>
      </w:r>
      <w:r w:rsidR="000D6B42" w:rsidRPr="002E60EB">
        <w:rPr>
          <w:bCs/>
          <w:lang w:val="en-US"/>
        </w:rPr>
        <w:t xml:space="preserve">finds </w:t>
      </w:r>
      <w:r w:rsidRPr="002E60EB">
        <w:rPr>
          <w:bCs/>
          <w:lang w:val="en-US"/>
        </w:rPr>
        <w:t>it necessary to</w:t>
      </w:r>
      <w:r w:rsidR="009708BF" w:rsidRPr="002E60EB">
        <w:rPr>
          <w:bCs/>
          <w:lang w:val="en-US"/>
        </w:rPr>
        <w:t xml:space="preserve"> deliver</w:t>
      </w:r>
      <w:r w:rsidRPr="002E60EB">
        <w:rPr>
          <w:bCs/>
          <w:lang w:val="en-US"/>
        </w:rPr>
        <w:t xml:space="preserve"> a </w:t>
      </w:r>
      <w:r w:rsidR="000D6B42" w:rsidRPr="002E60EB">
        <w:rPr>
          <w:bCs/>
          <w:lang w:val="en-US"/>
        </w:rPr>
        <w:t>j</w:t>
      </w:r>
      <w:r w:rsidRPr="002E60EB">
        <w:rPr>
          <w:bCs/>
          <w:lang w:val="en-US"/>
        </w:rPr>
        <w:t xml:space="preserve">udgment </w:t>
      </w:r>
      <w:r w:rsidR="000D6B42" w:rsidRPr="002E60EB">
        <w:rPr>
          <w:bCs/>
          <w:lang w:val="en-US"/>
        </w:rPr>
        <w:t>in which it</w:t>
      </w:r>
      <w:r w:rsidRPr="002E60EB">
        <w:rPr>
          <w:bCs/>
          <w:lang w:val="en-US"/>
        </w:rPr>
        <w:t xml:space="preserve"> determine</w:t>
      </w:r>
      <w:r w:rsidR="000D6B42" w:rsidRPr="002E60EB">
        <w:rPr>
          <w:bCs/>
          <w:lang w:val="en-US"/>
        </w:rPr>
        <w:t>s</w:t>
      </w:r>
      <w:r w:rsidRPr="002E60EB">
        <w:rPr>
          <w:bCs/>
          <w:lang w:val="en-US"/>
        </w:rPr>
        <w:t xml:space="preserve"> the facts </w:t>
      </w:r>
      <w:r w:rsidR="000D6B42" w:rsidRPr="002E60EB">
        <w:rPr>
          <w:bCs/>
          <w:lang w:val="en-US"/>
        </w:rPr>
        <w:t xml:space="preserve">that </w:t>
      </w:r>
      <w:r w:rsidRPr="002E60EB">
        <w:rPr>
          <w:bCs/>
          <w:lang w:val="en-US"/>
        </w:rPr>
        <w:t>occurred, specif</w:t>
      </w:r>
      <w:r w:rsidR="000D6B42" w:rsidRPr="002E60EB">
        <w:rPr>
          <w:bCs/>
          <w:lang w:val="en-US"/>
        </w:rPr>
        <w:t>ies</w:t>
      </w:r>
      <w:r w:rsidRPr="002E60EB">
        <w:rPr>
          <w:bCs/>
          <w:lang w:val="en-US"/>
        </w:rPr>
        <w:t xml:space="preserve"> the scope of the violations recognized, and rule</w:t>
      </w:r>
      <w:r w:rsidR="000D6B42" w:rsidRPr="002E60EB">
        <w:rPr>
          <w:bCs/>
          <w:lang w:val="en-US"/>
        </w:rPr>
        <w:t>s</w:t>
      </w:r>
      <w:r w:rsidRPr="002E60EB">
        <w:rPr>
          <w:bCs/>
          <w:lang w:val="en-US"/>
        </w:rPr>
        <w:t xml:space="preserve"> on the issues still in dispute. </w:t>
      </w:r>
      <w:r w:rsidR="000F3982" w:rsidRPr="002E60EB">
        <w:rPr>
          <w:bCs/>
          <w:lang w:val="en-US"/>
        </w:rPr>
        <w:t>In addition</w:t>
      </w:r>
      <w:r w:rsidRPr="002E60EB">
        <w:rPr>
          <w:bCs/>
          <w:lang w:val="en-US"/>
        </w:rPr>
        <w:t xml:space="preserve">, the Court emphasizes that such a judgment </w:t>
      </w:r>
      <w:r w:rsidRPr="002E60EB">
        <w:rPr>
          <w:lang w:val="en-US"/>
        </w:rPr>
        <w:t xml:space="preserve">contributes to </w:t>
      </w:r>
      <w:r w:rsidR="009708BF" w:rsidRPr="002E60EB">
        <w:rPr>
          <w:lang w:val="en-US"/>
        </w:rPr>
        <w:t>making</w:t>
      </w:r>
      <w:r w:rsidR="000D6B42" w:rsidRPr="002E60EB">
        <w:rPr>
          <w:lang w:val="en-US"/>
        </w:rPr>
        <w:t xml:space="preserve"> redress to</w:t>
      </w:r>
      <w:r w:rsidRPr="002E60EB">
        <w:rPr>
          <w:lang w:val="en-US"/>
        </w:rPr>
        <w:t xml:space="preserve"> the victims, to avoid</w:t>
      </w:r>
      <w:r w:rsidR="009708BF" w:rsidRPr="002E60EB">
        <w:rPr>
          <w:lang w:val="en-US"/>
        </w:rPr>
        <w:t>ing</w:t>
      </w:r>
      <w:r w:rsidRPr="002E60EB">
        <w:rPr>
          <w:lang w:val="en-US"/>
        </w:rPr>
        <w:t xml:space="preserve"> the repetition of similar events and</w:t>
      </w:r>
      <w:r w:rsidR="000D6B42" w:rsidRPr="002E60EB">
        <w:rPr>
          <w:lang w:val="en-US"/>
        </w:rPr>
        <w:t>, in sum,</w:t>
      </w:r>
      <w:r w:rsidRPr="002E60EB">
        <w:rPr>
          <w:lang w:val="en-US"/>
        </w:rPr>
        <w:t xml:space="preserve"> to </w:t>
      </w:r>
      <w:r w:rsidR="009708BF" w:rsidRPr="002E60EB">
        <w:rPr>
          <w:lang w:val="en-US"/>
        </w:rPr>
        <w:t>achieving</w:t>
      </w:r>
      <w:r w:rsidR="000D6B42" w:rsidRPr="002E60EB">
        <w:rPr>
          <w:lang w:val="en-US"/>
        </w:rPr>
        <w:t xml:space="preserve"> </w:t>
      </w:r>
      <w:r w:rsidRPr="002E60EB">
        <w:rPr>
          <w:lang w:val="en-US"/>
        </w:rPr>
        <w:t xml:space="preserve">the purposes of the </w:t>
      </w:r>
      <w:r w:rsidR="000D6B42" w:rsidRPr="002E60EB">
        <w:rPr>
          <w:lang w:val="en-US"/>
        </w:rPr>
        <w:t>i</w:t>
      </w:r>
      <w:r w:rsidRPr="002E60EB">
        <w:rPr>
          <w:lang w:val="en-US"/>
        </w:rPr>
        <w:t>nter-American human rights jurisdiction.</w:t>
      </w:r>
      <w:r w:rsidR="000D6B42" w:rsidRPr="002E60EB">
        <w:rPr>
          <w:rFonts w:cs="Verdana"/>
          <w:iCs/>
          <w:vertAlign w:val="superscript"/>
          <w:lang w:val="en-US"/>
        </w:rPr>
        <w:footnoteReference w:id="19"/>
      </w:r>
    </w:p>
    <w:p w:rsidR="00E15BBF" w:rsidRPr="002E60EB" w:rsidRDefault="00E15BBF" w:rsidP="00317748">
      <w:pPr>
        <w:pStyle w:val="MediumGrid1-Accent21"/>
        <w:ind w:left="0"/>
        <w:rPr>
          <w:lang w:val="en-US"/>
        </w:rPr>
      </w:pPr>
    </w:p>
    <w:p w:rsidR="00E15BBF" w:rsidRPr="002E60EB" w:rsidRDefault="00E15BBF" w:rsidP="00317748">
      <w:pPr>
        <w:rPr>
          <w:b/>
          <w:lang w:val="en-US"/>
        </w:rPr>
      </w:pPr>
    </w:p>
    <w:p w:rsidR="00E15BBF" w:rsidRPr="002E60EB" w:rsidRDefault="00E15BBF" w:rsidP="00317748">
      <w:pPr>
        <w:jc w:val="center"/>
        <w:rPr>
          <w:b/>
          <w:lang w:val="en-US"/>
        </w:rPr>
      </w:pPr>
      <w:r w:rsidRPr="002E60EB">
        <w:rPr>
          <w:b/>
          <w:lang w:val="en-US"/>
        </w:rPr>
        <w:t>IV</w:t>
      </w:r>
    </w:p>
    <w:p w:rsidR="00E15BBF" w:rsidRPr="002E60EB" w:rsidRDefault="00E15BBF" w:rsidP="00317748">
      <w:pPr>
        <w:pStyle w:val="EstiloTtulo2Verdana10ptAntes6ptoDespus6pto"/>
        <w:rPr>
          <w:lang w:val="en-US"/>
        </w:rPr>
      </w:pPr>
      <w:bookmarkStart w:id="4" w:name="_Toc260943692"/>
      <w:r w:rsidRPr="002E60EB">
        <w:rPr>
          <w:lang w:val="en-US"/>
        </w:rPr>
        <w:t>PRELIMINARY OBJECTION</w:t>
      </w:r>
      <w:bookmarkEnd w:id="4"/>
    </w:p>
    <w:p w:rsidR="00E15BBF" w:rsidRPr="002E60EB" w:rsidRDefault="000D6B42" w:rsidP="009708BF">
      <w:pPr>
        <w:jc w:val="center"/>
        <w:rPr>
          <w:b/>
          <w:lang w:val="en-US"/>
        </w:rPr>
      </w:pPr>
      <w:r w:rsidRPr="002E60EB">
        <w:rPr>
          <w:b/>
          <w:lang w:val="en-US"/>
        </w:rPr>
        <w:t>The Court’s a</w:t>
      </w:r>
      <w:r w:rsidR="00E15BBF" w:rsidRPr="002E60EB">
        <w:rPr>
          <w:b/>
          <w:lang w:val="en-US"/>
        </w:rPr>
        <w:t>lleged lack of</w:t>
      </w:r>
      <w:r w:rsidRPr="002E60EB">
        <w:rPr>
          <w:b/>
          <w:lang w:val="en-US"/>
        </w:rPr>
        <w:t xml:space="preserve"> competence</w:t>
      </w:r>
      <w:r w:rsidR="00E15BBF" w:rsidRPr="002E60EB">
        <w:rPr>
          <w:b/>
          <w:lang w:val="en-US"/>
        </w:rPr>
        <w:t xml:space="preserve"> to </w:t>
      </w:r>
      <w:r w:rsidRPr="002E60EB">
        <w:rPr>
          <w:b/>
          <w:lang w:val="en-US"/>
        </w:rPr>
        <w:t xml:space="preserve">examine </w:t>
      </w:r>
      <w:r w:rsidR="00E15BBF" w:rsidRPr="002E60EB">
        <w:rPr>
          <w:b/>
          <w:lang w:val="en-US"/>
        </w:rPr>
        <w:t xml:space="preserve">facts </w:t>
      </w:r>
      <w:r w:rsidRPr="002E60EB">
        <w:rPr>
          <w:b/>
          <w:lang w:val="en-US"/>
        </w:rPr>
        <w:t>or</w:t>
      </w:r>
      <w:r w:rsidR="00E15BBF" w:rsidRPr="002E60EB">
        <w:rPr>
          <w:b/>
          <w:lang w:val="en-US"/>
        </w:rPr>
        <w:t xml:space="preserve"> claims </w:t>
      </w:r>
      <w:r w:rsidRPr="002E60EB">
        <w:rPr>
          <w:b/>
          <w:lang w:val="en-US"/>
        </w:rPr>
        <w:t xml:space="preserve">included </w:t>
      </w:r>
      <w:r w:rsidR="00E15BBF" w:rsidRPr="002E60EB">
        <w:rPr>
          <w:b/>
          <w:lang w:val="en-US"/>
        </w:rPr>
        <w:t xml:space="preserve">in the </w:t>
      </w:r>
      <w:r w:rsidRPr="002E60EB">
        <w:rPr>
          <w:b/>
          <w:lang w:val="en-US"/>
        </w:rPr>
        <w:t xml:space="preserve">Merits </w:t>
      </w:r>
      <w:r w:rsidR="00E15BBF" w:rsidRPr="002E60EB">
        <w:rPr>
          <w:b/>
          <w:lang w:val="en-US"/>
        </w:rPr>
        <w:t xml:space="preserve">Report </w:t>
      </w:r>
      <w:r w:rsidR="00087093" w:rsidRPr="002E60EB">
        <w:rPr>
          <w:b/>
          <w:lang w:val="en-US"/>
        </w:rPr>
        <w:t>“</w:t>
      </w:r>
      <w:r w:rsidR="00A11D2C" w:rsidRPr="002E60EB">
        <w:rPr>
          <w:b/>
          <w:lang w:val="en-US"/>
        </w:rPr>
        <w:t>that do</w:t>
      </w:r>
      <w:r w:rsidR="00C6532B" w:rsidRPr="002E60EB">
        <w:rPr>
          <w:b/>
          <w:lang w:val="en-US"/>
        </w:rPr>
        <w:t xml:space="preserve"> not </w:t>
      </w:r>
      <w:r w:rsidR="00E15BBF" w:rsidRPr="002E60EB">
        <w:rPr>
          <w:b/>
          <w:lang w:val="en-US"/>
        </w:rPr>
        <w:t>compl</w:t>
      </w:r>
      <w:r w:rsidR="00C6532B" w:rsidRPr="002E60EB">
        <w:rPr>
          <w:b/>
          <w:lang w:val="en-US"/>
        </w:rPr>
        <w:t>y</w:t>
      </w:r>
      <w:r w:rsidR="00E15BBF" w:rsidRPr="002E60EB">
        <w:rPr>
          <w:b/>
          <w:lang w:val="en-US"/>
        </w:rPr>
        <w:t xml:space="preserve"> with the</w:t>
      </w:r>
      <w:r w:rsidR="00C6532B" w:rsidRPr="002E60EB">
        <w:rPr>
          <w:b/>
          <w:lang w:val="en-US"/>
        </w:rPr>
        <w:t xml:space="preserve"> requirements of the Convention or the Rules of Procedure</w:t>
      </w:r>
      <w:r w:rsidR="00087093" w:rsidRPr="002E60EB">
        <w:rPr>
          <w:b/>
          <w:lang w:val="en-US"/>
        </w:rPr>
        <w:t>”</w:t>
      </w:r>
    </w:p>
    <w:p w:rsidR="00E15BBF" w:rsidRPr="002E60EB" w:rsidRDefault="00E15BBF" w:rsidP="00317748">
      <w:pPr>
        <w:rPr>
          <w:lang w:val="en-US"/>
        </w:rPr>
      </w:pPr>
    </w:p>
    <w:p w:rsidR="00E15BBF" w:rsidRPr="002E60EB" w:rsidRDefault="00E15BBF" w:rsidP="00317748">
      <w:pPr>
        <w:pStyle w:val="MediumGrid1-Accent21"/>
        <w:numPr>
          <w:ilvl w:val="0"/>
          <w:numId w:val="23"/>
        </w:numPr>
        <w:rPr>
          <w:b/>
          <w:i/>
          <w:lang w:val="en-US"/>
        </w:rPr>
      </w:pPr>
      <w:r w:rsidRPr="002E60EB">
        <w:rPr>
          <w:b/>
          <w:i/>
          <w:lang w:val="en-US"/>
        </w:rPr>
        <w:t>Arguments of the State and observations of the representative and the Inter-American Commission</w:t>
      </w:r>
    </w:p>
    <w:p w:rsidR="00E15BBF" w:rsidRPr="002E60EB" w:rsidRDefault="00E15BBF" w:rsidP="00317748">
      <w:pPr>
        <w:pStyle w:val="MediumGrid1-Accent21"/>
        <w:ind w:left="0"/>
        <w:rPr>
          <w:lang w:val="en-US"/>
        </w:rPr>
      </w:pPr>
    </w:p>
    <w:p w:rsidR="00E15BBF" w:rsidRPr="002E60EB" w:rsidRDefault="00E15BBF" w:rsidP="00317748">
      <w:pPr>
        <w:numPr>
          <w:ilvl w:val="0"/>
          <w:numId w:val="1"/>
        </w:numPr>
        <w:tabs>
          <w:tab w:val="left" w:pos="720"/>
        </w:tabs>
        <w:jc w:val="both"/>
        <w:rPr>
          <w:rFonts w:cs="Verdana"/>
          <w:lang w:val="en-US"/>
        </w:rPr>
      </w:pPr>
      <w:r w:rsidRPr="002E60EB">
        <w:rPr>
          <w:lang w:val="en-US"/>
        </w:rPr>
        <w:t>In the answer</w:t>
      </w:r>
      <w:r w:rsidR="000D6B42" w:rsidRPr="002E60EB">
        <w:rPr>
          <w:lang w:val="en-US"/>
        </w:rPr>
        <w:t>ing</w:t>
      </w:r>
      <w:r w:rsidRPr="002E60EB">
        <w:rPr>
          <w:lang w:val="en-US"/>
        </w:rPr>
        <w:t xml:space="preserve"> brief, the State argued as a preliminary objection </w:t>
      </w:r>
      <w:r w:rsidR="00087093" w:rsidRPr="002E60EB">
        <w:rPr>
          <w:lang w:val="en-US"/>
        </w:rPr>
        <w:t>“</w:t>
      </w:r>
      <w:r w:rsidRPr="002E60EB">
        <w:rPr>
          <w:lang w:val="en-US"/>
        </w:rPr>
        <w:t xml:space="preserve">the lack of </w:t>
      </w:r>
      <w:r w:rsidR="000D6B42" w:rsidRPr="002E60EB">
        <w:rPr>
          <w:lang w:val="en-US"/>
        </w:rPr>
        <w:t xml:space="preserve">competence </w:t>
      </w:r>
      <w:r w:rsidRPr="002E60EB">
        <w:rPr>
          <w:lang w:val="en-US"/>
        </w:rPr>
        <w:t xml:space="preserve">of the […] Court to </w:t>
      </w:r>
      <w:r w:rsidR="000D6B42" w:rsidRPr="002E60EB">
        <w:rPr>
          <w:lang w:val="en-US"/>
        </w:rPr>
        <w:t xml:space="preserve">examine </w:t>
      </w:r>
      <w:r w:rsidRPr="002E60EB">
        <w:rPr>
          <w:lang w:val="en-US"/>
        </w:rPr>
        <w:t xml:space="preserve">and admit facts or claims </w:t>
      </w:r>
      <w:r w:rsidR="000D6B42" w:rsidRPr="002E60EB">
        <w:rPr>
          <w:lang w:val="en-US"/>
        </w:rPr>
        <w:t>included</w:t>
      </w:r>
      <w:r w:rsidR="00C6532B" w:rsidRPr="002E60EB">
        <w:rPr>
          <w:lang w:val="en-US"/>
        </w:rPr>
        <w:t xml:space="preserve"> within the factual framework of the Merits Report presented by the Commission when submitting the case</w:t>
      </w:r>
      <w:r w:rsidRPr="002E60EB">
        <w:rPr>
          <w:lang w:val="en-US"/>
        </w:rPr>
        <w:t xml:space="preserve"> </w:t>
      </w:r>
      <w:r w:rsidR="00A11D2C" w:rsidRPr="002E60EB">
        <w:rPr>
          <w:lang w:val="en-US"/>
        </w:rPr>
        <w:t>that do</w:t>
      </w:r>
      <w:r w:rsidR="00C6532B" w:rsidRPr="002E60EB">
        <w:rPr>
          <w:lang w:val="en-US"/>
        </w:rPr>
        <w:t xml:space="preserve"> not </w:t>
      </w:r>
      <w:r w:rsidRPr="002E60EB">
        <w:rPr>
          <w:lang w:val="en-US"/>
        </w:rPr>
        <w:t>compl</w:t>
      </w:r>
      <w:r w:rsidR="00C6532B" w:rsidRPr="002E60EB">
        <w:rPr>
          <w:lang w:val="en-US"/>
        </w:rPr>
        <w:t>y</w:t>
      </w:r>
      <w:r w:rsidRPr="002E60EB">
        <w:rPr>
          <w:lang w:val="en-US"/>
        </w:rPr>
        <w:t xml:space="preserve"> with the requirements</w:t>
      </w:r>
      <w:r w:rsidR="00C6532B" w:rsidRPr="002E60EB">
        <w:rPr>
          <w:lang w:val="en-US"/>
        </w:rPr>
        <w:t xml:space="preserve"> established in the Convention.</w:t>
      </w:r>
      <w:r w:rsidR="00087093" w:rsidRPr="002E60EB">
        <w:rPr>
          <w:lang w:val="en-US"/>
        </w:rPr>
        <w:t>”</w:t>
      </w:r>
      <w:r w:rsidR="00C6532B" w:rsidRPr="002E60EB">
        <w:rPr>
          <w:lang w:val="en-US"/>
        </w:rPr>
        <w:t xml:space="preserve"> </w:t>
      </w:r>
      <w:r w:rsidRPr="002E60EB">
        <w:rPr>
          <w:lang w:val="en-US"/>
        </w:rPr>
        <w:t xml:space="preserve">Colombia </w:t>
      </w:r>
      <w:r w:rsidR="00C6532B" w:rsidRPr="002E60EB">
        <w:rPr>
          <w:lang w:val="en-US"/>
        </w:rPr>
        <w:t xml:space="preserve">stated </w:t>
      </w:r>
      <w:r w:rsidRPr="002E60EB">
        <w:rPr>
          <w:lang w:val="en-US"/>
        </w:rPr>
        <w:t xml:space="preserve">that it </w:t>
      </w:r>
      <w:r w:rsidR="00087093" w:rsidRPr="002E60EB">
        <w:rPr>
          <w:lang w:val="en-US"/>
        </w:rPr>
        <w:t>“</w:t>
      </w:r>
      <w:r w:rsidRPr="002E60EB">
        <w:rPr>
          <w:lang w:val="en-US"/>
        </w:rPr>
        <w:t>respects the independence, autonomy, and broad powers of the […] Commission to assess the evidence</w:t>
      </w:r>
      <w:r w:rsidR="004E6CD6" w:rsidRPr="002E60EB">
        <w:rPr>
          <w:lang w:val="en-US"/>
        </w:rPr>
        <w:t>,</w:t>
      </w:r>
      <w:r w:rsidR="00087093" w:rsidRPr="002E60EB">
        <w:rPr>
          <w:lang w:val="en-US"/>
        </w:rPr>
        <w:t>”</w:t>
      </w:r>
      <w:r w:rsidRPr="002E60EB">
        <w:rPr>
          <w:lang w:val="en-US"/>
        </w:rPr>
        <w:t xml:space="preserve"> but that</w:t>
      </w:r>
      <w:r w:rsidR="00C6532B" w:rsidRPr="002E60EB">
        <w:rPr>
          <w:lang w:val="en-US"/>
        </w:rPr>
        <w:t>,</w:t>
      </w:r>
      <w:r w:rsidRPr="002E60EB">
        <w:rPr>
          <w:lang w:val="en-US"/>
        </w:rPr>
        <w:t xml:space="preserve"> in this case, </w:t>
      </w:r>
      <w:r w:rsidR="00C6532B" w:rsidRPr="002E60EB">
        <w:rPr>
          <w:lang w:val="en-US"/>
        </w:rPr>
        <w:t xml:space="preserve">the </w:t>
      </w:r>
      <w:r w:rsidRPr="002E60EB">
        <w:rPr>
          <w:lang w:val="en-US"/>
        </w:rPr>
        <w:t xml:space="preserve">said </w:t>
      </w:r>
      <w:r w:rsidR="00C6532B" w:rsidRPr="002E60EB">
        <w:rPr>
          <w:lang w:val="en-US"/>
        </w:rPr>
        <w:t xml:space="preserve">organ </w:t>
      </w:r>
      <w:r w:rsidRPr="002E60EB">
        <w:rPr>
          <w:lang w:val="en-US"/>
        </w:rPr>
        <w:t>d</w:t>
      </w:r>
      <w:r w:rsidR="00A11D2C" w:rsidRPr="002E60EB">
        <w:rPr>
          <w:lang w:val="en-US"/>
        </w:rPr>
        <w:t xml:space="preserve">eclared that some of the facts were </w:t>
      </w:r>
      <w:r w:rsidRPr="002E60EB">
        <w:rPr>
          <w:lang w:val="en-US"/>
        </w:rPr>
        <w:t>prove</w:t>
      </w:r>
      <w:r w:rsidR="00C6532B" w:rsidRPr="002E60EB">
        <w:rPr>
          <w:lang w:val="en-US"/>
        </w:rPr>
        <w:t>d</w:t>
      </w:r>
      <w:r w:rsidRPr="002E60EB">
        <w:rPr>
          <w:lang w:val="en-US"/>
        </w:rPr>
        <w:t xml:space="preserve"> </w:t>
      </w:r>
      <w:r w:rsidR="00087093" w:rsidRPr="002E60EB">
        <w:rPr>
          <w:lang w:val="en-US"/>
        </w:rPr>
        <w:t>“</w:t>
      </w:r>
      <w:r w:rsidR="00A11D2C" w:rsidRPr="002E60EB">
        <w:rPr>
          <w:lang w:val="en-US"/>
        </w:rPr>
        <w:t>owing to an incorrect</w:t>
      </w:r>
      <w:r w:rsidRPr="002E60EB">
        <w:rPr>
          <w:lang w:val="en-US"/>
        </w:rPr>
        <w:t xml:space="preserve"> assessment of documents provided as evidence of the</w:t>
      </w:r>
      <w:r w:rsidR="00C6532B" w:rsidRPr="002E60EB">
        <w:rPr>
          <w:lang w:val="en-US"/>
        </w:rPr>
        <w:t>ir</w:t>
      </w:r>
      <w:r w:rsidRPr="002E60EB">
        <w:rPr>
          <w:lang w:val="en-US"/>
        </w:rPr>
        <w:t xml:space="preserve"> existence </w:t>
      </w:r>
      <w:r w:rsidR="00C6532B" w:rsidRPr="002E60EB">
        <w:rPr>
          <w:lang w:val="en-US"/>
        </w:rPr>
        <w:t>and</w:t>
      </w:r>
      <w:r w:rsidRPr="002E60EB">
        <w:rPr>
          <w:lang w:val="en-US"/>
        </w:rPr>
        <w:t xml:space="preserve"> circumstances.</w:t>
      </w:r>
      <w:r w:rsidR="00087093" w:rsidRPr="002E60EB">
        <w:rPr>
          <w:lang w:val="en-US"/>
        </w:rPr>
        <w:t>”</w:t>
      </w:r>
      <w:r w:rsidRPr="002E60EB">
        <w:rPr>
          <w:lang w:val="en-US"/>
        </w:rPr>
        <w:t xml:space="preserve"> In this regard, the State </w:t>
      </w:r>
      <w:r w:rsidR="00C6532B" w:rsidRPr="002E60EB">
        <w:rPr>
          <w:lang w:val="en-US"/>
        </w:rPr>
        <w:t>set out</w:t>
      </w:r>
      <w:r w:rsidR="00A11D2C" w:rsidRPr="002E60EB">
        <w:rPr>
          <w:lang w:val="en-US"/>
        </w:rPr>
        <w:t xml:space="preserve"> the reasons why it considered</w:t>
      </w:r>
      <w:r w:rsidRPr="002E60EB">
        <w:rPr>
          <w:lang w:val="en-US"/>
        </w:rPr>
        <w:t xml:space="preserve"> that the Commission </w:t>
      </w:r>
      <w:r w:rsidR="00087093" w:rsidRPr="002E60EB">
        <w:rPr>
          <w:lang w:val="en-US"/>
        </w:rPr>
        <w:t>“</w:t>
      </w:r>
      <w:r w:rsidRPr="002E60EB">
        <w:rPr>
          <w:lang w:val="en-US"/>
        </w:rPr>
        <w:t>incorrectly assessed the evidence</w:t>
      </w:r>
      <w:r w:rsidR="00087093" w:rsidRPr="002E60EB">
        <w:rPr>
          <w:lang w:val="en-US"/>
        </w:rPr>
        <w:t>”</w:t>
      </w:r>
      <w:r w:rsidRPr="002E60EB">
        <w:rPr>
          <w:lang w:val="en-US"/>
        </w:rPr>
        <w:t xml:space="preserve"> regarding two aspects of the factual determination</w:t>
      </w:r>
      <w:r w:rsidR="00A11D2C" w:rsidRPr="002E60EB">
        <w:rPr>
          <w:lang w:val="en-US"/>
        </w:rPr>
        <w:t>s of the Merits R</w:t>
      </w:r>
      <w:r w:rsidRPr="002E60EB">
        <w:rPr>
          <w:lang w:val="en-US"/>
        </w:rPr>
        <w:t xml:space="preserve">eport: </w:t>
      </w:r>
      <w:r w:rsidR="00C6532B" w:rsidRPr="002E60EB">
        <w:rPr>
          <w:lang w:val="en-US"/>
        </w:rPr>
        <w:t>(</w:t>
      </w:r>
      <w:r w:rsidRPr="002E60EB">
        <w:rPr>
          <w:lang w:val="en-US"/>
        </w:rPr>
        <w:t xml:space="preserve">a) the determination that the </w:t>
      </w:r>
      <w:r w:rsidR="00C6532B" w:rsidRPr="002E60EB">
        <w:rPr>
          <w:lang w:val="en-US"/>
        </w:rPr>
        <w:t xml:space="preserve">presumed </w:t>
      </w:r>
      <w:r w:rsidRPr="002E60EB">
        <w:rPr>
          <w:lang w:val="en-US"/>
        </w:rPr>
        <w:t xml:space="preserve">threats, harassment, and attempted </w:t>
      </w:r>
      <w:r w:rsidR="00334C3C" w:rsidRPr="002E60EB">
        <w:rPr>
          <w:lang w:val="en-US"/>
        </w:rPr>
        <w:t>kidnapping</w:t>
      </w:r>
      <w:r w:rsidRPr="002E60EB">
        <w:rPr>
          <w:lang w:val="en-US"/>
        </w:rPr>
        <w:t xml:space="preserve"> suffered by Mr. Vélez Restrepo </w:t>
      </w:r>
      <w:r w:rsidR="00C6532B" w:rsidRPr="002E60EB">
        <w:rPr>
          <w:lang w:val="en-US"/>
        </w:rPr>
        <w:t>involved</w:t>
      </w:r>
      <w:r w:rsidRPr="002E60EB">
        <w:rPr>
          <w:lang w:val="en-US"/>
        </w:rPr>
        <w:t xml:space="preserve"> State agents and had a causal </w:t>
      </w:r>
      <w:r w:rsidR="00AE5BA1" w:rsidRPr="002E60EB">
        <w:rPr>
          <w:lang w:val="en-US"/>
        </w:rPr>
        <w:t>nexus</w:t>
      </w:r>
      <w:r w:rsidR="00C6532B" w:rsidRPr="002E60EB">
        <w:rPr>
          <w:lang w:val="en-US"/>
        </w:rPr>
        <w:t xml:space="preserve"> </w:t>
      </w:r>
      <w:r w:rsidRPr="002E60EB">
        <w:rPr>
          <w:lang w:val="en-US"/>
        </w:rPr>
        <w:t xml:space="preserve">with what </w:t>
      </w:r>
      <w:r w:rsidR="00C6532B" w:rsidRPr="002E60EB">
        <w:rPr>
          <w:lang w:val="en-US"/>
        </w:rPr>
        <w:t>happened</w:t>
      </w:r>
      <w:r w:rsidRPr="002E60EB">
        <w:rPr>
          <w:lang w:val="en-US"/>
        </w:rPr>
        <w:t xml:space="preserve"> on August 29, 1996, and the subsequent actions aimed </w:t>
      </w:r>
      <w:r w:rsidR="00C6532B" w:rsidRPr="002E60EB">
        <w:rPr>
          <w:lang w:val="en-US"/>
        </w:rPr>
        <w:t>to</w:t>
      </w:r>
      <w:r w:rsidRPr="002E60EB">
        <w:rPr>
          <w:lang w:val="en-US"/>
        </w:rPr>
        <w:t xml:space="preserve"> obtain justice, and </w:t>
      </w:r>
      <w:r w:rsidR="00C6532B" w:rsidRPr="002E60EB">
        <w:rPr>
          <w:lang w:val="en-US"/>
        </w:rPr>
        <w:t>(</w:t>
      </w:r>
      <w:r w:rsidRPr="002E60EB">
        <w:rPr>
          <w:lang w:val="en-US"/>
        </w:rPr>
        <w:t xml:space="preserve">b) the description of the injuries </w:t>
      </w:r>
      <w:r w:rsidR="00C6532B" w:rsidRPr="002E60EB">
        <w:rPr>
          <w:lang w:val="en-US"/>
        </w:rPr>
        <w:t xml:space="preserve">presumably </w:t>
      </w:r>
      <w:r w:rsidRPr="002E60EB">
        <w:rPr>
          <w:lang w:val="en-US"/>
        </w:rPr>
        <w:t>suffered by Mr. Vélez Restrepo on August 29, 1996.</w:t>
      </w:r>
      <w:r w:rsidRPr="002E60EB">
        <w:rPr>
          <w:b/>
          <w:lang w:val="en-US"/>
        </w:rPr>
        <w:t xml:space="preserve"> </w:t>
      </w:r>
      <w:r w:rsidRPr="002E60EB">
        <w:rPr>
          <w:lang w:val="en-US"/>
        </w:rPr>
        <w:t xml:space="preserve">The State </w:t>
      </w:r>
      <w:r w:rsidR="00C6532B" w:rsidRPr="002E60EB">
        <w:rPr>
          <w:lang w:val="en-US"/>
        </w:rPr>
        <w:t>asked</w:t>
      </w:r>
      <w:r w:rsidRPr="002E60EB">
        <w:rPr>
          <w:lang w:val="en-US"/>
        </w:rPr>
        <w:t xml:space="preserve"> the Court </w:t>
      </w:r>
      <w:r w:rsidR="00C6532B" w:rsidRPr="002E60EB">
        <w:rPr>
          <w:lang w:val="en-US"/>
        </w:rPr>
        <w:t xml:space="preserve">to </w:t>
      </w:r>
      <w:r w:rsidR="00A11D2C" w:rsidRPr="002E60EB">
        <w:rPr>
          <w:lang w:val="en-US"/>
        </w:rPr>
        <w:t>effect</w:t>
      </w:r>
      <w:r w:rsidR="00C6532B" w:rsidRPr="002E60EB">
        <w:rPr>
          <w:lang w:val="en-US"/>
        </w:rPr>
        <w:t xml:space="preserve"> </w:t>
      </w:r>
      <w:r w:rsidR="00087093" w:rsidRPr="002E60EB">
        <w:rPr>
          <w:lang w:val="en-US"/>
        </w:rPr>
        <w:t>“</w:t>
      </w:r>
      <w:r w:rsidR="00C6532B" w:rsidRPr="002E60EB">
        <w:rPr>
          <w:lang w:val="en-US"/>
        </w:rPr>
        <w:t>a control of legality</w:t>
      </w:r>
      <w:r w:rsidR="00087093" w:rsidRPr="002E60EB">
        <w:rPr>
          <w:lang w:val="en-US"/>
        </w:rPr>
        <w:t>”</w:t>
      </w:r>
      <w:r w:rsidR="00C6532B" w:rsidRPr="002E60EB">
        <w:rPr>
          <w:lang w:val="en-US"/>
        </w:rPr>
        <w:t xml:space="preserve"> in order to</w:t>
      </w:r>
      <w:r w:rsidRPr="002E60EB">
        <w:rPr>
          <w:lang w:val="en-US"/>
        </w:rPr>
        <w:t xml:space="preserve"> </w:t>
      </w:r>
      <w:r w:rsidR="00C6532B" w:rsidRPr="002E60EB">
        <w:rPr>
          <w:lang w:val="en-US"/>
        </w:rPr>
        <w:t xml:space="preserve">ensure </w:t>
      </w:r>
      <w:r w:rsidRPr="002E60EB">
        <w:rPr>
          <w:lang w:val="en-US"/>
        </w:rPr>
        <w:t xml:space="preserve">that the factual framework of the </w:t>
      </w:r>
      <w:r w:rsidR="00A11D2C" w:rsidRPr="002E60EB">
        <w:rPr>
          <w:lang w:val="en-US"/>
        </w:rPr>
        <w:t>M</w:t>
      </w:r>
      <w:r w:rsidR="00C6532B" w:rsidRPr="002E60EB">
        <w:rPr>
          <w:lang w:val="en-US"/>
        </w:rPr>
        <w:t xml:space="preserve">erits </w:t>
      </w:r>
      <w:r w:rsidR="00A11D2C" w:rsidRPr="002E60EB">
        <w:rPr>
          <w:lang w:val="en-US"/>
        </w:rPr>
        <w:t>R</w:t>
      </w:r>
      <w:r w:rsidRPr="002E60EB">
        <w:rPr>
          <w:lang w:val="en-US"/>
        </w:rPr>
        <w:t xml:space="preserve">eport </w:t>
      </w:r>
      <w:r w:rsidR="00C6532B" w:rsidRPr="002E60EB">
        <w:rPr>
          <w:lang w:val="en-US"/>
        </w:rPr>
        <w:t xml:space="preserve">does </w:t>
      </w:r>
      <w:r w:rsidRPr="002E60EB">
        <w:rPr>
          <w:lang w:val="en-US"/>
        </w:rPr>
        <w:t xml:space="preserve">not constitute a factor </w:t>
      </w:r>
      <w:r w:rsidR="00C6532B" w:rsidRPr="002E60EB">
        <w:rPr>
          <w:lang w:val="en-US"/>
        </w:rPr>
        <w:t>of</w:t>
      </w:r>
      <w:r w:rsidRPr="002E60EB">
        <w:rPr>
          <w:lang w:val="en-US"/>
        </w:rPr>
        <w:t xml:space="preserve"> procedural i</w:t>
      </w:r>
      <w:r w:rsidR="00A11D2C" w:rsidRPr="002E60EB">
        <w:rPr>
          <w:lang w:val="en-US"/>
        </w:rPr>
        <w:t>nequality</w:t>
      </w:r>
      <w:r w:rsidRPr="002E60EB">
        <w:rPr>
          <w:lang w:val="en-US"/>
        </w:rPr>
        <w:t xml:space="preserve"> for the State and</w:t>
      </w:r>
      <w:r w:rsidR="00C6532B" w:rsidRPr="002E60EB">
        <w:rPr>
          <w:lang w:val="en-US"/>
        </w:rPr>
        <w:t xml:space="preserve">, consequently, </w:t>
      </w:r>
      <w:r w:rsidR="00BF2428" w:rsidRPr="002E60EB">
        <w:rPr>
          <w:lang w:val="en-US"/>
        </w:rPr>
        <w:t>to</w:t>
      </w:r>
      <w:r w:rsidRPr="002E60EB">
        <w:rPr>
          <w:lang w:val="en-US"/>
        </w:rPr>
        <w:t xml:space="preserve"> </w:t>
      </w:r>
      <w:r w:rsidR="00087093" w:rsidRPr="002E60EB">
        <w:rPr>
          <w:lang w:val="en-US"/>
        </w:rPr>
        <w:t>“</w:t>
      </w:r>
      <w:r w:rsidRPr="002E60EB">
        <w:rPr>
          <w:lang w:val="en-US"/>
        </w:rPr>
        <w:t xml:space="preserve">declare </w:t>
      </w:r>
      <w:r w:rsidR="00BF2428" w:rsidRPr="002E60EB">
        <w:rPr>
          <w:lang w:val="en-US"/>
        </w:rPr>
        <w:t xml:space="preserve">itself incompetent to examine those facts </w:t>
      </w:r>
      <w:r w:rsidR="00A11D2C" w:rsidRPr="002E60EB">
        <w:rPr>
          <w:lang w:val="en-US"/>
        </w:rPr>
        <w:t>incorrectly determined</w:t>
      </w:r>
      <w:r w:rsidRPr="002E60EB">
        <w:rPr>
          <w:lang w:val="en-US"/>
        </w:rPr>
        <w:t xml:space="preserve"> by the Commission.</w:t>
      </w:r>
      <w:r w:rsidR="00087093" w:rsidRPr="002E60EB">
        <w:rPr>
          <w:lang w:val="en-US"/>
        </w:rPr>
        <w:t>”</w:t>
      </w:r>
      <w:r w:rsidRPr="002E60EB">
        <w:rPr>
          <w:lang w:val="en-US"/>
        </w:rPr>
        <w:t xml:space="preserve"> Colombia </w:t>
      </w:r>
      <w:r w:rsidR="00BF2428" w:rsidRPr="002E60EB">
        <w:rPr>
          <w:lang w:val="en-US"/>
        </w:rPr>
        <w:t xml:space="preserve">emphasized </w:t>
      </w:r>
      <w:r w:rsidRPr="002E60EB">
        <w:rPr>
          <w:lang w:val="en-US"/>
        </w:rPr>
        <w:t>the importance of this</w:t>
      </w:r>
      <w:r w:rsidR="00BF2428" w:rsidRPr="002E60EB">
        <w:rPr>
          <w:lang w:val="en-US"/>
        </w:rPr>
        <w:t xml:space="preserve"> issue</w:t>
      </w:r>
      <w:r w:rsidRPr="002E60EB">
        <w:rPr>
          <w:lang w:val="en-US"/>
        </w:rPr>
        <w:t>, taking into account that</w:t>
      </w:r>
      <w:r w:rsidR="00A11D2C" w:rsidRPr="002E60EB">
        <w:rPr>
          <w:lang w:val="en-US"/>
        </w:rPr>
        <w:t xml:space="preserve"> this</w:t>
      </w:r>
      <w:r w:rsidRPr="002E60EB">
        <w:rPr>
          <w:lang w:val="en-US"/>
        </w:rPr>
        <w:t xml:space="preserve"> is </w:t>
      </w:r>
      <w:r w:rsidR="00087093" w:rsidRPr="002E60EB">
        <w:rPr>
          <w:lang w:val="en-US"/>
        </w:rPr>
        <w:t>“</w:t>
      </w:r>
      <w:r w:rsidRPr="002E60EB">
        <w:rPr>
          <w:lang w:val="en-US"/>
        </w:rPr>
        <w:t xml:space="preserve">the factual framework </w:t>
      </w:r>
      <w:r w:rsidR="00BF2428" w:rsidRPr="002E60EB">
        <w:rPr>
          <w:lang w:val="en-US"/>
        </w:rPr>
        <w:t xml:space="preserve">on </w:t>
      </w:r>
      <w:r w:rsidRPr="002E60EB">
        <w:rPr>
          <w:lang w:val="en-US"/>
        </w:rPr>
        <w:t xml:space="preserve">which the brief </w:t>
      </w:r>
      <w:r w:rsidR="00BF2428" w:rsidRPr="002E60EB">
        <w:rPr>
          <w:lang w:val="en-US"/>
        </w:rPr>
        <w:t xml:space="preserve">with </w:t>
      </w:r>
      <w:r w:rsidRPr="002E60EB">
        <w:rPr>
          <w:lang w:val="en-US"/>
        </w:rPr>
        <w:t>pleadings</w:t>
      </w:r>
      <w:r w:rsidR="00BF2428" w:rsidRPr="002E60EB">
        <w:rPr>
          <w:lang w:val="en-US"/>
        </w:rPr>
        <w:t>,</w:t>
      </w:r>
      <w:r w:rsidRPr="002E60EB">
        <w:rPr>
          <w:lang w:val="en-US"/>
        </w:rPr>
        <w:t xml:space="preserve"> motions and </w:t>
      </w:r>
      <w:r w:rsidR="00BF2428" w:rsidRPr="002E60EB">
        <w:rPr>
          <w:lang w:val="en-US"/>
        </w:rPr>
        <w:t>evidence</w:t>
      </w:r>
      <w:r w:rsidRPr="002E60EB">
        <w:rPr>
          <w:lang w:val="en-US"/>
        </w:rPr>
        <w:t xml:space="preserve"> </w:t>
      </w:r>
      <w:r w:rsidR="00BF2428" w:rsidRPr="002E60EB">
        <w:rPr>
          <w:lang w:val="en-US"/>
        </w:rPr>
        <w:t>is based […] in order to</w:t>
      </w:r>
      <w:r w:rsidRPr="002E60EB">
        <w:rPr>
          <w:lang w:val="en-US"/>
        </w:rPr>
        <w:t xml:space="preserve"> </w:t>
      </w:r>
      <w:r w:rsidR="00BF2428" w:rsidRPr="002E60EB">
        <w:rPr>
          <w:lang w:val="en-US"/>
        </w:rPr>
        <w:t>determine</w:t>
      </w:r>
      <w:r w:rsidRPr="002E60EB">
        <w:rPr>
          <w:lang w:val="en-US"/>
        </w:rPr>
        <w:t xml:space="preserve"> the </w:t>
      </w:r>
      <w:r w:rsidR="00BF2428" w:rsidRPr="002E60EB">
        <w:rPr>
          <w:lang w:val="en-US"/>
        </w:rPr>
        <w:t xml:space="preserve">presumed </w:t>
      </w:r>
      <w:r w:rsidRPr="002E60EB">
        <w:rPr>
          <w:lang w:val="en-US"/>
        </w:rPr>
        <w:t>violations and</w:t>
      </w:r>
      <w:r w:rsidR="00BF2428" w:rsidRPr="002E60EB">
        <w:rPr>
          <w:lang w:val="en-US"/>
        </w:rPr>
        <w:t>,</w:t>
      </w:r>
      <w:r w:rsidRPr="002E60EB">
        <w:rPr>
          <w:lang w:val="en-US"/>
        </w:rPr>
        <w:t xml:space="preserve"> th</w:t>
      </w:r>
      <w:r w:rsidR="00BF2428" w:rsidRPr="002E60EB">
        <w:rPr>
          <w:lang w:val="en-US"/>
        </w:rPr>
        <w:t>us,</w:t>
      </w:r>
      <w:r w:rsidRPr="002E60EB">
        <w:rPr>
          <w:lang w:val="en-US"/>
        </w:rPr>
        <w:t xml:space="preserve"> the claims for compensation.</w:t>
      </w:r>
      <w:r w:rsidR="00087093" w:rsidRPr="002E60EB">
        <w:rPr>
          <w:lang w:val="en-US"/>
        </w:rPr>
        <w:t>”</w:t>
      </w:r>
      <w:r w:rsidRPr="002E60EB">
        <w:rPr>
          <w:lang w:val="en-US"/>
        </w:rPr>
        <w:t xml:space="preserve"> </w:t>
      </w:r>
    </w:p>
    <w:p w:rsidR="00E15BBF" w:rsidRPr="002E60EB" w:rsidRDefault="00E15BBF" w:rsidP="00317748">
      <w:pPr>
        <w:tabs>
          <w:tab w:val="left" w:pos="720"/>
        </w:tabs>
        <w:jc w:val="both"/>
        <w:rPr>
          <w:rFonts w:cs="Verdana"/>
          <w:lang w:val="en-US"/>
        </w:rPr>
      </w:pPr>
    </w:p>
    <w:p w:rsidR="00BF2428" w:rsidRPr="002E60EB" w:rsidRDefault="00BF2428" w:rsidP="00BF2428">
      <w:pPr>
        <w:numPr>
          <w:ilvl w:val="0"/>
          <w:numId w:val="1"/>
        </w:numPr>
        <w:tabs>
          <w:tab w:val="left" w:pos="720"/>
        </w:tabs>
        <w:jc w:val="both"/>
        <w:rPr>
          <w:rFonts w:cs="Verdana"/>
          <w:lang w:val="en-US"/>
        </w:rPr>
      </w:pPr>
      <w:r w:rsidRPr="002E60EB">
        <w:rPr>
          <w:lang w:val="en-US"/>
        </w:rPr>
        <w:t xml:space="preserve">The representative observed that </w:t>
      </w:r>
      <w:r w:rsidR="00087093" w:rsidRPr="002E60EB">
        <w:rPr>
          <w:lang w:val="en-US"/>
        </w:rPr>
        <w:t>“</w:t>
      </w:r>
      <w:r w:rsidRPr="002E60EB">
        <w:rPr>
          <w:lang w:val="en-US"/>
        </w:rPr>
        <w:t>[t]he proven facts in a case and the violations derived from them are matters that relate to the proceedings on merits in the case, and are not a preliminary objection.</w:t>
      </w:r>
      <w:r w:rsidR="00087093" w:rsidRPr="002E60EB">
        <w:rPr>
          <w:lang w:val="en-US"/>
        </w:rPr>
        <w:t>”</w:t>
      </w:r>
      <w:r w:rsidRPr="002E60EB">
        <w:rPr>
          <w:lang w:val="en-US"/>
        </w:rPr>
        <w:t xml:space="preserve"> </w:t>
      </w:r>
    </w:p>
    <w:p w:rsidR="00BF2428" w:rsidRPr="002E60EB" w:rsidRDefault="00BF2428"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lang w:val="en-US"/>
        </w:rPr>
        <w:t xml:space="preserve">The Commission </w:t>
      </w:r>
      <w:r w:rsidR="00BF2428" w:rsidRPr="002E60EB">
        <w:rPr>
          <w:lang w:val="en-US"/>
        </w:rPr>
        <w:t xml:space="preserve">affirmed </w:t>
      </w:r>
      <w:r w:rsidRPr="002E60EB">
        <w:rPr>
          <w:lang w:val="en-US"/>
        </w:rPr>
        <w:t xml:space="preserve">that the State’s arguments on </w:t>
      </w:r>
      <w:r w:rsidR="00BF2428" w:rsidRPr="002E60EB">
        <w:rPr>
          <w:lang w:val="en-US"/>
        </w:rPr>
        <w:t xml:space="preserve">its </w:t>
      </w:r>
      <w:r w:rsidRPr="002E60EB">
        <w:rPr>
          <w:lang w:val="en-US"/>
        </w:rPr>
        <w:t xml:space="preserve">assessment </w:t>
      </w:r>
      <w:r w:rsidR="00BF2428" w:rsidRPr="002E60EB">
        <w:rPr>
          <w:lang w:val="en-US"/>
        </w:rPr>
        <w:t xml:space="preserve">of the evidence </w:t>
      </w:r>
      <w:r w:rsidR="00087093" w:rsidRPr="002E60EB">
        <w:rPr>
          <w:lang w:val="en-US"/>
        </w:rPr>
        <w:t>“</w:t>
      </w:r>
      <w:r w:rsidR="00BF2428" w:rsidRPr="002E60EB">
        <w:rPr>
          <w:lang w:val="en-US"/>
        </w:rPr>
        <w:t>do not have the characteristics of a</w:t>
      </w:r>
      <w:r w:rsidRPr="002E60EB">
        <w:rPr>
          <w:lang w:val="en-US"/>
        </w:rPr>
        <w:t xml:space="preserve"> preliminary objection, but </w:t>
      </w:r>
      <w:r w:rsidR="00BF2428" w:rsidRPr="002E60EB">
        <w:rPr>
          <w:lang w:val="en-US"/>
        </w:rPr>
        <w:t xml:space="preserve">of </w:t>
      </w:r>
      <w:r w:rsidRPr="002E60EB">
        <w:rPr>
          <w:lang w:val="en-US"/>
        </w:rPr>
        <w:t>a</w:t>
      </w:r>
      <w:r w:rsidR="00BF2428" w:rsidRPr="002E60EB">
        <w:rPr>
          <w:lang w:val="en-US"/>
        </w:rPr>
        <w:t xml:space="preserve"> </w:t>
      </w:r>
      <w:r w:rsidRPr="002E60EB">
        <w:rPr>
          <w:lang w:val="en-US"/>
        </w:rPr>
        <w:t>dispute</w:t>
      </w:r>
      <w:r w:rsidR="00BF2428" w:rsidRPr="002E60EB">
        <w:rPr>
          <w:lang w:val="en-US"/>
        </w:rPr>
        <w:t xml:space="preserve"> on the merits of </w:t>
      </w:r>
      <w:r w:rsidRPr="002E60EB">
        <w:rPr>
          <w:lang w:val="en-US"/>
        </w:rPr>
        <w:t xml:space="preserve">two </w:t>
      </w:r>
      <w:r w:rsidR="00BF2428" w:rsidRPr="002E60EB">
        <w:rPr>
          <w:lang w:val="en-US"/>
        </w:rPr>
        <w:t xml:space="preserve">groups </w:t>
      </w:r>
      <w:r w:rsidRPr="002E60EB">
        <w:rPr>
          <w:lang w:val="en-US"/>
        </w:rPr>
        <w:t>of facts</w:t>
      </w:r>
      <w:r w:rsidR="004E6CD6" w:rsidRPr="002E60EB">
        <w:rPr>
          <w:lang w:val="en-US"/>
        </w:rPr>
        <w:t>.</w:t>
      </w:r>
      <w:r w:rsidR="00087093" w:rsidRPr="002E60EB">
        <w:rPr>
          <w:lang w:val="en-US"/>
        </w:rPr>
        <w:t>”</w:t>
      </w:r>
      <w:r w:rsidRPr="002E60EB">
        <w:rPr>
          <w:b/>
          <w:lang w:val="en-US"/>
        </w:rPr>
        <w:t xml:space="preserve"> </w:t>
      </w:r>
      <w:r w:rsidR="000F3982" w:rsidRPr="002E60EB">
        <w:rPr>
          <w:lang w:val="en-US"/>
        </w:rPr>
        <w:t>In addition</w:t>
      </w:r>
      <w:r w:rsidRPr="002E60EB">
        <w:rPr>
          <w:lang w:val="en-US"/>
        </w:rPr>
        <w:t xml:space="preserve">, it held that the State’s disagreement with the </w:t>
      </w:r>
      <w:r w:rsidR="00BF2428" w:rsidRPr="002E60EB">
        <w:rPr>
          <w:lang w:val="en-US"/>
        </w:rPr>
        <w:t xml:space="preserve">said </w:t>
      </w:r>
      <w:r w:rsidRPr="002E60EB">
        <w:rPr>
          <w:lang w:val="en-US"/>
        </w:rPr>
        <w:t>assessment</w:t>
      </w:r>
      <w:r w:rsidR="00BF2428" w:rsidRPr="002E60EB">
        <w:rPr>
          <w:lang w:val="en-US"/>
        </w:rPr>
        <w:t xml:space="preserve"> of the evidence</w:t>
      </w:r>
      <w:r w:rsidRPr="002E60EB">
        <w:rPr>
          <w:lang w:val="en-US"/>
        </w:rPr>
        <w:t xml:space="preserve"> </w:t>
      </w:r>
      <w:r w:rsidR="00087093" w:rsidRPr="002E60EB">
        <w:rPr>
          <w:lang w:val="en-US"/>
        </w:rPr>
        <w:t>“</w:t>
      </w:r>
      <w:r w:rsidRPr="002E60EB">
        <w:rPr>
          <w:lang w:val="en-US"/>
        </w:rPr>
        <w:t xml:space="preserve">cannot be understood as a situation of </w:t>
      </w:r>
      <w:r w:rsidR="00BF2428" w:rsidRPr="002E60EB">
        <w:rPr>
          <w:lang w:val="en-US"/>
        </w:rPr>
        <w:t>its</w:t>
      </w:r>
      <w:r w:rsidRPr="002E60EB">
        <w:rPr>
          <w:lang w:val="en-US"/>
        </w:rPr>
        <w:t xml:space="preserve"> defenselessness or a violation of its right to defense.</w:t>
      </w:r>
      <w:r w:rsidR="00087093" w:rsidRPr="002E60EB">
        <w:rPr>
          <w:lang w:val="en-US"/>
        </w:rPr>
        <w:t>”</w:t>
      </w:r>
      <w:r w:rsidRPr="002E60EB">
        <w:rPr>
          <w:lang w:val="en-US"/>
        </w:rPr>
        <w:t xml:space="preserve"> The Commission </w:t>
      </w:r>
      <w:r w:rsidR="00BF2428" w:rsidRPr="002E60EB">
        <w:rPr>
          <w:lang w:val="en-US"/>
        </w:rPr>
        <w:t>indicated</w:t>
      </w:r>
      <w:r w:rsidRPr="002E60EB">
        <w:rPr>
          <w:lang w:val="en-US"/>
        </w:rPr>
        <w:t xml:space="preserve"> that </w:t>
      </w:r>
      <w:r w:rsidR="00087093" w:rsidRPr="002E60EB">
        <w:rPr>
          <w:lang w:val="en-US"/>
        </w:rPr>
        <w:t>“</w:t>
      </w:r>
      <w:r w:rsidRPr="002E60EB">
        <w:rPr>
          <w:lang w:val="en-US"/>
        </w:rPr>
        <w:t xml:space="preserve">such arguments cannot be </w:t>
      </w:r>
      <w:r w:rsidR="00BF2428" w:rsidRPr="002E60EB">
        <w:rPr>
          <w:lang w:val="en-US"/>
        </w:rPr>
        <w:t>examined</w:t>
      </w:r>
      <w:r w:rsidRPr="002E60EB">
        <w:rPr>
          <w:lang w:val="en-US"/>
        </w:rPr>
        <w:t xml:space="preserve"> without </w:t>
      </w:r>
      <w:r w:rsidR="00BF2428" w:rsidRPr="002E60EB">
        <w:rPr>
          <w:lang w:val="en-US"/>
        </w:rPr>
        <w:t>analyzing</w:t>
      </w:r>
      <w:r w:rsidRPr="002E60EB">
        <w:rPr>
          <w:lang w:val="en-US"/>
        </w:rPr>
        <w:t xml:space="preserve"> the merits of the case</w:t>
      </w:r>
      <w:r w:rsidR="00087093" w:rsidRPr="002E60EB">
        <w:rPr>
          <w:lang w:val="en-US"/>
        </w:rPr>
        <w:t>”</w:t>
      </w:r>
      <w:r w:rsidRPr="002E60EB">
        <w:rPr>
          <w:lang w:val="en-US"/>
        </w:rPr>
        <w:t xml:space="preserve"> and that </w:t>
      </w:r>
      <w:r w:rsidR="00087093" w:rsidRPr="002E60EB">
        <w:rPr>
          <w:lang w:val="en-US"/>
        </w:rPr>
        <w:t>“</w:t>
      </w:r>
      <w:r w:rsidRPr="002E60EB">
        <w:rPr>
          <w:lang w:val="en-US"/>
        </w:rPr>
        <w:t xml:space="preserve">[i]t corresponds to the Court, in the proceedings before it, to </w:t>
      </w:r>
      <w:r w:rsidR="00BF2428" w:rsidRPr="002E60EB">
        <w:rPr>
          <w:lang w:val="en-US"/>
        </w:rPr>
        <w:t xml:space="preserve">make </w:t>
      </w:r>
      <w:r w:rsidRPr="002E60EB">
        <w:rPr>
          <w:lang w:val="en-US"/>
        </w:rPr>
        <w:t xml:space="preserve">the corresponding </w:t>
      </w:r>
      <w:r w:rsidR="00BF2428" w:rsidRPr="002E60EB">
        <w:rPr>
          <w:lang w:val="en-US"/>
        </w:rPr>
        <w:t xml:space="preserve">factual </w:t>
      </w:r>
      <w:r w:rsidRPr="002E60EB">
        <w:rPr>
          <w:lang w:val="en-US"/>
        </w:rPr>
        <w:t>determinations.</w:t>
      </w:r>
      <w:r w:rsidR="00087093" w:rsidRPr="002E60EB">
        <w:rPr>
          <w:lang w:val="en-US"/>
        </w:rPr>
        <w:t>”</w:t>
      </w:r>
      <w:r w:rsidRPr="002E60EB">
        <w:rPr>
          <w:lang w:val="en-US"/>
        </w:rPr>
        <w:t xml:space="preserve"> </w:t>
      </w:r>
    </w:p>
    <w:p w:rsidR="00E15BBF" w:rsidRPr="002E60EB" w:rsidRDefault="00E15BBF" w:rsidP="00317748">
      <w:pPr>
        <w:pStyle w:val="MediumGrid1-Accent21"/>
        <w:ind w:left="0"/>
        <w:rPr>
          <w:lang w:val="en-US"/>
        </w:rPr>
      </w:pPr>
    </w:p>
    <w:p w:rsidR="00E15BBF" w:rsidRPr="002E60EB" w:rsidRDefault="00E15BBF" w:rsidP="00317748">
      <w:pPr>
        <w:pStyle w:val="MediumGrid1-Accent21"/>
        <w:numPr>
          <w:ilvl w:val="0"/>
          <w:numId w:val="23"/>
        </w:numPr>
        <w:rPr>
          <w:b/>
          <w:i/>
          <w:lang w:val="en-US"/>
        </w:rPr>
      </w:pPr>
      <w:r w:rsidRPr="002E60EB">
        <w:rPr>
          <w:b/>
          <w:i/>
          <w:lang w:val="en-US"/>
        </w:rPr>
        <w:t>Considerations of the Court</w:t>
      </w:r>
    </w:p>
    <w:p w:rsidR="00E15BBF" w:rsidRPr="002E60EB" w:rsidRDefault="00E15BBF" w:rsidP="00317748">
      <w:pPr>
        <w:pStyle w:val="MediumGrid1-Accent21"/>
        <w:ind w:left="0"/>
        <w:rPr>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The Court has </w:t>
      </w:r>
      <w:r w:rsidR="000F2A7B" w:rsidRPr="002E60EB">
        <w:rPr>
          <w:rFonts w:cs="Verdana"/>
          <w:lang w:val="en-US"/>
        </w:rPr>
        <w:t xml:space="preserve">stated </w:t>
      </w:r>
      <w:r w:rsidRPr="002E60EB">
        <w:rPr>
          <w:rFonts w:cs="Verdana"/>
          <w:lang w:val="en-US"/>
        </w:rPr>
        <w:t>that preliminary objections are acts that seek to prevent the analysis of the merits of a disputed matter by contesting the admissibility of an application or the competence of the Court to hear a specific case or an</w:t>
      </w:r>
      <w:r w:rsidR="000F2A7B" w:rsidRPr="002E60EB">
        <w:rPr>
          <w:rFonts w:cs="Verdana"/>
          <w:lang w:val="en-US"/>
        </w:rPr>
        <w:t>y</w:t>
      </w:r>
      <w:r w:rsidRPr="002E60EB">
        <w:rPr>
          <w:rFonts w:cs="Verdana"/>
          <w:lang w:val="en-US"/>
        </w:rPr>
        <w:t xml:space="preserve"> aspect of the latter, owing either to the person, matter, time, or place, provided that these objections are of a preliminary nature.</w:t>
      </w:r>
      <w:r w:rsidR="000F2A7B" w:rsidRPr="002E60EB">
        <w:rPr>
          <w:rStyle w:val="Refdenotaalpie"/>
          <w:rFonts w:cs="Arial"/>
          <w:lang w:val="en-US"/>
        </w:rPr>
        <w:footnoteReference w:id="20"/>
      </w:r>
      <w:r w:rsidRPr="002E60EB">
        <w:rPr>
          <w:rFonts w:cs="Verdana"/>
          <w:lang w:val="en-US"/>
        </w:rPr>
        <w:t xml:space="preserve"> If these objections cannot be examined without previously analyzing the merits of a case, they cannot be examined by means of a preliminary objection.</w:t>
      </w:r>
      <w:r w:rsidR="000F2A7B" w:rsidRPr="002E60EB">
        <w:rPr>
          <w:rStyle w:val="Refdenotaalpie"/>
          <w:lang w:val="en-US"/>
        </w:rPr>
        <w:footnoteReference w:id="21"/>
      </w:r>
    </w:p>
    <w:p w:rsidR="00E15BBF" w:rsidRPr="002E60EB" w:rsidRDefault="00E15BBF" w:rsidP="00317748">
      <w:pPr>
        <w:tabs>
          <w:tab w:val="left" w:pos="720"/>
        </w:tabs>
        <w:jc w:val="both"/>
        <w:rPr>
          <w:rFonts w:cs="Verdana"/>
          <w:lang w:val="en-US"/>
        </w:rPr>
      </w:pPr>
    </w:p>
    <w:p w:rsidR="001C3370" w:rsidRPr="002E60EB" w:rsidRDefault="00E15BBF" w:rsidP="00317748">
      <w:pPr>
        <w:numPr>
          <w:ilvl w:val="0"/>
          <w:numId w:val="1"/>
        </w:numPr>
        <w:tabs>
          <w:tab w:val="left" w:pos="720"/>
        </w:tabs>
        <w:jc w:val="both"/>
        <w:rPr>
          <w:rFonts w:cs="Verdana"/>
          <w:lang w:val="en-US"/>
        </w:rPr>
      </w:pPr>
      <w:r w:rsidRPr="002E60EB">
        <w:rPr>
          <w:rFonts w:cs="Verdana"/>
          <w:lang w:val="en-US"/>
        </w:rPr>
        <w:t xml:space="preserve">The Court </w:t>
      </w:r>
      <w:r w:rsidR="001C3370" w:rsidRPr="002E60EB">
        <w:rPr>
          <w:rFonts w:cs="Verdana"/>
          <w:lang w:val="en-US"/>
        </w:rPr>
        <w:t xml:space="preserve">observes </w:t>
      </w:r>
      <w:r w:rsidRPr="002E60EB">
        <w:rPr>
          <w:rFonts w:cs="Verdana"/>
          <w:lang w:val="en-US"/>
        </w:rPr>
        <w:t xml:space="preserve">that the State has not alleged that </w:t>
      </w:r>
      <w:r w:rsidR="001C3370" w:rsidRPr="002E60EB">
        <w:rPr>
          <w:rFonts w:cs="Verdana"/>
          <w:lang w:val="en-US"/>
        </w:rPr>
        <w:t xml:space="preserve">there was a violation of the State’s right of defense </w:t>
      </w:r>
      <w:r w:rsidRPr="002E60EB">
        <w:rPr>
          <w:rFonts w:cs="Verdana"/>
          <w:lang w:val="en-US"/>
        </w:rPr>
        <w:t>in the case before the Commission</w:t>
      </w:r>
      <w:r w:rsidR="001C3370" w:rsidRPr="002E60EB">
        <w:rPr>
          <w:rFonts w:cs="Verdana"/>
          <w:lang w:val="en-US"/>
        </w:rPr>
        <w:t>;</w:t>
      </w:r>
      <w:r w:rsidRPr="002E60EB">
        <w:rPr>
          <w:rFonts w:cs="Verdana"/>
          <w:lang w:val="en-US"/>
        </w:rPr>
        <w:t xml:space="preserve"> but rather it </w:t>
      </w:r>
      <w:r w:rsidR="001C3370" w:rsidRPr="002E60EB">
        <w:rPr>
          <w:rFonts w:cs="Verdana"/>
          <w:lang w:val="en-US"/>
        </w:rPr>
        <w:t xml:space="preserve">indicates </w:t>
      </w:r>
      <w:r w:rsidRPr="002E60EB">
        <w:rPr>
          <w:rFonts w:cs="Verdana"/>
          <w:lang w:val="en-US"/>
        </w:rPr>
        <w:t xml:space="preserve">its </w:t>
      </w:r>
      <w:r w:rsidR="001C3370" w:rsidRPr="002E60EB">
        <w:rPr>
          <w:rFonts w:cs="Verdana"/>
          <w:lang w:val="en-US"/>
        </w:rPr>
        <w:t>disagreement with</w:t>
      </w:r>
      <w:r w:rsidRPr="002E60EB">
        <w:rPr>
          <w:rFonts w:cs="Verdana"/>
          <w:lang w:val="en-US"/>
        </w:rPr>
        <w:t xml:space="preserve"> the assessment of the evidence made by the Commission </w:t>
      </w:r>
      <w:r w:rsidR="001C3370" w:rsidRPr="002E60EB">
        <w:rPr>
          <w:rFonts w:cs="Verdana"/>
          <w:lang w:val="en-US"/>
        </w:rPr>
        <w:t xml:space="preserve">with </w:t>
      </w:r>
      <w:r w:rsidRPr="002E60EB">
        <w:rPr>
          <w:rFonts w:cs="Verdana"/>
          <w:lang w:val="en-US"/>
        </w:rPr>
        <w:t>regard</w:t>
      </w:r>
      <w:r w:rsidR="001C3370" w:rsidRPr="002E60EB">
        <w:rPr>
          <w:rFonts w:cs="Verdana"/>
          <w:lang w:val="en-US"/>
        </w:rPr>
        <w:t xml:space="preserve"> to</w:t>
      </w:r>
      <w:r w:rsidRPr="002E60EB">
        <w:rPr>
          <w:rFonts w:cs="Verdana"/>
          <w:lang w:val="en-US"/>
        </w:rPr>
        <w:t xml:space="preserve"> two factual determinations </w:t>
      </w:r>
      <w:r w:rsidR="001C3370" w:rsidRPr="002E60EB">
        <w:rPr>
          <w:rFonts w:cs="Verdana"/>
          <w:lang w:val="en-US"/>
        </w:rPr>
        <w:t xml:space="preserve">from </w:t>
      </w:r>
      <w:r w:rsidRPr="002E60EB">
        <w:rPr>
          <w:rFonts w:cs="Verdana"/>
          <w:lang w:val="en-US"/>
        </w:rPr>
        <w:t xml:space="preserve">which </w:t>
      </w:r>
      <w:r w:rsidR="001C3370" w:rsidRPr="002E60EB">
        <w:rPr>
          <w:rFonts w:cs="Verdana"/>
          <w:lang w:val="en-US"/>
        </w:rPr>
        <w:t>it determines</w:t>
      </w:r>
      <w:r w:rsidRPr="002E60EB">
        <w:rPr>
          <w:rFonts w:cs="Verdana"/>
          <w:lang w:val="en-US"/>
        </w:rPr>
        <w:t xml:space="preserve"> State responsibility. </w:t>
      </w:r>
    </w:p>
    <w:p w:rsidR="001C3370" w:rsidRPr="002E60EB" w:rsidRDefault="001C3370" w:rsidP="00317748">
      <w:pPr>
        <w:pStyle w:val="Prrafodelista"/>
        <w:rPr>
          <w:rFonts w:cs="Verdana"/>
          <w:lang w:val="en-US"/>
        </w:rPr>
      </w:pPr>
    </w:p>
    <w:p w:rsidR="00E15BBF" w:rsidRPr="00875A3A" w:rsidRDefault="00E15BBF" w:rsidP="00317748">
      <w:pPr>
        <w:numPr>
          <w:ilvl w:val="0"/>
          <w:numId w:val="1"/>
        </w:numPr>
        <w:tabs>
          <w:tab w:val="left" w:pos="720"/>
        </w:tabs>
        <w:jc w:val="both"/>
        <w:rPr>
          <w:rFonts w:cs="Verdana"/>
          <w:lang w:val="en-US"/>
        </w:rPr>
      </w:pPr>
      <w:r w:rsidRPr="002E60EB">
        <w:rPr>
          <w:rFonts w:cs="Verdana"/>
          <w:lang w:val="en-US"/>
        </w:rPr>
        <w:t xml:space="preserve">Although the facts of the </w:t>
      </w:r>
      <w:r w:rsidR="001C3370" w:rsidRPr="002E60EB">
        <w:rPr>
          <w:rFonts w:cs="Verdana"/>
          <w:lang w:val="en-US"/>
        </w:rPr>
        <w:t>Merits Report</w:t>
      </w:r>
      <w:r w:rsidRPr="002E60EB">
        <w:rPr>
          <w:rFonts w:cs="Verdana"/>
          <w:lang w:val="en-US"/>
        </w:rPr>
        <w:t xml:space="preserve"> </w:t>
      </w:r>
      <w:r w:rsidR="001C3370" w:rsidRPr="002E60EB">
        <w:rPr>
          <w:rFonts w:cs="Verdana"/>
          <w:lang w:val="en-US"/>
        </w:rPr>
        <w:t>submitted to the consideration of</w:t>
      </w:r>
      <w:r w:rsidRPr="002E60EB">
        <w:rPr>
          <w:rFonts w:cs="Verdana"/>
          <w:lang w:val="en-US"/>
        </w:rPr>
        <w:t xml:space="preserve"> the Court constitute the factual framework of the proceeding</w:t>
      </w:r>
      <w:r w:rsidR="001C3370" w:rsidRPr="002E60EB">
        <w:rPr>
          <w:rFonts w:cs="Verdana"/>
          <w:lang w:val="en-US"/>
        </w:rPr>
        <w:t>s</w:t>
      </w:r>
      <w:r w:rsidRPr="002E60EB">
        <w:rPr>
          <w:rFonts w:cs="Verdana"/>
          <w:lang w:val="en-US"/>
        </w:rPr>
        <w:t xml:space="preserve"> before the Court,</w:t>
      </w:r>
      <w:r w:rsidR="001C3370" w:rsidRPr="002E60EB">
        <w:rPr>
          <w:rStyle w:val="Refdenotaalpie"/>
          <w:lang w:val="en-US"/>
        </w:rPr>
        <w:footnoteReference w:id="22"/>
      </w:r>
      <w:r w:rsidRPr="002E60EB">
        <w:rPr>
          <w:rFonts w:cs="Verdana"/>
          <w:lang w:val="en-US"/>
        </w:rPr>
        <w:t xml:space="preserve"> the </w:t>
      </w:r>
      <w:r w:rsidR="00B00F36" w:rsidRPr="002E60EB">
        <w:rPr>
          <w:rFonts w:cs="Verdana"/>
          <w:lang w:val="en-US"/>
        </w:rPr>
        <w:t>Court</w:t>
      </w:r>
      <w:r w:rsidR="001C3370" w:rsidRPr="002E60EB">
        <w:rPr>
          <w:rFonts w:cs="Verdana"/>
          <w:lang w:val="en-US"/>
        </w:rPr>
        <w:t xml:space="preserve"> </w:t>
      </w:r>
      <w:r w:rsidRPr="002E60EB">
        <w:rPr>
          <w:rFonts w:cs="Verdana"/>
          <w:lang w:val="en-US"/>
        </w:rPr>
        <w:t xml:space="preserve">is not limited by the assessment </w:t>
      </w:r>
      <w:r w:rsidR="001C3370" w:rsidRPr="002E60EB">
        <w:rPr>
          <w:rFonts w:cs="Verdana"/>
          <w:lang w:val="en-US"/>
        </w:rPr>
        <w:t xml:space="preserve">of the evidence </w:t>
      </w:r>
      <w:r w:rsidRPr="002E60EB">
        <w:rPr>
          <w:rFonts w:cs="Verdana"/>
          <w:lang w:val="en-US"/>
        </w:rPr>
        <w:t xml:space="preserve">and </w:t>
      </w:r>
      <w:r w:rsidR="001C3370" w:rsidRPr="002E60EB">
        <w:rPr>
          <w:rFonts w:cs="Verdana"/>
          <w:lang w:val="en-US"/>
        </w:rPr>
        <w:t xml:space="preserve">characterization </w:t>
      </w:r>
      <w:r w:rsidRPr="002E60EB">
        <w:rPr>
          <w:rFonts w:cs="Verdana"/>
          <w:lang w:val="en-US"/>
        </w:rPr>
        <w:t xml:space="preserve">of the facts made by the Commission in the exercise of its </w:t>
      </w:r>
      <w:r w:rsidR="001C3370" w:rsidRPr="002E60EB">
        <w:rPr>
          <w:rFonts w:cs="Verdana"/>
          <w:lang w:val="en-US"/>
        </w:rPr>
        <w:t>authority</w:t>
      </w:r>
      <w:r w:rsidRPr="002E60EB">
        <w:rPr>
          <w:rFonts w:cs="Verdana"/>
          <w:lang w:val="en-US"/>
        </w:rPr>
        <w:t>.</w:t>
      </w:r>
      <w:r w:rsidR="001C3370" w:rsidRPr="002E60EB">
        <w:rPr>
          <w:rStyle w:val="Refdenotaalpie"/>
          <w:lang w:val="en-US"/>
        </w:rPr>
        <w:footnoteReference w:id="23"/>
      </w:r>
      <w:r w:rsidRPr="002E60EB">
        <w:rPr>
          <w:rFonts w:cs="Verdana"/>
          <w:lang w:val="en-US"/>
        </w:rPr>
        <w:t xml:space="preserve"> The Court makes its own determination of the facts of the case, evaluating the evidence offered by the Commission and the parties</w:t>
      </w:r>
      <w:r w:rsidR="001C3370" w:rsidRPr="002E60EB">
        <w:rPr>
          <w:rFonts w:cs="Verdana"/>
          <w:lang w:val="en-US"/>
        </w:rPr>
        <w:t>,</w:t>
      </w:r>
      <w:r w:rsidRPr="002E60EB">
        <w:rPr>
          <w:rFonts w:cs="Verdana"/>
          <w:lang w:val="en-US"/>
        </w:rPr>
        <w:t xml:space="preserve"> and the </w:t>
      </w:r>
      <w:r w:rsidR="001C3370" w:rsidRPr="002E60EB">
        <w:rPr>
          <w:rFonts w:cs="Verdana"/>
          <w:lang w:val="en-US"/>
        </w:rPr>
        <w:t xml:space="preserve">useful </w:t>
      </w:r>
      <w:r w:rsidRPr="002E60EB">
        <w:rPr>
          <w:rFonts w:cs="Verdana"/>
          <w:lang w:val="en-US"/>
        </w:rPr>
        <w:t xml:space="preserve">evidence requested, respecting the right of defense of the parties and the purpose of the </w:t>
      </w:r>
      <w:r w:rsidRPr="002E60EB">
        <w:rPr>
          <w:i/>
          <w:lang w:val="en-US"/>
        </w:rPr>
        <w:t>litis.</w:t>
      </w:r>
      <w:r w:rsidR="001C3370" w:rsidRPr="002E60EB">
        <w:rPr>
          <w:rStyle w:val="Refdenotaalpie"/>
          <w:lang w:val="en-US"/>
        </w:rPr>
        <w:footnoteReference w:id="24"/>
      </w:r>
      <w:r w:rsidRPr="002E60EB">
        <w:rPr>
          <w:rFonts w:cs="Verdana"/>
          <w:lang w:val="en-US"/>
        </w:rPr>
        <w:t xml:space="preserve"> During the proceedings before the Court, the State has procedural opportunities to exercise its </w:t>
      </w:r>
      <w:r w:rsidR="001C3370" w:rsidRPr="002E60EB">
        <w:rPr>
          <w:rFonts w:cs="Verdana"/>
          <w:lang w:val="en-US"/>
        </w:rPr>
        <w:t xml:space="preserve">right of defense and </w:t>
      </w:r>
      <w:r w:rsidRPr="002E60EB">
        <w:rPr>
          <w:rFonts w:cs="Verdana"/>
          <w:lang w:val="en-US"/>
        </w:rPr>
        <w:t xml:space="preserve">to contest and reject the facts submitted </w:t>
      </w:r>
      <w:r w:rsidR="001C3370" w:rsidRPr="002E60EB">
        <w:rPr>
          <w:rFonts w:cs="Verdana"/>
          <w:lang w:val="en-US"/>
        </w:rPr>
        <w:t xml:space="preserve">to the Court’s </w:t>
      </w:r>
      <w:r w:rsidRPr="002E60EB">
        <w:rPr>
          <w:rFonts w:cs="Verdana"/>
          <w:lang w:val="en-US"/>
        </w:rPr>
        <w:t>consideration.</w:t>
      </w:r>
      <w:r w:rsidR="001C3370" w:rsidRPr="002E60EB">
        <w:rPr>
          <w:rFonts w:cs="Verdana"/>
          <w:lang w:val="en-US"/>
        </w:rPr>
        <w:t xml:space="preserve"> </w:t>
      </w:r>
      <w:r w:rsidR="001C3370" w:rsidRPr="002E60EB">
        <w:rPr>
          <w:lang w:val="en-US"/>
        </w:rPr>
        <w:t>Moreover, the arguments submitted by the State when filling the preliminary object will be taken into account when establishing the facts that this Court finds proved and determining whether the State is internationally responsible for the alleged violati</w:t>
      </w:r>
      <w:r w:rsidR="00D3349A" w:rsidRPr="002E60EB">
        <w:rPr>
          <w:lang w:val="en-US"/>
        </w:rPr>
        <w:t>ons of the treaty-based rights.</w:t>
      </w:r>
    </w:p>
    <w:p w:rsidR="00875A3A" w:rsidRDefault="00875A3A" w:rsidP="00875A3A">
      <w:pPr>
        <w:pStyle w:val="Prrafodelista"/>
        <w:rPr>
          <w:rFonts w:cs="Verdana"/>
          <w:lang w:val="en-US"/>
        </w:rPr>
      </w:pPr>
    </w:p>
    <w:p w:rsidR="00875A3A" w:rsidRPr="002E60EB" w:rsidRDefault="00875A3A" w:rsidP="00875A3A">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rFonts w:cs="Arial"/>
          <w:lang w:val="en-US"/>
        </w:rPr>
        <w:t xml:space="preserve">Based on the </w:t>
      </w:r>
      <w:r w:rsidR="00D3349A" w:rsidRPr="002E60EB">
        <w:rPr>
          <w:rFonts w:cs="Arial"/>
          <w:lang w:val="en-US"/>
        </w:rPr>
        <w:t>above</w:t>
      </w:r>
      <w:r w:rsidRPr="002E60EB">
        <w:rPr>
          <w:rFonts w:cs="Arial"/>
          <w:lang w:val="en-US"/>
        </w:rPr>
        <w:t>, the Court considers</w:t>
      </w:r>
      <w:r w:rsidR="00D3349A" w:rsidRPr="002E60EB">
        <w:rPr>
          <w:rFonts w:cs="Arial"/>
          <w:lang w:val="en-US"/>
        </w:rPr>
        <w:t xml:space="preserve"> that is not appropriate to rule </w:t>
      </w:r>
      <w:r w:rsidRPr="002E60EB">
        <w:rPr>
          <w:rFonts w:cs="Arial"/>
          <w:lang w:val="en-US"/>
        </w:rPr>
        <w:t xml:space="preserve">in a preliminary manner </w:t>
      </w:r>
      <w:r w:rsidR="00D3349A" w:rsidRPr="002E60EB">
        <w:rPr>
          <w:rFonts w:cs="Arial"/>
          <w:lang w:val="en-US"/>
        </w:rPr>
        <w:t>on the Commission’s</w:t>
      </w:r>
      <w:r w:rsidRPr="002E60EB">
        <w:rPr>
          <w:rFonts w:cs="Arial"/>
          <w:lang w:val="en-US"/>
        </w:rPr>
        <w:t xml:space="preserve"> </w:t>
      </w:r>
      <w:r w:rsidR="00D3349A" w:rsidRPr="002E60EB">
        <w:rPr>
          <w:rFonts w:cs="Arial"/>
          <w:lang w:val="en-US"/>
        </w:rPr>
        <w:t>evaluation</w:t>
      </w:r>
      <w:r w:rsidRPr="002E60EB">
        <w:rPr>
          <w:rFonts w:cs="Arial"/>
          <w:lang w:val="en-US"/>
        </w:rPr>
        <w:t xml:space="preserve"> </w:t>
      </w:r>
      <w:r w:rsidR="00D3349A" w:rsidRPr="002E60EB">
        <w:rPr>
          <w:rFonts w:cs="Arial"/>
          <w:lang w:val="en-US"/>
        </w:rPr>
        <w:t>in relation to</w:t>
      </w:r>
      <w:r w:rsidRPr="002E60EB">
        <w:rPr>
          <w:rFonts w:cs="Arial"/>
          <w:lang w:val="en-US"/>
        </w:rPr>
        <w:t xml:space="preserve"> two aspects of the factual determination </w:t>
      </w:r>
      <w:r w:rsidR="00D3349A" w:rsidRPr="002E60EB">
        <w:rPr>
          <w:rFonts w:cs="Arial"/>
          <w:lang w:val="en-US"/>
        </w:rPr>
        <w:t>in</w:t>
      </w:r>
      <w:r w:rsidRPr="002E60EB">
        <w:rPr>
          <w:rFonts w:cs="Arial"/>
          <w:lang w:val="en-US"/>
        </w:rPr>
        <w:t xml:space="preserve"> the </w:t>
      </w:r>
      <w:r w:rsidR="00D3349A" w:rsidRPr="002E60EB">
        <w:rPr>
          <w:rFonts w:cs="Arial"/>
          <w:lang w:val="en-US"/>
        </w:rPr>
        <w:t>Merits Report</w:t>
      </w:r>
      <w:r w:rsidRPr="002E60EB">
        <w:rPr>
          <w:rFonts w:cs="Arial"/>
          <w:lang w:val="en-US"/>
        </w:rPr>
        <w:t xml:space="preserve"> </w:t>
      </w:r>
      <w:r w:rsidRPr="002E60EB">
        <w:rPr>
          <w:lang w:val="en-US"/>
        </w:rPr>
        <w:t>(</w:t>
      </w:r>
      <w:r w:rsidRPr="002E60EB">
        <w:rPr>
          <w:i/>
          <w:lang w:val="en-US"/>
        </w:rPr>
        <w:t>supra</w:t>
      </w:r>
      <w:r w:rsidRPr="002E60EB">
        <w:rPr>
          <w:lang w:val="en-US"/>
        </w:rPr>
        <w:t xml:space="preserve"> p</w:t>
      </w:r>
      <w:r w:rsidR="00D3349A" w:rsidRPr="002E60EB">
        <w:rPr>
          <w:lang w:val="en-US"/>
        </w:rPr>
        <w:t>ara</w:t>
      </w:r>
      <w:r w:rsidRPr="002E60EB">
        <w:rPr>
          <w:lang w:val="en-US"/>
        </w:rPr>
        <w:t xml:space="preserve">. </w:t>
      </w:r>
      <w:r w:rsidR="00D3349A" w:rsidRPr="002E60EB">
        <w:rPr>
          <w:lang w:val="en-US"/>
        </w:rPr>
        <w:t>27</w:t>
      </w:r>
      <w:r w:rsidRPr="002E60EB">
        <w:rPr>
          <w:lang w:val="en-US"/>
        </w:rPr>
        <w:t xml:space="preserve">), </w:t>
      </w:r>
      <w:r w:rsidR="00D3349A" w:rsidRPr="002E60EB">
        <w:rPr>
          <w:lang w:val="en-US"/>
        </w:rPr>
        <w:t xml:space="preserve">because </w:t>
      </w:r>
      <w:r w:rsidRPr="002E60EB">
        <w:rPr>
          <w:lang w:val="en-US"/>
        </w:rPr>
        <w:t>this analysis</w:t>
      </w:r>
      <w:r w:rsidR="00D3349A" w:rsidRPr="002E60EB">
        <w:rPr>
          <w:lang w:val="en-US"/>
        </w:rPr>
        <w:t xml:space="preserve"> corresponds to the merits of the case. Consequently, the Court</w:t>
      </w:r>
      <w:r w:rsidRPr="002E60EB">
        <w:rPr>
          <w:rFonts w:cs="Verdana"/>
          <w:lang w:val="en-US"/>
        </w:rPr>
        <w:t xml:space="preserve"> rejects the preliminary objection filed by the State.</w:t>
      </w:r>
    </w:p>
    <w:p w:rsidR="00E15BBF" w:rsidRPr="002E60EB" w:rsidRDefault="00E15BBF" w:rsidP="00317748">
      <w:pPr>
        <w:pStyle w:val="MediumGrid1-Accent21"/>
        <w:ind w:left="0"/>
        <w:rPr>
          <w:lang w:val="en-US"/>
        </w:rPr>
      </w:pPr>
    </w:p>
    <w:p w:rsidR="00D3349A" w:rsidRPr="002E60EB" w:rsidRDefault="00D3349A" w:rsidP="00317748">
      <w:pPr>
        <w:pStyle w:val="MediumGrid1-Accent21"/>
        <w:ind w:left="0"/>
        <w:rPr>
          <w:lang w:val="en-US"/>
        </w:rPr>
      </w:pPr>
    </w:p>
    <w:p w:rsidR="00E15BBF" w:rsidRPr="002E60EB" w:rsidRDefault="00E15BBF" w:rsidP="00317748">
      <w:pPr>
        <w:jc w:val="center"/>
        <w:rPr>
          <w:b/>
          <w:smallCaps/>
          <w:lang w:val="en-US"/>
        </w:rPr>
      </w:pPr>
      <w:r w:rsidRPr="002E60EB">
        <w:rPr>
          <w:b/>
          <w:smallCaps/>
          <w:lang w:val="en-US"/>
        </w:rPr>
        <w:t>V</w:t>
      </w:r>
    </w:p>
    <w:p w:rsidR="00E15BBF" w:rsidRPr="002E60EB" w:rsidRDefault="007476A0" w:rsidP="00317748">
      <w:pPr>
        <w:jc w:val="center"/>
        <w:rPr>
          <w:b/>
          <w:smallCaps/>
          <w:lang w:val="en-US"/>
        </w:rPr>
      </w:pPr>
      <w:r w:rsidRPr="002E60EB">
        <w:rPr>
          <w:b/>
          <w:smallCaps/>
          <w:lang w:val="en-US"/>
        </w:rPr>
        <w:t xml:space="preserve">PRIOR </w:t>
      </w:r>
      <w:r w:rsidR="00E15BBF" w:rsidRPr="002E60EB">
        <w:rPr>
          <w:b/>
          <w:smallCaps/>
          <w:lang w:val="en-US"/>
        </w:rPr>
        <w:t xml:space="preserve">CONSIDERATIONS </w:t>
      </w:r>
    </w:p>
    <w:p w:rsidR="00E15BBF" w:rsidRPr="002E60EB" w:rsidRDefault="00E15BBF" w:rsidP="00317748">
      <w:pPr>
        <w:pStyle w:val="MediumGrid1-Accent21"/>
        <w:ind w:left="0"/>
        <w:rPr>
          <w:lang w:val="en-US"/>
        </w:rPr>
      </w:pPr>
    </w:p>
    <w:p w:rsidR="00E15BBF" w:rsidRPr="002E60EB" w:rsidRDefault="00E15BBF" w:rsidP="00317748">
      <w:pPr>
        <w:numPr>
          <w:ilvl w:val="0"/>
          <w:numId w:val="1"/>
        </w:numPr>
        <w:tabs>
          <w:tab w:val="left" w:pos="720"/>
        </w:tabs>
        <w:jc w:val="both"/>
        <w:rPr>
          <w:rFonts w:cs="Verdana"/>
          <w:lang w:val="en-US"/>
        </w:rPr>
      </w:pPr>
      <w:r w:rsidRPr="002E60EB">
        <w:rPr>
          <w:lang w:val="en-US"/>
        </w:rPr>
        <w:t xml:space="preserve">In this chapter, the Court will rule on arguments </w:t>
      </w:r>
      <w:r w:rsidR="00D3349A" w:rsidRPr="002E60EB">
        <w:rPr>
          <w:lang w:val="en-US"/>
        </w:rPr>
        <w:t xml:space="preserve">put forward </w:t>
      </w:r>
      <w:r w:rsidRPr="002E60EB">
        <w:rPr>
          <w:lang w:val="en-US"/>
        </w:rPr>
        <w:t>by the State in its answer</w:t>
      </w:r>
      <w:r w:rsidR="00D3349A" w:rsidRPr="002E60EB">
        <w:rPr>
          <w:lang w:val="en-US"/>
        </w:rPr>
        <w:t>ing</w:t>
      </w:r>
      <w:r w:rsidRPr="002E60EB">
        <w:rPr>
          <w:lang w:val="en-US"/>
        </w:rPr>
        <w:t xml:space="preserve"> brief </w:t>
      </w:r>
      <w:r w:rsidR="00D3349A" w:rsidRPr="002E60EB">
        <w:rPr>
          <w:lang w:val="en-US"/>
        </w:rPr>
        <w:t>affirming</w:t>
      </w:r>
      <w:r w:rsidRPr="002E60EB">
        <w:rPr>
          <w:lang w:val="en-US"/>
        </w:rPr>
        <w:t xml:space="preserve"> that there was</w:t>
      </w:r>
      <w:r w:rsidR="00D3349A" w:rsidRPr="002E60EB">
        <w:rPr>
          <w:lang w:val="en-US"/>
        </w:rPr>
        <w:t xml:space="preserve"> a</w:t>
      </w:r>
      <w:r w:rsidRPr="002E60EB">
        <w:rPr>
          <w:lang w:val="en-US"/>
        </w:rPr>
        <w:t xml:space="preserve"> </w:t>
      </w:r>
      <w:r w:rsidR="00087093" w:rsidRPr="002E60EB">
        <w:rPr>
          <w:lang w:val="en-US"/>
        </w:rPr>
        <w:t>“</w:t>
      </w:r>
      <w:r w:rsidR="00D3349A" w:rsidRPr="002E60EB">
        <w:rPr>
          <w:lang w:val="en-US"/>
        </w:rPr>
        <w:t>failure by the Commission</w:t>
      </w:r>
      <w:r w:rsidR="00B00F36" w:rsidRPr="002E60EB">
        <w:rPr>
          <w:lang w:val="en-US"/>
        </w:rPr>
        <w:t xml:space="preserve"> failed</w:t>
      </w:r>
      <w:r w:rsidR="00D3349A" w:rsidRPr="002E60EB">
        <w:rPr>
          <w:lang w:val="en-US"/>
        </w:rPr>
        <w:t xml:space="preserve"> to comply </w:t>
      </w:r>
      <w:r w:rsidRPr="002E60EB">
        <w:rPr>
          <w:lang w:val="en-US"/>
        </w:rPr>
        <w:t xml:space="preserve">with </w:t>
      </w:r>
      <w:r w:rsidR="00D3349A" w:rsidRPr="002E60EB">
        <w:rPr>
          <w:lang w:val="en-US"/>
        </w:rPr>
        <w:t xml:space="preserve">the </w:t>
      </w:r>
      <w:r w:rsidRPr="002E60EB">
        <w:rPr>
          <w:lang w:val="en-US"/>
        </w:rPr>
        <w:t xml:space="preserve">basic requirements for </w:t>
      </w:r>
      <w:r w:rsidR="00D3349A" w:rsidRPr="002E60EB">
        <w:rPr>
          <w:lang w:val="en-US"/>
        </w:rPr>
        <w:t>submitting the</w:t>
      </w:r>
      <w:r w:rsidRPr="002E60EB">
        <w:rPr>
          <w:lang w:val="en-US"/>
        </w:rPr>
        <w:t xml:space="preserve"> case </w:t>
      </w:r>
      <w:r w:rsidR="00D3349A" w:rsidRPr="002E60EB">
        <w:rPr>
          <w:lang w:val="en-US"/>
        </w:rPr>
        <w:t xml:space="preserve">to </w:t>
      </w:r>
      <w:r w:rsidRPr="002E60EB">
        <w:rPr>
          <w:lang w:val="en-US"/>
        </w:rPr>
        <w:t>the Court</w:t>
      </w:r>
      <w:r w:rsidR="00087093" w:rsidRPr="002E60EB">
        <w:rPr>
          <w:lang w:val="en-US"/>
        </w:rPr>
        <w:t>”</w:t>
      </w:r>
      <w:r w:rsidRPr="002E60EB">
        <w:rPr>
          <w:lang w:val="en-US"/>
        </w:rPr>
        <w:t xml:space="preserve"> and</w:t>
      </w:r>
      <w:r w:rsidR="00D3349A" w:rsidRPr="002E60EB">
        <w:rPr>
          <w:lang w:val="en-US"/>
        </w:rPr>
        <w:t xml:space="preserve"> a</w:t>
      </w:r>
      <w:r w:rsidRPr="002E60EB">
        <w:rPr>
          <w:lang w:val="en-US"/>
        </w:rPr>
        <w:t xml:space="preserve"> </w:t>
      </w:r>
      <w:r w:rsidR="00087093" w:rsidRPr="002E60EB">
        <w:rPr>
          <w:lang w:val="en-US"/>
        </w:rPr>
        <w:t>“</w:t>
      </w:r>
      <w:r w:rsidR="00D3349A" w:rsidRPr="002E60EB">
        <w:rPr>
          <w:lang w:val="en-US"/>
        </w:rPr>
        <w:t xml:space="preserve">failure to comply </w:t>
      </w:r>
      <w:r w:rsidRPr="002E60EB">
        <w:rPr>
          <w:lang w:val="en-US"/>
        </w:rPr>
        <w:t xml:space="preserve">with </w:t>
      </w:r>
      <w:r w:rsidR="00D3349A" w:rsidRPr="002E60EB">
        <w:rPr>
          <w:lang w:val="en-US"/>
        </w:rPr>
        <w:t xml:space="preserve">the regulatory </w:t>
      </w:r>
      <w:r w:rsidRPr="002E60EB">
        <w:rPr>
          <w:lang w:val="en-US"/>
        </w:rPr>
        <w:t xml:space="preserve">requirements regarding the </w:t>
      </w:r>
      <w:r w:rsidR="00D3349A" w:rsidRPr="002E60EB">
        <w:rPr>
          <w:lang w:val="en-US"/>
        </w:rPr>
        <w:t xml:space="preserve">brief with </w:t>
      </w:r>
      <w:r w:rsidRPr="002E60EB">
        <w:rPr>
          <w:lang w:val="en-US"/>
        </w:rPr>
        <w:t>pleadings</w:t>
      </w:r>
      <w:r w:rsidR="00D3349A" w:rsidRPr="002E60EB">
        <w:rPr>
          <w:lang w:val="en-US"/>
        </w:rPr>
        <w:t>,</w:t>
      </w:r>
      <w:r w:rsidRPr="002E60EB">
        <w:rPr>
          <w:lang w:val="en-US"/>
        </w:rPr>
        <w:t xml:space="preserve"> motions</w:t>
      </w:r>
      <w:r w:rsidR="00D3349A" w:rsidRPr="002E60EB">
        <w:rPr>
          <w:lang w:val="en-US"/>
        </w:rPr>
        <w:t xml:space="preserve"> and evidence,</w:t>
      </w:r>
      <w:r w:rsidR="00087093" w:rsidRPr="002E60EB">
        <w:rPr>
          <w:lang w:val="en-US"/>
        </w:rPr>
        <w:t>”</w:t>
      </w:r>
      <w:r w:rsidR="00D3349A" w:rsidRPr="002E60EB">
        <w:rPr>
          <w:lang w:val="en-US"/>
        </w:rPr>
        <w:t xml:space="preserve"> because </w:t>
      </w:r>
      <w:r w:rsidRPr="002E60EB">
        <w:rPr>
          <w:lang w:val="en-US"/>
        </w:rPr>
        <w:t xml:space="preserve"> </w:t>
      </w:r>
      <w:r w:rsidR="00087093" w:rsidRPr="002E60EB">
        <w:rPr>
          <w:lang w:val="en-US"/>
        </w:rPr>
        <w:t>“</w:t>
      </w:r>
      <w:r w:rsidRPr="002E60EB">
        <w:rPr>
          <w:lang w:val="en-US"/>
        </w:rPr>
        <w:t xml:space="preserve">it contains </w:t>
      </w:r>
      <w:r w:rsidR="00D3349A" w:rsidRPr="002E60EB">
        <w:rPr>
          <w:lang w:val="en-US"/>
        </w:rPr>
        <w:t xml:space="preserve">numerous </w:t>
      </w:r>
      <w:r w:rsidRPr="002E60EB">
        <w:rPr>
          <w:lang w:val="en-US"/>
        </w:rPr>
        <w:t xml:space="preserve">facts and claims that </w:t>
      </w:r>
      <w:r w:rsidR="00D3349A" w:rsidRPr="002E60EB">
        <w:rPr>
          <w:lang w:val="en-US"/>
        </w:rPr>
        <w:t>bear no</w:t>
      </w:r>
      <w:r w:rsidRPr="002E60EB">
        <w:rPr>
          <w:lang w:val="en-US"/>
        </w:rPr>
        <w:t xml:space="preserve"> relat</w:t>
      </w:r>
      <w:r w:rsidR="00D3349A" w:rsidRPr="002E60EB">
        <w:rPr>
          <w:lang w:val="en-US"/>
        </w:rPr>
        <w:t>ionship</w:t>
      </w:r>
      <w:r w:rsidR="00AE5BA1" w:rsidRPr="002E60EB">
        <w:rPr>
          <w:lang w:val="en-US"/>
        </w:rPr>
        <w:t xml:space="preserve"> to</w:t>
      </w:r>
      <w:r w:rsidR="00D3349A" w:rsidRPr="002E60EB">
        <w:rPr>
          <w:lang w:val="en-US"/>
        </w:rPr>
        <w:t xml:space="preserve"> </w:t>
      </w:r>
      <w:r w:rsidRPr="002E60EB">
        <w:rPr>
          <w:lang w:val="en-US"/>
        </w:rPr>
        <w:t xml:space="preserve">or cannot be included </w:t>
      </w:r>
      <w:r w:rsidR="00D3349A" w:rsidRPr="002E60EB">
        <w:rPr>
          <w:lang w:val="en-US"/>
        </w:rPr>
        <w:t>with</w:t>
      </w:r>
      <w:r w:rsidRPr="002E60EB">
        <w:rPr>
          <w:lang w:val="en-US"/>
        </w:rPr>
        <w:t>in the factual framework established by the Commission in its presentation of the case to the […] Court.</w:t>
      </w:r>
      <w:r w:rsidR="00087093" w:rsidRPr="002E60EB">
        <w:rPr>
          <w:lang w:val="en-US"/>
        </w:rPr>
        <w:t>”</w:t>
      </w:r>
      <w:r w:rsidRPr="002E60EB">
        <w:rPr>
          <w:lang w:val="en-US"/>
        </w:rPr>
        <w:t xml:space="preserve"> </w:t>
      </w:r>
    </w:p>
    <w:p w:rsidR="00E15BBF" w:rsidRPr="002E60EB" w:rsidRDefault="00E15BBF" w:rsidP="00317748">
      <w:pPr>
        <w:tabs>
          <w:tab w:val="left" w:pos="720"/>
        </w:tabs>
        <w:jc w:val="both"/>
        <w:rPr>
          <w:rFonts w:cs="Verdana"/>
          <w:lang w:val="en-US"/>
        </w:rPr>
      </w:pPr>
    </w:p>
    <w:p w:rsidR="00E15BBF" w:rsidRPr="002E60EB" w:rsidRDefault="00D3349A" w:rsidP="00317748">
      <w:pPr>
        <w:numPr>
          <w:ilvl w:val="0"/>
          <w:numId w:val="1"/>
        </w:numPr>
        <w:tabs>
          <w:tab w:val="left" w:pos="720"/>
        </w:tabs>
        <w:jc w:val="both"/>
        <w:rPr>
          <w:lang w:val="en-US"/>
        </w:rPr>
      </w:pPr>
      <w:r w:rsidRPr="002E60EB">
        <w:rPr>
          <w:lang w:val="en-US"/>
        </w:rPr>
        <w:t>The</w:t>
      </w:r>
      <w:r w:rsidR="00E15BBF" w:rsidRPr="002E60EB">
        <w:rPr>
          <w:lang w:val="en-US"/>
        </w:rPr>
        <w:t xml:space="preserve"> Court will </w:t>
      </w:r>
      <w:r w:rsidRPr="002E60EB">
        <w:rPr>
          <w:lang w:val="en-US"/>
        </w:rPr>
        <w:t xml:space="preserve">now analyze </w:t>
      </w:r>
      <w:r w:rsidR="00E15BBF" w:rsidRPr="002E60EB">
        <w:rPr>
          <w:lang w:val="en-US"/>
        </w:rPr>
        <w:t xml:space="preserve">the State’s arguments that were not </w:t>
      </w:r>
      <w:r w:rsidR="00B00F36" w:rsidRPr="002E60EB">
        <w:rPr>
          <w:lang w:val="en-US"/>
        </w:rPr>
        <w:t>decided</w:t>
      </w:r>
      <w:r w:rsidR="00E15BBF" w:rsidRPr="002E60EB">
        <w:rPr>
          <w:lang w:val="en-US"/>
        </w:rPr>
        <w:t xml:space="preserve"> during the processing of the case</w:t>
      </w:r>
      <w:r w:rsidR="00E15BBF" w:rsidRPr="002E60EB">
        <w:rPr>
          <w:rStyle w:val="Refdenotaalpie"/>
          <w:lang w:val="en-US"/>
        </w:rPr>
        <w:footnoteReference w:id="25"/>
      </w:r>
      <w:r w:rsidR="00E15BBF" w:rsidRPr="002E60EB">
        <w:rPr>
          <w:lang w:val="en-US"/>
        </w:rPr>
        <w:t xml:space="preserve"> and that require analysis </w:t>
      </w:r>
      <w:r w:rsidR="007476A0" w:rsidRPr="002E60EB">
        <w:rPr>
          <w:lang w:val="en-US"/>
        </w:rPr>
        <w:t xml:space="preserve">prior </w:t>
      </w:r>
      <w:r w:rsidR="00E15BBF" w:rsidRPr="002E60EB">
        <w:rPr>
          <w:lang w:val="en-US"/>
        </w:rPr>
        <w:t>to considerations o</w:t>
      </w:r>
      <w:r w:rsidR="007476A0" w:rsidRPr="002E60EB">
        <w:rPr>
          <w:lang w:val="en-US"/>
        </w:rPr>
        <w:t>f</w:t>
      </w:r>
      <w:r w:rsidR="00E15BBF" w:rsidRPr="002E60EB">
        <w:rPr>
          <w:lang w:val="en-US"/>
        </w:rPr>
        <w:t xml:space="preserve"> the merits of the case and the </w:t>
      </w:r>
      <w:r w:rsidR="007476A0" w:rsidRPr="002E60EB">
        <w:rPr>
          <w:lang w:val="en-US"/>
        </w:rPr>
        <w:t xml:space="preserve">eventual </w:t>
      </w:r>
      <w:r w:rsidR="00E15BBF" w:rsidRPr="002E60EB">
        <w:rPr>
          <w:lang w:val="en-US"/>
        </w:rPr>
        <w:t xml:space="preserve">reparations. The Court will </w:t>
      </w:r>
      <w:r w:rsidR="007476A0" w:rsidRPr="002E60EB">
        <w:rPr>
          <w:lang w:val="en-US"/>
        </w:rPr>
        <w:t>make</w:t>
      </w:r>
      <w:r w:rsidR="00E15BBF" w:rsidRPr="002E60EB">
        <w:rPr>
          <w:lang w:val="en-US"/>
        </w:rPr>
        <w:t xml:space="preserve"> prior considerations on: </w:t>
      </w:r>
      <w:r w:rsidR="007476A0" w:rsidRPr="002E60EB">
        <w:rPr>
          <w:lang w:val="en-US"/>
        </w:rPr>
        <w:t>(</w:t>
      </w:r>
      <w:r w:rsidR="00E15BBF" w:rsidRPr="002E60EB">
        <w:rPr>
          <w:lang w:val="en-US"/>
        </w:rPr>
        <w:t xml:space="preserve">A) </w:t>
      </w:r>
      <w:r w:rsidR="007476A0" w:rsidRPr="002E60EB">
        <w:rPr>
          <w:lang w:val="en-US"/>
        </w:rPr>
        <w:t>the alleged failure to comply</w:t>
      </w:r>
      <w:r w:rsidR="00E15BBF" w:rsidRPr="002E60EB">
        <w:rPr>
          <w:lang w:val="en-US"/>
        </w:rPr>
        <w:t xml:space="preserve"> with basic requirements for </w:t>
      </w:r>
      <w:r w:rsidR="007476A0" w:rsidRPr="002E60EB">
        <w:rPr>
          <w:lang w:val="en-US"/>
        </w:rPr>
        <w:t>the Commission to submit the</w:t>
      </w:r>
      <w:r w:rsidR="00E15BBF" w:rsidRPr="002E60EB">
        <w:rPr>
          <w:lang w:val="en-US"/>
        </w:rPr>
        <w:t xml:space="preserve"> case </w:t>
      </w:r>
      <w:r w:rsidR="007476A0" w:rsidRPr="002E60EB">
        <w:rPr>
          <w:lang w:val="en-US"/>
        </w:rPr>
        <w:t xml:space="preserve">to </w:t>
      </w:r>
      <w:r w:rsidR="00E15BBF" w:rsidRPr="002E60EB">
        <w:rPr>
          <w:lang w:val="en-US"/>
        </w:rPr>
        <w:t>the Court</w:t>
      </w:r>
      <w:r w:rsidR="007476A0" w:rsidRPr="002E60EB">
        <w:rPr>
          <w:lang w:val="en-US"/>
        </w:rPr>
        <w:t xml:space="preserve">, </w:t>
      </w:r>
      <w:r w:rsidR="00E15BBF" w:rsidRPr="002E60EB">
        <w:rPr>
          <w:lang w:val="en-US"/>
        </w:rPr>
        <w:t xml:space="preserve">and B) the factual framework of this case. </w:t>
      </w:r>
    </w:p>
    <w:p w:rsidR="00E15BBF" w:rsidRPr="002E60EB" w:rsidRDefault="00E15BBF" w:rsidP="00317748">
      <w:pPr>
        <w:rPr>
          <w:lang w:val="en-US"/>
        </w:rPr>
      </w:pPr>
    </w:p>
    <w:p w:rsidR="00E15BBF" w:rsidRPr="002E60EB" w:rsidRDefault="00E15BBF" w:rsidP="00317748">
      <w:pPr>
        <w:pStyle w:val="MediumGrid1-Accent21"/>
        <w:numPr>
          <w:ilvl w:val="5"/>
          <w:numId w:val="12"/>
        </w:numPr>
        <w:tabs>
          <w:tab w:val="clear" w:pos="3515"/>
          <w:tab w:val="num" w:pos="720"/>
        </w:tabs>
        <w:ind w:left="0"/>
        <w:contextualSpacing/>
        <w:jc w:val="both"/>
        <w:rPr>
          <w:b/>
          <w:lang w:val="en-US"/>
        </w:rPr>
      </w:pPr>
      <w:r w:rsidRPr="002E60EB">
        <w:rPr>
          <w:b/>
          <w:i/>
          <w:lang w:val="en-US"/>
        </w:rPr>
        <w:t xml:space="preserve">Alleged </w:t>
      </w:r>
      <w:r w:rsidR="004E6CD6" w:rsidRPr="002E60EB">
        <w:rPr>
          <w:b/>
          <w:i/>
          <w:lang w:val="en-US"/>
        </w:rPr>
        <w:t>failure to comply with</w:t>
      </w:r>
      <w:r w:rsidR="00CF7F35" w:rsidRPr="002E60EB">
        <w:rPr>
          <w:b/>
          <w:i/>
          <w:lang w:val="en-US"/>
        </w:rPr>
        <w:t xml:space="preserve"> </w:t>
      </w:r>
      <w:r w:rsidRPr="002E60EB">
        <w:rPr>
          <w:b/>
          <w:i/>
          <w:lang w:val="en-US"/>
        </w:rPr>
        <w:t>basic requirements for</w:t>
      </w:r>
      <w:r w:rsidR="00CF7F35" w:rsidRPr="002E60EB">
        <w:rPr>
          <w:b/>
          <w:i/>
          <w:lang w:val="en-US"/>
        </w:rPr>
        <w:t xml:space="preserve"> submission of the case to the Court by</w:t>
      </w:r>
      <w:r w:rsidRPr="002E60EB">
        <w:rPr>
          <w:b/>
          <w:i/>
          <w:lang w:val="en-US"/>
        </w:rPr>
        <w:t xml:space="preserve"> </w:t>
      </w:r>
      <w:r w:rsidR="004E6CD6" w:rsidRPr="002E60EB">
        <w:rPr>
          <w:b/>
          <w:i/>
          <w:lang w:val="en-US"/>
        </w:rPr>
        <w:t>the Commission</w:t>
      </w:r>
    </w:p>
    <w:p w:rsidR="00E15BBF" w:rsidRPr="002E60EB" w:rsidRDefault="00E15BBF" w:rsidP="002711CF">
      <w:pPr>
        <w:pStyle w:val="MediumGrid1-Accent21"/>
        <w:ind w:left="0"/>
        <w:contextualSpacing/>
        <w:jc w:val="both"/>
        <w:rPr>
          <w:lang w:val="en-US"/>
        </w:rPr>
      </w:pPr>
    </w:p>
    <w:p w:rsidR="00E15BBF" w:rsidRPr="002E60EB" w:rsidRDefault="00E15BBF" w:rsidP="00317748">
      <w:pPr>
        <w:pStyle w:val="MediumGrid1-Accent21"/>
        <w:rPr>
          <w:i/>
          <w:lang w:val="en-US"/>
        </w:rPr>
      </w:pPr>
      <w:r w:rsidRPr="002E60EB">
        <w:rPr>
          <w:i/>
          <w:lang w:val="en-US"/>
        </w:rPr>
        <w:t>Arguments of the</w:t>
      </w:r>
      <w:r w:rsidR="001E0CBF" w:rsidRPr="002E60EB">
        <w:rPr>
          <w:i/>
          <w:lang w:val="en-US"/>
        </w:rPr>
        <w:t xml:space="preserve"> State and </w:t>
      </w:r>
      <w:r w:rsidRPr="002E60EB">
        <w:rPr>
          <w:i/>
          <w:lang w:val="en-US"/>
        </w:rPr>
        <w:t>observations of the Inter-American Commission</w:t>
      </w:r>
      <w:r w:rsidR="001E0CBF" w:rsidRPr="002E60EB">
        <w:rPr>
          <w:i/>
          <w:lang w:val="en-US"/>
        </w:rPr>
        <w:t xml:space="preserve"> and the represe</w:t>
      </w:r>
      <w:r w:rsidR="00B00F36" w:rsidRPr="002E60EB">
        <w:rPr>
          <w:i/>
          <w:lang w:val="en-US"/>
        </w:rPr>
        <w:t>n</w:t>
      </w:r>
      <w:r w:rsidR="001E0CBF" w:rsidRPr="002E60EB">
        <w:rPr>
          <w:i/>
          <w:lang w:val="en-US"/>
        </w:rPr>
        <w:t>tative</w:t>
      </w:r>
    </w:p>
    <w:p w:rsidR="00E15BBF" w:rsidRPr="002E60EB" w:rsidRDefault="00E15BBF" w:rsidP="00317748">
      <w:pPr>
        <w:pStyle w:val="MediumGrid1-Accent21"/>
        <w:ind w:left="0"/>
        <w:rPr>
          <w:lang w:val="en-US"/>
        </w:rPr>
      </w:pPr>
    </w:p>
    <w:p w:rsidR="00E15BBF" w:rsidRPr="002E60EB" w:rsidRDefault="00E15BBF" w:rsidP="00317748">
      <w:pPr>
        <w:numPr>
          <w:ilvl w:val="0"/>
          <w:numId w:val="1"/>
        </w:numPr>
        <w:tabs>
          <w:tab w:val="left" w:pos="720"/>
        </w:tabs>
        <w:jc w:val="both"/>
        <w:rPr>
          <w:lang w:val="en-US"/>
        </w:rPr>
      </w:pPr>
      <w:r w:rsidRPr="002E60EB">
        <w:rPr>
          <w:rFonts w:cs="Verdana"/>
          <w:lang w:val="en-US"/>
        </w:rPr>
        <w:t xml:space="preserve">The State argued that the Inter-American Commission </w:t>
      </w:r>
      <w:r w:rsidR="00426DAC" w:rsidRPr="002E60EB">
        <w:rPr>
          <w:rFonts w:cs="Verdana"/>
          <w:lang w:val="en-US"/>
        </w:rPr>
        <w:t xml:space="preserve">had </w:t>
      </w:r>
      <w:r w:rsidRPr="002E60EB">
        <w:rPr>
          <w:rFonts w:cs="Verdana"/>
          <w:lang w:val="en-US"/>
        </w:rPr>
        <w:t xml:space="preserve">failed to comply with </w:t>
      </w:r>
      <w:r w:rsidR="00770293" w:rsidRPr="002E60EB">
        <w:rPr>
          <w:rFonts w:cs="Verdana"/>
          <w:lang w:val="en-US"/>
        </w:rPr>
        <w:t xml:space="preserve">the provisions of </w:t>
      </w:r>
      <w:r w:rsidRPr="002E60EB">
        <w:rPr>
          <w:rFonts w:cs="Verdana"/>
          <w:lang w:val="en-US"/>
        </w:rPr>
        <w:t>sub</w:t>
      </w:r>
      <w:r w:rsidR="00770293" w:rsidRPr="002E60EB">
        <w:rPr>
          <w:rFonts w:cs="Verdana"/>
          <w:lang w:val="en-US"/>
        </w:rPr>
        <w:t>paragraphs</w:t>
      </w:r>
      <w:r w:rsidRPr="002E60EB">
        <w:rPr>
          <w:rFonts w:cs="Verdana"/>
          <w:lang w:val="en-US"/>
        </w:rPr>
        <w:t xml:space="preserve"> (c) and (d) of Article 35(1) of the </w:t>
      </w:r>
      <w:r w:rsidR="004E6CD6" w:rsidRPr="002E60EB">
        <w:rPr>
          <w:rFonts w:cs="Verdana"/>
          <w:lang w:val="en-US"/>
        </w:rPr>
        <w:t xml:space="preserve">Court’s </w:t>
      </w:r>
      <w:r w:rsidRPr="002E60EB">
        <w:rPr>
          <w:rFonts w:cs="Verdana"/>
          <w:lang w:val="en-US"/>
        </w:rPr>
        <w:t xml:space="preserve">Rules of Procedure. </w:t>
      </w:r>
      <w:r w:rsidRPr="002E60EB">
        <w:rPr>
          <w:lang w:val="en-US"/>
        </w:rPr>
        <w:t xml:space="preserve"> Colombia further </w:t>
      </w:r>
      <w:r w:rsidR="00770293" w:rsidRPr="002E60EB">
        <w:rPr>
          <w:lang w:val="en-US"/>
        </w:rPr>
        <w:t xml:space="preserve">affirmed </w:t>
      </w:r>
      <w:r w:rsidRPr="002E60EB">
        <w:rPr>
          <w:lang w:val="en-US"/>
        </w:rPr>
        <w:t>that the Commission</w:t>
      </w:r>
      <w:r w:rsidR="00770293" w:rsidRPr="002E60EB">
        <w:rPr>
          <w:lang w:val="en-US"/>
        </w:rPr>
        <w:t xml:space="preserve"> had</w:t>
      </w:r>
      <w:r w:rsidRPr="002E60EB">
        <w:rPr>
          <w:lang w:val="en-US"/>
        </w:rPr>
        <w:t xml:space="preserve"> failed to comply with </w:t>
      </w:r>
      <w:r w:rsidR="00770293" w:rsidRPr="002E60EB">
        <w:rPr>
          <w:lang w:val="en-US"/>
        </w:rPr>
        <w:t xml:space="preserve">the said </w:t>
      </w:r>
      <w:r w:rsidRPr="002E60EB">
        <w:rPr>
          <w:lang w:val="en-US"/>
        </w:rPr>
        <w:t xml:space="preserve">Article 35(1)(c) because the reasons why it submitted the case to the Court were </w:t>
      </w:r>
      <w:r w:rsidR="00087093" w:rsidRPr="002E60EB">
        <w:rPr>
          <w:lang w:val="en-US"/>
        </w:rPr>
        <w:t>“</w:t>
      </w:r>
      <w:r w:rsidRPr="002E60EB">
        <w:rPr>
          <w:lang w:val="en-US"/>
        </w:rPr>
        <w:t>improperly motivated,</w:t>
      </w:r>
      <w:r w:rsidR="00087093" w:rsidRPr="002E60EB">
        <w:rPr>
          <w:lang w:val="en-US"/>
        </w:rPr>
        <w:t>”</w:t>
      </w:r>
      <w:r w:rsidRPr="002E60EB">
        <w:rPr>
          <w:lang w:val="en-US"/>
        </w:rPr>
        <w:t xml:space="preserve"> given that it did not </w:t>
      </w:r>
      <w:r w:rsidR="00770293" w:rsidRPr="002E60EB">
        <w:rPr>
          <w:lang w:val="en-US"/>
        </w:rPr>
        <w:t xml:space="preserve">take into consideration </w:t>
      </w:r>
      <w:r w:rsidRPr="002E60EB">
        <w:rPr>
          <w:lang w:val="en-US"/>
        </w:rPr>
        <w:t>the State’s continuing efforts to comply with recommendations 4</w:t>
      </w:r>
      <w:r w:rsidR="00426DAC" w:rsidRPr="002E60EB">
        <w:rPr>
          <w:lang w:val="en-US"/>
        </w:rPr>
        <w:t>,</w:t>
      </w:r>
      <w:r w:rsidRPr="002E60EB">
        <w:rPr>
          <w:rStyle w:val="Refdenotaalpie"/>
          <w:lang w:val="en-US"/>
        </w:rPr>
        <w:footnoteReference w:id="26"/>
      </w:r>
      <w:r w:rsidRPr="002E60EB">
        <w:rPr>
          <w:lang w:val="en-US"/>
        </w:rPr>
        <w:t xml:space="preserve"> 5</w:t>
      </w:r>
      <w:r w:rsidRPr="002E60EB">
        <w:rPr>
          <w:rStyle w:val="Refdenotaalpie"/>
          <w:lang w:val="en-US"/>
        </w:rPr>
        <w:footnoteReference w:id="27"/>
      </w:r>
      <w:r w:rsidRPr="002E60EB">
        <w:rPr>
          <w:lang w:val="en-US"/>
        </w:rPr>
        <w:t xml:space="preserve"> and 6</w:t>
      </w:r>
      <w:r w:rsidRPr="002E60EB">
        <w:rPr>
          <w:rStyle w:val="Refdenotaalpie"/>
          <w:lang w:val="en-US"/>
        </w:rPr>
        <w:footnoteReference w:id="28"/>
      </w:r>
      <w:r w:rsidRPr="002E60EB">
        <w:rPr>
          <w:lang w:val="en-US"/>
        </w:rPr>
        <w:t xml:space="preserve"> of </w:t>
      </w:r>
      <w:r w:rsidR="00770293" w:rsidRPr="002E60EB">
        <w:rPr>
          <w:lang w:val="en-US"/>
        </w:rPr>
        <w:t>Merits</w:t>
      </w:r>
      <w:r w:rsidRPr="002E60EB">
        <w:rPr>
          <w:lang w:val="en-US"/>
        </w:rPr>
        <w:t xml:space="preserve"> Report No. 136/10. The State </w:t>
      </w:r>
      <w:r w:rsidR="00426DAC" w:rsidRPr="002E60EB">
        <w:rPr>
          <w:lang w:val="en-US"/>
        </w:rPr>
        <w:t xml:space="preserve">asked the Court </w:t>
      </w:r>
      <w:r w:rsidR="00087093" w:rsidRPr="002E60EB">
        <w:rPr>
          <w:lang w:val="en-US"/>
        </w:rPr>
        <w:t>“</w:t>
      </w:r>
      <w:r w:rsidRPr="002E60EB">
        <w:rPr>
          <w:lang w:val="en-US"/>
        </w:rPr>
        <w:t xml:space="preserve">not </w:t>
      </w:r>
      <w:r w:rsidR="00426DAC" w:rsidRPr="002E60EB">
        <w:rPr>
          <w:lang w:val="en-US"/>
        </w:rPr>
        <w:t xml:space="preserve">to </w:t>
      </w:r>
      <w:r w:rsidRPr="002E60EB">
        <w:rPr>
          <w:lang w:val="en-US"/>
        </w:rPr>
        <w:t xml:space="preserve">consider </w:t>
      </w:r>
      <w:r w:rsidR="00426DAC" w:rsidRPr="002E60EB">
        <w:rPr>
          <w:lang w:val="en-US"/>
        </w:rPr>
        <w:t xml:space="preserve">non-compliance </w:t>
      </w:r>
      <w:r w:rsidRPr="002E60EB">
        <w:rPr>
          <w:lang w:val="en-US"/>
        </w:rPr>
        <w:t xml:space="preserve">with recommendations 4, 5, and 6 of </w:t>
      </w:r>
      <w:r w:rsidR="00426DAC" w:rsidRPr="002E60EB">
        <w:rPr>
          <w:lang w:val="en-US"/>
        </w:rPr>
        <w:t xml:space="preserve">[…] </w:t>
      </w:r>
      <w:r w:rsidRPr="002E60EB">
        <w:rPr>
          <w:lang w:val="en-US"/>
        </w:rPr>
        <w:t xml:space="preserve">Report No. 136/10 as </w:t>
      </w:r>
      <w:r w:rsidR="00426DAC" w:rsidRPr="002E60EB">
        <w:rPr>
          <w:lang w:val="en-US"/>
        </w:rPr>
        <w:t>grounds for</w:t>
      </w:r>
      <w:r w:rsidRPr="002E60EB">
        <w:rPr>
          <w:lang w:val="en-US"/>
        </w:rPr>
        <w:t xml:space="preserve"> submit</w:t>
      </w:r>
      <w:r w:rsidR="00426DAC" w:rsidRPr="002E60EB">
        <w:rPr>
          <w:lang w:val="en-US"/>
        </w:rPr>
        <w:t>ting</w:t>
      </w:r>
      <w:r w:rsidRPr="002E60EB">
        <w:rPr>
          <w:lang w:val="en-US"/>
        </w:rPr>
        <w:t xml:space="preserve"> the case to its jurisdiction</w:t>
      </w:r>
      <w:r w:rsidR="00087093" w:rsidRPr="002E60EB">
        <w:rPr>
          <w:lang w:val="en-US"/>
        </w:rPr>
        <w:t>”</w:t>
      </w:r>
      <w:r w:rsidRPr="002E60EB">
        <w:rPr>
          <w:lang w:val="en-US"/>
        </w:rPr>
        <w:t xml:space="preserve"> and</w:t>
      </w:r>
      <w:r w:rsidR="00426DAC" w:rsidRPr="002E60EB">
        <w:rPr>
          <w:lang w:val="en-US"/>
        </w:rPr>
        <w:t>, consequently,</w:t>
      </w:r>
      <w:r w:rsidRPr="002E60EB">
        <w:rPr>
          <w:lang w:val="en-US"/>
        </w:rPr>
        <w:t xml:space="preserve"> </w:t>
      </w:r>
      <w:r w:rsidR="00087093" w:rsidRPr="002E60EB">
        <w:rPr>
          <w:lang w:val="en-US"/>
        </w:rPr>
        <w:t>“</w:t>
      </w:r>
      <w:r w:rsidRPr="002E60EB">
        <w:rPr>
          <w:lang w:val="en-US"/>
        </w:rPr>
        <w:t xml:space="preserve">to reject and </w:t>
      </w:r>
      <w:r w:rsidR="00426DAC" w:rsidRPr="002E60EB">
        <w:rPr>
          <w:lang w:val="en-US"/>
        </w:rPr>
        <w:t xml:space="preserve">disallow </w:t>
      </w:r>
      <w:r w:rsidRPr="002E60EB">
        <w:rPr>
          <w:lang w:val="en-US"/>
        </w:rPr>
        <w:t xml:space="preserve">the measures of reparation contained in </w:t>
      </w:r>
      <w:r w:rsidR="00426DAC" w:rsidRPr="002E60EB">
        <w:rPr>
          <w:lang w:val="en-US"/>
        </w:rPr>
        <w:t>sub</w:t>
      </w:r>
      <w:r w:rsidRPr="002E60EB">
        <w:rPr>
          <w:lang w:val="en-US"/>
        </w:rPr>
        <w:t>paragraphs (d), (e) and (f)</w:t>
      </w:r>
      <w:r w:rsidR="00087093" w:rsidRPr="002E60EB">
        <w:rPr>
          <w:lang w:val="en-US"/>
        </w:rPr>
        <w:t>”</w:t>
      </w:r>
      <w:r w:rsidRPr="002E60EB">
        <w:rPr>
          <w:lang w:val="en-US"/>
        </w:rPr>
        <w:t xml:space="preserve"> requested by the Commission, </w:t>
      </w:r>
      <w:r w:rsidR="00087093" w:rsidRPr="002E60EB">
        <w:rPr>
          <w:lang w:val="en-US"/>
        </w:rPr>
        <w:t>“</w:t>
      </w:r>
      <w:r w:rsidR="00426DAC" w:rsidRPr="002E60EB">
        <w:rPr>
          <w:lang w:val="en-US"/>
        </w:rPr>
        <w:t>because</w:t>
      </w:r>
      <w:r w:rsidRPr="002E60EB">
        <w:rPr>
          <w:lang w:val="en-US"/>
        </w:rPr>
        <w:t xml:space="preserve"> </w:t>
      </w:r>
      <w:r w:rsidR="00426DAC" w:rsidRPr="002E60EB">
        <w:rPr>
          <w:lang w:val="en-US"/>
        </w:rPr>
        <w:t xml:space="preserve">the said </w:t>
      </w:r>
      <w:r w:rsidRPr="002E60EB">
        <w:rPr>
          <w:lang w:val="en-US"/>
        </w:rPr>
        <w:t xml:space="preserve">measures are currently being </w:t>
      </w:r>
      <w:r w:rsidR="00426DAC" w:rsidRPr="002E60EB">
        <w:rPr>
          <w:lang w:val="en-US"/>
        </w:rPr>
        <w:t xml:space="preserve">implemented </w:t>
      </w:r>
      <w:r w:rsidRPr="002E60EB">
        <w:rPr>
          <w:lang w:val="en-US"/>
        </w:rPr>
        <w:t xml:space="preserve">by the State, </w:t>
      </w:r>
      <w:r w:rsidR="00426DAC" w:rsidRPr="002E60EB">
        <w:rPr>
          <w:lang w:val="en-US"/>
        </w:rPr>
        <w:t>invalidating a possible guilty verdict in this regard.</w:t>
      </w:r>
      <w:r w:rsidR="00087093" w:rsidRPr="002E60EB">
        <w:rPr>
          <w:lang w:val="en-US"/>
        </w:rPr>
        <w:t>”</w:t>
      </w:r>
      <w:r w:rsidRPr="002E60EB">
        <w:rPr>
          <w:lang w:val="en-US"/>
        </w:rPr>
        <w:t xml:space="preserve"> </w:t>
      </w:r>
      <w:r w:rsidR="00EC709D" w:rsidRPr="002E60EB">
        <w:rPr>
          <w:lang w:val="en-US"/>
        </w:rPr>
        <w:t>The</w:t>
      </w:r>
      <w:r w:rsidRPr="002E60EB">
        <w:rPr>
          <w:lang w:val="en-US"/>
        </w:rPr>
        <w:t xml:space="preserve"> State </w:t>
      </w:r>
      <w:r w:rsidR="00EC709D" w:rsidRPr="002E60EB">
        <w:rPr>
          <w:lang w:val="en-US"/>
        </w:rPr>
        <w:t xml:space="preserve">also </w:t>
      </w:r>
      <w:r w:rsidRPr="002E60EB">
        <w:rPr>
          <w:lang w:val="en-US"/>
        </w:rPr>
        <w:t xml:space="preserve">argued that the Commission </w:t>
      </w:r>
      <w:r w:rsidR="00EC709D" w:rsidRPr="002E60EB">
        <w:rPr>
          <w:lang w:val="en-US"/>
        </w:rPr>
        <w:t>had failed to comply</w:t>
      </w:r>
      <w:r w:rsidRPr="002E60EB">
        <w:rPr>
          <w:lang w:val="en-US"/>
        </w:rPr>
        <w:t xml:space="preserve"> with the provisions of Article 35(1)(d) of the </w:t>
      </w:r>
      <w:r w:rsidR="00EC709D" w:rsidRPr="002E60EB">
        <w:rPr>
          <w:lang w:val="en-US"/>
        </w:rPr>
        <w:t xml:space="preserve">Court’s </w:t>
      </w:r>
      <w:r w:rsidRPr="002E60EB">
        <w:rPr>
          <w:lang w:val="en-US"/>
        </w:rPr>
        <w:t xml:space="preserve">Rules of Procedure </w:t>
      </w:r>
      <w:r w:rsidR="00EC709D" w:rsidRPr="002E60EB">
        <w:rPr>
          <w:lang w:val="en-US"/>
        </w:rPr>
        <w:t xml:space="preserve">because it had not provided </w:t>
      </w:r>
      <w:r w:rsidRPr="002E60EB">
        <w:rPr>
          <w:lang w:val="en-US"/>
        </w:rPr>
        <w:t xml:space="preserve">a copy of the report submitted by Colombia </w:t>
      </w:r>
      <w:r w:rsidR="00EC709D" w:rsidRPr="002E60EB">
        <w:rPr>
          <w:lang w:val="en-US"/>
        </w:rPr>
        <w:t>regarding to its</w:t>
      </w:r>
      <w:r w:rsidRPr="002E60EB">
        <w:rPr>
          <w:lang w:val="en-US"/>
        </w:rPr>
        <w:t xml:space="preserve"> compliance with the</w:t>
      </w:r>
      <w:r w:rsidR="00EC709D" w:rsidRPr="002E60EB">
        <w:rPr>
          <w:lang w:val="en-US"/>
        </w:rPr>
        <w:t xml:space="preserve"> Commission’s</w:t>
      </w:r>
      <w:r w:rsidRPr="002E60EB">
        <w:rPr>
          <w:lang w:val="en-US"/>
        </w:rPr>
        <w:t xml:space="preserve"> recommendations, which</w:t>
      </w:r>
      <w:r w:rsidR="00EC709D" w:rsidRPr="002E60EB">
        <w:rPr>
          <w:lang w:val="en-US"/>
        </w:rPr>
        <w:t xml:space="preserve"> forms part of the case file </w:t>
      </w:r>
      <w:r w:rsidRPr="002E60EB">
        <w:rPr>
          <w:lang w:val="en-US"/>
        </w:rPr>
        <w:t>before the Commission.</w:t>
      </w:r>
    </w:p>
    <w:p w:rsidR="00E15BBF" w:rsidRPr="002E60EB" w:rsidRDefault="00E15BBF" w:rsidP="00317748">
      <w:pPr>
        <w:tabs>
          <w:tab w:val="left" w:pos="720"/>
        </w:tabs>
        <w:jc w:val="both"/>
        <w:rPr>
          <w:rFonts w:cs="Verdana"/>
          <w:lang w:val="en-US"/>
        </w:rPr>
      </w:pPr>
    </w:p>
    <w:p w:rsidR="00E15BBF" w:rsidRPr="002E60EB" w:rsidRDefault="00E15BBF" w:rsidP="0084489E">
      <w:pPr>
        <w:numPr>
          <w:ilvl w:val="0"/>
          <w:numId w:val="1"/>
        </w:numPr>
        <w:tabs>
          <w:tab w:val="left" w:pos="720"/>
        </w:tabs>
        <w:jc w:val="both"/>
        <w:rPr>
          <w:lang w:val="en-US"/>
        </w:rPr>
      </w:pPr>
      <w:r w:rsidRPr="002E60EB">
        <w:rPr>
          <w:rFonts w:cs="Verdana"/>
          <w:lang w:val="en-US"/>
        </w:rPr>
        <w:t xml:space="preserve">The Commission </w:t>
      </w:r>
      <w:r w:rsidR="00EC709D" w:rsidRPr="002E60EB">
        <w:rPr>
          <w:rFonts w:cs="Verdana"/>
          <w:lang w:val="en-US"/>
        </w:rPr>
        <w:t>referred</w:t>
      </w:r>
      <w:r w:rsidRPr="002E60EB">
        <w:rPr>
          <w:rFonts w:cs="Verdana"/>
          <w:lang w:val="en-US"/>
        </w:rPr>
        <w:t xml:space="preserve"> to the </w:t>
      </w:r>
      <w:r w:rsidR="00EC709D" w:rsidRPr="002E60EB">
        <w:rPr>
          <w:rFonts w:cs="Verdana"/>
          <w:lang w:val="en-US"/>
        </w:rPr>
        <w:t xml:space="preserve">State’s </w:t>
      </w:r>
      <w:r w:rsidRPr="002E60EB">
        <w:rPr>
          <w:rFonts w:cs="Verdana"/>
          <w:lang w:val="en-US"/>
        </w:rPr>
        <w:t>arguments regarding the requirements</w:t>
      </w:r>
      <w:r w:rsidR="00EC709D" w:rsidRPr="002E60EB">
        <w:rPr>
          <w:rFonts w:cs="Verdana"/>
          <w:lang w:val="en-US"/>
        </w:rPr>
        <w:t xml:space="preserve"> established</w:t>
      </w:r>
      <w:r w:rsidRPr="002E60EB">
        <w:rPr>
          <w:rFonts w:cs="Verdana"/>
          <w:lang w:val="en-US"/>
        </w:rPr>
        <w:t xml:space="preserve"> in Article 35</w:t>
      </w:r>
      <w:r w:rsidR="00EC709D" w:rsidRPr="002E60EB">
        <w:rPr>
          <w:rFonts w:cs="Verdana"/>
          <w:lang w:val="en-US"/>
        </w:rPr>
        <w:t>(</w:t>
      </w:r>
      <w:r w:rsidRPr="002E60EB">
        <w:rPr>
          <w:rFonts w:cs="Verdana"/>
          <w:lang w:val="en-US"/>
        </w:rPr>
        <w:t>1)</w:t>
      </w:r>
      <w:r w:rsidR="00EC709D" w:rsidRPr="002E60EB">
        <w:rPr>
          <w:rFonts w:cs="Verdana"/>
          <w:lang w:val="en-US"/>
        </w:rPr>
        <w:t>(c)</w:t>
      </w:r>
      <w:r w:rsidRPr="002E60EB">
        <w:rPr>
          <w:rFonts w:cs="Verdana"/>
          <w:lang w:val="en-US"/>
        </w:rPr>
        <w:t xml:space="preserve"> indicating, </w:t>
      </w:r>
      <w:r w:rsidRPr="002E60EB">
        <w:rPr>
          <w:rFonts w:cs="Verdana"/>
          <w:i/>
          <w:lang w:val="en-US"/>
        </w:rPr>
        <w:t>inter alia</w:t>
      </w:r>
      <w:r w:rsidRPr="002E60EB">
        <w:rPr>
          <w:rFonts w:cs="Verdana"/>
          <w:lang w:val="en-US"/>
        </w:rPr>
        <w:t xml:space="preserve">, that its recommendations </w:t>
      </w:r>
      <w:r w:rsidR="00087093" w:rsidRPr="002E60EB">
        <w:rPr>
          <w:rFonts w:cs="Verdana"/>
          <w:lang w:val="en-US"/>
        </w:rPr>
        <w:t>“</w:t>
      </w:r>
      <w:r w:rsidRPr="002E60EB">
        <w:rPr>
          <w:rFonts w:cs="Verdana"/>
          <w:lang w:val="en-US"/>
        </w:rPr>
        <w:t xml:space="preserve">may </w:t>
      </w:r>
      <w:r w:rsidR="0084489E" w:rsidRPr="002E60EB">
        <w:rPr>
          <w:rFonts w:cs="Verdana"/>
          <w:lang w:val="en-US"/>
        </w:rPr>
        <w:t>have</w:t>
      </w:r>
      <w:r w:rsidRPr="002E60EB">
        <w:rPr>
          <w:rFonts w:cs="Verdana"/>
          <w:lang w:val="en-US"/>
        </w:rPr>
        <w:t xml:space="preserve"> different </w:t>
      </w:r>
      <w:r w:rsidR="0084489E" w:rsidRPr="002E60EB">
        <w:rPr>
          <w:rFonts w:cs="Verdana"/>
          <w:lang w:val="en-US"/>
        </w:rPr>
        <w:t>characteristics</w:t>
      </w:r>
      <w:r w:rsidR="00087093" w:rsidRPr="002E60EB">
        <w:rPr>
          <w:rFonts w:cs="Verdana"/>
          <w:lang w:val="en-US"/>
        </w:rPr>
        <w:t>”</w:t>
      </w:r>
      <w:r w:rsidR="0084489E" w:rsidRPr="002E60EB">
        <w:rPr>
          <w:rFonts w:cs="Verdana"/>
          <w:lang w:val="en-US"/>
        </w:rPr>
        <w:t>;</w:t>
      </w:r>
      <w:r w:rsidRPr="002E60EB">
        <w:rPr>
          <w:rFonts w:cs="Verdana"/>
          <w:lang w:val="en-US"/>
        </w:rPr>
        <w:t xml:space="preserve"> </w:t>
      </w:r>
      <w:r w:rsidR="0084489E" w:rsidRPr="002E60EB">
        <w:rPr>
          <w:rFonts w:cs="Verdana"/>
          <w:lang w:val="en-US"/>
        </w:rPr>
        <w:t>thus,</w:t>
      </w:r>
      <w:r w:rsidRPr="002E60EB">
        <w:rPr>
          <w:rFonts w:cs="Verdana"/>
          <w:lang w:val="en-US"/>
        </w:rPr>
        <w:t xml:space="preserve"> in the </w:t>
      </w:r>
      <w:r w:rsidR="00EC709D" w:rsidRPr="002E60EB">
        <w:rPr>
          <w:rFonts w:cs="Verdana"/>
          <w:lang w:val="en-US"/>
        </w:rPr>
        <w:t xml:space="preserve">instant </w:t>
      </w:r>
      <w:r w:rsidRPr="002E60EB">
        <w:rPr>
          <w:rFonts w:cs="Verdana"/>
          <w:lang w:val="en-US"/>
        </w:rPr>
        <w:t xml:space="preserve">case, </w:t>
      </w:r>
      <w:r w:rsidR="00087093" w:rsidRPr="002E60EB">
        <w:rPr>
          <w:rFonts w:cs="Verdana"/>
          <w:lang w:val="en-US"/>
        </w:rPr>
        <w:t>“</w:t>
      </w:r>
      <w:r w:rsidRPr="002E60EB">
        <w:rPr>
          <w:rFonts w:cs="Verdana"/>
          <w:lang w:val="en-US"/>
        </w:rPr>
        <w:t xml:space="preserve">the information available </w:t>
      </w:r>
      <w:r w:rsidR="00EC709D" w:rsidRPr="002E60EB">
        <w:rPr>
          <w:rFonts w:cs="Verdana"/>
          <w:lang w:val="en-US"/>
        </w:rPr>
        <w:t>reveal[ed] progress in comply</w:t>
      </w:r>
      <w:r w:rsidR="0084489E" w:rsidRPr="002E60EB">
        <w:rPr>
          <w:rFonts w:cs="Verdana"/>
          <w:lang w:val="en-US"/>
        </w:rPr>
        <w:t>ing</w:t>
      </w:r>
      <w:r w:rsidR="00EC709D" w:rsidRPr="002E60EB">
        <w:rPr>
          <w:rFonts w:cs="Verdana"/>
          <w:lang w:val="en-US"/>
        </w:rPr>
        <w:t xml:space="preserve"> with </w:t>
      </w:r>
      <w:r w:rsidRPr="002E60EB">
        <w:rPr>
          <w:rFonts w:cs="Verdana"/>
          <w:lang w:val="en-US"/>
        </w:rPr>
        <w:t>some [of them] and</w:t>
      </w:r>
      <w:r w:rsidR="0084489E" w:rsidRPr="002E60EB">
        <w:rPr>
          <w:rFonts w:cs="Verdana"/>
          <w:lang w:val="en-US"/>
        </w:rPr>
        <w:t xml:space="preserve"> lack of</w:t>
      </w:r>
      <w:r w:rsidR="00EC709D" w:rsidRPr="002E60EB">
        <w:rPr>
          <w:rFonts w:cs="Verdana"/>
          <w:lang w:val="en-US"/>
        </w:rPr>
        <w:t xml:space="preserve"> progress in complying with</w:t>
      </w:r>
      <w:r w:rsidRPr="002E60EB">
        <w:rPr>
          <w:rFonts w:cs="Verdana"/>
          <w:lang w:val="en-US"/>
        </w:rPr>
        <w:t xml:space="preserve"> others.</w:t>
      </w:r>
      <w:r w:rsidR="00087093" w:rsidRPr="002E60EB">
        <w:rPr>
          <w:rFonts w:cs="Verdana"/>
          <w:lang w:val="en-US"/>
        </w:rPr>
        <w:t>”</w:t>
      </w:r>
      <w:r w:rsidRPr="002E60EB">
        <w:rPr>
          <w:rFonts w:cs="Verdana"/>
          <w:lang w:val="en-US"/>
        </w:rPr>
        <w:t xml:space="preserve"> </w:t>
      </w:r>
      <w:r w:rsidR="00EC709D" w:rsidRPr="002E60EB">
        <w:rPr>
          <w:rFonts w:cs="Verdana"/>
          <w:lang w:val="en-US"/>
        </w:rPr>
        <w:t xml:space="preserve">According to </w:t>
      </w:r>
      <w:r w:rsidRPr="002E60EB">
        <w:rPr>
          <w:rFonts w:cs="Verdana"/>
          <w:lang w:val="en-US"/>
        </w:rPr>
        <w:t xml:space="preserve">the Commission, this </w:t>
      </w:r>
      <w:r w:rsidR="00087093" w:rsidRPr="002E60EB">
        <w:rPr>
          <w:rFonts w:cs="Verdana"/>
          <w:lang w:val="en-US"/>
        </w:rPr>
        <w:t>“</w:t>
      </w:r>
      <w:r w:rsidRPr="002E60EB">
        <w:rPr>
          <w:rFonts w:cs="Verdana"/>
          <w:lang w:val="en-US"/>
        </w:rPr>
        <w:t xml:space="preserve">does not mean that it is procedurally </w:t>
      </w:r>
      <w:r w:rsidR="00EC709D" w:rsidRPr="002E60EB">
        <w:rPr>
          <w:rFonts w:cs="Verdana"/>
          <w:lang w:val="en-US"/>
        </w:rPr>
        <w:t xml:space="preserve">viable </w:t>
      </w:r>
      <w:r w:rsidRPr="002E60EB">
        <w:rPr>
          <w:rFonts w:cs="Verdana"/>
          <w:lang w:val="en-US"/>
        </w:rPr>
        <w:t xml:space="preserve">to </w:t>
      </w:r>
      <w:r w:rsidR="00EC709D" w:rsidRPr="002E60EB">
        <w:rPr>
          <w:rFonts w:cs="Verdana"/>
          <w:lang w:val="en-US"/>
        </w:rPr>
        <w:t xml:space="preserve">divide </w:t>
      </w:r>
      <w:r w:rsidR="008B76AD" w:rsidRPr="002E60EB">
        <w:rPr>
          <w:rFonts w:cs="Verdana"/>
          <w:lang w:val="en-US"/>
        </w:rPr>
        <w:t xml:space="preserve">up </w:t>
      </w:r>
      <w:r w:rsidR="00EC709D" w:rsidRPr="002E60EB">
        <w:rPr>
          <w:rFonts w:cs="Verdana"/>
          <w:lang w:val="en-US"/>
        </w:rPr>
        <w:t>or</w:t>
      </w:r>
      <w:r w:rsidRPr="002E60EB">
        <w:rPr>
          <w:rFonts w:cs="Verdana"/>
          <w:lang w:val="en-US"/>
        </w:rPr>
        <w:t xml:space="preserve"> </w:t>
      </w:r>
      <w:r w:rsidR="00EC709D" w:rsidRPr="002E60EB">
        <w:rPr>
          <w:rFonts w:cs="Verdana"/>
          <w:lang w:val="en-US"/>
        </w:rPr>
        <w:t>separate the</w:t>
      </w:r>
      <w:r w:rsidRPr="002E60EB">
        <w:rPr>
          <w:rFonts w:cs="Verdana"/>
          <w:lang w:val="en-US"/>
        </w:rPr>
        <w:t xml:space="preserve"> aspects of the case </w:t>
      </w:r>
      <w:r w:rsidR="003D7F5F" w:rsidRPr="002E60EB">
        <w:rPr>
          <w:rFonts w:cs="Verdana"/>
          <w:lang w:val="en-US"/>
        </w:rPr>
        <w:t xml:space="preserve">that it </w:t>
      </w:r>
      <w:r w:rsidRPr="002E60EB">
        <w:rPr>
          <w:rFonts w:cs="Verdana"/>
          <w:lang w:val="en-US"/>
        </w:rPr>
        <w:t>present</w:t>
      </w:r>
      <w:r w:rsidR="003D7F5F" w:rsidRPr="002E60EB">
        <w:rPr>
          <w:rFonts w:cs="Verdana"/>
          <w:lang w:val="en-US"/>
        </w:rPr>
        <w:t>s</w:t>
      </w:r>
      <w:r w:rsidRPr="002E60EB">
        <w:rPr>
          <w:rFonts w:cs="Verdana"/>
          <w:lang w:val="en-US"/>
        </w:rPr>
        <w:t xml:space="preserve"> to the Court </w:t>
      </w:r>
      <w:r w:rsidR="0084489E" w:rsidRPr="002E60EB">
        <w:rPr>
          <w:rFonts w:cs="Verdana"/>
          <w:lang w:val="en-US"/>
        </w:rPr>
        <w:t>based on</w:t>
      </w:r>
      <w:r w:rsidRPr="002E60EB">
        <w:rPr>
          <w:rFonts w:cs="Verdana"/>
          <w:lang w:val="en-US"/>
        </w:rPr>
        <w:t xml:space="preserve"> </w:t>
      </w:r>
      <w:r w:rsidR="0084489E" w:rsidRPr="002E60EB">
        <w:rPr>
          <w:rFonts w:cs="Verdana"/>
          <w:lang w:val="en-US"/>
        </w:rPr>
        <w:t>criteria</w:t>
      </w:r>
      <w:r w:rsidRPr="002E60EB">
        <w:rPr>
          <w:rFonts w:cs="Verdana"/>
          <w:lang w:val="en-US"/>
        </w:rPr>
        <w:t xml:space="preserve"> of </w:t>
      </w:r>
      <w:r w:rsidR="00087093" w:rsidRPr="002E60EB">
        <w:rPr>
          <w:rFonts w:cs="Verdana"/>
          <w:lang w:val="en-US"/>
        </w:rPr>
        <w:t>“</w:t>
      </w:r>
      <w:r w:rsidRPr="002E60EB">
        <w:rPr>
          <w:rFonts w:cs="Verdana"/>
          <w:lang w:val="en-US"/>
        </w:rPr>
        <w:t xml:space="preserve">recommendations </w:t>
      </w:r>
      <w:r w:rsidR="003D7F5F" w:rsidRPr="002E60EB">
        <w:rPr>
          <w:rFonts w:cs="Verdana"/>
          <w:lang w:val="en-US"/>
        </w:rPr>
        <w:t>complied with</w:t>
      </w:r>
      <w:r w:rsidR="00087093" w:rsidRPr="002E60EB">
        <w:rPr>
          <w:rFonts w:cs="Verdana"/>
          <w:lang w:val="en-US"/>
        </w:rPr>
        <w:t>”</w:t>
      </w:r>
      <w:r w:rsidRPr="002E60EB">
        <w:rPr>
          <w:rFonts w:cs="Verdana"/>
          <w:lang w:val="en-US"/>
        </w:rPr>
        <w:t xml:space="preserve"> and </w:t>
      </w:r>
      <w:r w:rsidR="00087093" w:rsidRPr="002E60EB">
        <w:rPr>
          <w:rFonts w:cs="Verdana"/>
          <w:lang w:val="en-US"/>
        </w:rPr>
        <w:t>“</w:t>
      </w:r>
      <w:r w:rsidRPr="002E60EB">
        <w:rPr>
          <w:rFonts w:cs="Verdana"/>
          <w:lang w:val="en-US"/>
        </w:rPr>
        <w:t xml:space="preserve">recommendations </w:t>
      </w:r>
      <w:r w:rsidR="003D7F5F" w:rsidRPr="002E60EB">
        <w:rPr>
          <w:rFonts w:cs="Verdana"/>
          <w:lang w:val="en-US"/>
        </w:rPr>
        <w:t>not complied with</w:t>
      </w:r>
      <w:r w:rsidRPr="002E60EB">
        <w:rPr>
          <w:rFonts w:cs="Verdana"/>
          <w:lang w:val="en-US"/>
        </w:rPr>
        <w:t>.</w:t>
      </w:r>
      <w:r w:rsidR="00087093" w:rsidRPr="002E60EB">
        <w:rPr>
          <w:rFonts w:cs="Verdana"/>
          <w:lang w:val="en-US"/>
        </w:rPr>
        <w:t>”</w:t>
      </w:r>
      <w:r w:rsidRPr="002E60EB">
        <w:rPr>
          <w:rFonts w:cs="Verdana"/>
          <w:lang w:val="en-US"/>
        </w:rPr>
        <w:t xml:space="preserve"> The Commission </w:t>
      </w:r>
      <w:r w:rsidR="003D7F5F" w:rsidRPr="002E60EB">
        <w:rPr>
          <w:rFonts w:cs="Verdana"/>
          <w:lang w:val="en-US"/>
        </w:rPr>
        <w:t xml:space="preserve">indicated </w:t>
      </w:r>
      <w:r w:rsidRPr="002E60EB">
        <w:rPr>
          <w:rFonts w:cs="Verdana"/>
          <w:lang w:val="en-US"/>
        </w:rPr>
        <w:t xml:space="preserve">that </w:t>
      </w:r>
      <w:r w:rsidR="00087093" w:rsidRPr="002E60EB">
        <w:rPr>
          <w:rFonts w:cs="Verdana"/>
          <w:lang w:val="en-US"/>
        </w:rPr>
        <w:t>“</w:t>
      </w:r>
      <w:r w:rsidRPr="002E60EB">
        <w:rPr>
          <w:rFonts w:cs="Verdana"/>
          <w:lang w:val="en-US"/>
        </w:rPr>
        <w:t>[</w:t>
      </w:r>
      <w:r w:rsidR="003D7F5F" w:rsidRPr="002E60EB">
        <w:rPr>
          <w:rFonts w:cs="Verdana"/>
          <w:lang w:val="en-US"/>
        </w:rPr>
        <w:t xml:space="preserve">a]ccording to </w:t>
      </w:r>
      <w:r w:rsidRPr="002E60EB">
        <w:rPr>
          <w:rFonts w:cs="Verdana"/>
          <w:lang w:val="en-US"/>
        </w:rPr>
        <w:t xml:space="preserve">the American Convention, the Rules of Procedure of both </w:t>
      </w:r>
      <w:r w:rsidR="003D7F5F" w:rsidRPr="002E60EB">
        <w:rPr>
          <w:rFonts w:cs="Verdana"/>
          <w:lang w:val="en-US"/>
        </w:rPr>
        <w:t xml:space="preserve">organs </w:t>
      </w:r>
      <w:r w:rsidRPr="002E60EB">
        <w:rPr>
          <w:rFonts w:cs="Verdana"/>
          <w:lang w:val="en-US"/>
        </w:rPr>
        <w:t xml:space="preserve">of the system, and the practice of more than 20 years, when the Commission submits a case to the Inter-American Court, it submits it in its entirety, with the </w:t>
      </w:r>
      <w:r w:rsidR="003D7F5F" w:rsidRPr="002E60EB">
        <w:rPr>
          <w:rFonts w:cs="Verdana"/>
          <w:lang w:val="en-US"/>
        </w:rPr>
        <w:t>sole</w:t>
      </w:r>
      <w:r w:rsidRPr="002E60EB">
        <w:rPr>
          <w:rFonts w:cs="Verdana"/>
          <w:lang w:val="en-US"/>
        </w:rPr>
        <w:t xml:space="preserve"> exception of the limitations</w:t>
      </w:r>
      <w:r w:rsidR="003D7F5F" w:rsidRPr="002E60EB">
        <w:rPr>
          <w:rFonts w:cs="Verdana"/>
          <w:lang w:val="en-US"/>
        </w:rPr>
        <w:t xml:space="preserve"> that may</w:t>
      </w:r>
      <w:r w:rsidRPr="002E60EB">
        <w:rPr>
          <w:rFonts w:cs="Verdana"/>
          <w:lang w:val="en-US"/>
        </w:rPr>
        <w:t xml:space="preserve"> aris</w:t>
      </w:r>
      <w:r w:rsidR="003D7F5F" w:rsidRPr="002E60EB">
        <w:rPr>
          <w:rFonts w:cs="Verdana"/>
          <w:lang w:val="en-US"/>
        </w:rPr>
        <w:t>e</w:t>
      </w:r>
      <w:r w:rsidRPr="002E60EB">
        <w:rPr>
          <w:rFonts w:cs="Verdana"/>
          <w:lang w:val="en-US"/>
        </w:rPr>
        <w:t xml:space="preserve"> from the</w:t>
      </w:r>
      <w:r w:rsidR="003D7F5F" w:rsidRPr="002E60EB">
        <w:rPr>
          <w:rFonts w:cs="Verdana"/>
          <w:lang w:val="en-US"/>
        </w:rPr>
        <w:t xml:space="preserve"> Court’s</w:t>
      </w:r>
      <w:r w:rsidRPr="002E60EB">
        <w:rPr>
          <w:rFonts w:cs="Verdana"/>
          <w:lang w:val="en-US"/>
        </w:rPr>
        <w:t xml:space="preserve"> temporal </w:t>
      </w:r>
      <w:r w:rsidR="003D7F5F" w:rsidRPr="002E60EB">
        <w:rPr>
          <w:rFonts w:cs="Verdana"/>
          <w:lang w:val="en-US"/>
        </w:rPr>
        <w:t>competence</w:t>
      </w:r>
      <w:r w:rsidRPr="002E60EB">
        <w:rPr>
          <w:rFonts w:cs="Verdana"/>
          <w:lang w:val="en-US"/>
        </w:rPr>
        <w:t>.</w:t>
      </w:r>
      <w:r w:rsidR="00087093" w:rsidRPr="002E60EB">
        <w:rPr>
          <w:rFonts w:cs="Verdana"/>
          <w:lang w:val="en-US"/>
        </w:rPr>
        <w:t>”</w:t>
      </w:r>
      <w:r w:rsidRPr="002E60EB">
        <w:rPr>
          <w:rFonts w:cs="Verdana"/>
          <w:lang w:val="en-US"/>
        </w:rPr>
        <w:t xml:space="preserve"> </w:t>
      </w:r>
      <w:r w:rsidR="003D7F5F" w:rsidRPr="002E60EB">
        <w:rPr>
          <w:lang w:val="en-US"/>
        </w:rPr>
        <w:t>In addition, it indicated that when progress has been verified in</w:t>
      </w:r>
      <w:r w:rsidRPr="002E60EB">
        <w:rPr>
          <w:lang w:val="en-US"/>
        </w:rPr>
        <w:t xml:space="preserve"> compliance with some of the recommendations, </w:t>
      </w:r>
      <w:r w:rsidR="00087093" w:rsidRPr="002E60EB">
        <w:rPr>
          <w:lang w:val="en-US"/>
        </w:rPr>
        <w:t>“</w:t>
      </w:r>
      <w:r w:rsidRPr="002E60EB">
        <w:rPr>
          <w:lang w:val="en-US"/>
        </w:rPr>
        <w:t>the Commission does not exclude</w:t>
      </w:r>
      <w:r w:rsidR="003D7F5F" w:rsidRPr="002E60EB">
        <w:rPr>
          <w:lang w:val="en-US"/>
        </w:rPr>
        <w:t xml:space="preserve"> any facts, legal consequences, or claims for reparations</w:t>
      </w:r>
      <w:r w:rsidRPr="002E60EB">
        <w:rPr>
          <w:lang w:val="en-US"/>
        </w:rPr>
        <w:t xml:space="preserve"> from a case it submits to the Court.</w:t>
      </w:r>
      <w:r w:rsidR="00087093" w:rsidRPr="002E60EB">
        <w:rPr>
          <w:lang w:val="en-US"/>
        </w:rPr>
        <w:t>”</w:t>
      </w:r>
      <w:r w:rsidRPr="002E60EB">
        <w:rPr>
          <w:b/>
          <w:lang w:val="en-US"/>
        </w:rPr>
        <w:t xml:space="preserve"> </w:t>
      </w:r>
      <w:r w:rsidRPr="002E60EB">
        <w:rPr>
          <w:lang w:val="en-US"/>
        </w:rPr>
        <w:t>The Commission also argued that</w:t>
      </w:r>
      <w:r w:rsidR="0084489E" w:rsidRPr="002E60EB">
        <w:rPr>
          <w:lang w:val="en-US"/>
        </w:rPr>
        <w:t>,</w:t>
      </w:r>
      <w:r w:rsidR="00E26750" w:rsidRPr="002E60EB">
        <w:rPr>
          <w:lang w:val="en-US"/>
        </w:rPr>
        <w:t xml:space="preserve"> although it was true that some of the recommendations </w:t>
      </w:r>
      <w:r w:rsidR="0084489E" w:rsidRPr="002E60EB">
        <w:rPr>
          <w:lang w:val="en-US"/>
        </w:rPr>
        <w:t>called for compliance over time</w:t>
      </w:r>
      <w:r w:rsidR="00E26750" w:rsidRPr="002E60EB">
        <w:rPr>
          <w:lang w:val="en-US"/>
        </w:rPr>
        <w:t xml:space="preserve">, </w:t>
      </w:r>
      <w:r w:rsidR="00087093" w:rsidRPr="002E60EB">
        <w:rPr>
          <w:lang w:val="en-US"/>
        </w:rPr>
        <w:t>“</w:t>
      </w:r>
      <w:r w:rsidR="0084489E" w:rsidRPr="002E60EB">
        <w:rPr>
          <w:lang w:val="en-US"/>
        </w:rPr>
        <w:t>given that</w:t>
      </w:r>
      <w:r w:rsidR="0011177E" w:rsidRPr="002E60EB">
        <w:rPr>
          <w:lang w:val="en-US"/>
        </w:rPr>
        <w:t xml:space="preserve"> it had not </w:t>
      </w:r>
      <w:r w:rsidRPr="002E60EB">
        <w:rPr>
          <w:lang w:val="en-US"/>
        </w:rPr>
        <w:t xml:space="preserve">received a request for an extension </w:t>
      </w:r>
      <w:r w:rsidR="0084489E" w:rsidRPr="002E60EB">
        <w:rPr>
          <w:lang w:val="en-US"/>
        </w:rPr>
        <w:t xml:space="preserve">in keeping </w:t>
      </w:r>
      <w:r w:rsidRPr="002E60EB">
        <w:rPr>
          <w:lang w:val="en-US"/>
        </w:rPr>
        <w:t xml:space="preserve">with the </w:t>
      </w:r>
      <w:r w:rsidR="0011177E" w:rsidRPr="002E60EB">
        <w:rPr>
          <w:lang w:val="en-US"/>
        </w:rPr>
        <w:t xml:space="preserve">applicable </w:t>
      </w:r>
      <w:r w:rsidRPr="002E60EB">
        <w:rPr>
          <w:lang w:val="en-US"/>
        </w:rPr>
        <w:t xml:space="preserve">regulatory requirements, and </w:t>
      </w:r>
      <w:r w:rsidR="0011177E" w:rsidRPr="002E60EB">
        <w:rPr>
          <w:lang w:val="en-US"/>
        </w:rPr>
        <w:t>in view of</w:t>
      </w:r>
      <w:r w:rsidRPr="002E60EB">
        <w:rPr>
          <w:lang w:val="en-US"/>
        </w:rPr>
        <w:t xml:space="preserve"> the failure to comply with </w:t>
      </w:r>
      <w:r w:rsidR="0084489E" w:rsidRPr="002E60EB">
        <w:rPr>
          <w:lang w:val="en-US"/>
        </w:rPr>
        <w:t>a large</w:t>
      </w:r>
      <w:r w:rsidRPr="002E60EB">
        <w:rPr>
          <w:lang w:val="en-US"/>
        </w:rPr>
        <w:t xml:space="preserve"> group of the recommendations, the Commission was not in a procedural position that wo</w:t>
      </w:r>
      <w:r w:rsidR="0084489E" w:rsidRPr="002E60EB">
        <w:rPr>
          <w:lang w:val="en-US"/>
        </w:rPr>
        <w:t xml:space="preserve">uld allow it to monitor […] the </w:t>
      </w:r>
      <w:r w:rsidRPr="002E60EB">
        <w:rPr>
          <w:lang w:val="en-US"/>
        </w:rPr>
        <w:t xml:space="preserve">overall progress of </w:t>
      </w:r>
      <w:r w:rsidR="0011177E" w:rsidRPr="002E60EB">
        <w:rPr>
          <w:lang w:val="en-US"/>
        </w:rPr>
        <w:t xml:space="preserve">all </w:t>
      </w:r>
      <w:r w:rsidRPr="002E60EB">
        <w:rPr>
          <w:lang w:val="en-US"/>
        </w:rPr>
        <w:t>the recommendations</w:t>
      </w:r>
      <w:r w:rsidR="0011177E" w:rsidRPr="002E60EB">
        <w:rPr>
          <w:lang w:val="en-US"/>
        </w:rPr>
        <w:t xml:space="preserve"> for a longer period</w:t>
      </w:r>
      <w:r w:rsidRPr="002E60EB">
        <w:rPr>
          <w:lang w:val="en-US"/>
        </w:rPr>
        <w:t xml:space="preserve"> without </w:t>
      </w:r>
      <w:r w:rsidR="0011177E" w:rsidRPr="002E60EB">
        <w:rPr>
          <w:lang w:val="en-US"/>
        </w:rPr>
        <w:t>relinquishing</w:t>
      </w:r>
      <w:r w:rsidRPr="002E60EB">
        <w:rPr>
          <w:lang w:val="en-US"/>
        </w:rPr>
        <w:t xml:space="preserve"> the possibility of submitting the case to the Court.</w:t>
      </w:r>
      <w:r w:rsidR="00087093" w:rsidRPr="002E60EB">
        <w:rPr>
          <w:lang w:val="en-US"/>
        </w:rPr>
        <w:t>”</w:t>
      </w:r>
      <w:r w:rsidRPr="002E60EB">
        <w:rPr>
          <w:b/>
          <w:lang w:val="en-US"/>
        </w:rPr>
        <w:t xml:space="preserve"> </w:t>
      </w:r>
      <w:r w:rsidR="0011177E" w:rsidRPr="002E60EB">
        <w:rPr>
          <w:lang w:val="en-US"/>
        </w:rPr>
        <w:t>Moreover</w:t>
      </w:r>
      <w:r w:rsidRPr="002E60EB">
        <w:rPr>
          <w:lang w:val="en-US"/>
        </w:rPr>
        <w:t xml:space="preserve">, </w:t>
      </w:r>
      <w:r w:rsidR="0011177E" w:rsidRPr="002E60EB">
        <w:rPr>
          <w:lang w:val="en-US"/>
        </w:rPr>
        <w:t>regarding</w:t>
      </w:r>
      <w:r w:rsidRPr="002E60EB">
        <w:rPr>
          <w:lang w:val="en-US"/>
        </w:rPr>
        <w:t xml:space="preserve"> the failure to </w:t>
      </w:r>
      <w:r w:rsidR="0011177E" w:rsidRPr="002E60EB">
        <w:rPr>
          <w:lang w:val="en-US"/>
        </w:rPr>
        <w:t xml:space="preserve">forward the State’s report of </w:t>
      </w:r>
      <w:r w:rsidRPr="002E60EB">
        <w:rPr>
          <w:lang w:val="en-US"/>
        </w:rPr>
        <w:t>February 22, 2010</w:t>
      </w:r>
      <w:r w:rsidR="0011177E" w:rsidRPr="002E60EB">
        <w:rPr>
          <w:lang w:val="en-US"/>
        </w:rPr>
        <w:t>,</w:t>
      </w:r>
      <w:r w:rsidRPr="002E60EB">
        <w:rPr>
          <w:lang w:val="en-US"/>
        </w:rPr>
        <w:t xml:space="preserve"> </w:t>
      </w:r>
      <w:r w:rsidR="0011177E" w:rsidRPr="002E60EB">
        <w:rPr>
          <w:lang w:val="en-US"/>
        </w:rPr>
        <w:t>to the Court</w:t>
      </w:r>
      <w:r w:rsidRPr="002E60EB">
        <w:rPr>
          <w:lang w:val="en-US"/>
        </w:rPr>
        <w:t xml:space="preserve">, the Commission </w:t>
      </w:r>
      <w:r w:rsidR="0011177E" w:rsidRPr="002E60EB">
        <w:rPr>
          <w:lang w:val="en-US"/>
        </w:rPr>
        <w:t xml:space="preserve">indicated </w:t>
      </w:r>
      <w:r w:rsidRPr="002E60EB">
        <w:rPr>
          <w:lang w:val="en-US"/>
        </w:rPr>
        <w:t xml:space="preserve">that this was due to </w:t>
      </w:r>
      <w:r w:rsidR="00087093" w:rsidRPr="002E60EB">
        <w:rPr>
          <w:lang w:val="en-US"/>
        </w:rPr>
        <w:t>“</w:t>
      </w:r>
      <w:r w:rsidRPr="002E60EB">
        <w:rPr>
          <w:lang w:val="en-US"/>
        </w:rPr>
        <w:t>an inadvertent error,</w:t>
      </w:r>
      <w:r w:rsidR="00087093" w:rsidRPr="002E60EB">
        <w:rPr>
          <w:lang w:val="en-US"/>
        </w:rPr>
        <w:t>”</w:t>
      </w:r>
      <w:r w:rsidRPr="002E60EB">
        <w:rPr>
          <w:lang w:val="en-US"/>
        </w:rPr>
        <w:t xml:space="preserve"> but that the</w:t>
      </w:r>
      <w:r w:rsidR="0011177E" w:rsidRPr="002E60EB">
        <w:rPr>
          <w:lang w:val="en-US"/>
        </w:rPr>
        <w:t xml:space="preserve"> said</w:t>
      </w:r>
      <w:r w:rsidRPr="002E60EB">
        <w:rPr>
          <w:lang w:val="en-US"/>
        </w:rPr>
        <w:t xml:space="preserve"> report </w:t>
      </w:r>
      <w:r w:rsidR="00087093" w:rsidRPr="002E60EB">
        <w:rPr>
          <w:lang w:val="en-US"/>
        </w:rPr>
        <w:t>“</w:t>
      </w:r>
      <w:r w:rsidRPr="002E60EB">
        <w:rPr>
          <w:lang w:val="en-US"/>
        </w:rPr>
        <w:t xml:space="preserve">[had been] referred to in the </w:t>
      </w:r>
      <w:r w:rsidR="0011177E" w:rsidRPr="002E60EB">
        <w:rPr>
          <w:lang w:val="en-US"/>
        </w:rPr>
        <w:t>note</w:t>
      </w:r>
      <w:r w:rsidRPr="002E60EB">
        <w:rPr>
          <w:lang w:val="en-US"/>
        </w:rPr>
        <w:t xml:space="preserve"> transmitt</w:t>
      </w:r>
      <w:r w:rsidR="0011177E" w:rsidRPr="002E60EB">
        <w:rPr>
          <w:lang w:val="en-US"/>
        </w:rPr>
        <w:t>ing</w:t>
      </w:r>
      <w:r w:rsidRPr="002E60EB">
        <w:rPr>
          <w:lang w:val="en-US"/>
        </w:rPr>
        <w:t xml:space="preserve"> the case and that, in any case, the </w:t>
      </w:r>
      <w:r w:rsidR="00D00C5F" w:rsidRPr="002E60EB">
        <w:rPr>
          <w:lang w:val="en-US"/>
        </w:rPr>
        <w:t>Court</w:t>
      </w:r>
      <w:r w:rsidRPr="002E60EB">
        <w:rPr>
          <w:lang w:val="en-US"/>
        </w:rPr>
        <w:t xml:space="preserve"> now h</w:t>
      </w:r>
      <w:r w:rsidR="001739B3" w:rsidRPr="002E60EB">
        <w:rPr>
          <w:lang w:val="en-US"/>
        </w:rPr>
        <w:t>as</w:t>
      </w:r>
      <w:r w:rsidRPr="002E60EB">
        <w:rPr>
          <w:lang w:val="en-US"/>
        </w:rPr>
        <w:t xml:space="preserve"> the report ensuring</w:t>
      </w:r>
      <w:r w:rsidR="0011177E" w:rsidRPr="002E60EB">
        <w:rPr>
          <w:lang w:val="en-US"/>
        </w:rPr>
        <w:t xml:space="preserve"> that</w:t>
      </w:r>
      <w:r w:rsidRPr="002E60EB">
        <w:rPr>
          <w:lang w:val="en-US"/>
        </w:rPr>
        <w:t xml:space="preserve"> it</w:t>
      </w:r>
      <w:r w:rsidR="001739B3" w:rsidRPr="002E60EB">
        <w:rPr>
          <w:lang w:val="en-US"/>
        </w:rPr>
        <w:t>, at this time, it has</w:t>
      </w:r>
      <w:r w:rsidRPr="002E60EB">
        <w:rPr>
          <w:lang w:val="en-US"/>
        </w:rPr>
        <w:t xml:space="preserve"> the entire </w:t>
      </w:r>
      <w:r w:rsidR="0011177E" w:rsidRPr="002E60EB">
        <w:rPr>
          <w:lang w:val="en-US"/>
        </w:rPr>
        <w:t xml:space="preserve">case </w:t>
      </w:r>
      <w:r w:rsidRPr="002E60EB">
        <w:rPr>
          <w:lang w:val="en-US"/>
        </w:rPr>
        <w:t>file.</w:t>
      </w:r>
      <w:r w:rsidR="00087093" w:rsidRPr="002E60EB">
        <w:rPr>
          <w:lang w:val="en-US"/>
        </w:rPr>
        <w:t>”</w:t>
      </w:r>
      <w:r w:rsidRPr="002E60EB">
        <w:rPr>
          <w:b/>
          <w:lang w:val="en-US"/>
        </w:rPr>
        <w:t xml:space="preserve"> </w:t>
      </w:r>
    </w:p>
    <w:p w:rsidR="00E15BBF" w:rsidRPr="002E60EB" w:rsidRDefault="00E15BBF" w:rsidP="00317748">
      <w:pPr>
        <w:pStyle w:val="MediumGrid1-Accent21"/>
        <w:ind w:left="0"/>
        <w:rPr>
          <w:lang w:val="en-US"/>
        </w:rPr>
      </w:pPr>
    </w:p>
    <w:p w:rsidR="00E15BBF" w:rsidRPr="002E60EB" w:rsidRDefault="00E15BBF" w:rsidP="00317748">
      <w:pPr>
        <w:pStyle w:val="MediumGrid1-Accent21"/>
        <w:ind w:left="0" w:firstLine="720"/>
        <w:rPr>
          <w:i/>
          <w:lang w:val="en-US"/>
        </w:rPr>
      </w:pPr>
      <w:r w:rsidRPr="002E60EB">
        <w:rPr>
          <w:i/>
          <w:lang w:val="en-US"/>
        </w:rPr>
        <w:t>Considerations of the Court</w:t>
      </w:r>
    </w:p>
    <w:p w:rsidR="00E15BBF" w:rsidRPr="002E60EB" w:rsidRDefault="00E15BBF" w:rsidP="00317748">
      <w:pPr>
        <w:pStyle w:val="MediumGrid1-Accent21"/>
        <w:ind w:left="0"/>
        <w:rPr>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First, the Court </w:t>
      </w:r>
      <w:r w:rsidR="0011177E" w:rsidRPr="002E60EB">
        <w:rPr>
          <w:rFonts w:cs="Verdana"/>
          <w:lang w:val="en-US"/>
        </w:rPr>
        <w:t xml:space="preserve">considers </w:t>
      </w:r>
      <w:r w:rsidRPr="002E60EB">
        <w:rPr>
          <w:rFonts w:cs="Verdana"/>
          <w:lang w:val="en-US"/>
        </w:rPr>
        <w:t>that</w:t>
      </w:r>
      <w:r w:rsidR="0011177E" w:rsidRPr="002E60EB">
        <w:rPr>
          <w:rFonts w:cs="Verdana"/>
          <w:lang w:val="en-US"/>
        </w:rPr>
        <w:t>,</w:t>
      </w:r>
      <w:r w:rsidRPr="002E60EB">
        <w:rPr>
          <w:rFonts w:cs="Verdana"/>
          <w:lang w:val="en-US"/>
        </w:rPr>
        <w:t xml:space="preserve"> even though Article 35(1)(c) </w:t>
      </w:r>
      <w:r w:rsidR="001739B3" w:rsidRPr="002E60EB">
        <w:rPr>
          <w:rFonts w:cs="Verdana"/>
          <w:lang w:val="en-US"/>
        </w:rPr>
        <w:t xml:space="preserve">of </w:t>
      </w:r>
      <w:r w:rsidRPr="002E60EB">
        <w:rPr>
          <w:rFonts w:cs="Verdana"/>
          <w:lang w:val="en-US"/>
        </w:rPr>
        <w:t xml:space="preserve">the </w:t>
      </w:r>
      <w:r w:rsidR="0011177E" w:rsidRPr="002E60EB">
        <w:rPr>
          <w:rFonts w:cs="Verdana"/>
          <w:lang w:val="en-US"/>
        </w:rPr>
        <w:t xml:space="preserve">Court’s </w:t>
      </w:r>
      <w:r w:rsidRPr="002E60EB">
        <w:rPr>
          <w:rFonts w:cs="Verdana"/>
          <w:lang w:val="en-US"/>
        </w:rPr>
        <w:t xml:space="preserve">Rules of Procedure requires the Commission to </w:t>
      </w:r>
      <w:r w:rsidR="0011177E" w:rsidRPr="002E60EB">
        <w:rPr>
          <w:rFonts w:cs="Verdana"/>
          <w:lang w:val="en-US"/>
        </w:rPr>
        <w:t xml:space="preserve">indicate </w:t>
      </w:r>
      <w:r w:rsidRPr="002E60EB">
        <w:rPr>
          <w:rFonts w:cs="Verdana"/>
          <w:lang w:val="en-US"/>
        </w:rPr>
        <w:t xml:space="preserve">the reasons that led it to submit the case to the Court and its observations </w:t>
      </w:r>
      <w:r w:rsidR="0011177E" w:rsidRPr="002E60EB">
        <w:rPr>
          <w:rFonts w:cs="Verdana"/>
          <w:lang w:val="en-US"/>
        </w:rPr>
        <w:t>on</w:t>
      </w:r>
      <w:r w:rsidRPr="002E60EB">
        <w:rPr>
          <w:rFonts w:cs="Verdana"/>
          <w:lang w:val="en-US"/>
        </w:rPr>
        <w:t xml:space="preserve"> the </w:t>
      </w:r>
      <w:r w:rsidR="0011177E" w:rsidRPr="002E60EB">
        <w:rPr>
          <w:rFonts w:cs="Verdana"/>
          <w:lang w:val="en-US"/>
        </w:rPr>
        <w:t xml:space="preserve">defendant </w:t>
      </w:r>
      <w:r w:rsidRPr="002E60EB">
        <w:rPr>
          <w:rFonts w:cs="Verdana"/>
          <w:lang w:val="en-US"/>
        </w:rPr>
        <w:t xml:space="preserve">State’s </w:t>
      </w:r>
      <w:r w:rsidR="0011177E" w:rsidRPr="002E60EB">
        <w:rPr>
          <w:rFonts w:cs="Verdana"/>
          <w:lang w:val="en-US"/>
        </w:rPr>
        <w:t xml:space="preserve">response </w:t>
      </w:r>
      <w:r w:rsidRPr="002E60EB">
        <w:rPr>
          <w:rFonts w:cs="Verdana"/>
          <w:lang w:val="en-US"/>
        </w:rPr>
        <w:t>to the recommendation</w:t>
      </w:r>
      <w:r w:rsidR="0011177E" w:rsidRPr="002E60EB">
        <w:rPr>
          <w:rFonts w:cs="Verdana"/>
          <w:lang w:val="en-US"/>
        </w:rPr>
        <w:t xml:space="preserve">s in the Merits Report, </w:t>
      </w:r>
      <w:r w:rsidRPr="002E60EB">
        <w:rPr>
          <w:rFonts w:cs="Verdana"/>
          <w:lang w:val="en-US"/>
        </w:rPr>
        <w:t>the Commission</w:t>
      </w:r>
      <w:r w:rsidR="0011177E" w:rsidRPr="002E60EB">
        <w:rPr>
          <w:rFonts w:cs="Verdana"/>
          <w:lang w:val="en-US"/>
        </w:rPr>
        <w:t>’s assessment</w:t>
      </w:r>
      <w:r w:rsidRPr="002E60EB">
        <w:rPr>
          <w:rFonts w:cs="Verdana"/>
          <w:lang w:val="en-US"/>
        </w:rPr>
        <w:t xml:space="preserve"> o</w:t>
      </w:r>
      <w:r w:rsidR="0011177E" w:rsidRPr="002E60EB">
        <w:rPr>
          <w:rFonts w:cs="Verdana"/>
          <w:lang w:val="en-US"/>
        </w:rPr>
        <w:t>f</w:t>
      </w:r>
      <w:r w:rsidRPr="002E60EB">
        <w:rPr>
          <w:rFonts w:cs="Verdana"/>
          <w:lang w:val="en-US"/>
        </w:rPr>
        <w:t xml:space="preserve"> whether or not to submit a case to the Court </w:t>
      </w:r>
      <w:r w:rsidR="0011177E" w:rsidRPr="002E60EB">
        <w:rPr>
          <w:rFonts w:cs="Verdana"/>
          <w:lang w:val="en-US"/>
        </w:rPr>
        <w:t xml:space="preserve">must </w:t>
      </w:r>
      <w:r w:rsidRPr="002E60EB">
        <w:rPr>
          <w:rFonts w:cs="Verdana"/>
          <w:lang w:val="en-US"/>
        </w:rPr>
        <w:t xml:space="preserve">be the result of </w:t>
      </w:r>
      <w:r w:rsidR="0011177E" w:rsidRPr="002E60EB">
        <w:rPr>
          <w:rFonts w:cs="Verdana"/>
          <w:lang w:val="en-US"/>
        </w:rPr>
        <w:t>a</w:t>
      </w:r>
      <w:r w:rsidRPr="002E60EB">
        <w:rPr>
          <w:rFonts w:cs="Verdana"/>
          <w:lang w:val="en-US"/>
        </w:rPr>
        <w:t xml:space="preserve"> collective exercise of an independent and autonomous nature </w:t>
      </w:r>
      <w:r w:rsidR="0011177E" w:rsidRPr="002E60EB">
        <w:rPr>
          <w:rFonts w:cs="Verdana"/>
          <w:lang w:val="en-US"/>
        </w:rPr>
        <w:t xml:space="preserve">that it </w:t>
      </w:r>
      <w:r w:rsidRPr="002E60EB">
        <w:rPr>
          <w:rFonts w:cs="Verdana"/>
          <w:lang w:val="en-US"/>
        </w:rPr>
        <w:t>carrie</w:t>
      </w:r>
      <w:r w:rsidR="0011177E" w:rsidRPr="002E60EB">
        <w:rPr>
          <w:rFonts w:cs="Verdana"/>
          <w:lang w:val="en-US"/>
        </w:rPr>
        <w:t>s</w:t>
      </w:r>
      <w:r w:rsidRPr="002E60EB">
        <w:rPr>
          <w:rFonts w:cs="Verdana"/>
          <w:lang w:val="en-US"/>
        </w:rPr>
        <w:t xml:space="preserve"> out </w:t>
      </w:r>
      <w:r w:rsidR="0011177E" w:rsidRPr="002E60EB">
        <w:rPr>
          <w:rFonts w:cs="Verdana"/>
          <w:lang w:val="en-US"/>
        </w:rPr>
        <w:t xml:space="preserve">in </w:t>
      </w:r>
      <w:r w:rsidRPr="002E60EB">
        <w:rPr>
          <w:rFonts w:cs="Verdana"/>
          <w:lang w:val="en-US"/>
        </w:rPr>
        <w:t xml:space="preserve">its capacity as </w:t>
      </w:r>
      <w:r w:rsidR="0011177E" w:rsidRPr="002E60EB">
        <w:rPr>
          <w:rFonts w:cs="Verdana"/>
          <w:lang w:val="en-US"/>
        </w:rPr>
        <w:t>a</w:t>
      </w:r>
      <w:r w:rsidRPr="002E60EB">
        <w:rPr>
          <w:rFonts w:cs="Verdana"/>
          <w:lang w:val="en-US"/>
        </w:rPr>
        <w:t xml:space="preserve"> supervisory </w:t>
      </w:r>
      <w:r w:rsidR="0011177E" w:rsidRPr="002E60EB">
        <w:rPr>
          <w:rFonts w:cs="Verdana"/>
          <w:lang w:val="en-US"/>
        </w:rPr>
        <w:t xml:space="preserve">organ </w:t>
      </w:r>
      <w:r w:rsidRPr="002E60EB">
        <w:rPr>
          <w:rFonts w:cs="Verdana"/>
          <w:lang w:val="en-US"/>
        </w:rPr>
        <w:t>of the American Convention.</w:t>
      </w:r>
      <w:r w:rsidR="0011177E" w:rsidRPr="002E60EB">
        <w:rPr>
          <w:rStyle w:val="Refdenotaalpie"/>
          <w:lang w:val="en-US"/>
        </w:rPr>
        <w:footnoteReference w:id="29"/>
      </w:r>
      <w:r w:rsidRPr="002E60EB">
        <w:rPr>
          <w:rFonts w:cs="Verdana"/>
          <w:lang w:val="en-US"/>
        </w:rPr>
        <w:t xml:space="preserve"> Articles 45 and 46 of </w:t>
      </w:r>
      <w:r w:rsidR="0011177E" w:rsidRPr="002E60EB">
        <w:rPr>
          <w:rFonts w:cs="Verdana"/>
          <w:lang w:val="en-US"/>
        </w:rPr>
        <w:t xml:space="preserve">Commission’s </w:t>
      </w:r>
      <w:r w:rsidRPr="002E60EB">
        <w:rPr>
          <w:rFonts w:cs="Verdana"/>
          <w:lang w:val="en-US"/>
        </w:rPr>
        <w:t xml:space="preserve">Rules of Procedure </w:t>
      </w:r>
      <w:r w:rsidR="0011177E" w:rsidRPr="002E60EB">
        <w:rPr>
          <w:rFonts w:cs="Verdana"/>
          <w:lang w:val="en-US"/>
        </w:rPr>
        <w:t>regulate</w:t>
      </w:r>
      <w:r w:rsidRPr="002E60EB">
        <w:rPr>
          <w:rFonts w:cs="Verdana"/>
          <w:lang w:val="en-US"/>
        </w:rPr>
        <w:t xml:space="preserve"> the powers of </w:t>
      </w:r>
      <w:r w:rsidR="0011177E" w:rsidRPr="002E60EB">
        <w:rPr>
          <w:rFonts w:cs="Verdana"/>
          <w:lang w:val="en-US"/>
        </w:rPr>
        <w:t>this organ</w:t>
      </w:r>
      <w:r w:rsidRPr="002E60EB">
        <w:rPr>
          <w:rFonts w:cs="Verdana"/>
          <w:lang w:val="en-US"/>
        </w:rPr>
        <w:t xml:space="preserve"> regarding the submission of </w:t>
      </w:r>
      <w:r w:rsidR="0011177E" w:rsidRPr="002E60EB">
        <w:rPr>
          <w:rFonts w:cs="Verdana"/>
          <w:lang w:val="en-US"/>
        </w:rPr>
        <w:t>a</w:t>
      </w:r>
      <w:r w:rsidRPr="002E60EB">
        <w:rPr>
          <w:rFonts w:cs="Verdana"/>
          <w:lang w:val="en-US"/>
        </w:rPr>
        <w:t xml:space="preserve"> case to the Court.</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It </w:t>
      </w:r>
      <w:r w:rsidR="00112527" w:rsidRPr="002E60EB">
        <w:rPr>
          <w:rFonts w:cs="Verdana"/>
          <w:lang w:val="en-US"/>
        </w:rPr>
        <w:t>is incumbent on</w:t>
      </w:r>
      <w:r w:rsidRPr="002E60EB">
        <w:rPr>
          <w:rFonts w:cs="Verdana"/>
          <w:lang w:val="en-US"/>
        </w:rPr>
        <w:t xml:space="preserve"> the Presiden</w:t>
      </w:r>
      <w:r w:rsidR="0011177E" w:rsidRPr="002E60EB">
        <w:rPr>
          <w:rFonts w:cs="Verdana"/>
          <w:lang w:val="en-US"/>
        </w:rPr>
        <w:t>t</w:t>
      </w:r>
      <w:r w:rsidRPr="002E60EB">
        <w:rPr>
          <w:rFonts w:cs="Verdana"/>
          <w:lang w:val="en-US"/>
        </w:rPr>
        <w:t xml:space="preserve"> of the Court to </w:t>
      </w:r>
      <w:r w:rsidR="00A626BD" w:rsidRPr="002E60EB">
        <w:rPr>
          <w:rFonts w:cs="Verdana"/>
          <w:lang w:val="en-US"/>
        </w:rPr>
        <w:t xml:space="preserve">corroborate </w:t>
      </w:r>
      <w:r w:rsidRPr="002E60EB">
        <w:rPr>
          <w:rFonts w:cs="Verdana"/>
          <w:lang w:val="en-US"/>
        </w:rPr>
        <w:t>that</w:t>
      </w:r>
      <w:r w:rsidR="00A626BD" w:rsidRPr="002E60EB">
        <w:rPr>
          <w:rFonts w:cs="Verdana"/>
          <w:lang w:val="en-US"/>
        </w:rPr>
        <w:t>, when</w:t>
      </w:r>
      <w:r w:rsidRPr="002E60EB">
        <w:rPr>
          <w:rFonts w:cs="Verdana"/>
          <w:lang w:val="en-US"/>
        </w:rPr>
        <w:t xml:space="preserve"> submitting the case, the Commission </w:t>
      </w:r>
      <w:r w:rsidR="00A626BD" w:rsidRPr="002E60EB">
        <w:rPr>
          <w:rFonts w:cs="Verdana"/>
          <w:lang w:val="en-US"/>
        </w:rPr>
        <w:t>has indicated the said</w:t>
      </w:r>
      <w:r w:rsidRPr="002E60EB">
        <w:rPr>
          <w:rFonts w:cs="Verdana"/>
          <w:lang w:val="en-US"/>
        </w:rPr>
        <w:t xml:space="preserve"> reasons and observations, but this does not </w:t>
      </w:r>
      <w:r w:rsidR="00A626BD" w:rsidRPr="002E60EB">
        <w:rPr>
          <w:rFonts w:cs="Verdana"/>
          <w:lang w:val="en-US"/>
        </w:rPr>
        <w:t>entail making</w:t>
      </w:r>
      <w:r w:rsidRPr="002E60EB">
        <w:rPr>
          <w:rFonts w:cs="Verdana"/>
          <w:lang w:val="en-US"/>
        </w:rPr>
        <w:t xml:space="preserve"> a preliminary analysis of the merits of </w:t>
      </w:r>
      <w:r w:rsidR="00A626BD" w:rsidRPr="002E60EB">
        <w:rPr>
          <w:rFonts w:cs="Verdana"/>
          <w:lang w:val="en-US"/>
        </w:rPr>
        <w:t>the said reasons</w:t>
      </w:r>
      <w:r w:rsidRPr="002E60EB">
        <w:rPr>
          <w:rFonts w:cs="Verdana"/>
          <w:lang w:val="en-US"/>
        </w:rPr>
        <w:t>.</w:t>
      </w:r>
      <w:r w:rsidR="00A626BD" w:rsidRPr="002E60EB">
        <w:rPr>
          <w:rStyle w:val="Refdenotaalpie"/>
          <w:lang w:val="en-US"/>
        </w:rPr>
        <w:footnoteReference w:id="30"/>
      </w:r>
      <w:r w:rsidRPr="002E60EB">
        <w:rPr>
          <w:rFonts w:cs="Verdana"/>
          <w:lang w:val="en-US"/>
        </w:rPr>
        <w:t xml:space="preserve"> </w:t>
      </w:r>
      <w:r w:rsidR="00A626BD" w:rsidRPr="002E60EB">
        <w:rPr>
          <w:rFonts w:cs="Verdana"/>
          <w:lang w:val="en-US"/>
        </w:rPr>
        <w:t>The</w:t>
      </w:r>
      <w:r w:rsidRPr="002E60EB">
        <w:rPr>
          <w:rFonts w:cs="Verdana"/>
          <w:lang w:val="en-US"/>
        </w:rPr>
        <w:t xml:space="preserve"> Court </w:t>
      </w:r>
      <w:r w:rsidR="00A626BD" w:rsidRPr="002E60EB">
        <w:rPr>
          <w:rFonts w:cs="Verdana"/>
          <w:lang w:val="en-US"/>
        </w:rPr>
        <w:t xml:space="preserve">also considers </w:t>
      </w:r>
      <w:r w:rsidRPr="002E60EB">
        <w:rPr>
          <w:rFonts w:cs="Verdana"/>
          <w:lang w:val="en-US"/>
        </w:rPr>
        <w:t xml:space="preserve">that, even </w:t>
      </w:r>
      <w:r w:rsidR="00A626BD" w:rsidRPr="002E60EB">
        <w:rPr>
          <w:rFonts w:cs="Verdana"/>
          <w:lang w:val="en-US"/>
        </w:rPr>
        <w:t>when</w:t>
      </w:r>
      <w:r w:rsidRPr="002E60EB">
        <w:rPr>
          <w:rFonts w:cs="Verdana"/>
          <w:lang w:val="en-US"/>
        </w:rPr>
        <w:t xml:space="preserve"> the State </w:t>
      </w:r>
      <w:r w:rsidR="00A626BD" w:rsidRPr="002E60EB">
        <w:rPr>
          <w:rFonts w:cs="Verdana"/>
          <w:lang w:val="en-US"/>
        </w:rPr>
        <w:t>i</w:t>
      </w:r>
      <w:r w:rsidRPr="002E60EB">
        <w:rPr>
          <w:rFonts w:cs="Verdana"/>
          <w:lang w:val="en-US"/>
        </w:rPr>
        <w:t xml:space="preserve">s </w:t>
      </w:r>
      <w:r w:rsidR="00A626BD" w:rsidRPr="002E60EB">
        <w:rPr>
          <w:rFonts w:cs="Verdana"/>
          <w:lang w:val="en-US"/>
        </w:rPr>
        <w:t xml:space="preserve">implementing </w:t>
      </w:r>
      <w:r w:rsidRPr="002E60EB">
        <w:rPr>
          <w:rFonts w:cs="Verdana"/>
          <w:lang w:val="en-US"/>
        </w:rPr>
        <w:t xml:space="preserve">one or more </w:t>
      </w:r>
      <w:r w:rsidR="00A626BD" w:rsidRPr="002E60EB">
        <w:rPr>
          <w:rFonts w:cs="Verdana"/>
          <w:lang w:val="en-US"/>
        </w:rPr>
        <w:t xml:space="preserve">of the </w:t>
      </w:r>
      <w:r w:rsidRPr="002E60EB">
        <w:rPr>
          <w:rFonts w:cs="Verdana"/>
          <w:lang w:val="en-US"/>
        </w:rPr>
        <w:t>recommendations made by the Commission, the</w:t>
      </w:r>
      <w:r w:rsidR="00A626BD" w:rsidRPr="002E60EB">
        <w:rPr>
          <w:rFonts w:cs="Verdana"/>
          <w:lang w:val="en-US"/>
        </w:rPr>
        <w:t xml:space="preserve"> latter may consider that there</w:t>
      </w:r>
      <w:r w:rsidRPr="002E60EB">
        <w:rPr>
          <w:rFonts w:cs="Verdana"/>
          <w:lang w:val="en-US"/>
        </w:rPr>
        <w:t xml:space="preserve"> </w:t>
      </w:r>
      <w:r w:rsidR="00A626BD" w:rsidRPr="002E60EB">
        <w:rPr>
          <w:rFonts w:cs="Verdana"/>
          <w:lang w:val="en-US"/>
        </w:rPr>
        <w:t xml:space="preserve">are still </w:t>
      </w:r>
      <w:r w:rsidRPr="002E60EB">
        <w:rPr>
          <w:rFonts w:cs="Verdana"/>
          <w:lang w:val="en-US"/>
        </w:rPr>
        <w:t xml:space="preserve">sufficient </w:t>
      </w:r>
      <w:r w:rsidR="00A626BD" w:rsidRPr="002E60EB">
        <w:rPr>
          <w:rFonts w:cs="Verdana"/>
          <w:lang w:val="en-US"/>
        </w:rPr>
        <w:t xml:space="preserve">grounds </w:t>
      </w:r>
      <w:r w:rsidRPr="002E60EB">
        <w:rPr>
          <w:rFonts w:cs="Verdana"/>
          <w:lang w:val="en-US"/>
        </w:rPr>
        <w:t>to submit the case to the Court</w:t>
      </w:r>
      <w:r w:rsidR="00A626BD" w:rsidRPr="002E60EB">
        <w:rPr>
          <w:rFonts w:cs="Verdana"/>
          <w:lang w:val="en-US"/>
        </w:rPr>
        <w:t xml:space="preserve"> owing to the failure to comply with</w:t>
      </w:r>
      <w:r w:rsidRPr="002E60EB">
        <w:rPr>
          <w:rFonts w:cs="Verdana"/>
          <w:lang w:val="en-US"/>
        </w:rPr>
        <w:t xml:space="preserve"> other </w:t>
      </w:r>
      <w:r w:rsidR="00A626BD" w:rsidRPr="002E60EB">
        <w:rPr>
          <w:rFonts w:cs="Verdana"/>
          <w:lang w:val="en-US"/>
        </w:rPr>
        <w:t xml:space="preserve">recommendations that </w:t>
      </w:r>
      <w:r w:rsidRPr="002E60EB">
        <w:rPr>
          <w:rFonts w:cs="Verdana"/>
          <w:lang w:val="en-US"/>
        </w:rPr>
        <w:t>it considers fundamental</w:t>
      </w:r>
      <w:r w:rsidR="00A626BD" w:rsidRPr="002E60EB">
        <w:rPr>
          <w:rFonts w:cs="Verdana"/>
          <w:lang w:val="en-US"/>
        </w:rPr>
        <w:t xml:space="preserve"> in each case.</w:t>
      </w:r>
    </w:p>
    <w:p w:rsidR="00E15BBF" w:rsidRPr="002E60EB" w:rsidRDefault="00E15BBF" w:rsidP="00317748">
      <w:pPr>
        <w:pStyle w:val="MediumGrid1-Accent21"/>
        <w:ind w:left="0"/>
        <w:rPr>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The Court </w:t>
      </w:r>
      <w:r w:rsidR="00A626BD" w:rsidRPr="002E60EB">
        <w:rPr>
          <w:lang w:val="en-US"/>
        </w:rPr>
        <w:t xml:space="preserve">observes </w:t>
      </w:r>
      <w:r w:rsidRPr="002E60EB">
        <w:rPr>
          <w:lang w:val="en-US"/>
        </w:rPr>
        <w:t>that</w:t>
      </w:r>
      <w:r w:rsidR="001232FF" w:rsidRPr="002E60EB">
        <w:rPr>
          <w:lang w:val="en-US"/>
        </w:rPr>
        <w:t>, when</w:t>
      </w:r>
      <w:r w:rsidRPr="002E60EB">
        <w:rPr>
          <w:lang w:val="en-US"/>
        </w:rPr>
        <w:t xml:space="preserve"> submitting </w:t>
      </w:r>
      <w:r w:rsidR="001232FF" w:rsidRPr="002E60EB">
        <w:rPr>
          <w:lang w:val="en-US"/>
        </w:rPr>
        <w:t xml:space="preserve">this </w:t>
      </w:r>
      <w:r w:rsidRPr="002E60EB">
        <w:rPr>
          <w:lang w:val="en-US"/>
        </w:rPr>
        <w:t xml:space="preserve">case, the Commission </w:t>
      </w:r>
      <w:r w:rsidR="001232FF" w:rsidRPr="002E60EB">
        <w:rPr>
          <w:lang w:val="en-US"/>
        </w:rPr>
        <w:t>referred</w:t>
      </w:r>
      <w:r w:rsidRPr="002E60EB">
        <w:rPr>
          <w:lang w:val="en-US"/>
        </w:rPr>
        <w:t xml:space="preserve"> to t</w:t>
      </w:r>
      <w:r w:rsidR="00112527" w:rsidRPr="002E60EB">
        <w:rPr>
          <w:lang w:val="en-US"/>
        </w:rPr>
        <w:t>he State’s report regarding</w:t>
      </w:r>
      <w:r w:rsidRPr="002E60EB">
        <w:rPr>
          <w:lang w:val="en-US"/>
        </w:rPr>
        <w:t xml:space="preserve"> implementation of the recommendations </w:t>
      </w:r>
      <w:r w:rsidR="001232FF" w:rsidRPr="002E60EB">
        <w:rPr>
          <w:lang w:val="en-US"/>
        </w:rPr>
        <w:t xml:space="preserve">made </w:t>
      </w:r>
      <w:r w:rsidRPr="002E60EB">
        <w:rPr>
          <w:lang w:val="en-US"/>
        </w:rPr>
        <w:t xml:space="preserve">in the </w:t>
      </w:r>
      <w:r w:rsidR="001232FF" w:rsidRPr="002E60EB">
        <w:rPr>
          <w:lang w:val="en-US"/>
        </w:rPr>
        <w:t xml:space="preserve">Merits </w:t>
      </w:r>
      <w:r w:rsidRPr="002E60EB">
        <w:rPr>
          <w:lang w:val="en-US"/>
        </w:rPr>
        <w:t xml:space="preserve">Report. Among other observations, the Commission recognized and appreciated that the State had taken important steps in </w:t>
      </w:r>
      <w:r w:rsidR="001232FF" w:rsidRPr="002E60EB">
        <w:rPr>
          <w:lang w:val="en-US"/>
        </w:rPr>
        <w:t>implementing</w:t>
      </w:r>
      <w:r w:rsidRPr="002E60EB">
        <w:rPr>
          <w:lang w:val="en-US"/>
        </w:rPr>
        <w:t xml:space="preserve"> two </w:t>
      </w:r>
      <w:r w:rsidR="001232FF" w:rsidRPr="002E60EB">
        <w:rPr>
          <w:lang w:val="en-US"/>
        </w:rPr>
        <w:t xml:space="preserve">of the </w:t>
      </w:r>
      <w:r w:rsidRPr="002E60EB">
        <w:rPr>
          <w:lang w:val="en-US"/>
        </w:rPr>
        <w:t>recommendations (relat</w:t>
      </w:r>
      <w:r w:rsidR="001232FF" w:rsidRPr="002E60EB">
        <w:rPr>
          <w:lang w:val="en-US"/>
        </w:rPr>
        <w:t>ing</w:t>
      </w:r>
      <w:r w:rsidRPr="002E60EB">
        <w:rPr>
          <w:lang w:val="en-US"/>
        </w:rPr>
        <w:t xml:space="preserve"> to training </w:t>
      </w:r>
      <w:r w:rsidR="001232FF" w:rsidRPr="002E60EB">
        <w:rPr>
          <w:lang w:val="en-US"/>
        </w:rPr>
        <w:t>for</w:t>
      </w:r>
      <w:r w:rsidRPr="002E60EB">
        <w:rPr>
          <w:lang w:val="en-US"/>
        </w:rPr>
        <w:t xml:space="preserve"> </w:t>
      </w:r>
      <w:r w:rsidR="001232FF" w:rsidRPr="002E60EB">
        <w:rPr>
          <w:lang w:val="en-US"/>
        </w:rPr>
        <w:t xml:space="preserve">the armed </w:t>
      </w:r>
      <w:r w:rsidRPr="002E60EB">
        <w:rPr>
          <w:lang w:val="en-US"/>
        </w:rPr>
        <w:t>forces</w:t>
      </w:r>
      <w:r w:rsidR="001232FF" w:rsidRPr="002E60EB">
        <w:rPr>
          <w:lang w:val="en-US"/>
        </w:rPr>
        <w:t>,</w:t>
      </w:r>
      <w:r w:rsidRPr="002E60EB">
        <w:rPr>
          <w:lang w:val="en-US"/>
        </w:rPr>
        <w:t xml:space="preserve"> and special</w:t>
      </w:r>
      <w:r w:rsidR="001232FF" w:rsidRPr="002E60EB">
        <w:rPr>
          <w:lang w:val="en-US"/>
        </w:rPr>
        <w:t xml:space="preserve"> protection</w:t>
      </w:r>
      <w:r w:rsidRPr="002E60EB">
        <w:rPr>
          <w:lang w:val="en-US"/>
        </w:rPr>
        <w:t xml:space="preserve"> programs </w:t>
      </w:r>
      <w:r w:rsidR="001232FF" w:rsidRPr="002E60EB">
        <w:rPr>
          <w:lang w:val="en-US"/>
        </w:rPr>
        <w:t>for</w:t>
      </w:r>
      <w:r w:rsidRPr="002E60EB">
        <w:rPr>
          <w:lang w:val="en-US"/>
        </w:rPr>
        <w:t xml:space="preserve"> </w:t>
      </w:r>
      <w:r w:rsidR="00FB514F" w:rsidRPr="002E60EB">
        <w:rPr>
          <w:lang w:val="en-US"/>
        </w:rPr>
        <w:t>journalists at risk</w:t>
      </w:r>
      <w:r w:rsidRPr="002E60EB">
        <w:rPr>
          <w:lang w:val="en-US"/>
        </w:rPr>
        <w:t xml:space="preserve"> and investigation </w:t>
      </w:r>
      <w:r w:rsidR="001232FF" w:rsidRPr="002E60EB">
        <w:rPr>
          <w:lang w:val="en-US"/>
        </w:rPr>
        <w:t>of offenses</w:t>
      </w:r>
      <w:r w:rsidRPr="002E60EB">
        <w:rPr>
          <w:lang w:val="en-US"/>
        </w:rPr>
        <w:t xml:space="preserve"> against them). </w:t>
      </w:r>
      <w:r w:rsidR="001232FF" w:rsidRPr="002E60EB">
        <w:rPr>
          <w:lang w:val="en-US"/>
        </w:rPr>
        <w:t>However</w:t>
      </w:r>
      <w:r w:rsidRPr="002E60EB">
        <w:rPr>
          <w:lang w:val="en-US"/>
        </w:rPr>
        <w:t xml:space="preserve">, the Commission </w:t>
      </w:r>
      <w:r w:rsidR="001232FF" w:rsidRPr="002E60EB">
        <w:rPr>
          <w:lang w:val="en-US"/>
        </w:rPr>
        <w:t xml:space="preserve">observed </w:t>
      </w:r>
      <w:r w:rsidRPr="002E60EB">
        <w:rPr>
          <w:lang w:val="en-US"/>
        </w:rPr>
        <w:t xml:space="preserve">that there had been </w:t>
      </w:r>
      <w:r w:rsidR="00087093" w:rsidRPr="002E60EB">
        <w:rPr>
          <w:lang w:val="en-US"/>
        </w:rPr>
        <w:t>“</w:t>
      </w:r>
      <w:r w:rsidRPr="002E60EB">
        <w:rPr>
          <w:lang w:val="en-US"/>
        </w:rPr>
        <w:t>no compliance</w:t>
      </w:r>
      <w:r w:rsidR="00087093" w:rsidRPr="002E60EB">
        <w:rPr>
          <w:lang w:val="en-US"/>
        </w:rPr>
        <w:t>”</w:t>
      </w:r>
      <w:r w:rsidRPr="002E60EB">
        <w:rPr>
          <w:lang w:val="en-US"/>
        </w:rPr>
        <w:t xml:space="preserve"> with the recommendations</w:t>
      </w:r>
      <w:r w:rsidR="00112527" w:rsidRPr="002E60EB">
        <w:rPr>
          <w:lang w:val="en-US"/>
        </w:rPr>
        <w:t xml:space="preserve"> to provide </w:t>
      </w:r>
      <w:r w:rsidR="00087093" w:rsidRPr="002E60EB">
        <w:rPr>
          <w:lang w:val="en-US"/>
        </w:rPr>
        <w:t>“</w:t>
      </w:r>
      <w:r w:rsidRPr="002E60EB">
        <w:rPr>
          <w:lang w:val="en-US"/>
        </w:rPr>
        <w:t>comprehensive reparation for the victims</w:t>
      </w:r>
      <w:r w:rsidR="00087093" w:rsidRPr="002E60EB">
        <w:rPr>
          <w:lang w:val="en-US"/>
        </w:rPr>
        <w:t>”</w:t>
      </w:r>
      <w:r w:rsidRPr="002E60EB">
        <w:rPr>
          <w:lang w:val="en-US"/>
        </w:rPr>
        <w:t xml:space="preserve"> and the </w:t>
      </w:r>
      <w:r w:rsidR="001232FF" w:rsidRPr="002E60EB">
        <w:rPr>
          <w:lang w:val="en-US"/>
        </w:rPr>
        <w:t xml:space="preserve">obligation </w:t>
      </w:r>
      <w:r w:rsidRPr="002E60EB">
        <w:rPr>
          <w:lang w:val="en-US"/>
        </w:rPr>
        <w:t xml:space="preserve">to investigate and </w:t>
      </w:r>
      <w:r w:rsidR="001232FF" w:rsidRPr="002E60EB">
        <w:rPr>
          <w:lang w:val="en-US"/>
        </w:rPr>
        <w:t xml:space="preserve">to </w:t>
      </w:r>
      <w:r w:rsidRPr="002E60EB">
        <w:rPr>
          <w:lang w:val="en-US"/>
        </w:rPr>
        <w:t xml:space="preserve">punish </w:t>
      </w:r>
      <w:r w:rsidR="001232FF" w:rsidRPr="002E60EB">
        <w:rPr>
          <w:lang w:val="en-US"/>
        </w:rPr>
        <w:t>those</w:t>
      </w:r>
      <w:r w:rsidRPr="002E60EB">
        <w:rPr>
          <w:lang w:val="en-US"/>
        </w:rPr>
        <w:t xml:space="preserve"> responsible for the violations. In its </w:t>
      </w:r>
      <w:r w:rsidR="001232FF" w:rsidRPr="002E60EB">
        <w:rPr>
          <w:lang w:val="en-US"/>
        </w:rPr>
        <w:t xml:space="preserve">brief </w:t>
      </w:r>
      <w:r w:rsidRPr="002E60EB">
        <w:rPr>
          <w:lang w:val="en-US"/>
        </w:rPr>
        <w:t>submi</w:t>
      </w:r>
      <w:r w:rsidR="001232FF" w:rsidRPr="002E60EB">
        <w:rPr>
          <w:lang w:val="en-US"/>
        </w:rPr>
        <w:t>tting</w:t>
      </w:r>
      <w:r w:rsidRPr="002E60EB">
        <w:rPr>
          <w:lang w:val="en-US"/>
        </w:rPr>
        <w:t xml:space="preserve"> the case, the Commission </w:t>
      </w:r>
      <w:r w:rsidR="001232FF" w:rsidRPr="002E60EB">
        <w:rPr>
          <w:lang w:val="en-US"/>
        </w:rPr>
        <w:t>indicated</w:t>
      </w:r>
      <w:r w:rsidRPr="002E60EB">
        <w:rPr>
          <w:lang w:val="en-US"/>
        </w:rPr>
        <w:t xml:space="preserve"> that </w:t>
      </w:r>
      <w:r w:rsidR="00087093" w:rsidRPr="002E60EB">
        <w:rPr>
          <w:lang w:val="en-US"/>
        </w:rPr>
        <w:t>“</w:t>
      </w:r>
      <w:r w:rsidRPr="002E60EB">
        <w:rPr>
          <w:lang w:val="en-US"/>
        </w:rPr>
        <w:t xml:space="preserve">it submit[ted] to the jurisdiction of the Court </w:t>
      </w:r>
      <w:r w:rsidR="00073AEB" w:rsidRPr="002E60EB">
        <w:rPr>
          <w:lang w:val="en-US"/>
        </w:rPr>
        <w:t>all</w:t>
      </w:r>
      <w:r w:rsidRPr="002E60EB">
        <w:rPr>
          <w:lang w:val="en-US"/>
        </w:rPr>
        <w:t xml:space="preserve"> the facts and humans rights </w:t>
      </w:r>
      <w:r w:rsidR="00073AEB" w:rsidRPr="002E60EB">
        <w:rPr>
          <w:lang w:val="en-US"/>
        </w:rPr>
        <w:t xml:space="preserve">violations […] </w:t>
      </w:r>
      <w:r w:rsidRPr="002E60EB">
        <w:rPr>
          <w:lang w:val="en-US"/>
        </w:rPr>
        <w:t xml:space="preserve">described in </w:t>
      </w:r>
      <w:r w:rsidR="00112527" w:rsidRPr="002E60EB">
        <w:rPr>
          <w:lang w:val="en-US"/>
        </w:rPr>
        <w:t>M</w:t>
      </w:r>
      <w:r w:rsidR="00073AEB" w:rsidRPr="002E60EB">
        <w:rPr>
          <w:lang w:val="en-US"/>
        </w:rPr>
        <w:t>erits</w:t>
      </w:r>
      <w:r w:rsidRPr="002E60EB">
        <w:rPr>
          <w:lang w:val="en-US"/>
        </w:rPr>
        <w:t xml:space="preserve"> </w:t>
      </w:r>
      <w:r w:rsidR="00112527" w:rsidRPr="002E60EB">
        <w:rPr>
          <w:lang w:val="en-US"/>
        </w:rPr>
        <w:t>R</w:t>
      </w:r>
      <w:r w:rsidRPr="002E60EB">
        <w:rPr>
          <w:lang w:val="en-US"/>
        </w:rPr>
        <w:t>eport No. 136/10</w:t>
      </w:r>
      <w:r w:rsidR="00087093" w:rsidRPr="002E60EB">
        <w:rPr>
          <w:lang w:val="en-US"/>
        </w:rPr>
        <w:t>”</w:t>
      </w:r>
      <w:r w:rsidRPr="002E60EB">
        <w:rPr>
          <w:lang w:val="en-US"/>
        </w:rPr>
        <w:t xml:space="preserve"> and asked the Court to order six measures of reparation, which </w:t>
      </w:r>
      <w:r w:rsidR="00073AEB" w:rsidRPr="002E60EB">
        <w:rPr>
          <w:lang w:val="en-US"/>
        </w:rPr>
        <w:t xml:space="preserve">concur </w:t>
      </w:r>
      <w:r w:rsidRPr="002E60EB">
        <w:rPr>
          <w:lang w:val="en-US"/>
        </w:rPr>
        <w:t xml:space="preserve">precisely with the six recommendations made by the Commission in the </w:t>
      </w:r>
      <w:r w:rsidR="00112527" w:rsidRPr="002E60EB">
        <w:rPr>
          <w:lang w:val="en-US"/>
        </w:rPr>
        <w:t>said</w:t>
      </w:r>
      <w:r w:rsidRPr="002E60EB">
        <w:rPr>
          <w:lang w:val="en-US"/>
        </w:rPr>
        <w:t xml:space="preserve"> report. </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The President of the Court </w:t>
      </w:r>
      <w:r w:rsidR="00073AEB" w:rsidRPr="002E60EB">
        <w:rPr>
          <w:rFonts w:cs="Verdana"/>
          <w:lang w:val="en-US"/>
        </w:rPr>
        <w:t xml:space="preserve">considered </w:t>
      </w:r>
      <w:r w:rsidRPr="002E60EB">
        <w:rPr>
          <w:rFonts w:cs="Verdana"/>
          <w:lang w:val="en-US"/>
        </w:rPr>
        <w:t>that</w:t>
      </w:r>
      <w:r w:rsidR="00073AEB" w:rsidRPr="002E60EB">
        <w:rPr>
          <w:rFonts w:cs="Verdana"/>
          <w:lang w:val="en-US"/>
        </w:rPr>
        <w:t>, when submitting the case,</w:t>
      </w:r>
      <w:r w:rsidRPr="002E60EB">
        <w:rPr>
          <w:rFonts w:cs="Verdana"/>
          <w:lang w:val="en-US"/>
        </w:rPr>
        <w:t xml:space="preserve"> the Commission</w:t>
      </w:r>
      <w:r w:rsidR="00073AEB" w:rsidRPr="002E60EB">
        <w:rPr>
          <w:rFonts w:cs="Verdana"/>
          <w:lang w:val="en-US"/>
        </w:rPr>
        <w:t xml:space="preserve"> had fulfilled</w:t>
      </w:r>
      <w:r w:rsidRPr="002E60EB">
        <w:rPr>
          <w:rFonts w:cs="Verdana"/>
          <w:lang w:val="en-US"/>
        </w:rPr>
        <w:t xml:space="preserve"> the requirements </w:t>
      </w:r>
      <w:r w:rsidR="00112527" w:rsidRPr="002E60EB">
        <w:rPr>
          <w:rFonts w:cs="Verdana"/>
          <w:lang w:val="en-US"/>
        </w:rPr>
        <w:t>under</w:t>
      </w:r>
      <w:r w:rsidRPr="002E60EB">
        <w:rPr>
          <w:rFonts w:cs="Verdana"/>
          <w:lang w:val="en-US"/>
        </w:rPr>
        <w:t xml:space="preserve"> Article 35 of the </w:t>
      </w:r>
      <w:r w:rsidR="00073AEB" w:rsidRPr="002E60EB">
        <w:rPr>
          <w:rFonts w:cs="Verdana"/>
          <w:lang w:val="en-US"/>
        </w:rPr>
        <w:t xml:space="preserve">Court’s </w:t>
      </w:r>
      <w:r w:rsidRPr="002E60EB">
        <w:rPr>
          <w:rFonts w:cs="Verdana"/>
          <w:lang w:val="en-US"/>
        </w:rPr>
        <w:t xml:space="preserve">Rules of Procedure and, </w:t>
      </w:r>
      <w:r w:rsidR="00073AEB" w:rsidRPr="002E60EB">
        <w:rPr>
          <w:rFonts w:cs="Verdana"/>
          <w:lang w:val="en-US"/>
        </w:rPr>
        <w:t>consequently</w:t>
      </w:r>
      <w:r w:rsidRPr="002E60EB">
        <w:rPr>
          <w:rFonts w:cs="Verdana"/>
          <w:lang w:val="en-US"/>
        </w:rPr>
        <w:t xml:space="preserve">, </w:t>
      </w:r>
      <w:r w:rsidR="00073AEB" w:rsidRPr="002E60EB">
        <w:rPr>
          <w:rFonts w:cs="Verdana"/>
          <w:lang w:val="en-US"/>
        </w:rPr>
        <w:t>requ</w:t>
      </w:r>
      <w:r w:rsidR="00112527" w:rsidRPr="002E60EB">
        <w:rPr>
          <w:rFonts w:cs="Verdana"/>
          <w:lang w:val="en-US"/>
        </w:rPr>
        <w:t>ested</w:t>
      </w:r>
      <w:r w:rsidR="00073AEB" w:rsidRPr="002E60EB">
        <w:rPr>
          <w:rFonts w:cs="Verdana"/>
          <w:lang w:val="en-US"/>
        </w:rPr>
        <w:t xml:space="preserve"> </w:t>
      </w:r>
      <w:r w:rsidRPr="002E60EB">
        <w:rPr>
          <w:rFonts w:cs="Verdana"/>
          <w:lang w:val="en-US"/>
        </w:rPr>
        <w:t xml:space="preserve">the Secretariat to </w:t>
      </w:r>
      <w:r w:rsidR="00073AEB" w:rsidRPr="002E60EB">
        <w:rPr>
          <w:rFonts w:cs="Verdana"/>
          <w:lang w:val="en-US"/>
        </w:rPr>
        <w:t>notify the</w:t>
      </w:r>
      <w:r w:rsidRPr="002E60EB">
        <w:rPr>
          <w:rFonts w:cs="Verdana"/>
          <w:lang w:val="en-US"/>
        </w:rPr>
        <w:t xml:space="preserve"> submission of the case. </w:t>
      </w:r>
      <w:r w:rsidR="00073AEB" w:rsidRPr="002E60EB">
        <w:rPr>
          <w:rFonts w:cs="Verdana"/>
          <w:lang w:val="en-US"/>
        </w:rPr>
        <w:t xml:space="preserve">The Court supports the President’s action and, regarding the Commission’s omission to provide a copy of the State’s report on compliance with the recommendations made by the Commission on that occasion, the Court </w:t>
      </w:r>
      <w:r w:rsidRPr="002E60EB">
        <w:rPr>
          <w:rFonts w:cs="Verdana"/>
          <w:lang w:val="en-US"/>
        </w:rPr>
        <w:t xml:space="preserve">notes that </w:t>
      </w:r>
      <w:r w:rsidR="00073AEB" w:rsidRPr="002E60EB">
        <w:rPr>
          <w:rFonts w:cs="Verdana"/>
          <w:lang w:val="en-US"/>
        </w:rPr>
        <w:t>the latter indicated that the</w:t>
      </w:r>
      <w:r w:rsidRPr="002E60EB">
        <w:rPr>
          <w:rFonts w:cs="Verdana"/>
          <w:lang w:val="en-US"/>
        </w:rPr>
        <w:t xml:space="preserve"> failure was due to an inadvertent error and that the State </w:t>
      </w:r>
      <w:r w:rsidR="00112527" w:rsidRPr="002E60EB">
        <w:rPr>
          <w:rFonts w:cs="Verdana"/>
          <w:lang w:val="en-US"/>
        </w:rPr>
        <w:t>forwarded this report</w:t>
      </w:r>
      <w:r w:rsidRPr="002E60EB">
        <w:rPr>
          <w:rFonts w:cs="Verdana"/>
          <w:lang w:val="en-US"/>
        </w:rPr>
        <w:t xml:space="preserve"> to the Court</w:t>
      </w:r>
      <w:r w:rsidR="00073AEB" w:rsidRPr="002E60EB">
        <w:rPr>
          <w:rFonts w:cs="Verdana"/>
          <w:lang w:val="en-US"/>
        </w:rPr>
        <w:t xml:space="preserve"> as an attachment to its brief </w:t>
      </w:r>
      <w:r w:rsidRPr="002E60EB">
        <w:rPr>
          <w:rFonts w:cs="Verdana"/>
          <w:lang w:val="en-US"/>
        </w:rPr>
        <w:t xml:space="preserve">in answer to the </w:t>
      </w:r>
      <w:r w:rsidR="00073AEB" w:rsidRPr="002E60EB">
        <w:rPr>
          <w:rFonts w:cs="Verdana"/>
          <w:lang w:val="en-US"/>
        </w:rPr>
        <w:t>submission of</w:t>
      </w:r>
      <w:r w:rsidRPr="002E60EB">
        <w:rPr>
          <w:rFonts w:cs="Verdana"/>
          <w:lang w:val="en-US"/>
        </w:rPr>
        <w:t xml:space="preserve"> the case. </w:t>
      </w:r>
      <w:r w:rsidR="00073AEB" w:rsidRPr="002E60EB">
        <w:rPr>
          <w:rFonts w:cs="Verdana"/>
          <w:lang w:val="en-US"/>
        </w:rPr>
        <w:t>The</w:t>
      </w:r>
      <w:r w:rsidRPr="002E60EB">
        <w:rPr>
          <w:rFonts w:cs="Verdana"/>
          <w:lang w:val="en-US"/>
        </w:rPr>
        <w:t xml:space="preserve"> State </w:t>
      </w:r>
      <w:r w:rsidR="00073AEB" w:rsidRPr="002E60EB">
        <w:rPr>
          <w:rFonts w:cs="Verdana"/>
          <w:lang w:val="en-US"/>
        </w:rPr>
        <w:t xml:space="preserve">also </w:t>
      </w:r>
      <w:r w:rsidRPr="002E60EB">
        <w:rPr>
          <w:rFonts w:cs="Verdana"/>
          <w:lang w:val="en-US"/>
        </w:rPr>
        <w:t xml:space="preserve">provided </w:t>
      </w:r>
      <w:r w:rsidR="00073AEB" w:rsidRPr="002E60EB">
        <w:rPr>
          <w:rFonts w:cs="Verdana"/>
          <w:lang w:val="en-US"/>
        </w:rPr>
        <w:t xml:space="preserve">the Court with </w:t>
      </w:r>
      <w:r w:rsidRPr="002E60EB">
        <w:rPr>
          <w:rFonts w:cs="Verdana"/>
          <w:lang w:val="en-US"/>
        </w:rPr>
        <w:t xml:space="preserve">additional information related to </w:t>
      </w:r>
      <w:r w:rsidR="00073AEB" w:rsidRPr="002E60EB">
        <w:rPr>
          <w:rFonts w:cs="Verdana"/>
          <w:lang w:val="en-US"/>
        </w:rPr>
        <w:t>progress</w:t>
      </w:r>
      <w:r w:rsidRPr="002E60EB">
        <w:rPr>
          <w:rFonts w:cs="Verdana"/>
          <w:lang w:val="en-US"/>
        </w:rPr>
        <w:t xml:space="preserve"> </w:t>
      </w:r>
      <w:r w:rsidR="00073AEB" w:rsidRPr="002E60EB">
        <w:rPr>
          <w:rFonts w:cs="Verdana"/>
          <w:lang w:val="en-US"/>
        </w:rPr>
        <w:t xml:space="preserve">in </w:t>
      </w:r>
      <w:r w:rsidRPr="002E60EB">
        <w:rPr>
          <w:rFonts w:cs="Verdana"/>
          <w:lang w:val="en-US"/>
        </w:rPr>
        <w:t>compliance with the</w:t>
      </w:r>
      <w:r w:rsidR="00073AEB" w:rsidRPr="002E60EB">
        <w:rPr>
          <w:rFonts w:cs="Verdana"/>
          <w:lang w:val="en-US"/>
        </w:rPr>
        <w:t xml:space="preserve"> said</w:t>
      </w:r>
      <w:r w:rsidRPr="002E60EB">
        <w:rPr>
          <w:rFonts w:cs="Verdana"/>
          <w:lang w:val="en-US"/>
        </w:rPr>
        <w:t xml:space="preserve"> recommendations.</w:t>
      </w:r>
    </w:p>
    <w:p w:rsidR="00E15BBF" w:rsidRPr="002E60EB" w:rsidRDefault="00E15BBF" w:rsidP="00317748">
      <w:pPr>
        <w:pStyle w:val="MediumGrid1-Accent21"/>
        <w:ind w:left="0"/>
        <w:rPr>
          <w:u w:val="single"/>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Based on </w:t>
      </w:r>
      <w:r w:rsidR="00073AEB" w:rsidRPr="002E60EB">
        <w:rPr>
          <w:rFonts w:cs="Verdana"/>
          <w:lang w:val="en-US"/>
        </w:rPr>
        <w:t>the above findings</w:t>
      </w:r>
      <w:r w:rsidRPr="002E60EB">
        <w:rPr>
          <w:rFonts w:cs="Verdana"/>
          <w:lang w:val="en-US"/>
        </w:rPr>
        <w:t>, this Court reaffirm</w:t>
      </w:r>
      <w:r w:rsidR="00073AEB" w:rsidRPr="002E60EB">
        <w:rPr>
          <w:rFonts w:cs="Verdana"/>
          <w:lang w:val="en-US"/>
        </w:rPr>
        <w:t>s</w:t>
      </w:r>
      <w:r w:rsidRPr="002E60EB">
        <w:rPr>
          <w:rFonts w:cs="Verdana"/>
          <w:lang w:val="en-US"/>
        </w:rPr>
        <w:t xml:space="preserve"> that the broad acknowledgment of responsibility </w:t>
      </w:r>
      <w:r w:rsidR="00073AEB" w:rsidRPr="002E60EB">
        <w:rPr>
          <w:rFonts w:cs="Verdana"/>
          <w:lang w:val="en-US"/>
        </w:rPr>
        <w:t>made by Colombia,</w:t>
      </w:r>
      <w:r w:rsidRPr="002E60EB">
        <w:rPr>
          <w:rFonts w:cs="Verdana"/>
          <w:lang w:val="en-US"/>
        </w:rPr>
        <w:t xml:space="preserve"> as well as the progress made in implementing recommendations made by the Commission in its </w:t>
      </w:r>
      <w:r w:rsidR="00360DB8" w:rsidRPr="002E60EB">
        <w:rPr>
          <w:rFonts w:cs="Verdana"/>
          <w:lang w:val="en-US"/>
        </w:rPr>
        <w:t>M</w:t>
      </w:r>
      <w:r w:rsidR="00073AEB" w:rsidRPr="002E60EB">
        <w:rPr>
          <w:rFonts w:cs="Verdana"/>
          <w:lang w:val="en-US"/>
        </w:rPr>
        <w:t xml:space="preserve">erits </w:t>
      </w:r>
      <w:r w:rsidR="00360DB8" w:rsidRPr="002E60EB">
        <w:rPr>
          <w:rFonts w:cs="Verdana"/>
          <w:lang w:val="en-US"/>
        </w:rPr>
        <w:t>R</w:t>
      </w:r>
      <w:r w:rsidRPr="002E60EB">
        <w:rPr>
          <w:rFonts w:cs="Verdana"/>
          <w:lang w:val="en-US"/>
        </w:rPr>
        <w:t xml:space="preserve">eport and the </w:t>
      </w:r>
      <w:r w:rsidR="00073AEB" w:rsidRPr="002E60EB">
        <w:rPr>
          <w:rFonts w:cs="Verdana"/>
          <w:lang w:val="en-US"/>
        </w:rPr>
        <w:t>above-mentioned arguments of the</w:t>
      </w:r>
      <w:r w:rsidR="00360DB8" w:rsidRPr="002E60EB">
        <w:rPr>
          <w:rFonts w:cs="Verdana"/>
          <w:lang w:val="en-US"/>
        </w:rPr>
        <w:t xml:space="preserve"> S</w:t>
      </w:r>
      <w:r w:rsidR="00073AEB" w:rsidRPr="002E60EB">
        <w:rPr>
          <w:rFonts w:cs="Verdana"/>
          <w:lang w:val="en-US"/>
        </w:rPr>
        <w:t xml:space="preserve">tate in this regard, </w:t>
      </w:r>
      <w:r w:rsidRPr="002E60EB">
        <w:rPr>
          <w:rFonts w:cs="Verdana"/>
          <w:lang w:val="en-US"/>
        </w:rPr>
        <w:t xml:space="preserve">will be </w:t>
      </w:r>
      <w:r w:rsidR="00073AEB" w:rsidRPr="002E60EB">
        <w:rPr>
          <w:rFonts w:cs="Verdana"/>
          <w:lang w:val="en-US"/>
        </w:rPr>
        <w:t>assessed</w:t>
      </w:r>
      <w:r w:rsidRPr="002E60EB">
        <w:rPr>
          <w:rFonts w:cs="Verdana"/>
          <w:lang w:val="en-US"/>
        </w:rPr>
        <w:t xml:space="preserve"> by the Court </w:t>
      </w:r>
      <w:r w:rsidR="00073AEB" w:rsidRPr="002E60EB">
        <w:rPr>
          <w:rFonts w:cs="Verdana"/>
          <w:lang w:val="en-US"/>
        </w:rPr>
        <w:t xml:space="preserve">when it rules on the measures of </w:t>
      </w:r>
      <w:r w:rsidRPr="002E60EB">
        <w:rPr>
          <w:rFonts w:cs="Verdana"/>
          <w:lang w:val="en-US"/>
        </w:rPr>
        <w:t>reparation requested by the Commission and the representative of the victims</w:t>
      </w:r>
      <w:r w:rsidRPr="002E60EB">
        <w:rPr>
          <w:rFonts w:cs="Verdana"/>
          <w:color w:val="0000FF"/>
          <w:lang w:val="en-US"/>
        </w:rPr>
        <w:t xml:space="preserve"> </w:t>
      </w:r>
      <w:r w:rsidRPr="002E60EB">
        <w:rPr>
          <w:lang w:val="en-US"/>
        </w:rPr>
        <w:t>(</w:t>
      </w:r>
      <w:r w:rsidRPr="002E60EB">
        <w:rPr>
          <w:i/>
          <w:lang w:val="en-US"/>
        </w:rPr>
        <w:t>infra</w:t>
      </w:r>
      <w:r w:rsidRPr="002E60EB">
        <w:rPr>
          <w:lang w:val="en-US"/>
        </w:rPr>
        <w:t xml:space="preserve"> </w:t>
      </w:r>
      <w:r w:rsidR="00073AEB" w:rsidRPr="002E60EB">
        <w:rPr>
          <w:lang w:val="en-US"/>
        </w:rPr>
        <w:t>Chapter XII</w:t>
      </w:r>
      <w:r w:rsidRPr="002E60EB">
        <w:rPr>
          <w:lang w:val="en-US"/>
        </w:rPr>
        <w:t>)</w:t>
      </w:r>
      <w:r w:rsidRPr="002E60EB">
        <w:rPr>
          <w:rFonts w:cs="Verdana"/>
          <w:lang w:val="en-US"/>
        </w:rPr>
        <w:t>.</w:t>
      </w:r>
    </w:p>
    <w:p w:rsidR="00E15BBF" w:rsidRPr="002E60EB" w:rsidRDefault="00E15BBF" w:rsidP="00317748">
      <w:pPr>
        <w:pStyle w:val="MediumGrid1-Accent21"/>
        <w:ind w:left="0"/>
        <w:rPr>
          <w:b/>
          <w:i/>
          <w:lang w:val="en-US"/>
        </w:rPr>
      </w:pPr>
    </w:p>
    <w:p w:rsidR="00E15BBF" w:rsidRPr="002E60EB" w:rsidRDefault="00E15BBF" w:rsidP="00317748">
      <w:pPr>
        <w:pStyle w:val="MediumGrid1-Accent21"/>
        <w:numPr>
          <w:ilvl w:val="0"/>
          <w:numId w:val="10"/>
        </w:numPr>
        <w:tabs>
          <w:tab w:val="num" w:pos="709"/>
        </w:tabs>
        <w:ind w:left="0"/>
        <w:contextualSpacing/>
        <w:jc w:val="both"/>
        <w:rPr>
          <w:b/>
          <w:i/>
          <w:lang w:val="en-US"/>
        </w:rPr>
      </w:pPr>
      <w:r w:rsidRPr="002E60EB">
        <w:rPr>
          <w:b/>
          <w:i/>
          <w:lang w:val="en-US"/>
        </w:rPr>
        <w:t>The factual framework of the case</w:t>
      </w:r>
    </w:p>
    <w:p w:rsidR="00E15BBF" w:rsidRPr="002E60EB" w:rsidRDefault="00E15BBF" w:rsidP="00317748">
      <w:pPr>
        <w:pStyle w:val="MediumGrid1-Accent21"/>
        <w:ind w:left="0"/>
        <w:contextualSpacing/>
        <w:jc w:val="both"/>
        <w:rPr>
          <w:b/>
          <w:i/>
          <w:lang w:val="en-US"/>
        </w:rPr>
      </w:pPr>
    </w:p>
    <w:p w:rsidR="00E15BBF" w:rsidRPr="002E60EB" w:rsidRDefault="00E15BBF" w:rsidP="00317748">
      <w:pPr>
        <w:pStyle w:val="MediumGrid1-Accent21"/>
        <w:ind w:left="0" w:firstLine="720"/>
        <w:rPr>
          <w:i/>
          <w:lang w:val="en-US"/>
        </w:rPr>
      </w:pPr>
      <w:r w:rsidRPr="002E60EB">
        <w:rPr>
          <w:i/>
          <w:lang w:val="en-US"/>
        </w:rPr>
        <w:t xml:space="preserve">Arguments of the </w:t>
      </w:r>
      <w:r w:rsidR="00073AEB" w:rsidRPr="002E60EB">
        <w:rPr>
          <w:i/>
          <w:lang w:val="en-US"/>
        </w:rPr>
        <w:t xml:space="preserve">State </w:t>
      </w:r>
      <w:r w:rsidRPr="002E60EB">
        <w:rPr>
          <w:i/>
          <w:lang w:val="en-US"/>
        </w:rPr>
        <w:t xml:space="preserve">and observations of the </w:t>
      </w:r>
      <w:r w:rsidR="00073AEB" w:rsidRPr="002E60EB">
        <w:rPr>
          <w:i/>
          <w:lang w:val="en-US"/>
        </w:rPr>
        <w:t>representative</w:t>
      </w:r>
    </w:p>
    <w:p w:rsidR="00E15BBF" w:rsidRPr="002E60EB" w:rsidRDefault="00E15BBF" w:rsidP="00317748">
      <w:pPr>
        <w:pStyle w:val="MediumGrid1-Accent21"/>
        <w:ind w:left="0"/>
        <w:rPr>
          <w:lang w:val="en-US"/>
        </w:rPr>
      </w:pPr>
    </w:p>
    <w:p w:rsidR="00A37574" w:rsidRPr="002E60EB" w:rsidRDefault="00E15BBF" w:rsidP="00317748">
      <w:pPr>
        <w:numPr>
          <w:ilvl w:val="0"/>
          <w:numId w:val="1"/>
        </w:numPr>
        <w:tabs>
          <w:tab w:val="left" w:pos="720"/>
        </w:tabs>
        <w:jc w:val="both"/>
        <w:rPr>
          <w:rFonts w:cs="Verdana"/>
          <w:lang w:val="en-US"/>
        </w:rPr>
      </w:pPr>
      <w:r w:rsidRPr="002E60EB">
        <w:rPr>
          <w:lang w:val="en-US"/>
        </w:rPr>
        <w:t xml:space="preserve">The State </w:t>
      </w:r>
      <w:r w:rsidR="00094ABD" w:rsidRPr="002E60EB">
        <w:rPr>
          <w:lang w:val="en-US"/>
        </w:rPr>
        <w:t xml:space="preserve">asked </w:t>
      </w:r>
      <w:r w:rsidRPr="002E60EB">
        <w:rPr>
          <w:lang w:val="en-US"/>
        </w:rPr>
        <w:t xml:space="preserve">the Court to declare inadmissible the facts and claims included in the pleadings and </w:t>
      </w:r>
      <w:r w:rsidR="00094ABD" w:rsidRPr="002E60EB">
        <w:rPr>
          <w:lang w:val="en-US"/>
        </w:rPr>
        <w:t xml:space="preserve">motions brief </w:t>
      </w:r>
      <w:r w:rsidR="00087093" w:rsidRPr="002E60EB">
        <w:rPr>
          <w:lang w:val="en-US"/>
        </w:rPr>
        <w:t>“</w:t>
      </w:r>
      <w:r w:rsidRPr="002E60EB">
        <w:rPr>
          <w:lang w:val="en-US"/>
        </w:rPr>
        <w:t xml:space="preserve">that are unrelated or outside the factual </w:t>
      </w:r>
      <w:r w:rsidR="005516A1" w:rsidRPr="002E60EB">
        <w:rPr>
          <w:lang w:val="en-US"/>
        </w:rPr>
        <w:t xml:space="preserve">framework established </w:t>
      </w:r>
      <w:r w:rsidRPr="002E60EB">
        <w:rPr>
          <w:lang w:val="en-US"/>
        </w:rPr>
        <w:t>by the Commission in the presentation of the case.</w:t>
      </w:r>
      <w:r w:rsidR="00087093" w:rsidRPr="002E60EB">
        <w:rPr>
          <w:lang w:val="en-US"/>
        </w:rPr>
        <w:t>”</w:t>
      </w:r>
      <w:r w:rsidRPr="002E60EB">
        <w:rPr>
          <w:b/>
          <w:lang w:val="en-US"/>
        </w:rPr>
        <w:t xml:space="preserve"> </w:t>
      </w:r>
      <w:r w:rsidRPr="002E60EB">
        <w:rPr>
          <w:lang w:val="en-US"/>
        </w:rPr>
        <w:t xml:space="preserve">Colombia </w:t>
      </w:r>
      <w:r w:rsidR="005516A1" w:rsidRPr="002E60EB">
        <w:rPr>
          <w:lang w:val="en-US"/>
        </w:rPr>
        <w:t xml:space="preserve">indicated </w:t>
      </w:r>
      <w:r w:rsidRPr="002E60EB">
        <w:rPr>
          <w:lang w:val="en-US"/>
        </w:rPr>
        <w:t xml:space="preserve">in detail which of the alleged facts it considers outside the factual </w:t>
      </w:r>
      <w:r w:rsidR="005516A1" w:rsidRPr="002E60EB">
        <w:rPr>
          <w:lang w:val="en-US"/>
        </w:rPr>
        <w:t xml:space="preserve">framework </w:t>
      </w:r>
      <w:r w:rsidRPr="002E60EB">
        <w:rPr>
          <w:lang w:val="en-US"/>
        </w:rPr>
        <w:t xml:space="preserve">and </w:t>
      </w:r>
      <w:r w:rsidR="005516A1" w:rsidRPr="002E60EB">
        <w:rPr>
          <w:lang w:val="en-US"/>
        </w:rPr>
        <w:t xml:space="preserve">pointed out </w:t>
      </w:r>
      <w:r w:rsidRPr="002E60EB">
        <w:rPr>
          <w:lang w:val="en-US"/>
        </w:rPr>
        <w:t>that some are included in the section of the pleadings and arguments</w:t>
      </w:r>
      <w:r w:rsidR="005516A1" w:rsidRPr="002E60EB">
        <w:rPr>
          <w:lang w:val="en-US"/>
        </w:rPr>
        <w:t xml:space="preserve"> brief on</w:t>
      </w:r>
      <w:r w:rsidRPr="002E60EB">
        <w:rPr>
          <w:lang w:val="en-US"/>
        </w:rPr>
        <w:t xml:space="preserve"> the factual framework</w:t>
      </w:r>
      <w:r w:rsidR="005516A1" w:rsidRPr="002E60EB">
        <w:rPr>
          <w:lang w:val="en-US"/>
        </w:rPr>
        <w:t>,</w:t>
      </w:r>
      <w:r w:rsidRPr="002E60EB">
        <w:rPr>
          <w:rStyle w:val="Refdenotaalpie"/>
          <w:lang w:val="en-US"/>
        </w:rPr>
        <w:footnoteReference w:id="31"/>
      </w:r>
      <w:r w:rsidRPr="002E60EB">
        <w:rPr>
          <w:lang w:val="en-US"/>
        </w:rPr>
        <w:t xml:space="preserve"> while others were </w:t>
      </w:r>
      <w:r w:rsidR="00087093" w:rsidRPr="002E60EB">
        <w:rPr>
          <w:lang w:val="en-US"/>
        </w:rPr>
        <w:t>“</w:t>
      </w:r>
      <w:r w:rsidRPr="002E60EB">
        <w:rPr>
          <w:lang w:val="en-US"/>
        </w:rPr>
        <w:t xml:space="preserve">added by the representative outside the chapter </w:t>
      </w:r>
      <w:r w:rsidR="005516A1" w:rsidRPr="002E60EB">
        <w:rPr>
          <w:lang w:val="en-US"/>
        </w:rPr>
        <w:t>on</w:t>
      </w:r>
      <w:r w:rsidRPr="002E60EB">
        <w:rPr>
          <w:lang w:val="en-US"/>
        </w:rPr>
        <w:t xml:space="preserve"> facts</w:t>
      </w:r>
      <w:r w:rsidR="00087093" w:rsidRPr="002E60EB">
        <w:rPr>
          <w:lang w:val="en-US"/>
        </w:rPr>
        <w:t>”</w:t>
      </w:r>
      <w:r w:rsidRPr="002E60EB">
        <w:rPr>
          <w:lang w:val="en-US"/>
        </w:rPr>
        <w:t xml:space="preserve"> of the </w:t>
      </w:r>
      <w:r w:rsidR="005516A1" w:rsidRPr="002E60EB">
        <w:rPr>
          <w:lang w:val="en-US"/>
        </w:rPr>
        <w:t xml:space="preserve">said </w:t>
      </w:r>
      <w:r w:rsidRPr="002E60EB">
        <w:rPr>
          <w:lang w:val="en-US"/>
        </w:rPr>
        <w:t>brief.</w:t>
      </w:r>
      <w:r w:rsidRPr="002E60EB">
        <w:rPr>
          <w:rStyle w:val="Refdenotaalpie"/>
          <w:lang w:val="en-US"/>
        </w:rPr>
        <w:footnoteReference w:id="32"/>
      </w:r>
    </w:p>
    <w:p w:rsidR="00E15BBF" w:rsidRPr="002E60EB" w:rsidRDefault="00E15BBF" w:rsidP="002711CF">
      <w:pPr>
        <w:tabs>
          <w:tab w:val="left" w:pos="720"/>
        </w:tabs>
        <w:jc w:val="both"/>
        <w:rPr>
          <w:rFonts w:cs="Verdana"/>
          <w:lang w:val="en-US"/>
        </w:rPr>
      </w:pPr>
    </w:p>
    <w:p w:rsidR="00E15BBF" w:rsidRPr="002E60EB" w:rsidRDefault="00892438" w:rsidP="00317748">
      <w:pPr>
        <w:numPr>
          <w:ilvl w:val="0"/>
          <w:numId w:val="1"/>
        </w:numPr>
        <w:tabs>
          <w:tab w:val="left" w:pos="720"/>
        </w:tabs>
        <w:jc w:val="both"/>
        <w:rPr>
          <w:rFonts w:cs="Verdana"/>
          <w:lang w:val="en-US"/>
        </w:rPr>
      </w:pPr>
      <w:r w:rsidRPr="002E60EB">
        <w:rPr>
          <w:rFonts w:cs="Verdana"/>
          <w:lang w:val="en-US"/>
        </w:rPr>
        <w:t>Furthermore</w:t>
      </w:r>
      <w:r w:rsidR="00E15BBF" w:rsidRPr="002E60EB">
        <w:rPr>
          <w:rFonts w:cs="Verdana"/>
          <w:lang w:val="en-US"/>
        </w:rPr>
        <w:t xml:space="preserve">, in its </w:t>
      </w:r>
      <w:r w:rsidRPr="002E60EB">
        <w:rPr>
          <w:rFonts w:cs="Verdana"/>
          <w:lang w:val="en-US"/>
        </w:rPr>
        <w:t xml:space="preserve">final </w:t>
      </w:r>
      <w:r w:rsidR="00E15BBF" w:rsidRPr="002E60EB">
        <w:rPr>
          <w:rFonts w:cs="Verdana"/>
          <w:lang w:val="en-US"/>
        </w:rPr>
        <w:t xml:space="preserve">oral and written arguments, the State added that </w:t>
      </w:r>
      <w:r w:rsidR="00087093" w:rsidRPr="002E60EB">
        <w:rPr>
          <w:rFonts w:cs="Verdana"/>
          <w:lang w:val="en-US"/>
        </w:rPr>
        <w:t>“</w:t>
      </w:r>
      <w:r w:rsidR="00E15BBF" w:rsidRPr="002E60EB">
        <w:rPr>
          <w:rFonts w:cs="Verdana"/>
          <w:lang w:val="en-US"/>
        </w:rPr>
        <w:t>it has not denied [the] responsibility it bears for the excessive use of force in the case of Mr. Vélez, but [it] does not accept</w:t>
      </w:r>
      <w:r w:rsidRPr="002E60EB">
        <w:rPr>
          <w:rFonts w:cs="Verdana"/>
          <w:lang w:val="en-US"/>
        </w:rPr>
        <w:t xml:space="preserve"> that, around this fact, a series of events are constructed, tied in and added, in order to convert an isolated incident of excessive use of force, into a </w:t>
      </w:r>
      <w:r w:rsidR="00E15BBF" w:rsidRPr="002E60EB">
        <w:rPr>
          <w:rFonts w:cs="Verdana"/>
          <w:lang w:val="en-US"/>
        </w:rPr>
        <w:t xml:space="preserve">systematic </w:t>
      </w:r>
      <w:r w:rsidRPr="002E60EB">
        <w:rPr>
          <w:rFonts w:cs="Verdana"/>
          <w:lang w:val="en-US"/>
        </w:rPr>
        <w:t xml:space="preserve">State </w:t>
      </w:r>
      <w:r w:rsidR="00E15BBF" w:rsidRPr="002E60EB">
        <w:rPr>
          <w:rFonts w:cs="Verdana"/>
          <w:lang w:val="en-US"/>
        </w:rPr>
        <w:t>practice, pattern, or policy.</w:t>
      </w:r>
      <w:r w:rsidR="00087093" w:rsidRPr="002E60EB">
        <w:rPr>
          <w:rFonts w:cs="Verdana"/>
          <w:lang w:val="en-US"/>
        </w:rPr>
        <w:t>”</w:t>
      </w:r>
    </w:p>
    <w:p w:rsidR="00E15BBF" w:rsidRPr="002E60EB" w:rsidRDefault="00E15BBF" w:rsidP="00260DED">
      <w:pPr>
        <w:pStyle w:val="MediumGrid1-Accent21"/>
        <w:ind w:left="0"/>
        <w:rPr>
          <w:lang w:val="en-US"/>
        </w:rPr>
      </w:pPr>
    </w:p>
    <w:p w:rsidR="00E15BBF" w:rsidRPr="002E60EB" w:rsidRDefault="00E15BBF" w:rsidP="00317748">
      <w:pPr>
        <w:numPr>
          <w:ilvl w:val="0"/>
          <w:numId w:val="1"/>
        </w:numPr>
        <w:tabs>
          <w:tab w:val="left" w:pos="720"/>
        </w:tabs>
        <w:jc w:val="both"/>
        <w:rPr>
          <w:lang w:val="en-US"/>
        </w:rPr>
      </w:pPr>
      <w:r w:rsidRPr="002E60EB">
        <w:rPr>
          <w:rFonts w:cs="Verdana"/>
          <w:lang w:val="en-US"/>
        </w:rPr>
        <w:t xml:space="preserve">The representative </w:t>
      </w:r>
      <w:r w:rsidR="00892438" w:rsidRPr="002E60EB">
        <w:rPr>
          <w:rFonts w:cs="Verdana"/>
          <w:lang w:val="en-US"/>
        </w:rPr>
        <w:t xml:space="preserve">observed </w:t>
      </w:r>
      <w:r w:rsidRPr="002E60EB">
        <w:rPr>
          <w:rFonts w:cs="Verdana"/>
          <w:lang w:val="en-US"/>
        </w:rPr>
        <w:t xml:space="preserve">that </w:t>
      </w:r>
      <w:r w:rsidR="00087093" w:rsidRPr="002E60EB">
        <w:rPr>
          <w:rFonts w:cs="Verdana"/>
          <w:lang w:val="en-US"/>
        </w:rPr>
        <w:t>“</w:t>
      </w:r>
      <w:r w:rsidRPr="002E60EB">
        <w:rPr>
          <w:rFonts w:cs="Verdana"/>
          <w:lang w:val="en-US"/>
        </w:rPr>
        <w:t xml:space="preserve">the </w:t>
      </w:r>
      <w:r w:rsidR="00260DED" w:rsidRPr="002E60EB">
        <w:rPr>
          <w:rFonts w:cs="Verdana"/>
          <w:lang w:val="en-US"/>
        </w:rPr>
        <w:t>clarification of</w:t>
      </w:r>
      <w:r w:rsidRPr="002E60EB">
        <w:rPr>
          <w:rFonts w:cs="Verdana"/>
          <w:lang w:val="en-US"/>
        </w:rPr>
        <w:t xml:space="preserve"> the context and other essential details in the </w:t>
      </w:r>
      <w:r w:rsidR="00260DED" w:rsidRPr="002E60EB">
        <w:rPr>
          <w:rFonts w:cs="Verdana"/>
          <w:lang w:val="en-US"/>
        </w:rPr>
        <w:t>instant</w:t>
      </w:r>
      <w:r w:rsidRPr="002E60EB">
        <w:rPr>
          <w:rFonts w:cs="Verdana"/>
          <w:lang w:val="en-US"/>
        </w:rPr>
        <w:t xml:space="preserve"> case do not constitute </w:t>
      </w:r>
      <w:r w:rsidR="00260DED" w:rsidRPr="002E60EB">
        <w:rPr>
          <w:rFonts w:cs="Verdana"/>
          <w:lang w:val="en-US"/>
        </w:rPr>
        <w:t xml:space="preserve">an allegation </w:t>
      </w:r>
      <w:r w:rsidRPr="002E60EB">
        <w:rPr>
          <w:rFonts w:cs="Verdana"/>
          <w:lang w:val="en-US"/>
        </w:rPr>
        <w:t xml:space="preserve">of new facts </w:t>
      </w:r>
      <w:r w:rsidR="00260DED" w:rsidRPr="002E60EB">
        <w:rPr>
          <w:rFonts w:cs="Verdana"/>
          <w:lang w:val="en-US"/>
        </w:rPr>
        <w:t xml:space="preserve">that </w:t>
      </w:r>
      <w:r w:rsidRPr="002E60EB">
        <w:rPr>
          <w:rFonts w:cs="Verdana"/>
          <w:lang w:val="en-US"/>
        </w:rPr>
        <w:t xml:space="preserve">differ from those </w:t>
      </w:r>
      <w:r w:rsidR="00260DED" w:rsidRPr="002E60EB">
        <w:rPr>
          <w:rFonts w:cs="Verdana"/>
          <w:lang w:val="en-US"/>
        </w:rPr>
        <w:t xml:space="preserve">described </w:t>
      </w:r>
      <w:r w:rsidRPr="002E60EB">
        <w:rPr>
          <w:rFonts w:cs="Verdana"/>
          <w:lang w:val="en-US"/>
        </w:rPr>
        <w:t xml:space="preserve">in more general terms by the Inter-American Commission in its </w:t>
      </w:r>
      <w:r w:rsidR="00360DB8" w:rsidRPr="002E60EB">
        <w:rPr>
          <w:rFonts w:cs="Verdana"/>
          <w:lang w:val="en-US"/>
        </w:rPr>
        <w:t>Merits R</w:t>
      </w:r>
      <w:r w:rsidRPr="002E60EB">
        <w:rPr>
          <w:rFonts w:cs="Verdana"/>
          <w:lang w:val="en-US"/>
        </w:rPr>
        <w:t>eport.</w:t>
      </w:r>
      <w:r w:rsidR="00087093" w:rsidRPr="002E60EB">
        <w:rPr>
          <w:rFonts w:cs="Verdana"/>
          <w:lang w:val="en-US"/>
        </w:rPr>
        <w:t>”</w:t>
      </w:r>
      <w:r w:rsidRPr="002E60EB">
        <w:rPr>
          <w:b/>
          <w:lang w:val="en-US"/>
        </w:rPr>
        <w:t xml:space="preserve"> </w:t>
      </w:r>
      <w:r w:rsidRPr="002E60EB">
        <w:rPr>
          <w:lang w:val="en-US"/>
        </w:rPr>
        <w:t xml:space="preserve">According to the representative, </w:t>
      </w:r>
      <w:r w:rsidR="00260DED" w:rsidRPr="002E60EB">
        <w:rPr>
          <w:lang w:val="en-US"/>
        </w:rPr>
        <w:t>these are</w:t>
      </w:r>
      <w:r w:rsidRPr="002E60EB">
        <w:rPr>
          <w:lang w:val="en-US"/>
        </w:rPr>
        <w:t xml:space="preserve"> </w:t>
      </w:r>
      <w:r w:rsidR="00087093" w:rsidRPr="002E60EB">
        <w:rPr>
          <w:lang w:val="en-US"/>
        </w:rPr>
        <w:t>“</w:t>
      </w:r>
      <w:r w:rsidRPr="002E60EB">
        <w:rPr>
          <w:lang w:val="en-US"/>
        </w:rPr>
        <w:t>complementary elements</w:t>
      </w:r>
      <w:r w:rsidR="00087093" w:rsidRPr="002E60EB">
        <w:rPr>
          <w:lang w:val="en-US"/>
        </w:rPr>
        <w:t>”</w:t>
      </w:r>
      <w:r w:rsidRPr="002E60EB">
        <w:rPr>
          <w:lang w:val="en-US"/>
        </w:rPr>
        <w:t xml:space="preserve"> that seek to </w:t>
      </w:r>
      <w:r w:rsidR="00087093" w:rsidRPr="002E60EB">
        <w:rPr>
          <w:lang w:val="en-US"/>
        </w:rPr>
        <w:t>“</w:t>
      </w:r>
      <w:r w:rsidRPr="002E60EB">
        <w:rPr>
          <w:lang w:val="en-US"/>
        </w:rPr>
        <w:t>better characterize the violations and harm suffered by the victims.</w:t>
      </w:r>
      <w:r w:rsidR="00087093" w:rsidRPr="002E60EB">
        <w:rPr>
          <w:lang w:val="en-US"/>
        </w:rPr>
        <w:t>”</w:t>
      </w:r>
      <w:r w:rsidRPr="002E60EB">
        <w:rPr>
          <w:b/>
          <w:lang w:val="en-US"/>
        </w:rPr>
        <w:t xml:space="preserve"> </w:t>
      </w:r>
      <w:r w:rsidRPr="002E60EB">
        <w:rPr>
          <w:lang w:val="en-US"/>
        </w:rPr>
        <w:t xml:space="preserve">He affirmed that by calling the </w:t>
      </w:r>
      <w:r w:rsidR="00087093" w:rsidRPr="002E60EB">
        <w:rPr>
          <w:lang w:val="en-US"/>
        </w:rPr>
        <w:t>“</w:t>
      </w:r>
      <w:r w:rsidRPr="002E60EB">
        <w:rPr>
          <w:lang w:val="en-US"/>
        </w:rPr>
        <w:t>factual information</w:t>
      </w:r>
      <w:r w:rsidR="00087093" w:rsidRPr="002E60EB">
        <w:rPr>
          <w:lang w:val="en-US"/>
        </w:rPr>
        <w:t>”</w:t>
      </w:r>
      <w:r w:rsidRPr="002E60EB">
        <w:rPr>
          <w:lang w:val="en-US"/>
        </w:rPr>
        <w:t xml:space="preserve"> presented in the pleadings and arguments</w:t>
      </w:r>
      <w:r w:rsidR="00260DED" w:rsidRPr="002E60EB">
        <w:rPr>
          <w:lang w:val="en-US"/>
        </w:rPr>
        <w:t xml:space="preserve"> brief</w:t>
      </w:r>
      <w:r w:rsidRPr="002E60EB">
        <w:rPr>
          <w:lang w:val="en-US"/>
        </w:rPr>
        <w:t xml:space="preserve"> </w:t>
      </w:r>
      <w:r w:rsidR="00087093" w:rsidRPr="002E60EB">
        <w:rPr>
          <w:lang w:val="en-US"/>
        </w:rPr>
        <w:t>“</w:t>
      </w:r>
      <w:r w:rsidRPr="002E60EB">
        <w:rPr>
          <w:lang w:val="en-US"/>
        </w:rPr>
        <w:t>new facts,</w:t>
      </w:r>
      <w:r w:rsidR="00087093" w:rsidRPr="002E60EB">
        <w:rPr>
          <w:lang w:val="en-US"/>
        </w:rPr>
        <w:t>”</w:t>
      </w:r>
      <w:r w:rsidRPr="002E60EB">
        <w:rPr>
          <w:lang w:val="en-US"/>
        </w:rPr>
        <w:t xml:space="preserve"> the State was </w:t>
      </w:r>
      <w:r w:rsidR="00360DB8" w:rsidRPr="002E60EB">
        <w:rPr>
          <w:lang w:val="en-US"/>
        </w:rPr>
        <w:t>disregarding</w:t>
      </w:r>
      <w:r w:rsidRPr="002E60EB">
        <w:rPr>
          <w:lang w:val="en-US"/>
        </w:rPr>
        <w:t xml:space="preserve"> </w:t>
      </w:r>
      <w:r w:rsidR="00260DED" w:rsidRPr="002E60EB">
        <w:rPr>
          <w:lang w:val="en-US"/>
        </w:rPr>
        <w:t xml:space="preserve">explicit </w:t>
      </w:r>
      <w:r w:rsidRPr="002E60EB">
        <w:rPr>
          <w:lang w:val="en-US"/>
        </w:rPr>
        <w:t xml:space="preserve">references made by the Commission in its </w:t>
      </w:r>
      <w:r w:rsidR="00260DED" w:rsidRPr="002E60EB">
        <w:rPr>
          <w:lang w:val="en-US"/>
        </w:rPr>
        <w:t>r</w:t>
      </w:r>
      <w:r w:rsidRPr="002E60EB">
        <w:rPr>
          <w:lang w:val="en-US"/>
        </w:rPr>
        <w:t xml:space="preserve">eport </w:t>
      </w:r>
      <w:r w:rsidR="00087093" w:rsidRPr="002E60EB">
        <w:rPr>
          <w:lang w:val="en-US"/>
        </w:rPr>
        <w:t>“</w:t>
      </w:r>
      <w:r w:rsidRPr="002E60EB">
        <w:rPr>
          <w:lang w:val="en-US"/>
        </w:rPr>
        <w:t xml:space="preserve">to contextual or complementary information that </w:t>
      </w:r>
      <w:r w:rsidR="00260DED" w:rsidRPr="002E60EB">
        <w:rPr>
          <w:lang w:val="en-US"/>
        </w:rPr>
        <w:t>[</w:t>
      </w:r>
      <w:r w:rsidRPr="002E60EB">
        <w:rPr>
          <w:lang w:val="en-US"/>
        </w:rPr>
        <w:t xml:space="preserve">was] essential to </w:t>
      </w:r>
      <w:r w:rsidR="00260DED" w:rsidRPr="002E60EB">
        <w:rPr>
          <w:lang w:val="en-US"/>
        </w:rPr>
        <w:t>substantiate</w:t>
      </w:r>
      <w:r w:rsidRPr="002E60EB">
        <w:rPr>
          <w:lang w:val="en-US"/>
        </w:rPr>
        <w:t xml:space="preserve"> </w:t>
      </w:r>
      <w:r w:rsidR="00260DED" w:rsidRPr="002E60EB">
        <w:rPr>
          <w:lang w:val="en-US"/>
        </w:rPr>
        <w:t xml:space="preserve">some of the </w:t>
      </w:r>
      <w:r w:rsidRPr="002E60EB">
        <w:rPr>
          <w:lang w:val="en-US"/>
        </w:rPr>
        <w:t>material facts prove</w:t>
      </w:r>
      <w:r w:rsidR="00260DED" w:rsidRPr="002E60EB">
        <w:rPr>
          <w:lang w:val="en-US"/>
        </w:rPr>
        <w:t>d</w:t>
      </w:r>
      <w:r w:rsidRPr="002E60EB">
        <w:rPr>
          <w:lang w:val="en-US"/>
        </w:rPr>
        <w:t>.</w:t>
      </w:r>
      <w:r w:rsidR="00087093" w:rsidRPr="002E60EB">
        <w:rPr>
          <w:lang w:val="en-US"/>
        </w:rPr>
        <w:t>”</w:t>
      </w:r>
      <w:r w:rsidRPr="002E60EB">
        <w:rPr>
          <w:lang w:val="en-US"/>
        </w:rPr>
        <w:t xml:space="preserve"> For instance, the representative pointed out the need to provide information </w:t>
      </w:r>
      <w:r w:rsidR="00A65A54" w:rsidRPr="002E60EB">
        <w:rPr>
          <w:lang w:val="en-US"/>
        </w:rPr>
        <w:t>on</w:t>
      </w:r>
      <w:r w:rsidRPr="002E60EB">
        <w:rPr>
          <w:lang w:val="en-US"/>
        </w:rPr>
        <w:t xml:space="preserve"> the </w:t>
      </w:r>
      <w:r w:rsidR="00A65A54" w:rsidRPr="002E60EB">
        <w:rPr>
          <w:lang w:val="en-US"/>
        </w:rPr>
        <w:t>harm to the lives of the Vélez Román family as a result of</w:t>
      </w:r>
      <w:r w:rsidRPr="002E60EB">
        <w:rPr>
          <w:lang w:val="en-US"/>
        </w:rPr>
        <w:t xml:space="preserve"> the threats and harassment </w:t>
      </w:r>
      <w:r w:rsidR="00360DB8" w:rsidRPr="002E60EB">
        <w:rPr>
          <w:lang w:val="en-US"/>
        </w:rPr>
        <w:t>so as</w:t>
      </w:r>
      <w:r w:rsidRPr="002E60EB">
        <w:rPr>
          <w:lang w:val="en-US"/>
        </w:rPr>
        <w:t xml:space="preserve"> to be able to </w:t>
      </w:r>
      <w:r w:rsidR="00087093" w:rsidRPr="002E60EB">
        <w:rPr>
          <w:lang w:val="en-US"/>
        </w:rPr>
        <w:t>“</w:t>
      </w:r>
      <w:r w:rsidRPr="002E60EB">
        <w:rPr>
          <w:lang w:val="en-US"/>
        </w:rPr>
        <w:t>understand […</w:t>
      </w:r>
      <w:r w:rsidR="00A65A54" w:rsidRPr="002E60EB">
        <w:rPr>
          <w:lang w:val="en-US"/>
        </w:rPr>
        <w:t xml:space="preserve"> and</w:t>
      </w:r>
      <w:r w:rsidRPr="002E60EB">
        <w:rPr>
          <w:lang w:val="en-US"/>
        </w:rPr>
        <w:t>] evaluate […]</w:t>
      </w:r>
      <w:r w:rsidR="00A65A54" w:rsidRPr="002E60EB">
        <w:rPr>
          <w:lang w:val="en-US"/>
        </w:rPr>
        <w:t xml:space="preserve"> properly</w:t>
      </w:r>
      <w:r w:rsidR="00087093" w:rsidRPr="002E60EB">
        <w:rPr>
          <w:lang w:val="en-US"/>
        </w:rPr>
        <w:t>”</w:t>
      </w:r>
      <w:r w:rsidRPr="002E60EB">
        <w:rPr>
          <w:lang w:val="en-US"/>
        </w:rPr>
        <w:t xml:space="preserve"> th</w:t>
      </w:r>
      <w:r w:rsidR="00A65A54" w:rsidRPr="002E60EB">
        <w:rPr>
          <w:lang w:val="en-US"/>
        </w:rPr>
        <w:t>is</w:t>
      </w:r>
      <w:r w:rsidRPr="002E60EB">
        <w:rPr>
          <w:lang w:val="en-US"/>
        </w:rPr>
        <w:t xml:space="preserve"> fact established by the Commission.</w:t>
      </w:r>
      <w:r w:rsidRPr="002E60EB">
        <w:rPr>
          <w:b/>
          <w:lang w:val="en-US"/>
        </w:rPr>
        <w:t xml:space="preserve"> </w:t>
      </w:r>
      <w:r w:rsidR="000F3982" w:rsidRPr="002E60EB">
        <w:rPr>
          <w:lang w:val="en-US"/>
        </w:rPr>
        <w:t>In addition</w:t>
      </w:r>
      <w:r w:rsidRPr="002E60EB">
        <w:rPr>
          <w:lang w:val="en-US"/>
        </w:rPr>
        <w:t>, the representative mentioned that</w:t>
      </w:r>
      <w:r w:rsidR="00360DB8" w:rsidRPr="002E60EB">
        <w:rPr>
          <w:lang w:val="en-US"/>
        </w:rPr>
        <w:t>,</w:t>
      </w:r>
      <w:r w:rsidRPr="002E60EB">
        <w:rPr>
          <w:lang w:val="en-US"/>
        </w:rPr>
        <w:t xml:space="preserve"> in its </w:t>
      </w:r>
      <w:r w:rsidR="00360DB8" w:rsidRPr="002E60EB">
        <w:rPr>
          <w:lang w:val="en-US"/>
        </w:rPr>
        <w:t>Merits R</w:t>
      </w:r>
      <w:r w:rsidR="00A65A54" w:rsidRPr="002E60EB">
        <w:rPr>
          <w:lang w:val="en-US"/>
        </w:rPr>
        <w:t xml:space="preserve">eport, </w:t>
      </w:r>
      <w:r w:rsidRPr="002E60EB">
        <w:rPr>
          <w:lang w:val="en-US"/>
        </w:rPr>
        <w:t xml:space="preserve">the Commission </w:t>
      </w:r>
      <w:r w:rsidR="00087093" w:rsidRPr="002E60EB">
        <w:rPr>
          <w:lang w:val="en-US"/>
        </w:rPr>
        <w:t>“</w:t>
      </w:r>
      <w:r w:rsidRPr="002E60EB">
        <w:rPr>
          <w:lang w:val="en-US"/>
        </w:rPr>
        <w:t xml:space="preserve">referred to facts </w:t>
      </w:r>
      <w:r w:rsidR="00A65A54" w:rsidRPr="002E60EB">
        <w:rPr>
          <w:lang w:val="en-US"/>
        </w:rPr>
        <w:t xml:space="preserve">relating to </w:t>
      </w:r>
      <w:r w:rsidRPr="002E60EB">
        <w:rPr>
          <w:lang w:val="en-US"/>
        </w:rPr>
        <w:t xml:space="preserve">the general situation in Colombia of repression </w:t>
      </w:r>
      <w:r w:rsidR="00A65A54" w:rsidRPr="002E60EB">
        <w:rPr>
          <w:lang w:val="en-US"/>
        </w:rPr>
        <w:t xml:space="preserve">exercised </w:t>
      </w:r>
      <w:r w:rsidRPr="002E60EB">
        <w:rPr>
          <w:lang w:val="en-US"/>
        </w:rPr>
        <w:t xml:space="preserve">by the armed forces against those who denounced them during the years </w:t>
      </w:r>
      <w:r w:rsidR="00A65A54" w:rsidRPr="002E60EB">
        <w:rPr>
          <w:lang w:val="en-US"/>
        </w:rPr>
        <w:t xml:space="preserve">in which </w:t>
      </w:r>
      <w:r w:rsidRPr="002E60EB">
        <w:rPr>
          <w:lang w:val="en-US"/>
        </w:rPr>
        <w:t xml:space="preserve">the Vélez Román family was threatened and harassed by </w:t>
      </w:r>
      <w:r w:rsidR="00A65A54" w:rsidRPr="002E60EB">
        <w:rPr>
          <w:lang w:val="en-US"/>
        </w:rPr>
        <w:t xml:space="preserve">State </w:t>
      </w:r>
      <w:r w:rsidRPr="002E60EB">
        <w:rPr>
          <w:lang w:val="en-US"/>
        </w:rPr>
        <w:t>agents,</w:t>
      </w:r>
      <w:r w:rsidR="00087093" w:rsidRPr="002E60EB">
        <w:rPr>
          <w:lang w:val="en-US"/>
        </w:rPr>
        <w:t>”</w:t>
      </w:r>
      <w:r w:rsidRPr="002E60EB">
        <w:rPr>
          <w:lang w:val="en-US"/>
        </w:rPr>
        <w:t xml:space="preserve"> which is why</w:t>
      </w:r>
      <w:r w:rsidR="00360DB8" w:rsidRPr="002E60EB">
        <w:rPr>
          <w:lang w:val="en-US"/>
        </w:rPr>
        <w:t>,</w:t>
      </w:r>
      <w:r w:rsidRPr="002E60EB">
        <w:rPr>
          <w:lang w:val="en-US"/>
        </w:rPr>
        <w:t xml:space="preserve"> in his pleadings and arguments</w:t>
      </w:r>
      <w:r w:rsidR="00A65A54" w:rsidRPr="002E60EB">
        <w:rPr>
          <w:lang w:val="en-US"/>
        </w:rPr>
        <w:t xml:space="preserve"> brief</w:t>
      </w:r>
      <w:r w:rsidR="00360DB8" w:rsidRPr="002E60EB">
        <w:rPr>
          <w:lang w:val="en-US"/>
        </w:rPr>
        <w:t>,</w:t>
      </w:r>
      <w:r w:rsidRPr="002E60EB">
        <w:rPr>
          <w:lang w:val="en-US"/>
        </w:rPr>
        <w:t xml:space="preserve"> he </w:t>
      </w:r>
      <w:r w:rsidR="00A65A54" w:rsidRPr="002E60EB">
        <w:rPr>
          <w:lang w:val="en-US"/>
        </w:rPr>
        <w:t xml:space="preserve">had </w:t>
      </w:r>
      <w:r w:rsidR="00087093" w:rsidRPr="002E60EB">
        <w:rPr>
          <w:lang w:val="en-US"/>
        </w:rPr>
        <w:t>“</w:t>
      </w:r>
      <w:r w:rsidRPr="002E60EB">
        <w:rPr>
          <w:lang w:val="en-US"/>
        </w:rPr>
        <w:t xml:space="preserve">present[ed] the </w:t>
      </w:r>
      <w:r w:rsidR="00A65A54" w:rsidRPr="002E60EB">
        <w:rPr>
          <w:lang w:val="en-US"/>
        </w:rPr>
        <w:t xml:space="preserve">contextual </w:t>
      </w:r>
      <w:r w:rsidRPr="002E60EB">
        <w:rPr>
          <w:lang w:val="en-US"/>
        </w:rPr>
        <w:t xml:space="preserve">information </w:t>
      </w:r>
      <w:r w:rsidR="00A65A54" w:rsidRPr="002E60EB">
        <w:rPr>
          <w:lang w:val="en-US"/>
        </w:rPr>
        <w:t xml:space="preserve">on </w:t>
      </w:r>
      <w:r w:rsidRPr="002E60EB">
        <w:rPr>
          <w:lang w:val="en-US"/>
        </w:rPr>
        <w:t xml:space="preserve">the </w:t>
      </w:r>
      <w:r w:rsidR="00A65A54" w:rsidRPr="002E60EB">
        <w:rPr>
          <w:lang w:val="en-US"/>
        </w:rPr>
        <w:t xml:space="preserve">impunity that </w:t>
      </w:r>
      <w:r w:rsidRPr="002E60EB">
        <w:rPr>
          <w:lang w:val="en-US"/>
        </w:rPr>
        <w:t>reign</w:t>
      </w:r>
      <w:r w:rsidR="00A65A54" w:rsidRPr="002E60EB">
        <w:rPr>
          <w:lang w:val="en-US"/>
        </w:rPr>
        <w:t>ed</w:t>
      </w:r>
      <w:r w:rsidRPr="002E60EB">
        <w:rPr>
          <w:lang w:val="en-US"/>
        </w:rPr>
        <w:t xml:space="preserve"> in Colombia and the persecution of journalists and other </w:t>
      </w:r>
      <w:r w:rsidR="00A65A54" w:rsidRPr="002E60EB">
        <w:rPr>
          <w:lang w:val="en-US"/>
        </w:rPr>
        <w:t xml:space="preserve">individuals </w:t>
      </w:r>
      <w:r w:rsidRPr="002E60EB">
        <w:rPr>
          <w:lang w:val="en-US"/>
        </w:rPr>
        <w:t xml:space="preserve">who </w:t>
      </w:r>
      <w:r w:rsidR="00A65A54" w:rsidRPr="002E60EB">
        <w:rPr>
          <w:lang w:val="en-US"/>
        </w:rPr>
        <w:t>combatted</w:t>
      </w:r>
      <w:r w:rsidR="00360DB8" w:rsidRPr="002E60EB">
        <w:rPr>
          <w:lang w:val="en-US"/>
        </w:rPr>
        <w:t xml:space="preserve"> this</w:t>
      </w:r>
      <w:r w:rsidRPr="002E60EB">
        <w:rPr>
          <w:lang w:val="en-US"/>
        </w:rPr>
        <w:t>.</w:t>
      </w:r>
      <w:r w:rsidR="00087093" w:rsidRPr="002E60EB">
        <w:rPr>
          <w:lang w:val="en-US"/>
        </w:rPr>
        <w:t>”</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The Commission did not </w:t>
      </w:r>
      <w:bookmarkStart w:id="5" w:name="_Ref305178192"/>
      <w:r w:rsidR="00A65A54" w:rsidRPr="002E60EB">
        <w:rPr>
          <w:lang w:val="en-US"/>
        </w:rPr>
        <w:t xml:space="preserve">forward </w:t>
      </w:r>
      <w:r w:rsidRPr="002E60EB">
        <w:rPr>
          <w:lang w:val="en-US"/>
        </w:rPr>
        <w:t>observations in this regard.</w:t>
      </w:r>
    </w:p>
    <w:p w:rsidR="00E15BBF" w:rsidRPr="002E60EB" w:rsidRDefault="00E15BBF" w:rsidP="00317748">
      <w:pPr>
        <w:tabs>
          <w:tab w:val="left" w:pos="720"/>
        </w:tabs>
        <w:jc w:val="both"/>
        <w:rPr>
          <w:lang w:val="en-US"/>
        </w:rPr>
      </w:pPr>
    </w:p>
    <w:p w:rsidR="00E15BBF" w:rsidRPr="002E60EB" w:rsidRDefault="00E15BBF" w:rsidP="00317748">
      <w:pPr>
        <w:pStyle w:val="MediumGrid1-Accent21"/>
        <w:ind w:left="0" w:firstLine="720"/>
        <w:rPr>
          <w:i/>
          <w:lang w:val="en-US"/>
        </w:rPr>
      </w:pPr>
      <w:r w:rsidRPr="002E60EB">
        <w:rPr>
          <w:i/>
          <w:lang w:val="en-US"/>
        </w:rPr>
        <w:t>Considerations of the Court</w:t>
      </w:r>
    </w:p>
    <w:p w:rsidR="00E15BBF" w:rsidRPr="002E60EB" w:rsidRDefault="00E15BBF" w:rsidP="00317748">
      <w:pPr>
        <w:pStyle w:val="MediumGrid1-Accent21"/>
        <w:ind w:left="0"/>
        <w:rPr>
          <w:lang w:val="en-US"/>
        </w:rPr>
      </w:pPr>
    </w:p>
    <w:bookmarkEnd w:id="5"/>
    <w:p w:rsidR="00E15BBF" w:rsidRPr="002E60EB" w:rsidRDefault="00A65A54" w:rsidP="00317748">
      <w:pPr>
        <w:numPr>
          <w:ilvl w:val="0"/>
          <w:numId w:val="1"/>
        </w:numPr>
        <w:tabs>
          <w:tab w:val="left" w:pos="720"/>
        </w:tabs>
        <w:jc w:val="both"/>
        <w:rPr>
          <w:rFonts w:cs="Verdana"/>
          <w:lang w:val="en-US"/>
        </w:rPr>
      </w:pPr>
      <w:r w:rsidRPr="002E60EB">
        <w:rPr>
          <w:lang w:val="en-US"/>
        </w:rPr>
        <w:t>In order t</w:t>
      </w:r>
      <w:r w:rsidR="00E15BBF" w:rsidRPr="002E60EB">
        <w:rPr>
          <w:lang w:val="en-US"/>
        </w:rPr>
        <w:t>o resolve this</w:t>
      </w:r>
      <w:r w:rsidRPr="002E60EB">
        <w:rPr>
          <w:lang w:val="en-US"/>
        </w:rPr>
        <w:t xml:space="preserve"> aspect</w:t>
      </w:r>
      <w:r w:rsidR="00E15BBF" w:rsidRPr="002E60EB">
        <w:rPr>
          <w:lang w:val="en-US"/>
        </w:rPr>
        <w:t>, the Court will refer to its</w:t>
      </w:r>
      <w:r w:rsidRPr="002E60EB">
        <w:rPr>
          <w:lang w:val="en-US"/>
        </w:rPr>
        <w:t xml:space="preserve"> consistent</w:t>
      </w:r>
      <w:r w:rsidR="00E15BBF" w:rsidRPr="002E60EB">
        <w:rPr>
          <w:lang w:val="en-US"/>
        </w:rPr>
        <w:t xml:space="preserve"> </w:t>
      </w:r>
      <w:r w:rsidRPr="002E60EB">
        <w:rPr>
          <w:lang w:val="en-US"/>
        </w:rPr>
        <w:t>case law.</w:t>
      </w:r>
      <w:r w:rsidR="00E15BBF" w:rsidRPr="002E60EB">
        <w:rPr>
          <w:lang w:val="en-US"/>
        </w:rPr>
        <w:t xml:space="preserve"> This </w:t>
      </w:r>
      <w:r w:rsidR="00D00C5F" w:rsidRPr="002E60EB">
        <w:rPr>
          <w:lang w:val="en-US"/>
        </w:rPr>
        <w:t>Court</w:t>
      </w:r>
      <w:r w:rsidR="00E15BBF" w:rsidRPr="002E60EB">
        <w:rPr>
          <w:lang w:val="en-US"/>
        </w:rPr>
        <w:t xml:space="preserve"> has established that the factual framework of </w:t>
      </w:r>
      <w:r w:rsidR="00360DB8" w:rsidRPr="002E60EB">
        <w:rPr>
          <w:lang w:val="en-US"/>
        </w:rPr>
        <w:t xml:space="preserve">the </w:t>
      </w:r>
      <w:r w:rsidR="00E15BBF" w:rsidRPr="002E60EB">
        <w:rPr>
          <w:lang w:val="en-US"/>
        </w:rPr>
        <w:t xml:space="preserve">proceedings before the Court is constituted </w:t>
      </w:r>
      <w:r w:rsidRPr="002E60EB">
        <w:rPr>
          <w:lang w:val="en-US"/>
        </w:rPr>
        <w:t>by</w:t>
      </w:r>
      <w:r w:rsidR="00E15BBF" w:rsidRPr="002E60EB">
        <w:rPr>
          <w:lang w:val="en-US"/>
        </w:rPr>
        <w:t xml:space="preserve"> the facts </w:t>
      </w:r>
      <w:r w:rsidRPr="002E60EB">
        <w:rPr>
          <w:lang w:val="en-US"/>
        </w:rPr>
        <w:t>described</w:t>
      </w:r>
      <w:r w:rsidR="00E15BBF" w:rsidRPr="002E60EB">
        <w:rPr>
          <w:lang w:val="en-US"/>
        </w:rPr>
        <w:t xml:space="preserve"> in the </w:t>
      </w:r>
      <w:r w:rsidR="00360DB8" w:rsidRPr="002E60EB">
        <w:rPr>
          <w:lang w:val="en-US"/>
        </w:rPr>
        <w:t>Merits R</w:t>
      </w:r>
      <w:r w:rsidRPr="002E60EB">
        <w:rPr>
          <w:lang w:val="en-US"/>
        </w:rPr>
        <w:t>eport</w:t>
      </w:r>
      <w:r w:rsidR="00E15BBF" w:rsidRPr="002E60EB">
        <w:rPr>
          <w:lang w:val="en-US"/>
        </w:rPr>
        <w:t xml:space="preserve"> </w:t>
      </w:r>
      <w:r w:rsidRPr="002E60EB">
        <w:rPr>
          <w:lang w:val="en-US"/>
        </w:rPr>
        <w:t>submitted to the Court’s consideration</w:t>
      </w:r>
      <w:r w:rsidR="00360DB8" w:rsidRPr="002E60EB">
        <w:rPr>
          <w:lang w:val="en-US"/>
        </w:rPr>
        <w:t>.</w:t>
      </w:r>
      <w:r w:rsidR="0058103A" w:rsidRPr="002E60EB">
        <w:rPr>
          <w:rStyle w:val="Refdenotaalpie"/>
          <w:rFonts w:eastAsia="Calibri" w:cs="Verdana"/>
          <w:lang w:val="en-US"/>
        </w:rPr>
        <w:footnoteReference w:id="33"/>
      </w:r>
      <w:r w:rsidR="0058103A" w:rsidRPr="002E60EB">
        <w:rPr>
          <w:lang w:val="en-US"/>
        </w:rPr>
        <w:t xml:space="preserve"> </w:t>
      </w:r>
      <w:r w:rsidR="00E15BBF" w:rsidRPr="002E60EB">
        <w:rPr>
          <w:rFonts w:eastAsia="Calibri" w:cs="Verdana"/>
          <w:lang w:val="en-US"/>
        </w:rPr>
        <w:t xml:space="preserve">Thus, it is </w:t>
      </w:r>
      <w:r w:rsidRPr="002E60EB">
        <w:rPr>
          <w:rFonts w:eastAsia="Calibri" w:cs="Verdana"/>
          <w:lang w:val="en-US"/>
        </w:rPr>
        <w:t xml:space="preserve">inadmissible </w:t>
      </w:r>
      <w:r w:rsidR="00E15BBF" w:rsidRPr="002E60EB">
        <w:rPr>
          <w:rFonts w:eastAsia="Calibri" w:cs="Verdana"/>
          <w:lang w:val="en-US"/>
        </w:rPr>
        <w:t xml:space="preserve">for the parties </w:t>
      </w:r>
      <w:r w:rsidR="00E15BBF" w:rsidRPr="002E60EB">
        <w:rPr>
          <w:lang w:val="en-US"/>
        </w:rPr>
        <w:t xml:space="preserve">to allege new facts, distinct from those presented in the </w:t>
      </w:r>
      <w:r w:rsidR="0058103A" w:rsidRPr="002E60EB">
        <w:rPr>
          <w:lang w:val="en-US"/>
        </w:rPr>
        <w:t>said r</w:t>
      </w:r>
      <w:r w:rsidR="00E15BBF" w:rsidRPr="002E60EB">
        <w:rPr>
          <w:lang w:val="en-US"/>
        </w:rPr>
        <w:t xml:space="preserve">eport, without </w:t>
      </w:r>
      <w:r w:rsidR="0058103A" w:rsidRPr="002E60EB">
        <w:rPr>
          <w:lang w:val="en-US"/>
        </w:rPr>
        <w:t xml:space="preserve">prejudice </w:t>
      </w:r>
      <w:r w:rsidR="00E15BBF" w:rsidRPr="002E60EB">
        <w:rPr>
          <w:lang w:val="en-US"/>
        </w:rPr>
        <w:t xml:space="preserve">to </w:t>
      </w:r>
      <w:r w:rsidR="0058103A" w:rsidRPr="002E60EB">
        <w:rPr>
          <w:lang w:val="en-US"/>
        </w:rPr>
        <w:t>describing</w:t>
      </w:r>
      <w:r w:rsidR="00E15BBF" w:rsidRPr="002E60EB">
        <w:rPr>
          <w:lang w:val="en-US"/>
        </w:rPr>
        <w:t xml:space="preserve"> those that may explain, clarify or reject the facts that have been mentioned in the </w:t>
      </w:r>
      <w:r w:rsidR="0058103A" w:rsidRPr="002E60EB">
        <w:rPr>
          <w:lang w:val="en-US"/>
        </w:rPr>
        <w:t>r</w:t>
      </w:r>
      <w:r w:rsidR="00E15BBF" w:rsidRPr="002E60EB">
        <w:rPr>
          <w:lang w:val="en-US"/>
        </w:rPr>
        <w:t xml:space="preserve">eport and submitted to the </w:t>
      </w:r>
      <w:r w:rsidR="0058103A" w:rsidRPr="002E60EB">
        <w:rPr>
          <w:lang w:val="en-US"/>
        </w:rPr>
        <w:t xml:space="preserve">consideration of the </w:t>
      </w:r>
      <w:r w:rsidR="00E15BBF" w:rsidRPr="002E60EB">
        <w:rPr>
          <w:lang w:val="en-US"/>
        </w:rPr>
        <w:t>Court.</w:t>
      </w:r>
      <w:r w:rsidR="0058103A" w:rsidRPr="002E60EB">
        <w:rPr>
          <w:rStyle w:val="Refdenotaalpie"/>
          <w:rFonts w:cs="Verdana"/>
          <w:lang w:val="en-US"/>
        </w:rPr>
        <w:footnoteReference w:id="34"/>
      </w:r>
      <w:r w:rsidR="00E15BBF" w:rsidRPr="002E60EB">
        <w:rPr>
          <w:lang w:val="en-US"/>
        </w:rPr>
        <w:t xml:space="preserve"> </w:t>
      </w:r>
      <w:r w:rsidR="00360DB8" w:rsidRPr="002E60EB">
        <w:rPr>
          <w:rFonts w:cs="Verdana"/>
          <w:lang w:val="en-US"/>
        </w:rPr>
        <w:t>The exception</w:t>
      </w:r>
      <w:r w:rsidR="00334C3C" w:rsidRPr="002E60EB">
        <w:rPr>
          <w:rFonts w:cs="Verdana"/>
          <w:lang w:val="en-US"/>
        </w:rPr>
        <w:t>s</w:t>
      </w:r>
      <w:r w:rsidR="00E15BBF" w:rsidRPr="002E60EB">
        <w:rPr>
          <w:rFonts w:cs="Verdana"/>
          <w:lang w:val="en-US"/>
        </w:rPr>
        <w:t xml:space="preserve"> to this principle are facts that </w:t>
      </w:r>
      <w:r w:rsidR="00AE5BA1" w:rsidRPr="002E60EB">
        <w:rPr>
          <w:rFonts w:cs="Verdana"/>
          <w:lang w:val="en-US"/>
        </w:rPr>
        <w:t>are c</w:t>
      </w:r>
      <w:r w:rsidR="00360DB8" w:rsidRPr="002E60EB">
        <w:rPr>
          <w:rFonts w:cs="Verdana"/>
          <w:lang w:val="en-US"/>
        </w:rPr>
        <w:t>on</w:t>
      </w:r>
      <w:r w:rsidR="00AE5BA1" w:rsidRPr="002E60EB">
        <w:rPr>
          <w:rFonts w:cs="Verdana"/>
          <w:lang w:val="en-US"/>
        </w:rPr>
        <w:t>sidered</w:t>
      </w:r>
      <w:r w:rsidR="00E15BBF" w:rsidRPr="002E60EB">
        <w:rPr>
          <w:rFonts w:cs="Verdana"/>
          <w:lang w:val="en-US"/>
        </w:rPr>
        <w:t xml:space="preserve"> supervening, provided they are </w:t>
      </w:r>
      <w:r w:rsidR="00AE5BA1" w:rsidRPr="002E60EB">
        <w:rPr>
          <w:rFonts w:cs="Verdana"/>
          <w:lang w:val="en-US"/>
        </w:rPr>
        <w:t xml:space="preserve">related </w:t>
      </w:r>
      <w:r w:rsidR="00E15BBF" w:rsidRPr="002E60EB">
        <w:rPr>
          <w:rFonts w:cs="Verdana"/>
          <w:lang w:val="en-US"/>
        </w:rPr>
        <w:t xml:space="preserve">to the facts of the </w:t>
      </w:r>
      <w:r w:rsidR="00AE5BA1" w:rsidRPr="002E60EB">
        <w:rPr>
          <w:rFonts w:cs="Verdana"/>
          <w:lang w:val="en-US"/>
        </w:rPr>
        <w:t>proceedings</w:t>
      </w:r>
      <w:r w:rsidR="00E15BBF" w:rsidRPr="002E60EB">
        <w:rPr>
          <w:rFonts w:cs="Verdana"/>
          <w:lang w:val="en-US"/>
        </w:rPr>
        <w:t xml:space="preserve">. </w:t>
      </w:r>
      <w:r w:rsidR="00AE5BA1" w:rsidRPr="002E60EB">
        <w:rPr>
          <w:rFonts w:cs="Verdana"/>
          <w:lang w:val="en-US"/>
        </w:rPr>
        <w:t>In addition</w:t>
      </w:r>
      <w:r w:rsidR="00E15BBF" w:rsidRPr="002E60EB">
        <w:rPr>
          <w:rFonts w:cs="Verdana"/>
          <w:lang w:val="en-US"/>
        </w:rPr>
        <w:t xml:space="preserve">, the </w:t>
      </w:r>
      <w:r w:rsidR="001466BD" w:rsidRPr="002E60EB">
        <w:rPr>
          <w:rFonts w:cs="Verdana"/>
          <w:lang w:val="en-US"/>
        </w:rPr>
        <w:t>presumed victim</w:t>
      </w:r>
      <w:r w:rsidR="00E15BBF" w:rsidRPr="002E60EB">
        <w:rPr>
          <w:rFonts w:cs="Verdana"/>
          <w:lang w:val="en-US"/>
        </w:rPr>
        <w:t xml:space="preserve">s and their representatives </w:t>
      </w:r>
      <w:r w:rsidR="00E15BBF" w:rsidRPr="002E60EB">
        <w:rPr>
          <w:lang w:val="en-US"/>
        </w:rPr>
        <w:t xml:space="preserve">may invoke the violation of rights </w:t>
      </w:r>
      <w:r w:rsidR="00AE5BA1" w:rsidRPr="002E60EB">
        <w:rPr>
          <w:lang w:val="en-US"/>
        </w:rPr>
        <w:t xml:space="preserve">other </w:t>
      </w:r>
      <w:r w:rsidR="00E15BBF" w:rsidRPr="002E60EB">
        <w:rPr>
          <w:lang w:val="en-US"/>
        </w:rPr>
        <w:t xml:space="preserve">than those included in the </w:t>
      </w:r>
      <w:r w:rsidR="00360DB8" w:rsidRPr="002E60EB">
        <w:rPr>
          <w:lang w:val="en-US"/>
        </w:rPr>
        <w:t>Merits R</w:t>
      </w:r>
      <w:r w:rsidR="00AE5BA1" w:rsidRPr="002E60EB">
        <w:rPr>
          <w:lang w:val="en-US"/>
        </w:rPr>
        <w:t xml:space="preserve">eport, provided that </w:t>
      </w:r>
      <w:r w:rsidR="00E15BBF" w:rsidRPr="002E60EB">
        <w:rPr>
          <w:lang w:val="en-US"/>
        </w:rPr>
        <w:t>they re</w:t>
      </w:r>
      <w:r w:rsidR="00AE5BA1" w:rsidRPr="002E60EB">
        <w:rPr>
          <w:lang w:val="en-US"/>
        </w:rPr>
        <w:t>late</w:t>
      </w:r>
      <w:r w:rsidR="00E15BBF" w:rsidRPr="002E60EB">
        <w:rPr>
          <w:lang w:val="en-US"/>
        </w:rPr>
        <w:t xml:space="preserve"> to facts already contained in </w:t>
      </w:r>
      <w:r w:rsidR="00AE5BA1" w:rsidRPr="002E60EB">
        <w:rPr>
          <w:lang w:val="en-US"/>
        </w:rPr>
        <w:t xml:space="preserve">the </w:t>
      </w:r>
      <w:r w:rsidR="00E15BBF" w:rsidRPr="002E60EB">
        <w:rPr>
          <w:lang w:val="en-US"/>
        </w:rPr>
        <w:t xml:space="preserve">said document, </w:t>
      </w:r>
      <w:r w:rsidR="00AE5BA1" w:rsidRPr="002E60EB">
        <w:rPr>
          <w:lang w:val="en-US"/>
        </w:rPr>
        <w:t xml:space="preserve">because </w:t>
      </w:r>
      <w:r w:rsidR="00E15BBF" w:rsidRPr="002E60EB">
        <w:rPr>
          <w:lang w:val="en-US"/>
        </w:rPr>
        <w:t xml:space="preserve">the </w:t>
      </w:r>
      <w:r w:rsidR="001466BD" w:rsidRPr="002E60EB">
        <w:rPr>
          <w:lang w:val="en-US"/>
        </w:rPr>
        <w:t>presumed victim</w:t>
      </w:r>
      <w:r w:rsidR="00E15BBF" w:rsidRPr="002E60EB">
        <w:rPr>
          <w:lang w:val="en-US"/>
        </w:rPr>
        <w:t xml:space="preserve">s are the holders of all the rights </w:t>
      </w:r>
      <w:r w:rsidR="00360DB8" w:rsidRPr="002E60EB">
        <w:rPr>
          <w:lang w:val="en-US"/>
        </w:rPr>
        <w:t>recognized</w:t>
      </w:r>
      <w:r w:rsidR="00E15BBF" w:rsidRPr="002E60EB">
        <w:rPr>
          <w:lang w:val="en-US"/>
        </w:rPr>
        <w:t xml:space="preserve"> in the American Convention.</w:t>
      </w:r>
      <w:r w:rsidR="00E15BBF" w:rsidRPr="002E60EB">
        <w:rPr>
          <w:rStyle w:val="Refdenotaalpie"/>
          <w:rFonts w:cs="Verdana"/>
          <w:lang w:val="en-US"/>
        </w:rPr>
        <w:footnoteReference w:id="35"/>
      </w:r>
      <w:r w:rsidR="00E15BBF" w:rsidRPr="002E60EB">
        <w:rPr>
          <w:lang w:val="en-US"/>
        </w:rPr>
        <w:t xml:space="preserve"> Ultimately, in each case, </w:t>
      </w:r>
      <w:r w:rsidR="00AE5BA1" w:rsidRPr="002E60EB">
        <w:rPr>
          <w:lang w:val="en-US"/>
        </w:rPr>
        <w:t xml:space="preserve">it is </w:t>
      </w:r>
      <w:r w:rsidR="00E15BBF" w:rsidRPr="002E60EB">
        <w:rPr>
          <w:lang w:val="en-US"/>
        </w:rPr>
        <w:t xml:space="preserve">the Court </w:t>
      </w:r>
      <w:r w:rsidR="00AE5BA1" w:rsidRPr="002E60EB">
        <w:rPr>
          <w:lang w:val="en-US"/>
        </w:rPr>
        <w:t xml:space="preserve">that </w:t>
      </w:r>
      <w:r w:rsidR="00E15BBF" w:rsidRPr="002E60EB">
        <w:rPr>
          <w:lang w:val="en-US"/>
        </w:rPr>
        <w:t>decide</w:t>
      </w:r>
      <w:r w:rsidR="00AE5BA1" w:rsidRPr="002E60EB">
        <w:rPr>
          <w:lang w:val="en-US"/>
        </w:rPr>
        <w:t>s</w:t>
      </w:r>
      <w:r w:rsidR="00E15BBF" w:rsidRPr="002E60EB">
        <w:rPr>
          <w:lang w:val="en-US"/>
        </w:rPr>
        <w:t xml:space="preserve"> the </w:t>
      </w:r>
      <w:r w:rsidR="00AE5BA1" w:rsidRPr="002E60EB">
        <w:rPr>
          <w:lang w:val="en-US"/>
        </w:rPr>
        <w:t>admissibility</w:t>
      </w:r>
      <w:r w:rsidR="00E15BBF" w:rsidRPr="002E60EB">
        <w:rPr>
          <w:lang w:val="en-US"/>
        </w:rPr>
        <w:t xml:space="preserve"> of the allegations </w:t>
      </w:r>
      <w:r w:rsidR="00AE5BA1" w:rsidRPr="002E60EB">
        <w:rPr>
          <w:lang w:val="en-US"/>
        </w:rPr>
        <w:t>regarding</w:t>
      </w:r>
      <w:r w:rsidR="00E15BBF" w:rsidRPr="002E60EB">
        <w:rPr>
          <w:lang w:val="en-US"/>
        </w:rPr>
        <w:t xml:space="preserve"> the factual framework</w:t>
      </w:r>
      <w:r w:rsidR="00360DB8" w:rsidRPr="002E60EB">
        <w:rPr>
          <w:lang w:val="en-US"/>
        </w:rPr>
        <w:t xml:space="preserve"> in order </w:t>
      </w:r>
      <w:r w:rsidR="00E15BBF" w:rsidRPr="002E60EB">
        <w:rPr>
          <w:lang w:val="en-US"/>
        </w:rPr>
        <w:t>to ensure the procedural equality of the parties.</w:t>
      </w:r>
      <w:r w:rsidR="00AE5BA1" w:rsidRPr="002E60EB">
        <w:rPr>
          <w:rStyle w:val="Refdenotaalpie"/>
          <w:rFonts w:cs="Verdana"/>
          <w:lang w:val="en-US"/>
        </w:rPr>
        <w:footnoteReference w:id="36"/>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lang w:val="en-US"/>
        </w:rPr>
        <w:t xml:space="preserve">The Court </w:t>
      </w:r>
      <w:r w:rsidR="00AE5BA1" w:rsidRPr="002E60EB">
        <w:rPr>
          <w:lang w:val="en-US"/>
        </w:rPr>
        <w:t>observes</w:t>
      </w:r>
      <w:r w:rsidRPr="002E60EB">
        <w:rPr>
          <w:lang w:val="en-US"/>
        </w:rPr>
        <w:t xml:space="preserve"> that the representative included </w:t>
      </w:r>
      <w:r w:rsidR="00AE5BA1" w:rsidRPr="002E60EB">
        <w:rPr>
          <w:lang w:val="en-US"/>
        </w:rPr>
        <w:t xml:space="preserve">numerous additional contextual </w:t>
      </w:r>
      <w:r w:rsidRPr="002E60EB">
        <w:rPr>
          <w:lang w:val="en-US"/>
        </w:rPr>
        <w:t xml:space="preserve">facts and </w:t>
      </w:r>
      <w:r w:rsidR="00AE5BA1" w:rsidRPr="002E60EB">
        <w:rPr>
          <w:lang w:val="en-US"/>
        </w:rPr>
        <w:t xml:space="preserve">assertions </w:t>
      </w:r>
      <w:r w:rsidRPr="002E60EB">
        <w:rPr>
          <w:lang w:val="en-US"/>
        </w:rPr>
        <w:t xml:space="preserve">to those </w:t>
      </w:r>
      <w:r w:rsidR="00AE5BA1" w:rsidRPr="002E60EB">
        <w:rPr>
          <w:lang w:val="en-US"/>
        </w:rPr>
        <w:t>described</w:t>
      </w:r>
      <w:r w:rsidRPr="002E60EB">
        <w:rPr>
          <w:lang w:val="en-US"/>
        </w:rPr>
        <w:t xml:space="preserve"> in the Commiss</w:t>
      </w:r>
      <w:r w:rsidR="00AE5BA1" w:rsidRPr="002E60EB">
        <w:rPr>
          <w:lang w:val="en-US"/>
        </w:rPr>
        <w:t>io</w:t>
      </w:r>
      <w:r w:rsidRPr="002E60EB">
        <w:rPr>
          <w:lang w:val="en-US"/>
        </w:rPr>
        <w:t>n</w:t>
      </w:r>
      <w:r w:rsidR="00AE5BA1" w:rsidRPr="002E60EB">
        <w:rPr>
          <w:lang w:val="en-US"/>
        </w:rPr>
        <w:t>’s Merits Report.</w:t>
      </w:r>
      <w:r w:rsidRPr="002E60EB">
        <w:rPr>
          <w:lang w:val="en-US"/>
        </w:rPr>
        <w:t xml:space="preserve"> Therefore, the Court </w:t>
      </w:r>
      <w:r w:rsidR="00AE5BA1" w:rsidRPr="002E60EB">
        <w:rPr>
          <w:lang w:val="en-US"/>
        </w:rPr>
        <w:t xml:space="preserve">considers </w:t>
      </w:r>
      <w:r w:rsidRPr="002E60EB">
        <w:rPr>
          <w:lang w:val="en-US"/>
        </w:rPr>
        <w:t xml:space="preserve">it appropriate to apply </w:t>
      </w:r>
      <w:r w:rsidR="00AE5BA1" w:rsidRPr="002E60EB">
        <w:rPr>
          <w:lang w:val="en-US"/>
        </w:rPr>
        <w:t xml:space="preserve">the said </w:t>
      </w:r>
      <w:r w:rsidRPr="002E60EB">
        <w:rPr>
          <w:lang w:val="en-US"/>
        </w:rPr>
        <w:t xml:space="preserve">case law, </w:t>
      </w:r>
      <w:r w:rsidR="00AE5BA1" w:rsidRPr="002E60EB">
        <w:rPr>
          <w:lang w:val="en-US"/>
        </w:rPr>
        <w:t xml:space="preserve">bearing </w:t>
      </w:r>
      <w:r w:rsidRPr="002E60EB">
        <w:rPr>
          <w:lang w:val="en-US"/>
        </w:rPr>
        <w:t xml:space="preserve">in mind the arguments </w:t>
      </w:r>
      <w:r w:rsidR="00AE5BA1" w:rsidRPr="002E60EB">
        <w:rPr>
          <w:lang w:val="en-US"/>
        </w:rPr>
        <w:t>of Colombia</w:t>
      </w:r>
      <w:r w:rsidRPr="002E60EB">
        <w:rPr>
          <w:lang w:val="en-US"/>
        </w:rPr>
        <w:t xml:space="preserve"> about </w:t>
      </w:r>
      <w:r w:rsidR="00DA2A6D" w:rsidRPr="002E60EB">
        <w:rPr>
          <w:lang w:val="en-US"/>
        </w:rPr>
        <w:t xml:space="preserve">supposed </w:t>
      </w:r>
      <w:r w:rsidRPr="002E60EB">
        <w:rPr>
          <w:lang w:val="en-US"/>
        </w:rPr>
        <w:t>new contextual references</w:t>
      </w:r>
      <w:r w:rsidR="00DA2A6D" w:rsidRPr="002E60EB">
        <w:rPr>
          <w:lang w:val="en-US"/>
        </w:rPr>
        <w:t xml:space="preserve"> and facts</w:t>
      </w:r>
      <w:r w:rsidRPr="002E60EB">
        <w:rPr>
          <w:lang w:val="en-US"/>
        </w:rPr>
        <w:t xml:space="preserve"> included in the pleadings and arguments</w:t>
      </w:r>
      <w:r w:rsidR="00DA2A6D" w:rsidRPr="002E60EB">
        <w:rPr>
          <w:lang w:val="en-US"/>
        </w:rPr>
        <w:t xml:space="preserve"> brief</w:t>
      </w:r>
      <w:r w:rsidRPr="002E60EB">
        <w:rPr>
          <w:lang w:val="en-US"/>
        </w:rPr>
        <w:t>. The Court will now proceed to verify which of th</w:t>
      </w:r>
      <w:r w:rsidR="00DA2A6D" w:rsidRPr="002E60EB">
        <w:rPr>
          <w:lang w:val="en-US"/>
        </w:rPr>
        <w:t>e</w:t>
      </w:r>
      <w:r w:rsidRPr="002E60EB">
        <w:rPr>
          <w:lang w:val="en-US"/>
        </w:rPr>
        <w:t xml:space="preserve">se </w:t>
      </w:r>
      <w:r w:rsidR="00360DB8" w:rsidRPr="002E60EB">
        <w:rPr>
          <w:lang w:val="en-US"/>
        </w:rPr>
        <w:t xml:space="preserve">facts </w:t>
      </w:r>
      <w:r w:rsidR="00DA2A6D" w:rsidRPr="002E60EB">
        <w:rPr>
          <w:lang w:val="en-US"/>
        </w:rPr>
        <w:t>do not merely</w:t>
      </w:r>
      <w:r w:rsidRPr="002E60EB">
        <w:rPr>
          <w:lang w:val="en-US"/>
        </w:rPr>
        <w:t xml:space="preserve"> explain or clarify the facts presented by the Inter-American Commission in </w:t>
      </w:r>
      <w:r w:rsidR="00DA2A6D" w:rsidRPr="002E60EB">
        <w:rPr>
          <w:lang w:val="en-US"/>
        </w:rPr>
        <w:t>the said report</w:t>
      </w:r>
      <w:r w:rsidR="00360DB8" w:rsidRPr="002E60EB">
        <w:rPr>
          <w:lang w:val="en-US"/>
        </w:rPr>
        <w:t xml:space="preserve"> and which </w:t>
      </w:r>
      <w:r w:rsidRPr="002E60EB">
        <w:rPr>
          <w:lang w:val="en-US"/>
        </w:rPr>
        <w:t xml:space="preserve">are related to the factual framework of </w:t>
      </w:r>
      <w:r w:rsidR="00DA2A6D" w:rsidRPr="002E60EB">
        <w:rPr>
          <w:lang w:val="en-US"/>
        </w:rPr>
        <w:t>this</w:t>
      </w:r>
      <w:r w:rsidRPr="002E60EB">
        <w:rPr>
          <w:lang w:val="en-US"/>
        </w:rPr>
        <w:t xml:space="preserve"> case. </w:t>
      </w:r>
    </w:p>
    <w:p w:rsidR="00E15BBF" w:rsidRPr="002E60EB" w:rsidRDefault="00E15BBF" w:rsidP="00317748">
      <w:pPr>
        <w:tabs>
          <w:tab w:val="left" w:pos="720"/>
        </w:tabs>
        <w:jc w:val="both"/>
        <w:rPr>
          <w:rFonts w:cs="Verdana"/>
          <w:lang w:val="en-US"/>
        </w:rPr>
      </w:pPr>
    </w:p>
    <w:p w:rsidR="00E15BBF" w:rsidRPr="002E60EB" w:rsidRDefault="00E15BBF" w:rsidP="00317748">
      <w:pPr>
        <w:autoSpaceDE w:val="0"/>
        <w:autoSpaceDN w:val="0"/>
        <w:adjustRightInd w:val="0"/>
        <w:ind w:left="720"/>
        <w:jc w:val="both"/>
        <w:rPr>
          <w:i/>
          <w:lang w:val="en-US"/>
        </w:rPr>
      </w:pPr>
      <w:r w:rsidRPr="002E60EB">
        <w:rPr>
          <w:i/>
          <w:lang w:val="en-US"/>
        </w:rPr>
        <w:t>B.1)</w:t>
      </w:r>
      <w:r w:rsidRPr="002E60EB">
        <w:rPr>
          <w:i/>
          <w:lang w:val="en-US"/>
        </w:rPr>
        <w:tab/>
        <w:t>Regarding contextual references made in the pleadings and motions</w:t>
      </w:r>
      <w:r w:rsidR="00DA2A6D" w:rsidRPr="002E60EB">
        <w:rPr>
          <w:i/>
          <w:lang w:val="en-US"/>
        </w:rPr>
        <w:t xml:space="preserve"> brief</w:t>
      </w:r>
    </w:p>
    <w:p w:rsidR="00E15BBF" w:rsidRPr="002E60EB" w:rsidRDefault="00E15BBF" w:rsidP="00317748">
      <w:pPr>
        <w:rPr>
          <w:lang w:val="en-US"/>
        </w:rPr>
      </w:pPr>
    </w:p>
    <w:p w:rsidR="00E15BBF" w:rsidRPr="002E60EB" w:rsidRDefault="00DA2A6D" w:rsidP="00317748">
      <w:pPr>
        <w:numPr>
          <w:ilvl w:val="0"/>
          <w:numId w:val="1"/>
        </w:numPr>
        <w:tabs>
          <w:tab w:val="left" w:pos="720"/>
        </w:tabs>
        <w:jc w:val="both"/>
        <w:rPr>
          <w:rFonts w:cs="Verdana"/>
          <w:lang w:val="en-US"/>
        </w:rPr>
      </w:pPr>
      <w:r w:rsidRPr="002E60EB">
        <w:rPr>
          <w:rFonts w:cs="Verdana"/>
          <w:lang w:val="en-US"/>
        </w:rPr>
        <w:t>In order t</w:t>
      </w:r>
      <w:r w:rsidR="00E15BBF" w:rsidRPr="002E60EB">
        <w:rPr>
          <w:rFonts w:cs="Verdana"/>
          <w:lang w:val="en-US"/>
        </w:rPr>
        <w:t xml:space="preserve">o decide on the contextual references included in the </w:t>
      </w:r>
      <w:r w:rsidRPr="002E60EB">
        <w:rPr>
          <w:rFonts w:cs="Verdana"/>
          <w:lang w:val="en-US"/>
        </w:rPr>
        <w:t>pleadings and motions brief</w:t>
      </w:r>
      <w:r w:rsidR="00E15BBF" w:rsidRPr="002E60EB">
        <w:rPr>
          <w:rFonts w:cs="Verdana"/>
          <w:lang w:val="en-US"/>
        </w:rPr>
        <w:t xml:space="preserve">, the Court </w:t>
      </w:r>
      <w:r w:rsidRPr="002E60EB">
        <w:rPr>
          <w:rFonts w:cs="Verdana"/>
          <w:lang w:val="en-US"/>
        </w:rPr>
        <w:t xml:space="preserve">finds </w:t>
      </w:r>
      <w:r w:rsidR="00E15BBF" w:rsidRPr="002E60EB">
        <w:rPr>
          <w:rFonts w:cs="Verdana"/>
          <w:lang w:val="en-US"/>
        </w:rPr>
        <w:t>it relevant to note that</w:t>
      </w:r>
      <w:r w:rsidRPr="002E60EB">
        <w:rPr>
          <w:rFonts w:cs="Verdana"/>
          <w:lang w:val="en-US"/>
        </w:rPr>
        <w:t xml:space="preserve"> the Commission’s Merits Report in this case</w:t>
      </w:r>
      <w:r w:rsidR="00E15BBF" w:rsidRPr="002E60EB">
        <w:rPr>
          <w:rFonts w:cs="Verdana"/>
          <w:lang w:val="en-US"/>
        </w:rPr>
        <w:t xml:space="preserve"> did not include a section </w:t>
      </w:r>
      <w:r w:rsidRPr="002E60EB">
        <w:rPr>
          <w:rFonts w:cs="Verdana"/>
          <w:lang w:val="en-US"/>
        </w:rPr>
        <w:t xml:space="preserve">on </w:t>
      </w:r>
      <w:r w:rsidR="00E15BBF" w:rsidRPr="002E60EB">
        <w:rPr>
          <w:rFonts w:cs="Verdana"/>
          <w:lang w:val="en-US"/>
        </w:rPr>
        <w:t xml:space="preserve">the context. The Commission began the </w:t>
      </w:r>
      <w:r w:rsidRPr="002E60EB">
        <w:rPr>
          <w:rFonts w:cs="Verdana"/>
          <w:lang w:val="en-US"/>
        </w:rPr>
        <w:t xml:space="preserve">account </w:t>
      </w:r>
      <w:r w:rsidR="00E15BBF" w:rsidRPr="002E60EB">
        <w:rPr>
          <w:rFonts w:cs="Verdana"/>
          <w:lang w:val="en-US"/>
        </w:rPr>
        <w:t>of the facts directly</w:t>
      </w:r>
      <w:r w:rsidR="00360DB8" w:rsidRPr="002E60EB">
        <w:rPr>
          <w:rFonts w:cs="Verdana"/>
          <w:lang w:val="en-US"/>
        </w:rPr>
        <w:t xml:space="preserve"> by</w:t>
      </w:r>
      <w:r w:rsidR="00E15BBF" w:rsidRPr="002E60EB">
        <w:rPr>
          <w:rFonts w:cs="Verdana"/>
          <w:lang w:val="en-US"/>
        </w:rPr>
        <w:t xml:space="preserve"> referring to </w:t>
      </w:r>
      <w:r w:rsidR="00087093" w:rsidRPr="002E60EB">
        <w:rPr>
          <w:rFonts w:cs="Verdana"/>
          <w:lang w:val="en-US"/>
        </w:rPr>
        <w:t>“</w:t>
      </w:r>
      <w:r w:rsidRPr="002E60EB">
        <w:rPr>
          <w:rFonts w:cs="Verdana"/>
          <w:lang w:val="en-US"/>
        </w:rPr>
        <w:t>[t]</w:t>
      </w:r>
      <w:r w:rsidR="00E15BBF" w:rsidRPr="002E60EB">
        <w:rPr>
          <w:rFonts w:cs="Verdana"/>
          <w:lang w:val="en-US"/>
        </w:rPr>
        <w:t>he attack suffered by Mr. Vélez on August 29, 1996.</w:t>
      </w:r>
      <w:r w:rsidR="00087093" w:rsidRPr="002E60EB">
        <w:rPr>
          <w:rFonts w:cs="Verdana"/>
          <w:lang w:val="en-US"/>
        </w:rPr>
        <w:t>”</w:t>
      </w:r>
      <w:r w:rsidR="00E15BBF" w:rsidRPr="002E60EB">
        <w:rPr>
          <w:rFonts w:cs="Verdana"/>
          <w:lang w:val="en-US"/>
        </w:rPr>
        <w:t xml:space="preserve"> </w:t>
      </w:r>
      <w:r w:rsidR="00E15BBF" w:rsidRPr="002E60EB">
        <w:rPr>
          <w:lang w:val="en-US"/>
        </w:rPr>
        <w:t xml:space="preserve">However, within the </w:t>
      </w:r>
      <w:r w:rsidRPr="002E60EB">
        <w:rPr>
          <w:lang w:val="en-US"/>
        </w:rPr>
        <w:t xml:space="preserve">description </w:t>
      </w:r>
      <w:r w:rsidR="00E15BBF" w:rsidRPr="002E60EB">
        <w:rPr>
          <w:lang w:val="en-US"/>
        </w:rPr>
        <w:t>of the events that Mr. Vélez Restrepo</w:t>
      </w:r>
      <w:r w:rsidRPr="002E60EB">
        <w:rPr>
          <w:lang w:val="en-US"/>
        </w:rPr>
        <w:t xml:space="preserve"> experienced</w:t>
      </w:r>
      <w:r w:rsidR="00360DB8" w:rsidRPr="002E60EB">
        <w:rPr>
          <w:lang w:val="en-US"/>
        </w:rPr>
        <w:t>, the Commission included</w:t>
      </w:r>
      <w:r w:rsidR="00E15BBF" w:rsidRPr="002E60EB">
        <w:rPr>
          <w:lang w:val="en-US"/>
        </w:rPr>
        <w:t xml:space="preserve"> some contextual references </w:t>
      </w:r>
      <w:r w:rsidRPr="002E60EB">
        <w:rPr>
          <w:lang w:val="en-US"/>
        </w:rPr>
        <w:t>related to</w:t>
      </w:r>
      <w:r w:rsidR="00E15BBF" w:rsidRPr="002E60EB">
        <w:rPr>
          <w:lang w:val="en-US"/>
        </w:rPr>
        <w:t xml:space="preserve"> the </w:t>
      </w:r>
      <w:r w:rsidR="00360DB8" w:rsidRPr="002E60EB">
        <w:rPr>
          <w:lang w:val="en-US"/>
        </w:rPr>
        <w:t xml:space="preserve">protest </w:t>
      </w:r>
      <w:r w:rsidR="00E15BBF" w:rsidRPr="002E60EB">
        <w:rPr>
          <w:lang w:val="en-US"/>
        </w:rPr>
        <w:t>demonstration that Mr. Vélez Restrepo was covering as a cameraman for a news program</w:t>
      </w:r>
      <w:r w:rsidRPr="002E60EB">
        <w:rPr>
          <w:lang w:val="en-US"/>
        </w:rPr>
        <w:t>,</w:t>
      </w:r>
      <w:r w:rsidRPr="002E60EB">
        <w:rPr>
          <w:rStyle w:val="Refdenotaalpie"/>
          <w:lang w:val="en-US"/>
        </w:rPr>
        <w:footnoteReference w:id="37"/>
      </w:r>
      <w:r w:rsidR="00E15BBF" w:rsidRPr="002E60EB">
        <w:rPr>
          <w:lang w:val="en-US"/>
        </w:rPr>
        <w:t xml:space="preserve"> </w:t>
      </w:r>
      <w:r w:rsidRPr="002E60EB">
        <w:rPr>
          <w:lang w:val="en-US"/>
        </w:rPr>
        <w:t>and</w:t>
      </w:r>
      <w:r w:rsidR="00E15BBF" w:rsidRPr="002E60EB">
        <w:rPr>
          <w:lang w:val="en-US"/>
        </w:rPr>
        <w:t xml:space="preserve"> also stated that</w:t>
      </w:r>
      <w:r w:rsidRPr="002E60EB">
        <w:rPr>
          <w:lang w:val="en-US"/>
        </w:rPr>
        <w:t>,</w:t>
      </w:r>
      <w:r w:rsidR="00E15BBF" w:rsidRPr="002E60EB">
        <w:rPr>
          <w:lang w:val="en-US"/>
        </w:rPr>
        <w:t xml:space="preserve"> at the time of the </w:t>
      </w:r>
      <w:r w:rsidRPr="002E60EB">
        <w:rPr>
          <w:lang w:val="en-US"/>
        </w:rPr>
        <w:t>events,</w:t>
      </w:r>
      <w:r w:rsidR="00E15BBF" w:rsidRPr="002E60EB">
        <w:rPr>
          <w:lang w:val="en-US"/>
        </w:rPr>
        <w:t xml:space="preserve"> </w:t>
      </w:r>
      <w:r w:rsidR="00087093" w:rsidRPr="002E60EB">
        <w:rPr>
          <w:lang w:val="en-US"/>
        </w:rPr>
        <w:t>“</w:t>
      </w:r>
      <w:r w:rsidR="00E15BBF" w:rsidRPr="002E60EB">
        <w:rPr>
          <w:lang w:val="en-US"/>
        </w:rPr>
        <w:t xml:space="preserve">the Colombian armed forces strongly opposed investigations </w:t>
      </w:r>
      <w:r w:rsidRPr="002E60EB">
        <w:rPr>
          <w:lang w:val="en-US"/>
        </w:rPr>
        <w:t>against</w:t>
      </w:r>
      <w:r w:rsidR="00E15BBF" w:rsidRPr="002E60EB">
        <w:rPr>
          <w:lang w:val="en-US"/>
        </w:rPr>
        <w:t xml:space="preserve"> their members and</w:t>
      </w:r>
      <w:r w:rsidRPr="002E60EB">
        <w:rPr>
          <w:lang w:val="en-US"/>
        </w:rPr>
        <w:t>,</w:t>
      </w:r>
      <w:r w:rsidR="00E15BBF" w:rsidRPr="002E60EB">
        <w:rPr>
          <w:lang w:val="en-US"/>
        </w:rPr>
        <w:t xml:space="preserve"> in some cases, </w:t>
      </w:r>
      <w:r w:rsidRPr="002E60EB">
        <w:rPr>
          <w:lang w:val="en-US"/>
        </w:rPr>
        <w:t>took measures</w:t>
      </w:r>
      <w:r w:rsidR="00E15BBF" w:rsidRPr="002E60EB">
        <w:rPr>
          <w:lang w:val="en-US"/>
        </w:rPr>
        <w:t xml:space="preserve">, including threats and attacks, </w:t>
      </w:r>
      <w:r w:rsidRPr="002E60EB">
        <w:rPr>
          <w:lang w:val="en-US"/>
        </w:rPr>
        <w:t>to</w:t>
      </w:r>
      <w:r w:rsidR="00E15BBF" w:rsidRPr="002E60EB">
        <w:rPr>
          <w:lang w:val="en-US"/>
        </w:rPr>
        <w:t xml:space="preserve"> obstruct these proce</w:t>
      </w:r>
      <w:r w:rsidRPr="002E60EB">
        <w:rPr>
          <w:lang w:val="en-US"/>
        </w:rPr>
        <w:t>dure</w:t>
      </w:r>
      <w:r w:rsidR="00E15BBF" w:rsidRPr="002E60EB">
        <w:rPr>
          <w:lang w:val="en-US"/>
        </w:rPr>
        <w:t>s.</w:t>
      </w:r>
      <w:r w:rsidR="00087093" w:rsidRPr="002E60EB">
        <w:rPr>
          <w:lang w:val="en-US"/>
        </w:rPr>
        <w:t>”</w:t>
      </w:r>
      <w:r w:rsidR="00E15BBF" w:rsidRPr="002E60EB">
        <w:rPr>
          <w:rStyle w:val="Refdenotaalpie"/>
          <w:lang w:val="en-US"/>
        </w:rPr>
        <w:footnoteReference w:id="38"/>
      </w:r>
      <w:r w:rsidR="00E15BBF" w:rsidRPr="002E60EB">
        <w:rPr>
          <w:lang w:val="en-US"/>
        </w:rPr>
        <w:t xml:space="preserve"> In its legal </w:t>
      </w:r>
      <w:r w:rsidRPr="002E60EB">
        <w:rPr>
          <w:lang w:val="en-US"/>
        </w:rPr>
        <w:t>arguments</w:t>
      </w:r>
      <w:r w:rsidR="00E15BBF" w:rsidRPr="002E60EB">
        <w:rPr>
          <w:lang w:val="en-US"/>
        </w:rPr>
        <w:t xml:space="preserve">, the Commission referred to this context as </w:t>
      </w:r>
      <w:r w:rsidR="00087093" w:rsidRPr="002E60EB">
        <w:rPr>
          <w:lang w:val="en-US"/>
        </w:rPr>
        <w:t>“</w:t>
      </w:r>
      <w:r w:rsidR="00E15BBF" w:rsidRPr="002E60EB">
        <w:rPr>
          <w:lang w:val="en-US"/>
        </w:rPr>
        <w:t>the a</w:t>
      </w:r>
      <w:r w:rsidRPr="002E60EB">
        <w:rPr>
          <w:lang w:val="en-US"/>
        </w:rPr>
        <w:t>bove-</w:t>
      </w:r>
      <w:r w:rsidR="00E15BBF" w:rsidRPr="002E60EB">
        <w:rPr>
          <w:lang w:val="en-US"/>
        </w:rPr>
        <w:t xml:space="preserve">mentioned practice of the Colombian armed forces </w:t>
      </w:r>
      <w:r w:rsidRPr="002E60EB">
        <w:rPr>
          <w:lang w:val="en-US"/>
        </w:rPr>
        <w:t xml:space="preserve">at that time </w:t>
      </w:r>
      <w:r w:rsidR="00E15BBF" w:rsidRPr="002E60EB">
        <w:rPr>
          <w:lang w:val="en-US"/>
        </w:rPr>
        <w:t>of resisting an</w:t>
      </w:r>
      <w:r w:rsidRPr="002E60EB">
        <w:rPr>
          <w:lang w:val="en-US"/>
        </w:rPr>
        <w:t>d, at times,</w:t>
      </w:r>
      <w:r w:rsidR="00E15BBF" w:rsidRPr="002E60EB">
        <w:rPr>
          <w:lang w:val="en-US"/>
        </w:rPr>
        <w:t xml:space="preserve"> obstructing investigations against them.</w:t>
      </w:r>
      <w:r w:rsidR="00087093" w:rsidRPr="002E60EB">
        <w:rPr>
          <w:lang w:val="en-US"/>
        </w:rPr>
        <w:t>”</w:t>
      </w:r>
      <w:r w:rsidR="00E15BBF" w:rsidRPr="002E60EB">
        <w:rPr>
          <w:rStyle w:val="Refdenotaalpie"/>
          <w:lang w:val="en-US"/>
        </w:rPr>
        <w:footnoteReference w:id="39"/>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For his part, </w:t>
      </w:r>
      <w:r w:rsidR="00BA7355" w:rsidRPr="002E60EB">
        <w:rPr>
          <w:rFonts w:cs="Verdana"/>
          <w:lang w:val="en-US"/>
        </w:rPr>
        <w:t xml:space="preserve">when including </w:t>
      </w:r>
      <w:r w:rsidRPr="002E60EB">
        <w:rPr>
          <w:rFonts w:cs="Verdana"/>
          <w:lang w:val="en-US"/>
        </w:rPr>
        <w:t xml:space="preserve">in his chapter </w:t>
      </w:r>
      <w:r w:rsidR="00087093" w:rsidRPr="002E60EB">
        <w:rPr>
          <w:rFonts w:cs="Verdana"/>
          <w:lang w:val="en-US"/>
        </w:rPr>
        <w:t>“</w:t>
      </w:r>
      <w:r w:rsidR="00BA7355" w:rsidRPr="002E60EB">
        <w:rPr>
          <w:rFonts w:cs="Verdana"/>
          <w:lang w:val="en-US"/>
        </w:rPr>
        <w:t>Factual a</w:t>
      </w:r>
      <w:r w:rsidRPr="002E60EB">
        <w:rPr>
          <w:rFonts w:cs="Verdana"/>
          <w:lang w:val="en-US"/>
        </w:rPr>
        <w:t>nalysis,</w:t>
      </w:r>
      <w:r w:rsidR="00087093" w:rsidRPr="002E60EB">
        <w:rPr>
          <w:rFonts w:cs="Verdana"/>
          <w:lang w:val="en-US"/>
        </w:rPr>
        <w:t>”</w:t>
      </w:r>
      <w:r w:rsidRPr="002E60EB">
        <w:rPr>
          <w:rFonts w:cs="Verdana"/>
          <w:lang w:val="en-US"/>
        </w:rPr>
        <w:t xml:space="preserve"> </w:t>
      </w:r>
      <w:r w:rsidR="00BA7355" w:rsidRPr="002E60EB">
        <w:rPr>
          <w:rFonts w:cs="Verdana"/>
          <w:lang w:val="en-US"/>
        </w:rPr>
        <w:t xml:space="preserve">numerous additional contextual facts and assertions </w:t>
      </w:r>
      <w:r w:rsidRPr="002E60EB">
        <w:rPr>
          <w:rFonts w:cs="Verdana"/>
          <w:lang w:val="en-US"/>
        </w:rPr>
        <w:t>to those in the Commission</w:t>
      </w:r>
      <w:r w:rsidR="00D85EC2" w:rsidRPr="002E60EB">
        <w:rPr>
          <w:rFonts w:cs="Verdana"/>
          <w:lang w:val="en-US"/>
        </w:rPr>
        <w:t>’s Merits R</w:t>
      </w:r>
      <w:r w:rsidR="00BA7355" w:rsidRPr="002E60EB">
        <w:rPr>
          <w:rFonts w:cs="Verdana"/>
          <w:lang w:val="en-US"/>
        </w:rPr>
        <w:t>eport</w:t>
      </w:r>
      <w:r w:rsidRPr="002E60EB">
        <w:rPr>
          <w:rFonts w:cs="Verdana"/>
          <w:lang w:val="en-US"/>
        </w:rPr>
        <w:t xml:space="preserve">, </w:t>
      </w:r>
      <w:r w:rsidR="00BA7355" w:rsidRPr="002E60EB">
        <w:rPr>
          <w:rFonts w:cs="Verdana"/>
          <w:lang w:val="en-US"/>
        </w:rPr>
        <w:t>the representative</w:t>
      </w:r>
      <w:r w:rsidRPr="002E60EB">
        <w:rPr>
          <w:rFonts w:cs="Verdana"/>
          <w:lang w:val="en-US"/>
        </w:rPr>
        <w:t xml:space="preserve"> explained that they </w:t>
      </w:r>
      <w:r w:rsidR="00BA7355" w:rsidRPr="002E60EB">
        <w:rPr>
          <w:rFonts w:cs="Verdana"/>
          <w:lang w:val="en-US"/>
        </w:rPr>
        <w:t>provided a</w:t>
      </w:r>
      <w:r w:rsidRPr="002E60EB">
        <w:rPr>
          <w:rFonts w:cs="Verdana"/>
          <w:lang w:val="en-US"/>
        </w:rPr>
        <w:t xml:space="preserve"> </w:t>
      </w:r>
      <w:r w:rsidR="00087093" w:rsidRPr="002E60EB">
        <w:rPr>
          <w:rFonts w:cs="Verdana"/>
          <w:lang w:val="en-US"/>
        </w:rPr>
        <w:t>“</w:t>
      </w:r>
      <w:r w:rsidRPr="002E60EB">
        <w:rPr>
          <w:rFonts w:cs="Verdana"/>
          <w:lang w:val="en-US"/>
        </w:rPr>
        <w:t>conceptual framework</w:t>
      </w:r>
      <w:r w:rsidR="00087093" w:rsidRPr="002E60EB">
        <w:rPr>
          <w:rFonts w:cs="Verdana"/>
          <w:lang w:val="en-US"/>
        </w:rPr>
        <w:t>”</w:t>
      </w:r>
      <w:r w:rsidRPr="002E60EB">
        <w:rPr>
          <w:rFonts w:cs="Verdana"/>
          <w:lang w:val="en-US"/>
        </w:rPr>
        <w:t xml:space="preserve"> that would </w:t>
      </w:r>
      <w:r w:rsidR="00BA7355" w:rsidRPr="002E60EB">
        <w:rPr>
          <w:rFonts w:cs="Verdana"/>
          <w:lang w:val="en-US"/>
        </w:rPr>
        <w:t xml:space="preserve">allow </w:t>
      </w:r>
      <w:r w:rsidRPr="002E60EB">
        <w:rPr>
          <w:rFonts w:cs="Verdana"/>
          <w:lang w:val="en-US"/>
        </w:rPr>
        <w:t>the facts</w:t>
      </w:r>
      <w:r w:rsidR="00BA7355" w:rsidRPr="002E60EB">
        <w:rPr>
          <w:rFonts w:cs="Verdana"/>
          <w:lang w:val="en-US"/>
        </w:rPr>
        <w:t xml:space="preserve"> to be placed</w:t>
      </w:r>
      <w:r w:rsidRPr="002E60EB">
        <w:rPr>
          <w:rFonts w:cs="Verdana"/>
          <w:lang w:val="en-US"/>
        </w:rPr>
        <w:t xml:space="preserve"> in </w:t>
      </w:r>
      <w:r w:rsidR="00BA7355" w:rsidRPr="002E60EB">
        <w:rPr>
          <w:rFonts w:cs="Verdana"/>
          <w:lang w:val="en-US"/>
        </w:rPr>
        <w:t>the</w:t>
      </w:r>
      <w:r w:rsidRPr="002E60EB">
        <w:rPr>
          <w:rFonts w:cs="Verdana"/>
          <w:lang w:val="en-US"/>
        </w:rPr>
        <w:t xml:space="preserve"> </w:t>
      </w:r>
      <w:r w:rsidR="00087093" w:rsidRPr="002E60EB">
        <w:rPr>
          <w:rFonts w:cs="Verdana"/>
          <w:lang w:val="en-US"/>
        </w:rPr>
        <w:t>“</w:t>
      </w:r>
      <w:r w:rsidRPr="002E60EB">
        <w:rPr>
          <w:rFonts w:cs="Verdana"/>
          <w:lang w:val="en-US"/>
        </w:rPr>
        <w:t xml:space="preserve">broader context </w:t>
      </w:r>
      <w:r w:rsidR="00BA7355" w:rsidRPr="002E60EB">
        <w:rPr>
          <w:rFonts w:cs="Verdana"/>
          <w:lang w:val="en-US"/>
        </w:rPr>
        <w:t xml:space="preserve">of </w:t>
      </w:r>
      <w:r w:rsidRPr="002E60EB">
        <w:rPr>
          <w:rFonts w:cs="Verdana"/>
          <w:lang w:val="en-US"/>
        </w:rPr>
        <w:t>the human rights crisis in Colombia between 1995 and 1998</w:t>
      </w:r>
      <w:r w:rsidR="00D85EC2" w:rsidRPr="002E60EB">
        <w:rPr>
          <w:rFonts w:cs="Verdana"/>
          <w:lang w:val="en-US"/>
        </w:rPr>
        <w:t>,</w:t>
      </w:r>
      <w:r w:rsidR="00087093" w:rsidRPr="002E60EB">
        <w:rPr>
          <w:rFonts w:cs="Verdana"/>
          <w:lang w:val="en-US"/>
        </w:rPr>
        <w:t>”</w:t>
      </w:r>
      <w:r w:rsidR="00D85EC2" w:rsidRPr="002E60EB">
        <w:rPr>
          <w:rFonts w:cs="Verdana"/>
          <w:lang w:val="en-US"/>
        </w:rPr>
        <w:t xml:space="preserve"> and </w:t>
      </w:r>
      <w:r w:rsidRPr="002E60EB">
        <w:rPr>
          <w:rFonts w:cs="Verdana"/>
          <w:lang w:val="en-US"/>
        </w:rPr>
        <w:t xml:space="preserve">would </w:t>
      </w:r>
      <w:r w:rsidR="00087093" w:rsidRPr="002E60EB">
        <w:rPr>
          <w:rFonts w:cs="Verdana"/>
          <w:lang w:val="en-US"/>
        </w:rPr>
        <w:t>“</w:t>
      </w:r>
      <w:r w:rsidR="00D85EC2" w:rsidRPr="002E60EB">
        <w:rPr>
          <w:rFonts w:cs="Verdana"/>
          <w:lang w:val="en-US"/>
        </w:rPr>
        <w:t xml:space="preserve">permit reviewing </w:t>
      </w:r>
      <w:r w:rsidRPr="002E60EB">
        <w:rPr>
          <w:rFonts w:cs="Verdana"/>
          <w:lang w:val="en-US"/>
        </w:rPr>
        <w:t xml:space="preserve">the </w:t>
      </w:r>
      <w:r w:rsidR="00BA7355" w:rsidRPr="002E60EB">
        <w:rPr>
          <w:rFonts w:cs="Verdana"/>
          <w:lang w:val="en-US"/>
        </w:rPr>
        <w:t xml:space="preserve">allegation </w:t>
      </w:r>
      <w:r w:rsidRPr="002E60EB">
        <w:rPr>
          <w:rFonts w:cs="Verdana"/>
          <w:lang w:val="en-US"/>
        </w:rPr>
        <w:t>presented during the proceedings before the [Commission] that</w:t>
      </w:r>
      <w:r w:rsidR="00BA7355" w:rsidRPr="002E60EB">
        <w:rPr>
          <w:rFonts w:cs="Verdana"/>
          <w:lang w:val="en-US"/>
        </w:rPr>
        <w:t>,</w:t>
      </w:r>
      <w:r w:rsidRPr="002E60EB">
        <w:rPr>
          <w:rFonts w:cs="Verdana"/>
          <w:lang w:val="en-US"/>
        </w:rPr>
        <w:t xml:space="preserve"> on October 6, 199[7], Richard Vélez Restrepo survived</w:t>
      </w:r>
      <w:r w:rsidR="00BA7355" w:rsidRPr="002E60EB">
        <w:rPr>
          <w:rFonts w:cs="Verdana"/>
          <w:lang w:val="en-US"/>
        </w:rPr>
        <w:t xml:space="preserve"> </w:t>
      </w:r>
      <w:r w:rsidRPr="002E60EB">
        <w:rPr>
          <w:rFonts w:cs="Verdana"/>
          <w:lang w:val="en-US"/>
        </w:rPr>
        <w:t>a</w:t>
      </w:r>
      <w:r w:rsidR="00BA7355" w:rsidRPr="002E60EB">
        <w:rPr>
          <w:rFonts w:cs="Verdana"/>
          <w:lang w:val="en-US"/>
        </w:rPr>
        <w:t xml:space="preserve"> real</w:t>
      </w:r>
      <w:r w:rsidRPr="002E60EB">
        <w:rPr>
          <w:rFonts w:cs="Verdana"/>
          <w:lang w:val="en-US"/>
        </w:rPr>
        <w:t xml:space="preserve"> </w:t>
      </w:r>
      <w:r w:rsidR="00D85EC2" w:rsidRPr="002E60EB">
        <w:rPr>
          <w:rFonts w:cs="Verdana"/>
          <w:lang w:val="en-US"/>
        </w:rPr>
        <w:t>‘</w:t>
      </w:r>
      <w:r w:rsidRPr="002E60EB">
        <w:rPr>
          <w:rFonts w:cs="Verdana"/>
          <w:lang w:val="en-US"/>
        </w:rPr>
        <w:t>attempted forced disappearance</w:t>
      </w:r>
      <w:r w:rsidR="00D85EC2" w:rsidRPr="002E60EB">
        <w:rPr>
          <w:rFonts w:cs="Verdana"/>
          <w:lang w:val="en-US"/>
        </w:rPr>
        <w:t>’</w:t>
      </w:r>
      <w:r w:rsidRPr="002E60EB">
        <w:rPr>
          <w:rFonts w:cs="Verdana"/>
          <w:lang w:val="en-US"/>
        </w:rPr>
        <w:t xml:space="preserve"> rather than a mere </w:t>
      </w:r>
      <w:r w:rsidR="00D85EC2" w:rsidRPr="002E60EB">
        <w:rPr>
          <w:rFonts w:cs="Verdana"/>
          <w:lang w:val="en-US"/>
        </w:rPr>
        <w:t>‘</w:t>
      </w:r>
      <w:r w:rsidRPr="002E60EB">
        <w:rPr>
          <w:rFonts w:cs="Verdana"/>
          <w:lang w:val="en-US"/>
        </w:rPr>
        <w:t xml:space="preserve">attempted </w:t>
      </w:r>
      <w:r w:rsidR="00334C3C" w:rsidRPr="002E60EB">
        <w:rPr>
          <w:rFonts w:cs="Verdana"/>
          <w:lang w:val="en-US"/>
        </w:rPr>
        <w:t>kidnapping</w:t>
      </w:r>
      <w:r w:rsidRPr="002E60EB">
        <w:rPr>
          <w:rFonts w:cs="Verdana"/>
          <w:lang w:val="en-US"/>
        </w:rPr>
        <w:t>.</w:t>
      </w:r>
      <w:r w:rsidR="00D85EC2" w:rsidRPr="002E60EB">
        <w:rPr>
          <w:rFonts w:cs="Verdana"/>
          <w:lang w:val="en-US"/>
        </w:rPr>
        <w:t>’</w:t>
      </w:r>
      <w:r w:rsidR="00087093" w:rsidRPr="002E60EB">
        <w:rPr>
          <w:rFonts w:cs="Verdana"/>
          <w:lang w:val="en-US"/>
        </w:rPr>
        <w:t>”</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lang w:val="en-US"/>
        </w:rPr>
        <w:t>First, the</w:t>
      </w:r>
      <w:r w:rsidR="002677C9" w:rsidRPr="002E60EB">
        <w:rPr>
          <w:lang w:val="en-US"/>
        </w:rPr>
        <w:t xml:space="preserve"> Court has verified that </w:t>
      </w:r>
      <w:r w:rsidR="00BA7355" w:rsidRPr="002E60EB">
        <w:rPr>
          <w:lang w:val="en-US"/>
        </w:rPr>
        <w:t xml:space="preserve">in </w:t>
      </w:r>
      <w:r w:rsidRPr="002E60EB">
        <w:rPr>
          <w:lang w:val="en-US"/>
        </w:rPr>
        <w:t xml:space="preserve">the sections </w:t>
      </w:r>
      <w:r w:rsidR="002677C9" w:rsidRPr="002E60EB">
        <w:rPr>
          <w:lang w:val="en-US"/>
        </w:rPr>
        <w:t>e</w:t>
      </w:r>
      <w:r w:rsidR="00BA7355" w:rsidRPr="002E60EB">
        <w:rPr>
          <w:lang w:val="en-US"/>
        </w:rPr>
        <w:t>n</w:t>
      </w:r>
      <w:r w:rsidRPr="002E60EB">
        <w:rPr>
          <w:lang w:val="en-US"/>
        </w:rPr>
        <w:t xml:space="preserve">titled </w:t>
      </w:r>
      <w:r w:rsidR="00087093" w:rsidRPr="002E60EB">
        <w:rPr>
          <w:lang w:val="en-US"/>
        </w:rPr>
        <w:t>“</w:t>
      </w:r>
      <w:r w:rsidRPr="002E60EB">
        <w:rPr>
          <w:lang w:val="en-US"/>
        </w:rPr>
        <w:t xml:space="preserve">The </w:t>
      </w:r>
      <w:r w:rsidR="00BA7355" w:rsidRPr="002E60EB">
        <w:rPr>
          <w:lang w:val="en-US"/>
        </w:rPr>
        <w:t>h</w:t>
      </w:r>
      <w:r w:rsidRPr="002E60EB">
        <w:rPr>
          <w:lang w:val="en-US"/>
        </w:rPr>
        <w:t xml:space="preserve">uman </w:t>
      </w:r>
      <w:r w:rsidR="00BA7355" w:rsidRPr="002E60EB">
        <w:rPr>
          <w:lang w:val="en-US"/>
        </w:rPr>
        <w:t>r</w:t>
      </w:r>
      <w:r w:rsidRPr="002E60EB">
        <w:rPr>
          <w:lang w:val="en-US"/>
        </w:rPr>
        <w:t xml:space="preserve">ights </w:t>
      </w:r>
      <w:r w:rsidR="00BA7355" w:rsidRPr="002E60EB">
        <w:rPr>
          <w:lang w:val="en-US"/>
        </w:rPr>
        <w:t>c</w:t>
      </w:r>
      <w:r w:rsidRPr="002E60EB">
        <w:rPr>
          <w:lang w:val="en-US"/>
        </w:rPr>
        <w:t>risis in Colombia</w:t>
      </w:r>
      <w:r w:rsidR="00087093" w:rsidRPr="002E60EB">
        <w:rPr>
          <w:lang w:val="en-US"/>
        </w:rPr>
        <w:t>”</w:t>
      </w:r>
      <w:r w:rsidRPr="002E60EB">
        <w:rPr>
          <w:rStyle w:val="Refdenotaalpie"/>
          <w:lang w:val="en-US"/>
        </w:rPr>
        <w:footnoteReference w:id="40"/>
      </w:r>
      <w:r w:rsidR="00BA7355" w:rsidRPr="002E60EB">
        <w:rPr>
          <w:lang w:val="en-US"/>
        </w:rPr>
        <w:t xml:space="preserve"> </w:t>
      </w:r>
      <w:r w:rsidRPr="002E60EB">
        <w:rPr>
          <w:lang w:val="en-US"/>
        </w:rPr>
        <w:t xml:space="preserve">and </w:t>
      </w:r>
      <w:r w:rsidR="00087093" w:rsidRPr="002E60EB">
        <w:rPr>
          <w:lang w:val="en-US"/>
        </w:rPr>
        <w:t>“</w:t>
      </w:r>
      <w:r w:rsidRPr="002E60EB">
        <w:rPr>
          <w:lang w:val="en-US"/>
        </w:rPr>
        <w:t xml:space="preserve">Forced </w:t>
      </w:r>
      <w:r w:rsidR="00BA7355" w:rsidRPr="002E60EB">
        <w:rPr>
          <w:lang w:val="en-US"/>
        </w:rPr>
        <w:t>disappearances</w:t>
      </w:r>
      <w:r w:rsidR="00087093" w:rsidRPr="002E60EB">
        <w:rPr>
          <w:lang w:val="en-US"/>
        </w:rPr>
        <w:t>”</w:t>
      </w:r>
      <w:r w:rsidRPr="002E60EB">
        <w:rPr>
          <w:rStyle w:val="Refdenotaalpie"/>
          <w:lang w:val="en-US"/>
        </w:rPr>
        <w:footnoteReference w:id="41"/>
      </w:r>
      <w:r w:rsidRPr="002E60EB">
        <w:rPr>
          <w:lang w:val="en-US"/>
        </w:rPr>
        <w:t xml:space="preserve"> </w:t>
      </w:r>
      <w:r w:rsidR="002677C9" w:rsidRPr="002E60EB">
        <w:rPr>
          <w:lang w:val="en-US"/>
        </w:rPr>
        <w:t xml:space="preserve">of the “Factual analysis” chapter of the pleadings and motions brief, </w:t>
      </w:r>
      <w:r w:rsidRPr="002E60EB">
        <w:rPr>
          <w:lang w:val="en-US"/>
        </w:rPr>
        <w:t xml:space="preserve">the representative introduces </w:t>
      </w:r>
      <w:r w:rsidR="00F45C95" w:rsidRPr="002E60EB">
        <w:rPr>
          <w:lang w:val="en-US"/>
        </w:rPr>
        <w:t xml:space="preserve">general </w:t>
      </w:r>
      <w:r w:rsidRPr="002E60EB">
        <w:rPr>
          <w:lang w:val="en-US"/>
        </w:rPr>
        <w:t xml:space="preserve">contextual facts and references that are not part of the factual framework </w:t>
      </w:r>
      <w:r w:rsidR="00F45C95" w:rsidRPr="002E60EB">
        <w:rPr>
          <w:lang w:val="en-US"/>
        </w:rPr>
        <w:t xml:space="preserve">described </w:t>
      </w:r>
      <w:r w:rsidRPr="002E60EB">
        <w:rPr>
          <w:lang w:val="en-US"/>
        </w:rPr>
        <w:t xml:space="preserve">by the Commission. </w:t>
      </w:r>
      <w:r w:rsidR="000F3982" w:rsidRPr="002E60EB">
        <w:rPr>
          <w:lang w:val="en-US"/>
        </w:rPr>
        <w:t>In addition</w:t>
      </w:r>
      <w:r w:rsidRPr="002E60EB">
        <w:rPr>
          <w:lang w:val="en-US"/>
        </w:rPr>
        <w:t xml:space="preserve">, the Court </w:t>
      </w:r>
      <w:r w:rsidR="00F45C95" w:rsidRPr="002E60EB">
        <w:rPr>
          <w:lang w:val="en-US"/>
        </w:rPr>
        <w:t xml:space="preserve">considers </w:t>
      </w:r>
      <w:r w:rsidRPr="002E60EB">
        <w:rPr>
          <w:lang w:val="en-US"/>
        </w:rPr>
        <w:t xml:space="preserve">that the facts included in the section </w:t>
      </w:r>
      <w:r w:rsidR="00087093" w:rsidRPr="002E60EB">
        <w:rPr>
          <w:lang w:val="en-US"/>
        </w:rPr>
        <w:t>“</w:t>
      </w:r>
      <w:r w:rsidRPr="002E60EB">
        <w:rPr>
          <w:lang w:val="en-US"/>
        </w:rPr>
        <w:t xml:space="preserve">A </w:t>
      </w:r>
      <w:r w:rsidR="00F45C95" w:rsidRPr="002E60EB">
        <w:rPr>
          <w:lang w:val="en-US"/>
        </w:rPr>
        <w:t>s</w:t>
      </w:r>
      <w:r w:rsidRPr="002E60EB">
        <w:rPr>
          <w:lang w:val="en-US"/>
        </w:rPr>
        <w:t xml:space="preserve">ituation of </w:t>
      </w:r>
      <w:r w:rsidR="00F45C95" w:rsidRPr="002E60EB">
        <w:rPr>
          <w:lang w:val="en-US"/>
        </w:rPr>
        <w:t>e</w:t>
      </w:r>
      <w:r w:rsidRPr="002E60EB">
        <w:rPr>
          <w:lang w:val="en-US"/>
        </w:rPr>
        <w:t xml:space="preserve">ndemic </w:t>
      </w:r>
      <w:r w:rsidR="00F45C95" w:rsidRPr="002E60EB">
        <w:rPr>
          <w:lang w:val="en-US"/>
        </w:rPr>
        <w:t>i</w:t>
      </w:r>
      <w:r w:rsidRPr="002E60EB">
        <w:rPr>
          <w:lang w:val="en-US"/>
        </w:rPr>
        <w:t>mpunity</w:t>
      </w:r>
      <w:r w:rsidR="00F45C95" w:rsidRPr="002E60EB">
        <w:rPr>
          <w:lang w:val="en-US"/>
        </w:rPr>
        <w:t>,</w:t>
      </w:r>
      <w:r w:rsidR="00087093" w:rsidRPr="002E60EB">
        <w:rPr>
          <w:lang w:val="en-US"/>
        </w:rPr>
        <w:t>”</w:t>
      </w:r>
      <w:r w:rsidRPr="002E60EB">
        <w:rPr>
          <w:rStyle w:val="Refdenotaalpie"/>
          <w:lang w:val="en-US"/>
        </w:rPr>
        <w:footnoteReference w:id="42"/>
      </w:r>
      <w:r w:rsidRPr="002E60EB">
        <w:rPr>
          <w:rStyle w:val="Refdenotaalpie"/>
          <w:lang w:val="en-US"/>
        </w:rPr>
        <w:t xml:space="preserve"> </w:t>
      </w:r>
      <w:r w:rsidRPr="002E60EB">
        <w:rPr>
          <w:lang w:val="en-US"/>
        </w:rPr>
        <w:t xml:space="preserve">are also outside the factual framework, with the exception of the alleged context of </w:t>
      </w:r>
      <w:r w:rsidR="00087093" w:rsidRPr="002E60EB">
        <w:rPr>
          <w:lang w:val="en-US"/>
        </w:rPr>
        <w:t>“</w:t>
      </w:r>
      <w:r w:rsidRPr="002E60EB">
        <w:rPr>
          <w:lang w:val="en-US"/>
        </w:rPr>
        <w:t xml:space="preserve">threats and violence […] directed against </w:t>
      </w:r>
      <w:r w:rsidR="00F45C95" w:rsidRPr="002E60EB">
        <w:rPr>
          <w:lang w:val="en-US"/>
        </w:rPr>
        <w:t>those</w:t>
      </w:r>
      <w:r w:rsidRPr="002E60EB">
        <w:rPr>
          <w:lang w:val="en-US"/>
        </w:rPr>
        <w:t xml:space="preserve"> who </w:t>
      </w:r>
      <w:r w:rsidR="00F45C95" w:rsidRPr="002E60EB">
        <w:rPr>
          <w:lang w:val="en-US"/>
        </w:rPr>
        <w:t xml:space="preserve">tried </w:t>
      </w:r>
      <w:r w:rsidRPr="002E60EB">
        <w:rPr>
          <w:lang w:val="en-US"/>
        </w:rPr>
        <w:t>to use the Colombian judicial system to file complain</w:t>
      </w:r>
      <w:r w:rsidR="002677C9" w:rsidRPr="002E60EB">
        <w:rPr>
          <w:lang w:val="en-US"/>
        </w:rPr>
        <w:t>t</w:t>
      </w:r>
      <w:r w:rsidRPr="002E60EB">
        <w:rPr>
          <w:lang w:val="en-US"/>
        </w:rPr>
        <w:t xml:space="preserve">s of this nature and against those who </w:t>
      </w:r>
      <w:r w:rsidR="00F45C95" w:rsidRPr="002E60EB">
        <w:rPr>
          <w:lang w:val="en-US"/>
        </w:rPr>
        <w:t xml:space="preserve">formed </w:t>
      </w:r>
      <w:r w:rsidR="002677C9" w:rsidRPr="002E60EB">
        <w:rPr>
          <w:lang w:val="en-US"/>
        </w:rPr>
        <w:t>part of the latter</w:t>
      </w:r>
      <w:r w:rsidR="00F45C95" w:rsidRPr="002E60EB">
        <w:rPr>
          <w:lang w:val="en-US"/>
        </w:rPr>
        <w:t>,</w:t>
      </w:r>
      <w:r w:rsidR="00087093" w:rsidRPr="002E60EB">
        <w:rPr>
          <w:lang w:val="en-US"/>
        </w:rPr>
        <w:t>”</w:t>
      </w:r>
      <w:r w:rsidRPr="002E60EB">
        <w:rPr>
          <w:rStyle w:val="Refdenotaalpie"/>
          <w:lang w:val="en-US"/>
        </w:rPr>
        <w:footnoteReference w:id="43"/>
      </w:r>
      <w:r w:rsidRPr="002E60EB">
        <w:rPr>
          <w:lang w:val="en-US"/>
        </w:rPr>
        <w:t xml:space="preserve"> </w:t>
      </w:r>
      <w:r w:rsidR="00F45C95" w:rsidRPr="002E60EB">
        <w:rPr>
          <w:lang w:val="en-US"/>
        </w:rPr>
        <w:t xml:space="preserve">because </w:t>
      </w:r>
      <w:r w:rsidRPr="002E60EB">
        <w:rPr>
          <w:lang w:val="en-US"/>
        </w:rPr>
        <w:t xml:space="preserve">the </w:t>
      </w:r>
      <w:r w:rsidR="002677C9" w:rsidRPr="002E60EB">
        <w:rPr>
          <w:lang w:val="en-US"/>
        </w:rPr>
        <w:t>this</w:t>
      </w:r>
      <w:r w:rsidRPr="002E60EB">
        <w:rPr>
          <w:lang w:val="en-US"/>
        </w:rPr>
        <w:t xml:space="preserve"> </w:t>
      </w:r>
      <w:r w:rsidR="00F45C95" w:rsidRPr="002E60EB">
        <w:rPr>
          <w:lang w:val="en-US"/>
        </w:rPr>
        <w:t xml:space="preserve">concurs </w:t>
      </w:r>
      <w:r w:rsidRPr="002E60EB">
        <w:rPr>
          <w:lang w:val="en-US"/>
        </w:rPr>
        <w:t xml:space="preserve">with the </w:t>
      </w:r>
      <w:r w:rsidR="00F45C95" w:rsidRPr="002E60EB">
        <w:rPr>
          <w:lang w:val="en-US"/>
        </w:rPr>
        <w:t xml:space="preserve">above-mentioned </w:t>
      </w:r>
      <w:r w:rsidRPr="002E60EB">
        <w:rPr>
          <w:lang w:val="en-US"/>
        </w:rPr>
        <w:t xml:space="preserve">contextual </w:t>
      </w:r>
      <w:r w:rsidR="00F45C95" w:rsidRPr="002E60EB">
        <w:rPr>
          <w:lang w:val="en-US"/>
        </w:rPr>
        <w:t xml:space="preserve">assertions </w:t>
      </w:r>
      <w:r w:rsidRPr="002E60EB">
        <w:rPr>
          <w:lang w:val="en-US"/>
        </w:rPr>
        <w:t xml:space="preserve">made by the Commission in the </w:t>
      </w:r>
      <w:r w:rsidR="00F45C95" w:rsidRPr="002E60EB">
        <w:rPr>
          <w:lang w:val="en-US"/>
        </w:rPr>
        <w:t xml:space="preserve">Merits </w:t>
      </w:r>
      <w:r w:rsidRPr="002E60EB">
        <w:rPr>
          <w:lang w:val="en-US"/>
        </w:rPr>
        <w:t>Report (</w:t>
      </w:r>
      <w:r w:rsidRPr="002E60EB">
        <w:rPr>
          <w:i/>
          <w:lang w:val="en-US"/>
        </w:rPr>
        <w:t>supra</w:t>
      </w:r>
      <w:r w:rsidR="002677C9" w:rsidRPr="002E60EB">
        <w:rPr>
          <w:lang w:val="en-US"/>
        </w:rPr>
        <w:t xml:space="preserve"> para</w:t>
      </w:r>
      <w:r w:rsidRPr="002E60EB">
        <w:rPr>
          <w:lang w:val="en-US"/>
        </w:rPr>
        <w:t xml:space="preserve">. </w:t>
      </w:r>
      <w:r w:rsidR="00F45C95" w:rsidRPr="002E60EB">
        <w:rPr>
          <w:lang w:val="en-US"/>
        </w:rPr>
        <w:t>49</w:t>
      </w:r>
      <w:r w:rsidRPr="002E60EB">
        <w:rPr>
          <w:lang w:val="en-US"/>
        </w:rPr>
        <w:t xml:space="preserve">). </w:t>
      </w:r>
      <w:r w:rsidR="00F45C95" w:rsidRPr="002E60EB">
        <w:rPr>
          <w:lang w:val="en-US"/>
        </w:rPr>
        <w:t>Regarding</w:t>
      </w:r>
      <w:r w:rsidRPr="002E60EB">
        <w:rPr>
          <w:lang w:val="en-US"/>
        </w:rPr>
        <w:t xml:space="preserve"> the facts </w:t>
      </w:r>
      <w:r w:rsidR="00F45C95" w:rsidRPr="002E60EB">
        <w:rPr>
          <w:lang w:val="en-US"/>
        </w:rPr>
        <w:t xml:space="preserve">included </w:t>
      </w:r>
      <w:r w:rsidRPr="002E60EB">
        <w:rPr>
          <w:lang w:val="en-US"/>
        </w:rPr>
        <w:t xml:space="preserve">in the section </w:t>
      </w:r>
      <w:r w:rsidR="00F45C95" w:rsidRPr="002E60EB">
        <w:rPr>
          <w:lang w:val="en-US"/>
        </w:rPr>
        <w:t>en</w:t>
      </w:r>
      <w:r w:rsidRPr="002E60EB">
        <w:rPr>
          <w:lang w:val="en-US"/>
        </w:rPr>
        <w:t xml:space="preserve">titled </w:t>
      </w:r>
      <w:r w:rsidR="00087093" w:rsidRPr="002E60EB">
        <w:rPr>
          <w:lang w:val="en-US"/>
        </w:rPr>
        <w:t>“</w:t>
      </w:r>
      <w:r w:rsidRPr="002E60EB">
        <w:rPr>
          <w:lang w:val="en-US"/>
        </w:rPr>
        <w:t xml:space="preserve">The </w:t>
      </w:r>
      <w:r w:rsidR="00F45C95" w:rsidRPr="002E60EB">
        <w:rPr>
          <w:lang w:val="en-US"/>
        </w:rPr>
        <w:t>program</w:t>
      </w:r>
      <w:r w:rsidRPr="002E60EB">
        <w:rPr>
          <w:lang w:val="en-US"/>
        </w:rPr>
        <w:t xml:space="preserve"> to </w:t>
      </w:r>
      <w:r w:rsidR="00F45C95" w:rsidRPr="002E60EB">
        <w:rPr>
          <w:lang w:val="en-US"/>
        </w:rPr>
        <w:t>e</w:t>
      </w:r>
      <w:r w:rsidRPr="002E60EB">
        <w:rPr>
          <w:lang w:val="en-US"/>
        </w:rPr>
        <w:t xml:space="preserve">radicate </w:t>
      </w:r>
      <w:r w:rsidR="00F45C95" w:rsidRPr="002E60EB">
        <w:rPr>
          <w:lang w:val="en-US"/>
        </w:rPr>
        <w:t>coca</w:t>
      </w:r>
      <w:r w:rsidRPr="002E60EB">
        <w:rPr>
          <w:lang w:val="en-US"/>
        </w:rPr>
        <w:t xml:space="preserve"> </w:t>
      </w:r>
      <w:r w:rsidR="00F45C95" w:rsidRPr="002E60EB">
        <w:rPr>
          <w:lang w:val="en-US"/>
        </w:rPr>
        <w:t>c</w:t>
      </w:r>
      <w:r w:rsidRPr="002E60EB">
        <w:rPr>
          <w:lang w:val="en-US"/>
        </w:rPr>
        <w:t xml:space="preserve">ultivation and </w:t>
      </w:r>
      <w:r w:rsidR="00F45C95" w:rsidRPr="002E60EB">
        <w:rPr>
          <w:lang w:val="en-US"/>
        </w:rPr>
        <w:t>p</w:t>
      </w:r>
      <w:r w:rsidRPr="002E60EB">
        <w:rPr>
          <w:lang w:val="en-US"/>
        </w:rPr>
        <w:t xml:space="preserve">easant </w:t>
      </w:r>
      <w:r w:rsidR="00F45C95" w:rsidRPr="002E60EB">
        <w:rPr>
          <w:lang w:val="en-US"/>
        </w:rPr>
        <w:t>protests,</w:t>
      </w:r>
      <w:r w:rsidR="00087093" w:rsidRPr="002E60EB">
        <w:rPr>
          <w:lang w:val="en-US"/>
        </w:rPr>
        <w:t>”</w:t>
      </w:r>
      <w:r w:rsidRPr="002E60EB">
        <w:rPr>
          <w:rStyle w:val="Refdenotaalpie"/>
          <w:lang w:val="en-US"/>
        </w:rPr>
        <w:footnoteReference w:id="44"/>
      </w:r>
      <w:r w:rsidRPr="002E60EB">
        <w:rPr>
          <w:lang w:val="en-US"/>
        </w:rPr>
        <w:t xml:space="preserve"> the Court </w:t>
      </w:r>
      <w:r w:rsidR="00F45C95" w:rsidRPr="002E60EB">
        <w:rPr>
          <w:lang w:val="en-US"/>
        </w:rPr>
        <w:t>notes</w:t>
      </w:r>
      <w:r w:rsidRPr="002E60EB">
        <w:rPr>
          <w:lang w:val="en-US"/>
        </w:rPr>
        <w:t xml:space="preserve"> that they </w:t>
      </w:r>
      <w:r w:rsidR="00F45C95" w:rsidRPr="002E60EB">
        <w:rPr>
          <w:lang w:val="en-US"/>
        </w:rPr>
        <w:t xml:space="preserve">related, above all, </w:t>
      </w:r>
      <w:r w:rsidRPr="002E60EB">
        <w:rPr>
          <w:lang w:val="en-US"/>
        </w:rPr>
        <w:t>to other alleged abuses and violations of human rights supposedly committed by security forces between July and December of 1996, thus</w:t>
      </w:r>
      <w:r w:rsidR="00F45C95" w:rsidRPr="002E60EB">
        <w:rPr>
          <w:lang w:val="en-US"/>
        </w:rPr>
        <w:t xml:space="preserve"> they </w:t>
      </w:r>
      <w:r w:rsidR="00522BAD" w:rsidRPr="002E60EB">
        <w:rPr>
          <w:lang w:val="en-US"/>
        </w:rPr>
        <w:t>fall outside</w:t>
      </w:r>
      <w:r w:rsidRPr="002E60EB">
        <w:rPr>
          <w:lang w:val="en-US"/>
        </w:rPr>
        <w:t xml:space="preserve"> the facts of </w:t>
      </w:r>
      <w:r w:rsidR="00522BAD" w:rsidRPr="002E60EB">
        <w:rPr>
          <w:lang w:val="en-US"/>
        </w:rPr>
        <w:t>this</w:t>
      </w:r>
      <w:r w:rsidR="00F45C95" w:rsidRPr="002E60EB">
        <w:rPr>
          <w:lang w:val="en-US"/>
        </w:rPr>
        <w:t xml:space="preserve"> </w:t>
      </w:r>
      <w:r w:rsidRPr="002E60EB">
        <w:rPr>
          <w:lang w:val="en-US"/>
        </w:rPr>
        <w:t>case.</w:t>
      </w:r>
    </w:p>
    <w:p w:rsidR="00522BAD" w:rsidRPr="002E60EB" w:rsidRDefault="00522BAD" w:rsidP="00317748">
      <w:pPr>
        <w:tabs>
          <w:tab w:val="left" w:pos="720"/>
        </w:tabs>
        <w:jc w:val="both"/>
        <w:rPr>
          <w:rFonts w:cs="Verdana"/>
          <w:lang w:val="en-US"/>
        </w:rPr>
      </w:pPr>
    </w:p>
    <w:p w:rsidR="00522BAD" w:rsidRPr="002E60EB" w:rsidRDefault="00522BAD" w:rsidP="00317748">
      <w:pPr>
        <w:numPr>
          <w:ilvl w:val="0"/>
          <w:numId w:val="1"/>
        </w:numPr>
        <w:tabs>
          <w:tab w:val="left" w:pos="720"/>
        </w:tabs>
        <w:jc w:val="both"/>
        <w:rPr>
          <w:rFonts w:cs="Verdana"/>
          <w:lang w:val="en-US"/>
        </w:rPr>
      </w:pPr>
      <w:r w:rsidRPr="002E60EB">
        <w:rPr>
          <w:rFonts w:cs="Verdana"/>
          <w:lang w:val="en-US"/>
        </w:rPr>
        <w:t>Furthermore</w:t>
      </w:r>
      <w:r w:rsidR="00E15BBF" w:rsidRPr="002E60EB">
        <w:rPr>
          <w:rFonts w:cs="Verdana"/>
          <w:lang w:val="en-US"/>
        </w:rPr>
        <w:t xml:space="preserve">, the Court </w:t>
      </w:r>
      <w:r w:rsidRPr="002E60EB">
        <w:rPr>
          <w:rFonts w:cs="Verdana"/>
          <w:lang w:val="en-US"/>
        </w:rPr>
        <w:t>has verified that the Commission did not insert the fact of the attack perpetrated against Mr. Vélez Restrepo on August 29, 1996, within a context of violence against journalists by State agents.</w:t>
      </w:r>
      <w:r w:rsidRPr="002E60EB">
        <w:rPr>
          <w:rStyle w:val="Refdenotaalpie"/>
          <w:lang w:val="en-US"/>
        </w:rPr>
        <w:footnoteReference w:id="45"/>
      </w:r>
      <w:r w:rsidRPr="002E60EB">
        <w:rPr>
          <w:rFonts w:cs="Verdana"/>
          <w:lang w:val="en-US"/>
        </w:rPr>
        <w:t xml:space="preserve"> The Court will only take into account the references to a possible context of special risk for journalists in Colombia to the extent that they are useful to analyze the State’s obligation to guarantee life and safety in relation to the supposed threats and harassment against Mr. Vélez Restrepo and his family that occurred after the attack of August 29, 1996. In this regard, the Court recalls that, during the public hearing in this case, it asked Colombia to provide useful information in relation to this alleged context,</w:t>
      </w:r>
      <w:r w:rsidRPr="002E60EB">
        <w:rPr>
          <w:rStyle w:val="Refdenotaalpie"/>
          <w:lang w:val="en-US"/>
        </w:rPr>
        <w:footnoteReference w:id="46"/>
      </w:r>
      <w:r w:rsidRPr="002E60EB">
        <w:rPr>
          <w:rFonts w:cs="Verdana"/>
          <w:lang w:val="en-US"/>
        </w:rPr>
        <w:t xml:space="preserve"> which the State provided with its final written arguments</w:t>
      </w:r>
    </w:p>
    <w:p w:rsidR="00E15BBF" w:rsidRPr="002E60EB" w:rsidRDefault="00E15BBF" w:rsidP="00317748">
      <w:pPr>
        <w:tabs>
          <w:tab w:val="left" w:pos="720"/>
        </w:tabs>
        <w:jc w:val="both"/>
        <w:rPr>
          <w:rFonts w:cs="Verdana"/>
          <w:lang w:val="en-US"/>
        </w:rPr>
      </w:pPr>
    </w:p>
    <w:p w:rsidR="00E15BBF" w:rsidRPr="002E60EB" w:rsidRDefault="00E15BBF" w:rsidP="00317748">
      <w:pPr>
        <w:numPr>
          <w:ilvl w:val="0"/>
          <w:numId w:val="1"/>
        </w:numPr>
        <w:tabs>
          <w:tab w:val="left" w:pos="720"/>
        </w:tabs>
        <w:jc w:val="both"/>
        <w:rPr>
          <w:rFonts w:cs="Verdana"/>
          <w:lang w:val="en-US"/>
        </w:rPr>
      </w:pPr>
      <w:r w:rsidRPr="002E60EB">
        <w:rPr>
          <w:rFonts w:cs="Verdana"/>
          <w:lang w:val="en-US"/>
        </w:rPr>
        <w:t xml:space="preserve">The Court </w:t>
      </w:r>
      <w:r w:rsidR="00522BAD" w:rsidRPr="002E60EB">
        <w:rPr>
          <w:rFonts w:cs="Verdana"/>
          <w:lang w:val="en-US"/>
        </w:rPr>
        <w:t xml:space="preserve">places </w:t>
      </w:r>
      <w:r w:rsidRPr="002E60EB">
        <w:rPr>
          <w:rFonts w:cs="Verdana"/>
          <w:lang w:val="en-US"/>
        </w:rPr>
        <w:t>the facts of the present case in context</w:t>
      </w:r>
      <w:r w:rsidR="00522BAD" w:rsidRPr="002E60EB">
        <w:rPr>
          <w:rFonts w:cs="Verdana"/>
          <w:lang w:val="en-US"/>
        </w:rPr>
        <w:t xml:space="preserve"> in order to understand them adequately</w:t>
      </w:r>
      <w:r w:rsidRPr="002E60EB">
        <w:rPr>
          <w:rFonts w:cs="Verdana"/>
          <w:lang w:val="en-US"/>
        </w:rPr>
        <w:t xml:space="preserve"> and in order to </w:t>
      </w:r>
      <w:r w:rsidR="00522BAD" w:rsidRPr="002E60EB">
        <w:rPr>
          <w:rFonts w:cs="Verdana"/>
          <w:lang w:val="en-US"/>
        </w:rPr>
        <w:t>rule</w:t>
      </w:r>
      <w:r w:rsidRPr="002E60EB">
        <w:rPr>
          <w:rFonts w:cs="Verdana"/>
          <w:lang w:val="en-US"/>
        </w:rPr>
        <w:t xml:space="preserve"> on the </w:t>
      </w:r>
      <w:r w:rsidR="00522BAD" w:rsidRPr="002E60EB">
        <w:rPr>
          <w:rFonts w:cs="Verdana"/>
          <w:lang w:val="en-US"/>
        </w:rPr>
        <w:t xml:space="preserve">State’s </w:t>
      </w:r>
      <w:r w:rsidRPr="002E60EB">
        <w:rPr>
          <w:rFonts w:cs="Verdana"/>
          <w:lang w:val="en-US"/>
        </w:rPr>
        <w:t xml:space="preserve">responsibility for the specific </w:t>
      </w:r>
      <w:r w:rsidR="00522BAD" w:rsidRPr="002E60EB">
        <w:rPr>
          <w:rFonts w:cs="Verdana"/>
          <w:lang w:val="en-US"/>
        </w:rPr>
        <w:t>f</w:t>
      </w:r>
      <w:r w:rsidRPr="002E60EB">
        <w:rPr>
          <w:rFonts w:cs="Verdana"/>
          <w:lang w:val="en-US"/>
        </w:rPr>
        <w:t xml:space="preserve">acts </w:t>
      </w:r>
      <w:r w:rsidR="00522BAD" w:rsidRPr="002E60EB">
        <w:rPr>
          <w:rFonts w:cs="Verdana"/>
          <w:lang w:val="en-US"/>
        </w:rPr>
        <w:t>of</w:t>
      </w:r>
      <w:r w:rsidRPr="002E60EB">
        <w:rPr>
          <w:rFonts w:cs="Verdana"/>
          <w:lang w:val="en-US"/>
        </w:rPr>
        <w:t xml:space="preserve"> this case, but</w:t>
      </w:r>
      <w:r w:rsidR="00522BAD" w:rsidRPr="002E60EB">
        <w:rPr>
          <w:rFonts w:cs="Verdana"/>
          <w:lang w:val="en-US"/>
        </w:rPr>
        <w:t>, in doing so,</w:t>
      </w:r>
      <w:r w:rsidRPr="002E60EB">
        <w:rPr>
          <w:rFonts w:cs="Verdana"/>
          <w:lang w:val="en-US"/>
        </w:rPr>
        <w:t xml:space="preserve"> it does not </w:t>
      </w:r>
      <w:r w:rsidR="00522BAD" w:rsidRPr="002E60EB">
        <w:rPr>
          <w:rFonts w:cs="Verdana"/>
          <w:lang w:val="en-US"/>
        </w:rPr>
        <w:t xml:space="preserve">seek to rule </w:t>
      </w:r>
      <w:r w:rsidRPr="002E60EB">
        <w:rPr>
          <w:rFonts w:cs="Verdana"/>
          <w:lang w:val="en-US"/>
        </w:rPr>
        <w:t>on</w:t>
      </w:r>
      <w:r w:rsidR="002677C9" w:rsidRPr="002E60EB">
        <w:rPr>
          <w:rFonts w:cs="Verdana"/>
          <w:lang w:val="en-US"/>
        </w:rPr>
        <w:t xml:space="preserve"> </w:t>
      </w:r>
      <w:r w:rsidRPr="002E60EB">
        <w:rPr>
          <w:rFonts w:cs="Verdana"/>
          <w:lang w:val="en-US"/>
        </w:rPr>
        <w:t xml:space="preserve">the </w:t>
      </w:r>
      <w:r w:rsidR="00522BAD" w:rsidRPr="002E60EB">
        <w:rPr>
          <w:rFonts w:cs="Verdana"/>
          <w:lang w:val="en-US"/>
        </w:rPr>
        <w:t>di</w:t>
      </w:r>
      <w:r w:rsidR="002677C9" w:rsidRPr="002E60EB">
        <w:rPr>
          <w:rFonts w:cs="Verdana"/>
          <w:lang w:val="en-US"/>
        </w:rPr>
        <w:t xml:space="preserve">verse </w:t>
      </w:r>
      <w:r w:rsidRPr="002E60EB">
        <w:rPr>
          <w:rFonts w:cs="Verdana"/>
          <w:lang w:val="en-US"/>
        </w:rPr>
        <w:t xml:space="preserve">circumstances </w:t>
      </w:r>
      <w:r w:rsidR="00522BAD" w:rsidRPr="002E60EB">
        <w:rPr>
          <w:rFonts w:cs="Verdana"/>
          <w:lang w:val="en-US"/>
        </w:rPr>
        <w:t>included in</w:t>
      </w:r>
      <w:r w:rsidRPr="002E60EB">
        <w:rPr>
          <w:rFonts w:cs="Verdana"/>
          <w:lang w:val="en-US"/>
        </w:rPr>
        <w:t xml:space="preserve"> that context.</w:t>
      </w:r>
      <w:r w:rsidRPr="002E60EB">
        <w:rPr>
          <w:rStyle w:val="Refdenotaalpie"/>
          <w:bCs/>
          <w:lang w:val="en-US"/>
        </w:rPr>
        <w:footnoteReference w:id="47"/>
      </w:r>
    </w:p>
    <w:p w:rsidR="00E15BBF" w:rsidRPr="002E60EB" w:rsidRDefault="00E15BBF" w:rsidP="00317748">
      <w:pPr>
        <w:autoSpaceDE w:val="0"/>
        <w:autoSpaceDN w:val="0"/>
        <w:adjustRightInd w:val="0"/>
        <w:jc w:val="both"/>
        <w:rPr>
          <w:b/>
          <w:lang w:val="en-US"/>
        </w:rPr>
      </w:pPr>
    </w:p>
    <w:p w:rsidR="00E15BBF" w:rsidRPr="002E60EB" w:rsidRDefault="00E15BBF" w:rsidP="00317748">
      <w:pPr>
        <w:autoSpaceDE w:val="0"/>
        <w:autoSpaceDN w:val="0"/>
        <w:adjustRightInd w:val="0"/>
        <w:ind w:firstLine="720"/>
        <w:jc w:val="both"/>
        <w:rPr>
          <w:i/>
          <w:lang w:val="en-US"/>
        </w:rPr>
      </w:pPr>
      <w:r w:rsidRPr="002E60EB">
        <w:rPr>
          <w:i/>
          <w:lang w:val="en-US"/>
        </w:rPr>
        <w:t xml:space="preserve">B.2) Regarding other facts included in the </w:t>
      </w:r>
      <w:r w:rsidR="00BA7355" w:rsidRPr="002E60EB">
        <w:rPr>
          <w:i/>
          <w:lang w:val="en-US"/>
        </w:rPr>
        <w:t>pleadings and motions brief</w:t>
      </w:r>
    </w:p>
    <w:p w:rsidR="00E15BBF" w:rsidRPr="002E60EB" w:rsidRDefault="00E15BBF" w:rsidP="00317748">
      <w:pPr>
        <w:tabs>
          <w:tab w:val="left" w:pos="720"/>
        </w:tabs>
        <w:jc w:val="both"/>
        <w:rPr>
          <w:rFonts w:cs="Verdana"/>
          <w:lang w:val="en-US"/>
        </w:rPr>
      </w:pPr>
    </w:p>
    <w:p w:rsidR="00E15BBF" w:rsidRPr="002E60EB" w:rsidRDefault="009439AF" w:rsidP="00317748">
      <w:pPr>
        <w:numPr>
          <w:ilvl w:val="0"/>
          <w:numId w:val="1"/>
        </w:numPr>
        <w:tabs>
          <w:tab w:val="left" w:pos="720"/>
        </w:tabs>
        <w:jc w:val="both"/>
        <w:rPr>
          <w:lang w:val="en-US"/>
        </w:rPr>
      </w:pPr>
      <w:r w:rsidRPr="002E60EB">
        <w:rPr>
          <w:lang w:val="en-US"/>
        </w:rPr>
        <w:t>As already indicated (</w:t>
      </w:r>
      <w:r w:rsidRPr="002E60EB">
        <w:rPr>
          <w:i/>
          <w:lang w:val="en-US"/>
        </w:rPr>
        <w:t>supra</w:t>
      </w:r>
      <w:r w:rsidRPr="002E60EB">
        <w:rPr>
          <w:lang w:val="en-US"/>
        </w:rPr>
        <w:t xml:space="preserve"> para. 47), this Court cannot rule on events that do not form part of the factual framework contained in the Commission’s Merits Report. Consequently, the Court will not analyze</w:t>
      </w:r>
      <w:r w:rsidR="002677C9" w:rsidRPr="002E60EB">
        <w:rPr>
          <w:lang w:val="en-US"/>
        </w:rPr>
        <w:t xml:space="preserve"> the facts</w:t>
      </w:r>
      <w:r w:rsidRPr="002E60EB">
        <w:rPr>
          <w:lang w:val="en-US"/>
        </w:rPr>
        <w:t xml:space="preserve"> included in the pleadings and motions brief relating to the presumed accusation by a certain Army General </w:t>
      </w:r>
      <w:r w:rsidR="00E15BBF" w:rsidRPr="002E60EB">
        <w:rPr>
          <w:lang w:val="en-US"/>
        </w:rPr>
        <w:t xml:space="preserve">against Mr. Vélez Restrepo </w:t>
      </w:r>
      <w:r w:rsidRPr="002E60EB">
        <w:rPr>
          <w:lang w:val="en-US"/>
        </w:rPr>
        <w:t>that he was</w:t>
      </w:r>
      <w:r w:rsidR="00E15BBF" w:rsidRPr="002E60EB">
        <w:rPr>
          <w:lang w:val="en-US"/>
        </w:rPr>
        <w:t xml:space="preserve"> </w:t>
      </w:r>
      <w:r w:rsidR="00087093" w:rsidRPr="002E60EB">
        <w:rPr>
          <w:lang w:val="en-US"/>
        </w:rPr>
        <w:t>“</w:t>
      </w:r>
      <w:r w:rsidRPr="002E60EB">
        <w:rPr>
          <w:lang w:val="en-US"/>
        </w:rPr>
        <w:t>a</w:t>
      </w:r>
      <w:r w:rsidR="00E15BBF" w:rsidRPr="002E60EB">
        <w:rPr>
          <w:lang w:val="en-US"/>
        </w:rPr>
        <w:t xml:space="preserve"> FARC</w:t>
      </w:r>
      <w:r w:rsidRPr="002E60EB">
        <w:rPr>
          <w:lang w:val="en-US"/>
        </w:rPr>
        <w:t xml:space="preserve"> sympathizer</w:t>
      </w:r>
      <w:r w:rsidR="002677C9" w:rsidRPr="002E60EB">
        <w:rPr>
          <w:lang w:val="en-US"/>
        </w:rPr>
        <w:t>,</w:t>
      </w:r>
      <w:r w:rsidR="00087093" w:rsidRPr="002E60EB">
        <w:rPr>
          <w:lang w:val="en-US"/>
        </w:rPr>
        <w:t>”</w:t>
      </w:r>
      <w:r w:rsidR="00E15BBF" w:rsidRPr="002E60EB">
        <w:rPr>
          <w:rStyle w:val="Refdenotaalpie"/>
          <w:lang w:val="en-US"/>
        </w:rPr>
        <w:footnoteReference w:id="48"/>
      </w:r>
      <w:r w:rsidR="00E15BBF" w:rsidRPr="002E60EB">
        <w:rPr>
          <w:lang w:val="en-US"/>
        </w:rPr>
        <w:t xml:space="preserve"> </w:t>
      </w:r>
      <w:r w:rsidRPr="002E60EB">
        <w:rPr>
          <w:lang w:val="en-US"/>
        </w:rPr>
        <w:t>or</w:t>
      </w:r>
      <w:r w:rsidR="00E15BBF" w:rsidRPr="002E60EB">
        <w:rPr>
          <w:lang w:val="en-US"/>
        </w:rPr>
        <w:t xml:space="preserve"> the </w:t>
      </w:r>
      <w:r w:rsidRPr="002E60EB">
        <w:rPr>
          <w:lang w:val="en-US"/>
        </w:rPr>
        <w:t xml:space="preserve">supposed </w:t>
      </w:r>
      <w:r w:rsidR="00E15BBF" w:rsidRPr="002E60EB">
        <w:rPr>
          <w:lang w:val="en-US"/>
        </w:rPr>
        <w:t>convers</w:t>
      </w:r>
      <w:r w:rsidR="002677C9" w:rsidRPr="002E60EB">
        <w:rPr>
          <w:lang w:val="en-US"/>
        </w:rPr>
        <w:t>ation between Mr. Vélez and the</w:t>
      </w:r>
      <w:r w:rsidRPr="002E60EB">
        <w:rPr>
          <w:lang w:val="en-US"/>
        </w:rPr>
        <w:t xml:space="preserve"> </w:t>
      </w:r>
      <w:r w:rsidR="00E15BBF" w:rsidRPr="002E60EB">
        <w:rPr>
          <w:lang w:val="en-US"/>
        </w:rPr>
        <w:t>President of the Republic</w:t>
      </w:r>
      <w:r w:rsidRPr="002E60EB">
        <w:rPr>
          <w:lang w:val="en-US"/>
        </w:rPr>
        <w:t xml:space="preserve"> at the time</w:t>
      </w:r>
      <w:r w:rsidR="002677C9" w:rsidRPr="002E60EB">
        <w:rPr>
          <w:lang w:val="en-US"/>
        </w:rPr>
        <w:t>,</w:t>
      </w:r>
      <w:r w:rsidR="00E15BBF" w:rsidRPr="002E60EB">
        <w:rPr>
          <w:lang w:val="en-US"/>
        </w:rPr>
        <w:t xml:space="preserve"> during a </w:t>
      </w:r>
      <w:r w:rsidRPr="002E60EB">
        <w:rPr>
          <w:lang w:val="en-US"/>
        </w:rPr>
        <w:t>working trip</w:t>
      </w:r>
      <w:r w:rsidR="00E15BBF" w:rsidRPr="002E60EB">
        <w:rPr>
          <w:lang w:val="en-US"/>
        </w:rPr>
        <w:t xml:space="preserve"> in late September 1996</w:t>
      </w:r>
      <w:r w:rsidR="002677C9" w:rsidRPr="002E60EB">
        <w:rPr>
          <w:lang w:val="en-US"/>
        </w:rPr>
        <w:t>,</w:t>
      </w:r>
      <w:r w:rsidR="00E15BBF" w:rsidRPr="002E60EB">
        <w:rPr>
          <w:lang w:val="en-US"/>
        </w:rPr>
        <w:t xml:space="preserve"> </w:t>
      </w:r>
      <w:r w:rsidRPr="002E60EB">
        <w:rPr>
          <w:lang w:val="en-US"/>
        </w:rPr>
        <w:t>during</w:t>
      </w:r>
      <w:r w:rsidR="00E15BBF" w:rsidRPr="002E60EB">
        <w:rPr>
          <w:lang w:val="en-US"/>
        </w:rPr>
        <w:t xml:space="preserve"> which </w:t>
      </w:r>
      <w:r w:rsidRPr="002E60EB">
        <w:rPr>
          <w:lang w:val="en-US"/>
        </w:rPr>
        <w:t>Mr. Vélez</w:t>
      </w:r>
      <w:r w:rsidR="00E15BBF" w:rsidRPr="002E60EB">
        <w:rPr>
          <w:lang w:val="en-US"/>
        </w:rPr>
        <w:t xml:space="preserve"> told </w:t>
      </w:r>
      <w:r w:rsidRPr="002E60EB">
        <w:rPr>
          <w:lang w:val="en-US"/>
        </w:rPr>
        <w:t xml:space="preserve">him </w:t>
      </w:r>
      <w:r w:rsidR="00E15BBF" w:rsidRPr="002E60EB">
        <w:rPr>
          <w:lang w:val="en-US"/>
        </w:rPr>
        <w:t xml:space="preserve">about the persecution </w:t>
      </w:r>
      <w:r w:rsidRPr="002E60EB">
        <w:rPr>
          <w:lang w:val="en-US"/>
        </w:rPr>
        <w:t>he was experiencing</w:t>
      </w:r>
      <w:r w:rsidR="00E15BBF" w:rsidRPr="002E60EB">
        <w:rPr>
          <w:lang w:val="en-US"/>
        </w:rPr>
        <w:t>.</w:t>
      </w:r>
      <w:r w:rsidR="00E15BBF" w:rsidRPr="002E60EB">
        <w:rPr>
          <w:rStyle w:val="Refdenotaalpie"/>
          <w:lang w:val="en-US"/>
        </w:rPr>
        <w:footnoteReference w:id="49"/>
      </w:r>
      <w:r w:rsidR="00E15BBF" w:rsidRPr="002E60EB">
        <w:rPr>
          <w:lang w:val="en-US"/>
        </w:rPr>
        <w:t xml:space="preserve"> </w:t>
      </w:r>
      <w:r w:rsidRPr="002E60EB">
        <w:rPr>
          <w:lang w:val="en-US"/>
        </w:rPr>
        <w:t>Consequently,</w:t>
      </w:r>
      <w:r w:rsidR="00E15BBF" w:rsidRPr="002E60EB">
        <w:rPr>
          <w:lang w:val="en-US"/>
        </w:rPr>
        <w:t xml:space="preserve"> the Court will not rule on the alleged violation of Article 11 of the American Convention in relation to</w:t>
      </w:r>
      <w:r w:rsidRPr="002E60EB">
        <w:rPr>
          <w:lang w:val="en-US"/>
        </w:rPr>
        <w:t xml:space="preserve"> the first of</w:t>
      </w:r>
      <w:r w:rsidR="00E15BBF" w:rsidRPr="002E60EB">
        <w:rPr>
          <w:lang w:val="en-US"/>
        </w:rPr>
        <w:t xml:space="preserve"> </w:t>
      </w:r>
      <w:r w:rsidRPr="002E60EB">
        <w:rPr>
          <w:lang w:val="en-US"/>
        </w:rPr>
        <w:t>these</w:t>
      </w:r>
      <w:r w:rsidR="00E15BBF" w:rsidRPr="002E60EB">
        <w:rPr>
          <w:lang w:val="en-US"/>
        </w:rPr>
        <w:t xml:space="preserve"> facts, and</w:t>
      </w:r>
      <w:r w:rsidR="002677C9" w:rsidRPr="002E60EB">
        <w:rPr>
          <w:lang w:val="en-US"/>
        </w:rPr>
        <w:t xml:space="preserve"> will not take</w:t>
      </w:r>
      <w:r w:rsidRPr="002E60EB">
        <w:rPr>
          <w:lang w:val="en-US"/>
        </w:rPr>
        <w:t xml:space="preserve"> into account the second fact when ruling </w:t>
      </w:r>
      <w:r w:rsidR="00E15BBF" w:rsidRPr="002E60EB">
        <w:rPr>
          <w:lang w:val="en-US"/>
        </w:rPr>
        <w:t>on the violations of Articles 5 and 13 of the Convention.</w:t>
      </w:r>
    </w:p>
    <w:p w:rsidR="00E15BBF" w:rsidRPr="002E60EB" w:rsidRDefault="00E15BBF" w:rsidP="00317748">
      <w:pPr>
        <w:tabs>
          <w:tab w:val="left" w:pos="720"/>
        </w:tabs>
        <w:jc w:val="both"/>
        <w:rPr>
          <w:rFonts w:cs="Verdana"/>
          <w:lang w:val="en-US"/>
        </w:rPr>
      </w:pPr>
    </w:p>
    <w:p w:rsidR="004864BA" w:rsidRPr="002E60EB" w:rsidRDefault="009439AF" w:rsidP="00317748">
      <w:pPr>
        <w:numPr>
          <w:ilvl w:val="0"/>
          <w:numId w:val="1"/>
        </w:numPr>
        <w:tabs>
          <w:tab w:val="left" w:pos="720"/>
        </w:tabs>
        <w:jc w:val="both"/>
        <w:rPr>
          <w:rFonts w:cs="Verdana"/>
          <w:lang w:val="en-US"/>
        </w:rPr>
      </w:pPr>
      <w:r w:rsidRPr="002E60EB">
        <w:rPr>
          <w:lang w:val="en-US"/>
        </w:rPr>
        <w:t>However</w:t>
      </w:r>
      <w:r w:rsidR="00E15BBF" w:rsidRPr="002E60EB">
        <w:rPr>
          <w:lang w:val="en-US"/>
        </w:rPr>
        <w:t xml:space="preserve">, the Court considers that </w:t>
      </w:r>
      <w:r w:rsidRPr="002E60EB">
        <w:rPr>
          <w:lang w:val="en-US"/>
        </w:rPr>
        <w:t>numerous</w:t>
      </w:r>
      <w:r w:rsidR="00E15BBF" w:rsidRPr="002E60EB">
        <w:rPr>
          <w:lang w:val="en-US"/>
        </w:rPr>
        <w:t xml:space="preserve"> facts explained by the representative in the </w:t>
      </w:r>
      <w:r w:rsidR="00BA7355" w:rsidRPr="002E60EB">
        <w:rPr>
          <w:lang w:val="en-US"/>
        </w:rPr>
        <w:t>pleadings and motions brief</w:t>
      </w:r>
      <w:r w:rsidR="00E15BBF" w:rsidRPr="002E60EB">
        <w:rPr>
          <w:lang w:val="en-US"/>
        </w:rPr>
        <w:t xml:space="preserve"> </w:t>
      </w:r>
      <w:r w:rsidR="00716625" w:rsidRPr="002E60EB">
        <w:rPr>
          <w:lang w:val="en-US"/>
        </w:rPr>
        <w:t>that the State</w:t>
      </w:r>
      <w:r w:rsidR="00E15BBF" w:rsidRPr="002E60EB">
        <w:rPr>
          <w:lang w:val="en-US"/>
        </w:rPr>
        <w:t xml:space="preserve"> objected</w:t>
      </w:r>
      <w:r w:rsidR="00716625" w:rsidRPr="002E60EB">
        <w:rPr>
          <w:lang w:val="en-US"/>
        </w:rPr>
        <w:t xml:space="preserve"> to</w:t>
      </w:r>
      <w:r w:rsidR="00E15BBF" w:rsidRPr="002E60EB">
        <w:rPr>
          <w:lang w:val="en-US"/>
        </w:rPr>
        <w:t xml:space="preserve">, are related to the facts presented by the Commission in the factual framework of the </w:t>
      </w:r>
      <w:r w:rsidR="00716625" w:rsidRPr="002E60EB">
        <w:rPr>
          <w:lang w:val="en-US"/>
        </w:rPr>
        <w:t>Merits Report</w:t>
      </w:r>
      <w:r w:rsidR="00E15BBF" w:rsidRPr="002E60EB">
        <w:rPr>
          <w:lang w:val="en-US"/>
        </w:rPr>
        <w:t xml:space="preserve">. </w:t>
      </w:r>
      <w:r w:rsidR="00716625" w:rsidRPr="002E60EB">
        <w:rPr>
          <w:lang w:val="en-US"/>
        </w:rPr>
        <w:t>This is the case of the following presumed facts:</w:t>
      </w:r>
    </w:p>
    <w:p w:rsidR="00E15BBF" w:rsidRPr="002E60EB" w:rsidRDefault="00E15BBF" w:rsidP="004864BA">
      <w:pPr>
        <w:tabs>
          <w:tab w:val="left" w:pos="720"/>
        </w:tabs>
        <w:jc w:val="both"/>
        <w:rPr>
          <w:rFonts w:cs="Verdana"/>
          <w:lang w:val="en-US"/>
        </w:rPr>
      </w:pPr>
    </w:p>
    <w:p w:rsidR="00E15BBF" w:rsidRPr="002E60EB" w:rsidRDefault="00716625" w:rsidP="00317748">
      <w:pPr>
        <w:pStyle w:val="MediumGrid1-Accent21"/>
        <w:numPr>
          <w:ilvl w:val="0"/>
          <w:numId w:val="11"/>
        </w:numPr>
        <w:ind w:firstLine="0"/>
        <w:contextualSpacing/>
        <w:jc w:val="both"/>
        <w:rPr>
          <w:lang w:val="en-US"/>
        </w:rPr>
      </w:pPr>
      <w:r w:rsidRPr="002E60EB">
        <w:rPr>
          <w:lang w:val="en-US"/>
        </w:rPr>
        <w:t>T</w:t>
      </w:r>
      <w:r w:rsidR="00E15BBF" w:rsidRPr="002E60EB">
        <w:rPr>
          <w:lang w:val="en-US"/>
        </w:rPr>
        <w:t xml:space="preserve">hose that describe the </w:t>
      </w:r>
      <w:r w:rsidRPr="002E60EB">
        <w:rPr>
          <w:lang w:val="en-US"/>
        </w:rPr>
        <w:t xml:space="preserve">presumed </w:t>
      </w:r>
      <w:r w:rsidR="00E15BBF" w:rsidRPr="002E60EB">
        <w:rPr>
          <w:lang w:val="en-US"/>
        </w:rPr>
        <w:t>meeting that Mr. Vélez Restrepo had with the director</w:t>
      </w:r>
      <w:r w:rsidRPr="002E60EB">
        <w:rPr>
          <w:lang w:val="en-US"/>
        </w:rPr>
        <w:t xml:space="preserve"> of the news program</w:t>
      </w:r>
      <w:r w:rsidR="00E15BBF" w:rsidRPr="002E60EB">
        <w:rPr>
          <w:lang w:val="en-US"/>
        </w:rPr>
        <w:t xml:space="preserve"> </w:t>
      </w:r>
      <w:r w:rsidRPr="002E60EB">
        <w:rPr>
          <w:lang w:val="en-US"/>
        </w:rPr>
        <w:t xml:space="preserve">for which </w:t>
      </w:r>
      <w:r w:rsidR="00E15BBF" w:rsidRPr="002E60EB">
        <w:rPr>
          <w:lang w:val="en-US"/>
        </w:rPr>
        <w:t xml:space="preserve">he worked, where </w:t>
      </w:r>
      <w:r w:rsidR="00087093" w:rsidRPr="002E60EB">
        <w:rPr>
          <w:lang w:val="en-US"/>
        </w:rPr>
        <w:t>“</w:t>
      </w:r>
      <w:r w:rsidR="00E15BBF" w:rsidRPr="002E60EB">
        <w:rPr>
          <w:lang w:val="en-US"/>
        </w:rPr>
        <w:t xml:space="preserve">he was </w:t>
      </w:r>
      <w:r w:rsidRPr="002E60EB">
        <w:rPr>
          <w:lang w:val="en-US"/>
        </w:rPr>
        <w:t>asked</w:t>
      </w:r>
      <w:r w:rsidR="00E15BBF" w:rsidRPr="002E60EB">
        <w:rPr>
          <w:lang w:val="en-US"/>
        </w:rPr>
        <w:t xml:space="preserve"> to abandon all legal actions regarding the attack in </w:t>
      </w:r>
      <w:r w:rsidR="001E57DA" w:rsidRPr="002E60EB">
        <w:rPr>
          <w:lang w:val="en-US"/>
        </w:rPr>
        <w:t>Caquetá</w:t>
      </w:r>
      <w:r w:rsidRPr="002E60EB">
        <w:rPr>
          <w:lang w:val="en-US"/>
        </w:rPr>
        <w:t>,</w:t>
      </w:r>
      <w:r w:rsidR="00087093" w:rsidRPr="002E60EB">
        <w:rPr>
          <w:lang w:val="en-US"/>
        </w:rPr>
        <w:t>”</w:t>
      </w:r>
      <w:r w:rsidR="00E15BBF" w:rsidRPr="002E60EB">
        <w:rPr>
          <w:lang w:val="en-US"/>
        </w:rPr>
        <w:t xml:space="preserve"> and the alleged consequences of Mr. Vélez</w:t>
      </w:r>
      <w:r w:rsidR="00334C3C" w:rsidRPr="002E60EB">
        <w:rPr>
          <w:lang w:val="en-US"/>
        </w:rPr>
        <w:t xml:space="preserve"> Restrepo</w:t>
      </w:r>
      <w:r w:rsidR="00E15BBF" w:rsidRPr="002E60EB">
        <w:rPr>
          <w:lang w:val="en-US"/>
        </w:rPr>
        <w:t>’s refusal to do so,</w:t>
      </w:r>
      <w:r w:rsidR="00E15BBF" w:rsidRPr="002E60EB">
        <w:rPr>
          <w:rStyle w:val="Refdenotaalpie"/>
          <w:lang w:val="en-US"/>
        </w:rPr>
        <w:footnoteReference w:id="50"/>
      </w:r>
      <w:r w:rsidR="00E15BBF" w:rsidRPr="002E60EB">
        <w:rPr>
          <w:lang w:val="en-US"/>
        </w:rPr>
        <w:t xml:space="preserve"> </w:t>
      </w:r>
      <w:r w:rsidRPr="002E60EB">
        <w:rPr>
          <w:lang w:val="en-US"/>
        </w:rPr>
        <w:t>because</w:t>
      </w:r>
      <w:r w:rsidR="00E15BBF" w:rsidRPr="002E60EB">
        <w:rPr>
          <w:lang w:val="en-US"/>
        </w:rPr>
        <w:t xml:space="preserve"> they seek to explain the fact </w:t>
      </w:r>
      <w:r w:rsidRPr="002E60EB">
        <w:rPr>
          <w:lang w:val="en-US"/>
        </w:rPr>
        <w:t>asserted</w:t>
      </w:r>
      <w:r w:rsidR="00E15BBF" w:rsidRPr="002E60EB">
        <w:rPr>
          <w:lang w:val="en-US"/>
        </w:rPr>
        <w:t xml:space="preserve"> by the Commission regarding the </w:t>
      </w:r>
      <w:r w:rsidRPr="002E60EB">
        <w:rPr>
          <w:lang w:val="en-US"/>
        </w:rPr>
        <w:t xml:space="preserve">supposed </w:t>
      </w:r>
      <w:r w:rsidR="00087093" w:rsidRPr="002E60EB">
        <w:rPr>
          <w:lang w:val="en-US"/>
        </w:rPr>
        <w:t>“</w:t>
      </w:r>
      <w:r w:rsidR="00E15BBF" w:rsidRPr="002E60EB">
        <w:rPr>
          <w:lang w:val="en-US"/>
        </w:rPr>
        <w:t>strong pressure</w:t>
      </w:r>
      <w:r w:rsidR="00087093" w:rsidRPr="002E60EB">
        <w:rPr>
          <w:lang w:val="en-US"/>
        </w:rPr>
        <w:t>”</w:t>
      </w:r>
      <w:r w:rsidR="00E15BBF" w:rsidRPr="002E60EB">
        <w:rPr>
          <w:lang w:val="en-US"/>
        </w:rPr>
        <w:t xml:space="preserve"> exerted by </w:t>
      </w:r>
      <w:r w:rsidRPr="002E60EB">
        <w:rPr>
          <w:lang w:val="en-US"/>
        </w:rPr>
        <w:t>the medium for which Mr. Vélez worked</w:t>
      </w:r>
      <w:r w:rsidR="00E15BBF" w:rsidRPr="002E60EB">
        <w:rPr>
          <w:lang w:val="en-US"/>
        </w:rPr>
        <w:t xml:space="preserve"> </w:t>
      </w:r>
      <w:r w:rsidR="00087093" w:rsidRPr="002E60EB">
        <w:rPr>
          <w:lang w:val="en-US"/>
        </w:rPr>
        <w:t>“</w:t>
      </w:r>
      <w:r w:rsidR="00E15BBF" w:rsidRPr="002E60EB">
        <w:rPr>
          <w:lang w:val="en-US"/>
        </w:rPr>
        <w:t>to cens</w:t>
      </w:r>
      <w:r w:rsidR="00EE0D2E" w:rsidRPr="002E60EB">
        <w:rPr>
          <w:lang w:val="en-US"/>
        </w:rPr>
        <w:t>or</w:t>
      </w:r>
      <w:r w:rsidR="00E15BBF" w:rsidRPr="002E60EB">
        <w:rPr>
          <w:lang w:val="en-US"/>
        </w:rPr>
        <w:t xml:space="preserve"> his work and </w:t>
      </w:r>
      <w:r w:rsidRPr="002E60EB">
        <w:rPr>
          <w:lang w:val="en-US"/>
        </w:rPr>
        <w:t xml:space="preserve">make him </w:t>
      </w:r>
      <w:r w:rsidR="00991DB1" w:rsidRPr="002E60EB">
        <w:rPr>
          <w:lang w:val="en-US"/>
        </w:rPr>
        <w:t>withdraw</w:t>
      </w:r>
      <w:r w:rsidR="00E15BBF" w:rsidRPr="002E60EB">
        <w:rPr>
          <w:lang w:val="en-US"/>
        </w:rPr>
        <w:t xml:space="preserve"> his legal complaints against the Army</w:t>
      </w:r>
      <w:r w:rsidRPr="002E60EB">
        <w:rPr>
          <w:lang w:val="en-US"/>
        </w:rPr>
        <w:t>,</w:t>
      </w:r>
      <w:r w:rsidR="00087093" w:rsidRPr="002E60EB">
        <w:rPr>
          <w:lang w:val="en-US"/>
        </w:rPr>
        <w:t>”</w:t>
      </w:r>
      <w:r w:rsidR="00E15BBF" w:rsidRPr="002E60EB">
        <w:rPr>
          <w:lang w:val="en-US"/>
        </w:rPr>
        <w:t xml:space="preserve"> as well as his </w:t>
      </w:r>
      <w:r w:rsidRPr="002E60EB">
        <w:rPr>
          <w:lang w:val="en-US"/>
        </w:rPr>
        <w:t xml:space="preserve">removal </w:t>
      </w:r>
      <w:r w:rsidR="00087093" w:rsidRPr="002E60EB">
        <w:rPr>
          <w:lang w:val="en-US"/>
        </w:rPr>
        <w:t>“</w:t>
      </w:r>
      <w:r w:rsidR="00E15BBF" w:rsidRPr="002E60EB">
        <w:rPr>
          <w:lang w:val="en-US"/>
        </w:rPr>
        <w:t>from the group of reporters with access to military news sources</w:t>
      </w:r>
      <w:r w:rsidR="00087093" w:rsidRPr="002E60EB">
        <w:rPr>
          <w:lang w:val="en-US"/>
        </w:rPr>
        <w:t>”</w:t>
      </w:r>
      <w:r w:rsidRPr="002E60EB">
        <w:rPr>
          <w:lang w:val="en-US"/>
        </w:rPr>
        <w:t>;</w:t>
      </w:r>
    </w:p>
    <w:p w:rsidR="00E15BBF" w:rsidRPr="002E60EB" w:rsidRDefault="00716625" w:rsidP="00317748">
      <w:pPr>
        <w:pStyle w:val="MediumGrid1-Accent21"/>
        <w:numPr>
          <w:ilvl w:val="0"/>
          <w:numId w:val="11"/>
        </w:numPr>
        <w:ind w:firstLine="0"/>
        <w:contextualSpacing/>
        <w:jc w:val="both"/>
        <w:rPr>
          <w:lang w:val="en-US"/>
        </w:rPr>
      </w:pPr>
      <w:r w:rsidRPr="002E60EB">
        <w:rPr>
          <w:lang w:val="en-US"/>
        </w:rPr>
        <w:t>T</w:t>
      </w:r>
      <w:r w:rsidR="00E15BBF" w:rsidRPr="002E60EB">
        <w:rPr>
          <w:lang w:val="en-US"/>
        </w:rPr>
        <w:t xml:space="preserve">hose related to the income that Mr. Vélez Restrepo supposedly earned at the time of the facts, and other information </w:t>
      </w:r>
      <w:r w:rsidRPr="002E60EB">
        <w:rPr>
          <w:lang w:val="en-US"/>
        </w:rPr>
        <w:t xml:space="preserve">relating to the </w:t>
      </w:r>
      <w:r w:rsidR="00E15BBF" w:rsidRPr="002E60EB">
        <w:rPr>
          <w:lang w:val="en-US"/>
        </w:rPr>
        <w:t xml:space="preserve">studies and activities of the </w:t>
      </w:r>
      <w:r w:rsidRPr="002E60EB">
        <w:rPr>
          <w:lang w:val="en-US"/>
        </w:rPr>
        <w:t xml:space="preserve">members of the </w:t>
      </w:r>
      <w:r w:rsidR="00E15BBF" w:rsidRPr="002E60EB">
        <w:rPr>
          <w:lang w:val="en-US"/>
        </w:rPr>
        <w:t>Vélez Román family in mid-1996</w:t>
      </w:r>
      <w:r w:rsidR="00E15BBF" w:rsidRPr="002E60EB">
        <w:rPr>
          <w:rStyle w:val="Refdenotaalpie"/>
          <w:lang w:val="en-US"/>
        </w:rPr>
        <w:footnoteReference w:id="51"/>
      </w:r>
      <w:r w:rsidR="00E15BBF" w:rsidRPr="002E60EB">
        <w:rPr>
          <w:lang w:val="en-US"/>
        </w:rPr>
        <w:t xml:space="preserve"> and the place where they lived, as well as the alleged facts regarding the Vélez Roman family</w:t>
      </w:r>
      <w:r w:rsidRPr="002E60EB">
        <w:rPr>
          <w:lang w:val="en-US"/>
        </w:rPr>
        <w:t xml:space="preserve"> moving house</w:t>
      </w:r>
      <w:r w:rsidR="00E15BBF" w:rsidRPr="002E60EB">
        <w:rPr>
          <w:lang w:val="en-US"/>
        </w:rPr>
        <w:t xml:space="preserve"> in early October 1996</w:t>
      </w:r>
      <w:r w:rsidRPr="002E60EB">
        <w:rPr>
          <w:lang w:val="en-US"/>
        </w:rPr>
        <w:t>,</w:t>
      </w:r>
      <w:r w:rsidR="00E15BBF" w:rsidRPr="002E60EB">
        <w:rPr>
          <w:lang w:val="en-US"/>
        </w:rPr>
        <w:t xml:space="preserve"> and </w:t>
      </w:r>
      <w:r w:rsidRPr="002E60EB">
        <w:rPr>
          <w:lang w:val="en-US"/>
        </w:rPr>
        <w:t xml:space="preserve">the </w:t>
      </w:r>
      <w:r w:rsidR="00E15BBF" w:rsidRPr="002E60EB">
        <w:rPr>
          <w:lang w:val="en-US"/>
        </w:rPr>
        <w:t>chang</w:t>
      </w:r>
      <w:r w:rsidRPr="002E60EB">
        <w:rPr>
          <w:lang w:val="en-US"/>
        </w:rPr>
        <w:t xml:space="preserve">e in </w:t>
      </w:r>
      <w:r w:rsidR="00E15BBF" w:rsidRPr="002E60EB">
        <w:rPr>
          <w:lang w:val="en-US"/>
        </w:rPr>
        <w:t>schools for Mateo and Juliana.</w:t>
      </w:r>
      <w:r w:rsidR="00E15BBF" w:rsidRPr="002E60EB">
        <w:rPr>
          <w:rStyle w:val="Refdenotaalpie"/>
          <w:lang w:val="en-US"/>
        </w:rPr>
        <w:footnoteReference w:id="52"/>
      </w:r>
      <w:r w:rsidR="00E15BBF" w:rsidRPr="002E60EB">
        <w:rPr>
          <w:lang w:val="en-US"/>
        </w:rPr>
        <w:t xml:space="preserve"> These facts are related to claims made by the Commission in the </w:t>
      </w:r>
      <w:r w:rsidRPr="002E60EB">
        <w:rPr>
          <w:lang w:val="en-US"/>
        </w:rPr>
        <w:t>Merits Report</w:t>
      </w:r>
      <w:r w:rsidR="00E15BBF" w:rsidRPr="002E60EB">
        <w:rPr>
          <w:lang w:val="en-US"/>
        </w:rPr>
        <w:t xml:space="preserve"> </w:t>
      </w:r>
      <w:r w:rsidR="009F696E" w:rsidRPr="002E60EB">
        <w:rPr>
          <w:lang w:val="en-US"/>
        </w:rPr>
        <w:t xml:space="preserve">concerning </w:t>
      </w:r>
      <w:r w:rsidR="00E15BBF" w:rsidRPr="002E60EB">
        <w:rPr>
          <w:lang w:val="en-US"/>
        </w:rPr>
        <w:t xml:space="preserve">the </w:t>
      </w:r>
      <w:r w:rsidR="00087093" w:rsidRPr="002E60EB">
        <w:rPr>
          <w:lang w:val="en-US"/>
        </w:rPr>
        <w:t>“</w:t>
      </w:r>
      <w:r w:rsidR="00E15BBF" w:rsidRPr="002E60EB">
        <w:rPr>
          <w:lang w:val="en-US"/>
        </w:rPr>
        <w:t>profound effects</w:t>
      </w:r>
      <w:r w:rsidR="00087093" w:rsidRPr="002E60EB">
        <w:rPr>
          <w:lang w:val="en-US"/>
        </w:rPr>
        <w:t>”</w:t>
      </w:r>
      <w:r w:rsidR="00E15BBF" w:rsidRPr="002E60EB">
        <w:rPr>
          <w:lang w:val="en-US"/>
        </w:rPr>
        <w:t xml:space="preserve"> </w:t>
      </w:r>
      <w:r w:rsidR="009F696E" w:rsidRPr="002E60EB">
        <w:rPr>
          <w:lang w:val="en-US"/>
        </w:rPr>
        <w:t xml:space="preserve">of </w:t>
      </w:r>
      <w:r w:rsidR="00E15BBF" w:rsidRPr="002E60EB">
        <w:rPr>
          <w:lang w:val="en-US"/>
        </w:rPr>
        <w:t>the alleged threats that occurred after August 29, 1996</w:t>
      </w:r>
      <w:r w:rsidR="009F696E" w:rsidRPr="002E60EB">
        <w:rPr>
          <w:lang w:val="en-US"/>
        </w:rPr>
        <w:t>,</w:t>
      </w:r>
      <w:r w:rsidR="00E15BBF" w:rsidRPr="002E60EB">
        <w:rPr>
          <w:lang w:val="en-US"/>
        </w:rPr>
        <w:t xml:space="preserve"> </w:t>
      </w:r>
      <w:r w:rsidR="00087093" w:rsidRPr="002E60EB">
        <w:rPr>
          <w:lang w:val="en-US"/>
        </w:rPr>
        <w:t>“</w:t>
      </w:r>
      <w:r w:rsidR="00E15BBF" w:rsidRPr="002E60EB">
        <w:rPr>
          <w:lang w:val="en-US"/>
        </w:rPr>
        <w:t xml:space="preserve">on the lives of the petitioners, forcing them to </w:t>
      </w:r>
      <w:r w:rsidR="009F696E" w:rsidRPr="002E60EB">
        <w:rPr>
          <w:lang w:val="en-US"/>
        </w:rPr>
        <w:t>move house</w:t>
      </w:r>
      <w:r w:rsidR="00E15BBF" w:rsidRPr="002E60EB">
        <w:rPr>
          <w:lang w:val="en-US"/>
        </w:rPr>
        <w:t xml:space="preserve">, to hide, to abandon their daily routines, and to </w:t>
      </w:r>
      <w:r w:rsidR="00991DB1" w:rsidRPr="002E60EB">
        <w:rPr>
          <w:lang w:val="en-US"/>
        </w:rPr>
        <w:t>experience</w:t>
      </w:r>
      <w:r w:rsidR="00E15BBF" w:rsidRPr="002E60EB">
        <w:rPr>
          <w:lang w:val="en-US"/>
        </w:rPr>
        <w:t xml:space="preserve"> a difficult </w:t>
      </w:r>
      <w:r w:rsidR="009F696E" w:rsidRPr="002E60EB">
        <w:rPr>
          <w:lang w:val="en-US"/>
        </w:rPr>
        <w:t xml:space="preserve">financial </w:t>
      </w:r>
      <w:r w:rsidR="00E15BBF" w:rsidRPr="002E60EB">
        <w:rPr>
          <w:lang w:val="en-US"/>
        </w:rPr>
        <w:t>situation,</w:t>
      </w:r>
      <w:r w:rsidR="00087093" w:rsidRPr="002E60EB">
        <w:rPr>
          <w:lang w:val="en-US"/>
        </w:rPr>
        <w:t>”</w:t>
      </w:r>
      <w:r w:rsidR="00E15BBF" w:rsidRPr="002E60EB">
        <w:rPr>
          <w:lang w:val="en-US"/>
        </w:rPr>
        <w:t xml:space="preserve"> which </w:t>
      </w:r>
      <w:r w:rsidR="009F696E" w:rsidRPr="002E60EB">
        <w:rPr>
          <w:lang w:val="en-US"/>
        </w:rPr>
        <w:t>was described in</w:t>
      </w:r>
      <w:r w:rsidR="00E15BBF" w:rsidRPr="002E60EB">
        <w:rPr>
          <w:lang w:val="en-US"/>
        </w:rPr>
        <w:t xml:space="preserve"> detail by the representative;</w:t>
      </w:r>
    </w:p>
    <w:p w:rsidR="00E15BBF" w:rsidRPr="002E60EB" w:rsidRDefault="009F696E" w:rsidP="00317748">
      <w:pPr>
        <w:pStyle w:val="MediumGrid1-Accent21"/>
        <w:numPr>
          <w:ilvl w:val="0"/>
          <w:numId w:val="11"/>
        </w:numPr>
        <w:ind w:firstLine="0"/>
        <w:contextualSpacing/>
        <w:jc w:val="both"/>
        <w:rPr>
          <w:lang w:val="en-US"/>
        </w:rPr>
      </w:pPr>
      <w:r w:rsidRPr="002E60EB">
        <w:rPr>
          <w:lang w:val="en-US"/>
        </w:rPr>
        <w:t>T</w:t>
      </w:r>
      <w:r w:rsidR="00E15BBF" w:rsidRPr="002E60EB">
        <w:rPr>
          <w:lang w:val="en-US"/>
        </w:rPr>
        <w:t xml:space="preserve">hose relating to the alleged </w:t>
      </w:r>
      <w:r w:rsidRPr="002E60EB">
        <w:rPr>
          <w:lang w:val="en-US"/>
        </w:rPr>
        <w:t xml:space="preserve">decrease in </w:t>
      </w:r>
      <w:r w:rsidR="00E15BBF" w:rsidRPr="002E60EB">
        <w:rPr>
          <w:lang w:val="en-US"/>
        </w:rPr>
        <w:t xml:space="preserve">and </w:t>
      </w:r>
      <w:r w:rsidRPr="002E60EB">
        <w:rPr>
          <w:lang w:val="en-US"/>
        </w:rPr>
        <w:t xml:space="preserve">subsequent </w:t>
      </w:r>
      <w:r w:rsidR="00E15BBF" w:rsidRPr="002E60EB">
        <w:rPr>
          <w:lang w:val="en-US"/>
        </w:rPr>
        <w:t>reactivation of threats against Mr. Vélez Restrepo</w:t>
      </w:r>
      <w:r w:rsidR="00E15BBF" w:rsidRPr="002E60EB">
        <w:rPr>
          <w:rStyle w:val="Refdenotaalpie"/>
          <w:lang w:val="en-US"/>
        </w:rPr>
        <w:footnoteReference w:id="53"/>
      </w:r>
      <w:r w:rsidR="00E15BBF" w:rsidRPr="002E60EB">
        <w:rPr>
          <w:lang w:val="en-US"/>
        </w:rPr>
        <w:t xml:space="preserve"> and</w:t>
      </w:r>
      <w:r w:rsidRPr="002E60EB">
        <w:rPr>
          <w:lang w:val="en-US"/>
        </w:rPr>
        <w:t xml:space="preserve"> also</w:t>
      </w:r>
      <w:r w:rsidR="00E15BBF" w:rsidRPr="002E60EB">
        <w:rPr>
          <w:lang w:val="en-US"/>
        </w:rPr>
        <w:t xml:space="preserve"> the alleged facts included under the heading </w:t>
      </w:r>
      <w:r w:rsidR="00087093" w:rsidRPr="002E60EB">
        <w:rPr>
          <w:lang w:val="en-US"/>
        </w:rPr>
        <w:t>“</w:t>
      </w:r>
      <w:r w:rsidR="00E15BBF" w:rsidRPr="002E60EB">
        <w:rPr>
          <w:lang w:val="en-US"/>
        </w:rPr>
        <w:t xml:space="preserve">Second stage of threats that </w:t>
      </w:r>
      <w:r w:rsidR="00991DB1" w:rsidRPr="002E60EB">
        <w:rPr>
          <w:lang w:val="en-US"/>
        </w:rPr>
        <w:t>culminated</w:t>
      </w:r>
      <w:r w:rsidR="00E15BBF" w:rsidRPr="002E60EB">
        <w:rPr>
          <w:lang w:val="en-US"/>
        </w:rPr>
        <w:t xml:space="preserve"> in </w:t>
      </w:r>
      <w:r w:rsidRPr="002E60EB">
        <w:rPr>
          <w:lang w:val="en-US"/>
        </w:rPr>
        <w:t>a</w:t>
      </w:r>
      <w:r w:rsidR="00E15BBF" w:rsidRPr="002E60EB">
        <w:rPr>
          <w:lang w:val="en-US"/>
        </w:rPr>
        <w:t xml:space="preserve"> disappearance</w:t>
      </w:r>
      <w:r w:rsidRPr="002E60EB">
        <w:rPr>
          <w:lang w:val="en-US"/>
        </w:rPr>
        <w:t xml:space="preserve"> attempt</w:t>
      </w:r>
      <w:r w:rsidR="00E15BBF" w:rsidRPr="002E60EB">
        <w:rPr>
          <w:lang w:val="en-US"/>
        </w:rPr>
        <w:t>: August - October 1997</w:t>
      </w:r>
      <w:r w:rsidRPr="002E60EB">
        <w:rPr>
          <w:lang w:val="en-US"/>
        </w:rPr>
        <w:t>,</w:t>
      </w:r>
      <w:r w:rsidR="00087093" w:rsidRPr="002E60EB">
        <w:rPr>
          <w:lang w:val="en-US"/>
        </w:rPr>
        <w:t>”</w:t>
      </w:r>
      <w:r w:rsidR="00E15BBF" w:rsidRPr="002E60EB">
        <w:rPr>
          <w:rStyle w:val="Refdenotaalpie"/>
          <w:lang w:val="en-US"/>
        </w:rPr>
        <w:footnoteReference w:id="54"/>
      </w:r>
      <w:r w:rsidR="00E15BBF" w:rsidRPr="002E60EB">
        <w:rPr>
          <w:lang w:val="en-US"/>
        </w:rPr>
        <w:t xml:space="preserve"> </w:t>
      </w:r>
      <w:r w:rsidRPr="002E60EB">
        <w:rPr>
          <w:lang w:val="en-US"/>
        </w:rPr>
        <w:t>because</w:t>
      </w:r>
      <w:r w:rsidR="00E15BBF" w:rsidRPr="002E60EB">
        <w:rPr>
          <w:lang w:val="en-US"/>
        </w:rPr>
        <w:t xml:space="preserve"> they are directly related to the factual framework of the </w:t>
      </w:r>
      <w:r w:rsidR="00716625" w:rsidRPr="002E60EB">
        <w:rPr>
          <w:lang w:val="en-US"/>
        </w:rPr>
        <w:t>Merits Report</w:t>
      </w:r>
      <w:r w:rsidR="00E15BBF" w:rsidRPr="002E60EB">
        <w:rPr>
          <w:lang w:val="en-US"/>
        </w:rPr>
        <w:t xml:space="preserve">. </w:t>
      </w:r>
      <w:r w:rsidRPr="002E60EB">
        <w:rPr>
          <w:lang w:val="en-US"/>
        </w:rPr>
        <w:t>In this information, t</w:t>
      </w:r>
      <w:r w:rsidR="00E15BBF" w:rsidRPr="002E60EB">
        <w:rPr>
          <w:lang w:val="en-US"/>
        </w:rPr>
        <w:t>he representative presents more detail</w:t>
      </w:r>
      <w:r w:rsidRPr="002E60EB">
        <w:rPr>
          <w:lang w:val="en-US"/>
        </w:rPr>
        <w:t>s</w:t>
      </w:r>
      <w:r w:rsidR="00E15BBF" w:rsidRPr="002E60EB">
        <w:rPr>
          <w:lang w:val="en-US"/>
        </w:rPr>
        <w:t xml:space="preserve"> </w:t>
      </w:r>
      <w:r w:rsidRPr="002E60EB">
        <w:rPr>
          <w:lang w:val="en-US"/>
        </w:rPr>
        <w:t xml:space="preserve">of </w:t>
      </w:r>
      <w:r w:rsidR="00E15BBF" w:rsidRPr="002E60EB">
        <w:rPr>
          <w:lang w:val="en-US"/>
        </w:rPr>
        <w:t xml:space="preserve">the references made ​​by the Commission in the </w:t>
      </w:r>
      <w:r w:rsidRPr="002E60EB">
        <w:rPr>
          <w:lang w:val="en-US"/>
        </w:rPr>
        <w:t xml:space="preserve">said report </w:t>
      </w:r>
      <w:r w:rsidR="00E15BBF" w:rsidRPr="002E60EB">
        <w:rPr>
          <w:lang w:val="en-US"/>
        </w:rPr>
        <w:t xml:space="preserve">on the </w:t>
      </w:r>
      <w:r w:rsidR="00087093" w:rsidRPr="002E60EB">
        <w:rPr>
          <w:lang w:val="en-US"/>
        </w:rPr>
        <w:t>“</w:t>
      </w:r>
      <w:r w:rsidR="00E15BBF" w:rsidRPr="002E60EB">
        <w:rPr>
          <w:lang w:val="en-US"/>
        </w:rPr>
        <w:t>intensification</w:t>
      </w:r>
      <w:r w:rsidR="00087093" w:rsidRPr="002E60EB">
        <w:rPr>
          <w:lang w:val="en-US"/>
        </w:rPr>
        <w:t>”</w:t>
      </w:r>
      <w:r w:rsidR="00E15BBF" w:rsidRPr="002E60EB">
        <w:rPr>
          <w:lang w:val="en-US"/>
        </w:rPr>
        <w:t xml:space="preserve"> of threats and harassment </w:t>
      </w:r>
      <w:r w:rsidRPr="002E60EB">
        <w:rPr>
          <w:lang w:val="en-US"/>
        </w:rPr>
        <w:t>as of</w:t>
      </w:r>
      <w:r w:rsidR="00E15BBF" w:rsidRPr="002E60EB">
        <w:rPr>
          <w:lang w:val="en-US"/>
        </w:rPr>
        <w:t xml:space="preserve"> September 1996 and </w:t>
      </w:r>
      <w:r w:rsidR="00087093" w:rsidRPr="002E60EB">
        <w:rPr>
          <w:lang w:val="en-US"/>
        </w:rPr>
        <w:t>“</w:t>
      </w:r>
      <w:r w:rsidR="00E15BBF" w:rsidRPr="002E60EB">
        <w:rPr>
          <w:lang w:val="en-US"/>
        </w:rPr>
        <w:t>in the second half of 1997,</w:t>
      </w:r>
      <w:r w:rsidR="00087093" w:rsidRPr="002E60EB">
        <w:rPr>
          <w:lang w:val="en-US"/>
        </w:rPr>
        <w:t>”</w:t>
      </w:r>
      <w:r w:rsidR="00E15BBF" w:rsidRPr="002E60EB">
        <w:rPr>
          <w:lang w:val="en-US"/>
        </w:rPr>
        <w:t xml:space="preserve"> a</w:t>
      </w:r>
      <w:r w:rsidRPr="002E60EB">
        <w:rPr>
          <w:lang w:val="en-US"/>
        </w:rPr>
        <w:t>s well as</w:t>
      </w:r>
      <w:r w:rsidR="00E15BBF" w:rsidRPr="002E60EB">
        <w:rPr>
          <w:lang w:val="en-US"/>
        </w:rPr>
        <w:t xml:space="preserve"> the facts presented by the Commission about what happened on October </w:t>
      </w:r>
      <w:r w:rsidRPr="002E60EB">
        <w:rPr>
          <w:lang w:val="en-US"/>
        </w:rPr>
        <w:t xml:space="preserve">3, 5 and 6, </w:t>
      </w:r>
      <w:r w:rsidR="00E15BBF" w:rsidRPr="002E60EB">
        <w:rPr>
          <w:lang w:val="en-US"/>
        </w:rPr>
        <w:t xml:space="preserve">1997. </w:t>
      </w:r>
    </w:p>
    <w:p w:rsidR="00E15BBF" w:rsidRPr="002E60EB" w:rsidRDefault="001D55A8" w:rsidP="00317748">
      <w:pPr>
        <w:pStyle w:val="MediumGrid1-Accent21"/>
        <w:numPr>
          <w:ilvl w:val="0"/>
          <w:numId w:val="11"/>
        </w:numPr>
        <w:ind w:firstLine="0"/>
        <w:contextualSpacing/>
        <w:jc w:val="both"/>
        <w:rPr>
          <w:lang w:val="en-US"/>
        </w:rPr>
      </w:pPr>
      <w:r w:rsidRPr="002E60EB">
        <w:rPr>
          <w:lang w:val="en-US"/>
        </w:rPr>
        <w:t>T</w:t>
      </w:r>
      <w:r w:rsidR="00E15BBF" w:rsidRPr="002E60EB">
        <w:rPr>
          <w:lang w:val="en-US"/>
        </w:rPr>
        <w:t xml:space="preserve">hose </w:t>
      </w:r>
      <w:r w:rsidRPr="002E60EB">
        <w:rPr>
          <w:lang w:val="en-US"/>
        </w:rPr>
        <w:t xml:space="preserve">described </w:t>
      </w:r>
      <w:r w:rsidR="00E15BBF" w:rsidRPr="002E60EB">
        <w:rPr>
          <w:lang w:val="en-US"/>
        </w:rPr>
        <w:t xml:space="preserve">by the representative </w:t>
      </w:r>
      <w:r w:rsidRPr="002E60EB">
        <w:rPr>
          <w:lang w:val="en-US"/>
        </w:rPr>
        <w:t>in the sections entitled</w:t>
      </w:r>
      <w:r w:rsidR="00E15BBF" w:rsidRPr="002E60EB">
        <w:rPr>
          <w:lang w:val="en-US"/>
        </w:rPr>
        <w:t xml:space="preserve"> </w:t>
      </w:r>
      <w:r w:rsidR="00087093" w:rsidRPr="002E60EB">
        <w:rPr>
          <w:lang w:val="en-US"/>
        </w:rPr>
        <w:t>“</w:t>
      </w:r>
      <w:r w:rsidR="00E15BBF" w:rsidRPr="002E60EB">
        <w:rPr>
          <w:lang w:val="en-US"/>
        </w:rPr>
        <w:t>Richard Velez,</w:t>
      </w:r>
      <w:r w:rsidR="00087093" w:rsidRPr="002E60EB">
        <w:rPr>
          <w:lang w:val="en-US"/>
        </w:rPr>
        <w:t>”</w:t>
      </w:r>
      <w:r w:rsidR="00E15BBF" w:rsidRPr="002E60EB">
        <w:rPr>
          <w:lang w:val="en-US"/>
        </w:rPr>
        <w:t xml:space="preserve"> </w:t>
      </w:r>
      <w:r w:rsidR="00087093" w:rsidRPr="002E60EB">
        <w:rPr>
          <w:lang w:val="en-US"/>
        </w:rPr>
        <w:t>“</w:t>
      </w:r>
      <w:r w:rsidR="00E15BBF" w:rsidRPr="002E60EB">
        <w:rPr>
          <w:lang w:val="en-US"/>
        </w:rPr>
        <w:t>First stage of family life in the United States (New York): September 1998-February 2007,</w:t>
      </w:r>
      <w:r w:rsidR="00087093" w:rsidRPr="002E60EB">
        <w:rPr>
          <w:lang w:val="en-US"/>
        </w:rPr>
        <w:t>”</w:t>
      </w:r>
      <w:r w:rsidR="00E15BBF" w:rsidRPr="002E60EB">
        <w:rPr>
          <w:lang w:val="en-US"/>
        </w:rPr>
        <w:t xml:space="preserve"> </w:t>
      </w:r>
      <w:r w:rsidR="00087093" w:rsidRPr="002E60EB">
        <w:rPr>
          <w:lang w:val="en-US"/>
        </w:rPr>
        <w:t>“</w:t>
      </w:r>
      <w:r w:rsidR="00E15BBF" w:rsidRPr="002E60EB">
        <w:rPr>
          <w:lang w:val="en-US"/>
        </w:rPr>
        <w:t xml:space="preserve">Second stage of life in </w:t>
      </w:r>
      <w:r w:rsidRPr="002E60EB">
        <w:rPr>
          <w:lang w:val="en-US"/>
        </w:rPr>
        <w:t xml:space="preserve">the United States </w:t>
      </w:r>
      <w:r w:rsidR="00E15BBF" w:rsidRPr="002E60EB">
        <w:rPr>
          <w:lang w:val="en-US"/>
        </w:rPr>
        <w:t>(Greenville, South Carolina and New York): March 2007 - June 2011</w:t>
      </w:r>
      <w:r w:rsidR="00087093" w:rsidRPr="002E60EB">
        <w:rPr>
          <w:lang w:val="en-US"/>
        </w:rPr>
        <w:t>”</w:t>
      </w:r>
      <w:r w:rsidR="00E15BBF" w:rsidRPr="002E60EB">
        <w:rPr>
          <w:lang w:val="en-US"/>
        </w:rPr>
        <w:t xml:space="preserve"> and </w:t>
      </w:r>
      <w:r w:rsidR="00087093" w:rsidRPr="002E60EB">
        <w:rPr>
          <w:lang w:val="en-US"/>
        </w:rPr>
        <w:t>“</w:t>
      </w:r>
      <w:r w:rsidR="00E15BBF" w:rsidRPr="002E60EB">
        <w:rPr>
          <w:lang w:val="en-US"/>
        </w:rPr>
        <w:t>Individual Harm.</w:t>
      </w:r>
      <w:r w:rsidR="00087093" w:rsidRPr="002E60EB">
        <w:rPr>
          <w:lang w:val="en-US"/>
        </w:rPr>
        <w:t>”</w:t>
      </w:r>
      <w:r w:rsidR="00E15BBF" w:rsidRPr="002E60EB">
        <w:rPr>
          <w:rStyle w:val="Refdenotaalpie"/>
          <w:lang w:val="en-US"/>
        </w:rPr>
        <w:footnoteReference w:id="55"/>
      </w:r>
      <w:r w:rsidR="00E15BBF" w:rsidRPr="002E60EB">
        <w:rPr>
          <w:lang w:val="en-US"/>
        </w:rPr>
        <w:t xml:space="preserve"> These alleged facts seek to clarify and </w:t>
      </w:r>
      <w:r w:rsidRPr="002E60EB">
        <w:rPr>
          <w:lang w:val="en-US"/>
        </w:rPr>
        <w:t>provide details of the information provided</w:t>
      </w:r>
      <w:r w:rsidR="00E15BBF" w:rsidRPr="002E60EB">
        <w:rPr>
          <w:lang w:val="en-US"/>
        </w:rPr>
        <w:t xml:space="preserve"> by the Commission in the factual framework </w:t>
      </w:r>
      <w:r w:rsidR="0068356A" w:rsidRPr="002E60EB">
        <w:rPr>
          <w:lang w:val="en-US"/>
        </w:rPr>
        <w:t>with regard</w:t>
      </w:r>
      <w:r w:rsidR="00E15BBF" w:rsidRPr="002E60EB">
        <w:rPr>
          <w:lang w:val="en-US"/>
        </w:rPr>
        <w:t xml:space="preserve"> to the events of October 9, 1997, </w:t>
      </w:r>
      <w:r w:rsidR="0068356A" w:rsidRPr="002E60EB">
        <w:rPr>
          <w:lang w:val="en-US"/>
        </w:rPr>
        <w:t>when</w:t>
      </w:r>
      <w:r w:rsidR="00E15BBF" w:rsidRPr="002E60EB">
        <w:rPr>
          <w:lang w:val="en-US"/>
        </w:rPr>
        <w:t xml:space="preserve"> Mr. Vélez Restrepo was in the United States of America separated from his family that was in Medellin</w:t>
      </w:r>
      <w:r w:rsidR="0068356A" w:rsidRPr="002E60EB">
        <w:rPr>
          <w:lang w:val="en-US"/>
        </w:rPr>
        <w:t>;</w:t>
      </w:r>
      <w:r w:rsidR="00E15BBF" w:rsidRPr="002E60EB">
        <w:rPr>
          <w:lang w:val="en-US"/>
        </w:rPr>
        <w:t xml:space="preserve"> the granting of asylum by the</w:t>
      </w:r>
      <w:r w:rsidR="00991DB1" w:rsidRPr="002E60EB">
        <w:rPr>
          <w:lang w:val="en-US"/>
        </w:rPr>
        <w:t xml:space="preserve"> United States</w:t>
      </w:r>
      <w:r w:rsidR="00E15BBF" w:rsidRPr="002E60EB">
        <w:rPr>
          <w:lang w:val="en-US"/>
        </w:rPr>
        <w:t xml:space="preserve"> authorities, and the </w:t>
      </w:r>
      <w:r w:rsidR="0068356A" w:rsidRPr="002E60EB">
        <w:rPr>
          <w:lang w:val="en-US"/>
        </w:rPr>
        <w:t xml:space="preserve">subsequent </w:t>
      </w:r>
      <w:r w:rsidR="00E15BBF" w:rsidRPr="002E60EB">
        <w:rPr>
          <w:lang w:val="en-US"/>
        </w:rPr>
        <w:t>family reunion in 1998, as well as how these events have supposedly affected them psychologically</w:t>
      </w:r>
      <w:r w:rsidR="0068356A" w:rsidRPr="002E60EB">
        <w:rPr>
          <w:lang w:val="en-US"/>
        </w:rPr>
        <w:t>;</w:t>
      </w:r>
      <w:r w:rsidR="00E15BBF" w:rsidRPr="002E60EB">
        <w:rPr>
          <w:lang w:val="en-US"/>
        </w:rPr>
        <w:t xml:space="preserve"> the repercussions on the</w:t>
      </w:r>
      <w:r w:rsidR="0068356A" w:rsidRPr="002E60EB">
        <w:rPr>
          <w:lang w:val="en-US"/>
        </w:rPr>
        <w:t xml:space="preserve"> professional</w:t>
      </w:r>
      <w:r w:rsidR="00E15BBF" w:rsidRPr="002E60EB">
        <w:rPr>
          <w:lang w:val="en-US"/>
        </w:rPr>
        <w:t xml:space="preserve"> careers of </w:t>
      </w:r>
      <w:r w:rsidR="0068356A" w:rsidRPr="002E60EB">
        <w:rPr>
          <w:lang w:val="en-US"/>
        </w:rPr>
        <w:t xml:space="preserve">Mr. </w:t>
      </w:r>
      <w:r w:rsidR="00E15BBF" w:rsidRPr="002E60EB">
        <w:rPr>
          <w:lang w:val="en-US"/>
        </w:rPr>
        <w:t xml:space="preserve">Vélez Roman </w:t>
      </w:r>
      <w:r w:rsidR="0068356A" w:rsidRPr="002E60EB">
        <w:rPr>
          <w:lang w:val="en-US"/>
        </w:rPr>
        <w:t>and Mrs. Román Amariles;</w:t>
      </w:r>
      <w:r w:rsidR="00E15BBF" w:rsidRPr="002E60EB">
        <w:rPr>
          <w:lang w:val="en-US"/>
        </w:rPr>
        <w:t xml:space="preserve"> the </w:t>
      </w:r>
      <w:r w:rsidR="0068356A" w:rsidRPr="002E60EB">
        <w:rPr>
          <w:lang w:val="en-US"/>
        </w:rPr>
        <w:t xml:space="preserve">financial </w:t>
      </w:r>
      <w:r w:rsidR="00E15BBF" w:rsidRPr="002E60EB">
        <w:rPr>
          <w:lang w:val="en-US"/>
        </w:rPr>
        <w:t xml:space="preserve">difficulties they have had to </w:t>
      </w:r>
      <w:r w:rsidR="00991DB1" w:rsidRPr="002E60EB">
        <w:rPr>
          <w:lang w:val="en-US"/>
        </w:rPr>
        <w:t>face</w:t>
      </w:r>
      <w:r w:rsidR="0068356A" w:rsidRPr="002E60EB">
        <w:rPr>
          <w:lang w:val="en-US"/>
        </w:rPr>
        <w:t xml:space="preserve"> in order to </w:t>
      </w:r>
      <w:r w:rsidR="00E15BBF" w:rsidRPr="002E60EB">
        <w:rPr>
          <w:lang w:val="en-US"/>
        </w:rPr>
        <w:t>survive in the United States</w:t>
      </w:r>
      <w:r w:rsidR="0068356A" w:rsidRPr="002E60EB">
        <w:rPr>
          <w:lang w:val="en-US"/>
        </w:rPr>
        <w:t>,</w:t>
      </w:r>
      <w:r w:rsidR="00E15BBF" w:rsidRPr="002E60EB">
        <w:rPr>
          <w:lang w:val="en-US"/>
        </w:rPr>
        <w:t xml:space="preserve"> and</w:t>
      </w:r>
      <w:r w:rsidR="0068356A" w:rsidRPr="002E60EB">
        <w:rPr>
          <w:lang w:val="en-US"/>
        </w:rPr>
        <w:t xml:space="preserve"> the distance</w:t>
      </w:r>
      <w:r w:rsidR="00E15BBF" w:rsidRPr="002E60EB">
        <w:rPr>
          <w:lang w:val="en-US"/>
        </w:rPr>
        <w:t xml:space="preserve"> from their </w:t>
      </w:r>
      <w:r w:rsidR="0068356A" w:rsidRPr="002E60EB">
        <w:rPr>
          <w:lang w:val="en-US"/>
        </w:rPr>
        <w:t>next of kin who live</w:t>
      </w:r>
      <w:r w:rsidR="00E15BBF" w:rsidRPr="002E60EB">
        <w:rPr>
          <w:lang w:val="en-US"/>
        </w:rPr>
        <w:t xml:space="preserve"> in Colombia. </w:t>
      </w:r>
    </w:p>
    <w:p w:rsidR="00E15BBF" w:rsidRPr="002E60EB" w:rsidRDefault="00E15BBF" w:rsidP="00317748">
      <w:pPr>
        <w:pStyle w:val="MediumGrid1-Accent21"/>
        <w:ind w:left="0"/>
        <w:rPr>
          <w:lang w:val="en-US"/>
        </w:rPr>
      </w:pPr>
    </w:p>
    <w:p w:rsidR="00E15BBF" w:rsidRPr="002E60EB" w:rsidRDefault="0068356A" w:rsidP="00317748">
      <w:pPr>
        <w:numPr>
          <w:ilvl w:val="0"/>
          <w:numId w:val="1"/>
        </w:numPr>
        <w:tabs>
          <w:tab w:val="left" w:pos="720"/>
        </w:tabs>
        <w:jc w:val="both"/>
        <w:rPr>
          <w:color w:val="00B050"/>
          <w:lang w:val="en-US"/>
        </w:rPr>
      </w:pPr>
      <w:r w:rsidRPr="002E60EB">
        <w:rPr>
          <w:lang w:val="en-US"/>
        </w:rPr>
        <w:t>Lastly</w:t>
      </w:r>
      <w:r w:rsidR="00E15BBF" w:rsidRPr="002E60EB">
        <w:rPr>
          <w:lang w:val="en-US"/>
        </w:rPr>
        <w:t>, based on its</w:t>
      </w:r>
      <w:r w:rsidR="00D31E65" w:rsidRPr="002E60EB">
        <w:rPr>
          <w:lang w:val="en-US"/>
        </w:rPr>
        <w:t xml:space="preserve"> case law</w:t>
      </w:r>
      <w:r w:rsidR="00E15BBF" w:rsidRPr="002E60EB">
        <w:rPr>
          <w:lang w:val="en-US"/>
        </w:rPr>
        <w:t xml:space="preserve"> (supra para. </w:t>
      </w:r>
      <w:r w:rsidR="00D31E65" w:rsidRPr="002E60EB">
        <w:rPr>
          <w:lang w:val="en-US"/>
        </w:rPr>
        <w:t>47</w:t>
      </w:r>
      <w:r w:rsidR="00E15BBF" w:rsidRPr="002E60EB">
        <w:rPr>
          <w:lang w:val="en-US"/>
        </w:rPr>
        <w:t xml:space="preserve">), the Court considers inadmissible </w:t>
      </w:r>
      <w:r w:rsidR="00D31E65" w:rsidRPr="002E60EB">
        <w:rPr>
          <w:lang w:val="en-US"/>
        </w:rPr>
        <w:t xml:space="preserve">Colombia’s intention </w:t>
      </w:r>
      <w:r w:rsidR="00E15BBF" w:rsidRPr="002E60EB">
        <w:rPr>
          <w:lang w:val="en-US"/>
        </w:rPr>
        <w:t xml:space="preserve">that the Court </w:t>
      </w:r>
      <w:r w:rsidR="00D31E65" w:rsidRPr="002E60EB">
        <w:rPr>
          <w:lang w:val="en-US"/>
        </w:rPr>
        <w:t>should not</w:t>
      </w:r>
      <w:r w:rsidR="00E15BBF" w:rsidRPr="002E60EB">
        <w:rPr>
          <w:lang w:val="en-US"/>
        </w:rPr>
        <w:t xml:space="preserve"> analyze the </w:t>
      </w:r>
      <w:r w:rsidR="00D31E65" w:rsidRPr="002E60EB">
        <w:rPr>
          <w:lang w:val="en-US"/>
        </w:rPr>
        <w:t xml:space="preserve">representative’s </w:t>
      </w:r>
      <w:r w:rsidR="00E15BBF" w:rsidRPr="002E60EB">
        <w:rPr>
          <w:lang w:val="en-US"/>
        </w:rPr>
        <w:t xml:space="preserve">classification </w:t>
      </w:r>
      <w:r w:rsidR="00D31E65" w:rsidRPr="002E60EB">
        <w:rPr>
          <w:lang w:val="en-US"/>
        </w:rPr>
        <w:t>of</w:t>
      </w:r>
      <w:r w:rsidR="00E15BBF" w:rsidRPr="002E60EB">
        <w:rPr>
          <w:lang w:val="en-US"/>
        </w:rPr>
        <w:t xml:space="preserve"> what happened to Mr. Vélez Restrepo on October 6, 1997</w:t>
      </w:r>
      <w:r w:rsidR="00D31E65" w:rsidRPr="002E60EB">
        <w:rPr>
          <w:lang w:val="en-US"/>
        </w:rPr>
        <w:t>,</w:t>
      </w:r>
      <w:r w:rsidR="00E15BBF" w:rsidRPr="002E60EB">
        <w:rPr>
          <w:lang w:val="en-US"/>
        </w:rPr>
        <w:t xml:space="preserve"> as an </w:t>
      </w:r>
      <w:r w:rsidR="00087093" w:rsidRPr="002E60EB">
        <w:rPr>
          <w:lang w:val="en-US"/>
        </w:rPr>
        <w:t>“</w:t>
      </w:r>
      <w:r w:rsidR="00E15BBF" w:rsidRPr="002E60EB">
        <w:rPr>
          <w:lang w:val="en-US"/>
        </w:rPr>
        <w:t>attempted forced disappearance,</w:t>
      </w:r>
      <w:r w:rsidR="00087093" w:rsidRPr="002E60EB">
        <w:rPr>
          <w:lang w:val="en-US"/>
        </w:rPr>
        <w:t>”</w:t>
      </w:r>
      <w:r w:rsidR="00E15BBF" w:rsidRPr="002E60EB">
        <w:rPr>
          <w:lang w:val="en-US"/>
        </w:rPr>
        <w:t xml:space="preserve"> </w:t>
      </w:r>
      <w:r w:rsidR="00D31E65" w:rsidRPr="002E60EB">
        <w:rPr>
          <w:lang w:val="en-US"/>
        </w:rPr>
        <w:t>because</w:t>
      </w:r>
      <w:r w:rsidR="00E15BBF" w:rsidRPr="002E60EB">
        <w:rPr>
          <w:lang w:val="en-US"/>
        </w:rPr>
        <w:t xml:space="preserve"> the representative is not </w:t>
      </w:r>
      <w:r w:rsidR="00D31E65" w:rsidRPr="002E60EB">
        <w:rPr>
          <w:lang w:val="en-US"/>
        </w:rPr>
        <w:t xml:space="preserve">introducing </w:t>
      </w:r>
      <w:r w:rsidR="00E15BBF" w:rsidRPr="002E60EB">
        <w:rPr>
          <w:lang w:val="en-US"/>
        </w:rPr>
        <w:t xml:space="preserve">a new fact. </w:t>
      </w:r>
      <w:r w:rsidR="00D31E65" w:rsidRPr="002E60EB">
        <w:rPr>
          <w:lang w:val="en-US"/>
        </w:rPr>
        <w:t>In its Merits Report, t</w:t>
      </w:r>
      <w:r w:rsidR="00E15BBF" w:rsidRPr="002E60EB">
        <w:rPr>
          <w:lang w:val="en-US"/>
        </w:rPr>
        <w:t>he Commission considered it prove</w:t>
      </w:r>
      <w:r w:rsidR="00D31E65" w:rsidRPr="002E60EB">
        <w:rPr>
          <w:lang w:val="en-US"/>
        </w:rPr>
        <w:t>d</w:t>
      </w:r>
      <w:r w:rsidR="00E15BBF" w:rsidRPr="002E60EB">
        <w:rPr>
          <w:lang w:val="en-US"/>
        </w:rPr>
        <w:t xml:space="preserve"> that Mr. Vélez </w:t>
      </w:r>
      <w:r w:rsidR="00D31E65" w:rsidRPr="002E60EB">
        <w:rPr>
          <w:lang w:val="en-US"/>
        </w:rPr>
        <w:t xml:space="preserve">had </w:t>
      </w:r>
      <w:r w:rsidR="00E15BBF" w:rsidRPr="002E60EB">
        <w:rPr>
          <w:lang w:val="en-US"/>
        </w:rPr>
        <w:t xml:space="preserve">suffered an </w:t>
      </w:r>
      <w:r w:rsidR="00087093" w:rsidRPr="002E60EB">
        <w:rPr>
          <w:lang w:val="en-US"/>
        </w:rPr>
        <w:t>“</w:t>
      </w:r>
      <w:r w:rsidR="00E15BBF" w:rsidRPr="002E60EB">
        <w:rPr>
          <w:lang w:val="en-US"/>
        </w:rPr>
        <w:t xml:space="preserve">attempted </w:t>
      </w:r>
      <w:r w:rsidR="00334C3C" w:rsidRPr="002E60EB">
        <w:rPr>
          <w:lang w:val="en-US"/>
        </w:rPr>
        <w:t>kidnapping</w:t>
      </w:r>
      <w:r w:rsidR="00087093" w:rsidRPr="002E60EB">
        <w:rPr>
          <w:lang w:val="en-US"/>
        </w:rPr>
        <w:t>”</w:t>
      </w:r>
      <w:r w:rsidR="00E15BBF" w:rsidRPr="002E60EB">
        <w:rPr>
          <w:lang w:val="en-US"/>
        </w:rPr>
        <w:t xml:space="preserve"> on October 6, 1997. The representative is referring to that fact</w:t>
      </w:r>
      <w:r w:rsidR="00D31E65" w:rsidRPr="002E60EB">
        <w:rPr>
          <w:lang w:val="en-US"/>
        </w:rPr>
        <w:t xml:space="preserve">, but </w:t>
      </w:r>
      <w:r w:rsidR="00E15BBF" w:rsidRPr="002E60EB">
        <w:rPr>
          <w:lang w:val="en-US"/>
        </w:rPr>
        <w:t>h</w:t>
      </w:r>
      <w:r w:rsidR="00D31E65" w:rsidRPr="002E60EB">
        <w:rPr>
          <w:lang w:val="en-US"/>
        </w:rPr>
        <w:t>e</w:t>
      </w:r>
      <w:r w:rsidR="00E15BBF" w:rsidRPr="002E60EB">
        <w:rPr>
          <w:lang w:val="en-US"/>
        </w:rPr>
        <w:t xml:space="preserve"> gives it a </w:t>
      </w:r>
      <w:r w:rsidR="00D31E65" w:rsidRPr="002E60EB">
        <w:rPr>
          <w:lang w:val="en-US"/>
        </w:rPr>
        <w:t xml:space="preserve">different </w:t>
      </w:r>
      <w:r w:rsidR="00E15BBF" w:rsidRPr="002E60EB">
        <w:rPr>
          <w:lang w:val="en-US"/>
        </w:rPr>
        <w:t xml:space="preserve">legal </w:t>
      </w:r>
      <w:r w:rsidR="00D31E65" w:rsidRPr="002E60EB">
        <w:rPr>
          <w:lang w:val="en-US"/>
        </w:rPr>
        <w:t xml:space="preserve">definition to the one proposed by </w:t>
      </w:r>
      <w:r w:rsidR="00E15BBF" w:rsidRPr="002E60EB">
        <w:rPr>
          <w:lang w:val="en-US"/>
        </w:rPr>
        <w:t>the Inter-American Commission. Accordingly, in its analysis of the merits, the Court will rule on the representative</w:t>
      </w:r>
      <w:r w:rsidR="00D31E65" w:rsidRPr="002E60EB">
        <w:rPr>
          <w:lang w:val="en-US"/>
        </w:rPr>
        <w:t>’s allegation</w:t>
      </w:r>
      <w:r w:rsidR="00E15BBF" w:rsidRPr="002E60EB">
        <w:rPr>
          <w:lang w:val="en-US"/>
        </w:rPr>
        <w:t xml:space="preserve"> </w:t>
      </w:r>
      <w:r w:rsidR="00D31E65" w:rsidRPr="002E60EB">
        <w:rPr>
          <w:lang w:val="en-US"/>
        </w:rPr>
        <w:t xml:space="preserve">in relation to the </w:t>
      </w:r>
      <w:r w:rsidR="00E15BBF" w:rsidRPr="002E60EB">
        <w:rPr>
          <w:lang w:val="en-US"/>
        </w:rPr>
        <w:t xml:space="preserve">legal </w:t>
      </w:r>
      <w:r w:rsidR="00334C3C" w:rsidRPr="002E60EB">
        <w:rPr>
          <w:lang w:val="en-US"/>
        </w:rPr>
        <w:t>definition</w:t>
      </w:r>
      <w:r w:rsidR="00D31E65" w:rsidRPr="002E60EB">
        <w:rPr>
          <w:lang w:val="en-US"/>
        </w:rPr>
        <w:t xml:space="preserve"> </w:t>
      </w:r>
      <w:r w:rsidR="00E15BBF" w:rsidRPr="002E60EB">
        <w:rPr>
          <w:lang w:val="en-US"/>
        </w:rPr>
        <w:t xml:space="preserve">of that fact and the alleged violation of Article 4 of the American Convention. </w:t>
      </w:r>
    </w:p>
    <w:p w:rsidR="00E15BBF" w:rsidRPr="002E60EB" w:rsidRDefault="00E15BBF" w:rsidP="00317748">
      <w:pPr>
        <w:tabs>
          <w:tab w:val="left" w:pos="720"/>
        </w:tabs>
        <w:jc w:val="both"/>
        <w:rPr>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According to the above </w:t>
      </w:r>
      <w:r w:rsidR="00D31E65" w:rsidRPr="002E60EB">
        <w:rPr>
          <w:lang w:val="en-US"/>
        </w:rPr>
        <w:t>findings</w:t>
      </w:r>
      <w:r w:rsidRPr="002E60EB">
        <w:rPr>
          <w:lang w:val="en-US"/>
        </w:rPr>
        <w:t xml:space="preserve">, the Court will not rule on the alleged </w:t>
      </w:r>
      <w:r w:rsidR="00D31E65" w:rsidRPr="002E60EB">
        <w:rPr>
          <w:lang w:val="en-US"/>
        </w:rPr>
        <w:t xml:space="preserve">contextual references and </w:t>
      </w:r>
      <w:r w:rsidRPr="002E60EB">
        <w:rPr>
          <w:lang w:val="en-US"/>
        </w:rPr>
        <w:t xml:space="preserve">facts </w:t>
      </w:r>
      <w:r w:rsidR="00D31E65" w:rsidRPr="002E60EB">
        <w:rPr>
          <w:lang w:val="en-US"/>
        </w:rPr>
        <w:t>described</w:t>
      </w:r>
      <w:r w:rsidRPr="002E60EB">
        <w:rPr>
          <w:lang w:val="en-US"/>
        </w:rPr>
        <w:t xml:space="preserve"> by the representative that are not part of the factual framework of this case (supra para</w:t>
      </w:r>
      <w:r w:rsidR="00D31E65" w:rsidRPr="002E60EB">
        <w:rPr>
          <w:lang w:val="en-US"/>
        </w:rPr>
        <w:t>s</w:t>
      </w:r>
      <w:r w:rsidRPr="002E60EB">
        <w:rPr>
          <w:lang w:val="en-US"/>
        </w:rPr>
        <w:t xml:space="preserve">. </w:t>
      </w:r>
      <w:r w:rsidR="00D31E65" w:rsidRPr="002E60EB">
        <w:rPr>
          <w:lang w:val="en-US"/>
        </w:rPr>
        <w:t>51</w:t>
      </w:r>
      <w:r w:rsidRPr="002E60EB">
        <w:rPr>
          <w:lang w:val="en-US"/>
        </w:rPr>
        <w:t xml:space="preserve"> to </w:t>
      </w:r>
      <w:r w:rsidR="00D31E65" w:rsidRPr="002E60EB">
        <w:rPr>
          <w:lang w:val="en-US"/>
        </w:rPr>
        <w:t>54</w:t>
      </w:r>
      <w:r w:rsidRPr="002E60EB">
        <w:rPr>
          <w:lang w:val="en-US"/>
        </w:rPr>
        <w:t xml:space="preserve">) and, consequently, it will not rule on the allegations regarding violations of the American Convention in relation to those facts. As indicated, the Court will rule on or </w:t>
      </w:r>
      <w:r w:rsidR="00D31E65" w:rsidRPr="002E60EB">
        <w:rPr>
          <w:lang w:val="en-US"/>
        </w:rPr>
        <w:t>take into consideration those</w:t>
      </w:r>
      <w:r w:rsidRPr="002E60EB">
        <w:rPr>
          <w:lang w:val="en-US"/>
        </w:rPr>
        <w:t xml:space="preserve"> facts that explain, clarify or </w:t>
      </w:r>
      <w:r w:rsidR="00D31E65" w:rsidRPr="002E60EB">
        <w:rPr>
          <w:lang w:val="en-US"/>
        </w:rPr>
        <w:t xml:space="preserve">reject </w:t>
      </w:r>
      <w:r w:rsidRPr="002E60EB">
        <w:rPr>
          <w:lang w:val="en-US"/>
        </w:rPr>
        <w:t>th</w:t>
      </w:r>
      <w:r w:rsidR="00D31E65" w:rsidRPr="002E60EB">
        <w:rPr>
          <w:lang w:val="en-US"/>
        </w:rPr>
        <w:t>e facts</w:t>
      </w:r>
      <w:r w:rsidRPr="002E60EB">
        <w:rPr>
          <w:lang w:val="en-US"/>
        </w:rPr>
        <w:t xml:space="preserve"> presented by the Inter-American Commission, a</w:t>
      </w:r>
      <w:r w:rsidR="00D31E65" w:rsidRPr="002E60EB">
        <w:rPr>
          <w:lang w:val="en-US"/>
        </w:rPr>
        <w:t>s indicated above.</w:t>
      </w:r>
      <w:r w:rsidR="00D31E65" w:rsidRPr="002E60EB">
        <w:rPr>
          <w:rStyle w:val="Refdenotaalpie"/>
          <w:lang w:val="en-US"/>
        </w:rPr>
        <w:footnoteReference w:id="56"/>
      </w:r>
      <w:r w:rsidRPr="002E60EB">
        <w:rPr>
          <w:lang w:val="en-US"/>
        </w:rPr>
        <w:t xml:space="preserve"> </w:t>
      </w:r>
      <w:r w:rsidR="00D31E65" w:rsidRPr="002E60EB">
        <w:rPr>
          <w:lang w:val="en-US"/>
        </w:rPr>
        <w:t>When</w:t>
      </w:r>
      <w:r w:rsidRPr="002E60EB">
        <w:rPr>
          <w:lang w:val="en-US"/>
        </w:rPr>
        <w:t xml:space="preserve"> determining the facts and ruling on the</w:t>
      </w:r>
      <w:r w:rsidR="00D31E65" w:rsidRPr="002E60EB">
        <w:rPr>
          <w:lang w:val="en-US"/>
        </w:rPr>
        <w:t>ir</w:t>
      </w:r>
      <w:r w:rsidRPr="002E60EB">
        <w:rPr>
          <w:lang w:val="en-US"/>
        </w:rPr>
        <w:t xml:space="preserve"> legal consequences, the Court will </w:t>
      </w:r>
      <w:r w:rsidR="00D31E65" w:rsidRPr="002E60EB">
        <w:rPr>
          <w:lang w:val="en-US"/>
        </w:rPr>
        <w:t>take into account</w:t>
      </w:r>
      <w:r w:rsidRPr="002E60EB">
        <w:rPr>
          <w:lang w:val="en-US"/>
        </w:rPr>
        <w:t xml:space="preserve"> the State's arguments </w:t>
      </w:r>
      <w:r w:rsidR="00D31E65" w:rsidRPr="002E60EB">
        <w:rPr>
          <w:lang w:val="en-US"/>
        </w:rPr>
        <w:t xml:space="preserve">concerning </w:t>
      </w:r>
      <w:r w:rsidRPr="002E60EB">
        <w:rPr>
          <w:lang w:val="en-US"/>
        </w:rPr>
        <w:t xml:space="preserve">the absence or insufficiency of evidence </w:t>
      </w:r>
      <w:r w:rsidR="00D31E65" w:rsidRPr="002E60EB">
        <w:rPr>
          <w:lang w:val="en-US"/>
        </w:rPr>
        <w:t xml:space="preserve">on which </w:t>
      </w:r>
      <w:r w:rsidRPr="002E60EB">
        <w:rPr>
          <w:lang w:val="en-US"/>
        </w:rPr>
        <w:t>the</w:t>
      </w:r>
      <w:r w:rsidR="00D31E65" w:rsidRPr="002E60EB">
        <w:rPr>
          <w:lang w:val="en-US"/>
        </w:rPr>
        <w:t xml:space="preserve"> contextual references and</w:t>
      </w:r>
      <w:r w:rsidRPr="002E60EB">
        <w:rPr>
          <w:lang w:val="en-US"/>
        </w:rPr>
        <w:t xml:space="preserve"> facts </w:t>
      </w:r>
      <w:r w:rsidR="00D31E65" w:rsidRPr="002E60EB">
        <w:rPr>
          <w:lang w:val="en-US"/>
        </w:rPr>
        <w:t>are based.</w:t>
      </w:r>
    </w:p>
    <w:p w:rsidR="00E15BBF" w:rsidRPr="002E60EB" w:rsidRDefault="00E15BBF" w:rsidP="00317748">
      <w:pPr>
        <w:tabs>
          <w:tab w:val="left" w:pos="720"/>
        </w:tabs>
        <w:rPr>
          <w:lang w:val="en-US"/>
        </w:rPr>
      </w:pPr>
    </w:p>
    <w:p w:rsidR="00E15BBF" w:rsidRPr="002E60EB" w:rsidRDefault="00E15BBF" w:rsidP="00317748">
      <w:pPr>
        <w:autoSpaceDE w:val="0"/>
        <w:autoSpaceDN w:val="0"/>
        <w:adjustRightInd w:val="0"/>
        <w:rPr>
          <w:rFonts w:cs="Verdana"/>
          <w:iCs/>
          <w:lang w:val="en-US"/>
        </w:rPr>
      </w:pPr>
    </w:p>
    <w:p w:rsidR="00E15BBF" w:rsidRPr="002E60EB" w:rsidRDefault="00E15BBF" w:rsidP="00317748">
      <w:pPr>
        <w:autoSpaceDE w:val="0"/>
        <w:autoSpaceDN w:val="0"/>
        <w:adjustRightInd w:val="0"/>
        <w:jc w:val="center"/>
        <w:rPr>
          <w:rFonts w:eastAsia="Batang" w:cs="Verdana"/>
          <w:b/>
          <w:smallCaps/>
          <w:lang w:val="en-US"/>
        </w:rPr>
      </w:pPr>
      <w:r w:rsidRPr="002E60EB">
        <w:rPr>
          <w:rFonts w:eastAsia="Batang" w:cs="Verdana"/>
          <w:b/>
          <w:smallCaps/>
          <w:lang w:val="en-US"/>
        </w:rPr>
        <w:t>VI</w:t>
      </w:r>
    </w:p>
    <w:p w:rsidR="00E15BBF" w:rsidRPr="002E60EB" w:rsidRDefault="00064FEC" w:rsidP="00317748">
      <w:pPr>
        <w:autoSpaceDE w:val="0"/>
        <w:autoSpaceDN w:val="0"/>
        <w:adjustRightInd w:val="0"/>
        <w:jc w:val="center"/>
        <w:rPr>
          <w:rFonts w:cs="Verdana"/>
          <w:iCs/>
          <w:lang w:val="en-US"/>
        </w:rPr>
      </w:pPr>
      <w:r w:rsidRPr="002E60EB">
        <w:rPr>
          <w:rFonts w:eastAsia="Batang" w:cs="Verdana"/>
          <w:b/>
          <w:smallCaps/>
          <w:lang w:val="en-US"/>
        </w:rPr>
        <w:t>COMPETENCE</w:t>
      </w:r>
    </w:p>
    <w:p w:rsidR="00E15BBF" w:rsidRPr="002E60EB" w:rsidRDefault="00E15BBF" w:rsidP="00317748">
      <w:pPr>
        <w:tabs>
          <w:tab w:val="left" w:pos="720"/>
        </w:tabs>
        <w:jc w:val="both"/>
        <w:rPr>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The Inter-American Court has </w:t>
      </w:r>
      <w:r w:rsidR="00064FEC" w:rsidRPr="002E60EB">
        <w:rPr>
          <w:lang w:val="en-US"/>
        </w:rPr>
        <w:t>competence to hear this case</w:t>
      </w:r>
      <w:r w:rsidRPr="002E60EB">
        <w:rPr>
          <w:lang w:val="en-US"/>
        </w:rPr>
        <w:t xml:space="preserve">, pursuant to Article 62(3) of the Convention, </w:t>
      </w:r>
      <w:r w:rsidR="00064FEC" w:rsidRPr="002E60EB">
        <w:rPr>
          <w:lang w:val="en-US"/>
        </w:rPr>
        <w:t>because</w:t>
      </w:r>
      <w:r w:rsidRPr="002E60EB">
        <w:rPr>
          <w:lang w:val="en-US"/>
        </w:rPr>
        <w:t xml:space="preserve"> Colombia has been a State Party to the American Convention since July 31, 1973, and </w:t>
      </w:r>
      <w:r w:rsidR="00064FEC" w:rsidRPr="002E60EB">
        <w:rPr>
          <w:lang w:val="en-US"/>
        </w:rPr>
        <w:t>accepted</w:t>
      </w:r>
      <w:r w:rsidRPr="002E60EB">
        <w:rPr>
          <w:lang w:val="en-US"/>
        </w:rPr>
        <w:t xml:space="preserve"> the</w:t>
      </w:r>
      <w:r w:rsidR="00064FEC" w:rsidRPr="002E60EB">
        <w:rPr>
          <w:lang w:val="en-US"/>
        </w:rPr>
        <w:t xml:space="preserve"> compulsory</w:t>
      </w:r>
      <w:r w:rsidRPr="002E60EB">
        <w:rPr>
          <w:lang w:val="en-US"/>
        </w:rPr>
        <w:t xml:space="preserve"> jurisdiction of the Court on June 21, 1985.</w:t>
      </w:r>
    </w:p>
    <w:p w:rsidR="00E15BBF" w:rsidRPr="002E60EB" w:rsidRDefault="00E15BBF" w:rsidP="00317748">
      <w:pPr>
        <w:tabs>
          <w:tab w:val="left" w:pos="720"/>
        </w:tabs>
        <w:jc w:val="both"/>
        <w:rPr>
          <w:lang w:val="en-US"/>
        </w:rPr>
      </w:pPr>
    </w:p>
    <w:p w:rsidR="00D31E65" w:rsidRPr="002E60EB" w:rsidRDefault="00D31E65" w:rsidP="00317748">
      <w:pPr>
        <w:tabs>
          <w:tab w:val="left" w:pos="720"/>
        </w:tabs>
        <w:jc w:val="both"/>
        <w:rPr>
          <w:lang w:val="en-US"/>
        </w:rPr>
      </w:pPr>
    </w:p>
    <w:p w:rsidR="00E15BBF" w:rsidRPr="002E60EB" w:rsidRDefault="00E15BBF" w:rsidP="00317748">
      <w:pPr>
        <w:pStyle w:val="Ttulo2"/>
        <w:tabs>
          <w:tab w:val="left" w:pos="720"/>
        </w:tabs>
        <w:spacing w:before="0" w:after="0"/>
        <w:jc w:val="center"/>
        <w:rPr>
          <w:rFonts w:ascii="Verdana" w:hAnsi="Verdana" w:cs="Verdana"/>
          <w:i w:val="0"/>
          <w:caps/>
          <w:snapToGrid w:val="0"/>
          <w:sz w:val="20"/>
          <w:szCs w:val="20"/>
          <w:lang w:val="en-US" w:eastAsia="es-ES"/>
        </w:rPr>
      </w:pPr>
      <w:r w:rsidRPr="002E60EB">
        <w:rPr>
          <w:rFonts w:ascii="Verdana" w:hAnsi="Verdana" w:cs="Verdana"/>
          <w:i w:val="0"/>
          <w:caps/>
          <w:snapToGrid w:val="0"/>
          <w:sz w:val="20"/>
          <w:szCs w:val="20"/>
          <w:lang w:val="en-US" w:eastAsia="es-ES"/>
        </w:rPr>
        <w:t>VII</w:t>
      </w:r>
    </w:p>
    <w:p w:rsidR="00E15BBF" w:rsidRPr="002E60EB" w:rsidRDefault="00E15BBF" w:rsidP="00317748">
      <w:pPr>
        <w:pStyle w:val="Ttulo2"/>
        <w:tabs>
          <w:tab w:val="left" w:pos="720"/>
        </w:tabs>
        <w:spacing w:before="0" w:after="0"/>
        <w:jc w:val="center"/>
        <w:rPr>
          <w:rFonts w:ascii="Verdana" w:hAnsi="Verdana" w:cs="Verdana"/>
          <w:i w:val="0"/>
          <w:caps/>
          <w:snapToGrid w:val="0"/>
          <w:sz w:val="20"/>
          <w:szCs w:val="20"/>
          <w:lang w:val="en-US" w:eastAsia="es-ES"/>
        </w:rPr>
      </w:pPr>
      <w:r w:rsidRPr="002E60EB">
        <w:rPr>
          <w:rFonts w:ascii="Verdana" w:hAnsi="Verdana" w:cs="Verdana"/>
          <w:i w:val="0"/>
          <w:caps/>
          <w:snapToGrid w:val="0"/>
          <w:sz w:val="20"/>
          <w:szCs w:val="20"/>
          <w:lang w:val="en-US" w:eastAsia="es-ES"/>
        </w:rPr>
        <w:t>EVIDENCE</w:t>
      </w:r>
    </w:p>
    <w:p w:rsidR="00E15BBF" w:rsidRPr="002E60EB" w:rsidRDefault="00E15BBF" w:rsidP="002711CF">
      <w:pPr>
        <w:tabs>
          <w:tab w:val="left" w:pos="720"/>
        </w:tabs>
        <w:jc w:val="both"/>
        <w:rPr>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Based on </w:t>
      </w:r>
      <w:r w:rsidR="00D31E65" w:rsidRPr="002E60EB">
        <w:rPr>
          <w:lang w:val="en-US"/>
        </w:rPr>
        <w:t>the provisions of</w:t>
      </w:r>
      <w:r w:rsidRPr="002E60EB">
        <w:rPr>
          <w:lang w:val="en-US"/>
        </w:rPr>
        <w:t xml:space="preserve"> Articles 50, 57, 58, and 59 of the Rules of Procedure, as well as </w:t>
      </w:r>
      <w:r w:rsidR="00D31E65" w:rsidRPr="002E60EB">
        <w:rPr>
          <w:lang w:val="en-US"/>
        </w:rPr>
        <w:t>its case law</w:t>
      </w:r>
      <w:r w:rsidRPr="002E60EB">
        <w:rPr>
          <w:lang w:val="en-US"/>
        </w:rPr>
        <w:t xml:space="preserve"> regarding evidence and its assessment,</w:t>
      </w:r>
      <w:r w:rsidR="00D31E65" w:rsidRPr="002E60EB">
        <w:rPr>
          <w:rStyle w:val="Refdenotaalpie"/>
          <w:lang w:val="en-US" w:eastAsia="es-ES"/>
        </w:rPr>
        <w:footnoteReference w:id="57"/>
      </w:r>
      <w:r w:rsidRPr="002E60EB">
        <w:rPr>
          <w:lang w:val="en-US"/>
        </w:rPr>
        <w:t xml:space="preserve"> the Court will examine and assess the documentary </w:t>
      </w:r>
      <w:r w:rsidR="00D31E65" w:rsidRPr="002E60EB">
        <w:rPr>
          <w:lang w:val="en-US"/>
        </w:rPr>
        <w:t xml:space="preserve">probative </w:t>
      </w:r>
      <w:r w:rsidRPr="002E60EB">
        <w:rPr>
          <w:lang w:val="en-US"/>
        </w:rPr>
        <w:t xml:space="preserve">elements </w:t>
      </w:r>
      <w:r w:rsidR="00D31E65" w:rsidRPr="002E60EB">
        <w:rPr>
          <w:lang w:val="en-US"/>
        </w:rPr>
        <w:t>forwarded by the parties at the different</w:t>
      </w:r>
      <w:r w:rsidRPr="002E60EB">
        <w:rPr>
          <w:lang w:val="en-US"/>
        </w:rPr>
        <w:t xml:space="preserve"> procedural opportunities, the statements of the </w:t>
      </w:r>
      <w:r w:rsidR="001466BD" w:rsidRPr="002E60EB">
        <w:rPr>
          <w:lang w:val="en-US"/>
        </w:rPr>
        <w:t>presumed victim</w:t>
      </w:r>
      <w:r w:rsidRPr="002E60EB">
        <w:rPr>
          <w:lang w:val="en-US"/>
        </w:rPr>
        <w:t>s, the testimony</w:t>
      </w:r>
      <w:r w:rsidR="00D31E65" w:rsidRPr="002E60EB">
        <w:rPr>
          <w:lang w:val="en-US"/>
        </w:rPr>
        <w:t xml:space="preserve"> and </w:t>
      </w:r>
      <w:r w:rsidRPr="002E60EB">
        <w:rPr>
          <w:lang w:val="en-US"/>
        </w:rPr>
        <w:t xml:space="preserve">the expert </w:t>
      </w:r>
      <w:r w:rsidR="00D31E65" w:rsidRPr="002E60EB">
        <w:rPr>
          <w:lang w:val="en-US"/>
        </w:rPr>
        <w:t xml:space="preserve">opinions provided by affidavit and during </w:t>
      </w:r>
      <w:r w:rsidRPr="002E60EB">
        <w:rPr>
          <w:lang w:val="en-US"/>
        </w:rPr>
        <w:t xml:space="preserve">the public hearing before the Court, as well as </w:t>
      </w:r>
      <w:r w:rsidR="00D31E65" w:rsidRPr="002E60EB">
        <w:rPr>
          <w:lang w:val="en-US"/>
        </w:rPr>
        <w:t xml:space="preserve">the helpful </w:t>
      </w:r>
      <w:r w:rsidRPr="002E60EB">
        <w:rPr>
          <w:lang w:val="en-US"/>
        </w:rPr>
        <w:t xml:space="preserve">evidence requested by the </w:t>
      </w:r>
      <w:r w:rsidR="00D00C5F" w:rsidRPr="002E60EB">
        <w:rPr>
          <w:lang w:val="en-US"/>
        </w:rPr>
        <w:t>Court</w:t>
      </w:r>
      <w:r w:rsidRPr="002E60EB">
        <w:rPr>
          <w:lang w:val="en-US"/>
        </w:rPr>
        <w:t xml:space="preserve"> </w:t>
      </w:r>
      <w:r w:rsidR="00991DB1" w:rsidRPr="002E60EB">
        <w:rPr>
          <w:lang w:val="en-US"/>
        </w:rPr>
        <w:t>or its President. To this end,</w:t>
      </w:r>
      <w:r w:rsidRPr="002E60EB">
        <w:rPr>
          <w:lang w:val="en-US"/>
        </w:rPr>
        <w:t xml:space="preserve"> the Court will abide by the rules of sound ju</w:t>
      </w:r>
      <w:r w:rsidR="00D31E65" w:rsidRPr="002E60EB">
        <w:rPr>
          <w:lang w:val="en-US"/>
        </w:rPr>
        <w:t>dicial discretion</w:t>
      </w:r>
      <w:r w:rsidRPr="002E60EB">
        <w:rPr>
          <w:lang w:val="en-US"/>
        </w:rPr>
        <w:t>, within the corresponding legal framework.</w:t>
      </w:r>
      <w:r w:rsidR="00D31E65" w:rsidRPr="002E60EB">
        <w:rPr>
          <w:rStyle w:val="Refdenotaalpie"/>
          <w:lang w:val="en-US" w:eastAsia="es-ES"/>
        </w:rPr>
        <w:footnoteReference w:id="58"/>
      </w:r>
    </w:p>
    <w:p w:rsidR="00E15BBF" w:rsidRPr="002E60EB" w:rsidRDefault="00E15BBF" w:rsidP="00317748">
      <w:pPr>
        <w:tabs>
          <w:tab w:val="left" w:pos="720"/>
        </w:tabs>
        <w:jc w:val="both"/>
        <w:rPr>
          <w:lang w:val="en-US" w:eastAsia="es-ES"/>
        </w:rPr>
      </w:pPr>
    </w:p>
    <w:p w:rsidR="00E15BBF" w:rsidRPr="002E60EB" w:rsidRDefault="00E15BBF" w:rsidP="00317748">
      <w:pPr>
        <w:pStyle w:val="MediumGrid1-Accent21"/>
        <w:numPr>
          <w:ilvl w:val="0"/>
          <w:numId w:val="7"/>
        </w:numPr>
        <w:tabs>
          <w:tab w:val="left" w:pos="720"/>
        </w:tabs>
        <w:ind w:left="0" w:firstLine="0"/>
        <w:jc w:val="both"/>
        <w:rPr>
          <w:b/>
          <w:i/>
          <w:lang w:val="en-US" w:eastAsia="es-ES"/>
        </w:rPr>
      </w:pPr>
      <w:r w:rsidRPr="002E60EB">
        <w:rPr>
          <w:b/>
          <w:i/>
          <w:lang w:val="en-US" w:eastAsia="es-ES"/>
        </w:rPr>
        <w:t>Documentary, testimonial and expert evidence</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The Court </w:t>
      </w:r>
      <w:r w:rsidR="00D31E65" w:rsidRPr="002E60EB">
        <w:rPr>
          <w:lang w:val="en-US" w:eastAsia="es-ES"/>
        </w:rPr>
        <w:t xml:space="preserve">has </w:t>
      </w:r>
      <w:r w:rsidRPr="002E60EB">
        <w:rPr>
          <w:lang w:val="en-US" w:eastAsia="es-ES"/>
        </w:rPr>
        <w:t xml:space="preserve">received </w:t>
      </w:r>
      <w:r w:rsidR="00334C3C" w:rsidRPr="002E60EB">
        <w:rPr>
          <w:lang w:val="en-US" w:eastAsia="es-ES"/>
        </w:rPr>
        <w:t>diverse</w:t>
      </w:r>
      <w:r w:rsidRPr="002E60EB">
        <w:rPr>
          <w:lang w:val="en-US" w:eastAsia="es-ES"/>
        </w:rPr>
        <w:t xml:space="preserve"> documents submitted as evidence by the Inter-American Commission, the representatives, and the State, attached to their </w:t>
      </w:r>
      <w:r w:rsidR="00D31E65" w:rsidRPr="002E60EB">
        <w:rPr>
          <w:lang w:val="en-US" w:eastAsia="es-ES"/>
        </w:rPr>
        <w:t>main</w:t>
      </w:r>
      <w:r w:rsidRPr="002E60EB">
        <w:rPr>
          <w:lang w:val="en-US" w:eastAsia="es-ES"/>
        </w:rPr>
        <w:t xml:space="preserve"> briefs (</w:t>
      </w:r>
      <w:r w:rsidRPr="002E60EB">
        <w:rPr>
          <w:i/>
          <w:lang w:val="en-US" w:eastAsia="es-ES"/>
        </w:rPr>
        <w:t>supra</w:t>
      </w:r>
      <w:r w:rsidRPr="002E60EB">
        <w:rPr>
          <w:lang w:val="en-US" w:eastAsia="es-ES"/>
        </w:rPr>
        <w:t xml:space="preserve"> paras. </w:t>
      </w:r>
      <w:r w:rsidR="00D31E65" w:rsidRPr="002E60EB">
        <w:rPr>
          <w:lang w:val="en-US" w:eastAsia="es-ES"/>
        </w:rPr>
        <w:t>1, 5 and 6</w:t>
      </w:r>
      <w:r w:rsidRPr="002E60EB">
        <w:rPr>
          <w:lang w:val="en-US" w:eastAsia="es-ES"/>
        </w:rPr>
        <w:t xml:space="preserve">). The Court </w:t>
      </w:r>
      <w:r w:rsidR="00D31E65" w:rsidRPr="002E60EB">
        <w:rPr>
          <w:lang w:val="en-US" w:eastAsia="es-ES"/>
        </w:rPr>
        <w:t xml:space="preserve">has also </w:t>
      </w:r>
      <w:r w:rsidRPr="002E60EB">
        <w:rPr>
          <w:lang w:val="en-US" w:eastAsia="es-ES"/>
        </w:rPr>
        <w:t xml:space="preserve">received the </w:t>
      </w:r>
      <w:r w:rsidR="00991DB1" w:rsidRPr="002E60EB">
        <w:rPr>
          <w:lang w:val="en-US" w:eastAsia="es-ES"/>
        </w:rPr>
        <w:t>affidavits prepared by</w:t>
      </w:r>
      <w:r w:rsidRPr="002E60EB">
        <w:rPr>
          <w:lang w:val="en-US" w:eastAsia="es-ES"/>
        </w:rPr>
        <w:t xml:space="preserve"> witness Néstor Ramírez Mejía, </w:t>
      </w:r>
      <w:r w:rsidR="00991DB1" w:rsidRPr="002E60EB">
        <w:rPr>
          <w:lang w:val="en-US" w:eastAsia="es-ES"/>
        </w:rPr>
        <w:t xml:space="preserve">and by </w:t>
      </w:r>
      <w:r w:rsidRPr="002E60EB">
        <w:rPr>
          <w:lang w:val="en-US" w:eastAsia="es-ES"/>
        </w:rPr>
        <w:t xml:space="preserve">expert witnesses Ana María Díaz, Daniel Coronell, Carol L. Kessler and Margarita Zuluaga. Regarding the evidence </w:t>
      </w:r>
      <w:r w:rsidR="00D31E65" w:rsidRPr="002E60EB">
        <w:rPr>
          <w:lang w:val="en-US" w:eastAsia="es-ES"/>
        </w:rPr>
        <w:t xml:space="preserve">provided </w:t>
      </w:r>
      <w:r w:rsidRPr="002E60EB">
        <w:rPr>
          <w:lang w:val="en-US" w:eastAsia="es-ES"/>
        </w:rPr>
        <w:t xml:space="preserve">at the public hearing, the Court heard the </w:t>
      </w:r>
      <w:r w:rsidR="00991DB1" w:rsidRPr="002E60EB">
        <w:rPr>
          <w:lang w:val="en-US" w:eastAsia="es-ES"/>
        </w:rPr>
        <w:t>testimony</w:t>
      </w:r>
      <w:r w:rsidRPr="002E60EB">
        <w:rPr>
          <w:lang w:val="en-US" w:eastAsia="es-ES"/>
        </w:rPr>
        <w:t xml:space="preserve"> of the </w:t>
      </w:r>
      <w:r w:rsidR="001466BD" w:rsidRPr="002E60EB">
        <w:rPr>
          <w:lang w:val="en-US" w:eastAsia="es-ES"/>
        </w:rPr>
        <w:t>presumed victim</w:t>
      </w:r>
      <w:r w:rsidRPr="002E60EB">
        <w:rPr>
          <w:lang w:val="en-US" w:eastAsia="es-ES"/>
        </w:rPr>
        <w:t xml:space="preserve">s Luis Gonzalo Vélez Restrepo and Aracelly Román Amariles, </w:t>
      </w:r>
      <w:r w:rsidR="00356C99" w:rsidRPr="002E60EB">
        <w:rPr>
          <w:lang w:val="en-US" w:eastAsia="es-ES"/>
        </w:rPr>
        <w:t>and also</w:t>
      </w:r>
      <w:r w:rsidRPr="002E60EB">
        <w:rPr>
          <w:lang w:val="en-US" w:eastAsia="es-ES"/>
        </w:rPr>
        <w:t xml:space="preserve"> </w:t>
      </w:r>
      <w:r w:rsidR="00991DB1" w:rsidRPr="002E60EB">
        <w:rPr>
          <w:lang w:val="en-US" w:eastAsia="es-ES"/>
        </w:rPr>
        <w:t xml:space="preserve">of </w:t>
      </w:r>
      <w:r w:rsidRPr="002E60EB">
        <w:rPr>
          <w:lang w:val="en-US" w:eastAsia="es-ES"/>
        </w:rPr>
        <w:t>expert witness José Francisco Tulande.</w:t>
      </w:r>
      <w:r w:rsidRPr="002E60EB">
        <w:rPr>
          <w:rStyle w:val="Refdenotaalpie"/>
          <w:lang w:val="en-US" w:eastAsia="es-ES"/>
        </w:rPr>
        <w:footnoteReference w:id="59"/>
      </w:r>
    </w:p>
    <w:p w:rsidR="00E15BBF" w:rsidRPr="002E60EB" w:rsidRDefault="00E15BBF" w:rsidP="00317748">
      <w:pPr>
        <w:tabs>
          <w:tab w:val="left" w:pos="720"/>
        </w:tabs>
        <w:jc w:val="both"/>
        <w:rPr>
          <w:lang w:val="en-US" w:eastAsia="es-ES"/>
        </w:rPr>
      </w:pPr>
    </w:p>
    <w:p w:rsidR="00E15BBF" w:rsidRPr="002E60EB" w:rsidRDefault="00E15BBF" w:rsidP="00317748">
      <w:pPr>
        <w:pStyle w:val="MediumGrid1-Accent21"/>
        <w:numPr>
          <w:ilvl w:val="0"/>
          <w:numId w:val="7"/>
        </w:numPr>
        <w:tabs>
          <w:tab w:val="left" w:pos="720"/>
        </w:tabs>
        <w:ind w:left="0" w:firstLine="0"/>
        <w:jc w:val="both"/>
        <w:rPr>
          <w:b/>
          <w:i/>
          <w:lang w:val="en-US" w:eastAsia="es-ES"/>
        </w:rPr>
      </w:pPr>
      <w:r w:rsidRPr="002E60EB">
        <w:rPr>
          <w:b/>
          <w:i/>
          <w:lang w:val="en-US" w:eastAsia="es-ES"/>
        </w:rPr>
        <w:t xml:space="preserve">Admission of the evidence </w:t>
      </w:r>
    </w:p>
    <w:p w:rsidR="00E15BBF" w:rsidRPr="002E60EB" w:rsidRDefault="00E15BBF" w:rsidP="00317748">
      <w:pPr>
        <w:pStyle w:val="MediumGrid1-Accent21"/>
        <w:tabs>
          <w:tab w:val="left" w:pos="720"/>
        </w:tabs>
        <w:ind w:left="0"/>
        <w:jc w:val="both"/>
        <w:rPr>
          <w:b/>
          <w:i/>
          <w:lang w:val="en-US" w:eastAsia="es-ES"/>
        </w:rPr>
      </w:pPr>
    </w:p>
    <w:p w:rsidR="00E15BBF" w:rsidRPr="002E60EB" w:rsidRDefault="00356C99" w:rsidP="00317748">
      <w:pPr>
        <w:pStyle w:val="MediumGrid1-Accent21"/>
        <w:tabs>
          <w:tab w:val="left" w:pos="720"/>
        </w:tabs>
        <w:ind w:left="0"/>
        <w:jc w:val="both"/>
        <w:rPr>
          <w:i/>
          <w:lang w:val="en-US" w:eastAsia="es-ES"/>
        </w:rPr>
      </w:pPr>
      <w:r w:rsidRPr="002E60EB">
        <w:rPr>
          <w:i/>
          <w:lang w:val="en-US" w:eastAsia="es-ES"/>
        </w:rPr>
        <w:tab/>
      </w:r>
      <w:r w:rsidR="00E15BBF" w:rsidRPr="002E60EB">
        <w:rPr>
          <w:i/>
          <w:lang w:val="en-US" w:eastAsia="es-ES"/>
        </w:rPr>
        <w:t>B.1) Admission of the documentary evidence</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shd w:val="clear" w:color="auto" w:fill="FFFFFF"/>
          <w:lang w:val="en-US"/>
        </w:rPr>
        <w:t xml:space="preserve">In this case, as in others, </w:t>
      </w:r>
      <w:r w:rsidRPr="002E60EB">
        <w:rPr>
          <w:rFonts w:cs="Verdana"/>
          <w:shd w:val="clear" w:color="auto" w:fill="FFFFFF"/>
          <w:lang w:val="en-US" w:eastAsia="es-MX"/>
        </w:rPr>
        <w:t xml:space="preserve">the Court </w:t>
      </w:r>
      <w:r w:rsidR="00356C99" w:rsidRPr="002E60EB">
        <w:rPr>
          <w:rFonts w:cs="Verdana"/>
          <w:shd w:val="clear" w:color="auto" w:fill="FFFFFF"/>
          <w:lang w:val="en-US" w:eastAsia="es-MX"/>
        </w:rPr>
        <w:t>admits thos</w:t>
      </w:r>
      <w:r w:rsidR="00991DB1" w:rsidRPr="002E60EB">
        <w:rPr>
          <w:rFonts w:cs="Verdana"/>
          <w:shd w:val="clear" w:color="auto" w:fill="FFFFFF"/>
          <w:lang w:val="en-US" w:eastAsia="es-MX"/>
        </w:rPr>
        <w:t>e</w:t>
      </w:r>
      <w:r w:rsidR="00356C99" w:rsidRPr="002E60EB">
        <w:rPr>
          <w:rFonts w:cs="Verdana"/>
          <w:shd w:val="clear" w:color="auto" w:fill="FFFFFF"/>
          <w:lang w:val="en-US" w:eastAsia="es-MX"/>
        </w:rPr>
        <w:t xml:space="preserve"> documents forwarded by the parties at the appropriate procedural opportunity that </w:t>
      </w:r>
      <w:r w:rsidRPr="002E60EB">
        <w:rPr>
          <w:rFonts w:cs="Verdana"/>
          <w:shd w:val="clear" w:color="auto" w:fill="FFFFFF"/>
          <w:lang w:val="en-US" w:eastAsia="es-MX"/>
        </w:rPr>
        <w:t>were not contested or</w:t>
      </w:r>
      <w:r w:rsidRPr="002E60EB">
        <w:rPr>
          <w:color w:val="000000"/>
          <w:shd w:val="clear" w:color="auto" w:fill="FFFFFF"/>
          <w:lang w:val="en-US"/>
        </w:rPr>
        <w:t xml:space="preserve"> opposed and the authenticity of which was not questioned</w:t>
      </w:r>
      <w:r w:rsidRPr="002E60EB">
        <w:rPr>
          <w:rFonts w:cs="Verdana"/>
          <w:shd w:val="clear" w:color="auto" w:fill="FFFFFF"/>
          <w:lang w:val="en-US"/>
        </w:rPr>
        <w:t>.</w:t>
      </w:r>
      <w:r w:rsidR="00356C99" w:rsidRPr="002E60EB">
        <w:rPr>
          <w:rStyle w:val="Refdenotaalpie"/>
          <w:lang w:val="en-US" w:eastAsia="es-ES"/>
        </w:rPr>
        <w:footnoteReference w:id="60"/>
      </w:r>
    </w:p>
    <w:p w:rsidR="00E15BBF" w:rsidRPr="002E60EB" w:rsidRDefault="00E15BBF" w:rsidP="00317748">
      <w:pPr>
        <w:tabs>
          <w:tab w:val="left" w:pos="720"/>
        </w:tabs>
        <w:jc w:val="both"/>
        <w:rPr>
          <w:lang w:val="en-US"/>
        </w:rPr>
      </w:pPr>
    </w:p>
    <w:p w:rsidR="00E15BBF" w:rsidRPr="002E60EB" w:rsidRDefault="00E15BBF" w:rsidP="00317748">
      <w:pPr>
        <w:numPr>
          <w:ilvl w:val="0"/>
          <w:numId w:val="1"/>
        </w:numPr>
        <w:tabs>
          <w:tab w:val="left" w:pos="720"/>
        </w:tabs>
        <w:jc w:val="both"/>
        <w:rPr>
          <w:lang w:val="en-US" w:eastAsia="es-ES"/>
        </w:rPr>
      </w:pPr>
      <w:r w:rsidRPr="002E60EB">
        <w:rPr>
          <w:lang w:val="en-US"/>
        </w:rPr>
        <w:t xml:space="preserve">Regarding the newspaper articles, this Court has considered that they can be assessed when they contain </w:t>
      </w:r>
      <w:r w:rsidR="00991DB1" w:rsidRPr="002E60EB">
        <w:rPr>
          <w:lang w:val="en-US"/>
        </w:rPr>
        <w:t xml:space="preserve">well-known </w:t>
      </w:r>
      <w:r w:rsidRPr="002E60EB">
        <w:rPr>
          <w:lang w:val="en-US"/>
        </w:rPr>
        <w:t>public facts or declarations by State officials, or when they corroborate certain aspects of the case.</w:t>
      </w:r>
      <w:r w:rsidR="004D6200" w:rsidRPr="002E60EB">
        <w:rPr>
          <w:rStyle w:val="Refdenotaalpie"/>
          <w:lang w:val="en-US" w:eastAsia="es-ES"/>
        </w:rPr>
        <w:footnoteReference w:id="61"/>
      </w:r>
      <w:r w:rsidR="004D6200" w:rsidRPr="002E60EB">
        <w:rPr>
          <w:lang w:val="en-US"/>
        </w:rPr>
        <w:t xml:space="preserve"> </w:t>
      </w:r>
      <w:r w:rsidRPr="002E60EB">
        <w:rPr>
          <w:color w:val="000000"/>
          <w:lang w:val="en-US"/>
        </w:rPr>
        <w:t>The Court decides to admit th</w:t>
      </w:r>
      <w:r w:rsidR="004D6200" w:rsidRPr="002E60EB">
        <w:rPr>
          <w:color w:val="000000"/>
          <w:lang w:val="en-US"/>
        </w:rPr>
        <w:t>os</w:t>
      </w:r>
      <w:r w:rsidRPr="002E60EB">
        <w:rPr>
          <w:color w:val="000000"/>
          <w:lang w:val="en-US"/>
        </w:rPr>
        <w:t>e documents that are complete or that, at least, allow verification of their source and date of publication</w:t>
      </w:r>
      <w:r w:rsidR="004D6200" w:rsidRPr="002E60EB">
        <w:rPr>
          <w:color w:val="000000"/>
          <w:lang w:val="en-US"/>
        </w:rPr>
        <w:t>, and</w:t>
      </w:r>
      <w:r w:rsidRPr="002E60EB">
        <w:rPr>
          <w:color w:val="000000"/>
          <w:lang w:val="en-US"/>
        </w:rPr>
        <w:t xml:space="preserve"> will assess them, taking into account the whole body of evidence, the observations of the parties, and the rules of sound judicial discretion.</w:t>
      </w:r>
      <w:r w:rsidRPr="002E60EB">
        <w:rPr>
          <w:color w:val="000000"/>
          <w:u w:val="single"/>
          <w:lang w:val="en-US"/>
        </w:rPr>
        <w:t xml:space="preserve"> </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Similarly, with </w:t>
      </w:r>
      <w:r w:rsidR="004D6200" w:rsidRPr="002E60EB">
        <w:rPr>
          <w:lang w:val="en-US" w:eastAsia="es-ES"/>
        </w:rPr>
        <w:t xml:space="preserve">regard </w:t>
      </w:r>
      <w:r w:rsidR="00991DB1" w:rsidRPr="002E60EB">
        <w:rPr>
          <w:lang w:val="en-US" w:eastAsia="es-ES"/>
        </w:rPr>
        <w:t xml:space="preserve">to </w:t>
      </w:r>
      <w:r w:rsidRPr="002E60EB">
        <w:rPr>
          <w:lang w:val="en-US" w:eastAsia="es-ES"/>
        </w:rPr>
        <w:t xml:space="preserve">documents </w:t>
      </w:r>
      <w:r w:rsidR="004D6200" w:rsidRPr="002E60EB">
        <w:rPr>
          <w:lang w:val="en-US" w:eastAsia="es-ES"/>
        </w:rPr>
        <w:t xml:space="preserve">indicated </w:t>
      </w:r>
      <w:r w:rsidRPr="002E60EB">
        <w:rPr>
          <w:lang w:val="en-US" w:eastAsia="es-ES"/>
        </w:rPr>
        <w:t>by the representative and the Commission by</w:t>
      </w:r>
      <w:r w:rsidR="00991DB1" w:rsidRPr="002E60EB">
        <w:rPr>
          <w:lang w:val="en-US" w:eastAsia="es-ES"/>
        </w:rPr>
        <w:t xml:space="preserve"> means of</w:t>
      </w:r>
      <w:r w:rsidRPr="002E60EB">
        <w:rPr>
          <w:lang w:val="en-US" w:eastAsia="es-ES"/>
        </w:rPr>
        <w:t xml:space="preserve"> electronic links, the Court </w:t>
      </w:r>
      <w:r w:rsidR="004D6200" w:rsidRPr="002E60EB">
        <w:rPr>
          <w:lang w:val="en-US" w:eastAsia="es-ES"/>
        </w:rPr>
        <w:t xml:space="preserve">has established </w:t>
      </w:r>
      <w:r w:rsidRPr="002E60EB">
        <w:rPr>
          <w:lang w:val="en-US" w:eastAsia="es-ES"/>
        </w:rPr>
        <w:t>that</w:t>
      </w:r>
      <w:r w:rsidR="004D6200" w:rsidRPr="002E60EB">
        <w:rPr>
          <w:lang w:val="en-US" w:eastAsia="es-ES"/>
        </w:rPr>
        <w:t>,</w:t>
      </w:r>
      <w:r w:rsidRPr="002E60EB">
        <w:rPr>
          <w:lang w:val="en-US" w:eastAsia="es-ES"/>
        </w:rPr>
        <w:t xml:space="preserve"> if a party </w:t>
      </w:r>
      <w:r w:rsidR="00991DB1" w:rsidRPr="002E60EB">
        <w:rPr>
          <w:lang w:val="en-US" w:eastAsia="es-ES"/>
        </w:rPr>
        <w:t>or</w:t>
      </w:r>
      <w:r w:rsidR="004D6200" w:rsidRPr="002E60EB">
        <w:rPr>
          <w:lang w:val="en-US" w:eastAsia="es-ES"/>
        </w:rPr>
        <w:t xml:space="preserve"> the Inter-American Commission </w:t>
      </w:r>
      <w:r w:rsidRPr="002E60EB">
        <w:rPr>
          <w:lang w:val="en-US" w:eastAsia="es-ES"/>
        </w:rPr>
        <w:t xml:space="preserve">provides at least the direct electronic link to the document cited as evidence and </w:t>
      </w:r>
      <w:r w:rsidR="004D6200" w:rsidRPr="002E60EB">
        <w:rPr>
          <w:lang w:val="en-US" w:eastAsia="es-ES"/>
        </w:rPr>
        <w:t>it can be</w:t>
      </w:r>
      <w:r w:rsidRPr="002E60EB">
        <w:rPr>
          <w:lang w:val="en-US" w:eastAsia="es-ES"/>
        </w:rPr>
        <w:t xml:space="preserve"> access</w:t>
      </w:r>
      <w:r w:rsidR="004D6200" w:rsidRPr="002E60EB">
        <w:rPr>
          <w:lang w:val="en-US" w:eastAsia="es-ES"/>
        </w:rPr>
        <w:t>ed</w:t>
      </w:r>
      <w:r w:rsidRPr="002E60EB">
        <w:rPr>
          <w:lang w:val="en-US" w:eastAsia="es-ES"/>
        </w:rPr>
        <w:t xml:space="preserve">, legal certainty and procedural </w:t>
      </w:r>
      <w:r w:rsidR="004D6200" w:rsidRPr="002E60EB">
        <w:rPr>
          <w:lang w:val="en-US" w:eastAsia="es-ES"/>
        </w:rPr>
        <w:t xml:space="preserve">equality </w:t>
      </w:r>
      <w:r w:rsidRPr="002E60EB">
        <w:rPr>
          <w:lang w:val="en-US" w:eastAsia="es-ES"/>
        </w:rPr>
        <w:t xml:space="preserve">are not affected, because both the Court and other parties </w:t>
      </w:r>
      <w:r w:rsidR="004D6200" w:rsidRPr="002E60EB">
        <w:rPr>
          <w:lang w:val="en-US" w:eastAsia="es-ES"/>
        </w:rPr>
        <w:t>can find it immediately</w:t>
      </w:r>
      <w:r w:rsidRPr="002E60EB">
        <w:rPr>
          <w:lang w:val="en-US" w:eastAsia="es-ES"/>
        </w:rPr>
        <w:t>.</w:t>
      </w:r>
      <w:r w:rsidR="00460637" w:rsidRPr="002E60EB">
        <w:rPr>
          <w:rStyle w:val="Refdenotaalpie"/>
          <w:lang w:val="en-US" w:eastAsia="es-ES"/>
        </w:rPr>
        <w:footnoteReference w:id="62"/>
      </w:r>
      <w:r w:rsidRPr="002E60EB">
        <w:rPr>
          <w:lang w:val="en-US" w:eastAsia="es-ES"/>
        </w:rPr>
        <w:t xml:space="preserve"> In this case,</w:t>
      </w:r>
      <w:r w:rsidR="004D6200" w:rsidRPr="002E60EB">
        <w:rPr>
          <w:lang w:val="en-US" w:eastAsia="es-ES"/>
        </w:rPr>
        <w:t xml:space="preserve"> neither</w:t>
      </w:r>
      <w:r w:rsidRPr="002E60EB">
        <w:rPr>
          <w:lang w:val="en-US" w:eastAsia="es-ES"/>
        </w:rPr>
        <w:t xml:space="preserve"> </w:t>
      </w:r>
      <w:r w:rsidR="004D6200" w:rsidRPr="002E60EB">
        <w:rPr>
          <w:lang w:val="en-US" w:eastAsia="es-ES"/>
        </w:rPr>
        <w:t>the other parties nor the Commission contested or made</w:t>
      </w:r>
      <w:r w:rsidRPr="002E60EB">
        <w:rPr>
          <w:lang w:val="en-US" w:eastAsia="es-ES"/>
        </w:rPr>
        <w:t xml:space="preserve"> observations on the content and authenticity of such documents.</w:t>
      </w:r>
    </w:p>
    <w:p w:rsidR="00E15BBF" w:rsidRPr="002E60EB" w:rsidRDefault="00E15BBF" w:rsidP="00317748">
      <w:pPr>
        <w:pStyle w:val="MediumGrid1-Accent21"/>
        <w:ind w:left="0"/>
        <w:rPr>
          <w:lang w:val="en-US" w:eastAsia="es-ES"/>
        </w:rPr>
      </w:pPr>
    </w:p>
    <w:p w:rsidR="00E15BBF" w:rsidRPr="002E60EB" w:rsidRDefault="004D6200" w:rsidP="00317748">
      <w:pPr>
        <w:numPr>
          <w:ilvl w:val="0"/>
          <w:numId w:val="1"/>
        </w:numPr>
        <w:tabs>
          <w:tab w:val="left" w:pos="720"/>
        </w:tabs>
        <w:jc w:val="both"/>
        <w:rPr>
          <w:lang w:val="en-US" w:eastAsia="es-ES"/>
        </w:rPr>
      </w:pPr>
      <w:r w:rsidRPr="002E60EB">
        <w:rPr>
          <w:lang w:val="en-US"/>
        </w:rPr>
        <w:t xml:space="preserve">Regarding </w:t>
      </w:r>
      <w:r w:rsidR="00E15BBF" w:rsidRPr="002E60EB">
        <w:rPr>
          <w:lang w:val="en-US"/>
        </w:rPr>
        <w:t xml:space="preserve">the videos and recordings presented by the Commission and by expert witness Tulande that have not been contested </w:t>
      </w:r>
      <w:r w:rsidR="009D62C8" w:rsidRPr="002E60EB">
        <w:rPr>
          <w:lang w:val="en-US"/>
        </w:rPr>
        <w:t>and the</w:t>
      </w:r>
      <w:r w:rsidR="00E15BBF" w:rsidRPr="002E60EB">
        <w:rPr>
          <w:lang w:val="en-US"/>
        </w:rPr>
        <w:t xml:space="preserve"> authenticity</w:t>
      </w:r>
      <w:r w:rsidR="009D62C8" w:rsidRPr="002E60EB">
        <w:rPr>
          <w:lang w:val="en-US"/>
        </w:rPr>
        <w:t xml:space="preserve"> of which</w:t>
      </w:r>
      <w:r w:rsidR="00E15BBF" w:rsidRPr="002E60EB">
        <w:rPr>
          <w:lang w:val="en-US"/>
        </w:rPr>
        <w:t xml:space="preserve"> has not been </w:t>
      </w:r>
      <w:r w:rsidR="009D62C8" w:rsidRPr="002E60EB">
        <w:rPr>
          <w:lang w:val="en-US"/>
        </w:rPr>
        <w:t>challenged</w:t>
      </w:r>
      <w:r w:rsidR="00E15BBF" w:rsidRPr="002E60EB">
        <w:rPr>
          <w:lang w:val="en-US"/>
        </w:rPr>
        <w:t>, the Court will assess their content within the context of the body of evidence, applying the rules of sound judicial discretion.</w:t>
      </w:r>
      <w:r w:rsidR="00E15BBF" w:rsidRPr="002E60EB">
        <w:rPr>
          <w:rStyle w:val="Refdenotaalpie"/>
          <w:lang w:val="en-US"/>
        </w:rPr>
        <w:footnoteReference w:id="63"/>
      </w:r>
    </w:p>
    <w:p w:rsidR="00E15BBF" w:rsidRPr="002E60EB" w:rsidRDefault="00E15BBF" w:rsidP="00317748">
      <w:pPr>
        <w:tabs>
          <w:tab w:val="left" w:pos="720"/>
        </w:tabs>
        <w:jc w:val="both"/>
        <w:rPr>
          <w:lang w:val="en-US" w:eastAsia="es-ES"/>
        </w:rPr>
      </w:pPr>
    </w:p>
    <w:p w:rsidR="00D00C5F" w:rsidRPr="002E60EB" w:rsidRDefault="009D62C8" w:rsidP="00317748">
      <w:pPr>
        <w:numPr>
          <w:ilvl w:val="0"/>
          <w:numId w:val="1"/>
        </w:numPr>
        <w:tabs>
          <w:tab w:val="left" w:pos="720"/>
        </w:tabs>
        <w:jc w:val="both"/>
        <w:rPr>
          <w:lang w:val="en-US" w:eastAsia="es-ES"/>
        </w:rPr>
      </w:pPr>
      <w:r w:rsidRPr="002E60EB">
        <w:rPr>
          <w:lang w:val="en-US" w:eastAsia="es-ES"/>
        </w:rPr>
        <w:t>T</w:t>
      </w:r>
      <w:r w:rsidR="00E15BBF" w:rsidRPr="002E60EB">
        <w:rPr>
          <w:lang w:val="en-US" w:eastAsia="es-ES"/>
        </w:rPr>
        <w:t xml:space="preserve">he Court </w:t>
      </w:r>
      <w:r w:rsidRPr="002E60EB">
        <w:rPr>
          <w:lang w:val="en-US" w:eastAsia="es-ES"/>
        </w:rPr>
        <w:t xml:space="preserve">also </w:t>
      </w:r>
      <w:r w:rsidR="000D6AA8" w:rsidRPr="002E60EB">
        <w:rPr>
          <w:lang w:val="en-US" w:eastAsia="es-ES"/>
        </w:rPr>
        <w:t>observes</w:t>
      </w:r>
      <w:r w:rsidR="00E15BBF" w:rsidRPr="002E60EB">
        <w:rPr>
          <w:lang w:val="en-US" w:eastAsia="es-ES"/>
        </w:rPr>
        <w:t xml:space="preserve"> that</w:t>
      </w:r>
      <w:r w:rsidRPr="002E60EB">
        <w:rPr>
          <w:lang w:val="en-US" w:eastAsia="es-ES"/>
        </w:rPr>
        <w:t>, in</w:t>
      </w:r>
      <w:r w:rsidR="00E15BBF" w:rsidRPr="002E60EB">
        <w:rPr>
          <w:lang w:val="en-US" w:eastAsia="es-ES"/>
        </w:rPr>
        <w:t xml:space="preserve"> a note </w:t>
      </w:r>
      <w:r w:rsidRPr="002E60EB">
        <w:rPr>
          <w:lang w:val="en-US" w:eastAsia="es-ES"/>
        </w:rPr>
        <w:t>of</w:t>
      </w:r>
      <w:r w:rsidR="00E15BBF" w:rsidRPr="002E60EB">
        <w:rPr>
          <w:lang w:val="en-US" w:eastAsia="es-ES"/>
        </w:rPr>
        <w:t xml:space="preserve"> </w:t>
      </w:r>
      <w:r w:rsidRPr="002E60EB">
        <w:rPr>
          <w:lang w:val="en-US" w:eastAsia="es-ES"/>
        </w:rPr>
        <w:t>its</w:t>
      </w:r>
      <w:r w:rsidR="00E15BBF" w:rsidRPr="002E60EB">
        <w:rPr>
          <w:lang w:val="en-US" w:eastAsia="es-ES"/>
        </w:rPr>
        <w:t xml:space="preserve"> Secretariat o</w:t>
      </w:r>
      <w:r w:rsidRPr="002E60EB">
        <w:rPr>
          <w:lang w:val="en-US" w:eastAsia="es-ES"/>
        </w:rPr>
        <w:t>f</w:t>
      </w:r>
      <w:r w:rsidR="00E15BBF" w:rsidRPr="002E60EB">
        <w:rPr>
          <w:lang w:val="en-US" w:eastAsia="es-ES"/>
        </w:rPr>
        <w:t xml:space="preserve"> October 7, 2011,</w:t>
      </w:r>
      <w:r w:rsidR="00E15BBF" w:rsidRPr="002E60EB">
        <w:rPr>
          <w:rStyle w:val="Refdenotaalpie"/>
          <w:lang w:val="en-US"/>
        </w:rPr>
        <w:footnoteReference w:id="64"/>
      </w:r>
      <w:r w:rsidR="00E15BBF" w:rsidRPr="002E60EB">
        <w:rPr>
          <w:lang w:val="en-US" w:eastAsia="es-ES"/>
        </w:rPr>
        <w:t xml:space="preserve"> a response was provided to </w:t>
      </w:r>
      <w:r w:rsidRPr="002E60EB">
        <w:rPr>
          <w:lang w:val="en-US" w:eastAsia="es-ES"/>
        </w:rPr>
        <w:t>an allegation of</w:t>
      </w:r>
      <w:r w:rsidR="00E15BBF" w:rsidRPr="002E60EB">
        <w:rPr>
          <w:lang w:val="en-US" w:eastAsia="es-ES"/>
        </w:rPr>
        <w:t xml:space="preserve"> the State in its answer</w:t>
      </w:r>
      <w:r w:rsidRPr="002E60EB">
        <w:rPr>
          <w:lang w:val="en-US" w:eastAsia="es-ES"/>
        </w:rPr>
        <w:t>ing</w:t>
      </w:r>
      <w:r w:rsidR="00E15BBF" w:rsidRPr="002E60EB">
        <w:rPr>
          <w:lang w:val="en-US" w:eastAsia="es-ES"/>
        </w:rPr>
        <w:t xml:space="preserve"> brief that </w:t>
      </w:r>
      <w:r w:rsidR="00087093" w:rsidRPr="002E60EB">
        <w:rPr>
          <w:lang w:val="en-US" w:eastAsia="es-ES"/>
        </w:rPr>
        <w:t>“</w:t>
      </w:r>
      <w:r w:rsidRPr="002E60EB">
        <w:rPr>
          <w:lang w:val="en-US" w:eastAsia="es-ES"/>
        </w:rPr>
        <w:t>most</w:t>
      </w:r>
      <w:r w:rsidR="00E15BBF" w:rsidRPr="002E60EB">
        <w:rPr>
          <w:lang w:val="en-US" w:eastAsia="es-ES"/>
        </w:rPr>
        <w:t xml:space="preserve"> of </w:t>
      </w:r>
      <w:r w:rsidRPr="002E60EB">
        <w:rPr>
          <w:lang w:val="en-US" w:eastAsia="es-ES"/>
        </w:rPr>
        <w:t xml:space="preserve">the </w:t>
      </w:r>
      <w:r w:rsidR="00E15BBF" w:rsidRPr="002E60EB">
        <w:rPr>
          <w:lang w:val="en-US" w:eastAsia="es-ES"/>
        </w:rPr>
        <w:t xml:space="preserve">annexes presented by the […] Commission in relation to the case file </w:t>
      </w:r>
      <w:r w:rsidRPr="002E60EB">
        <w:rPr>
          <w:lang w:val="en-US" w:eastAsia="es-ES"/>
        </w:rPr>
        <w:t>being</w:t>
      </w:r>
      <w:r w:rsidR="00E15BBF" w:rsidRPr="002E60EB">
        <w:rPr>
          <w:lang w:val="en-US" w:eastAsia="es-ES"/>
        </w:rPr>
        <w:t xml:space="preserve"> processed before it were unorganized, repe</w:t>
      </w:r>
      <w:r w:rsidRPr="002E60EB">
        <w:rPr>
          <w:lang w:val="en-US" w:eastAsia="es-ES"/>
        </w:rPr>
        <w:t>ated</w:t>
      </w:r>
      <w:r w:rsidR="00E15BBF" w:rsidRPr="002E60EB">
        <w:rPr>
          <w:lang w:val="en-US" w:eastAsia="es-ES"/>
        </w:rPr>
        <w:t xml:space="preserve"> or illegible,</w:t>
      </w:r>
      <w:r w:rsidRPr="002E60EB">
        <w:rPr>
          <w:lang w:val="en-US" w:eastAsia="es-ES"/>
        </w:rPr>
        <w:t xml:space="preserve"> and did not comply</w:t>
      </w:r>
      <w:r w:rsidR="00E15BBF" w:rsidRPr="002E60EB">
        <w:rPr>
          <w:lang w:val="en-US" w:eastAsia="es-ES"/>
        </w:rPr>
        <w:t xml:space="preserve"> with Article</w:t>
      </w:r>
      <w:r w:rsidRPr="002E60EB">
        <w:rPr>
          <w:lang w:val="en-US" w:eastAsia="es-ES"/>
        </w:rPr>
        <w:t xml:space="preserve"> </w:t>
      </w:r>
      <w:r w:rsidR="00E15BBF" w:rsidRPr="002E60EB">
        <w:rPr>
          <w:lang w:val="en-US" w:eastAsia="es-ES"/>
        </w:rPr>
        <w:t xml:space="preserve">35(d) of </w:t>
      </w:r>
      <w:r w:rsidRPr="002E60EB">
        <w:rPr>
          <w:lang w:val="en-US" w:eastAsia="es-ES"/>
        </w:rPr>
        <w:t xml:space="preserve">the […] Court’s </w:t>
      </w:r>
      <w:r w:rsidR="00E15BBF" w:rsidRPr="002E60EB">
        <w:rPr>
          <w:lang w:val="en-US" w:eastAsia="es-ES"/>
        </w:rPr>
        <w:t>Rules of Procedure.</w:t>
      </w:r>
      <w:r w:rsidR="00087093" w:rsidRPr="002E60EB">
        <w:rPr>
          <w:lang w:val="en-US" w:eastAsia="es-ES"/>
        </w:rPr>
        <w:t>”</w:t>
      </w:r>
      <w:r w:rsidR="00E15BBF" w:rsidRPr="002E60EB">
        <w:rPr>
          <w:lang w:val="en-US" w:eastAsia="es-ES"/>
        </w:rPr>
        <w:t xml:space="preserve"> </w:t>
      </w:r>
    </w:p>
    <w:p w:rsidR="00E15BBF" w:rsidRPr="002E60EB" w:rsidRDefault="00E15BBF" w:rsidP="002711CF">
      <w:pPr>
        <w:tabs>
          <w:tab w:val="left" w:pos="720"/>
        </w:tabs>
        <w:jc w:val="both"/>
        <w:rPr>
          <w:lang w:val="en-US" w:eastAsia="es-ES"/>
        </w:rPr>
      </w:pPr>
    </w:p>
    <w:p w:rsidR="00E15BBF" w:rsidRPr="002E60EB" w:rsidRDefault="000F3982" w:rsidP="00317748">
      <w:pPr>
        <w:numPr>
          <w:ilvl w:val="0"/>
          <w:numId w:val="1"/>
        </w:numPr>
        <w:tabs>
          <w:tab w:val="left" w:pos="720"/>
        </w:tabs>
        <w:jc w:val="both"/>
        <w:rPr>
          <w:lang w:val="en-US" w:eastAsia="es-ES"/>
        </w:rPr>
      </w:pPr>
      <w:r w:rsidRPr="002E60EB">
        <w:rPr>
          <w:lang w:val="en-US" w:eastAsia="es-ES"/>
        </w:rPr>
        <w:t>In addition</w:t>
      </w:r>
      <w:r w:rsidR="00E15BBF" w:rsidRPr="002E60EB">
        <w:rPr>
          <w:lang w:val="en-US" w:eastAsia="es-ES"/>
        </w:rPr>
        <w:t xml:space="preserve">, the Court recalls </w:t>
      </w:r>
      <w:r w:rsidR="009D62C8" w:rsidRPr="002E60EB">
        <w:rPr>
          <w:lang w:val="en-US" w:eastAsia="es-ES"/>
        </w:rPr>
        <w:t>the provisions of</w:t>
      </w:r>
      <w:r w:rsidR="00E15BBF" w:rsidRPr="002E60EB">
        <w:rPr>
          <w:lang w:val="en-US" w:eastAsia="es-ES"/>
        </w:rPr>
        <w:t xml:space="preserve"> Article 57 of </w:t>
      </w:r>
      <w:r w:rsidR="009D62C8" w:rsidRPr="002E60EB">
        <w:rPr>
          <w:lang w:val="en-US" w:eastAsia="es-ES"/>
        </w:rPr>
        <w:t>its</w:t>
      </w:r>
      <w:r w:rsidR="00E15BBF" w:rsidRPr="002E60EB">
        <w:rPr>
          <w:lang w:val="en-US" w:eastAsia="es-ES"/>
        </w:rPr>
        <w:t xml:space="preserve"> Rules of Procedure, </w:t>
      </w:r>
      <w:r w:rsidR="009D62C8" w:rsidRPr="002E60EB">
        <w:rPr>
          <w:lang w:val="en-US" w:eastAsia="es-ES"/>
        </w:rPr>
        <w:t xml:space="preserve">according to which </w:t>
      </w:r>
      <w:r w:rsidR="00087093" w:rsidRPr="002E60EB">
        <w:rPr>
          <w:lang w:val="en-US" w:eastAsia="es-ES"/>
        </w:rPr>
        <w:t>“</w:t>
      </w:r>
      <w:r w:rsidR="00E15BBF" w:rsidRPr="002E60EB">
        <w:rPr>
          <w:lang w:val="en-US" w:eastAsia="es-ES"/>
        </w:rPr>
        <w:t xml:space="preserve">[i]tems of evidence tendered before the Commission will be incorporated into the  case  file  as long  as  they have been received in adversarial proceedings, unless the Court considers it </w:t>
      </w:r>
      <w:r w:rsidR="008D20D4" w:rsidRPr="002E60EB">
        <w:rPr>
          <w:lang w:val="en-US" w:eastAsia="es-ES"/>
        </w:rPr>
        <w:t xml:space="preserve">essential </w:t>
      </w:r>
      <w:r w:rsidR="00E15BBF" w:rsidRPr="002E60EB">
        <w:rPr>
          <w:lang w:val="en-US" w:eastAsia="es-ES"/>
        </w:rPr>
        <w:t xml:space="preserve">to </w:t>
      </w:r>
      <w:r w:rsidR="008D20D4" w:rsidRPr="002E60EB">
        <w:rPr>
          <w:lang w:val="en-US" w:eastAsia="es-ES"/>
        </w:rPr>
        <w:t xml:space="preserve">repeat </w:t>
      </w:r>
      <w:r w:rsidR="00E15BBF" w:rsidRPr="002E60EB">
        <w:rPr>
          <w:lang w:val="en-US" w:eastAsia="es-ES"/>
        </w:rPr>
        <w:t>them.</w:t>
      </w:r>
      <w:r w:rsidR="00087093" w:rsidRPr="002E60EB">
        <w:rPr>
          <w:lang w:val="en-US" w:eastAsia="es-ES"/>
        </w:rPr>
        <w:t>”</w:t>
      </w:r>
      <w:r w:rsidR="00E15BBF" w:rsidRPr="002E60EB">
        <w:rPr>
          <w:lang w:val="en-US" w:eastAsia="es-ES"/>
        </w:rPr>
        <w:t xml:space="preserve"> In this case, the evidence in the case file </w:t>
      </w:r>
      <w:r w:rsidR="008D20D4" w:rsidRPr="002E60EB">
        <w:rPr>
          <w:lang w:val="en-US" w:eastAsia="es-ES"/>
        </w:rPr>
        <w:t>of the proceedin</w:t>
      </w:r>
      <w:r w:rsidR="000D6AA8" w:rsidRPr="002E60EB">
        <w:rPr>
          <w:lang w:val="en-US" w:eastAsia="es-ES"/>
        </w:rPr>
        <w:t>g</w:t>
      </w:r>
      <w:r w:rsidR="008D20D4" w:rsidRPr="002E60EB">
        <w:rPr>
          <w:lang w:val="en-US" w:eastAsia="es-ES"/>
        </w:rPr>
        <w:t xml:space="preserve">s </w:t>
      </w:r>
      <w:r w:rsidR="00E15BBF" w:rsidRPr="002E60EB">
        <w:rPr>
          <w:lang w:val="en-US" w:eastAsia="es-ES"/>
        </w:rPr>
        <w:t>before the Commission</w:t>
      </w:r>
      <w:r w:rsidR="008D20D4" w:rsidRPr="002E60EB">
        <w:rPr>
          <w:lang w:val="en-US" w:eastAsia="es-ES"/>
        </w:rPr>
        <w:t xml:space="preserve"> presented </w:t>
      </w:r>
      <w:r w:rsidR="00E15BBF" w:rsidRPr="002E60EB">
        <w:rPr>
          <w:lang w:val="en-US" w:eastAsia="es-ES"/>
        </w:rPr>
        <w:t xml:space="preserve">with the brief </w:t>
      </w:r>
      <w:r w:rsidR="000D6AA8" w:rsidRPr="002E60EB">
        <w:rPr>
          <w:lang w:val="en-US" w:eastAsia="es-ES"/>
        </w:rPr>
        <w:t>submitting the case</w:t>
      </w:r>
      <w:r w:rsidR="00E15BBF" w:rsidRPr="002E60EB">
        <w:rPr>
          <w:lang w:val="en-US" w:eastAsia="es-ES"/>
        </w:rPr>
        <w:t xml:space="preserve"> </w:t>
      </w:r>
      <w:r w:rsidR="008D20D4" w:rsidRPr="002E60EB">
        <w:rPr>
          <w:lang w:val="en-US" w:eastAsia="es-ES"/>
        </w:rPr>
        <w:t xml:space="preserve">had been </w:t>
      </w:r>
      <w:r w:rsidR="00E15BBF" w:rsidRPr="002E60EB">
        <w:rPr>
          <w:lang w:val="en-US" w:eastAsia="es-ES"/>
        </w:rPr>
        <w:t>received</w:t>
      </w:r>
      <w:r w:rsidR="008D20D4" w:rsidRPr="002E60EB">
        <w:rPr>
          <w:lang w:val="en-US" w:eastAsia="es-ES"/>
        </w:rPr>
        <w:t xml:space="preserve"> previously</w:t>
      </w:r>
      <w:r w:rsidR="00E15BBF" w:rsidRPr="002E60EB">
        <w:rPr>
          <w:lang w:val="en-US" w:eastAsia="es-ES"/>
        </w:rPr>
        <w:t xml:space="preserve"> i</w:t>
      </w:r>
      <w:r w:rsidR="008D20D4" w:rsidRPr="002E60EB">
        <w:rPr>
          <w:lang w:val="en-US" w:eastAsia="es-ES"/>
        </w:rPr>
        <w:t>n</w:t>
      </w:r>
      <w:r w:rsidR="00E15BBF" w:rsidRPr="002E60EB">
        <w:rPr>
          <w:lang w:val="en-US" w:eastAsia="es-ES"/>
        </w:rPr>
        <w:t xml:space="preserve"> adversarial proceedings</w:t>
      </w:r>
      <w:r w:rsidR="008D20D4" w:rsidRPr="002E60EB">
        <w:rPr>
          <w:lang w:val="en-US" w:eastAsia="es-ES"/>
        </w:rPr>
        <w:t xml:space="preserve"> before the Commission</w:t>
      </w:r>
      <w:r w:rsidR="00E15BBF" w:rsidRPr="002E60EB">
        <w:rPr>
          <w:lang w:val="en-US" w:eastAsia="es-ES"/>
        </w:rPr>
        <w:t xml:space="preserve"> </w:t>
      </w:r>
      <w:r w:rsidR="008D20D4" w:rsidRPr="002E60EB">
        <w:rPr>
          <w:lang w:val="en-US" w:eastAsia="es-ES"/>
        </w:rPr>
        <w:t>to</w:t>
      </w:r>
      <w:r w:rsidR="00E15BBF" w:rsidRPr="002E60EB">
        <w:rPr>
          <w:lang w:val="en-US" w:eastAsia="es-ES"/>
        </w:rPr>
        <w:t xml:space="preserve"> which the State </w:t>
      </w:r>
      <w:r w:rsidR="008D20D4" w:rsidRPr="002E60EB">
        <w:rPr>
          <w:lang w:val="en-US" w:eastAsia="es-ES"/>
        </w:rPr>
        <w:t>was</w:t>
      </w:r>
      <w:r w:rsidR="00E15BBF" w:rsidRPr="002E60EB">
        <w:rPr>
          <w:lang w:val="en-US" w:eastAsia="es-ES"/>
        </w:rPr>
        <w:t xml:space="preserve"> a party. </w:t>
      </w:r>
      <w:r w:rsidR="000D6AA8" w:rsidRPr="002E60EB">
        <w:rPr>
          <w:lang w:val="en-US" w:eastAsia="es-ES"/>
        </w:rPr>
        <w:t>Nevertheless</w:t>
      </w:r>
      <w:r w:rsidR="00E15BBF" w:rsidRPr="002E60EB">
        <w:rPr>
          <w:lang w:val="en-US" w:eastAsia="es-ES"/>
        </w:rPr>
        <w:t xml:space="preserve">, the Court </w:t>
      </w:r>
      <w:r w:rsidR="008D20D4" w:rsidRPr="002E60EB">
        <w:rPr>
          <w:lang w:val="en-US" w:eastAsia="es-ES"/>
        </w:rPr>
        <w:t xml:space="preserve">takes </w:t>
      </w:r>
      <w:r w:rsidR="00E15BBF" w:rsidRPr="002E60EB">
        <w:rPr>
          <w:lang w:val="en-US" w:eastAsia="es-ES"/>
        </w:rPr>
        <w:t>note</w:t>
      </w:r>
      <w:r w:rsidR="008D20D4" w:rsidRPr="002E60EB">
        <w:rPr>
          <w:lang w:val="en-US" w:eastAsia="es-ES"/>
        </w:rPr>
        <w:t xml:space="preserve"> of</w:t>
      </w:r>
      <w:r w:rsidR="00E15BBF" w:rsidRPr="002E60EB">
        <w:rPr>
          <w:lang w:val="en-US" w:eastAsia="es-ES"/>
        </w:rPr>
        <w:t xml:space="preserve"> the State's observations, and will assess </w:t>
      </w:r>
      <w:r w:rsidR="008D20D4" w:rsidRPr="002E60EB">
        <w:rPr>
          <w:lang w:val="en-US" w:eastAsia="es-ES"/>
        </w:rPr>
        <w:t xml:space="preserve">the said </w:t>
      </w:r>
      <w:r w:rsidR="00E15BBF" w:rsidRPr="002E60EB">
        <w:rPr>
          <w:lang w:val="en-US" w:eastAsia="es-ES"/>
        </w:rPr>
        <w:t>evidence applying the rules of sound judicial discretion.</w:t>
      </w:r>
    </w:p>
    <w:p w:rsidR="00E15BBF" w:rsidRPr="002E60EB" w:rsidRDefault="00E15BBF" w:rsidP="00317748">
      <w:pPr>
        <w:pStyle w:val="MediumGrid1-Accent21"/>
        <w:ind w:left="0"/>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In its final </w:t>
      </w:r>
      <w:r w:rsidR="000D6AA8" w:rsidRPr="002E60EB">
        <w:rPr>
          <w:lang w:val="en-US" w:eastAsia="es-ES"/>
        </w:rPr>
        <w:t xml:space="preserve">written </w:t>
      </w:r>
      <w:r w:rsidRPr="002E60EB">
        <w:rPr>
          <w:lang w:val="en-US" w:eastAsia="es-ES"/>
        </w:rPr>
        <w:t xml:space="preserve">arguments, Colombia </w:t>
      </w:r>
      <w:r w:rsidR="008D20D4" w:rsidRPr="002E60EB">
        <w:rPr>
          <w:lang w:val="en-US" w:eastAsia="es-ES"/>
        </w:rPr>
        <w:t>asked</w:t>
      </w:r>
      <w:r w:rsidRPr="002E60EB">
        <w:rPr>
          <w:lang w:val="en-US" w:eastAsia="es-ES"/>
        </w:rPr>
        <w:t xml:space="preserve"> the Court </w:t>
      </w:r>
      <w:r w:rsidR="00087093" w:rsidRPr="002E60EB">
        <w:rPr>
          <w:lang w:val="en-US" w:eastAsia="es-ES"/>
        </w:rPr>
        <w:t>“</w:t>
      </w:r>
      <w:r w:rsidRPr="002E60EB">
        <w:rPr>
          <w:lang w:val="en-US" w:eastAsia="es-ES"/>
        </w:rPr>
        <w:t>not [</w:t>
      </w:r>
      <w:r w:rsidR="008D20D4" w:rsidRPr="002E60EB">
        <w:rPr>
          <w:lang w:val="en-US" w:eastAsia="es-ES"/>
        </w:rPr>
        <w:t xml:space="preserve">to </w:t>
      </w:r>
      <w:r w:rsidRPr="002E60EB">
        <w:rPr>
          <w:lang w:val="en-US" w:eastAsia="es-ES"/>
        </w:rPr>
        <w:t xml:space="preserve">take] into account the </w:t>
      </w:r>
      <w:r w:rsidRPr="002E60EB">
        <w:rPr>
          <w:i/>
          <w:lang w:val="en-US" w:eastAsia="es-ES"/>
        </w:rPr>
        <w:t xml:space="preserve">amicus curiae </w:t>
      </w:r>
      <w:r w:rsidR="008D20D4" w:rsidRPr="002E60EB">
        <w:rPr>
          <w:lang w:val="en-US" w:eastAsia="es-ES"/>
        </w:rPr>
        <w:t xml:space="preserve">sent </w:t>
      </w:r>
      <w:r w:rsidRPr="002E60EB">
        <w:rPr>
          <w:lang w:val="en-US" w:eastAsia="es-ES"/>
        </w:rPr>
        <w:t xml:space="preserve">by the organization ‘Article 19’ […] </w:t>
      </w:r>
      <w:r w:rsidR="008D20D4" w:rsidRPr="002E60EB">
        <w:rPr>
          <w:lang w:val="en-US" w:eastAsia="es-ES"/>
        </w:rPr>
        <w:t>because</w:t>
      </w:r>
      <w:r w:rsidRPr="002E60EB">
        <w:rPr>
          <w:lang w:val="en-US" w:eastAsia="es-ES"/>
        </w:rPr>
        <w:t xml:space="preserve"> it </w:t>
      </w:r>
      <w:r w:rsidR="008D20D4" w:rsidRPr="002E60EB">
        <w:rPr>
          <w:lang w:val="en-US" w:eastAsia="es-ES"/>
        </w:rPr>
        <w:t xml:space="preserve">had been submitted </w:t>
      </w:r>
      <w:r w:rsidR="000D6AA8" w:rsidRPr="002E60EB">
        <w:rPr>
          <w:lang w:val="en-US" w:eastAsia="es-ES"/>
        </w:rPr>
        <w:t>outside</w:t>
      </w:r>
      <w:r w:rsidRPr="002E60EB">
        <w:rPr>
          <w:lang w:val="en-US" w:eastAsia="es-ES"/>
        </w:rPr>
        <w:t xml:space="preserve"> the </w:t>
      </w:r>
      <w:r w:rsidR="008D20D4" w:rsidRPr="002E60EB">
        <w:rPr>
          <w:lang w:val="en-US" w:eastAsia="es-ES"/>
        </w:rPr>
        <w:t xml:space="preserve">time frame </w:t>
      </w:r>
      <w:r w:rsidRPr="002E60EB">
        <w:rPr>
          <w:lang w:val="en-US" w:eastAsia="es-ES"/>
        </w:rPr>
        <w:t xml:space="preserve">established in the </w:t>
      </w:r>
      <w:r w:rsidR="008D20D4" w:rsidRPr="002E60EB">
        <w:rPr>
          <w:lang w:val="en-US" w:eastAsia="es-ES"/>
        </w:rPr>
        <w:t xml:space="preserve">Court’s </w:t>
      </w:r>
      <w:r w:rsidRPr="002E60EB">
        <w:rPr>
          <w:lang w:val="en-US" w:eastAsia="es-ES"/>
        </w:rPr>
        <w:t>Rules of Procedure</w:t>
      </w:r>
      <w:r w:rsidR="008D20D4" w:rsidRPr="002E60EB">
        <w:rPr>
          <w:lang w:val="en-US" w:eastAsia="es-ES"/>
        </w:rPr>
        <w:t>,</w:t>
      </w:r>
      <w:r w:rsidR="00087093" w:rsidRPr="002E60EB">
        <w:rPr>
          <w:lang w:val="en-US" w:eastAsia="es-ES"/>
        </w:rPr>
        <w:t>”</w:t>
      </w:r>
      <w:r w:rsidR="008D20D4" w:rsidRPr="002E60EB">
        <w:rPr>
          <w:lang w:val="en-US" w:eastAsia="es-ES"/>
        </w:rPr>
        <w:t xml:space="preserve"> since the </w:t>
      </w:r>
      <w:r w:rsidRPr="002E60EB">
        <w:rPr>
          <w:lang w:val="en-US" w:eastAsia="es-ES"/>
        </w:rPr>
        <w:t xml:space="preserve">brief was received in the Spanish language </w:t>
      </w:r>
      <w:r w:rsidR="008D20D4" w:rsidRPr="002E60EB">
        <w:rPr>
          <w:lang w:val="en-US" w:eastAsia="es-ES"/>
        </w:rPr>
        <w:t xml:space="preserve">20 </w:t>
      </w:r>
      <w:r w:rsidRPr="002E60EB">
        <w:rPr>
          <w:lang w:val="en-US" w:eastAsia="es-ES"/>
        </w:rPr>
        <w:t>days after the public hearing</w:t>
      </w:r>
    </w:p>
    <w:p w:rsidR="00E15BBF" w:rsidRPr="002E60EB" w:rsidRDefault="00E15BBF" w:rsidP="00317748">
      <w:pPr>
        <w:tabs>
          <w:tab w:val="left" w:pos="720"/>
        </w:tabs>
        <w:jc w:val="both"/>
        <w:rPr>
          <w:lang w:val="en-US"/>
        </w:rPr>
      </w:pPr>
    </w:p>
    <w:p w:rsidR="008D20D4" w:rsidRPr="002E60EB" w:rsidRDefault="000D6AA8" w:rsidP="000D6AA8">
      <w:pPr>
        <w:numPr>
          <w:ilvl w:val="0"/>
          <w:numId w:val="1"/>
        </w:numPr>
        <w:tabs>
          <w:tab w:val="left" w:pos="720"/>
        </w:tabs>
        <w:jc w:val="both"/>
        <w:rPr>
          <w:lang w:val="en-US" w:eastAsia="es-ES"/>
        </w:rPr>
      </w:pPr>
      <w:r w:rsidRPr="002E60EB">
        <w:rPr>
          <w:rFonts w:eastAsia="Times"/>
          <w:color w:val="000000"/>
          <w:lang w:val="en-US"/>
        </w:rPr>
        <w:t>Under</w:t>
      </w:r>
      <w:r w:rsidR="008D20D4" w:rsidRPr="002E60EB">
        <w:rPr>
          <w:rFonts w:eastAsia="Times"/>
          <w:color w:val="000000"/>
          <w:lang w:val="en-US"/>
        </w:rPr>
        <w:t xml:space="preserve"> </w:t>
      </w:r>
      <w:r w:rsidR="008D20D4" w:rsidRPr="002E60EB">
        <w:rPr>
          <w:lang w:val="en-US" w:eastAsia="es-ES"/>
        </w:rPr>
        <w:t xml:space="preserve">Article 44 of the Court’s Rules of Procedure, the said </w:t>
      </w:r>
      <w:r w:rsidR="008D20D4" w:rsidRPr="002E60EB">
        <w:rPr>
          <w:rFonts w:eastAsia="Times"/>
          <w:i/>
          <w:color w:val="000000"/>
          <w:lang w:val="en-US"/>
        </w:rPr>
        <w:t>amicus curiae</w:t>
      </w:r>
      <w:r w:rsidR="008D20D4" w:rsidRPr="002E60EB">
        <w:rPr>
          <w:rFonts w:eastAsia="Times"/>
          <w:color w:val="000000"/>
          <w:lang w:val="en-US"/>
        </w:rPr>
        <w:t xml:space="preserve"> brief should have been presented in the language of the case, which is Spanish, </w:t>
      </w:r>
      <w:r w:rsidR="00087093" w:rsidRPr="002E60EB">
        <w:rPr>
          <w:rFonts w:eastAsia="Times"/>
          <w:color w:val="000000"/>
          <w:lang w:val="en-US"/>
        </w:rPr>
        <w:t>“</w:t>
      </w:r>
      <w:r w:rsidR="008D20D4" w:rsidRPr="002E60EB">
        <w:rPr>
          <w:rFonts w:eastAsia="Times"/>
          <w:color w:val="000000"/>
          <w:lang w:val="en-US"/>
        </w:rPr>
        <w:t>at</w:t>
      </w:r>
      <w:r w:rsidR="008D20D4" w:rsidRPr="002E60EB">
        <w:rPr>
          <w:lang w:val="en-US"/>
        </w:rPr>
        <w:t xml:space="preserve"> any time during contentious proceedings for up to 15 days following the public hearing.</w:t>
      </w:r>
      <w:r w:rsidR="00087093" w:rsidRPr="002E60EB">
        <w:rPr>
          <w:lang w:val="en-US"/>
        </w:rPr>
        <w:t>”</w:t>
      </w:r>
      <w:r w:rsidR="008D20D4" w:rsidRPr="002E60EB">
        <w:rPr>
          <w:lang w:val="en-US"/>
        </w:rPr>
        <w:t xml:space="preserve"> The Court considers that, since</w:t>
      </w:r>
      <w:r w:rsidR="00E15BBF" w:rsidRPr="002E60EB">
        <w:rPr>
          <w:rFonts w:eastAsia="Times"/>
          <w:color w:val="000000"/>
          <w:lang w:val="en-US"/>
        </w:rPr>
        <w:t xml:space="preserve"> the organization Article 19</w:t>
      </w:r>
      <w:r w:rsidR="008D20D4" w:rsidRPr="002E60EB">
        <w:rPr>
          <w:rFonts w:eastAsia="Times"/>
          <w:color w:val="000000"/>
          <w:lang w:val="en-US"/>
        </w:rPr>
        <w:t xml:space="preserve"> submitted the brief</w:t>
      </w:r>
      <w:r w:rsidRPr="002E60EB">
        <w:rPr>
          <w:rFonts w:eastAsia="Times"/>
          <w:color w:val="000000"/>
          <w:lang w:val="en-US"/>
        </w:rPr>
        <w:t>,</w:t>
      </w:r>
      <w:r w:rsidR="008D20D4" w:rsidRPr="002E60EB">
        <w:rPr>
          <w:rFonts w:eastAsia="Times"/>
          <w:color w:val="000000"/>
          <w:lang w:val="en-US"/>
        </w:rPr>
        <w:t xml:space="preserve"> in Spanish</w:t>
      </w:r>
      <w:r w:rsidRPr="002E60EB">
        <w:rPr>
          <w:rFonts w:eastAsia="Times"/>
          <w:color w:val="000000"/>
          <w:lang w:val="en-US"/>
        </w:rPr>
        <w:t>,</w:t>
      </w:r>
      <w:r w:rsidR="008D20D4" w:rsidRPr="002E60EB">
        <w:rPr>
          <w:rFonts w:eastAsia="Times"/>
          <w:color w:val="000000"/>
          <w:lang w:val="en-US"/>
        </w:rPr>
        <w:t xml:space="preserve"> four days after this time frame had expired, the brief is not admissible because it is time-barred. </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The State </w:t>
      </w:r>
      <w:r w:rsidR="008D20D4" w:rsidRPr="002E60EB">
        <w:rPr>
          <w:lang w:val="en-US" w:eastAsia="es-ES"/>
        </w:rPr>
        <w:t>submitted certain</w:t>
      </w:r>
      <w:r w:rsidRPr="002E60EB">
        <w:rPr>
          <w:lang w:val="en-US" w:eastAsia="es-ES"/>
        </w:rPr>
        <w:t xml:space="preserve"> documentation </w:t>
      </w:r>
      <w:r w:rsidR="008D20D4" w:rsidRPr="002E60EB">
        <w:rPr>
          <w:lang w:val="en-US" w:eastAsia="es-ES"/>
        </w:rPr>
        <w:t xml:space="preserve">together </w:t>
      </w:r>
      <w:r w:rsidRPr="002E60EB">
        <w:rPr>
          <w:lang w:val="en-US" w:eastAsia="es-ES"/>
        </w:rPr>
        <w:t xml:space="preserve">with </w:t>
      </w:r>
      <w:r w:rsidR="008D20D4" w:rsidRPr="002E60EB">
        <w:rPr>
          <w:lang w:val="en-US" w:eastAsia="es-ES"/>
        </w:rPr>
        <w:t xml:space="preserve">its </w:t>
      </w:r>
      <w:r w:rsidRPr="002E60EB">
        <w:rPr>
          <w:lang w:val="en-US" w:eastAsia="es-ES"/>
        </w:rPr>
        <w:t>final written arguments and in communications of July 18 and 27, and August 1 and 13, 2012 (</w:t>
      </w:r>
      <w:r w:rsidRPr="002E60EB">
        <w:rPr>
          <w:i/>
          <w:lang w:val="en-US" w:eastAsia="es-ES"/>
        </w:rPr>
        <w:t>supra</w:t>
      </w:r>
      <w:r w:rsidRPr="002E60EB">
        <w:rPr>
          <w:lang w:val="en-US" w:eastAsia="es-ES"/>
        </w:rPr>
        <w:t xml:space="preserve"> para. </w:t>
      </w:r>
      <w:r w:rsidR="008D20D4" w:rsidRPr="002E60EB">
        <w:rPr>
          <w:lang w:val="en-US" w:eastAsia="es-ES"/>
        </w:rPr>
        <w:t>12</w:t>
      </w:r>
      <w:r w:rsidRPr="002E60EB">
        <w:rPr>
          <w:lang w:val="en-US" w:eastAsia="es-ES"/>
        </w:rPr>
        <w:t>), in response to requests</w:t>
      </w:r>
      <w:r w:rsidR="008D20D4" w:rsidRPr="002E60EB">
        <w:rPr>
          <w:lang w:val="en-US" w:eastAsia="es-ES"/>
        </w:rPr>
        <w:t xml:space="preserve"> for useful information and evidence</w:t>
      </w:r>
      <w:r w:rsidRPr="002E60EB">
        <w:rPr>
          <w:lang w:val="en-US" w:eastAsia="es-ES"/>
        </w:rPr>
        <w:t xml:space="preserve"> </w:t>
      </w:r>
      <w:r w:rsidR="008D20D4" w:rsidRPr="002E60EB">
        <w:rPr>
          <w:lang w:val="en-US" w:eastAsia="es-ES"/>
        </w:rPr>
        <w:t>made by</w:t>
      </w:r>
      <w:r w:rsidRPr="002E60EB">
        <w:rPr>
          <w:lang w:val="en-US" w:eastAsia="es-ES"/>
        </w:rPr>
        <w:t xml:space="preserve"> the Court during the public hearing</w:t>
      </w:r>
      <w:r w:rsidR="000D6AA8" w:rsidRPr="002E60EB">
        <w:rPr>
          <w:lang w:val="en-US" w:eastAsia="es-ES"/>
        </w:rPr>
        <w:t>,</w:t>
      </w:r>
      <w:r w:rsidRPr="002E60EB">
        <w:rPr>
          <w:lang w:val="en-US" w:eastAsia="es-ES"/>
        </w:rPr>
        <w:t xml:space="preserve"> and subsequently by the President (</w:t>
      </w:r>
      <w:r w:rsidRPr="002E60EB">
        <w:rPr>
          <w:i/>
          <w:lang w:val="en-US" w:eastAsia="es-ES"/>
        </w:rPr>
        <w:t>supra</w:t>
      </w:r>
      <w:r w:rsidRPr="002E60EB">
        <w:rPr>
          <w:lang w:val="en-US" w:eastAsia="es-ES"/>
        </w:rPr>
        <w:t xml:space="preserve"> paras. </w:t>
      </w:r>
      <w:r w:rsidR="008D20D4" w:rsidRPr="002E60EB">
        <w:rPr>
          <w:lang w:val="en-US" w:eastAsia="es-ES"/>
        </w:rPr>
        <w:t>1 and 12</w:t>
      </w:r>
      <w:r w:rsidRPr="002E60EB">
        <w:rPr>
          <w:lang w:val="en-US" w:eastAsia="es-ES"/>
        </w:rPr>
        <w:t xml:space="preserve">). The Court considers it appropriate to admit the documents </w:t>
      </w:r>
      <w:r w:rsidR="008D20D4" w:rsidRPr="002E60EB">
        <w:rPr>
          <w:lang w:val="en-US" w:eastAsia="es-ES"/>
        </w:rPr>
        <w:t xml:space="preserve">provided </w:t>
      </w:r>
      <w:r w:rsidRPr="002E60EB">
        <w:rPr>
          <w:lang w:val="en-US" w:eastAsia="es-ES"/>
        </w:rPr>
        <w:t xml:space="preserve">by Colombia, in accordance with Article 58(b) of the Rules of Procedure, </w:t>
      </w:r>
      <w:r w:rsidR="008D20D4" w:rsidRPr="002E60EB">
        <w:rPr>
          <w:lang w:val="en-US" w:eastAsia="es-ES"/>
        </w:rPr>
        <w:t xml:space="preserve">and they </w:t>
      </w:r>
      <w:r w:rsidRPr="002E60EB">
        <w:rPr>
          <w:lang w:val="en-US" w:eastAsia="es-ES"/>
        </w:rPr>
        <w:t xml:space="preserve">will be assessed in the context of the </w:t>
      </w:r>
      <w:r w:rsidR="008D20D4" w:rsidRPr="002E60EB">
        <w:rPr>
          <w:lang w:val="en-US" w:eastAsia="es-ES"/>
        </w:rPr>
        <w:t xml:space="preserve">body of </w:t>
      </w:r>
      <w:r w:rsidRPr="002E60EB">
        <w:rPr>
          <w:lang w:val="en-US" w:eastAsia="es-ES"/>
        </w:rPr>
        <w:t>evidence.</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In addition, on March 28, 2012, expert witness José Francisco Tulande forwarded, </w:t>
      </w:r>
      <w:r w:rsidR="002704D3" w:rsidRPr="002E60EB">
        <w:rPr>
          <w:lang w:val="en-US" w:eastAsia="es-ES"/>
        </w:rPr>
        <w:t xml:space="preserve">through </w:t>
      </w:r>
      <w:r w:rsidRPr="002E60EB">
        <w:rPr>
          <w:lang w:val="en-US" w:eastAsia="es-ES"/>
        </w:rPr>
        <w:t xml:space="preserve">the State, </w:t>
      </w:r>
      <w:r w:rsidR="00087093" w:rsidRPr="002E60EB">
        <w:rPr>
          <w:lang w:val="en-US" w:eastAsia="es-ES"/>
        </w:rPr>
        <w:t>“</w:t>
      </w:r>
      <w:r w:rsidR="002704D3" w:rsidRPr="002E60EB">
        <w:rPr>
          <w:lang w:val="en-US" w:eastAsia="es-ES"/>
        </w:rPr>
        <w:t>[</w:t>
      </w:r>
      <w:r w:rsidRPr="002E60EB">
        <w:rPr>
          <w:lang w:val="en-US" w:eastAsia="es-ES"/>
        </w:rPr>
        <w:t>t</w:t>
      </w:r>
      <w:r w:rsidR="002704D3" w:rsidRPr="002E60EB">
        <w:rPr>
          <w:lang w:val="en-US" w:eastAsia="es-ES"/>
        </w:rPr>
        <w:t>]</w:t>
      </w:r>
      <w:r w:rsidRPr="002E60EB">
        <w:rPr>
          <w:lang w:val="en-US" w:eastAsia="es-ES"/>
        </w:rPr>
        <w:t>he recordings and documents</w:t>
      </w:r>
      <w:r w:rsidR="00087093" w:rsidRPr="002E60EB">
        <w:rPr>
          <w:lang w:val="en-US" w:eastAsia="es-ES"/>
        </w:rPr>
        <w:t>”</w:t>
      </w:r>
      <w:r w:rsidRPr="002E60EB">
        <w:rPr>
          <w:lang w:val="en-US" w:eastAsia="es-ES"/>
        </w:rPr>
        <w:t xml:space="preserve"> </w:t>
      </w:r>
      <w:r w:rsidR="002704D3" w:rsidRPr="002E60EB">
        <w:rPr>
          <w:lang w:val="en-US" w:eastAsia="es-ES"/>
        </w:rPr>
        <w:t xml:space="preserve">offered </w:t>
      </w:r>
      <w:r w:rsidRPr="002E60EB">
        <w:rPr>
          <w:lang w:val="en-US" w:eastAsia="es-ES"/>
        </w:rPr>
        <w:t xml:space="preserve">to the Court during the public hearing held in this case. The Commission and the representative did </w:t>
      </w:r>
      <w:r w:rsidR="000D6AA8" w:rsidRPr="002E60EB">
        <w:rPr>
          <w:lang w:val="en-US" w:eastAsia="es-ES"/>
        </w:rPr>
        <w:t xml:space="preserve">not </w:t>
      </w:r>
      <w:r w:rsidR="002704D3" w:rsidRPr="002E60EB">
        <w:rPr>
          <w:lang w:val="en-US" w:eastAsia="es-ES"/>
        </w:rPr>
        <w:t>make observations</w:t>
      </w:r>
      <w:r w:rsidRPr="002E60EB">
        <w:rPr>
          <w:lang w:val="en-US" w:eastAsia="es-ES"/>
        </w:rPr>
        <w:t xml:space="preserve"> on </w:t>
      </w:r>
      <w:r w:rsidR="002704D3" w:rsidRPr="002E60EB">
        <w:rPr>
          <w:lang w:val="en-US" w:eastAsia="es-ES"/>
        </w:rPr>
        <w:t xml:space="preserve">this </w:t>
      </w:r>
      <w:r w:rsidRPr="002E60EB">
        <w:rPr>
          <w:lang w:val="en-US" w:eastAsia="es-ES"/>
        </w:rPr>
        <w:t xml:space="preserve">documentation. The Court incorporates this documentation as evidence because it considers it useful </w:t>
      </w:r>
      <w:r w:rsidR="002704D3" w:rsidRPr="002E60EB">
        <w:rPr>
          <w:lang w:val="en-US" w:eastAsia="es-ES"/>
        </w:rPr>
        <w:t xml:space="preserve">for </w:t>
      </w:r>
      <w:r w:rsidRPr="002E60EB">
        <w:rPr>
          <w:lang w:val="en-US" w:eastAsia="es-ES"/>
        </w:rPr>
        <w:t>th</w:t>
      </w:r>
      <w:r w:rsidR="002704D3" w:rsidRPr="002E60EB">
        <w:rPr>
          <w:lang w:val="en-US" w:eastAsia="es-ES"/>
        </w:rPr>
        <w:t>e instant</w:t>
      </w:r>
      <w:r w:rsidR="000D6AA8" w:rsidRPr="002E60EB">
        <w:rPr>
          <w:lang w:val="en-US" w:eastAsia="es-ES"/>
        </w:rPr>
        <w:t xml:space="preserve"> case,</w:t>
      </w:r>
      <w:r w:rsidRPr="002E60EB">
        <w:rPr>
          <w:lang w:val="en-US" w:eastAsia="es-ES"/>
        </w:rPr>
        <w:t xml:space="preserve"> taking into account that it was not co</w:t>
      </w:r>
      <w:r w:rsidR="000D6AA8" w:rsidRPr="002E60EB">
        <w:rPr>
          <w:lang w:val="en-US" w:eastAsia="es-ES"/>
        </w:rPr>
        <w:t>ntested. The</w:t>
      </w:r>
      <w:r w:rsidR="002704D3" w:rsidRPr="002E60EB">
        <w:rPr>
          <w:lang w:val="en-US" w:eastAsia="es-ES"/>
        </w:rPr>
        <w:t xml:space="preserve"> pertinent parts of thes</w:t>
      </w:r>
      <w:r w:rsidRPr="002E60EB">
        <w:rPr>
          <w:lang w:val="en-US" w:eastAsia="es-ES"/>
        </w:rPr>
        <w:t xml:space="preserve">e documents will be assessed </w:t>
      </w:r>
      <w:r w:rsidR="002704D3" w:rsidRPr="002E60EB">
        <w:rPr>
          <w:lang w:val="en-US" w:eastAsia="es-ES"/>
        </w:rPr>
        <w:t xml:space="preserve">taking into </w:t>
      </w:r>
      <w:r w:rsidR="000D6AA8" w:rsidRPr="002E60EB">
        <w:rPr>
          <w:lang w:val="en-US" w:eastAsia="es-ES"/>
        </w:rPr>
        <w:t>consid</w:t>
      </w:r>
      <w:r w:rsidR="008C509D" w:rsidRPr="002E60EB">
        <w:rPr>
          <w:lang w:val="en-US" w:eastAsia="es-ES"/>
        </w:rPr>
        <w:t>e</w:t>
      </w:r>
      <w:r w:rsidR="000D6AA8" w:rsidRPr="002E60EB">
        <w:rPr>
          <w:lang w:val="en-US" w:eastAsia="es-ES"/>
        </w:rPr>
        <w:t>ration</w:t>
      </w:r>
      <w:r w:rsidR="002704D3" w:rsidRPr="002E60EB">
        <w:rPr>
          <w:lang w:val="en-US" w:eastAsia="es-ES"/>
        </w:rPr>
        <w:t xml:space="preserve"> the purpose </w:t>
      </w:r>
      <w:r w:rsidR="008C509D" w:rsidRPr="002E60EB">
        <w:rPr>
          <w:lang w:val="en-US" w:eastAsia="es-ES"/>
        </w:rPr>
        <w:t xml:space="preserve">for the said expert opinion </w:t>
      </w:r>
      <w:r w:rsidR="002704D3" w:rsidRPr="002E60EB">
        <w:rPr>
          <w:lang w:val="en-US" w:eastAsia="es-ES"/>
        </w:rPr>
        <w:t xml:space="preserve">opportunely </w:t>
      </w:r>
      <w:r w:rsidRPr="002E60EB">
        <w:rPr>
          <w:lang w:val="en-US" w:eastAsia="es-ES"/>
        </w:rPr>
        <w:t>defined by the President, the body of evidence, and rules of sound judicial discretion.</w:t>
      </w:r>
    </w:p>
    <w:p w:rsidR="00E15BBF" w:rsidRPr="002E60EB" w:rsidRDefault="00E15BBF" w:rsidP="00317748">
      <w:pPr>
        <w:tabs>
          <w:tab w:val="left" w:pos="720"/>
        </w:tabs>
        <w:jc w:val="both"/>
        <w:rPr>
          <w:lang w:val="en-US" w:eastAsia="es-ES"/>
        </w:rPr>
      </w:pPr>
    </w:p>
    <w:p w:rsidR="00E15BBF" w:rsidRPr="002E60EB" w:rsidRDefault="00E15BBF" w:rsidP="00317748">
      <w:pPr>
        <w:pStyle w:val="MediumGrid1-Accent21"/>
        <w:tabs>
          <w:tab w:val="left" w:pos="720"/>
        </w:tabs>
        <w:jc w:val="both"/>
        <w:rPr>
          <w:i/>
          <w:lang w:val="en-US" w:eastAsia="es-ES"/>
        </w:rPr>
      </w:pPr>
      <w:r w:rsidRPr="002E60EB">
        <w:rPr>
          <w:i/>
          <w:lang w:val="en-US" w:eastAsia="es-ES"/>
        </w:rPr>
        <w:t xml:space="preserve">B.2) Admission of the statements of the </w:t>
      </w:r>
      <w:r w:rsidR="001466BD" w:rsidRPr="002E60EB">
        <w:rPr>
          <w:i/>
          <w:lang w:val="en-US" w:eastAsia="es-ES"/>
        </w:rPr>
        <w:t>presumed victim</w:t>
      </w:r>
      <w:r w:rsidRPr="002E60EB">
        <w:rPr>
          <w:i/>
          <w:lang w:val="en-US" w:eastAsia="es-ES"/>
        </w:rPr>
        <w:t>s and the testimonial and expert evidence</w:t>
      </w:r>
    </w:p>
    <w:p w:rsidR="00E15BBF" w:rsidRPr="002E60EB" w:rsidRDefault="00E15BBF" w:rsidP="00317748">
      <w:pPr>
        <w:pStyle w:val="MediumGrid1-Accent21"/>
        <w:ind w:left="0"/>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rFonts w:cs="Verdana"/>
          <w:lang w:val="en-US"/>
        </w:rPr>
        <w:t xml:space="preserve">Regarding the statements of the </w:t>
      </w:r>
      <w:r w:rsidR="001466BD" w:rsidRPr="002E60EB">
        <w:rPr>
          <w:rFonts w:cs="Verdana"/>
          <w:lang w:val="en-US"/>
        </w:rPr>
        <w:t>presumed victim</w:t>
      </w:r>
      <w:r w:rsidRPr="002E60EB">
        <w:rPr>
          <w:rFonts w:cs="Verdana"/>
          <w:lang w:val="en-US"/>
        </w:rPr>
        <w:t>s, the</w:t>
      </w:r>
      <w:r w:rsidR="006045A9" w:rsidRPr="002E60EB">
        <w:rPr>
          <w:rFonts w:cs="Verdana"/>
          <w:lang w:val="en-US"/>
        </w:rPr>
        <w:t xml:space="preserve"> testimony, and the</w:t>
      </w:r>
      <w:r w:rsidRPr="002E60EB">
        <w:rPr>
          <w:rFonts w:cs="Verdana"/>
          <w:lang w:val="en-US"/>
        </w:rPr>
        <w:t xml:space="preserve"> expert opinions </w:t>
      </w:r>
      <w:r w:rsidR="006045A9" w:rsidRPr="002E60EB">
        <w:rPr>
          <w:rFonts w:cs="Verdana"/>
          <w:lang w:val="en-US"/>
        </w:rPr>
        <w:t>provided during</w:t>
      </w:r>
      <w:r w:rsidRPr="002E60EB">
        <w:rPr>
          <w:rFonts w:cs="Verdana"/>
          <w:lang w:val="en-US"/>
        </w:rPr>
        <w:t xml:space="preserve"> the public hearing and by affidavit, the Court </w:t>
      </w:r>
      <w:r w:rsidR="006045A9" w:rsidRPr="002E60EB">
        <w:rPr>
          <w:rFonts w:cs="Verdana"/>
          <w:lang w:val="en-US"/>
        </w:rPr>
        <w:t xml:space="preserve">finds </w:t>
      </w:r>
      <w:r w:rsidRPr="002E60EB">
        <w:rPr>
          <w:rFonts w:cs="Verdana"/>
          <w:lang w:val="en-US"/>
        </w:rPr>
        <w:t xml:space="preserve">them pertinent </w:t>
      </w:r>
      <w:r w:rsidR="006045A9" w:rsidRPr="002E60EB">
        <w:rPr>
          <w:rFonts w:cs="Verdana"/>
          <w:lang w:val="en-US"/>
        </w:rPr>
        <w:t xml:space="preserve">only to the extent that </w:t>
      </w:r>
      <w:r w:rsidRPr="002E60EB">
        <w:rPr>
          <w:rFonts w:cs="Verdana"/>
          <w:lang w:val="en-US"/>
        </w:rPr>
        <w:t xml:space="preserve">they conform to the purpose </w:t>
      </w:r>
      <w:r w:rsidR="006045A9" w:rsidRPr="002E60EB">
        <w:rPr>
          <w:rFonts w:cs="Verdana"/>
          <w:lang w:val="en-US"/>
        </w:rPr>
        <w:t>defined by</w:t>
      </w:r>
      <w:r w:rsidRPr="002E60EB">
        <w:rPr>
          <w:rFonts w:cs="Verdana"/>
          <w:lang w:val="en-US"/>
        </w:rPr>
        <w:t xml:space="preserve"> the President </w:t>
      </w:r>
      <w:r w:rsidR="006045A9" w:rsidRPr="002E60EB">
        <w:rPr>
          <w:rFonts w:cs="Verdana"/>
          <w:lang w:val="en-US"/>
        </w:rPr>
        <w:t xml:space="preserve">in the Order requiring them </w:t>
      </w:r>
      <w:r w:rsidRPr="002E60EB">
        <w:rPr>
          <w:rFonts w:cs="Verdana"/>
          <w:lang w:val="en-US" w:eastAsia="es-MX"/>
        </w:rPr>
        <w:t>(</w:t>
      </w:r>
      <w:r w:rsidRPr="002E60EB">
        <w:rPr>
          <w:rFonts w:cs="Verdana"/>
          <w:i/>
          <w:iCs/>
          <w:lang w:val="en-US" w:eastAsia="es-MX"/>
        </w:rPr>
        <w:t xml:space="preserve">supra </w:t>
      </w:r>
      <w:r w:rsidRPr="002E60EB">
        <w:rPr>
          <w:rFonts w:cs="Verdana"/>
          <w:lang w:val="en-US" w:eastAsia="es-MX"/>
        </w:rPr>
        <w:t xml:space="preserve">para. </w:t>
      </w:r>
      <w:r w:rsidR="006045A9" w:rsidRPr="002E60EB">
        <w:rPr>
          <w:rFonts w:cs="Verdana"/>
          <w:lang w:val="en-US" w:eastAsia="es-MX"/>
        </w:rPr>
        <w:t>8</w:t>
      </w:r>
      <w:r w:rsidRPr="002E60EB">
        <w:rPr>
          <w:rFonts w:cs="Verdana"/>
          <w:lang w:val="en-US" w:eastAsia="es-MX"/>
        </w:rPr>
        <w:t xml:space="preserve">). They </w:t>
      </w:r>
      <w:r w:rsidR="006045A9" w:rsidRPr="002E60EB">
        <w:rPr>
          <w:rFonts w:cs="Verdana"/>
          <w:lang w:val="en-US" w:eastAsia="es-MX"/>
        </w:rPr>
        <w:t>wi</w:t>
      </w:r>
      <w:r w:rsidRPr="002E60EB">
        <w:rPr>
          <w:rFonts w:cs="Verdana"/>
          <w:lang w:val="en-US" w:eastAsia="es-MX"/>
        </w:rPr>
        <w:t xml:space="preserve">ll be assessed in the corresponding chapter, together with the other elements of the body of evidence and taking into account the observations </w:t>
      </w:r>
      <w:r w:rsidR="006045A9" w:rsidRPr="002E60EB">
        <w:rPr>
          <w:rFonts w:cs="Verdana"/>
          <w:lang w:val="en-US" w:eastAsia="es-MX"/>
        </w:rPr>
        <w:t xml:space="preserve">made </w:t>
      </w:r>
      <w:r w:rsidRPr="002E60EB">
        <w:rPr>
          <w:rFonts w:cs="Verdana"/>
          <w:lang w:val="en-US" w:eastAsia="es-MX"/>
        </w:rPr>
        <w:t>by the parties.</w:t>
      </w:r>
      <w:r w:rsidR="006045A9" w:rsidRPr="002E60EB">
        <w:rPr>
          <w:rStyle w:val="Refdenotaalpie"/>
          <w:lang w:val="en-US" w:eastAsia="es-ES"/>
        </w:rPr>
        <w:footnoteReference w:id="65"/>
      </w:r>
    </w:p>
    <w:p w:rsidR="00E15BBF" w:rsidRPr="002E60EB" w:rsidRDefault="00E15BBF" w:rsidP="00317748">
      <w:pPr>
        <w:tabs>
          <w:tab w:val="left" w:pos="720"/>
        </w:tabs>
        <w:jc w:val="both"/>
        <w:rPr>
          <w:rFonts w:cs="Verdana"/>
          <w:lang w:val="en-US" w:eastAsia="es-MX"/>
        </w:rPr>
      </w:pPr>
    </w:p>
    <w:p w:rsidR="00E15BBF" w:rsidRPr="002E60EB" w:rsidRDefault="00B44E76" w:rsidP="00317748">
      <w:pPr>
        <w:numPr>
          <w:ilvl w:val="0"/>
          <w:numId w:val="1"/>
        </w:numPr>
        <w:tabs>
          <w:tab w:val="left" w:pos="720"/>
        </w:tabs>
        <w:jc w:val="both"/>
        <w:rPr>
          <w:lang w:val="en-US" w:eastAsia="es-ES"/>
        </w:rPr>
      </w:pPr>
      <w:r w:rsidRPr="002E60EB">
        <w:rPr>
          <w:rFonts w:cs="Verdana"/>
          <w:lang w:val="en-US" w:eastAsia="es-MX"/>
        </w:rPr>
        <w:t>Acco</w:t>
      </w:r>
      <w:r w:rsidR="00987407" w:rsidRPr="002E60EB">
        <w:rPr>
          <w:rFonts w:cs="Verdana"/>
          <w:lang w:val="en-US" w:eastAsia="es-MX"/>
        </w:rPr>
        <w:t>rding to this Court’s case law,</w:t>
      </w:r>
      <w:r w:rsidR="00E15BBF" w:rsidRPr="002E60EB">
        <w:rPr>
          <w:rFonts w:cs="Verdana"/>
          <w:lang w:val="en-US" w:eastAsia="es-MX"/>
        </w:rPr>
        <w:t xml:space="preserve"> the statements </w:t>
      </w:r>
      <w:r w:rsidRPr="002E60EB">
        <w:rPr>
          <w:rFonts w:cs="Verdana"/>
          <w:lang w:val="en-US" w:eastAsia="es-MX"/>
        </w:rPr>
        <w:t xml:space="preserve">made </w:t>
      </w:r>
      <w:r w:rsidR="00E15BBF" w:rsidRPr="002E60EB">
        <w:rPr>
          <w:rFonts w:cs="Verdana"/>
          <w:lang w:val="en-US" w:eastAsia="es-MX"/>
        </w:rPr>
        <w:t xml:space="preserve">by the </w:t>
      </w:r>
      <w:r w:rsidR="001466BD" w:rsidRPr="002E60EB">
        <w:rPr>
          <w:rFonts w:cs="Verdana"/>
          <w:lang w:val="en-US" w:eastAsia="es-MX"/>
        </w:rPr>
        <w:t>presumed victim</w:t>
      </w:r>
      <w:r w:rsidR="00E15BBF" w:rsidRPr="002E60EB">
        <w:rPr>
          <w:rFonts w:cs="Verdana"/>
          <w:lang w:val="en-US" w:eastAsia="es-MX"/>
        </w:rPr>
        <w:t xml:space="preserve">s cannot be assessed in isolation, but rather </w:t>
      </w:r>
      <w:r w:rsidRPr="002E60EB">
        <w:rPr>
          <w:rFonts w:cs="Verdana"/>
          <w:lang w:val="en-US" w:eastAsia="es-MX"/>
        </w:rPr>
        <w:t xml:space="preserve">together </w:t>
      </w:r>
      <w:r w:rsidR="00E15BBF" w:rsidRPr="002E60EB">
        <w:rPr>
          <w:rFonts w:cs="Verdana"/>
          <w:lang w:val="en-US" w:eastAsia="es-MX"/>
        </w:rPr>
        <w:t xml:space="preserve">with </w:t>
      </w:r>
      <w:r w:rsidRPr="002E60EB">
        <w:rPr>
          <w:rFonts w:cs="Verdana"/>
          <w:lang w:val="en-US" w:eastAsia="es-MX"/>
        </w:rPr>
        <w:t xml:space="preserve">all </w:t>
      </w:r>
      <w:r w:rsidR="00E15BBF" w:rsidRPr="002E60EB">
        <w:rPr>
          <w:rFonts w:cs="Verdana"/>
          <w:lang w:val="en-US" w:eastAsia="es-MX"/>
        </w:rPr>
        <w:t>the evidence in the proceeding</w:t>
      </w:r>
      <w:r w:rsidRPr="002E60EB">
        <w:rPr>
          <w:rFonts w:cs="Verdana"/>
          <w:lang w:val="en-US" w:eastAsia="es-MX"/>
        </w:rPr>
        <w:t>s</w:t>
      </w:r>
      <w:r w:rsidR="00E15BBF" w:rsidRPr="002E60EB">
        <w:rPr>
          <w:rFonts w:cs="Verdana"/>
          <w:lang w:val="en-US" w:eastAsia="es-MX"/>
        </w:rPr>
        <w:t xml:space="preserve">, since they are useful to the extent that they can </w:t>
      </w:r>
      <w:r w:rsidRPr="002E60EB">
        <w:rPr>
          <w:rFonts w:cs="Verdana"/>
          <w:lang w:val="en-US" w:eastAsia="es-MX"/>
        </w:rPr>
        <w:t xml:space="preserve">provide </w:t>
      </w:r>
      <w:r w:rsidR="00E15BBF" w:rsidRPr="002E60EB">
        <w:rPr>
          <w:rFonts w:cs="Verdana"/>
          <w:lang w:val="en-US" w:eastAsia="es-MX"/>
        </w:rPr>
        <w:t xml:space="preserve">more information on the </w:t>
      </w:r>
      <w:r w:rsidRPr="002E60EB">
        <w:rPr>
          <w:rFonts w:cs="Verdana"/>
          <w:lang w:val="en-US" w:eastAsia="es-MX"/>
        </w:rPr>
        <w:t xml:space="preserve">presumed </w:t>
      </w:r>
      <w:r w:rsidR="00E15BBF" w:rsidRPr="002E60EB">
        <w:rPr>
          <w:rFonts w:cs="Verdana"/>
          <w:lang w:val="en-US" w:eastAsia="es-MX"/>
        </w:rPr>
        <w:t>violations and their consequences.</w:t>
      </w:r>
      <w:r w:rsidRPr="002E60EB">
        <w:rPr>
          <w:rStyle w:val="Refdenotaalpie"/>
          <w:lang w:val="en-US" w:eastAsia="es-ES"/>
        </w:rPr>
        <w:footnoteReference w:id="66"/>
      </w:r>
      <w:r w:rsidR="00E15BBF" w:rsidRPr="002E60EB">
        <w:rPr>
          <w:rFonts w:cs="Verdana"/>
          <w:lang w:val="en-US" w:eastAsia="es-MX"/>
        </w:rPr>
        <w:t xml:space="preserve"> Based on the foregoing, the Court admits these statements and </w:t>
      </w:r>
      <w:r w:rsidRPr="002E60EB">
        <w:rPr>
          <w:rFonts w:cs="Verdana"/>
          <w:lang w:val="en-US" w:eastAsia="es-MX"/>
        </w:rPr>
        <w:t xml:space="preserve">will </w:t>
      </w:r>
      <w:r w:rsidR="00E15BBF" w:rsidRPr="002E60EB">
        <w:rPr>
          <w:rFonts w:cs="Verdana"/>
          <w:lang w:val="en-US" w:eastAsia="es-MX"/>
        </w:rPr>
        <w:t>assess</w:t>
      </w:r>
      <w:r w:rsidRPr="002E60EB">
        <w:rPr>
          <w:rFonts w:cs="Verdana"/>
          <w:lang w:val="en-US" w:eastAsia="es-MX"/>
        </w:rPr>
        <w:t xml:space="preserve"> them in keeping with the criteria indicated</w:t>
      </w:r>
      <w:r w:rsidR="00E15BBF" w:rsidRPr="002E60EB">
        <w:rPr>
          <w:rFonts w:cs="Verdana"/>
          <w:lang w:val="en-US" w:eastAsia="es-MX"/>
        </w:rPr>
        <w:t>.</w:t>
      </w:r>
    </w:p>
    <w:p w:rsidR="00E15BBF" w:rsidRPr="002E60EB" w:rsidRDefault="00E15BBF" w:rsidP="00317748">
      <w:pPr>
        <w:pStyle w:val="MediumGrid1-Accent21"/>
        <w:ind w:left="0"/>
        <w:rPr>
          <w:lang w:val="en-US" w:eastAsia="es-ES"/>
        </w:rPr>
      </w:pPr>
    </w:p>
    <w:p w:rsidR="00E15BBF" w:rsidRPr="002E60EB" w:rsidRDefault="00B44E76" w:rsidP="00317748">
      <w:pPr>
        <w:numPr>
          <w:ilvl w:val="0"/>
          <w:numId w:val="1"/>
        </w:numPr>
        <w:tabs>
          <w:tab w:val="left" w:pos="720"/>
        </w:tabs>
        <w:jc w:val="both"/>
        <w:rPr>
          <w:lang w:val="en-US" w:eastAsia="es-ES"/>
        </w:rPr>
      </w:pPr>
      <w:r w:rsidRPr="002E60EB">
        <w:rPr>
          <w:lang w:val="en-US" w:eastAsia="es-ES"/>
        </w:rPr>
        <w:t>I</w:t>
      </w:r>
      <w:r w:rsidR="00E15BBF" w:rsidRPr="002E60EB">
        <w:rPr>
          <w:lang w:val="en-US" w:eastAsia="es-ES"/>
        </w:rPr>
        <w:t>n its final written arguments</w:t>
      </w:r>
      <w:r w:rsidRPr="002E60EB">
        <w:rPr>
          <w:lang w:val="en-US" w:eastAsia="es-ES"/>
        </w:rPr>
        <w:t>, the State asserted</w:t>
      </w:r>
      <w:r w:rsidR="00E15BBF" w:rsidRPr="002E60EB">
        <w:rPr>
          <w:lang w:val="en-US" w:eastAsia="es-ES"/>
        </w:rPr>
        <w:t xml:space="preserve"> that the affidavits of expert witness Daniel Coronell, proposed by the representative, and expert witness Ana María Díaz proposed by the Commission </w:t>
      </w:r>
      <w:r w:rsidRPr="002E60EB">
        <w:rPr>
          <w:lang w:val="en-US" w:eastAsia="es-ES"/>
        </w:rPr>
        <w:t>we</w:t>
      </w:r>
      <w:r w:rsidR="00E15BBF" w:rsidRPr="002E60EB">
        <w:rPr>
          <w:lang w:val="en-US" w:eastAsia="es-ES"/>
        </w:rPr>
        <w:t xml:space="preserve">re </w:t>
      </w:r>
      <w:r w:rsidR="00087093" w:rsidRPr="002E60EB">
        <w:rPr>
          <w:lang w:val="en-US" w:eastAsia="es-ES"/>
        </w:rPr>
        <w:t>“</w:t>
      </w:r>
      <w:r w:rsidR="00E15BBF" w:rsidRPr="002E60EB">
        <w:rPr>
          <w:lang w:val="en-US" w:eastAsia="es-ES"/>
        </w:rPr>
        <w:t>irrelevant</w:t>
      </w:r>
      <w:r w:rsidR="00087093" w:rsidRPr="002E60EB">
        <w:rPr>
          <w:lang w:val="en-US" w:eastAsia="es-ES"/>
        </w:rPr>
        <w:t>”</w:t>
      </w:r>
      <w:r w:rsidR="00E15BBF" w:rsidRPr="002E60EB">
        <w:rPr>
          <w:lang w:val="en-US" w:eastAsia="es-ES"/>
        </w:rPr>
        <w:t xml:space="preserve"> </w:t>
      </w:r>
      <w:r w:rsidRPr="002E60EB">
        <w:rPr>
          <w:lang w:val="en-US" w:eastAsia="es-ES"/>
        </w:rPr>
        <w:t xml:space="preserve">because </w:t>
      </w:r>
      <w:r w:rsidR="00E15BBF" w:rsidRPr="002E60EB">
        <w:rPr>
          <w:lang w:val="en-US" w:eastAsia="es-ES"/>
        </w:rPr>
        <w:t>they d</w:t>
      </w:r>
      <w:r w:rsidRPr="002E60EB">
        <w:rPr>
          <w:lang w:val="en-US" w:eastAsia="es-ES"/>
        </w:rPr>
        <w:t>id</w:t>
      </w:r>
      <w:r w:rsidR="00E15BBF" w:rsidRPr="002E60EB">
        <w:rPr>
          <w:lang w:val="en-US" w:eastAsia="es-ES"/>
        </w:rPr>
        <w:t xml:space="preserve"> not comply with the purpose established by the President in his Order of January 25, 2012. </w:t>
      </w:r>
      <w:r w:rsidRPr="002E60EB">
        <w:rPr>
          <w:lang w:val="en-US" w:eastAsia="es-ES"/>
        </w:rPr>
        <w:t>Regarding</w:t>
      </w:r>
      <w:r w:rsidR="00E15BBF" w:rsidRPr="002E60EB">
        <w:rPr>
          <w:lang w:val="en-US" w:eastAsia="es-ES"/>
        </w:rPr>
        <w:t xml:space="preserve"> the expert opinion of Daniel Coronel, </w:t>
      </w:r>
      <w:r w:rsidRPr="002E60EB">
        <w:rPr>
          <w:lang w:val="en-US" w:eastAsia="es-ES"/>
        </w:rPr>
        <w:t>Colombia</w:t>
      </w:r>
      <w:r w:rsidR="00E15BBF" w:rsidRPr="002E60EB">
        <w:rPr>
          <w:lang w:val="en-US" w:eastAsia="es-ES"/>
        </w:rPr>
        <w:t xml:space="preserve"> </w:t>
      </w:r>
      <w:r w:rsidRPr="002E60EB">
        <w:rPr>
          <w:lang w:val="en-US" w:eastAsia="es-ES"/>
        </w:rPr>
        <w:t xml:space="preserve">observed </w:t>
      </w:r>
      <w:r w:rsidR="00E15BBF" w:rsidRPr="002E60EB">
        <w:rPr>
          <w:lang w:val="en-US" w:eastAsia="es-ES"/>
        </w:rPr>
        <w:t xml:space="preserve">that </w:t>
      </w:r>
      <w:r w:rsidR="00087093" w:rsidRPr="002E60EB">
        <w:rPr>
          <w:lang w:val="en-US" w:eastAsia="es-ES"/>
        </w:rPr>
        <w:t>“</w:t>
      </w:r>
      <w:r w:rsidR="00E15BBF" w:rsidRPr="002E60EB">
        <w:rPr>
          <w:lang w:val="en-US" w:eastAsia="es-ES"/>
        </w:rPr>
        <w:t xml:space="preserve">he </w:t>
      </w:r>
      <w:r w:rsidRPr="002E60EB">
        <w:rPr>
          <w:lang w:val="en-US" w:eastAsia="es-ES"/>
        </w:rPr>
        <w:t>merely gave</w:t>
      </w:r>
      <w:r w:rsidR="00E15BBF" w:rsidRPr="002E60EB">
        <w:rPr>
          <w:lang w:val="en-US" w:eastAsia="es-ES"/>
        </w:rPr>
        <w:t xml:space="preserve"> a brief description of the facts that he considers happened to Mr. Vélez and his family, and presented some personal observations </w:t>
      </w:r>
      <w:r w:rsidRPr="002E60EB">
        <w:rPr>
          <w:lang w:val="en-US" w:eastAsia="es-ES"/>
        </w:rPr>
        <w:t>on</w:t>
      </w:r>
      <w:r w:rsidR="00E15BBF" w:rsidRPr="002E60EB">
        <w:rPr>
          <w:lang w:val="en-US" w:eastAsia="es-ES"/>
        </w:rPr>
        <w:t xml:space="preserve"> the violence in Colombia</w:t>
      </w:r>
      <w:r w:rsidR="00087093" w:rsidRPr="002E60EB">
        <w:rPr>
          <w:lang w:val="en-US" w:eastAsia="es-ES"/>
        </w:rPr>
        <w:t>”</w:t>
      </w:r>
      <w:r w:rsidRPr="002E60EB">
        <w:rPr>
          <w:lang w:val="en-US" w:eastAsia="es-ES"/>
        </w:rPr>
        <w:t>; hence, it asked</w:t>
      </w:r>
      <w:r w:rsidR="00E15BBF" w:rsidRPr="002E60EB">
        <w:rPr>
          <w:lang w:val="en-US" w:eastAsia="es-ES"/>
        </w:rPr>
        <w:t xml:space="preserve"> the Court </w:t>
      </w:r>
      <w:r w:rsidRPr="002E60EB">
        <w:rPr>
          <w:lang w:val="en-US" w:eastAsia="es-ES"/>
        </w:rPr>
        <w:t xml:space="preserve">to </w:t>
      </w:r>
      <w:r w:rsidR="00087093" w:rsidRPr="002E60EB">
        <w:rPr>
          <w:lang w:val="en-US" w:eastAsia="es-ES"/>
        </w:rPr>
        <w:t>“</w:t>
      </w:r>
      <w:r w:rsidR="00E15BBF" w:rsidRPr="002E60EB">
        <w:rPr>
          <w:lang w:val="en-US" w:eastAsia="es-ES"/>
        </w:rPr>
        <w:t>reject the affirmations that are not directly related to the purpose</w:t>
      </w:r>
      <w:r w:rsidRPr="002E60EB">
        <w:rPr>
          <w:lang w:val="en-US" w:eastAsia="es-ES"/>
        </w:rPr>
        <w:t>.</w:t>
      </w:r>
      <w:r w:rsidR="00087093" w:rsidRPr="002E60EB">
        <w:rPr>
          <w:lang w:val="en-US" w:eastAsia="es-ES"/>
        </w:rPr>
        <w:t>”</w:t>
      </w:r>
      <w:r w:rsidRPr="002E60EB">
        <w:rPr>
          <w:lang w:val="en-US" w:eastAsia="es-ES"/>
        </w:rPr>
        <w:t xml:space="preserve"> In addition,</w:t>
      </w:r>
      <w:r w:rsidR="00E15BBF" w:rsidRPr="002E60EB">
        <w:rPr>
          <w:lang w:val="en-US" w:eastAsia="es-ES"/>
        </w:rPr>
        <w:t xml:space="preserve"> regarding</w:t>
      </w:r>
      <w:r w:rsidRPr="002E60EB">
        <w:rPr>
          <w:lang w:val="en-US" w:eastAsia="es-ES"/>
        </w:rPr>
        <w:t xml:space="preserve"> the expert opinion of</w:t>
      </w:r>
      <w:r w:rsidR="00E15BBF" w:rsidRPr="002E60EB">
        <w:rPr>
          <w:lang w:val="en-US" w:eastAsia="es-ES"/>
        </w:rPr>
        <w:t xml:space="preserve"> Ana María Díaz, it </w:t>
      </w:r>
      <w:r w:rsidRPr="002E60EB">
        <w:rPr>
          <w:lang w:val="en-US" w:eastAsia="es-ES"/>
        </w:rPr>
        <w:t xml:space="preserve">indicated, </w:t>
      </w:r>
      <w:r w:rsidRPr="002E60EB">
        <w:rPr>
          <w:i/>
          <w:lang w:val="en-US" w:eastAsia="es-ES"/>
        </w:rPr>
        <w:t>inter alia</w:t>
      </w:r>
      <w:r w:rsidRPr="002E60EB">
        <w:rPr>
          <w:lang w:val="en-US" w:eastAsia="es-ES"/>
        </w:rPr>
        <w:t>,</w:t>
      </w:r>
      <w:r w:rsidR="00E15BBF" w:rsidRPr="002E60EB">
        <w:rPr>
          <w:lang w:val="en-US" w:eastAsia="es-ES"/>
        </w:rPr>
        <w:t xml:space="preserve"> that </w:t>
      </w:r>
      <w:r w:rsidR="00087093" w:rsidRPr="002E60EB">
        <w:rPr>
          <w:lang w:val="en-US" w:eastAsia="es-ES"/>
        </w:rPr>
        <w:t>“</w:t>
      </w:r>
      <w:r w:rsidR="00E15BBF" w:rsidRPr="002E60EB">
        <w:rPr>
          <w:lang w:val="en-US" w:eastAsia="es-ES"/>
        </w:rPr>
        <w:t xml:space="preserve">it is a summary of </w:t>
      </w:r>
      <w:r w:rsidRPr="002E60EB">
        <w:rPr>
          <w:lang w:val="en-US" w:eastAsia="es-ES"/>
        </w:rPr>
        <w:t>declarations by</w:t>
      </w:r>
      <w:r w:rsidR="00E15BBF" w:rsidRPr="002E60EB">
        <w:rPr>
          <w:lang w:val="en-US" w:eastAsia="es-ES"/>
        </w:rPr>
        <w:t xml:space="preserve"> international </w:t>
      </w:r>
      <w:r w:rsidRPr="002E60EB">
        <w:rPr>
          <w:lang w:val="en-US" w:eastAsia="es-ES"/>
        </w:rPr>
        <w:t xml:space="preserve">organizations </w:t>
      </w:r>
      <w:r w:rsidR="00E15BBF" w:rsidRPr="002E60EB">
        <w:rPr>
          <w:lang w:val="en-US" w:eastAsia="es-ES"/>
        </w:rPr>
        <w:t xml:space="preserve">and the statistics </w:t>
      </w:r>
      <w:r w:rsidRPr="002E60EB">
        <w:rPr>
          <w:lang w:val="en-US" w:eastAsia="es-ES"/>
        </w:rPr>
        <w:t>[</w:t>
      </w:r>
      <w:r w:rsidR="00E15BBF" w:rsidRPr="002E60EB">
        <w:rPr>
          <w:lang w:val="en-US" w:eastAsia="es-ES"/>
        </w:rPr>
        <w:t>were</w:t>
      </w:r>
      <w:r w:rsidRPr="002E60EB">
        <w:rPr>
          <w:lang w:val="en-US" w:eastAsia="es-ES"/>
        </w:rPr>
        <w:t>]</w:t>
      </w:r>
      <w:r w:rsidR="00E15BBF" w:rsidRPr="002E60EB">
        <w:rPr>
          <w:lang w:val="en-US" w:eastAsia="es-ES"/>
        </w:rPr>
        <w:t xml:space="preserve"> taken from </w:t>
      </w:r>
      <w:r w:rsidRPr="002E60EB">
        <w:rPr>
          <w:lang w:val="en-US" w:eastAsia="es-ES"/>
        </w:rPr>
        <w:t>a single</w:t>
      </w:r>
      <w:r w:rsidR="00E15BBF" w:rsidRPr="002E60EB">
        <w:rPr>
          <w:lang w:val="en-US" w:eastAsia="es-ES"/>
        </w:rPr>
        <w:t xml:space="preserve"> source: the database of the organization </w:t>
      </w:r>
      <w:r w:rsidRPr="002E60EB">
        <w:rPr>
          <w:lang w:val="en-US" w:eastAsia="es-ES"/>
        </w:rPr>
        <w:t xml:space="preserve">of which </w:t>
      </w:r>
      <w:r w:rsidR="00E15BBF" w:rsidRPr="002E60EB">
        <w:rPr>
          <w:lang w:val="en-US" w:eastAsia="es-ES"/>
        </w:rPr>
        <w:t xml:space="preserve">she is the </w:t>
      </w:r>
      <w:r w:rsidRPr="002E60EB">
        <w:rPr>
          <w:lang w:val="en-US" w:eastAsia="es-ES"/>
        </w:rPr>
        <w:t>Assistant D</w:t>
      </w:r>
      <w:r w:rsidR="00987407" w:rsidRPr="002E60EB">
        <w:rPr>
          <w:lang w:val="en-US" w:eastAsia="es-ES"/>
        </w:rPr>
        <w:t>irector for</w:t>
      </w:r>
      <w:r w:rsidR="00E15BBF" w:rsidRPr="002E60EB">
        <w:rPr>
          <w:lang w:val="en-US" w:eastAsia="es-ES"/>
        </w:rPr>
        <w:t xml:space="preserve"> </w:t>
      </w:r>
      <w:r w:rsidRPr="002E60EB">
        <w:rPr>
          <w:lang w:val="en-US" w:eastAsia="es-ES"/>
        </w:rPr>
        <w:t>Research</w:t>
      </w:r>
      <w:r w:rsidR="00E15BBF" w:rsidRPr="002E60EB">
        <w:rPr>
          <w:lang w:val="en-US" w:eastAsia="es-ES"/>
        </w:rPr>
        <w:t>,</w:t>
      </w:r>
      <w:r w:rsidR="00087093" w:rsidRPr="002E60EB">
        <w:rPr>
          <w:lang w:val="en-US" w:eastAsia="es-ES"/>
        </w:rPr>
        <w:t>”</w:t>
      </w:r>
      <w:r w:rsidR="00E15BBF" w:rsidRPr="002E60EB">
        <w:rPr>
          <w:lang w:val="en-US" w:eastAsia="es-ES"/>
        </w:rPr>
        <w:t xml:space="preserve"> </w:t>
      </w:r>
      <w:r w:rsidRPr="002E60EB">
        <w:rPr>
          <w:lang w:val="en-US" w:eastAsia="es-ES"/>
        </w:rPr>
        <w:t xml:space="preserve">so that </w:t>
      </w:r>
      <w:r w:rsidR="00087093" w:rsidRPr="002E60EB">
        <w:rPr>
          <w:lang w:val="en-US" w:eastAsia="es-ES"/>
        </w:rPr>
        <w:t>“</w:t>
      </w:r>
      <w:r w:rsidR="00E15BBF" w:rsidRPr="002E60EB">
        <w:rPr>
          <w:lang w:val="en-US" w:eastAsia="es-ES"/>
        </w:rPr>
        <w:t xml:space="preserve">there is no way to validate the information she provides </w:t>
      </w:r>
      <w:r w:rsidRPr="002E60EB">
        <w:rPr>
          <w:lang w:val="en-US" w:eastAsia="es-ES"/>
        </w:rPr>
        <w:t>to ensure that it is credible and reliable.</w:t>
      </w:r>
      <w:r w:rsidR="00087093" w:rsidRPr="002E60EB">
        <w:rPr>
          <w:lang w:val="en-US" w:eastAsia="es-ES"/>
        </w:rPr>
        <w:t>”</w:t>
      </w:r>
      <w:r w:rsidRPr="002E60EB">
        <w:rPr>
          <w:lang w:val="en-US" w:eastAsia="es-ES"/>
        </w:rPr>
        <w:t xml:space="preserve"> Colombia asked</w:t>
      </w:r>
      <w:r w:rsidR="00E15BBF" w:rsidRPr="002E60EB">
        <w:rPr>
          <w:lang w:val="en-US" w:eastAsia="es-ES"/>
        </w:rPr>
        <w:t xml:space="preserve"> the Court </w:t>
      </w:r>
      <w:r w:rsidRPr="002E60EB">
        <w:rPr>
          <w:lang w:val="en-US" w:eastAsia="es-ES"/>
        </w:rPr>
        <w:t xml:space="preserve">to </w:t>
      </w:r>
      <w:r w:rsidR="00E15BBF" w:rsidRPr="002E60EB">
        <w:rPr>
          <w:lang w:val="en-US" w:eastAsia="es-ES"/>
        </w:rPr>
        <w:t xml:space="preserve">reject all </w:t>
      </w:r>
      <w:r w:rsidR="00087093" w:rsidRPr="002E60EB">
        <w:rPr>
          <w:lang w:val="en-US" w:eastAsia="es-ES"/>
        </w:rPr>
        <w:t>“</w:t>
      </w:r>
      <w:r w:rsidR="00E15BBF" w:rsidRPr="002E60EB">
        <w:rPr>
          <w:lang w:val="en-US" w:eastAsia="es-ES"/>
        </w:rPr>
        <w:t xml:space="preserve">the </w:t>
      </w:r>
      <w:r w:rsidRPr="002E60EB">
        <w:rPr>
          <w:lang w:val="en-US" w:eastAsia="es-ES"/>
        </w:rPr>
        <w:t xml:space="preserve">assertions of the </w:t>
      </w:r>
      <w:r w:rsidR="00E15BBF" w:rsidRPr="002E60EB">
        <w:rPr>
          <w:lang w:val="en-US" w:eastAsia="es-ES"/>
        </w:rPr>
        <w:t>expert witness that are not</w:t>
      </w:r>
      <w:r w:rsidR="00987407" w:rsidRPr="002E60EB">
        <w:rPr>
          <w:lang w:val="en-US" w:eastAsia="es-ES"/>
        </w:rPr>
        <w:t xml:space="preserve"> related to the purpose [or] </w:t>
      </w:r>
      <w:r w:rsidR="00E15BBF" w:rsidRPr="002E60EB">
        <w:rPr>
          <w:lang w:val="en-US" w:eastAsia="es-ES"/>
        </w:rPr>
        <w:t xml:space="preserve">that are not </w:t>
      </w:r>
      <w:r w:rsidRPr="002E60EB">
        <w:rPr>
          <w:lang w:val="en-US" w:eastAsia="es-ES"/>
        </w:rPr>
        <w:t xml:space="preserve">substantiated </w:t>
      </w:r>
      <w:r w:rsidR="00E15BBF" w:rsidRPr="002E60EB">
        <w:rPr>
          <w:lang w:val="en-US" w:eastAsia="es-ES"/>
        </w:rPr>
        <w:t>by any source.</w:t>
      </w:r>
      <w:r w:rsidR="00087093" w:rsidRPr="002E60EB">
        <w:rPr>
          <w:lang w:val="en-US" w:eastAsia="es-ES"/>
        </w:rPr>
        <w:t>”</w:t>
      </w:r>
      <w:r w:rsidR="00E15BBF" w:rsidRPr="002E60EB">
        <w:rPr>
          <w:lang w:val="en-US" w:eastAsia="es-ES"/>
        </w:rPr>
        <w:t xml:space="preserve"> </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The </w:t>
      </w:r>
      <w:r w:rsidR="00D00C5F" w:rsidRPr="002E60EB">
        <w:rPr>
          <w:lang w:val="en-US" w:eastAsia="es-ES"/>
        </w:rPr>
        <w:t>Court</w:t>
      </w:r>
      <w:r w:rsidRPr="002E60EB">
        <w:rPr>
          <w:lang w:val="en-US" w:eastAsia="es-ES"/>
        </w:rPr>
        <w:t xml:space="preserve"> considers it </w:t>
      </w:r>
      <w:r w:rsidR="00B44E76" w:rsidRPr="002E60EB">
        <w:rPr>
          <w:lang w:val="en-US" w:eastAsia="es-ES"/>
        </w:rPr>
        <w:t xml:space="preserve">pertinent </w:t>
      </w:r>
      <w:r w:rsidRPr="002E60EB">
        <w:rPr>
          <w:lang w:val="en-US" w:eastAsia="es-ES"/>
        </w:rPr>
        <w:t xml:space="preserve">to </w:t>
      </w:r>
      <w:r w:rsidR="00B44E76" w:rsidRPr="002E60EB">
        <w:rPr>
          <w:lang w:val="en-US" w:eastAsia="es-ES"/>
        </w:rPr>
        <w:t>indicat</w:t>
      </w:r>
      <w:r w:rsidRPr="002E60EB">
        <w:rPr>
          <w:lang w:val="en-US" w:eastAsia="es-ES"/>
        </w:rPr>
        <w:t>e that</w:t>
      </w:r>
      <w:r w:rsidR="00B44E76" w:rsidRPr="002E60EB">
        <w:rPr>
          <w:lang w:val="en-US" w:eastAsia="es-ES"/>
        </w:rPr>
        <w:t>,</w:t>
      </w:r>
      <w:r w:rsidRPr="002E60EB">
        <w:rPr>
          <w:lang w:val="en-US" w:eastAsia="es-ES"/>
        </w:rPr>
        <w:t xml:space="preserve"> unlike witnesses</w:t>
      </w:r>
      <w:r w:rsidR="00B44E76" w:rsidRPr="002E60EB">
        <w:rPr>
          <w:lang w:val="en-US" w:eastAsia="es-ES"/>
        </w:rPr>
        <w:t xml:space="preserve">, </w:t>
      </w:r>
      <w:r w:rsidRPr="002E60EB">
        <w:rPr>
          <w:lang w:val="en-US" w:eastAsia="es-ES"/>
        </w:rPr>
        <w:t>who must avoid giving personal opinions, expert witnesses may provide technical or personal opinions as</w:t>
      </w:r>
      <w:r w:rsidR="00A944B3" w:rsidRPr="002E60EB">
        <w:rPr>
          <w:lang w:val="en-US" w:eastAsia="es-ES"/>
        </w:rPr>
        <w:t xml:space="preserve"> long as</w:t>
      </w:r>
      <w:r w:rsidRPr="002E60EB">
        <w:rPr>
          <w:lang w:val="en-US" w:eastAsia="es-ES"/>
        </w:rPr>
        <w:t xml:space="preserve"> they relate to their special knowledge or </w:t>
      </w:r>
      <w:r w:rsidR="00A944B3" w:rsidRPr="002E60EB">
        <w:rPr>
          <w:lang w:val="en-US" w:eastAsia="es-ES"/>
        </w:rPr>
        <w:t>expertise</w:t>
      </w:r>
      <w:r w:rsidRPr="002E60EB">
        <w:rPr>
          <w:lang w:val="en-US" w:eastAsia="es-ES"/>
        </w:rPr>
        <w:t xml:space="preserve">. In addition, expert witnesses </w:t>
      </w:r>
      <w:r w:rsidR="00A944B3" w:rsidRPr="002E60EB">
        <w:rPr>
          <w:lang w:val="en-US" w:eastAsia="es-ES"/>
        </w:rPr>
        <w:t xml:space="preserve">may </w:t>
      </w:r>
      <w:r w:rsidRPr="002E60EB">
        <w:rPr>
          <w:lang w:val="en-US" w:eastAsia="es-ES"/>
        </w:rPr>
        <w:t>refer both to specific points of the litigation</w:t>
      </w:r>
      <w:r w:rsidR="00A944B3" w:rsidRPr="002E60EB">
        <w:rPr>
          <w:lang w:val="en-US" w:eastAsia="es-ES"/>
        </w:rPr>
        <w:t xml:space="preserve"> and to any </w:t>
      </w:r>
      <w:r w:rsidR="00334C3C" w:rsidRPr="002E60EB">
        <w:rPr>
          <w:lang w:val="en-US" w:eastAsia="es-ES"/>
        </w:rPr>
        <w:t>other</w:t>
      </w:r>
      <w:r w:rsidR="00A944B3" w:rsidRPr="002E60EB">
        <w:rPr>
          <w:lang w:val="en-US" w:eastAsia="es-ES"/>
        </w:rPr>
        <w:t xml:space="preserve"> relevant aspect of the litigation</w:t>
      </w:r>
      <w:r w:rsidRPr="002E60EB">
        <w:rPr>
          <w:lang w:val="en-US" w:eastAsia="es-ES"/>
        </w:rPr>
        <w:t>,</w:t>
      </w:r>
      <w:r w:rsidR="00A944B3" w:rsidRPr="002E60EB">
        <w:rPr>
          <w:lang w:val="en-US" w:eastAsia="es-ES"/>
        </w:rPr>
        <w:t xml:space="preserve"> provided </w:t>
      </w:r>
      <w:r w:rsidR="00987407" w:rsidRPr="002E60EB">
        <w:rPr>
          <w:lang w:val="en-US" w:eastAsia="es-ES"/>
        </w:rPr>
        <w:t xml:space="preserve">they limit themselves </w:t>
      </w:r>
      <w:r w:rsidR="00A944B3" w:rsidRPr="002E60EB">
        <w:rPr>
          <w:lang w:val="en-US" w:eastAsia="es-ES"/>
        </w:rPr>
        <w:t xml:space="preserve">to </w:t>
      </w:r>
      <w:r w:rsidRPr="002E60EB">
        <w:rPr>
          <w:lang w:val="en-US" w:eastAsia="es-ES"/>
        </w:rPr>
        <w:t>the purpose for which they were summoned, and their findings are sufficiently founded.</w:t>
      </w:r>
      <w:r w:rsidRPr="002E60EB">
        <w:rPr>
          <w:rStyle w:val="Refdenotaalpie"/>
          <w:lang w:val="en-US" w:eastAsia="es-ES"/>
        </w:rPr>
        <w:footnoteReference w:id="67"/>
      </w:r>
      <w:r w:rsidRPr="002E60EB">
        <w:rPr>
          <w:lang w:val="en-US" w:eastAsia="es-ES"/>
        </w:rPr>
        <w:t xml:space="preserve"> In this </w:t>
      </w:r>
      <w:r w:rsidR="00A944B3" w:rsidRPr="002E60EB">
        <w:rPr>
          <w:lang w:val="en-US" w:eastAsia="es-ES"/>
        </w:rPr>
        <w:t>regard</w:t>
      </w:r>
      <w:r w:rsidRPr="002E60EB">
        <w:rPr>
          <w:lang w:val="en-US" w:eastAsia="es-ES"/>
        </w:rPr>
        <w:t xml:space="preserve">, </w:t>
      </w:r>
      <w:r w:rsidR="00A944B3" w:rsidRPr="002E60EB">
        <w:rPr>
          <w:lang w:val="en-US" w:eastAsia="es-ES"/>
        </w:rPr>
        <w:t xml:space="preserve">in relation to the </w:t>
      </w:r>
      <w:r w:rsidRPr="002E60EB">
        <w:rPr>
          <w:lang w:val="en-US" w:eastAsia="es-ES"/>
        </w:rPr>
        <w:t xml:space="preserve">observations on the content of the expert opinions, the Court </w:t>
      </w:r>
      <w:r w:rsidR="00A944B3" w:rsidRPr="002E60EB">
        <w:rPr>
          <w:lang w:val="en-US" w:eastAsia="es-ES"/>
        </w:rPr>
        <w:t xml:space="preserve">understands </w:t>
      </w:r>
      <w:r w:rsidRPr="002E60EB">
        <w:rPr>
          <w:lang w:val="en-US" w:eastAsia="es-ES"/>
        </w:rPr>
        <w:t xml:space="preserve">that the </w:t>
      </w:r>
      <w:r w:rsidR="00A944B3" w:rsidRPr="002E60EB">
        <w:rPr>
          <w:lang w:val="en-US" w:eastAsia="es-ES"/>
        </w:rPr>
        <w:t xml:space="preserve">observations </w:t>
      </w:r>
      <w:r w:rsidRPr="002E60EB">
        <w:rPr>
          <w:lang w:val="en-US" w:eastAsia="es-ES"/>
        </w:rPr>
        <w:t xml:space="preserve">do not </w:t>
      </w:r>
      <w:r w:rsidR="00A944B3" w:rsidRPr="002E60EB">
        <w:rPr>
          <w:lang w:val="en-US" w:eastAsia="es-ES"/>
        </w:rPr>
        <w:t xml:space="preserve">contest their </w:t>
      </w:r>
      <w:r w:rsidRPr="002E60EB">
        <w:rPr>
          <w:lang w:val="en-US" w:eastAsia="es-ES"/>
        </w:rPr>
        <w:t xml:space="preserve">admissibility, but rather </w:t>
      </w:r>
      <w:r w:rsidR="00A944B3" w:rsidRPr="002E60EB">
        <w:rPr>
          <w:lang w:val="en-US" w:eastAsia="es-ES"/>
        </w:rPr>
        <w:t>are designed to question the</w:t>
      </w:r>
      <w:r w:rsidRPr="002E60EB">
        <w:rPr>
          <w:lang w:val="en-US" w:eastAsia="es-ES"/>
        </w:rPr>
        <w:t xml:space="preserve"> probative value of the </w:t>
      </w:r>
      <w:r w:rsidR="00A944B3" w:rsidRPr="002E60EB">
        <w:rPr>
          <w:lang w:val="en-US" w:eastAsia="es-ES"/>
        </w:rPr>
        <w:t>opinions</w:t>
      </w:r>
      <w:r w:rsidRPr="002E60EB">
        <w:rPr>
          <w:lang w:val="en-US" w:eastAsia="es-ES"/>
        </w:rPr>
        <w:t xml:space="preserve">, </w:t>
      </w:r>
      <w:r w:rsidR="00A944B3" w:rsidRPr="002E60EB">
        <w:rPr>
          <w:lang w:val="en-US" w:eastAsia="es-ES"/>
        </w:rPr>
        <w:t xml:space="preserve">the pertinent parts of </w:t>
      </w:r>
      <w:r w:rsidRPr="002E60EB">
        <w:rPr>
          <w:lang w:val="en-US" w:eastAsia="es-ES"/>
        </w:rPr>
        <w:t xml:space="preserve">which will be considered in the </w:t>
      </w:r>
      <w:r w:rsidR="00A944B3" w:rsidRPr="002E60EB">
        <w:rPr>
          <w:lang w:val="en-US" w:eastAsia="es-ES"/>
        </w:rPr>
        <w:t xml:space="preserve">corresponding </w:t>
      </w:r>
      <w:r w:rsidRPr="002E60EB">
        <w:rPr>
          <w:lang w:val="en-US" w:eastAsia="es-ES"/>
        </w:rPr>
        <w:t xml:space="preserve">chapters of this </w:t>
      </w:r>
      <w:r w:rsidR="00A944B3" w:rsidRPr="002E60EB">
        <w:rPr>
          <w:lang w:val="en-US" w:eastAsia="es-ES"/>
        </w:rPr>
        <w:t>J</w:t>
      </w:r>
      <w:r w:rsidRPr="002E60EB">
        <w:rPr>
          <w:lang w:val="en-US" w:eastAsia="es-ES"/>
        </w:rPr>
        <w:t>udgment.</w:t>
      </w:r>
    </w:p>
    <w:p w:rsidR="00E15BBF" w:rsidRPr="002E60EB" w:rsidRDefault="00E15BBF" w:rsidP="00317748">
      <w:pPr>
        <w:tabs>
          <w:tab w:val="left" w:pos="720"/>
        </w:tabs>
        <w:jc w:val="both"/>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In particular, regarding the State's claim that the expert opinions of Daniel Coronell and Ana Maria Diaz do not correspond to the purpose determined by the President, the Court will consider the State's observations and reiterates that it </w:t>
      </w:r>
      <w:r w:rsidR="00A944B3" w:rsidRPr="002E60EB">
        <w:rPr>
          <w:lang w:val="en-US" w:eastAsia="es-ES"/>
        </w:rPr>
        <w:t xml:space="preserve">only </w:t>
      </w:r>
      <w:r w:rsidRPr="002E60EB">
        <w:rPr>
          <w:lang w:val="en-US" w:eastAsia="es-ES"/>
        </w:rPr>
        <w:t xml:space="preserve">admits those statements that </w:t>
      </w:r>
      <w:r w:rsidR="00A944B3" w:rsidRPr="002E60EB">
        <w:rPr>
          <w:lang w:val="en-US" w:eastAsia="es-ES"/>
        </w:rPr>
        <w:t>conform to</w:t>
      </w:r>
      <w:r w:rsidRPr="002E60EB">
        <w:rPr>
          <w:lang w:val="en-US" w:eastAsia="es-ES"/>
        </w:rPr>
        <w:t xml:space="preserve"> the purpose</w:t>
      </w:r>
      <w:r w:rsidR="00A944B3" w:rsidRPr="002E60EB">
        <w:rPr>
          <w:lang w:val="en-US" w:eastAsia="es-ES"/>
        </w:rPr>
        <w:t xml:space="preserve"> that was defined</w:t>
      </w:r>
      <w:r w:rsidRPr="002E60EB">
        <w:rPr>
          <w:lang w:val="en-US" w:eastAsia="es-ES"/>
        </w:rPr>
        <w:t xml:space="preserve">. </w:t>
      </w:r>
    </w:p>
    <w:p w:rsidR="00E15BBF" w:rsidRPr="002E60EB" w:rsidRDefault="00E15BBF" w:rsidP="00317748">
      <w:pPr>
        <w:pStyle w:val="MediumGrid1-Accent21"/>
        <w:ind w:left="0"/>
        <w:rPr>
          <w:lang w:val="en-US" w:eastAsia="es-ES"/>
        </w:rPr>
      </w:pPr>
    </w:p>
    <w:p w:rsidR="00E15BBF" w:rsidRPr="002E60EB" w:rsidRDefault="00E15BBF" w:rsidP="00317748">
      <w:pPr>
        <w:numPr>
          <w:ilvl w:val="0"/>
          <w:numId w:val="1"/>
        </w:numPr>
        <w:tabs>
          <w:tab w:val="left" w:pos="720"/>
        </w:tabs>
        <w:jc w:val="both"/>
        <w:rPr>
          <w:lang w:val="en-US" w:eastAsia="es-ES"/>
        </w:rPr>
      </w:pPr>
      <w:r w:rsidRPr="002E60EB">
        <w:rPr>
          <w:lang w:val="en-US" w:eastAsia="es-ES"/>
        </w:rPr>
        <w:t xml:space="preserve">Based on the </w:t>
      </w:r>
      <w:r w:rsidR="00A944B3" w:rsidRPr="002E60EB">
        <w:rPr>
          <w:lang w:val="en-US" w:eastAsia="es-ES"/>
        </w:rPr>
        <w:t>above</w:t>
      </w:r>
      <w:r w:rsidRPr="002E60EB">
        <w:rPr>
          <w:lang w:val="en-US" w:eastAsia="es-ES"/>
        </w:rPr>
        <w:t xml:space="preserve">, the Court admits the expert opinions </w:t>
      </w:r>
      <w:r w:rsidR="00A944B3" w:rsidRPr="002E60EB">
        <w:rPr>
          <w:lang w:val="en-US" w:eastAsia="es-ES"/>
        </w:rPr>
        <w:t>to the extent that</w:t>
      </w:r>
      <w:r w:rsidRPr="002E60EB">
        <w:rPr>
          <w:lang w:val="en-US" w:eastAsia="es-ES"/>
        </w:rPr>
        <w:t xml:space="preserve"> they </w:t>
      </w:r>
      <w:r w:rsidR="00A944B3" w:rsidRPr="002E60EB">
        <w:rPr>
          <w:lang w:val="en-US" w:eastAsia="es-ES"/>
        </w:rPr>
        <w:t>conform to purpose defined in the Order</w:t>
      </w:r>
      <w:r w:rsidRPr="002E60EB">
        <w:rPr>
          <w:lang w:val="en-US" w:eastAsia="es-ES"/>
        </w:rPr>
        <w:t xml:space="preserve"> and will assess them together with the rest of the body of evidence, taking into account the </w:t>
      </w:r>
      <w:r w:rsidR="00A944B3" w:rsidRPr="002E60EB">
        <w:rPr>
          <w:lang w:val="en-US" w:eastAsia="es-ES"/>
        </w:rPr>
        <w:t xml:space="preserve">State’s </w:t>
      </w:r>
      <w:r w:rsidRPr="002E60EB">
        <w:rPr>
          <w:lang w:val="en-US" w:eastAsia="es-ES"/>
        </w:rPr>
        <w:t xml:space="preserve">observations and </w:t>
      </w:r>
      <w:r w:rsidR="00A944B3" w:rsidRPr="002E60EB">
        <w:rPr>
          <w:lang w:val="en-US" w:eastAsia="es-ES"/>
        </w:rPr>
        <w:t>in accordance with</w:t>
      </w:r>
      <w:r w:rsidRPr="002E60EB">
        <w:rPr>
          <w:lang w:val="en-US" w:eastAsia="es-ES"/>
        </w:rPr>
        <w:t xml:space="preserve"> the rules of sound judicial discretion.</w:t>
      </w:r>
    </w:p>
    <w:p w:rsidR="00E15BBF" w:rsidRPr="002E60EB" w:rsidRDefault="00E15BBF" w:rsidP="00317748">
      <w:pPr>
        <w:autoSpaceDE w:val="0"/>
        <w:autoSpaceDN w:val="0"/>
        <w:adjustRightInd w:val="0"/>
        <w:rPr>
          <w:rFonts w:cs="Verdana"/>
          <w:iCs/>
          <w:lang w:val="en-US"/>
        </w:rPr>
      </w:pPr>
    </w:p>
    <w:p w:rsidR="00A944B3" w:rsidRPr="002E60EB" w:rsidRDefault="00A944B3" w:rsidP="00317748">
      <w:pPr>
        <w:autoSpaceDE w:val="0"/>
        <w:autoSpaceDN w:val="0"/>
        <w:adjustRightInd w:val="0"/>
        <w:rPr>
          <w:rFonts w:cs="Verdana"/>
          <w:iCs/>
          <w:lang w:val="en-US"/>
        </w:rPr>
      </w:pPr>
    </w:p>
    <w:p w:rsidR="00E15BBF" w:rsidRPr="002E60EB" w:rsidRDefault="00E15BBF" w:rsidP="00317748">
      <w:pPr>
        <w:pStyle w:val="Ttulo1"/>
        <w:spacing w:before="0"/>
        <w:jc w:val="center"/>
        <w:rPr>
          <w:rFonts w:ascii="Verdana" w:hAnsi="Verdana"/>
          <w:caps/>
          <w:color w:val="auto"/>
          <w:sz w:val="20"/>
          <w:szCs w:val="20"/>
          <w:lang w:val="en-US"/>
        </w:rPr>
      </w:pPr>
      <w:r w:rsidRPr="002E60EB">
        <w:rPr>
          <w:rFonts w:ascii="Verdana" w:hAnsi="Verdana"/>
          <w:caps/>
          <w:color w:val="auto"/>
          <w:sz w:val="20"/>
          <w:szCs w:val="20"/>
          <w:lang w:val="en-US"/>
        </w:rPr>
        <w:t>VIII</w:t>
      </w:r>
    </w:p>
    <w:p w:rsidR="00E15BBF" w:rsidRPr="002E60EB" w:rsidRDefault="00E15BBF" w:rsidP="00317748">
      <w:pPr>
        <w:tabs>
          <w:tab w:val="left" w:pos="720"/>
        </w:tabs>
        <w:autoSpaceDE w:val="0"/>
        <w:autoSpaceDN w:val="0"/>
        <w:adjustRightInd w:val="0"/>
        <w:contextualSpacing/>
        <w:jc w:val="center"/>
        <w:rPr>
          <w:b/>
          <w:caps/>
          <w:lang w:val="en-US"/>
        </w:rPr>
      </w:pPr>
      <w:r w:rsidRPr="002E60EB">
        <w:rPr>
          <w:b/>
          <w:lang w:val="en-US"/>
        </w:rPr>
        <w:t>PROVEN FACTS</w:t>
      </w:r>
    </w:p>
    <w:p w:rsidR="00E15BBF" w:rsidRPr="002E60EB" w:rsidRDefault="00E15BBF" w:rsidP="00317748">
      <w:pPr>
        <w:pStyle w:val="ColorfulList-Accent11"/>
        <w:tabs>
          <w:tab w:val="left" w:pos="720"/>
        </w:tabs>
        <w:autoSpaceDE w:val="0"/>
        <w:autoSpaceDN w:val="0"/>
        <w:adjustRightInd w:val="0"/>
        <w:ind w:left="0"/>
        <w:rPr>
          <w:lang w:val="en-US"/>
        </w:rPr>
      </w:pPr>
    </w:p>
    <w:p w:rsidR="00E15BBF" w:rsidRPr="002E60EB" w:rsidRDefault="00E15BBF" w:rsidP="00317748">
      <w:pPr>
        <w:jc w:val="both"/>
        <w:rPr>
          <w:b/>
          <w:lang w:val="en-US"/>
        </w:rPr>
      </w:pPr>
      <w:r w:rsidRPr="002E60EB">
        <w:rPr>
          <w:b/>
          <w:lang w:val="en-US"/>
        </w:rPr>
        <w:t>A)</w:t>
      </w:r>
      <w:r w:rsidRPr="002E60EB">
        <w:rPr>
          <w:b/>
          <w:lang w:val="en-US"/>
        </w:rPr>
        <w:tab/>
        <w:t>Attack against Mr. Vélez Restrepo on August 29, 1996</w:t>
      </w:r>
    </w:p>
    <w:p w:rsidR="00E15BBF" w:rsidRPr="002E60EB" w:rsidRDefault="00E15BBF" w:rsidP="00317748">
      <w:pPr>
        <w:tabs>
          <w:tab w:val="left" w:pos="720"/>
        </w:tabs>
        <w:autoSpaceDE w:val="0"/>
        <w:autoSpaceDN w:val="0"/>
        <w:adjustRightInd w:val="0"/>
        <w:jc w:val="both"/>
        <w:rPr>
          <w:lang w:val="en-US"/>
        </w:rPr>
      </w:pPr>
    </w:p>
    <w:p w:rsidR="00E15BBF" w:rsidRPr="002E60EB" w:rsidRDefault="00AC1940" w:rsidP="00317748">
      <w:pPr>
        <w:numPr>
          <w:ilvl w:val="0"/>
          <w:numId w:val="1"/>
        </w:numPr>
        <w:tabs>
          <w:tab w:val="left" w:pos="720"/>
          <w:tab w:val="num" w:pos="851"/>
        </w:tabs>
        <w:autoSpaceDE w:val="0"/>
        <w:autoSpaceDN w:val="0"/>
        <w:adjustRightInd w:val="0"/>
        <w:jc w:val="both"/>
        <w:rPr>
          <w:lang w:val="en-US"/>
        </w:rPr>
      </w:pPr>
      <w:r w:rsidRPr="002E60EB">
        <w:rPr>
          <w:rFonts w:eastAsia="Calibri"/>
          <w:bCs/>
          <w:lang w:val="en-US"/>
        </w:rPr>
        <w:t>Luis</w:t>
      </w:r>
      <w:r w:rsidR="00E15BBF" w:rsidRPr="002E60EB">
        <w:rPr>
          <w:rFonts w:eastAsia="Calibri" w:cs="Arial"/>
          <w:lang w:val="en-US"/>
        </w:rPr>
        <w:t xml:space="preserve"> Gonzalo Vélez Restrepo, also known as </w:t>
      </w:r>
      <w:r w:rsidR="00087093" w:rsidRPr="002E60EB">
        <w:rPr>
          <w:rFonts w:eastAsia="Calibri" w:cs="Arial"/>
          <w:lang w:val="en-US"/>
        </w:rPr>
        <w:t>“</w:t>
      </w:r>
      <w:r w:rsidR="00E15BBF" w:rsidRPr="002E60EB">
        <w:rPr>
          <w:rFonts w:eastAsia="Calibri" w:cs="Arial"/>
          <w:lang w:val="en-US"/>
        </w:rPr>
        <w:t>Richard,</w:t>
      </w:r>
      <w:r w:rsidR="00087093" w:rsidRPr="002E60EB">
        <w:rPr>
          <w:rFonts w:eastAsia="Calibri" w:cs="Arial"/>
          <w:lang w:val="en-US"/>
        </w:rPr>
        <w:t>”</w:t>
      </w:r>
      <w:r w:rsidR="00E15BBF" w:rsidRPr="002E60EB">
        <w:rPr>
          <w:rFonts w:eastAsia="Calibri" w:cs="Arial"/>
          <w:lang w:val="en-US"/>
        </w:rPr>
        <w:t xml:space="preserve"> w</w:t>
      </w:r>
      <w:r w:rsidR="00A944B3" w:rsidRPr="002E60EB">
        <w:rPr>
          <w:rFonts w:eastAsia="Calibri" w:cs="Arial"/>
          <w:lang w:val="en-US"/>
        </w:rPr>
        <w:t>orked as</w:t>
      </w:r>
      <w:r w:rsidR="00E15BBF" w:rsidRPr="002E60EB">
        <w:rPr>
          <w:rFonts w:eastAsia="Calibri" w:cs="Arial"/>
          <w:lang w:val="en-US"/>
        </w:rPr>
        <w:t xml:space="preserve"> a </w:t>
      </w:r>
      <w:r w:rsidR="00E15BBF" w:rsidRPr="002E60EB">
        <w:rPr>
          <w:rFonts w:eastAsia="Calibri"/>
          <w:bCs/>
          <w:lang w:val="en-US"/>
        </w:rPr>
        <w:t xml:space="preserve">cameraman for </w:t>
      </w:r>
      <w:r w:rsidR="00A944B3" w:rsidRPr="002E60EB">
        <w:rPr>
          <w:rFonts w:eastAsia="Calibri"/>
          <w:bCs/>
          <w:lang w:val="en-US"/>
        </w:rPr>
        <w:t xml:space="preserve">the national news program, </w:t>
      </w:r>
      <w:r w:rsidR="00087093" w:rsidRPr="002E60EB">
        <w:rPr>
          <w:rFonts w:eastAsia="Calibri"/>
          <w:bCs/>
          <w:lang w:val="en-US"/>
        </w:rPr>
        <w:t>“</w:t>
      </w:r>
      <w:r w:rsidR="00E15BBF" w:rsidRPr="002E60EB">
        <w:rPr>
          <w:rFonts w:eastAsia="Calibri"/>
          <w:bCs/>
          <w:i/>
          <w:lang w:val="en-US"/>
        </w:rPr>
        <w:t>Colombia 12:30</w:t>
      </w:r>
      <w:r w:rsidR="00A944B3" w:rsidRPr="002E60EB">
        <w:rPr>
          <w:rFonts w:eastAsia="Calibri"/>
          <w:bCs/>
          <w:i/>
          <w:lang w:val="en-US"/>
        </w:rPr>
        <w:t>,</w:t>
      </w:r>
      <w:r w:rsidR="00087093" w:rsidRPr="002E60EB">
        <w:rPr>
          <w:rFonts w:eastAsia="Calibri"/>
          <w:bCs/>
          <w:i/>
          <w:lang w:val="en-US"/>
        </w:rPr>
        <w:t>”</w:t>
      </w:r>
      <w:r w:rsidR="00E15BBF" w:rsidRPr="002E60EB">
        <w:rPr>
          <w:rFonts w:eastAsia="Calibri"/>
          <w:bCs/>
          <w:lang w:val="en-US"/>
        </w:rPr>
        <w:t xml:space="preserve"> </w:t>
      </w:r>
      <w:r w:rsidR="009C4A0E" w:rsidRPr="002E60EB">
        <w:rPr>
          <w:rFonts w:eastAsia="Calibri"/>
          <w:bCs/>
          <w:lang w:val="en-US"/>
        </w:rPr>
        <w:t>with offices</w:t>
      </w:r>
      <w:r w:rsidR="00A944B3" w:rsidRPr="002E60EB">
        <w:rPr>
          <w:rFonts w:eastAsia="Calibri"/>
          <w:bCs/>
          <w:lang w:val="en-US"/>
        </w:rPr>
        <w:t xml:space="preserve"> in</w:t>
      </w:r>
      <w:r w:rsidR="00E15BBF" w:rsidRPr="002E60EB">
        <w:rPr>
          <w:rFonts w:eastAsia="Calibri"/>
          <w:bCs/>
          <w:lang w:val="en-US"/>
        </w:rPr>
        <w:t xml:space="preserve"> Bogota. </w:t>
      </w:r>
      <w:r w:rsidR="00A944B3" w:rsidRPr="002E60EB">
        <w:rPr>
          <w:rFonts w:eastAsia="Calibri"/>
          <w:bCs/>
          <w:lang w:val="en-US"/>
        </w:rPr>
        <w:t>According to Mr.</w:t>
      </w:r>
      <w:r w:rsidR="00A944B3" w:rsidRPr="002E60EB">
        <w:rPr>
          <w:rFonts w:eastAsia="Calibri" w:cs="Arial"/>
          <w:lang w:val="en-US"/>
        </w:rPr>
        <w:t xml:space="preserve"> Vélez Restrepo, at that time he was a </w:t>
      </w:r>
      <w:r w:rsidR="00087093" w:rsidRPr="002E60EB">
        <w:rPr>
          <w:rFonts w:eastAsia="Calibri" w:cs="Arial"/>
          <w:lang w:val="en-US"/>
        </w:rPr>
        <w:t>“</w:t>
      </w:r>
      <w:r w:rsidR="009C4A0E" w:rsidRPr="002E60EB">
        <w:rPr>
          <w:rFonts w:eastAsia="Calibri" w:cs="Arial"/>
          <w:lang w:val="en-US"/>
        </w:rPr>
        <w:t>reporter</w:t>
      </w:r>
      <w:r w:rsidR="00A944B3" w:rsidRPr="002E60EB">
        <w:rPr>
          <w:rFonts w:eastAsia="Calibri" w:cs="Arial"/>
          <w:lang w:val="en-US"/>
        </w:rPr>
        <w:t xml:space="preserve"> on </w:t>
      </w:r>
      <w:r w:rsidR="009C4A0E" w:rsidRPr="002E60EB">
        <w:rPr>
          <w:rFonts w:eastAsia="Calibri" w:cs="Arial"/>
          <w:lang w:val="en-US"/>
        </w:rPr>
        <w:t>law and order</w:t>
      </w:r>
      <w:r w:rsidR="00087093" w:rsidRPr="002E60EB">
        <w:rPr>
          <w:rFonts w:eastAsia="Calibri" w:cs="Arial"/>
          <w:lang w:val="en-US"/>
        </w:rPr>
        <w:t>”</w:t>
      </w:r>
      <w:r w:rsidR="00A944B3" w:rsidRPr="002E60EB">
        <w:rPr>
          <w:rFonts w:eastAsia="Calibri" w:cs="Arial"/>
          <w:lang w:val="en-US"/>
        </w:rPr>
        <w:t xml:space="preserve">; in other words, he mainly covered facts or </w:t>
      </w:r>
      <w:r w:rsidR="00E15BBF" w:rsidRPr="002E60EB">
        <w:rPr>
          <w:rFonts w:eastAsia="Calibri"/>
          <w:bCs/>
          <w:lang w:val="en-US"/>
        </w:rPr>
        <w:t xml:space="preserve">news related to </w:t>
      </w:r>
      <w:r w:rsidR="00087093" w:rsidRPr="002E60EB">
        <w:rPr>
          <w:rFonts w:eastAsia="Calibri"/>
          <w:bCs/>
          <w:lang w:val="en-US"/>
        </w:rPr>
        <w:t>“</w:t>
      </w:r>
      <w:r w:rsidR="00E15BBF" w:rsidRPr="002E60EB">
        <w:rPr>
          <w:rFonts w:eastAsia="Calibri"/>
          <w:bCs/>
          <w:lang w:val="en-US"/>
        </w:rPr>
        <w:t>public order.</w:t>
      </w:r>
      <w:r w:rsidR="00087093" w:rsidRPr="002E60EB">
        <w:rPr>
          <w:rFonts w:eastAsia="Calibri"/>
          <w:bCs/>
          <w:lang w:val="en-US"/>
        </w:rPr>
        <w:t>”</w:t>
      </w:r>
      <w:r w:rsidR="000E41FB" w:rsidRPr="002E60EB">
        <w:rPr>
          <w:rStyle w:val="Refdenotaalpie"/>
          <w:rFonts w:eastAsia="Calibri" w:cs="Arial"/>
          <w:lang w:val="en-US"/>
        </w:rPr>
        <w:footnoteReference w:id="68"/>
      </w:r>
      <w:r w:rsidR="00E15BBF" w:rsidRPr="002E60EB">
        <w:rPr>
          <w:rFonts w:eastAsia="Calibri"/>
          <w:bCs/>
          <w:lang w:val="en-US"/>
        </w:rPr>
        <w:t xml:space="preserve"> </w:t>
      </w:r>
      <w:r w:rsidR="00E15BBF" w:rsidRPr="002E60EB">
        <w:rPr>
          <w:rFonts w:eastAsia="Calibri" w:cs="Arial"/>
          <w:lang w:val="en-US"/>
        </w:rPr>
        <w:t xml:space="preserve">Mr. Vélez Restrepo lived in Bogotá, with his </w:t>
      </w:r>
      <w:r w:rsidR="00A944B3" w:rsidRPr="002E60EB">
        <w:rPr>
          <w:rFonts w:eastAsia="Calibri" w:cs="Arial"/>
          <w:lang w:val="en-US"/>
        </w:rPr>
        <w:t xml:space="preserve">wife </w:t>
      </w:r>
      <w:r w:rsidR="00E15BBF" w:rsidRPr="002E60EB">
        <w:rPr>
          <w:rFonts w:eastAsia="Calibri" w:cs="Arial"/>
          <w:lang w:val="en-US"/>
        </w:rPr>
        <w:t xml:space="preserve">Aracelly Román Amariles and their children Mateo and Juliana Vélez Román, who were approximately four </w:t>
      </w:r>
      <w:r w:rsidR="000E41FB" w:rsidRPr="002E60EB">
        <w:rPr>
          <w:rFonts w:eastAsia="Calibri" w:cs="Arial"/>
          <w:lang w:val="en-US"/>
        </w:rPr>
        <w:t xml:space="preserve">and a half </w:t>
      </w:r>
      <w:r w:rsidR="00E15BBF" w:rsidRPr="002E60EB">
        <w:rPr>
          <w:rFonts w:eastAsia="Calibri" w:cs="Arial"/>
          <w:lang w:val="en-US"/>
        </w:rPr>
        <w:t>years</w:t>
      </w:r>
      <w:r w:rsidR="000E41FB" w:rsidRPr="002E60EB">
        <w:rPr>
          <w:rFonts w:eastAsia="Calibri" w:cs="Arial"/>
          <w:lang w:val="en-US"/>
        </w:rPr>
        <w:t xml:space="preserve"> old</w:t>
      </w:r>
      <w:r w:rsidR="00E15BBF" w:rsidRPr="002E60EB">
        <w:rPr>
          <w:rFonts w:eastAsia="Calibri" w:cs="Arial"/>
          <w:lang w:val="en-US"/>
        </w:rPr>
        <w:t xml:space="preserve"> and </w:t>
      </w:r>
      <w:r w:rsidR="000E41FB" w:rsidRPr="002E60EB">
        <w:rPr>
          <w:rFonts w:eastAsia="Calibri" w:cs="Arial"/>
          <w:lang w:val="en-US"/>
        </w:rPr>
        <w:t>eighteen months</w:t>
      </w:r>
      <w:r w:rsidR="00E15BBF" w:rsidRPr="002E60EB">
        <w:rPr>
          <w:rFonts w:eastAsia="Calibri" w:cs="Arial"/>
          <w:lang w:val="en-US"/>
        </w:rPr>
        <w:t xml:space="preserve"> old, respectively</w:t>
      </w:r>
      <w:r w:rsidR="000E41FB" w:rsidRPr="002E60EB">
        <w:rPr>
          <w:rFonts w:eastAsia="Calibri" w:cs="Arial"/>
          <w:lang w:val="en-US"/>
        </w:rPr>
        <w:t>.</w:t>
      </w:r>
      <w:r w:rsidR="00E15BBF" w:rsidRPr="002E60EB">
        <w:rPr>
          <w:rStyle w:val="Refdenotaalpie"/>
          <w:rFonts w:eastAsia="Calibri" w:cs="Arial"/>
          <w:lang w:val="en-US"/>
        </w:rPr>
        <w:footnoteReference w:id="69"/>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On August 29, 1996,</w:t>
      </w:r>
      <w:r w:rsidR="009C4A0E" w:rsidRPr="002E60EB">
        <w:rPr>
          <w:lang w:val="en-US"/>
        </w:rPr>
        <w:t xml:space="preserve"> Mr. Vélez Restrepo was in the m</w:t>
      </w:r>
      <w:r w:rsidRPr="002E60EB">
        <w:rPr>
          <w:lang w:val="en-US"/>
        </w:rPr>
        <w:t xml:space="preserve">unicipality of Morelia, </w:t>
      </w:r>
      <w:r w:rsidR="000E41FB" w:rsidRPr="002E60EB">
        <w:rPr>
          <w:lang w:val="en-US"/>
        </w:rPr>
        <w:t>d</w:t>
      </w:r>
      <w:r w:rsidRPr="002E60EB">
        <w:rPr>
          <w:lang w:val="en-US"/>
        </w:rPr>
        <w:t xml:space="preserve">epartment of Caquetá, covering the </w:t>
      </w:r>
      <w:r w:rsidR="000E41FB" w:rsidRPr="002E60EB">
        <w:rPr>
          <w:lang w:val="en-US"/>
        </w:rPr>
        <w:t xml:space="preserve">incidents </w:t>
      </w:r>
      <w:r w:rsidRPr="002E60EB">
        <w:rPr>
          <w:lang w:val="en-US"/>
        </w:rPr>
        <w:t xml:space="preserve">of one of the </w:t>
      </w:r>
      <w:r w:rsidR="000E41FB" w:rsidRPr="002E60EB">
        <w:rPr>
          <w:lang w:val="en-US"/>
        </w:rPr>
        <w:t xml:space="preserve">protest </w:t>
      </w:r>
      <w:r w:rsidRPr="002E60EB">
        <w:rPr>
          <w:lang w:val="en-US"/>
        </w:rPr>
        <w:t xml:space="preserve">marches </w:t>
      </w:r>
      <w:r w:rsidR="000E41FB" w:rsidRPr="002E60EB">
        <w:rPr>
          <w:lang w:val="en-US"/>
        </w:rPr>
        <w:t>against the</w:t>
      </w:r>
      <w:r w:rsidR="009C4A0E" w:rsidRPr="002E60EB">
        <w:rPr>
          <w:lang w:val="en-US"/>
        </w:rPr>
        <w:t xml:space="preserve"> G</w:t>
      </w:r>
      <w:r w:rsidRPr="002E60EB">
        <w:rPr>
          <w:lang w:val="en-US"/>
        </w:rPr>
        <w:t>overnment</w:t>
      </w:r>
      <w:r w:rsidR="009C4A0E" w:rsidRPr="002E60EB">
        <w:rPr>
          <w:lang w:val="en-US"/>
        </w:rPr>
        <w:t>’s</w:t>
      </w:r>
      <w:r w:rsidRPr="002E60EB">
        <w:rPr>
          <w:lang w:val="en-US"/>
        </w:rPr>
        <w:t xml:space="preserve"> pol</w:t>
      </w:r>
      <w:r w:rsidR="009C4A0E" w:rsidRPr="002E60EB">
        <w:rPr>
          <w:lang w:val="en-US"/>
        </w:rPr>
        <w:t>icy of fumigating the coca crop</w:t>
      </w:r>
      <w:r w:rsidRPr="002E60EB">
        <w:rPr>
          <w:lang w:val="en-US"/>
        </w:rPr>
        <w:t xml:space="preserve">, known as </w:t>
      </w:r>
      <w:r w:rsidR="00087093" w:rsidRPr="002E60EB">
        <w:rPr>
          <w:lang w:val="en-US"/>
        </w:rPr>
        <w:t>“</w:t>
      </w:r>
      <w:r w:rsidRPr="002E60EB">
        <w:rPr>
          <w:lang w:val="en-US"/>
        </w:rPr>
        <w:t>coca marches.</w:t>
      </w:r>
      <w:r w:rsidR="00087093" w:rsidRPr="002E60EB">
        <w:rPr>
          <w:lang w:val="en-US"/>
        </w:rPr>
        <w:t>”</w:t>
      </w:r>
      <w:r w:rsidR="000E41FB" w:rsidRPr="002E60EB">
        <w:rPr>
          <w:rStyle w:val="Refdenotaalpie"/>
          <w:rFonts w:eastAsia="Calibri" w:cs="Arial"/>
          <w:lang w:val="en-US"/>
        </w:rPr>
        <w:footnoteReference w:id="70"/>
      </w:r>
      <w:r w:rsidRPr="002E60EB">
        <w:rPr>
          <w:lang w:val="en-US"/>
        </w:rPr>
        <w:t xml:space="preserve"> </w:t>
      </w:r>
      <w:r w:rsidR="00892FBF" w:rsidRPr="002E60EB">
        <w:rPr>
          <w:lang w:val="en-US"/>
        </w:rPr>
        <w:t>During</w:t>
      </w:r>
      <w:r w:rsidRPr="002E60EB">
        <w:rPr>
          <w:lang w:val="en-US"/>
        </w:rPr>
        <w:t xml:space="preserve"> that month, marches </w:t>
      </w:r>
      <w:r w:rsidR="00892FBF" w:rsidRPr="002E60EB">
        <w:rPr>
          <w:lang w:val="en-US"/>
        </w:rPr>
        <w:t>took place with</w:t>
      </w:r>
      <w:r w:rsidRPr="002E60EB">
        <w:rPr>
          <w:lang w:val="en-US"/>
        </w:rPr>
        <w:t xml:space="preserve"> tens of thousands of people</w:t>
      </w:r>
      <w:r w:rsidR="00892FBF" w:rsidRPr="002E60EB">
        <w:rPr>
          <w:lang w:val="en-US"/>
        </w:rPr>
        <w:t>, including</w:t>
      </w:r>
      <w:r w:rsidRPr="002E60EB">
        <w:rPr>
          <w:lang w:val="en-US"/>
        </w:rPr>
        <w:t xml:space="preserve"> </w:t>
      </w:r>
      <w:r w:rsidR="009C4A0E" w:rsidRPr="002E60EB">
        <w:rPr>
          <w:lang w:val="en-US"/>
        </w:rPr>
        <w:t xml:space="preserve">coca-growing </w:t>
      </w:r>
      <w:r w:rsidRPr="002E60EB">
        <w:rPr>
          <w:lang w:val="en-US"/>
        </w:rPr>
        <w:t>peasants</w:t>
      </w:r>
      <w:r w:rsidR="00892FBF" w:rsidRPr="002E60EB">
        <w:rPr>
          <w:lang w:val="en-US"/>
        </w:rPr>
        <w:t>.</w:t>
      </w:r>
      <w:r w:rsidRPr="002E60EB">
        <w:rPr>
          <w:lang w:val="en-US"/>
        </w:rPr>
        <w:t xml:space="preserve"> </w:t>
      </w:r>
      <w:r w:rsidR="009C4A0E" w:rsidRPr="002E60EB">
        <w:rPr>
          <w:lang w:val="en-US"/>
        </w:rPr>
        <w:t xml:space="preserve">The marches took place </w:t>
      </w:r>
      <w:r w:rsidRPr="002E60EB">
        <w:rPr>
          <w:lang w:val="en-US"/>
        </w:rPr>
        <w:t xml:space="preserve">in different </w:t>
      </w:r>
      <w:r w:rsidR="009C4A0E" w:rsidRPr="002E60EB">
        <w:rPr>
          <w:lang w:val="en-US"/>
        </w:rPr>
        <w:t>parts</w:t>
      </w:r>
      <w:r w:rsidRPr="002E60EB">
        <w:rPr>
          <w:lang w:val="en-US"/>
        </w:rPr>
        <w:t xml:space="preserve"> of the </w:t>
      </w:r>
      <w:r w:rsidR="00892FBF" w:rsidRPr="002E60EB">
        <w:rPr>
          <w:lang w:val="en-US"/>
        </w:rPr>
        <w:t>d</w:t>
      </w:r>
      <w:r w:rsidRPr="002E60EB">
        <w:rPr>
          <w:lang w:val="en-US"/>
        </w:rPr>
        <w:t xml:space="preserve">epartment of Caquetá, and </w:t>
      </w:r>
      <w:r w:rsidR="00892FBF" w:rsidRPr="002E60EB">
        <w:rPr>
          <w:lang w:val="en-US"/>
        </w:rPr>
        <w:t xml:space="preserve">the intention was to take the </w:t>
      </w:r>
      <w:r w:rsidRPr="002E60EB">
        <w:rPr>
          <w:lang w:val="en-US"/>
        </w:rPr>
        <w:t>demonstrations</w:t>
      </w:r>
      <w:r w:rsidR="00892FBF" w:rsidRPr="002E60EB">
        <w:rPr>
          <w:lang w:val="en-US"/>
        </w:rPr>
        <w:t xml:space="preserve"> to Florencia</w:t>
      </w:r>
      <w:r w:rsidRPr="002E60EB">
        <w:rPr>
          <w:lang w:val="en-US"/>
        </w:rPr>
        <w:t xml:space="preserve">, capital of the </w:t>
      </w:r>
      <w:r w:rsidR="00892FBF" w:rsidRPr="002E60EB">
        <w:rPr>
          <w:lang w:val="en-US"/>
        </w:rPr>
        <w:t>d</w:t>
      </w:r>
      <w:r w:rsidRPr="002E60EB">
        <w:rPr>
          <w:lang w:val="en-US"/>
        </w:rPr>
        <w:t>epartment of Caquetá.</w:t>
      </w:r>
      <w:r w:rsidRPr="002E60EB">
        <w:rPr>
          <w:rStyle w:val="Refdenotaalpie"/>
          <w:rFonts w:eastAsia="Calibri" w:cs="Arial"/>
          <w:lang w:val="en-US"/>
        </w:rPr>
        <w:footnoteReference w:id="71"/>
      </w:r>
    </w:p>
    <w:p w:rsidR="00E15BBF" w:rsidRPr="002E60EB" w:rsidRDefault="00E15BBF" w:rsidP="00317748">
      <w:pPr>
        <w:pStyle w:val="ColorfulList-Accent11"/>
        <w:ind w:left="0"/>
        <w:rPr>
          <w:rFonts w:eastAsia="Calibri" w:cs="Arial"/>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In order to </w:t>
      </w:r>
      <w:r w:rsidR="00087093" w:rsidRPr="002E60EB">
        <w:rPr>
          <w:lang w:val="en-US"/>
        </w:rPr>
        <w:t>“</w:t>
      </w:r>
      <w:r w:rsidRPr="002E60EB">
        <w:rPr>
          <w:lang w:val="en-US"/>
        </w:rPr>
        <w:t>maintain public order</w:t>
      </w:r>
      <w:r w:rsidR="00087093" w:rsidRPr="002E60EB">
        <w:rPr>
          <w:lang w:val="en-US"/>
        </w:rPr>
        <w:t>”</w:t>
      </w:r>
      <w:r w:rsidRPr="002E60EB">
        <w:rPr>
          <w:lang w:val="en-US"/>
        </w:rPr>
        <w:t xml:space="preserve"> during these marches, </w:t>
      </w:r>
      <w:r w:rsidR="00621EE1" w:rsidRPr="002E60EB">
        <w:rPr>
          <w:lang w:val="en-US"/>
        </w:rPr>
        <w:t>the Commander of the Army’s Twelfth Brigade</w:t>
      </w:r>
      <w:r w:rsidRPr="002E60EB">
        <w:rPr>
          <w:lang w:val="en-US"/>
        </w:rPr>
        <w:t xml:space="preserve"> based in Florencia, Caquetá, issued Operations Order No. 007 of August 1, 1996, which was supplemented </w:t>
      </w:r>
      <w:r w:rsidR="00621EE1" w:rsidRPr="002E60EB">
        <w:rPr>
          <w:lang w:val="en-US"/>
        </w:rPr>
        <w:t>by</w:t>
      </w:r>
      <w:r w:rsidRPr="002E60EB">
        <w:rPr>
          <w:lang w:val="en-US"/>
        </w:rPr>
        <w:t xml:space="preserve"> other orders. </w:t>
      </w:r>
      <w:r w:rsidR="00621EE1" w:rsidRPr="002E60EB">
        <w:rPr>
          <w:lang w:val="en-US"/>
        </w:rPr>
        <w:t>The</w:t>
      </w:r>
      <w:r w:rsidRPr="002E60EB">
        <w:rPr>
          <w:lang w:val="en-US"/>
        </w:rPr>
        <w:t xml:space="preserve"> soldiers</w:t>
      </w:r>
      <w:r w:rsidR="00621EE1" w:rsidRPr="002E60EB">
        <w:rPr>
          <w:lang w:val="en-US"/>
        </w:rPr>
        <w:t xml:space="preserve"> were ordered</w:t>
      </w:r>
      <w:r w:rsidRPr="002E60EB">
        <w:rPr>
          <w:lang w:val="en-US"/>
        </w:rPr>
        <w:t xml:space="preserve"> </w:t>
      </w:r>
      <w:r w:rsidR="00621EE1" w:rsidRPr="002E60EB">
        <w:rPr>
          <w:lang w:val="en-US"/>
        </w:rPr>
        <w:t xml:space="preserve">to </w:t>
      </w:r>
      <w:r w:rsidR="00087093" w:rsidRPr="002E60EB">
        <w:rPr>
          <w:lang w:val="en-US"/>
        </w:rPr>
        <w:t>“</w:t>
      </w:r>
      <w:r w:rsidRPr="002E60EB">
        <w:rPr>
          <w:lang w:val="en-US"/>
        </w:rPr>
        <w:t xml:space="preserve">maintain control over urban and rural areas, </w:t>
      </w:r>
      <w:r w:rsidR="00621EE1" w:rsidRPr="002E60EB">
        <w:rPr>
          <w:lang w:val="en-US"/>
        </w:rPr>
        <w:t>highways</w:t>
      </w:r>
      <w:r w:rsidRPr="002E60EB">
        <w:rPr>
          <w:lang w:val="en-US"/>
        </w:rPr>
        <w:t xml:space="preserve"> and waterways, and</w:t>
      </w:r>
      <w:r w:rsidR="00621EE1" w:rsidRPr="002E60EB">
        <w:rPr>
          <w:lang w:val="en-US"/>
        </w:rPr>
        <w:t xml:space="preserve"> to </w:t>
      </w:r>
      <w:r w:rsidRPr="002E60EB">
        <w:rPr>
          <w:lang w:val="en-US"/>
        </w:rPr>
        <w:t>neutralize the</w:t>
      </w:r>
      <w:r w:rsidR="009C4A0E" w:rsidRPr="002E60EB">
        <w:rPr>
          <w:lang w:val="en-US"/>
        </w:rPr>
        <w:t xml:space="preserve"> peasant and/or coca worker</w:t>
      </w:r>
      <w:r w:rsidR="00621EE1" w:rsidRPr="002E60EB">
        <w:rPr>
          <w:lang w:val="en-US"/>
        </w:rPr>
        <w:t xml:space="preserve"> marches</w:t>
      </w:r>
      <w:r w:rsidRPr="002E60EB">
        <w:rPr>
          <w:lang w:val="en-US"/>
        </w:rPr>
        <w:t>,</w:t>
      </w:r>
      <w:r w:rsidR="00087093" w:rsidRPr="002E60EB">
        <w:rPr>
          <w:lang w:val="en-US"/>
        </w:rPr>
        <w:t>”</w:t>
      </w:r>
      <w:r w:rsidRPr="002E60EB">
        <w:rPr>
          <w:lang w:val="en-US"/>
        </w:rPr>
        <w:t xml:space="preserve"> and </w:t>
      </w:r>
      <w:r w:rsidR="00087093" w:rsidRPr="002E60EB">
        <w:rPr>
          <w:lang w:val="en-US"/>
        </w:rPr>
        <w:t>“</w:t>
      </w:r>
      <w:r w:rsidR="00621EE1" w:rsidRPr="002E60EB">
        <w:rPr>
          <w:lang w:val="en-US"/>
        </w:rPr>
        <w:t xml:space="preserve">to </w:t>
      </w:r>
      <w:r w:rsidRPr="002E60EB">
        <w:rPr>
          <w:lang w:val="en-US"/>
        </w:rPr>
        <w:t>stop them from getting to Florencia,</w:t>
      </w:r>
      <w:r w:rsidR="00087093" w:rsidRPr="002E60EB">
        <w:rPr>
          <w:lang w:val="en-US"/>
        </w:rPr>
        <w:t>”</w:t>
      </w:r>
      <w:r w:rsidRPr="002E60EB">
        <w:rPr>
          <w:lang w:val="en-US"/>
        </w:rPr>
        <w:t xml:space="preserve"> capital of Caquetá. It </w:t>
      </w:r>
      <w:r w:rsidR="00621EE1" w:rsidRPr="002E60EB">
        <w:rPr>
          <w:lang w:val="en-US"/>
        </w:rPr>
        <w:t xml:space="preserve">was </w:t>
      </w:r>
      <w:r w:rsidRPr="002E60EB">
        <w:rPr>
          <w:lang w:val="en-US"/>
        </w:rPr>
        <w:t xml:space="preserve">also </w:t>
      </w:r>
      <w:r w:rsidR="009C4A0E" w:rsidRPr="002E60EB">
        <w:rPr>
          <w:lang w:val="en-US"/>
        </w:rPr>
        <w:t>stipulated</w:t>
      </w:r>
      <w:r w:rsidRPr="002E60EB">
        <w:rPr>
          <w:lang w:val="en-US"/>
        </w:rPr>
        <w:t xml:space="preserve"> that the Brigade </w:t>
      </w:r>
      <w:r w:rsidR="00621EE1" w:rsidRPr="002E60EB">
        <w:rPr>
          <w:lang w:val="en-US"/>
        </w:rPr>
        <w:t xml:space="preserve">Commander </w:t>
      </w:r>
      <w:r w:rsidRPr="002E60EB">
        <w:rPr>
          <w:lang w:val="en-US"/>
        </w:rPr>
        <w:t xml:space="preserve">should not allow the march to </w:t>
      </w:r>
      <w:r w:rsidR="00621EE1" w:rsidRPr="002E60EB">
        <w:rPr>
          <w:lang w:val="en-US"/>
        </w:rPr>
        <w:t>pass</w:t>
      </w:r>
      <w:r w:rsidRPr="002E60EB">
        <w:rPr>
          <w:lang w:val="en-US"/>
        </w:rPr>
        <w:t xml:space="preserve"> the checkpoints</w:t>
      </w:r>
      <w:r w:rsidR="00621EE1" w:rsidRPr="002E60EB">
        <w:rPr>
          <w:lang w:val="en-US"/>
        </w:rPr>
        <w:t xml:space="preserve"> that had been set up</w:t>
      </w:r>
      <w:r w:rsidRPr="002E60EB">
        <w:rPr>
          <w:lang w:val="en-US"/>
        </w:rPr>
        <w:t xml:space="preserve"> or </w:t>
      </w:r>
      <w:r w:rsidR="00621EE1" w:rsidRPr="002E60EB">
        <w:rPr>
          <w:lang w:val="en-US"/>
        </w:rPr>
        <w:t>reach</w:t>
      </w:r>
      <w:r w:rsidRPr="002E60EB">
        <w:rPr>
          <w:lang w:val="en-US"/>
        </w:rPr>
        <w:t xml:space="preserve"> Florencia. </w:t>
      </w:r>
      <w:r w:rsidR="000F3982" w:rsidRPr="002E60EB">
        <w:rPr>
          <w:lang w:val="en-US"/>
        </w:rPr>
        <w:t>In addition</w:t>
      </w:r>
      <w:r w:rsidRPr="002E60EB">
        <w:rPr>
          <w:lang w:val="en-US"/>
        </w:rPr>
        <w:t xml:space="preserve">, it </w:t>
      </w:r>
      <w:r w:rsidR="00621EE1" w:rsidRPr="002E60EB">
        <w:rPr>
          <w:lang w:val="en-US"/>
        </w:rPr>
        <w:t xml:space="preserve">was established </w:t>
      </w:r>
      <w:r w:rsidRPr="002E60EB">
        <w:rPr>
          <w:lang w:val="en-US"/>
        </w:rPr>
        <w:t xml:space="preserve">that </w:t>
      </w:r>
      <w:r w:rsidR="009C4A0E" w:rsidRPr="002E60EB">
        <w:rPr>
          <w:lang w:val="en-US"/>
        </w:rPr>
        <w:t xml:space="preserve">the </w:t>
      </w:r>
      <w:r w:rsidR="00621EE1" w:rsidRPr="002E60EB">
        <w:rPr>
          <w:lang w:val="en-US"/>
        </w:rPr>
        <w:t>disturbances should</w:t>
      </w:r>
      <w:r w:rsidRPr="002E60EB">
        <w:rPr>
          <w:lang w:val="en-US"/>
        </w:rPr>
        <w:t xml:space="preserve"> be broke</w:t>
      </w:r>
      <w:r w:rsidR="00621EE1" w:rsidRPr="002E60EB">
        <w:rPr>
          <w:lang w:val="en-US"/>
        </w:rPr>
        <w:t>n</w:t>
      </w:r>
      <w:r w:rsidRPr="002E60EB">
        <w:rPr>
          <w:lang w:val="en-US"/>
        </w:rPr>
        <w:t xml:space="preserve"> u</w:t>
      </w:r>
      <w:r w:rsidR="00B43191" w:rsidRPr="002E60EB">
        <w:rPr>
          <w:lang w:val="en-US"/>
        </w:rPr>
        <w:t xml:space="preserve">p with the </w:t>
      </w:r>
      <w:r w:rsidRPr="002E60EB">
        <w:rPr>
          <w:lang w:val="en-US"/>
        </w:rPr>
        <w:t>us</w:t>
      </w:r>
      <w:r w:rsidR="00B43191" w:rsidRPr="002E60EB">
        <w:rPr>
          <w:lang w:val="en-US"/>
        </w:rPr>
        <w:t>e of</w:t>
      </w:r>
      <w:r w:rsidRPr="002E60EB">
        <w:rPr>
          <w:lang w:val="en-US"/>
        </w:rPr>
        <w:t xml:space="preserve"> tear gas </w:t>
      </w:r>
      <w:r w:rsidR="00B43191" w:rsidRPr="002E60EB">
        <w:rPr>
          <w:lang w:val="en-US"/>
        </w:rPr>
        <w:t xml:space="preserve">by </w:t>
      </w:r>
      <w:r w:rsidRPr="002E60EB">
        <w:rPr>
          <w:lang w:val="en-US"/>
        </w:rPr>
        <w:t xml:space="preserve">the Military Police and </w:t>
      </w:r>
      <w:r w:rsidR="009C4A0E" w:rsidRPr="002E60EB">
        <w:rPr>
          <w:lang w:val="en-US"/>
        </w:rPr>
        <w:t>available Armed Forces</w:t>
      </w:r>
      <w:r w:rsidRPr="002E60EB">
        <w:rPr>
          <w:lang w:val="en-US"/>
        </w:rPr>
        <w:t xml:space="preserve">, and that </w:t>
      </w:r>
      <w:r w:rsidR="009C4A0E" w:rsidRPr="002E60EB">
        <w:rPr>
          <w:lang w:val="en-US"/>
        </w:rPr>
        <w:t>they should not use their</w:t>
      </w:r>
      <w:r w:rsidRPr="002E60EB">
        <w:rPr>
          <w:lang w:val="en-US"/>
        </w:rPr>
        <w:t xml:space="preserve"> weapons</w:t>
      </w:r>
      <w:r w:rsidR="009C4A0E" w:rsidRPr="002E60EB">
        <w:rPr>
          <w:lang w:val="en-US"/>
        </w:rPr>
        <w:t xml:space="preserve">, </w:t>
      </w:r>
      <w:r w:rsidR="00B43191" w:rsidRPr="002E60EB">
        <w:rPr>
          <w:lang w:val="en-US"/>
        </w:rPr>
        <w:t>not even</w:t>
      </w:r>
      <w:r w:rsidR="009C4A0E" w:rsidRPr="002E60EB">
        <w:rPr>
          <w:lang w:val="en-US"/>
        </w:rPr>
        <w:t xml:space="preserve"> to fire</w:t>
      </w:r>
      <w:r w:rsidRPr="002E60EB">
        <w:rPr>
          <w:lang w:val="en-US"/>
        </w:rPr>
        <w:t xml:space="preserve"> shots into the air.</w:t>
      </w:r>
      <w:r w:rsidRPr="002E60EB">
        <w:rPr>
          <w:rStyle w:val="Refdenotaalpie"/>
          <w:rFonts w:eastAsia="Calibri" w:cs="Arial"/>
          <w:lang w:val="en-US"/>
        </w:rPr>
        <w:footnoteReference w:id="72"/>
      </w:r>
    </w:p>
    <w:p w:rsidR="00E15BBF" w:rsidRPr="002E60EB" w:rsidRDefault="00E15BBF" w:rsidP="00317748">
      <w:pPr>
        <w:pStyle w:val="ColorfulList-Accent11"/>
        <w:ind w:left="0"/>
        <w:rPr>
          <w:rFonts w:eastAsia="Calibri" w:cs="Arial"/>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In the </w:t>
      </w:r>
      <w:r w:rsidR="00B43191" w:rsidRPr="002E60EB">
        <w:rPr>
          <w:lang w:val="en-US"/>
        </w:rPr>
        <w:t xml:space="preserve">said </w:t>
      </w:r>
      <w:r w:rsidRPr="002E60EB">
        <w:rPr>
          <w:lang w:val="en-US"/>
        </w:rPr>
        <w:t xml:space="preserve">march </w:t>
      </w:r>
      <w:r w:rsidR="00B43191" w:rsidRPr="002E60EB">
        <w:rPr>
          <w:lang w:val="en-US"/>
        </w:rPr>
        <w:t>that</w:t>
      </w:r>
      <w:r w:rsidRPr="002E60EB">
        <w:rPr>
          <w:lang w:val="en-US"/>
        </w:rPr>
        <w:t xml:space="preserve"> Mr. Vélez Restrepo</w:t>
      </w:r>
      <w:r w:rsidR="00B43191" w:rsidRPr="002E60EB">
        <w:rPr>
          <w:lang w:val="en-US"/>
        </w:rPr>
        <w:t xml:space="preserve"> was covering</w:t>
      </w:r>
      <w:r w:rsidR="009C4A0E" w:rsidRPr="002E60EB">
        <w:rPr>
          <w:lang w:val="en-US"/>
        </w:rPr>
        <w:t xml:space="preserve"> on August 29, 1996,</w:t>
      </w:r>
      <w:r w:rsidRPr="002E60EB">
        <w:rPr>
          <w:lang w:val="en-US"/>
        </w:rPr>
        <w:t xml:space="preserve"> in the municipality of Morelia, </w:t>
      </w:r>
      <w:r w:rsidR="00B43191" w:rsidRPr="002E60EB">
        <w:rPr>
          <w:lang w:val="en-US"/>
        </w:rPr>
        <w:t xml:space="preserve">20 </w:t>
      </w:r>
      <w:r w:rsidRPr="002E60EB">
        <w:rPr>
          <w:lang w:val="en-US"/>
        </w:rPr>
        <w:t xml:space="preserve">kilometers from Florencia, a confrontation </w:t>
      </w:r>
      <w:r w:rsidR="009C4A0E" w:rsidRPr="002E60EB">
        <w:rPr>
          <w:lang w:val="en-US"/>
        </w:rPr>
        <w:t xml:space="preserve">took place </w:t>
      </w:r>
      <w:r w:rsidRPr="002E60EB">
        <w:rPr>
          <w:lang w:val="en-US"/>
        </w:rPr>
        <w:t xml:space="preserve">between the </w:t>
      </w:r>
      <w:r w:rsidR="00087093" w:rsidRPr="002E60EB">
        <w:rPr>
          <w:lang w:val="en-US"/>
        </w:rPr>
        <w:t>“</w:t>
      </w:r>
      <w:r w:rsidR="00B43191" w:rsidRPr="002E60EB">
        <w:rPr>
          <w:lang w:val="en-US"/>
        </w:rPr>
        <w:t>marchers</w:t>
      </w:r>
      <w:r w:rsidR="00087093" w:rsidRPr="002E60EB">
        <w:rPr>
          <w:lang w:val="en-US"/>
        </w:rPr>
        <w:t>”</w:t>
      </w:r>
      <w:r w:rsidR="00B43191" w:rsidRPr="002E60EB">
        <w:rPr>
          <w:lang w:val="en-US"/>
        </w:rPr>
        <w:t xml:space="preserve"> and the </w:t>
      </w:r>
      <w:r w:rsidRPr="002E60EB">
        <w:rPr>
          <w:lang w:val="en-US"/>
        </w:rPr>
        <w:t>soldiers on</w:t>
      </w:r>
      <w:r w:rsidR="00B43191" w:rsidRPr="002E60EB">
        <w:rPr>
          <w:lang w:val="en-US"/>
        </w:rPr>
        <w:t xml:space="preserve"> and around</w:t>
      </w:r>
      <w:r w:rsidRPr="002E60EB">
        <w:rPr>
          <w:lang w:val="en-US"/>
        </w:rPr>
        <w:t xml:space="preserve"> the bridge over the Bodoquero river. The protesters </w:t>
      </w:r>
      <w:r w:rsidR="00B43191" w:rsidRPr="002E60EB">
        <w:rPr>
          <w:lang w:val="en-US"/>
        </w:rPr>
        <w:t xml:space="preserve">were camping </w:t>
      </w:r>
      <w:r w:rsidRPr="002E60EB">
        <w:rPr>
          <w:lang w:val="en-US"/>
        </w:rPr>
        <w:t>when</w:t>
      </w:r>
      <w:r w:rsidR="00B43191" w:rsidRPr="002E60EB">
        <w:rPr>
          <w:lang w:val="en-US"/>
        </w:rPr>
        <w:t>,</w:t>
      </w:r>
      <w:r w:rsidRPr="002E60EB">
        <w:rPr>
          <w:lang w:val="en-US"/>
        </w:rPr>
        <w:t xml:space="preserve"> in the early morning</w:t>
      </w:r>
      <w:r w:rsidR="00B43191" w:rsidRPr="002E60EB">
        <w:rPr>
          <w:lang w:val="en-US"/>
        </w:rPr>
        <w:t xml:space="preserve"> hours,</w:t>
      </w:r>
      <w:r w:rsidRPr="002E60EB">
        <w:rPr>
          <w:lang w:val="en-US"/>
        </w:rPr>
        <w:t xml:space="preserve"> heav</w:t>
      </w:r>
      <w:r w:rsidR="00B43191" w:rsidRPr="002E60EB">
        <w:rPr>
          <w:lang w:val="en-US"/>
        </w:rPr>
        <w:t>y</w:t>
      </w:r>
      <w:r w:rsidRPr="002E60EB">
        <w:rPr>
          <w:lang w:val="en-US"/>
        </w:rPr>
        <w:t xml:space="preserve"> rains flooded their camps caus</w:t>
      </w:r>
      <w:r w:rsidR="00B43191" w:rsidRPr="002E60EB">
        <w:rPr>
          <w:lang w:val="en-US"/>
        </w:rPr>
        <w:t>ing</w:t>
      </w:r>
      <w:r w:rsidRPr="002E60EB">
        <w:rPr>
          <w:lang w:val="en-US"/>
        </w:rPr>
        <w:t xml:space="preserve"> </w:t>
      </w:r>
      <w:r w:rsidR="009C4A0E" w:rsidRPr="002E60EB">
        <w:rPr>
          <w:lang w:val="en-US"/>
        </w:rPr>
        <w:t>them</w:t>
      </w:r>
      <w:r w:rsidRPr="002E60EB">
        <w:rPr>
          <w:lang w:val="en-US"/>
        </w:rPr>
        <w:t xml:space="preserve"> to move</w:t>
      </w:r>
      <w:r w:rsidR="00B43191" w:rsidRPr="002E60EB">
        <w:rPr>
          <w:lang w:val="en-US"/>
        </w:rPr>
        <w:t xml:space="preserve"> and leading to</w:t>
      </w:r>
      <w:r w:rsidRPr="002E60EB">
        <w:rPr>
          <w:lang w:val="en-US"/>
        </w:rPr>
        <w:t xml:space="preserve"> the first altercations with the </w:t>
      </w:r>
      <w:r w:rsidR="00B43191" w:rsidRPr="002E60EB">
        <w:rPr>
          <w:lang w:val="en-US"/>
        </w:rPr>
        <w:t>soldiers</w:t>
      </w:r>
      <w:r w:rsidRPr="002E60EB">
        <w:rPr>
          <w:lang w:val="en-US"/>
        </w:rPr>
        <w:t xml:space="preserve">. Later, some of the protesters tried to cross the </w:t>
      </w:r>
      <w:r w:rsidR="00B43191" w:rsidRPr="002E60EB">
        <w:rPr>
          <w:lang w:val="en-US"/>
        </w:rPr>
        <w:t xml:space="preserve">said </w:t>
      </w:r>
      <w:r w:rsidRPr="002E60EB">
        <w:rPr>
          <w:lang w:val="en-US"/>
        </w:rPr>
        <w:t xml:space="preserve">bridge, removing the </w:t>
      </w:r>
      <w:r w:rsidR="00B43191" w:rsidRPr="002E60EB">
        <w:rPr>
          <w:lang w:val="en-US"/>
        </w:rPr>
        <w:t xml:space="preserve">barricades </w:t>
      </w:r>
      <w:r w:rsidRPr="002E60EB">
        <w:rPr>
          <w:lang w:val="en-US"/>
        </w:rPr>
        <w:t xml:space="preserve">and obstacles placed by the Armed Forces, </w:t>
      </w:r>
      <w:r w:rsidR="00B43191" w:rsidRPr="002E60EB">
        <w:rPr>
          <w:lang w:val="en-US"/>
        </w:rPr>
        <w:t>resulting in a</w:t>
      </w:r>
      <w:r w:rsidRPr="002E60EB">
        <w:rPr>
          <w:lang w:val="en-US"/>
        </w:rPr>
        <w:t xml:space="preserve"> confrontation with the </w:t>
      </w:r>
      <w:r w:rsidR="00943F2A" w:rsidRPr="002E60EB">
        <w:rPr>
          <w:lang w:val="en-US"/>
        </w:rPr>
        <w:t>soldiers</w:t>
      </w:r>
      <w:r w:rsidRPr="002E60EB">
        <w:rPr>
          <w:lang w:val="en-US"/>
        </w:rPr>
        <w:t>.</w:t>
      </w:r>
      <w:r w:rsidRPr="002E60EB">
        <w:rPr>
          <w:rStyle w:val="Refdenotaalpie"/>
          <w:rFonts w:eastAsia="Calibri" w:cs="Arial"/>
          <w:lang w:val="en-US"/>
        </w:rPr>
        <w:footnoteReference w:id="73"/>
      </w:r>
      <w:r w:rsidRPr="002E60EB">
        <w:rPr>
          <w:lang w:val="en-US"/>
        </w:rPr>
        <w:t xml:space="preserve"> Some protesters threw </w:t>
      </w:r>
      <w:r w:rsidR="009C4A0E" w:rsidRPr="002E60EB">
        <w:rPr>
          <w:lang w:val="en-US"/>
        </w:rPr>
        <w:t xml:space="preserve">sticks and </w:t>
      </w:r>
      <w:r w:rsidRPr="002E60EB">
        <w:rPr>
          <w:lang w:val="en-US"/>
        </w:rPr>
        <w:t>stones at the soldiers</w:t>
      </w:r>
      <w:r w:rsidR="00943F2A" w:rsidRPr="002E60EB">
        <w:rPr>
          <w:lang w:val="en-US"/>
        </w:rPr>
        <w:t>. T</w:t>
      </w:r>
      <w:r w:rsidRPr="002E60EB">
        <w:rPr>
          <w:lang w:val="en-US"/>
        </w:rPr>
        <w:t>he soldiers used tear gas</w:t>
      </w:r>
      <w:r w:rsidR="00943F2A" w:rsidRPr="002E60EB">
        <w:rPr>
          <w:lang w:val="en-US"/>
        </w:rPr>
        <w:t xml:space="preserve"> in order to control the situation; however, </w:t>
      </w:r>
      <w:r w:rsidRPr="002E60EB">
        <w:rPr>
          <w:lang w:val="en-US"/>
        </w:rPr>
        <w:t xml:space="preserve">some </w:t>
      </w:r>
      <w:r w:rsidR="00943F2A" w:rsidRPr="002E60EB">
        <w:rPr>
          <w:lang w:val="en-US"/>
        </w:rPr>
        <w:t xml:space="preserve">of the </w:t>
      </w:r>
      <w:r w:rsidRPr="002E60EB">
        <w:rPr>
          <w:lang w:val="en-US"/>
        </w:rPr>
        <w:t xml:space="preserve">soldiers </w:t>
      </w:r>
      <w:r w:rsidR="00943F2A" w:rsidRPr="002E60EB">
        <w:rPr>
          <w:lang w:val="en-US"/>
        </w:rPr>
        <w:t>also used their weapons.</w:t>
      </w:r>
      <w:r w:rsidRPr="002E60EB">
        <w:rPr>
          <w:rStyle w:val="Refdenotaalpie"/>
          <w:rFonts w:eastAsia="Calibri" w:cs="Arial"/>
          <w:lang w:val="en-US"/>
        </w:rPr>
        <w:footnoteReference w:id="74"/>
      </w:r>
      <w:r w:rsidRPr="002E60EB">
        <w:rPr>
          <w:lang w:val="en-US"/>
        </w:rPr>
        <w:t xml:space="preserve"> According to </w:t>
      </w:r>
      <w:r w:rsidR="00087093" w:rsidRPr="002E60EB">
        <w:rPr>
          <w:lang w:val="en-US"/>
        </w:rPr>
        <w:t>the</w:t>
      </w:r>
      <w:r w:rsidRPr="002E60EB">
        <w:rPr>
          <w:lang w:val="en-US"/>
        </w:rPr>
        <w:t xml:space="preserve"> </w:t>
      </w:r>
      <w:r w:rsidR="00087093" w:rsidRPr="002E60EB">
        <w:rPr>
          <w:lang w:val="en-US"/>
        </w:rPr>
        <w:t xml:space="preserve">statement made the following day by </w:t>
      </w:r>
      <w:r w:rsidRPr="002E60EB">
        <w:rPr>
          <w:lang w:val="en-US"/>
        </w:rPr>
        <w:t xml:space="preserve">the Commander of the </w:t>
      </w:r>
      <w:r w:rsidR="00087093" w:rsidRPr="002E60EB">
        <w:rPr>
          <w:lang w:val="en-US"/>
        </w:rPr>
        <w:t xml:space="preserve">Army’s Twelfth </w:t>
      </w:r>
      <w:r w:rsidR="009C4A0E" w:rsidRPr="002E60EB">
        <w:rPr>
          <w:lang w:val="en-US"/>
        </w:rPr>
        <w:t>Brigade</w:t>
      </w:r>
      <w:r w:rsidRPr="002E60EB">
        <w:rPr>
          <w:lang w:val="en-US"/>
        </w:rPr>
        <w:t xml:space="preserve">, </w:t>
      </w:r>
      <w:r w:rsidR="00087093" w:rsidRPr="002E60EB">
        <w:rPr>
          <w:lang w:val="en-US"/>
        </w:rPr>
        <w:t>when</w:t>
      </w:r>
      <w:r w:rsidRPr="002E60EB">
        <w:rPr>
          <w:lang w:val="en-US"/>
        </w:rPr>
        <w:t xml:space="preserve"> controlling the situation </w:t>
      </w:r>
      <w:r w:rsidR="00087093" w:rsidRPr="002E60EB">
        <w:rPr>
          <w:lang w:val="en-US"/>
        </w:rPr>
        <w:t>“</w:t>
      </w:r>
      <w:r w:rsidRPr="002E60EB">
        <w:rPr>
          <w:lang w:val="en-US"/>
        </w:rPr>
        <w:t>members of the Military Police</w:t>
      </w:r>
      <w:r w:rsidR="00087093" w:rsidRPr="002E60EB">
        <w:rPr>
          <w:lang w:val="en-US"/>
        </w:rPr>
        <w:t xml:space="preserve"> committed excesses”</w:t>
      </w:r>
      <w:r w:rsidRPr="002E60EB">
        <w:rPr>
          <w:lang w:val="en-US"/>
        </w:rPr>
        <w:t xml:space="preserve"> and </w:t>
      </w:r>
      <w:r w:rsidR="00087093" w:rsidRPr="002E60EB">
        <w:rPr>
          <w:lang w:val="en-US"/>
        </w:rPr>
        <w:t>“</w:t>
      </w:r>
      <w:r w:rsidRPr="002E60EB">
        <w:rPr>
          <w:lang w:val="en-US"/>
        </w:rPr>
        <w:t>the commanders of the troops</w:t>
      </w:r>
      <w:r w:rsidR="00087093" w:rsidRPr="002E60EB">
        <w:rPr>
          <w:lang w:val="en-US"/>
        </w:rPr>
        <w:t xml:space="preserve"> involved in the events allowed physical violence </w:t>
      </w:r>
      <w:r w:rsidRPr="002E60EB">
        <w:rPr>
          <w:lang w:val="en-US"/>
        </w:rPr>
        <w:t xml:space="preserve">against </w:t>
      </w:r>
      <w:r w:rsidR="00087093" w:rsidRPr="002E60EB">
        <w:rPr>
          <w:lang w:val="en-US"/>
        </w:rPr>
        <w:t xml:space="preserve">those </w:t>
      </w:r>
      <w:r w:rsidRPr="002E60EB">
        <w:rPr>
          <w:lang w:val="en-US"/>
        </w:rPr>
        <w:t>partic</w:t>
      </w:r>
      <w:r w:rsidR="009C4A0E" w:rsidRPr="002E60EB">
        <w:rPr>
          <w:lang w:val="en-US"/>
        </w:rPr>
        <w:t>ipa</w:t>
      </w:r>
      <w:r w:rsidRPr="002E60EB">
        <w:rPr>
          <w:lang w:val="en-US"/>
        </w:rPr>
        <w:t>t</w:t>
      </w:r>
      <w:r w:rsidR="00087093" w:rsidRPr="002E60EB">
        <w:rPr>
          <w:lang w:val="en-US"/>
        </w:rPr>
        <w:t>ing in</w:t>
      </w:r>
      <w:r w:rsidRPr="002E60EB">
        <w:rPr>
          <w:lang w:val="en-US"/>
        </w:rPr>
        <w:t xml:space="preserve"> the uprising who were defenseless.</w:t>
      </w:r>
      <w:r w:rsidR="00087093" w:rsidRPr="002E60EB">
        <w:rPr>
          <w:lang w:val="en-US"/>
        </w:rPr>
        <w:t>”</w:t>
      </w:r>
      <w:r w:rsidRPr="002E60EB">
        <w:rPr>
          <w:lang w:val="en-US"/>
        </w:rPr>
        <w:t xml:space="preserve"> </w:t>
      </w:r>
      <w:r w:rsidR="00087093" w:rsidRPr="002E60EB">
        <w:rPr>
          <w:lang w:val="en-US"/>
        </w:rPr>
        <w:t>P</w:t>
      </w:r>
      <w:r w:rsidRPr="002E60EB">
        <w:rPr>
          <w:lang w:val="en-US"/>
        </w:rPr>
        <w:t>eople were injured</w:t>
      </w:r>
      <w:r w:rsidR="00087093" w:rsidRPr="002E60EB">
        <w:rPr>
          <w:lang w:val="en-US"/>
        </w:rPr>
        <w:t xml:space="preserve"> in these incidents</w:t>
      </w:r>
      <w:r w:rsidRPr="002E60EB">
        <w:rPr>
          <w:lang w:val="en-US"/>
        </w:rPr>
        <w:t xml:space="preserve"> </w:t>
      </w:r>
      <w:r w:rsidR="00087093" w:rsidRPr="002E60EB">
        <w:rPr>
          <w:lang w:val="en-US"/>
        </w:rPr>
        <w:t>“</w:t>
      </w:r>
      <w:r w:rsidRPr="002E60EB">
        <w:rPr>
          <w:lang w:val="en-US"/>
        </w:rPr>
        <w:t>by firearm</w:t>
      </w:r>
      <w:r w:rsidR="00087093" w:rsidRPr="002E60EB">
        <w:rPr>
          <w:lang w:val="en-US"/>
        </w:rPr>
        <w:t>s</w:t>
      </w:r>
      <w:r w:rsidRPr="002E60EB">
        <w:rPr>
          <w:lang w:val="en-US"/>
        </w:rPr>
        <w:t xml:space="preserve">, </w:t>
      </w:r>
      <w:r w:rsidR="00087093" w:rsidRPr="002E60EB">
        <w:rPr>
          <w:lang w:val="en-US"/>
        </w:rPr>
        <w:t>weapons</w:t>
      </w:r>
      <w:r w:rsidRPr="002E60EB">
        <w:rPr>
          <w:lang w:val="en-US"/>
        </w:rPr>
        <w:t>, knives, and blunt</w:t>
      </w:r>
      <w:r w:rsidR="00087093" w:rsidRPr="002E60EB">
        <w:rPr>
          <w:lang w:val="en-US"/>
        </w:rPr>
        <w:t xml:space="preserve"> </w:t>
      </w:r>
      <w:r w:rsidRPr="002E60EB">
        <w:rPr>
          <w:lang w:val="en-US"/>
        </w:rPr>
        <w:t>weapons,</w:t>
      </w:r>
      <w:r w:rsidR="00087093" w:rsidRPr="002E60EB">
        <w:rPr>
          <w:lang w:val="en-US"/>
        </w:rPr>
        <w:t>”</w:t>
      </w:r>
      <w:r w:rsidRPr="002E60EB">
        <w:rPr>
          <w:rStyle w:val="Refdenotaalpie"/>
          <w:rFonts w:eastAsia="Calibri" w:cs="Arial"/>
          <w:lang w:val="en-US"/>
        </w:rPr>
        <w:footnoteReference w:id="75"/>
      </w:r>
      <w:r w:rsidRPr="002E60EB">
        <w:rPr>
          <w:lang w:val="en-US"/>
        </w:rPr>
        <w:t xml:space="preserve"> </w:t>
      </w:r>
      <w:r w:rsidR="00087093" w:rsidRPr="002E60EB">
        <w:rPr>
          <w:lang w:val="en-US"/>
        </w:rPr>
        <w:t>among them</w:t>
      </w:r>
      <w:r w:rsidR="009C4A0E" w:rsidRPr="002E60EB">
        <w:rPr>
          <w:lang w:val="en-US"/>
        </w:rPr>
        <w:t>,</w:t>
      </w:r>
      <w:r w:rsidRPr="002E60EB">
        <w:rPr>
          <w:lang w:val="en-US"/>
        </w:rPr>
        <w:t xml:space="preserve"> </w:t>
      </w:r>
      <w:r w:rsidR="00087093" w:rsidRPr="002E60EB">
        <w:rPr>
          <w:lang w:val="en-US"/>
        </w:rPr>
        <w:t xml:space="preserve">about 11 </w:t>
      </w:r>
      <w:r w:rsidRPr="002E60EB">
        <w:rPr>
          <w:lang w:val="en-US"/>
        </w:rPr>
        <w:t xml:space="preserve">civilians were treated at the </w:t>
      </w:r>
      <w:r w:rsidRPr="002E60EB">
        <w:rPr>
          <w:rFonts w:eastAsia="Calibri" w:cs="Arial"/>
          <w:lang w:val="en-US"/>
        </w:rPr>
        <w:t xml:space="preserve">María Auxiliadora </w:t>
      </w:r>
      <w:r w:rsidR="00087093" w:rsidRPr="002E60EB">
        <w:rPr>
          <w:lang w:val="en-US"/>
        </w:rPr>
        <w:t xml:space="preserve">Hospital </w:t>
      </w:r>
      <w:r w:rsidR="00087093" w:rsidRPr="002E60EB">
        <w:rPr>
          <w:rFonts w:eastAsia="Calibri" w:cs="Arial"/>
          <w:lang w:val="en-US"/>
        </w:rPr>
        <w:t>in</w:t>
      </w:r>
      <w:r w:rsidRPr="002E60EB">
        <w:rPr>
          <w:rFonts w:eastAsia="Calibri" w:cs="Arial"/>
          <w:lang w:val="en-US"/>
        </w:rPr>
        <w:t xml:space="preserve"> Florencia</w:t>
      </w:r>
      <w:r w:rsidR="00087093" w:rsidRPr="002E60EB">
        <w:rPr>
          <w:rFonts w:eastAsia="Calibri" w:cs="Arial"/>
          <w:lang w:val="en-US"/>
        </w:rPr>
        <w:t>.</w:t>
      </w:r>
      <w:r w:rsidRPr="002E60EB">
        <w:rPr>
          <w:rStyle w:val="Refdenotaalpie"/>
          <w:rFonts w:eastAsia="Calibri" w:cs="Arial"/>
          <w:lang w:val="en-US"/>
        </w:rPr>
        <w:footnoteReference w:id="76"/>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Mr. Vélez Restrepo was filming the events in an area near the bridge over the Bodoquero river when he </w:t>
      </w:r>
      <w:r w:rsidR="004A031E" w:rsidRPr="002E60EB">
        <w:rPr>
          <w:lang w:val="en-US"/>
        </w:rPr>
        <w:t>“</w:t>
      </w:r>
      <w:r w:rsidRPr="002E60EB">
        <w:rPr>
          <w:lang w:val="en-US"/>
        </w:rPr>
        <w:t>not[ed] that some of the soldiers began to beat the peasants with the butts of their rifles, so he began to film the incident.</w:t>
      </w:r>
      <w:r w:rsidR="00087093" w:rsidRPr="002E60EB">
        <w:rPr>
          <w:lang w:val="en-US"/>
        </w:rPr>
        <w:t>”</w:t>
      </w:r>
      <w:r w:rsidRPr="002E60EB">
        <w:rPr>
          <w:lang w:val="en-US"/>
        </w:rPr>
        <w:t xml:space="preserve"> Mr. Vélez Restrepo </w:t>
      </w:r>
      <w:r w:rsidR="004A031E" w:rsidRPr="002E60EB">
        <w:rPr>
          <w:lang w:val="en-US"/>
        </w:rPr>
        <w:t xml:space="preserve">was </w:t>
      </w:r>
      <w:r w:rsidRPr="002E60EB">
        <w:rPr>
          <w:lang w:val="en-US"/>
        </w:rPr>
        <w:t>film</w:t>
      </w:r>
      <w:r w:rsidR="004A031E" w:rsidRPr="002E60EB">
        <w:rPr>
          <w:lang w:val="en-US"/>
        </w:rPr>
        <w:t>ing</w:t>
      </w:r>
      <w:r w:rsidRPr="002E60EB">
        <w:rPr>
          <w:lang w:val="en-US"/>
        </w:rPr>
        <w:t xml:space="preserve"> when members of the Army beat a defenseless protestor, </w:t>
      </w:r>
      <w:r w:rsidR="004A031E" w:rsidRPr="002E60EB">
        <w:rPr>
          <w:lang w:val="en-US"/>
        </w:rPr>
        <w:t>hitting him</w:t>
      </w:r>
      <w:r w:rsidRPr="002E60EB">
        <w:rPr>
          <w:lang w:val="en-US"/>
        </w:rPr>
        <w:t xml:space="preserve"> with</w:t>
      </w:r>
      <w:r w:rsidR="004A031E" w:rsidRPr="002E60EB">
        <w:rPr>
          <w:lang w:val="en-US"/>
        </w:rPr>
        <w:t xml:space="preserve"> their</w:t>
      </w:r>
      <w:r w:rsidRPr="002E60EB">
        <w:rPr>
          <w:lang w:val="en-US"/>
        </w:rPr>
        <w:t xml:space="preserve"> rifle butts and kicking him.</w:t>
      </w:r>
      <w:r w:rsidRPr="002E60EB">
        <w:rPr>
          <w:rStyle w:val="Refdenotaalpie"/>
          <w:rFonts w:eastAsia="Calibri" w:cs="Arial"/>
          <w:lang w:val="en-US"/>
        </w:rPr>
        <w:footnoteReference w:id="77"/>
      </w:r>
      <w:r w:rsidRPr="002E60EB">
        <w:rPr>
          <w:lang w:val="en-US"/>
        </w:rPr>
        <w:t xml:space="preserve"> </w:t>
      </w:r>
      <w:r w:rsidR="00087093" w:rsidRPr="002E60EB">
        <w:rPr>
          <w:lang w:val="en-US"/>
        </w:rPr>
        <w:t>“</w:t>
      </w:r>
      <w:r w:rsidRPr="002E60EB">
        <w:rPr>
          <w:lang w:val="en-US"/>
        </w:rPr>
        <w:t xml:space="preserve">Three soldiers realized that [Mr. Vélez Restrepo] was filming the incident and rushed </w:t>
      </w:r>
      <w:r w:rsidR="004A031E" w:rsidRPr="002E60EB">
        <w:rPr>
          <w:lang w:val="en-US"/>
        </w:rPr>
        <w:t>up to</w:t>
      </w:r>
      <w:r w:rsidRPr="002E60EB">
        <w:rPr>
          <w:lang w:val="en-US"/>
        </w:rPr>
        <w:t xml:space="preserve"> him.</w:t>
      </w:r>
      <w:r w:rsidR="00087093" w:rsidRPr="002E60EB">
        <w:rPr>
          <w:lang w:val="en-US"/>
        </w:rPr>
        <w:t>”</w:t>
      </w:r>
      <w:r w:rsidRPr="002E60EB">
        <w:rPr>
          <w:rStyle w:val="Refdenotaalpie"/>
          <w:rFonts w:eastAsia="Calibri" w:cs="Arial"/>
          <w:lang w:val="en-US"/>
        </w:rPr>
        <w:footnoteReference w:id="78"/>
      </w:r>
      <w:r w:rsidRPr="002E60EB">
        <w:rPr>
          <w:lang w:val="en-US"/>
        </w:rPr>
        <w:t xml:space="preserve"> In addition, a </w:t>
      </w:r>
      <w:r w:rsidR="00A16F6B" w:rsidRPr="002E60EB">
        <w:rPr>
          <w:lang w:val="en-US"/>
        </w:rPr>
        <w:t>C</w:t>
      </w:r>
      <w:r w:rsidRPr="002E60EB">
        <w:rPr>
          <w:lang w:val="en-US"/>
        </w:rPr>
        <w:t xml:space="preserve">ommander of </w:t>
      </w:r>
      <w:r w:rsidR="00A16F6B" w:rsidRPr="002E60EB">
        <w:rPr>
          <w:lang w:val="en-US"/>
        </w:rPr>
        <w:t>the Twelfth B</w:t>
      </w:r>
      <w:r w:rsidRPr="002E60EB">
        <w:rPr>
          <w:lang w:val="en-US"/>
        </w:rPr>
        <w:t>attalion ordered that Mr. Vélez Restrepo’s video camera be seized.</w:t>
      </w:r>
      <w:r w:rsidRPr="002E60EB">
        <w:rPr>
          <w:rStyle w:val="Refdenotaalpie"/>
          <w:rFonts w:eastAsia="Calibri" w:cs="Arial"/>
          <w:lang w:val="en-US"/>
        </w:rPr>
        <w:footnoteReference w:id="79"/>
      </w:r>
      <w:r w:rsidRPr="002E60EB">
        <w:rPr>
          <w:lang w:val="en-US"/>
        </w:rPr>
        <w:t xml:space="preserve"> Mr. Vélez Restrepo was</w:t>
      </w:r>
      <w:r w:rsidR="00A16F6B" w:rsidRPr="002E60EB">
        <w:rPr>
          <w:lang w:val="en-US"/>
        </w:rPr>
        <w:t xml:space="preserve"> </w:t>
      </w:r>
      <w:r w:rsidRPr="002E60EB">
        <w:rPr>
          <w:lang w:val="en-US"/>
        </w:rPr>
        <w:t xml:space="preserve">physically </w:t>
      </w:r>
      <w:r w:rsidR="00A16F6B" w:rsidRPr="002E60EB">
        <w:rPr>
          <w:lang w:val="en-US"/>
        </w:rPr>
        <w:t xml:space="preserve">attacked </w:t>
      </w:r>
      <w:r w:rsidRPr="002E60EB">
        <w:rPr>
          <w:lang w:val="en-US"/>
        </w:rPr>
        <w:t xml:space="preserve">by several members of the </w:t>
      </w:r>
      <w:r w:rsidR="00A16F6B" w:rsidRPr="002E60EB">
        <w:rPr>
          <w:lang w:val="en-US"/>
        </w:rPr>
        <w:t>Twelfth</w:t>
      </w:r>
      <w:r w:rsidRPr="002E60EB">
        <w:rPr>
          <w:lang w:val="en-US"/>
        </w:rPr>
        <w:t xml:space="preserve"> Brigade of the National Army, who sought to stop him </w:t>
      </w:r>
      <w:r w:rsidR="00A16F6B" w:rsidRPr="002E60EB">
        <w:rPr>
          <w:lang w:val="en-US"/>
        </w:rPr>
        <w:t xml:space="preserve">continuing to </w:t>
      </w:r>
      <w:r w:rsidRPr="002E60EB">
        <w:rPr>
          <w:lang w:val="en-US"/>
        </w:rPr>
        <w:t xml:space="preserve">record the actions of the soldiers and </w:t>
      </w:r>
      <w:r w:rsidR="00A16F6B" w:rsidRPr="002E60EB">
        <w:rPr>
          <w:lang w:val="en-US"/>
        </w:rPr>
        <w:t xml:space="preserve">to </w:t>
      </w:r>
      <w:r w:rsidRPr="002E60EB">
        <w:rPr>
          <w:lang w:val="en-US"/>
        </w:rPr>
        <w:t xml:space="preserve">confiscate the </w:t>
      </w:r>
      <w:r w:rsidR="00A16F6B" w:rsidRPr="002E60EB">
        <w:rPr>
          <w:lang w:val="en-US"/>
        </w:rPr>
        <w:t>videotape</w:t>
      </w:r>
      <w:r w:rsidRPr="002E60EB">
        <w:rPr>
          <w:lang w:val="en-US"/>
        </w:rPr>
        <w:t xml:space="preserve"> </w:t>
      </w:r>
      <w:r w:rsidR="00A16F6B" w:rsidRPr="002E60EB">
        <w:rPr>
          <w:lang w:val="en-US"/>
        </w:rPr>
        <w:t xml:space="preserve">with </w:t>
      </w:r>
      <w:r w:rsidRPr="002E60EB">
        <w:rPr>
          <w:lang w:val="en-US"/>
        </w:rPr>
        <w:t xml:space="preserve">the recorded material. </w:t>
      </w:r>
      <w:r w:rsidR="00A13B86" w:rsidRPr="002E60EB">
        <w:rPr>
          <w:lang w:val="en-US"/>
        </w:rPr>
        <w:t>Mr. Vélez Restrepo stated that the</w:t>
      </w:r>
      <w:r w:rsidRPr="002E60EB">
        <w:rPr>
          <w:lang w:val="en-US"/>
        </w:rPr>
        <w:t xml:space="preserve"> soldiers who </w:t>
      </w:r>
      <w:r w:rsidR="00A13B86" w:rsidRPr="002E60EB">
        <w:rPr>
          <w:lang w:val="en-US"/>
        </w:rPr>
        <w:t xml:space="preserve">were </w:t>
      </w:r>
      <w:r w:rsidRPr="002E60EB">
        <w:rPr>
          <w:lang w:val="en-US"/>
        </w:rPr>
        <w:t>hit</w:t>
      </w:r>
      <w:r w:rsidR="00A13B86" w:rsidRPr="002E60EB">
        <w:rPr>
          <w:lang w:val="en-US"/>
        </w:rPr>
        <w:t>ting</w:t>
      </w:r>
      <w:r w:rsidRPr="002E60EB">
        <w:rPr>
          <w:lang w:val="en-US"/>
        </w:rPr>
        <w:t xml:space="preserve"> </w:t>
      </w:r>
      <w:r w:rsidR="00F06B27" w:rsidRPr="002E60EB">
        <w:rPr>
          <w:lang w:val="en-US"/>
        </w:rPr>
        <w:t xml:space="preserve">stopped when another soldiers intervened to interrupt the attack, and helped </w:t>
      </w:r>
      <w:r w:rsidRPr="002E60EB">
        <w:rPr>
          <w:lang w:val="en-US"/>
        </w:rPr>
        <w:t xml:space="preserve">him reach the place where a group of journalists </w:t>
      </w:r>
      <w:r w:rsidR="00A13B86" w:rsidRPr="002E60EB">
        <w:rPr>
          <w:lang w:val="en-US"/>
        </w:rPr>
        <w:t xml:space="preserve">were </w:t>
      </w:r>
      <w:r w:rsidRPr="002E60EB">
        <w:rPr>
          <w:lang w:val="en-US"/>
        </w:rPr>
        <w:t>gathered.</w:t>
      </w:r>
      <w:r w:rsidRPr="002E60EB">
        <w:rPr>
          <w:rStyle w:val="Refdenotaalpie"/>
          <w:rFonts w:eastAsia="Calibri" w:cs="Arial"/>
          <w:lang w:val="en-US"/>
        </w:rPr>
        <w:footnoteReference w:id="80"/>
      </w:r>
      <w:r w:rsidRPr="002E60EB">
        <w:rPr>
          <w:lang w:val="en-US"/>
        </w:rPr>
        <w:t xml:space="preserve"> The attack perpetrated by soldiers destroyed the camera but not the videotape</w:t>
      </w:r>
      <w:r w:rsidR="0011005B" w:rsidRPr="002E60EB">
        <w:rPr>
          <w:lang w:val="en-US"/>
        </w:rPr>
        <w:t xml:space="preserve">; thus the incident </w:t>
      </w:r>
      <w:r w:rsidRPr="002E60EB">
        <w:rPr>
          <w:lang w:val="en-US"/>
        </w:rPr>
        <w:t xml:space="preserve">remained recorded and was disseminated </w:t>
      </w:r>
      <w:r w:rsidR="0011005B" w:rsidRPr="002E60EB">
        <w:rPr>
          <w:lang w:val="en-US"/>
        </w:rPr>
        <w:t>extensively in the media</w:t>
      </w:r>
      <w:r w:rsidRPr="002E60EB">
        <w:rPr>
          <w:lang w:val="en-US"/>
        </w:rPr>
        <w:t xml:space="preserve"> as of that day.</w:t>
      </w:r>
      <w:r w:rsidRPr="002E60EB">
        <w:rPr>
          <w:rStyle w:val="Refdenotaalpie"/>
          <w:rFonts w:eastAsia="Calibri" w:cs="Arial"/>
          <w:lang w:val="en-US"/>
        </w:rPr>
        <w:footnoteReference w:id="81"/>
      </w:r>
      <w:r w:rsidRPr="002E60EB">
        <w:rPr>
          <w:lang w:val="en-US"/>
        </w:rPr>
        <w:t xml:space="preserve"> From the recording, it </w:t>
      </w:r>
      <w:r w:rsidR="00F41CE9" w:rsidRPr="002E60EB">
        <w:rPr>
          <w:lang w:val="en-US"/>
        </w:rPr>
        <w:t>can be</w:t>
      </w:r>
      <w:r w:rsidRPr="002E60EB">
        <w:rPr>
          <w:lang w:val="en-US"/>
        </w:rPr>
        <w:t xml:space="preserve"> see</w:t>
      </w:r>
      <w:r w:rsidR="00F41CE9" w:rsidRPr="002E60EB">
        <w:rPr>
          <w:lang w:val="en-US"/>
        </w:rPr>
        <w:t>n</w:t>
      </w:r>
      <w:r w:rsidRPr="002E60EB">
        <w:rPr>
          <w:lang w:val="en-US"/>
        </w:rPr>
        <w:t xml:space="preserve"> that several men with</w:t>
      </w:r>
      <w:r w:rsidR="00F41CE9" w:rsidRPr="002E60EB">
        <w:rPr>
          <w:lang w:val="en-US"/>
        </w:rPr>
        <w:t xml:space="preserve"> military</w:t>
      </w:r>
      <w:r w:rsidRPr="002E60EB">
        <w:rPr>
          <w:lang w:val="en-US"/>
        </w:rPr>
        <w:t xml:space="preserve"> clothing and boots </w:t>
      </w:r>
      <w:r w:rsidR="00F06B27" w:rsidRPr="002E60EB">
        <w:rPr>
          <w:lang w:val="en-US"/>
        </w:rPr>
        <w:t xml:space="preserve">physically </w:t>
      </w:r>
      <w:r w:rsidR="00F41CE9" w:rsidRPr="002E60EB">
        <w:rPr>
          <w:lang w:val="en-US"/>
        </w:rPr>
        <w:t xml:space="preserve">attacked </w:t>
      </w:r>
      <w:r w:rsidRPr="002E60EB">
        <w:rPr>
          <w:lang w:val="en-US"/>
        </w:rPr>
        <w:t xml:space="preserve">Mr. Vélez Restrepo, while </w:t>
      </w:r>
      <w:r w:rsidR="00F41CE9" w:rsidRPr="002E60EB">
        <w:rPr>
          <w:lang w:val="en-US"/>
        </w:rPr>
        <w:t xml:space="preserve">repeatedly </w:t>
      </w:r>
      <w:r w:rsidRPr="002E60EB">
        <w:rPr>
          <w:lang w:val="en-US"/>
        </w:rPr>
        <w:t xml:space="preserve">shouting phrases such as </w:t>
      </w:r>
      <w:r w:rsidR="00087093" w:rsidRPr="002E60EB">
        <w:rPr>
          <w:lang w:val="en-US"/>
        </w:rPr>
        <w:t>“</w:t>
      </w:r>
      <w:r w:rsidRPr="002E60EB">
        <w:rPr>
          <w:lang w:val="en-US"/>
        </w:rPr>
        <w:t xml:space="preserve">Get that </w:t>
      </w:r>
      <w:r w:rsidR="000C296C" w:rsidRPr="002E60EB">
        <w:rPr>
          <w:lang w:val="en-US"/>
        </w:rPr>
        <w:t>[…]</w:t>
      </w:r>
      <w:r w:rsidRPr="002E60EB">
        <w:rPr>
          <w:lang w:val="en-US"/>
        </w:rPr>
        <w:t xml:space="preserve"> cassette.</w:t>
      </w:r>
      <w:r w:rsidR="00F41CE9" w:rsidRPr="002E60EB">
        <w:rPr>
          <w:lang w:val="en-US"/>
        </w:rPr>
        <w:t>”</w:t>
      </w:r>
      <w:r w:rsidRPr="002E60EB">
        <w:rPr>
          <w:rStyle w:val="Refdenotaalpie"/>
          <w:rFonts w:eastAsia="Calibri" w:cs="Arial"/>
          <w:lang w:val="en-US"/>
        </w:rPr>
        <w:footnoteReference w:id="82"/>
      </w:r>
      <w:r w:rsidRPr="002E60EB">
        <w:rPr>
          <w:rFonts w:eastAsia="Calibri" w:cs="Arial"/>
          <w:lang w:val="en-US"/>
        </w:rPr>
        <w:t xml:space="preserve"> </w:t>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Because of the beating, Mr. Vélez Restrepo had to be taken to the </w:t>
      </w:r>
      <w:r w:rsidRPr="002E60EB">
        <w:rPr>
          <w:rFonts w:eastAsia="Calibri" w:cs="Arial"/>
          <w:lang w:val="en-US"/>
        </w:rPr>
        <w:t xml:space="preserve">María Auxiliadora </w:t>
      </w:r>
      <w:r w:rsidR="00F41CE9" w:rsidRPr="002E60EB">
        <w:rPr>
          <w:lang w:val="en-US"/>
        </w:rPr>
        <w:t xml:space="preserve">Hospital </w:t>
      </w:r>
      <w:r w:rsidR="00F41CE9" w:rsidRPr="002E60EB">
        <w:rPr>
          <w:rFonts w:eastAsia="Calibri" w:cs="Arial"/>
          <w:lang w:val="en-US"/>
        </w:rPr>
        <w:t>of</w:t>
      </w:r>
      <w:r w:rsidRPr="002E60EB">
        <w:rPr>
          <w:rFonts w:eastAsia="Calibri" w:cs="Arial"/>
          <w:lang w:val="en-US"/>
        </w:rPr>
        <w:t xml:space="preserve"> Florencia. </w:t>
      </w:r>
      <w:r w:rsidRPr="002E60EB">
        <w:rPr>
          <w:lang w:val="en-US"/>
        </w:rPr>
        <w:t xml:space="preserve">According to the medical report </w:t>
      </w:r>
      <w:r w:rsidR="00F41CE9" w:rsidRPr="002E60EB">
        <w:rPr>
          <w:lang w:val="en-US"/>
        </w:rPr>
        <w:t xml:space="preserve">prepared </w:t>
      </w:r>
      <w:r w:rsidRPr="002E60EB">
        <w:rPr>
          <w:lang w:val="en-US"/>
        </w:rPr>
        <w:t>at th</w:t>
      </w:r>
      <w:r w:rsidR="00F41CE9" w:rsidRPr="002E60EB">
        <w:rPr>
          <w:lang w:val="en-US"/>
        </w:rPr>
        <w:t>is</w:t>
      </w:r>
      <w:r w:rsidRPr="002E60EB">
        <w:rPr>
          <w:lang w:val="en-US"/>
        </w:rPr>
        <w:t xml:space="preserve"> hospital on August 29, 1996, </w:t>
      </w:r>
      <w:r w:rsidR="00F41CE9" w:rsidRPr="002E60EB">
        <w:rPr>
          <w:lang w:val="en-US"/>
        </w:rPr>
        <w:t xml:space="preserve">Mr. </w:t>
      </w:r>
      <w:r w:rsidR="00F41CE9" w:rsidRPr="002E60EB">
        <w:rPr>
          <w:rFonts w:eastAsia="Calibri" w:cs="Arial"/>
          <w:lang w:val="en-US"/>
        </w:rPr>
        <w:t>Vélez Restrepo</w:t>
      </w:r>
      <w:r w:rsidRPr="002E60EB">
        <w:rPr>
          <w:lang w:val="en-US"/>
        </w:rPr>
        <w:t xml:space="preserve"> </w:t>
      </w:r>
      <w:r w:rsidR="00087093" w:rsidRPr="002E60EB">
        <w:rPr>
          <w:lang w:val="en-US"/>
        </w:rPr>
        <w:t>“</w:t>
      </w:r>
      <w:r w:rsidR="00F41CE9" w:rsidRPr="002E60EB">
        <w:rPr>
          <w:lang w:val="en-US"/>
        </w:rPr>
        <w:t>had recently suffered a</w:t>
      </w:r>
      <w:r w:rsidRPr="002E60EB">
        <w:rPr>
          <w:lang w:val="en-US"/>
        </w:rPr>
        <w:t xml:space="preserve"> </w:t>
      </w:r>
      <w:r w:rsidR="00F41CE9" w:rsidRPr="002E60EB">
        <w:rPr>
          <w:lang w:val="en-US"/>
        </w:rPr>
        <w:t xml:space="preserve">closed </w:t>
      </w:r>
      <w:r w:rsidRPr="002E60EB">
        <w:rPr>
          <w:lang w:val="en-US"/>
        </w:rPr>
        <w:t xml:space="preserve">abdominal trauma and inhalation of </w:t>
      </w:r>
      <w:r w:rsidR="00F41CE9" w:rsidRPr="002E60EB">
        <w:rPr>
          <w:lang w:val="en-US"/>
        </w:rPr>
        <w:t xml:space="preserve">a great deal of </w:t>
      </w:r>
      <w:r w:rsidRPr="002E60EB">
        <w:rPr>
          <w:lang w:val="en-US"/>
        </w:rPr>
        <w:t>gas</w:t>
      </w:r>
      <w:r w:rsidR="00087093" w:rsidRPr="002E60EB">
        <w:rPr>
          <w:lang w:val="en-US"/>
        </w:rPr>
        <w:t>”</w:t>
      </w:r>
      <w:r w:rsidR="00F41CE9" w:rsidRPr="002E60EB">
        <w:rPr>
          <w:lang w:val="en-US"/>
        </w:rPr>
        <w:t>;</w:t>
      </w:r>
      <w:r w:rsidRPr="002E60EB">
        <w:rPr>
          <w:lang w:val="en-US"/>
        </w:rPr>
        <w:t xml:space="preserve"> </w:t>
      </w:r>
      <w:r w:rsidR="00F41CE9" w:rsidRPr="002E60EB">
        <w:rPr>
          <w:lang w:val="en-US"/>
        </w:rPr>
        <w:t xml:space="preserve">he </w:t>
      </w:r>
      <w:r w:rsidR="00F06B27" w:rsidRPr="002E60EB">
        <w:rPr>
          <w:lang w:val="en-US"/>
        </w:rPr>
        <w:t>was</w:t>
      </w:r>
      <w:r w:rsidR="00F41CE9" w:rsidRPr="002E60EB">
        <w:rPr>
          <w:lang w:val="en-US"/>
        </w:rPr>
        <w:t xml:space="preserve"> admitted</w:t>
      </w:r>
      <w:r w:rsidRPr="002E60EB">
        <w:rPr>
          <w:lang w:val="en-US"/>
        </w:rPr>
        <w:t xml:space="preserve"> </w:t>
      </w:r>
      <w:r w:rsidR="00087093" w:rsidRPr="002E60EB">
        <w:rPr>
          <w:lang w:val="en-US"/>
        </w:rPr>
        <w:t>“</w:t>
      </w:r>
      <w:r w:rsidR="00F41CE9" w:rsidRPr="002E60EB">
        <w:rPr>
          <w:lang w:val="en-US"/>
        </w:rPr>
        <w:t>because he</w:t>
      </w:r>
      <w:r w:rsidRPr="002E60EB">
        <w:rPr>
          <w:lang w:val="en-US"/>
        </w:rPr>
        <w:t xml:space="preserve"> </w:t>
      </w:r>
      <w:r w:rsidR="00F41CE9" w:rsidRPr="002E60EB">
        <w:rPr>
          <w:lang w:val="en-US"/>
        </w:rPr>
        <w:t>had been beaten numerous times on the abdomen with a blunt instrument,</w:t>
      </w:r>
      <w:r w:rsidR="00087093" w:rsidRPr="002E60EB">
        <w:rPr>
          <w:lang w:val="en-US"/>
        </w:rPr>
        <w:t>”</w:t>
      </w:r>
      <w:r w:rsidRPr="002E60EB">
        <w:rPr>
          <w:lang w:val="en-US"/>
        </w:rPr>
        <w:t xml:space="preserve"> and it was noted that he felt </w:t>
      </w:r>
      <w:r w:rsidR="00087093" w:rsidRPr="002E60EB">
        <w:rPr>
          <w:lang w:val="en-US"/>
        </w:rPr>
        <w:t>“</w:t>
      </w:r>
      <w:r w:rsidRPr="002E60EB">
        <w:rPr>
          <w:lang w:val="en-US"/>
        </w:rPr>
        <w:t>sharp localized pain.</w:t>
      </w:r>
      <w:r w:rsidR="00087093" w:rsidRPr="002E60EB">
        <w:rPr>
          <w:lang w:val="en-US"/>
        </w:rPr>
        <w:t>”</w:t>
      </w:r>
      <w:r w:rsidR="00F41CE9" w:rsidRPr="002E60EB">
        <w:rPr>
          <w:rStyle w:val="Refdenotaalpie"/>
          <w:rFonts w:eastAsia="Calibri" w:cs="Arial"/>
          <w:lang w:val="en-US"/>
        </w:rPr>
        <w:footnoteReference w:id="83"/>
      </w:r>
      <w:r w:rsidRPr="002E60EB">
        <w:rPr>
          <w:lang w:val="en-US"/>
        </w:rPr>
        <w:t xml:space="preserve"> Th</w:t>
      </w:r>
      <w:r w:rsidR="00F41CE9" w:rsidRPr="002E60EB">
        <w:rPr>
          <w:lang w:val="en-US"/>
        </w:rPr>
        <w:t>e</w:t>
      </w:r>
      <w:r w:rsidRPr="002E60EB">
        <w:rPr>
          <w:lang w:val="en-US"/>
        </w:rPr>
        <w:t xml:space="preserve"> same day he was transferred by air to a clinic in Bogota.</w:t>
      </w:r>
      <w:r w:rsidR="00F41CE9" w:rsidRPr="002E60EB">
        <w:rPr>
          <w:rStyle w:val="Refdenotaalpie"/>
          <w:rFonts w:eastAsia="Calibri" w:cs="Arial"/>
          <w:lang w:val="en-US"/>
        </w:rPr>
        <w:footnoteReference w:id="84"/>
      </w:r>
      <w:r w:rsidRPr="002E60EB">
        <w:rPr>
          <w:lang w:val="en-US"/>
        </w:rPr>
        <w:t xml:space="preserve"> Mr. Vélez </w:t>
      </w:r>
      <w:r w:rsidR="00EE0AC0" w:rsidRPr="002E60EB">
        <w:rPr>
          <w:lang w:val="en-US"/>
        </w:rPr>
        <w:t>indicated that</w:t>
      </w:r>
      <w:r w:rsidRPr="002E60EB">
        <w:rPr>
          <w:lang w:val="en-US"/>
        </w:rPr>
        <w:t xml:space="preserve"> he felt severe pain in the chest, abdomen, and testicles,</w:t>
      </w:r>
      <w:r w:rsidRPr="002E60EB">
        <w:rPr>
          <w:rStyle w:val="Refdenotaalpie"/>
          <w:lang w:val="en-US"/>
        </w:rPr>
        <w:footnoteReference w:id="85"/>
      </w:r>
      <w:r w:rsidRPr="002E60EB">
        <w:rPr>
          <w:lang w:val="en-US"/>
        </w:rPr>
        <w:t xml:space="preserve"> and had a persistent cough that was treated with </w:t>
      </w:r>
      <w:r w:rsidR="00087093" w:rsidRPr="002E60EB">
        <w:rPr>
          <w:lang w:val="en-US"/>
        </w:rPr>
        <w:t>“</w:t>
      </w:r>
      <w:r w:rsidRPr="002E60EB">
        <w:rPr>
          <w:lang w:val="en-US"/>
        </w:rPr>
        <w:t>respiratory therapy</w:t>
      </w:r>
      <w:r w:rsidR="00EE0AC0" w:rsidRPr="002E60EB">
        <w:rPr>
          <w:rFonts w:eastAsia="Calibri"/>
          <w:lang w:val="en-US"/>
        </w:rPr>
        <w:t>.”</w:t>
      </w:r>
      <w:r w:rsidR="00EE0AC0" w:rsidRPr="002E60EB">
        <w:rPr>
          <w:rStyle w:val="Refdenotaalpie"/>
          <w:rFonts w:eastAsia="Calibri"/>
          <w:lang w:val="en-US"/>
        </w:rPr>
        <w:footnoteReference w:id="86"/>
      </w:r>
      <w:r w:rsidRPr="002E60EB">
        <w:rPr>
          <w:lang w:val="en-US"/>
        </w:rPr>
        <w:t xml:space="preserve"> </w:t>
      </w:r>
      <w:r w:rsidR="00EE0AC0" w:rsidRPr="002E60EB">
        <w:rPr>
          <w:lang w:val="en-US"/>
        </w:rPr>
        <w:t>The</w:t>
      </w:r>
      <w:r w:rsidRPr="002E60EB">
        <w:rPr>
          <w:lang w:val="en-US"/>
        </w:rPr>
        <w:t xml:space="preserve"> </w:t>
      </w:r>
      <w:r w:rsidR="00EE0AC0" w:rsidRPr="002E60EB">
        <w:rPr>
          <w:lang w:val="en-US"/>
        </w:rPr>
        <w:t xml:space="preserve">report of the </w:t>
      </w:r>
      <w:r w:rsidRPr="002E60EB">
        <w:rPr>
          <w:lang w:val="en-US"/>
        </w:rPr>
        <w:t>examinatio</w:t>
      </w:r>
      <w:r w:rsidR="00EE0AC0" w:rsidRPr="002E60EB">
        <w:rPr>
          <w:lang w:val="en-US"/>
        </w:rPr>
        <w:t>n</w:t>
      </w:r>
      <w:r w:rsidRPr="002E60EB">
        <w:rPr>
          <w:lang w:val="en-US"/>
        </w:rPr>
        <w:t xml:space="preserve"> </w:t>
      </w:r>
      <w:r w:rsidR="00EE0AC0" w:rsidRPr="002E60EB">
        <w:rPr>
          <w:lang w:val="en-US"/>
        </w:rPr>
        <w:t>made</w:t>
      </w:r>
      <w:r w:rsidRPr="002E60EB">
        <w:rPr>
          <w:lang w:val="en-US"/>
        </w:rPr>
        <w:t xml:space="preserve"> at t</w:t>
      </w:r>
      <w:r w:rsidR="00EE0AC0" w:rsidRPr="002E60EB">
        <w:rPr>
          <w:lang w:val="en-US"/>
        </w:rPr>
        <w:t xml:space="preserve">he </w:t>
      </w:r>
      <w:r w:rsidRPr="002E60EB">
        <w:rPr>
          <w:lang w:val="en-US"/>
        </w:rPr>
        <w:t xml:space="preserve">Bogotá </w:t>
      </w:r>
      <w:r w:rsidR="00EE0AC0" w:rsidRPr="002E60EB">
        <w:rPr>
          <w:lang w:val="en-US"/>
        </w:rPr>
        <w:t xml:space="preserve">clinic </w:t>
      </w:r>
      <w:r w:rsidRPr="002E60EB">
        <w:rPr>
          <w:lang w:val="en-US"/>
        </w:rPr>
        <w:t xml:space="preserve">on the night of August 29, 1996, </w:t>
      </w:r>
      <w:r w:rsidR="00EE0AC0" w:rsidRPr="002E60EB">
        <w:rPr>
          <w:lang w:val="en-US"/>
        </w:rPr>
        <w:t>mentions</w:t>
      </w:r>
      <w:r w:rsidRPr="002E60EB">
        <w:rPr>
          <w:lang w:val="en-US"/>
        </w:rPr>
        <w:t xml:space="preserve"> that the patient had</w:t>
      </w:r>
      <w:r w:rsidR="00EE0AC0" w:rsidRPr="002E60EB">
        <w:rPr>
          <w:lang w:val="en-US"/>
        </w:rPr>
        <w:t xml:space="preserve"> an</w:t>
      </w:r>
      <w:r w:rsidRPr="002E60EB">
        <w:rPr>
          <w:lang w:val="en-US"/>
        </w:rPr>
        <w:t xml:space="preserve"> </w:t>
      </w:r>
      <w:r w:rsidR="00087093" w:rsidRPr="002E60EB">
        <w:rPr>
          <w:lang w:val="en-US"/>
        </w:rPr>
        <w:t>“</w:t>
      </w:r>
      <w:r w:rsidRPr="002E60EB">
        <w:rPr>
          <w:lang w:val="en-US"/>
        </w:rPr>
        <w:t>ec</w:t>
      </w:r>
      <w:r w:rsidR="00F06B27" w:rsidRPr="002E60EB">
        <w:rPr>
          <w:lang w:val="en-US"/>
        </w:rPr>
        <w:t>h</w:t>
      </w:r>
      <w:r w:rsidRPr="002E60EB">
        <w:rPr>
          <w:lang w:val="en-US"/>
        </w:rPr>
        <w:t>o</w:t>
      </w:r>
      <w:r w:rsidR="00EE0AC0" w:rsidRPr="002E60EB">
        <w:rPr>
          <w:lang w:val="en-US"/>
        </w:rPr>
        <w:t>[gram]</w:t>
      </w:r>
      <w:r w:rsidRPr="002E60EB">
        <w:rPr>
          <w:b/>
          <w:lang w:val="en-US"/>
        </w:rPr>
        <w:t xml:space="preserve"> </w:t>
      </w:r>
      <w:r w:rsidRPr="002E60EB">
        <w:rPr>
          <w:lang w:val="en-US"/>
        </w:rPr>
        <w:t>of the abdomen that show</w:t>
      </w:r>
      <w:r w:rsidR="00EE0AC0" w:rsidRPr="002E60EB">
        <w:rPr>
          <w:lang w:val="en-US"/>
        </w:rPr>
        <w:t>[</w:t>
      </w:r>
      <w:r w:rsidRPr="002E60EB">
        <w:rPr>
          <w:lang w:val="en-US"/>
        </w:rPr>
        <w:t>ed</w:t>
      </w:r>
      <w:r w:rsidR="00EE0AC0" w:rsidRPr="002E60EB">
        <w:rPr>
          <w:lang w:val="en-US"/>
        </w:rPr>
        <w:t>]</w:t>
      </w:r>
      <w:r w:rsidRPr="002E60EB">
        <w:rPr>
          <w:lang w:val="en-US"/>
        </w:rPr>
        <w:t xml:space="preserve"> </w:t>
      </w:r>
      <w:r w:rsidR="00EE0AC0" w:rsidRPr="002E60EB">
        <w:rPr>
          <w:lang w:val="en-US"/>
        </w:rPr>
        <w:t xml:space="preserve">that the </w:t>
      </w:r>
      <w:r w:rsidR="00D4616E" w:rsidRPr="002E60EB">
        <w:rPr>
          <w:lang w:val="en-US"/>
        </w:rPr>
        <w:t>liver, biliary tract</w:t>
      </w:r>
      <w:r w:rsidRPr="002E60EB">
        <w:rPr>
          <w:lang w:val="en-US"/>
        </w:rPr>
        <w:t xml:space="preserve"> and pancreas</w:t>
      </w:r>
      <w:r w:rsidR="00EE0AC0" w:rsidRPr="002E60EB">
        <w:rPr>
          <w:lang w:val="en-US"/>
        </w:rPr>
        <w:t xml:space="preserve"> were normal</w:t>
      </w:r>
      <w:r w:rsidR="00087093" w:rsidRPr="002E60EB">
        <w:rPr>
          <w:lang w:val="en-US"/>
        </w:rPr>
        <w:t>”</w:t>
      </w:r>
      <w:r w:rsidRPr="002E60EB">
        <w:rPr>
          <w:lang w:val="en-US"/>
        </w:rPr>
        <w:t xml:space="preserve"> and that there was no </w:t>
      </w:r>
      <w:r w:rsidR="00087093" w:rsidRPr="002E60EB">
        <w:rPr>
          <w:lang w:val="en-US"/>
        </w:rPr>
        <w:t>“</w:t>
      </w:r>
      <w:r w:rsidRPr="002E60EB">
        <w:rPr>
          <w:lang w:val="en-US"/>
        </w:rPr>
        <w:t>sign</w:t>
      </w:r>
      <w:r w:rsidR="00EE0AC0" w:rsidRPr="002E60EB">
        <w:rPr>
          <w:lang w:val="en-US"/>
        </w:rPr>
        <w:t>s</w:t>
      </w:r>
      <w:r w:rsidRPr="002E60EB">
        <w:rPr>
          <w:lang w:val="en-US"/>
        </w:rPr>
        <w:t xml:space="preserve"> of thoracic or abdominal injury.</w:t>
      </w:r>
      <w:r w:rsidR="00087093" w:rsidRPr="002E60EB">
        <w:rPr>
          <w:lang w:val="en-US"/>
        </w:rPr>
        <w:t>”</w:t>
      </w:r>
      <w:r w:rsidR="00EE0AC0" w:rsidRPr="002E60EB">
        <w:rPr>
          <w:rStyle w:val="Refdenotaalpie"/>
          <w:rFonts w:eastAsia="Calibri" w:cs="Arial"/>
          <w:lang w:val="en-US"/>
        </w:rPr>
        <w:footnoteReference w:id="87"/>
      </w:r>
      <w:r w:rsidRPr="002E60EB">
        <w:rPr>
          <w:lang w:val="en-US"/>
        </w:rPr>
        <w:t xml:space="preserve"> He was interned </w:t>
      </w:r>
      <w:r w:rsidR="00EE0AC0" w:rsidRPr="002E60EB">
        <w:rPr>
          <w:lang w:val="en-US"/>
        </w:rPr>
        <w:t>in</w:t>
      </w:r>
      <w:r w:rsidRPr="002E60EB">
        <w:rPr>
          <w:lang w:val="en-US"/>
        </w:rPr>
        <w:t xml:space="preserve"> the clinic until August 30, 1996,</w:t>
      </w:r>
      <w:r w:rsidR="00EE0AC0" w:rsidRPr="002E60EB">
        <w:rPr>
          <w:rStyle w:val="Refdenotaalpie1"/>
          <w:color w:val="auto"/>
          <w:sz w:val="20"/>
          <w:lang w:val="en-US"/>
        </w:rPr>
        <w:footnoteReference w:id="88"/>
      </w:r>
      <w:r w:rsidRPr="002E60EB">
        <w:rPr>
          <w:lang w:val="en-US"/>
        </w:rPr>
        <w:t xml:space="preserve"> and</w:t>
      </w:r>
      <w:r w:rsidR="00D4616E" w:rsidRPr="002E60EB">
        <w:rPr>
          <w:lang w:val="en-US"/>
        </w:rPr>
        <w:t xml:space="preserve"> </w:t>
      </w:r>
      <w:r w:rsidRPr="002E60EB">
        <w:rPr>
          <w:lang w:val="en-US"/>
        </w:rPr>
        <w:t>then</w:t>
      </w:r>
      <w:r w:rsidR="00EE0AC0" w:rsidRPr="002E60EB">
        <w:rPr>
          <w:lang w:val="en-US"/>
        </w:rPr>
        <w:t xml:space="preserve"> </w:t>
      </w:r>
      <w:r w:rsidR="00D4616E" w:rsidRPr="002E60EB">
        <w:rPr>
          <w:lang w:val="en-US"/>
        </w:rPr>
        <w:t xml:space="preserve">had a 15-day disability leave </w:t>
      </w:r>
      <w:r w:rsidRPr="002E60EB">
        <w:rPr>
          <w:lang w:val="en-US"/>
        </w:rPr>
        <w:t>at home.</w:t>
      </w:r>
      <w:r w:rsidRPr="002E60EB">
        <w:rPr>
          <w:rStyle w:val="Refdenotaalpie"/>
          <w:rFonts w:eastAsia="Calibri" w:cs="Arial"/>
          <w:lang w:val="en-US"/>
        </w:rPr>
        <w:footnoteReference w:id="89"/>
      </w:r>
      <w:r w:rsidRPr="002E60EB">
        <w:rPr>
          <w:lang w:val="en-US"/>
        </w:rPr>
        <w:t xml:space="preserve"> According to the medical </w:t>
      </w:r>
      <w:r w:rsidR="00EE0AC0" w:rsidRPr="002E60EB">
        <w:rPr>
          <w:lang w:val="en-US"/>
        </w:rPr>
        <w:t xml:space="preserve">examination </w:t>
      </w:r>
      <w:r w:rsidRPr="002E60EB">
        <w:rPr>
          <w:lang w:val="en-US"/>
        </w:rPr>
        <w:t xml:space="preserve">carried out on Mr. Vélez, on </w:t>
      </w:r>
      <w:r w:rsidR="00EE0AC0" w:rsidRPr="002E60EB">
        <w:rPr>
          <w:lang w:val="en-US"/>
        </w:rPr>
        <w:t xml:space="preserve">September </w:t>
      </w:r>
      <w:r w:rsidRPr="002E60EB">
        <w:rPr>
          <w:lang w:val="en-US"/>
        </w:rPr>
        <w:t xml:space="preserve">4, 1996, </w:t>
      </w:r>
      <w:r w:rsidR="00EE0AC0" w:rsidRPr="002E60EB">
        <w:rPr>
          <w:lang w:val="en-US"/>
        </w:rPr>
        <w:t>at</w:t>
      </w:r>
      <w:r w:rsidRPr="002E60EB">
        <w:rPr>
          <w:lang w:val="en-US"/>
        </w:rPr>
        <w:t xml:space="preserve"> the </w:t>
      </w:r>
      <w:r w:rsidR="00EE0AC0" w:rsidRPr="002E60EB">
        <w:rPr>
          <w:lang w:val="en-US"/>
        </w:rPr>
        <w:t xml:space="preserve">said </w:t>
      </w:r>
      <w:r w:rsidRPr="002E60EB">
        <w:rPr>
          <w:lang w:val="en-US"/>
        </w:rPr>
        <w:t xml:space="preserve">clinic, the </w:t>
      </w:r>
      <w:r w:rsidR="00087093" w:rsidRPr="002E60EB">
        <w:rPr>
          <w:lang w:val="en-US"/>
        </w:rPr>
        <w:t>“</w:t>
      </w:r>
      <w:r w:rsidRPr="002E60EB">
        <w:rPr>
          <w:lang w:val="en-US"/>
        </w:rPr>
        <w:t xml:space="preserve">patient </w:t>
      </w:r>
      <w:r w:rsidR="000C296C" w:rsidRPr="002E60EB">
        <w:rPr>
          <w:lang w:val="en-US"/>
        </w:rPr>
        <w:t>[…]</w:t>
      </w:r>
      <w:r w:rsidRPr="002E60EB">
        <w:rPr>
          <w:lang w:val="en-US"/>
        </w:rPr>
        <w:t xml:space="preserve"> s</w:t>
      </w:r>
      <w:r w:rsidR="00EE0AC0" w:rsidRPr="002E60EB">
        <w:rPr>
          <w:lang w:val="en-US"/>
        </w:rPr>
        <w:t>aid</w:t>
      </w:r>
      <w:r w:rsidRPr="002E60EB">
        <w:rPr>
          <w:lang w:val="en-US"/>
        </w:rPr>
        <w:t xml:space="preserve"> that he felt </w:t>
      </w:r>
      <w:r w:rsidR="00EE0AC0" w:rsidRPr="002E60EB">
        <w:rPr>
          <w:lang w:val="en-US"/>
        </w:rPr>
        <w:t xml:space="preserve">very </w:t>
      </w:r>
      <w:r w:rsidRPr="002E60EB">
        <w:rPr>
          <w:lang w:val="en-US"/>
        </w:rPr>
        <w:t>well except that he was suffering from insomnia.</w:t>
      </w:r>
      <w:r w:rsidR="00087093" w:rsidRPr="002E60EB">
        <w:rPr>
          <w:lang w:val="en-US"/>
        </w:rPr>
        <w:t>”</w:t>
      </w:r>
      <w:r w:rsidR="00EE0AC0" w:rsidRPr="002E60EB">
        <w:rPr>
          <w:rStyle w:val="Refdenotaalpie"/>
          <w:rFonts w:eastAsia="Calibri" w:cs="Arial"/>
          <w:lang w:val="en-US"/>
        </w:rPr>
        <w:footnoteReference w:id="90"/>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On August 29, 1996, the Commander of the </w:t>
      </w:r>
      <w:r w:rsidR="009C746C" w:rsidRPr="002E60EB">
        <w:rPr>
          <w:lang w:val="en-US"/>
        </w:rPr>
        <w:t xml:space="preserve">Army’s Twelfth </w:t>
      </w:r>
      <w:r w:rsidRPr="002E60EB">
        <w:rPr>
          <w:lang w:val="en-US"/>
        </w:rPr>
        <w:t xml:space="preserve">Brigade, General Nestor Ramirez Mejia, publicly denied the occurrence of the attack by members of the </w:t>
      </w:r>
      <w:r w:rsidR="009C746C" w:rsidRPr="002E60EB">
        <w:rPr>
          <w:lang w:val="en-US"/>
        </w:rPr>
        <w:t>A</w:t>
      </w:r>
      <w:r w:rsidRPr="002E60EB">
        <w:rPr>
          <w:lang w:val="en-US"/>
        </w:rPr>
        <w:t>rmy against Mr. Vélez Restrepo.</w:t>
      </w:r>
      <w:r w:rsidRPr="002E60EB">
        <w:rPr>
          <w:rStyle w:val="Refdenotaalpie"/>
          <w:rFonts w:eastAsia="Calibri" w:cs="Arial"/>
          <w:lang w:val="en-US"/>
        </w:rPr>
        <w:footnoteReference w:id="91"/>
      </w:r>
      <w:r w:rsidRPr="002E60EB">
        <w:rPr>
          <w:lang w:val="en-US"/>
        </w:rPr>
        <w:t xml:space="preserve"> The next day, the Commander of the </w:t>
      </w:r>
      <w:r w:rsidR="009C746C" w:rsidRPr="002E60EB">
        <w:rPr>
          <w:lang w:val="en-US"/>
        </w:rPr>
        <w:t xml:space="preserve">National </w:t>
      </w:r>
      <w:r w:rsidRPr="002E60EB">
        <w:rPr>
          <w:lang w:val="en-US"/>
        </w:rPr>
        <w:t xml:space="preserve">Army visited Mr. Vélez Restrepo at the Clinic in Bogota, where he expressed his regret for the attacks </w:t>
      </w:r>
      <w:r w:rsidR="00D4616E" w:rsidRPr="002E60EB">
        <w:rPr>
          <w:lang w:val="en-US"/>
        </w:rPr>
        <w:t xml:space="preserve">perpetrated against </w:t>
      </w:r>
      <w:r w:rsidRPr="002E60EB">
        <w:rPr>
          <w:lang w:val="en-US"/>
        </w:rPr>
        <w:t xml:space="preserve">him, apologized for the </w:t>
      </w:r>
      <w:r w:rsidR="00D4616E" w:rsidRPr="002E60EB">
        <w:rPr>
          <w:lang w:val="en-US"/>
        </w:rPr>
        <w:t>incident</w:t>
      </w:r>
      <w:r w:rsidRPr="002E60EB">
        <w:rPr>
          <w:lang w:val="en-US"/>
        </w:rPr>
        <w:t xml:space="preserve">, and stated that the corresponding investigations would </w:t>
      </w:r>
      <w:r w:rsidR="009C746C" w:rsidRPr="002E60EB">
        <w:rPr>
          <w:lang w:val="en-US"/>
        </w:rPr>
        <w:t>be undertaken</w:t>
      </w:r>
      <w:r w:rsidRPr="002E60EB">
        <w:rPr>
          <w:lang w:val="en-US"/>
        </w:rPr>
        <w:t xml:space="preserve">. </w:t>
      </w:r>
      <w:r w:rsidR="000F3982" w:rsidRPr="002E60EB">
        <w:rPr>
          <w:lang w:val="en-US"/>
        </w:rPr>
        <w:t>In addition</w:t>
      </w:r>
      <w:r w:rsidRPr="002E60EB">
        <w:rPr>
          <w:lang w:val="en-US"/>
        </w:rPr>
        <w:t xml:space="preserve">, the Minister of Defense and the Minister of the Interior stated that it was </w:t>
      </w:r>
      <w:r w:rsidR="009C746C" w:rsidRPr="002E60EB">
        <w:rPr>
          <w:lang w:val="en-US"/>
        </w:rPr>
        <w:t xml:space="preserve">regrettable </w:t>
      </w:r>
      <w:r w:rsidRPr="002E60EB">
        <w:rPr>
          <w:lang w:val="en-US"/>
        </w:rPr>
        <w:t>that</w:t>
      </w:r>
      <w:r w:rsidR="009C746C" w:rsidRPr="002E60EB">
        <w:rPr>
          <w:lang w:val="en-US"/>
        </w:rPr>
        <w:t xml:space="preserve"> this</w:t>
      </w:r>
      <w:r w:rsidRPr="002E60EB">
        <w:rPr>
          <w:lang w:val="en-US"/>
        </w:rPr>
        <w:t xml:space="preserve"> attack </w:t>
      </w:r>
      <w:r w:rsidR="009C746C" w:rsidRPr="002E60EB">
        <w:rPr>
          <w:lang w:val="en-US"/>
        </w:rPr>
        <w:t xml:space="preserve">had been </w:t>
      </w:r>
      <w:r w:rsidRPr="002E60EB">
        <w:rPr>
          <w:lang w:val="en-US"/>
        </w:rPr>
        <w:t xml:space="preserve">carried out against Mr. Vélez Restrepo, which </w:t>
      </w:r>
      <w:r w:rsidR="009C746C" w:rsidRPr="002E60EB">
        <w:rPr>
          <w:lang w:val="en-US"/>
        </w:rPr>
        <w:t>constituted an</w:t>
      </w:r>
      <w:r w:rsidRPr="002E60EB">
        <w:rPr>
          <w:lang w:val="en-US"/>
        </w:rPr>
        <w:t xml:space="preserve"> </w:t>
      </w:r>
      <w:r w:rsidR="00087093" w:rsidRPr="002E60EB">
        <w:rPr>
          <w:lang w:val="en-US"/>
        </w:rPr>
        <w:t>“</w:t>
      </w:r>
      <w:r w:rsidRPr="002E60EB">
        <w:rPr>
          <w:lang w:val="en-US"/>
        </w:rPr>
        <w:t>isolated incident,</w:t>
      </w:r>
      <w:r w:rsidR="00087093" w:rsidRPr="002E60EB">
        <w:rPr>
          <w:lang w:val="en-US"/>
        </w:rPr>
        <w:t>”</w:t>
      </w:r>
      <w:r w:rsidRPr="002E60EB">
        <w:rPr>
          <w:lang w:val="en-US"/>
        </w:rPr>
        <w:t xml:space="preserve"> an </w:t>
      </w:r>
      <w:r w:rsidR="00087093" w:rsidRPr="002E60EB">
        <w:rPr>
          <w:lang w:val="en-US"/>
        </w:rPr>
        <w:t>“</w:t>
      </w:r>
      <w:r w:rsidR="009C746C" w:rsidRPr="002E60EB">
        <w:rPr>
          <w:lang w:val="en-US"/>
        </w:rPr>
        <w:t>excess</w:t>
      </w:r>
      <w:r w:rsidR="00087093" w:rsidRPr="002E60EB">
        <w:rPr>
          <w:lang w:val="en-US"/>
        </w:rPr>
        <w:t>”</w:t>
      </w:r>
      <w:r w:rsidRPr="002E60EB">
        <w:rPr>
          <w:lang w:val="en-US"/>
        </w:rPr>
        <w:t xml:space="preserve"> that would not be tolerated by the </w:t>
      </w:r>
      <w:r w:rsidR="009C746C" w:rsidRPr="002E60EB">
        <w:rPr>
          <w:lang w:val="en-US"/>
        </w:rPr>
        <w:t>G</w:t>
      </w:r>
      <w:r w:rsidRPr="002E60EB">
        <w:rPr>
          <w:lang w:val="en-US"/>
        </w:rPr>
        <w:t>overnment, and should be punished.</w:t>
      </w:r>
      <w:r w:rsidR="009C746C" w:rsidRPr="002E60EB">
        <w:rPr>
          <w:rStyle w:val="Refdenotaalpie"/>
          <w:rFonts w:eastAsia="Calibri" w:cs="Arial"/>
          <w:lang w:val="en-US"/>
        </w:rPr>
        <w:footnoteReference w:id="92"/>
      </w:r>
    </w:p>
    <w:p w:rsidR="00E15BBF" w:rsidRPr="002E60EB" w:rsidRDefault="00E15BBF" w:rsidP="00317748">
      <w:pPr>
        <w:jc w:val="both"/>
        <w:rPr>
          <w:lang w:val="en-US"/>
        </w:rPr>
      </w:pPr>
    </w:p>
    <w:p w:rsidR="00E15BBF" w:rsidRPr="002E60EB" w:rsidRDefault="00CF7F35" w:rsidP="00317748">
      <w:pPr>
        <w:jc w:val="both"/>
        <w:rPr>
          <w:b/>
          <w:i/>
          <w:lang w:val="en-US"/>
        </w:rPr>
      </w:pPr>
      <w:r w:rsidRPr="002E60EB">
        <w:rPr>
          <w:b/>
          <w:i/>
          <w:lang w:val="en-US"/>
        </w:rPr>
        <w:t>B)</w:t>
      </w:r>
      <w:r w:rsidRPr="002E60EB">
        <w:rPr>
          <w:b/>
          <w:i/>
          <w:lang w:val="en-US"/>
        </w:rPr>
        <w:tab/>
        <w:t xml:space="preserve">Facts subsequent to </w:t>
      </w:r>
      <w:r w:rsidR="00E15BBF" w:rsidRPr="002E60EB">
        <w:rPr>
          <w:b/>
          <w:i/>
          <w:lang w:val="en-US"/>
        </w:rPr>
        <w:t>the attack of August 29, 1996</w:t>
      </w:r>
    </w:p>
    <w:p w:rsidR="00E15BBF" w:rsidRPr="002E60EB" w:rsidRDefault="00E15BBF" w:rsidP="00317748">
      <w:pPr>
        <w:pStyle w:val="ColorfulList-Accent11"/>
        <w:ind w:left="0"/>
        <w:rPr>
          <w:rFonts w:eastAsia="Calibri" w:cs="Arial"/>
          <w:color w:val="0000FF"/>
          <w:lang w:val="en-US"/>
        </w:rPr>
      </w:pPr>
    </w:p>
    <w:p w:rsidR="00E26E4C" w:rsidRPr="002E60EB" w:rsidRDefault="00E15BBF" w:rsidP="00317748">
      <w:pPr>
        <w:pStyle w:val="Prrafodelista2"/>
        <w:numPr>
          <w:ilvl w:val="0"/>
          <w:numId w:val="1"/>
        </w:numPr>
        <w:tabs>
          <w:tab w:val="num" w:pos="0"/>
          <w:tab w:val="left" w:pos="720"/>
        </w:tabs>
        <w:ind w:left="0"/>
        <w:contextualSpacing/>
        <w:jc w:val="both"/>
        <w:rPr>
          <w:lang w:val="en-US"/>
        </w:rPr>
      </w:pPr>
      <w:r w:rsidRPr="002E60EB">
        <w:rPr>
          <w:lang w:val="en-US"/>
        </w:rPr>
        <w:t xml:space="preserve">At the time of the facts of this case and </w:t>
      </w:r>
      <w:r w:rsidR="00D86FE1" w:rsidRPr="002E60EB">
        <w:rPr>
          <w:lang w:val="en-US"/>
        </w:rPr>
        <w:t>in the following years</w:t>
      </w:r>
      <w:r w:rsidRPr="002E60EB">
        <w:rPr>
          <w:lang w:val="en-US"/>
        </w:rPr>
        <w:t xml:space="preserve">, there </w:t>
      </w:r>
      <w:r w:rsidR="00D86FE1" w:rsidRPr="002E60EB">
        <w:rPr>
          <w:lang w:val="en-US"/>
        </w:rPr>
        <w:t xml:space="preserve">was a context of special risk for </w:t>
      </w:r>
      <w:r w:rsidRPr="002E60EB">
        <w:rPr>
          <w:lang w:val="en-US"/>
        </w:rPr>
        <w:t>journalists and social commentators</w:t>
      </w:r>
      <w:r w:rsidR="00D86FE1" w:rsidRPr="002E60EB">
        <w:rPr>
          <w:lang w:val="en-US"/>
        </w:rPr>
        <w:t xml:space="preserve"> to carry out their work</w:t>
      </w:r>
      <w:r w:rsidRPr="002E60EB">
        <w:rPr>
          <w:lang w:val="en-US"/>
        </w:rPr>
        <w:t xml:space="preserve"> in Colombia</w:t>
      </w:r>
      <w:r w:rsidR="00D86FE1" w:rsidRPr="002E60EB">
        <w:rPr>
          <w:lang w:val="en-US"/>
        </w:rPr>
        <w:t>, owing to acts of violence, threats and harassment by those involved in the internal armed conflict, including armed</w:t>
      </w:r>
      <w:r w:rsidRPr="002E60EB">
        <w:rPr>
          <w:lang w:val="en-US"/>
        </w:rPr>
        <w:t xml:space="preserve"> dissident groups, paramilitar</w:t>
      </w:r>
      <w:r w:rsidR="00D86FE1" w:rsidRPr="002E60EB">
        <w:rPr>
          <w:lang w:val="en-US"/>
        </w:rPr>
        <w:t>y groups</w:t>
      </w:r>
      <w:r w:rsidRPr="002E60EB">
        <w:rPr>
          <w:lang w:val="en-US"/>
        </w:rPr>
        <w:t xml:space="preserve">, and some members of the </w:t>
      </w:r>
      <w:r w:rsidR="00D86FE1" w:rsidRPr="002E60EB">
        <w:rPr>
          <w:lang w:val="en-US"/>
        </w:rPr>
        <w:t>A</w:t>
      </w:r>
      <w:r w:rsidRPr="002E60EB">
        <w:rPr>
          <w:lang w:val="en-US"/>
        </w:rPr>
        <w:t xml:space="preserve">rmed </w:t>
      </w:r>
      <w:r w:rsidR="00D86FE1" w:rsidRPr="002E60EB">
        <w:rPr>
          <w:lang w:val="en-US"/>
        </w:rPr>
        <w:t>F</w:t>
      </w:r>
      <w:r w:rsidRPr="002E60EB">
        <w:rPr>
          <w:lang w:val="en-US"/>
        </w:rPr>
        <w:t xml:space="preserve">orces, as well as </w:t>
      </w:r>
      <w:r w:rsidR="00D86FE1" w:rsidRPr="002E60EB">
        <w:rPr>
          <w:lang w:val="en-US"/>
        </w:rPr>
        <w:t>groups involved in ordinary crime</w:t>
      </w:r>
      <w:r w:rsidRPr="002E60EB">
        <w:rPr>
          <w:lang w:val="en-US"/>
        </w:rPr>
        <w:t>.</w:t>
      </w:r>
      <w:r w:rsidRPr="002E60EB">
        <w:rPr>
          <w:rStyle w:val="Refdenotaalpie"/>
          <w:lang w:val="en-US"/>
        </w:rPr>
        <w:footnoteReference w:id="93"/>
      </w:r>
      <w:r w:rsidRPr="002E60EB">
        <w:rPr>
          <w:lang w:val="en-US"/>
        </w:rPr>
        <w:t xml:space="preserve"> According to </w:t>
      </w:r>
      <w:r w:rsidR="003A7FA1" w:rsidRPr="002E60EB">
        <w:rPr>
          <w:lang w:val="en-US"/>
        </w:rPr>
        <w:t>the</w:t>
      </w:r>
      <w:r w:rsidRPr="002E60EB">
        <w:rPr>
          <w:lang w:val="en-US"/>
        </w:rPr>
        <w:t xml:space="preserve"> statistics of the</w:t>
      </w:r>
      <w:r w:rsidR="002B0F6C" w:rsidRPr="002E60EB">
        <w:rPr>
          <w:lang w:val="en-US"/>
        </w:rPr>
        <w:t xml:space="preserve"> </w:t>
      </w:r>
      <w:r w:rsidRPr="002E60EB">
        <w:rPr>
          <w:lang w:val="en-US"/>
        </w:rPr>
        <w:t>Prosecutor General</w:t>
      </w:r>
      <w:r w:rsidR="002B0F6C" w:rsidRPr="002E60EB">
        <w:rPr>
          <w:lang w:val="en-US"/>
        </w:rPr>
        <w:t>’s Office</w:t>
      </w:r>
      <w:r w:rsidRPr="002E60EB">
        <w:rPr>
          <w:lang w:val="en-US"/>
        </w:rPr>
        <w:t>, between 1995</w:t>
      </w:r>
      <w:r w:rsidR="009D5788" w:rsidRPr="002E60EB">
        <w:rPr>
          <w:lang w:val="en-US"/>
        </w:rPr>
        <w:t xml:space="preserve"> and 1998</w:t>
      </w:r>
      <w:r w:rsidRPr="002E60EB">
        <w:rPr>
          <w:lang w:val="en-US"/>
        </w:rPr>
        <w:t xml:space="preserve"> a total of 32 </w:t>
      </w:r>
      <w:r w:rsidR="00087093" w:rsidRPr="002E60EB">
        <w:rPr>
          <w:lang w:val="en-US"/>
        </w:rPr>
        <w:t>“</w:t>
      </w:r>
      <w:r w:rsidRPr="002E60EB">
        <w:rPr>
          <w:lang w:val="en-US"/>
        </w:rPr>
        <w:t>investigations</w:t>
      </w:r>
      <w:r w:rsidR="00E26E4C" w:rsidRPr="002E60EB">
        <w:rPr>
          <w:lang w:val="en-US"/>
        </w:rPr>
        <w:t xml:space="preserve"> [had been opened]</w:t>
      </w:r>
      <w:r w:rsidRPr="002E60EB">
        <w:rPr>
          <w:lang w:val="en-US"/>
        </w:rPr>
        <w:t xml:space="preserve"> where </w:t>
      </w:r>
      <w:r w:rsidR="00E26E4C" w:rsidRPr="002E60EB">
        <w:rPr>
          <w:lang w:val="en-US"/>
        </w:rPr>
        <w:t xml:space="preserve">the </w:t>
      </w:r>
      <w:r w:rsidRPr="002E60EB">
        <w:rPr>
          <w:lang w:val="en-US"/>
        </w:rPr>
        <w:t>victims were journalists</w:t>
      </w:r>
      <w:r w:rsidR="00087093" w:rsidRPr="002E60EB">
        <w:rPr>
          <w:lang w:val="en-US"/>
        </w:rPr>
        <w:t>”</w:t>
      </w:r>
      <w:r w:rsidRPr="002E60EB">
        <w:rPr>
          <w:lang w:val="en-US"/>
        </w:rPr>
        <w:t xml:space="preserve">: 25 for homicide, 3 for </w:t>
      </w:r>
      <w:r w:rsidR="00E26E4C" w:rsidRPr="002E60EB">
        <w:rPr>
          <w:lang w:val="en-US"/>
        </w:rPr>
        <w:t>kidnapping</w:t>
      </w:r>
      <w:r w:rsidRPr="002E60EB">
        <w:rPr>
          <w:lang w:val="en-US"/>
        </w:rPr>
        <w:t xml:space="preserve"> for </w:t>
      </w:r>
      <w:r w:rsidR="00E26E4C" w:rsidRPr="002E60EB">
        <w:rPr>
          <w:lang w:val="en-US"/>
        </w:rPr>
        <w:t>ransom</w:t>
      </w:r>
      <w:r w:rsidRPr="002E60EB">
        <w:rPr>
          <w:lang w:val="en-US"/>
        </w:rPr>
        <w:t>, 1 for threats, 1</w:t>
      </w:r>
      <w:r w:rsidR="00E26E4C" w:rsidRPr="002E60EB">
        <w:rPr>
          <w:lang w:val="en-US"/>
        </w:rPr>
        <w:t xml:space="preserve"> </w:t>
      </w:r>
      <w:r w:rsidRPr="002E60EB">
        <w:rPr>
          <w:lang w:val="en-US"/>
        </w:rPr>
        <w:t xml:space="preserve">for </w:t>
      </w:r>
      <w:r w:rsidR="00E26E4C" w:rsidRPr="002E60EB">
        <w:rPr>
          <w:lang w:val="en-US"/>
        </w:rPr>
        <w:t>robbery</w:t>
      </w:r>
      <w:r w:rsidRPr="002E60EB">
        <w:rPr>
          <w:lang w:val="en-US"/>
        </w:rPr>
        <w:t xml:space="preserve">, and 1 for attempted </w:t>
      </w:r>
      <w:r w:rsidR="00334C3C" w:rsidRPr="002E60EB">
        <w:rPr>
          <w:lang w:val="en-US"/>
        </w:rPr>
        <w:t>kidnapping</w:t>
      </w:r>
      <w:r w:rsidRPr="002E60EB">
        <w:rPr>
          <w:lang w:val="en-US"/>
        </w:rPr>
        <w:t>.</w:t>
      </w:r>
      <w:r w:rsidR="00E4076C" w:rsidRPr="002E60EB">
        <w:rPr>
          <w:rStyle w:val="Refdenotaalpie"/>
          <w:lang w:val="en-US"/>
        </w:rPr>
        <w:footnoteReference w:id="94"/>
      </w:r>
      <w:r w:rsidRPr="002E60EB">
        <w:rPr>
          <w:lang w:val="en-US"/>
        </w:rPr>
        <w:t xml:space="preserve"> Expert witness Tulande</w:t>
      </w:r>
      <w:r w:rsidR="00E26E4C" w:rsidRPr="002E60EB">
        <w:rPr>
          <w:lang w:val="en-US"/>
        </w:rPr>
        <w:t>, proposed by the State,</w:t>
      </w:r>
      <w:r w:rsidRPr="002E60EB">
        <w:rPr>
          <w:lang w:val="en-US"/>
        </w:rPr>
        <w:t xml:space="preserve"> </w:t>
      </w:r>
      <w:r w:rsidR="00E26E4C" w:rsidRPr="002E60EB">
        <w:rPr>
          <w:lang w:val="en-US"/>
        </w:rPr>
        <w:t xml:space="preserve">indicated </w:t>
      </w:r>
      <w:r w:rsidRPr="002E60EB">
        <w:rPr>
          <w:lang w:val="en-US"/>
        </w:rPr>
        <w:t>that</w:t>
      </w:r>
      <w:r w:rsidR="00E26E4C" w:rsidRPr="002E60EB">
        <w:rPr>
          <w:lang w:val="en-US"/>
        </w:rPr>
        <w:t xml:space="preserve">, in addition to the official statistics, it should be noted that </w:t>
      </w:r>
      <w:r w:rsidR="00087093" w:rsidRPr="002E60EB">
        <w:rPr>
          <w:lang w:val="en-US"/>
        </w:rPr>
        <w:t>“</w:t>
      </w:r>
      <w:r w:rsidRPr="002E60EB">
        <w:rPr>
          <w:lang w:val="en-US"/>
        </w:rPr>
        <w:t xml:space="preserve">many journalists </w:t>
      </w:r>
      <w:r w:rsidR="00E26E4C" w:rsidRPr="002E60EB">
        <w:rPr>
          <w:lang w:val="en-US"/>
        </w:rPr>
        <w:t xml:space="preserve">who </w:t>
      </w:r>
      <w:r w:rsidRPr="002E60EB">
        <w:rPr>
          <w:lang w:val="en-US"/>
        </w:rPr>
        <w:t>were threatened did not file complaints for two reasons: th</w:t>
      </w:r>
      <w:r w:rsidR="009D5788" w:rsidRPr="002E60EB">
        <w:rPr>
          <w:lang w:val="en-US"/>
        </w:rPr>
        <w:t>e strongest or most influential</w:t>
      </w:r>
      <w:r w:rsidRPr="002E60EB">
        <w:rPr>
          <w:lang w:val="en-US"/>
        </w:rPr>
        <w:t xml:space="preserve"> </w:t>
      </w:r>
      <w:r w:rsidR="00E26E4C" w:rsidRPr="002E60EB">
        <w:rPr>
          <w:lang w:val="en-US"/>
        </w:rPr>
        <w:t xml:space="preserve">was </w:t>
      </w:r>
      <w:r w:rsidRPr="002E60EB">
        <w:rPr>
          <w:lang w:val="en-US"/>
        </w:rPr>
        <w:t xml:space="preserve">the </w:t>
      </w:r>
      <w:r w:rsidR="009D5788" w:rsidRPr="002E60EB">
        <w:rPr>
          <w:lang w:val="en-US"/>
        </w:rPr>
        <w:t>danger</w:t>
      </w:r>
      <w:r w:rsidRPr="002E60EB">
        <w:rPr>
          <w:lang w:val="en-US"/>
        </w:rPr>
        <w:t xml:space="preserve"> </w:t>
      </w:r>
      <w:r w:rsidR="009D5788" w:rsidRPr="002E60EB">
        <w:rPr>
          <w:lang w:val="en-US"/>
        </w:rPr>
        <w:t xml:space="preserve">signified by </w:t>
      </w:r>
      <w:r w:rsidRPr="002E60EB">
        <w:rPr>
          <w:lang w:val="en-US"/>
        </w:rPr>
        <w:t>a threat of th</w:t>
      </w:r>
      <w:r w:rsidR="00E26E4C" w:rsidRPr="002E60EB">
        <w:rPr>
          <w:lang w:val="en-US"/>
        </w:rPr>
        <w:t>is</w:t>
      </w:r>
      <w:r w:rsidR="009D5788" w:rsidRPr="002E60EB">
        <w:rPr>
          <w:lang w:val="en-US"/>
        </w:rPr>
        <w:t xml:space="preserve"> nature</w:t>
      </w:r>
      <w:r w:rsidRPr="002E60EB">
        <w:rPr>
          <w:lang w:val="en-US"/>
        </w:rPr>
        <w:t>, because they threaten</w:t>
      </w:r>
      <w:r w:rsidR="00E26E4C" w:rsidRPr="002E60EB">
        <w:rPr>
          <w:lang w:val="en-US"/>
        </w:rPr>
        <w:t>ed</w:t>
      </w:r>
      <w:r w:rsidRPr="002E60EB">
        <w:rPr>
          <w:lang w:val="en-US"/>
        </w:rPr>
        <w:t xml:space="preserve"> </w:t>
      </w:r>
      <w:r w:rsidR="00E26E4C" w:rsidRPr="002E60EB">
        <w:rPr>
          <w:lang w:val="en-US"/>
        </w:rPr>
        <w:t>the</w:t>
      </w:r>
      <w:r w:rsidRPr="002E60EB">
        <w:rPr>
          <w:lang w:val="en-US"/>
        </w:rPr>
        <w:t xml:space="preserve"> family</w:t>
      </w:r>
      <w:r w:rsidR="009D5788" w:rsidRPr="002E60EB">
        <w:rPr>
          <w:lang w:val="en-US"/>
        </w:rPr>
        <w:t>,</w:t>
      </w:r>
      <w:r w:rsidRPr="002E60EB">
        <w:rPr>
          <w:lang w:val="en-US"/>
        </w:rPr>
        <w:t xml:space="preserve"> […</w:t>
      </w:r>
      <w:r w:rsidR="00E26E4C" w:rsidRPr="002E60EB">
        <w:rPr>
          <w:lang w:val="en-US"/>
        </w:rPr>
        <w:t xml:space="preserve"> </w:t>
      </w:r>
      <w:r w:rsidRPr="002E60EB">
        <w:rPr>
          <w:lang w:val="en-US"/>
        </w:rPr>
        <w:t>and] also because</w:t>
      </w:r>
      <w:r w:rsidR="00E26E4C" w:rsidRPr="002E60EB">
        <w:rPr>
          <w:lang w:val="en-US"/>
        </w:rPr>
        <w:t>,</w:t>
      </w:r>
      <w:r w:rsidRPr="002E60EB">
        <w:rPr>
          <w:lang w:val="en-US"/>
        </w:rPr>
        <w:t xml:space="preserve"> </w:t>
      </w:r>
      <w:r w:rsidR="009D5788" w:rsidRPr="002E60EB">
        <w:rPr>
          <w:lang w:val="en-US"/>
        </w:rPr>
        <w:t>owing to</w:t>
      </w:r>
      <w:r w:rsidR="00E26E4C" w:rsidRPr="002E60EB">
        <w:rPr>
          <w:lang w:val="en-US"/>
        </w:rPr>
        <w:t xml:space="preserve"> the number</w:t>
      </w:r>
      <w:r w:rsidRPr="002E60EB">
        <w:rPr>
          <w:lang w:val="en-US"/>
        </w:rPr>
        <w:t xml:space="preserve"> of judicial actions and acts of violence</w:t>
      </w:r>
      <w:r w:rsidR="00E26E4C" w:rsidRPr="002E60EB">
        <w:rPr>
          <w:lang w:val="en-US"/>
        </w:rPr>
        <w:t xml:space="preserve"> that occurred, there was a</w:t>
      </w:r>
      <w:r w:rsidRPr="002E60EB">
        <w:rPr>
          <w:lang w:val="en-US"/>
        </w:rPr>
        <w:t xml:space="preserve"> risk of impunity.</w:t>
      </w:r>
      <w:r w:rsidR="00087093" w:rsidRPr="002E60EB">
        <w:rPr>
          <w:lang w:val="en-US"/>
        </w:rPr>
        <w:t>”</w:t>
      </w:r>
      <w:r w:rsidR="00E26E4C" w:rsidRPr="002E60EB">
        <w:rPr>
          <w:rStyle w:val="Refdenotaalpie"/>
          <w:rFonts w:cs="Arial"/>
          <w:lang w:val="en-US"/>
        </w:rPr>
        <w:footnoteReference w:id="95"/>
      </w:r>
      <w:r w:rsidR="00E26E4C" w:rsidRPr="002E60EB">
        <w:rPr>
          <w:lang w:val="en-US"/>
        </w:rPr>
        <w:t xml:space="preserve"> This expert witness also affirmed that the threats against journalists were particularly serious taking into account that many of them were murdered, kidnapped or had to leave the country</w:t>
      </w:r>
      <w:r w:rsidR="00E26E4C" w:rsidRPr="002E60EB">
        <w:rPr>
          <w:rStyle w:val="Refdenotaalpie"/>
          <w:lang w:val="en-US"/>
        </w:rPr>
        <w:footnoteReference w:id="96"/>
      </w:r>
      <w:r w:rsidR="00E26E4C" w:rsidRPr="002E60EB">
        <w:rPr>
          <w:lang w:val="en-US"/>
        </w:rPr>
        <w:t xml:space="preserve"> and, in this regard, citing a well-known Colombian journalist, he stated that in C</w:t>
      </w:r>
      <w:r w:rsidR="009D5788" w:rsidRPr="002E60EB">
        <w:rPr>
          <w:lang w:val="en-US"/>
        </w:rPr>
        <w:t xml:space="preserve">olombia “threats are </w:t>
      </w:r>
      <w:r w:rsidR="008E6E5F" w:rsidRPr="002E60EB">
        <w:rPr>
          <w:lang w:val="en-US"/>
        </w:rPr>
        <w:t>carried out</w:t>
      </w:r>
      <w:r w:rsidR="00E26E4C" w:rsidRPr="002E60EB">
        <w:rPr>
          <w:lang w:val="en-US"/>
        </w:rPr>
        <w:t>.”</w:t>
      </w:r>
      <w:r w:rsidR="00E26E4C" w:rsidRPr="002E60EB">
        <w:rPr>
          <w:rStyle w:val="Refdenotaalpie"/>
          <w:rFonts w:cs="Arial"/>
          <w:lang w:val="en-US"/>
        </w:rPr>
        <w:footnoteReference w:id="97"/>
      </w:r>
    </w:p>
    <w:p w:rsidR="00E15BBF" w:rsidRPr="002E60EB" w:rsidRDefault="00E26E4C" w:rsidP="00317748">
      <w:pPr>
        <w:pStyle w:val="Prrafodelista2"/>
        <w:tabs>
          <w:tab w:val="left" w:pos="720"/>
        </w:tabs>
        <w:ind w:left="0"/>
        <w:contextualSpacing/>
        <w:jc w:val="both"/>
        <w:rPr>
          <w:lang w:val="en-US"/>
        </w:rPr>
      </w:pPr>
      <w:r w:rsidRPr="002E60EB">
        <w:rPr>
          <w:lang w:val="en-US"/>
        </w:rPr>
        <w:t xml:space="preserve"> </w:t>
      </w:r>
    </w:p>
    <w:p w:rsidR="00EA38A2" w:rsidRPr="002E60EB" w:rsidRDefault="00E15BBF" w:rsidP="00EA38A2">
      <w:pPr>
        <w:numPr>
          <w:ilvl w:val="0"/>
          <w:numId w:val="1"/>
        </w:numPr>
        <w:tabs>
          <w:tab w:val="left" w:pos="720"/>
          <w:tab w:val="num" w:pos="851"/>
        </w:tabs>
        <w:autoSpaceDE w:val="0"/>
        <w:autoSpaceDN w:val="0"/>
        <w:adjustRightInd w:val="0"/>
        <w:jc w:val="both"/>
        <w:rPr>
          <w:lang w:val="en-US"/>
        </w:rPr>
      </w:pPr>
      <w:r w:rsidRPr="002E60EB">
        <w:rPr>
          <w:rFonts w:eastAsia="Calibri" w:cs="Arial"/>
          <w:lang w:val="en-US"/>
        </w:rPr>
        <w:t>In mid</w:t>
      </w:r>
      <w:r w:rsidR="00E26E4C" w:rsidRPr="002E60EB">
        <w:rPr>
          <w:rFonts w:eastAsia="Calibri" w:cs="Arial"/>
          <w:lang w:val="en-US"/>
        </w:rPr>
        <w:t>-</w:t>
      </w:r>
      <w:r w:rsidRPr="002E60EB">
        <w:rPr>
          <w:rFonts w:eastAsia="Calibri" w:cs="Arial"/>
          <w:lang w:val="en-US"/>
        </w:rPr>
        <w:t xml:space="preserve">September 1996, Mr. Vélez Restrepo began receiving threatening </w:t>
      </w:r>
      <w:r w:rsidR="00E26E4C" w:rsidRPr="002E60EB">
        <w:rPr>
          <w:rFonts w:eastAsia="Calibri" w:cs="Arial"/>
          <w:lang w:val="en-US"/>
        </w:rPr>
        <w:t>tele</w:t>
      </w:r>
      <w:r w:rsidRPr="002E60EB">
        <w:rPr>
          <w:rFonts w:eastAsia="Calibri" w:cs="Arial"/>
          <w:lang w:val="en-US"/>
        </w:rPr>
        <w:t>phone calls</w:t>
      </w:r>
      <w:r w:rsidR="00E26E4C" w:rsidRPr="002E60EB">
        <w:rPr>
          <w:rFonts w:eastAsia="Calibri" w:cs="Arial"/>
          <w:lang w:val="en-US"/>
        </w:rPr>
        <w:t xml:space="preserve"> at </w:t>
      </w:r>
      <w:r w:rsidRPr="002E60EB">
        <w:rPr>
          <w:rFonts w:eastAsia="Calibri" w:cs="Arial"/>
          <w:lang w:val="en-US"/>
        </w:rPr>
        <w:t>his office</w:t>
      </w:r>
      <w:r w:rsidR="00E26E4C" w:rsidRPr="002E60EB">
        <w:rPr>
          <w:rFonts w:eastAsia="Calibri" w:cs="Arial"/>
          <w:lang w:val="en-US"/>
        </w:rPr>
        <w:t xml:space="preserve"> and at his home</w:t>
      </w:r>
      <w:r w:rsidRPr="002E60EB">
        <w:rPr>
          <w:rFonts w:eastAsia="Calibri" w:cs="Arial"/>
          <w:lang w:val="en-US"/>
        </w:rPr>
        <w:t xml:space="preserve">, </w:t>
      </w:r>
      <w:r w:rsidR="00E26E4C" w:rsidRPr="002E60EB">
        <w:rPr>
          <w:rFonts w:eastAsia="Calibri" w:cs="Arial"/>
          <w:lang w:val="en-US"/>
        </w:rPr>
        <w:t xml:space="preserve">in which </w:t>
      </w:r>
      <w:r w:rsidRPr="002E60EB">
        <w:rPr>
          <w:rFonts w:eastAsia="Calibri" w:cs="Arial"/>
          <w:lang w:val="en-US"/>
        </w:rPr>
        <w:t xml:space="preserve">he was </w:t>
      </w:r>
      <w:r w:rsidR="00E26E4C" w:rsidRPr="002E60EB">
        <w:rPr>
          <w:rFonts w:eastAsia="Calibri" w:cs="Arial"/>
          <w:lang w:val="en-US"/>
        </w:rPr>
        <w:t xml:space="preserve">called </w:t>
      </w:r>
      <w:r w:rsidRPr="002E60EB">
        <w:rPr>
          <w:rFonts w:eastAsia="Calibri" w:cs="Arial"/>
          <w:lang w:val="en-US"/>
        </w:rPr>
        <w:t>a</w:t>
      </w:r>
      <w:r w:rsidR="00F92A45" w:rsidRPr="002E60EB">
        <w:rPr>
          <w:rFonts w:eastAsia="Calibri" w:cs="Arial"/>
          <w:lang w:val="en-US"/>
        </w:rPr>
        <w:t xml:space="preserve"> “hypocrite”</w:t>
      </w:r>
      <w:r w:rsidRPr="002E60EB">
        <w:rPr>
          <w:rFonts w:eastAsia="Calibri" w:cs="Arial"/>
          <w:lang w:val="en-US"/>
        </w:rPr>
        <w:t xml:space="preserve"> and </w:t>
      </w:r>
      <w:r w:rsidR="00EA38A2" w:rsidRPr="002E60EB">
        <w:rPr>
          <w:rFonts w:eastAsia="Calibri" w:cs="Arial"/>
          <w:lang w:val="en-US"/>
        </w:rPr>
        <w:t xml:space="preserve">received death threats. The threats and harassment </w:t>
      </w:r>
      <w:r w:rsidRPr="002E60EB">
        <w:rPr>
          <w:lang w:val="en-US"/>
        </w:rPr>
        <w:t>extended to his</w:t>
      </w:r>
      <w:r w:rsidR="00EA38A2" w:rsidRPr="002E60EB">
        <w:rPr>
          <w:lang w:val="en-US"/>
        </w:rPr>
        <w:t xml:space="preserve"> son.</w:t>
      </w:r>
      <w:r w:rsidR="00EA38A2" w:rsidRPr="002E60EB">
        <w:rPr>
          <w:rStyle w:val="Refdenotaalpie"/>
          <w:rFonts w:eastAsia="Calibri" w:cs="Arial"/>
          <w:lang w:val="en-US"/>
        </w:rPr>
        <w:footnoteReference w:id="98"/>
      </w:r>
      <w:r w:rsidR="00F92A45" w:rsidRPr="002E60EB">
        <w:rPr>
          <w:lang w:val="en-US"/>
        </w:rPr>
        <w:t xml:space="preserve"> Among the</w:t>
      </w:r>
      <w:r w:rsidRPr="002E60EB">
        <w:rPr>
          <w:lang w:val="en-US"/>
        </w:rPr>
        <w:t xml:space="preserve"> </w:t>
      </w:r>
      <w:r w:rsidR="00EA38A2" w:rsidRPr="002E60EB">
        <w:rPr>
          <w:lang w:val="en-US"/>
        </w:rPr>
        <w:t xml:space="preserve">threats, </w:t>
      </w:r>
      <w:r w:rsidRPr="002E60EB">
        <w:rPr>
          <w:lang w:val="en-US"/>
        </w:rPr>
        <w:t>Mr. Vélez Restrepo</w:t>
      </w:r>
      <w:r w:rsidR="00EA38A2" w:rsidRPr="002E60EB">
        <w:rPr>
          <w:lang w:val="en-US"/>
        </w:rPr>
        <w:t xml:space="preserve"> also received a note.</w:t>
      </w:r>
      <w:r w:rsidR="00EA38A2" w:rsidRPr="002E60EB">
        <w:rPr>
          <w:rStyle w:val="Refdenotaalpie"/>
          <w:lang w:val="en-US"/>
        </w:rPr>
        <w:footnoteReference w:id="99"/>
      </w:r>
      <w:r w:rsidR="00EA38A2" w:rsidRPr="002E60EB">
        <w:rPr>
          <w:rFonts w:eastAsia="Calibri" w:cs="Arial"/>
          <w:lang w:val="en-US"/>
        </w:rPr>
        <w:t xml:space="preserve"> </w:t>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pStyle w:val="Prrafodelista2"/>
        <w:numPr>
          <w:ilvl w:val="0"/>
          <w:numId w:val="1"/>
        </w:numPr>
        <w:tabs>
          <w:tab w:val="num" w:pos="0"/>
          <w:tab w:val="left" w:pos="720"/>
        </w:tabs>
        <w:ind w:left="0"/>
        <w:contextualSpacing/>
        <w:jc w:val="both"/>
        <w:rPr>
          <w:lang w:val="en-US"/>
        </w:rPr>
      </w:pPr>
      <w:r w:rsidRPr="002E60EB">
        <w:rPr>
          <w:lang w:val="en-US"/>
        </w:rPr>
        <w:t xml:space="preserve">On September 11, 1996, four men arrived at Mr. Vélez Restrepo’s home claiming to be officials of the Attorney General’s Office, but </w:t>
      </w:r>
      <w:r w:rsidR="003A64C5" w:rsidRPr="002E60EB">
        <w:rPr>
          <w:lang w:val="en-US"/>
        </w:rPr>
        <w:t>failed to show any identification. They</w:t>
      </w:r>
      <w:r w:rsidRPr="002E60EB">
        <w:rPr>
          <w:lang w:val="en-US"/>
        </w:rPr>
        <w:t xml:space="preserve"> asked Mr. Vélez Restrepo’s wife about </w:t>
      </w:r>
      <w:r w:rsidR="00EA38A2" w:rsidRPr="002E60EB">
        <w:rPr>
          <w:lang w:val="en-US"/>
        </w:rPr>
        <w:t>his</w:t>
      </w:r>
      <w:r w:rsidRPr="002E60EB">
        <w:rPr>
          <w:lang w:val="en-US"/>
        </w:rPr>
        <w:t xml:space="preserve"> schedule and activities.</w:t>
      </w:r>
      <w:r w:rsidR="00EA38A2" w:rsidRPr="002E60EB">
        <w:rPr>
          <w:rFonts w:eastAsia="Calibri" w:cs="Arial"/>
          <w:lang w:val="en-US"/>
        </w:rPr>
        <w:t xml:space="preserve"> </w:t>
      </w:r>
      <w:r w:rsidRPr="002E60EB">
        <w:rPr>
          <w:lang w:val="en-US"/>
        </w:rPr>
        <w:t>That same day</w:t>
      </w:r>
      <w:r w:rsidR="00EA38A2" w:rsidRPr="002E60EB">
        <w:rPr>
          <w:lang w:val="en-US"/>
        </w:rPr>
        <w:t>,</w:t>
      </w:r>
      <w:r w:rsidRPr="002E60EB">
        <w:rPr>
          <w:lang w:val="en-US"/>
        </w:rPr>
        <w:t xml:space="preserve"> the </w:t>
      </w:r>
      <w:r w:rsidR="00EA38A2" w:rsidRPr="002E60EB">
        <w:rPr>
          <w:lang w:val="en-US"/>
        </w:rPr>
        <w:t>Editor-in-Chief</w:t>
      </w:r>
      <w:r w:rsidRPr="002E60EB">
        <w:rPr>
          <w:lang w:val="en-US"/>
        </w:rPr>
        <w:t xml:space="preserve"> of </w:t>
      </w:r>
      <w:r w:rsidR="00EA38A2" w:rsidRPr="002E60EB">
        <w:rPr>
          <w:i/>
          <w:lang w:val="en-US"/>
        </w:rPr>
        <w:t xml:space="preserve">Noticiero </w:t>
      </w:r>
      <w:r w:rsidRPr="002E60EB">
        <w:rPr>
          <w:i/>
          <w:lang w:val="en-US"/>
        </w:rPr>
        <w:t xml:space="preserve">Colombia </w:t>
      </w:r>
      <w:r w:rsidR="00476F1E" w:rsidRPr="002E60EB">
        <w:rPr>
          <w:i/>
          <w:lang w:val="en-US"/>
        </w:rPr>
        <w:t>12:30</w:t>
      </w:r>
      <w:r w:rsidRPr="002E60EB">
        <w:rPr>
          <w:lang w:val="en-US"/>
        </w:rPr>
        <w:t xml:space="preserve"> sent a</w:t>
      </w:r>
      <w:r w:rsidR="00EA38A2" w:rsidRPr="002E60EB">
        <w:rPr>
          <w:lang w:val="en-US"/>
        </w:rPr>
        <w:t xml:space="preserve"> note to</w:t>
      </w:r>
      <w:r w:rsidRPr="002E60EB">
        <w:rPr>
          <w:lang w:val="en-US"/>
        </w:rPr>
        <w:t xml:space="preserve"> the </w:t>
      </w:r>
      <w:r w:rsidR="00EA38A2" w:rsidRPr="002E60EB">
        <w:rPr>
          <w:lang w:val="en-US"/>
        </w:rPr>
        <w:t xml:space="preserve">National </w:t>
      </w:r>
      <w:r w:rsidRPr="002E60EB">
        <w:rPr>
          <w:lang w:val="en-US"/>
        </w:rPr>
        <w:t xml:space="preserve">Special Investigations </w:t>
      </w:r>
      <w:r w:rsidR="00EA38A2" w:rsidRPr="002E60EB">
        <w:rPr>
          <w:lang w:val="en-US"/>
        </w:rPr>
        <w:t>Direc</w:t>
      </w:r>
      <w:r w:rsidR="003A64C5" w:rsidRPr="002E60EB">
        <w:rPr>
          <w:lang w:val="en-US"/>
        </w:rPr>
        <w:t>t</w:t>
      </w:r>
      <w:r w:rsidR="00EA38A2" w:rsidRPr="002E60EB">
        <w:rPr>
          <w:lang w:val="en-US"/>
        </w:rPr>
        <w:t xml:space="preserve">orate </w:t>
      </w:r>
      <w:r w:rsidRPr="002E60EB">
        <w:rPr>
          <w:lang w:val="en-US"/>
        </w:rPr>
        <w:t>of the Attorney General’s Office</w:t>
      </w:r>
      <w:r w:rsidR="00EA38A2" w:rsidRPr="002E60EB">
        <w:rPr>
          <w:lang w:val="en-US"/>
        </w:rPr>
        <w:t xml:space="preserve"> informing it of this incident. The </w:t>
      </w:r>
      <w:r w:rsidR="003A64C5" w:rsidRPr="002E60EB">
        <w:rPr>
          <w:lang w:val="en-US"/>
        </w:rPr>
        <w:t>Directorate</w:t>
      </w:r>
      <w:r w:rsidRPr="002E60EB">
        <w:rPr>
          <w:lang w:val="en-US"/>
        </w:rPr>
        <w:t xml:space="preserve"> was conducting an </w:t>
      </w:r>
      <w:r w:rsidR="00EA38A2" w:rsidRPr="002E60EB">
        <w:rPr>
          <w:lang w:val="en-US"/>
        </w:rPr>
        <w:t xml:space="preserve">inquiry </w:t>
      </w:r>
      <w:r w:rsidRPr="002E60EB">
        <w:rPr>
          <w:lang w:val="en-US"/>
        </w:rPr>
        <w:t xml:space="preserve">into the attack against Mr. Vélez Restrepo on August 29, 1996 (infra para. </w:t>
      </w:r>
      <w:r w:rsidR="00EA38A2" w:rsidRPr="002E60EB">
        <w:rPr>
          <w:lang w:val="en-US"/>
        </w:rPr>
        <w:t>104</w:t>
      </w:r>
      <w:r w:rsidRPr="002E60EB">
        <w:rPr>
          <w:lang w:val="en-US"/>
        </w:rPr>
        <w:t xml:space="preserve">). </w:t>
      </w:r>
      <w:r w:rsidR="00EA38A2" w:rsidRPr="002E60EB">
        <w:rPr>
          <w:lang w:val="en-US"/>
        </w:rPr>
        <w:t>The note</w:t>
      </w:r>
      <w:r w:rsidRPr="002E60EB">
        <w:rPr>
          <w:lang w:val="en-US"/>
        </w:rPr>
        <w:t xml:space="preserve"> requested clarification of the situation, </w:t>
      </w:r>
      <w:r w:rsidR="00087093" w:rsidRPr="002E60EB">
        <w:rPr>
          <w:lang w:val="en-US"/>
        </w:rPr>
        <w:t>“</w:t>
      </w:r>
      <w:r w:rsidRPr="002E60EB">
        <w:rPr>
          <w:lang w:val="en-US"/>
        </w:rPr>
        <w:t xml:space="preserve">given the </w:t>
      </w:r>
      <w:r w:rsidR="00EA38A2" w:rsidRPr="002E60EB">
        <w:rPr>
          <w:lang w:val="en-US"/>
        </w:rPr>
        <w:t xml:space="preserve">distress </w:t>
      </w:r>
      <w:r w:rsidRPr="002E60EB">
        <w:rPr>
          <w:lang w:val="en-US"/>
        </w:rPr>
        <w:t>of</w:t>
      </w:r>
      <w:r w:rsidR="00EA38A2" w:rsidRPr="002E60EB">
        <w:rPr>
          <w:lang w:val="en-US"/>
        </w:rPr>
        <w:t xml:space="preserve"> the family of</w:t>
      </w:r>
      <w:r w:rsidRPr="002E60EB">
        <w:rPr>
          <w:lang w:val="en-US"/>
        </w:rPr>
        <w:t xml:space="preserve"> cameraman Luis Gonzalo Vélez.</w:t>
      </w:r>
      <w:r w:rsidR="00087093" w:rsidRPr="002E60EB">
        <w:rPr>
          <w:lang w:val="en-US"/>
        </w:rPr>
        <w:t>”</w:t>
      </w:r>
      <w:r w:rsidR="00EA38A2" w:rsidRPr="002E60EB">
        <w:rPr>
          <w:rStyle w:val="Refdenotaalpie"/>
          <w:rFonts w:eastAsia="Calibri" w:cs="Arial"/>
          <w:lang w:val="en-US"/>
        </w:rPr>
        <w:footnoteReference w:id="100"/>
      </w:r>
    </w:p>
    <w:p w:rsidR="00E15BBF" w:rsidRPr="002E60EB" w:rsidRDefault="00E15BBF" w:rsidP="00317748">
      <w:pPr>
        <w:pStyle w:val="ColorfulList-Accent11"/>
        <w:ind w:left="0"/>
        <w:rPr>
          <w:rFonts w:cs="Arial"/>
          <w:lang w:val="en-US"/>
        </w:rPr>
      </w:pPr>
    </w:p>
    <w:p w:rsidR="00E15BBF" w:rsidRPr="002E60EB" w:rsidRDefault="00EA38A2" w:rsidP="00317748">
      <w:pPr>
        <w:numPr>
          <w:ilvl w:val="0"/>
          <w:numId w:val="1"/>
        </w:numPr>
        <w:tabs>
          <w:tab w:val="left" w:pos="720"/>
          <w:tab w:val="num" w:pos="851"/>
        </w:tabs>
        <w:autoSpaceDE w:val="0"/>
        <w:autoSpaceDN w:val="0"/>
        <w:adjustRightInd w:val="0"/>
        <w:jc w:val="both"/>
        <w:rPr>
          <w:lang w:val="en-US"/>
        </w:rPr>
      </w:pPr>
      <w:r w:rsidRPr="002E60EB">
        <w:rPr>
          <w:lang w:val="en-US"/>
        </w:rPr>
        <w:t>I</w:t>
      </w:r>
      <w:r w:rsidR="00E15BBF" w:rsidRPr="002E60EB">
        <w:rPr>
          <w:lang w:val="en-US"/>
        </w:rPr>
        <w:t xml:space="preserve">n mid-September 1996, Mr. Vélez Restrepo and his wife decided to </w:t>
      </w:r>
      <w:r w:rsidRPr="002E60EB">
        <w:rPr>
          <w:lang w:val="en-US"/>
        </w:rPr>
        <w:t xml:space="preserve">move, and </w:t>
      </w:r>
      <w:r w:rsidR="00E15BBF" w:rsidRPr="002E60EB">
        <w:rPr>
          <w:lang w:val="en-US"/>
        </w:rPr>
        <w:t>rented a house in another neighborhood. They stopped receiving threats at home, but Mr. Vélez Restrepo still received calls</w:t>
      </w:r>
      <w:r w:rsidRPr="002E60EB">
        <w:rPr>
          <w:lang w:val="en-US"/>
        </w:rPr>
        <w:t xml:space="preserve"> at work</w:t>
      </w:r>
      <w:r w:rsidR="00E15BBF" w:rsidRPr="002E60EB">
        <w:rPr>
          <w:lang w:val="en-US"/>
        </w:rPr>
        <w:t>.</w:t>
      </w:r>
      <w:r w:rsidR="00E15BBF" w:rsidRPr="002E60EB">
        <w:rPr>
          <w:rStyle w:val="Refdenotaalpie"/>
          <w:rFonts w:cs="Arial"/>
          <w:lang w:val="en-US"/>
        </w:rPr>
        <w:footnoteReference w:id="101"/>
      </w:r>
      <w:r w:rsidR="00E15BBF" w:rsidRPr="002E60EB">
        <w:rPr>
          <w:lang w:val="en-US"/>
        </w:rPr>
        <w:t xml:space="preserve"> The threats decreased, and between February and August 1997, they received no threats</w:t>
      </w:r>
      <w:r w:rsidR="00122AE4" w:rsidRPr="002E60EB">
        <w:rPr>
          <w:lang w:val="en-US"/>
        </w:rPr>
        <w:t xml:space="preserve">; consequently </w:t>
      </w:r>
      <w:r w:rsidR="00E15BBF" w:rsidRPr="002E60EB">
        <w:rPr>
          <w:lang w:val="en-US"/>
        </w:rPr>
        <w:t xml:space="preserve">they returned to the house where they </w:t>
      </w:r>
      <w:r w:rsidR="003A64C5" w:rsidRPr="002E60EB">
        <w:rPr>
          <w:lang w:val="en-US"/>
        </w:rPr>
        <w:t xml:space="preserve">had </w:t>
      </w:r>
      <w:r w:rsidR="00E15BBF" w:rsidRPr="002E60EB">
        <w:rPr>
          <w:lang w:val="en-US"/>
        </w:rPr>
        <w:t xml:space="preserve">lived </w:t>
      </w:r>
      <w:r w:rsidR="003A64C5" w:rsidRPr="002E60EB">
        <w:rPr>
          <w:lang w:val="en-US"/>
        </w:rPr>
        <w:t>previously</w:t>
      </w:r>
      <w:r w:rsidR="00E15BBF" w:rsidRPr="002E60EB">
        <w:rPr>
          <w:lang w:val="en-US"/>
        </w:rPr>
        <w:t>.</w:t>
      </w:r>
      <w:r w:rsidR="00E15BBF" w:rsidRPr="002E60EB">
        <w:rPr>
          <w:rStyle w:val="Refdenotaalpie"/>
          <w:rFonts w:cs="Arial"/>
          <w:lang w:val="en-US"/>
        </w:rPr>
        <w:footnoteReference w:id="102"/>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pStyle w:val="Prrafodelista2"/>
        <w:numPr>
          <w:ilvl w:val="0"/>
          <w:numId w:val="1"/>
        </w:numPr>
        <w:tabs>
          <w:tab w:val="num" w:pos="0"/>
          <w:tab w:val="left" w:pos="720"/>
        </w:tabs>
        <w:ind w:left="0"/>
        <w:contextualSpacing/>
        <w:jc w:val="both"/>
        <w:rPr>
          <w:lang w:val="en-US"/>
        </w:rPr>
      </w:pPr>
      <w:r w:rsidRPr="002E60EB">
        <w:rPr>
          <w:lang w:val="en-US"/>
        </w:rPr>
        <w:t xml:space="preserve">On August 27, 1997, Mr. Vélez Restrepo </w:t>
      </w:r>
      <w:r w:rsidR="007C5329" w:rsidRPr="002E60EB">
        <w:rPr>
          <w:lang w:val="en-US"/>
        </w:rPr>
        <w:t>testified</w:t>
      </w:r>
      <w:r w:rsidRPr="002E60EB">
        <w:rPr>
          <w:lang w:val="en-US"/>
        </w:rPr>
        <w:t xml:space="preserve"> before the Prosecutor in charge of the investigation </w:t>
      </w:r>
      <w:r w:rsidR="007C5329" w:rsidRPr="002E60EB">
        <w:rPr>
          <w:lang w:val="en-US"/>
        </w:rPr>
        <w:t xml:space="preserve">into </w:t>
      </w:r>
      <w:r w:rsidRPr="002E60EB">
        <w:rPr>
          <w:lang w:val="en-US"/>
        </w:rPr>
        <w:t>the threats (</w:t>
      </w:r>
      <w:r w:rsidRPr="002E60EB">
        <w:rPr>
          <w:i/>
          <w:lang w:val="en-US"/>
        </w:rPr>
        <w:t>infra</w:t>
      </w:r>
      <w:r w:rsidRPr="002E60EB">
        <w:rPr>
          <w:lang w:val="en-US"/>
        </w:rPr>
        <w:t xml:space="preserve"> p</w:t>
      </w:r>
      <w:r w:rsidR="007C5329" w:rsidRPr="002E60EB">
        <w:rPr>
          <w:lang w:val="en-US"/>
        </w:rPr>
        <w:t>ara</w:t>
      </w:r>
      <w:r w:rsidRPr="002E60EB">
        <w:rPr>
          <w:lang w:val="en-US"/>
        </w:rPr>
        <w:t>.</w:t>
      </w:r>
      <w:r w:rsidR="007C5329" w:rsidRPr="002E60EB">
        <w:rPr>
          <w:lang w:val="en-US"/>
        </w:rPr>
        <w:t xml:space="preserve"> 117</w:t>
      </w:r>
      <w:r w:rsidRPr="002E60EB">
        <w:rPr>
          <w:lang w:val="en-US"/>
        </w:rPr>
        <w:t>)</w:t>
      </w:r>
      <w:r w:rsidR="007C5329" w:rsidRPr="002E60EB">
        <w:rPr>
          <w:lang w:val="en-US"/>
        </w:rPr>
        <w:t>.</w:t>
      </w:r>
    </w:p>
    <w:p w:rsidR="00E15BBF" w:rsidRPr="002E60EB" w:rsidRDefault="00E15BBF" w:rsidP="00317748">
      <w:pPr>
        <w:pStyle w:val="ColorfulList-Accent11"/>
        <w:ind w:left="0"/>
        <w:rPr>
          <w:rFonts w:cs="Arial"/>
          <w:lang w:val="en-US"/>
        </w:rPr>
      </w:pPr>
    </w:p>
    <w:p w:rsidR="00E15BBF" w:rsidRPr="002E60EB" w:rsidRDefault="00E15BBF" w:rsidP="00317748">
      <w:pPr>
        <w:pStyle w:val="Prrafodelista2"/>
        <w:numPr>
          <w:ilvl w:val="0"/>
          <w:numId w:val="1"/>
        </w:numPr>
        <w:tabs>
          <w:tab w:val="num" w:pos="0"/>
          <w:tab w:val="left" w:pos="720"/>
        </w:tabs>
        <w:ind w:left="0"/>
        <w:contextualSpacing/>
        <w:jc w:val="both"/>
        <w:rPr>
          <w:lang w:val="en-US"/>
        </w:rPr>
      </w:pPr>
      <w:r w:rsidRPr="002E60EB">
        <w:rPr>
          <w:lang w:val="en-US"/>
        </w:rPr>
        <w:t xml:space="preserve">In September 1997, Mr. Vélez and his family </w:t>
      </w:r>
      <w:r w:rsidR="007C5329" w:rsidRPr="002E60EB">
        <w:rPr>
          <w:lang w:val="en-US"/>
        </w:rPr>
        <w:t>once again</w:t>
      </w:r>
      <w:r w:rsidRPr="002E60EB">
        <w:rPr>
          <w:lang w:val="en-US"/>
        </w:rPr>
        <w:t xml:space="preserve"> </w:t>
      </w:r>
      <w:r w:rsidR="003A64C5" w:rsidRPr="002E60EB">
        <w:rPr>
          <w:lang w:val="en-US"/>
        </w:rPr>
        <w:t>began receiving</w:t>
      </w:r>
      <w:r w:rsidR="007C5329" w:rsidRPr="002E60EB">
        <w:rPr>
          <w:lang w:val="en-US"/>
        </w:rPr>
        <w:t xml:space="preserve"> telephone calls with</w:t>
      </w:r>
      <w:r w:rsidRPr="002E60EB">
        <w:rPr>
          <w:lang w:val="en-US"/>
        </w:rPr>
        <w:t xml:space="preserve"> death threats.</w:t>
      </w:r>
      <w:r w:rsidR="007C5329" w:rsidRPr="002E60EB">
        <w:rPr>
          <w:rStyle w:val="Refdenotaalpie"/>
          <w:rFonts w:cs="Arial"/>
          <w:lang w:val="en-US"/>
        </w:rPr>
        <w:footnoteReference w:id="103"/>
      </w:r>
      <w:r w:rsidRPr="002E60EB">
        <w:rPr>
          <w:lang w:val="en-US"/>
        </w:rPr>
        <w:t xml:space="preserve"> On September 24, 1997, several men arrived at Mr. Vélez Restrepo’s home claiming to be officials of the</w:t>
      </w:r>
      <w:r w:rsidR="003A64C5" w:rsidRPr="002E60EB">
        <w:rPr>
          <w:lang w:val="en-US"/>
        </w:rPr>
        <w:t xml:space="preserve"> Attorney General’s Office, but</w:t>
      </w:r>
      <w:r w:rsidR="007C5329" w:rsidRPr="002E60EB">
        <w:rPr>
          <w:lang w:val="en-US"/>
        </w:rPr>
        <w:t xml:space="preserve"> failed to</w:t>
      </w:r>
      <w:r w:rsidR="003A64C5" w:rsidRPr="002E60EB">
        <w:rPr>
          <w:lang w:val="en-US"/>
        </w:rPr>
        <w:t xml:space="preserve"> show any identification, and </w:t>
      </w:r>
      <w:r w:rsidRPr="002E60EB">
        <w:rPr>
          <w:lang w:val="en-US"/>
        </w:rPr>
        <w:t xml:space="preserve">asked Mr. Vélez Restrepo’s wife </w:t>
      </w:r>
      <w:r w:rsidR="007C5329" w:rsidRPr="002E60EB">
        <w:rPr>
          <w:lang w:val="en-US"/>
        </w:rPr>
        <w:t>about</w:t>
      </w:r>
      <w:r w:rsidRPr="002E60EB">
        <w:rPr>
          <w:lang w:val="en-US"/>
        </w:rPr>
        <w:t xml:space="preserve"> his schedule and activities.</w:t>
      </w:r>
      <w:r w:rsidRPr="002E60EB">
        <w:rPr>
          <w:rStyle w:val="Refdenotaalpie"/>
          <w:lang w:val="en-US"/>
        </w:rPr>
        <w:footnoteReference w:id="104"/>
      </w:r>
    </w:p>
    <w:p w:rsidR="00E15BBF" w:rsidRPr="002E60EB" w:rsidRDefault="00E15BBF" w:rsidP="00317748">
      <w:pPr>
        <w:pStyle w:val="ColorfulList-Accent11"/>
        <w:ind w:left="0"/>
        <w:rPr>
          <w:rFonts w:eastAsia="Calibri" w:cs="Arial"/>
          <w:lang w:val="en-US"/>
        </w:rPr>
      </w:pPr>
    </w:p>
    <w:p w:rsidR="00E15BBF" w:rsidRPr="002E60EB" w:rsidRDefault="00D00C5F" w:rsidP="00317748">
      <w:pPr>
        <w:numPr>
          <w:ilvl w:val="0"/>
          <w:numId w:val="1"/>
        </w:numPr>
        <w:tabs>
          <w:tab w:val="clear" w:pos="1427"/>
        </w:tabs>
        <w:autoSpaceDE w:val="0"/>
        <w:autoSpaceDN w:val="0"/>
        <w:adjustRightInd w:val="0"/>
        <w:jc w:val="both"/>
        <w:rPr>
          <w:lang w:val="en-US"/>
        </w:rPr>
      </w:pPr>
      <w:r w:rsidRPr="002E60EB">
        <w:rPr>
          <w:lang w:val="en-US"/>
        </w:rPr>
        <w:t>In</w:t>
      </w:r>
      <w:r w:rsidR="00E15BBF" w:rsidRPr="002E60EB">
        <w:rPr>
          <w:lang w:val="en-US"/>
        </w:rPr>
        <w:t xml:space="preserve"> a letter dated September 29, 1997, the Colombian Commission of Jurists </w:t>
      </w:r>
      <w:r w:rsidR="003A64C5" w:rsidRPr="002E60EB">
        <w:rPr>
          <w:lang w:val="en-US"/>
        </w:rPr>
        <w:t>informed</w:t>
      </w:r>
      <w:r w:rsidRPr="002E60EB">
        <w:rPr>
          <w:lang w:val="en-US"/>
        </w:rPr>
        <w:t xml:space="preserve"> </w:t>
      </w:r>
      <w:r w:rsidR="00E15BBF" w:rsidRPr="002E60EB">
        <w:rPr>
          <w:lang w:val="en-US"/>
        </w:rPr>
        <w:t xml:space="preserve">the Human Rights </w:t>
      </w:r>
      <w:r w:rsidR="00AA6B37" w:rsidRPr="002E60EB">
        <w:rPr>
          <w:lang w:val="en-US"/>
        </w:rPr>
        <w:t xml:space="preserve">Council </w:t>
      </w:r>
      <w:r w:rsidR="00E15BBF" w:rsidRPr="002E60EB">
        <w:rPr>
          <w:lang w:val="en-US"/>
        </w:rPr>
        <w:t xml:space="preserve">of the Presidency of the Republic </w:t>
      </w:r>
      <w:r w:rsidR="007C5329" w:rsidRPr="002E60EB">
        <w:rPr>
          <w:lang w:val="en-US"/>
        </w:rPr>
        <w:t xml:space="preserve">about </w:t>
      </w:r>
      <w:r w:rsidR="00E15BBF" w:rsidRPr="002E60EB">
        <w:rPr>
          <w:lang w:val="en-US"/>
        </w:rPr>
        <w:t xml:space="preserve">the </w:t>
      </w:r>
      <w:r w:rsidR="003A64C5" w:rsidRPr="002E60EB">
        <w:rPr>
          <w:lang w:val="en-US"/>
        </w:rPr>
        <w:t xml:space="preserve">harassment and </w:t>
      </w:r>
      <w:r w:rsidR="00E15BBF" w:rsidRPr="002E60EB">
        <w:rPr>
          <w:lang w:val="en-US"/>
        </w:rPr>
        <w:t>threats against Mr. Vélez Restrepo.</w:t>
      </w:r>
      <w:r w:rsidR="00E15BBF" w:rsidRPr="002E60EB">
        <w:rPr>
          <w:rStyle w:val="Refdenotaalpie"/>
          <w:rFonts w:eastAsia="Calibri" w:cs="Arial"/>
          <w:lang w:val="en-US"/>
        </w:rPr>
        <w:footnoteReference w:id="105"/>
      </w:r>
    </w:p>
    <w:p w:rsidR="00E15BBF" w:rsidRPr="002E60EB" w:rsidRDefault="00E15BBF" w:rsidP="002711CF">
      <w:pPr>
        <w:pStyle w:val="ColorfulList-Accent11"/>
        <w:ind w:left="0"/>
        <w:rPr>
          <w:rFonts w:eastAsia="Calibri" w:cs="Arial"/>
          <w:lang w:val="en-US"/>
        </w:rPr>
      </w:pPr>
    </w:p>
    <w:p w:rsidR="00FC31D8" w:rsidRPr="002E60EB" w:rsidRDefault="003A64C5" w:rsidP="00317748">
      <w:pPr>
        <w:numPr>
          <w:ilvl w:val="0"/>
          <w:numId w:val="1"/>
        </w:numPr>
        <w:tabs>
          <w:tab w:val="clear" w:pos="1427"/>
        </w:tabs>
        <w:autoSpaceDE w:val="0"/>
        <w:autoSpaceDN w:val="0"/>
        <w:adjustRightInd w:val="0"/>
        <w:jc w:val="both"/>
        <w:rPr>
          <w:lang w:val="en-US"/>
        </w:rPr>
      </w:pPr>
      <w:r w:rsidRPr="002E60EB">
        <w:rPr>
          <w:lang w:val="en-US"/>
        </w:rPr>
        <w:t>Further</w:t>
      </w:r>
      <w:r w:rsidR="00AA6B37" w:rsidRPr="002E60EB">
        <w:rPr>
          <w:lang w:val="en-US"/>
        </w:rPr>
        <w:t>more</w:t>
      </w:r>
      <w:r w:rsidR="00E15BBF" w:rsidRPr="002E60EB">
        <w:rPr>
          <w:lang w:val="en-US"/>
        </w:rPr>
        <w:t xml:space="preserve">, on October 6, 1997, </w:t>
      </w:r>
      <w:r w:rsidR="00847CA5" w:rsidRPr="002E60EB">
        <w:rPr>
          <w:lang w:val="en-US"/>
        </w:rPr>
        <w:t xml:space="preserve">the Attorney General's Office received </w:t>
      </w:r>
      <w:r w:rsidR="00E15BBF" w:rsidRPr="002E60EB">
        <w:rPr>
          <w:lang w:val="en-US"/>
        </w:rPr>
        <w:t xml:space="preserve">a brief </w:t>
      </w:r>
      <w:r w:rsidR="00AA6B37" w:rsidRPr="002E60EB">
        <w:rPr>
          <w:lang w:val="en-US"/>
        </w:rPr>
        <w:t>dated September 29, 1997, in</w:t>
      </w:r>
      <w:r w:rsidR="00E15BBF" w:rsidRPr="002E60EB">
        <w:rPr>
          <w:lang w:val="en-US"/>
        </w:rPr>
        <w:t xml:space="preserve"> which the Colombian Commission of Jurists also </w:t>
      </w:r>
      <w:r w:rsidR="00FC31D8" w:rsidRPr="002E60EB">
        <w:rPr>
          <w:lang w:val="en-US"/>
        </w:rPr>
        <w:t xml:space="preserve">denounced </w:t>
      </w:r>
      <w:r w:rsidR="00E15BBF" w:rsidRPr="002E60EB">
        <w:rPr>
          <w:lang w:val="en-US"/>
        </w:rPr>
        <w:t xml:space="preserve">before this </w:t>
      </w:r>
      <w:r w:rsidR="00FC31D8" w:rsidRPr="002E60EB">
        <w:rPr>
          <w:lang w:val="en-US"/>
        </w:rPr>
        <w:t xml:space="preserve">entity </w:t>
      </w:r>
      <w:r w:rsidR="00E15BBF" w:rsidRPr="002E60EB">
        <w:rPr>
          <w:lang w:val="en-US"/>
        </w:rPr>
        <w:t xml:space="preserve">that Mr. Vélez and his family had been the target of harassment and threats, which it claimed were related to the video filmed by Mr. Vélez Restrepo during the peasant marches of August 1996. It </w:t>
      </w:r>
      <w:r w:rsidR="00FC31D8" w:rsidRPr="002E60EB">
        <w:rPr>
          <w:lang w:val="en-US"/>
        </w:rPr>
        <w:t xml:space="preserve">reported </w:t>
      </w:r>
      <w:r w:rsidR="00E15BBF" w:rsidRPr="002E60EB">
        <w:rPr>
          <w:lang w:val="en-US"/>
        </w:rPr>
        <w:t xml:space="preserve">that </w:t>
      </w:r>
      <w:r w:rsidR="00FC31D8" w:rsidRPr="002E60EB">
        <w:rPr>
          <w:lang w:val="en-US"/>
        </w:rPr>
        <w:t xml:space="preserve">the </w:t>
      </w:r>
      <w:r w:rsidR="00E15BBF" w:rsidRPr="002E60EB">
        <w:rPr>
          <w:lang w:val="en-US"/>
        </w:rPr>
        <w:t xml:space="preserve">threats were made </w:t>
      </w:r>
      <w:r w:rsidR="00FC31D8" w:rsidRPr="002E60EB">
        <w:rPr>
          <w:lang w:val="en-US"/>
        </w:rPr>
        <w:t>by</w:t>
      </w:r>
      <w:r w:rsidR="00E15BBF" w:rsidRPr="002E60EB">
        <w:rPr>
          <w:lang w:val="en-US"/>
        </w:rPr>
        <w:t xml:space="preserve"> </w:t>
      </w:r>
      <w:r w:rsidR="00FC31D8" w:rsidRPr="002E60EB">
        <w:rPr>
          <w:lang w:val="en-US"/>
        </w:rPr>
        <w:t>tele</w:t>
      </w:r>
      <w:r w:rsidR="00E15BBF" w:rsidRPr="002E60EB">
        <w:rPr>
          <w:lang w:val="en-US"/>
        </w:rPr>
        <w:t xml:space="preserve">phone and also </w:t>
      </w:r>
      <w:r w:rsidR="00FC31D8" w:rsidRPr="002E60EB">
        <w:rPr>
          <w:lang w:val="en-US"/>
        </w:rPr>
        <w:t xml:space="preserve">denounced the above-mentioned incidents </w:t>
      </w:r>
      <w:r w:rsidR="00E15BBF" w:rsidRPr="002E60EB">
        <w:rPr>
          <w:lang w:val="en-US"/>
        </w:rPr>
        <w:t xml:space="preserve">of September 24, 1997 (supra para. </w:t>
      </w:r>
      <w:r w:rsidR="00FC31D8" w:rsidRPr="002E60EB">
        <w:rPr>
          <w:lang w:val="en-US"/>
        </w:rPr>
        <w:t>89</w:t>
      </w:r>
      <w:r w:rsidR="00E15BBF" w:rsidRPr="002E60EB">
        <w:rPr>
          <w:lang w:val="en-US"/>
        </w:rPr>
        <w:t>).</w:t>
      </w:r>
      <w:r w:rsidR="00E15BBF" w:rsidRPr="002E60EB">
        <w:rPr>
          <w:vertAlign w:val="superscript"/>
          <w:lang w:val="en-US"/>
        </w:rPr>
        <w:footnoteReference w:id="106"/>
      </w:r>
      <w:r w:rsidR="00E15BBF" w:rsidRPr="002E60EB">
        <w:rPr>
          <w:lang w:val="en-US"/>
        </w:rPr>
        <w:t xml:space="preserve"> </w:t>
      </w:r>
      <w:r w:rsidR="00FC31D8" w:rsidRPr="002E60EB">
        <w:rPr>
          <w:lang w:val="en-US"/>
        </w:rPr>
        <w:t>Based on</w:t>
      </w:r>
      <w:r w:rsidR="00E15BBF" w:rsidRPr="002E60EB">
        <w:rPr>
          <w:lang w:val="en-US"/>
        </w:rPr>
        <w:t xml:space="preserve"> this complaint, on October 10, 1997, the Attorney General's Office began a </w:t>
      </w:r>
      <w:r w:rsidR="00087093" w:rsidRPr="002E60EB">
        <w:rPr>
          <w:lang w:val="en-US"/>
        </w:rPr>
        <w:t>“</w:t>
      </w:r>
      <w:r w:rsidR="00E15BBF" w:rsidRPr="002E60EB">
        <w:rPr>
          <w:lang w:val="en-US"/>
        </w:rPr>
        <w:t xml:space="preserve">preliminary </w:t>
      </w:r>
      <w:r w:rsidR="00FC31D8" w:rsidRPr="002E60EB">
        <w:rPr>
          <w:lang w:val="en-US"/>
        </w:rPr>
        <w:t>inquiry</w:t>
      </w:r>
      <w:r w:rsidR="00087093" w:rsidRPr="002E60EB">
        <w:rPr>
          <w:lang w:val="en-US"/>
        </w:rPr>
        <w:t>”</w:t>
      </w:r>
      <w:r w:rsidR="00E15BBF" w:rsidRPr="002E60EB">
        <w:rPr>
          <w:lang w:val="en-US"/>
        </w:rPr>
        <w:t xml:space="preserve"> (infra paras. </w:t>
      </w:r>
      <w:r w:rsidR="00FC31D8" w:rsidRPr="002E60EB">
        <w:rPr>
          <w:lang w:val="en-US"/>
        </w:rPr>
        <w:t>110 and 111</w:t>
      </w:r>
      <w:r w:rsidR="00E15BBF" w:rsidRPr="002E60EB">
        <w:rPr>
          <w:lang w:val="en-US"/>
        </w:rPr>
        <w:t>).</w:t>
      </w:r>
      <w:r w:rsidR="00FC31D8" w:rsidRPr="002E60EB">
        <w:rPr>
          <w:vertAlign w:val="superscript"/>
          <w:lang w:val="en-US"/>
        </w:rPr>
        <w:footnoteReference w:id="107"/>
      </w:r>
    </w:p>
    <w:p w:rsidR="00E15BBF" w:rsidRPr="002E60EB" w:rsidRDefault="00E15BBF" w:rsidP="00317748">
      <w:pPr>
        <w:autoSpaceDE w:val="0"/>
        <w:autoSpaceDN w:val="0"/>
        <w:adjustRightInd w:val="0"/>
        <w:jc w:val="both"/>
        <w:rPr>
          <w:rFonts w:eastAsia="Calibri" w:cs="Arial"/>
          <w:lang w:val="en-US"/>
        </w:rPr>
      </w:pPr>
    </w:p>
    <w:p w:rsidR="00E15BBF" w:rsidRPr="002E60EB" w:rsidRDefault="00E15BBF" w:rsidP="00317748">
      <w:pPr>
        <w:numPr>
          <w:ilvl w:val="0"/>
          <w:numId w:val="1"/>
        </w:numPr>
        <w:tabs>
          <w:tab w:val="clear" w:pos="1427"/>
        </w:tabs>
        <w:autoSpaceDE w:val="0"/>
        <w:autoSpaceDN w:val="0"/>
        <w:adjustRightInd w:val="0"/>
        <w:jc w:val="both"/>
        <w:rPr>
          <w:lang w:val="en-US"/>
        </w:rPr>
      </w:pPr>
      <w:r w:rsidRPr="002E60EB">
        <w:rPr>
          <w:lang w:val="en-US"/>
        </w:rPr>
        <w:t xml:space="preserve">On October 3, 1997, Mr. Vélez Restrepo </w:t>
      </w:r>
      <w:r w:rsidR="00FC31D8" w:rsidRPr="002E60EB">
        <w:rPr>
          <w:lang w:val="en-US"/>
        </w:rPr>
        <w:t xml:space="preserve">himself </w:t>
      </w:r>
      <w:r w:rsidRPr="002E60EB">
        <w:rPr>
          <w:lang w:val="en-US"/>
        </w:rPr>
        <w:t xml:space="preserve">filed a brief before the Human Rights </w:t>
      </w:r>
      <w:r w:rsidR="00FC31D8" w:rsidRPr="002E60EB">
        <w:rPr>
          <w:lang w:val="en-US"/>
        </w:rPr>
        <w:t xml:space="preserve">Council </w:t>
      </w:r>
      <w:r w:rsidRPr="002E60EB">
        <w:rPr>
          <w:lang w:val="en-US"/>
        </w:rPr>
        <w:t>of the Presidency of the Republic</w:t>
      </w:r>
      <w:r w:rsidR="00FC31D8" w:rsidRPr="002E60EB">
        <w:rPr>
          <w:lang w:val="en-US"/>
        </w:rPr>
        <w:t xml:space="preserve"> regarding</w:t>
      </w:r>
      <w:r w:rsidRPr="002E60EB">
        <w:rPr>
          <w:lang w:val="en-US"/>
        </w:rPr>
        <w:t xml:space="preserve"> his </w:t>
      </w:r>
      <w:r w:rsidR="00FC31D8" w:rsidRPr="002E60EB">
        <w:rPr>
          <w:lang w:val="en-US"/>
        </w:rPr>
        <w:t xml:space="preserve">safety owing to </w:t>
      </w:r>
      <w:r w:rsidRPr="002E60EB">
        <w:rPr>
          <w:lang w:val="en-US"/>
        </w:rPr>
        <w:t>the threats.</w:t>
      </w:r>
      <w:r w:rsidR="00FC31D8" w:rsidRPr="002E60EB">
        <w:rPr>
          <w:rStyle w:val="Refdenotaalpie"/>
          <w:lang w:val="en-US"/>
        </w:rPr>
        <w:footnoteReference w:id="108"/>
      </w:r>
    </w:p>
    <w:p w:rsidR="00E15BBF" w:rsidRPr="002E60EB" w:rsidRDefault="00E15BBF" w:rsidP="002711CF">
      <w:pPr>
        <w:pStyle w:val="ColorfulList-Accent11"/>
        <w:ind w:left="0"/>
        <w:rPr>
          <w:rFonts w:cs="Arial"/>
          <w:lang w:val="en-US"/>
        </w:rPr>
      </w:pPr>
    </w:p>
    <w:p w:rsidR="00E15BBF" w:rsidRPr="002E60EB" w:rsidRDefault="00E15BBF" w:rsidP="00317748">
      <w:pPr>
        <w:numPr>
          <w:ilvl w:val="0"/>
          <w:numId w:val="1"/>
        </w:numPr>
        <w:tabs>
          <w:tab w:val="left" w:pos="720"/>
        </w:tabs>
        <w:autoSpaceDE w:val="0"/>
        <w:autoSpaceDN w:val="0"/>
        <w:adjustRightInd w:val="0"/>
        <w:jc w:val="both"/>
        <w:rPr>
          <w:lang w:val="en-US"/>
        </w:rPr>
      </w:pPr>
      <w:r w:rsidRPr="002E60EB">
        <w:rPr>
          <w:lang w:val="en-US"/>
        </w:rPr>
        <w:t>On October 5, 1997, Mr. Vélez received a written death threat consist</w:t>
      </w:r>
      <w:r w:rsidR="00FC31D8" w:rsidRPr="002E60EB">
        <w:rPr>
          <w:lang w:val="en-US"/>
        </w:rPr>
        <w:t>ing in</w:t>
      </w:r>
      <w:r w:rsidRPr="002E60EB">
        <w:rPr>
          <w:lang w:val="en-US"/>
        </w:rPr>
        <w:t xml:space="preserve"> a</w:t>
      </w:r>
      <w:r w:rsidR="00FC31D8" w:rsidRPr="002E60EB">
        <w:rPr>
          <w:lang w:val="en-US"/>
        </w:rPr>
        <w:t>n announcement of his death or letter</w:t>
      </w:r>
      <w:r w:rsidRPr="002E60EB">
        <w:rPr>
          <w:lang w:val="en-US"/>
        </w:rPr>
        <w:t xml:space="preserve"> of condolence, </w:t>
      </w:r>
      <w:r w:rsidR="00FC31D8" w:rsidRPr="002E60EB">
        <w:rPr>
          <w:lang w:val="en-US"/>
        </w:rPr>
        <w:t>stating:</w:t>
      </w:r>
      <w:r w:rsidRPr="002E60EB">
        <w:rPr>
          <w:lang w:val="en-US"/>
        </w:rPr>
        <w:t xml:space="preserve"> </w:t>
      </w:r>
      <w:r w:rsidR="00087093" w:rsidRPr="002E60EB">
        <w:rPr>
          <w:lang w:val="en-US"/>
        </w:rPr>
        <w:t>“</w:t>
      </w:r>
      <w:r w:rsidRPr="002E60EB">
        <w:rPr>
          <w:lang w:val="en-US"/>
        </w:rPr>
        <w:t xml:space="preserve">Mr. Velez, </w:t>
      </w:r>
      <w:r w:rsidR="003A64C5" w:rsidRPr="002E60EB">
        <w:rPr>
          <w:lang w:val="en-US"/>
        </w:rPr>
        <w:t>hypocrites</w:t>
      </w:r>
      <w:r w:rsidRPr="002E60EB">
        <w:rPr>
          <w:lang w:val="en-US"/>
        </w:rPr>
        <w:t xml:space="preserve"> </w:t>
      </w:r>
      <w:r w:rsidR="00FC31D8" w:rsidRPr="002E60EB">
        <w:rPr>
          <w:lang w:val="en-US"/>
        </w:rPr>
        <w:t xml:space="preserve">are crushed to death. Rest </w:t>
      </w:r>
      <w:r w:rsidRPr="002E60EB">
        <w:rPr>
          <w:lang w:val="en-US"/>
        </w:rPr>
        <w:t>in Peace.</w:t>
      </w:r>
      <w:r w:rsidR="00087093" w:rsidRPr="002E60EB">
        <w:rPr>
          <w:lang w:val="en-US"/>
        </w:rPr>
        <w:t>”</w:t>
      </w:r>
      <w:r w:rsidRPr="002E60EB">
        <w:rPr>
          <w:rStyle w:val="Refdenotaalpie"/>
          <w:lang w:val="en-US"/>
        </w:rPr>
        <w:footnoteReference w:id="109"/>
      </w:r>
    </w:p>
    <w:p w:rsidR="00E15BBF" w:rsidRPr="002E60EB" w:rsidRDefault="00E15BBF" w:rsidP="00317748">
      <w:pPr>
        <w:pStyle w:val="ColorfulList-Accent11"/>
        <w:tabs>
          <w:tab w:val="left" w:pos="720"/>
        </w:tabs>
        <w:ind w:left="0"/>
        <w:rPr>
          <w:rFonts w:eastAsia="Calibri" w:cs="Arial"/>
          <w:lang w:val="en-US"/>
        </w:rPr>
      </w:pPr>
    </w:p>
    <w:p w:rsidR="00E15BBF" w:rsidRPr="002E60EB" w:rsidRDefault="00E15BBF" w:rsidP="00317748">
      <w:pPr>
        <w:numPr>
          <w:ilvl w:val="0"/>
          <w:numId w:val="1"/>
        </w:numPr>
        <w:tabs>
          <w:tab w:val="left" w:pos="720"/>
        </w:tabs>
        <w:autoSpaceDE w:val="0"/>
        <w:autoSpaceDN w:val="0"/>
        <w:adjustRightInd w:val="0"/>
        <w:jc w:val="both"/>
        <w:rPr>
          <w:lang w:val="en-US"/>
        </w:rPr>
      </w:pPr>
      <w:r w:rsidRPr="002E60EB">
        <w:rPr>
          <w:lang w:val="en-US"/>
        </w:rPr>
        <w:t>On October 6, 1997, Mr. Vélez Restrepo left home at approximately 6 a.m. to go to work. Near his house</w:t>
      </w:r>
      <w:r w:rsidR="00977D12" w:rsidRPr="002E60EB">
        <w:rPr>
          <w:lang w:val="en-US"/>
        </w:rPr>
        <w:t>,</w:t>
      </w:r>
      <w:r w:rsidRPr="002E60EB">
        <w:rPr>
          <w:lang w:val="en-US"/>
        </w:rPr>
        <w:t xml:space="preserve"> two men emerged from a</w:t>
      </w:r>
      <w:r w:rsidR="00992737" w:rsidRPr="002E60EB">
        <w:rPr>
          <w:lang w:val="en-US"/>
        </w:rPr>
        <w:t xml:space="preserve"> parked</w:t>
      </w:r>
      <w:r w:rsidRPr="002E60EB">
        <w:rPr>
          <w:lang w:val="en-US"/>
        </w:rPr>
        <w:t xml:space="preserve"> taxi and </w:t>
      </w:r>
      <w:r w:rsidR="00977D12" w:rsidRPr="002E60EB">
        <w:rPr>
          <w:lang w:val="en-US"/>
        </w:rPr>
        <w:t xml:space="preserve">tried </w:t>
      </w:r>
      <w:r w:rsidRPr="002E60EB">
        <w:rPr>
          <w:lang w:val="en-US"/>
        </w:rPr>
        <w:t>to pull him into the back seat</w:t>
      </w:r>
      <w:r w:rsidR="00977D12" w:rsidRPr="002E60EB">
        <w:rPr>
          <w:lang w:val="en-US"/>
        </w:rPr>
        <w:t xml:space="preserve"> of the vehicle</w:t>
      </w:r>
      <w:r w:rsidRPr="002E60EB">
        <w:rPr>
          <w:lang w:val="en-US"/>
        </w:rPr>
        <w:t xml:space="preserve">. One of them hit him with </w:t>
      </w:r>
      <w:r w:rsidR="00977D12" w:rsidRPr="002E60EB">
        <w:rPr>
          <w:lang w:val="en-US"/>
        </w:rPr>
        <w:t>a gun</w:t>
      </w:r>
      <w:r w:rsidRPr="002E60EB">
        <w:rPr>
          <w:lang w:val="en-US"/>
        </w:rPr>
        <w:t xml:space="preserve"> butt. In the struggle, Mr. Vélez managed to escape and run to his house. Mr. Vélez Restrepo</w:t>
      </w:r>
      <w:r w:rsidR="00977D12" w:rsidRPr="002E60EB">
        <w:rPr>
          <w:lang w:val="en-US"/>
        </w:rPr>
        <w:t xml:space="preserve"> and his</w:t>
      </w:r>
      <w:r w:rsidRPr="002E60EB">
        <w:rPr>
          <w:lang w:val="en-US"/>
        </w:rPr>
        <w:t xml:space="preserve"> wife called the </w:t>
      </w:r>
      <w:r w:rsidR="00977D12" w:rsidRPr="002E60EB">
        <w:rPr>
          <w:lang w:val="en-US"/>
        </w:rPr>
        <w:t xml:space="preserve">State authorities to denounce </w:t>
      </w:r>
      <w:r w:rsidRPr="002E60EB">
        <w:rPr>
          <w:lang w:val="en-US"/>
        </w:rPr>
        <w:t>what had happened</w:t>
      </w:r>
      <w:r w:rsidR="00977D12" w:rsidRPr="002E60EB">
        <w:rPr>
          <w:lang w:val="en-US"/>
        </w:rPr>
        <w:t>. Security personnel subsequently arrived at the Vélez Román family’s home.</w:t>
      </w:r>
      <w:r w:rsidRPr="002E60EB">
        <w:rPr>
          <w:rStyle w:val="Refdenotaalpie"/>
          <w:rFonts w:eastAsia="Calibri" w:cs="Arial"/>
          <w:lang w:val="en-US"/>
        </w:rPr>
        <w:footnoteReference w:id="110"/>
      </w:r>
      <w:r w:rsidR="00977D12" w:rsidRPr="002E60EB">
        <w:rPr>
          <w:rFonts w:eastAsia="Calibri" w:cs="Arial"/>
          <w:lang w:val="en-US"/>
        </w:rPr>
        <w:t xml:space="preserve"> </w:t>
      </w:r>
    </w:p>
    <w:p w:rsidR="00E15BBF" w:rsidRPr="002E60EB" w:rsidRDefault="00E15BBF" w:rsidP="00317748">
      <w:pPr>
        <w:tabs>
          <w:tab w:val="left" w:pos="720"/>
        </w:tabs>
        <w:rPr>
          <w:rFonts w:eastAsia="Calibri" w:cs="Arial"/>
          <w:lang w:val="en-US"/>
        </w:rPr>
      </w:pPr>
    </w:p>
    <w:p w:rsidR="003F6166" w:rsidRPr="002E60EB" w:rsidRDefault="00E15BBF" w:rsidP="00317748">
      <w:pPr>
        <w:numPr>
          <w:ilvl w:val="0"/>
          <w:numId w:val="1"/>
        </w:numPr>
        <w:tabs>
          <w:tab w:val="left" w:pos="720"/>
        </w:tabs>
        <w:autoSpaceDE w:val="0"/>
        <w:autoSpaceDN w:val="0"/>
        <w:adjustRightInd w:val="0"/>
        <w:jc w:val="both"/>
        <w:rPr>
          <w:color w:val="00B050"/>
          <w:lang w:val="en-US"/>
        </w:rPr>
      </w:pPr>
      <w:r w:rsidRPr="002E60EB">
        <w:rPr>
          <w:rFonts w:eastAsia="Calibri" w:cs="Arial"/>
          <w:lang w:val="en-US"/>
        </w:rPr>
        <w:t xml:space="preserve">A few hours later on </w:t>
      </w:r>
      <w:r w:rsidR="00977D12" w:rsidRPr="002E60EB">
        <w:rPr>
          <w:rFonts w:eastAsia="Calibri" w:cs="Arial"/>
          <w:lang w:val="en-US"/>
        </w:rPr>
        <w:t xml:space="preserve">the same </w:t>
      </w:r>
      <w:r w:rsidRPr="002E60EB">
        <w:rPr>
          <w:rFonts w:eastAsia="Calibri" w:cs="Arial"/>
          <w:lang w:val="en-US"/>
        </w:rPr>
        <w:t xml:space="preserve">October 6, 1997, </w:t>
      </w:r>
      <w:r w:rsidR="00977D12" w:rsidRPr="002E60EB">
        <w:rPr>
          <w:rFonts w:eastAsia="Calibri" w:cs="Arial"/>
          <w:lang w:val="en-US"/>
        </w:rPr>
        <w:t xml:space="preserve">a meeting was held with </w:t>
      </w:r>
      <w:r w:rsidRPr="002E60EB">
        <w:rPr>
          <w:rFonts w:eastAsia="Calibri" w:cs="Arial"/>
          <w:lang w:val="en-US"/>
        </w:rPr>
        <w:t>State authorities</w:t>
      </w:r>
      <w:r w:rsidR="00977D12" w:rsidRPr="002E60EB">
        <w:rPr>
          <w:rFonts w:eastAsia="Calibri" w:cs="Arial"/>
          <w:lang w:val="en-US"/>
        </w:rPr>
        <w:t xml:space="preserve"> with regard to</w:t>
      </w:r>
      <w:r w:rsidRPr="002E60EB">
        <w:rPr>
          <w:rFonts w:eastAsia="Calibri" w:cs="Arial"/>
          <w:lang w:val="en-US"/>
        </w:rPr>
        <w:t xml:space="preserve"> the </w:t>
      </w:r>
      <w:r w:rsidR="00977D12" w:rsidRPr="002E60EB">
        <w:rPr>
          <w:rFonts w:eastAsia="Calibri" w:cs="Arial"/>
          <w:lang w:val="en-US"/>
        </w:rPr>
        <w:t xml:space="preserve">safety of </w:t>
      </w:r>
      <w:r w:rsidR="00334C3C" w:rsidRPr="002E60EB">
        <w:rPr>
          <w:rFonts w:eastAsia="Calibri" w:cs="Arial"/>
          <w:lang w:val="en-US"/>
        </w:rPr>
        <w:t>Mr. Vélez Restre</w:t>
      </w:r>
      <w:r w:rsidRPr="002E60EB">
        <w:rPr>
          <w:rFonts w:eastAsia="Calibri" w:cs="Arial"/>
          <w:lang w:val="en-US"/>
        </w:rPr>
        <w:t xml:space="preserve">po and his family. The meeting was held at the </w:t>
      </w:r>
      <w:r w:rsidR="00977D12" w:rsidRPr="002E60EB">
        <w:rPr>
          <w:rFonts w:eastAsia="Calibri" w:cs="Arial"/>
          <w:lang w:val="en-US"/>
        </w:rPr>
        <w:t xml:space="preserve">Special </w:t>
      </w:r>
      <w:r w:rsidRPr="002E60EB">
        <w:rPr>
          <w:rFonts w:eastAsia="Calibri" w:cs="Arial"/>
          <w:lang w:val="en-US"/>
        </w:rPr>
        <w:t xml:space="preserve">Administrative Unit for Human Rights of the Ministry of the Interior, and a delegate from the </w:t>
      </w:r>
      <w:r w:rsidR="003F6166" w:rsidRPr="002E60EB">
        <w:rPr>
          <w:rFonts w:eastAsia="Calibri" w:cs="Arial"/>
          <w:lang w:val="en-US"/>
        </w:rPr>
        <w:t xml:space="preserve">Presidential </w:t>
      </w:r>
      <w:r w:rsidRPr="002E60EB">
        <w:rPr>
          <w:rFonts w:eastAsia="Calibri" w:cs="Arial"/>
          <w:lang w:val="en-US"/>
        </w:rPr>
        <w:t xml:space="preserve">Human Rights </w:t>
      </w:r>
      <w:r w:rsidR="003F6166" w:rsidRPr="002E60EB">
        <w:rPr>
          <w:rFonts w:eastAsia="Calibri" w:cs="Arial"/>
          <w:lang w:val="en-US"/>
        </w:rPr>
        <w:t>Council was also present</w:t>
      </w:r>
      <w:r w:rsidRPr="002E60EB">
        <w:rPr>
          <w:rFonts w:eastAsia="Calibri" w:cs="Arial"/>
          <w:lang w:val="en-US"/>
        </w:rPr>
        <w:t xml:space="preserve">. Mr. Vélez Restrepo was offered various </w:t>
      </w:r>
      <w:r w:rsidR="003F6166" w:rsidRPr="002E60EB">
        <w:rPr>
          <w:rFonts w:eastAsia="Calibri" w:cs="Arial"/>
          <w:lang w:val="en-US"/>
        </w:rPr>
        <w:t xml:space="preserve">safety </w:t>
      </w:r>
      <w:r w:rsidRPr="002E60EB">
        <w:rPr>
          <w:rFonts w:eastAsia="Calibri" w:cs="Arial"/>
          <w:lang w:val="en-US"/>
        </w:rPr>
        <w:t xml:space="preserve">measures, </w:t>
      </w:r>
      <w:r w:rsidR="003F6166" w:rsidRPr="002E60EB">
        <w:rPr>
          <w:rFonts w:eastAsia="Calibri" w:cs="Arial"/>
          <w:lang w:val="en-US"/>
        </w:rPr>
        <w:t>including</w:t>
      </w:r>
      <w:r w:rsidRPr="002E60EB">
        <w:rPr>
          <w:rFonts w:eastAsia="Calibri" w:cs="Arial"/>
          <w:lang w:val="en-US"/>
        </w:rPr>
        <w:t xml:space="preserve">: </w:t>
      </w:r>
      <w:r w:rsidR="003F6166" w:rsidRPr="002E60EB">
        <w:rPr>
          <w:rFonts w:eastAsia="Calibri" w:cs="Arial"/>
          <w:lang w:val="en-US"/>
        </w:rPr>
        <w:t>“</w:t>
      </w:r>
      <w:r w:rsidRPr="002E60EB">
        <w:rPr>
          <w:rFonts w:eastAsia="Calibri" w:cs="Arial"/>
          <w:lang w:val="en-US"/>
        </w:rPr>
        <w:t xml:space="preserve">the possibility of relocating to another area of the country to </w:t>
      </w:r>
      <w:r w:rsidR="003F6166" w:rsidRPr="002E60EB">
        <w:rPr>
          <w:rFonts w:eastAsia="Calibri" w:cs="Arial"/>
          <w:lang w:val="en-US"/>
        </w:rPr>
        <w:t xml:space="preserve">lessen </w:t>
      </w:r>
      <w:r w:rsidRPr="002E60EB">
        <w:rPr>
          <w:rFonts w:eastAsia="Calibri" w:cs="Arial"/>
          <w:lang w:val="en-US"/>
        </w:rPr>
        <w:t xml:space="preserve">the </w:t>
      </w:r>
      <w:r w:rsidR="003F6166" w:rsidRPr="002E60EB">
        <w:rPr>
          <w:rFonts w:eastAsia="Calibri" w:cs="Arial"/>
          <w:lang w:val="en-US"/>
        </w:rPr>
        <w:t xml:space="preserve">reported </w:t>
      </w:r>
      <w:r w:rsidRPr="002E60EB">
        <w:rPr>
          <w:rFonts w:eastAsia="Calibri" w:cs="Arial"/>
          <w:lang w:val="en-US"/>
        </w:rPr>
        <w:t>risk,</w:t>
      </w:r>
      <w:r w:rsidR="003F6166" w:rsidRPr="002E60EB">
        <w:rPr>
          <w:rFonts w:eastAsia="Calibri" w:cs="Arial"/>
          <w:lang w:val="en-US"/>
        </w:rPr>
        <w:t>”</w:t>
      </w:r>
      <w:r w:rsidRPr="002E60EB">
        <w:rPr>
          <w:rFonts w:eastAsia="Calibri" w:cs="Arial"/>
          <w:lang w:val="en-US"/>
        </w:rPr>
        <w:t xml:space="preserve"> a bulletproof vest, </w:t>
      </w:r>
      <w:r w:rsidR="003F6166" w:rsidRPr="002E60EB">
        <w:rPr>
          <w:rFonts w:eastAsia="Calibri" w:cs="Arial"/>
          <w:lang w:val="en-US"/>
        </w:rPr>
        <w:t>and</w:t>
      </w:r>
      <w:r w:rsidRPr="002E60EB">
        <w:rPr>
          <w:rFonts w:eastAsia="Calibri" w:cs="Arial"/>
          <w:lang w:val="en-US"/>
        </w:rPr>
        <w:t xml:space="preserve"> </w:t>
      </w:r>
      <w:r w:rsidR="003F6166" w:rsidRPr="002E60EB">
        <w:rPr>
          <w:rFonts w:eastAsia="Calibri" w:cs="Arial"/>
          <w:lang w:val="en-US"/>
        </w:rPr>
        <w:t xml:space="preserve">a </w:t>
      </w:r>
      <w:r w:rsidRPr="002E60EB">
        <w:rPr>
          <w:rFonts w:eastAsia="Calibri" w:cs="Arial"/>
          <w:lang w:val="en-US"/>
        </w:rPr>
        <w:t>permanent police escort</w:t>
      </w:r>
      <w:r w:rsidR="003F6166" w:rsidRPr="002E60EB">
        <w:rPr>
          <w:rFonts w:eastAsia="Calibri" w:cs="Arial"/>
          <w:lang w:val="en-US"/>
        </w:rPr>
        <w:t xml:space="preserve"> when he left the house. In addition he was offered </w:t>
      </w:r>
      <w:r w:rsidRPr="002E60EB">
        <w:rPr>
          <w:rFonts w:eastAsia="Calibri" w:cs="Arial"/>
          <w:lang w:val="en-US"/>
        </w:rPr>
        <w:t>two hundred</w:t>
      </w:r>
      <w:r w:rsidR="003F6166" w:rsidRPr="002E60EB">
        <w:rPr>
          <w:rFonts w:eastAsia="Calibri" w:cs="Arial"/>
          <w:lang w:val="en-US"/>
        </w:rPr>
        <w:t xml:space="preserve"> and</w:t>
      </w:r>
      <w:r w:rsidRPr="002E60EB">
        <w:rPr>
          <w:rFonts w:eastAsia="Calibri" w:cs="Arial"/>
          <w:lang w:val="en-US"/>
        </w:rPr>
        <w:t xml:space="preserve"> fifty thousand</w:t>
      </w:r>
      <w:r w:rsidR="003F6166" w:rsidRPr="002E60EB">
        <w:rPr>
          <w:rFonts w:eastAsia="Calibri" w:cs="Arial"/>
          <w:lang w:val="en-US"/>
        </w:rPr>
        <w:t xml:space="preserve"> Colombian</w:t>
      </w:r>
      <w:r w:rsidRPr="002E60EB">
        <w:rPr>
          <w:rFonts w:eastAsia="Calibri" w:cs="Arial"/>
          <w:lang w:val="en-US"/>
        </w:rPr>
        <w:t xml:space="preserve"> pesos (COL$ 250,000.00)</w:t>
      </w:r>
      <w:r w:rsidR="003F6166" w:rsidRPr="002E60EB">
        <w:rPr>
          <w:rFonts w:eastAsia="Calibri" w:cs="Arial"/>
          <w:lang w:val="en-US"/>
        </w:rPr>
        <w:t xml:space="preserve"> </w:t>
      </w:r>
      <w:r w:rsidR="00992737" w:rsidRPr="002E60EB">
        <w:rPr>
          <w:rFonts w:eastAsia="Calibri" w:cs="Arial"/>
          <w:lang w:val="en-US"/>
        </w:rPr>
        <w:t>as</w:t>
      </w:r>
      <w:r w:rsidR="003F6166" w:rsidRPr="002E60EB">
        <w:rPr>
          <w:rFonts w:eastAsia="Calibri" w:cs="Arial"/>
          <w:lang w:val="en-US"/>
        </w:rPr>
        <w:t xml:space="preserve"> monthly financial assistance for three months.</w:t>
      </w:r>
      <w:r w:rsidR="003F6166" w:rsidRPr="002E60EB">
        <w:rPr>
          <w:rStyle w:val="Refdenotaalpie"/>
          <w:rFonts w:eastAsia="Calibri" w:cs="Arial"/>
          <w:lang w:val="en-US"/>
        </w:rPr>
        <w:footnoteReference w:id="111"/>
      </w:r>
      <w:r w:rsidR="003F6166" w:rsidRPr="002E60EB">
        <w:rPr>
          <w:rFonts w:eastAsia="Calibri" w:cs="Arial"/>
          <w:lang w:val="en-US"/>
        </w:rPr>
        <w:t xml:space="preserve">  </w:t>
      </w:r>
    </w:p>
    <w:p w:rsidR="003F6166" w:rsidRPr="002E60EB" w:rsidRDefault="003F6166" w:rsidP="00317748">
      <w:pPr>
        <w:pStyle w:val="Prrafodelista"/>
        <w:rPr>
          <w:rFonts w:eastAsia="Calibri" w:cs="Arial"/>
          <w:lang w:val="en-US"/>
        </w:rPr>
      </w:pPr>
    </w:p>
    <w:p w:rsidR="00AF279D" w:rsidRPr="002E60EB" w:rsidRDefault="003F6166" w:rsidP="00317748">
      <w:pPr>
        <w:numPr>
          <w:ilvl w:val="0"/>
          <w:numId w:val="1"/>
        </w:numPr>
        <w:tabs>
          <w:tab w:val="left" w:pos="720"/>
        </w:tabs>
        <w:autoSpaceDE w:val="0"/>
        <w:autoSpaceDN w:val="0"/>
        <w:adjustRightInd w:val="0"/>
        <w:jc w:val="both"/>
        <w:rPr>
          <w:color w:val="00B050"/>
          <w:lang w:val="en-US"/>
        </w:rPr>
      </w:pPr>
      <w:r w:rsidRPr="002E60EB">
        <w:rPr>
          <w:rFonts w:eastAsia="Calibri" w:cs="Arial"/>
          <w:lang w:val="en-US"/>
        </w:rPr>
        <w:t xml:space="preserve">On the same October 6, </w:t>
      </w:r>
      <w:r w:rsidR="00E15BBF" w:rsidRPr="002E60EB">
        <w:rPr>
          <w:rFonts w:eastAsia="Calibri" w:cs="Arial"/>
          <w:lang w:val="en-US"/>
        </w:rPr>
        <w:t xml:space="preserve">Mr. Vélez </w:t>
      </w:r>
      <w:r w:rsidR="00087093" w:rsidRPr="002E60EB">
        <w:rPr>
          <w:rFonts w:eastAsia="Calibri" w:cs="Arial"/>
          <w:lang w:val="en-US"/>
        </w:rPr>
        <w:t>“</w:t>
      </w:r>
      <w:r w:rsidRPr="002E60EB">
        <w:rPr>
          <w:rFonts w:eastAsia="Calibri" w:cs="Arial"/>
          <w:lang w:val="en-US"/>
        </w:rPr>
        <w:t xml:space="preserve">indicated </w:t>
      </w:r>
      <w:r w:rsidR="00E15BBF" w:rsidRPr="002E60EB">
        <w:rPr>
          <w:rFonts w:eastAsia="Calibri" w:cs="Arial"/>
          <w:lang w:val="en-US"/>
        </w:rPr>
        <w:t xml:space="preserve">his intention </w:t>
      </w:r>
      <w:r w:rsidRPr="002E60EB">
        <w:rPr>
          <w:rFonts w:eastAsia="Calibri" w:cs="Arial"/>
          <w:lang w:val="en-US"/>
        </w:rPr>
        <w:t>of</w:t>
      </w:r>
      <w:r w:rsidR="00E15BBF" w:rsidRPr="002E60EB">
        <w:rPr>
          <w:rFonts w:eastAsia="Calibri" w:cs="Arial"/>
          <w:lang w:val="en-US"/>
        </w:rPr>
        <w:t xml:space="preserve"> leav</w:t>
      </w:r>
      <w:r w:rsidRPr="002E60EB">
        <w:rPr>
          <w:rFonts w:eastAsia="Calibri" w:cs="Arial"/>
          <w:lang w:val="en-US"/>
        </w:rPr>
        <w:t>ing</w:t>
      </w:r>
      <w:r w:rsidR="00E15BBF" w:rsidRPr="002E60EB">
        <w:rPr>
          <w:rFonts w:eastAsia="Calibri" w:cs="Arial"/>
          <w:lang w:val="en-US"/>
        </w:rPr>
        <w:t xml:space="preserve"> the country </w:t>
      </w:r>
      <w:r w:rsidRPr="002E60EB">
        <w:rPr>
          <w:rFonts w:eastAsia="Calibri" w:cs="Arial"/>
          <w:lang w:val="en-US"/>
        </w:rPr>
        <w:t>[</w:t>
      </w:r>
      <w:r w:rsidR="00E15BBF" w:rsidRPr="002E60EB">
        <w:rPr>
          <w:rFonts w:eastAsia="Calibri" w:cs="Arial"/>
          <w:lang w:val="en-US"/>
        </w:rPr>
        <w:t>and said] that nowhere in Colombia would he feel protected.</w:t>
      </w:r>
      <w:r w:rsidR="00087093" w:rsidRPr="002E60EB">
        <w:rPr>
          <w:rFonts w:eastAsia="Calibri" w:cs="Arial"/>
          <w:lang w:val="en-US"/>
        </w:rPr>
        <w:t>”</w:t>
      </w:r>
      <w:r w:rsidRPr="002E60EB">
        <w:rPr>
          <w:rStyle w:val="Refdenotaalpie"/>
          <w:lang w:val="en-US"/>
        </w:rPr>
        <w:footnoteReference w:id="112"/>
      </w:r>
      <w:r w:rsidR="00E15BBF" w:rsidRPr="002E60EB">
        <w:rPr>
          <w:rFonts w:eastAsia="Calibri" w:cs="Arial"/>
          <w:lang w:val="en-US"/>
        </w:rPr>
        <w:t xml:space="preserve"> </w:t>
      </w:r>
      <w:r w:rsidRPr="002E60EB">
        <w:rPr>
          <w:rFonts w:eastAsia="Calibri" w:cs="Arial"/>
          <w:lang w:val="en-US"/>
        </w:rPr>
        <w:t>It is recorded that, a</w:t>
      </w:r>
      <w:r w:rsidR="00E15BBF" w:rsidRPr="002E60EB">
        <w:rPr>
          <w:rFonts w:eastAsia="Calibri" w:cs="Arial"/>
          <w:lang w:val="en-US"/>
        </w:rPr>
        <w:t xml:space="preserve">s measures of protection </w:t>
      </w:r>
      <w:r w:rsidRPr="002E60EB">
        <w:rPr>
          <w:rFonts w:eastAsia="Calibri" w:cs="Arial"/>
          <w:lang w:val="en-US"/>
        </w:rPr>
        <w:t>until</w:t>
      </w:r>
      <w:r w:rsidR="00E15BBF" w:rsidRPr="002E60EB">
        <w:rPr>
          <w:rFonts w:eastAsia="Calibri" w:cs="Arial"/>
          <w:lang w:val="en-US"/>
        </w:rPr>
        <w:t xml:space="preserve"> he left the country, the</w:t>
      </w:r>
      <w:r w:rsidRPr="002E60EB">
        <w:rPr>
          <w:rFonts w:eastAsia="Calibri" w:cs="Arial"/>
          <w:lang w:val="en-US"/>
        </w:rPr>
        <w:t xml:space="preserve"> State provided him with</w:t>
      </w:r>
      <w:r w:rsidR="00E15BBF" w:rsidRPr="002E60EB">
        <w:rPr>
          <w:rFonts w:eastAsia="Calibri" w:cs="Arial"/>
          <w:lang w:val="en-US"/>
        </w:rPr>
        <w:t xml:space="preserve"> a bulletproof vest and he had a permanent police escort.</w:t>
      </w:r>
      <w:r w:rsidRPr="002E60EB">
        <w:rPr>
          <w:rStyle w:val="Refdenotaalpie"/>
          <w:rFonts w:eastAsia="Calibri" w:cs="Arial"/>
          <w:lang w:val="en-US"/>
        </w:rPr>
        <w:footnoteReference w:id="113"/>
      </w:r>
      <w:r w:rsidR="00E15BBF" w:rsidRPr="002E60EB">
        <w:rPr>
          <w:rFonts w:eastAsia="Calibri" w:cs="Arial"/>
          <w:lang w:val="en-US"/>
        </w:rPr>
        <w:t xml:space="preserve"> </w:t>
      </w:r>
      <w:r w:rsidRPr="002E60EB">
        <w:rPr>
          <w:rFonts w:eastAsia="Calibri" w:cs="Arial"/>
          <w:lang w:val="en-US"/>
        </w:rPr>
        <w:t>Three days later, o</w:t>
      </w:r>
      <w:r w:rsidR="00E15BBF" w:rsidRPr="002E60EB">
        <w:rPr>
          <w:rFonts w:eastAsia="Calibri" w:cs="Arial"/>
          <w:lang w:val="en-US"/>
        </w:rPr>
        <w:t>n October 9, 1997, Mr. Vélez Restrepo</w:t>
      </w:r>
      <w:r w:rsidRPr="002E60EB">
        <w:rPr>
          <w:rFonts w:eastAsia="Calibri" w:cs="Arial"/>
          <w:lang w:val="en-US"/>
        </w:rPr>
        <w:t xml:space="preserve"> left Colombia for the United States of America</w:t>
      </w:r>
      <w:r w:rsidR="00E15BBF" w:rsidRPr="002E60EB">
        <w:rPr>
          <w:rFonts w:eastAsia="Calibri" w:cs="Arial"/>
          <w:lang w:val="en-US"/>
        </w:rPr>
        <w:t xml:space="preserve">, </w:t>
      </w:r>
      <w:r w:rsidRPr="002E60EB">
        <w:rPr>
          <w:rFonts w:eastAsia="Calibri" w:cs="Arial"/>
          <w:lang w:val="en-US"/>
        </w:rPr>
        <w:t>with the</w:t>
      </w:r>
      <w:r w:rsidR="00E15BBF" w:rsidRPr="002E60EB">
        <w:rPr>
          <w:rFonts w:eastAsia="Calibri" w:cs="Arial"/>
          <w:lang w:val="en-US"/>
        </w:rPr>
        <w:t xml:space="preserve"> collaboration </w:t>
      </w:r>
      <w:r w:rsidRPr="002E60EB">
        <w:rPr>
          <w:rFonts w:eastAsia="Calibri" w:cs="Arial"/>
          <w:lang w:val="en-US"/>
        </w:rPr>
        <w:t>of</w:t>
      </w:r>
      <w:r w:rsidR="00E15BBF" w:rsidRPr="002E60EB">
        <w:rPr>
          <w:rFonts w:eastAsia="Calibri" w:cs="Arial"/>
          <w:lang w:val="en-US"/>
        </w:rPr>
        <w:t xml:space="preserve"> the Office of the High Commissioner for Peace and the International Committee of the Red Cross.</w:t>
      </w:r>
      <w:r w:rsidRPr="002E60EB">
        <w:rPr>
          <w:rStyle w:val="Refdenotaalpie"/>
          <w:lang w:val="en-US"/>
        </w:rPr>
        <w:footnoteReference w:id="114"/>
      </w:r>
      <w:r w:rsidR="00E4076C" w:rsidRPr="002E60EB">
        <w:rPr>
          <w:rFonts w:eastAsia="Calibri" w:cs="Arial"/>
          <w:lang w:val="en-US"/>
        </w:rPr>
        <w:t xml:space="preserve"> His departure from the country was covered by the media.</w:t>
      </w:r>
      <w:r w:rsidR="00E4076C" w:rsidRPr="002E60EB">
        <w:rPr>
          <w:rStyle w:val="Refdenotaalpie"/>
          <w:lang w:val="en-US"/>
        </w:rPr>
        <w:footnoteReference w:id="115"/>
      </w:r>
    </w:p>
    <w:p w:rsidR="00AF279D" w:rsidRPr="002E60EB" w:rsidRDefault="00AF279D" w:rsidP="00317748">
      <w:pPr>
        <w:pStyle w:val="Prrafodelista"/>
        <w:rPr>
          <w:rFonts w:eastAsia="Calibri" w:cs="Arial"/>
          <w:lang w:val="en-US"/>
        </w:rPr>
      </w:pPr>
    </w:p>
    <w:p w:rsidR="00E42499" w:rsidRPr="002E60EB" w:rsidRDefault="00E15BBF" w:rsidP="00317748">
      <w:pPr>
        <w:numPr>
          <w:ilvl w:val="0"/>
          <w:numId w:val="1"/>
        </w:numPr>
        <w:tabs>
          <w:tab w:val="left" w:pos="720"/>
        </w:tabs>
        <w:autoSpaceDE w:val="0"/>
        <w:autoSpaceDN w:val="0"/>
        <w:adjustRightInd w:val="0"/>
        <w:jc w:val="both"/>
        <w:rPr>
          <w:lang w:val="en-US"/>
        </w:rPr>
      </w:pPr>
      <w:r w:rsidRPr="002E60EB">
        <w:rPr>
          <w:lang w:val="en-US"/>
        </w:rPr>
        <w:t xml:space="preserve">Mr. Vélez Restrepo filed </w:t>
      </w:r>
      <w:r w:rsidR="00E37456" w:rsidRPr="002E60EB">
        <w:rPr>
          <w:lang w:val="en-US"/>
        </w:rPr>
        <w:t xml:space="preserve">requests for </w:t>
      </w:r>
      <w:r w:rsidRPr="002E60EB">
        <w:rPr>
          <w:lang w:val="en-US"/>
        </w:rPr>
        <w:t xml:space="preserve">asylum with the competent authorities in the United States </w:t>
      </w:r>
      <w:r w:rsidR="00EF60B9" w:rsidRPr="002E60EB">
        <w:rPr>
          <w:lang w:val="en-US"/>
        </w:rPr>
        <w:t xml:space="preserve">of America </w:t>
      </w:r>
      <w:r w:rsidRPr="002E60EB">
        <w:rPr>
          <w:lang w:val="en-US"/>
        </w:rPr>
        <w:t xml:space="preserve">for himself and his wife and children. On July 30, 1998, he was </w:t>
      </w:r>
      <w:r w:rsidR="00E37456" w:rsidRPr="002E60EB">
        <w:rPr>
          <w:lang w:val="en-US"/>
        </w:rPr>
        <w:t>notified</w:t>
      </w:r>
      <w:r w:rsidRPr="002E60EB">
        <w:rPr>
          <w:lang w:val="en-US"/>
        </w:rPr>
        <w:t xml:space="preserve"> of his </w:t>
      </w:r>
      <w:r w:rsidR="00087093" w:rsidRPr="002E60EB">
        <w:rPr>
          <w:lang w:val="en-US"/>
        </w:rPr>
        <w:t>“</w:t>
      </w:r>
      <w:r w:rsidRPr="002E60EB">
        <w:rPr>
          <w:lang w:val="en-US"/>
        </w:rPr>
        <w:t>Asylum Approval</w:t>
      </w:r>
      <w:r w:rsidR="00087093" w:rsidRPr="002E60EB">
        <w:rPr>
          <w:lang w:val="en-US"/>
        </w:rPr>
        <w:t>”</w:t>
      </w:r>
      <w:r w:rsidRPr="002E60EB">
        <w:rPr>
          <w:lang w:val="en-US"/>
        </w:rPr>
        <w:t xml:space="preserve"> </w:t>
      </w:r>
      <w:r w:rsidR="00E37456" w:rsidRPr="002E60EB">
        <w:rPr>
          <w:lang w:val="en-US"/>
        </w:rPr>
        <w:t xml:space="preserve">by </w:t>
      </w:r>
      <w:r w:rsidRPr="002E60EB">
        <w:rPr>
          <w:lang w:val="en-US"/>
        </w:rPr>
        <w:t>the</w:t>
      </w:r>
      <w:r w:rsidR="00C053C6" w:rsidRPr="002E60EB">
        <w:rPr>
          <w:lang w:val="en-US"/>
        </w:rPr>
        <w:t xml:space="preserve"> </w:t>
      </w:r>
      <w:r w:rsidR="00EF60B9" w:rsidRPr="002E60EB">
        <w:rPr>
          <w:lang w:val="en-US"/>
        </w:rPr>
        <w:t>U.S.</w:t>
      </w:r>
      <w:r w:rsidR="007B13EF" w:rsidRPr="002E60EB">
        <w:rPr>
          <w:lang w:val="en-US"/>
        </w:rPr>
        <w:t xml:space="preserve"> Citizenship and</w:t>
      </w:r>
      <w:r w:rsidRPr="002E60EB">
        <w:rPr>
          <w:lang w:val="en-US"/>
        </w:rPr>
        <w:t xml:space="preserve"> Immigration Service</w:t>
      </w:r>
      <w:r w:rsidR="007B13EF" w:rsidRPr="002E60EB">
        <w:rPr>
          <w:lang w:val="en-US"/>
        </w:rPr>
        <w:t>s</w:t>
      </w:r>
      <w:r w:rsidRPr="002E60EB">
        <w:rPr>
          <w:lang w:val="en-US"/>
        </w:rPr>
        <w:t xml:space="preserve">, and on August 14 that year, he </w:t>
      </w:r>
      <w:r w:rsidR="007B13EF" w:rsidRPr="002E60EB">
        <w:rPr>
          <w:lang w:val="en-US"/>
        </w:rPr>
        <w:t xml:space="preserve">received notification that </w:t>
      </w:r>
      <w:r w:rsidRPr="002E60EB">
        <w:rPr>
          <w:lang w:val="en-US"/>
        </w:rPr>
        <w:t>asylum</w:t>
      </w:r>
      <w:r w:rsidR="007B13EF" w:rsidRPr="002E60EB">
        <w:rPr>
          <w:lang w:val="en-US"/>
        </w:rPr>
        <w:t xml:space="preserve"> had been granted</w:t>
      </w:r>
      <w:r w:rsidRPr="002E60EB">
        <w:rPr>
          <w:lang w:val="en-US"/>
        </w:rPr>
        <w:t xml:space="preserve"> to his wife, Aracelly Roman</w:t>
      </w:r>
      <w:r w:rsidR="007B13EF" w:rsidRPr="002E60EB">
        <w:rPr>
          <w:lang w:val="en-US"/>
        </w:rPr>
        <w:t xml:space="preserve"> Amariles</w:t>
      </w:r>
      <w:r w:rsidRPr="002E60EB">
        <w:rPr>
          <w:lang w:val="en-US"/>
        </w:rPr>
        <w:t>, and</w:t>
      </w:r>
      <w:r w:rsidR="007B13EF" w:rsidRPr="002E60EB">
        <w:rPr>
          <w:lang w:val="en-US"/>
        </w:rPr>
        <w:t xml:space="preserve"> their children</w:t>
      </w:r>
      <w:r w:rsidRPr="002E60EB">
        <w:rPr>
          <w:lang w:val="en-US"/>
        </w:rPr>
        <w:t xml:space="preserve"> Mateo and Juliana Vélez Román</w:t>
      </w:r>
      <w:r w:rsidR="008360F7" w:rsidRPr="002E60EB">
        <w:rPr>
          <w:lang w:val="en-US"/>
        </w:rPr>
        <w:t>.</w:t>
      </w:r>
      <w:r w:rsidRPr="002E60EB">
        <w:rPr>
          <w:rStyle w:val="Refdenotaalpie"/>
          <w:lang w:val="en-US"/>
        </w:rPr>
        <w:footnoteReference w:id="116"/>
      </w:r>
      <w:r w:rsidRPr="002E60EB">
        <w:rPr>
          <w:lang w:val="en-US"/>
        </w:rPr>
        <w:t xml:space="preserve"> While awaiting approval </w:t>
      </w:r>
      <w:r w:rsidR="008360F7" w:rsidRPr="002E60EB">
        <w:rPr>
          <w:lang w:val="en-US"/>
        </w:rPr>
        <w:t xml:space="preserve">of the </w:t>
      </w:r>
      <w:r w:rsidRPr="002E60EB">
        <w:rPr>
          <w:lang w:val="en-US"/>
        </w:rPr>
        <w:t>asylum</w:t>
      </w:r>
      <w:r w:rsidR="008360F7" w:rsidRPr="002E60EB">
        <w:rPr>
          <w:lang w:val="en-US"/>
        </w:rPr>
        <w:t xml:space="preserve"> request</w:t>
      </w:r>
      <w:r w:rsidRPr="002E60EB">
        <w:rPr>
          <w:lang w:val="en-US"/>
        </w:rPr>
        <w:t>, Mr. Vélez Restrepo lived alone in the United States, and Mrs. Román</w:t>
      </w:r>
      <w:r w:rsidR="008360F7" w:rsidRPr="002E60EB">
        <w:rPr>
          <w:lang w:val="en-US"/>
        </w:rPr>
        <w:t xml:space="preserve"> Amariles</w:t>
      </w:r>
      <w:r w:rsidRPr="002E60EB">
        <w:rPr>
          <w:lang w:val="en-US"/>
        </w:rPr>
        <w:t xml:space="preserve"> and their son Mateo (5 years) and their daughter Juliana (2 years) lived in Medellin with the financial support </w:t>
      </w:r>
      <w:r w:rsidR="008360F7" w:rsidRPr="002E60EB">
        <w:rPr>
          <w:lang w:val="en-US"/>
        </w:rPr>
        <w:t xml:space="preserve">of </w:t>
      </w:r>
      <w:r w:rsidRPr="002E60EB">
        <w:rPr>
          <w:lang w:val="en-US"/>
        </w:rPr>
        <w:t xml:space="preserve">their families. Mrs. Román </w:t>
      </w:r>
      <w:r w:rsidR="008360F7" w:rsidRPr="002E60EB">
        <w:rPr>
          <w:lang w:val="en-US"/>
        </w:rPr>
        <w:t xml:space="preserve">Amariles and </w:t>
      </w:r>
      <w:r w:rsidRPr="002E60EB">
        <w:rPr>
          <w:lang w:val="en-US"/>
        </w:rPr>
        <w:t xml:space="preserve">her daughter Juliana lived </w:t>
      </w:r>
      <w:r w:rsidR="00EF60B9" w:rsidRPr="002E60EB">
        <w:rPr>
          <w:lang w:val="en-US"/>
        </w:rPr>
        <w:t>with</w:t>
      </w:r>
      <w:r w:rsidRPr="002E60EB">
        <w:rPr>
          <w:lang w:val="en-US"/>
        </w:rPr>
        <w:t xml:space="preserve"> </w:t>
      </w:r>
      <w:r w:rsidR="00EF60B9" w:rsidRPr="002E60EB">
        <w:rPr>
          <w:lang w:val="en-US"/>
        </w:rPr>
        <w:t xml:space="preserve">her </w:t>
      </w:r>
      <w:r w:rsidRPr="002E60EB">
        <w:rPr>
          <w:lang w:val="en-US"/>
        </w:rPr>
        <w:t>relatives</w:t>
      </w:r>
      <w:r w:rsidR="008360F7" w:rsidRPr="002E60EB">
        <w:rPr>
          <w:lang w:val="en-US"/>
        </w:rPr>
        <w:t>,</w:t>
      </w:r>
      <w:r w:rsidRPr="002E60EB">
        <w:rPr>
          <w:lang w:val="en-US"/>
        </w:rPr>
        <w:t xml:space="preserve"> and Mateo lived with his paternal grandmother, and they would meet on weekends.</w:t>
      </w:r>
      <w:r w:rsidRPr="002E60EB">
        <w:rPr>
          <w:rStyle w:val="Refdenotaalpie"/>
          <w:lang w:val="en-US"/>
        </w:rPr>
        <w:footnoteReference w:id="117"/>
      </w:r>
      <w:r w:rsidRPr="002E60EB">
        <w:rPr>
          <w:lang w:val="en-US"/>
        </w:rPr>
        <w:t xml:space="preserve"> The Vélez Román family was separated for almost a year, and was reunited on September 12, 1998</w:t>
      </w:r>
      <w:r w:rsidR="00E42499" w:rsidRPr="002E60EB">
        <w:rPr>
          <w:lang w:val="en-US"/>
        </w:rPr>
        <w:t xml:space="preserve">, </w:t>
      </w:r>
      <w:r w:rsidRPr="002E60EB">
        <w:rPr>
          <w:lang w:val="en-US"/>
        </w:rPr>
        <w:t xml:space="preserve">in the United States of America, the country in which they have resided </w:t>
      </w:r>
      <w:r w:rsidR="00E42499" w:rsidRPr="002E60EB">
        <w:rPr>
          <w:lang w:val="en-US"/>
        </w:rPr>
        <w:t xml:space="preserve">up </w:t>
      </w:r>
      <w:r w:rsidRPr="002E60EB">
        <w:rPr>
          <w:lang w:val="en-US"/>
        </w:rPr>
        <w:t>until the present.</w:t>
      </w:r>
      <w:r w:rsidRPr="002E60EB">
        <w:rPr>
          <w:rStyle w:val="Refdenotaalpie"/>
          <w:lang w:val="en-US"/>
        </w:rPr>
        <w:footnoteReference w:id="118"/>
      </w:r>
      <w:r w:rsidR="00E42499" w:rsidRPr="002E60EB">
        <w:rPr>
          <w:lang w:val="en-US"/>
        </w:rPr>
        <w:t xml:space="preserve"> </w:t>
      </w:r>
    </w:p>
    <w:p w:rsidR="00E15BBF" w:rsidRPr="002E60EB" w:rsidRDefault="00E15BBF" w:rsidP="00317748">
      <w:pPr>
        <w:tabs>
          <w:tab w:val="left" w:pos="720"/>
        </w:tabs>
        <w:autoSpaceDE w:val="0"/>
        <w:autoSpaceDN w:val="0"/>
        <w:adjustRightInd w:val="0"/>
        <w:jc w:val="both"/>
        <w:rPr>
          <w:lang w:val="en-US"/>
        </w:rPr>
      </w:pPr>
    </w:p>
    <w:p w:rsidR="0084095E" w:rsidRPr="002E60EB" w:rsidRDefault="0084095E" w:rsidP="00317748">
      <w:pPr>
        <w:tabs>
          <w:tab w:val="left" w:pos="720"/>
        </w:tabs>
        <w:autoSpaceDE w:val="0"/>
        <w:autoSpaceDN w:val="0"/>
        <w:adjustRightInd w:val="0"/>
        <w:jc w:val="both"/>
        <w:rPr>
          <w:b/>
          <w:lang w:val="en-US"/>
        </w:rPr>
      </w:pPr>
      <w:r w:rsidRPr="002E60EB">
        <w:rPr>
          <w:b/>
          <w:lang w:val="en-US"/>
        </w:rPr>
        <w:t>C)</w:t>
      </w:r>
      <w:r w:rsidRPr="002E60EB">
        <w:rPr>
          <w:b/>
          <w:lang w:val="en-US"/>
        </w:rPr>
        <w:tab/>
        <w:t xml:space="preserve">Facts </w:t>
      </w:r>
      <w:r w:rsidR="00E42499" w:rsidRPr="002E60EB">
        <w:rPr>
          <w:b/>
          <w:lang w:val="en-US"/>
        </w:rPr>
        <w:t>relating to</w:t>
      </w:r>
      <w:r w:rsidRPr="002E60EB">
        <w:rPr>
          <w:b/>
          <w:lang w:val="en-US"/>
        </w:rPr>
        <w:t xml:space="preserve"> the domestic investigations and the pre</w:t>
      </w:r>
      <w:r w:rsidR="00F81C52" w:rsidRPr="002E60EB">
        <w:rPr>
          <w:b/>
          <w:lang w:val="en-US"/>
        </w:rPr>
        <w:t>-trial</w:t>
      </w:r>
      <w:r w:rsidRPr="002E60EB">
        <w:rPr>
          <w:b/>
          <w:lang w:val="en-US"/>
        </w:rPr>
        <w:t xml:space="preserve"> administrative conciliation proce</w:t>
      </w:r>
      <w:r w:rsidR="00CF7F35" w:rsidRPr="002E60EB">
        <w:rPr>
          <w:b/>
          <w:lang w:val="en-US"/>
        </w:rPr>
        <w:t>dure</w:t>
      </w:r>
    </w:p>
    <w:p w:rsidR="0084095E" w:rsidRPr="002E60EB" w:rsidRDefault="0084095E" w:rsidP="00317748">
      <w:pPr>
        <w:pStyle w:val="Prrafodelista"/>
        <w:autoSpaceDE w:val="0"/>
        <w:autoSpaceDN w:val="0"/>
        <w:ind w:left="0"/>
        <w:jc w:val="both"/>
        <w:rPr>
          <w:b/>
          <w:bCs/>
          <w:sz w:val="20"/>
          <w:szCs w:val="20"/>
          <w:lang w:val="en-US"/>
        </w:rPr>
      </w:pPr>
    </w:p>
    <w:p w:rsidR="0084095E" w:rsidRPr="002E60EB" w:rsidRDefault="003F184C"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Regarding</w:t>
      </w:r>
      <w:r w:rsidR="0084095E" w:rsidRPr="002E60EB">
        <w:rPr>
          <w:rFonts w:eastAsia="Calibri" w:cs="Arial"/>
          <w:sz w:val="20"/>
          <w:szCs w:val="20"/>
          <w:lang w:val="en-US"/>
        </w:rPr>
        <w:t xml:space="preserve"> the facts that occurred on August 29, 1996, in which </w:t>
      </w:r>
      <w:r w:rsidRPr="002E60EB">
        <w:rPr>
          <w:rFonts w:eastAsia="Calibri" w:cs="Arial"/>
          <w:sz w:val="20"/>
          <w:szCs w:val="20"/>
          <w:lang w:val="en-US"/>
        </w:rPr>
        <w:t xml:space="preserve">Mr. Vélez Restrepo was attacked by </w:t>
      </w:r>
      <w:r w:rsidR="0084095E" w:rsidRPr="002E60EB">
        <w:rPr>
          <w:rFonts w:eastAsia="Calibri" w:cs="Arial"/>
          <w:sz w:val="20"/>
          <w:szCs w:val="20"/>
          <w:lang w:val="en-US"/>
        </w:rPr>
        <w:t>members of the National Army (</w:t>
      </w:r>
      <w:r w:rsidR="0084095E" w:rsidRPr="002E60EB">
        <w:rPr>
          <w:rFonts w:eastAsia="Calibri" w:cs="Arial"/>
          <w:i/>
          <w:sz w:val="20"/>
          <w:szCs w:val="20"/>
          <w:lang w:val="en-US"/>
        </w:rPr>
        <w:t>supra</w:t>
      </w:r>
      <w:r w:rsidR="0084095E" w:rsidRPr="002E60EB">
        <w:rPr>
          <w:rFonts w:eastAsia="Calibri" w:cs="Arial"/>
          <w:sz w:val="20"/>
          <w:szCs w:val="20"/>
          <w:lang w:val="en-US"/>
        </w:rPr>
        <w:t xml:space="preserve"> paras. </w:t>
      </w:r>
      <w:r w:rsidRPr="002E60EB">
        <w:rPr>
          <w:rFonts w:eastAsia="Calibri" w:cs="Arial"/>
          <w:sz w:val="20"/>
          <w:szCs w:val="20"/>
          <w:lang w:val="en-US"/>
        </w:rPr>
        <w:t>80 to 83</w:t>
      </w:r>
      <w:r w:rsidR="0084095E" w:rsidRPr="002E60EB">
        <w:rPr>
          <w:rFonts w:eastAsia="Calibri" w:cs="Arial"/>
          <w:sz w:val="20"/>
          <w:szCs w:val="20"/>
          <w:lang w:val="en-US"/>
        </w:rPr>
        <w:t xml:space="preserve">), disciplinary proceedings were </w:t>
      </w:r>
      <w:r w:rsidRPr="002E60EB">
        <w:rPr>
          <w:rFonts w:eastAsia="Calibri" w:cs="Arial"/>
          <w:sz w:val="20"/>
          <w:szCs w:val="20"/>
          <w:lang w:val="en-US"/>
        </w:rPr>
        <w:t>conducted</w:t>
      </w:r>
      <w:r w:rsidR="0084095E" w:rsidRPr="002E60EB">
        <w:rPr>
          <w:rFonts w:eastAsia="Calibri" w:cs="Arial"/>
          <w:sz w:val="20"/>
          <w:szCs w:val="20"/>
          <w:lang w:val="en-US"/>
        </w:rPr>
        <w:t xml:space="preserve"> within the </w:t>
      </w:r>
      <w:r w:rsidRPr="002E60EB">
        <w:rPr>
          <w:rFonts w:eastAsia="Calibri" w:cs="Arial"/>
          <w:sz w:val="20"/>
          <w:szCs w:val="20"/>
          <w:lang w:val="en-US"/>
        </w:rPr>
        <w:t xml:space="preserve">Armed </w:t>
      </w:r>
      <w:r w:rsidR="0084095E" w:rsidRPr="002E60EB">
        <w:rPr>
          <w:rFonts w:eastAsia="Calibri" w:cs="Arial"/>
          <w:sz w:val="20"/>
          <w:szCs w:val="20"/>
          <w:lang w:val="en-US"/>
        </w:rPr>
        <w:t>Forces and before the Attorney General</w:t>
      </w:r>
      <w:r w:rsidRPr="002E60EB">
        <w:rPr>
          <w:rFonts w:eastAsia="Calibri" w:cs="Arial"/>
          <w:sz w:val="20"/>
          <w:szCs w:val="20"/>
          <w:lang w:val="en-US"/>
        </w:rPr>
        <w:t xml:space="preserve">’s Office </w:t>
      </w:r>
      <w:r w:rsidR="0084095E" w:rsidRPr="002E60EB">
        <w:rPr>
          <w:sz w:val="20"/>
          <w:szCs w:val="20"/>
          <w:lang w:val="en-US"/>
        </w:rPr>
        <w:t>(</w:t>
      </w:r>
      <w:r w:rsidR="0084095E" w:rsidRPr="002E60EB">
        <w:rPr>
          <w:i/>
          <w:sz w:val="20"/>
          <w:szCs w:val="20"/>
          <w:lang w:val="en-US"/>
        </w:rPr>
        <w:t xml:space="preserve">infra </w:t>
      </w:r>
      <w:r w:rsidR="0084095E" w:rsidRPr="002E60EB">
        <w:rPr>
          <w:sz w:val="20"/>
          <w:szCs w:val="20"/>
          <w:lang w:val="en-US"/>
        </w:rPr>
        <w:t xml:space="preserve">paras. </w:t>
      </w:r>
      <w:r w:rsidRPr="002E60EB">
        <w:rPr>
          <w:sz w:val="20"/>
          <w:szCs w:val="20"/>
          <w:lang w:val="en-US"/>
        </w:rPr>
        <w:t>102 to 105</w:t>
      </w:r>
      <w:r w:rsidR="0084095E" w:rsidRPr="002E60EB">
        <w:rPr>
          <w:sz w:val="20"/>
          <w:szCs w:val="20"/>
          <w:lang w:val="en-US"/>
        </w:rPr>
        <w:t xml:space="preserve">), as well as an investigation </w:t>
      </w:r>
      <w:r w:rsidRPr="002E60EB">
        <w:rPr>
          <w:sz w:val="20"/>
          <w:szCs w:val="20"/>
          <w:lang w:val="en-US"/>
        </w:rPr>
        <w:t xml:space="preserve">under </w:t>
      </w:r>
      <w:r w:rsidR="0084095E" w:rsidRPr="002E60EB">
        <w:rPr>
          <w:sz w:val="20"/>
          <w:szCs w:val="20"/>
          <w:lang w:val="en-US"/>
        </w:rPr>
        <w:t>the military criminal jurisdiction (</w:t>
      </w:r>
      <w:r w:rsidR="0084095E" w:rsidRPr="002E60EB">
        <w:rPr>
          <w:i/>
          <w:sz w:val="20"/>
          <w:szCs w:val="20"/>
          <w:lang w:val="en-US"/>
        </w:rPr>
        <w:t>infra</w:t>
      </w:r>
      <w:r w:rsidR="0084095E" w:rsidRPr="002E60EB">
        <w:rPr>
          <w:sz w:val="20"/>
          <w:szCs w:val="20"/>
          <w:lang w:val="en-US"/>
        </w:rPr>
        <w:t xml:space="preserve"> paras. </w:t>
      </w:r>
      <w:r w:rsidRPr="002E60EB">
        <w:rPr>
          <w:sz w:val="20"/>
          <w:szCs w:val="20"/>
          <w:lang w:val="en-US"/>
        </w:rPr>
        <w:t>106 and 107)</w:t>
      </w:r>
      <w:r w:rsidRPr="002E60EB">
        <w:rPr>
          <w:rFonts w:eastAsia="Calibri" w:cs="Arial"/>
          <w:sz w:val="20"/>
          <w:szCs w:val="20"/>
          <w:lang w:val="en-US"/>
        </w:rPr>
        <w:t>.</w:t>
      </w:r>
    </w:p>
    <w:p w:rsidR="0084095E" w:rsidRPr="002E60EB" w:rsidRDefault="0084095E" w:rsidP="00317748">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 xml:space="preserve">Regarding the threats and harassments against Mr. Vélez and his </w:t>
      </w:r>
      <w:r w:rsidR="003F184C" w:rsidRPr="002E60EB">
        <w:rPr>
          <w:rFonts w:eastAsia="Calibri" w:cs="Arial"/>
          <w:sz w:val="20"/>
          <w:szCs w:val="20"/>
          <w:lang w:val="en-US"/>
        </w:rPr>
        <w:t>family</w:t>
      </w:r>
      <w:r w:rsidRPr="002E60EB">
        <w:rPr>
          <w:rFonts w:eastAsia="Calibri" w:cs="Arial"/>
          <w:sz w:val="20"/>
          <w:szCs w:val="20"/>
          <w:lang w:val="en-US"/>
        </w:rPr>
        <w:t xml:space="preserve"> after the </w:t>
      </w:r>
      <w:r w:rsidR="00EF60B9" w:rsidRPr="002E60EB">
        <w:rPr>
          <w:rFonts w:eastAsia="Calibri" w:cs="Arial"/>
          <w:sz w:val="20"/>
          <w:szCs w:val="20"/>
          <w:lang w:val="en-US"/>
        </w:rPr>
        <w:t xml:space="preserve">events </w:t>
      </w:r>
      <w:r w:rsidRPr="002E60EB">
        <w:rPr>
          <w:rFonts w:eastAsia="Calibri" w:cs="Arial"/>
          <w:sz w:val="20"/>
          <w:szCs w:val="20"/>
          <w:lang w:val="en-US"/>
        </w:rPr>
        <w:t>that occurred on August 29, 1996 (</w:t>
      </w:r>
      <w:r w:rsidRPr="002E60EB">
        <w:rPr>
          <w:rFonts w:eastAsia="Calibri" w:cs="Arial"/>
          <w:i/>
          <w:sz w:val="20"/>
          <w:szCs w:val="20"/>
          <w:lang w:val="en-US"/>
        </w:rPr>
        <w:t>supra</w:t>
      </w:r>
      <w:r w:rsidRPr="002E60EB">
        <w:rPr>
          <w:rFonts w:eastAsia="Calibri" w:cs="Arial"/>
          <w:sz w:val="20"/>
          <w:szCs w:val="20"/>
          <w:lang w:val="en-US"/>
        </w:rPr>
        <w:t xml:space="preserve"> paras. </w:t>
      </w:r>
      <w:r w:rsidR="003F184C" w:rsidRPr="002E60EB">
        <w:rPr>
          <w:rFonts w:eastAsia="Calibri" w:cs="Arial"/>
          <w:sz w:val="20"/>
          <w:szCs w:val="20"/>
          <w:lang w:val="en-US"/>
        </w:rPr>
        <w:t>85 to 93</w:t>
      </w:r>
      <w:r w:rsidRPr="002E60EB">
        <w:rPr>
          <w:rFonts w:eastAsia="Calibri" w:cs="Arial"/>
          <w:sz w:val="20"/>
          <w:szCs w:val="20"/>
          <w:lang w:val="en-US"/>
        </w:rPr>
        <w:t>),</w:t>
      </w:r>
      <w:r w:rsidRPr="002E60EB">
        <w:rPr>
          <w:rFonts w:eastAsia="Calibri" w:cs="Arial"/>
          <w:b/>
          <w:sz w:val="20"/>
          <w:szCs w:val="20"/>
          <w:lang w:val="en-US"/>
        </w:rPr>
        <w:t xml:space="preserve"> </w:t>
      </w:r>
      <w:r w:rsidRPr="002E60EB">
        <w:rPr>
          <w:rFonts w:eastAsia="Calibri" w:cs="Arial"/>
          <w:sz w:val="20"/>
          <w:szCs w:val="20"/>
          <w:lang w:val="en-US"/>
        </w:rPr>
        <w:t xml:space="preserve">disciplinary investigations were </w:t>
      </w:r>
      <w:r w:rsidR="003F184C" w:rsidRPr="002E60EB">
        <w:rPr>
          <w:rFonts w:eastAsia="Calibri" w:cs="Arial"/>
          <w:sz w:val="20"/>
          <w:szCs w:val="20"/>
          <w:lang w:val="en-US"/>
        </w:rPr>
        <w:t>conducted</w:t>
      </w:r>
      <w:r w:rsidRPr="002E60EB">
        <w:rPr>
          <w:rFonts w:eastAsia="Calibri" w:cs="Arial"/>
          <w:sz w:val="20"/>
          <w:szCs w:val="20"/>
          <w:lang w:val="en-US"/>
        </w:rPr>
        <w:t xml:space="preserve"> </w:t>
      </w:r>
      <w:r w:rsidR="003F184C" w:rsidRPr="002E60EB">
        <w:rPr>
          <w:rFonts w:eastAsia="Calibri" w:cs="Arial"/>
          <w:sz w:val="20"/>
          <w:szCs w:val="20"/>
          <w:lang w:val="en-US"/>
        </w:rPr>
        <w:t xml:space="preserve">by </w:t>
      </w:r>
      <w:r w:rsidRPr="002E60EB">
        <w:rPr>
          <w:rFonts w:eastAsia="Calibri" w:cs="Arial"/>
          <w:sz w:val="20"/>
          <w:szCs w:val="20"/>
          <w:lang w:val="en-US"/>
        </w:rPr>
        <w:t>the Attorney General</w:t>
      </w:r>
      <w:r w:rsidR="003F184C" w:rsidRPr="002E60EB">
        <w:rPr>
          <w:rFonts w:eastAsia="Calibri" w:cs="Arial"/>
          <w:sz w:val="20"/>
          <w:szCs w:val="20"/>
          <w:lang w:val="en-US"/>
        </w:rPr>
        <w:t xml:space="preserve">’s Office </w:t>
      </w:r>
      <w:r w:rsidRPr="002E60EB">
        <w:rPr>
          <w:rFonts w:eastAsia="Calibri" w:cs="Arial"/>
          <w:sz w:val="20"/>
          <w:szCs w:val="20"/>
          <w:lang w:val="en-US"/>
        </w:rPr>
        <w:t>(</w:t>
      </w:r>
      <w:r w:rsidRPr="002E60EB">
        <w:rPr>
          <w:rFonts w:eastAsia="Calibri" w:cs="Arial"/>
          <w:i/>
          <w:sz w:val="20"/>
          <w:szCs w:val="20"/>
          <w:lang w:val="en-US"/>
        </w:rPr>
        <w:t>infra</w:t>
      </w:r>
      <w:r w:rsidRPr="002E60EB">
        <w:rPr>
          <w:rFonts w:eastAsia="Calibri" w:cs="Arial"/>
          <w:sz w:val="20"/>
          <w:szCs w:val="20"/>
          <w:lang w:val="en-US"/>
        </w:rPr>
        <w:t xml:space="preserve"> paras. </w:t>
      </w:r>
      <w:r w:rsidR="003F184C" w:rsidRPr="002E60EB">
        <w:rPr>
          <w:rFonts w:eastAsia="Calibri" w:cs="Arial"/>
          <w:sz w:val="20"/>
          <w:szCs w:val="20"/>
          <w:lang w:val="en-US"/>
        </w:rPr>
        <w:t>108 to 115</w:t>
      </w:r>
      <w:r w:rsidRPr="002E60EB">
        <w:rPr>
          <w:rFonts w:eastAsia="Calibri" w:cs="Arial"/>
          <w:sz w:val="20"/>
          <w:szCs w:val="20"/>
          <w:lang w:val="en-US"/>
        </w:rPr>
        <w:t xml:space="preserve">) and two criminal investigations were </w:t>
      </w:r>
      <w:r w:rsidR="003F184C" w:rsidRPr="002E60EB">
        <w:rPr>
          <w:rFonts w:eastAsia="Calibri" w:cs="Arial"/>
          <w:sz w:val="20"/>
          <w:szCs w:val="20"/>
          <w:lang w:val="en-US"/>
        </w:rPr>
        <w:t>conducted</w:t>
      </w:r>
      <w:r w:rsidRPr="002E60EB">
        <w:rPr>
          <w:rFonts w:eastAsia="Calibri" w:cs="Arial"/>
          <w:sz w:val="20"/>
          <w:szCs w:val="20"/>
          <w:lang w:val="en-US"/>
        </w:rPr>
        <w:t xml:space="preserve"> (</w:t>
      </w:r>
      <w:r w:rsidRPr="002E60EB">
        <w:rPr>
          <w:rFonts w:eastAsia="Calibri" w:cs="Arial"/>
          <w:i/>
          <w:sz w:val="20"/>
          <w:szCs w:val="20"/>
          <w:lang w:val="en-US"/>
        </w:rPr>
        <w:t>infra</w:t>
      </w:r>
      <w:r w:rsidRPr="002E60EB">
        <w:rPr>
          <w:rFonts w:eastAsia="Calibri" w:cs="Arial"/>
          <w:sz w:val="20"/>
          <w:szCs w:val="20"/>
          <w:lang w:val="en-US"/>
        </w:rPr>
        <w:t xml:space="preserve"> paras. </w:t>
      </w:r>
      <w:r w:rsidR="003F184C" w:rsidRPr="002E60EB">
        <w:rPr>
          <w:rFonts w:eastAsia="Calibri" w:cs="Arial"/>
          <w:sz w:val="20"/>
          <w:szCs w:val="20"/>
          <w:lang w:val="en-US"/>
        </w:rPr>
        <w:t>116 to 119</w:t>
      </w:r>
      <w:r w:rsidRPr="002E60EB">
        <w:rPr>
          <w:rFonts w:eastAsia="Calibri" w:cs="Arial"/>
          <w:sz w:val="20"/>
          <w:szCs w:val="20"/>
          <w:lang w:val="en-US"/>
        </w:rPr>
        <w:t>).</w:t>
      </w:r>
    </w:p>
    <w:p w:rsidR="0084095E" w:rsidRPr="002E60EB" w:rsidRDefault="0084095E" w:rsidP="00317748">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 xml:space="preserve">Mr. Vélez and his </w:t>
      </w:r>
      <w:r w:rsidR="00AF279D" w:rsidRPr="002E60EB">
        <w:rPr>
          <w:rFonts w:eastAsia="Calibri" w:cs="Arial"/>
          <w:sz w:val="20"/>
          <w:szCs w:val="20"/>
          <w:lang w:val="en-US"/>
        </w:rPr>
        <w:t>family</w:t>
      </w:r>
      <w:r w:rsidRPr="002E60EB">
        <w:rPr>
          <w:rFonts w:eastAsia="Calibri" w:cs="Arial"/>
          <w:sz w:val="20"/>
          <w:szCs w:val="20"/>
          <w:lang w:val="en-US"/>
        </w:rPr>
        <w:t xml:space="preserve"> filed a request </w:t>
      </w:r>
      <w:r w:rsidR="00AF279D" w:rsidRPr="002E60EB">
        <w:rPr>
          <w:rFonts w:eastAsia="Calibri" w:cs="Arial"/>
          <w:sz w:val="20"/>
          <w:szCs w:val="20"/>
          <w:lang w:val="en-US"/>
        </w:rPr>
        <w:t>for</w:t>
      </w:r>
      <w:r w:rsidRPr="002E60EB">
        <w:rPr>
          <w:rFonts w:eastAsia="Calibri" w:cs="Arial"/>
          <w:sz w:val="20"/>
          <w:szCs w:val="20"/>
          <w:lang w:val="en-US"/>
        </w:rPr>
        <w:t xml:space="preserve"> administrative conciliation with regard to the </w:t>
      </w:r>
      <w:r w:rsidR="00AF279D" w:rsidRPr="002E60EB">
        <w:rPr>
          <w:rFonts w:eastAsia="Calibri" w:cs="Arial"/>
          <w:sz w:val="20"/>
          <w:szCs w:val="20"/>
          <w:lang w:val="en-US"/>
        </w:rPr>
        <w:t xml:space="preserve">attack </w:t>
      </w:r>
      <w:r w:rsidRPr="002E60EB">
        <w:rPr>
          <w:rFonts w:eastAsia="Calibri" w:cs="Arial"/>
          <w:sz w:val="20"/>
          <w:szCs w:val="20"/>
          <w:lang w:val="en-US"/>
        </w:rPr>
        <w:t>of August 29, 1996</w:t>
      </w:r>
      <w:r w:rsidR="00AF279D" w:rsidRPr="002E60EB">
        <w:rPr>
          <w:rFonts w:eastAsia="Calibri" w:cs="Arial"/>
          <w:sz w:val="20"/>
          <w:szCs w:val="20"/>
          <w:lang w:val="en-US"/>
        </w:rPr>
        <w:t>,</w:t>
      </w:r>
      <w:r w:rsidRPr="002E60EB">
        <w:rPr>
          <w:rFonts w:eastAsia="Calibri" w:cs="Arial"/>
          <w:sz w:val="20"/>
          <w:szCs w:val="20"/>
          <w:lang w:val="en-US"/>
        </w:rPr>
        <w:t xml:space="preserve"> and</w:t>
      </w:r>
      <w:r w:rsidR="00AF279D" w:rsidRPr="002E60EB">
        <w:rPr>
          <w:rFonts w:eastAsia="Calibri" w:cs="Arial"/>
          <w:sz w:val="20"/>
          <w:szCs w:val="20"/>
          <w:lang w:val="en-US"/>
        </w:rPr>
        <w:t xml:space="preserve"> the</w:t>
      </w:r>
      <w:r w:rsidRPr="002E60EB">
        <w:rPr>
          <w:rFonts w:eastAsia="Calibri" w:cs="Arial"/>
          <w:sz w:val="20"/>
          <w:szCs w:val="20"/>
          <w:lang w:val="en-US"/>
        </w:rPr>
        <w:t xml:space="preserve"> subsequent threats and harassments (</w:t>
      </w:r>
      <w:r w:rsidRPr="002E60EB">
        <w:rPr>
          <w:rFonts w:eastAsia="Calibri" w:cs="Arial"/>
          <w:i/>
          <w:sz w:val="20"/>
          <w:szCs w:val="20"/>
          <w:lang w:val="en-US"/>
        </w:rPr>
        <w:t>infra</w:t>
      </w:r>
      <w:r w:rsidRPr="002E60EB">
        <w:rPr>
          <w:rFonts w:eastAsia="Calibri" w:cs="Arial"/>
          <w:sz w:val="20"/>
          <w:szCs w:val="20"/>
          <w:lang w:val="en-US"/>
        </w:rPr>
        <w:t xml:space="preserve"> para. </w:t>
      </w:r>
      <w:r w:rsidR="00AF279D" w:rsidRPr="002E60EB">
        <w:rPr>
          <w:rFonts w:eastAsia="Calibri" w:cs="Arial"/>
          <w:sz w:val="20"/>
          <w:szCs w:val="20"/>
          <w:lang w:val="en-US"/>
        </w:rPr>
        <w:t>120</w:t>
      </w:r>
      <w:r w:rsidRPr="002E60EB">
        <w:rPr>
          <w:rFonts w:eastAsia="Calibri" w:cs="Arial"/>
          <w:sz w:val="20"/>
          <w:szCs w:val="20"/>
          <w:lang w:val="en-US"/>
        </w:rPr>
        <w:t xml:space="preserve">). </w:t>
      </w:r>
    </w:p>
    <w:p w:rsidR="0084095E" w:rsidRPr="002E60EB" w:rsidRDefault="0084095E" w:rsidP="00317748">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With regard to the facts of October 6, 1997</w:t>
      </w:r>
      <w:r w:rsidR="00AF279D" w:rsidRPr="002E60EB">
        <w:rPr>
          <w:rFonts w:eastAsia="Calibri" w:cs="Arial"/>
          <w:sz w:val="20"/>
          <w:szCs w:val="20"/>
          <w:lang w:val="en-US"/>
        </w:rPr>
        <w:t>,</w:t>
      </w:r>
      <w:r w:rsidRPr="002E60EB">
        <w:rPr>
          <w:rFonts w:eastAsia="Calibri" w:cs="Arial"/>
          <w:sz w:val="20"/>
          <w:szCs w:val="20"/>
          <w:lang w:val="en-US"/>
        </w:rPr>
        <w:t xml:space="preserve"> an investigation</w:t>
      </w:r>
      <w:r w:rsidR="00AF279D" w:rsidRPr="002E60EB">
        <w:rPr>
          <w:rFonts w:eastAsia="Calibri" w:cs="Arial"/>
          <w:sz w:val="20"/>
          <w:szCs w:val="20"/>
          <w:lang w:val="en-US"/>
        </w:rPr>
        <w:t xml:space="preserve"> was conducted</w:t>
      </w:r>
      <w:r w:rsidRPr="002E60EB">
        <w:rPr>
          <w:rFonts w:eastAsia="Calibri" w:cs="Arial"/>
          <w:sz w:val="20"/>
          <w:szCs w:val="20"/>
          <w:lang w:val="en-US"/>
        </w:rPr>
        <w:t xml:space="preserve"> </w:t>
      </w:r>
      <w:r w:rsidR="00AF279D" w:rsidRPr="002E60EB">
        <w:rPr>
          <w:rFonts w:eastAsia="Calibri" w:cs="Arial"/>
          <w:sz w:val="20"/>
          <w:szCs w:val="20"/>
          <w:lang w:val="en-US"/>
        </w:rPr>
        <w:t>under</w:t>
      </w:r>
      <w:r w:rsidRPr="002E60EB">
        <w:rPr>
          <w:rFonts w:eastAsia="Calibri" w:cs="Arial"/>
          <w:sz w:val="20"/>
          <w:szCs w:val="20"/>
          <w:lang w:val="en-US"/>
        </w:rPr>
        <w:t xml:space="preserve"> the ordinary criminal jurisdiction for the </w:t>
      </w:r>
      <w:r w:rsidR="00AF279D" w:rsidRPr="002E60EB">
        <w:rPr>
          <w:rFonts w:eastAsia="Calibri" w:cs="Arial"/>
          <w:sz w:val="20"/>
          <w:szCs w:val="20"/>
          <w:lang w:val="en-US"/>
        </w:rPr>
        <w:t xml:space="preserve">offense </w:t>
      </w:r>
      <w:r w:rsidRPr="002E60EB">
        <w:rPr>
          <w:rFonts w:eastAsia="Calibri" w:cs="Arial"/>
          <w:sz w:val="20"/>
          <w:szCs w:val="20"/>
          <w:lang w:val="en-US"/>
        </w:rPr>
        <w:t xml:space="preserve">of </w:t>
      </w:r>
      <w:r w:rsidR="00FD58F3" w:rsidRPr="002E60EB">
        <w:rPr>
          <w:rFonts w:eastAsia="Calibri" w:cs="Arial"/>
          <w:sz w:val="20"/>
          <w:szCs w:val="20"/>
          <w:lang w:val="en-US"/>
        </w:rPr>
        <w:t xml:space="preserve">attempted simple </w:t>
      </w:r>
      <w:r w:rsidR="00334C3C" w:rsidRPr="002E60EB">
        <w:rPr>
          <w:rFonts w:eastAsia="Calibri" w:cs="Arial"/>
          <w:sz w:val="20"/>
          <w:szCs w:val="20"/>
          <w:lang w:val="en-US"/>
        </w:rPr>
        <w:t>kidnapping</w:t>
      </w:r>
      <w:r w:rsidRPr="002E60EB">
        <w:rPr>
          <w:rFonts w:eastAsia="Calibri" w:cs="Arial"/>
          <w:sz w:val="20"/>
          <w:szCs w:val="20"/>
          <w:lang w:val="en-US"/>
        </w:rPr>
        <w:t xml:space="preserve"> (</w:t>
      </w:r>
      <w:r w:rsidRPr="002E60EB">
        <w:rPr>
          <w:rFonts w:eastAsia="Calibri" w:cs="Arial"/>
          <w:i/>
          <w:sz w:val="20"/>
          <w:szCs w:val="20"/>
          <w:lang w:val="en-US"/>
        </w:rPr>
        <w:t>infra</w:t>
      </w:r>
      <w:r w:rsidRPr="002E60EB">
        <w:rPr>
          <w:rFonts w:eastAsia="Calibri" w:cs="Arial"/>
          <w:sz w:val="20"/>
          <w:szCs w:val="20"/>
          <w:lang w:val="en-US"/>
        </w:rPr>
        <w:t xml:space="preserve"> paras. </w:t>
      </w:r>
      <w:r w:rsidR="00AF279D" w:rsidRPr="002E60EB">
        <w:rPr>
          <w:rFonts w:eastAsia="Calibri" w:cs="Arial"/>
          <w:sz w:val="20"/>
          <w:szCs w:val="20"/>
          <w:lang w:val="en-US"/>
        </w:rPr>
        <w:t>121 and 122</w:t>
      </w:r>
      <w:r w:rsidRPr="002E60EB">
        <w:rPr>
          <w:rFonts w:eastAsia="Calibri" w:cs="Arial"/>
          <w:sz w:val="20"/>
          <w:szCs w:val="20"/>
          <w:lang w:val="en-US"/>
        </w:rPr>
        <w:t>).</w:t>
      </w:r>
    </w:p>
    <w:p w:rsidR="0084095E" w:rsidRPr="002E60EB" w:rsidRDefault="0084095E" w:rsidP="00317748">
      <w:pPr>
        <w:tabs>
          <w:tab w:val="left" w:pos="720"/>
        </w:tabs>
        <w:autoSpaceDE w:val="0"/>
        <w:autoSpaceDN w:val="0"/>
        <w:adjustRightInd w:val="0"/>
        <w:jc w:val="both"/>
        <w:rPr>
          <w:rFonts w:eastAsia="Calibri" w:cs="Arial"/>
          <w:lang w:val="en-US"/>
        </w:rPr>
      </w:pPr>
    </w:p>
    <w:p w:rsidR="0084095E" w:rsidRPr="002E60EB" w:rsidRDefault="0084095E" w:rsidP="00317748">
      <w:pPr>
        <w:ind w:firstLine="720"/>
        <w:jc w:val="both"/>
        <w:rPr>
          <w:b/>
          <w:i/>
          <w:lang w:val="en-US"/>
        </w:rPr>
      </w:pPr>
      <w:r w:rsidRPr="002E60EB">
        <w:rPr>
          <w:b/>
          <w:i/>
          <w:lang w:val="en-US"/>
        </w:rPr>
        <w:t>C.1)</w:t>
      </w:r>
      <w:r w:rsidRPr="002E60EB">
        <w:rPr>
          <w:b/>
          <w:i/>
          <w:lang w:val="en-US"/>
        </w:rPr>
        <w:tab/>
        <w:t xml:space="preserve">Investigations </w:t>
      </w:r>
      <w:r w:rsidR="00B61398" w:rsidRPr="002E60EB">
        <w:rPr>
          <w:b/>
          <w:i/>
          <w:lang w:val="en-US"/>
        </w:rPr>
        <w:t>into</w:t>
      </w:r>
      <w:r w:rsidRPr="002E60EB">
        <w:rPr>
          <w:b/>
          <w:i/>
          <w:lang w:val="en-US"/>
        </w:rPr>
        <w:t xml:space="preserve"> the facts that occurred on August 29, 1996</w:t>
      </w:r>
    </w:p>
    <w:p w:rsidR="0084095E" w:rsidRPr="002E60EB" w:rsidRDefault="0084095E" w:rsidP="00317748">
      <w:pPr>
        <w:tabs>
          <w:tab w:val="left" w:pos="720"/>
        </w:tabs>
        <w:autoSpaceDE w:val="0"/>
        <w:autoSpaceDN w:val="0"/>
        <w:adjustRightInd w:val="0"/>
        <w:jc w:val="both"/>
        <w:rPr>
          <w:rFonts w:eastAsia="Calibri" w:cs="Arial"/>
          <w:lang w:val="en-US"/>
        </w:rPr>
      </w:pPr>
    </w:p>
    <w:p w:rsidR="0084095E" w:rsidRPr="002E60EB" w:rsidRDefault="0084095E" w:rsidP="00317748">
      <w:pPr>
        <w:tabs>
          <w:tab w:val="left" w:pos="720"/>
        </w:tabs>
        <w:autoSpaceDE w:val="0"/>
        <w:autoSpaceDN w:val="0"/>
        <w:adjustRightInd w:val="0"/>
        <w:jc w:val="both"/>
        <w:rPr>
          <w:rFonts w:eastAsia="Calibri" w:cs="Arial"/>
          <w:b/>
          <w:i/>
          <w:lang w:val="en-US"/>
        </w:rPr>
      </w:pPr>
      <w:r w:rsidRPr="002E60EB">
        <w:rPr>
          <w:rFonts w:eastAsia="Calibri" w:cs="Arial"/>
          <w:b/>
          <w:i/>
          <w:lang w:val="en-US"/>
        </w:rPr>
        <w:tab/>
      </w:r>
      <w:r w:rsidR="00B61398" w:rsidRPr="002E60EB">
        <w:rPr>
          <w:rFonts w:eastAsia="Calibri" w:cs="Arial"/>
          <w:b/>
          <w:i/>
          <w:lang w:val="en-US"/>
        </w:rPr>
        <w:tab/>
      </w:r>
      <w:r w:rsidRPr="002E60EB">
        <w:rPr>
          <w:rFonts w:eastAsia="Calibri" w:cs="Arial"/>
          <w:b/>
          <w:i/>
          <w:lang w:val="en-US"/>
        </w:rPr>
        <w:t>C.1.a)</w:t>
      </w:r>
      <w:r w:rsidRPr="002E60EB">
        <w:rPr>
          <w:rFonts w:eastAsia="Calibri" w:cs="Arial"/>
          <w:b/>
          <w:i/>
          <w:lang w:val="en-US"/>
        </w:rPr>
        <w:tab/>
        <w:t xml:space="preserve">Disciplinary proceedings </w:t>
      </w:r>
    </w:p>
    <w:p w:rsidR="0084095E" w:rsidRPr="002E60EB" w:rsidRDefault="0084095E" w:rsidP="00317748">
      <w:pPr>
        <w:tabs>
          <w:tab w:val="left" w:pos="720"/>
        </w:tabs>
        <w:autoSpaceDE w:val="0"/>
        <w:autoSpaceDN w:val="0"/>
        <w:adjustRightInd w:val="0"/>
        <w:jc w:val="both"/>
        <w:rPr>
          <w:rFonts w:eastAsia="Calibri" w:cs="Arial"/>
          <w:i/>
          <w:lang w:val="en-US"/>
        </w:rPr>
      </w:pPr>
    </w:p>
    <w:p w:rsidR="0084095E" w:rsidRPr="002E60EB" w:rsidRDefault="006F72C3" w:rsidP="00317748">
      <w:pPr>
        <w:pStyle w:val="Prrafodelista"/>
        <w:tabs>
          <w:tab w:val="left" w:pos="720"/>
          <w:tab w:val="left" w:pos="2610"/>
        </w:tabs>
        <w:autoSpaceDE w:val="0"/>
        <w:autoSpaceDN w:val="0"/>
        <w:adjustRightInd w:val="0"/>
        <w:ind w:left="2160"/>
        <w:jc w:val="both"/>
        <w:rPr>
          <w:rFonts w:eastAsia="Calibri" w:cs="Arial"/>
          <w:i/>
          <w:sz w:val="20"/>
          <w:szCs w:val="20"/>
          <w:lang w:val="en-US"/>
        </w:rPr>
      </w:pPr>
      <w:r w:rsidRPr="002E60EB">
        <w:rPr>
          <w:rFonts w:eastAsia="Calibri" w:cs="Arial"/>
          <w:i/>
          <w:sz w:val="20"/>
          <w:szCs w:val="20"/>
          <w:lang w:val="en-US"/>
        </w:rPr>
        <w:t xml:space="preserve">i) </w:t>
      </w:r>
      <w:r w:rsidRPr="002E60EB">
        <w:rPr>
          <w:rFonts w:eastAsia="Calibri" w:cs="Arial"/>
          <w:i/>
          <w:sz w:val="20"/>
          <w:szCs w:val="20"/>
          <w:lang w:val="en-US"/>
        </w:rPr>
        <w:tab/>
        <w:t xml:space="preserve">By </w:t>
      </w:r>
      <w:r w:rsidR="0084095E" w:rsidRPr="002E60EB">
        <w:rPr>
          <w:rFonts w:eastAsia="Calibri" w:cs="Arial"/>
          <w:i/>
          <w:sz w:val="20"/>
          <w:szCs w:val="20"/>
          <w:lang w:val="en-US"/>
        </w:rPr>
        <w:t>the Armed Forces</w:t>
      </w:r>
    </w:p>
    <w:p w:rsidR="0084095E" w:rsidRPr="002E60EB" w:rsidRDefault="0084095E" w:rsidP="002711CF">
      <w:pPr>
        <w:pStyle w:val="Prrafodelista"/>
        <w:autoSpaceDE w:val="0"/>
        <w:autoSpaceDN w:val="0"/>
        <w:ind w:left="0"/>
        <w:jc w:val="both"/>
        <w:rPr>
          <w:bCs/>
          <w:i/>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 xml:space="preserve">On August 30, 1996 the Commander of the Twelfth Brigade of the Colombian National Army, </w:t>
      </w:r>
      <w:r w:rsidRPr="002E60EB">
        <w:rPr>
          <w:sz w:val="20"/>
          <w:szCs w:val="20"/>
          <w:lang w:val="en-US" w:eastAsia="es-ES"/>
        </w:rPr>
        <w:t>Néstor Ramírez Mejía,</w:t>
      </w:r>
      <w:r w:rsidRPr="002E60EB">
        <w:rPr>
          <w:rFonts w:eastAsia="Calibri" w:cs="Arial"/>
          <w:sz w:val="20"/>
          <w:szCs w:val="20"/>
          <w:lang w:val="en-US"/>
        </w:rPr>
        <w:t xml:space="preserve"> issued Decisions No</w:t>
      </w:r>
      <w:r w:rsidR="00B61398" w:rsidRPr="002E60EB">
        <w:rPr>
          <w:rFonts w:eastAsia="Calibri" w:cs="Arial"/>
          <w:sz w:val="20"/>
          <w:szCs w:val="20"/>
          <w:lang w:val="en-US"/>
        </w:rPr>
        <w:t>s</w:t>
      </w:r>
      <w:r w:rsidRPr="002E60EB">
        <w:rPr>
          <w:rFonts w:eastAsia="Calibri" w:cs="Arial"/>
          <w:sz w:val="20"/>
          <w:szCs w:val="20"/>
          <w:lang w:val="en-US"/>
        </w:rPr>
        <w:t xml:space="preserve">. 011 and 012, </w:t>
      </w:r>
      <w:r w:rsidR="00B61398" w:rsidRPr="002E60EB">
        <w:rPr>
          <w:rFonts w:eastAsia="Calibri" w:cs="Arial"/>
          <w:sz w:val="20"/>
          <w:szCs w:val="20"/>
          <w:lang w:val="en-US"/>
        </w:rPr>
        <w:t>sanctioning</w:t>
      </w:r>
      <w:r w:rsidRPr="002E60EB">
        <w:rPr>
          <w:rFonts w:eastAsia="Calibri" w:cs="Arial"/>
          <w:sz w:val="20"/>
          <w:szCs w:val="20"/>
          <w:lang w:val="en-US"/>
        </w:rPr>
        <w:t xml:space="preserve"> </w:t>
      </w:r>
      <w:r w:rsidR="00B61398" w:rsidRPr="002E60EB">
        <w:rPr>
          <w:rFonts w:eastAsia="Calibri" w:cs="Arial"/>
          <w:sz w:val="20"/>
          <w:szCs w:val="20"/>
          <w:lang w:val="en-US"/>
        </w:rPr>
        <w:t>a “c</w:t>
      </w:r>
      <w:r w:rsidRPr="002E60EB">
        <w:rPr>
          <w:rFonts w:eastAsia="Calibri" w:cs="Arial"/>
          <w:sz w:val="20"/>
          <w:szCs w:val="20"/>
          <w:lang w:val="en-US"/>
        </w:rPr>
        <w:t xml:space="preserve">ommander of the Fourth Squad of the </w:t>
      </w:r>
      <w:r w:rsidR="00B61398" w:rsidRPr="002E60EB">
        <w:rPr>
          <w:rFonts w:eastAsia="Calibri" w:cs="Arial"/>
          <w:sz w:val="20"/>
          <w:szCs w:val="20"/>
          <w:lang w:val="en-US"/>
        </w:rPr>
        <w:t xml:space="preserve">First Detachment of the </w:t>
      </w:r>
      <w:r w:rsidRPr="002E60EB">
        <w:rPr>
          <w:rFonts w:eastAsia="Calibri" w:cs="Arial"/>
          <w:sz w:val="20"/>
          <w:szCs w:val="20"/>
          <w:lang w:val="en-US"/>
        </w:rPr>
        <w:t xml:space="preserve">Military Police Company of </w:t>
      </w:r>
      <w:r w:rsidR="00EF60B9" w:rsidRPr="002E60EB">
        <w:rPr>
          <w:rFonts w:eastAsia="Calibri" w:cs="Arial"/>
          <w:sz w:val="20"/>
          <w:szCs w:val="20"/>
          <w:lang w:val="en-US"/>
        </w:rPr>
        <w:t xml:space="preserve">No. 12 </w:t>
      </w:r>
      <w:r w:rsidRPr="002E60EB">
        <w:rPr>
          <w:rFonts w:eastAsia="Calibri" w:cs="Arial"/>
          <w:sz w:val="20"/>
          <w:szCs w:val="20"/>
          <w:lang w:val="en-US"/>
        </w:rPr>
        <w:t xml:space="preserve">A.S.P.C </w:t>
      </w:r>
      <w:r w:rsidR="00B61398" w:rsidRPr="002E60EB">
        <w:rPr>
          <w:rFonts w:eastAsia="Calibri" w:cs="Arial"/>
          <w:sz w:val="20"/>
          <w:szCs w:val="20"/>
          <w:lang w:val="en-US"/>
        </w:rPr>
        <w:t>Battalion</w:t>
      </w:r>
      <w:r w:rsidRPr="002E60EB">
        <w:rPr>
          <w:rFonts w:eastAsia="Calibri" w:cs="Arial"/>
          <w:sz w:val="20"/>
          <w:szCs w:val="20"/>
          <w:lang w:val="en-US"/>
        </w:rPr>
        <w:t>,</w:t>
      </w:r>
      <w:r w:rsidR="00B61398" w:rsidRPr="002E60EB">
        <w:rPr>
          <w:rFonts w:eastAsia="Calibri" w:cs="Arial"/>
          <w:sz w:val="20"/>
          <w:szCs w:val="20"/>
          <w:lang w:val="en-US"/>
        </w:rPr>
        <w:t>”</w:t>
      </w:r>
      <w:r w:rsidRPr="002E60EB">
        <w:rPr>
          <w:rFonts w:eastAsia="Calibri" w:cs="Arial"/>
          <w:sz w:val="20"/>
          <w:szCs w:val="20"/>
          <w:lang w:val="en-US"/>
        </w:rPr>
        <w:t xml:space="preserve"> and </w:t>
      </w:r>
      <w:r w:rsidR="00B61398" w:rsidRPr="002E60EB">
        <w:rPr>
          <w:rFonts w:eastAsia="Calibri" w:cs="Arial"/>
          <w:sz w:val="20"/>
          <w:szCs w:val="20"/>
          <w:lang w:val="en-US"/>
        </w:rPr>
        <w:t>a</w:t>
      </w:r>
      <w:r w:rsidRPr="002E60EB">
        <w:rPr>
          <w:rFonts w:eastAsia="Calibri" w:cs="Arial"/>
          <w:sz w:val="20"/>
          <w:szCs w:val="20"/>
          <w:lang w:val="en-US"/>
        </w:rPr>
        <w:t xml:space="preserve"> </w:t>
      </w:r>
      <w:r w:rsidR="00B61398" w:rsidRPr="002E60EB">
        <w:rPr>
          <w:rFonts w:eastAsia="Calibri" w:cs="Arial"/>
          <w:sz w:val="20"/>
          <w:szCs w:val="20"/>
          <w:lang w:val="en-US"/>
        </w:rPr>
        <w:t>“detachment c</w:t>
      </w:r>
      <w:r w:rsidRPr="002E60EB">
        <w:rPr>
          <w:rFonts w:eastAsia="Calibri" w:cs="Arial"/>
          <w:sz w:val="20"/>
          <w:szCs w:val="20"/>
          <w:lang w:val="en-US"/>
        </w:rPr>
        <w:t xml:space="preserve">ommander of the Military Police Company of </w:t>
      </w:r>
      <w:r w:rsidR="00EF60B9" w:rsidRPr="002E60EB">
        <w:rPr>
          <w:rFonts w:eastAsia="Calibri" w:cs="Arial"/>
          <w:sz w:val="20"/>
          <w:szCs w:val="20"/>
          <w:lang w:val="en-US"/>
        </w:rPr>
        <w:t xml:space="preserve">No. 4 </w:t>
      </w:r>
      <w:r w:rsidR="00B61398" w:rsidRPr="002E60EB">
        <w:rPr>
          <w:rFonts w:eastAsia="Calibri" w:cs="Arial"/>
          <w:sz w:val="20"/>
          <w:szCs w:val="20"/>
          <w:lang w:val="en-US"/>
        </w:rPr>
        <w:t xml:space="preserve">P.M. </w:t>
      </w:r>
      <w:r w:rsidRPr="002E60EB">
        <w:rPr>
          <w:rFonts w:eastAsia="Calibri" w:cs="Arial"/>
          <w:sz w:val="20"/>
          <w:szCs w:val="20"/>
          <w:lang w:val="en-US"/>
        </w:rPr>
        <w:t>Battalio</w:t>
      </w:r>
      <w:r w:rsidR="00EF60B9" w:rsidRPr="002E60EB">
        <w:rPr>
          <w:rFonts w:eastAsia="Calibri" w:cs="Arial"/>
          <w:sz w:val="20"/>
          <w:szCs w:val="20"/>
          <w:lang w:val="en-US"/>
        </w:rPr>
        <w:t>n</w:t>
      </w:r>
      <w:r w:rsidRPr="002E60EB">
        <w:rPr>
          <w:rFonts w:eastAsia="Calibri" w:cs="Arial"/>
          <w:sz w:val="20"/>
          <w:szCs w:val="20"/>
          <w:lang w:val="en-US"/>
        </w:rPr>
        <w:t xml:space="preserve">, with </w:t>
      </w:r>
      <w:r w:rsidR="00B61398" w:rsidRPr="002E60EB">
        <w:rPr>
          <w:rFonts w:eastAsia="Calibri" w:cs="Arial"/>
          <w:sz w:val="20"/>
          <w:szCs w:val="20"/>
          <w:lang w:val="en-US"/>
        </w:rPr>
        <w:t xml:space="preserve">a </w:t>
      </w:r>
      <w:r w:rsidR="00087093" w:rsidRPr="002E60EB">
        <w:rPr>
          <w:rFonts w:eastAsia="Calibri" w:cs="Arial"/>
          <w:sz w:val="20"/>
          <w:szCs w:val="20"/>
          <w:lang w:val="en-US"/>
        </w:rPr>
        <w:t>“</w:t>
      </w:r>
      <w:r w:rsidRPr="002E60EB">
        <w:rPr>
          <w:rFonts w:eastAsia="Calibri" w:cs="Arial"/>
          <w:sz w:val="20"/>
          <w:szCs w:val="20"/>
          <w:lang w:val="en-US"/>
        </w:rPr>
        <w:t xml:space="preserve">severe </w:t>
      </w:r>
      <w:r w:rsidR="00B61398" w:rsidRPr="002E60EB">
        <w:rPr>
          <w:rFonts w:eastAsia="Calibri" w:cs="Arial"/>
          <w:sz w:val="20"/>
          <w:szCs w:val="20"/>
          <w:lang w:val="en-US"/>
        </w:rPr>
        <w:t>reprimand.</w:t>
      </w:r>
      <w:r w:rsidR="00087093" w:rsidRPr="002E60EB">
        <w:rPr>
          <w:rFonts w:eastAsia="Calibri" w:cs="Arial"/>
          <w:sz w:val="20"/>
          <w:szCs w:val="20"/>
          <w:lang w:val="en-US"/>
        </w:rPr>
        <w:t>”</w:t>
      </w:r>
      <w:r w:rsidRPr="002E60EB">
        <w:rPr>
          <w:rFonts w:eastAsia="Calibri" w:cs="Arial"/>
          <w:sz w:val="20"/>
          <w:szCs w:val="20"/>
          <w:lang w:val="en-US"/>
        </w:rPr>
        <w:t xml:space="preserve"> Both were punished for, </w:t>
      </w:r>
      <w:r w:rsidRPr="002E60EB">
        <w:rPr>
          <w:rFonts w:eastAsia="Calibri" w:cs="Arial"/>
          <w:i/>
          <w:sz w:val="20"/>
          <w:szCs w:val="20"/>
          <w:lang w:val="en-US"/>
        </w:rPr>
        <w:t>inter alia</w:t>
      </w:r>
      <w:r w:rsidRPr="002E60EB">
        <w:rPr>
          <w:rFonts w:eastAsia="Calibri" w:cs="Arial"/>
          <w:sz w:val="20"/>
          <w:szCs w:val="20"/>
          <w:lang w:val="en-US"/>
        </w:rPr>
        <w:t xml:space="preserve">, </w:t>
      </w:r>
      <w:r w:rsidR="00087093" w:rsidRPr="002E60EB">
        <w:rPr>
          <w:rFonts w:eastAsia="Calibri" w:cs="Arial"/>
          <w:sz w:val="20"/>
          <w:szCs w:val="20"/>
          <w:lang w:val="en-US"/>
        </w:rPr>
        <w:t>“</w:t>
      </w:r>
      <w:r w:rsidRPr="002E60EB">
        <w:rPr>
          <w:rFonts w:eastAsia="Calibri" w:cs="Arial"/>
          <w:sz w:val="20"/>
          <w:szCs w:val="20"/>
          <w:lang w:val="en-US"/>
        </w:rPr>
        <w:t>abuse of authority</w:t>
      </w:r>
      <w:r w:rsidR="00087093" w:rsidRPr="002E60EB">
        <w:rPr>
          <w:rFonts w:eastAsia="Calibri" w:cs="Arial"/>
          <w:sz w:val="20"/>
          <w:szCs w:val="20"/>
          <w:lang w:val="en-US"/>
        </w:rPr>
        <w:t>”</w:t>
      </w:r>
      <w:r w:rsidRPr="002E60EB">
        <w:rPr>
          <w:rFonts w:eastAsia="Calibri" w:cs="Arial"/>
          <w:sz w:val="20"/>
          <w:szCs w:val="20"/>
          <w:lang w:val="en-US"/>
        </w:rPr>
        <w:t xml:space="preserve"> and </w:t>
      </w:r>
      <w:r w:rsidR="00087093" w:rsidRPr="002E60EB">
        <w:rPr>
          <w:rFonts w:eastAsia="Calibri" w:cs="Arial"/>
          <w:sz w:val="20"/>
          <w:szCs w:val="20"/>
          <w:lang w:val="en-US"/>
        </w:rPr>
        <w:t>“</w:t>
      </w:r>
      <w:r w:rsidRPr="002E60EB">
        <w:rPr>
          <w:rFonts w:eastAsia="Calibri" w:cs="Arial"/>
          <w:sz w:val="20"/>
          <w:szCs w:val="20"/>
          <w:lang w:val="en-US"/>
        </w:rPr>
        <w:t>negligence in their command duties.</w:t>
      </w:r>
      <w:r w:rsidR="00087093" w:rsidRPr="002E60EB">
        <w:rPr>
          <w:rFonts w:eastAsia="Calibri" w:cs="Arial"/>
          <w:sz w:val="20"/>
          <w:szCs w:val="20"/>
          <w:lang w:val="en-US"/>
        </w:rPr>
        <w:t>”</w:t>
      </w:r>
      <w:r w:rsidRPr="002E60EB">
        <w:rPr>
          <w:rFonts w:eastAsia="Calibri" w:cs="Arial"/>
          <w:sz w:val="20"/>
          <w:szCs w:val="20"/>
          <w:lang w:val="en-US"/>
        </w:rPr>
        <w:t xml:space="preserve"> Regarding </w:t>
      </w:r>
      <w:r w:rsidR="00B61398" w:rsidRPr="002E60EB">
        <w:rPr>
          <w:rFonts w:eastAsia="Calibri" w:cs="Arial"/>
          <w:sz w:val="20"/>
          <w:szCs w:val="20"/>
          <w:lang w:val="en-US"/>
        </w:rPr>
        <w:t xml:space="preserve">the former, </w:t>
      </w:r>
      <w:r w:rsidRPr="002E60EB">
        <w:rPr>
          <w:rFonts w:eastAsia="Calibri" w:cs="Arial"/>
          <w:sz w:val="20"/>
          <w:szCs w:val="20"/>
          <w:lang w:val="en-US"/>
        </w:rPr>
        <w:t xml:space="preserve">it was </w:t>
      </w:r>
      <w:r w:rsidR="00B61398" w:rsidRPr="002E60EB">
        <w:rPr>
          <w:rFonts w:eastAsia="Calibri" w:cs="Arial"/>
          <w:sz w:val="20"/>
          <w:szCs w:val="20"/>
          <w:lang w:val="en-US"/>
        </w:rPr>
        <w:t xml:space="preserve">indicated </w:t>
      </w:r>
      <w:r w:rsidRPr="002E60EB">
        <w:rPr>
          <w:rFonts w:eastAsia="Calibri" w:cs="Arial"/>
          <w:sz w:val="20"/>
          <w:szCs w:val="20"/>
          <w:lang w:val="en-US"/>
        </w:rPr>
        <w:t xml:space="preserve">that </w:t>
      </w:r>
      <w:r w:rsidR="00087093" w:rsidRPr="002E60EB">
        <w:rPr>
          <w:rFonts w:eastAsia="Calibri" w:cs="Arial"/>
          <w:sz w:val="20"/>
          <w:szCs w:val="20"/>
          <w:lang w:val="en-US"/>
        </w:rPr>
        <w:t>“</w:t>
      </w:r>
      <w:r w:rsidRPr="002E60EB">
        <w:rPr>
          <w:rFonts w:eastAsia="Calibri" w:cs="Arial"/>
          <w:sz w:val="20"/>
          <w:szCs w:val="20"/>
          <w:lang w:val="en-US"/>
        </w:rPr>
        <w:t xml:space="preserve">he ordered a soldier under his command to seize the video camera from cameraman LUIS GONZALO VELEZ </w:t>
      </w:r>
      <w:r w:rsidR="00B61398" w:rsidRPr="002E60EB">
        <w:rPr>
          <w:rFonts w:eastAsia="Calibri" w:cs="Arial"/>
          <w:sz w:val="20"/>
          <w:szCs w:val="20"/>
          <w:lang w:val="en-US"/>
        </w:rPr>
        <w:t xml:space="preserve">of </w:t>
      </w:r>
      <w:r w:rsidRPr="002E60EB">
        <w:rPr>
          <w:rFonts w:eastAsia="Calibri" w:cs="Arial"/>
          <w:sz w:val="20"/>
          <w:szCs w:val="20"/>
          <w:lang w:val="en-US"/>
        </w:rPr>
        <w:t xml:space="preserve">the television news </w:t>
      </w:r>
      <w:r w:rsidR="00B61398" w:rsidRPr="002E60EB">
        <w:rPr>
          <w:rFonts w:eastAsia="Calibri" w:cs="Arial"/>
          <w:sz w:val="20"/>
          <w:szCs w:val="20"/>
          <w:lang w:val="en-US"/>
        </w:rPr>
        <w:t xml:space="preserve">program </w:t>
      </w:r>
      <w:r w:rsidRPr="002E60EB">
        <w:rPr>
          <w:rFonts w:eastAsia="Calibri" w:cs="Arial"/>
          <w:i/>
          <w:sz w:val="20"/>
          <w:szCs w:val="20"/>
          <w:lang w:val="en-US"/>
        </w:rPr>
        <w:t>12</w:t>
      </w:r>
      <w:r w:rsidR="00EF60B9" w:rsidRPr="002E60EB">
        <w:rPr>
          <w:rFonts w:eastAsia="Calibri" w:cs="Arial"/>
          <w:i/>
          <w:sz w:val="20"/>
          <w:szCs w:val="20"/>
          <w:lang w:val="en-US"/>
        </w:rPr>
        <w:t>:</w:t>
      </w:r>
      <w:r w:rsidRPr="002E60EB">
        <w:rPr>
          <w:rFonts w:eastAsia="Calibri" w:cs="Arial"/>
          <w:i/>
          <w:sz w:val="20"/>
          <w:szCs w:val="20"/>
          <w:lang w:val="en-US"/>
        </w:rPr>
        <w:t>30</w:t>
      </w:r>
      <w:r w:rsidRPr="002E60EB">
        <w:rPr>
          <w:rFonts w:eastAsia="Calibri" w:cs="Arial"/>
          <w:sz w:val="20"/>
          <w:szCs w:val="20"/>
          <w:lang w:val="en-US"/>
        </w:rPr>
        <w:t xml:space="preserve">, an </w:t>
      </w:r>
      <w:r w:rsidR="00EF60B9" w:rsidRPr="002E60EB">
        <w:rPr>
          <w:rFonts w:eastAsia="Calibri" w:cs="Arial"/>
          <w:sz w:val="20"/>
          <w:szCs w:val="20"/>
          <w:lang w:val="en-US"/>
        </w:rPr>
        <w:t>act</w:t>
      </w:r>
      <w:r w:rsidRPr="002E60EB">
        <w:rPr>
          <w:rFonts w:eastAsia="Calibri" w:cs="Arial"/>
          <w:sz w:val="20"/>
          <w:szCs w:val="20"/>
          <w:lang w:val="en-US"/>
        </w:rPr>
        <w:t xml:space="preserve"> that violates the </w:t>
      </w:r>
      <w:r w:rsidR="00B61398" w:rsidRPr="002E60EB">
        <w:rPr>
          <w:rFonts w:eastAsia="Calibri" w:cs="Arial"/>
          <w:sz w:val="20"/>
          <w:szCs w:val="20"/>
          <w:lang w:val="en-US"/>
        </w:rPr>
        <w:t xml:space="preserve">provisions </w:t>
      </w:r>
      <w:r w:rsidRPr="002E60EB">
        <w:rPr>
          <w:rFonts w:eastAsia="Calibri" w:cs="Arial"/>
          <w:sz w:val="20"/>
          <w:szCs w:val="20"/>
          <w:lang w:val="en-US"/>
        </w:rPr>
        <w:t>on</w:t>
      </w:r>
      <w:r w:rsidR="00EF60B9" w:rsidRPr="002E60EB">
        <w:rPr>
          <w:rFonts w:eastAsia="Calibri" w:cs="Arial"/>
          <w:sz w:val="20"/>
          <w:szCs w:val="20"/>
          <w:lang w:val="en-US"/>
        </w:rPr>
        <w:t xml:space="preserve"> </w:t>
      </w:r>
      <w:r w:rsidRPr="002E60EB">
        <w:rPr>
          <w:rFonts w:eastAsia="Calibri" w:cs="Arial"/>
          <w:sz w:val="20"/>
          <w:szCs w:val="20"/>
          <w:lang w:val="en-US"/>
        </w:rPr>
        <w:t xml:space="preserve">freedom of </w:t>
      </w:r>
      <w:r w:rsidR="00EF60B9" w:rsidRPr="002E60EB">
        <w:rPr>
          <w:rFonts w:eastAsia="Calibri" w:cs="Arial"/>
          <w:sz w:val="20"/>
          <w:szCs w:val="20"/>
          <w:lang w:val="en-US"/>
        </w:rPr>
        <w:t xml:space="preserve">the </w:t>
      </w:r>
      <w:r w:rsidRPr="002E60EB">
        <w:rPr>
          <w:rFonts w:eastAsia="Calibri" w:cs="Arial"/>
          <w:sz w:val="20"/>
          <w:szCs w:val="20"/>
          <w:lang w:val="en-US"/>
        </w:rPr>
        <w:t>press,</w:t>
      </w:r>
      <w:r w:rsidR="00087093" w:rsidRPr="002E60EB">
        <w:rPr>
          <w:rFonts w:eastAsia="Calibri" w:cs="Arial"/>
          <w:sz w:val="20"/>
          <w:szCs w:val="20"/>
          <w:lang w:val="en-US"/>
        </w:rPr>
        <w:t>”</w:t>
      </w:r>
      <w:r w:rsidRPr="002E60EB">
        <w:rPr>
          <w:rFonts w:eastAsia="Calibri" w:cs="Arial"/>
          <w:sz w:val="20"/>
          <w:szCs w:val="20"/>
          <w:lang w:val="en-US"/>
        </w:rPr>
        <w:t xml:space="preserve"> and </w:t>
      </w:r>
      <w:r w:rsidR="00F56099" w:rsidRPr="002E60EB">
        <w:rPr>
          <w:rFonts w:eastAsia="Calibri" w:cs="Arial"/>
          <w:sz w:val="20"/>
          <w:szCs w:val="20"/>
          <w:lang w:val="en-US"/>
        </w:rPr>
        <w:t>“</w:t>
      </w:r>
      <w:r w:rsidRPr="002E60EB">
        <w:rPr>
          <w:rFonts w:eastAsia="Calibri" w:cs="Arial"/>
          <w:sz w:val="20"/>
          <w:szCs w:val="20"/>
          <w:lang w:val="en-US"/>
        </w:rPr>
        <w:t>that</w:t>
      </w:r>
      <w:r w:rsidR="00F56099" w:rsidRPr="002E60EB">
        <w:rPr>
          <w:rFonts w:eastAsia="Calibri" w:cs="Arial"/>
          <w:sz w:val="20"/>
          <w:szCs w:val="20"/>
          <w:lang w:val="en-US"/>
        </w:rPr>
        <w:t>,</w:t>
      </w:r>
      <w:r w:rsidRPr="002E60EB">
        <w:rPr>
          <w:rFonts w:eastAsia="Calibri" w:cs="Arial"/>
          <w:sz w:val="20"/>
          <w:szCs w:val="20"/>
          <w:lang w:val="en-US"/>
        </w:rPr>
        <w:t xml:space="preserve"> in compliance with </w:t>
      </w:r>
      <w:r w:rsidR="00F56099" w:rsidRPr="002E60EB">
        <w:rPr>
          <w:rFonts w:eastAsia="Calibri" w:cs="Arial"/>
          <w:sz w:val="20"/>
          <w:szCs w:val="20"/>
          <w:lang w:val="en-US"/>
        </w:rPr>
        <w:t xml:space="preserve">the </w:t>
      </w:r>
      <w:r w:rsidRPr="002E60EB">
        <w:rPr>
          <w:rFonts w:eastAsia="Calibri" w:cs="Arial"/>
          <w:sz w:val="20"/>
          <w:szCs w:val="20"/>
          <w:lang w:val="en-US"/>
        </w:rPr>
        <w:t>said order</w:t>
      </w:r>
      <w:r w:rsidR="00F56099" w:rsidRPr="002E60EB">
        <w:rPr>
          <w:rFonts w:eastAsia="Calibri" w:cs="Arial"/>
          <w:sz w:val="20"/>
          <w:szCs w:val="20"/>
          <w:lang w:val="en-US"/>
        </w:rPr>
        <w:t>,</w:t>
      </w:r>
      <w:r w:rsidRPr="002E60EB">
        <w:rPr>
          <w:rFonts w:eastAsia="Calibri" w:cs="Arial"/>
          <w:sz w:val="20"/>
          <w:szCs w:val="20"/>
          <w:lang w:val="en-US"/>
        </w:rPr>
        <w:t xml:space="preserve"> it </w:t>
      </w:r>
      <w:r w:rsidR="00F56099" w:rsidRPr="002E60EB">
        <w:rPr>
          <w:rFonts w:eastAsia="Calibri" w:cs="Arial"/>
          <w:sz w:val="20"/>
          <w:szCs w:val="20"/>
          <w:lang w:val="en-US"/>
        </w:rPr>
        <w:t xml:space="preserve">appears </w:t>
      </w:r>
      <w:r w:rsidRPr="002E60EB">
        <w:rPr>
          <w:rFonts w:eastAsia="Calibri" w:cs="Arial"/>
          <w:sz w:val="20"/>
          <w:szCs w:val="20"/>
          <w:lang w:val="en-US"/>
        </w:rPr>
        <w:t xml:space="preserve">that </w:t>
      </w:r>
      <w:r w:rsidR="00EF60B9" w:rsidRPr="002E60EB">
        <w:rPr>
          <w:rFonts w:eastAsia="Calibri" w:cs="Arial"/>
          <w:sz w:val="20"/>
          <w:szCs w:val="20"/>
          <w:lang w:val="en-US"/>
        </w:rPr>
        <w:t>LUIS</w:t>
      </w:r>
      <w:r w:rsidRPr="002E60EB">
        <w:rPr>
          <w:rFonts w:eastAsia="Calibri" w:cs="Arial"/>
          <w:sz w:val="20"/>
          <w:szCs w:val="20"/>
          <w:lang w:val="en-US"/>
        </w:rPr>
        <w:t xml:space="preserve"> GONZALO VELEZ</w:t>
      </w:r>
      <w:r w:rsidR="00F56099" w:rsidRPr="002E60EB">
        <w:rPr>
          <w:rFonts w:eastAsia="Calibri" w:cs="Arial"/>
          <w:sz w:val="20"/>
          <w:szCs w:val="20"/>
          <w:lang w:val="en-US"/>
        </w:rPr>
        <w:t xml:space="preserve"> was subjected to arbitrary treatment</w:t>
      </w:r>
      <w:r w:rsidRPr="002E60EB">
        <w:rPr>
          <w:rFonts w:eastAsia="Calibri" w:cs="Arial"/>
          <w:sz w:val="20"/>
          <w:szCs w:val="20"/>
          <w:lang w:val="en-US"/>
        </w:rPr>
        <w:t>.</w:t>
      </w:r>
      <w:r w:rsidR="00087093" w:rsidRPr="002E60EB">
        <w:rPr>
          <w:rFonts w:eastAsia="Calibri" w:cs="Arial"/>
          <w:sz w:val="20"/>
          <w:szCs w:val="20"/>
          <w:lang w:val="en-US"/>
        </w:rPr>
        <w:t>”</w:t>
      </w:r>
      <w:r w:rsidRPr="002E60EB">
        <w:rPr>
          <w:rFonts w:eastAsia="Calibri" w:cs="Arial"/>
          <w:sz w:val="20"/>
          <w:szCs w:val="20"/>
          <w:lang w:val="en-US"/>
        </w:rPr>
        <w:t xml:space="preserve"> </w:t>
      </w:r>
      <w:r w:rsidR="00F56099" w:rsidRPr="002E60EB">
        <w:rPr>
          <w:rFonts w:eastAsia="Calibri" w:cs="Arial"/>
          <w:sz w:val="20"/>
          <w:szCs w:val="20"/>
          <w:lang w:val="en-US"/>
        </w:rPr>
        <w:t>Furthermore</w:t>
      </w:r>
      <w:r w:rsidRPr="002E60EB">
        <w:rPr>
          <w:rFonts w:eastAsia="Calibri" w:cs="Arial"/>
          <w:sz w:val="20"/>
          <w:szCs w:val="20"/>
          <w:lang w:val="en-US"/>
        </w:rPr>
        <w:t xml:space="preserve">, </w:t>
      </w:r>
      <w:r w:rsidR="00F56099" w:rsidRPr="002E60EB">
        <w:rPr>
          <w:rFonts w:eastAsia="Calibri" w:cs="Arial"/>
          <w:sz w:val="20"/>
          <w:szCs w:val="20"/>
          <w:lang w:val="en-US"/>
        </w:rPr>
        <w:t>the</w:t>
      </w:r>
      <w:r w:rsidRPr="002E60EB">
        <w:rPr>
          <w:rFonts w:eastAsia="Calibri" w:cs="Arial"/>
          <w:sz w:val="20"/>
          <w:szCs w:val="20"/>
          <w:lang w:val="en-US"/>
        </w:rPr>
        <w:t xml:space="preserve"> said decision </w:t>
      </w:r>
      <w:r w:rsidR="00F56099" w:rsidRPr="002E60EB">
        <w:rPr>
          <w:rFonts w:eastAsia="Calibri" w:cs="Arial"/>
          <w:sz w:val="20"/>
          <w:szCs w:val="20"/>
          <w:lang w:val="en-US"/>
        </w:rPr>
        <w:t>indicated</w:t>
      </w:r>
      <w:r w:rsidRPr="002E60EB">
        <w:rPr>
          <w:rFonts w:eastAsia="Calibri" w:cs="Arial"/>
          <w:sz w:val="20"/>
          <w:szCs w:val="20"/>
          <w:lang w:val="en-US"/>
        </w:rPr>
        <w:t xml:space="preserve"> that </w:t>
      </w:r>
      <w:r w:rsidR="00087093" w:rsidRPr="002E60EB">
        <w:rPr>
          <w:rFonts w:eastAsia="Calibri" w:cs="Arial"/>
          <w:sz w:val="20"/>
          <w:szCs w:val="20"/>
          <w:lang w:val="en-US"/>
        </w:rPr>
        <w:t>“</w:t>
      </w:r>
      <w:r w:rsidR="00F56099" w:rsidRPr="002E60EB">
        <w:rPr>
          <w:rFonts w:eastAsia="Calibri" w:cs="Arial"/>
          <w:sz w:val="20"/>
          <w:szCs w:val="20"/>
          <w:lang w:val="en-US"/>
        </w:rPr>
        <w:t>owing</w:t>
      </w:r>
      <w:r w:rsidRPr="002E60EB">
        <w:rPr>
          <w:rFonts w:eastAsia="Calibri" w:cs="Arial"/>
          <w:sz w:val="20"/>
          <w:szCs w:val="20"/>
          <w:lang w:val="en-US"/>
        </w:rPr>
        <w:t xml:space="preserve"> to lack of control, </w:t>
      </w:r>
      <w:r w:rsidR="00EF60B9" w:rsidRPr="002E60EB">
        <w:rPr>
          <w:rFonts w:eastAsia="Calibri" w:cs="Arial"/>
          <w:sz w:val="20"/>
          <w:szCs w:val="20"/>
          <w:lang w:val="en-US"/>
        </w:rPr>
        <w:t xml:space="preserve">the troops aimed </w:t>
      </w:r>
      <w:r w:rsidRPr="002E60EB">
        <w:rPr>
          <w:rFonts w:eastAsia="Calibri" w:cs="Arial"/>
          <w:sz w:val="20"/>
          <w:szCs w:val="20"/>
          <w:lang w:val="en-US"/>
        </w:rPr>
        <w:t>their official weapons a</w:t>
      </w:r>
      <w:r w:rsidR="00EF60B9" w:rsidRPr="002E60EB">
        <w:rPr>
          <w:rFonts w:eastAsia="Calibri" w:cs="Arial"/>
          <w:sz w:val="20"/>
          <w:szCs w:val="20"/>
          <w:lang w:val="en-US"/>
        </w:rPr>
        <w:t>t</w:t>
      </w:r>
      <w:r w:rsidRPr="002E60EB">
        <w:rPr>
          <w:rFonts w:eastAsia="Calibri" w:cs="Arial"/>
          <w:sz w:val="20"/>
          <w:szCs w:val="20"/>
          <w:lang w:val="en-US"/>
        </w:rPr>
        <w:t xml:space="preserve"> </w:t>
      </w:r>
      <w:r w:rsidR="00F56099" w:rsidRPr="002E60EB">
        <w:rPr>
          <w:rFonts w:eastAsia="Calibri" w:cs="Arial"/>
          <w:sz w:val="20"/>
          <w:szCs w:val="20"/>
          <w:lang w:val="en-US"/>
        </w:rPr>
        <w:t xml:space="preserve">all the </w:t>
      </w:r>
      <w:r w:rsidRPr="002E60EB">
        <w:rPr>
          <w:rFonts w:eastAsia="Calibri" w:cs="Arial"/>
          <w:sz w:val="20"/>
          <w:szCs w:val="20"/>
          <w:lang w:val="en-US"/>
        </w:rPr>
        <w:t>participants in the protest placing their li</w:t>
      </w:r>
      <w:r w:rsidR="00F56099" w:rsidRPr="002E60EB">
        <w:rPr>
          <w:rFonts w:eastAsia="Calibri" w:cs="Arial"/>
          <w:sz w:val="20"/>
          <w:szCs w:val="20"/>
          <w:lang w:val="en-US"/>
        </w:rPr>
        <w:t>fe</w:t>
      </w:r>
      <w:r w:rsidRPr="002E60EB">
        <w:rPr>
          <w:rFonts w:eastAsia="Calibri" w:cs="Arial"/>
          <w:sz w:val="20"/>
          <w:szCs w:val="20"/>
          <w:lang w:val="en-US"/>
        </w:rPr>
        <w:t xml:space="preserve"> and personal integrity in imminent danger.</w:t>
      </w:r>
      <w:r w:rsidR="00087093" w:rsidRPr="002E60EB">
        <w:rPr>
          <w:rFonts w:eastAsia="Calibri" w:cs="Arial"/>
          <w:sz w:val="20"/>
          <w:szCs w:val="20"/>
          <w:lang w:val="en-US"/>
        </w:rPr>
        <w:t>”</w:t>
      </w:r>
      <w:r w:rsidRPr="002E60EB">
        <w:rPr>
          <w:rStyle w:val="FootnoteReference1"/>
          <w:sz w:val="20"/>
          <w:szCs w:val="20"/>
          <w:lang w:val="en-US"/>
        </w:rPr>
        <w:footnoteReference w:id="119"/>
      </w:r>
      <w:r w:rsidRPr="002E60EB">
        <w:rPr>
          <w:rFonts w:eastAsia="Calibri" w:cs="Arial"/>
          <w:sz w:val="20"/>
          <w:szCs w:val="20"/>
          <w:lang w:val="en-US"/>
        </w:rPr>
        <w:t xml:space="preserve"> </w:t>
      </w:r>
      <w:r w:rsidR="003D3080" w:rsidRPr="002E60EB">
        <w:rPr>
          <w:rFonts w:eastAsia="Calibri" w:cs="Arial"/>
          <w:sz w:val="20"/>
          <w:szCs w:val="20"/>
          <w:lang w:val="en-US"/>
        </w:rPr>
        <w:t>The</w:t>
      </w:r>
      <w:r w:rsidRPr="002E60EB">
        <w:rPr>
          <w:rFonts w:eastAsia="Calibri" w:cs="Arial"/>
          <w:sz w:val="20"/>
          <w:szCs w:val="20"/>
          <w:lang w:val="en-US"/>
        </w:rPr>
        <w:t xml:space="preserve"> decision </w:t>
      </w:r>
      <w:r w:rsidR="00EF60B9" w:rsidRPr="002E60EB">
        <w:rPr>
          <w:rFonts w:eastAsia="Calibri" w:cs="Arial"/>
          <w:sz w:val="20"/>
          <w:szCs w:val="20"/>
          <w:lang w:val="en-US"/>
        </w:rPr>
        <w:t>sanctioning</w:t>
      </w:r>
      <w:r w:rsidR="003D3080" w:rsidRPr="002E60EB">
        <w:rPr>
          <w:rFonts w:eastAsia="Calibri" w:cs="Arial"/>
          <w:sz w:val="20"/>
          <w:szCs w:val="20"/>
          <w:lang w:val="en-US"/>
        </w:rPr>
        <w:t xml:space="preserve"> the other</w:t>
      </w:r>
      <w:r w:rsidRPr="002E60EB">
        <w:rPr>
          <w:rFonts w:eastAsia="Calibri" w:cs="Arial"/>
          <w:sz w:val="20"/>
          <w:szCs w:val="20"/>
          <w:lang w:val="en-US"/>
        </w:rPr>
        <w:t xml:space="preserve"> </w:t>
      </w:r>
      <w:r w:rsidR="003D3080" w:rsidRPr="002E60EB">
        <w:rPr>
          <w:rFonts w:eastAsia="Calibri" w:cs="Arial"/>
          <w:sz w:val="20"/>
          <w:szCs w:val="20"/>
          <w:lang w:val="en-US"/>
        </w:rPr>
        <w:t>c</w:t>
      </w:r>
      <w:r w:rsidRPr="002E60EB">
        <w:rPr>
          <w:rFonts w:eastAsia="Calibri" w:cs="Arial"/>
          <w:sz w:val="20"/>
          <w:szCs w:val="20"/>
          <w:lang w:val="en-US"/>
        </w:rPr>
        <w:t xml:space="preserve">ommander does not include any explicit reference to Mr. Vélez </w:t>
      </w:r>
      <w:r w:rsidR="00EF60B9" w:rsidRPr="002E60EB">
        <w:rPr>
          <w:rFonts w:eastAsia="Calibri" w:cs="Arial"/>
          <w:sz w:val="20"/>
          <w:szCs w:val="20"/>
          <w:lang w:val="en-US"/>
        </w:rPr>
        <w:t xml:space="preserve">Restrepo, but does mention the </w:t>
      </w:r>
      <w:r w:rsidRPr="002E60EB">
        <w:rPr>
          <w:rFonts w:eastAsia="Calibri" w:cs="Arial"/>
          <w:sz w:val="20"/>
          <w:szCs w:val="20"/>
          <w:lang w:val="en-US"/>
        </w:rPr>
        <w:t>act</w:t>
      </w:r>
      <w:r w:rsidR="00EF60B9" w:rsidRPr="002E60EB">
        <w:rPr>
          <w:rFonts w:eastAsia="Calibri" w:cs="Arial"/>
          <w:sz w:val="20"/>
          <w:szCs w:val="20"/>
          <w:lang w:val="en-US"/>
        </w:rPr>
        <w:t>s perpetrated against him</w:t>
      </w:r>
      <w:r w:rsidRPr="002E60EB">
        <w:rPr>
          <w:rFonts w:eastAsia="Calibri" w:cs="Arial"/>
          <w:sz w:val="20"/>
          <w:szCs w:val="20"/>
          <w:lang w:val="en-US"/>
        </w:rPr>
        <w:t xml:space="preserve"> </w:t>
      </w:r>
      <w:r w:rsidR="003D3080" w:rsidRPr="002E60EB">
        <w:rPr>
          <w:rFonts w:eastAsia="Calibri" w:cs="Arial"/>
          <w:sz w:val="20"/>
          <w:szCs w:val="20"/>
          <w:lang w:val="en-US"/>
        </w:rPr>
        <w:t>as follows</w:t>
      </w:r>
      <w:r w:rsidRPr="002E60EB">
        <w:rPr>
          <w:rFonts w:eastAsia="Calibri" w:cs="Arial"/>
          <w:sz w:val="20"/>
          <w:szCs w:val="20"/>
          <w:lang w:val="en-US"/>
        </w:rPr>
        <w:t xml:space="preserve">: </w:t>
      </w:r>
      <w:r w:rsidR="00087093" w:rsidRPr="002E60EB">
        <w:rPr>
          <w:rFonts w:eastAsia="Calibri" w:cs="Arial"/>
          <w:sz w:val="20"/>
          <w:szCs w:val="20"/>
          <w:lang w:val="en-US"/>
        </w:rPr>
        <w:t>“</w:t>
      </w:r>
      <w:r w:rsidRPr="002E60EB">
        <w:rPr>
          <w:rFonts w:eastAsia="Calibri" w:cs="Arial"/>
          <w:sz w:val="20"/>
          <w:szCs w:val="20"/>
          <w:lang w:val="en-US"/>
        </w:rPr>
        <w:t>that the images broadcast by the television news</w:t>
      </w:r>
      <w:r w:rsidR="003D3080" w:rsidRPr="002E60EB">
        <w:rPr>
          <w:rFonts w:eastAsia="Calibri" w:cs="Arial"/>
          <w:sz w:val="20"/>
          <w:szCs w:val="20"/>
          <w:lang w:val="en-US"/>
        </w:rPr>
        <w:t xml:space="preserve"> programs</w:t>
      </w:r>
      <w:r w:rsidRPr="002E60EB">
        <w:rPr>
          <w:rFonts w:eastAsia="Calibri" w:cs="Arial"/>
          <w:sz w:val="20"/>
          <w:szCs w:val="20"/>
          <w:lang w:val="en-US"/>
        </w:rPr>
        <w:t xml:space="preserve"> </w:t>
      </w:r>
      <w:r w:rsidR="003D3080" w:rsidRPr="002E60EB">
        <w:rPr>
          <w:rFonts w:eastAsia="Calibri" w:cs="Arial"/>
          <w:sz w:val="20"/>
          <w:szCs w:val="20"/>
          <w:lang w:val="en-US"/>
        </w:rPr>
        <w:t>reveal[ed]</w:t>
      </w:r>
      <w:r w:rsidRPr="002E60EB">
        <w:rPr>
          <w:rFonts w:eastAsia="Calibri" w:cs="Arial"/>
          <w:sz w:val="20"/>
          <w:szCs w:val="20"/>
          <w:lang w:val="en-US"/>
        </w:rPr>
        <w:t xml:space="preserve"> that </w:t>
      </w:r>
      <w:r w:rsidR="003D3080" w:rsidRPr="002E60EB">
        <w:rPr>
          <w:rFonts w:eastAsia="Calibri" w:cs="Arial"/>
          <w:sz w:val="20"/>
          <w:szCs w:val="20"/>
          <w:lang w:val="en-US"/>
        </w:rPr>
        <w:t>an attempt was made to</w:t>
      </w:r>
      <w:r w:rsidRPr="002E60EB">
        <w:rPr>
          <w:rFonts w:eastAsia="Calibri" w:cs="Arial"/>
          <w:sz w:val="20"/>
          <w:szCs w:val="20"/>
          <w:lang w:val="en-US"/>
        </w:rPr>
        <w:t xml:space="preserve"> seize a videotape from a cameraman </w:t>
      </w:r>
      <w:r w:rsidR="003D3080" w:rsidRPr="002E60EB">
        <w:rPr>
          <w:rFonts w:eastAsia="Calibri" w:cs="Arial"/>
          <w:sz w:val="20"/>
          <w:szCs w:val="20"/>
          <w:lang w:val="en-US"/>
        </w:rPr>
        <w:t xml:space="preserve">accredited </w:t>
      </w:r>
      <w:r w:rsidRPr="002E60EB">
        <w:rPr>
          <w:rFonts w:eastAsia="Calibri" w:cs="Arial"/>
          <w:sz w:val="20"/>
          <w:szCs w:val="20"/>
          <w:lang w:val="en-US"/>
        </w:rPr>
        <w:t>by the media,</w:t>
      </w:r>
      <w:r w:rsidR="003D3080" w:rsidRPr="002E60EB">
        <w:rPr>
          <w:rFonts w:eastAsia="Calibri" w:cs="Arial"/>
          <w:sz w:val="20"/>
          <w:szCs w:val="20"/>
          <w:lang w:val="en-US"/>
        </w:rPr>
        <w:t xml:space="preserve"> and this</w:t>
      </w:r>
      <w:r w:rsidRPr="002E60EB">
        <w:rPr>
          <w:rFonts w:eastAsia="Calibri" w:cs="Arial"/>
          <w:sz w:val="20"/>
          <w:szCs w:val="20"/>
          <w:lang w:val="en-US"/>
        </w:rPr>
        <w:t xml:space="preserve"> constitut</w:t>
      </w:r>
      <w:r w:rsidR="00BB0BA5" w:rsidRPr="002E60EB">
        <w:rPr>
          <w:rFonts w:eastAsia="Calibri" w:cs="Arial"/>
          <w:sz w:val="20"/>
          <w:szCs w:val="20"/>
          <w:lang w:val="en-US"/>
        </w:rPr>
        <w:t>ed an act that endangered</w:t>
      </w:r>
      <w:r w:rsidRPr="002E60EB">
        <w:rPr>
          <w:rFonts w:eastAsia="Calibri" w:cs="Arial"/>
          <w:sz w:val="20"/>
          <w:szCs w:val="20"/>
          <w:lang w:val="en-US"/>
        </w:rPr>
        <w:t xml:space="preserve"> freedom of expression.</w:t>
      </w:r>
      <w:r w:rsidR="00087093" w:rsidRPr="002E60EB">
        <w:rPr>
          <w:rFonts w:eastAsia="Calibri" w:cs="Arial"/>
          <w:sz w:val="20"/>
          <w:szCs w:val="20"/>
          <w:lang w:val="en-US"/>
        </w:rPr>
        <w:t>”</w:t>
      </w:r>
      <w:r w:rsidRPr="002E60EB">
        <w:rPr>
          <w:rFonts w:eastAsia="Calibri" w:cs="Arial"/>
          <w:sz w:val="20"/>
          <w:szCs w:val="20"/>
          <w:lang w:val="en-US"/>
        </w:rPr>
        <w:t xml:space="preserve"> </w:t>
      </w:r>
      <w:r w:rsidR="003D3080" w:rsidRPr="002E60EB">
        <w:rPr>
          <w:rFonts w:eastAsia="Calibri" w:cs="Arial"/>
          <w:sz w:val="20"/>
          <w:szCs w:val="20"/>
          <w:lang w:val="en-US"/>
        </w:rPr>
        <w:t>In addition,</w:t>
      </w:r>
      <w:r w:rsidRPr="002E60EB">
        <w:rPr>
          <w:rFonts w:eastAsia="Calibri" w:cs="Arial"/>
          <w:sz w:val="20"/>
          <w:szCs w:val="20"/>
          <w:lang w:val="en-US"/>
        </w:rPr>
        <w:t xml:space="preserve"> the decision concludes that the </w:t>
      </w:r>
      <w:r w:rsidR="003D3080" w:rsidRPr="002E60EB">
        <w:rPr>
          <w:rFonts w:eastAsia="Calibri" w:cs="Arial"/>
          <w:sz w:val="20"/>
          <w:szCs w:val="20"/>
          <w:lang w:val="en-US"/>
        </w:rPr>
        <w:t xml:space="preserve">said </w:t>
      </w:r>
      <w:r w:rsidRPr="002E60EB">
        <w:rPr>
          <w:rFonts w:eastAsia="Calibri" w:cs="Arial"/>
          <w:sz w:val="20"/>
          <w:szCs w:val="20"/>
          <w:lang w:val="en-US"/>
        </w:rPr>
        <w:t xml:space="preserve">commander </w:t>
      </w:r>
      <w:r w:rsidR="00087093" w:rsidRPr="002E60EB">
        <w:rPr>
          <w:rFonts w:eastAsia="Calibri" w:cs="Arial"/>
          <w:sz w:val="20"/>
          <w:szCs w:val="20"/>
          <w:lang w:val="en-US"/>
        </w:rPr>
        <w:t>“</w:t>
      </w:r>
      <w:r w:rsidRPr="002E60EB">
        <w:rPr>
          <w:rFonts w:eastAsia="Calibri" w:cs="Arial"/>
          <w:sz w:val="20"/>
          <w:szCs w:val="20"/>
          <w:lang w:val="en-US"/>
        </w:rPr>
        <w:t xml:space="preserve">physically assaulted </w:t>
      </w:r>
      <w:r w:rsidR="003D3080" w:rsidRPr="002E60EB">
        <w:rPr>
          <w:rFonts w:eastAsia="Calibri" w:cs="Arial"/>
          <w:sz w:val="20"/>
          <w:szCs w:val="20"/>
          <w:lang w:val="en-US"/>
        </w:rPr>
        <w:t>a defenseless</w:t>
      </w:r>
      <w:r w:rsidRPr="002E60EB">
        <w:rPr>
          <w:rFonts w:eastAsia="Calibri" w:cs="Arial"/>
          <w:sz w:val="20"/>
          <w:szCs w:val="20"/>
          <w:lang w:val="en-US"/>
        </w:rPr>
        <w:t xml:space="preserve"> participant in the protest against the Police Force [which took place on the bridge over the Bodoquero river of the municipality of Morelia on August 29, 1996].</w:t>
      </w:r>
      <w:r w:rsidR="00087093" w:rsidRPr="002E60EB">
        <w:rPr>
          <w:rFonts w:eastAsia="Calibri" w:cs="Arial"/>
          <w:sz w:val="20"/>
          <w:szCs w:val="20"/>
          <w:lang w:val="en-US"/>
        </w:rPr>
        <w:t>”</w:t>
      </w:r>
      <w:r w:rsidRPr="002E60EB">
        <w:rPr>
          <w:sz w:val="20"/>
          <w:szCs w:val="20"/>
          <w:vertAlign w:val="superscript"/>
          <w:lang w:val="en-US"/>
        </w:rPr>
        <w:footnoteReference w:id="120"/>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BA0536"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The soldiers w</w:t>
      </w:r>
      <w:r w:rsidR="006F72C3" w:rsidRPr="002E60EB">
        <w:rPr>
          <w:rFonts w:eastAsia="Calibri" w:cs="Arial"/>
          <w:sz w:val="20"/>
          <w:szCs w:val="20"/>
          <w:lang w:val="en-US"/>
        </w:rPr>
        <w:t>ho were sanctioned requested a</w:t>
      </w:r>
      <w:r w:rsidRPr="002E60EB">
        <w:rPr>
          <w:rFonts w:eastAsia="Calibri" w:cs="Arial"/>
          <w:sz w:val="20"/>
          <w:szCs w:val="20"/>
          <w:lang w:val="en-US"/>
        </w:rPr>
        <w:t xml:space="preserve"> review of the </w:t>
      </w:r>
      <w:r w:rsidR="00BB0BA5" w:rsidRPr="002E60EB">
        <w:rPr>
          <w:rFonts w:eastAsia="Calibri" w:cs="Arial"/>
          <w:sz w:val="20"/>
          <w:szCs w:val="20"/>
          <w:lang w:val="en-US"/>
        </w:rPr>
        <w:t>sanctions</w:t>
      </w:r>
      <w:r w:rsidRPr="002E60EB">
        <w:rPr>
          <w:rFonts w:eastAsia="Calibri" w:cs="Arial"/>
          <w:sz w:val="20"/>
          <w:szCs w:val="20"/>
          <w:lang w:val="en-US"/>
        </w:rPr>
        <w:t xml:space="preserve"> established </w:t>
      </w:r>
      <w:r w:rsidR="006F72C3" w:rsidRPr="002E60EB">
        <w:rPr>
          <w:rFonts w:eastAsia="Calibri" w:cs="Arial"/>
          <w:sz w:val="20"/>
          <w:szCs w:val="20"/>
          <w:lang w:val="en-US"/>
        </w:rPr>
        <w:t xml:space="preserve">in </w:t>
      </w:r>
      <w:r w:rsidR="0084095E" w:rsidRPr="002E60EB">
        <w:rPr>
          <w:rFonts w:eastAsia="Calibri" w:cs="Arial"/>
          <w:sz w:val="20"/>
          <w:szCs w:val="20"/>
          <w:lang w:val="en-US"/>
        </w:rPr>
        <w:t>decisions No</w:t>
      </w:r>
      <w:r w:rsidR="006F72C3" w:rsidRPr="002E60EB">
        <w:rPr>
          <w:rFonts w:eastAsia="Calibri" w:cs="Arial"/>
          <w:sz w:val="20"/>
          <w:szCs w:val="20"/>
          <w:lang w:val="en-US"/>
        </w:rPr>
        <w:t>s</w:t>
      </w:r>
      <w:r w:rsidR="0084095E" w:rsidRPr="002E60EB">
        <w:rPr>
          <w:rFonts w:eastAsia="Calibri" w:cs="Arial"/>
          <w:sz w:val="20"/>
          <w:szCs w:val="20"/>
          <w:lang w:val="en-US"/>
        </w:rPr>
        <w:t>. 011 and 012</w:t>
      </w:r>
      <w:r w:rsidR="006F72C3" w:rsidRPr="002E60EB">
        <w:rPr>
          <w:rFonts w:eastAsia="Calibri" w:cs="Arial"/>
          <w:sz w:val="20"/>
          <w:szCs w:val="20"/>
          <w:lang w:val="en-US"/>
        </w:rPr>
        <w:t>.</w:t>
      </w:r>
      <w:r w:rsidR="006F72C3" w:rsidRPr="002E60EB">
        <w:rPr>
          <w:rStyle w:val="Refdenotaalpie"/>
          <w:rFonts w:eastAsia="Calibri" w:cs="Arial"/>
          <w:sz w:val="20"/>
          <w:szCs w:val="20"/>
          <w:lang w:val="en-US"/>
        </w:rPr>
        <w:footnoteReference w:id="121"/>
      </w:r>
      <w:r w:rsidR="0084095E" w:rsidRPr="002E60EB">
        <w:rPr>
          <w:rFonts w:eastAsia="Calibri" w:cs="Arial"/>
          <w:sz w:val="20"/>
          <w:szCs w:val="20"/>
          <w:lang w:val="en-US"/>
        </w:rPr>
        <w:t xml:space="preserve"> However, the State </w:t>
      </w:r>
      <w:r w:rsidR="006F72C3" w:rsidRPr="002E60EB">
        <w:rPr>
          <w:rFonts w:eastAsia="Calibri" w:cs="Arial"/>
          <w:sz w:val="20"/>
          <w:szCs w:val="20"/>
          <w:lang w:val="en-US"/>
        </w:rPr>
        <w:t>advised</w:t>
      </w:r>
      <w:r w:rsidR="0084095E" w:rsidRPr="002E60EB">
        <w:rPr>
          <w:rFonts w:eastAsia="Calibri" w:cs="Arial"/>
          <w:sz w:val="20"/>
          <w:szCs w:val="20"/>
          <w:lang w:val="en-US"/>
        </w:rPr>
        <w:t xml:space="preserve"> this Court that the rulings on the appeals </w:t>
      </w:r>
      <w:r w:rsidR="00087093" w:rsidRPr="002E60EB">
        <w:rPr>
          <w:rFonts w:eastAsia="Calibri" w:cs="Arial"/>
          <w:sz w:val="20"/>
          <w:szCs w:val="20"/>
          <w:lang w:val="en-US"/>
        </w:rPr>
        <w:t>“</w:t>
      </w:r>
      <w:r w:rsidR="006F72C3" w:rsidRPr="002E60EB">
        <w:rPr>
          <w:rFonts w:eastAsia="Calibri" w:cs="Arial"/>
          <w:sz w:val="20"/>
          <w:szCs w:val="20"/>
          <w:lang w:val="en-US"/>
        </w:rPr>
        <w:t>could not be</w:t>
      </w:r>
      <w:r w:rsidR="0084095E" w:rsidRPr="002E60EB">
        <w:rPr>
          <w:rFonts w:eastAsia="Calibri" w:cs="Arial"/>
          <w:sz w:val="20"/>
          <w:szCs w:val="20"/>
          <w:lang w:val="en-US"/>
        </w:rPr>
        <w:t xml:space="preserve"> found.</w:t>
      </w:r>
      <w:r w:rsidR="00087093" w:rsidRPr="002E60EB">
        <w:rPr>
          <w:rFonts w:eastAsia="Calibri" w:cs="Arial"/>
          <w:sz w:val="20"/>
          <w:szCs w:val="20"/>
          <w:lang w:val="en-US"/>
        </w:rPr>
        <w:t>”</w:t>
      </w:r>
      <w:r w:rsidR="0084095E" w:rsidRPr="002E60EB">
        <w:rPr>
          <w:rStyle w:val="Refdenotaalpie"/>
          <w:rFonts w:eastAsia="Calibri" w:cs="Arial"/>
          <w:sz w:val="20"/>
          <w:szCs w:val="20"/>
          <w:lang w:val="en-US"/>
        </w:rPr>
        <w:footnoteReference w:id="122"/>
      </w:r>
    </w:p>
    <w:p w:rsidR="0084095E" w:rsidRPr="002E60EB" w:rsidRDefault="0084095E" w:rsidP="00317748">
      <w:pPr>
        <w:tabs>
          <w:tab w:val="left" w:pos="720"/>
        </w:tabs>
        <w:autoSpaceDE w:val="0"/>
        <w:autoSpaceDN w:val="0"/>
        <w:adjustRightInd w:val="0"/>
        <w:jc w:val="both"/>
        <w:rPr>
          <w:rFonts w:eastAsia="Calibri" w:cs="Arial"/>
          <w:i/>
          <w:lang w:val="en-US"/>
        </w:rPr>
      </w:pPr>
    </w:p>
    <w:p w:rsidR="0084095E" w:rsidRPr="002E60EB" w:rsidRDefault="006F72C3" w:rsidP="00317748">
      <w:pPr>
        <w:pStyle w:val="Prrafodelista"/>
        <w:numPr>
          <w:ilvl w:val="0"/>
          <w:numId w:val="27"/>
        </w:numPr>
        <w:autoSpaceDE w:val="0"/>
        <w:autoSpaceDN w:val="0"/>
        <w:adjustRightInd w:val="0"/>
        <w:ind w:left="1980" w:hanging="540"/>
        <w:jc w:val="both"/>
        <w:rPr>
          <w:rFonts w:eastAsia="Calibri" w:cs="Arial"/>
          <w:i/>
          <w:sz w:val="20"/>
          <w:szCs w:val="20"/>
          <w:lang w:val="en-US"/>
        </w:rPr>
      </w:pPr>
      <w:r w:rsidRPr="002E60EB">
        <w:rPr>
          <w:rFonts w:eastAsia="Calibri" w:cs="Arial"/>
          <w:i/>
          <w:sz w:val="20"/>
          <w:szCs w:val="20"/>
          <w:lang w:val="en-US"/>
        </w:rPr>
        <w:t xml:space="preserve">By </w:t>
      </w:r>
      <w:r w:rsidR="0084095E" w:rsidRPr="002E60EB">
        <w:rPr>
          <w:rFonts w:eastAsia="Calibri" w:cs="Arial"/>
          <w:i/>
          <w:sz w:val="20"/>
          <w:szCs w:val="20"/>
          <w:lang w:val="en-US"/>
        </w:rPr>
        <w:t>the Attorney General’s Office</w:t>
      </w:r>
    </w:p>
    <w:p w:rsidR="0084095E" w:rsidRPr="002E60EB" w:rsidRDefault="0084095E" w:rsidP="002711CF">
      <w:pPr>
        <w:pStyle w:val="Prrafodelista"/>
        <w:autoSpaceDE w:val="0"/>
        <w:autoSpaceDN w:val="0"/>
        <w:ind w:left="0"/>
        <w:jc w:val="both"/>
        <w:rPr>
          <w:bCs/>
          <w:i/>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 xml:space="preserve">The </w:t>
      </w:r>
      <w:r w:rsidR="009C4A0E" w:rsidRPr="002E60EB">
        <w:rPr>
          <w:sz w:val="20"/>
          <w:szCs w:val="20"/>
          <w:lang w:val="en-US"/>
        </w:rPr>
        <w:t xml:space="preserve">Attorney Delegated to the Defense of Human Rights </w:t>
      </w:r>
      <w:r w:rsidRPr="002E60EB">
        <w:rPr>
          <w:rFonts w:eastAsia="Calibri" w:cs="Arial"/>
          <w:sz w:val="20"/>
          <w:szCs w:val="20"/>
          <w:lang w:val="en-US"/>
        </w:rPr>
        <w:t>and the Special Investigations</w:t>
      </w:r>
      <w:r w:rsidR="0075180A" w:rsidRPr="002E60EB">
        <w:rPr>
          <w:rFonts w:eastAsia="Calibri" w:cs="Arial"/>
          <w:sz w:val="20"/>
          <w:szCs w:val="20"/>
          <w:lang w:val="en-US"/>
        </w:rPr>
        <w:t xml:space="preserve"> Directorate</w:t>
      </w:r>
      <w:r w:rsidRPr="002E60EB">
        <w:rPr>
          <w:rFonts w:eastAsia="Calibri" w:cs="Arial"/>
          <w:sz w:val="20"/>
          <w:szCs w:val="20"/>
          <w:lang w:val="en-US"/>
        </w:rPr>
        <w:t xml:space="preserve"> of the Attorney General’s Office </w:t>
      </w:r>
      <w:r w:rsidR="0075180A" w:rsidRPr="002E60EB">
        <w:rPr>
          <w:rFonts w:eastAsia="Calibri" w:cs="Arial"/>
          <w:sz w:val="20"/>
          <w:szCs w:val="20"/>
          <w:lang w:val="en-US"/>
        </w:rPr>
        <w:t>opened</w:t>
      </w:r>
      <w:r w:rsidRPr="002E60EB">
        <w:rPr>
          <w:rFonts w:eastAsia="Calibri" w:cs="Arial"/>
          <w:sz w:val="20"/>
          <w:szCs w:val="20"/>
          <w:lang w:val="en-US"/>
        </w:rPr>
        <w:t xml:space="preserve"> preliminary inquiries </w:t>
      </w:r>
      <w:r w:rsidR="00BB0BA5" w:rsidRPr="002E60EB">
        <w:rPr>
          <w:rFonts w:eastAsia="Calibri" w:cs="Arial"/>
          <w:sz w:val="20"/>
          <w:szCs w:val="20"/>
          <w:lang w:val="en-US"/>
        </w:rPr>
        <w:t>into</w:t>
      </w:r>
      <w:r w:rsidRPr="002E60EB">
        <w:rPr>
          <w:rFonts w:eastAsia="Calibri" w:cs="Arial"/>
          <w:sz w:val="20"/>
          <w:szCs w:val="20"/>
          <w:lang w:val="en-US"/>
        </w:rPr>
        <w:t xml:space="preserve"> the </w:t>
      </w:r>
      <w:r w:rsidR="00BB0BA5" w:rsidRPr="002E60EB">
        <w:rPr>
          <w:rFonts w:eastAsia="Calibri" w:cs="Arial"/>
          <w:sz w:val="20"/>
          <w:szCs w:val="20"/>
          <w:lang w:val="en-US"/>
        </w:rPr>
        <w:t>even</w:t>
      </w:r>
      <w:r w:rsidRPr="002E60EB">
        <w:rPr>
          <w:rFonts w:eastAsia="Calibri" w:cs="Arial"/>
          <w:sz w:val="20"/>
          <w:szCs w:val="20"/>
          <w:lang w:val="en-US"/>
        </w:rPr>
        <w:t xml:space="preserve">ts that </w:t>
      </w:r>
      <w:r w:rsidR="00BB0BA5" w:rsidRPr="002E60EB">
        <w:rPr>
          <w:rFonts w:eastAsia="Calibri" w:cs="Arial"/>
          <w:sz w:val="20"/>
          <w:szCs w:val="20"/>
          <w:lang w:val="en-US"/>
        </w:rPr>
        <w:t>took place</w:t>
      </w:r>
      <w:r w:rsidRPr="002E60EB">
        <w:rPr>
          <w:rFonts w:eastAsia="Calibri" w:cs="Arial"/>
          <w:sz w:val="20"/>
          <w:szCs w:val="20"/>
          <w:lang w:val="en-US"/>
        </w:rPr>
        <w:t xml:space="preserve"> on August 29, 1996, </w:t>
      </w:r>
      <w:r w:rsidR="0075180A" w:rsidRPr="002E60EB">
        <w:rPr>
          <w:rFonts w:eastAsia="Calibri" w:cs="Arial"/>
          <w:sz w:val="20"/>
          <w:szCs w:val="20"/>
          <w:lang w:val="en-US"/>
        </w:rPr>
        <w:t xml:space="preserve">relating to </w:t>
      </w:r>
      <w:r w:rsidR="00087093" w:rsidRPr="002E60EB">
        <w:rPr>
          <w:rFonts w:eastAsia="Calibri" w:cs="Arial"/>
          <w:sz w:val="20"/>
          <w:szCs w:val="20"/>
          <w:lang w:val="en-US"/>
        </w:rPr>
        <w:t>“</w:t>
      </w:r>
      <w:r w:rsidRPr="002E60EB">
        <w:rPr>
          <w:rFonts w:eastAsia="Calibri" w:cs="Arial"/>
          <w:sz w:val="20"/>
          <w:szCs w:val="20"/>
          <w:lang w:val="en-US"/>
        </w:rPr>
        <w:t xml:space="preserve">violent confrontations between peasants </w:t>
      </w:r>
      <w:r w:rsidR="0075180A" w:rsidRPr="002E60EB">
        <w:rPr>
          <w:rFonts w:eastAsia="Calibri" w:cs="Arial"/>
          <w:sz w:val="20"/>
          <w:szCs w:val="20"/>
          <w:lang w:val="en-US"/>
        </w:rPr>
        <w:t xml:space="preserve">who </w:t>
      </w:r>
      <w:r w:rsidRPr="002E60EB">
        <w:rPr>
          <w:rFonts w:eastAsia="Calibri" w:cs="Arial"/>
          <w:sz w:val="20"/>
          <w:szCs w:val="20"/>
          <w:lang w:val="en-US"/>
        </w:rPr>
        <w:t xml:space="preserve">were trying to get to Florencia (Caquetá) </w:t>
      </w:r>
      <w:r w:rsidR="0075180A" w:rsidRPr="002E60EB">
        <w:rPr>
          <w:rFonts w:eastAsia="Calibri" w:cs="Arial"/>
          <w:sz w:val="20"/>
          <w:szCs w:val="20"/>
          <w:lang w:val="en-US"/>
        </w:rPr>
        <w:t xml:space="preserve">[…] </w:t>
      </w:r>
      <w:r w:rsidRPr="002E60EB">
        <w:rPr>
          <w:rFonts w:eastAsia="Calibri" w:cs="Arial"/>
          <w:sz w:val="20"/>
          <w:szCs w:val="20"/>
          <w:lang w:val="en-US"/>
        </w:rPr>
        <w:t xml:space="preserve">and members of the National Army </w:t>
      </w:r>
      <w:r w:rsidR="0075180A" w:rsidRPr="002E60EB">
        <w:rPr>
          <w:rFonts w:eastAsia="Calibri" w:cs="Arial"/>
          <w:sz w:val="20"/>
          <w:szCs w:val="20"/>
          <w:lang w:val="en-US"/>
        </w:rPr>
        <w:t xml:space="preserve">attached </w:t>
      </w:r>
      <w:r w:rsidRPr="002E60EB">
        <w:rPr>
          <w:rFonts w:eastAsia="Calibri" w:cs="Arial"/>
          <w:sz w:val="20"/>
          <w:szCs w:val="20"/>
          <w:lang w:val="en-US"/>
        </w:rPr>
        <w:t xml:space="preserve">to the </w:t>
      </w:r>
      <w:r w:rsidR="0075180A" w:rsidRPr="002E60EB">
        <w:rPr>
          <w:rFonts w:eastAsia="Calibri" w:cs="Arial"/>
          <w:sz w:val="20"/>
          <w:szCs w:val="20"/>
          <w:lang w:val="en-US"/>
        </w:rPr>
        <w:t xml:space="preserve">Twelfth </w:t>
      </w:r>
      <w:r w:rsidRPr="002E60EB">
        <w:rPr>
          <w:rFonts w:eastAsia="Calibri" w:cs="Arial"/>
          <w:sz w:val="20"/>
          <w:szCs w:val="20"/>
          <w:lang w:val="en-US"/>
        </w:rPr>
        <w:t>Brigade</w:t>
      </w:r>
      <w:r w:rsidR="0075180A" w:rsidRPr="002E60EB">
        <w:rPr>
          <w:rFonts w:eastAsia="Calibri" w:cs="Arial"/>
          <w:sz w:val="20"/>
          <w:szCs w:val="20"/>
          <w:lang w:val="en-US"/>
        </w:rPr>
        <w:t>,</w:t>
      </w:r>
      <w:r w:rsidR="00087093" w:rsidRPr="002E60EB">
        <w:rPr>
          <w:rFonts w:eastAsia="Calibri" w:cs="Arial"/>
          <w:sz w:val="20"/>
          <w:szCs w:val="20"/>
          <w:lang w:val="en-US"/>
        </w:rPr>
        <w:t>”</w:t>
      </w:r>
      <w:r w:rsidRPr="002E60EB">
        <w:rPr>
          <w:rFonts w:eastAsia="Calibri" w:cs="Arial"/>
          <w:sz w:val="20"/>
          <w:szCs w:val="20"/>
          <w:lang w:val="en-US"/>
        </w:rPr>
        <w:t xml:space="preserve"> during which some people lost their li</w:t>
      </w:r>
      <w:r w:rsidR="0075180A" w:rsidRPr="002E60EB">
        <w:rPr>
          <w:rFonts w:eastAsia="Calibri" w:cs="Arial"/>
          <w:sz w:val="20"/>
          <w:szCs w:val="20"/>
          <w:lang w:val="en-US"/>
        </w:rPr>
        <w:t>fe</w:t>
      </w:r>
      <w:r w:rsidRPr="002E60EB">
        <w:rPr>
          <w:rFonts w:eastAsia="Calibri" w:cs="Arial"/>
          <w:sz w:val="20"/>
          <w:szCs w:val="20"/>
          <w:lang w:val="en-US"/>
        </w:rPr>
        <w:t>, others were injured</w:t>
      </w:r>
      <w:r w:rsidR="00BB0BA5" w:rsidRPr="002E60EB">
        <w:rPr>
          <w:rFonts w:eastAsia="Calibri" w:cs="Arial"/>
          <w:sz w:val="20"/>
          <w:szCs w:val="20"/>
          <w:lang w:val="en-US"/>
        </w:rPr>
        <w:t>,</w:t>
      </w:r>
      <w:r w:rsidRPr="002E60EB">
        <w:rPr>
          <w:rFonts w:eastAsia="Calibri" w:cs="Arial"/>
          <w:sz w:val="20"/>
          <w:szCs w:val="20"/>
          <w:lang w:val="en-US"/>
        </w:rPr>
        <w:t xml:space="preserve"> and Mr. Vélez Restrepo </w:t>
      </w:r>
      <w:r w:rsidR="0075180A" w:rsidRPr="002E60EB">
        <w:rPr>
          <w:rFonts w:eastAsia="Calibri" w:cs="Arial"/>
          <w:sz w:val="20"/>
          <w:szCs w:val="20"/>
          <w:lang w:val="en-US"/>
        </w:rPr>
        <w:t>“</w:t>
      </w:r>
      <w:r w:rsidRPr="002E60EB">
        <w:rPr>
          <w:rFonts w:eastAsia="Calibri" w:cs="Arial"/>
          <w:sz w:val="20"/>
          <w:szCs w:val="20"/>
          <w:lang w:val="en-US"/>
        </w:rPr>
        <w:t xml:space="preserve">was beaten when he refused to turn over a videotape </w:t>
      </w:r>
      <w:r w:rsidR="0075180A" w:rsidRPr="002E60EB">
        <w:rPr>
          <w:rFonts w:eastAsia="Calibri" w:cs="Arial"/>
          <w:sz w:val="20"/>
          <w:szCs w:val="20"/>
          <w:lang w:val="en-US"/>
        </w:rPr>
        <w:t>o</w:t>
      </w:r>
      <w:r w:rsidRPr="002E60EB">
        <w:rPr>
          <w:rFonts w:eastAsia="Calibri" w:cs="Arial"/>
          <w:sz w:val="20"/>
          <w:szCs w:val="20"/>
          <w:lang w:val="en-US"/>
        </w:rPr>
        <w:t xml:space="preserve">n which he had just </w:t>
      </w:r>
      <w:r w:rsidR="0075180A" w:rsidRPr="002E60EB">
        <w:rPr>
          <w:rFonts w:eastAsia="Calibri" w:cs="Arial"/>
          <w:sz w:val="20"/>
          <w:szCs w:val="20"/>
          <w:lang w:val="en-US"/>
        </w:rPr>
        <w:t>recorded an</w:t>
      </w:r>
      <w:r w:rsidRPr="002E60EB">
        <w:rPr>
          <w:rFonts w:eastAsia="Calibri" w:cs="Arial"/>
          <w:sz w:val="20"/>
          <w:szCs w:val="20"/>
          <w:lang w:val="en-US"/>
        </w:rPr>
        <w:t xml:space="preserve"> </w:t>
      </w:r>
      <w:r w:rsidR="0075180A" w:rsidRPr="002E60EB">
        <w:rPr>
          <w:rFonts w:eastAsia="Calibri" w:cs="Arial"/>
          <w:sz w:val="20"/>
          <w:szCs w:val="20"/>
          <w:lang w:val="en-US"/>
        </w:rPr>
        <w:t>attack</w:t>
      </w:r>
      <w:r w:rsidRPr="002E60EB">
        <w:rPr>
          <w:rFonts w:eastAsia="Calibri" w:cs="Arial"/>
          <w:sz w:val="20"/>
          <w:szCs w:val="20"/>
          <w:lang w:val="en-US"/>
        </w:rPr>
        <w:t xml:space="preserve"> </w:t>
      </w:r>
      <w:r w:rsidR="0075180A" w:rsidRPr="002E60EB">
        <w:rPr>
          <w:rFonts w:eastAsia="Calibri" w:cs="Arial"/>
          <w:sz w:val="20"/>
          <w:szCs w:val="20"/>
          <w:lang w:val="en-US"/>
        </w:rPr>
        <w:t xml:space="preserve">on </w:t>
      </w:r>
      <w:r w:rsidRPr="002E60EB">
        <w:rPr>
          <w:rFonts w:eastAsia="Calibri" w:cs="Arial"/>
          <w:sz w:val="20"/>
          <w:szCs w:val="20"/>
          <w:lang w:val="en-US"/>
        </w:rPr>
        <w:t>one of the peasants by a uniformed member of the Army</w:t>
      </w:r>
      <w:r w:rsidR="0075180A" w:rsidRPr="002E60EB">
        <w:rPr>
          <w:rFonts w:eastAsia="Calibri" w:cs="Arial"/>
          <w:sz w:val="20"/>
          <w:szCs w:val="20"/>
          <w:lang w:val="en-US"/>
        </w:rPr>
        <w:t>.</w:t>
      </w:r>
      <w:r w:rsidR="00087093" w:rsidRPr="002E60EB">
        <w:rPr>
          <w:rFonts w:eastAsia="Calibri" w:cs="Arial"/>
          <w:sz w:val="20"/>
          <w:szCs w:val="20"/>
          <w:lang w:val="en-US"/>
        </w:rPr>
        <w:t>”</w:t>
      </w:r>
      <w:r w:rsidRPr="002E60EB">
        <w:rPr>
          <w:rFonts w:eastAsia="Calibri" w:cs="Arial"/>
          <w:sz w:val="20"/>
          <w:szCs w:val="20"/>
          <w:lang w:val="en-US"/>
        </w:rPr>
        <w:t xml:space="preserve"> </w:t>
      </w:r>
      <w:r w:rsidR="00A13D41" w:rsidRPr="002E60EB">
        <w:rPr>
          <w:rFonts w:eastAsia="Calibri" w:cs="Arial"/>
          <w:sz w:val="20"/>
          <w:szCs w:val="20"/>
          <w:lang w:val="en-US"/>
        </w:rPr>
        <w:t>In addition, prelimina</w:t>
      </w:r>
      <w:r w:rsidR="00BB0BA5" w:rsidRPr="002E60EB">
        <w:rPr>
          <w:rFonts w:eastAsia="Calibri" w:cs="Arial"/>
          <w:sz w:val="20"/>
          <w:szCs w:val="20"/>
          <w:lang w:val="en-US"/>
        </w:rPr>
        <w:t>ry inquiries were also opened into</w:t>
      </w:r>
      <w:r w:rsidRPr="002E60EB">
        <w:rPr>
          <w:rFonts w:eastAsia="Calibri" w:cs="Arial"/>
          <w:sz w:val="20"/>
          <w:szCs w:val="20"/>
          <w:lang w:val="en-US"/>
        </w:rPr>
        <w:t xml:space="preserve"> </w:t>
      </w:r>
      <w:r w:rsidR="00087093" w:rsidRPr="002E60EB">
        <w:rPr>
          <w:rFonts w:eastAsia="Calibri" w:cs="Arial"/>
          <w:sz w:val="20"/>
          <w:szCs w:val="20"/>
          <w:lang w:val="en-US"/>
        </w:rPr>
        <w:t>“</w:t>
      </w:r>
      <w:r w:rsidRPr="002E60EB">
        <w:rPr>
          <w:rFonts w:eastAsia="Calibri" w:cs="Arial"/>
          <w:sz w:val="20"/>
          <w:szCs w:val="20"/>
          <w:lang w:val="en-US"/>
        </w:rPr>
        <w:t xml:space="preserve">the </w:t>
      </w:r>
      <w:r w:rsidR="00A13D41" w:rsidRPr="002E60EB">
        <w:rPr>
          <w:rFonts w:eastAsia="Calibri" w:cs="Arial"/>
          <w:sz w:val="20"/>
          <w:szCs w:val="20"/>
          <w:lang w:val="en-US"/>
        </w:rPr>
        <w:t xml:space="preserve">events </w:t>
      </w:r>
      <w:r w:rsidRPr="002E60EB">
        <w:rPr>
          <w:rFonts w:eastAsia="Calibri" w:cs="Arial"/>
          <w:sz w:val="20"/>
          <w:szCs w:val="20"/>
          <w:lang w:val="en-US"/>
        </w:rPr>
        <w:t xml:space="preserve">that </w:t>
      </w:r>
      <w:r w:rsidR="00A13D41" w:rsidRPr="002E60EB">
        <w:rPr>
          <w:rFonts w:eastAsia="Calibri" w:cs="Arial"/>
          <w:sz w:val="20"/>
          <w:szCs w:val="20"/>
          <w:lang w:val="en-US"/>
        </w:rPr>
        <w:t xml:space="preserve">took place </w:t>
      </w:r>
      <w:r w:rsidRPr="002E60EB">
        <w:rPr>
          <w:rFonts w:eastAsia="Calibri" w:cs="Arial"/>
          <w:sz w:val="20"/>
          <w:szCs w:val="20"/>
          <w:lang w:val="en-US"/>
        </w:rPr>
        <w:t xml:space="preserve">between August 19 and 23, 1996 [in Santuario and </w:t>
      </w:r>
      <w:r w:rsidR="00A13D41" w:rsidRPr="002E60EB">
        <w:rPr>
          <w:rFonts w:eastAsia="Calibri" w:cs="Arial"/>
          <w:sz w:val="20"/>
          <w:szCs w:val="20"/>
          <w:lang w:val="en-US"/>
        </w:rPr>
        <w:t xml:space="preserve">in </w:t>
      </w:r>
      <w:r w:rsidRPr="002E60EB">
        <w:rPr>
          <w:rFonts w:eastAsia="Calibri" w:cs="Arial"/>
          <w:sz w:val="20"/>
          <w:szCs w:val="20"/>
          <w:lang w:val="en-US"/>
        </w:rPr>
        <w:t>Belén de los Andaquíes], during which three of the marchers lost their li</w:t>
      </w:r>
      <w:r w:rsidR="00A13D41" w:rsidRPr="002E60EB">
        <w:rPr>
          <w:rFonts w:eastAsia="Calibri" w:cs="Arial"/>
          <w:sz w:val="20"/>
          <w:szCs w:val="20"/>
          <w:lang w:val="en-US"/>
        </w:rPr>
        <w:t>fe</w:t>
      </w:r>
      <w:r w:rsidRPr="002E60EB">
        <w:rPr>
          <w:rFonts w:eastAsia="Calibri" w:cs="Arial"/>
          <w:sz w:val="20"/>
          <w:szCs w:val="20"/>
          <w:lang w:val="en-US"/>
        </w:rPr>
        <w:t xml:space="preserve"> […] and several more were injured.</w:t>
      </w:r>
      <w:r w:rsidR="00087093" w:rsidRPr="002E60EB">
        <w:rPr>
          <w:rFonts w:eastAsia="Calibri" w:cs="Arial"/>
          <w:sz w:val="20"/>
          <w:szCs w:val="20"/>
          <w:lang w:val="en-US"/>
        </w:rPr>
        <w:t>”</w:t>
      </w:r>
      <w:r w:rsidRPr="002E60EB">
        <w:rPr>
          <w:rFonts w:eastAsia="Calibri" w:cs="Arial"/>
          <w:sz w:val="20"/>
          <w:szCs w:val="20"/>
          <w:lang w:val="en-US"/>
        </w:rPr>
        <w:t xml:space="preserve"> </w:t>
      </w:r>
      <w:r w:rsidR="00A13D41" w:rsidRPr="002E60EB">
        <w:rPr>
          <w:rFonts w:eastAsia="Calibri" w:cs="Arial"/>
          <w:sz w:val="20"/>
          <w:szCs w:val="20"/>
          <w:lang w:val="en-US"/>
        </w:rPr>
        <w:t>For</w:t>
      </w:r>
      <w:r w:rsidRPr="002E60EB">
        <w:rPr>
          <w:rFonts w:eastAsia="Calibri" w:cs="Arial"/>
          <w:sz w:val="20"/>
          <w:szCs w:val="20"/>
          <w:lang w:val="en-US"/>
        </w:rPr>
        <w:t xml:space="preserve"> reasons of jurisdiction, </w:t>
      </w:r>
      <w:r w:rsidR="00A13D41" w:rsidRPr="002E60EB">
        <w:rPr>
          <w:rFonts w:eastAsia="Calibri" w:cs="Arial"/>
          <w:sz w:val="20"/>
          <w:szCs w:val="20"/>
          <w:lang w:val="en-US"/>
        </w:rPr>
        <w:t xml:space="preserve">the </w:t>
      </w:r>
      <w:r w:rsidRPr="002E60EB">
        <w:rPr>
          <w:rFonts w:eastAsia="Calibri" w:cs="Arial"/>
          <w:sz w:val="20"/>
          <w:szCs w:val="20"/>
          <w:lang w:val="en-US"/>
        </w:rPr>
        <w:t xml:space="preserve">said inquiries were </w:t>
      </w:r>
      <w:r w:rsidR="00A13D41" w:rsidRPr="002E60EB">
        <w:rPr>
          <w:rFonts w:eastAsia="Calibri" w:cs="Arial"/>
          <w:sz w:val="20"/>
          <w:szCs w:val="20"/>
          <w:lang w:val="en-US"/>
        </w:rPr>
        <w:t>filed in</w:t>
      </w:r>
      <w:r w:rsidRPr="002E60EB">
        <w:rPr>
          <w:rFonts w:eastAsia="Calibri" w:cs="Arial"/>
          <w:sz w:val="20"/>
          <w:szCs w:val="20"/>
          <w:lang w:val="en-US"/>
        </w:rPr>
        <w:t xml:space="preserve"> the Attorney General</w:t>
      </w:r>
      <w:r w:rsidR="00A13D41" w:rsidRPr="002E60EB">
        <w:rPr>
          <w:rFonts w:eastAsia="Calibri" w:cs="Arial"/>
          <w:sz w:val="20"/>
          <w:szCs w:val="20"/>
          <w:lang w:val="en-US"/>
        </w:rPr>
        <w:t xml:space="preserve">’s </w:t>
      </w:r>
      <w:r w:rsidRPr="002E60EB">
        <w:rPr>
          <w:rFonts w:eastAsia="Calibri" w:cs="Arial"/>
          <w:sz w:val="20"/>
          <w:szCs w:val="20"/>
          <w:lang w:val="en-US"/>
        </w:rPr>
        <w:t>Office under Case File No. 001-3422.</w:t>
      </w:r>
      <w:r w:rsidR="00A13D41" w:rsidRPr="002E60EB">
        <w:rPr>
          <w:rStyle w:val="Refdenotaalpie"/>
          <w:rFonts w:eastAsia="Calibri" w:cs="Arial"/>
          <w:sz w:val="20"/>
          <w:szCs w:val="20"/>
          <w:lang w:val="en-US"/>
        </w:rPr>
        <w:footnoteReference w:id="123"/>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May 27, 1998 the Att</w:t>
      </w:r>
      <w:r w:rsidR="00BB0BA5" w:rsidRPr="002E60EB">
        <w:rPr>
          <w:rFonts w:eastAsia="Calibri" w:cs="Arial"/>
          <w:sz w:val="20"/>
          <w:szCs w:val="20"/>
          <w:lang w:val="en-US"/>
        </w:rPr>
        <w:t>orney General issued a decision</w:t>
      </w:r>
      <w:r w:rsidRPr="002E60EB">
        <w:rPr>
          <w:rFonts w:eastAsia="Calibri" w:cs="Arial"/>
          <w:sz w:val="20"/>
          <w:szCs w:val="20"/>
          <w:lang w:val="en-US"/>
        </w:rPr>
        <w:t xml:space="preserve"> </w:t>
      </w:r>
      <w:r w:rsidR="00A13D41" w:rsidRPr="002E60EB">
        <w:rPr>
          <w:rFonts w:eastAsia="Calibri" w:cs="Arial"/>
          <w:sz w:val="20"/>
          <w:szCs w:val="20"/>
          <w:lang w:val="en-US"/>
        </w:rPr>
        <w:t xml:space="preserve">in </w:t>
      </w:r>
      <w:r w:rsidRPr="002E60EB">
        <w:rPr>
          <w:rFonts w:eastAsia="Calibri" w:cs="Arial"/>
          <w:sz w:val="20"/>
          <w:szCs w:val="20"/>
          <w:lang w:val="en-US"/>
        </w:rPr>
        <w:t xml:space="preserve">which he ordered the </w:t>
      </w:r>
      <w:r w:rsidR="00A13D41" w:rsidRPr="002E60EB">
        <w:rPr>
          <w:rFonts w:eastAsia="Calibri" w:cs="Arial"/>
          <w:sz w:val="20"/>
          <w:szCs w:val="20"/>
          <w:lang w:val="en-US"/>
        </w:rPr>
        <w:t xml:space="preserve">closure </w:t>
      </w:r>
      <w:r w:rsidRPr="002E60EB">
        <w:rPr>
          <w:rFonts w:eastAsia="Calibri" w:cs="Arial"/>
          <w:sz w:val="20"/>
          <w:szCs w:val="20"/>
          <w:lang w:val="en-US"/>
        </w:rPr>
        <w:t xml:space="preserve">of the preliminary inquiries, considering that the Commander of the Twelfth Brigade of the National Army </w:t>
      </w:r>
      <w:r w:rsidR="00087093" w:rsidRPr="002E60EB">
        <w:rPr>
          <w:rFonts w:eastAsia="Calibri" w:cs="Arial"/>
          <w:sz w:val="20"/>
          <w:szCs w:val="20"/>
          <w:lang w:val="en-US"/>
        </w:rPr>
        <w:t>“</w:t>
      </w:r>
      <w:r w:rsidRPr="002E60EB">
        <w:rPr>
          <w:rFonts w:eastAsia="Calibri" w:cs="Arial"/>
          <w:sz w:val="20"/>
          <w:szCs w:val="20"/>
          <w:lang w:val="en-US"/>
        </w:rPr>
        <w:t>did not incur in any irregular behavior,</w:t>
      </w:r>
      <w:r w:rsidR="00087093" w:rsidRPr="002E60EB">
        <w:rPr>
          <w:rFonts w:eastAsia="Calibri" w:cs="Arial"/>
          <w:sz w:val="20"/>
          <w:szCs w:val="20"/>
          <w:lang w:val="en-US"/>
        </w:rPr>
        <w:t>”</w:t>
      </w:r>
      <w:r w:rsidRPr="002E60EB">
        <w:rPr>
          <w:rFonts w:eastAsia="Calibri" w:cs="Arial"/>
          <w:sz w:val="20"/>
          <w:szCs w:val="20"/>
          <w:lang w:val="en-US"/>
        </w:rPr>
        <w:t xml:space="preserve"> </w:t>
      </w:r>
      <w:r w:rsidR="00A13D41" w:rsidRPr="002E60EB">
        <w:rPr>
          <w:rFonts w:eastAsia="Calibri" w:cs="Arial"/>
          <w:sz w:val="20"/>
          <w:szCs w:val="20"/>
          <w:lang w:val="en-US"/>
        </w:rPr>
        <w:t xml:space="preserve">because </w:t>
      </w:r>
      <w:r w:rsidR="00087093" w:rsidRPr="002E60EB">
        <w:rPr>
          <w:rFonts w:eastAsia="Calibri" w:cs="Arial"/>
          <w:sz w:val="20"/>
          <w:szCs w:val="20"/>
          <w:lang w:val="en-US"/>
        </w:rPr>
        <w:t>“</w:t>
      </w:r>
      <w:r w:rsidRPr="002E60EB">
        <w:rPr>
          <w:rFonts w:eastAsia="Calibri" w:cs="Arial"/>
          <w:sz w:val="20"/>
          <w:szCs w:val="20"/>
          <w:lang w:val="en-US"/>
        </w:rPr>
        <w:t xml:space="preserve">he gave precise orders to the military personnel under his command, […] expressly </w:t>
      </w:r>
      <w:r w:rsidR="00BB0BA5" w:rsidRPr="002E60EB">
        <w:rPr>
          <w:rFonts w:eastAsia="Calibri" w:cs="Arial"/>
          <w:sz w:val="20"/>
          <w:szCs w:val="20"/>
          <w:lang w:val="en-US"/>
        </w:rPr>
        <w:t>prohibiting</w:t>
      </w:r>
      <w:r w:rsidRPr="002E60EB">
        <w:rPr>
          <w:rFonts w:eastAsia="Calibri" w:cs="Arial"/>
          <w:sz w:val="20"/>
          <w:szCs w:val="20"/>
          <w:lang w:val="en-US"/>
        </w:rPr>
        <w:t xml:space="preserve"> them from […] </w:t>
      </w:r>
      <w:r w:rsidR="00A13D41" w:rsidRPr="002E60EB">
        <w:rPr>
          <w:rFonts w:eastAsia="Calibri" w:cs="Arial"/>
          <w:sz w:val="20"/>
          <w:szCs w:val="20"/>
          <w:lang w:val="en-US"/>
        </w:rPr>
        <w:t xml:space="preserve">implementing </w:t>
      </w:r>
      <w:r w:rsidRPr="002E60EB">
        <w:rPr>
          <w:rFonts w:eastAsia="Calibri" w:cs="Arial"/>
          <w:sz w:val="20"/>
          <w:szCs w:val="20"/>
          <w:lang w:val="en-US"/>
        </w:rPr>
        <w:t xml:space="preserve">certain </w:t>
      </w:r>
      <w:r w:rsidR="00A13D41" w:rsidRPr="002E60EB">
        <w:rPr>
          <w:rFonts w:eastAsia="Calibri" w:cs="Arial"/>
          <w:sz w:val="20"/>
          <w:szCs w:val="20"/>
          <w:lang w:val="en-US"/>
        </w:rPr>
        <w:t xml:space="preserve">actions </w:t>
      </w:r>
      <w:r w:rsidRPr="002E60EB">
        <w:rPr>
          <w:rFonts w:eastAsia="Calibri" w:cs="Arial"/>
          <w:sz w:val="20"/>
          <w:szCs w:val="20"/>
          <w:lang w:val="en-US"/>
        </w:rPr>
        <w:t xml:space="preserve">that could </w:t>
      </w:r>
      <w:r w:rsidR="00BB0BA5" w:rsidRPr="002E60EB">
        <w:rPr>
          <w:rFonts w:eastAsia="Calibri" w:cs="Arial"/>
          <w:sz w:val="20"/>
          <w:szCs w:val="20"/>
          <w:lang w:val="en-US"/>
        </w:rPr>
        <w:t>signify</w:t>
      </w:r>
      <w:r w:rsidRPr="002E60EB">
        <w:rPr>
          <w:rFonts w:eastAsia="Calibri" w:cs="Arial"/>
          <w:sz w:val="20"/>
          <w:szCs w:val="20"/>
          <w:lang w:val="en-US"/>
        </w:rPr>
        <w:t xml:space="preserve"> a threat or </w:t>
      </w:r>
      <w:r w:rsidR="00A13D41" w:rsidRPr="002E60EB">
        <w:rPr>
          <w:rFonts w:eastAsia="Calibri" w:cs="Arial"/>
          <w:sz w:val="20"/>
          <w:szCs w:val="20"/>
          <w:lang w:val="en-US"/>
        </w:rPr>
        <w:t xml:space="preserve">a violation </w:t>
      </w:r>
      <w:r w:rsidRPr="002E60EB">
        <w:rPr>
          <w:rFonts w:eastAsia="Calibri" w:cs="Arial"/>
          <w:sz w:val="20"/>
          <w:szCs w:val="20"/>
          <w:lang w:val="en-US"/>
        </w:rPr>
        <w:t xml:space="preserve">of fundamental </w:t>
      </w:r>
      <w:r w:rsidR="00A13D41" w:rsidRPr="002E60EB">
        <w:rPr>
          <w:rFonts w:eastAsia="Calibri" w:cs="Arial"/>
          <w:sz w:val="20"/>
          <w:szCs w:val="20"/>
          <w:lang w:val="en-US"/>
        </w:rPr>
        <w:t xml:space="preserve">human </w:t>
      </w:r>
      <w:r w:rsidRPr="002E60EB">
        <w:rPr>
          <w:rFonts w:eastAsia="Calibri" w:cs="Arial"/>
          <w:sz w:val="20"/>
          <w:szCs w:val="20"/>
          <w:lang w:val="en-US"/>
        </w:rPr>
        <w:t>rights.</w:t>
      </w:r>
      <w:r w:rsidR="00087093" w:rsidRPr="002E60EB">
        <w:rPr>
          <w:rFonts w:eastAsia="Calibri" w:cs="Arial"/>
          <w:sz w:val="20"/>
          <w:szCs w:val="20"/>
          <w:lang w:val="en-US"/>
        </w:rPr>
        <w:t>”</w:t>
      </w:r>
      <w:r w:rsidRPr="002E60EB">
        <w:rPr>
          <w:rFonts w:eastAsia="Calibri" w:cs="Arial"/>
          <w:sz w:val="20"/>
          <w:szCs w:val="20"/>
          <w:lang w:val="en-US"/>
        </w:rPr>
        <w:t xml:space="preserve"> Additionally, the Attorney General </w:t>
      </w:r>
      <w:r w:rsidR="00A13D41" w:rsidRPr="002E60EB">
        <w:rPr>
          <w:rFonts w:eastAsia="Calibri" w:cs="Arial"/>
          <w:sz w:val="20"/>
          <w:szCs w:val="20"/>
          <w:lang w:val="en-US"/>
        </w:rPr>
        <w:t xml:space="preserve">indicated </w:t>
      </w:r>
      <w:r w:rsidRPr="002E60EB">
        <w:rPr>
          <w:rFonts w:eastAsia="Calibri" w:cs="Arial"/>
          <w:sz w:val="20"/>
          <w:szCs w:val="20"/>
          <w:lang w:val="en-US"/>
        </w:rPr>
        <w:t xml:space="preserve">that he would </w:t>
      </w:r>
      <w:r w:rsidR="00A13D41" w:rsidRPr="002E60EB">
        <w:rPr>
          <w:rFonts w:eastAsia="Calibri" w:cs="Arial"/>
          <w:sz w:val="20"/>
          <w:szCs w:val="20"/>
          <w:lang w:val="en-US"/>
        </w:rPr>
        <w:t>“</w:t>
      </w:r>
      <w:r w:rsidRPr="002E60EB">
        <w:rPr>
          <w:rFonts w:eastAsia="Calibri" w:cs="Arial"/>
          <w:sz w:val="20"/>
          <w:szCs w:val="20"/>
          <w:lang w:val="en-US"/>
        </w:rPr>
        <w:t xml:space="preserve">order </w:t>
      </w:r>
      <w:r w:rsidR="00A13D41" w:rsidRPr="002E60EB">
        <w:rPr>
          <w:rFonts w:eastAsia="Calibri" w:cs="Arial"/>
          <w:sz w:val="20"/>
          <w:szCs w:val="20"/>
          <w:lang w:val="en-US"/>
        </w:rPr>
        <w:t xml:space="preserve">that copies be certified” </w:t>
      </w:r>
      <w:r w:rsidRPr="002E60EB">
        <w:rPr>
          <w:rFonts w:eastAsia="Calibri" w:cs="Arial"/>
          <w:sz w:val="20"/>
          <w:szCs w:val="20"/>
          <w:lang w:val="en-US"/>
        </w:rPr>
        <w:t xml:space="preserve">so that </w:t>
      </w:r>
      <w:r w:rsidR="00A13D41" w:rsidRPr="002E60EB">
        <w:rPr>
          <w:rFonts w:eastAsia="Calibri" w:cs="Arial"/>
          <w:sz w:val="20"/>
          <w:szCs w:val="20"/>
          <w:lang w:val="en-US"/>
        </w:rPr>
        <w:t xml:space="preserve">an investigation could be conducted within </w:t>
      </w:r>
      <w:r w:rsidRPr="002E60EB">
        <w:rPr>
          <w:rFonts w:eastAsia="Calibri" w:cs="Arial"/>
          <w:sz w:val="20"/>
          <w:szCs w:val="20"/>
          <w:lang w:val="en-US"/>
        </w:rPr>
        <w:t>the National Army</w:t>
      </w:r>
      <w:r w:rsidR="00A13D41" w:rsidRPr="002E60EB">
        <w:rPr>
          <w:rFonts w:eastAsia="Calibri" w:cs="Arial"/>
          <w:sz w:val="20"/>
          <w:szCs w:val="20"/>
          <w:lang w:val="en-US"/>
        </w:rPr>
        <w:t xml:space="preserve"> on</w:t>
      </w:r>
      <w:r w:rsidRPr="002E60EB">
        <w:rPr>
          <w:rFonts w:eastAsia="Calibri" w:cs="Arial"/>
          <w:sz w:val="20"/>
          <w:szCs w:val="20"/>
          <w:lang w:val="en-US"/>
        </w:rPr>
        <w:t xml:space="preserve"> </w:t>
      </w:r>
      <w:r w:rsidR="00087093" w:rsidRPr="002E60EB">
        <w:rPr>
          <w:rFonts w:eastAsia="Calibri" w:cs="Arial"/>
          <w:sz w:val="20"/>
          <w:szCs w:val="20"/>
          <w:lang w:val="en-US"/>
        </w:rPr>
        <w:t>“</w:t>
      </w:r>
      <w:r w:rsidRPr="002E60EB">
        <w:rPr>
          <w:rFonts w:eastAsia="Calibri" w:cs="Arial"/>
          <w:sz w:val="20"/>
          <w:szCs w:val="20"/>
          <w:lang w:val="en-US"/>
        </w:rPr>
        <w:t xml:space="preserve">the </w:t>
      </w:r>
      <w:r w:rsidR="00A13D41" w:rsidRPr="002E60EB">
        <w:rPr>
          <w:rFonts w:eastAsia="Calibri" w:cs="Arial"/>
          <w:sz w:val="20"/>
          <w:szCs w:val="20"/>
          <w:lang w:val="en-US"/>
        </w:rPr>
        <w:t xml:space="preserve">presumed </w:t>
      </w:r>
      <w:r w:rsidRPr="002E60EB">
        <w:rPr>
          <w:rFonts w:eastAsia="Calibri" w:cs="Arial"/>
          <w:sz w:val="20"/>
          <w:szCs w:val="20"/>
          <w:lang w:val="en-US"/>
        </w:rPr>
        <w:t xml:space="preserve">disciplinary responsibility that could </w:t>
      </w:r>
      <w:r w:rsidR="00A13D41" w:rsidRPr="002E60EB">
        <w:rPr>
          <w:rFonts w:eastAsia="Calibri" w:cs="Arial"/>
          <w:sz w:val="20"/>
          <w:szCs w:val="20"/>
          <w:lang w:val="en-US"/>
        </w:rPr>
        <w:t xml:space="preserve">be borne by </w:t>
      </w:r>
      <w:r w:rsidRPr="002E60EB">
        <w:rPr>
          <w:rFonts w:eastAsia="Calibri" w:cs="Arial"/>
          <w:sz w:val="20"/>
          <w:szCs w:val="20"/>
          <w:lang w:val="en-US"/>
        </w:rPr>
        <w:t xml:space="preserve">the soldiers […] for the alleged </w:t>
      </w:r>
      <w:r w:rsidR="00A13D41" w:rsidRPr="002E60EB">
        <w:rPr>
          <w:rFonts w:eastAsia="Calibri" w:cs="Arial"/>
          <w:sz w:val="20"/>
          <w:szCs w:val="20"/>
          <w:lang w:val="en-US"/>
        </w:rPr>
        <w:t xml:space="preserve">improper </w:t>
      </w:r>
      <w:r w:rsidRPr="002E60EB">
        <w:rPr>
          <w:rFonts w:eastAsia="Calibri" w:cs="Arial"/>
          <w:sz w:val="20"/>
          <w:szCs w:val="20"/>
          <w:lang w:val="en-US"/>
        </w:rPr>
        <w:t xml:space="preserve">use of their weapons </w:t>
      </w:r>
      <w:r w:rsidR="00A13D41" w:rsidRPr="002E60EB">
        <w:rPr>
          <w:rFonts w:eastAsia="Calibri" w:cs="Arial"/>
          <w:sz w:val="20"/>
          <w:szCs w:val="20"/>
          <w:lang w:val="en-US"/>
        </w:rPr>
        <w:t>during</w:t>
      </w:r>
      <w:r w:rsidRPr="002E60EB">
        <w:rPr>
          <w:rFonts w:eastAsia="Calibri" w:cs="Arial"/>
          <w:sz w:val="20"/>
          <w:szCs w:val="20"/>
          <w:lang w:val="en-US"/>
        </w:rPr>
        <w:t xml:space="preserve"> those events.</w:t>
      </w:r>
      <w:r w:rsidR="00087093" w:rsidRPr="002E60EB">
        <w:rPr>
          <w:rFonts w:eastAsia="Calibri" w:cs="Arial"/>
          <w:sz w:val="20"/>
          <w:szCs w:val="20"/>
          <w:lang w:val="en-US"/>
        </w:rPr>
        <w:t>”</w:t>
      </w:r>
      <w:r w:rsidR="00A13D41" w:rsidRPr="002E60EB">
        <w:rPr>
          <w:sz w:val="20"/>
          <w:szCs w:val="20"/>
          <w:vertAlign w:val="superscript"/>
          <w:lang w:val="en-US"/>
        </w:rPr>
        <w:footnoteReference w:id="124"/>
      </w:r>
    </w:p>
    <w:p w:rsidR="0084095E" w:rsidRPr="002E60EB" w:rsidRDefault="0084095E" w:rsidP="00317748">
      <w:pPr>
        <w:autoSpaceDE w:val="0"/>
        <w:autoSpaceDN w:val="0"/>
        <w:jc w:val="both"/>
        <w:rPr>
          <w:rFonts w:eastAsia="Calibri" w:cs="Arial"/>
          <w:b/>
          <w:i/>
          <w:lang w:val="en-US"/>
        </w:rPr>
      </w:pPr>
    </w:p>
    <w:p w:rsidR="0084095E" w:rsidRPr="002E60EB" w:rsidRDefault="0084095E" w:rsidP="00317748">
      <w:pPr>
        <w:pStyle w:val="Prrafodelista"/>
        <w:autoSpaceDE w:val="0"/>
        <w:autoSpaceDN w:val="0"/>
        <w:ind w:left="540" w:firstLine="900"/>
        <w:jc w:val="both"/>
        <w:rPr>
          <w:rFonts w:eastAsia="Calibri" w:cs="Arial"/>
          <w:b/>
          <w:i/>
          <w:sz w:val="20"/>
          <w:szCs w:val="20"/>
          <w:lang w:val="en-US"/>
        </w:rPr>
      </w:pPr>
      <w:r w:rsidRPr="002E60EB">
        <w:rPr>
          <w:rFonts w:eastAsia="Calibri" w:cs="Arial"/>
          <w:b/>
          <w:i/>
          <w:sz w:val="20"/>
          <w:szCs w:val="20"/>
          <w:lang w:val="en-US"/>
        </w:rPr>
        <w:t>C.1.b)</w:t>
      </w:r>
      <w:r w:rsidRPr="002E60EB">
        <w:rPr>
          <w:rFonts w:eastAsia="Calibri" w:cs="Arial"/>
          <w:b/>
          <w:i/>
          <w:sz w:val="20"/>
          <w:szCs w:val="20"/>
          <w:lang w:val="en-US"/>
        </w:rPr>
        <w:tab/>
      </w:r>
      <w:r w:rsidR="00A13D41" w:rsidRPr="002E60EB">
        <w:rPr>
          <w:rFonts w:eastAsia="Calibri" w:cs="Arial"/>
          <w:b/>
          <w:i/>
          <w:sz w:val="20"/>
          <w:szCs w:val="20"/>
          <w:lang w:val="en-US"/>
        </w:rPr>
        <w:t xml:space="preserve">    </w:t>
      </w:r>
      <w:r w:rsidRPr="002E60EB">
        <w:rPr>
          <w:rFonts w:eastAsia="Calibri" w:cs="Arial"/>
          <w:b/>
          <w:i/>
          <w:sz w:val="20"/>
          <w:szCs w:val="20"/>
          <w:lang w:val="en-US"/>
        </w:rPr>
        <w:t xml:space="preserve">Investigation </w:t>
      </w:r>
      <w:r w:rsidR="00A13D41" w:rsidRPr="002E60EB">
        <w:rPr>
          <w:rFonts w:eastAsia="Calibri" w:cs="Arial"/>
          <w:b/>
          <w:i/>
          <w:sz w:val="20"/>
          <w:szCs w:val="20"/>
          <w:lang w:val="en-US"/>
        </w:rPr>
        <w:t xml:space="preserve">by </w:t>
      </w:r>
      <w:r w:rsidRPr="002E60EB">
        <w:rPr>
          <w:rFonts w:eastAsia="Calibri" w:cs="Arial"/>
          <w:b/>
          <w:i/>
          <w:sz w:val="20"/>
          <w:szCs w:val="20"/>
          <w:lang w:val="en-US"/>
        </w:rPr>
        <w:t xml:space="preserve">the </w:t>
      </w:r>
      <w:r w:rsidR="00A13D41" w:rsidRPr="002E60EB">
        <w:rPr>
          <w:rFonts w:eastAsia="Calibri" w:cs="Arial"/>
          <w:b/>
          <w:i/>
          <w:sz w:val="20"/>
          <w:szCs w:val="20"/>
          <w:lang w:val="en-US"/>
        </w:rPr>
        <w:t>m</w:t>
      </w:r>
      <w:r w:rsidRPr="002E60EB">
        <w:rPr>
          <w:rFonts w:eastAsia="Calibri" w:cs="Arial"/>
          <w:b/>
          <w:i/>
          <w:sz w:val="20"/>
          <w:szCs w:val="20"/>
          <w:lang w:val="en-US"/>
        </w:rPr>
        <w:t xml:space="preserve">ilitary </w:t>
      </w:r>
      <w:r w:rsidR="00A13D41" w:rsidRPr="002E60EB">
        <w:rPr>
          <w:rFonts w:eastAsia="Calibri" w:cs="Arial"/>
          <w:b/>
          <w:i/>
          <w:sz w:val="20"/>
          <w:szCs w:val="20"/>
          <w:lang w:val="en-US"/>
        </w:rPr>
        <w:t>c</w:t>
      </w:r>
      <w:r w:rsidRPr="002E60EB">
        <w:rPr>
          <w:rFonts w:eastAsia="Calibri" w:cs="Arial"/>
          <w:b/>
          <w:i/>
          <w:sz w:val="20"/>
          <w:szCs w:val="20"/>
          <w:lang w:val="en-US"/>
        </w:rPr>
        <w:t xml:space="preserve">riminal </w:t>
      </w:r>
      <w:r w:rsidR="00A13D41" w:rsidRPr="002E60EB">
        <w:rPr>
          <w:rFonts w:eastAsia="Calibri" w:cs="Arial"/>
          <w:b/>
          <w:i/>
          <w:sz w:val="20"/>
          <w:szCs w:val="20"/>
          <w:lang w:val="en-US"/>
        </w:rPr>
        <w:t>j</w:t>
      </w:r>
      <w:r w:rsidRPr="002E60EB">
        <w:rPr>
          <w:rFonts w:eastAsia="Calibri" w:cs="Arial"/>
          <w:b/>
          <w:i/>
          <w:sz w:val="20"/>
          <w:szCs w:val="20"/>
          <w:lang w:val="en-US"/>
        </w:rPr>
        <w:t>urisdiction</w:t>
      </w:r>
    </w:p>
    <w:p w:rsidR="0084095E" w:rsidRPr="002E60EB" w:rsidRDefault="0084095E" w:rsidP="00317748">
      <w:pPr>
        <w:pStyle w:val="Prrafodelista"/>
        <w:autoSpaceDE w:val="0"/>
        <w:autoSpaceDN w:val="0"/>
        <w:ind w:left="0" w:firstLine="90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August 31, 1996</w:t>
      </w:r>
      <w:r w:rsidR="00085B41" w:rsidRPr="002E60EB">
        <w:rPr>
          <w:rFonts w:eastAsia="Calibri" w:cs="Arial"/>
          <w:sz w:val="20"/>
          <w:szCs w:val="20"/>
          <w:lang w:val="en-US"/>
        </w:rPr>
        <w:t>,</w:t>
      </w:r>
      <w:r w:rsidRPr="002E60EB">
        <w:rPr>
          <w:rFonts w:eastAsia="Calibri" w:cs="Arial"/>
          <w:sz w:val="20"/>
          <w:szCs w:val="20"/>
          <w:lang w:val="en-US"/>
        </w:rPr>
        <w:t xml:space="preserve"> a preliminary investigation was </w:t>
      </w:r>
      <w:r w:rsidR="00085B41" w:rsidRPr="002E60EB">
        <w:rPr>
          <w:rFonts w:eastAsia="Calibri" w:cs="Arial"/>
          <w:sz w:val="20"/>
          <w:szCs w:val="20"/>
          <w:lang w:val="en-US"/>
        </w:rPr>
        <w:t xml:space="preserve">opened </w:t>
      </w:r>
      <w:r w:rsidRPr="002E60EB">
        <w:rPr>
          <w:rFonts w:eastAsia="Calibri" w:cs="Arial"/>
          <w:sz w:val="20"/>
          <w:szCs w:val="20"/>
          <w:lang w:val="en-US"/>
        </w:rPr>
        <w:t xml:space="preserve">for the </w:t>
      </w:r>
      <w:r w:rsidR="00085B41" w:rsidRPr="002E60EB">
        <w:rPr>
          <w:rFonts w:eastAsia="Calibri" w:cs="Arial"/>
          <w:sz w:val="20"/>
          <w:szCs w:val="20"/>
          <w:lang w:val="en-US"/>
        </w:rPr>
        <w:t xml:space="preserve">offense </w:t>
      </w:r>
      <w:r w:rsidRPr="002E60EB">
        <w:rPr>
          <w:rFonts w:eastAsia="Calibri" w:cs="Arial"/>
          <w:sz w:val="20"/>
          <w:szCs w:val="20"/>
          <w:lang w:val="en-US"/>
        </w:rPr>
        <w:t xml:space="preserve">of personal injuries in relation to the </w:t>
      </w:r>
      <w:r w:rsidR="00BB0BA5" w:rsidRPr="002E60EB">
        <w:rPr>
          <w:rFonts w:eastAsia="Calibri" w:cs="Arial"/>
          <w:sz w:val="20"/>
          <w:szCs w:val="20"/>
          <w:lang w:val="en-US"/>
        </w:rPr>
        <w:t>events that took place</w:t>
      </w:r>
      <w:r w:rsidRPr="002E60EB">
        <w:rPr>
          <w:rFonts w:eastAsia="Calibri" w:cs="Arial"/>
          <w:sz w:val="20"/>
          <w:szCs w:val="20"/>
          <w:lang w:val="en-US"/>
        </w:rPr>
        <w:t xml:space="preserve"> on August 29,</w:t>
      </w:r>
      <w:r w:rsidR="003E7D76" w:rsidRPr="002E60EB">
        <w:rPr>
          <w:rFonts w:eastAsia="Calibri" w:cs="Arial"/>
          <w:sz w:val="20"/>
          <w:szCs w:val="20"/>
          <w:lang w:val="en-US"/>
        </w:rPr>
        <w:t xml:space="preserve"> </w:t>
      </w:r>
      <w:r w:rsidRPr="002E60EB">
        <w:rPr>
          <w:rFonts w:eastAsia="Calibri" w:cs="Arial"/>
          <w:sz w:val="20"/>
          <w:szCs w:val="20"/>
          <w:lang w:val="en-US"/>
        </w:rPr>
        <w:t xml:space="preserve">1996 during the peasant march in the </w:t>
      </w:r>
      <w:r w:rsidR="003E7D76" w:rsidRPr="002E60EB">
        <w:rPr>
          <w:rFonts w:eastAsia="Calibri" w:cs="Arial"/>
          <w:sz w:val="20"/>
          <w:szCs w:val="20"/>
          <w:lang w:val="en-US"/>
        </w:rPr>
        <w:t>m</w:t>
      </w:r>
      <w:r w:rsidRPr="002E60EB">
        <w:rPr>
          <w:rFonts w:eastAsia="Calibri" w:cs="Arial"/>
          <w:sz w:val="20"/>
          <w:szCs w:val="20"/>
          <w:lang w:val="en-US"/>
        </w:rPr>
        <w:t xml:space="preserve">unicipality of Morelia (Caquetá) during which several persons were injured, </w:t>
      </w:r>
      <w:r w:rsidR="003E7D76" w:rsidRPr="002E60EB">
        <w:rPr>
          <w:rFonts w:eastAsia="Calibri" w:cs="Arial"/>
          <w:sz w:val="20"/>
          <w:szCs w:val="20"/>
          <w:lang w:val="en-US"/>
        </w:rPr>
        <w:t>including</w:t>
      </w:r>
      <w:r w:rsidRPr="002E60EB">
        <w:rPr>
          <w:rFonts w:eastAsia="Calibri" w:cs="Arial"/>
          <w:sz w:val="20"/>
          <w:szCs w:val="20"/>
          <w:lang w:val="en-US"/>
        </w:rPr>
        <w:t xml:space="preserve"> Mr. Vélez Restrepo. The 122</w:t>
      </w:r>
      <w:r w:rsidR="003E7D76" w:rsidRPr="002E60EB">
        <w:rPr>
          <w:rFonts w:eastAsia="Calibri" w:cs="Arial"/>
          <w:sz w:val="20"/>
          <w:szCs w:val="20"/>
          <w:lang w:val="en-US"/>
        </w:rPr>
        <w:t>nd</w:t>
      </w:r>
      <w:r w:rsidR="00BB0BA5" w:rsidRPr="002E60EB">
        <w:rPr>
          <w:rFonts w:eastAsia="Calibri" w:cs="Arial"/>
          <w:sz w:val="20"/>
          <w:szCs w:val="20"/>
          <w:lang w:val="en-US"/>
        </w:rPr>
        <w:t xml:space="preserve"> </w:t>
      </w:r>
      <w:r w:rsidRPr="002E60EB">
        <w:rPr>
          <w:rFonts w:eastAsia="Calibri" w:cs="Arial"/>
          <w:sz w:val="20"/>
          <w:szCs w:val="20"/>
          <w:lang w:val="en-US"/>
        </w:rPr>
        <w:t xml:space="preserve">Military Criminal </w:t>
      </w:r>
      <w:r w:rsidR="003E7D76" w:rsidRPr="002E60EB">
        <w:rPr>
          <w:rFonts w:eastAsia="Calibri" w:cs="Arial"/>
          <w:sz w:val="20"/>
          <w:szCs w:val="20"/>
          <w:lang w:val="en-US"/>
        </w:rPr>
        <w:t>Investigations</w:t>
      </w:r>
      <w:r w:rsidR="00BB0BA5" w:rsidRPr="002E60EB">
        <w:rPr>
          <w:rFonts w:eastAsia="Calibri" w:cs="Arial"/>
          <w:sz w:val="20"/>
          <w:szCs w:val="20"/>
          <w:lang w:val="en-US"/>
        </w:rPr>
        <w:t xml:space="preserve"> Court</w:t>
      </w:r>
      <w:r w:rsidR="003E7D76" w:rsidRPr="002E60EB">
        <w:rPr>
          <w:rFonts w:eastAsia="Calibri" w:cs="Arial"/>
          <w:sz w:val="20"/>
          <w:szCs w:val="20"/>
          <w:lang w:val="en-US"/>
        </w:rPr>
        <w:t xml:space="preserve"> was in charge of</w:t>
      </w:r>
      <w:r w:rsidRPr="002E60EB">
        <w:rPr>
          <w:rFonts w:eastAsia="Calibri" w:cs="Arial"/>
          <w:sz w:val="20"/>
          <w:szCs w:val="20"/>
          <w:lang w:val="en-US"/>
        </w:rPr>
        <w:t xml:space="preserve"> the investigation.</w:t>
      </w:r>
      <w:r w:rsidR="003E7D76" w:rsidRPr="002E60EB">
        <w:rPr>
          <w:sz w:val="20"/>
          <w:szCs w:val="20"/>
          <w:vertAlign w:val="superscript"/>
          <w:lang w:val="en-US"/>
        </w:rPr>
        <w:footnoteReference w:id="125"/>
      </w:r>
      <w:r w:rsidRPr="002E60EB">
        <w:rPr>
          <w:rFonts w:eastAsia="Calibri" w:cs="Arial"/>
          <w:sz w:val="20"/>
          <w:szCs w:val="20"/>
          <w:lang w:val="en-US"/>
        </w:rPr>
        <w:t xml:space="preserve"> </w:t>
      </w:r>
      <w:r w:rsidR="003E7D76" w:rsidRPr="002E60EB">
        <w:rPr>
          <w:rFonts w:eastAsia="Calibri" w:cs="Arial"/>
          <w:sz w:val="20"/>
          <w:szCs w:val="20"/>
          <w:lang w:val="en-US"/>
        </w:rPr>
        <w:t>Around</w:t>
      </w:r>
      <w:r w:rsidRPr="002E60EB">
        <w:rPr>
          <w:rFonts w:eastAsia="Calibri" w:cs="Arial"/>
          <w:sz w:val="20"/>
          <w:szCs w:val="20"/>
          <w:lang w:val="en-US"/>
        </w:rPr>
        <w:t xml:space="preserve"> mid</w:t>
      </w:r>
      <w:r w:rsidR="003E7D76" w:rsidRPr="002E60EB">
        <w:rPr>
          <w:rFonts w:eastAsia="Calibri" w:cs="Arial"/>
          <w:sz w:val="20"/>
          <w:szCs w:val="20"/>
          <w:lang w:val="en-US"/>
        </w:rPr>
        <w:t>-</w:t>
      </w:r>
      <w:r w:rsidRPr="002E60EB">
        <w:rPr>
          <w:rFonts w:eastAsia="Calibri" w:cs="Arial"/>
          <w:sz w:val="20"/>
          <w:szCs w:val="20"/>
          <w:lang w:val="en-US"/>
        </w:rPr>
        <w:t xml:space="preserve">September 1996, Mr. Vélez </w:t>
      </w:r>
      <w:r w:rsidR="003E7D76" w:rsidRPr="002E60EB">
        <w:rPr>
          <w:rFonts w:eastAsia="Calibri" w:cs="Arial"/>
          <w:sz w:val="20"/>
          <w:szCs w:val="20"/>
          <w:lang w:val="en-US"/>
        </w:rPr>
        <w:t>testified in this proceeding.</w:t>
      </w:r>
      <w:r w:rsidR="003E7D76" w:rsidRPr="002E60EB">
        <w:rPr>
          <w:rStyle w:val="Refdenotaalpie"/>
          <w:rFonts w:eastAsia="Calibri" w:cs="Arial"/>
          <w:sz w:val="20"/>
          <w:szCs w:val="20"/>
          <w:lang w:val="en-US"/>
        </w:rPr>
        <w:footnoteReference w:id="126"/>
      </w:r>
      <w:r w:rsidRPr="002E60EB">
        <w:rPr>
          <w:rFonts w:eastAsia="Calibri" w:cs="Arial"/>
          <w:color w:val="00B050"/>
          <w:sz w:val="20"/>
          <w:szCs w:val="20"/>
          <w:lang w:val="en-US"/>
        </w:rPr>
        <w:t xml:space="preserve"> </w:t>
      </w:r>
      <w:r w:rsidRPr="002E60EB">
        <w:rPr>
          <w:rFonts w:eastAsia="Calibri" w:cs="Arial"/>
          <w:sz w:val="20"/>
          <w:szCs w:val="20"/>
          <w:lang w:val="en-US"/>
        </w:rPr>
        <w:t xml:space="preserve">The case file of the military criminal investigation was lost </w:t>
      </w:r>
      <w:r w:rsidR="003E7D76" w:rsidRPr="002E60EB">
        <w:rPr>
          <w:rFonts w:eastAsia="Calibri" w:cs="Arial"/>
          <w:sz w:val="20"/>
          <w:szCs w:val="20"/>
          <w:lang w:val="en-US"/>
        </w:rPr>
        <w:t>when it was in “the archive” of a military battalion in the “zone of dé</w:t>
      </w:r>
      <w:r w:rsidR="001C67C1" w:rsidRPr="002E60EB">
        <w:rPr>
          <w:rFonts w:eastAsia="Calibri" w:cs="Arial"/>
          <w:sz w:val="20"/>
          <w:szCs w:val="20"/>
          <w:lang w:val="en-US"/>
        </w:rPr>
        <w:t xml:space="preserve">tente” decreed by the State </w:t>
      </w:r>
      <w:r w:rsidR="003E7D76" w:rsidRPr="002E60EB">
        <w:rPr>
          <w:rFonts w:eastAsia="Calibri" w:cs="Arial"/>
          <w:sz w:val="20"/>
          <w:szCs w:val="20"/>
          <w:lang w:val="en-US"/>
        </w:rPr>
        <w:t xml:space="preserve">in the </w:t>
      </w:r>
      <w:r w:rsidR="001C67C1" w:rsidRPr="002E60EB">
        <w:rPr>
          <w:rFonts w:eastAsia="Calibri" w:cs="Arial"/>
          <w:sz w:val="20"/>
          <w:szCs w:val="20"/>
          <w:lang w:val="en-US"/>
        </w:rPr>
        <w:t>context</w:t>
      </w:r>
      <w:r w:rsidR="003E7D76" w:rsidRPr="002E60EB">
        <w:rPr>
          <w:rFonts w:eastAsia="Calibri" w:cs="Arial"/>
          <w:sz w:val="20"/>
          <w:szCs w:val="20"/>
          <w:lang w:val="en-US"/>
        </w:rPr>
        <w:t xml:space="preserve"> of the peace process with the Revolu</w:t>
      </w:r>
      <w:r w:rsidR="001C67C1" w:rsidRPr="002E60EB">
        <w:rPr>
          <w:rFonts w:eastAsia="Calibri" w:cs="Arial"/>
          <w:sz w:val="20"/>
          <w:szCs w:val="20"/>
          <w:lang w:val="en-US"/>
        </w:rPr>
        <w:t>t</w:t>
      </w:r>
      <w:r w:rsidR="003E7D76" w:rsidRPr="002E60EB">
        <w:rPr>
          <w:rFonts w:eastAsia="Calibri" w:cs="Arial"/>
          <w:sz w:val="20"/>
          <w:szCs w:val="20"/>
          <w:lang w:val="en-US"/>
        </w:rPr>
        <w:t xml:space="preserve">ionary Armed Forces of Colombia (FARC). </w:t>
      </w:r>
      <w:r w:rsidRPr="002E60EB">
        <w:rPr>
          <w:rFonts w:eastAsia="Calibri" w:cs="Arial"/>
          <w:sz w:val="20"/>
          <w:szCs w:val="20"/>
          <w:lang w:val="en-US"/>
        </w:rPr>
        <w:t xml:space="preserve">An attempt was made to </w:t>
      </w:r>
      <w:r w:rsidR="00087093" w:rsidRPr="002E60EB">
        <w:rPr>
          <w:rFonts w:eastAsia="Calibri" w:cs="Arial"/>
          <w:sz w:val="20"/>
          <w:szCs w:val="20"/>
          <w:lang w:val="en-US"/>
        </w:rPr>
        <w:t>“</w:t>
      </w:r>
      <w:r w:rsidRPr="002E60EB">
        <w:rPr>
          <w:rFonts w:eastAsia="Calibri" w:cs="Arial"/>
          <w:sz w:val="20"/>
          <w:szCs w:val="20"/>
          <w:lang w:val="en-US"/>
        </w:rPr>
        <w:t>re</w:t>
      </w:r>
      <w:r w:rsidR="003E7D76" w:rsidRPr="002E60EB">
        <w:rPr>
          <w:rFonts w:eastAsia="Calibri" w:cs="Arial"/>
          <w:sz w:val="20"/>
          <w:szCs w:val="20"/>
          <w:lang w:val="en-US"/>
        </w:rPr>
        <w:t>construct</w:t>
      </w:r>
      <w:r w:rsidRPr="002E60EB">
        <w:rPr>
          <w:rFonts w:eastAsia="Calibri" w:cs="Arial"/>
          <w:sz w:val="20"/>
          <w:szCs w:val="20"/>
          <w:lang w:val="en-US"/>
        </w:rPr>
        <w:t xml:space="preserve"> the file, but it was unsuccessful.</w:t>
      </w:r>
      <w:r w:rsidR="00087093" w:rsidRPr="002E60EB">
        <w:rPr>
          <w:rFonts w:cs="Verdana"/>
          <w:sz w:val="20"/>
          <w:szCs w:val="20"/>
          <w:lang w:val="en-US"/>
        </w:rPr>
        <w:t>”</w:t>
      </w:r>
      <w:r w:rsidR="003E7D76" w:rsidRPr="002E60EB">
        <w:rPr>
          <w:rStyle w:val="Refdenotaalpie"/>
          <w:sz w:val="20"/>
          <w:szCs w:val="20"/>
          <w:lang w:val="en-US"/>
        </w:rPr>
        <w:footnoteReference w:id="127"/>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cs="Verdana"/>
          <w:sz w:val="20"/>
          <w:szCs w:val="20"/>
          <w:lang w:val="en-US"/>
        </w:rPr>
        <w:t xml:space="preserve">This Court was </w:t>
      </w:r>
      <w:r w:rsidR="003E7D76" w:rsidRPr="002E60EB">
        <w:rPr>
          <w:rFonts w:cs="Verdana"/>
          <w:sz w:val="20"/>
          <w:szCs w:val="20"/>
          <w:lang w:val="en-US"/>
        </w:rPr>
        <w:t xml:space="preserve">only provided with </w:t>
      </w:r>
      <w:r w:rsidRPr="002E60EB">
        <w:rPr>
          <w:rFonts w:cs="Verdana"/>
          <w:sz w:val="20"/>
          <w:szCs w:val="20"/>
          <w:lang w:val="en-US"/>
        </w:rPr>
        <w:t xml:space="preserve">the final decision of </w:t>
      </w:r>
      <w:r w:rsidR="003E7D76" w:rsidRPr="002E60EB">
        <w:rPr>
          <w:rFonts w:cs="Verdana"/>
          <w:sz w:val="20"/>
          <w:szCs w:val="20"/>
          <w:lang w:val="en-US"/>
        </w:rPr>
        <w:t xml:space="preserve">the </w:t>
      </w:r>
      <w:r w:rsidRPr="002E60EB">
        <w:rPr>
          <w:rFonts w:cs="Verdana"/>
          <w:sz w:val="20"/>
          <w:szCs w:val="20"/>
          <w:lang w:val="en-US"/>
        </w:rPr>
        <w:t>said investigation, which was issued on October 3, 1997</w:t>
      </w:r>
      <w:r w:rsidR="003E7D76" w:rsidRPr="002E60EB">
        <w:rPr>
          <w:rFonts w:cs="Verdana"/>
          <w:sz w:val="20"/>
          <w:szCs w:val="20"/>
          <w:lang w:val="en-US"/>
        </w:rPr>
        <w:t>,</w:t>
      </w:r>
      <w:r w:rsidRPr="002E60EB">
        <w:rPr>
          <w:rFonts w:cs="Verdana"/>
          <w:sz w:val="20"/>
          <w:szCs w:val="20"/>
          <w:lang w:val="en-US"/>
        </w:rPr>
        <w:t xml:space="preserve"> by the 122</w:t>
      </w:r>
      <w:r w:rsidR="003E7D76" w:rsidRPr="002E60EB">
        <w:rPr>
          <w:rFonts w:cs="Verdana"/>
          <w:sz w:val="20"/>
          <w:szCs w:val="20"/>
          <w:lang w:val="en-US"/>
        </w:rPr>
        <w:t>nd</w:t>
      </w:r>
      <w:r w:rsidRPr="002E60EB">
        <w:rPr>
          <w:rFonts w:cs="Verdana"/>
          <w:sz w:val="20"/>
          <w:szCs w:val="20"/>
          <w:lang w:val="en-US"/>
        </w:rPr>
        <w:t xml:space="preserve"> Military Criminal </w:t>
      </w:r>
      <w:r w:rsidR="003E7D76" w:rsidRPr="002E60EB">
        <w:rPr>
          <w:rFonts w:cs="Verdana"/>
          <w:sz w:val="20"/>
          <w:szCs w:val="20"/>
          <w:lang w:val="en-US"/>
        </w:rPr>
        <w:t>Investigations</w:t>
      </w:r>
      <w:r w:rsidR="001C67C1" w:rsidRPr="002E60EB">
        <w:rPr>
          <w:rFonts w:cs="Verdana"/>
          <w:sz w:val="20"/>
          <w:szCs w:val="20"/>
          <w:lang w:val="en-US"/>
        </w:rPr>
        <w:t xml:space="preserve"> Court</w:t>
      </w:r>
      <w:r w:rsidRPr="002E60EB">
        <w:rPr>
          <w:rFonts w:cs="Verdana"/>
          <w:sz w:val="20"/>
          <w:szCs w:val="20"/>
          <w:lang w:val="en-US"/>
        </w:rPr>
        <w:t xml:space="preserve">. </w:t>
      </w:r>
      <w:r w:rsidR="003E7D76" w:rsidRPr="002E60EB">
        <w:rPr>
          <w:rFonts w:cs="Verdana"/>
          <w:sz w:val="20"/>
          <w:szCs w:val="20"/>
          <w:lang w:val="en-US"/>
        </w:rPr>
        <w:t>In this decision, it was decided</w:t>
      </w:r>
      <w:r w:rsidRPr="002E60EB">
        <w:rPr>
          <w:rFonts w:cs="Verdana"/>
          <w:sz w:val="20"/>
          <w:szCs w:val="20"/>
          <w:lang w:val="en-US"/>
        </w:rPr>
        <w:t xml:space="preserve"> </w:t>
      </w:r>
      <w:r w:rsidR="00087093" w:rsidRPr="002E60EB">
        <w:rPr>
          <w:rFonts w:cs="Verdana"/>
          <w:sz w:val="20"/>
          <w:szCs w:val="20"/>
          <w:lang w:val="en-US"/>
        </w:rPr>
        <w:t>“</w:t>
      </w:r>
      <w:r w:rsidRPr="002E60EB">
        <w:rPr>
          <w:rFonts w:cs="Verdana"/>
          <w:sz w:val="20"/>
          <w:szCs w:val="20"/>
          <w:lang w:val="en-US"/>
        </w:rPr>
        <w:t xml:space="preserve">to abstain from </w:t>
      </w:r>
      <w:r w:rsidR="003E7D76" w:rsidRPr="002E60EB">
        <w:rPr>
          <w:rFonts w:cs="Verdana"/>
          <w:sz w:val="20"/>
          <w:szCs w:val="20"/>
          <w:lang w:val="en-US"/>
        </w:rPr>
        <w:t xml:space="preserve">opening […] </w:t>
      </w:r>
      <w:r w:rsidRPr="002E60EB">
        <w:rPr>
          <w:rFonts w:cs="Verdana"/>
          <w:sz w:val="20"/>
          <w:szCs w:val="20"/>
          <w:lang w:val="en-US"/>
        </w:rPr>
        <w:t>a formal criminal investigation</w:t>
      </w:r>
      <w:r w:rsidR="003E7D76" w:rsidRPr="002E60EB">
        <w:rPr>
          <w:rFonts w:cs="Verdana"/>
          <w:sz w:val="20"/>
          <w:szCs w:val="20"/>
          <w:lang w:val="en-US"/>
        </w:rPr>
        <w:t xml:space="preserve"> [against two </w:t>
      </w:r>
      <w:r w:rsidR="005C02C0" w:rsidRPr="002E60EB">
        <w:rPr>
          <w:rFonts w:cs="Verdana"/>
          <w:sz w:val="20"/>
          <w:szCs w:val="20"/>
          <w:lang w:val="en-US"/>
        </w:rPr>
        <w:t>sergeants</w:t>
      </w:r>
      <w:r w:rsidR="003E7D76" w:rsidRPr="002E60EB">
        <w:rPr>
          <w:rFonts w:cs="Verdana"/>
          <w:sz w:val="20"/>
          <w:szCs w:val="20"/>
          <w:lang w:val="en-US"/>
        </w:rPr>
        <w:t xml:space="preserve"> and a soldier]</w:t>
      </w:r>
      <w:r w:rsidRPr="002E60EB">
        <w:rPr>
          <w:rFonts w:cs="Verdana"/>
          <w:sz w:val="20"/>
          <w:szCs w:val="20"/>
          <w:lang w:val="en-US"/>
        </w:rPr>
        <w:t xml:space="preserve"> for the acts attributed to them.</w:t>
      </w:r>
      <w:r w:rsidR="00087093" w:rsidRPr="002E60EB">
        <w:rPr>
          <w:rFonts w:cs="Verdana"/>
          <w:sz w:val="20"/>
          <w:szCs w:val="20"/>
          <w:lang w:val="en-US"/>
        </w:rPr>
        <w:t>”</w:t>
      </w:r>
      <w:r w:rsidR="003E7D76" w:rsidRPr="002E60EB">
        <w:rPr>
          <w:rStyle w:val="Refdenotaalpie"/>
          <w:rFonts w:eastAsia="Calibri" w:cs="Arial"/>
          <w:sz w:val="20"/>
          <w:szCs w:val="20"/>
          <w:lang w:val="en-US"/>
        </w:rPr>
        <w:footnoteReference w:id="128"/>
      </w:r>
    </w:p>
    <w:p w:rsidR="0084095E" w:rsidRPr="002E60EB" w:rsidRDefault="0084095E" w:rsidP="002711CF">
      <w:pPr>
        <w:pStyle w:val="Prrafodelista"/>
        <w:autoSpaceDE w:val="0"/>
        <w:autoSpaceDN w:val="0"/>
        <w:ind w:left="0"/>
        <w:jc w:val="both"/>
        <w:rPr>
          <w:rFonts w:eastAsia="Calibri" w:cs="Arial"/>
          <w:sz w:val="20"/>
          <w:szCs w:val="20"/>
          <w:lang w:val="en-US"/>
        </w:rPr>
      </w:pPr>
    </w:p>
    <w:p w:rsidR="0084095E" w:rsidRPr="002E60EB" w:rsidRDefault="0084095E" w:rsidP="00317748">
      <w:pPr>
        <w:ind w:firstLine="720"/>
        <w:jc w:val="both"/>
        <w:rPr>
          <w:b/>
          <w:i/>
          <w:lang w:val="en-US"/>
        </w:rPr>
      </w:pPr>
      <w:r w:rsidRPr="002E60EB">
        <w:rPr>
          <w:b/>
          <w:i/>
          <w:lang w:val="en-US"/>
        </w:rPr>
        <w:t>C.2)</w:t>
      </w:r>
      <w:r w:rsidRPr="002E60EB">
        <w:rPr>
          <w:b/>
          <w:i/>
          <w:lang w:val="en-US"/>
        </w:rPr>
        <w:tab/>
        <w:t>Regarding the threats and harassments after August 29, 1996</w:t>
      </w:r>
    </w:p>
    <w:p w:rsidR="0084095E" w:rsidRPr="002E60EB" w:rsidRDefault="0084095E" w:rsidP="00317748">
      <w:pPr>
        <w:tabs>
          <w:tab w:val="left" w:pos="720"/>
        </w:tabs>
        <w:autoSpaceDE w:val="0"/>
        <w:autoSpaceDN w:val="0"/>
        <w:adjustRightInd w:val="0"/>
        <w:jc w:val="both"/>
        <w:rPr>
          <w:rFonts w:eastAsia="Calibri" w:cs="Arial"/>
          <w:lang w:val="en-US"/>
        </w:rPr>
      </w:pPr>
    </w:p>
    <w:p w:rsidR="0084095E" w:rsidRPr="002E60EB" w:rsidRDefault="0084095E" w:rsidP="00317748">
      <w:pPr>
        <w:tabs>
          <w:tab w:val="left" w:pos="720"/>
        </w:tabs>
        <w:autoSpaceDE w:val="0"/>
        <w:autoSpaceDN w:val="0"/>
        <w:adjustRightInd w:val="0"/>
        <w:jc w:val="both"/>
        <w:rPr>
          <w:rFonts w:eastAsia="Calibri" w:cs="Arial"/>
          <w:b/>
          <w:i/>
          <w:lang w:val="en-US"/>
        </w:rPr>
      </w:pPr>
      <w:r w:rsidRPr="002E60EB">
        <w:rPr>
          <w:rFonts w:eastAsia="Calibri" w:cs="Arial"/>
          <w:b/>
          <w:lang w:val="en-US"/>
        </w:rPr>
        <w:tab/>
      </w:r>
      <w:r w:rsidR="003E7D76" w:rsidRPr="002E60EB">
        <w:rPr>
          <w:rFonts w:eastAsia="Calibri" w:cs="Arial"/>
          <w:b/>
          <w:lang w:val="en-US"/>
        </w:rPr>
        <w:tab/>
      </w:r>
      <w:r w:rsidRPr="002E60EB">
        <w:rPr>
          <w:rFonts w:eastAsia="Calibri" w:cs="Arial"/>
          <w:b/>
          <w:i/>
          <w:lang w:val="en-US"/>
        </w:rPr>
        <w:t>C.2.a)</w:t>
      </w:r>
      <w:r w:rsidRPr="002E60EB">
        <w:rPr>
          <w:rFonts w:eastAsia="Calibri" w:cs="Arial"/>
          <w:b/>
          <w:i/>
          <w:lang w:val="en-US"/>
        </w:rPr>
        <w:tab/>
        <w:t xml:space="preserve">Disciplinary investigation </w:t>
      </w:r>
      <w:r w:rsidR="003E7D76" w:rsidRPr="002E60EB">
        <w:rPr>
          <w:rFonts w:eastAsia="Calibri" w:cs="Arial"/>
          <w:b/>
          <w:i/>
          <w:lang w:val="en-US"/>
        </w:rPr>
        <w:t xml:space="preserve">by </w:t>
      </w:r>
      <w:r w:rsidRPr="002E60EB">
        <w:rPr>
          <w:rFonts w:eastAsia="Calibri" w:cs="Arial"/>
          <w:b/>
          <w:i/>
          <w:lang w:val="en-US"/>
        </w:rPr>
        <w:t>the Attorney General's Office</w:t>
      </w:r>
    </w:p>
    <w:p w:rsidR="0084095E" w:rsidRPr="002E60EB" w:rsidRDefault="0084095E" w:rsidP="00317748">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 xml:space="preserve">On September 11, 1996 </w:t>
      </w:r>
      <w:r w:rsidR="001E4007" w:rsidRPr="002E60EB">
        <w:rPr>
          <w:rFonts w:eastAsia="Calibri" w:cs="Arial"/>
          <w:sz w:val="20"/>
          <w:szCs w:val="20"/>
          <w:lang w:val="en-US"/>
        </w:rPr>
        <w:t>the</w:t>
      </w:r>
      <w:r w:rsidRPr="002E60EB">
        <w:rPr>
          <w:rFonts w:eastAsia="Calibri" w:cs="Arial"/>
          <w:sz w:val="20"/>
          <w:szCs w:val="20"/>
          <w:lang w:val="en-US"/>
        </w:rPr>
        <w:t xml:space="preserve"> </w:t>
      </w:r>
      <w:r w:rsidR="001E4007" w:rsidRPr="002E60EB">
        <w:rPr>
          <w:rFonts w:eastAsia="Calibri" w:cs="Arial"/>
          <w:sz w:val="20"/>
          <w:szCs w:val="20"/>
          <w:lang w:val="en-US"/>
        </w:rPr>
        <w:t>Editor-in-Chief</w:t>
      </w:r>
      <w:r w:rsidRPr="002E60EB">
        <w:rPr>
          <w:rFonts w:eastAsia="Calibri" w:cs="Arial"/>
          <w:sz w:val="20"/>
          <w:szCs w:val="20"/>
          <w:lang w:val="en-US"/>
        </w:rPr>
        <w:t xml:space="preserve"> of </w:t>
      </w:r>
      <w:r w:rsidR="001E4007" w:rsidRPr="002E60EB">
        <w:rPr>
          <w:rFonts w:eastAsia="Calibri" w:cs="Arial"/>
          <w:i/>
          <w:sz w:val="20"/>
          <w:szCs w:val="20"/>
          <w:lang w:val="en-US"/>
        </w:rPr>
        <w:t xml:space="preserve">Noticiero Colombia </w:t>
      </w:r>
      <w:r w:rsidRPr="002E60EB">
        <w:rPr>
          <w:rFonts w:eastAsia="Calibri" w:cs="Arial"/>
          <w:i/>
          <w:sz w:val="20"/>
          <w:szCs w:val="20"/>
          <w:lang w:val="en-US"/>
        </w:rPr>
        <w:t>12</w:t>
      </w:r>
      <w:r w:rsidR="00476F1E" w:rsidRPr="002E60EB">
        <w:rPr>
          <w:rFonts w:eastAsia="Calibri" w:cs="Arial"/>
          <w:i/>
          <w:sz w:val="20"/>
          <w:szCs w:val="20"/>
          <w:lang w:val="en-US"/>
        </w:rPr>
        <w:t>:</w:t>
      </w:r>
      <w:r w:rsidRPr="002E60EB">
        <w:rPr>
          <w:rFonts w:eastAsia="Calibri" w:cs="Arial"/>
          <w:i/>
          <w:sz w:val="20"/>
          <w:szCs w:val="20"/>
          <w:lang w:val="en-US"/>
        </w:rPr>
        <w:t>30</w:t>
      </w:r>
      <w:r w:rsidRPr="002E60EB">
        <w:rPr>
          <w:rFonts w:eastAsia="Calibri" w:cs="Arial"/>
          <w:sz w:val="20"/>
          <w:szCs w:val="20"/>
          <w:lang w:val="en-US"/>
        </w:rPr>
        <w:t xml:space="preserve"> forwarded a brief to the National Director of Special Investigations of the Attorney General</w:t>
      </w:r>
      <w:r w:rsidR="008574EA" w:rsidRPr="002E60EB">
        <w:rPr>
          <w:rFonts w:eastAsia="Calibri" w:cs="Arial"/>
          <w:sz w:val="20"/>
          <w:szCs w:val="20"/>
          <w:lang w:val="en-US"/>
        </w:rPr>
        <w:t>’s Office asking him</w:t>
      </w:r>
      <w:r w:rsidRPr="002E60EB">
        <w:rPr>
          <w:rFonts w:eastAsia="Calibri" w:cs="Arial"/>
          <w:sz w:val="20"/>
          <w:szCs w:val="20"/>
          <w:lang w:val="en-US"/>
        </w:rPr>
        <w:t xml:space="preserve"> </w:t>
      </w:r>
      <w:r w:rsidR="00087093" w:rsidRPr="002E60EB">
        <w:rPr>
          <w:rFonts w:eastAsia="Calibri" w:cs="Arial"/>
          <w:sz w:val="20"/>
          <w:szCs w:val="20"/>
          <w:lang w:val="en-US"/>
        </w:rPr>
        <w:t>“</w:t>
      </w:r>
      <w:r w:rsidR="008574EA" w:rsidRPr="002E60EB">
        <w:rPr>
          <w:rFonts w:eastAsia="Calibri" w:cs="Arial"/>
          <w:sz w:val="20"/>
          <w:szCs w:val="20"/>
          <w:lang w:val="en-US"/>
        </w:rPr>
        <w:t xml:space="preserve">to </w:t>
      </w:r>
      <w:r w:rsidRPr="002E60EB">
        <w:rPr>
          <w:rFonts w:eastAsia="Calibri" w:cs="Arial"/>
          <w:sz w:val="20"/>
          <w:szCs w:val="20"/>
          <w:lang w:val="en-US"/>
        </w:rPr>
        <w:t>clarify</w:t>
      </w:r>
      <w:r w:rsidR="00087093" w:rsidRPr="002E60EB">
        <w:rPr>
          <w:rFonts w:eastAsia="Calibri" w:cs="Arial"/>
          <w:sz w:val="20"/>
          <w:szCs w:val="20"/>
          <w:lang w:val="en-US"/>
        </w:rPr>
        <w:t>”</w:t>
      </w:r>
      <w:r w:rsidRPr="002E60EB">
        <w:rPr>
          <w:rFonts w:eastAsia="Calibri" w:cs="Arial"/>
          <w:sz w:val="20"/>
          <w:szCs w:val="20"/>
          <w:lang w:val="en-US"/>
        </w:rPr>
        <w:t xml:space="preserve"> </w:t>
      </w:r>
      <w:r w:rsidR="008574EA" w:rsidRPr="002E60EB">
        <w:rPr>
          <w:rFonts w:eastAsia="Calibri" w:cs="Arial"/>
          <w:sz w:val="20"/>
          <w:szCs w:val="20"/>
          <w:lang w:val="en-US"/>
        </w:rPr>
        <w:t xml:space="preserve">what had happened </w:t>
      </w:r>
      <w:r w:rsidRPr="002E60EB">
        <w:rPr>
          <w:rFonts w:eastAsia="Calibri" w:cs="Arial"/>
          <w:sz w:val="20"/>
          <w:szCs w:val="20"/>
          <w:lang w:val="en-US"/>
        </w:rPr>
        <w:t xml:space="preserve">the previous day when </w:t>
      </w:r>
      <w:r w:rsidR="00087093" w:rsidRPr="002E60EB">
        <w:rPr>
          <w:rFonts w:eastAsia="Calibri" w:cs="Arial"/>
          <w:sz w:val="20"/>
          <w:szCs w:val="20"/>
          <w:lang w:val="en-US"/>
        </w:rPr>
        <w:t>“</w:t>
      </w:r>
      <w:r w:rsidRPr="002E60EB">
        <w:rPr>
          <w:rFonts w:eastAsia="Calibri" w:cs="Arial"/>
          <w:sz w:val="20"/>
          <w:szCs w:val="20"/>
          <w:lang w:val="en-US"/>
        </w:rPr>
        <w:t>four men in a red Toyota</w:t>
      </w:r>
      <w:r w:rsidR="00087093" w:rsidRPr="002E60EB">
        <w:rPr>
          <w:rFonts w:eastAsia="Calibri" w:cs="Arial"/>
          <w:sz w:val="20"/>
          <w:szCs w:val="20"/>
          <w:lang w:val="en-US"/>
        </w:rPr>
        <w:t>”</w:t>
      </w:r>
      <w:r w:rsidRPr="002E60EB">
        <w:rPr>
          <w:rFonts w:eastAsia="Calibri" w:cs="Arial"/>
          <w:sz w:val="20"/>
          <w:szCs w:val="20"/>
          <w:lang w:val="en-US"/>
        </w:rPr>
        <w:t xml:space="preserve"> </w:t>
      </w:r>
      <w:r w:rsidR="00087093" w:rsidRPr="002E60EB">
        <w:rPr>
          <w:rFonts w:eastAsia="Calibri" w:cs="Arial"/>
          <w:sz w:val="20"/>
          <w:szCs w:val="20"/>
          <w:lang w:val="en-US"/>
        </w:rPr>
        <w:t>“</w:t>
      </w:r>
      <w:r w:rsidRPr="002E60EB">
        <w:rPr>
          <w:rFonts w:eastAsia="Calibri" w:cs="Arial"/>
          <w:sz w:val="20"/>
          <w:szCs w:val="20"/>
          <w:lang w:val="en-US"/>
        </w:rPr>
        <w:t>arrived at the home of [</w:t>
      </w:r>
      <w:r w:rsidR="00AC1940" w:rsidRPr="002E60EB">
        <w:rPr>
          <w:rFonts w:eastAsia="Calibri" w:cs="Arial"/>
          <w:sz w:val="20"/>
          <w:szCs w:val="20"/>
          <w:lang w:val="en-US"/>
        </w:rPr>
        <w:t>Luis</w:t>
      </w:r>
      <w:r w:rsidR="00334C3C" w:rsidRPr="002E60EB">
        <w:rPr>
          <w:rFonts w:eastAsia="Calibri" w:cs="Arial"/>
          <w:sz w:val="20"/>
          <w:szCs w:val="20"/>
          <w:lang w:val="en-US"/>
        </w:rPr>
        <w:t xml:space="preserve"> Gonza</w:t>
      </w:r>
      <w:r w:rsidRPr="002E60EB">
        <w:rPr>
          <w:rFonts w:eastAsia="Calibri" w:cs="Arial"/>
          <w:sz w:val="20"/>
          <w:szCs w:val="20"/>
          <w:lang w:val="en-US"/>
        </w:rPr>
        <w:t>lo Vélez Restrepo,] cameraman of the [</w:t>
      </w:r>
      <w:r w:rsidR="008574EA" w:rsidRPr="002E60EB">
        <w:rPr>
          <w:rFonts w:eastAsia="Calibri" w:cs="Arial"/>
          <w:sz w:val="20"/>
          <w:szCs w:val="20"/>
          <w:lang w:val="en-US"/>
        </w:rPr>
        <w:t>said</w:t>
      </w:r>
      <w:r w:rsidRPr="002E60EB">
        <w:rPr>
          <w:rFonts w:eastAsia="Calibri" w:cs="Arial"/>
          <w:sz w:val="20"/>
          <w:szCs w:val="20"/>
          <w:lang w:val="en-US"/>
        </w:rPr>
        <w:t xml:space="preserve">] </w:t>
      </w:r>
      <w:r w:rsidR="008574EA" w:rsidRPr="002E60EB">
        <w:rPr>
          <w:rFonts w:eastAsia="Calibri" w:cs="Arial"/>
          <w:sz w:val="20"/>
          <w:szCs w:val="20"/>
          <w:lang w:val="en-US"/>
        </w:rPr>
        <w:t>ne</w:t>
      </w:r>
      <w:r w:rsidRPr="002E60EB">
        <w:rPr>
          <w:rFonts w:eastAsia="Calibri" w:cs="Arial"/>
          <w:sz w:val="20"/>
          <w:szCs w:val="20"/>
          <w:lang w:val="en-US"/>
        </w:rPr>
        <w:t xml:space="preserve">ws </w:t>
      </w:r>
      <w:r w:rsidR="008574EA" w:rsidRPr="002E60EB">
        <w:rPr>
          <w:rFonts w:eastAsia="Calibri" w:cs="Arial"/>
          <w:sz w:val="20"/>
          <w:szCs w:val="20"/>
          <w:lang w:val="en-US"/>
        </w:rPr>
        <w:t>program</w:t>
      </w:r>
      <w:r w:rsidR="00087093" w:rsidRPr="002E60EB">
        <w:rPr>
          <w:rFonts w:eastAsia="Calibri" w:cs="Arial"/>
          <w:sz w:val="20"/>
          <w:szCs w:val="20"/>
          <w:lang w:val="en-US"/>
        </w:rPr>
        <w:t>”</w:t>
      </w:r>
      <w:r w:rsidRPr="002E60EB">
        <w:rPr>
          <w:rFonts w:eastAsia="Calibri" w:cs="Arial"/>
          <w:sz w:val="20"/>
          <w:szCs w:val="20"/>
          <w:lang w:val="en-US"/>
        </w:rPr>
        <w:t xml:space="preserve"> and </w:t>
      </w:r>
      <w:r w:rsidR="00087093" w:rsidRPr="002E60EB">
        <w:rPr>
          <w:rFonts w:eastAsia="Calibri" w:cs="Arial"/>
          <w:sz w:val="20"/>
          <w:szCs w:val="20"/>
          <w:lang w:val="en-US"/>
        </w:rPr>
        <w:t>“</w:t>
      </w:r>
      <w:r w:rsidRPr="002E60EB">
        <w:rPr>
          <w:rFonts w:eastAsia="Calibri" w:cs="Arial"/>
          <w:sz w:val="20"/>
          <w:szCs w:val="20"/>
          <w:lang w:val="en-US"/>
        </w:rPr>
        <w:t xml:space="preserve">said </w:t>
      </w:r>
      <w:r w:rsidR="008574EA" w:rsidRPr="002E60EB">
        <w:rPr>
          <w:rFonts w:eastAsia="Calibri" w:cs="Arial"/>
          <w:sz w:val="20"/>
          <w:szCs w:val="20"/>
          <w:lang w:val="en-US"/>
        </w:rPr>
        <w:t xml:space="preserve">that </w:t>
      </w:r>
      <w:r w:rsidRPr="002E60EB">
        <w:rPr>
          <w:rFonts w:eastAsia="Calibri" w:cs="Arial"/>
          <w:sz w:val="20"/>
          <w:szCs w:val="20"/>
          <w:lang w:val="en-US"/>
        </w:rPr>
        <w:t xml:space="preserve">they </w:t>
      </w:r>
      <w:r w:rsidR="008574EA" w:rsidRPr="002E60EB">
        <w:rPr>
          <w:rFonts w:eastAsia="Calibri" w:cs="Arial"/>
          <w:sz w:val="20"/>
          <w:szCs w:val="20"/>
          <w:lang w:val="en-US"/>
        </w:rPr>
        <w:t>worked for</w:t>
      </w:r>
      <w:r w:rsidRPr="002E60EB">
        <w:rPr>
          <w:rFonts w:eastAsia="Calibri" w:cs="Arial"/>
          <w:sz w:val="20"/>
          <w:szCs w:val="20"/>
          <w:lang w:val="en-US"/>
        </w:rPr>
        <w:t xml:space="preserve"> the Attorney General’s Office</w:t>
      </w:r>
      <w:r w:rsidR="008574EA" w:rsidRPr="002E60EB">
        <w:rPr>
          <w:rFonts w:eastAsia="Calibri" w:cs="Arial"/>
          <w:sz w:val="20"/>
          <w:szCs w:val="20"/>
          <w:lang w:val="en-US"/>
        </w:rPr>
        <w:t>,</w:t>
      </w:r>
      <w:r w:rsidRPr="002E60EB">
        <w:rPr>
          <w:rFonts w:eastAsia="Calibri" w:cs="Arial"/>
          <w:sz w:val="20"/>
          <w:szCs w:val="20"/>
          <w:lang w:val="en-US"/>
        </w:rPr>
        <w:t xml:space="preserve"> but </w:t>
      </w:r>
      <w:r w:rsidR="008574EA" w:rsidRPr="002E60EB">
        <w:rPr>
          <w:rFonts w:eastAsia="Calibri" w:cs="Arial"/>
          <w:sz w:val="20"/>
          <w:szCs w:val="20"/>
          <w:lang w:val="en-US"/>
        </w:rPr>
        <w:t>failed to</w:t>
      </w:r>
      <w:r w:rsidRPr="002E60EB">
        <w:rPr>
          <w:rFonts w:eastAsia="Calibri" w:cs="Arial"/>
          <w:sz w:val="20"/>
          <w:szCs w:val="20"/>
          <w:lang w:val="en-US"/>
        </w:rPr>
        <w:t xml:space="preserve"> present any identification</w:t>
      </w:r>
      <w:r w:rsidR="008574EA" w:rsidRPr="002E60EB">
        <w:rPr>
          <w:rFonts w:eastAsia="Calibri" w:cs="Arial"/>
          <w:sz w:val="20"/>
          <w:szCs w:val="20"/>
          <w:lang w:val="en-US"/>
        </w:rPr>
        <w:t>,</w:t>
      </w:r>
      <w:r w:rsidRPr="002E60EB">
        <w:rPr>
          <w:rFonts w:eastAsia="Calibri" w:cs="Arial"/>
          <w:sz w:val="20"/>
          <w:szCs w:val="20"/>
          <w:lang w:val="en-US"/>
        </w:rPr>
        <w:t xml:space="preserve"> and</w:t>
      </w:r>
      <w:r w:rsidR="008574EA" w:rsidRPr="002E60EB">
        <w:rPr>
          <w:rFonts w:eastAsia="Calibri" w:cs="Arial"/>
          <w:sz w:val="20"/>
          <w:szCs w:val="20"/>
          <w:lang w:val="en-US"/>
        </w:rPr>
        <w:t xml:space="preserve"> questioned his wife,</w:t>
      </w:r>
      <w:r w:rsidRPr="002E60EB">
        <w:rPr>
          <w:rFonts w:eastAsia="Calibri" w:cs="Arial"/>
          <w:sz w:val="20"/>
          <w:szCs w:val="20"/>
          <w:lang w:val="en-US"/>
        </w:rPr>
        <w:t xml:space="preserve"> </w:t>
      </w:r>
      <w:r w:rsidR="008574EA" w:rsidRPr="002E60EB">
        <w:rPr>
          <w:rFonts w:eastAsia="Calibri" w:cs="Arial"/>
          <w:sz w:val="20"/>
          <w:szCs w:val="20"/>
          <w:lang w:val="en-US"/>
        </w:rPr>
        <w:t>inquiring</w:t>
      </w:r>
      <w:r w:rsidRPr="002E60EB">
        <w:rPr>
          <w:rFonts w:eastAsia="Calibri" w:cs="Arial"/>
          <w:sz w:val="20"/>
          <w:szCs w:val="20"/>
          <w:lang w:val="en-US"/>
        </w:rPr>
        <w:t xml:space="preserve"> about Luis Gonzalo’s schedule and activities.</w:t>
      </w:r>
      <w:r w:rsidR="00087093" w:rsidRPr="002E60EB">
        <w:rPr>
          <w:rFonts w:eastAsia="Calibri" w:cs="Arial"/>
          <w:sz w:val="20"/>
          <w:szCs w:val="20"/>
          <w:lang w:val="en-US"/>
        </w:rPr>
        <w:t>”</w:t>
      </w:r>
      <w:r w:rsidR="008574EA" w:rsidRPr="002E60EB">
        <w:rPr>
          <w:rStyle w:val="Refdenotaalpie"/>
          <w:rFonts w:eastAsia="Calibri" w:cs="Arial"/>
          <w:sz w:val="20"/>
          <w:szCs w:val="20"/>
          <w:lang w:val="en-US"/>
        </w:rPr>
        <w:footnoteReference w:id="129"/>
      </w:r>
      <w:r w:rsidRPr="002E60EB">
        <w:rPr>
          <w:rFonts w:eastAsia="Calibri" w:cs="Arial"/>
          <w:sz w:val="20"/>
          <w:szCs w:val="20"/>
          <w:lang w:val="en-US"/>
        </w:rPr>
        <w:t xml:space="preserve"> </w:t>
      </w:r>
    </w:p>
    <w:p w:rsidR="0084095E" w:rsidRPr="002E60EB" w:rsidRDefault="0084095E" w:rsidP="002711CF">
      <w:pPr>
        <w:pStyle w:val="Prrafodelista"/>
        <w:autoSpaceDE w:val="0"/>
        <w:autoSpaceDN w:val="0"/>
        <w:ind w:left="0"/>
        <w:jc w:val="both"/>
        <w:rPr>
          <w:b/>
          <w:bCs/>
          <w:sz w:val="20"/>
          <w:szCs w:val="20"/>
          <w:lang w:val="en-US"/>
        </w:rPr>
      </w:pPr>
    </w:p>
    <w:p w:rsidR="008574EA" w:rsidRPr="002E60EB" w:rsidRDefault="008574EA" w:rsidP="008574EA">
      <w:pPr>
        <w:numPr>
          <w:ilvl w:val="0"/>
          <w:numId w:val="1"/>
        </w:numPr>
        <w:tabs>
          <w:tab w:val="left" w:pos="720"/>
          <w:tab w:val="num" w:pos="851"/>
        </w:tabs>
        <w:autoSpaceDE w:val="0"/>
        <w:autoSpaceDN w:val="0"/>
        <w:adjustRightInd w:val="0"/>
        <w:jc w:val="both"/>
        <w:rPr>
          <w:sz w:val="16"/>
          <w:szCs w:val="16"/>
          <w:lang w:val="en-US"/>
        </w:rPr>
      </w:pPr>
      <w:r w:rsidRPr="002E60EB">
        <w:rPr>
          <w:lang w:val="en-US"/>
        </w:rPr>
        <w:t>In a report of</w:t>
      </w:r>
      <w:r w:rsidR="00FD58F3" w:rsidRPr="002E60EB">
        <w:rPr>
          <w:lang w:val="en-US"/>
        </w:rPr>
        <w:t xml:space="preserve"> September 17, 1996</w:t>
      </w:r>
      <w:r w:rsidRPr="002E60EB">
        <w:rPr>
          <w:lang w:val="en-US"/>
        </w:rPr>
        <w:t>,</w:t>
      </w:r>
      <w:r w:rsidR="00FD58F3" w:rsidRPr="002E60EB">
        <w:rPr>
          <w:lang w:val="en-US"/>
        </w:rPr>
        <w:t xml:space="preserve"> two </w:t>
      </w:r>
      <w:r w:rsidR="00087093" w:rsidRPr="002E60EB">
        <w:rPr>
          <w:lang w:val="en-US"/>
        </w:rPr>
        <w:t>“</w:t>
      </w:r>
      <w:r w:rsidR="00FD58F3" w:rsidRPr="002E60EB">
        <w:rPr>
          <w:lang w:val="en-US"/>
        </w:rPr>
        <w:t>commissioned offic</w:t>
      </w:r>
      <w:r w:rsidRPr="002E60EB">
        <w:rPr>
          <w:lang w:val="en-US"/>
        </w:rPr>
        <w:t>ers</w:t>
      </w:r>
      <w:r w:rsidR="00087093" w:rsidRPr="002E60EB">
        <w:rPr>
          <w:lang w:val="en-US"/>
        </w:rPr>
        <w:t>”</w:t>
      </w:r>
      <w:r w:rsidR="00FD58F3" w:rsidRPr="002E60EB">
        <w:rPr>
          <w:lang w:val="en-US"/>
        </w:rPr>
        <w:t xml:space="preserve"> informed the </w:t>
      </w:r>
      <w:r w:rsidRPr="002E60EB">
        <w:rPr>
          <w:lang w:val="en-US"/>
        </w:rPr>
        <w:t xml:space="preserve">Coordinator </w:t>
      </w:r>
      <w:r w:rsidR="00FD58F3" w:rsidRPr="002E60EB">
        <w:rPr>
          <w:lang w:val="en-US"/>
        </w:rPr>
        <w:t>of the Human Rights Unit of the National Special Investigations</w:t>
      </w:r>
      <w:r w:rsidRPr="002E60EB">
        <w:rPr>
          <w:lang w:val="en-US"/>
        </w:rPr>
        <w:t xml:space="preserve"> Directorate</w:t>
      </w:r>
      <w:r w:rsidR="00FD58F3" w:rsidRPr="002E60EB">
        <w:rPr>
          <w:lang w:val="en-US"/>
        </w:rPr>
        <w:t xml:space="preserve"> of the Attorney General</w:t>
      </w:r>
      <w:r w:rsidRPr="002E60EB">
        <w:rPr>
          <w:lang w:val="en-US"/>
        </w:rPr>
        <w:t xml:space="preserve">’s Office </w:t>
      </w:r>
      <w:r w:rsidR="00FD58F3" w:rsidRPr="002E60EB">
        <w:rPr>
          <w:lang w:val="en-US"/>
        </w:rPr>
        <w:t>of the results of the interview with Mr. Vélez Restrepo and his wife</w:t>
      </w:r>
      <w:r w:rsidR="00476F1E" w:rsidRPr="002E60EB">
        <w:rPr>
          <w:lang w:val="en-US"/>
        </w:rPr>
        <w:t>. During this interview, the latter</w:t>
      </w:r>
      <w:r w:rsidRPr="002E60EB">
        <w:rPr>
          <w:lang w:val="en-US"/>
        </w:rPr>
        <w:t xml:space="preserve"> had</w:t>
      </w:r>
      <w:r w:rsidR="00FD58F3" w:rsidRPr="002E60EB">
        <w:rPr>
          <w:lang w:val="en-US"/>
        </w:rPr>
        <w:t xml:space="preserve"> </w:t>
      </w:r>
      <w:r w:rsidR="00476F1E" w:rsidRPr="002E60EB">
        <w:rPr>
          <w:lang w:val="en-US"/>
        </w:rPr>
        <w:t>expressed</w:t>
      </w:r>
      <w:r w:rsidRPr="002E60EB">
        <w:rPr>
          <w:lang w:val="en-US"/>
        </w:rPr>
        <w:t xml:space="preserve"> </w:t>
      </w:r>
      <w:r w:rsidR="00FD58F3" w:rsidRPr="002E60EB">
        <w:rPr>
          <w:lang w:val="en-US"/>
        </w:rPr>
        <w:t xml:space="preserve">their concern about </w:t>
      </w:r>
      <w:r w:rsidR="00087093" w:rsidRPr="002E60EB">
        <w:rPr>
          <w:lang w:val="en-US"/>
        </w:rPr>
        <w:t>“</w:t>
      </w:r>
      <w:r w:rsidRPr="002E60EB">
        <w:rPr>
          <w:lang w:val="en-US"/>
        </w:rPr>
        <w:t>incidents</w:t>
      </w:r>
      <w:r w:rsidR="00FD58F3" w:rsidRPr="002E60EB">
        <w:rPr>
          <w:lang w:val="en-US"/>
        </w:rPr>
        <w:t xml:space="preserve"> that [had been] occur[ring] at their place of residence, such as the presence of </w:t>
      </w:r>
      <w:r w:rsidRPr="002E60EB">
        <w:rPr>
          <w:lang w:val="en-US"/>
        </w:rPr>
        <w:t xml:space="preserve">individuals </w:t>
      </w:r>
      <w:r w:rsidR="00FD58F3" w:rsidRPr="002E60EB">
        <w:rPr>
          <w:lang w:val="en-US"/>
        </w:rPr>
        <w:t>asking about their daily activities</w:t>
      </w:r>
      <w:r w:rsidR="00476F1E" w:rsidRPr="002E60EB">
        <w:rPr>
          <w:lang w:val="en-US"/>
        </w:rPr>
        <w:t>,</w:t>
      </w:r>
      <w:r w:rsidR="00087093" w:rsidRPr="002E60EB">
        <w:rPr>
          <w:lang w:val="en-US"/>
        </w:rPr>
        <w:t>”</w:t>
      </w:r>
      <w:r w:rsidR="00FD58F3" w:rsidRPr="002E60EB">
        <w:rPr>
          <w:lang w:val="en-US"/>
        </w:rPr>
        <w:t xml:space="preserve"> and </w:t>
      </w:r>
      <w:r w:rsidRPr="002E60EB">
        <w:rPr>
          <w:lang w:val="en-US"/>
        </w:rPr>
        <w:t>Mrs. Román Amariles</w:t>
      </w:r>
      <w:r w:rsidR="00FD58F3" w:rsidRPr="002E60EB">
        <w:rPr>
          <w:lang w:val="en-US"/>
        </w:rPr>
        <w:t xml:space="preserve"> also referred to </w:t>
      </w:r>
      <w:r w:rsidR="00087093" w:rsidRPr="002E60EB">
        <w:rPr>
          <w:lang w:val="en-US"/>
        </w:rPr>
        <w:t>“</w:t>
      </w:r>
      <w:r w:rsidR="00FD58F3" w:rsidRPr="002E60EB">
        <w:rPr>
          <w:lang w:val="en-US"/>
        </w:rPr>
        <w:t xml:space="preserve">the presence of […] </w:t>
      </w:r>
      <w:r w:rsidRPr="002E60EB">
        <w:rPr>
          <w:lang w:val="en-US"/>
        </w:rPr>
        <w:t>unknown individuals in</w:t>
      </w:r>
      <w:r w:rsidR="00FD58F3" w:rsidRPr="002E60EB">
        <w:rPr>
          <w:lang w:val="en-US"/>
        </w:rPr>
        <w:t xml:space="preserve"> their home, who </w:t>
      </w:r>
      <w:r w:rsidRPr="002E60EB">
        <w:rPr>
          <w:lang w:val="en-US"/>
        </w:rPr>
        <w:t>arrived in</w:t>
      </w:r>
      <w:r w:rsidR="00FD58F3" w:rsidRPr="002E60EB">
        <w:rPr>
          <w:lang w:val="en-US"/>
        </w:rPr>
        <w:t xml:space="preserve"> a red vehicle</w:t>
      </w:r>
      <w:r w:rsidRPr="002E60EB">
        <w:rPr>
          <w:lang w:val="en-US"/>
        </w:rPr>
        <w:t>,</w:t>
      </w:r>
      <w:r w:rsidR="00087093" w:rsidRPr="002E60EB">
        <w:rPr>
          <w:lang w:val="en-US"/>
        </w:rPr>
        <w:t>”</w:t>
      </w:r>
      <w:r w:rsidR="00FD58F3" w:rsidRPr="002E60EB">
        <w:rPr>
          <w:lang w:val="en-US"/>
        </w:rPr>
        <w:t xml:space="preserve"> and</w:t>
      </w:r>
      <w:r w:rsidRPr="002E60EB">
        <w:rPr>
          <w:lang w:val="en-US"/>
        </w:rPr>
        <w:t xml:space="preserve"> who</w:t>
      </w:r>
      <w:r w:rsidR="00FD58F3" w:rsidRPr="002E60EB">
        <w:rPr>
          <w:lang w:val="en-US"/>
        </w:rPr>
        <w:t xml:space="preserve"> asked about Mr. Vélez</w:t>
      </w:r>
      <w:r w:rsidRPr="002E60EB">
        <w:rPr>
          <w:lang w:val="en-US"/>
        </w:rPr>
        <w:t xml:space="preserve"> Restrepo</w:t>
      </w:r>
      <w:r w:rsidR="00FD58F3" w:rsidRPr="002E60EB">
        <w:rPr>
          <w:lang w:val="en-US"/>
        </w:rPr>
        <w:t xml:space="preserve">’s routine and </w:t>
      </w:r>
      <w:r w:rsidR="00087093" w:rsidRPr="002E60EB">
        <w:rPr>
          <w:lang w:val="en-US"/>
        </w:rPr>
        <w:t>“</w:t>
      </w:r>
      <w:r w:rsidRPr="002E60EB">
        <w:rPr>
          <w:lang w:val="en-US"/>
        </w:rPr>
        <w:t xml:space="preserve">said that </w:t>
      </w:r>
      <w:r w:rsidR="00FD58F3" w:rsidRPr="002E60EB">
        <w:rPr>
          <w:lang w:val="en-US"/>
        </w:rPr>
        <w:t>they were f</w:t>
      </w:r>
      <w:r w:rsidRPr="002E60EB">
        <w:rPr>
          <w:lang w:val="en-US"/>
        </w:rPr>
        <w:t>rom</w:t>
      </w:r>
      <w:r w:rsidR="00FD58F3" w:rsidRPr="002E60EB">
        <w:rPr>
          <w:lang w:val="en-US"/>
        </w:rPr>
        <w:t xml:space="preserve"> the Attorney General’s Office.</w:t>
      </w:r>
      <w:r w:rsidR="00087093" w:rsidRPr="002E60EB">
        <w:rPr>
          <w:lang w:val="en-US"/>
        </w:rPr>
        <w:t>”</w:t>
      </w:r>
      <w:r w:rsidRPr="002E60EB">
        <w:rPr>
          <w:lang w:val="en-US"/>
        </w:rPr>
        <w:t xml:space="preserve"> In this report, the said officials recommended to the Coordinator of the Huma</w:t>
      </w:r>
      <w:r w:rsidR="0014678F" w:rsidRPr="002E60EB">
        <w:rPr>
          <w:lang w:val="en-US"/>
        </w:rPr>
        <w:t>n Rights Unit that “he forward</w:t>
      </w:r>
      <w:r w:rsidRPr="002E60EB">
        <w:rPr>
          <w:lang w:val="en-US"/>
        </w:rPr>
        <w:t xml:space="preserve"> to the Prosecutor General’s Office or else to the Administrat</w:t>
      </w:r>
      <w:r w:rsidR="0014678F" w:rsidRPr="002E60EB">
        <w:rPr>
          <w:lang w:val="en-US"/>
        </w:rPr>
        <w:t>ive Department of Security (DAS)</w:t>
      </w:r>
      <w:r w:rsidRPr="002E60EB">
        <w:rPr>
          <w:lang w:val="en-US"/>
        </w:rPr>
        <w:t>”</w:t>
      </w:r>
      <w:r w:rsidR="0014678F" w:rsidRPr="002E60EB">
        <w:rPr>
          <w:lang w:val="en-US"/>
        </w:rPr>
        <w:t xml:space="preserve"> </w:t>
      </w:r>
      <w:r w:rsidR="00476F1E" w:rsidRPr="002E60EB">
        <w:rPr>
          <w:lang w:val="en-US"/>
        </w:rPr>
        <w:t xml:space="preserve">this information on the situation of the </w:t>
      </w:r>
      <w:r w:rsidR="00476F1E" w:rsidRPr="002E60EB">
        <w:rPr>
          <w:rFonts w:cs="Arial"/>
          <w:lang w:val="en-US"/>
        </w:rPr>
        <w:t>Vélez Román family so that</w:t>
      </w:r>
      <w:r w:rsidR="0014678F" w:rsidRPr="002E60EB">
        <w:rPr>
          <w:rFonts w:cs="Arial"/>
          <w:lang w:val="en-US"/>
        </w:rPr>
        <w:t xml:space="preserve"> </w:t>
      </w:r>
      <w:r w:rsidR="00476F1E" w:rsidRPr="002E60EB">
        <w:rPr>
          <w:rFonts w:cs="Arial"/>
          <w:lang w:val="en-US"/>
        </w:rPr>
        <w:t>one of these institutions could provide them with protection</w:t>
      </w:r>
      <w:r w:rsidR="0014678F" w:rsidRPr="002E60EB">
        <w:rPr>
          <w:rFonts w:cs="Arial"/>
          <w:lang w:val="en-US"/>
        </w:rPr>
        <w:t>. On September 24, 1996, the Director of the Human Rights Unit of the Attorney General’s Office signed a note addressed to the Director of the DAS, informing him of Mr.</w:t>
      </w:r>
      <w:r w:rsidRPr="002E60EB">
        <w:rPr>
          <w:rFonts w:cs="Arial"/>
          <w:lang w:val="en-US"/>
        </w:rPr>
        <w:t xml:space="preserve"> Vélez Restrepo</w:t>
      </w:r>
      <w:r w:rsidR="0014678F" w:rsidRPr="002E60EB">
        <w:rPr>
          <w:rFonts w:cs="Arial"/>
          <w:lang w:val="en-US"/>
        </w:rPr>
        <w:t>’s situation</w:t>
      </w:r>
      <w:r w:rsidRPr="002E60EB">
        <w:rPr>
          <w:rFonts w:cs="Arial"/>
          <w:lang w:val="en-US"/>
        </w:rPr>
        <w:t xml:space="preserve"> “</w:t>
      </w:r>
      <w:r w:rsidR="0014678F" w:rsidRPr="002E60EB">
        <w:rPr>
          <w:rFonts w:cs="Arial"/>
          <w:lang w:val="en-US"/>
        </w:rPr>
        <w:t xml:space="preserve">for the </w:t>
      </w:r>
      <w:r w:rsidR="00476F1E" w:rsidRPr="002E60EB">
        <w:rPr>
          <w:rFonts w:cs="Arial"/>
          <w:lang w:val="en-US"/>
        </w:rPr>
        <w:t>effects</w:t>
      </w:r>
      <w:r w:rsidR="0014678F" w:rsidRPr="002E60EB">
        <w:rPr>
          <w:rFonts w:cs="Arial"/>
          <w:lang w:val="en-US"/>
        </w:rPr>
        <w:t xml:space="preserve"> that </w:t>
      </w:r>
      <w:r w:rsidR="00394DAE" w:rsidRPr="002E60EB">
        <w:rPr>
          <w:rFonts w:cs="Arial"/>
          <w:lang w:val="en-US"/>
        </w:rPr>
        <w:t>your Department may consider</w:t>
      </w:r>
      <w:r w:rsidR="0014678F" w:rsidRPr="002E60EB">
        <w:rPr>
          <w:rFonts w:cs="Arial"/>
          <w:lang w:val="en-US"/>
        </w:rPr>
        <w:t xml:space="preserve"> pertinent.</w:t>
      </w:r>
      <w:r w:rsidRPr="002E60EB">
        <w:rPr>
          <w:rFonts w:cs="Arial"/>
          <w:lang w:val="en-US"/>
        </w:rPr>
        <w:t>”</w:t>
      </w:r>
      <w:r w:rsidRPr="002E60EB">
        <w:rPr>
          <w:rStyle w:val="Refdenotaalpie"/>
          <w:rFonts w:cs="Arial"/>
          <w:lang w:val="en-US"/>
        </w:rPr>
        <w:footnoteReference w:id="130"/>
      </w:r>
    </w:p>
    <w:p w:rsidR="006B70FE" w:rsidRPr="002E60EB" w:rsidRDefault="006B70FE" w:rsidP="006B70FE">
      <w:pPr>
        <w:tabs>
          <w:tab w:val="left" w:pos="720"/>
        </w:tabs>
        <w:autoSpaceDE w:val="0"/>
        <w:autoSpaceDN w:val="0"/>
        <w:adjustRightInd w:val="0"/>
        <w:jc w:val="both"/>
        <w:rPr>
          <w:sz w:val="16"/>
          <w:szCs w:val="16"/>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October 6, 1997</w:t>
      </w:r>
      <w:r w:rsidR="00476F1E" w:rsidRPr="002E60EB">
        <w:rPr>
          <w:rFonts w:eastAsia="Calibri" w:cs="Arial"/>
          <w:sz w:val="20"/>
          <w:szCs w:val="20"/>
          <w:lang w:val="en-US"/>
        </w:rPr>
        <w:t>,</w:t>
      </w:r>
      <w:r w:rsidRPr="002E60EB">
        <w:rPr>
          <w:rFonts w:eastAsia="Calibri" w:cs="Arial"/>
          <w:sz w:val="20"/>
          <w:szCs w:val="20"/>
          <w:lang w:val="en-US"/>
        </w:rPr>
        <w:t xml:space="preserve"> the Attorney General</w:t>
      </w:r>
      <w:r w:rsidR="004248E1" w:rsidRPr="002E60EB">
        <w:rPr>
          <w:rFonts w:eastAsia="Calibri" w:cs="Arial"/>
          <w:sz w:val="20"/>
          <w:szCs w:val="20"/>
          <w:lang w:val="en-US"/>
        </w:rPr>
        <w:t>’s Office</w:t>
      </w:r>
      <w:r w:rsidRPr="002E60EB">
        <w:rPr>
          <w:rFonts w:eastAsia="Calibri" w:cs="Arial"/>
          <w:sz w:val="20"/>
          <w:szCs w:val="20"/>
          <w:lang w:val="en-US"/>
        </w:rPr>
        <w:t xml:space="preserve"> received a brief dated September 29, 1997</w:t>
      </w:r>
      <w:r w:rsidR="004248E1" w:rsidRPr="002E60EB">
        <w:rPr>
          <w:rFonts w:eastAsia="Calibri" w:cs="Arial"/>
          <w:sz w:val="20"/>
          <w:szCs w:val="20"/>
          <w:lang w:val="en-US"/>
        </w:rPr>
        <w:t>, in</w:t>
      </w:r>
      <w:r w:rsidRPr="002E60EB">
        <w:rPr>
          <w:rFonts w:eastAsia="Calibri" w:cs="Arial"/>
          <w:sz w:val="20"/>
          <w:szCs w:val="20"/>
          <w:lang w:val="en-US"/>
        </w:rPr>
        <w:t xml:space="preserve"> which the Colombian Commission of Jurists denounced </w:t>
      </w:r>
      <w:r w:rsidR="00087093" w:rsidRPr="002E60EB">
        <w:rPr>
          <w:rFonts w:eastAsia="Calibri" w:cs="Arial"/>
          <w:sz w:val="20"/>
          <w:szCs w:val="20"/>
          <w:lang w:val="en-US"/>
        </w:rPr>
        <w:t>“</w:t>
      </w:r>
      <w:r w:rsidRPr="002E60EB">
        <w:rPr>
          <w:rFonts w:eastAsia="Calibri" w:cs="Arial"/>
          <w:sz w:val="20"/>
          <w:szCs w:val="20"/>
          <w:lang w:val="en-US"/>
        </w:rPr>
        <w:t xml:space="preserve">the situation of </w:t>
      </w:r>
      <w:r w:rsidR="004248E1" w:rsidRPr="002E60EB">
        <w:rPr>
          <w:rFonts w:eastAsia="Calibri" w:cs="Arial"/>
          <w:sz w:val="20"/>
          <w:szCs w:val="20"/>
          <w:lang w:val="en-US"/>
        </w:rPr>
        <w:t>anxiety that</w:t>
      </w:r>
      <w:r w:rsidRPr="002E60EB">
        <w:rPr>
          <w:rFonts w:eastAsia="Calibri" w:cs="Arial"/>
          <w:sz w:val="20"/>
          <w:szCs w:val="20"/>
          <w:lang w:val="en-US"/>
        </w:rPr>
        <w:t xml:space="preserve"> the cameraman of </w:t>
      </w:r>
      <w:r w:rsidR="004248E1" w:rsidRPr="002E60EB">
        <w:rPr>
          <w:rFonts w:eastAsia="Calibri" w:cs="Arial"/>
          <w:i/>
          <w:sz w:val="20"/>
          <w:szCs w:val="20"/>
          <w:lang w:val="en-US"/>
        </w:rPr>
        <w:t>Noticiero Colombia</w:t>
      </w:r>
      <w:r w:rsidRPr="002E60EB">
        <w:rPr>
          <w:rFonts w:eastAsia="Calibri" w:cs="Arial"/>
          <w:i/>
          <w:sz w:val="20"/>
          <w:szCs w:val="20"/>
          <w:lang w:val="en-US"/>
        </w:rPr>
        <w:t xml:space="preserve"> </w:t>
      </w:r>
      <w:r w:rsidR="00476F1E" w:rsidRPr="002E60EB">
        <w:rPr>
          <w:rFonts w:eastAsia="Calibri" w:cs="Arial"/>
          <w:i/>
          <w:sz w:val="20"/>
          <w:szCs w:val="20"/>
          <w:lang w:val="en-US"/>
        </w:rPr>
        <w:t>12:30</w:t>
      </w:r>
      <w:r w:rsidRPr="002E60EB">
        <w:rPr>
          <w:rFonts w:eastAsia="Calibri" w:cs="Arial"/>
          <w:sz w:val="20"/>
          <w:szCs w:val="20"/>
          <w:lang w:val="en-US"/>
        </w:rPr>
        <w:t xml:space="preserve"> [Luis Gonzalo Vélez</w:t>
      </w:r>
      <w:r w:rsidR="004248E1" w:rsidRPr="002E60EB">
        <w:rPr>
          <w:rFonts w:eastAsia="Calibri" w:cs="Arial"/>
          <w:sz w:val="20"/>
          <w:szCs w:val="20"/>
          <w:lang w:val="en-US"/>
        </w:rPr>
        <w:t xml:space="preserve"> Restrepo</w:t>
      </w:r>
      <w:r w:rsidRPr="002E60EB">
        <w:rPr>
          <w:rFonts w:eastAsia="Calibri" w:cs="Arial"/>
          <w:sz w:val="20"/>
          <w:szCs w:val="20"/>
          <w:lang w:val="en-US"/>
        </w:rPr>
        <w:t xml:space="preserve">] and his family are </w:t>
      </w:r>
      <w:r w:rsidR="004248E1" w:rsidRPr="002E60EB">
        <w:rPr>
          <w:rFonts w:eastAsia="Calibri" w:cs="Arial"/>
          <w:sz w:val="20"/>
          <w:szCs w:val="20"/>
          <w:lang w:val="en-US"/>
        </w:rPr>
        <w:t>experiencing</w:t>
      </w:r>
      <w:r w:rsidRPr="002E60EB">
        <w:rPr>
          <w:rFonts w:eastAsia="Calibri" w:cs="Arial"/>
          <w:sz w:val="20"/>
          <w:szCs w:val="20"/>
          <w:lang w:val="en-US"/>
        </w:rPr>
        <w:t>, specifically because</w:t>
      </w:r>
      <w:r w:rsidR="00476F1E" w:rsidRPr="002E60EB">
        <w:rPr>
          <w:rFonts w:eastAsia="Calibri" w:cs="Arial"/>
          <w:sz w:val="20"/>
          <w:szCs w:val="20"/>
          <w:lang w:val="en-US"/>
        </w:rPr>
        <w:t xml:space="preserve"> he is the object of harassment</w:t>
      </w:r>
      <w:r w:rsidRPr="002E60EB">
        <w:rPr>
          <w:rFonts w:eastAsia="Calibri" w:cs="Arial"/>
          <w:sz w:val="20"/>
          <w:szCs w:val="20"/>
          <w:lang w:val="en-US"/>
        </w:rPr>
        <w:t xml:space="preserve"> and threats, which he </w:t>
      </w:r>
      <w:r w:rsidR="00476F1E" w:rsidRPr="002E60EB">
        <w:rPr>
          <w:rFonts w:eastAsia="Calibri" w:cs="Arial"/>
          <w:sz w:val="20"/>
          <w:szCs w:val="20"/>
          <w:lang w:val="en-US"/>
        </w:rPr>
        <w:t>contends</w:t>
      </w:r>
      <w:r w:rsidRPr="002E60EB">
        <w:rPr>
          <w:rFonts w:eastAsia="Calibri" w:cs="Arial"/>
          <w:sz w:val="20"/>
          <w:szCs w:val="20"/>
          <w:lang w:val="en-US"/>
        </w:rPr>
        <w:t xml:space="preserve"> are related to video record</w:t>
      </w:r>
      <w:r w:rsidR="004248E1" w:rsidRPr="002E60EB">
        <w:rPr>
          <w:rFonts w:eastAsia="Calibri" w:cs="Arial"/>
          <w:sz w:val="20"/>
          <w:szCs w:val="20"/>
          <w:lang w:val="en-US"/>
        </w:rPr>
        <w:t>ings</w:t>
      </w:r>
      <w:r w:rsidRPr="002E60EB">
        <w:rPr>
          <w:rFonts w:eastAsia="Calibri" w:cs="Arial"/>
          <w:sz w:val="20"/>
          <w:szCs w:val="20"/>
          <w:lang w:val="en-US"/>
        </w:rPr>
        <w:t xml:space="preserve"> he made </w:t>
      </w:r>
      <w:r w:rsidR="004248E1" w:rsidRPr="002E60EB">
        <w:rPr>
          <w:rFonts w:eastAsia="Calibri" w:cs="Arial"/>
          <w:sz w:val="20"/>
          <w:szCs w:val="20"/>
          <w:lang w:val="en-US"/>
        </w:rPr>
        <w:t>just</w:t>
      </w:r>
      <w:r w:rsidR="00476F1E" w:rsidRPr="002E60EB">
        <w:rPr>
          <w:rFonts w:eastAsia="Calibri" w:cs="Arial"/>
          <w:sz w:val="20"/>
          <w:szCs w:val="20"/>
          <w:lang w:val="en-US"/>
        </w:rPr>
        <w:t xml:space="preserve"> this</w:t>
      </w:r>
      <w:r w:rsidR="004248E1" w:rsidRPr="002E60EB">
        <w:rPr>
          <w:rFonts w:eastAsia="Calibri" w:cs="Arial"/>
          <w:sz w:val="20"/>
          <w:szCs w:val="20"/>
          <w:lang w:val="en-US"/>
        </w:rPr>
        <w:t xml:space="preserve"> last</w:t>
      </w:r>
      <w:r w:rsidRPr="002E60EB">
        <w:rPr>
          <w:rFonts w:eastAsia="Calibri" w:cs="Arial"/>
          <w:sz w:val="20"/>
          <w:szCs w:val="20"/>
          <w:lang w:val="en-US"/>
        </w:rPr>
        <w:t xml:space="preserve"> year [</w:t>
      </w:r>
      <w:r w:rsidRPr="002E60EB">
        <w:rPr>
          <w:rFonts w:eastAsia="Calibri" w:cs="Arial"/>
          <w:i/>
          <w:sz w:val="20"/>
          <w:szCs w:val="20"/>
          <w:lang w:val="en-US"/>
        </w:rPr>
        <w:t>sic</w:t>
      </w:r>
      <w:r w:rsidRPr="002E60EB">
        <w:rPr>
          <w:rFonts w:eastAsia="Calibri" w:cs="Arial"/>
          <w:sz w:val="20"/>
          <w:szCs w:val="20"/>
          <w:lang w:val="en-US"/>
        </w:rPr>
        <w:t xml:space="preserve">] </w:t>
      </w:r>
      <w:r w:rsidR="004248E1" w:rsidRPr="002E60EB">
        <w:rPr>
          <w:rFonts w:eastAsia="Calibri" w:cs="Arial"/>
          <w:sz w:val="20"/>
          <w:szCs w:val="20"/>
          <w:lang w:val="en-US"/>
        </w:rPr>
        <w:t xml:space="preserve">while performing </w:t>
      </w:r>
      <w:r w:rsidRPr="002E60EB">
        <w:rPr>
          <w:rFonts w:eastAsia="Calibri" w:cs="Arial"/>
          <w:sz w:val="20"/>
          <w:szCs w:val="20"/>
          <w:lang w:val="en-US"/>
        </w:rPr>
        <w:t>his professional activit</w:t>
      </w:r>
      <w:r w:rsidR="004248E1" w:rsidRPr="002E60EB">
        <w:rPr>
          <w:rFonts w:eastAsia="Calibri" w:cs="Arial"/>
          <w:sz w:val="20"/>
          <w:szCs w:val="20"/>
          <w:lang w:val="en-US"/>
        </w:rPr>
        <w:t>ies</w:t>
      </w:r>
      <w:r w:rsidRPr="002E60EB">
        <w:rPr>
          <w:rFonts w:eastAsia="Calibri" w:cs="Arial"/>
          <w:sz w:val="20"/>
          <w:szCs w:val="20"/>
          <w:lang w:val="en-US"/>
        </w:rPr>
        <w:t xml:space="preserve"> and </w:t>
      </w:r>
      <w:r w:rsidR="004248E1" w:rsidRPr="002E60EB">
        <w:rPr>
          <w:rFonts w:eastAsia="Calibri" w:cs="Arial"/>
          <w:sz w:val="20"/>
          <w:szCs w:val="20"/>
          <w:lang w:val="en-US"/>
        </w:rPr>
        <w:t>during</w:t>
      </w:r>
      <w:r w:rsidRPr="002E60EB">
        <w:rPr>
          <w:rFonts w:eastAsia="Calibri" w:cs="Arial"/>
          <w:sz w:val="20"/>
          <w:szCs w:val="20"/>
          <w:lang w:val="en-US"/>
        </w:rPr>
        <w:t xml:space="preserve"> the peasant </w:t>
      </w:r>
      <w:r w:rsidR="004248E1" w:rsidRPr="002E60EB">
        <w:rPr>
          <w:rFonts w:eastAsia="Calibri" w:cs="Arial"/>
          <w:sz w:val="20"/>
          <w:szCs w:val="20"/>
          <w:lang w:val="en-US"/>
        </w:rPr>
        <w:t xml:space="preserve">marches </w:t>
      </w:r>
      <w:r w:rsidRPr="002E60EB">
        <w:rPr>
          <w:rFonts w:eastAsia="Calibri" w:cs="Arial"/>
          <w:sz w:val="20"/>
          <w:szCs w:val="20"/>
          <w:lang w:val="en-US"/>
        </w:rPr>
        <w:t xml:space="preserve">in the </w:t>
      </w:r>
      <w:r w:rsidR="004248E1" w:rsidRPr="002E60EB">
        <w:rPr>
          <w:rFonts w:eastAsia="Calibri" w:cs="Arial"/>
          <w:sz w:val="20"/>
          <w:szCs w:val="20"/>
          <w:lang w:val="en-US"/>
        </w:rPr>
        <w:t>d</w:t>
      </w:r>
      <w:r w:rsidRPr="002E60EB">
        <w:rPr>
          <w:rFonts w:eastAsia="Calibri" w:cs="Arial"/>
          <w:sz w:val="20"/>
          <w:szCs w:val="20"/>
          <w:lang w:val="en-US"/>
        </w:rPr>
        <w:t>epartment of Caquetá, material that w</w:t>
      </w:r>
      <w:r w:rsidR="004248E1" w:rsidRPr="002E60EB">
        <w:rPr>
          <w:rFonts w:eastAsia="Calibri" w:cs="Arial"/>
          <w:sz w:val="20"/>
          <w:szCs w:val="20"/>
          <w:lang w:val="en-US"/>
        </w:rPr>
        <w:t>as</w:t>
      </w:r>
      <w:r w:rsidRPr="002E60EB">
        <w:rPr>
          <w:rFonts w:eastAsia="Calibri" w:cs="Arial"/>
          <w:sz w:val="20"/>
          <w:szCs w:val="20"/>
          <w:lang w:val="en-US"/>
        </w:rPr>
        <w:t xml:space="preserve"> widely broadcast by the media and that</w:t>
      </w:r>
      <w:r w:rsidR="004248E1" w:rsidRPr="002E60EB">
        <w:rPr>
          <w:rFonts w:eastAsia="Calibri" w:cs="Arial"/>
          <w:sz w:val="20"/>
          <w:szCs w:val="20"/>
          <w:lang w:val="en-US"/>
        </w:rPr>
        <w:t xml:space="preserve"> reveals</w:t>
      </w:r>
      <w:r w:rsidRPr="002E60EB">
        <w:rPr>
          <w:rFonts w:eastAsia="Calibri" w:cs="Arial"/>
          <w:sz w:val="20"/>
          <w:szCs w:val="20"/>
          <w:lang w:val="en-US"/>
        </w:rPr>
        <w:t xml:space="preserve"> the </w:t>
      </w:r>
      <w:r w:rsidR="004248E1" w:rsidRPr="002E60EB">
        <w:rPr>
          <w:rFonts w:eastAsia="Calibri" w:cs="Arial"/>
          <w:sz w:val="20"/>
          <w:szCs w:val="20"/>
          <w:lang w:val="en-US"/>
        </w:rPr>
        <w:t>ill-treatment of</w:t>
      </w:r>
      <w:r w:rsidRPr="002E60EB">
        <w:rPr>
          <w:rFonts w:eastAsia="Calibri" w:cs="Arial"/>
          <w:sz w:val="20"/>
          <w:szCs w:val="20"/>
          <w:lang w:val="en-US"/>
        </w:rPr>
        <w:t xml:space="preserve"> the marchers and the cameraman himself</w:t>
      </w:r>
      <w:r w:rsidR="00476F1E" w:rsidRPr="002E60EB">
        <w:rPr>
          <w:rFonts w:eastAsia="Calibri" w:cs="Arial"/>
          <w:sz w:val="20"/>
          <w:szCs w:val="20"/>
          <w:lang w:val="en-US"/>
        </w:rPr>
        <w:t xml:space="preserve"> by units of the National A</w:t>
      </w:r>
      <w:r w:rsidR="004248E1" w:rsidRPr="002E60EB">
        <w:rPr>
          <w:rFonts w:eastAsia="Calibri" w:cs="Arial"/>
          <w:sz w:val="20"/>
          <w:szCs w:val="20"/>
          <w:lang w:val="en-US"/>
        </w:rPr>
        <w:t>rmy</w:t>
      </w:r>
      <w:r w:rsidRPr="002E60EB">
        <w:rPr>
          <w:rFonts w:eastAsia="Calibri" w:cs="Arial"/>
          <w:sz w:val="20"/>
          <w:szCs w:val="20"/>
          <w:lang w:val="en-US"/>
        </w:rPr>
        <w:t>.</w:t>
      </w:r>
      <w:r w:rsidR="00087093" w:rsidRPr="002E60EB">
        <w:rPr>
          <w:rFonts w:eastAsia="Calibri" w:cs="Arial"/>
          <w:sz w:val="20"/>
          <w:szCs w:val="20"/>
          <w:lang w:val="en-US"/>
        </w:rPr>
        <w:t>”</w:t>
      </w:r>
      <w:r w:rsidR="004248E1" w:rsidRPr="002E60EB">
        <w:rPr>
          <w:sz w:val="20"/>
          <w:szCs w:val="20"/>
          <w:vertAlign w:val="superscript"/>
          <w:lang w:val="en-US"/>
        </w:rPr>
        <w:footnoteReference w:id="131"/>
      </w:r>
      <w:r w:rsidRPr="002E60EB">
        <w:rPr>
          <w:rFonts w:eastAsia="Calibri" w:cs="Arial"/>
          <w:sz w:val="20"/>
          <w:szCs w:val="20"/>
          <w:lang w:val="en-US"/>
        </w:rPr>
        <w:t xml:space="preserve"> Among the facts denounced </w:t>
      </w:r>
      <w:r w:rsidR="004248E1" w:rsidRPr="002E60EB">
        <w:rPr>
          <w:rFonts w:eastAsia="Calibri" w:cs="Arial"/>
          <w:sz w:val="20"/>
          <w:szCs w:val="20"/>
          <w:lang w:val="en-US"/>
        </w:rPr>
        <w:t>we</w:t>
      </w:r>
      <w:r w:rsidRPr="002E60EB">
        <w:rPr>
          <w:rFonts w:eastAsia="Calibri" w:cs="Arial"/>
          <w:sz w:val="20"/>
          <w:szCs w:val="20"/>
          <w:lang w:val="en-US"/>
        </w:rPr>
        <w:t>re the alleged visits to the home of Mr. Vélez Restrepo by men who said they were officials of the Attorney General</w:t>
      </w:r>
      <w:r w:rsidR="004248E1" w:rsidRPr="002E60EB">
        <w:rPr>
          <w:rFonts w:eastAsia="Calibri" w:cs="Arial"/>
          <w:sz w:val="20"/>
          <w:szCs w:val="20"/>
          <w:lang w:val="en-US"/>
        </w:rPr>
        <w:t>’s Office</w:t>
      </w:r>
      <w:r w:rsidRPr="002E60EB">
        <w:rPr>
          <w:rFonts w:eastAsia="Calibri" w:cs="Arial"/>
          <w:sz w:val="20"/>
          <w:szCs w:val="20"/>
          <w:lang w:val="en-US"/>
        </w:rPr>
        <w:t xml:space="preserve"> and </w:t>
      </w:r>
      <w:r w:rsidR="00476F1E" w:rsidRPr="002E60EB">
        <w:rPr>
          <w:rFonts w:eastAsia="Calibri" w:cs="Arial"/>
          <w:sz w:val="20"/>
          <w:szCs w:val="20"/>
          <w:lang w:val="en-US"/>
        </w:rPr>
        <w:t xml:space="preserve">who </w:t>
      </w:r>
      <w:r w:rsidR="004248E1" w:rsidRPr="002E60EB">
        <w:rPr>
          <w:rFonts w:eastAsia="Calibri" w:cs="Arial"/>
          <w:sz w:val="20"/>
          <w:szCs w:val="20"/>
          <w:lang w:val="en-US"/>
        </w:rPr>
        <w:t>asked his wife for</w:t>
      </w:r>
      <w:r w:rsidRPr="002E60EB">
        <w:rPr>
          <w:rFonts w:eastAsia="Calibri" w:cs="Arial"/>
          <w:sz w:val="20"/>
          <w:szCs w:val="20"/>
          <w:lang w:val="en-US"/>
        </w:rPr>
        <w:t xml:space="preserve"> information </w:t>
      </w:r>
      <w:r w:rsidR="00476F1E" w:rsidRPr="002E60EB">
        <w:rPr>
          <w:rFonts w:eastAsia="Calibri" w:cs="Arial"/>
          <w:sz w:val="20"/>
          <w:szCs w:val="20"/>
          <w:lang w:val="en-US"/>
        </w:rPr>
        <w:t>about</w:t>
      </w:r>
      <w:r w:rsidRPr="002E60EB">
        <w:rPr>
          <w:rFonts w:eastAsia="Calibri" w:cs="Arial"/>
          <w:sz w:val="20"/>
          <w:szCs w:val="20"/>
          <w:lang w:val="en-US"/>
        </w:rPr>
        <w:t xml:space="preserve"> Mr. Vélez.</w:t>
      </w:r>
      <w:r w:rsidRPr="002E60EB">
        <w:rPr>
          <w:rStyle w:val="Refdenotaalpie"/>
          <w:rFonts w:eastAsia="Calibri" w:cs="Arial"/>
          <w:sz w:val="20"/>
          <w:szCs w:val="20"/>
          <w:lang w:val="en-US"/>
        </w:rPr>
        <w:footnoteReference w:id="132"/>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October 10, 1997</w:t>
      </w:r>
      <w:r w:rsidR="004248E1" w:rsidRPr="002E60EB">
        <w:rPr>
          <w:rFonts w:eastAsia="Calibri" w:cs="Arial"/>
          <w:sz w:val="20"/>
          <w:szCs w:val="20"/>
          <w:lang w:val="en-US"/>
        </w:rPr>
        <w:t>,</w:t>
      </w:r>
      <w:r w:rsidRPr="002E60EB">
        <w:rPr>
          <w:rFonts w:eastAsia="Calibri" w:cs="Arial"/>
          <w:sz w:val="20"/>
          <w:szCs w:val="20"/>
          <w:lang w:val="en-US"/>
        </w:rPr>
        <w:t xml:space="preserve"> the Human Rights Unit of the National Special Investigations </w:t>
      </w:r>
      <w:r w:rsidR="008D3170" w:rsidRPr="002E60EB">
        <w:rPr>
          <w:rFonts w:eastAsia="Calibri" w:cs="Arial"/>
          <w:sz w:val="20"/>
          <w:szCs w:val="20"/>
          <w:lang w:val="en-US"/>
        </w:rPr>
        <w:t xml:space="preserve">Directorate </w:t>
      </w:r>
      <w:r w:rsidRPr="002E60EB">
        <w:rPr>
          <w:rFonts w:eastAsia="Calibri" w:cs="Arial"/>
          <w:sz w:val="20"/>
          <w:szCs w:val="20"/>
          <w:lang w:val="en-US"/>
        </w:rPr>
        <w:t>of the Attorney General</w:t>
      </w:r>
      <w:r w:rsidR="008D3170" w:rsidRPr="002E60EB">
        <w:rPr>
          <w:rFonts w:eastAsia="Calibri" w:cs="Arial"/>
          <w:sz w:val="20"/>
          <w:szCs w:val="20"/>
          <w:lang w:val="en-US"/>
        </w:rPr>
        <w:t>’s Office opened</w:t>
      </w:r>
      <w:r w:rsidRPr="002E60EB">
        <w:rPr>
          <w:rFonts w:eastAsia="Calibri" w:cs="Arial"/>
          <w:sz w:val="20"/>
          <w:szCs w:val="20"/>
          <w:lang w:val="en-US"/>
        </w:rPr>
        <w:t xml:space="preserve"> the preliminary inquiry</w:t>
      </w:r>
      <w:r w:rsidR="008D3170" w:rsidRPr="002E60EB">
        <w:rPr>
          <w:rFonts w:eastAsia="Calibri" w:cs="Arial"/>
          <w:sz w:val="20"/>
          <w:szCs w:val="20"/>
          <w:lang w:val="en-US"/>
        </w:rPr>
        <w:t>. An order was given</w:t>
      </w:r>
      <w:r w:rsidRPr="002E60EB">
        <w:rPr>
          <w:rFonts w:eastAsia="Calibri" w:cs="Arial"/>
          <w:sz w:val="20"/>
          <w:szCs w:val="20"/>
          <w:lang w:val="en-US"/>
        </w:rPr>
        <w:t xml:space="preserve"> </w:t>
      </w:r>
      <w:r w:rsidR="00476F1E" w:rsidRPr="002E60EB">
        <w:rPr>
          <w:rFonts w:eastAsia="Calibri" w:cs="Arial"/>
          <w:sz w:val="20"/>
          <w:szCs w:val="20"/>
          <w:lang w:val="en-US"/>
        </w:rPr>
        <w:t>for</w:t>
      </w:r>
      <w:r w:rsidR="008D3170" w:rsidRPr="002E60EB">
        <w:rPr>
          <w:rFonts w:eastAsia="Calibri" w:cs="Arial"/>
          <w:sz w:val="20"/>
          <w:szCs w:val="20"/>
          <w:lang w:val="en-US"/>
        </w:rPr>
        <w:t xml:space="preserve"> various measures </w:t>
      </w:r>
      <w:r w:rsidR="00476F1E" w:rsidRPr="002E60EB">
        <w:rPr>
          <w:rFonts w:eastAsia="Calibri" w:cs="Arial"/>
          <w:sz w:val="20"/>
          <w:szCs w:val="20"/>
          <w:lang w:val="en-US"/>
        </w:rPr>
        <w:t xml:space="preserve">to </w:t>
      </w:r>
      <w:r w:rsidR="008D3170" w:rsidRPr="002E60EB">
        <w:rPr>
          <w:rFonts w:eastAsia="Calibri" w:cs="Arial"/>
          <w:sz w:val="20"/>
          <w:szCs w:val="20"/>
          <w:lang w:val="en-US"/>
        </w:rPr>
        <w:t xml:space="preserve">be taken, including </w:t>
      </w:r>
      <w:r w:rsidRPr="002E60EB">
        <w:rPr>
          <w:rFonts w:eastAsia="Calibri" w:cs="Arial"/>
          <w:sz w:val="20"/>
          <w:szCs w:val="20"/>
          <w:lang w:val="en-US"/>
        </w:rPr>
        <w:t xml:space="preserve">receiving the testimony </w:t>
      </w:r>
      <w:r w:rsidR="0082506C" w:rsidRPr="002E60EB">
        <w:rPr>
          <w:rFonts w:eastAsia="Calibri" w:cs="Arial"/>
          <w:sz w:val="20"/>
          <w:szCs w:val="20"/>
          <w:lang w:val="en-US"/>
        </w:rPr>
        <w:t xml:space="preserve">of Mr. Vélez Restrepo’s wife, </w:t>
      </w:r>
      <w:r w:rsidR="008D3170" w:rsidRPr="002E60EB">
        <w:rPr>
          <w:rFonts w:eastAsia="Calibri" w:cs="Arial"/>
          <w:sz w:val="20"/>
          <w:szCs w:val="20"/>
          <w:lang w:val="en-US"/>
        </w:rPr>
        <w:t>and also</w:t>
      </w:r>
      <w:r w:rsidRPr="002E60EB">
        <w:rPr>
          <w:rFonts w:eastAsia="Calibri" w:cs="Arial"/>
          <w:sz w:val="20"/>
          <w:szCs w:val="20"/>
          <w:lang w:val="en-US"/>
        </w:rPr>
        <w:t xml:space="preserve"> that </w:t>
      </w:r>
      <w:r w:rsidR="008D3170" w:rsidRPr="002E60EB">
        <w:rPr>
          <w:rFonts w:eastAsia="Calibri" w:cs="Arial"/>
          <w:sz w:val="20"/>
          <w:szCs w:val="20"/>
          <w:lang w:val="en-US"/>
        </w:rPr>
        <w:t>a</w:t>
      </w:r>
      <w:r w:rsidRPr="002E60EB">
        <w:rPr>
          <w:rFonts w:eastAsia="Calibri" w:cs="Arial"/>
          <w:sz w:val="20"/>
          <w:szCs w:val="20"/>
          <w:lang w:val="en-US"/>
        </w:rPr>
        <w:t xml:space="preserve"> morphologist intervene in </w:t>
      </w:r>
      <w:r w:rsidR="008D3170" w:rsidRPr="002E60EB">
        <w:rPr>
          <w:rFonts w:eastAsia="Calibri" w:cs="Arial"/>
          <w:sz w:val="20"/>
          <w:szCs w:val="20"/>
          <w:lang w:val="en-US"/>
        </w:rPr>
        <w:t xml:space="preserve">this procedure; </w:t>
      </w:r>
      <w:r w:rsidR="008D3170" w:rsidRPr="002E60EB">
        <w:rPr>
          <w:rFonts w:cs="Arial"/>
          <w:sz w:val="20"/>
          <w:szCs w:val="20"/>
          <w:lang w:val="en-US"/>
        </w:rPr>
        <w:t xml:space="preserve">also “to hear the testimony of the persons who have witnessed the visit of unknown individuals to the home of [the Vélez Román family].” On October 17, 1997, </w:t>
      </w:r>
      <w:r w:rsidR="00B25831" w:rsidRPr="002E60EB">
        <w:rPr>
          <w:rFonts w:cs="Arial"/>
          <w:sz w:val="20"/>
          <w:szCs w:val="20"/>
          <w:lang w:val="en-US"/>
        </w:rPr>
        <w:t>the tes</w:t>
      </w:r>
      <w:r w:rsidR="008D3170" w:rsidRPr="002E60EB">
        <w:rPr>
          <w:rFonts w:cs="Arial"/>
          <w:sz w:val="20"/>
          <w:szCs w:val="20"/>
          <w:lang w:val="en-US"/>
        </w:rPr>
        <w:t xml:space="preserve">timony of one of Mr. </w:t>
      </w:r>
      <w:r w:rsidR="008D3170" w:rsidRPr="002E60EB">
        <w:rPr>
          <w:sz w:val="20"/>
          <w:szCs w:val="20"/>
          <w:lang w:val="en-US"/>
        </w:rPr>
        <w:t>Vélez Restrepo’s colleagues was received.</w:t>
      </w:r>
      <w:r w:rsidR="008D3170" w:rsidRPr="002E60EB">
        <w:rPr>
          <w:sz w:val="20"/>
          <w:szCs w:val="20"/>
          <w:vertAlign w:val="superscript"/>
          <w:lang w:val="en-US"/>
        </w:rPr>
        <w:footnoteReference w:id="133"/>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February 2, 1998</w:t>
      </w:r>
      <w:r w:rsidR="008D3170" w:rsidRPr="002E60EB">
        <w:rPr>
          <w:rFonts w:eastAsia="Calibri" w:cs="Arial"/>
          <w:sz w:val="20"/>
          <w:szCs w:val="20"/>
          <w:lang w:val="en-US"/>
        </w:rPr>
        <w:t>,</w:t>
      </w:r>
      <w:r w:rsidRPr="002E60EB">
        <w:rPr>
          <w:rFonts w:eastAsia="Calibri" w:cs="Arial"/>
          <w:sz w:val="20"/>
          <w:szCs w:val="20"/>
          <w:lang w:val="en-US"/>
        </w:rPr>
        <w:t xml:space="preserve"> Aracelly Román Amariles </w:t>
      </w:r>
      <w:r w:rsidR="008D3170" w:rsidRPr="002E60EB">
        <w:rPr>
          <w:rFonts w:eastAsia="Calibri" w:cs="Arial"/>
          <w:sz w:val="20"/>
          <w:szCs w:val="20"/>
          <w:lang w:val="en-US"/>
        </w:rPr>
        <w:t>testified</w:t>
      </w:r>
      <w:r w:rsidRPr="002E60EB">
        <w:rPr>
          <w:rFonts w:eastAsia="Calibri" w:cs="Arial"/>
          <w:sz w:val="20"/>
          <w:szCs w:val="20"/>
          <w:lang w:val="en-US"/>
        </w:rPr>
        <w:t xml:space="preserve"> before the </w:t>
      </w:r>
      <w:r w:rsidR="008D3170" w:rsidRPr="002E60EB">
        <w:rPr>
          <w:rFonts w:eastAsia="Calibri" w:cs="Arial"/>
          <w:sz w:val="20"/>
          <w:szCs w:val="20"/>
          <w:lang w:val="en-US"/>
        </w:rPr>
        <w:t xml:space="preserve">Antioquia </w:t>
      </w:r>
      <w:r w:rsidR="006B70FE" w:rsidRPr="002E60EB">
        <w:rPr>
          <w:rFonts w:eastAsia="Calibri" w:cs="Arial"/>
          <w:sz w:val="20"/>
          <w:szCs w:val="20"/>
          <w:lang w:val="en-US"/>
        </w:rPr>
        <w:t>Branch</w:t>
      </w:r>
      <w:r w:rsidRPr="002E60EB">
        <w:rPr>
          <w:rFonts w:eastAsia="Calibri" w:cs="Arial"/>
          <w:sz w:val="20"/>
          <w:szCs w:val="20"/>
          <w:lang w:val="en-US"/>
        </w:rPr>
        <w:t xml:space="preserve"> Office of the </w:t>
      </w:r>
      <w:r w:rsidR="0082506C" w:rsidRPr="002E60EB">
        <w:rPr>
          <w:rFonts w:eastAsia="Calibri" w:cs="Arial"/>
          <w:sz w:val="20"/>
          <w:szCs w:val="20"/>
          <w:lang w:val="en-US"/>
        </w:rPr>
        <w:t>National Special Investig</w:t>
      </w:r>
      <w:r w:rsidR="008D3170" w:rsidRPr="002E60EB">
        <w:rPr>
          <w:rFonts w:eastAsia="Calibri" w:cs="Arial"/>
          <w:sz w:val="20"/>
          <w:szCs w:val="20"/>
          <w:lang w:val="en-US"/>
        </w:rPr>
        <w:t>ations Directorate</w:t>
      </w:r>
      <w:r w:rsidRPr="002E60EB">
        <w:rPr>
          <w:rFonts w:eastAsia="Calibri" w:cs="Arial"/>
          <w:sz w:val="20"/>
          <w:szCs w:val="20"/>
          <w:lang w:val="en-US"/>
        </w:rPr>
        <w:t xml:space="preserve"> of the </w:t>
      </w:r>
      <w:r w:rsidR="008D3170" w:rsidRPr="002E60EB">
        <w:rPr>
          <w:rFonts w:eastAsia="Calibri" w:cs="Arial"/>
          <w:sz w:val="20"/>
          <w:szCs w:val="20"/>
          <w:lang w:val="en-US"/>
        </w:rPr>
        <w:t>Attorney General’s Office</w:t>
      </w:r>
      <w:r w:rsidRPr="002E60EB">
        <w:rPr>
          <w:rFonts w:eastAsia="Calibri" w:cs="Arial"/>
          <w:sz w:val="20"/>
          <w:szCs w:val="20"/>
          <w:lang w:val="en-US"/>
        </w:rPr>
        <w:t xml:space="preserve">. Mrs. Román Amariles </w:t>
      </w:r>
      <w:r w:rsidR="008D3170" w:rsidRPr="002E60EB">
        <w:rPr>
          <w:rFonts w:eastAsia="Calibri" w:cs="Arial"/>
          <w:sz w:val="20"/>
          <w:szCs w:val="20"/>
          <w:lang w:val="en-US"/>
        </w:rPr>
        <w:t xml:space="preserve">referred to </w:t>
      </w:r>
      <w:r w:rsidRPr="002E60EB">
        <w:rPr>
          <w:rFonts w:eastAsia="Calibri" w:cs="Arial"/>
          <w:sz w:val="20"/>
          <w:szCs w:val="20"/>
          <w:lang w:val="en-US"/>
        </w:rPr>
        <w:t xml:space="preserve">two visits made to her home in September 1996 and September 1997 by men who said they were members of the Attorney General’s Office but </w:t>
      </w:r>
      <w:r w:rsidR="002A2097" w:rsidRPr="002E60EB">
        <w:rPr>
          <w:rFonts w:eastAsia="Calibri" w:cs="Arial"/>
          <w:sz w:val="20"/>
          <w:szCs w:val="20"/>
          <w:lang w:val="en-US"/>
        </w:rPr>
        <w:t xml:space="preserve">who failed to </w:t>
      </w:r>
      <w:r w:rsidRPr="002E60EB">
        <w:rPr>
          <w:rFonts w:eastAsia="Calibri" w:cs="Arial"/>
          <w:sz w:val="20"/>
          <w:szCs w:val="20"/>
          <w:lang w:val="en-US"/>
        </w:rPr>
        <w:t>present any identification</w:t>
      </w:r>
      <w:r w:rsidR="002A2097" w:rsidRPr="002E60EB">
        <w:rPr>
          <w:rFonts w:eastAsia="Calibri" w:cs="Arial"/>
          <w:sz w:val="20"/>
          <w:szCs w:val="20"/>
          <w:lang w:val="en-US"/>
        </w:rPr>
        <w:t xml:space="preserve"> to</w:t>
      </w:r>
      <w:r w:rsidRPr="002E60EB">
        <w:rPr>
          <w:rFonts w:eastAsia="Calibri" w:cs="Arial"/>
          <w:sz w:val="20"/>
          <w:szCs w:val="20"/>
          <w:lang w:val="en-US"/>
        </w:rPr>
        <w:t xml:space="preserve"> prov</w:t>
      </w:r>
      <w:r w:rsidR="002A2097" w:rsidRPr="002E60EB">
        <w:rPr>
          <w:rFonts w:eastAsia="Calibri" w:cs="Arial"/>
          <w:sz w:val="20"/>
          <w:szCs w:val="20"/>
          <w:lang w:val="en-US"/>
        </w:rPr>
        <w:t>e</w:t>
      </w:r>
      <w:r w:rsidRPr="002E60EB">
        <w:rPr>
          <w:rFonts w:eastAsia="Calibri" w:cs="Arial"/>
          <w:sz w:val="20"/>
          <w:szCs w:val="20"/>
          <w:lang w:val="en-US"/>
        </w:rPr>
        <w:t xml:space="preserve"> </w:t>
      </w:r>
      <w:r w:rsidR="002A2097" w:rsidRPr="002E60EB">
        <w:rPr>
          <w:rFonts w:eastAsia="Calibri" w:cs="Arial"/>
          <w:sz w:val="20"/>
          <w:szCs w:val="20"/>
          <w:lang w:val="en-US"/>
        </w:rPr>
        <w:t>this</w:t>
      </w:r>
      <w:r w:rsidRPr="002E60EB">
        <w:rPr>
          <w:rFonts w:eastAsia="Calibri" w:cs="Arial"/>
          <w:sz w:val="20"/>
          <w:szCs w:val="20"/>
          <w:lang w:val="en-US"/>
        </w:rPr>
        <w:t xml:space="preserve">. </w:t>
      </w:r>
      <w:r w:rsidR="002A2097" w:rsidRPr="002E60EB">
        <w:rPr>
          <w:rFonts w:eastAsia="Calibri" w:cs="Arial"/>
          <w:sz w:val="20"/>
          <w:szCs w:val="20"/>
          <w:lang w:val="en-US"/>
        </w:rPr>
        <w:t>The</w:t>
      </w:r>
      <w:r w:rsidRPr="002E60EB">
        <w:rPr>
          <w:rFonts w:eastAsia="Calibri" w:cs="Arial"/>
          <w:sz w:val="20"/>
          <w:szCs w:val="20"/>
          <w:lang w:val="en-US"/>
        </w:rPr>
        <w:t xml:space="preserve"> deponent </w:t>
      </w:r>
      <w:r w:rsidR="002A2097" w:rsidRPr="002E60EB">
        <w:rPr>
          <w:rFonts w:eastAsia="Calibri" w:cs="Arial"/>
          <w:sz w:val="20"/>
          <w:szCs w:val="20"/>
          <w:lang w:val="en-US"/>
        </w:rPr>
        <w:t xml:space="preserve">also </w:t>
      </w:r>
      <w:r w:rsidRPr="002E60EB">
        <w:rPr>
          <w:rFonts w:eastAsia="Calibri" w:cs="Arial"/>
          <w:sz w:val="20"/>
          <w:szCs w:val="20"/>
          <w:lang w:val="en-US"/>
        </w:rPr>
        <w:t xml:space="preserve">described one of the men who made </w:t>
      </w:r>
      <w:r w:rsidR="002A2097" w:rsidRPr="002E60EB">
        <w:rPr>
          <w:rFonts w:eastAsia="Calibri" w:cs="Arial"/>
          <w:sz w:val="20"/>
          <w:szCs w:val="20"/>
          <w:lang w:val="en-US"/>
        </w:rPr>
        <w:t xml:space="preserve">the </w:t>
      </w:r>
      <w:r w:rsidRPr="002E60EB">
        <w:rPr>
          <w:rFonts w:eastAsia="Calibri" w:cs="Arial"/>
          <w:sz w:val="20"/>
          <w:szCs w:val="20"/>
          <w:lang w:val="en-US"/>
        </w:rPr>
        <w:t xml:space="preserve">said visit, so that the morphology </w:t>
      </w:r>
      <w:r w:rsidR="0082506C" w:rsidRPr="002E60EB">
        <w:rPr>
          <w:rFonts w:eastAsia="Calibri" w:cs="Arial"/>
          <w:sz w:val="20"/>
          <w:szCs w:val="20"/>
          <w:lang w:val="en-US"/>
        </w:rPr>
        <w:t>expert</w:t>
      </w:r>
      <w:r w:rsidRPr="002E60EB">
        <w:rPr>
          <w:rFonts w:eastAsia="Calibri" w:cs="Arial"/>
          <w:sz w:val="20"/>
          <w:szCs w:val="20"/>
          <w:lang w:val="en-US"/>
        </w:rPr>
        <w:t xml:space="preserve"> of the </w:t>
      </w:r>
      <w:r w:rsidR="002A2097" w:rsidRPr="002E60EB">
        <w:rPr>
          <w:rFonts w:eastAsia="Calibri" w:cs="Arial"/>
          <w:sz w:val="20"/>
          <w:szCs w:val="20"/>
          <w:lang w:val="en-US"/>
        </w:rPr>
        <w:t>Technical Investigation Unit</w:t>
      </w:r>
      <w:r w:rsidRPr="002E60EB">
        <w:rPr>
          <w:rFonts w:eastAsia="Calibri" w:cs="Arial"/>
          <w:sz w:val="20"/>
          <w:szCs w:val="20"/>
          <w:lang w:val="en-US"/>
        </w:rPr>
        <w:t xml:space="preserve"> of the Prosecutor’s Office could </w:t>
      </w:r>
      <w:r w:rsidR="002A2097" w:rsidRPr="002E60EB">
        <w:rPr>
          <w:rFonts w:eastAsia="Calibri" w:cs="Arial"/>
          <w:sz w:val="20"/>
          <w:szCs w:val="20"/>
          <w:lang w:val="en-US"/>
        </w:rPr>
        <w:t>prepare his</w:t>
      </w:r>
      <w:r w:rsidRPr="002E60EB">
        <w:rPr>
          <w:rFonts w:eastAsia="Calibri" w:cs="Arial"/>
          <w:sz w:val="20"/>
          <w:szCs w:val="20"/>
          <w:lang w:val="en-US"/>
        </w:rPr>
        <w:t xml:space="preserve"> spoken portrait.</w:t>
      </w:r>
      <w:r w:rsidR="002A2097" w:rsidRPr="002E60EB">
        <w:rPr>
          <w:sz w:val="20"/>
          <w:szCs w:val="20"/>
          <w:vertAlign w:val="superscript"/>
          <w:lang w:val="en-US"/>
        </w:rPr>
        <w:footnoteReference w:id="134"/>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July 10, 1998</w:t>
      </w:r>
      <w:r w:rsidR="0082506C" w:rsidRPr="002E60EB">
        <w:rPr>
          <w:rFonts w:eastAsia="Calibri" w:cs="Arial"/>
          <w:sz w:val="20"/>
          <w:szCs w:val="20"/>
          <w:lang w:val="en-US"/>
        </w:rPr>
        <w:t>,</w:t>
      </w:r>
      <w:r w:rsidRPr="002E60EB">
        <w:rPr>
          <w:rFonts w:eastAsia="Calibri" w:cs="Arial"/>
          <w:sz w:val="20"/>
          <w:szCs w:val="20"/>
          <w:lang w:val="en-US"/>
        </w:rPr>
        <w:t xml:space="preserve"> the Human Rights Unit of the </w:t>
      </w:r>
      <w:r w:rsidR="008D3170" w:rsidRPr="002E60EB">
        <w:rPr>
          <w:rFonts w:eastAsia="Calibri" w:cs="Arial"/>
          <w:sz w:val="20"/>
          <w:szCs w:val="20"/>
          <w:lang w:val="en-US"/>
        </w:rPr>
        <w:t xml:space="preserve">National Special </w:t>
      </w:r>
      <w:r w:rsidR="0082506C" w:rsidRPr="002E60EB">
        <w:rPr>
          <w:rFonts w:eastAsia="Calibri" w:cs="Arial"/>
          <w:sz w:val="20"/>
          <w:szCs w:val="20"/>
          <w:lang w:val="en-US"/>
        </w:rPr>
        <w:t>Investigations</w:t>
      </w:r>
      <w:r w:rsidR="008D3170" w:rsidRPr="002E60EB">
        <w:rPr>
          <w:rFonts w:eastAsia="Calibri" w:cs="Arial"/>
          <w:sz w:val="20"/>
          <w:szCs w:val="20"/>
          <w:lang w:val="en-US"/>
        </w:rPr>
        <w:t xml:space="preserve"> Directorate</w:t>
      </w:r>
      <w:r w:rsidRPr="002E60EB">
        <w:rPr>
          <w:rFonts w:eastAsia="Calibri" w:cs="Arial"/>
          <w:sz w:val="20"/>
          <w:szCs w:val="20"/>
          <w:lang w:val="en-US"/>
        </w:rPr>
        <w:t xml:space="preserve"> of the </w:t>
      </w:r>
      <w:r w:rsidR="008D3170" w:rsidRPr="002E60EB">
        <w:rPr>
          <w:rFonts w:eastAsia="Calibri" w:cs="Arial"/>
          <w:sz w:val="20"/>
          <w:szCs w:val="20"/>
          <w:lang w:val="en-US"/>
        </w:rPr>
        <w:t>Attorney General’s Office</w:t>
      </w:r>
      <w:r w:rsidRPr="002E60EB">
        <w:rPr>
          <w:rFonts w:eastAsia="Calibri" w:cs="Arial"/>
          <w:sz w:val="20"/>
          <w:szCs w:val="20"/>
          <w:lang w:val="en-US"/>
        </w:rPr>
        <w:t xml:space="preserve"> prepared an </w:t>
      </w:r>
      <w:r w:rsidR="00087093" w:rsidRPr="002E60EB">
        <w:rPr>
          <w:rFonts w:eastAsia="Calibri" w:cs="Arial"/>
          <w:sz w:val="20"/>
          <w:szCs w:val="20"/>
          <w:lang w:val="en-US"/>
        </w:rPr>
        <w:t>“</w:t>
      </w:r>
      <w:r w:rsidRPr="002E60EB">
        <w:rPr>
          <w:rFonts w:eastAsia="Calibri" w:cs="Arial"/>
          <w:sz w:val="20"/>
          <w:szCs w:val="20"/>
          <w:lang w:val="en-US"/>
        </w:rPr>
        <w:t xml:space="preserve">evaluative report on </w:t>
      </w:r>
      <w:r w:rsidR="002A2097" w:rsidRPr="002E60EB">
        <w:rPr>
          <w:rFonts w:eastAsia="Calibri" w:cs="Arial"/>
          <w:sz w:val="20"/>
          <w:szCs w:val="20"/>
          <w:lang w:val="en-US"/>
        </w:rPr>
        <w:t>[</w:t>
      </w:r>
      <w:r w:rsidRPr="002E60EB">
        <w:rPr>
          <w:rFonts w:eastAsia="Calibri" w:cs="Arial"/>
          <w:sz w:val="20"/>
          <w:szCs w:val="20"/>
          <w:lang w:val="en-US"/>
        </w:rPr>
        <w:t>the</w:t>
      </w:r>
      <w:r w:rsidR="002A2097" w:rsidRPr="002E60EB">
        <w:rPr>
          <w:rFonts w:eastAsia="Calibri" w:cs="Arial"/>
          <w:sz w:val="20"/>
          <w:szCs w:val="20"/>
          <w:lang w:val="en-US"/>
        </w:rPr>
        <w:t>]</w:t>
      </w:r>
      <w:r w:rsidRPr="002E60EB">
        <w:rPr>
          <w:rFonts w:eastAsia="Calibri" w:cs="Arial"/>
          <w:sz w:val="20"/>
          <w:szCs w:val="20"/>
          <w:lang w:val="en-US"/>
        </w:rPr>
        <w:t xml:space="preserve"> preliminary inquiry,</w:t>
      </w:r>
      <w:r w:rsidR="00087093" w:rsidRPr="002E60EB">
        <w:rPr>
          <w:rFonts w:eastAsia="Calibri" w:cs="Arial"/>
          <w:sz w:val="20"/>
          <w:szCs w:val="20"/>
          <w:lang w:val="en-US"/>
        </w:rPr>
        <w:t>”</w:t>
      </w:r>
      <w:r w:rsidRPr="002E60EB">
        <w:rPr>
          <w:rFonts w:eastAsia="Calibri" w:cs="Arial"/>
          <w:sz w:val="20"/>
          <w:szCs w:val="20"/>
          <w:lang w:val="en-US"/>
        </w:rPr>
        <w:t xml:space="preserve"> in which it recommended </w:t>
      </w:r>
      <w:r w:rsidR="00087093" w:rsidRPr="002E60EB">
        <w:rPr>
          <w:rFonts w:eastAsia="Calibri" w:cs="Arial"/>
          <w:sz w:val="20"/>
          <w:szCs w:val="20"/>
          <w:lang w:val="en-US"/>
        </w:rPr>
        <w:t>“</w:t>
      </w:r>
      <w:r w:rsidRPr="002E60EB">
        <w:rPr>
          <w:rFonts w:eastAsia="Calibri" w:cs="Arial"/>
          <w:sz w:val="20"/>
          <w:szCs w:val="20"/>
          <w:lang w:val="en-US"/>
        </w:rPr>
        <w:t>[f</w:t>
      </w:r>
      <w:r w:rsidR="002A2097" w:rsidRPr="002E60EB">
        <w:rPr>
          <w:rFonts w:eastAsia="Calibri" w:cs="Arial"/>
          <w:sz w:val="20"/>
          <w:szCs w:val="20"/>
          <w:lang w:val="en-US"/>
        </w:rPr>
        <w:t>]</w:t>
      </w:r>
      <w:r w:rsidRPr="002E60EB">
        <w:rPr>
          <w:rFonts w:eastAsia="Calibri" w:cs="Arial"/>
          <w:sz w:val="20"/>
          <w:szCs w:val="20"/>
          <w:lang w:val="en-US"/>
        </w:rPr>
        <w:t>orward</w:t>
      </w:r>
      <w:r w:rsidR="002A2097" w:rsidRPr="002E60EB">
        <w:rPr>
          <w:rFonts w:eastAsia="Calibri" w:cs="Arial"/>
          <w:sz w:val="20"/>
          <w:szCs w:val="20"/>
          <w:lang w:val="en-US"/>
        </w:rPr>
        <w:t>ing</w:t>
      </w:r>
      <w:r w:rsidRPr="002E60EB">
        <w:rPr>
          <w:rFonts w:eastAsia="Calibri" w:cs="Arial"/>
          <w:sz w:val="20"/>
          <w:szCs w:val="20"/>
          <w:lang w:val="en-US"/>
        </w:rPr>
        <w:t xml:space="preserve"> the </w:t>
      </w:r>
      <w:r w:rsidR="002A2097" w:rsidRPr="002E60EB">
        <w:rPr>
          <w:rFonts w:eastAsia="Calibri" w:cs="Arial"/>
          <w:sz w:val="20"/>
          <w:szCs w:val="20"/>
          <w:lang w:val="en-US"/>
        </w:rPr>
        <w:t xml:space="preserve">[…] </w:t>
      </w:r>
      <w:r w:rsidRPr="002E60EB">
        <w:rPr>
          <w:rFonts w:eastAsia="Calibri" w:cs="Arial"/>
          <w:sz w:val="20"/>
          <w:szCs w:val="20"/>
          <w:lang w:val="en-US"/>
        </w:rPr>
        <w:t>disciplinary investigation to</w:t>
      </w:r>
      <w:r w:rsidR="00334C3C" w:rsidRPr="002E60EB">
        <w:rPr>
          <w:rFonts w:eastAsia="Calibri" w:cs="Arial"/>
          <w:sz w:val="20"/>
          <w:szCs w:val="20"/>
          <w:lang w:val="en-US"/>
        </w:rPr>
        <w:t xml:space="preserve"> the District Attorney’s Santafé</w:t>
      </w:r>
      <w:r w:rsidRPr="002E60EB">
        <w:rPr>
          <w:rFonts w:eastAsia="Calibri" w:cs="Arial"/>
          <w:sz w:val="20"/>
          <w:szCs w:val="20"/>
          <w:lang w:val="en-US"/>
        </w:rPr>
        <w:t xml:space="preserve"> </w:t>
      </w:r>
      <w:r w:rsidR="002A2097" w:rsidRPr="002E60EB">
        <w:rPr>
          <w:rFonts w:eastAsia="Calibri" w:cs="Arial"/>
          <w:sz w:val="20"/>
          <w:szCs w:val="20"/>
          <w:lang w:val="en-US"/>
        </w:rPr>
        <w:t>de</w:t>
      </w:r>
      <w:r w:rsidRPr="002E60EB">
        <w:rPr>
          <w:rFonts w:eastAsia="Calibri" w:cs="Arial"/>
          <w:sz w:val="20"/>
          <w:szCs w:val="20"/>
          <w:lang w:val="en-US"/>
        </w:rPr>
        <w:t xml:space="preserve"> Bogotá</w:t>
      </w:r>
      <w:r w:rsidR="0082506C" w:rsidRPr="002E60EB">
        <w:rPr>
          <w:rFonts w:eastAsia="Calibri" w:cs="Arial"/>
          <w:sz w:val="20"/>
          <w:szCs w:val="20"/>
          <w:lang w:val="en-US"/>
        </w:rPr>
        <w:t xml:space="preserve"> Office</w:t>
      </w:r>
      <w:r w:rsidR="00087093" w:rsidRPr="002E60EB">
        <w:rPr>
          <w:rFonts w:eastAsia="Calibri" w:cs="Arial"/>
          <w:sz w:val="20"/>
          <w:szCs w:val="20"/>
          <w:lang w:val="en-US"/>
        </w:rPr>
        <w:t>”</w:t>
      </w:r>
      <w:r w:rsidRPr="002E60EB">
        <w:rPr>
          <w:rFonts w:eastAsia="Calibri" w:cs="Arial"/>
          <w:sz w:val="20"/>
          <w:szCs w:val="20"/>
          <w:lang w:val="en-US"/>
        </w:rPr>
        <w:t xml:space="preserve"> and that </w:t>
      </w:r>
      <w:r w:rsidR="00087093" w:rsidRPr="002E60EB">
        <w:rPr>
          <w:rFonts w:eastAsia="Calibri" w:cs="Arial"/>
          <w:sz w:val="20"/>
          <w:szCs w:val="20"/>
          <w:lang w:val="en-US"/>
        </w:rPr>
        <w:t>“</w:t>
      </w:r>
      <w:r w:rsidRPr="002E60EB">
        <w:rPr>
          <w:rFonts w:eastAsia="Calibri" w:cs="Arial"/>
          <w:sz w:val="20"/>
          <w:szCs w:val="20"/>
          <w:lang w:val="en-US"/>
        </w:rPr>
        <w:t xml:space="preserve">a formal investigation be </w:t>
      </w:r>
      <w:r w:rsidR="002A2097" w:rsidRPr="002E60EB">
        <w:rPr>
          <w:rFonts w:eastAsia="Calibri" w:cs="Arial"/>
          <w:sz w:val="20"/>
          <w:szCs w:val="20"/>
          <w:lang w:val="en-US"/>
        </w:rPr>
        <w:t xml:space="preserve">opened </w:t>
      </w:r>
      <w:r w:rsidRPr="002E60EB">
        <w:rPr>
          <w:rFonts w:eastAsia="Calibri" w:cs="Arial"/>
          <w:sz w:val="20"/>
          <w:szCs w:val="20"/>
          <w:lang w:val="en-US"/>
        </w:rPr>
        <w:t>against</w:t>
      </w:r>
      <w:r w:rsidR="002A2097" w:rsidRPr="002E60EB">
        <w:rPr>
          <w:rFonts w:eastAsia="Calibri" w:cs="Arial"/>
          <w:sz w:val="20"/>
          <w:szCs w:val="20"/>
          <w:lang w:val="en-US"/>
        </w:rPr>
        <w:t xml:space="preserve"> [a certain]</w:t>
      </w:r>
      <w:r w:rsidR="0082506C" w:rsidRPr="002E60EB">
        <w:rPr>
          <w:rFonts w:eastAsia="Calibri" w:cs="Arial"/>
          <w:sz w:val="20"/>
          <w:szCs w:val="20"/>
          <w:lang w:val="en-US"/>
        </w:rPr>
        <w:t xml:space="preserve"> s</w:t>
      </w:r>
      <w:r w:rsidR="002A2097" w:rsidRPr="002E60EB">
        <w:rPr>
          <w:rFonts w:eastAsia="Calibri" w:cs="Arial"/>
          <w:sz w:val="20"/>
          <w:szCs w:val="20"/>
          <w:lang w:val="en-US"/>
        </w:rPr>
        <w:t>e</w:t>
      </w:r>
      <w:r w:rsidRPr="002E60EB">
        <w:rPr>
          <w:rFonts w:eastAsia="Calibri" w:cs="Arial"/>
          <w:sz w:val="20"/>
          <w:szCs w:val="20"/>
          <w:lang w:val="en-US"/>
        </w:rPr>
        <w:t xml:space="preserve">rgeant </w:t>
      </w:r>
      <w:r w:rsidR="002A2097" w:rsidRPr="002E60EB">
        <w:rPr>
          <w:rFonts w:eastAsia="Calibri" w:cs="Arial"/>
          <w:sz w:val="20"/>
          <w:szCs w:val="20"/>
          <w:lang w:val="en-US"/>
        </w:rPr>
        <w:t>[…] attached</w:t>
      </w:r>
      <w:r w:rsidRPr="002E60EB">
        <w:rPr>
          <w:rFonts w:eastAsia="Calibri" w:cs="Arial"/>
          <w:sz w:val="20"/>
          <w:szCs w:val="20"/>
          <w:lang w:val="en-US"/>
        </w:rPr>
        <w:t xml:space="preserve"> to</w:t>
      </w:r>
      <w:r w:rsidR="0082506C" w:rsidRPr="002E60EB">
        <w:rPr>
          <w:rFonts w:eastAsia="Calibri" w:cs="Arial"/>
          <w:sz w:val="20"/>
          <w:szCs w:val="20"/>
          <w:lang w:val="en-US"/>
        </w:rPr>
        <w:t xml:space="preserve"> </w:t>
      </w:r>
      <w:r w:rsidR="002A2097" w:rsidRPr="002E60EB">
        <w:rPr>
          <w:rFonts w:eastAsia="Calibri" w:cs="Arial"/>
          <w:sz w:val="20"/>
          <w:szCs w:val="20"/>
          <w:lang w:val="en-US"/>
        </w:rPr>
        <w:t>No. 4</w:t>
      </w:r>
      <w:r w:rsidRPr="002E60EB">
        <w:rPr>
          <w:rFonts w:eastAsia="Calibri" w:cs="Arial"/>
          <w:sz w:val="20"/>
          <w:szCs w:val="20"/>
          <w:lang w:val="en-US"/>
        </w:rPr>
        <w:t xml:space="preserve"> </w:t>
      </w:r>
      <w:r w:rsidR="00334C3C" w:rsidRPr="002E60EB">
        <w:rPr>
          <w:rFonts w:eastAsia="Calibri" w:cs="Arial"/>
          <w:sz w:val="20"/>
          <w:szCs w:val="20"/>
          <w:lang w:val="en-US"/>
        </w:rPr>
        <w:t>Battalion</w:t>
      </w:r>
      <w:r w:rsidR="002A2097" w:rsidRPr="002E60EB">
        <w:rPr>
          <w:rFonts w:eastAsia="Calibri" w:cs="Arial"/>
          <w:sz w:val="20"/>
          <w:szCs w:val="20"/>
          <w:lang w:val="en-US"/>
        </w:rPr>
        <w:t xml:space="preserve"> of the </w:t>
      </w:r>
      <w:r w:rsidRPr="002E60EB">
        <w:rPr>
          <w:rFonts w:eastAsia="Calibri" w:cs="Arial"/>
          <w:sz w:val="20"/>
          <w:szCs w:val="20"/>
          <w:lang w:val="en-US"/>
        </w:rPr>
        <w:t>Military Police at the time of the facts,</w:t>
      </w:r>
      <w:r w:rsidR="00087093" w:rsidRPr="002E60EB">
        <w:rPr>
          <w:rFonts w:eastAsia="Calibri" w:cs="Arial"/>
          <w:sz w:val="20"/>
          <w:szCs w:val="20"/>
          <w:lang w:val="en-US"/>
        </w:rPr>
        <w:t>”</w:t>
      </w:r>
      <w:r w:rsidRPr="002E60EB">
        <w:rPr>
          <w:rFonts w:eastAsia="Calibri" w:cs="Arial"/>
          <w:sz w:val="20"/>
          <w:szCs w:val="20"/>
          <w:lang w:val="en-US"/>
        </w:rPr>
        <w:t xml:space="preserve"> </w:t>
      </w:r>
      <w:r w:rsidR="002A2097" w:rsidRPr="002E60EB">
        <w:rPr>
          <w:rFonts w:eastAsia="Calibri" w:cs="Arial"/>
          <w:sz w:val="20"/>
          <w:szCs w:val="20"/>
          <w:lang w:val="en-US"/>
        </w:rPr>
        <w:t xml:space="preserve">because </w:t>
      </w:r>
      <w:r w:rsidR="00087093" w:rsidRPr="002E60EB">
        <w:rPr>
          <w:rFonts w:eastAsia="Calibri" w:cs="Arial"/>
          <w:sz w:val="20"/>
          <w:szCs w:val="20"/>
          <w:lang w:val="en-US"/>
        </w:rPr>
        <w:t>“</w:t>
      </w:r>
      <w:r w:rsidRPr="002E60EB">
        <w:rPr>
          <w:rFonts w:eastAsia="Calibri" w:cs="Arial"/>
          <w:sz w:val="20"/>
          <w:szCs w:val="20"/>
          <w:lang w:val="en-US"/>
        </w:rPr>
        <w:t xml:space="preserve">there was an apparent similarity between the spoken portrait made </w:t>
      </w:r>
      <w:r w:rsidR="002A2097" w:rsidRPr="002E60EB">
        <w:rPr>
          <w:rFonts w:eastAsia="Calibri" w:cs="Arial"/>
          <w:sz w:val="20"/>
          <w:szCs w:val="20"/>
          <w:lang w:val="en-US"/>
        </w:rPr>
        <w:t xml:space="preserve">based on </w:t>
      </w:r>
      <w:r w:rsidRPr="002E60EB">
        <w:rPr>
          <w:rFonts w:eastAsia="Calibri" w:cs="Arial"/>
          <w:sz w:val="20"/>
          <w:szCs w:val="20"/>
          <w:lang w:val="en-US"/>
        </w:rPr>
        <w:t>the testimony of Ara</w:t>
      </w:r>
      <w:r w:rsidR="0082506C" w:rsidRPr="002E60EB">
        <w:rPr>
          <w:rFonts w:eastAsia="Calibri" w:cs="Arial"/>
          <w:sz w:val="20"/>
          <w:szCs w:val="20"/>
          <w:lang w:val="en-US"/>
        </w:rPr>
        <w:t>celly Román Amariles […] and a</w:t>
      </w:r>
      <w:r w:rsidRPr="002E60EB">
        <w:rPr>
          <w:rFonts w:eastAsia="Calibri" w:cs="Arial"/>
          <w:sz w:val="20"/>
          <w:szCs w:val="20"/>
          <w:lang w:val="en-US"/>
        </w:rPr>
        <w:t xml:space="preserve"> photograph</w:t>
      </w:r>
      <w:r w:rsidR="0082506C" w:rsidRPr="002E60EB">
        <w:rPr>
          <w:rFonts w:eastAsia="Calibri" w:cs="Arial"/>
          <w:sz w:val="20"/>
          <w:szCs w:val="20"/>
          <w:lang w:val="en-US"/>
        </w:rPr>
        <w:t xml:space="preserve"> taken</w:t>
      </w:r>
      <w:r w:rsidRPr="002E60EB">
        <w:rPr>
          <w:rFonts w:eastAsia="Calibri" w:cs="Arial"/>
          <w:sz w:val="20"/>
          <w:szCs w:val="20"/>
          <w:lang w:val="en-US"/>
        </w:rPr>
        <w:t xml:space="preserve"> of</w:t>
      </w:r>
      <w:r w:rsidR="002A2097" w:rsidRPr="002E60EB">
        <w:rPr>
          <w:rFonts w:eastAsia="Calibri" w:cs="Arial"/>
          <w:sz w:val="20"/>
          <w:szCs w:val="20"/>
          <w:lang w:val="en-US"/>
        </w:rPr>
        <w:t xml:space="preserve"> the [said]</w:t>
      </w:r>
      <w:r w:rsidRPr="002E60EB">
        <w:rPr>
          <w:rFonts w:eastAsia="Calibri" w:cs="Arial"/>
          <w:sz w:val="20"/>
          <w:szCs w:val="20"/>
          <w:lang w:val="en-US"/>
        </w:rPr>
        <w:t xml:space="preserve"> </w:t>
      </w:r>
      <w:r w:rsidR="0082506C" w:rsidRPr="002E60EB">
        <w:rPr>
          <w:rFonts w:eastAsia="Calibri" w:cs="Arial"/>
          <w:sz w:val="20"/>
          <w:szCs w:val="20"/>
          <w:lang w:val="en-US"/>
        </w:rPr>
        <w:t>s</w:t>
      </w:r>
      <w:r w:rsidRPr="002E60EB">
        <w:rPr>
          <w:rFonts w:eastAsia="Calibri" w:cs="Arial"/>
          <w:sz w:val="20"/>
          <w:szCs w:val="20"/>
          <w:lang w:val="en-US"/>
        </w:rPr>
        <w:t>ergeant.</w:t>
      </w:r>
      <w:r w:rsidR="00087093" w:rsidRPr="002E60EB">
        <w:rPr>
          <w:rFonts w:eastAsia="Calibri" w:cs="Arial"/>
          <w:sz w:val="20"/>
          <w:szCs w:val="20"/>
          <w:lang w:val="en-US"/>
        </w:rPr>
        <w:t>”</w:t>
      </w:r>
      <w:r w:rsidR="002A2097" w:rsidRPr="002E60EB">
        <w:rPr>
          <w:sz w:val="20"/>
          <w:szCs w:val="20"/>
          <w:vertAlign w:val="superscript"/>
          <w:lang w:val="en-US"/>
        </w:rPr>
        <w:footnoteReference w:id="135"/>
      </w:r>
      <w:r w:rsidRPr="002E60EB">
        <w:rPr>
          <w:rFonts w:eastAsia="Calibri" w:cs="Arial"/>
          <w:sz w:val="20"/>
          <w:szCs w:val="20"/>
          <w:lang w:val="en-US"/>
        </w:rPr>
        <w:t xml:space="preserve"> </w:t>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numPr>
          <w:ilvl w:val="0"/>
          <w:numId w:val="1"/>
        </w:numPr>
        <w:tabs>
          <w:tab w:val="left" w:pos="720"/>
          <w:tab w:val="num" w:pos="851"/>
        </w:tabs>
        <w:autoSpaceDE w:val="0"/>
        <w:autoSpaceDN w:val="0"/>
        <w:adjustRightInd w:val="0"/>
        <w:jc w:val="both"/>
        <w:rPr>
          <w:sz w:val="16"/>
          <w:szCs w:val="16"/>
          <w:lang w:val="en-US"/>
        </w:rPr>
      </w:pPr>
      <w:r w:rsidRPr="002E60EB">
        <w:rPr>
          <w:rFonts w:eastAsia="Calibri" w:cs="Arial"/>
          <w:lang w:val="en-US"/>
        </w:rPr>
        <w:t>On May 3, 2002</w:t>
      </w:r>
      <w:r w:rsidR="002A2097" w:rsidRPr="002E60EB">
        <w:rPr>
          <w:rFonts w:eastAsia="Calibri" w:cs="Arial"/>
          <w:lang w:val="en-US"/>
        </w:rPr>
        <w:t>,</w:t>
      </w:r>
      <w:r w:rsidRPr="002E60EB">
        <w:rPr>
          <w:rFonts w:eastAsia="Calibri" w:cs="Arial"/>
          <w:lang w:val="en-US"/>
        </w:rPr>
        <w:t xml:space="preserve"> the Oversight </w:t>
      </w:r>
      <w:r w:rsidR="002A2097" w:rsidRPr="002E60EB">
        <w:rPr>
          <w:rFonts w:eastAsia="Calibri" w:cs="Arial"/>
          <w:lang w:val="en-US"/>
        </w:rPr>
        <w:t xml:space="preserve">Bureau </w:t>
      </w:r>
      <w:r w:rsidRPr="002E60EB">
        <w:rPr>
          <w:rFonts w:eastAsia="Calibri" w:cs="Arial"/>
          <w:lang w:val="en-US"/>
        </w:rPr>
        <w:t xml:space="preserve">of the </w:t>
      </w:r>
      <w:r w:rsidR="008D3170" w:rsidRPr="002E60EB">
        <w:rPr>
          <w:rFonts w:eastAsia="Calibri" w:cs="Arial"/>
          <w:lang w:val="en-US"/>
        </w:rPr>
        <w:t>Attorney General’s Office</w:t>
      </w:r>
      <w:r w:rsidRPr="002E60EB">
        <w:rPr>
          <w:rFonts w:eastAsia="Calibri" w:cs="Arial"/>
          <w:lang w:val="en-US"/>
        </w:rPr>
        <w:t xml:space="preserve"> ordered the </w:t>
      </w:r>
      <w:r w:rsidR="00DD7AC3" w:rsidRPr="002E60EB">
        <w:rPr>
          <w:rFonts w:eastAsia="Calibri" w:cs="Arial"/>
          <w:lang w:val="en-US"/>
        </w:rPr>
        <w:t>final closure</w:t>
      </w:r>
      <w:r w:rsidRPr="002E60EB">
        <w:rPr>
          <w:rFonts w:eastAsia="Calibri" w:cs="Arial"/>
          <w:lang w:val="en-US"/>
        </w:rPr>
        <w:t xml:space="preserve"> of the investigation </w:t>
      </w:r>
      <w:r w:rsidR="002A2097" w:rsidRPr="002E60EB">
        <w:rPr>
          <w:rFonts w:eastAsia="Calibri" w:cs="Arial"/>
          <w:lang w:val="en-US"/>
        </w:rPr>
        <w:t>into</w:t>
      </w:r>
      <w:r w:rsidRPr="002E60EB">
        <w:rPr>
          <w:rFonts w:eastAsia="Calibri" w:cs="Arial"/>
          <w:lang w:val="en-US"/>
        </w:rPr>
        <w:t xml:space="preserve"> the </w:t>
      </w:r>
      <w:r w:rsidR="002A2097" w:rsidRPr="002E60EB">
        <w:rPr>
          <w:rFonts w:eastAsia="Calibri" w:cs="Arial"/>
          <w:lang w:val="en-US"/>
        </w:rPr>
        <w:t xml:space="preserve">presumed </w:t>
      </w:r>
      <w:r w:rsidRPr="002E60EB">
        <w:rPr>
          <w:rFonts w:eastAsia="Calibri" w:cs="Arial"/>
          <w:lang w:val="en-US"/>
        </w:rPr>
        <w:t>harassment</w:t>
      </w:r>
      <w:r w:rsidR="00351D83" w:rsidRPr="002E60EB">
        <w:rPr>
          <w:rFonts w:eastAsia="Calibri" w:cs="Arial"/>
          <w:lang w:val="en-US"/>
        </w:rPr>
        <w:t xml:space="preserve"> and</w:t>
      </w:r>
      <w:r w:rsidRPr="002E60EB">
        <w:rPr>
          <w:rFonts w:eastAsia="Calibri" w:cs="Arial"/>
          <w:lang w:val="en-US"/>
        </w:rPr>
        <w:t xml:space="preserve"> threats</w:t>
      </w:r>
      <w:r w:rsidR="00351D83" w:rsidRPr="002E60EB">
        <w:rPr>
          <w:rFonts w:eastAsia="Calibri" w:cs="Arial"/>
          <w:lang w:val="en-US"/>
        </w:rPr>
        <w:t>,</w:t>
      </w:r>
      <w:r w:rsidRPr="002E60EB">
        <w:rPr>
          <w:rFonts w:eastAsia="Calibri" w:cs="Arial"/>
          <w:lang w:val="en-US"/>
        </w:rPr>
        <w:t xml:space="preserve"> and </w:t>
      </w:r>
      <w:r w:rsidR="00351D83" w:rsidRPr="002E60EB">
        <w:rPr>
          <w:rFonts w:eastAsia="Calibri" w:cs="Arial"/>
          <w:lang w:val="en-US"/>
        </w:rPr>
        <w:t xml:space="preserve">the </w:t>
      </w:r>
      <w:r w:rsidRPr="002E60EB">
        <w:rPr>
          <w:rFonts w:eastAsia="Calibri" w:cs="Arial"/>
          <w:lang w:val="en-US"/>
        </w:rPr>
        <w:t>visit</w:t>
      </w:r>
      <w:r w:rsidR="002A2097" w:rsidRPr="002E60EB">
        <w:rPr>
          <w:rFonts w:eastAsia="Calibri" w:cs="Arial"/>
          <w:lang w:val="en-US"/>
        </w:rPr>
        <w:t>s</w:t>
      </w:r>
      <w:r w:rsidRPr="002E60EB">
        <w:rPr>
          <w:rFonts w:eastAsia="Calibri" w:cs="Arial"/>
          <w:lang w:val="en-US"/>
        </w:rPr>
        <w:t xml:space="preserve"> </w:t>
      </w:r>
      <w:r w:rsidR="00351D83" w:rsidRPr="002E60EB">
        <w:rPr>
          <w:rFonts w:eastAsia="Calibri" w:cs="Arial"/>
          <w:lang w:val="en-US"/>
        </w:rPr>
        <w:t>made to</w:t>
      </w:r>
      <w:r w:rsidRPr="002E60EB">
        <w:rPr>
          <w:rFonts w:eastAsia="Calibri" w:cs="Arial"/>
          <w:lang w:val="en-US"/>
        </w:rPr>
        <w:t xml:space="preserve"> the home of the Vélez </w:t>
      </w:r>
      <w:r w:rsidR="00351D83" w:rsidRPr="002E60EB">
        <w:rPr>
          <w:rFonts w:eastAsia="Calibri" w:cs="Arial"/>
          <w:lang w:val="en-US"/>
        </w:rPr>
        <w:t xml:space="preserve">Restrepo </w:t>
      </w:r>
      <w:r w:rsidRPr="002E60EB">
        <w:rPr>
          <w:rFonts w:eastAsia="Calibri" w:cs="Arial"/>
          <w:lang w:val="en-US"/>
        </w:rPr>
        <w:t>family</w:t>
      </w:r>
      <w:r w:rsidR="00351D83" w:rsidRPr="002E60EB">
        <w:rPr>
          <w:rFonts w:eastAsia="Calibri" w:cs="Arial"/>
          <w:lang w:val="en-US"/>
        </w:rPr>
        <w:t>,</w:t>
      </w:r>
      <w:r w:rsidRPr="002E60EB">
        <w:rPr>
          <w:rFonts w:eastAsia="Calibri" w:cs="Arial"/>
          <w:lang w:val="en-US"/>
        </w:rPr>
        <w:t xml:space="preserve"> </w:t>
      </w:r>
      <w:r w:rsidR="00351D83" w:rsidRPr="002E60EB">
        <w:rPr>
          <w:rFonts w:eastAsia="Calibri" w:cs="Arial"/>
          <w:lang w:val="en-US"/>
        </w:rPr>
        <w:t xml:space="preserve">because </w:t>
      </w:r>
      <w:r w:rsidR="00087093" w:rsidRPr="002E60EB">
        <w:rPr>
          <w:rFonts w:eastAsia="Calibri" w:cs="Arial"/>
          <w:lang w:val="en-US"/>
        </w:rPr>
        <w:t>“</w:t>
      </w:r>
      <w:r w:rsidR="0082506C" w:rsidRPr="002E60EB">
        <w:rPr>
          <w:rFonts w:eastAsia="Calibri" w:cs="Arial"/>
          <w:lang w:val="en-US"/>
        </w:rPr>
        <w:t>it [was] in</w:t>
      </w:r>
      <w:r w:rsidRPr="002E60EB">
        <w:rPr>
          <w:rFonts w:eastAsia="Calibri" w:cs="Arial"/>
          <w:lang w:val="en-US"/>
        </w:rPr>
        <w:t xml:space="preserve">appropriate to order the opening of a disciplinary investigation against officials of the </w:t>
      </w:r>
      <w:r w:rsidR="008D3170" w:rsidRPr="002E60EB">
        <w:rPr>
          <w:rFonts w:eastAsia="Calibri" w:cs="Arial"/>
          <w:lang w:val="en-US"/>
        </w:rPr>
        <w:t>Attorney General’s Office</w:t>
      </w:r>
      <w:r w:rsidRPr="002E60EB">
        <w:rPr>
          <w:rFonts w:eastAsia="Calibri" w:cs="Arial"/>
          <w:lang w:val="en-US"/>
        </w:rPr>
        <w:t xml:space="preserve"> </w:t>
      </w:r>
      <w:r w:rsidR="00351D83" w:rsidRPr="002E60EB">
        <w:rPr>
          <w:rFonts w:eastAsia="Calibri" w:cs="Arial"/>
          <w:lang w:val="en-US"/>
        </w:rPr>
        <w:t>since it had not been possible to establish</w:t>
      </w:r>
      <w:r w:rsidRPr="002E60EB">
        <w:rPr>
          <w:rFonts w:eastAsia="Calibri" w:cs="Arial"/>
          <w:lang w:val="en-US"/>
        </w:rPr>
        <w:t xml:space="preserve"> their participation in the </w:t>
      </w:r>
      <w:r w:rsidR="00351D83" w:rsidRPr="002E60EB">
        <w:rPr>
          <w:rFonts w:eastAsia="Calibri" w:cs="Arial"/>
          <w:lang w:val="en-US"/>
        </w:rPr>
        <w:t>even</w:t>
      </w:r>
      <w:r w:rsidRPr="002E60EB">
        <w:rPr>
          <w:rFonts w:eastAsia="Calibri" w:cs="Arial"/>
          <w:lang w:val="en-US"/>
        </w:rPr>
        <w:t>ts</w:t>
      </w:r>
      <w:r w:rsidR="00351D83" w:rsidRPr="002E60EB">
        <w:rPr>
          <w:rFonts w:eastAsia="Calibri" w:cs="Arial"/>
          <w:lang w:val="en-US"/>
        </w:rPr>
        <w:t xml:space="preserve"> denounced</w:t>
      </w:r>
      <w:r w:rsidRPr="002E60EB">
        <w:rPr>
          <w:rFonts w:eastAsia="Calibri" w:cs="Arial"/>
          <w:lang w:val="en-US"/>
        </w:rPr>
        <w:t>.</w:t>
      </w:r>
      <w:r w:rsidR="00087093" w:rsidRPr="002E60EB">
        <w:rPr>
          <w:rFonts w:eastAsia="Calibri" w:cs="Arial"/>
          <w:lang w:val="en-US"/>
        </w:rPr>
        <w:t>”</w:t>
      </w:r>
      <w:r w:rsidR="002A2097" w:rsidRPr="002E60EB">
        <w:rPr>
          <w:szCs w:val="18"/>
          <w:vertAlign w:val="superscript"/>
          <w:lang w:val="en-US"/>
        </w:rPr>
        <w:footnoteReference w:id="136"/>
      </w:r>
      <w:r w:rsidRPr="002E60EB">
        <w:rPr>
          <w:rFonts w:eastAsia="Calibri" w:cs="Arial"/>
          <w:lang w:val="en-US"/>
        </w:rPr>
        <w:t xml:space="preserve"> </w:t>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August 27, 2006</w:t>
      </w:r>
      <w:r w:rsidR="00351D83" w:rsidRPr="002E60EB">
        <w:rPr>
          <w:rFonts w:eastAsia="Calibri" w:cs="Arial"/>
          <w:sz w:val="20"/>
          <w:szCs w:val="20"/>
          <w:lang w:val="en-US"/>
        </w:rPr>
        <w:t>,</w:t>
      </w:r>
      <w:r w:rsidRPr="002E60EB">
        <w:rPr>
          <w:rFonts w:eastAsia="Calibri" w:cs="Arial"/>
          <w:sz w:val="20"/>
          <w:szCs w:val="20"/>
          <w:lang w:val="en-US"/>
        </w:rPr>
        <w:t xml:space="preserve"> the </w:t>
      </w:r>
      <w:r w:rsidR="00E67ACE" w:rsidRPr="002E60EB">
        <w:rPr>
          <w:rFonts w:eastAsia="Calibri" w:cs="Arial"/>
          <w:sz w:val="20"/>
          <w:szCs w:val="20"/>
          <w:lang w:val="en-US"/>
        </w:rPr>
        <w:t xml:space="preserve">Bogota </w:t>
      </w:r>
      <w:r w:rsidRPr="002E60EB">
        <w:rPr>
          <w:rFonts w:eastAsia="Calibri" w:cs="Arial"/>
          <w:sz w:val="20"/>
          <w:szCs w:val="20"/>
          <w:lang w:val="en-US"/>
        </w:rPr>
        <w:t>Second District Attorney</w:t>
      </w:r>
      <w:r w:rsidR="00351D83" w:rsidRPr="002E60EB">
        <w:rPr>
          <w:rFonts w:eastAsia="Calibri" w:cs="Arial"/>
          <w:sz w:val="20"/>
          <w:szCs w:val="20"/>
          <w:lang w:val="en-US"/>
        </w:rPr>
        <w:t>’s Office</w:t>
      </w:r>
      <w:r w:rsidRPr="002E60EB">
        <w:rPr>
          <w:rFonts w:eastAsia="Calibri" w:cs="Arial"/>
          <w:sz w:val="20"/>
          <w:szCs w:val="20"/>
          <w:lang w:val="en-US"/>
        </w:rPr>
        <w:t xml:space="preserve"> </w:t>
      </w:r>
      <w:r w:rsidR="00087093" w:rsidRPr="002E60EB">
        <w:rPr>
          <w:rFonts w:eastAsia="Calibri" w:cs="Arial"/>
          <w:sz w:val="20"/>
          <w:szCs w:val="20"/>
          <w:lang w:val="en-US"/>
        </w:rPr>
        <w:t>“</w:t>
      </w:r>
      <w:r w:rsidRPr="002E60EB">
        <w:rPr>
          <w:rFonts w:eastAsia="Calibri" w:cs="Arial"/>
          <w:sz w:val="20"/>
          <w:szCs w:val="20"/>
          <w:lang w:val="en-US"/>
        </w:rPr>
        <w:t xml:space="preserve">order[ed] the </w:t>
      </w:r>
      <w:r w:rsidR="00DD7AC3" w:rsidRPr="002E60EB">
        <w:rPr>
          <w:rFonts w:eastAsia="Calibri" w:cs="Arial"/>
          <w:sz w:val="20"/>
          <w:szCs w:val="20"/>
          <w:lang w:val="en-US"/>
        </w:rPr>
        <w:t>final closure</w:t>
      </w:r>
      <w:r w:rsidRPr="002E60EB">
        <w:rPr>
          <w:rFonts w:eastAsia="Calibri" w:cs="Arial"/>
          <w:sz w:val="20"/>
          <w:szCs w:val="20"/>
          <w:lang w:val="en-US"/>
        </w:rPr>
        <w:t xml:space="preserve"> of the […] </w:t>
      </w:r>
      <w:r w:rsidR="00351D83" w:rsidRPr="002E60EB">
        <w:rPr>
          <w:rFonts w:eastAsia="Calibri" w:cs="Arial"/>
          <w:sz w:val="20"/>
          <w:szCs w:val="20"/>
          <w:lang w:val="en-US"/>
        </w:rPr>
        <w:t>procedures taken</w:t>
      </w:r>
      <w:r w:rsidRPr="002E60EB">
        <w:rPr>
          <w:rFonts w:eastAsia="Calibri" w:cs="Arial"/>
          <w:sz w:val="20"/>
          <w:szCs w:val="20"/>
          <w:lang w:val="en-US"/>
        </w:rPr>
        <w:t xml:space="preserve"> against the </w:t>
      </w:r>
      <w:r w:rsidR="00351D83" w:rsidRPr="002E60EB">
        <w:rPr>
          <w:rFonts w:eastAsia="Calibri" w:cs="Arial"/>
          <w:sz w:val="20"/>
          <w:szCs w:val="20"/>
          <w:lang w:val="en-US"/>
        </w:rPr>
        <w:t xml:space="preserve">[said] </w:t>
      </w:r>
      <w:r w:rsidR="0082506C" w:rsidRPr="002E60EB">
        <w:rPr>
          <w:rFonts w:eastAsia="Calibri" w:cs="Arial"/>
          <w:sz w:val="20"/>
          <w:szCs w:val="20"/>
          <w:lang w:val="en-US"/>
        </w:rPr>
        <w:t>s</w:t>
      </w:r>
      <w:r w:rsidRPr="002E60EB">
        <w:rPr>
          <w:rFonts w:eastAsia="Calibri" w:cs="Arial"/>
          <w:sz w:val="20"/>
          <w:szCs w:val="20"/>
          <w:lang w:val="en-US"/>
        </w:rPr>
        <w:t xml:space="preserve">ergeant </w:t>
      </w:r>
      <w:r w:rsidR="00351D83" w:rsidRPr="002E60EB">
        <w:rPr>
          <w:rFonts w:eastAsia="Calibri" w:cs="Arial"/>
          <w:sz w:val="20"/>
          <w:szCs w:val="20"/>
          <w:lang w:val="en-US"/>
        </w:rPr>
        <w:t>[…]</w:t>
      </w:r>
      <w:r w:rsidRPr="002E60EB">
        <w:rPr>
          <w:rFonts w:eastAsia="Calibri" w:cs="Arial"/>
          <w:sz w:val="20"/>
          <w:szCs w:val="20"/>
          <w:lang w:val="en-US"/>
        </w:rPr>
        <w:t>.</w:t>
      </w:r>
      <w:r w:rsidR="00087093" w:rsidRPr="002E60EB">
        <w:rPr>
          <w:rFonts w:eastAsia="Calibri" w:cs="Arial"/>
          <w:sz w:val="20"/>
          <w:szCs w:val="20"/>
          <w:lang w:val="en-US"/>
        </w:rPr>
        <w:t>”</w:t>
      </w:r>
      <w:r w:rsidRPr="002E60EB">
        <w:rPr>
          <w:rFonts w:eastAsia="Calibri" w:cs="Arial"/>
          <w:sz w:val="20"/>
          <w:szCs w:val="20"/>
          <w:lang w:val="en-US"/>
        </w:rPr>
        <w:t xml:space="preserve"> </w:t>
      </w:r>
      <w:r w:rsidR="0082506C" w:rsidRPr="002E60EB">
        <w:rPr>
          <w:rFonts w:eastAsia="Calibri" w:cs="Arial"/>
          <w:sz w:val="20"/>
          <w:szCs w:val="20"/>
          <w:lang w:val="en-US"/>
        </w:rPr>
        <w:t>The District</w:t>
      </w:r>
      <w:r w:rsidR="00351D83" w:rsidRPr="002E60EB">
        <w:rPr>
          <w:rFonts w:eastAsia="Calibri" w:cs="Arial"/>
          <w:sz w:val="20"/>
          <w:szCs w:val="20"/>
          <w:lang w:val="en-US"/>
        </w:rPr>
        <w:t xml:space="preserve"> </w:t>
      </w:r>
      <w:r w:rsidRPr="002E60EB">
        <w:rPr>
          <w:rFonts w:eastAsia="Calibri" w:cs="Arial"/>
          <w:sz w:val="20"/>
          <w:szCs w:val="20"/>
          <w:lang w:val="en-US"/>
        </w:rPr>
        <w:t>Attorney</w:t>
      </w:r>
      <w:r w:rsidR="00351D83" w:rsidRPr="002E60EB">
        <w:rPr>
          <w:rFonts w:eastAsia="Calibri" w:cs="Arial"/>
          <w:sz w:val="20"/>
          <w:szCs w:val="20"/>
          <w:lang w:val="en-US"/>
        </w:rPr>
        <w:t xml:space="preserve">’s Office </w:t>
      </w:r>
      <w:r w:rsidR="0082506C" w:rsidRPr="002E60EB">
        <w:rPr>
          <w:rFonts w:eastAsia="Calibri" w:cs="Arial"/>
          <w:sz w:val="20"/>
          <w:szCs w:val="20"/>
          <w:lang w:val="en-US"/>
        </w:rPr>
        <w:t>indicated</w:t>
      </w:r>
      <w:r w:rsidRPr="002E60EB">
        <w:rPr>
          <w:rFonts w:eastAsia="Calibri" w:cs="Arial"/>
          <w:sz w:val="20"/>
          <w:szCs w:val="20"/>
          <w:lang w:val="en-US"/>
        </w:rPr>
        <w:t xml:space="preserve"> that </w:t>
      </w:r>
      <w:r w:rsidR="00087093" w:rsidRPr="002E60EB">
        <w:rPr>
          <w:rFonts w:eastAsia="Calibri" w:cs="Arial"/>
          <w:sz w:val="20"/>
          <w:szCs w:val="20"/>
          <w:lang w:val="en-US"/>
        </w:rPr>
        <w:t>“</w:t>
      </w:r>
      <w:r w:rsidRPr="002E60EB">
        <w:rPr>
          <w:rFonts w:eastAsia="Calibri" w:cs="Arial"/>
          <w:sz w:val="20"/>
          <w:szCs w:val="20"/>
          <w:lang w:val="en-US"/>
        </w:rPr>
        <w:t xml:space="preserve">the statements </w:t>
      </w:r>
      <w:r w:rsidR="00351D83" w:rsidRPr="002E60EB">
        <w:rPr>
          <w:rFonts w:eastAsia="Calibri" w:cs="Arial"/>
          <w:sz w:val="20"/>
          <w:szCs w:val="20"/>
          <w:lang w:val="en-US"/>
        </w:rPr>
        <w:t>of</w:t>
      </w:r>
      <w:r w:rsidRPr="002E60EB">
        <w:rPr>
          <w:rFonts w:eastAsia="Calibri" w:cs="Arial"/>
          <w:sz w:val="20"/>
          <w:szCs w:val="20"/>
          <w:lang w:val="en-US"/>
        </w:rPr>
        <w:t xml:space="preserve"> witness [Román Amariles] do not </w:t>
      </w:r>
      <w:r w:rsidR="00351D83" w:rsidRPr="002E60EB">
        <w:rPr>
          <w:rFonts w:eastAsia="Calibri" w:cs="Arial"/>
          <w:sz w:val="20"/>
          <w:szCs w:val="20"/>
          <w:lang w:val="en-US"/>
        </w:rPr>
        <w:t xml:space="preserve">reveal </w:t>
      </w:r>
      <w:r w:rsidRPr="002E60EB">
        <w:rPr>
          <w:rFonts w:eastAsia="Calibri" w:cs="Arial"/>
          <w:sz w:val="20"/>
          <w:szCs w:val="20"/>
          <w:lang w:val="en-US"/>
        </w:rPr>
        <w:t>verbal or physical harassment or threats,</w:t>
      </w:r>
      <w:r w:rsidR="00087093" w:rsidRPr="002E60EB">
        <w:rPr>
          <w:rFonts w:eastAsia="Calibri" w:cs="Arial"/>
          <w:sz w:val="20"/>
          <w:szCs w:val="20"/>
          <w:lang w:val="en-US"/>
        </w:rPr>
        <w:t>”</w:t>
      </w:r>
      <w:r w:rsidRPr="002E60EB">
        <w:rPr>
          <w:rFonts w:eastAsia="Calibri" w:cs="Arial"/>
          <w:sz w:val="20"/>
          <w:szCs w:val="20"/>
          <w:lang w:val="en-US"/>
        </w:rPr>
        <w:t xml:space="preserve"> and that the witness </w:t>
      </w:r>
      <w:r w:rsidR="00087093" w:rsidRPr="002E60EB">
        <w:rPr>
          <w:rFonts w:eastAsia="Calibri" w:cs="Arial"/>
          <w:sz w:val="20"/>
          <w:szCs w:val="20"/>
          <w:lang w:val="en-US"/>
        </w:rPr>
        <w:t>“</w:t>
      </w:r>
      <w:r w:rsidRPr="002E60EB">
        <w:rPr>
          <w:rFonts w:eastAsia="Calibri" w:cs="Arial"/>
          <w:sz w:val="20"/>
          <w:szCs w:val="20"/>
          <w:lang w:val="en-US"/>
        </w:rPr>
        <w:t xml:space="preserve">only observed the person who asked for her husband through a </w:t>
      </w:r>
      <w:r w:rsidR="0082506C" w:rsidRPr="002E60EB">
        <w:rPr>
          <w:rFonts w:eastAsia="Calibri" w:cs="Arial"/>
          <w:sz w:val="20"/>
          <w:szCs w:val="20"/>
          <w:lang w:val="en-US"/>
        </w:rPr>
        <w:t>small opening</w:t>
      </w:r>
      <w:r w:rsidRPr="002E60EB">
        <w:rPr>
          <w:rFonts w:eastAsia="Calibri" w:cs="Arial"/>
          <w:sz w:val="20"/>
          <w:szCs w:val="20"/>
          <w:lang w:val="en-US"/>
        </w:rPr>
        <w:t xml:space="preserve">, which reduce[d] the veracity of the description of the </w:t>
      </w:r>
      <w:r w:rsidR="0082506C" w:rsidRPr="002E60EB">
        <w:rPr>
          <w:rFonts w:eastAsia="Calibri" w:cs="Arial"/>
          <w:sz w:val="20"/>
          <w:szCs w:val="20"/>
          <w:lang w:val="en-US"/>
        </w:rPr>
        <w:t>person concerned</w:t>
      </w:r>
      <w:r w:rsidRPr="002E60EB">
        <w:rPr>
          <w:rFonts w:eastAsia="Calibri" w:cs="Arial"/>
          <w:sz w:val="20"/>
          <w:szCs w:val="20"/>
          <w:lang w:val="en-US"/>
        </w:rPr>
        <w:t xml:space="preserve"> and</w:t>
      </w:r>
      <w:r w:rsidR="00351D83" w:rsidRPr="002E60EB">
        <w:rPr>
          <w:rFonts w:eastAsia="Calibri" w:cs="Arial"/>
          <w:sz w:val="20"/>
          <w:szCs w:val="20"/>
          <w:lang w:val="en-US"/>
        </w:rPr>
        <w:t>,</w:t>
      </w:r>
      <w:r w:rsidRPr="002E60EB">
        <w:rPr>
          <w:rFonts w:eastAsia="Calibri" w:cs="Arial"/>
          <w:sz w:val="20"/>
          <w:szCs w:val="20"/>
          <w:lang w:val="en-US"/>
        </w:rPr>
        <w:t xml:space="preserve"> </w:t>
      </w:r>
      <w:r w:rsidR="003A3DE6" w:rsidRPr="002E60EB">
        <w:rPr>
          <w:rFonts w:eastAsia="Calibri" w:cs="Arial"/>
          <w:sz w:val="20"/>
          <w:szCs w:val="20"/>
          <w:lang w:val="en-US"/>
        </w:rPr>
        <w:t>consequently</w:t>
      </w:r>
      <w:r w:rsidR="00351D83" w:rsidRPr="002E60EB">
        <w:rPr>
          <w:rFonts w:eastAsia="Calibri" w:cs="Arial"/>
          <w:sz w:val="20"/>
          <w:szCs w:val="20"/>
          <w:lang w:val="en-US"/>
        </w:rPr>
        <w:t>,</w:t>
      </w:r>
      <w:r w:rsidRPr="002E60EB">
        <w:rPr>
          <w:rFonts w:eastAsia="Calibri" w:cs="Arial"/>
          <w:sz w:val="20"/>
          <w:szCs w:val="20"/>
          <w:lang w:val="en-US"/>
        </w:rPr>
        <w:t xml:space="preserve"> </w:t>
      </w:r>
      <w:r w:rsidR="003A3DE6" w:rsidRPr="002E60EB">
        <w:rPr>
          <w:rFonts w:eastAsia="Calibri" w:cs="Arial"/>
          <w:sz w:val="20"/>
          <w:szCs w:val="20"/>
          <w:lang w:val="en-US"/>
        </w:rPr>
        <w:t>invalidated</w:t>
      </w:r>
      <w:r w:rsidRPr="002E60EB">
        <w:rPr>
          <w:rFonts w:eastAsia="Calibri" w:cs="Arial"/>
          <w:sz w:val="20"/>
          <w:szCs w:val="20"/>
          <w:lang w:val="en-US"/>
        </w:rPr>
        <w:t xml:space="preserve"> the report </w:t>
      </w:r>
      <w:r w:rsidR="00351D83" w:rsidRPr="002E60EB">
        <w:rPr>
          <w:rFonts w:eastAsia="Calibri" w:cs="Arial"/>
          <w:sz w:val="20"/>
          <w:szCs w:val="20"/>
          <w:lang w:val="en-US"/>
        </w:rPr>
        <w:t xml:space="preserve">prepared </w:t>
      </w:r>
      <w:r w:rsidRPr="002E60EB">
        <w:rPr>
          <w:rFonts w:eastAsia="Calibri" w:cs="Arial"/>
          <w:sz w:val="20"/>
          <w:szCs w:val="20"/>
          <w:lang w:val="en-US"/>
        </w:rPr>
        <w:t>by the Special Investigations</w:t>
      </w:r>
      <w:r w:rsidR="00351D83" w:rsidRPr="002E60EB">
        <w:rPr>
          <w:rFonts w:eastAsia="Calibri" w:cs="Arial"/>
          <w:sz w:val="20"/>
          <w:szCs w:val="20"/>
          <w:lang w:val="en-US"/>
        </w:rPr>
        <w:t xml:space="preserve"> Directorate</w:t>
      </w:r>
      <w:r w:rsidRPr="002E60EB">
        <w:rPr>
          <w:rFonts w:eastAsia="Calibri" w:cs="Arial"/>
          <w:sz w:val="20"/>
          <w:szCs w:val="20"/>
          <w:lang w:val="en-US"/>
        </w:rPr>
        <w:t xml:space="preserve"> based on the </w:t>
      </w:r>
      <w:r w:rsidR="00351D83" w:rsidRPr="002E60EB">
        <w:rPr>
          <w:rFonts w:eastAsia="Calibri" w:cs="Arial"/>
          <w:sz w:val="20"/>
          <w:szCs w:val="20"/>
          <w:lang w:val="en-US"/>
        </w:rPr>
        <w:t xml:space="preserve">testimony </w:t>
      </w:r>
      <w:r w:rsidRPr="002E60EB">
        <w:rPr>
          <w:rFonts w:eastAsia="Calibri" w:cs="Arial"/>
          <w:sz w:val="20"/>
          <w:szCs w:val="20"/>
          <w:lang w:val="en-US"/>
        </w:rPr>
        <w:t>of the witness Román Amariles.</w:t>
      </w:r>
      <w:r w:rsidR="00087093" w:rsidRPr="002E60EB">
        <w:rPr>
          <w:rFonts w:eastAsia="Calibri" w:cs="Arial"/>
          <w:sz w:val="20"/>
          <w:szCs w:val="20"/>
          <w:lang w:val="en-US"/>
        </w:rPr>
        <w:t>”</w:t>
      </w:r>
      <w:r w:rsidR="00E67ACE" w:rsidRPr="002E60EB">
        <w:rPr>
          <w:sz w:val="20"/>
          <w:szCs w:val="20"/>
          <w:vertAlign w:val="superscript"/>
          <w:lang w:val="en-US"/>
        </w:rPr>
        <w:footnoteReference w:id="137"/>
      </w:r>
    </w:p>
    <w:p w:rsidR="0084095E" w:rsidRPr="002E60EB" w:rsidRDefault="0084095E" w:rsidP="002711CF">
      <w:pPr>
        <w:tabs>
          <w:tab w:val="left" w:pos="720"/>
        </w:tabs>
        <w:autoSpaceDE w:val="0"/>
        <w:autoSpaceDN w:val="0"/>
        <w:adjustRightInd w:val="0"/>
        <w:jc w:val="both"/>
        <w:rPr>
          <w:rFonts w:eastAsia="Calibri" w:cs="Arial"/>
          <w:lang w:val="en-US"/>
        </w:rPr>
      </w:pPr>
    </w:p>
    <w:p w:rsidR="0084095E" w:rsidRPr="002E60EB" w:rsidRDefault="00351D83" w:rsidP="00317748">
      <w:pPr>
        <w:tabs>
          <w:tab w:val="left" w:pos="720"/>
        </w:tabs>
        <w:autoSpaceDE w:val="0"/>
        <w:autoSpaceDN w:val="0"/>
        <w:adjustRightInd w:val="0"/>
        <w:jc w:val="both"/>
        <w:rPr>
          <w:rFonts w:eastAsia="Calibri" w:cs="Arial"/>
          <w:b/>
          <w:lang w:val="en-US"/>
        </w:rPr>
      </w:pPr>
      <w:r w:rsidRPr="002E60EB">
        <w:rPr>
          <w:rFonts w:eastAsia="Calibri" w:cs="Arial"/>
          <w:b/>
          <w:lang w:val="en-US"/>
        </w:rPr>
        <w:tab/>
      </w:r>
      <w:r w:rsidRPr="002E60EB">
        <w:rPr>
          <w:rFonts w:eastAsia="Calibri" w:cs="Arial"/>
          <w:b/>
          <w:lang w:val="en-US"/>
        </w:rPr>
        <w:tab/>
      </w:r>
      <w:r w:rsidR="0084095E" w:rsidRPr="002E60EB">
        <w:rPr>
          <w:rFonts w:eastAsia="Calibri" w:cs="Arial"/>
          <w:b/>
          <w:lang w:val="en-US"/>
        </w:rPr>
        <w:t>C.2.b)</w:t>
      </w:r>
      <w:r w:rsidR="0084095E" w:rsidRPr="002E60EB">
        <w:rPr>
          <w:rFonts w:eastAsia="Calibri" w:cs="Arial"/>
          <w:b/>
          <w:lang w:val="en-US"/>
        </w:rPr>
        <w:tab/>
        <w:t xml:space="preserve">Criminal investigations </w:t>
      </w:r>
      <w:r w:rsidRPr="002E60EB">
        <w:rPr>
          <w:rFonts w:eastAsia="Calibri" w:cs="Arial"/>
          <w:b/>
          <w:lang w:val="en-US"/>
        </w:rPr>
        <w:t xml:space="preserve">in </w:t>
      </w:r>
      <w:r w:rsidR="0084095E" w:rsidRPr="002E60EB">
        <w:rPr>
          <w:rFonts w:eastAsia="Calibri" w:cs="Arial"/>
          <w:b/>
          <w:lang w:val="en-US"/>
        </w:rPr>
        <w:t>the ordinary jurisdiction</w:t>
      </w:r>
    </w:p>
    <w:p w:rsidR="0084095E" w:rsidRPr="002E60EB" w:rsidRDefault="0084095E" w:rsidP="00317748">
      <w:pPr>
        <w:tabs>
          <w:tab w:val="left" w:pos="720"/>
        </w:tabs>
        <w:autoSpaceDE w:val="0"/>
        <w:autoSpaceDN w:val="0"/>
        <w:adjustRightInd w:val="0"/>
        <w:jc w:val="both"/>
        <w:rPr>
          <w:rFonts w:eastAsia="Calibri" w:cs="Arial"/>
          <w:lang w:val="en-US"/>
        </w:rPr>
      </w:pPr>
    </w:p>
    <w:p w:rsidR="0084095E" w:rsidRPr="002E60EB" w:rsidRDefault="0084095E" w:rsidP="00317748">
      <w:pPr>
        <w:tabs>
          <w:tab w:val="left" w:pos="720"/>
          <w:tab w:val="left" w:pos="1845"/>
        </w:tabs>
        <w:autoSpaceDE w:val="0"/>
        <w:autoSpaceDN w:val="0"/>
        <w:adjustRightInd w:val="0"/>
        <w:ind w:left="1440"/>
        <w:jc w:val="both"/>
        <w:rPr>
          <w:rFonts w:eastAsia="Calibri" w:cs="Arial"/>
          <w:b/>
          <w:lang w:val="en-US"/>
        </w:rPr>
      </w:pPr>
      <w:r w:rsidRPr="002E60EB">
        <w:rPr>
          <w:b/>
          <w:lang w:val="en-US"/>
        </w:rPr>
        <w:t>i)</w:t>
      </w:r>
      <w:r w:rsidRPr="002E60EB">
        <w:rPr>
          <w:b/>
          <w:lang w:val="en-US"/>
        </w:rPr>
        <w:tab/>
      </w:r>
      <w:r w:rsidR="00351D83" w:rsidRPr="002E60EB">
        <w:rPr>
          <w:b/>
          <w:lang w:val="en-US"/>
        </w:rPr>
        <w:t xml:space="preserve">Opened </w:t>
      </w:r>
      <w:r w:rsidRPr="002E60EB">
        <w:rPr>
          <w:b/>
          <w:lang w:val="en-US"/>
        </w:rPr>
        <w:t xml:space="preserve">in 1996, </w:t>
      </w:r>
      <w:r w:rsidR="001E57DA" w:rsidRPr="002E60EB">
        <w:rPr>
          <w:b/>
          <w:lang w:val="en-US"/>
        </w:rPr>
        <w:t>by</w:t>
      </w:r>
      <w:r w:rsidRPr="002E60EB">
        <w:rPr>
          <w:b/>
          <w:lang w:val="en-US"/>
        </w:rPr>
        <w:t xml:space="preserve"> the 243</w:t>
      </w:r>
      <w:r w:rsidR="001E57DA" w:rsidRPr="002E60EB">
        <w:rPr>
          <w:b/>
          <w:lang w:val="en-US"/>
        </w:rPr>
        <w:t>rd</w:t>
      </w:r>
      <w:r w:rsidRPr="002E60EB">
        <w:rPr>
          <w:b/>
          <w:lang w:val="en-US"/>
        </w:rPr>
        <w:t xml:space="preserve"> </w:t>
      </w:r>
      <w:r w:rsidR="001E57DA" w:rsidRPr="002E60EB">
        <w:rPr>
          <w:b/>
          <w:lang w:val="en-US"/>
        </w:rPr>
        <w:t xml:space="preserve">Bogota </w:t>
      </w:r>
      <w:r w:rsidRPr="002E60EB">
        <w:rPr>
          <w:b/>
          <w:lang w:val="en-US"/>
        </w:rPr>
        <w:t>Sectional Prosecutor’s Office</w:t>
      </w:r>
      <w:r w:rsidR="001E57DA" w:rsidRPr="002E60EB">
        <w:rPr>
          <w:b/>
          <w:lang w:val="en-US"/>
        </w:rPr>
        <w:t>, File No. 286969</w:t>
      </w:r>
    </w:p>
    <w:p w:rsidR="0084095E" w:rsidRPr="002E60EB" w:rsidRDefault="0084095E" w:rsidP="00317748">
      <w:pPr>
        <w:pStyle w:val="Prrafodelista"/>
        <w:autoSpaceDE w:val="0"/>
        <w:autoSpaceDN w:val="0"/>
        <w:ind w:left="0"/>
        <w:jc w:val="both"/>
        <w:rPr>
          <w:b/>
          <w:bCs/>
          <w:sz w:val="20"/>
          <w:szCs w:val="20"/>
          <w:lang w:val="en-US"/>
        </w:rPr>
      </w:pPr>
    </w:p>
    <w:p w:rsidR="001E57DA" w:rsidRPr="002E60EB" w:rsidRDefault="001E57DA"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In early</w:t>
      </w:r>
      <w:r w:rsidR="0084095E" w:rsidRPr="002E60EB">
        <w:rPr>
          <w:rFonts w:eastAsia="Calibri" w:cs="Arial"/>
          <w:sz w:val="20"/>
          <w:szCs w:val="20"/>
          <w:lang w:val="en-US"/>
        </w:rPr>
        <w:t xml:space="preserve"> October 1996</w:t>
      </w:r>
      <w:r w:rsidRPr="002E60EB">
        <w:rPr>
          <w:rFonts w:eastAsia="Calibri" w:cs="Arial"/>
          <w:sz w:val="20"/>
          <w:szCs w:val="20"/>
          <w:lang w:val="en-US"/>
        </w:rPr>
        <w:t>,</w:t>
      </w:r>
      <w:r w:rsidR="0084095E" w:rsidRPr="002E60EB">
        <w:rPr>
          <w:rFonts w:eastAsia="Calibri" w:cs="Arial"/>
          <w:sz w:val="20"/>
          <w:szCs w:val="20"/>
          <w:lang w:val="en-US"/>
        </w:rPr>
        <w:t xml:space="preserve"> an investigation was opened </w:t>
      </w:r>
      <w:r w:rsidRPr="002E60EB">
        <w:rPr>
          <w:rFonts w:eastAsia="Calibri" w:cs="Arial"/>
          <w:sz w:val="20"/>
          <w:szCs w:val="20"/>
          <w:lang w:val="en-US"/>
        </w:rPr>
        <w:t xml:space="preserve">by </w:t>
      </w:r>
      <w:r w:rsidR="0084095E" w:rsidRPr="002E60EB">
        <w:rPr>
          <w:rFonts w:eastAsia="Calibri" w:cs="Arial"/>
          <w:sz w:val="20"/>
          <w:szCs w:val="20"/>
          <w:lang w:val="en-US"/>
        </w:rPr>
        <w:t>the 243</w:t>
      </w:r>
      <w:r w:rsidRPr="002E60EB">
        <w:rPr>
          <w:rFonts w:eastAsia="Calibri" w:cs="Arial"/>
          <w:sz w:val="20"/>
          <w:szCs w:val="20"/>
          <w:lang w:val="en-US"/>
        </w:rPr>
        <w:t>rd</w:t>
      </w:r>
      <w:r w:rsidR="0084095E" w:rsidRPr="002E60EB">
        <w:rPr>
          <w:rFonts w:eastAsia="Calibri" w:cs="Arial"/>
          <w:sz w:val="20"/>
          <w:szCs w:val="20"/>
          <w:lang w:val="en-US"/>
        </w:rPr>
        <w:t xml:space="preserve"> </w:t>
      </w:r>
      <w:r w:rsidRPr="002E60EB">
        <w:rPr>
          <w:rFonts w:eastAsia="Calibri" w:cs="Arial"/>
          <w:sz w:val="20"/>
          <w:szCs w:val="20"/>
          <w:lang w:val="en-US"/>
        </w:rPr>
        <w:t xml:space="preserve">Bogota </w:t>
      </w:r>
      <w:r w:rsidR="0084095E" w:rsidRPr="002E60EB">
        <w:rPr>
          <w:rFonts w:eastAsia="Calibri" w:cs="Arial"/>
          <w:sz w:val="20"/>
          <w:szCs w:val="20"/>
          <w:lang w:val="en-US"/>
        </w:rPr>
        <w:t xml:space="preserve">Sectional Prosecutor’s Office for the </w:t>
      </w:r>
      <w:r w:rsidRPr="002E60EB">
        <w:rPr>
          <w:rFonts w:eastAsia="Calibri" w:cs="Arial"/>
          <w:sz w:val="20"/>
          <w:szCs w:val="20"/>
          <w:lang w:val="en-US"/>
        </w:rPr>
        <w:t>offense</w:t>
      </w:r>
      <w:r w:rsidR="0084095E" w:rsidRPr="002E60EB">
        <w:rPr>
          <w:rFonts w:eastAsia="Calibri" w:cs="Arial"/>
          <w:sz w:val="20"/>
          <w:szCs w:val="20"/>
          <w:lang w:val="en-US"/>
        </w:rPr>
        <w:t xml:space="preserve"> of threats. </w:t>
      </w:r>
      <w:r w:rsidRPr="002E60EB">
        <w:rPr>
          <w:rFonts w:eastAsia="Calibri" w:cs="Arial"/>
          <w:sz w:val="20"/>
          <w:szCs w:val="20"/>
          <w:lang w:val="en-US"/>
        </w:rPr>
        <w:t>Towards</w:t>
      </w:r>
      <w:r w:rsidR="0084095E" w:rsidRPr="002E60EB">
        <w:rPr>
          <w:rFonts w:eastAsia="Calibri" w:cs="Arial"/>
          <w:sz w:val="20"/>
          <w:szCs w:val="20"/>
          <w:lang w:val="en-US"/>
        </w:rPr>
        <w:t xml:space="preserve"> the end of November 1996</w:t>
      </w:r>
      <w:r w:rsidRPr="002E60EB">
        <w:rPr>
          <w:rFonts w:eastAsia="Calibri" w:cs="Arial"/>
          <w:sz w:val="20"/>
          <w:szCs w:val="20"/>
          <w:lang w:val="en-US"/>
        </w:rPr>
        <w:t>,</w:t>
      </w:r>
      <w:r w:rsidR="0084095E" w:rsidRPr="002E60EB">
        <w:rPr>
          <w:rFonts w:eastAsia="Calibri" w:cs="Arial"/>
          <w:sz w:val="20"/>
          <w:szCs w:val="20"/>
          <w:lang w:val="en-US"/>
        </w:rPr>
        <w:t xml:space="preserve"> </w:t>
      </w:r>
      <w:r w:rsidRPr="002E60EB">
        <w:rPr>
          <w:rFonts w:eastAsia="Calibri" w:cs="Arial"/>
          <w:sz w:val="20"/>
          <w:szCs w:val="20"/>
          <w:lang w:val="en-US"/>
        </w:rPr>
        <w:t xml:space="preserve">the Office began to conduct </w:t>
      </w:r>
      <w:r w:rsidR="0084095E" w:rsidRPr="002E60EB">
        <w:rPr>
          <w:rFonts w:eastAsia="Calibri" w:cs="Arial"/>
          <w:sz w:val="20"/>
          <w:szCs w:val="20"/>
          <w:lang w:val="en-US"/>
        </w:rPr>
        <w:t>investigati</w:t>
      </w:r>
      <w:r w:rsidRPr="002E60EB">
        <w:rPr>
          <w:rFonts w:eastAsia="Calibri" w:cs="Arial"/>
          <w:sz w:val="20"/>
          <w:szCs w:val="20"/>
          <w:lang w:val="en-US"/>
        </w:rPr>
        <w:t>ve procedures</w:t>
      </w:r>
      <w:r w:rsidR="0084095E" w:rsidRPr="002E60EB">
        <w:rPr>
          <w:rFonts w:eastAsia="Calibri" w:cs="Arial"/>
          <w:sz w:val="20"/>
          <w:szCs w:val="20"/>
          <w:lang w:val="en-US"/>
        </w:rPr>
        <w:t>.</w:t>
      </w:r>
      <w:r w:rsidRPr="002E60EB">
        <w:rPr>
          <w:rStyle w:val="Refdenotaalpie"/>
          <w:sz w:val="20"/>
          <w:szCs w:val="20"/>
          <w:lang w:val="en-US"/>
        </w:rPr>
        <w:footnoteReference w:id="138"/>
      </w:r>
    </w:p>
    <w:p w:rsidR="0084095E" w:rsidRPr="002E60EB" w:rsidRDefault="0084095E" w:rsidP="00174AEA">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On August 27, 1997</w:t>
      </w:r>
      <w:r w:rsidR="001E57DA" w:rsidRPr="002E60EB">
        <w:rPr>
          <w:rFonts w:eastAsia="Calibri" w:cs="Arial"/>
          <w:sz w:val="20"/>
          <w:szCs w:val="20"/>
          <w:lang w:val="en-US"/>
        </w:rPr>
        <w:t>,</w:t>
      </w:r>
      <w:r w:rsidRPr="002E60EB">
        <w:rPr>
          <w:rFonts w:eastAsia="Calibri" w:cs="Arial"/>
          <w:sz w:val="20"/>
          <w:szCs w:val="20"/>
          <w:lang w:val="en-US"/>
        </w:rPr>
        <w:t xml:space="preserve"> Mr. Vélez </w:t>
      </w:r>
      <w:r w:rsidR="001E57DA" w:rsidRPr="002E60EB">
        <w:rPr>
          <w:rFonts w:eastAsia="Calibri" w:cs="Arial"/>
          <w:sz w:val="20"/>
          <w:szCs w:val="20"/>
          <w:lang w:val="en-US"/>
        </w:rPr>
        <w:t xml:space="preserve">gave testimony </w:t>
      </w:r>
      <w:r w:rsidRPr="002E60EB">
        <w:rPr>
          <w:rFonts w:eastAsia="Calibri" w:cs="Arial"/>
          <w:sz w:val="20"/>
          <w:szCs w:val="20"/>
          <w:lang w:val="en-US"/>
        </w:rPr>
        <w:t>before the 243</w:t>
      </w:r>
      <w:r w:rsidR="001E57DA" w:rsidRPr="002E60EB">
        <w:rPr>
          <w:rFonts w:eastAsia="Calibri" w:cs="Arial"/>
          <w:sz w:val="20"/>
          <w:szCs w:val="20"/>
          <w:lang w:val="en-US"/>
        </w:rPr>
        <w:t>rd</w:t>
      </w:r>
      <w:r w:rsidRPr="002E60EB">
        <w:rPr>
          <w:rFonts w:eastAsia="Calibri" w:cs="Arial"/>
          <w:sz w:val="20"/>
          <w:szCs w:val="20"/>
          <w:lang w:val="en-US"/>
        </w:rPr>
        <w:t xml:space="preserve"> </w:t>
      </w:r>
      <w:r w:rsidR="001E57DA" w:rsidRPr="002E60EB">
        <w:rPr>
          <w:rFonts w:eastAsia="Calibri" w:cs="Arial"/>
          <w:sz w:val="20"/>
          <w:szCs w:val="20"/>
          <w:lang w:val="en-US"/>
        </w:rPr>
        <w:t xml:space="preserve">Bogota Sectional </w:t>
      </w:r>
      <w:r w:rsidRPr="002E60EB">
        <w:rPr>
          <w:rFonts w:eastAsia="Calibri" w:cs="Arial"/>
          <w:sz w:val="20"/>
          <w:szCs w:val="20"/>
          <w:lang w:val="en-US"/>
        </w:rPr>
        <w:t xml:space="preserve">Prosecutor’s Office in which he referred to the threats he </w:t>
      </w:r>
      <w:r w:rsidR="001E57DA" w:rsidRPr="002E60EB">
        <w:rPr>
          <w:rFonts w:eastAsia="Calibri" w:cs="Arial"/>
          <w:sz w:val="20"/>
          <w:szCs w:val="20"/>
          <w:lang w:val="en-US"/>
        </w:rPr>
        <w:t xml:space="preserve">had </w:t>
      </w:r>
      <w:r w:rsidRPr="002E60EB">
        <w:rPr>
          <w:rFonts w:eastAsia="Calibri" w:cs="Arial"/>
          <w:sz w:val="20"/>
          <w:szCs w:val="20"/>
          <w:lang w:val="en-US"/>
        </w:rPr>
        <w:t xml:space="preserve">received </w:t>
      </w:r>
      <w:r w:rsidR="001E57DA" w:rsidRPr="002E60EB">
        <w:rPr>
          <w:rFonts w:eastAsia="Calibri" w:cs="Arial"/>
          <w:sz w:val="20"/>
          <w:szCs w:val="20"/>
          <w:lang w:val="en-US"/>
        </w:rPr>
        <w:t>by tele</w:t>
      </w:r>
      <w:r w:rsidRPr="002E60EB">
        <w:rPr>
          <w:rFonts w:eastAsia="Calibri" w:cs="Arial"/>
          <w:sz w:val="20"/>
          <w:szCs w:val="20"/>
          <w:lang w:val="en-US"/>
        </w:rPr>
        <w:t>phone and indicated that the last threats had occurred in February that year and that</w:t>
      </w:r>
      <w:r w:rsidR="001E57DA" w:rsidRPr="002E60EB">
        <w:rPr>
          <w:rFonts w:eastAsia="Calibri" w:cs="Arial"/>
          <w:sz w:val="20"/>
          <w:szCs w:val="20"/>
          <w:lang w:val="en-US"/>
        </w:rPr>
        <w:t>, since then,</w:t>
      </w:r>
      <w:r w:rsidRPr="002E60EB">
        <w:rPr>
          <w:rFonts w:eastAsia="Calibri" w:cs="Arial"/>
          <w:sz w:val="20"/>
          <w:szCs w:val="20"/>
          <w:lang w:val="en-US"/>
        </w:rPr>
        <w:t xml:space="preserve"> he had not </w:t>
      </w:r>
      <w:r w:rsidR="001E57DA" w:rsidRPr="002E60EB">
        <w:rPr>
          <w:rFonts w:eastAsia="Calibri" w:cs="Arial"/>
          <w:sz w:val="20"/>
          <w:szCs w:val="20"/>
          <w:lang w:val="en-US"/>
        </w:rPr>
        <w:t xml:space="preserve">received </w:t>
      </w:r>
      <w:r w:rsidRPr="002E60EB">
        <w:rPr>
          <w:rFonts w:eastAsia="Calibri" w:cs="Arial"/>
          <w:sz w:val="20"/>
          <w:szCs w:val="20"/>
          <w:lang w:val="en-US"/>
        </w:rPr>
        <w:t xml:space="preserve">any more. He </w:t>
      </w:r>
      <w:r w:rsidR="003A3DE6" w:rsidRPr="002E60EB">
        <w:rPr>
          <w:rFonts w:eastAsia="Calibri" w:cs="Arial"/>
          <w:sz w:val="20"/>
          <w:szCs w:val="20"/>
          <w:lang w:val="en-US"/>
        </w:rPr>
        <w:t>indicated</w:t>
      </w:r>
      <w:r w:rsidRPr="002E60EB">
        <w:rPr>
          <w:rFonts w:eastAsia="Calibri" w:cs="Arial"/>
          <w:sz w:val="20"/>
          <w:szCs w:val="20"/>
          <w:lang w:val="en-US"/>
        </w:rPr>
        <w:t xml:space="preserve"> that he </w:t>
      </w:r>
      <w:r w:rsidR="001E57DA" w:rsidRPr="002E60EB">
        <w:rPr>
          <w:rFonts w:eastAsia="Calibri" w:cs="Arial"/>
          <w:sz w:val="20"/>
          <w:szCs w:val="20"/>
          <w:lang w:val="en-US"/>
        </w:rPr>
        <w:t xml:space="preserve">believed that </w:t>
      </w:r>
      <w:r w:rsidRPr="002E60EB">
        <w:rPr>
          <w:rFonts w:eastAsia="Calibri" w:cs="Arial"/>
          <w:sz w:val="20"/>
          <w:szCs w:val="20"/>
          <w:lang w:val="en-US"/>
        </w:rPr>
        <w:t xml:space="preserve">the threats were </w:t>
      </w:r>
      <w:r w:rsidR="001E57DA" w:rsidRPr="002E60EB">
        <w:rPr>
          <w:rFonts w:eastAsia="Calibri" w:cs="Arial"/>
          <w:sz w:val="20"/>
          <w:szCs w:val="20"/>
          <w:lang w:val="en-US"/>
        </w:rPr>
        <w:t>“</w:t>
      </w:r>
      <w:r w:rsidRPr="002E60EB">
        <w:rPr>
          <w:rFonts w:eastAsia="Calibri" w:cs="Arial"/>
          <w:sz w:val="20"/>
          <w:szCs w:val="20"/>
          <w:lang w:val="en-US"/>
        </w:rPr>
        <w:t xml:space="preserve">related to the </w:t>
      </w:r>
      <w:r w:rsidR="001E57DA" w:rsidRPr="002E60EB">
        <w:rPr>
          <w:rFonts w:eastAsia="Calibri" w:cs="Arial"/>
          <w:sz w:val="20"/>
          <w:szCs w:val="20"/>
          <w:lang w:val="en-US"/>
        </w:rPr>
        <w:t xml:space="preserve">incidents </w:t>
      </w:r>
      <w:r w:rsidRPr="002E60EB">
        <w:rPr>
          <w:rFonts w:eastAsia="Calibri" w:cs="Arial"/>
          <w:sz w:val="20"/>
          <w:szCs w:val="20"/>
          <w:lang w:val="en-US"/>
        </w:rPr>
        <w:t xml:space="preserve">that </w:t>
      </w:r>
      <w:r w:rsidR="001E57DA" w:rsidRPr="002E60EB">
        <w:rPr>
          <w:rFonts w:eastAsia="Calibri" w:cs="Arial"/>
          <w:sz w:val="20"/>
          <w:szCs w:val="20"/>
          <w:lang w:val="en-US"/>
        </w:rPr>
        <w:t xml:space="preserve">took place </w:t>
      </w:r>
      <w:r w:rsidRPr="002E60EB">
        <w:rPr>
          <w:rFonts w:eastAsia="Calibri" w:cs="Arial"/>
          <w:sz w:val="20"/>
          <w:szCs w:val="20"/>
          <w:lang w:val="en-US"/>
        </w:rPr>
        <w:t>in Caquetá on August 29, [1996],</w:t>
      </w:r>
      <w:r w:rsidR="00087093" w:rsidRPr="002E60EB">
        <w:rPr>
          <w:rFonts w:eastAsia="Calibri" w:cs="Arial"/>
          <w:sz w:val="20"/>
          <w:szCs w:val="20"/>
          <w:lang w:val="en-US"/>
        </w:rPr>
        <w:t>”</w:t>
      </w:r>
      <w:r w:rsidRPr="002E60EB">
        <w:rPr>
          <w:rFonts w:eastAsia="Calibri" w:cs="Arial"/>
          <w:sz w:val="20"/>
          <w:szCs w:val="20"/>
          <w:lang w:val="en-US"/>
        </w:rPr>
        <w:t xml:space="preserve"> </w:t>
      </w:r>
      <w:r w:rsidR="00E67ACE" w:rsidRPr="002E60EB">
        <w:rPr>
          <w:rFonts w:eastAsia="Calibri" w:cs="Arial"/>
          <w:sz w:val="20"/>
          <w:szCs w:val="20"/>
          <w:lang w:val="en-US"/>
        </w:rPr>
        <w:t>regarding</w:t>
      </w:r>
      <w:r w:rsidRPr="002E60EB">
        <w:rPr>
          <w:rFonts w:eastAsia="Calibri" w:cs="Arial"/>
          <w:sz w:val="20"/>
          <w:szCs w:val="20"/>
          <w:lang w:val="en-US"/>
        </w:rPr>
        <w:t xml:space="preserve"> which he had filed a complaint. </w:t>
      </w:r>
      <w:r w:rsidR="00E67ACE" w:rsidRPr="002E60EB">
        <w:rPr>
          <w:rFonts w:eastAsia="Calibri" w:cs="Arial"/>
          <w:sz w:val="20"/>
          <w:szCs w:val="20"/>
          <w:lang w:val="en-US"/>
        </w:rPr>
        <w:t>In addition</w:t>
      </w:r>
      <w:r w:rsidRPr="002E60EB">
        <w:rPr>
          <w:rFonts w:eastAsia="Calibri" w:cs="Arial"/>
          <w:sz w:val="20"/>
          <w:szCs w:val="20"/>
          <w:lang w:val="en-US"/>
        </w:rPr>
        <w:t xml:space="preserve">, he explained the consequences </w:t>
      </w:r>
      <w:r w:rsidR="003A3DE6" w:rsidRPr="002E60EB">
        <w:rPr>
          <w:rFonts w:eastAsia="Calibri" w:cs="Arial"/>
          <w:sz w:val="20"/>
          <w:szCs w:val="20"/>
          <w:lang w:val="en-US"/>
        </w:rPr>
        <w:t xml:space="preserve">of </w:t>
      </w:r>
      <w:r w:rsidR="00E67ACE" w:rsidRPr="002E60EB">
        <w:rPr>
          <w:rFonts w:eastAsia="Calibri" w:cs="Arial"/>
          <w:sz w:val="20"/>
          <w:szCs w:val="20"/>
          <w:lang w:val="en-US"/>
        </w:rPr>
        <w:t>these</w:t>
      </w:r>
      <w:r w:rsidRPr="002E60EB">
        <w:rPr>
          <w:rFonts w:eastAsia="Calibri" w:cs="Arial"/>
          <w:sz w:val="20"/>
          <w:szCs w:val="20"/>
          <w:lang w:val="en-US"/>
        </w:rPr>
        <w:t xml:space="preserve"> threats on his life and that of his family, indicating that </w:t>
      </w:r>
      <w:r w:rsidR="00E67ACE" w:rsidRPr="002E60EB">
        <w:rPr>
          <w:rFonts w:eastAsia="Calibri" w:cs="Arial"/>
          <w:sz w:val="20"/>
          <w:szCs w:val="20"/>
          <w:lang w:val="en-US"/>
        </w:rPr>
        <w:t>he “</w:t>
      </w:r>
      <w:r w:rsidRPr="002E60EB">
        <w:rPr>
          <w:rFonts w:eastAsia="Calibri" w:cs="Arial"/>
          <w:sz w:val="20"/>
          <w:szCs w:val="20"/>
          <w:lang w:val="en-US"/>
        </w:rPr>
        <w:t xml:space="preserve">had to </w:t>
      </w:r>
      <w:r w:rsidR="00E67ACE" w:rsidRPr="002E60EB">
        <w:rPr>
          <w:rFonts w:eastAsia="Calibri" w:cs="Arial"/>
          <w:sz w:val="20"/>
          <w:szCs w:val="20"/>
          <w:lang w:val="en-US"/>
        </w:rPr>
        <w:t xml:space="preserve">leave </w:t>
      </w:r>
      <w:r w:rsidRPr="002E60EB">
        <w:rPr>
          <w:rFonts w:eastAsia="Calibri" w:cs="Arial"/>
          <w:sz w:val="20"/>
          <w:szCs w:val="20"/>
          <w:lang w:val="en-US"/>
        </w:rPr>
        <w:t xml:space="preserve">the city for </w:t>
      </w:r>
      <w:r w:rsidR="00E67ACE" w:rsidRPr="002E60EB">
        <w:rPr>
          <w:rFonts w:eastAsia="Calibri" w:cs="Arial"/>
          <w:sz w:val="20"/>
          <w:szCs w:val="20"/>
          <w:lang w:val="en-US"/>
        </w:rPr>
        <w:t xml:space="preserve">almost </w:t>
      </w:r>
      <w:r w:rsidRPr="002E60EB">
        <w:rPr>
          <w:rFonts w:eastAsia="Calibri" w:cs="Arial"/>
          <w:sz w:val="20"/>
          <w:szCs w:val="20"/>
          <w:lang w:val="en-US"/>
        </w:rPr>
        <w:t>six months</w:t>
      </w:r>
      <w:r w:rsidR="00E67ACE" w:rsidRPr="002E60EB">
        <w:rPr>
          <w:rFonts w:eastAsia="Calibri" w:cs="Arial"/>
          <w:sz w:val="20"/>
          <w:szCs w:val="20"/>
          <w:lang w:val="en-US"/>
        </w:rPr>
        <w:t>”</w:t>
      </w:r>
      <w:r w:rsidRPr="002E60EB">
        <w:rPr>
          <w:rFonts w:eastAsia="Calibri" w:cs="Arial"/>
          <w:sz w:val="20"/>
          <w:szCs w:val="20"/>
          <w:lang w:val="en-US"/>
        </w:rPr>
        <w:t xml:space="preserve"> and receive psychological treatment </w:t>
      </w:r>
      <w:r w:rsidR="00087093" w:rsidRPr="002E60EB">
        <w:rPr>
          <w:rFonts w:eastAsia="Calibri" w:cs="Arial"/>
          <w:sz w:val="20"/>
          <w:szCs w:val="20"/>
          <w:lang w:val="en-US"/>
        </w:rPr>
        <w:t>“</w:t>
      </w:r>
      <w:r w:rsidRPr="002E60EB">
        <w:rPr>
          <w:rFonts w:eastAsia="Calibri" w:cs="Arial"/>
          <w:sz w:val="20"/>
          <w:szCs w:val="20"/>
          <w:lang w:val="en-US"/>
        </w:rPr>
        <w:t xml:space="preserve">to </w:t>
      </w:r>
      <w:r w:rsidR="003A3DE6" w:rsidRPr="002E60EB">
        <w:rPr>
          <w:rFonts w:eastAsia="Calibri" w:cs="Arial"/>
          <w:sz w:val="20"/>
          <w:szCs w:val="20"/>
          <w:lang w:val="en-US"/>
        </w:rPr>
        <w:t xml:space="preserve">help him </w:t>
      </w:r>
      <w:r w:rsidRPr="002E60EB">
        <w:rPr>
          <w:rFonts w:eastAsia="Calibri" w:cs="Arial"/>
          <w:sz w:val="20"/>
          <w:szCs w:val="20"/>
          <w:lang w:val="en-US"/>
        </w:rPr>
        <w:t>o</w:t>
      </w:r>
      <w:r w:rsidR="003A3DE6" w:rsidRPr="002E60EB">
        <w:rPr>
          <w:rFonts w:eastAsia="Calibri" w:cs="Arial"/>
          <w:sz w:val="20"/>
          <w:szCs w:val="20"/>
          <w:lang w:val="en-US"/>
        </w:rPr>
        <w:t>vercome the trauma</w:t>
      </w:r>
      <w:r w:rsidRPr="002E60EB">
        <w:rPr>
          <w:rFonts w:eastAsia="Calibri" w:cs="Arial"/>
          <w:sz w:val="20"/>
          <w:szCs w:val="20"/>
          <w:lang w:val="en-US"/>
        </w:rPr>
        <w:t>.</w:t>
      </w:r>
      <w:r w:rsidR="00087093" w:rsidRPr="002E60EB">
        <w:rPr>
          <w:rFonts w:eastAsia="Calibri" w:cs="Arial"/>
          <w:sz w:val="20"/>
          <w:szCs w:val="20"/>
          <w:lang w:val="en-US"/>
        </w:rPr>
        <w:t>”</w:t>
      </w:r>
      <w:r w:rsidRPr="002E60EB">
        <w:rPr>
          <w:rStyle w:val="Refdenotaalpie"/>
          <w:rFonts w:cs="Arial"/>
          <w:sz w:val="20"/>
          <w:szCs w:val="20"/>
          <w:lang w:val="en-US"/>
        </w:rPr>
        <w:footnoteReference w:id="139"/>
      </w:r>
    </w:p>
    <w:p w:rsidR="0084095E" w:rsidRPr="002E60EB" w:rsidRDefault="0084095E" w:rsidP="002711CF">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sz w:val="20"/>
          <w:szCs w:val="20"/>
          <w:lang w:val="en-US"/>
        </w:rPr>
        <w:t>On September 1, 1999</w:t>
      </w:r>
      <w:r w:rsidR="00E67ACE" w:rsidRPr="002E60EB">
        <w:rPr>
          <w:sz w:val="20"/>
          <w:szCs w:val="20"/>
          <w:lang w:val="en-US"/>
        </w:rPr>
        <w:t>,</w:t>
      </w:r>
      <w:r w:rsidRPr="002E60EB">
        <w:rPr>
          <w:sz w:val="20"/>
          <w:szCs w:val="20"/>
          <w:lang w:val="en-US"/>
        </w:rPr>
        <w:t xml:space="preserve"> the Prosecutors’ Office issued a</w:t>
      </w:r>
      <w:r w:rsidR="00E67ACE" w:rsidRPr="002E60EB">
        <w:rPr>
          <w:sz w:val="20"/>
          <w:szCs w:val="20"/>
          <w:lang w:val="en-US"/>
        </w:rPr>
        <w:t xml:space="preserve"> decision concluding the inquiry,</w:t>
      </w:r>
      <w:r w:rsidRPr="002E60EB">
        <w:rPr>
          <w:sz w:val="20"/>
          <w:szCs w:val="20"/>
          <w:lang w:val="en-US"/>
        </w:rPr>
        <w:t xml:space="preserve"> </w:t>
      </w:r>
      <w:r w:rsidR="00E67ACE" w:rsidRPr="002E60EB">
        <w:rPr>
          <w:sz w:val="20"/>
          <w:szCs w:val="20"/>
          <w:lang w:val="en-US"/>
        </w:rPr>
        <w:t xml:space="preserve">on the </w:t>
      </w:r>
      <w:r w:rsidRPr="002E60EB">
        <w:rPr>
          <w:sz w:val="20"/>
          <w:szCs w:val="20"/>
          <w:lang w:val="en-US"/>
        </w:rPr>
        <w:t>bas</w:t>
      </w:r>
      <w:r w:rsidR="00E67ACE" w:rsidRPr="002E60EB">
        <w:rPr>
          <w:sz w:val="20"/>
          <w:szCs w:val="20"/>
          <w:lang w:val="en-US"/>
        </w:rPr>
        <w:t xml:space="preserve">is </w:t>
      </w:r>
      <w:r w:rsidRPr="002E60EB">
        <w:rPr>
          <w:sz w:val="20"/>
          <w:szCs w:val="20"/>
          <w:lang w:val="en-US"/>
        </w:rPr>
        <w:t xml:space="preserve">that </w:t>
      </w:r>
      <w:r w:rsidR="00087093" w:rsidRPr="002E60EB">
        <w:rPr>
          <w:sz w:val="20"/>
          <w:szCs w:val="20"/>
          <w:lang w:val="en-US"/>
        </w:rPr>
        <w:t>“</w:t>
      </w:r>
      <w:r w:rsidR="00E67ACE" w:rsidRPr="002E60EB">
        <w:rPr>
          <w:sz w:val="20"/>
          <w:szCs w:val="20"/>
          <w:lang w:val="en-US"/>
        </w:rPr>
        <w:t xml:space="preserve">the threats against Mr. Luis Gonzalo Vélez, as he himself indicated in his testimony, [are] facts [that] have </w:t>
      </w:r>
      <w:r w:rsidRPr="002E60EB">
        <w:rPr>
          <w:sz w:val="20"/>
          <w:szCs w:val="20"/>
          <w:lang w:val="en-US"/>
        </w:rPr>
        <w:t xml:space="preserve">already </w:t>
      </w:r>
      <w:r w:rsidR="00E67ACE" w:rsidRPr="002E60EB">
        <w:rPr>
          <w:sz w:val="20"/>
          <w:szCs w:val="20"/>
          <w:lang w:val="en-US"/>
        </w:rPr>
        <w:t xml:space="preserve">been the subject of both civil and criminal complaints </w:t>
      </w:r>
      <w:r w:rsidRPr="002E60EB">
        <w:rPr>
          <w:sz w:val="20"/>
          <w:szCs w:val="20"/>
          <w:lang w:val="en-US"/>
        </w:rPr>
        <w:t>before the military criminal justice.</w:t>
      </w:r>
      <w:r w:rsidR="00087093" w:rsidRPr="002E60EB">
        <w:rPr>
          <w:sz w:val="20"/>
          <w:szCs w:val="20"/>
          <w:lang w:val="en-US"/>
        </w:rPr>
        <w:t>”</w:t>
      </w:r>
      <w:r w:rsidRPr="002E60EB">
        <w:rPr>
          <w:sz w:val="20"/>
          <w:szCs w:val="20"/>
          <w:lang w:val="en-US"/>
        </w:rPr>
        <w:t xml:space="preserve"> This decision was made </w:t>
      </w:r>
      <w:r w:rsidR="00E67ACE" w:rsidRPr="002E60EB">
        <w:rPr>
          <w:sz w:val="20"/>
          <w:szCs w:val="20"/>
          <w:lang w:val="en-US"/>
        </w:rPr>
        <w:t xml:space="preserve">final </w:t>
      </w:r>
      <w:r w:rsidRPr="002E60EB">
        <w:rPr>
          <w:sz w:val="20"/>
          <w:szCs w:val="20"/>
          <w:lang w:val="en-US"/>
        </w:rPr>
        <w:t>on September 23, 1999.</w:t>
      </w:r>
      <w:r w:rsidR="00E67ACE" w:rsidRPr="002E60EB">
        <w:rPr>
          <w:rStyle w:val="Refdenotaalpie"/>
          <w:sz w:val="20"/>
          <w:szCs w:val="20"/>
          <w:lang w:val="en-US"/>
        </w:rPr>
        <w:footnoteReference w:id="140"/>
      </w:r>
      <w:r w:rsidRPr="002E60EB">
        <w:rPr>
          <w:sz w:val="20"/>
          <w:szCs w:val="20"/>
          <w:lang w:val="en-US"/>
        </w:rPr>
        <w:t xml:space="preserve"> </w:t>
      </w:r>
    </w:p>
    <w:p w:rsidR="0084095E" w:rsidRPr="002E60EB" w:rsidRDefault="0084095E" w:rsidP="002711CF">
      <w:pPr>
        <w:pStyle w:val="Prrafodelista"/>
        <w:ind w:left="0"/>
        <w:rPr>
          <w:rFonts w:eastAsia="Calibri" w:cs="Arial"/>
          <w:sz w:val="20"/>
          <w:szCs w:val="20"/>
          <w:lang w:val="en-US"/>
        </w:rPr>
      </w:pPr>
    </w:p>
    <w:p w:rsidR="0084095E" w:rsidRPr="002E60EB" w:rsidRDefault="0084095E" w:rsidP="00317748">
      <w:pPr>
        <w:tabs>
          <w:tab w:val="left" w:pos="720"/>
          <w:tab w:val="left" w:pos="1800"/>
        </w:tabs>
        <w:autoSpaceDE w:val="0"/>
        <w:autoSpaceDN w:val="0"/>
        <w:adjustRightInd w:val="0"/>
        <w:ind w:left="1440"/>
        <w:jc w:val="both"/>
        <w:rPr>
          <w:b/>
          <w:lang w:val="en-US"/>
        </w:rPr>
      </w:pPr>
      <w:r w:rsidRPr="002E60EB">
        <w:rPr>
          <w:b/>
          <w:lang w:val="en-US"/>
        </w:rPr>
        <w:t>ii)</w:t>
      </w:r>
      <w:r w:rsidRPr="002E60EB">
        <w:rPr>
          <w:b/>
          <w:lang w:val="en-US"/>
        </w:rPr>
        <w:tab/>
      </w:r>
      <w:r w:rsidR="00E67ACE" w:rsidRPr="002E60EB">
        <w:rPr>
          <w:b/>
          <w:lang w:val="en-US"/>
        </w:rPr>
        <w:t xml:space="preserve">Opened </w:t>
      </w:r>
      <w:r w:rsidRPr="002E60EB">
        <w:rPr>
          <w:b/>
          <w:lang w:val="en-US"/>
        </w:rPr>
        <w:t>in 2007 by the 253</w:t>
      </w:r>
      <w:r w:rsidR="00E67ACE" w:rsidRPr="002E60EB">
        <w:rPr>
          <w:b/>
          <w:vertAlign w:val="superscript"/>
          <w:lang w:val="en-US"/>
        </w:rPr>
        <w:t>rd</w:t>
      </w:r>
      <w:r w:rsidR="00E67ACE" w:rsidRPr="002E60EB">
        <w:rPr>
          <w:b/>
          <w:lang w:val="en-US"/>
        </w:rPr>
        <w:t xml:space="preserve"> Bogota Sectional</w:t>
      </w:r>
      <w:r w:rsidRPr="002E60EB">
        <w:rPr>
          <w:b/>
          <w:lang w:val="en-US"/>
        </w:rPr>
        <w:t xml:space="preserve"> Prosecutors’ Office</w:t>
      </w:r>
      <w:r w:rsidR="00E67ACE" w:rsidRPr="002E60EB">
        <w:rPr>
          <w:b/>
          <w:lang w:val="en-US"/>
        </w:rPr>
        <w:t xml:space="preserve">, File </w:t>
      </w:r>
      <w:r w:rsidRPr="002E60EB">
        <w:rPr>
          <w:b/>
          <w:lang w:val="en-US"/>
        </w:rPr>
        <w:t xml:space="preserve">840718 </w:t>
      </w:r>
    </w:p>
    <w:p w:rsidR="0084095E" w:rsidRPr="002E60EB" w:rsidRDefault="0084095E" w:rsidP="00317748">
      <w:pPr>
        <w:pStyle w:val="Prrafodelista"/>
        <w:autoSpaceDE w:val="0"/>
        <w:autoSpaceDN w:val="0"/>
        <w:ind w:left="0"/>
        <w:jc w:val="both"/>
        <w:rPr>
          <w:b/>
          <w:bCs/>
          <w:sz w:val="20"/>
          <w:szCs w:val="20"/>
          <w:lang w:val="en-US"/>
        </w:rPr>
      </w:pPr>
    </w:p>
    <w:p w:rsidR="0084095E" w:rsidRPr="002E60EB" w:rsidRDefault="00E67AC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 xml:space="preserve">On </w:t>
      </w:r>
      <w:r w:rsidR="0084095E" w:rsidRPr="002E60EB">
        <w:rPr>
          <w:rFonts w:eastAsia="Calibri" w:cs="Arial"/>
          <w:sz w:val="20"/>
          <w:szCs w:val="20"/>
          <w:lang w:val="en-US"/>
        </w:rPr>
        <w:t xml:space="preserve">August </w:t>
      </w:r>
      <w:r w:rsidRPr="002E60EB">
        <w:rPr>
          <w:rFonts w:eastAsia="Calibri" w:cs="Arial"/>
          <w:sz w:val="20"/>
          <w:szCs w:val="20"/>
          <w:lang w:val="en-US"/>
        </w:rPr>
        <w:t xml:space="preserve">23, </w:t>
      </w:r>
      <w:r w:rsidR="0084095E" w:rsidRPr="002E60EB">
        <w:rPr>
          <w:rFonts w:eastAsia="Calibri" w:cs="Arial"/>
          <w:sz w:val="20"/>
          <w:szCs w:val="20"/>
          <w:lang w:val="en-US"/>
        </w:rPr>
        <w:t>2007</w:t>
      </w:r>
      <w:r w:rsidRPr="002E60EB">
        <w:rPr>
          <w:rFonts w:eastAsia="Calibri" w:cs="Arial"/>
          <w:sz w:val="20"/>
          <w:szCs w:val="20"/>
          <w:lang w:val="en-US"/>
        </w:rPr>
        <w:t>,</w:t>
      </w:r>
      <w:r w:rsidR="00370453" w:rsidRPr="002E60EB">
        <w:rPr>
          <w:sz w:val="20"/>
          <w:szCs w:val="20"/>
          <w:lang w:val="en-US"/>
        </w:rPr>
        <w:t xml:space="preserve"> the Human Rights and I</w:t>
      </w:r>
      <w:r w:rsidR="00DD7AC3" w:rsidRPr="002E60EB">
        <w:rPr>
          <w:sz w:val="20"/>
          <w:szCs w:val="20"/>
          <w:lang w:val="en-US"/>
        </w:rPr>
        <w:t>nternational Humanitarian Law</w:t>
      </w:r>
      <w:r w:rsidR="00370453" w:rsidRPr="002E60EB">
        <w:rPr>
          <w:sz w:val="20"/>
          <w:szCs w:val="20"/>
          <w:lang w:val="en-US"/>
        </w:rPr>
        <w:t xml:space="preserve"> Directorate of the Ministry of Foreign Affairs sent a note to the National Directora</w:t>
      </w:r>
      <w:r w:rsidR="00DD7AC3" w:rsidRPr="002E60EB">
        <w:rPr>
          <w:sz w:val="20"/>
          <w:szCs w:val="20"/>
          <w:lang w:val="en-US"/>
        </w:rPr>
        <w:t>te of Prosecutors’ Offices asking</w:t>
      </w:r>
      <w:r w:rsidR="00370453" w:rsidRPr="002E60EB">
        <w:rPr>
          <w:sz w:val="20"/>
          <w:szCs w:val="20"/>
          <w:lang w:val="en-US"/>
        </w:rPr>
        <w:t xml:space="preserve"> it to consider whether it would be pertinent to “merge competences” in relation to the ongoing investigations under the military criminal justice system in relation to the case of Mr. Vélez Restrepo, “that is also being processed at this time before the inter-American human rights system.” On December 13, 2007, the Legal Group of the National Directorate of Prosecutors’ Offices asked the Sectional Directorate of Prosecutors’ Offices of Florencia to “appoint a prosecutor.” </w:t>
      </w:r>
      <w:r w:rsidR="00370453" w:rsidRPr="002E60EB">
        <w:rPr>
          <w:rFonts w:eastAsia="Calibri" w:cs="Arial"/>
          <w:sz w:val="20"/>
          <w:szCs w:val="20"/>
          <w:lang w:val="en-US"/>
        </w:rPr>
        <w:t>The</w:t>
      </w:r>
      <w:r w:rsidR="0084095E" w:rsidRPr="002E60EB">
        <w:rPr>
          <w:rFonts w:eastAsia="Calibri" w:cs="Arial"/>
          <w:sz w:val="20"/>
          <w:szCs w:val="20"/>
          <w:lang w:val="en-US"/>
        </w:rPr>
        <w:t xml:space="preserve"> investigation</w:t>
      </w:r>
      <w:r w:rsidR="00370453" w:rsidRPr="002E60EB">
        <w:rPr>
          <w:rFonts w:eastAsia="Calibri" w:cs="Arial"/>
          <w:sz w:val="20"/>
          <w:szCs w:val="20"/>
          <w:lang w:val="en-US"/>
        </w:rPr>
        <w:t xml:space="preserve"> for the offense of threats </w:t>
      </w:r>
      <w:r w:rsidR="0084095E" w:rsidRPr="002E60EB">
        <w:rPr>
          <w:rFonts w:eastAsia="Calibri" w:cs="Arial"/>
          <w:sz w:val="20"/>
          <w:szCs w:val="20"/>
          <w:lang w:val="en-US"/>
        </w:rPr>
        <w:t>was assigned to three different prosecutors’ offices, until on September 15, 2009</w:t>
      </w:r>
      <w:r w:rsidR="00370453" w:rsidRPr="002E60EB">
        <w:rPr>
          <w:rFonts w:eastAsia="Calibri" w:cs="Arial"/>
          <w:sz w:val="20"/>
          <w:szCs w:val="20"/>
          <w:lang w:val="en-US"/>
        </w:rPr>
        <w:t xml:space="preserve">, </w:t>
      </w:r>
      <w:r w:rsidR="0084095E" w:rsidRPr="002E60EB">
        <w:rPr>
          <w:rFonts w:eastAsia="Calibri" w:cs="Arial"/>
          <w:sz w:val="20"/>
          <w:szCs w:val="20"/>
          <w:lang w:val="en-US"/>
        </w:rPr>
        <w:t>the 253</w:t>
      </w:r>
      <w:r w:rsidR="00370453" w:rsidRPr="002E60EB">
        <w:rPr>
          <w:rFonts w:eastAsia="Calibri" w:cs="Arial"/>
          <w:sz w:val="20"/>
          <w:szCs w:val="20"/>
          <w:vertAlign w:val="superscript"/>
          <w:lang w:val="en-US"/>
        </w:rPr>
        <w:t>rd</w:t>
      </w:r>
      <w:r w:rsidR="00370453" w:rsidRPr="002E60EB">
        <w:rPr>
          <w:rFonts w:eastAsia="Calibri" w:cs="Arial"/>
          <w:sz w:val="20"/>
          <w:szCs w:val="20"/>
          <w:lang w:val="en-US"/>
        </w:rPr>
        <w:t xml:space="preserve"> Bogota</w:t>
      </w:r>
      <w:r w:rsidR="00DD7AC3" w:rsidRPr="002E60EB">
        <w:rPr>
          <w:rFonts w:eastAsia="Calibri" w:cs="Arial"/>
          <w:sz w:val="20"/>
          <w:szCs w:val="20"/>
          <w:lang w:val="en-US"/>
        </w:rPr>
        <w:t xml:space="preserve"> Sectional Prosecutor’s</w:t>
      </w:r>
      <w:r w:rsidR="0084095E" w:rsidRPr="002E60EB">
        <w:rPr>
          <w:rFonts w:eastAsia="Calibri" w:cs="Arial"/>
          <w:sz w:val="20"/>
          <w:szCs w:val="20"/>
          <w:lang w:val="en-US"/>
        </w:rPr>
        <w:t xml:space="preserve"> Office assumed the investigation and</w:t>
      </w:r>
      <w:r w:rsidR="00370453" w:rsidRPr="002E60EB">
        <w:rPr>
          <w:rFonts w:eastAsia="Calibri" w:cs="Arial"/>
          <w:sz w:val="20"/>
          <w:szCs w:val="20"/>
          <w:lang w:val="en-US"/>
        </w:rPr>
        <w:t>,</w:t>
      </w:r>
      <w:r w:rsidR="0084095E" w:rsidRPr="002E60EB">
        <w:rPr>
          <w:rFonts w:eastAsia="Calibri" w:cs="Arial"/>
          <w:sz w:val="20"/>
          <w:szCs w:val="20"/>
          <w:lang w:val="en-US"/>
        </w:rPr>
        <w:t xml:space="preserve"> in the following months</w:t>
      </w:r>
      <w:r w:rsidR="00370453" w:rsidRPr="002E60EB">
        <w:rPr>
          <w:rFonts w:eastAsia="Calibri" w:cs="Arial"/>
          <w:sz w:val="20"/>
          <w:szCs w:val="20"/>
          <w:lang w:val="en-US"/>
        </w:rPr>
        <w:t>,</w:t>
      </w:r>
      <w:r w:rsidR="0084095E" w:rsidRPr="002E60EB">
        <w:rPr>
          <w:rFonts w:eastAsia="Calibri" w:cs="Arial"/>
          <w:sz w:val="20"/>
          <w:szCs w:val="20"/>
          <w:lang w:val="en-US"/>
        </w:rPr>
        <w:t xml:space="preserve"> ordered several </w:t>
      </w:r>
      <w:r w:rsidR="00DD7AC3" w:rsidRPr="002E60EB">
        <w:rPr>
          <w:rFonts w:eastAsia="Calibri" w:cs="Arial"/>
          <w:sz w:val="20"/>
          <w:szCs w:val="20"/>
          <w:lang w:val="en-US"/>
        </w:rPr>
        <w:t>measur</w:t>
      </w:r>
      <w:r w:rsidR="00370453" w:rsidRPr="002E60EB">
        <w:rPr>
          <w:rFonts w:eastAsia="Calibri" w:cs="Arial"/>
          <w:sz w:val="20"/>
          <w:szCs w:val="20"/>
          <w:lang w:val="en-US"/>
        </w:rPr>
        <w:t>es.</w:t>
      </w:r>
      <w:r w:rsidR="00370453" w:rsidRPr="002E60EB">
        <w:rPr>
          <w:rStyle w:val="Refdenotaalpie"/>
          <w:sz w:val="20"/>
          <w:szCs w:val="20"/>
          <w:lang w:val="en-US"/>
        </w:rPr>
        <w:footnoteReference w:id="141"/>
      </w:r>
      <w:r w:rsidR="0084095E" w:rsidRPr="002E60EB">
        <w:rPr>
          <w:rFonts w:eastAsia="Calibri" w:cs="Arial"/>
          <w:sz w:val="20"/>
          <w:szCs w:val="20"/>
          <w:lang w:val="en-US"/>
        </w:rPr>
        <w:t xml:space="preserve"> On January 25, 2010</w:t>
      </w:r>
      <w:r w:rsidR="00370453" w:rsidRPr="002E60EB">
        <w:rPr>
          <w:rFonts w:eastAsia="Calibri" w:cs="Arial"/>
          <w:sz w:val="20"/>
          <w:szCs w:val="20"/>
          <w:lang w:val="en-US"/>
        </w:rPr>
        <w:t>,</w:t>
      </w:r>
      <w:r w:rsidR="0084095E" w:rsidRPr="002E60EB">
        <w:rPr>
          <w:rFonts w:eastAsia="Calibri" w:cs="Arial"/>
          <w:sz w:val="20"/>
          <w:szCs w:val="20"/>
          <w:lang w:val="en-US"/>
        </w:rPr>
        <w:t xml:space="preserve"> the 253</w:t>
      </w:r>
      <w:r w:rsidR="00370453" w:rsidRPr="002E60EB">
        <w:rPr>
          <w:rFonts w:eastAsia="Calibri" w:cs="Arial"/>
          <w:sz w:val="20"/>
          <w:szCs w:val="20"/>
          <w:vertAlign w:val="superscript"/>
          <w:lang w:val="en-US"/>
        </w:rPr>
        <w:t>rd</w:t>
      </w:r>
      <w:r w:rsidR="00370453" w:rsidRPr="002E60EB">
        <w:rPr>
          <w:rFonts w:eastAsia="Calibri" w:cs="Arial"/>
          <w:sz w:val="20"/>
          <w:szCs w:val="20"/>
          <w:lang w:val="en-US"/>
        </w:rPr>
        <w:t xml:space="preserve"> Bogota</w:t>
      </w:r>
      <w:r w:rsidR="0084095E" w:rsidRPr="002E60EB">
        <w:rPr>
          <w:rFonts w:eastAsia="Calibri" w:cs="Arial"/>
          <w:sz w:val="20"/>
          <w:szCs w:val="20"/>
          <w:lang w:val="en-US"/>
        </w:rPr>
        <w:t xml:space="preserve"> Sectional Prosecutors’ Office </w:t>
      </w:r>
      <w:r w:rsidR="00370453" w:rsidRPr="002E60EB">
        <w:rPr>
          <w:rFonts w:eastAsia="Calibri" w:cs="Arial"/>
          <w:sz w:val="20"/>
          <w:szCs w:val="20"/>
          <w:lang w:val="en-US"/>
        </w:rPr>
        <w:t>decided</w:t>
      </w:r>
      <w:r w:rsidR="0084095E" w:rsidRPr="002E60EB">
        <w:rPr>
          <w:rFonts w:eastAsia="Calibri" w:cs="Arial"/>
          <w:sz w:val="20"/>
          <w:szCs w:val="20"/>
          <w:lang w:val="en-US"/>
        </w:rPr>
        <w:t xml:space="preserve"> </w:t>
      </w:r>
      <w:r w:rsidR="00087093" w:rsidRPr="002E60EB">
        <w:rPr>
          <w:rFonts w:eastAsia="Calibri" w:cs="Arial"/>
          <w:sz w:val="20"/>
          <w:szCs w:val="20"/>
          <w:lang w:val="en-US"/>
        </w:rPr>
        <w:t>“</w:t>
      </w:r>
      <w:r w:rsidR="0084095E" w:rsidRPr="002E60EB">
        <w:rPr>
          <w:rFonts w:eastAsia="Calibri" w:cs="Arial"/>
          <w:sz w:val="20"/>
          <w:szCs w:val="20"/>
          <w:lang w:val="en-US"/>
        </w:rPr>
        <w:t xml:space="preserve">[t]o abstain from </w:t>
      </w:r>
      <w:r w:rsidR="00370453" w:rsidRPr="002E60EB">
        <w:rPr>
          <w:rFonts w:eastAsia="Calibri" w:cs="Arial"/>
          <w:sz w:val="20"/>
          <w:szCs w:val="20"/>
          <w:lang w:val="en-US"/>
        </w:rPr>
        <w:t xml:space="preserve">opening </w:t>
      </w:r>
      <w:r w:rsidR="0084095E" w:rsidRPr="002E60EB">
        <w:rPr>
          <w:rFonts w:eastAsia="Calibri" w:cs="Arial"/>
          <w:sz w:val="20"/>
          <w:szCs w:val="20"/>
          <w:lang w:val="en-US"/>
        </w:rPr>
        <w:t>preliminary proceedings</w:t>
      </w:r>
      <w:r w:rsidR="00087093" w:rsidRPr="002E60EB">
        <w:rPr>
          <w:rFonts w:eastAsia="Calibri" w:cs="Arial"/>
          <w:sz w:val="20"/>
          <w:szCs w:val="20"/>
          <w:lang w:val="en-US"/>
        </w:rPr>
        <w:t>”</w:t>
      </w:r>
      <w:r w:rsidR="0084095E" w:rsidRPr="002E60EB">
        <w:rPr>
          <w:rFonts w:eastAsia="Calibri" w:cs="Arial"/>
          <w:sz w:val="20"/>
          <w:szCs w:val="20"/>
          <w:lang w:val="en-US"/>
        </w:rPr>
        <w:t xml:space="preserve"> for the </w:t>
      </w:r>
      <w:r w:rsidR="00370453" w:rsidRPr="002E60EB">
        <w:rPr>
          <w:rFonts w:eastAsia="Calibri" w:cs="Arial"/>
          <w:sz w:val="20"/>
          <w:szCs w:val="20"/>
          <w:lang w:val="en-US"/>
        </w:rPr>
        <w:t xml:space="preserve">offense </w:t>
      </w:r>
      <w:r w:rsidR="0084095E" w:rsidRPr="002E60EB">
        <w:rPr>
          <w:rFonts w:eastAsia="Calibri" w:cs="Arial"/>
          <w:sz w:val="20"/>
          <w:szCs w:val="20"/>
          <w:lang w:val="en-US"/>
        </w:rPr>
        <w:t xml:space="preserve">of threats </w:t>
      </w:r>
      <w:r w:rsidR="00370453" w:rsidRPr="002E60EB">
        <w:rPr>
          <w:rFonts w:eastAsia="Calibri" w:cs="Arial"/>
          <w:sz w:val="20"/>
          <w:szCs w:val="20"/>
          <w:lang w:val="en-US"/>
        </w:rPr>
        <w:t xml:space="preserve">because 13 </w:t>
      </w:r>
      <w:r w:rsidR="0084095E" w:rsidRPr="002E60EB">
        <w:rPr>
          <w:rFonts w:eastAsia="Calibri" w:cs="Arial"/>
          <w:sz w:val="20"/>
          <w:szCs w:val="20"/>
          <w:lang w:val="en-US"/>
        </w:rPr>
        <w:t xml:space="preserve">years and six months had </w:t>
      </w:r>
      <w:r w:rsidR="00370453" w:rsidRPr="002E60EB">
        <w:rPr>
          <w:rFonts w:eastAsia="Calibri" w:cs="Arial"/>
          <w:sz w:val="20"/>
          <w:szCs w:val="20"/>
          <w:lang w:val="en-US"/>
        </w:rPr>
        <w:t>elapsed</w:t>
      </w:r>
      <w:r w:rsidR="0084095E" w:rsidRPr="002E60EB">
        <w:rPr>
          <w:rFonts w:eastAsia="Calibri" w:cs="Arial"/>
          <w:sz w:val="20"/>
          <w:szCs w:val="20"/>
          <w:lang w:val="en-US"/>
        </w:rPr>
        <w:t xml:space="preserve"> since the time of the facts investigat</w:t>
      </w:r>
      <w:r w:rsidR="00370453" w:rsidRPr="002E60EB">
        <w:rPr>
          <w:rFonts w:eastAsia="Calibri" w:cs="Arial"/>
          <w:sz w:val="20"/>
          <w:szCs w:val="20"/>
          <w:lang w:val="en-US"/>
        </w:rPr>
        <w:t>ed and,</w:t>
      </w:r>
      <w:r w:rsidR="0084095E" w:rsidRPr="002E60EB">
        <w:rPr>
          <w:rFonts w:eastAsia="Calibri" w:cs="Arial"/>
          <w:sz w:val="20"/>
          <w:szCs w:val="20"/>
          <w:lang w:val="en-US"/>
        </w:rPr>
        <w:t xml:space="preserve"> </w:t>
      </w:r>
      <w:r w:rsidR="00370453" w:rsidRPr="002E60EB">
        <w:rPr>
          <w:rFonts w:eastAsia="Calibri" w:cs="Arial"/>
          <w:sz w:val="20"/>
          <w:szCs w:val="20"/>
          <w:lang w:val="en-US"/>
        </w:rPr>
        <w:t xml:space="preserve">consequently, </w:t>
      </w:r>
      <w:r w:rsidR="00087093" w:rsidRPr="002E60EB">
        <w:rPr>
          <w:rFonts w:eastAsia="Calibri" w:cs="Arial"/>
          <w:sz w:val="20"/>
          <w:szCs w:val="20"/>
          <w:lang w:val="en-US"/>
        </w:rPr>
        <w:t>“</w:t>
      </w:r>
      <w:r w:rsidR="0084095E" w:rsidRPr="002E60EB">
        <w:rPr>
          <w:rFonts w:eastAsia="Calibri" w:cs="Arial"/>
          <w:sz w:val="20"/>
          <w:szCs w:val="20"/>
          <w:lang w:val="en-US"/>
        </w:rPr>
        <w:t>the</w:t>
      </w:r>
      <w:r w:rsidR="00DD7AC3" w:rsidRPr="002E60EB">
        <w:rPr>
          <w:rFonts w:eastAsia="Calibri" w:cs="Arial"/>
          <w:sz w:val="20"/>
          <w:szCs w:val="20"/>
          <w:lang w:val="en-US"/>
        </w:rPr>
        <w:t xml:space="preserve"> </w:t>
      </w:r>
      <w:r w:rsidR="00554903">
        <w:rPr>
          <w:rFonts w:eastAsia="Calibri" w:cs="Arial"/>
          <w:sz w:val="20"/>
          <w:szCs w:val="20"/>
          <w:lang w:val="en-US"/>
        </w:rPr>
        <w:t>statute of limitations</w:t>
      </w:r>
      <w:r w:rsidR="00DD7AC3" w:rsidRPr="002E60EB">
        <w:rPr>
          <w:rFonts w:eastAsia="Calibri" w:cs="Arial"/>
          <w:sz w:val="20"/>
          <w:szCs w:val="20"/>
          <w:lang w:val="en-US"/>
        </w:rPr>
        <w:t xml:space="preserve"> had </w:t>
      </w:r>
      <w:r w:rsidR="00AE5EB5" w:rsidRPr="002E60EB">
        <w:rPr>
          <w:rFonts w:eastAsia="Calibri" w:cs="Arial"/>
          <w:sz w:val="20"/>
          <w:szCs w:val="20"/>
          <w:lang w:val="en-US"/>
        </w:rPr>
        <w:t>taken effect</w:t>
      </w:r>
      <w:r w:rsidR="0084095E" w:rsidRPr="002E60EB">
        <w:rPr>
          <w:rFonts w:eastAsia="Calibri" w:cs="Arial"/>
          <w:sz w:val="20"/>
          <w:szCs w:val="20"/>
          <w:lang w:val="en-US"/>
        </w:rPr>
        <w:t>.</w:t>
      </w:r>
      <w:r w:rsidR="00087093" w:rsidRPr="002E60EB">
        <w:rPr>
          <w:rFonts w:eastAsia="Calibri" w:cs="Arial"/>
          <w:sz w:val="20"/>
          <w:szCs w:val="20"/>
          <w:lang w:val="en-US"/>
        </w:rPr>
        <w:t>”</w:t>
      </w:r>
      <w:r w:rsidR="0084095E" w:rsidRPr="002E60EB">
        <w:rPr>
          <w:rStyle w:val="Refdenotaalpie"/>
          <w:rFonts w:eastAsia="Calibri" w:cs="Arial"/>
          <w:sz w:val="20"/>
          <w:szCs w:val="20"/>
          <w:lang w:val="en-US"/>
        </w:rPr>
        <w:footnoteReference w:id="142"/>
      </w:r>
    </w:p>
    <w:p w:rsidR="0084095E" w:rsidRPr="002E60EB" w:rsidRDefault="0084095E" w:rsidP="002711CF">
      <w:pPr>
        <w:pStyle w:val="Prrafodelista"/>
        <w:tabs>
          <w:tab w:val="left" w:pos="720"/>
        </w:tabs>
        <w:autoSpaceDE w:val="0"/>
        <w:autoSpaceDN w:val="0"/>
        <w:adjustRightInd w:val="0"/>
        <w:ind w:left="0"/>
        <w:jc w:val="both"/>
        <w:rPr>
          <w:rFonts w:eastAsia="Calibri" w:cs="Arial"/>
          <w:sz w:val="20"/>
          <w:szCs w:val="20"/>
          <w:lang w:val="en-US"/>
        </w:rPr>
      </w:pPr>
    </w:p>
    <w:p w:rsidR="0084095E" w:rsidRPr="002E60EB" w:rsidRDefault="0084095E" w:rsidP="00317748">
      <w:pPr>
        <w:pStyle w:val="Prrafodelista"/>
        <w:ind w:left="0" w:firstLine="720"/>
        <w:jc w:val="both"/>
        <w:rPr>
          <w:b/>
          <w:sz w:val="20"/>
          <w:szCs w:val="20"/>
          <w:lang w:val="en-US"/>
        </w:rPr>
      </w:pPr>
      <w:r w:rsidRPr="002E60EB">
        <w:rPr>
          <w:b/>
          <w:sz w:val="20"/>
          <w:szCs w:val="20"/>
          <w:lang w:val="en-US"/>
        </w:rPr>
        <w:t>C.3)</w:t>
      </w:r>
      <w:r w:rsidRPr="002E60EB">
        <w:rPr>
          <w:b/>
          <w:sz w:val="20"/>
          <w:szCs w:val="20"/>
          <w:lang w:val="en-US"/>
        </w:rPr>
        <w:tab/>
      </w:r>
      <w:r w:rsidR="00F81C52" w:rsidRPr="002E60EB">
        <w:rPr>
          <w:b/>
          <w:sz w:val="20"/>
          <w:szCs w:val="20"/>
          <w:lang w:val="en-US"/>
        </w:rPr>
        <w:t xml:space="preserve">Pre-trial </w:t>
      </w:r>
      <w:r w:rsidRPr="002E60EB">
        <w:rPr>
          <w:b/>
          <w:sz w:val="20"/>
          <w:szCs w:val="20"/>
          <w:lang w:val="en-US"/>
        </w:rPr>
        <w:t>administrative conciliation proce</w:t>
      </w:r>
      <w:r w:rsidR="00F81C52" w:rsidRPr="002E60EB">
        <w:rPr>
          <w:b/>
          <w:sz w:val="20"/>
          <w:szCs w:val="20"/>
          <w:lang w:val="en-US"/>
        </w:rPr>
        <w:t>dure</w:t>
      </w:r>
    </w:p>
    <w:p w:rsidR="0084095E" w:rsidRPr="002E60EB" w:rsidRDefault="0084095E" w:rsidP="00317748">
      <w:pPr>
        <w:pStyle w:val="Prrafodelista"/>
        <w:autoSpaceDE w:val="0"/>
        <w:autoSpaceDN w:val="0"/>
        <w:ind w:left="0"/>
        <w:jc w:val="both"/>
        <w:rPr>
          <w:b/>
          <w:bCs/>
          <w:sz w:val="20"/>
          <w:szCs w:val="20"/>
          <w:lang w:val="en-US"/>
        </w:rPr>
      </w:pPr>
    </w:p>
    <w:p w:rsidR="0084095E" w:rsidRPr="002E60EB" w:rsidRDefault="0084095E" w:rsidP="00317748">
      <w:pPr>
        <w:pStyle w:val="Prrafodelista"/>
        <w:numPr>
          <w:ilvl w:val="0"/>
          <w:numId w:val="1"/>
        </w:numPr>
        <w:tabs>
          <w:tab w:val="clear" w:pos="1427"/>
        </w:tabs>
        <w:autoSpaceDE w:val="0"/>
        <w:autoSpaceDN w:val="0"/>
        <w:ind w:left="0"/>
        <w:jc w:val="both"/>
        <w:rPr>
          <w:b/>
          <w:bCs/>
          <w:sz w:val="20"/>
          <w:szCs w:val="20"/>
          <w:lang w:val="en-US"/>
        </w:rPr>
      </w:pPr>
      <w:r w:rsidRPr="002E60EB">
        <w:rPr>
          <w:rFonts w:eastAsia="Calibri" w:cs="Arial"/>
          <w:sz w:val="20"/>
          <w:szCs w:val="20"/>
          <w:lang w:val="en-US"/>
        </w:rPr>
        <w:t>In 1998</w:t>
      </w:r>
      <w:r w:rsidR="00F81C52" w:rsidRPr="002E60EB">
        <w:rPr>
          <w:rFonts w:eastAsia="Calibri" w:cs="Arial"/>
          <w:sz w:val="20"/>
          <w:szCs w:val="20"/>
          <w:lang w:val="en-US"/>
        </w:rPr>
        <w:t>, Raúl Hernández Rodríguez, on behalf of</w:t>
      </w:r>
      <w:r w:rsidRPr="002E60EB">
        <w:rPr>
          <w:rFonts w:eastAsia="Calibri" w:cs="Arial"/>
          <w:sz w:val="20"/>
          <w:szCs w:val="20"/>
          <w:lang w:val="en-US"/>
        </w:rPr>
        <w:t xml:space="preserve"> Mr. Vélez Restrepo and some of his next of kin</w:t>
      </w:r>
      <w:r w:rsidR="00F81C52" w:rsidRPr="002E60EB">
        <w:rPr>
          <w:rFonts w:eastAsia="Calibri" w:cs="Arial"/>
          <w:sz w:val="20"/>
          <w:szCs w:val="20"/>
          <w:lang w:val="en-US"/>
        </w:rPr>
        <w:t>,</w:t>
      </w:r>
      <w:r w:rsidRPr="002E60EB">
        <w:rPr>
          <w:rFonts w:eastAsia="Calibri" w:cs="Arial"/>
          <w:sz w:val="20"/>
          <w:szCs w:val="20"/>
          <w:lang w:val="en-US"/>
        </w:rPr>
        <w:t xml:space="preserve"> filed a request for administrative conciliation </w:t>
      </w:r>
      <w:r w:rsidR="00087093" w:rsidRPr="002E60EB">
        <w:rPr>
          <w:rFonts w:eastAsia="Calibri" w:cs="Arial"/>
          <w:sz w:val="20"/>
          <w:szCs w:val="20"/>
          <w:lang w:val="en-US"/>
        </w:rPr>
        <w:t>“</w:t>
      </w:r>
      <w:r w:rsidRPr="002E60EB">
        <w:rPr>
          <w:rFonts w:eastAsia="Calibri" w:cs="Arial"/>
          <w:sz w:val="20"/>
          <w:szCs w:val="20"/>
          <w:lang w:val="en-US"/>
        </w:rPr>
        <w:t xml:space="preserve">for the personal injuries and </w:t>
      </w:r>
      <w:r w:rsidR="00AE5EB5" w:rsidRPr="002E60EB">
        <w:rPr>
          <w:rFonts w:eastAsia="Calibri" w:cs="Arial"/>
          <w:sz w:val="20"/>
          <w:szCs w:val="20"/>
          <w:lang w:val="en-US"/>
        </w:rPr>
        <w:t>harassment</w:t>
      </w:r>
      <w:r w:rsidRPr="002E60EB">
        <w:rPr>
          <w:rFonts w:eastAsia="Calibri" w:cs="Arial"/>
          <w:sz w:val="20"/>
          <w:szCs w:val="20"/>
          <w:lang w:val="en-US"/>
        </w:rPr>
        <w:t xml:space="preserve"> of Luis Gonzalo Vélez and others.</w:t>
      </w:r>
      <w:r w:rsidR="00087093" w:rsidRPr="002E60EB">
        <w:rPr>
          <w:rFonts w:eastAsia="Calibri" w:cs="Arial"/>
          <w:sz w:val="20"/>
          <w:szCs w:val="20"/>
          <w:lang w:val="en-US"/>
        </w:rPr>
        <w:t>”</w:t>
      </w:r>
      <w:r w:rsidR="00F81C52" w:rsidRPr="002E60EB">
        <w:rPr>
          <w:sz w:val="20"/>
          <w:szCs w:val="20"/>
          <w:vertAlign w:val="superscript"/>
          <w:lang w:val="en-US"/>
        </w:rPr>
        <w:footnoteReference w:id="143"/>
      </w:r>
      <w:r w:rsidRPr="002E60EB">
        <w:rPr>
          <w:rFonts w:eastAsia="Calibri" w:cs="Arial"/>
          <w:sz w:val="20"/>
          <w:szCs w:val="20"/>
          <w:lang w:val="en-US"/>
        </w:rPr>
        <w:t xml:space="preserve"> On November 9, 1998</w:t>
      </w:r>
      <w:r w:rsidR="00F81C52" w:rsidRPr="002E60EB">
        <w:rPr>
          <w:rFonts w:eastAsia="Calibri" w:cs="Arial"/>
          <w:sz w:val="20"/>
          <w:szCs w:val="20"/>
          <w:lang w:val="en-US"/>
        </w:rPr>
        <w:t>,</w:t>
      </w:r>
      <w:r w:rsidRPr="002E60EB">
        <w:rPr>
          <w:rFonts w:eastAsia="Calibri" w:cs="Arial"/>
          <w:sz w:val="20"/>
          <w:szCs w:val="20"/>
          <w:lang w:val="en-US"/>
        </w:rPr>
        <w:t xml:space="preserve"> a </w:t>
      </w:r>
      <w:r w:rsidR="00F81C52" w:rsidRPr="002E60EB">
        <w:rPr>
          <w:rFonts w:eastAsia="Calibri" w:cs="Arial"/>
          <w:sz w:val="20"/>
          <w:szCs w:val="20"/>
          <w:lang w:val="en-US"/>
        </w:rPr>
        <w:t xml:space="preserve">pre-trial </w:t>
      </w:r>
      <w:r w:rsidRPr="002E60EB">
        <w:rPr>
          <w:rFonts w:eastAsia="Calibri" w:cs="Arial"/>
          <w:sz w:val="20"/>
          <w:szCs w:val="20"/>
          <w:lang w:val="en-US"/>
        </w:rPr>
        <w:t xml:space="preserve">conciliation hearing </w:t>
      </w:r>
      <w:r w:rsidR="00F81C52" w:rsidRPr="002E60EB">
        <w:rPr>
          <w:rFonts w:eastAsia="Calibri" w:cs="Arial"/>
          <w:sz w:val="20"/>
          <w:szCs w:val="20"/>
          <w:lang w:val="en-US"/>
        </w:rPr>
        <w:t>was held in</w:t>
      </w:r>
      <w:r w:rsidRPr="002E60EB">
        <w:rPr>
          <w:rFonts w:eastAsia="Calibri" w:cs="Arial"/>
          <w:sz w:val="20"/>
          <w:szCs w:val="20"/>
          <w:lang w:val="en-US"/>
        </w:rPr>
        <w:t xml:space="preserve"> Florencia, Caquetá, </w:t>
      </w:r>
      <w:r w:rsidR="00F81C52" w:rsidRPr="002E60EB">
        <w:rPr>
          <w:rFonts w:eastAsia="Calibri" w:cs="Arial"/>
          <w:sz w:val="20"/>
          <w:szCs w:val="20"/>
          <w:lang w:val="en-US"/>
        </w:rPr>
        <w:t>during</w:t>
      </w:r>
      <w:r w:rsidRPr="002E60EB">
        <w:rPr>
          <w:rFonts w:eastAsia="Calibri" w:cs="Arial"/>
          <w:sz w:val="20"/>
          <w:szCs w:val="20"/>
          <w:lang w:val="en-US"/>
        </w:rPr>
        <w:t xml:space="preserve"> which the </w:t>
      </w:r>
      <w:r w:rsidR="00F81C52" w:rsidRPr="002E60EB">
        <w:rPr>
          <w:rFonts w:eastAsia="Calibri" w:cs="Arial"/>
          <w:sz w:val="20"/>
          <w:szCs w:val="20"/>
          <w:lang w:val="en-US"/>
        </w:rPr>
        <w:t xml:space="preserve">Ministry </w:t>
      </w:r>
      <w:r w:rsidRPr="002E60EB">
        <w:rPr>
          <w:rFonts w:eastAsia="Calibri" w:cs="Arial"/>
          <w:sz w:val="20"/>
          <w:szCs w:val="20"/>
          <w:lang w:val="en-US"/>
        </w:rPr>
        <w:t xml:space="preserve">of Defense presented an offer of </w:t>
      </w:r>
      <w:r w:rsidR="00087093" w:rsidRPr="002E60EB">
        <w:rPr>
          <w:rFonts w:eastAsia="Calibri" w:cs="Arial"/>
          <w:sz w:val="20"/>
          <w:szCs w:val="20"/>
          <w:lang w:val="en-US"/>
        </w:rPr>
        <w:t>“</w:t>
      </w:r>
      <w:r w:rsidRPr="002E60EB">
        <w:rPr>
          <w:rFonts w:eastAsia="Calibri" w:cs="Arial"/>
          <w:sz w:val="20"/>
          <w:szCs w:val="20"/>
          <w:lang w:val="en-US"/>
        </w:rPr>
        <w:t xml:space="preserve">200 grams </w:t>
      </w:r>
      <w:r w:rsidR="00F81C52" w:rsidRPr="002E60EB">
        <w:rPr>
          <w:rFonts w:eastAsia="Calibri" w:cs="Arial"/>
          <w:sz w:val="20"/>
          <w:szCs w:val="20"/>
          <w:lang w:val="en-US"/>
        </w:rPr>
        <w:t xml:space="preserve">of </w:t>
      </w:r>
      <w:r w:rsidRPr="002E60EB">
        <w:rPr>
          <w:rFonts w:eastAsia="Calibri" w:cs="Arial"/>
          <w:sz w:val="20"/>
          <w:szCs w:val="20"/>
          <w:lang w:val="en-US"/>
        </w:rPr>
        <w:t>gold for the injury suffered</w:t>
      </w:r>
      <w:r w:rsidR="00087093" w:rsidRPr="002E60EB">
        <w:rPr>
          <w:rFonts w:eastAsia="Calibri" w:cs="Arial"/>
          <w:sz w:val="20"/>
          <w:szCs w:val="20"/>
          <w:lang w:val="en-US"/>
        </w:rPr>
        <w:t>”</w:t>
      </w:r>
      <w:r w:rsidRPr="002E60EB">
        <w:rPr>
          <w:rFonts w:eastAsia="Calibri" w:cs="Arial"/>
          <w:sz w:val="20"/>
          <w:szCs w:val="20"/>
          <w:lang w:val="en-US"/>
        </w:rPr>
        <w:t xml:space="preserve"> on August 29, 1996, which was </w:t>
      </w:r>
      <w:r w:rsidR="00F81C52" w:rsidRPr="002E60EB">
        <w:rPr>
          <w:rFonts w:eastAsia="Calibri" w:cs="Arial"/>
          <w:sz w:val="20"/>
          <w:szCs w:val="20"/>
          <w:lang w:val="en-US"/>
        </w:rPr>
        <w:t xml:space="preserve">rejected </w:t>
      </w:r>
      <w:r w:rsidRPr="002E60EB">
        <w:rPr>
          <w:rFonts w:eastAsia="Calibri" w:cs="Arial"/>
          <w:sz w:val="20"/>
          <w:szCs w:val="20"/>
          <w:lang w:val="en-US"/>
        </w:rPr>
        <w:t xml:space="preserve">by the petitioners’ </w:t>
      </w:r>
      <w:r w:rsidR="00F81C52" w:rsidRPr="002E60EB">
        <w:rPr>
          <w:rFonts w:eastAsia="Calibri" w:cs="Arial"/>
          <w:sz w:val="20"/>
          <w:szCs w:val="20"/>
          <w:lang w:val="en-US"/>
        </w:rPr>
        <w:t>lawyer</w:t>
      </w:r>
      <w:r w:rsidRPr="002E60EB">
        <w:rPr>
          <w:rFonts w:eastAsia="Calibri" w:cs="Arial"/>
          <w:sz w:val="20"/>
          <w:szCs w:val="20"/>
          <w:lang w:val="en-US"/>
        </w:rPr>
        <w:t>.</w:t>
      </w:r>
      <w:r w:rsidR="00F81C52" w:rsidRPr="002E60EB">
        <w:rPr>
          <w:sz w:val="20"/>
          <w:szCs w:val="20"/>
          <w:vertAlign w:val="superscript"/>
          <w:lang w:val="en-US"/>
        </w:rPr>
        <w:footnoteReference w:id="144"/>
      </w:r>
      <w:r w:rsidRPr="002E60EB">
        <w:rPr>
          <w:rFonts w:eastAsia="Calibri" w:cs="Arial"/>
          <w:sz w:val="20"/>
          <w:szCs w:val="20"/>
          <w:lang w:val="en-US"/>
        </w:rPr>
        <w:t xml:space="preserve"> Neither Mr. Vélez Restrepo, </w:t>
      </w:r>
      <w:r w:rsidR="00AE5EB5" w:rsidRPr="002E60EB">
        <w:rPr>
          <w:rFonts w:eastAsia="Calibri" w:cs="Arial"/>
          <w:sz w:val="20"/>
          <w:szCs w:val="20"/>
          <w:lang w:val="en-US"/>
        </w:rPr>
        <w:t xml:space="preserve">nor </w:t>
      </w:r>
      <w:r w:rsidRPr="002E60EB">
        <w:rPr>
          <w:rFonts w:eastAsia="Calibri" w:cs="Arial"/>
          <w:sz w:val="20"/>
          <w:szCs w:val="20"/>
          <w:lang w:val="en-US"/>
        </w:rPr>
        <w:t xml:space="preserve">his next of kin, </w:t>
      </w:r>
      <w:r w:rsidR="00F81C52" w:rsidRPr="002E60EB">
        <w:rPr>
          <w:rFonts w:eastAsia="Calibri" w:cs="Arial"/>
          <w:sz w:val="20"/>
          <w:szCs w:val="20"/>
          <w:lang w:val="en-US"/>
        </w:rPr>
        <w:t>nor his lawyer</w:t>
      </w:r>
      <w:r w:rsidRPr="002E60EB">
        <w:rPr>
          <w:rFonts w:eastAsia="Calibri" w:cs="Arial"/>
          <w:sz w:val="20"/>
          <w:szCs w:val="20"/>
          <w:lang w:val="en-US"/>
        </w:rPr>
        <w:t xml:space="preserve"> filed a</w:t>
      </w:r>
      <w:r w:rsidR="00F81C52" w:rsidRPr="002E60EB">
        <w:rPr>
          <w:rFonts w:eastAsia="Calibri" w:cs="Arial"/>
          <w:sz w:val="20"/>
          <w:szCs w:val="20"/>
          <w:lang w:val="en-US"/>
        </w:rPr>
        <w:t>ny</w:t>
      </w:r>
      <w:r w:rsidRPr="002E60EB">
        <w:rPr>
          <w:rFonts w:eastAsia="Calibri" w:cs="Arial"/>
          <w:sz w:val="20"/>
          <w:szCs w:val="20"/>
          <w:lang w:val="en-US"/>
        </w:rPr>
        <w:t xml:space="preserve"> complaint before the contentious</w:t>
      </w:r>
      <w:r w:rsidR="00F81C52" w:rsidRPr="002E60EB">
        <w:rPr>
          <w:rFonts w:eastAsia="Calibri" w:cs="Arial"/>
          <w:sz w:val="20"/>
          <w:szCs w:val="20"/>
          <w:lang w:val="en-US"/>
        </w:rPr>
        <w:t>-</w:t>
      </w:r>
      <w:r w:rsidRPr="002E60EB">
        <w:rPr>
          <w:rFonts w:eastAsia="Calibri" w:cs="Arial"/>
          <w:sz w:val="20"/>
          <w:szCs w:val="20"/>
          <w:lang w:val="en-US"/>
        </w:rPr>
        <w:t>administrative jurisdiction.</w:t>
      </w:r>
    </w:p>
    <w:p w:rsidR="0084095E" w:rsidRPr="002E60EB" w:rsidRDefault="0084095E" w:rsidP="002711CF">
      <w:pPr>
        <w:pStyle w:val="Prrafodelista"/>
        <w:autoSpaceDE w:val="0"/>
        <w:autoSpaceDN w:val="0"/>
        <w:ind w:left="0"/>
        <w:jc w:val="both"/>
        <w:rPr>
          <w:b/>
          <w:bCs/>
          <w:sz w:val="20"/>
          <w:szCs w:val="20"/>
          <w:lang w:val="en-US"/>
        </w:rPr>
      </w:pPr>
    </w:p>
    <w:p w:rsidR="00FD58F3" w:rsidRPr="002E60EB" w:rsidRDefault="00FD58F3" w:rsidP="00317748">
      <w:pPr>
        <w:ind w:left="720"/>
        <w:jc w:val="both"/>
        <w:rPr>
          <w:rFonts w:eastAsia="Calibri" w:cs="Arial"/>
          <w:b/>
          <w:i/>
          <w:lang w:val="en-US"/>
        </w:rPr>
      </w:pPr>
      <w:r w:rsidRPr="002E60EB">
        <w:rPr>
          <w:rFonts w:eastAsia="Calibri" w:cs="Arial"/>
          <w:b/>
          <w:smallCaps/>
          <w:lang w:val="en-US"/>
        </w:rPr>
        <w:t>C.4)</w:t>
      </w:r>
      <w:r w:rsidRPr="002E60EB">
        <w:rPr>
          <w:rFonts w:eastAsia="Calibri" w:cs="Arial"/>
          <w:b/>
          <w:smallCaps/>
          <w:lang w:val="en-US"/>
        </w:rPr>
        <w:tab/>
      </w:r>
      <w:r w:rsidRPr="002E60EB">
        <w:rPr>
          <w:b/>
          <w:lang w:val="en-US"/>
        </w:rPr>
        <w:t xml:space="preserve">Criminal investigation for the </w:t>
      </w:r>
      <w:r w:rsidR="00AE5EB5" w:rsidRPr="002E60EB">
        <w:rPr>
          <w:b/>
          <w:lang w:val="en-US"/>
        </w:rPr>
        <w:t>crime</w:t>
      </w:r>
      <w:r w:rsidR="00FC6B35" w:rsidRPr="002E60EB">
        <w:rPr>
          <w:b/>
          <w:lang w:val="en-US"/>
        </w:rPr>
        <w:t xml:space="preserve"> </w:t>
      </w:r>
      <w:r w:rsidRPr="002E60EB">
        <w:rPr>
          <w:b/>
          <w:lang w:val="en-US"/>
        </w:rPr>
        <w:t xml:space="preserve">of attempted simple </w:t>
      </w:r>
      <w:r w:rsidR="00334C3C" w:rsidRPr="002E60EB">
        <w:rPr>
          <w:b/>
          <w:lang w:val="en-US"/>
        </w:rPr>
        <w:t>kidnapping</w:t>
      </w:r>
      <w:r w:rsidR="00FC6B35" w:rsidRPr="002E60EB">
        <w:rPr>
          <w:b/>
          <w:lang w:val="en-US"/>
        </w:rPr>
        <w:t>,</w:t>
      </w:r>
      <w:r w:rsidRPr="002E60EB">
        <w:rPr>
          <w:b/>
          <w:lang w:val="en-US"/>
        </w:rPr>
        <w:t xml:space="preserve"> File 840725</w:t>
      </w:r>
    </w:p>
    <w:p w:rsidR="00FD58F3" w:rsidRPr="002E60EB" w:rsidRDefault="00FD58F3" w:rsidP="00317748">
      <w:pPr>
        <w:tabs>
          <w:tab w:val="left" w:pos="720"/>
        </w:tabs>
        <w:autoSpaceDE w:val="0"/>
        <w:autoSpaceDN w:val="0"/>
        <w:adjustRightInd w:val="0"/>
        <w:jc w:val="both"/>
        <w:rPr>
          <w:lang w:val="en-US"/>
        </w:rPr>
      </w:pPr>
    </w:p>
    <w:p w:rsidR="00FD58F3" w:rsidRPr="002E60EB" w:rsidRDefault="00FD58F3" w:rsidP="00317748">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 xml:space="preserve">There is nothing in the body of evidence </w:t>
      </w:r>
      <w:r w:rsidR="00AE5EB5" w:rsidRPr="002E60EB">
        <w:rPr>
          <w:sz w:val="20"/>
          <w:szCs w:val="20"/>
          <w:lang w:val="en-US"/>
        </w:rPr>
        <w:t>t</w:t>
      </w:r>
      <w:r w:rsidR="00FC6B35" w:rsidRPr="002E60EB">
        <w:rPr>
          <w:sz w:val="20"/>
          <w:szCs w:val="20"/>
          <w:lang w:val="en-US"/>
        </w:rPr>
        <w:t xml:space="preserve">o show </w:t>
      </w:r>
      <w:r w:rsidRPr="002E60EB">
        <w:rPr>
          <w:sz w:val="20"/>
          <w:szCs w:val="20"/>
          <w:lang w:val="en-US"/>
        </w:rPr>
        <w:t>that progress was made in any investigation</w:t>
      </w:r>
      <w:r w:rsidR="00FC6B35" w:rsidRPr="002E60EB">
        <w:rPr>
          <w:sz w:val="20"/>
          <w:szCs w:val="20"/>
          <w:lang w:val="en-US"/>
        </w:rPr>
        <w:t xml:space="preserve"> from 1997 to 2009</w:t>
      </w:r>
      <w:r w:rsidRPr="002E60EB">
        <w:rPr>
          <w:sz w:val="20"/>
          <w:szCs w:val="20"/>
          <w:lang w:val="en-US"/>
        </w:rPr>
        <w:t xml:space="preserve">. According to </w:t>
      </w:r>
      <w:r w:rsidR="00FC6B35" w:rsidRPr="002E60EB">
        <w:rPr>
          <w:sz w:val="20"/>
          <w:szCs w:val="20"/>
          <w:lang w:val="en-US"/>
        </w:rPr>
        <w:t>investigation f</w:t>
      </w:r>
      <w:r w:rsidRPr="002E60EB">
        <w:rPr>
          <w:sz w:val="20"/>
          <w:szCs w:val="20"/>
          <w:lang w:val="en-US"/>
        </w:rPr>
        <w:t>ile 840725,</w:t>
      </w:r>
      <w:r w:rsidRPr="002E60EB">
        <w:rPr>
          <w:b/>
          <w:sz w:val="20"/>
          <w:szCs w:val="20"/>
          <w:lang w:val="en-US"/>
        </w:rPr>
        <w:t xml:space="preserve"> </w:t>
      </w:r>
      <w:r w:rsidRPr="002E60EB">
        <w:rPr>
          <w:sz w:val="20"/>
          <w:szCs w:val="20"/>
          <w:lang w:val="en-US"/>
        </w:rPr>
        <w:t>on August 25, 2009</w:t>
      </w:r>
      <w:r w:rsidR="00E91076" w:rsidRPr="002E60EB">
        <w:rPr>
          <w:sz w:val="20"/>
          <w:szCs w:val="20"/>
          <w:lang w:val="en-US"/>
        </w:rPr>
        <w:t>,</w:t>
      </w:r>
      <w:r w:rsidRPr="002E60EB">
        <w:rPr>
          <w:sz w:val="20"/>
          <w:szCs w:val="20"/>
          <w:lang w:val="en-US"/>
        </w:rPr>
        <w:t xml:space="preserve"> some </w:t>
      </w:r>
      <w:r w:rsidR="00087093" w:rsidRPr="002E60EB">
        <w:rPr>
          <w:sz w:val="20"/>
          <w:szCs w:val="20"/>
          <w:lang w:val="en-US"/>
        </w:rPr>
        <w:t>“</w:t>
      </w:r>
      <w:r w:rsidRPr="002E60EB">
        <w:rPr>
          <w:sz w:val="20"/>
          <w:szCs w:val="20"/>
          <w:lang w:val="en-US"/>
        </w:rPr>
        <w:t xml:space="preserve">procedural </w:t>
      </w:r>
      <w:r w:rsidR="00E91076" w:rsidRPr="002E60EB">
        <w:rPr>
          <w:sz w:val="20"/>
          <w:szCs w:val="20"/>
          <w:lang w:val="en-US"/>
        </w:rPr>
        <w:t>elements</w:t>
      </w:r>
      <w:r w:rsidR="00087093" w:rsidRPr="002E60EB">
        <w:rPr>
          <w:sz w:val="20"/>
          <w:szCs w:val="20"/>
          <w:lang w:val="en-US"/>
        </w:rPr>
        <w:t>”</w:t>
      </w:r>
      <w:r w:rsidRPr="002E60EB">
        <w:rPr>
          <w:sz w:val="20"/>
          <w:szCs w:val="20"/>
          <w:lang w:val="en-US"/>
        </w:rPr>
        <w:t xml:space="preserve"> were forwarded to the Assign</w:t>
      </w:r>
      <w:r w:rsidR="00E91076" w:rsidRPr="002E60EB">
        <w:rPr>
          <w:sz w:val="20"/>
          <w:szCs w:val="20"/>
          <w:lang w:val="en-US"/>
        </w:rPr>
        <w:t>ments</w:t>
      </w:r>
      <w:r w:rsidRPr="002E60EB">
        <w:rPr>
          <w:sz w:val="20"/>
          <w:szCs w:val="20"/>
          <w:lang w:val="en-US"/>
        </w:rPr>
        <w:t xml:space="preserve"> Office of the </w:t>
      </w:r>
      <w:r w:rsidR="00E91076" w:rsidRPr="002E60EB">
        <w:rPr>
          <w:sz w:val="20"/>
          <w:szCs w:val="20"/>
          <w:lang w:val="en-US"/>
        </w:rPr>
        <w:t>Prose</w:t>
      </w:r>
      <w:r w:rsidR="00AE5EB5" w:rsidRPr="002E60EB">
        <w:rPr>
          <w:sz w:val="20"/>
          <w:szCs w:val="20"/>
          <w:lang w:val="en-US"/>
        </w:rPr>
        <w:t>cutor General’s Office so that</w:t>
      </w:r>
      <w:r w:rsidR="00E91076" w:rsidRPr="002E60EB">
        <w:rPr>
          <w:sz w:val="20"/>
          <w:szCs w:val="20"/>
          <w:lang w:val="en-US"/>
        </w:rPr>
        <w:t xml:space="preserve"> a prosecutor would be </w:t>
      </w:r>
      <w:r w:rsidRPr="002E60EB">
        <w:rPr>
          <w:sz w:val="20"/>
          <w:szCs w:val="20"/>
          <w:lang w:val="en-US"/>
        </w:rPr>
        <w:t xml:space="preserve">assigned to the investigation of the </w:t>
      </w:r>
      <w:r w:rsidR="00AE5EB5" w:rsidRPr="002E60EB">
        <w:rPr>
          <w:sz w:val="20"/>
          <w:szCs w:val="20"/>
          <w:lang w:val="en-US"/>
        </w:rPr>
        <w:t>crime</w:t>
      </w:r>
      <w:r w:rsidR="00E91076" w:rsidRPr="002E60EB">
        <w:rPr>
          <w:sz w:val="20"/>
          <w:szCs w:val="20"/>
          <w:lang w:val="en-US"/>
        </w:rPr>
        <w:t xml:space="preserve"> </w:t>
      </w:r>
      <w:r w:rsidRPr="002E60EB">
        <w:rPr>
          <w:sz w:val="20"/>
          <w:szCs w:val="20"/>
          <w:lang w:val="en-US"/>
        </w:rPr>
        <w:t xml:space="preserve">of attempted </w:t>
      </w:r>
      <w:r w:rsidR="00334C3C" w:rsidRPr="002E60EB">
        <w:rPr>
          <w:sz w:val="20"/>
          <w:szCs w:val="20"/>
          <w:lang w:val="en-US"/>
        </w:rPr>
        <w:t>kidnapping</w:t>
      </w:r>
      <w:r w:rsidRPr="002E60EB">
        <w:rPr>
          <w:sz w:val="20"/>
          <w:szCs w:val="20"/>
          <w:lang w:val="en-US"/>
        </w:rPr>
        <w:t xml:space="preserve"> with regard to the facts that occurred on October 6, 1997 </w:t>
      </w:r>
      <w:r w:rsidRPr="002E60EB">
        <w:rPr>
          <w:rFonts w:eastAsia="Calibri" w:cs="Arial"/>
          <w:sz w:val="20"/>
          <w:szCs w:val="20"/>
          <w:lang w:val="en-US"/>
        </w:rPr>
        <w:t>(</w:t>
      </w:r>
      <w:r w:rsidRPr="002E60EB">
        <w:rPr>
          <w:rFonts w:eastAsia="Calibri" w:cs="Arial"/>
          <w:i/>
          <w:sz w:val="20"/>
          <w:szCs w:val="20"/>
          <w:lang w:val="en-US"/>
        </w:rPr>
        <w:t xml:space="preserve">supra </w:t>
      </w:r>
      <w:r w:rsidRPr="002E60EB">
        <w:rPr>
          <w:rFonts w:eastAsia="Calibri" w:cs="Arial"/>
          <w:sz w:val="20"/>
          <w:szCs w:val="20"/>
          <w:lang w:val="en-US"/>
        </w:rPr>
        <w:t xml:space="preserve">para. </w:t>
      </w:r>
      <w:r w:rsidR="00640FFC" w:rsidRPr="002E60EB">
        <w:rPr>
          <w:rFonts w:eastAsia="Calibri" w:cs="Arial"/>
          <w:sz w:val="20"/>
          <w:szCs w:val="20"/>
          <w:lang w:val="en-US"/>
        </w:rPr>
        <w:t>94</w:t>
      </w:r>
      <w:r w:rsidRPr="002E60EB">
        <w:rPr>
          <w:rFonts w:eastAsia="Calibri" w:cs="Arial"/>
          <w:sz w:val="20"/>
          <w:szCs w:val="20"/>
          <w:lang w:val="en-US"/>
        </w:rPr>
        <w:t xml:space="preserve">). It is not clear if </w:t>
      </w:r>
      <w:r w:rsidR="00AE5EB5" w:rsidRPr="002E60EB">
        <w:rPr>
          <w:rFonts w:eastAsia="Calibri" w:cs="Arial"/>
          <w:sz w:val="20"/>
          <w:szCs w:val="20"/>
          <w:lang w:val="en-US"/>
        </w:rPr>
        <w:t xml:space="preserve">the </w:t>
      </w:r>
      <w:r w:rsidRPr="002E60EB">
        <w:rPr>
          <w:rFonts w:eastAsia="Calibri" w:cs="Arial"/>
          <w:sz w:val="20"/>
          <w:szCs w:val="20"/>
          <w:lang w:val="en-US"/>
        </w:rPr>
        <w:t xml:space="preserve">said investigation was </w:t>
      </w:r>
      <w:r w:rsidR="00640FFC" w:rsidRPr="002E60EB">
        <w:rPr>
          <w:rFonts w:eastAsia="Calibri" w:cs="Arial"/>
          <w:sz w:val="20"/>
          <w:szCs w:val="20"/>
          <w:lang w:val="en-US"/>
        </w:rPr>
        <w:t xml:space="preserve">opened </w:t>
      </w:r>
      <w:r w:rsidRPr="002E60EB">
        <w:rPr>
          <w:rFonts w:eastAsia="Calibri" w:cs="Arial"/>
          <w:i/>
          <w:sz w:val="20"/>
          <w:szCs w:val="20"/>
          <w:lang w:val="en-US"/>
        </w:rPr>
        <w:t>ex officio</w:t>
      </w:r>
      <w:r w:rsidR="00AE5EB5" w:rsidRPr="002E60EB">
        <w:rPr>
          <w:rFonts w:eastAsia="Calibri" w:cs="Arial"/>
          <w:sz w:val="20"/>
          <w:szCs w:val="20"/>
          <w:lang w:val="en-US"/>
        </w:rPr>
        <w:t xml:space="preserve"> or as the</w:t>
      </w:r>
      <w:r w:rsidRPr="002E60EB">
        <w:rPr>
          <w:rFonts w:eastAsia="Calibri" w:cs="Arial"/>
          <w:sz w:val="20"/>
          <w:szCs w:val="20"/>
          <w:lang w:val="en-US"/>
        </w:rPr>
        <w:t xml:space="preserve"> result of a complaint filed by Mr. Vélez</w:t>
      </w:r>
      <w:r w:rsidR="00AE5EB5" w:rsidRPr="002E60EB">
        <w:rPr>
          <w:rFonts w:eastAsia="Calibri" w:cs="Arial"/>
          <w:sz w:val="20"/>
          <w:szCs w:val="20"/>
          <w:lang w:val="en-US"/>
        </w:rPr>
        <w:t xml:space="preserve"> Restrepo</w:t>
      </w:r>
      <w:r w:rsidRPr="002E60EB">
        <w:rPr>
          <w:rFonts w:eastAsia="Calibri" w:cs="Arial"/>
          <w:sz w:val="20"/>
          <w:szCs w:val="20"/>
          <w:lang w:val="en-US"/>
        </w:rPr>
        <w:t xml:space="preserve">’s </w:t>
      </w:r>
      <w:r w:rsidR="00640FFC" w:rsidRPr="002E60EB">
        <w:rPr>
          <w:rFonts w:eastAsia="Calibri" w:cs="Arial"/>
          <w:sz w:val="20"/>
          <w:szCs w:val="20"/>
          <w:lang w:val="en-US"/>
        </w:rPr>
        <w:t>lawyer</w:t>
      </w:r>
      <w:r w:rsidRPr="002E60EB">
        <w:rPr>
          <w:rFonts w:eastAsia="Calibri" w:cs="Arial"/>
          <w:sz w:val="20"/>
          <w:szCs w:val="20"/>
          <w:lang w:val="en-US"/>
        </w:rPr>
        <w:t>, Raúl Hernández Rodríguez.</w:t>
      </w:r>
      <w:r w:rsidRPr="002E60EB">
        <w:rPr>
          <w:rStyle w:val="Refdenotaalpie"/>
          <w:rFonts w:eastAsia="Calibri" w:cs="Arial"/>
          <w:sz w:val="20"/>
          <w:szCs w:val="20"/>
          <w:lang w:val="en-US"/>
        </w:rPr>
        <w:footnoteReference w:id="145"/>
      </w:r>
    </w:p>
    <w:p w:rsidR="00FD58F3" w:rsidRPr="002E60EB" w:rsidRDefault="00FD58F3" w:rsidP="002711CF">
      <w:pPr>
        <w:tabs>
          <w:tab w:val="left" w:pos="720"/>
        </w:tabs>
        <w:autoSpaceDE w:val="0"/>
        <w:autoSpaceDN w:val="0"/>
        <w:adjustRightInd w:val="0"/>
        <w:jc w:val="both"/>
        <w:rPr>
          <w:lang w:val="en-US"/>
        </w:rPr>
      </w:pPr>
    </w:p>
    <w:p w:rsidR="0084095E" w:rsidRPr="002E60EB" w:rsidRDefault="00FD58F3" w:rsidP="00317748">
      <w:pPr>
        <w:pStyle w:val="Prrafodelista"/>
        <w:numPr>
          <w:ilvl w:val="0"/>
          <w:numId w:val="1"/>
        </w:numPr>
        <w:tabs>
          <w:tab w:val="clear" w:pos="1427"/>
        </w:tabs>
        <w:autoSpaceDE w:val="0"/>
        <w:autoSpaceDN w:val="0"/>
        <w:ind w:left="0"/>
        <w:jc w:val="both"/>
        <w:rPr>
          <w:sz w:val="20"/>
          <w:szCs w:val="20"/>
          <w:lang w:val="en-US"/>
        </w:rPr>
      </w:pPr>
      <w:r w:rsidRPr="002E60EB">
        <w:rPr>
          <w:rFonts w:eastAsia="Calibri" w:cs="Arial"/>
          <w:sz w:val="20"/>
          <w:szCs w:val="20"/>
          <w:lang w:val="en-US"/>
        </w:rPr>
        <w:t>On September 15, 2009</w:t>
      </w:r>
      <w:r w:rsidR="00AE5EB5" w:rsidRPr="002E60EB">
        <w:rPr>
          <w:rFonts w:eastAsia="Calibri" w:cs="Arial"/>
          <w:sz w:val="20"/>
          <w:szCs w:val="20"/>
          <w:lang w:val="en-US"/>
        </w:rPr>
        <w:t>,</w:t>
      </w:r>
      <w:r w:rsidRPr="002E60EB">
        <w:rPr>
          <w:rFonts w:eastAsia="Calibri" w:cs="Arial"/>
          <w:sz w:val="20"/>
          <w:szCs w:val="20"/>
          <w:lang w:val="en-US"/>
        </w:rPr>
        <w:t xml:space="preserve"> the </w:t>
      </w:r>
      <w:r w:rsidR="00640FFC" w:rsidRPr="002E60EB">
        <w:rPr>
          <w:rFonts w:eastAsia="Calibri" w:cs="Arial"/>
          <w:sz w:val="20"/>
          <w:szCs w:val="20"/>
          <w:lang w:val="en-US"/>
        </w:rPr>
        <w:t>253</w:t>
      </w:r>
      <w:r w:rsidR="00640FFC" w:rsidRPr="002E60EB">
        <w:rPr>
          <w:rFonts w:eastAsia="Calibri" w:cs="Arial"/>
          <w:sz w:val="20"/>
          <w:szCs w:val="20"/>
          <w:vertAlign w:val="superscript"/>
          <w:lang w:val="en-US"/>
        </w:rPr>
        <w:t>rd</w:t>
      </w:r>
      <w:r w:rsidR="00640FFC" w:rsidRPr="002E60EB">
        <w:rPr>
          <w:rFonts w:eastAsia="Calibri" w:cs="Arial"/>
          <w:sz w:val="20"/>
          <w:szCs w:val="20"/>
          <w:lang w:val="en-US"/>
        </w:rPr>
        <w:t xml:space="preserve"> </w:t>
      </w:r>
      <w:r w:rsidR="00334C3C" w:rsidRPr="002E60EB">
        <w:rPr>
          <w:rFonts w:eastAsia="Calibri" w:cs="Arial"/>
          <w:sz w:val="20"/>
          <w:szCs w:val="20"/>
          <w:lang w:val="en-US"/>
        </w:rPr>
        <w:t>Bogotá</w:t>
      </w:r>
      <w:r w:rsidR="00640FFC" w:rsidRPr="002E60EB">
        <w:rPr>
          <w:rFonts w:eastAsia="Calibri" w:cs="Arial"/>
          <w:sz w:val="20"/>
          <w:szCs w:val="20"/>
          <w:lang w:val="en-US"/>
        </w:rPr>
        <w:t xml:space="preserve"> </w:t>
      </w:r>
      <w:r w:rsidR="00AE5EB5" w:rsidRPr="002E60EB">
        <w:rPr>
          <w:rFonts w:eastAsia="Calibri" w:cs="Arial"/>
          <w:sz w:val="20"/>
          <w:szCs w:val="20"/>
          <w:lang w:val="en-US"/>
        </w:rPr>
        <w:t>Sectional Prosecutor’s</w:t>
      </w:r>
      <w:r w:rsidRPr="002E60EB">
        <w:rPr>
          <w:rFonts w:eastAsia="Calibri" w:cs="Arial"/>
          <w:sz w:val="20"/>
          <w:szCs w:val="20"/>
          <w:lang w:val="en-US"/>
        </w:rPr>
        <w:t xml:space="preserve"> Office </w:t>
      </w:r>
      <w:r w:rsidR="00AE5EB5" w:rsidRPr="002E60EB">
        <w:rPr>
          <w:rFonts w:eastAsia="Calibri" w:cs="Arial"/>
          <w:sz w:val="20"/>
          <w:szCs w:val="20"/>
          <w:lang w:val="en-US"/>
        </w:rPr>
        <w:t>assumed</w:t>
      </w:r>
      <w:r w:rsidRPr="002E60EB">
        <w:rPr>
          <w:rFonts w:eastAsia="Calibri" w:cs="Arial"/>
          <w:sz w:val="20"/>
          <w:szCs w:val="20"/>
          <w:lang w:val="en-US"/>
        </w:rPr>
        <w:t xml:space="preserve"> the investigation of the case and ordered the </w:t>
      </w:r>
      <w:r w:rsidR="00640FFC" w:rsidRPr="002E60EB">
        <w:rPr>
          <w:rFonts w:eastAsia="Calibri" w:cs="Arial"/>
          <w:sz w:val="20"/>
          <w:szCs w:val="20"/>
          <w:lang w:val="en-US"/>
        </w:rPr>
        <w:t xml:space="preserve">implementation </w:t>
      </w:r>
      <w:r w:rsidRPr="002E60EB">
        <w:rPr>
          <w:rFonts w:eastAsia="Calibri" w:cs="Arial"/>
          <w:sz w:val="20"/>
          <w:szCs w:val="20"/>
          <w:lang w:val="en-US"/>
        </w:rPr>
        <w:t xml:space="preserve">of several </w:t>
      </w:r>
      <w:r w:rsidR="00AE5EB5" w:rsidRPr="002E60EB">
        <w:rPr>
          <w:rFonts w:eastAsia="Calibri" w:cs="Arial"/>
          <w:sz w:val="20"/>
          <w:szCs w:val="20"/>
          <w:lang w:val="en-US"/>
        </w:rPr>
        <w:t>measures</w:t>
      </w:r>
      <w:r w:rsidRPr="002E60EB">
        <w:rPr>
          <w:rFonts w:eastAsia="Calibri" w:cs="Arial"/>
          <w:sz w:val="20"/>
          <w:szCs w:val="20"/>
          <w:lang w:val="en-US"/>
        </w:rPr>
        <w:t>. On April 26, 2012</w:t>
      </w:r>
      <w:r w:rsidR="00AE5EB5" w:rsidRPr="002E60EB">
        <w:rPr>
          <w:rFonts w:eastAsia="Calibri" w:cs="Arial"/>
          <w:sz w:val="20"/>
          <w:szCs w:val="20"/>
          <w:lang w:val="en-US"/>
        </w:rPr>
        <w:t>,</w:t>
      </w:r>
      <w:r w:rsidRPr="002E60EB">
        <w:rPr>
          <w:rFonts w:eastAsia="Calibri" w:cs="Arial"/>
          <w:sz w:val="20"/>
          <w:szCs w:val="20"/>
          <w:lang w:val="en-US"/>
        </w:rPr>
        <w:t xml:space="preserve"> the 253</w:t>
      </w:r>
      <w:r w:rsidR="00640FFC" w:rsidRPr="002E60EB">
        <w:rPr>
          <w:rFonts w:eastAsia="Calibri" w:cs="Arial"/>
          <w:sz w:val="20"/>
          <w:szCs w:val="20"/>
          <w:lang w:val="en-US"/>
        </w:rPr>
        <w:t>rd</w:t>
      </w:r>
      <w:r w:rsidRPr="002E60EB">
        <w:rPr>
          <w:rFonts w:eastAsia="Calibri" w:cs="Arial"/>
          <w:sz w:val="20"/>
          <w:szCs w:val="20"/>
          <w:lang w:val="en-US"/>
        </w:rPr>
        <w:t xml:space="preserve"> Prosecutors’ Office issued a</w:t>
      </w:r>
      <w:r w:rsidR="00640FFC" w:rsidRPr="002E60EB">
        <w:rPr>
          <w:rFonts w:eastAsia="Calibri" w:cs="Arial"/>
          <w:sz w:val="20"/>
          <w:szCs w:val="20"/>
          <w:lang w:val="en-US"/>
        </w:rPr>
        <w:t xml:space="preserve"> decision, </w:t>
      </w:r>
      <w:r w:rsidRPr="002E60EB">
        <w:rPr>
          <w:rFonts w:eastAsia="Calibri" w:cs="Arial"/>
          <w:sz w:val="20"/>
          <w:szCs w:val="20"/>
          <w:lang w:val="en-US"/>
        </w:rPr>
        <w:t xml:space="preserve">in which it decided to abstain from </w:t>
      </w:r>
      <w:r w:rsidR="00640FFC" w:rsidRPr="002E60EB">
        <w:rPr>
          <w:rFonts w:eastAsia="Calibri" w:cs="Arial"/>
          <w:sz w:val="20"/>
          <w:szCs w:val="20"/>
          <w:lang w:val="en-US"/>
        </w:rPr>
        <w:t xml:space="preserve">opening </w:t>
      </w:r>
      <w:r w:rsidRPr="002E60EB">
        <w:rPr>
          <w:rFonts w:eastAsia="Calibri" w:cs="Arial"/>
          <w:sz w:val="20"/>
          <w:szCs w:val="20"/>
          <w:lang w:val="en-US"/>
        </w:rPr>
        <w:t>the preliminary investigation, based on the fact that</w:t>
      </w:r>
      <w:r w:rsidR="00640FFC" w:rsidRPr="002E60EB">
        <w:rPr>
          <w:rFonts w:eastAsia="Calibri" w:cs="Arial"/>
          <w:sz w:val="20"/>
          <w:szCs w:val="20"/>
          <w:lang w:val="en-US"/>
        </w:rPr>
        <w:t xml:space="preserve"> it did</w:t>
      </w:r>
      <w:r w:rsidRPr="002E60EB">
        <w:rPr>
          <w:rFonts w:eastAsia="Calibri" w:cs="Arial"/>
          <w:sz w:val="20"/>
          <w:szCs w:val="20"/>
          <w:lang w:val="en-US"/>
        </w:rPr>
        <w:t xml:space="preserve"> </w:t>
      </w:r>
      <w:r w:rsidR="00087093" w:rsidRPr="002E60EB">
        <w:rPr>
          <w:rFonts w:eastAsia="Calibri" w:cs="Arial"/>
          <w:sz w:val="20"/>
          <w:szCs w:val="20"/>
          <w:lang w:val="en-US"/>
        </w:rPr>
        <w:t>“</w:t>
      </w:r>
      <w:r w:rsidRPr="002E60EB">
        <w:rPr>
          <w:rFonts w:eastAsia="Calibri" w:cs="Arial"/>
          <w:sz w:val="20"/>
          <w:szCs w:val="20"/>
          <w:lang w:val="en-US"/>
        </w:rPr>
        <w:t xml:space="preserve">not see the need to maintain open the preliminary </w:t>
      </w:r>
      <w:r w:rsidR="00640FFC" w:rsidRPr="002E60EB">
        <w:rPr>
          <w:rFonts w:eastAsia="Calibri" w:cs="Arial"/>
          <w:sz w:val="20"/>
          <w:szCs w:val="20"/>
          <w:lang w:val="en-US"/>
        </w:rPr>
        <w:t xml:space="preserve">investigations </w:t>
      </w:r>
      <w:r w:rsidRPr="002E60EB">
        <w:rPr>
          <w:rFonts w:eastAsia="Calibri" w:cs="Arial"/>
          <w:sz w:val="20"/>
          <w:szCs w:val="20"/>
          <w:lang w:val="en-US"/>
        </w:rPr>
        <w:t xml:space="preserve">indefinitely </w:t>
      </w:r>
      <w:r w:rsidR="00640FFC" w:rsidRPr="002E60EB">
        <w:rPr>
          <w:rFonts w:eastAsia="Calibri" w:cs="Arial"/>
          <w:sz w:val="20"/>
          <w:szCs w:val="20"/>
          <w:lang w:val="en-US"/>
        </w:rPr>
        <w:t xml:space="preserve">merely </w:t>
      </w:r>
      <w:r w:rsidRPr="002E60EB">
        <w:rPr>
          <w:rFonts w:eastAsia="Calibri" w:cs="Arial"/>
          <w:sz w:val="20"/>
          <w:szCs w:val="20"/>
          <w:lang w:val="en-US"/>
        </w:rPr>
        <w:t>because</w:t>
      </w:r>
      <w:r w:rsidR="00640FFC" w:rsidRPr="002E60EB">
        <w:rPr>
          <w:rFonts w:eastAsia="Calibri" w:cs="Arial"/>
          <w:sz w:val="20"/>
          <w:szCs w:val="20"/>
          <w:lang w:val="en-US"/>
        </w:rPr>
        <w:t>, in 15 years,</w:t>
      </w:r>
      <w:r w:rsidRPr="002E60EB">
        <w:rPr>
          <w:rFonts w:eastAsia="Calibri" w:cs="Arial"/>
          <w:sz w:val="20"/>
          <w:szCs w:val="20"/>
          <w:lang w:val="en-US"/>
        </w:rPr>
        <w:t xml:space="preserve"> the </w:t>
      </w:r>
      <w:r w:rsidR="001466BD" w:rsidRPr="002E60EB">
        <w:rPr>
          <w:rFonts w:eastAsia="Calibri" w:cs="Arial"/>
          <w:sz w:val="20"/>
          <w:szCs w:val="20"/>
          <w:lang w:val="en-US"/>
        </w:rPr>
        <w:t>presumed victim</w:t>
      </w:r>
      <w:r w:rsidRPr="002E60EB">
        <w:rPr>
          <w:rFonts w:eastAsia="Calibri" w:cs="Arial"/>
          <w:sz w:val="20"/>
          <w:szCs w:val="20"/>
          <w:lang w:val="en-US"/>
        </w:rPr>
        <w:t xml:space="preserve"> has not want to provide</w:t>
      </w:r>
      <w:r w:rsidR="00640FFC" w:rsidRPr="002E60EB">
        <w:rPr>
          <w:rFonts w:eastAsia="Calibri" w:cs="Arial"/>
          <w:sz w:val="20"/>
          <w:szCs w:val="20"/>
          <w:lang w:val="en-US"/>
        </w:rPr>
        <w:t xml:space="preserve"> </w:t>
      </w:r>
      <w:r w:rsidRPr="002E60EB">
        <w:rPr>
          <w:rFonts w:eastAsia="Calibri" w:cs="Arial"/>
          <w:sz w:val="20"/>
          <w:szCs w:val="20"/>
          <w:lang w:val="en-US"/>
        </w:rPr>
        <w:t xml:space="preserve">a single piece of information </w:t>
      </w:r>
      <w:r w:rsidR="00640FFC" w:rsidRPr="002E60EB">
        <w:rPr>
          <w:rFonts w:eastAsia="Calibri" w:cs="Arial"/>
          <w:sz w:val="20"/>
          <w:szCs w:val="20"/>
          <w:lang w:val="en-US"/>
        </w:rPr>
        <w:t xml:space="preserve">on </w:t>
      </w:r>
      <w:r w:rsidRPr="002E60EB">
        <w:rPr>
          <w:rFonts w:eastAsia="Calibri" w:cs="Arial"/>
          <w:sz w:val="20"/>
          <w:szCs w:val="20"/>
          <w:lang w:val="en-US"/>
        </w:rPr>
        <w:t xml:space="preserve">the </w:t>
      </w:r>
      <w:r w:rsidR="00AE5EB5" w:rsidRPr="002E60EB">
        <w:rPr>
          <w:rFonts w:eastAsia="Calibri" w:cs="Arial"/>
          <w:sz w:val="20"/>
          <w:szCs w:val="20"/>
          <w:lang w:val="en-US"/>
        </w:rPr>
        <w:t xml:space="preserve">events, which </w:t>
      </w:r>
      <w:r w:rsidR="00640FFC" w:rsidRPr="002E60EB">
        <w:rPr>
          <w:rFonts w:eastAsia="Calibri" w:cs="Arial"/>
          <w:sz w:val="20"/>
          <w:szCs w:val="20"/>
          <w:lang w:val="en-US"/>
        </w:rPr>
        <w:t xml:space="preserve">become simply a possibility.” </w:t>
      </w:r>
      <w:r w:rsidRPr="002E60EB">
        <w:rPr>
          <w:sz w:val="20"/>
          <w:szCs w:val="20"/>
          <w:lang w:val="en-US"/>
        </w:rPr>
        <w:t xml:space="preserve">This decision </w:t>
      </w:r>
      <w:r w:rsidR="00640FFC" w:rsidRPr="002E60EB">
        <w:rPr>
          <w:sz w:val="20"/>
          <w:szCs w:val="20"/>
          <w:lang w:val="en-US"/>
        </w:rPr>
        <w:t>became</w:t>
      </w:r>
      <w:r w:rsidRPr="002E60EB">
        <w:rPr>
          <w:sz w:val="20"/>
          <w:szCs w:val="20"/>
          <w:lang w:val="en-US"/>
        </w:rPr>
        <w:t xml:space="preserve"> </w:t>
      </w:r>
      <w:r w:rsidR="00640FFC" w:rsidRPr="002E60EB">
        <w:rPr>
          <w:sz w:val="20"/>
          <w:szCs w:val="20"/>
          <w:lang w:val="en-US"/>
        </w:rPr>
        <w:t xml:space="preserve">final </w:t>
      </w:r>
      <w:r w:rsidRPr="002E60EB">
        <w:rPr>
          <w:sz w:val="20"/>
          <w:szCs w:val="20"/>
          <w:lang w:val="en-US"/>
        </w:rPr>
        <w:t>on May 3, 2012.</w:t>
      </w:r>
      <w:r w:rsidR="00640FFC" w:rsidRPr="002E60EB">
        <w:rPr>
          <w:rStyle w:val="Refdenotaalpie"/>
          <w:rFonts w:eastAsia="Calibri" w:cs="Arial"/>
          <w:sz w:val="20"/>
          <w:szCs w:val="20"/>
          <w:lang w:val="en-US"/>
        </w:rPr>
        <w:footnoteReference w:id="146"/>
      </w:r>
    </w:p>
    <w:p w:rsidR="00640FFC" w:rsidRPr="002E60EB" w:rsidRDefault="00640FFC" w:rsidP="00317748">
      <w:pPr>
        <w:jc w:val="both"/>
        <w:rPr>
          <w:lang w:val="en-US"/>
        </w:rPr>
      </w:pPr>
    </w:p>
    <w:p w:rsidR="00E15BBF" w:rsidRPr="002E60EB" w:rsidRDefault="00E15BBF" w:rsidP="00317748">
      <w:pPr>
        <w:jc w:val="center"/>
        <w:rPr>
          <w:b/>
          <w:lang w:val="en-US"/>
        </w:rPr>
      </w:pPr>
      <w:r w:rsidRPr="002E60EB">
        <w:rPr>
          <w:b/>
          <w:lang w:val="en-US"/>
        </w:rPr>
        <w:t>IX</w:t>
      </w:r>
    </w:p>
    <w:p w:rsidR="00E15BBF" w:rsidRPr="002E60EB" w:rsidRDefault="00E15BBF" w:rsidP="00317748">
      <w:pPr>
        <w:pStyle w:val="Ttulo1"/>
        <w:spacing w:before="0"/>
        <w:jc w:val="center"/>
        <w:rPr>
          <w:rFonts w:ascii="Verdana" w:hAnsi="Verdana"/>
          <w:caps/>
          <w:color w:val="auto"/>
          <w:sz w:val="20"/>
          <w:szCs w:val="20"/>
          <w:lang w:val="en-US"/>
        </w:rPr>
      </w:pPr>
      <w:r w:rsidRPr="002E60EB">
        <w:rPr>
          <w:rFonts w:ascii="Verdana" w:hAnsi="Verdana"/>
          <w:caps/>
          <w:color w:val="auto"/>
          <w:sz w:val="20"/>
          <w:szCs w:val="20"/>
          <w:lang w:val="en-US"/>
        </w:rPr>
        <w:t>RIGHT</w:t>
      </w:r>
      <w:r w:rsidR="00640FFC" w:rsidRPr="002E60EB">
        <w:rPr>
          <w:rFonts w:ascii="Verdana" w:hAnsi="Verdana"/>
          <w:caps/>
          <w:color w:val="auto"/>
          <w:sz w:val="20"/>
          <w:szCs w:val="20"/>
          <w:lang w:val="en-US"/>
        </w:rPr>
        <w:t>S</w:t>
      </w:r>
      <w:r w:rsidRPr="002E60EB">
        <w:rPr>
          <w:rFonts w:ascii="Verdana" w:hAnsi="Verdana"/>
          <w:caps/>
          <w:color w:val="auto"/>
          <w:sz w:val="20"/>
          <w:szCs w:val="20"/>
          <w:lang w:val="en-US"/>
        </w:rPr>
        <w:t xml:space="preserve"> TO PERSONAL INTEGRITY</w:t>
      </w:r>
      <w:r w:rsidR="000C296C" w:rsidRPr="002E60EB">
        <w:rPr>
          <w:rFonts w:ascii="Verdana" w:hAnsi="Verdana"/>
          <w:caps/>
          <w:color w:val="auto"/>
          <w:sz w:val="20"/>
          <w:szCs w:val="20"/>
          <w:lang w:val="en-US"/>
        </w:rPr>
        <w:t xml:space="preserve"> </w:t>
      </w:r>
      <w:r w:rsidRPr="002E60EB">
        <w:rPr>
          <w:rFonts w:ascii="Verdana" w:hAnsi="Verdana"/>
          <w:caps/>
          <w:color w:val="auto"/>
          <w:sz w:val="20"/>
          <w:szCs w:val="20"/>
          <w:lang w:val="en-US"/>
        </w:rPr>
        <w:t>AND</w:t>
      </w:r>
      <w:r w:rsidR="00640FFC" w:rsidRPr="002E60EB">
        <w:rPr>
          <w:rFonts w:ascii="Verdana" w:hAnsi="Verdana"/>
          <w:caps/>
          <w:color w:val="auto"/>
          <w:sz w:val="20"/>
          <w:szCs w:val="20"/>
          <w:lang w:val="en-US"/>
        </w:rPr>
        <w:t xml:space="preserve"> </w:t>
      </w:r>
      <w:r w:rsidR="00CF7F35" w:rsidRPr="002E60EB">
        <w:rPr>
          <w:rFonts w:ascii="Verdana" w:hAnsi="Verdana"/>
          <w:caps/>
          <w:color w:val="auto"/>
          <w:sz w:val="20"/>
          <w:szCs w:val="20"/>
          <w:lang w:val="en-US"/>
        </w:rPr>
        <w:t xml:space="preserve">TO </w:t>
      </w:r>
      <w:r w:rsidRPr="002E60EB">
        <w:rPr>
          <w:rFonts w:ascii="Verdana" w:hAnsi="Verdana"/>
          <w:caps/>
          <w:color w:val="auto"/>
          <w:sz w:val="20"/>
          <w:szCs w:val="20"/>
          <w:lang w:val="en-US"/>
        </w:rPr>
        <w:t>FREEDOM OF THOUGHT AND EXPRESSION, IN RELATION TO THE OBLIG</w:t>
      </w:r>
      <w:r w:rsidR="00640FFC" w:rsidRPr="002E60EB">
        <w:rPr>
          <w:rFonts w:ascii="Verdana" w:hAnsi="Verdana"/>
          <w:caps/>
          <w:color w:val="auto"/>
          <w:sz w:val="20"/>
          <w:szCs w:val="20"/>
          <w:lang w:val="en-US"/>
        </w:rPr>
        <w:t>A</w:t>
      </w:r>
      <w:r w:rsidRPr="002E60EB">
        <w:rPr>
          <w:rFonts w:ascii="Verdana" w:hAnsi="Verdana"/>
          <w:caps/>
          <w:color w:val="auto"/>
          <w:sz w:val="20"/>
          <w:szCs w:val="20"/>
          <w:lang w:val="en-US"/>
        </w:rPr>
        <w:t>TION TO RESPECT AND GUARANTEE RIGHTS</w:t>
      </w:r>
    </w:p>
    <w:p w:rsidR="00E15BBF" w:rsidRPr="002E60EB" w:rsidRDefault="00E15BBF" w:rsidP="00317748">
      <w:pPr>
        <w:tabs>
          <w:tab w:val="left" w:pos="720"/>
        </w:tabs>
        <w:autoSpaceDE w:val="0"/>
        <w:autoSpaceDN w:val="0"/>
        <w:adjustRightInd w:val="0"/>
        <w:rPr>
          <w:lang w:val="en-US"/>
        </w:rPr>
      </w:pPr>
    </w:p>
    <w:p w:rsidR="00E15BBF" w:rsidRPr="002E60EB" w:rsidRDefault="00640FFC" w:rsidP="00317748">
      <w:pPr>
        <w:numPr>
          <w:ilvl w:val="0"/>
          <w:numId w:val="13"/>
        </w:numPr>
        <w:tabs>
          <w:tab w:val="left" w:pos="720"/>
        </w:tabs>
        <w:autoSpaceDE w:val="0"/>
        <w:autoSpaceDN w:val="0"/>
        <w:adjustRightInd w:val="0"/>
        <w:ind w:left="720" w:firstLine="0"/>
        <w:contextualSpacing/>
        <w:jc w:val="both"/>
        <w:rPr>
          <w:b/>
          <w:lang w:val="en-US"/>
        </w:rPr>
      </w:pPr>
      <w:r w:rsidRPr="002E60EB">
        <w:rPr>
          <w:b/>
          <w:lang w:val="en-US"/>
        </w:rPr>
        <w:t>General c</w:t>
      </w:r>
      <w:r w:rsidR="00E15BBF" w:rsidRPr="002E60EB">
        <w:rPr>
          <w:b/>
          <w:lang w:val="en-US"/>
        </w:rPr>
        <w:t>onsiderations of the Court</w:t>
      </w:r>
    </w:p>
    <w:p w:rsidR="00E15BBF" w:rsidRPr="002E60EB" w:rsidRDefault="00E15BBF" w:rsidP="00317748">
      <w:pPr>
        <w:tabs>
          <w:tab w:val="left" w:pos="720"/>
        </w:tabs>
        <w:autoSpaceDE w:val="0"/>
        <w:autoSpaceDN w:val="0"/>
        <w:adjustRightInd w:val="0"/>
        <w:contextualSpacing/>
        <w:jc w:val="both"/>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In this chapter, the Court considers it necessary to </w:t>
      </w:r>
      <w:r w:rsidR="00BE16A5" w:rsidRPr="002E60EB">
        <w:rPr>
          <w:lang w:val="en-US"/>
        </w:rPr>
        <w:t>identify</w:t>
      </w:r>
      <w:r w:rsidRPr="002E60EB">
        <w:rPr>
          <w:lang w:val="en-US"/>
        </w:rPr>
        <w:t xml:space="preserve"> the reasons that establish international responsibility in this case and to rule on the </w:t>
      </w:r>
      <w:r w:rsidR="003D6E4E" w:rsidRPr="002E60EB">
        <w:rPr>
          <w:lang w:val="en-US"/>
        </w:rPr>
        <w:t>matters in dispute</w:t>
      </w:r>
      <w:r w:rsidRPr="002E60EB">
        <w:rPr>
          <w:lang w:val="en-US"/>
        </w:rPr>
        <w:t>, taking into account that the State’s acceptance of the facts and acknowledgment of international responsibility</w:t>
      </w:r>
      <w:r w:rsidR="003D6E4E" w:rsidRPr="002E60EB">
        <w:rPr>
          <w:lang w:val="en-US"/>
        </w:rPr>
        <w:t xml:space="preserve"> is partial</w:t>
      </w:r>
      <w:r w:rsidRPr="002E60EB">
        <w:rPr>
          <w:lang w:val="en-US"/>
        </w:rPr>
        <w:t xml:space="preserve">. </w:t>
      </w:r>
      <w:r w:rsidR="003D6E4E" w:rsidRPr="002E60EB">
        <w:rPr>
          <w:lang w:val="en-US"/>
        </w:rPr>
        <w:t>C</w:t>
      </w:r>
      <w:r w:rsidRPr="002E60EB">
        <w:rPr>
          <w:lang w:val="en-US"/>
        </w:rPr>
        <w:t xml:space="preserve">hapter </w:t>
      </w:r>
      <w:r w:rsidR="003D6E4E" w:rsidRPr="002E60EB">
        <w:rPr>
          <w:lang w:val="en-US"/>
        </w:rPr>
        <w:t>III described</w:t>
      </w:r>
      <w:r w:rsidRPr="002E60EB">
        <w:rPr>
          <w:lang w:val="en-US"/>
        </w:rPr>
        <w:t xml:space="preserve"> the terms </w:t>
      </w:r>
      <w:r w:rsidR="00BE16A5" w:rsidRPr="002E60EB">
        <w:rPr>
          <w:lang w:val="en-US"/>
        </w:rPr>
        <w:t>i</w:t>
      </w:r>
      <w:r w:rsidR="003D6E4E" w:rsidRPr="002E60EB">
        <w:rPr>
          <w:lang w:val="en-US"/>
        </w:rPr>
        <w:t>n</w:t>
      </w:r>
      <w:r w:rsidRPr="002E60EB">
        <w:rPr>
          <w:lang w:val="en-US"/>
        </w:rPr>
        <w:t xml:space="preserve"> which the State accepted </w:t>
      </w:r>
      <w:r w:rsidR="003D6E4E" w:rsidRPr="002E60EB">
        <w:rPr>
          <w:lang w:val="en-US"/>
        </w:rPr>
        <w:t>some of</w:t>
      </w:r>
      <w:r w:rsidRPr="002E60EB">
        <w:rPr>
          <w:lang w:val="en-US"/>
        </w:rPr>
        <w:t xml:space="preserve"> the facts submitted </w:t>
      </w:r>
      <w:r w:rsidR="003D6E4E" w:rsidRPr="002E60EB">
        <w:rPr>
          <w:lang w:val="en-US"/>
        </w:rPr>
        <w:t xml:space="preserve">to the Court’s jurisdiction </w:t>
      </w:r>
      <w:r w:rsidRPr="002E60EB">
        <w:rPr>
          <w:lang w:val="en-US"/>
        </w:rPr>
        <w:t>by the Inter-American Commission</w:t>
      </w:r>
      <w:r w:rsidR="003D6E4E" w:rsidRPr="002E60EB">
        <w:rPr>
          <w:lang w:val="en-US"/>
        </w:rPr>
        <w:t xml:space="preserve"> </w:t>
      </w:r>
      <w:r w:rsidRPr="002E60EB">
        <w:rPr>
          <w:lang w:val="en-US"/>
        </w:rPr>
        <w:t>and partially acknowledged its international responsibility for the violations of Articles 5</w:t>
      </w:r>
      <w:r w:rsidRPr="002E60EB">
        <w:rPr>
          <w:rStyle w:val="Refdenotaalpie"/>
          <w:rFonts w:eastAsia="Times"/>
          <w:caps/>
          <w:lang w:val="en-US"/>
        </w:rPr>
        <w:footnoteReference w:id="147"/>
      </w:r>
      <w:r w:rsidRPr="002E60EB">
        <w:rPr>
          <w:lang w:val="en-US"/>
        </w:rPr>
        <w:t xml:space="preserve"> and 13</w:t>
      </w:r>
      <w:r w:rsidR="003D6E4E" w:rsidRPr="002E60EB">
        <w:rPr>
          <w:rStyle w:val="Refdenotaalpie"/>
          <w:rFonts w:cs="Verdana"/>
          <w:lang w:val="en-US"/>
        </w:rPr>
        <w:footnoteReference w:id="148"/>
      </w:r>
      <w:r w:rsidRPr="002E60EB">
        <w:rPr>
          <w:lang w:val="en-US"/>
        </w:rPr>
        <w:t xml:space="preserve"> of the American Convention to the detriment of Mr. Vélez Restrepo, his wife Aracelly Román Amariles</w:t>
      </w:r>
      <w:r w:rsidR="00BE16A5" w:rsidRPr="002E60EB">
        <w:rPr>
          <w:lang w:val="en-US"/>
        </w:rPr>
        <w:t>,</w:t>
      </w:r>
      <w:r w:rsidRPr="002E60EB">
        <w:rPr>
          <w:lang w:val="en-US"/>
        </w:rPr>
        <w:t xml:space="preserve"> and </w:t>
      </w:r>
      <w:r w:rsidR="003D6E4E" w:rsidRPr="002E60EB">
        <w:rPr>
          <w:lang w:val="en-US"/>
        </w:rPr>
        <w:t>their</w:t>
      </w:r>
      <w:r w:rsidRPr="002E60EB">
        <w:rPr>
          <w:lang w:val="en-US"/>
        </w:rPr>
        <w:t xml:space="preserve"> children Mateo and Juliana Vélez Román (</w:t>
      </w:r>
      <w:r w:rsidRPr="002E60EB">
        <w:rPr>
          <w:i/>
          <w:lang w:val="en-US"/>
        </w:rPr>
        <w:t>supra</w:t>
      </w:r>
      <w:r w:rsidRPr="002E60EB">
        <w:rPr>
          <w:lang w:val="en-US"/>
        </w:rPr>
        <w:t xml:space="preserve"> para</w:t>
      </w:r>
      <w:r w:rsidR="003D6E4E" w:rsidRPr="002E60EB">
        <w:rPr>
          <w:lang w:val="en-US"/>
        </w:rPr>
        <w:t>s</w:t>
      </w:r>
      <w:r w:rsidRPr="002E60EB">
        <w:rPr>
          <w:lang w:val="en-US"/>
        </w:rPr>
        <w:t xml:space="preserve">. </w:t>
      </w:r>
      <w:r w:rsidR="003D6E4E" w:rsidRPr="002E60EB">
        <w:rPr>
          <w:lang w:val="en-US"/>
        </w:rPr>
        <w:t>13 to 17</w:t>
      </w:r>
      <w:r w:rsidRPr="002E60EB">
        <w:rPr>
          <w:lang w:val="en-US"/>
        </w:rPr>
        <w:t xml:space="preserve">). </w:t>
      </w:r>
      <w:r w:rsidRPr="002E60EB">
        <w:rPr>
          <w:rFonts w:cs="Verdana"/>
          <w:lang w:val="en-US"/>
        </w:rPr>
        <w:t xml:space="preserve">Colombia disagrees with the Commission and the representative regarding the </w:t>
      </w:r>
      <w:r w:rsidR="003D6E4E" w:rsidRPr="002E60EB">
        <w:rPr>
          <w:rFonts w:cs="Verdana"/>
          <w:lang w:val="en-US"/>
        </w:rPr>
        <w:t xml:space="preserve">severity </w:t>
      </w:r>
      <w:r w:rsidRPr="002E60EB">
        <w:rPr>
          <w:rFonts w:cs="Verdana"/>
          <w:lang w:val="en-US"/>
        </w:rPr>
        <w:t xml:space="preserve">of the violation of the right to personal integrity against Mr. Vélez Restrepo for the attack of August 29, 1996, and did not acknowledge the alleged violation </w:t>
      </w:r>
      <w:r w:rsidR="003D6E4E" w:rsidRPr="002E60EB">
        <w:rPr>
          <w:rFonts w:cs="Verdana"/>
          <w:lang w:val="en-US"/>
        </w:rPr>
        <w:t>of</w:t>
      </w:r>
      <w:r w:rsidRPr="002E60EB">
        <w:rPr>
          <w:rFonts w:cs="Verdana"/>
          <w:lang w:val="en-US"/>
        </w:rPr>
        <w:t xml:space="preserve"> the social dimension of the right to freedom of thought and expression. </w:t>
      </w:r>
      <w:r w:rsidR="003D6E4E" w:rsidRPr="002E60EB">
        <w:rPr>
          <w:rFonts w:cs="Verdana"/>
          <w:lang w:val="en-US"/>
        </w:rPr>
        <w:t>Furthermore, the State</w:t>
      </w:r>
      <w:r w:rsidRPr="002E60EB">
        <w:rPr>
          <w:rFonts w:cs="Verdana"/>
          <w:lang w:val="en-US"/>
        </w:rPr>
        <w:t xml:space="preserve"> did not acknowledge responsibility for the events subsequent to August 29, 1996, </w:t>
      </w:r>
      <w:r w:rsidR="003D6E4E" w:rsidRPr="002E60EB">
        <w:rPr>
          <w:rFonts w:cs="Verdana"/>
          <w:lang w:val="en-US"/>
        </w:rPr>
        <w:t xml:space="preserve">relating to </w:t>
      </w:r>
      <w:r w:rsidRPr="002E60EB">
        <w:rPr>
          <w:rFonts w:cs="Verdana"/>
          <w:lang w:val="en-US"/>
        </w:rPr>
        <w:t>threats and harassment</w:t>
      </w:r>
      <w:r w:rsidR="003D6E4E" w:rsidRPr="002E60EB">
        <w:rPr>
          <w:rFonts w:cs="Verdana"/>
          <w:lang w:val="en-US"/>
        </w:rPr>
        <w:t>,</w:t>
      </w:r>
      <w:r w:rsidRPr="002E60EB">
        <w:rPr>
          <w:rFonts w:cs="Verdana"/>
          <w:lang w:val="en-US"/>
        </w:rPr>
        <w:t xml:space="preserve"> or for the attempted arbitrary deprivation of liberty of Mr. Vélez Restrepo that took place on October 6, 1997, or for the </w:t>
      </w:r>
      <w:r w:rsidR="003D6E4E" w:rsidRPr="002E60EB">
        <w:rPr>
          <w:rFonts w:cs="Verdana"/>
          <w:lang w:val="en-US"/>
        </w:rPr>
        <w:t>departure from</w:t>
      </w:r>
      <w:r w:rsidRPr="002E60EB">
        <w:rPr>
          <w:rFonts w:cs="Verdana"/>
          <w:lang w:val="en-US"/>
        </w:rPr>
        <w:t xml:space="preserve"> the country of the </w:t>
      </w:r>
      <w:r w:rsidR="003D6E4E" w:rsidRPr="002E60EB">
        <w:rPr>
          <w:rFonts w:cs="Verdana"/>
          <w:lang w:val="en-US"/>
        </w:rPr>
        <w:t xml:space="preserve">members of the </w:t>
      </w:r>
      <w:r w:rsidRPr="002E60EB">
        <w:rPr>
          <w:rFonts w:cs="Verdana"/>
          <w:lang w:val="en-US"/>
        </w:rPr>
        <w:t>Vélez Román famil</w:t>
      </w:r>
      <w:r w:rsidR="003D6E4E" w:rsidRPr="002E60EB">
        <w:rPr>
          <w:rFonts w:cs="Verdana"/>
          <w:lang w:val="en-US"/>
        </w:rPr>
        <w:t>y</w:t>
      </w:r>
      <w:r w:rsidRPr="002E60EB">
        <w:rPr>
          <w:rFonts w:cs="Verdana"/>
          <w:lang w:val="en-US"/>
        </w:rPr>
        <w:t>.</w:t>
      </w:r>
    </w:p>
    <w:p w:rsidR="00E15BBF" w:rsidRPr="002E60EB" w:rsidRDefault="00E15BBF" w:rsidP="00317748">
      <w:pPr>
        <w:tabs>
          <w:tab w:val="left" w:pos="720"/>
        </w:tabs>
        <w:autoSpaceDE w:val="0"/>
        <w:autoSpaceDN w:val="0"/>
        <w:adjustRightInd w:val="0"/>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The Court will divide the legal analysis in</w:t>
      </w:r>
      <w:r w:rsidR="001C7FBF" w:rsidRPr="002E60EB">
        <w:rPr>
          <w:lang w:val="en-US"/>
        </w:rPr>
        <w:t>to</w:t>
      </w:r>
      <w:r w:rsidRPr="002E60EB">
        <w:rPr>
          <w:lang w:val="en-US"/>
        </w:rPr>
        <w:t xml:space="preserve"> two sections, </w:t>
      </w:r>
      <w:r w:rsidR="00BE16A5" w:rsidRPr="002E60EB">
        <w:rPr>
          <w:lang w:val="en-US"/>
        </w:rPr>
        <w:t>and will first address</w:t>
      </w:r>
      <w:r w:rsidRPr="002E60EB">
        <w:rPr>
          <w:lang w:val="en-US"/>
        </w:rPr>
        <w:t xml:space="preserve"> the legal consequences of the attack of August 29, 1996, and </w:t>
      </w:r>
      <w:r w:rsidR="00132FFB" w:rsidRPr="002E60EB">
        <w:rPr>
          <w:lang w:val="en-US"/>
        </w:rPr>
        <w:t>then</w:t>
      </w:r>
      <w:r w:rsidRPr="002E60EB">
        <w:rPr>
          <w:lang w:val="en-US"/>
        </w:rPr>
        <w:t xml:space="preserve"> the </w:t>
      </w:r>
      <w:r w:rsidR="00BE16A5" w:rsidRPr="002E60EB">
        <w:rPr>
          <w:lang w:val="en-US"/>
        </w:rPr>
        <w:t>incident</w:t>
      </w:r>
      <w:r w:rsidRPr="002E60EB">
        <w:rPr>
          <w:lang w:val="en-US"/>
        </w:rPr>
        <w:t>s that occurred after th</w:t>
      </w:r>
      <w:r w:rsidR="001C7FBF" w:rsidRPr="002E60EB">
        <w:rPr>
          <w:lang w:val="en-US"/>
        </w:rPr>
        <w:t>at</w:t>
      </w:r>
      <w:r w:rsidRPr="002E60EB">
        <w:rPr>
          <w:lang w:val="en-US"/>
        </w:rPr>
        <w:t xml:space="preserve"> date. </w:t>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rStyle w:val="Refdenotaalpie"/>
          <w:vertAlign w:val="baseline"/>
          <w:lang w:val="en-US"/>
        </w:rPr>
      </w:pPr>
      <w:r w:rsidRPr="002E60EB">
        <w:rPr>
          <w:lang w:val="en-US"/>
        </w:rPr>
        <w:t xml:space="preserve">The analysis of the acknowledged violations as well as those that are </w:t>
      </w:r>
      <w:r w:rsidR="00BE16A5" w:rsidRPr="002E60EB">
        <w:rPr>
          <w:lang w:val="en-US"/>
        </w:rPr>
        <w:t>disputed</w:t>
      </w:r>
      <w:r w:rsidRPr="002E60EB">
        <w:rPr>
          <w:lang w:val="en-US"/>
        </w:rPr>
        <w:t xml:space="preserve"> requires the Court to determine whether the State </w:t>
      </w:r>
      <w:r w:rsidR="001C7FBF" w:rsidRPr="002E60EB">
        <w:rPr>
          <w:lang w:val="en-US"/>
        </w:rPr>
        <w:t xml:space="preserve">failed to comply with </w:t>
      </w:r>
      <w:r w:rsidRPr="002E60EB">
        <w:rPr>
          <w:lang w:val="en-US"/>
        </w:rPr>
        <w:t>its obligation to respect and guarantee the human rights referred to in the preceding paragraph.</w:t>
      </w:r>
      <w:r w:rsidRPr="002E60EB">
        <w:rPr>
          <w:rStyle w:val="Refdenotaalpie"/>
          <w:rFonts w:eastAsia="Times"/>
          <w:caps/>
          <w:lang w:val="en-US"/>
        </w:rPr>
        <w:footnoteReference w:id="149"/>
      </w:r>
      <w:r w:rsidRPr="002E60EB">
        <w:rPr>
          <w:lang w:val="en-US"/>
        </w:rPr>
        <w:t xml:space="preserve"> The Court has established that, in accordance with Article 1(1) of the Convention, States are obliged to respect and guarantee the human rights recognized therein.</w:t>
      </w:r>
      <w:r w:rsidR="001C7FBF" w:rsidRPr="002E60EB">
        <w:rPr>
          <w:vertAlign w:val="superscript"/>
          <w:lang w:val="en-US"/>
        </w:rPr>
        <w:footnoteReference w:id="150"/>
      </w:r>
      <w:r w:rsidRPr="002E60EB">
        <w:rPr>
          <w:lang w:val="en-US"/>
        </w:rPr>
        <w:t xml:space="preserve"> </w:t>
      </w:r>
      <w:r w:rsidR="001C7FBF" w:rsidRPr="002E60EB">
        <w:rPr>
          <w:lang w:val="en-US"/>
        </w:rPr>
        <w:t>It has also indicated that t</w:t>
      </w:r>
      <w:r w:rsidRPr="002E60EB">
        <w:rPr>
          <w:lang w:val="en-US"/>
        </w:rPr>
        <w:t xml:space="preserve">he State's international responsibility is based on acts or omissions of any </w:t>
      </w:r>
      <w:r w:rsidR="001C7FBF" w:rsidRPr="002E60EB">
        <w:rPr>
          <w:lang w:val="en-US"/>
        </w:rPr>
        <w:t>power or organ of the State, irrespective of its</w:t>
      </w:r>
      <w:r w:rsidRPr="002E60EB">
        <w:rPr>
          <w:lang w:val="en-US"/>
        </w:rPr>
        <w:t xml:space="preserve"> rank,</w:t>
      </w:r>
      <w:r w:rsidR="001C7FBF" w:rsidRPr="002E60EB">
        <w:rPr>
          <w:lang w:val="en-US"/>
        </w:rPr>
        <w:t xml:space="preserve"> that</w:t>
      </w:r>
      <w:r w:rsidRPr="002E60EB">
        <w:rPr>
          <w:lang w:val="en-US"/>
        </w:rPr>
        <w:t xml:space="preserve"> violate the American Convention.</w:t>
      </w:r>
      <w:r w:rsidR="001C7FBF" w:rsidRPr="002E60EB">
        <w:rPr>
          <w:rStyle w:val="Refdenotaalpie"/>
          <w:lang w:val="en-US"/>
        </w:rPr>
        <w:footnoteReference w:id="151"/>
      </w:r>
    </w:p>
    <w:p w:rsidR="00E15BBF" w:rsidRPr="002E60EB" w:rsidRDefault="00E15BBF" w:rsidP="00317748">
      <w:pPr>
        <w:tabs>
          <w:tab w:val="left" w:pos="720"/>
        </w:tabs>
        <w:autoSpaceDE w:val="0"/>
        <w:autoSpaceDN w:val="0"/>
        <w:adjustRightInd w:val="0"/>
        <w:jc w:val="both"/>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The Court has held that, </w:t>
      </w:r>
      <w:r w:rsidR="001C7FBF" w:rsidRPr="002E60EB">
        <w:rPr>
          <w:lang w:val="en-US"/>
        </w:rPr>
        <w:t>under</w:t>
      </w:r>
      <w:r w:rsidRPr="002E60EB">
        <w:rPr>
          <w:lang w:val="en-US"/>
        </w:rPr>
        <w:t xml:space="preserve"> this article, the first obligation assumed by </w:t>
      </w:r>
      <w:r w:rsidR="00EF2C2F" w:rsidRPr="002E60EB">
        <w:rPr>
          <w:lang w:val="en-US"/>
        </w:rPr>
        <w:t xml:space="preserve">the </w:t>
      </w:r>
      <w:r w:rsidRPr="002E60EB">
        <w:rPr>
          <w:lang w:val="en-US"/>
        </w:rPr>
        <w:t xml:space="preserve">States Parties is </w:t>
      </w:r>
      <w:r w:rsidR="00087093" w:rsidRPr="002E60EB">
        <w:rPr>
          <w:lang w:val="en-US"/>
        </w:rPr>
        <w:t>“</w:t>
      </w:r>
      <w:r w:rsidRPr="002E60EB">
        <w:rPr>
          <w:lang w:val="en-US"/>
        </w:rPr>
        <w:t>to respect the rights and freedoms</w:t>
      </w:r>
      <w:r w:rsidR="00087093" w:rsidRPr="002E60EB">
        <w:rPr>
          <w:lang w:val="en-US"/>
        </w:rPr>
        <w:t>”</w:t>
      </w:r>
      <w:r w:rsidRPr="002E60EB">
        <w:rPr>
          <w:lang w:val="en-US"/>
        </w:rPr>
        <w:t xml:space="preserve"> recognized in the Convention. Thus, the notion of restricting the exercise of the State’s power is necessarily included in the protection of human rights.</w:t>
      </w:r>
      <w:r w:rsidR="001C7FBF" w:rsidRPr="002E60EB">
        <w:rPr>
          <w:rStyle w:val="Refdenotaalpie"/>
          <w:lang w:val="en-US"/>
        </w:rPr>
        <w:footnoteReference w:id="152"/>
      </w:r>
      <w:r w:rsidRPr="002E60EB">
        <w:rPr>
          <w:lang w:val="en-US"/>
        </w:rPr>
        <w:t xml:space="preserve"> The obligation to guarantee is derived from the general obligation of guarantee indicated in Article 1(1) of the Convention together with the substantive right protected in this treaty that must be safeguarded, protected or guaranteed, and entails the positive obligation of the State to adopt a series of conducts, depending on the specific substantive right that must be guaranteed and the specific situation in question.</w:t>
      </w:r>
      <w:r w:rsidR="00215A8B" w:rsidRPr="002E60EB">
        <w:rPr>
          <w:rStyle w:val="Refdenotaalpie"/>
          <w:lang w:val="en-US"/>
        </w:rPr>
        <w:footnoteReference w:id="153"/>
      </w:r>
      <w:r w:rsidRPr="002E60EB">
        <w:rPr>
          <w:lang w:val="en-US"/>
        </w:rPr>
        <w:t xml:space="preserve"> This obligation entails the duty of the States to organize the entire government apparatus and, in general, all the structures through which public power is exercised, so that they are capable of legally ensuring the free and full enjoyment of human rights.</w:t>
      </w:r>
      <w:bookmarkStart w:id="6" w:name="_Ref248140117"/>
      <w:r w:rsidR="00215A8B" w:rsidRPr="002E60EB">
        <w:rPr>
          <w:rStyle w:val="Refdenotaalpie"/>
          <w:lang w:val="en-US"/>
        </w:rPr>
        <w:footnoteReference w:id="154"/>
      </w:r>
      <w:bookmarkEnd w:id="6"/>
    </w:p>
    <w:p w:rsidR="00E15BBF" w:rsidRPr="002E60EB" w:rsidRDefault="00E15BBF" w:rsidP="00317748">
      <w:pPr>
        <w:tabs>
          <w:tab w:val="left" w:pos="720"/>
        </w:tabs>
        <w:rPr>
          <w:lang w:val="en-US"/>
        </w:rPr>
      </w:pPr>
    </w:p>
    <w:p w:rsidR="00E15BBF" w:rsidRPr="002E60EB" w:rsidRDefault="00215A8B" w:rsidP="00317748">
      <w:pPr>
        <w:tabs>
          <w:tab w:val="left" w:pos="720"/>
        </w:tabs>
        <w:autoSpaceDE w:val="0"/>
        <w:autoSpaceDN w:val="0"/>
        <w:adjustRightInd w:val="0"/>
        <w:rPr>
          <w:b/>
          <w:lang w:val="en-US"/>
        </w:rPr>
      </w:pPr>
      <w:r w:rsidRPr="002E60EB">
        <w:rPr>
          <w:b/>
          <w:lang w:val="en-US"/>
        </w:rPr>
        <w:tab/>
      </w:r>
      <w:r w:rsidR="00E15BBF" w:rsidRPr="002E60EB">
        <w:rPr>
          <w:b/>
          <w:lang w:val="en-US"/>
        </w:rPr>
        <w:t xml:space="preserve">B) </w:t>
      </w:r>
      <w:r w:rsidRPr="002E60EB">
        <w:rPr>
          <w:b/>
          <w:lang w:val="en-US"/>
        </w:rPr>
        <w:t>The</w:t>
      </w:r>
      <w:r w:rsidR="00CF7F35" w:rsidRPr="002E60EB">
        <w:rPr>
          <w:b/>
          <w:lang w:val="en-US"/>
        </w:rPr>
        <w:t xml:space="preserve"> facts concerning</w:t>
      </w:r>
      <w:r w:rsidR="00E15BBF" w:rsidRPr="002E60EB">
        <w:rPr>
          <w:b/>
          <w:lang w:val="en-US"/>
        </w:rPr>
        <w:t xml:space="preserve"> the attack of August 29, 1996</w:t>
      </w:r>
    </w:p>
    <w:p w:rsidR="00E15BBF" w:rsidRPr="002E60EB" w:rsidRDefault="00E15BBF" w:rsidP="00317748">
      <w:pPr>
        <w:tabs>
          <w:tab w:val="left" w:pos="720"/>
        </w:tabs>
        <w:autoSpaceDE w:val="0"/>
        <w:autoSpaceDN w:val="0"/>
        <w:adjustRightInd w:val="0"/>
        <w:rPr>
          <w:lang w:val="en-US"/>
        </w:rPr>
      </w:pPr>
    </w:p>
    <w:p w:rsidR="00E15BBF" w:rsidRPr="002E60EB" w:rsidRDefault="00E15BBF" w:rsidP="00317748">
      <w:pPr>
        <w:tabs>
          <w:tab w:val="left" w:pos="720"/>
        </w:tabs>
        <w:autoSpaceDE w:val="0"/>
        <w:autoSpaceDN w:val="0"/>
        <w:adjustRightInd w:val="0"/>
        <w:rPr>
          <w:i/>
          <w:lang w:val="en-US"/>
        </w:rPr>
      </w:pPr>
      <w:r w:rsidRPr="002E60EB">
        <w:rPr>
          <w:lang w:val="en-US"/>
        </w:rPr>
        <w:tab/>
      </w:r>
      <w:r w:rsidR="00215A8B" w:rsidRPr="002E60EB">
        <w:rPr>
          <w:lang w:val="en-US"/>
        </w:rPr>
        <w:tab/>
      </w:r>
      <w:r w:rsidR="00215A8B" w:rsidRPr="002E60EB">
        <w:rPr>
          <w:i/>
          <w:lang w:val="en-US"/>
        </w:rPr>
        <w:t xml:space="preserve">B.1) </w:t>
      </w:r>
      <w:r w:rsidRPr="002E60EB">
        <w:rPr>
          <w:i/>
          <w:lang w:val="en-US"/>
        </w:rPr>
        <w:t>Violation of the right to personal integrity</w:t>
      </w:r>
    </w:p>
    <w:p w:rsidR="00E15BBF" w:rsidRPr="002E60EB" w:rsidRDefault="00E15BBF" w:rsidP="00317748">
      <w:pPr>
        <w:tabs>
          <w:tab w:val="left" w:pos="720"/>
        </w:tabs>
        <w:jc w:val="both"/>
        <w:rPr>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According to </w:t>
      </w:r>
      <w:r w:rsidR="00215A8B" w:rsidRPr="002E60EB">
        <w:rPr>
          <w:lang w:val="en-US"/>
        </w:rPr>
        <w:t xml:space="preserve">its </w:t>
      </w:r>
      <w:r w:rsidRPr="002E60EB">
        <w:rPr>
          <w:lang w:val="en-US"/>
        </w:rPr>
        <w:t xml:space="preserve">acknowledgment </w:t>
      </w:r>
      <w:r w:rsidR="00EF2C2F" w:rsidRPr="002E60EB">
        <w:rPr>
          <w:lang w:val="en-US"/>
        </w:rPr>
        <w:t xml:space="preserve">of </w:t>
      </w:r>
      <w:r w:rsidRPr="002E60EB">
        <w:rPr>
          <w:lang w:val="en-US"/>
        </w:rPr>
        <w:t xml:space="preserve">responsibility, the State is responsible for the attack against Mr. Vélez Restrepo by members of the Army on August 29, 1996, while he was recording the events </w:t>
      </w:r>
      <w:r w:rsidR="00215A8B" w:rsidRPr="002E60EB">
        <w:rPr>
          <w:lang w:val="en-US"/>
        </w:rPr>
        <w:t>of</w:t>
      </w:r>
      <w:r w:rsidRPr="002E60EB">
        <w:rPr>
          <w:lang w:val="en-US"/>
        </w:rPr>
        <w:t xml:space="preserve"> one of the </w:t>
      </w:r>
      <w:r w:rsidR="00087093" w:rsidRPr="002E60EB">
        <w:rPr>
          <w:lang w:val="en-US"/>
        </w:rPr>
        <w:t>“</w:t>
      </w:r>
      <w:r w:rsidRPr="002E60EB">
        <w:rPr>
          <w:lang w:val="en-US"/>
        </w:rPr>
        <w:t>coca marches</w:t>
      </w:r>
      <w:r w:rsidR="00087093" w:rsidRPr="002E60EB">
        <w:rPr>
          <w:lang w:val="en-US"/>
        </w:rPr>
        <w:t>”</w:t>
      </w:r>
      <w:r w:rsidRPr="002E60EB">
        <w:rPr>
          <w:lang w:val="en-US"/>
        </w:rPr>
        <w:t xml:space="preserve"> in Caquetá, in the exercise of his functions as a cameraman</w:t>
      </w:r>
      <w:r w:rsidR="00215A8B" w:rsidRPr="002E60EB">
        <w:rPr>
          <w:lang w:val="en-US"/>
        </w:rPr>
        <w:t xml:space="preserve"> of a national news program</w:t>
      </w:r>
      <w:r w:rsidRPr="002E60EB">
        <w:rPr>
          <w:lang w:val="en-US"/>
        </w:rPr>
        <w:t xml:space="preserve"> (</w:t>
      </w:r>
      <w:r w:rsidRPr="002E60EB">
        <w:rPr>
          <w:i/>
          <w:lang w:val="en-US"/>
        </w:rPr>
        <w:t xml:space="preserve">supra </w:t>
      </w:r>
      <w:r w:rsidR="00215A8B" w:rsidRPr="002E60EB">
        <w:rPr>
          <w:lang w:val="en-US"/>
        </w:rPr>
        <w:t>paras. 14, 78 to 83</w:t>
      </w:r>
      <w:r w:rsidRPr="002E60EB">
        <w:rPr>
          <w:lang w:val="en-US"/>
        </w:rPr>
        <w:t xml:space="preserve">). </w:t>
      </w:r>
      <w:r w:rsidR="00215A8B" w:rsidRPr="002E60EB">
        <w:rPr>
          <w:lang w:val="en-US"/>
        </w:rPr>
        <w:t xml:space="preserve">Colombia </w:t>
      </w:r>
      <w:r w:rsidRPr="002E60EB">
        <w:rPr>
          <w:lang w:val="en-US"/>
        </w:rPr>
        <w:t xml:space="preserve">acknowledged that </w:t>
      </w:r>
      <w:r w:rsidR="00215A8B" w:rsidRPr="002E60EB">
        <w:rPr>
          <w:lang w:val="en-US"/>
        </w:rPr>
        <w:t xml:space="preserve">these </w:t>
      </w:r>
      <w:r w:rsidRPr="002E60EB">
        <w:rPr>
          <w:lang w:val="en-US"/>
        </w:rPr>
        <w:t>actions of the State agents violated the obligation to respect Mr. Vélez Restrepo</w:t>
      </w:r>
      <w:r w:rsidR="00215A8B" w:rsidRPr="002E60EB">
        <w:rPr>
          <w:lang w:val="en-US"/>
        </w:rPr>
        <w:t>’s right to personal integrity</w:t>
      </w:r>
      <w:r w:rsidRPr="002E60EB">
        <w:rPr>
          <w:lang w:val="en-US"/>
        </w:rPr>
        <w:t xml:space="preserve">. </w:t>
      </w:r>
    </w:p>
    <w:p w:rsidR="00E15BBF" w:rsidRPr="002E60EB" w:rsidRDefault="00E15BBF" w:rsidP="00317748">
      <w:pPr>
        <w:tabs>
          <w:tab w:val="left" w:pos="720"/>
        </w:tabs>
        <w:autoSpaceDE w:val="0"/>
        <w:autoSpaceDN w:val="0"/>
        <w:adjustRightInd w:val="0"/>
        <w:jc w:val="both"/>
        <w:rPr>
          <w:color w:val="00B050"/>
          <w:lang w:val="en-US"/>
        </w:rPr>
      </w:pPr>
    </w:p>
    <w:p w:rsidR="00E15BBF" w:rsidRPr="002E60EB" w:rsidRDefault="004E51D0" w:rsidP="00317748">
      <w:pPr>
        <w:numPr>
          <w:ilvl w:val="0"/>
          <w:numId w:val="1"/>
        </w:numPr>
        <w:tabs>
          <w:tab w:val="left" w:pos="720"/>
          <w:tab w:val="num" w:pos="851"/>
        </w:tabs>
        <w:autoSpaceDE w:val="0"/>
        <w:autoSpaceDN w:val="0"/>
        <w:adjustRightInd w:val="0"/>
        <w:jc w:val="both"/>
        <w:rPr>
          <w:lang w:val="en-US"/>
        </w:rPr>
      </w:pPr>
      <w:r w:rsidRPr="002E60EB">
        <w:rPr>
          <w:lang w:val="en-US"/>
        </w:rPr>
        <w:t>Regarding</w:t>
      </w:r>
      <w:r w:rsidR="00E15BBF" w:rsidRPr="002E60EB">
        <w:rPr>
          <w:lang w:val="en-US"/>
        </w:rPr>
        <w:t xml:space="preserve"> the violation of the right to personal integrity </w:t>
      </w:r>
      <w:r w:rsidRPr="002E60EB">
        <w:rPr>
          <w:lang w:val="en-US"/>
        </w:rPr>
        <w:t xml:space="preserve">of </w:t>
      </w:r>
      <w:r w:rsidR="00E15BBF" w:rsidRPr="002E60EB">
        <w:rPr>
          <w:lang w:val="en-US"/>
        </w:rPr>
        <w:t>Aracelly Román Amariles and Mateo and Juliana Vélez Román, argued only by the representative</w:t>
      </w:r>
      <w:r w:rsidR="000C296C" w:rsidRPr="002E60EB">
        <w:rPr>
          <w:lang w:val="en-US"/>
        </w:rPr>
        <w:t>,</w:t>
      </w:r>
      <w:r w:rsidR="00E15BBF" w:rsidRPr="002E60EB">
        <w:rPr>
          <w:lang w:val="en-US"/>
        </w:rPr>
        <w:t xml:space="preserve"> in </w:t>
      </w:r>
      <w:r w:rsidRPr="002E60EB">
        <w:rPr>
          <w:lang w:val="en-US"/>
        </w:rPr>
        <w:t>its</w:t>
      </w:r>
      <w:r w:rsidR="00EF2C2F" w:rsidRPr="002E60EB">
        <w:rPr>
          <w:lang w:val="en-US"/>
        </w:rPr>
        <w:t xml:space="preserve"> final written arguments</w:t>
      </w:r>
      <w:r w:rsidR="00E15BBF" w:rsidRPr="002E60EB">
        <w:rPr>
          <w:lang w:val="en-US"/>
        </w:rPr>
        <w:t xml:space="preserve"> the State extended its acknowledgment of responsibility to consider them </w:t>
      </w:r>
      <w:r w:rsidRPr="002E60EB">
        <w:rPr>
          <w:lang w:val="en-US"/>
        </w:rPr>
        <w:t xml:space="preserve">also </w:t>
      </w:r>
      <w:r w:rsidR="00E15BBF" w:rsidRPr="002E60EB">
        <w:rPr>
          <w:lang w:val="en-US"/>
        </w:rPr>
        <w:t xml:space="preserve">as victims of the violation of </w:t>
      </w:r>
      <w:r w:rsidRPr="002E60EB">
        <w:rPr>
          <w:lang w:val="en-US"/>
        </w:rPr>
        <w:t xml:space="preserve">this </w:t>
      </w:r>
      <w:r w:rsidR="00E15BBF" w:rsidRPr="002E60EB">
        <w:rPr>
          <w:lang w:val="en-US"/>
        </w:rPr>
        <w:t xml:space="preserve">right, </w:t>
      </w:r>
      <w:r w:rsidRPr="002E60EB">
        <w:rPr>
          <w:lang w:val="en-US"/>
        </w:rPr>
        <w:t xml:space="preserve">owing to </w:t>
      </w:r>
      <w:r w:rsidR="00E15BBF" w:rsidRPr="002E60EB">
        <w:rPr>
          <w:lang w:val="en-US"/>
        </w:rPr>
        <w:t>the facts of the attack of August 29, 1996</w:t>
      </w:r>
      <w:r w:rsidRPr="002E60EB">
        <w:rPr>
          <w:lang w:val="en-US"/>
        </w:rPr>
        <w:t xml:space="preserve"> (</w:t>
      </w:r>
      <w:r w:rsidRPr="002E60EB">
        <w:rPr>
          <w:i/>
          <w:lang w:val="en-US"/>
        </w:rPr>
        <w:t>supra</w:t>
      </w:r>
      <w:r w:rsidRPr="002E60EB">
        <w:rPr>
          <w:lang w:val="en-US"/>
        </w:rPr>
        <w:t xml:space="preserve"> paras. 13 and 14(a))</w:t>
      </w:r>
      <w:r w:rsidR="00E15BBF" w:rsidRPr="002E60EB">
        <w:rPr>
          <w:lang w:val="en-US"/>
        </w:rPr>
        <w:t xml:space="preserve">. In this regard, the representative </w:t>
      </w:r>
      <w:r w:rsidRPr="002E60EB">
        <w:rPr>
          <w:lang w:val="en-US"/>
        </w:rPr>
        <w:t xml:space="preserve">stated </w:t>
      </w:r>
      <w:r w:rsidR="00E15BBF" w:rsidRPr="002E60EB">
        <w:rPr>
          <w:lang w:val="en-US"/>
        </w:rPr>
        <w:t>that th</w:t>
      </w:r>
      <w:r w:rsidRPr="002E60EB">
        <w:rPr>
          <w:lang w:val="en-US"/>
        </w:rPr>
        <w:t>is</w:t>
      </w:r>
      <w:r w:rsidR="00E15BBF" w:rsidRPr="002E60EB">
        <w:rPr>
          <w:lang w:val="en-US"/>
        </w:rPr>
        <w:t xml:space="preserve"> attack </w:t>
      </w:r>
      <w:r w:rsidR="00087093" w:rsidRPr="002E60EB">
        <w:rPr>
          <w:lang w:val="en-US"/>
        </w:rPr>
        <w:t>“</w:t>
      </w:r>
      <w:r w:rsidR="00E15BBF" w:rsidRPr="002E60EB">
        <w:rPr>
          <w:lang w:val="en-US"/>
        </w:rPr>
        <w:t>also caused deep distress to [Mr. Vélez Restrepo’s] family (his wife and children), who feared for the li</w:t>
      </w:r>
      <w:r w:rsidRPr="002E60EB">
        <w:rPr>
          <w:lang w:val="en-US"/>
        </w:rPr>
        <w:t>fe</w:t>
      </w:r>
      <w:r w:rsidR="00E15BBF" w:rsidRPr="002E60EB">
        <w:rPr>
          <w:lang w:val="en-US"/>
        </w:rPr>
        <w:t xml:space="preserve"> and wel</w:t>
      </w:r>
      <w:r w:rsidRPr="002E60EB">
        <w:rPr>
          <w:lang w:val="en-US"/>
        </w:rPr>
        <w:t>l-being</w:t>
      </w:r>
      <w:r w:rsidR="00E15BBF" w:rsidRPr="002E60EB">
        <w:rPr>
          <w:lang w:val="en-US"/>
        </w:rPr>
        <w:t xml:space="preserve"> of their husband and father.</w:t>
      </w:r>
      <w:r w:rsidR="00087093" w:rsidRPr="002E60EB">
        <w:rPr>
          <w:lang w:val="en-US"/>
        </w:rPr>
        <w:t>”</w:t>
      </w:r>
      <w:r w:rsidR="00E15BBF" w:rsidRPr="002E60EB">
        <w:rPr>
          <w:lang w:val="en-US"/>
        </w:rPr>
        <w:t xml:space="preserve"> In this regard, in her testimony before this Court, Mr. Vélez Restrepo’s wife </w:t>
      </w:r>
      <w:r w:rsidRPr="002E60EB">
        <w:rPr>
          <w:lang w:val="en-US"/>
        </w:rPr>
        <w:t>recounted</w:t>
      </w:r>
      <w:r w:rsidR="00E15BBF" w:rsidRPr="002E60EB">
        <w:rPr>
          <w:lang w:val="en-US"/>
        </w:rPr>
        <w:t xml:space="preserve"> the anguish she suffered when she learned through the media of the attack </w:t>
      </w:r>
      <w:r w:rsidRPr="002E60EB">
        <w:rPr>
          <w:lang w:val="en-US"/>
        </w:rPr>
        <w:t xml:space="preserve">on </w:t>
      </w:r>
      <w:r w:rsidR="00E15BBF" w:rsidRPr="002E60EB">
        <w:rPr>
          <w:lang w:val="en-US"/>
        </w:rPr>
        <w:t>her husband and that he had been taken to a hospital. Her son</w:t>
      </w:r>
      <w:r w:rsidR="00EF2C2F" w:rsidRPr="002E60EB">
        <w:rPr>
          <w:lang w:val="en-US"/>
        </w:rPr>
        <w:t>,</w:t>
      </w:r>
      <w:r w:rsidR="00E15BBF" w:rsidRPr="002E60EB">
        <w:rPr>
          <w:lang w:val="en-US"/>
        </w:rPr>
        <w:t xml:space="preserve"> Mateo </w:t>
      </w:r>
      <w:r w:rsidRPr="002E60EB">
        <w:rPr>
          <w:lang w:val="en-US"/>
        </w:rPr>
        <w:t>Vélez Román</w:t>
      </w:r>
      <w:r w:rsidR="00EF2C2F" w:rsidRPr="002E60EB">
        <w:rPr>
          <w:lang w:val="en-US"/>
        </w:rPr>
        <w:t>,</w:t>
      </w:r>
      <w:r w:rsidRPr="002E60EB">
        <w:rPr>
          <w:lang w:val="en-US"/>
        </w:rPr>
        <w:t xml:space="preserve"> </w:t>
      </w:r>
      <w:r w:rsidR="00E15BBF" w:rsidRPr="002E60EB">
        <w:rPr>
          <w:lang w:val="en-US"/>
        </w:rPr>
        <w:t xml:space="preserve">was with her and saw the images transmitted </w:t>
      </w:r>
      <w:r w:rsidRPr="002E60EB">
        <w:rPr>
          <w:lang w:val="en-US"/>
        </w:rPr>
        <w:t xml:space="preserve">by </w:t>
      </w:r>
      <w:r w:rsidR="00E15BBF" w:rsidRPr="002E60EB">
        <w:rPr>
          <w:lang w:val="en-US"/>
        </w:rPr>
        <w:t xml:space="preserve">the media. The </w:t>
      </w:r>
      <w:r w:rsidRPr="002E60EB">
        <w:rPr>
          <w:lang w:val="en-US"/>
        </w:rPr>
        <w:t xml:space="preserve">opinion </w:t>
      </w:r>
      <w:r w:rsidR="00E15BBF" w:rsidRPr="002E60EB">
        <w:rPr>
          <w:lang w:val="en-US"/>
        </w:rPr>
        <w:t>of expert witness Kessler relates how these events affected Mateo, who recalls the images broadcast on television and the anguish of his mother, who was holding his younger sister Juliana.</w:t>
      </w:r>
    </w:p>
    <w:p w:rsidR="00E15BBF" w:rsidRPr="002E60EB" w:rsidRDefault="00E15BBF" w:rsidP="00317748">
      <w:pPr>
        <w:tabs>
          <w:tab w:val="left" w:pos="720"/>
        </w:tabs>
        <w:autoSpaceDE w:val="0"/>
        <w:autoSpaceDN w:val="0"/>
        <w:adjustRightInd w:val="0"/>
        <w:jc w:val="both"/>
        <w:rPr>
          <w:lang w:val="en-US"/>
        </w:rPr>
      </w:pPr>
    </w:p>
    <w:p w:rsidR="00E15BBF" w:rsidRPr="002E60EB" w:rsidRDefault="00D10587" w:rsidP="00317748">
      <w:pPr>
        <w:numPr>
          <w:ilvl w:val="0"/>
          <w:numId w:val="1"/>
        </w:numPr>
        <w:tabs>
          <w:tab w:val="left" w:pos="720"/>
          <w:tab w:val="num" w:pos="851"/>
        </w:tabs>
        <w:autoSpaceDE w:val="0"/>
        <w:autoSpaceDN w:val="0"/>
        <w:adjustRightInd w:val="0"/>
        <w:jc w:val="both"/>
        <w:rPr>
          <w:b/>
          <w:lang w:val="en-US"/>
        </w:rPr>
      </w:pPr>
      <w:r w:rsidRPr="002E60EB">
        <w:rPr>
          <w:lang w:val="en-US"/>
        </w:rPr>
        <w:t>Despite this</w:t>
      </w:r>
      <w:r w:rsidR="00E15BBF" w:rsidRPr="002E60EB">
        <w:rPr>
          <w:lang w:val="en-US"/>
        </w:rPr>
        <w:t xml:space="preserve"> acknowledgment, the State disputed the conclusions of the Commission regarding the gravity or severity of </w:t>
      </w:r>
      <w:r w:rsidRPr="002E60EB">
        <w:rPr>
          <w:lang w:val="en-US"/>
        </w:rPr>
        <w:t xml:space="preserve">the </w:t>
      </w:r>
      <w:r w:rsidR="00E15BBF" w:rsidRPr="002E60EB">
        <w:rPr>
          <w:lang w:val="en-US"/>
        </w:rPr>
        <w:t xml:space="preserve">injuries sustained by Mr. Vélez Restrepo as a </w:t>
      </w:r>
      <w:r w:rsidRPr="002E60EB">
        <w:rPr>
          <w:lang w:val="en-US"/>
        </w:rPr>
        <w:t xml:space="preserve">result </w:t>
      </w:r>
      <w:r w:rsidR="00E15BBF" w:rsidRPr="002E60EB">
        <w:rPr>
          <w:lang w:val="en-US"/>
        </w:rPr>
        <w:t xml:space="preserve">of the attack of August 29, 1996, his recovery time, and the </w:t>
      </w:r>
      <w:r w:rsidRPr="002E60EB">
        <w:rPr>
          <w:lang w:val="en-US"/>
        </w:rPr>
        <w:t xml:space="preserve">Commission’s </w:t>
      </w:r>
      <w:r w:rsidR="00E15BBF" w:rsidRPr="002E60EB">
        <w:rPr>
          <w:lang w:val="en-US"/>
        </w:rPr>
        <w:t xml:space="preserve">assessment of the evidence to </w:t>
      </w:r>
      <w:r w:rsidRPr="002E60EB">
        <w:rPr>
          <w:lang w:val="en-US"/>
        </w:rPr>
        <w:t>reach</w:t>
      </w:r>
      <w:r w:rsidR="00E15BBF" w:rsidRPr="002E60EB">
        <w:rPr>
          <w:lang w:val="en-US"/>
        </w:rPr>
        <w:t xml:space="preserve"> such conclusions</w:t>
      </w:r>
      <w:r w:rsidRPr="002E60EB">
        <w:rPr>
          <w:lang w:val="en-US"/>
        </w:rPr>
        <w:t>.</w:t>
      </w:r>
    </w:p>
    <w:p w:rsidR="00E15BBF" w:rsidRPr="002E60EB" w:rsidRDefault="00E15BBF" w:rsidP="00317748">
      <w:pPr>
        <w:tabs>
          <w:tab w:val="left" w:pos="720"/>
        </w:tabs>
        <w:autoSpaceDE w:val="0"/>
        <w:autoSpaceDN w:val="0"/>
        <w:adjustRightInd w:val="0"/>
        <w:jc w:val="both"/>
        <w:rPr>
          <w:lang w:val="en-US"/>
        </w:rPr>
      </w:pPr>
    </w:p>
    <w:p w:rsidR="00D10587" w:rsidRPr="002E60EB" w:rsidRDefault="00E15BBF" w:rsidP="00317748">
      <w:pPr>
        <w:numPr>
          <w:ilvl w:val="0"/>
          <w:numId w:val="1"/>
        </w:numPr>
        <w:tabs>
          <w:tab w:val="left" w:pos="720"/>
          <w:tab w:val="num" w:pos="851"/>
        </w:tabs>
        <w:autoSpaceDE w:val="0"/>
        <w:autoSpaceDN w:val="0"/>
        <w:adjustRightInd w:val="0"/>
        <w:jc w:val="both"/>
        <w:rPr>
          <w:b/>
          <w:lang w:val="en-US"/>
        </w:rPr>
      </w:pPr>
      <w:r w:rsidRPr="002E60EB">
        <w:rPr>
          <w:lang w:val="en-US"/>
        </w:rPr>
        <w:t xml:space="preserve">In the </w:t>
      </w:r>
      <w:r w:rsidR="00716625" w:rsidRPr="002E60EB">
        <w:rPr>
          <w:lang w:val="en-US"/>
        </w:rPr>
        <w:t>Merits Report</w:t>
      </w:r>
      <w:r w:rsidRPr="002E60EB">
        <w:rPr>
          <w:lang w:val="en-US"/>
        </w:rPr>
        <w:t>, the Commission alleged that</w:t>
      </w:r>
      <w:r w:rsidR="00D10587" w:rsidRPr="002E60EB">
        <w:rPr>
          <w:lang w:val="en-US"/>
        </w:rPr>
        <w:t xml:space="preserve"> Mr. Vélez Román was “</w:t>
      </w:r>
      <w:r w:rsidRPr="002E60EB">
        <w:rPr>
          <w:lang w:val="en-US"/>
        </w:rPr>
        <w:t xml:space="preserve">indiscriminately </w:t>
      </w:r>
      <w:r w:rsidR="00EF2C2F" w:rsidRPr="002E60EB">
        <w:rPr>
          <w:lang w:val="en-US"/>
        </w:rPr>
        <w:t>beat[en]</w:t>
      </w:r>
      <w:r w:rsidR="00D10587" w:rsidRPr="002E60EB">
        <w:rPr>
          <w:lang w:val="en-US"/>
        </w:rPr>
        <w:t xml:space="preserve"> causing him serious injuries,”</w:t>
      </w:r>
      <w:r w:rsidRPr="002E60EB">
        <w:rPr>
          <w:lang w:val="en-US"/>
        </w:rPr>
        <w:t xml:space="preserve"> and that </w:t>
      </w:r>
      <w:r w:rsidR="00D10587" w:rsidRPr="002E60EB">
        <w:rPr>
          <w:lang w:val="en-US"/>
        </w:rPr>
        <w:t xml:space="preserve">this </w:t>
      </w:r>
      <w:r w:rsidRPr="002E60EB">
        <w:rPr>
          <w:lang w:val="en-US"/>
        </w:rPr>
        <w:t>attack constitute</w:t>
      </w:r>
      <w:r w:rsidR="00D10587" w:rsidRPr="002E60EB">
        <w:rPr>
          <w:lang w:val="en-US"/>
        </w:rPr>
        <w:t>d</w:t>
      </w:r>
      <w:r w:rsidRPr="002E60EB">
        <w:rPr>
          <w:lang w:val="en-US"/>
        </w:rPr>
        <w:t xml:space="preserve"> a violation </w:t>
      </w:r>
      <w:r w:rsidR="00D10587" w:rsidRPr="002E60EB">
        <w:rPr>
          <w:lang w:val="en-US"/>
        </w:rPr>
        <w:t xml:space="preserve">“of </w:t>
      </w:r>
      <w:r w:rsidRPr="002E60EB">
        <w:rPr>
          <w:lang w:val="en-US"/>
        </w:rPr>
        <w:t>Article 5(1) and 5(2) of the Convention, in relation to Article 1(1)</w:t>
      </w:r>
      <w:r w:rsidR="00D10587" w:rsidRPr="002E60EB">
        <w:rPr>
          <w:lang w:val="en-US"/>
        </w:rPr>
        <w:t>” of this treaty, to the detriment of</w:t>
      </w:r>
      <w:r w:rsidRPr="002E60EB">
        <w:rPr>
          <w:lang w:val="en-US"/>
        </w:rPr>
        <w:t xml:space="preserve"> Mr. Vélez Restrepo. In this report, the Commission </w:t>
      </w:r>
      <w:r w:rsidR="00D10587" w:rsidRPr="002E60EB">
        <w:rPr>
          <w:lang w:val="en-US"/>
        </w:rPr>
        <w:t xml:space="preserve">found it </w:t>
      </w:r>
      <w:r w:rsidRPr="002E60EB">
        <w:rPr>
          <w:lang w:val="en-US"/>
        </w:rPr>
        <w:t>prove</w:t>
      </w:r>
      <w:r w:rsidR="00D10587" w:rsidRPr="002E60EB">
        <w:rPr>
          <w:lang w:val="en-US"/>
        </w:rPr>
        <w:t>d</w:t>
      </w:r>
      <w:r w:rsidRPr="002E60EB">
        <w:rPr>
          <w:lang w:val="en-US"/>
        </w:rPr>
        <w:t xml:space="preserve"> that </w:t>
      </w:r>
      <w:r w:rsidR="00087093" w:rsidRPr="002E60EB">
        <w:rPr>
          <w:lang w:val="en-US"/>
        </w:rPr>
        <w:t>“</w:t>
      </w:r>
      <w:r w:rsidR="00EF2C2F" w:rsidRPr="002E60EB">
        <w:rPr>
          <w:lang w:val="en-US"/>
        </w:rPr>
        <w:t>owing to</w:t>
      </w:r>
      <w:r w:rsidRPr="002E60EB">
        <w:rPr>
          <w:lang w:val="en-US"/>
        </w:rPr>
        <w:t xml:space="preserve"> the attack, [Mr. Vélez Restrepo] suffered a </w:t>
      </w:r>
      <w:r w:rsidR="00D10587" w:rsidRPr="002E60EB">
        <w:rPr>
          <w:lang w:val="en-US"/>
        </w:rPr>
        <w:t xml:space="preserve">ruptured </w:t>
      </w:r>
      <w:r w:rsidRPr="002E60EB">
        <w:rPr>
          <w:lang w:val="en-US"/>
        </w:rPr>
        <w:t xml:space="preserve">liver, </w:t>
      </w:r>
      <w:r w:rsidR="00D10587" w:rsidRPr="002E60EB">
        <w:rPr>
          <w:lang w:val="en-US"/>
        </w:rPr>
        <w:t xml:space="preserve">the loss of one </w:t>
      </w:r>
      <w:r w:rsidRPr="002E60EB">
        <w:rPr>
          <w:lang w:val="en-US"/>
        </w:rPr>
        <w:t xml:space="preserve">testicle, </w:t>
      </w:r>
      <w:r w:rsidR="00D10587" w:rsidRPr="002E60EB">
        <w:rPr>
          <w:lang w:val="en-US"/>
        </w:rPr>
        <w:t xml:space="preserve">and </w:t>
      </w:r>
      <w:r w:rsidRPr="002E60EB">
        <w:rPr>
          <w:lang w:val="en-US"/>
        </w:rPr>
        <w:t xml:space="preserve">several broken ribs and was hospitalized for several days and then </w:t>
      </w:r>
      <w:r w:rsidR="00EF2C2F" w:rsidRPr="002E60EB">
        <w:rPr>
          <w:lang w:val="en-US"/>
        </w:rPr>
        <w:t>on disability leave</w:t>
      </w:r>
      <w:r w:rsidR="00D10587" w:rsidRPr="002E60EB">
        <w:rPr>
          <w:lang w:val="en-US"/>
        </w:rPr>
        <w:t xml:space="preserve"> at home </w:t>
      </w:r>
      <w:r w:rsidRPr="002E60EB">
        <w:rPr>
          <w:lang w:val="en-US"/>
        </w:rPr>
        <w:t xml:space="preserve">for an additional </w:t>
      </w:r>
      <w:r w:rsidR="00D10587" w:rsidRPr="002E60EB">
        <w:rPr>
          <w:lang w:val="en-US"/>
        </w:rPr>
        <w:t>two weeks</w:t>
      </w:r>
      <w:r w:rsidRPr="002E60EB">
        <w:rPr>
          <w:lang w:val="en-US"/>
        </w:rPr>
        <w:t>.</w:t>
      </w:r>
      <w:r w:rsidR="00087093" w:rsidRPr="002E60EB">
        <w:rPr>
          <w:lang w:val="en-US"/>
        </w:rPr>
        <w:t>”</w:t>
      </w:r>
      <w:r w:rsidRPr="002E60EB">
        <w:rPr>
          <w:lang w:val="en-US"/>
        </w:rPr>
        <w:t xml:space="preserve"> In its final written observations, </w:t>
      </w:r>
      <w:r w:rsidR="00D10587" w:rsidRPr="002E60EB">
        <w:rPr>
          <w:lang w:val="en-US"/>
        </w:rPr>
        <w:t xml:space="preserve">when </w:t>
      </w:r>
      <w:r w:rsidRPr="002E60EB">
        <w:rPr>
          <w:lang w:val="en-US"/>
        </w:rPr>
        <w:t xml:space="preserve">referring to </w:t>
      </w:r>
      <w:r w:rsidR="00D10587" w:rsidRPr="002E60EB">
        <w:rPr>
          <w:lang w:val="en-US"/>
        </w:rPr>
        <w:t xml:space="preserve">these </w:t>
      </w:r>
      <w:r w:rsidRPr="002E60EB">
        <w:rPr>
          <w:lang w:val="en-US"/>
        </w:rPr>
        <w:t xml:space="preserve">injuries, it </w:t>
      </w:r>
      <w:r w:rsidR="00D10587" w:rsidRPr="002E60EB">
        <w:rPr>
          <w:lang w:val="en-US"/>
        </w:rPr>
        <w:t xml:space="preserve">indicated </w:t>
      </w:r>
      <w:r w:rsidRPr="002E60EB">
        <w:rPr>
          <w:lang w:val="en-US"/>
        </w:rPr>
        <w:t xml:space="preserve">that </w:t>
      </w:r>
      <w:r w:rsidR="00087093" w:rsidRPr="002E60EB">
        <w:rPr>
          <w:lang w:val="en-US"/>
        </w:rPr>
        <w:t>“</w:t>
      </w:r>
      <w:r w:rsidR="00EF2C2F" w:rsidRPr="002E60EB">
        <w:rPr>
          <w:lang w:val="en-US"/>
        </w:rPr>
        <w:t>M</w:t>
      </w:r>
      <w:r w:rsidRPr="002E60EB">
        <w:rPr>
          <w:lang w:val="en-US"/>
        </w:rPr>
        <w:t xml:space="preserve">r. Vélez suffered </w:t>
      </w:r>
      <w:r w:rsidR="00D10587" w:rsidRPr="002E60EB">
        <w:rPr>
          <w:lang w:val="en-US"/>
        </w:rPr>
        <w:t xml:space="preserve">significant </w:t>
      </w:r>
      <w:r w:rsidRPr="002E60EB">
        <w:rPr>
          <w:lang w:val="en-US"/>
        </w:rPr>
        <w:t xml:space="preserve">injuries, was hospitalized, and </w:t>
      </w:r>
      <w:r w:rsidR="00EF2C2F" w:rsidRPr="002E60EB">
        <w:rPr>
          <w:lang w:val="en-US"/>
        </w:rPr>
        <w:t>on disability leave</w:t>
      </w:r>
      <w:r w:rsidRPr="002E60EB">
        <w:rPr>
          <w:lang w:val="en-US"/>
        </w:rPr>
        <w:t xml:space="preserve"> for two weeks.</w:t>
      </w:r>
      <w:r w:rsidR="00087093" w:rsidRPr="002E60EB">
        <w:rPr>
          <w:lang w:val="en-US"/>
        </w:rPr>
        <w:t>”</w:t>
      </w:r>
      <w:r w:rsidRPr="002E60EB">
        <w:rPr>
          <w:lang w:val="en-US"/>
        </w:rPr>
        <w:t xml:space="preserve"> </w:t>
      </w:r>
    </w:p>
    <w:p w:rsidR="00E15BBF" w:rsidRPr="002E60EB" w:rsidRDefault="00E15BBF" w:rsidP="00317748">
      <w:pPr>
        <w:tabs>
          <w:tab w:val="left" w:pos="720"/>
        </w:tabs>
        <w:autoSpaceDE w:val="0"/>
        <w:autoSpaceDN w:val="0"/>
        <w:adjustRightInd w:val="0"/>
        <w:jc w:val="both"/>
        <w:rPr>
          <w:lang w:val="en-US"/>
        </w:rPr>
      </w:pPr>
    </w:p>
    <w:p w:rsidR="00E15BBF" w:rsidRPr="002E60EB" w:rsidRDefault="00EF2C2F" w:rsidP="00317748">
      <w:pPr>
        <w:numPr>
          <w:ilvl w:val="0"/>
          <w:numId w:val="1"/>
        </w:numPr>
        <w:tabs>
          <w:tab w:val="clear" w:pos="1427"/>
        </w:tabs>
        <w:autoSpaceDE w:val="0"/>
        <w:autoSpaceDN w:val="0"/>
        <w:adjustRightInd w:val="0"/>
        <w:jc w:val="both"/>
        <w:rPr>
          <w:b/>
          <w:lang w:val="en-US"/>
        </w:rPr>
      </w:pPr>
      <w:r w:rsidRPr="002E60EB">
        <w:rPr>
          <w:lang w:val="en-US"/>
        </w:rPr>
        <w:t>For</w:t>
      </w:r>
      <w:r w:rsidR="00D06234" w:rsidRPr="002E60EB">
        <w:rPr>
          <w:lang w:val="en-US"/>
        </w:rPr>
        <w:t xml:space="preserve"> his part, </w:t>
      </w:r>
      <w:r w:rsidR="00E15BBF" w:rsidRPr="002E60EB">
        <w:rPr>
          <w:lang w:val="en-US"/>
        </w:rPr>
        <w:t xml:space="preserve">in the </w:t>
      </w:r>
      <w:r w:rsidR="00BA7355" w:rsidRPr="002E60EB">
        <w:rPr>
          <w:lang w:val="en-US"/>
        </w:rPr>
        <w:t>pleadings and motions brief</w:t>
      </w:r>
      <w:r w:rsidR="00D06234" w:rsidRPr="002E60EB">
        <w:rPr>
          <w:lang w:val="en-US"/>
        </w:rPr>
        <w:t>, the victims’ representative argued</w:t>
      </w:r>
      <w:r w:rsidR="00E15BBF" w:rsidRPr="002E60EB">
        <w:rPr>
          <w:lang w:val="en-US"/>
        </w:rPr>
        <w:t xml:space="preserve"> that </w:t>
      </w:r>
      <w:r w:rsidR="00087093" w:rsidRPr="002E60EB">
        <w:rPr>
          <w:lang w:val="en-US"/>
        </w:rPr>
        <w:t>“</w:t>
      </w:r>
      <w:r w:rsidR="00E15BBF" w:rsidRPr="002E60EB">
        <w:rPr>
          <w:lang w:val="en-US"/>
        </w:rPr>
        <w:t xml:space="preserve">[t]he attack caused serious </w:t>
      </w:r>
      <w:r w:rsidR="00D06234" w:rsidRPr="002E60EB">
        <w:rPr>
          <w:lang w:val="en-US"/>
        </w:rPr>
        <w:t>harm</w:t>
      </w:r>
      <w:r w:rsidR="00E15BBF" w:rsidRPr="002E60EB">
        <w:rPr>
          <w:lang w:val="en-US"/>
        </w:rPr>
        <w:t xml:space="preserve"> to </w:t>
      </w:r>
      <w:r w:rsidR="00D06234" w:rsidRPr="002E60EB">
        <w:rPr>
          <w:lang w:val="en-US"/>
        </w:rPr>
        <w:t xml:space="preserve">the physical integrity of </w:t>
      </w:r>
      <w:r w:rsidR="00E15BBF" w:rsidRPr="002E60EB">
        <w:rPr>
          <w:lang w:val="en-US"/>
        </w:rPr>
        <w:t xml:space="preserve">Richard Velez: he was hospitalized </w:t>
      </w:r>
      <w:r w:rsidR="00D06234" w:rsidRPr="002E60EB">
        <w:rPr>
          <w:lang w:val="en-US"/>
        </w:rPr>
        <w:t xml:space="preserve">immediately </w:t>
      </w:r>
      <w:r w:rsidR="00E15BBF" w:rsidRPr="002E60EB">
        <w:rPr>
          <w:lang w:val="en-US"/>
        </w:rPr>
        <w:t xml:space="preserve">and declared unfit to perform any activity for </w:t>
      </w:r>
      <w:r w:rsidR="00D06234" w:rsidRPr="002E60EB">
        <w:rPr>
          <w:lang w:val="en-US"/>
        </w:rPr>
        <w:t>two weeks</w:t>
      </w:r>
      <w:r w:rsidR="00E15BBF" w:rsidRPr="002E60EB">
        <w:rPr>
          <w:lang w:val="en-US"/>
        </w:rPr>
        <w:t>.</w:t>
      </w:r>
      <w:r w:rsidR="00D06234" w:rsidRPr="002E60EB">
        <w:rPr>
          <w:lang w:val="en-US"/>
        </w:rPr>
        <w:t>”</w:t>
      </w:r>
      <w:r w:rsidRPr="002E60EB">
        <w:rPr>
          <w:lang w:val="en-US"/>
        </w:rPr>
        <w:t xml:space="preserve"> </w:t>
      </w:r>
      <w:r w:rsidR="00D06234" w:rsidRPr="002E60EB">
        <w:rPr>
          <w:lang w:val="en-US"/>
        </w:rPr>
        <w:t>Also, in his observations on the preliminary objection, he stated that “[i]</w:t>
      </w:r>
      <w:r w:rsidRPr="002E60EB">
        <w:rPr>
          <w:lang w:val="en-US"/>
        </w:rPr>
        <w:t>t</w:t>
      </w:r>
      <w:r w:rsidR="00D06234" w:rsidRPr="002E60EB">
        <w:rPr>
          <w:lang w:val="en-US"/>
        </w:rPr>
        <w:t xml:space="preserve"> is true that the [medical] reports […] do not reflect the </w:t>
      </w:r>
      <w:r w:rsidRPr="002E60EB">
        <w:rPr>
          <w:lang w:val="en-US"/>
        </w:rPr>
        <w:t>description</w:t>
      </w:r>
      <w:r w:rsidR="00D06234" w:rsidRPr="002E60EB">
        <w:rPr>
          <w:lang w:val="en-US"/>
        </w:rPr>
        <w:t xml:space="preserve"> of th</w:t>
      </w:r>
      <w:r w:rsidRPr="002E60EB">
        <w:rPr>
          <w:lang w:val="en-US"/>
        </w:rPr>
        <w:t>e</w:t>
      </w:r>
      <w:r w:rsidR="00D06234" w:rsidRPr="002E60EB">
        <w:rPr>
          <w:lang w:val="en-US"/>
        </w:rPr>
        <w:t xml:space="preserve"> injuries […] included in the Merits Report,” but that “there is no doubt that Mr. Vélez [Restrepo] was severely injured as a result of the beating he suffered.</w:t>
      </w:r>
      <w:r w:rsidR="00087093" w:rsidRPr="002E60EB">
        <w:rPr>
          <w:lang w:val="en-US"/>
        </w:rPr>
        <w:t>”</w:t>
      </w:r>
    </w:p>
    <w:p w:rsidR="00E15BBF" w:rsidRPr="002E60EB" w:rsidRDefault="00E15BBF" w:rsidP="00260DED">
      <w:pPr>
        <w:pStyle w:val="ColorfulList-Accent11"/>
        <w:ind w:left="0"/>
        <w:rPr>
          <w:lang w:val="en-US"/>
        </w:rPr>
      </w:pPr>
    </w:p>
    <w:p w:rsidR="007F5045" w:rsidRPr="002E60EB" w:rsidRDefault="00E15BBF" w:rsidP="00EF2C2F">
      <w:pPr>
        <w:numPr>
          <w:ilvl w:val="0"/>
          <w:numId w:val="1"/>
        </w:numPr>
        <w:tabs>
          <w:tab w:val="left" w:pos="720"/>
        </w:tabs>
        <w:autoSpaceDE w:val="0"/>
        <w:autoSpaceDN w:val="0"/>
        <w:adjustRightInd w:val="0"/>
        <w:jc w:val="both"/>
        <w:rPr>
          <w:color w:val="00B050"/>
          <w:lang w:val="en-US"/>
        </w:rPr>
      </w:pPr>
      <w:r w:rsidRPr="002E60EB">
        <w:rPr>
          <w:lang w:val="en-US"/>
        </w:rPr>
        <w:t xml:space="preserve">Based on the reports and medical records provided as evidence by the Commission, the Court found </w:t>
      </w:r>
      <w:r w:rsidR="00D06234" w:rsidRPr="002E60EB">
        <w:rPr>
          <w:lang w:val="en-US"/>
        </w:rPr>
        <w:t xml:space="preserve">it </w:t>
      </w:r>
      <w:r w:rsidRPr="002E60EB">
        <w:rPr>
          <w:lang w:val="en-US"/>
        </w:rPr>
        <w:t>prove</w:t>
      </w:r>
      <w:r w:rsidR="00D06234" w:rsidRPr="002E60EB">
        <w:rPr>
          <w:lang w:val="en-US"/>
        </w:rPr>
        <w:t>d</w:t>
      </w:r>
      <w:r w:rsidRPr="002E60EB">
        <w:rPr>
          <w:lang w:val="en-US"/>
        </w:rPr>
        <w:t xml:space="preserve"> that Mr. Vélez Restrepo </w:t>
      </w:r>
      <w:r w:rsidR="00D06234" w:rsidRPr="002E60EB">
        <w:rPr>
          <w:lang w:val="en-US"/>
        </w:rPr>
        <w:t>was admitted to the</w:t>
      </w:r>
      <w:r w:rsidRPr="002E60EB">
        <w:rPr>
          <w:lang w:val="en-US"/>
        </w:rPr>
        <w:t xml:space="preserve"> emergency </w:t>
      </w:r>
      <w:r w:rsidR="00D06234" w:rsidRPr="002E60EB">
        <w:rPr>
          <w:lang w:val="en-US"/>
        </w:rPr>
        <w:t xml:space="preserve">department </w:t>
      </w:r>
      <w:r w:rsidRPr="002E60EB">
        <w:rPr>
          <w:lang w:val="en-US"/>
        </w:rPr>
        <w:t xml:space="preserve">of </w:t>
      </w:r>
      <w:r w:rsidR="00D06234" w:rsidRPr="002E60EB">
        <w:rPr>
          <w:lang w:val="en-US"/>
        </w:rPr>
        <w:t>a certain</w:t>
      </w:r>
      <w:r w:rsidRPr="002E60EB">
        <w:rPr>
          <w:lang w:val="en-US"/>
        </w:rPr>
        <w:t xml:space="preserve"> hospital in Florencia, Caquetá, and that</w:t>
      </w:r>
      <w:r w:rsidR="00D06234" w:rsidRPr="002E60EB">
        <w:rPr>
          <w:lang w:val="en-US"/>
        </w:rPr>
        <w:t xml:space="preserve">, the </w:t>
      </w:r>
      <w:r w:rsidRPr="002E60EB">
        <w:rPr>
          <w:lang w:val="en-US"/>
        </w:rPr>
        <w:t>same night</w:t>
      </w:r>
      <w:r w:rsidR="00D06234" w:rsidRPr="002E60EB">
        <w:rPr>
          <w:lang w:val="en-US"/>
        </w:rPr>
        <w:t>,</w:t>
      </w:r>
      <w:r w:rsidRPr="002E60EB">
        <w:rPr>
          <w:lang w:val="en-US"/>
        </w:rPr>
        <w:t xml:space="preserve"> he was t</w:t>
      </w:r>
      <w:r w:rsidR="00D06234" w:rsidRPr="002E60EB">
        <w:rPr>
          <w:lang w:val="en-US"/>
        </w:rPr>
        <w:t xml:space="preserve">ransferred </w:t>
      </w:r>
      <w:r w:rsidRPr="002E60EB">
        <w:rPr>
          <w:lang w:val="en-US"/>
        </w:rPr>
        <w:t xml:space="preserve">to a clinic in Bogota, where he was </w:t>
      </w:r>
      <w:r w:rsidR="00D06234" w:rsidRPr="002E60EB">
        <w:rPr>
          <w:lang w:val="en-US"/>
        </w:rPr>
        <w:t xml:space="preserve">interned </w:t>
      </w:r>
      <w:r w:rsidRPr="002E60EB">
        <w:rPr>
          <w:lang w:val="en-US"/>
        </w:rPr>
        <w:t xml:space="preserve">for </w:t>
      </w:r>
      <w:r w:rsidR="00D06234" w:rsidRPr="002E60EB">
        <w:rPr>
          <w:lang w:val="en-US"/>
        </w:rPr>
        <w:t>one</w:t>
      </w:r>
      <w:r w:rsidRPr="002E60EB">
        <w:rPr>
          <w:lang w:val="en-US"/>
        </w:rPr>
        <w:t xml:space="preserve"> day and w</w:t>
      </w:r>
      <w:r w:rsidR="00D06234" w:rsidRPr="002E60EB">
        <w:rPr>
          <w:lang w:val="en-US"/>
        </w:rPr>
        <w:t>h</w:t>
      </w:r>
      <w:r w:rsidRPr="002E60EB">
        <w:rPr>
          <w:lang w:val="en-US"/>
        </w:rPr>
        <w:t>ere medical diagnos</w:t>
      </w:r>
      <w:r w:rsidR="00D06234" w:rsidRPr="002E60EB">
        <w:rPr>
          <w:lang w:val="en-US"/>
        </w:rPr>
        <w:t>es</w:t>
      </w:r>
      <w:r w:rsidRPr="002E60EB">
        <w:rPr>
          <w:lang w:val="en-US"/>
        </w:rPr>
        <w:t xml:space="preserve"> and tests</w:t>
      </w:r>
      <w:r w:rsidR="00D06234" w:rsidRPr="002E60EB">
        <w:rPr>
          <w:lang w:val="en-US"/>
        </w:rPr>
        <w:t xml:space="preserve"> were performed</w:t>
      </w:r>
      <w:r w:rsidRPr="002E60EB">
        <w:rPr>
          <w:lang w:val="en-US"/>
        </w:rPr>
        <w:t>, which showed that his liver and pancreas were</w:t>
      </w:r>
      <w:r w:rsidR="00D06234" w:rsidRPr="002E60EB">
        <w:rPr>
          <w:lang w:val="en-US"/>
        </w:rPr>
        <w:t xml:space="preserve"> normal, and that</w:t>
      </w:r>
      <w:r w:rsidRPr="002E60EB">
        <w:rPr>
          <w:lang w:val="en-US"/>
        </w:rPr>
        <w:t xml:space="preserve"> there w</w:t>
      </w:r>
      <w:r w:rsidR="00D06234" w:rsidRPr="002E60EB">
        <w:rPr>
          <w:lang w:val="en-US"/>
        </w:rPr>
        <w:t>ere</w:t>
      </w:r>
      <w:r w:rsidRPr="002E60EB">
        <w:rPr>
          <w:lang w:val="en-US"/>
        </w:rPr>
        <w:t xml:space="preserve"> no thoracic or abdominal </w:t>
      </w:r>
      <w:r w:rsidR="00D06234" w:rsidRPr="002E60EB">
        <w:rPr>
          <w:lang w:val="en-US"/>
        </w:rPr>
        <w:t>injuries</w:t>
      </w:r>
      <w:r w:rsidRPr="002E60EB">
        <w:rPr>
          <w:lang w:val="en-US"/>
        </w:rPr>
        <w:t xml:space="preserve">. The Court </w:t>
      </w:r>
      <w:r w:rsidR="00D06234" w:rsidRPr="002E60EB">
        <w:rPr>
          <w:lang w:val="en-US"/>
        </w:rPr>
        <w:t xml:space="preserve">also </w:t>
      </w:r>
      <w:r w:rsidRPr="002E60EB">
        <w:rPr>
          <w:lang w:val="en-US"/>
        </w:rPr>
        <w:t xml:space="preserve">found </w:t>
      </w:r>
      <w:r w:rsidR="00D06234" w:rsidRPr="002E60EB">
        <w:rPr>
          <w:lang w:val="en-US"/>
        </w:rPr>
        <w:t xml:space="preserve">it </w:t>
      </w:r>
      <w:r w:rsidRPr="002E60EB">
        <w:rPr>
          <w:lang w:val="en-US"/>
        </w:rPr>
        <w:t>prove</w:t>
      </w:r>
      <w:r w:rsidR="00D06234" w:rsidRPr="002E60EB">
        <w:rPr>
          <w:lang w:val="en-US"/>
        </w:rPr>
        <w:t>d</w:t>
      </w:r>
      <w:r w:rsidRPr="002E60EB">
        <w:rPr>
          <w:lang w:val="en-US"/>
        </w:rPr>
        <w:t xml:space="preserve"> that he </w:t>
      </w:r>
      <w:r w:rsidR="00D06234" w:rsidRPr="002E60EB">
        <w:rPr>
          <w:lang w:val="en-US"/>
        </w:rPr>
        <w:t xml:space="preserve">given a two-week </w:t>
      </w:r>
      <w:r w:rsidR="00EF2C2F" w:rsidRPr="002E60EB">
        <w:rPr>
          <w:lang w:val="en-US"/>
        </w:rPr>
        <w:t xml:space="preserve">disability leave </w:t>
      </w:r>
      <w:r w:rsidRPr="002E60EB">
        <w:rPr>
          <w:lang w:val="en-US"/>
        </w:rPr>
        <w:t>at his residence and that</w:t>
      </w:r>
      <w:r w:rsidR="00D06234" w:rsidRPr="002E60EB">
        <w:rPr>
          <w:lang w:val="en-US"/>
        </w:rPr>
        <w:t>,</w:t>
      </w:r>
      <w:r w:rsidRPr="002E60EB">
        <w:rPr>
          <w:lang w:val="en-US"/>
        </w:rPr>
        <w:t xml:space="preserve"> </w:t>
      </w:r>
      <w:r w:rsidR="00D06234" w:rsidRPr="002E60EB">
        <w:rPr>
          <w:lang w:val="en-US"/>
        </w:rPr>
        <w:t>when he went to the said</w:t>
      </w:r>
      <w:r w:rsidRPr="002E60EB">
        <w:rPr>
          <w:lang w:val="en-US"/>
        </w:rPr>
        <w:t xml:space="preserve"> clinic in Bogota</w:t>
      </w:r>
      <w:r w:rsidR="00D06234" w:rsidRPr="002E60EB">
        <w:rPr>
          <w:lang w:val="en-US"/>
        </w:rPr>
        <w:t xml:space="preserve"> for a control visit</w:t>
      </w:r>
      <w:r w:rsidRPr="002E60EB">
        <w:rPr>
          <w:lang w:val="en-US"/>
        </w:rPr>
        <w:t>, Mr. Vélez Restrepo reported having insomnia</w:t>
      </w:r>
      <w:r w:rsidR="00D06234" w:rsidRPr="002E60EB">
        <w:rPr>
          <w:lang w:val="en-US"/>
        </w:rPr>
        <w:t>,</w:t>
      </w:r>
      <w:r w:rsidRPr="002E60EB">
        <w:rPr>
          <w:lang w:val="en-US"/>
        </w:rPr>
        <w:t xml:space="preserve"> but had no physical injuries (</w:t>
      </w:r>
      <w:r w:rsidRPr="002E60EB">
        <w:rPr>
          <w:i/>
          <w:lang w:val="en-US"/>
        </w:rPr>
        <w:t xml:space="preserve">supra </w:t>
      </w:r>
      <w:r w:rsidRPr="002E60EB">
        <w:rPr>
          <w:lang w:val="en-US"/>
        </w:rPr>
        <w:t xml:space="preserve">para. </w:t>
      </w:r>
      <w:r w:rsidR="00D06234" w:rsidRPr="002E60EB">
        <w:rPr>
          <w:lang w:val="en-US"/>
        </w:rPr>
        <w:t>82</w:t>
      </w:r>
      <w:r w:rsidRPr="002E60EB">
        <w:rPr>
          <w:lang w:val="en-US"/>
        </w:rPr>
        <w:t>).</w:t>
      </w:r>
      <w:r w:rsidR="00D06234" w:rsidRPr="002E60EB">
        <w:rPr>
          <w:lang w:val="en-US"/>
        </w:rPr>
        <w:t xml:space="preserve"> Consequently,</w:t>
      </w:r>
      <w:r w:rsidR="00DE0D35" w:rsidRPr="002E60EB">
        <w:rPr>
          <w:lang w:val="en-US"/>
        </w:rPr>
        <w:t xml:space="preserve"> the Court</w:t>
      </w:r>
      <w:r w:rsidR="00D06234" w:rsidRPr="002E60EB">
        <w:rPr>
          <w:lang w:val="en-US"/>
        </w:rPr>
        <w:t xml:space="preserve"> find</w:t>
      </w:r>
      <w:r w:rsidR="00DE0D35" w:rsidRPr="002E60EB">
        <w:rPr>
          <w:lang w:val="en-US"/>
        </w:rPr>
        <w:t>s no evidence to substantiate the</w:t>
      </w:r>
      <w:r w:rsidR="00D06234" w:rsidRPr="002E60EB">
        <w:rPr>
          <w:lang w:val="en-US"/>
        </w:rPr>
        <w:t xml:space="preserve"> supposed injuries</w:t>
      </w:r>
      <w:r w:rsidR="007F5045" w:rsidRPr="002E60EB">
        <w:rPr>
          <w:lang w:val="en-US"/>
        </w:rPr>
        <w:t xml:space="preserve"> mentioned by the Commission in the Merits Report, indicating that Mr. Vélez Restrep</w:t>
      </w:r>
      <w:r w:rsidR="00334C3C" w:rsidRPr="002E60EB">
        <w:rPr>
          <w:lang w:val="en-US"/>
        </w:rPr>
        <w:t>o</w:t>
      </w:r>
      <w:r w:rsidR="007F5045" w:rsidRPr="002E60EB">
        <w:rPr>
          <w:lang w:val="en-US"/>
        </w:rPr>
        <w:t xml:space="preserve"> had suffered from a “perforate</w:t>
      </w:r>
      <w:r w:rsidR="00DE0D35" w:rsidRPr="002E60EB">
        <w:rPr>
          <w:lang w:val="en-US"/>
        </w:rPr>
        <w:t>d</w:t>
      </w:r>
      <w:r w:rsidR="007F5045" w:rsidRPr="002E60EB">
        <w:rPr>
          <w:lang w:val="en-US"/>
        </w:rPr>
        <w:t xml:space="preserve"> liver, the loss of one testicle, and several broken ribs”; moreover, </w:t>
      </w:r>
      <w:r w:rsidR="00DE0D35" w:rsidRPr="002E60EB">
        <w:rPr>
          <w:lang w:val="en-US"/>
        </w:rPr>
        <w:t xml:space="preserve">it has not </w:t>
      </w:r>
      <w:r w:rsidR="007F5045" w:rsidRPr="002E60EB">
        <w:rPr>
          <w:lang w:val="en-US"/>
        </w:rPr>
        <w:t>be</w:t>
      </w:r>
      <w:r w:rsidR="00DE0D35" w:rsidRPr="002E60EB">
        <w:rPr>
          <w:lang w:val="en-US"/>
        </w:rPr>
        <w:t>en</w:t>
      </w:r>
      <w:r w:rsidR="007F5045" w:rsidRPr="002E60EB">
        <w:rPr>
          <w:lang w:val="en-US"/>
        </w:rPr>
        <w:t xml:space="preserve"> proved that he remained hospitalized for more than one day.</w:t>
      </w:r>
    </w:p>
    <w:p w:rsidR="007F5045" w:rsidRPr="002E60EB" w:rsidRDefault="007F5045" w:rsidP="00317748">
      <w:pPr>
        <w:tabs>
          <w:tab w:val="left" w:pos="720"/>
        </w:tabs>
        <w:autoSpaceDE w:val="0"/>
        <w:autoSpaceDN w:val="0"/>
        <w:adjustRightInd w:val="0"/>
        <w:jc w:val="both"/>
        <w:rPr>
          <w:color w:val="00B050"/>
          <w:lang w:val="en-US"/>
        </w:rPr>
      </w:pPr>
    </w:p>
    <w:p w:rsidR="007F5045" w:rsidRPr="002E60EB" w:rsidRDefault="007F5045" w:rsidP="00317748">
      <w:pPr>
        <w:numPr>
          <w:ilvl w:val="0"/>
          <w:numId w:val="1"/>
        </w:numPr>
        <w:tabs>
          <w:tab w:val="clear" w:pos="1427"/>
          <w:tab w:val="left" w:pos="720"/>
        </w:tabs>
        <w:autoSpaceDE w:val="0"/>
        <w:autoSpaceDN w:val="0"/>
        <w:adjustRightInd w:val="0"/>
        <w:jc w:val="both"/>
        <w:rPr>
          <w:color w:val="00B050"/>
          <w:lang w:val="en-US"/>
        </w:rPr>
      </w:pPr>
      <w:r w:rsidRPr="002E60EB">
        <w:rPr>
          <w:lang w:val="en-US"/>
        </w:rPr>
        <w:t xml:space="preserve">When, testifying before this Court during the public hearing, Mr. </w:t>
      </w:r>
      <w:r w:rsidR="00E15BBF" w:rsidRPr="002E60EB">
        <w:rPr>
          <w:lang w:val="en-US"/>
        </w:rPr>
        <w:t xml:space="preserve">Velez </w:t>
      </w:r>
      <w:r w:rsidRPr="002E60EB">
        <w:rPr>
          <w:lang w:val="en-US"/>
        </w:rPr>
        <w:t xml:space="preserve">Restrepo told the Court that, when the said attack occurred, he felt intense pain in his chest, abdomen and testicles. The Court understands that, in saying this, Mr. Velez Restrepo </w:t>
      </w:r>
      <w:r w:rsidR="00E15BBF" w:rsidRPr="002E60EB">
        <w:rPr>
          <w:lang w:val="en-US"/>
        </w:rPr>
        <w:t>did not intend to contradict th</w:t>
      </w:r>
      <w:r w:rsidRPr="002E60EB">
        <w:rPr>
          <w:lang w:val="en-US"/>
        </w:rPr>
        <w:t>e said</w:t>
      </w:r>
      <w:r w:rsidR="00E15BBF" w:rsidRPr="002E60EB">
        <w:rPr>
          <w:lang w:val="en-US"/>
        </w:rPr>
        <w:t xml:space="preserve"> documentary evidence, but</w:t>
      </w:r>
      <w:r w:rsidRPr="002E60EB">
        <w:rPr>
          <w:lang w:val="en-US"/>
        </w:rPr>
        <w:t xml:space="preserve"> rather</w:t>
      </w:r>
      <w:r w:rsidR="00E15BBF" w:rsidRPr="002E60EB">
        <w:rPr>
          <w:lang w:val="en-US"/>
        </w:rPr>
        <w:t xml:space="preserve">, as the victim of </w:t>
      </w:r>
      <w:r w:rsidRPr="002E60EB">
        <w:rPr>
          <w:lang w:val="en-US"/>
        </w:rPr>
        <w:t>the</w:t>
      </w:r>
      <w:r w:rsidR="00E15BBF" w:rsidRPr="002E60EB">
        <w:rPr>
          <w:lang w:val="en-US"/>
        </w:rPr>
        <w:t xml:space="preserve"> attack, he </w:t>
      </w:r>
      <w:r w:rsidRPr="002E60EB">
        <w:rPr>
          <w:lang w:val="en-US"/>
        </w:rPr>
        <w:t xml:space="preserve">described </w:t>
      </w:r>
      <w:r w:rsidR="00E15BBF" w:rsidRPr="002E60EB">
        <w:rPr>
          <w:lang w:val="en-US"/>
        </w:rPr>
        <w:t>the pain he felt, which is consistent with the diagnosis o</w:t>
      </w:r>
      <w:r w:rsidRPr="002E60EB">
        <w:rPr>
          <w:lang w:val="en-US"/>
        </w:rPr>
        <w:t>n</w:t>
      </w:r>
      <w:r w:rsidR="00E15BBF" w:rsidRPr="002E60EB">
        <w:rPr>
          <w:lang w:val="en-US"/>
        </w:rPr>
        <w:t xml:space="preserve"> </w:t>
      </w:r>
      <w:r w:rsidRPr="002E60EB">
        <w:rPr>
          <w:lang w:val="en-US"/>
        </w:rPr>
        <w:t xml:space="preserve">his </w:t>
      </w:r>
      <w:r w:rsidR="00E15BBF" w:rsidRPr="002E60EB">
        <w:rPr>
          <w:lang w:val="en-US"/>
        </w:rPr>
        <w:t xml:space="preserve">admission to </w:t>
      </w:r>
      <w:r w:rsidRPr="002E60EB">
        <w:rPr>
          <w:lang w:val="en-US"/>
        </w:rPr>
        <w:t xml:space="preserve">the </w:t>
      </w:r>
      <w:r w:rsidR="00E15BBF" w:rsidRPr="002E60EB">
        <w:rPr>
          <w:lang w:val="en-US"/>
        </w:rPr>
        <w:t>hospital in Florencia,</w:t>
      </w:r>
      <w:r w:rsidRPr="002E60EB">
        <w:rPr>
          <w:lang w:val="en-US"/>
        </w:rPr>
        <w:t xml:space="preserve"> Caquetá,</w:t>
      </w:r>
      <w:r w:rsidR="00E15BBF" w:rsidRPr="002E60EB">
        <w:rPr>
          <w:lang w:val="en-US"/>
        </w:rPr>
        <w:t xml:space="preserve"> </w:t>
      </w:r>
      <w:r w:rsidR="00DE0D35" w:rsidRPr="002E60EB">
        <w:rPr>
          <w:lang w:val="en-US"/>
        </w:rPr>
        <w:t xml:space="preserve">from </w:t>
      </w:r>
      <w:r w:rsidR="00E15BBF" w:rsidRPr="002E60EB">
        <w:rPr>
          <w:lang w:val="en-US"/>
        </w:rPr>
        <w:t>which</w:t>
      </w:r>
      <w:r w:rsidRPr="002E60EB">
        <w:rPr>
          <w:lang w:val="en-US"/>
        </w:rPr>
        <w:t xml:space="preserve">, </w:t>
      </w:r>
      <w:r w:rsidR="00E15BBF" w:rsidRPr="002E60EB">
        <w:rPr>
          <w:lang w:val="en-US"/>
        </w:rPr>
        <w:t>where legible</w:t>
      </w:r>
      <w:r w:rsidRPr="002E60EB">
        <w:rPr>
          <w:lang w:val="en-US"/>
        </w:rPr>
        <w:t xml:space="preserve">, it is possible to see that it was noted </w:t>
      </w:r>
      <w:r w:rsidR="00E15BBF" w:rsidRPr="002E60EB">
        <w:rPr>
          <w:lang w:val="en-US"/>
        </w:rPr>
        <w:t xml:space="preserve">that Mr. Vélez Restrepo was admitted </w:t>
      </w:r>
      <w:r w:rsidR="00087093" w:rsidRPr="002E60EB">
        <w:rPr>
          <w:lang w:val="en-US"/>
        </w:rPr>
        <w:t>“</w:t>
      </w:r>
      <w:r w:rsidRPr="002E60EB">
        <w:rPr>
          <w:lang w:val="en-US"/>
        </w:rPr>
        <w:t>with</w:t>
      </w:r>
      <w:r w:rsidR="00E15BBF" w:rsidRPr="002E60EB">
        <w:rPr>
          <w:lang w:val="en-US"/>
        </w:rPr>
        <w:t xml:space="preserve"> multiple </w:t>
      </w:r>
      <w:r w:rsidRPr="002E60EB">
        <w:rPr>
          <w:lang w:val="en-US"/>
        </w:rPr>
        <w:t>blows</w:t>
      </w:r>
      <w:r w:rsidR="00E15BBF" w:rsidRPr="002E60EB">
        <w:rPr>
          <w:lang w:val="en-US"/>
        </w:rPr>
        <w:t xml:space="preserve"> to the abdomen</w:t>
      </w:r>
      <w:r w:rsidRPr="002E60EB">
        <w:rPr>
          <w:lang w:val="en-US"/>
        </w:rPr>
        <w:t xml:space="preserve"> with a blunt instrument</w:t>
      </w:r>
      <w:r w:rsidR="00087093" w:rsidRPr="002E60EB">
        <w:rPr>
          <w:lang w:val="en-US"/>
        </w:rPr>
        <w:t>”</w:t>
      </w:r>
      <w:r w:rsidR="00E15BBF" w:rsidRPr="002E60EB">
        <w:rPr>
          <w:lang w:val="en-US"/>
        </w:rPr>
        <w:t xml:space="preserve"> and that he had </w:t>
      </w:r>
      <w:r w:rsidR="00087093" w:rsidRPr="002E60EB">
        <w:rPr>
          <w:lang w:val="en-US"/>
        </w:rPr>
        <w:t>“</w:t>
      </w:r>
      <w:r w:rsidR="00E15BBF" w:rsidRPr="002E60EB">
        <w:rPr>
          <w:lang w:val="en-US"/>
        </w:rPr>
        <w:t>acute localized pain.</w:t>
      </w:r>
      <w:r w:rsidR="00087093" w:rsidRPr="002E60EB">
        <w:rPr>
          <w:lang w:val="en-US"/>
        </w:rPr>
        <w:t>”</w:t>
      </w:r>
    </w:p>
    <w:p w:rsidR="007F5045" w:rsidRPr="002E60EB" w:rsidRDefault="007F5045" w:rsidP="00317748">
      <w:pPr>
        <w:pStyle w:val="Prrafodelista"/>
        <w:rPr>
          <w:sz w:val="20"/>
          <w:szCs w:val="20"/>
          <w:lang w:val="en-US"/>
        </w:rPr>
      </w:pPr>
    </w:p>
    <w:p w:rsidR="00E15BBF" w:rsidRPr="002E60EB" w:rsidRDefault="007F5045"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The Court considers that the new allegations introduced by the victims’ representatives in his observations on the acknowledgment of responsibility </w:t>
      </w:r>
      <w:r w:rsidR="00DE0D35" w:rsidRPr="002E60EB">
        <w:rPr>
          <w:lang w:val="en-US"/>
        </w:rPr>
        <w:t>and in his final arguments</w:t>
      </w:r>
      <w:r w:rsidRPr="002E60EB">
        <w:rPr>
          <w:lang w:val="en-US"/>
        </w:rPr>
        <w:t xml:space="preserve"> classifying what happened to Mr. Vélez Restrepo on August 29, 1996, “as an act of torture” are inadmissible, because they are time-barred. </w:t>
      </w:r>
    </w:p>
    <w:p w:rsidR="00E15BBF" w:rsidRPr="002E60EB" w:rsidRDefault="00E15BBF" w:rsidP="00317748">
      <w:pPr>
        <w:tabs>
          <w:tab w:val="left" w:pos="720"/>
        </w:tabs>
        <w:autoSpaceDE w:val="0"/>
        <w:autoSpaceDN w:val="0"/>
        <w:adjustRightInd w:val="0"/>
        <w:rPr>
          <w:lang w:val="en-US"/>
        </w:rPr>
      </w:pPr>
    </w:p>
    <w:p w:rsidR="00E15BBF" w:rsidRPr="002E60EB" w:rsidRDefault="00E15BBF" w:rsidP="00317748">
      <w:pPr>
        <w:numPr>
          <w:ilvl w:val="0"/>
          <w:numId w:val="1"/>
        </w:numPr>
        <w:tabs>
          <w:tab w:val="left" w:pos="720"/>
          <w:tab w:val="num" w:pos="851"/>
        </w:tabs>
        <w:autoSpaceDE w:val="0"/>
        <w:autoSpaceDN w:val="0"/>
        <w:adjustRightInd w:val="0"/>
        <w:jc w:val="both"/>
        <w:rPr>
          <w:lang w:val="en-US"/>
        </w:rPr>
      </w:pPr>
      <w:r w:rsidRPr="002E60EB">
        <w:rPr>
          <w:lang w:val="en-US"/>
        </w:rPr>
        <w:t xml:space="preserve">Based on the </w:t>
      </w:r>
      <w:r w:rsidR="007F5045" w:rsidRPr="002E60EB">
        <w:rPr>
          <w:lang w:val="en-US"/>
        </w:rPr>
        <w:t xml:space="preserve">State’s </w:t>
      </w:r>
      <w:r w:rsidRPr="002E60EB">
        <w:rPr>
          <w:lang w:val="en-US"/>
        </w:rPr>
        <w:t>acknowledgment of responsibility and the pr</w:t>
      </w:r>
      <w:r w:rsidR="007F5045" w:rsidRPr="002E60EB">
        <w:rPr>
          <w:lang w:val="en-US"/>
        </w:rPr>
        <w:t>eceding</w:t>
      </w:r>
      <w:r w:rsidRPr="002E60EB">
        <w:rPr>
          <w:lang w:val="en-US"/>
        </w:rPr>
        <w:t xml:space="preserve"> </w:t>
      </w:r>
      <w:r w:rsidR="007F5045" w:rsidRPr="002E60EB">
        <w:rPr>
          <w:lang w:val="en-US"/>
        </w:rPr>
        <w:t>findings</w:t>
      </w:r>
      <w:r w:rsidRPr="002E60EB">
        <w:rPr>
          <w:lang w:val="en-US"/>
        </w:rPr>
        <w:t xml:space="preserve">, the Court concludes that the State </w:t>
      </w:r>
      <w:r w:rsidR="00257B74" w:rsidRPr="002E60EB">
        <w:rPr>
          <w:lang w:val="en-US"/>
        </w:rPr>
        <w:t>failed to</w:t>
      </w:r>
      <w:r w:rsidRPr="002E60EB">
        <w:rPr>
          <w:lang w:val="en-US"/>
        </w:rPr>
        <w:t xml:space="preserve"> comply with its obligation to respect the right to personal integrity of Mr. Velez Restrepo, Aracelly Román Amariles, and their children Mateo and Juliana Vélez Román, which constitutes a violation of Article 5(1) of the American Convention, in relation to Article 1(1) thereof.</w:t>
      </w:r>
    </w:p>
    <w:p w:rsidR="00DE0D35" w:rsidRPr="002E60EB" w:rsidRDefault="00DE0D35" w:rsidP="00DE0D35">
      <w:pPr>
        <w:tabs>
          <w:tab w:val="left" w:pos="720"/>
        </w:tabs>
        <w:autoSpaceDE w:val="0"/>
        <w:autoSpaceDN w:val="0"/>
        <w:adjustRightInd w:val="0"/>
        <w:jc w:val="both"/>
        <w:rPr>
          <w:lang w:val="en-US"/>
        </w:rPr>
      </w:pPr>
    </w:p>
    <w:p w:rsidR="00E15BBF" w:rsidRPr="002E60EB" w:rsidRDefault="00E15BBF" w:rsidP="00317748">
      <w:pPr>
        <w:tabs>
          <w:tab w:val="left" w:pos="720"/>
        </w:tabs>
        <w:autoSpaceDE w:val="0"/>
        <w:autoSpaceDN w:val="0"/>
        <w:adjustRightInd w:val="0"/>
        <w:rPr>
          <w:lang w:val="en-US"/>
        </w:rPr>
      </w:pPr>
    </w:p>
    <w:p w:rsidR="00E15BBF" w:rsidRPr="002E60EB" w:rsidRDefault="00E15BBF" w:rsidP="00317748">
      <w:pPr>
        <w:tabs>
          <w:tab w:val="left" w:pos="720"/>
        </w:tabs>
        <w:autoSpaceDE w:val="0"/>
        <w:autoSpaceDN w:val="0"/>
        <w:adjustRightInd w:val="0"/>
        <w:rPr>
          <w:i/>
          <w:lang w:val="en-US"/>
        </w:rPr>
      </w:pPr>
      <w:r w:rsidRPr="002E60EB">
        <w:rPr>
          <w:lang w:val="en-US"/>
        </w:rPr>
        <w:tab/>
      </w:r>
      <w:r w:rsidR="00257B74" w:rsidRPr="002E60EB">
        <w:rPr>
          <w:lang w:val="en-US"/>
        </w:rPr>
        <w:tab/>
      </w:r>
      <w:r w:rsidR="00257B74" w:rsidRPr="002E60EB">
        <w:rPr>
          <w:i/>
          <w:lang w:val="en-US"/>
        </w:rPr>
        <w:t>B)</w:t>
      </w:r>
      <w:r w:rsidR="00257B74" w:rsidRPr="002E60EB">
        <w:rPr>
          <w:lang w:val="en-US"/>
        </w:rPr>
        <w:t xml:space="preserve">  </w:t>
      </w:r>
      <w:r w:rsidRPr="002E60EB">
        <w:rPr>
          <w:i/>
          <w:lang w:val="en-US"/>
        </w:rPr>
        <w:t>Violation of the right to freedom of thought and expression</w:t>
      </w:r>
    </w:p>
    <w:p w:rsidR="00E15BBF" w:rsidRPr="002E60EB" w:rsidRDefault="00E15BBF" w:rsidP="00317748">
      <w:pPr>
        <w:tabs>
          <w:tab w:val="left" w:pos="720"/>
        </w:tabs>
        <w:jc w:val="both"/>
        <w:rPr>
          <w:lang w:val="en-US"/>
        </w:rPr>
      </w:pPr>
    </w:p>
    <w:p w:rsidR="00174AEA" w:rsidRPr="002E60EB" w:rsidRDefault="00E15BBF" w:rsidP="00317748">
      <w:pPr>
        <w:numPr>
          <w:ilvl w:val="0"/>
          <w:numId w:val="1"/>
        </w:numPr>
        <w:tabs>
          <w:tab w:val="left" w:pos="720"/>
        </w:tabs>
        <w:jc w:val="both"/>
        <w:rPr>
          <w:lang w:val="en-US"/>
        </w:rPr>
      </w:pPr>
      <w:r w:rsidRPr="002E60EB">
        <w:rPr>
          <w:lang w:val="en-US"/>
        </w:rPr>
        <w:t xml:space="preserve">The Commission stated in its </w:t>
      </w:r>
      <w:r w:rsidR="00716625" w:rsidRPr="002E60EB">
        <w:rPr>
          <w:lang w:val="en-US"/>
        </w:rPr>
        <w:t>Merits Report</w:t>
      </w:r>
      <w:r w:rsidRPr="002E60EB">
        <w:rPr>
          <w:lang w:val="en-US"/>
        </w:rPr>
        <w:t xml:space="preserve"> that the State violated Article 13 of the Convention when </w:t>
      </w:r>
      <w:r w:rsidR="00257B74" w:rsidRPr="002E60EB">
        <w:rPr>
          <w:lang w:val="en-US"/>
        </w:rPr>
        <w:t xml:space="preserve">its </w:t>
      </w:r>
      <w:r w:rsidRPr="002E60EB">
        <w:rPr>
          <w:lang w:val="en-US"/>
        </w:rPr>
        <w:t xml:space="preserve">agents attacked Mr. Vélez Restrepo </w:t>
      </w:r>
      <w:r w:rsidR="00087093" w:rsidRPr="002E60EB">
        <w:rPr>
          <w:lang w:val="en-US"/>
        </w:rPr>
        <w:t>“</w:t>
      </w:r>
      <w:r w:rsidRPr="002E60EB">
        <w:rPr>
          <w:lang w:val="en-US"/>
        </w:rPr>
        <w:t>with the intent</w:t>
      </w:r>
      <w:r w:rsidR="00257B74" w:rsidRPr="002E60EB">
        <w:rPr>
          <w:lang w:val="en-US"/>
        </w:rPr>
        <w:t>ion</w:t>
      </w:r>
      <w:r w:rsidRPr="002E60EB">
        <w:rPr>
          <w:lang w:val="en-US"/>
        </w:rPr>
        <w:t xml:space="preserve"> and</w:t>
      </w:r>
      <w:r w:rsidR="00257B74" w:rsidRPr="002E60EB">
        <w:rPr>
          <w:lang w:val="en-US"/>
        </w:rPr>
        <w:t xml:space="preserve"> the result</w:t>
      </w:r>
      <w:r w:rsidRPr="002E60EB">
        <w:rPr>
          <w:lang w:val="en-US"/>
        </w:rPr>
        <w:t xml:space="preserve"> of </w:t>
      </w:r>
      <w:r w:rsidR="00257B74" w:rsidRPr="002E60EB">
        <w:rPr>
          <w:lang w:val="en-US"/>
        </w:rPr>
        <w:t xml:space="preserve">obstructing </w:t>
      </w:r>
      <w:r w:rsidRPr="002E60EB">
        <w:rPr>
          <w:lang w:val="en-US"/>
        </w:rPr>
        <w:t>his journalistic work</w:t>
      </w:r>
      <w:r w:rsidR="00087093" w:rsidRPr="002E60EB">
        <w:rPr>
          <w:lang w:val="en-US"/>
        </w:rPr>
        <w:t>”</w:t>
      </w:r>
      <w:r w:rsidRPr="002E60EB">
        <w:rPr>
          <w:lang w:val="en-US"/>
        </w:rPr>
        <w:t xml:space="preserve"> </w:t>
      </w:r>
      <w:r w:rsidR="00087093" w:rsidRPr="002E60EB">
        <w:rPr>
          <w:lang w:val="en-US"/>
        </w:rPr>
        <w:t>“</w:t>
      </w:r>
      <w:r w:rsidR="008F3FDA" w:rsidRPr="002E60EB">
        <w:rPr>
          <w:lang w:val="en-US"/>
        </w:rPr>
        <w:t>of</w:t>
      </w:r>
      <w:r w:rsidRPr="002E60EB">
        <w:rPr>
          <w:lang w:val="en-US"/>
        </w:rPr>
        <w:t xml:space="preserve"> </w:t>
      </w:r>
      <w:r w:rsidR="00334C3C" w:rsidRPr="002E60EB">
        <w:rPr>
          <w:lang w:val="en-US"/>
        </w:rPr>
        <w:t>video recording</w:t>
      </w:r>
      <w:r w:rsidRPr="002E60EB">
        <w:rPr>
          <w:lang w:val="en-US"/>
        </w:rPr>
        <w:t xml:space="preserve"> and subsequently reporting the abuses</w:t>
      </w:r>
      <w:r w:rsidR="00257B74" w:rsidRPr="002E60EB">
        <w:rPr>
          <w:lang w:val="en-US"/>
        </w:rPr>
        <w:t xml:space="preserve"> of</w:t>
      </w:r>
      <w:r w:rsidRPr="002E60EB">
        <w:rPr>
          <w:lang w:val="en-US"/>
        </w:rPr>
        <w:t xml:space="preserve"> power </w:t>
      </w:r>
      <w:r w:rsidR="00257B74" w:rsidRPr="002E60EB">
        <w:rPr>
          <w:lang w:val="en-US"/>
        </w:rPr>
        <w:t>by</w:t>
      </w:r>
      <w:r w:rsidRPr="002E60EB">
        <w:rPr>
          <w:lang w:val="en-US"/>
        </w:rPr>
        <w:t xml:space="preserve"> the National Army.</w:t>
      </w:r>
      <w:r w:rsidR="00087093" w:rsidRPr="002E60EB">
        <w:rPr>
          <w:lang w:val="en-US"/>
        </w:rPr>
        <w:t>”</w:t>
      </w:r>
      <w:r w:rsidRPr="002E60EB">
        <w:rPr>
          <w:lang w:val="en-US"/>
        </w:rPr>
        <w:t xml:space="preserve"> The representative </w:t>
      </w:r>
      <w:r w:rsidR="00257B74" w:rsidRPr="002E60EB">
        <w:rPr>
          <w:lang w:val="en-US"/>
        </w:rPr>
        <w:t>indicated</w:t>
      </w:r>
      <w:r w:rsidRPr="002E60EB">
        <w:rPr>
          <w:lang w:val="en-US"/>
        </w:rPr>
        <w:t xml:space="preserve"> that he </w:t>
      </w:r>
      <w:r w:rsidR="00087093" w:rsidRPr="002E60EB">
        <w:rPr>
          <w:lang w:val="en-US"/>
        </w:rPr>
        <w:t>“</w:t>
      </w:r>
      <w:r w:rsidRPr="002E60EB">
        <w:rPr>
          <w:lang w:val="en-US"/>
        </w:rPr>
        <w:t xml:space="preserve">agree[d] </w:t>
      </w:r>
      <w:r w:rsidR="00257B74" w:rsidRPr="002E60EB">
        <w:rPr>
          <w:lang w:val="en-US"/>
        </w:rPr>
        <w:t xml:space="preserve">fully </w:t>
      </w:r>
      <w:r w:rsidRPr="002E60EB">
        <w:rPr>
          <w:lang w:val="en-US"/>
        </w:rPr>
        <w:t>with the Inter-American Commission</w:t>
      </w:r>
      <w:r w:rsidR="00087093" w:rsidRPr="002E60EB">
        <w:rPr>
          <w:lang w:val="en-US"/>
        </w:rPr>
        <w:t>”</w:t>
      </w:r>
      <w:r w:rsidRPr="002E60EB">
        <w:rPr>
          <w:lang w:val="en-US"/>
        </w:rPr>
        <w:t xml:space="preserve"> regarding the alleged violation of Article 13 of the Convention. In this regard, the State acknowledged its responsibility </w:t>
      </w:r>
      <w:r w:rsidR="00087093" w:rsidRPr="002E60EB">
        <w:rPr>
          <w:lang w:val="en-US"/>
        </w:rPr>
        <w:t>“</w:t>
      </w:r>
      <w:r w:rsidRPr="002E60EB">
        <w:rPr>
          <w:lang w:val="en-US"/>
        </w:rPr>
        <w:t>for the violation of the individual dimension of the right to freedom of thought and expression</w:t>
      </w:r>
      <w:r w:rsidR="00087093" w:rsidRPr="002E60EB">
        <w:rPr>
          <w:lang w:val="en-US"/>
        </w:rPr>
        <w:t>”</w:t>
      </w:r>
      <w:r w:rsidRPr="002E60EB">
        <w:rPr>
          <w:lang w:val="en-US"/>
        </w:rPr>
        <w:t xml:space="preserve"> to the detriment of Mr. Vélez Restrepo </w:t>
      </w:r>
      <w:r w:rsidR="00087093" w:rsidRPr="002E60EB">
        <w:rPr>
          <w:lang w:val="en-US"/>
        </w:rPr>
        <w:t>“</w:t>
      </w:r>
      <w:r w:rsidR="00257B74" w:rsidRPr="002E60EB">
        <w:rPr>
          <w:lang w:val="en-US"/>
        </w:rPr>
        <w:t>because</w:t>
      </w:r>
      <w:r w:rsidRPr="002E60EB">
        <w:rPr>
          <w:lang w:val="en-US"/>
        </w:rPr>
        <w:t xml:space="preserve"> the attacks that occurred on August 29, 1996</w:t>
      </w:r>
      <w:r w:rsidR="00257B74" w:rsidRPr="002E60EB">
        <w:rPr>
          <w:lang w:val="en-US"/>
        </w:rPr>
        <w:t>,</w:t>
      </w:r>
      <w:r w:rsidRPr="002E60EB">
        <w:rPr>
          <w:lang w:val="en-US"/>
        </w:rPr>
        <w:t xml:space="preserve"> </w:t>
      </w:r>
      <w:r w:rsidR="00257B74" w:rsidRPr="002E60EB">
        <w:rPr>
          <w:lang w:val="en-US"/>
        </w:rPr>
        <w:t>interrupted the</w:t>
      </w:r>
      <w:r w:rsidRPr="002E60EB">
        <w:rPr>
          <w:lang w:val="en-US"/>
        </w:rPr>
        <w:t xml:space="preserve"> victim’s work</w:t>
      </w:r>
      <w:r w:rsidR="00257B74" w:rsidRPr="002E60EB">
        <w:rPr>
          <w:lang w:val="en-US"/>
        </w:rPr>
        <w:t xml:space="preserve"> as a journalist</w:t>
      </w:r>
      <w:r w:rsidRPr="002E60EB">
        <w:rPr>
          <w:lang w:val="en-US"/>
        </w:rPr>
        <w:t xml:space="preserve">, </w:t>
      </w:r>
      <w:r w:rsidR="00257B74" w:rsidRPr="002E60EB">
        <w:rPr>
          <w:lang w:val="en-US"/>
        </w:rPr>
        <w:t xml:space="preserve">thus </w:t>
      </w:r>
      <w:r w:rsidRPr="002E60EB">
        <w:rPr>
          <w:lang w:val="en-US"/>
        </w:rPr>
        <w:t>violating his right to seek information.</w:t>
      </w:r>
      <w:r w:rsidR="00087093" w:rsidRPr="002E60EB">
        <w:rPr>
          <w:lang w:val="en-US"/>
        </w:rPr>
        <w:t>”</w:t>
      </w:r>
      <w:r w:rsidRPr="002E60EB">
        <w:rPr>
          <w:lang w:val="en-US"/>
        </w:rPr>
        <w:t xml:space="preserve"> </w:t>
      </w:r>
    </w:p>
    <w:p w:rsidR="00174AEA" w:rsidRPr="002E60EB" w:rsidRDefault="00174AEA" w:rsidP="00317748">
      <w:pPr>
        <w:tabs>
          <w:tab w:val="left" w:pos="720"/>
        </w:tabs>
        <w:jc w:val="both"/>
        <w:rPr>
          <w:lang w:val="en-US"/>
        </w:rPr>
      </w:pPr>
    </w:p>
    <w:p w:rsidR="00174AEA" w:rsidRPr="002E60EB" w:rsidRDefault="00E15BBF" w:rsidP="00317748">
      <w:pPr>
        <w:numPr>
          <w:ilvl w:val="0"/>
          <w:numId w:val="1"/>
        </w:numPr>
        <w:tabs>
          <w:tab w:val="left" w:pos="720"/>
        </w:tabs>
        <w:jc w:val="both"/>
        <w:rPr>
          <w:lang w:val="en-US"/>
        </w:rPr>
      </w:pPr>
      <w:r w:rsidRPr="002E60EB">
        <w:rPr>
          <w:lang w:val="en-US"/>
        </w:rPr>
        <w:t>The Court</w:t>
      </w:r>
      <w:r w:rsidR="00257B74" w:rsidRPr="002E60EB">
        <w:rPr>
          <w:lang w:val="en-US"/>
        </w:rPr>
        <w:t xml:space="preserve">’s case law </w:t>
      </w:r>
      <w:r w:rsidRPr="002E60EB">
        <w:rPr>
          <w:lang w:val="en-US"/>
        </w:rPr>
        <w:t xml:space="preserve">has </w:t>
      </w:r>
      <w:r w:rsidR="00257B74" w:rsidRPr="002E60EB">
        <w:rPr>
          <w:lang w:val="en-US"/>
        </w:rPr>
        <w:t>provided</w:t>
      </w:r>
      <w:r w:rsidRPr="002E60EB">
        <w:rPr>
          <w:lang w:val="en-US"/>
        </w:rPr>
        <w:t xml:space="preserve"> the right to freedom of thought and expression established in Article 13 of the Convention</w:t>
      </w:r>
      <w:r w:rsidR="00257B74" w:rsidRPr="002E60EB">
        <w:rPr>
          <w:lang w:val="en-US"/>
        </w:rPr>
        <w:t xml:space="preserve"> with wide-ranging content. </w:t>
      </w:r>
      <w:r w:rsidRPr="002E60EB">
        <w:rPr>
          <w:lang w:val="en-US"/>
        </w:rPr>
        <w:t xml:space="preserve">The Court has </w:t>
      </w:r>
      <w:r w:rsidR="00257B74" w:rsidRPr="002E60EB">
        <w:rPr>
          <w:lang w:val="en-US"/>
        </w:rPr>
        <w:t xml:space="preserve">indicated </w:t>
      </w:r>
      <w:r w:rsidRPr="002E60EB">
        <w:rPr>
          <w:lang w:val="en-US"/>
        </w:rPr>
        <w:t xml:space="preserve">that this </w:t>
      </w:r>
      <w:r w:rsidR="00257B74" w:rsidRPr="002E60EB">
        <w:rPr>
          <w:lang w:val="en-US"/>
        </w:rPr>
        <w:t xml:space="preserve">article </w:t>
      </w:r>
      <w:r w:rsidRPr="002E60EB">
        <w:rPr>
          <w:lang w:val="en-US"/>
        </w:rPr>
        <w:t xml:space="preserve">protects the right to seek, </w:t>
      </w:r>
      <w:r w:rsidR="00257B74" w:rsidRPr="002E60EB">
        <w:rPr>
          <w:lang w:val="en-US"/>
        </w:rPr>
        <w:t xml:space="preserve">to </w:t>
      </w:r>
      <w:r w:rsidRPr="002E60EB">
        <w:rPr>
          <w:lang w:val="en-US"/>
        </w:rPr>
        <w:t xml:space="preserve">receive and </w:t>
      </w:r>
      <w:r w:rsidR="00257B74" w:rsidRPr="002E60EB">
        <w:rPr>
          <w:lang w:val="en-US"/>
        </w:rPr>
        <w:t xml:space="preserve">to </w:t>
      </w:r>
      <w:r w:rsidRPr="002E60EB">
        <w:rPr>
          <w:lang w:val="en-US"/>
        </w:rPr>
        <w:t xml:space="preserve">impart ideas and information of all kinds, as well as to receive and </w:t>
      </w:r>
      <w:r w:rsidR="00257B74" w:rsidRPr="002E60EB">
        <w:rPr>
          <w:lang w:val="en-US"/>
        </w:rPr>
        <w:t xml:space="preserve">to </w:t>
      </w:r>
      <w:r w:rsidRPr="002E60EB">
        <w:rPr>
          <w:lang w:val="en-US"/>
        </w:rPr>
        <w:t>obtain the information and ideas disseminated by others.</w:t>
      </w:r>
      <w:r w:rsidR="00257B74" w:rsidRPr="002E60EB">
        <w:rPr>
          <w:rStyle w:val="Refdenotaalpie"/>
          <w:lang w:val="en-US"/>
        </w:rPr>
        <w:footnoteReference w:id="155"/>
      </w:r>
      <w:r w:rsidRPr="002E60EB">
        <w:rPr>
          <w:lang w:val="en-US"/>
        </w:rPr>
        <w:t xml:space="preserve"> The Court has </w:t>
      </w:r>
      <w:r w:rsidR="00257B74" w:rsidRPr="002E60EB">
        <w:rPr>
          <w:lang w:val="en-US"/>
        </w:rPr>
        <w:t xml:space="preserve">indicated </w:t>
      </w:r>
      <w:r w:rsidRPr="002E60EB">
        <w:rPr>
          <w:lang w:val="en-US"/>
        </w:rPr>
        <w:t>that freedom of expression has an individual</w:t>
      </w:r>
      <w:r w:rsidR="00257B74" w:rsidRPr="002E60EB">
        <w:rPr>
          <w:lang w:val="en-US"/>
        </w:rPr>
        <w:t xml:space="preserve"> dimension</w:t>
      </w:r>
      <w:r w:rsidRPr="002E60EB">
        <w:rPr>
          <w:lang w:val="en-US"/>
        </w:rPr>
        <w:t xml:space="preserve"> and </w:t>
      </w:r>
      <w:r w:rsidR="00257B74" w:rsidRPr="002E60EB">
        <w:rPr>
          <w:lang w:val="en-US"/>
        </w:rPr>
        <w:t xml:space="preserve">a </w:t>
      </w:r>
      <w:r w:rsidRPr="002E60EB">
        <w:rPr>
          <w:lang w:val="en-US"/>
        </w:rPr>
        <w:t xml:space="preserve">social dimension, from which it has </w:t>
      </w:r>
      <w:r w:rsidR="00257B74" w:rsidRPr="002E60EB">
        <w:rPr>
          <w:lang w:val="en-US"/>
        </w:rPr>
        <w:t xml:space="preserve">derived </w:t>
      </w:r>
      <w:r w:rsidRPr="002E60EB">
        <w:rPr>
          <w:lang w:val="en-US"/>
        </w:rPr>
        <w:t>a series</w:t>
      </w:r>
      <w:r w:rsidR="008F3FDA" w:rsidRPr="002E60EB">
        <w:rPr>
          <w:lang w:val="en-US"/>
        </w:rPr>
        <w:t xml:space="preserve"> of rights that are protected by</w:t>
      </w:r>
      <w:r w:rsidRPr="002E60EB">
        <w:rPr>
          <w:lang w:val="en-US"/>
        </w:rPr>
        <w:t xml:space="preserve"> th</w:t>
      </w:r>
      <w:r w:rsidR="00257B74" w:rsidRPr="002E60EB">
        <w:rPr>
          <w:lang w:val="en-US"/>
        </w:rPr>
        <w:t>is</w:t>
      </w:r>
      <w:r w:rsidRPr="002E60EB">
        <w:rPr>
          <w:lang w:val="en-US"/>
        </w:rPr>
        <w:t xml:space="preserve"> </w:t>
      </w:r>
      <w:r w:rsidR="00257B74" w:rsidRPr="002E60EB">
        <w:rPr>
          <w:lang w:val="en-US"/>
        </w:rPr>
        <w:t>a</w:t>
      </w:r>
      <w:r w:rsidRPr="002E60EB">
        <w:rPr>
          <w:lang w:val="en-US"/>
        </w:rPr>
        <w:t>rticle.</w:t>
      </w:r>
      <w:r w:rsidR="00257B74" w:rsidRPr="002E60EB">
        <w:rPr>
          <w:rStyle w:val="Refdenotaalpie"/>
          <w:lang w:val="en-US"/>
        </w:rPr>
        <w:footnoteReference w:id="156"/>
      </w:r>
      <w:r w:rsidRPr="002E60EB">
        <w:rPr>
          <w:lang w:val="en-US"/>
        </w:rPr>
        <w:t xml:space="preserve"> This Court has stated that both dimensions are equally important and must be fully guaranteed simultaneously to give total effect</w:t>
      </w:r>
      <w:r w:rsidR="00257B74" w:rsidRPr="002E60EB">
        <w:rPr>
          <w:lang w:val="en-US"/>
        </w:rPr>
        <w:t>s</w:t>
      </w:r>
      <w:r w:rsidRPr="002E60EB">
        <w:rPr>
          <w:lang w:val="en-US"/>
        </w:rPr>
        <w:t xml:space="preserve"> to the right to freedom of expression </w:t>
      </w:r>
      <w:r w:rsidR="00257B74" w:rsidRPr="002E60EB">
        <w:rPr>
          <w:lang w:val="en-US"/>
        </w:rPr>
        <w:t>as</w:t>
      </w:r>
      <w:r w:rsidRPr="002E60EB">
        <w:rPr>
          <w:lang w:val="en-US"/>
        </w:rPr>
        <w:t xml:space="preserve"> established in Article 13 of the Convention.</w:t>
      </w:r>
      <w:r w:rsidR="00257B74" w:rsidRPr="002E60EB">
        <w:rPr>
          <w:rStyle w:val="Refdenotaalpie"/>
          <w:lang w:val="en-US"/>
        </w:rPr>
        <w:footnoteReference w:id="157"/>
      </w:r>
    </w:p>
    <w:p w:rsidR="007F4E0C" w:rsidRPr="002E60EB" w:rsidRDefault="007F4E0C" w:rsidP="007F4E0C">
      <w:pPr>
        <w:tabs>
          <w:tab w:val="left" w:pos="720"/>
        </w:tabs>
        <w:jc w:val="both"/>
        <w:rPr>
          <w:lang w:val="en-US"/>
        </w:rPr>
      </w:pPr>
    </w:p>
    <w:p w:rsidR="00174AEA" w:rsidRPr="002E60EB" w:rsidRDefault="00174AEA" w:rsidP="00317748">
      <w:pPr>
        <w:numPr>
          <w:ilvl w:val="0"/>
          <w:numId w:val="1"/>
        </w:numPr>
        <w:tabs>
          <w:tab w:val="left" w:pos="720"/>
        </w:tabs>
        <w:jc w:val="both"/>
        <w:rPr>
          <w:lang w:val="en-US"/>
        </w:rPr>
      </w:pPr>
      <w:r w:rsidRPr="002E60EB">
        <w:rPr>
          <w:color w:val="000000"/>
          <w:lang w:val="en-US"/>
        </w:rPr>
        <w:t>The first dimension of the right to freedom of expression encompasses the right to use any appropriate me</w:t>
      </w:r>
      <w:r w:rsidR="008F3FDA" w:rsidRPr="002E60EB">
        <w:rPr>
          <w:color w:val="000000"/>
          <w:lang w:val="en-US"/>
        </w:rPr>
        <w:t>dium</w:t>
      </w:r>
      <w:r w:rsidRPr="002E60EB">
        <w:rPr>
          <w:color w:val="000000"/>
          <w:lang w:val="en-US"/>
        </w:rPr>
        <w:t xml:space="preserve"> to disseminate opinions, ideas and information and allow them to reach the greatest number </w:t>
      </w:r>
      <w:r w:rsidR="008F3FDA" w:rsidRPr="002E60EB">
        <w:rPr>
          <w:color w:val="000000"/>
          <w:lang w:val="en-US"/>
        </w:rPr>
        <w:t xml:space="preserve">of persons. In this regard, </w:t>
      </w:r>
      <w:r w:rsidRPr="002E60EB">
        <w:rPr>
          <w:color w:val="000000"/>
          <w:lang w:val="en-US"/>
        </w:rPr>
        <w:t>expression and dissemination are inseparable, so that a restriction of the possibilities of dissemination represents directly, and to the same extent, a limitation of the right to free expression.</w:t>
      </w:r>
      <w:r w:rsidRPr="002E60EB">
        <w:rPr>
          <w:rStyle w:val="Refdenotaalpie"/>
          <w:lang w:val="en-US"/>
        </w:rPr>
        <w:footnoteReference w:id="158"/>
      </w:r>
      <w:r w:rsidRPr="002E60EB">
        <w:rPr>
          <w:color w:val="000000"/>
          <w:lang w:val="en-US"/>
        </w:rPr>
        <w:t xml:space="preserve"> Regarding the second dimension of freedom of expression, the social </w:t>
      </w:r>
      <w:r w:rsidR="008F3FDA" w:rsidRPr="002E60EB">
        <w:rPr>
          <w:color w:val="000000"/>
          <w:lang w:val="en-US"/>
        </w:rPr>
        <w:t>aspect</w:t>
      </w:r>
      <w:r w:rsidRPr="002E60EB">
        <w:rPr>
          <w:color w:val="000000"/>
          <w:lang w:val="en-US"/>
        </w:rPr>
        <w:t xml:space="preserve">, the Court has indicated that freedom of expression also entails the right of everyone to know </w:t>
      </w:r>
      <w:r w:rsidR="008F3FDA" w:rsidRPr="002E60EB">
        <w:rPr>
          <w:color w:val="000000"/>
          <w:lang w:val="en-US"/>
        </w:rPr>
        <w:t xml:space="preserve">the </w:t>
      </w:r>
      <w:r w:rsidRPr="002E60EB">
        <w:rPr>
          <w:color w:val="000000"/>
          <w:lang w:val="en-US"/>
        </w:rPr>
        <w:t>opinions, reports and news expressed by third parties. For the ordinary citizen, the right to know other opinions and the information that others have is as important as the right to impart their own.</w:t>
      </w:r>
      <w:r w:rsidRPr="002E60EB">
        <w:rPr>
          <w:rStyle w:val="Refdenotaalpie"/>
          <w:spacing w:val="-3"/>
          <w:lang w:val="en-US"/>
        </w:rPr>
        <w:footnoteReference w:id="159"/>
      </w:r>
      <w:r w:rsidRPr="002E60EB">
        <w:rPr>
          <w:spacing w:val="-3"/>
          <w:lang w:val="en-US"/>
        </w:rPr>
        <w:t xml:space="preserve">  Hence,</w:t>
      </w:r>
      <w:r w:rsidR="008F3FDA" w:rsidRPr="002E60EB">
        <w:rPr>
          <w:spacing w:val="-3"/>
          <w:lang w:val="en-US"/>
        </w:rPr>
        <w:t xml:space="preserve"> it is based on both dimensions that</w:t>
      </w:r>
      <w:r w:rsidRPr="002E60EB">
        <w:rPr>
          <w:spacing w:val="-3"/>
          <w:lang w:val="en-US"/>
        </w:rPr>
        <w:t xml:space="preserve"> freedom of expression requires</w:t>
      </w:r>
      <w:r w:rsidRPr="002E60EB">
        <w:rPr>
          <w:color w:val="000000"/>
          <w:lang w:val="en-US"/>
        </w:rPr>
        <w:t xml:space="preserve"> that no one may be arbitrarily </w:t>
      </w:r>
      <w:r w:rsidR="008F3FDA" w:rsidRPr="002E60EB">
        <w:rPr>
          <w:color w:val="000000"/>
          <w:lang w:val="en-US"/>
        </w:rPr>
        <w:t>impaired</w:t>
      </w:r>
      <w:r w:rsidRPr="002E60EB">
        <w:rPr>
          <w:color w:val="000000"/>
          <w:lang w:val="en-US"/>
        </w:rPr>
        <w:t xml:space="preserve"> or impeded from expressing his own thought</w:t>
      </w:r>
      <w:r w:rsidR="008F3FDA" w:rsidRPr="002E60EB">
        <w:rPr>
          <w:color w:val="000000"/>
          <w:lang w:val="en-US"/>
        </w:rPr>
        <w:t>s</w:t>
      </w:r>
      <w:r w:rsidRPr="002E60EB">
        <w:rPr>
          <w:color w:val="000000"/>
          <w:lang w:val="en-US"/>
        </w:rPr>
        <w:t xml:space="preserve"> and, therefore, repres</w:t>
      </w:r>
      <w:r w:rsidR="008F3FDA" w:rsidRPr="002E60EB">
        <w:rPr>
          <w:color w:val="000000"/>
          <w:lang w:val="en-US"/>
        </w:rPr>
        <w:t>ents a right of each individual,</w:t>
      </w:r>
      <w:r w:rsidRPr="002E60EB">
        <w:rPr>
          <w:color w:val="000000"/>
          <w:lang w:val="en-US"/>
        </w:rPr>
        <w:t xml:space="preserve"> but also entails a collective right to receive any information and to know the expression of the thought of others.</w:t>
      </w:r>
      <w:r w:rsidRPr="002E60EB">
        <w:rPr>
          <w:rStyle w:val="Refdenotaalpie"/>
          <w:spacing w:val="-3"/>
          <w:lang w:val="en-US"/>
        </w:rPr>
        <w:footnoteReference w:id="160"/>
      </w:r>
    </w:p>
    <w:p w:rsidR="004F01CA" w:rsidRPr="002E60EB" w:rsidRDefault="004F01CA">
      <w:pPr>
        <w:tabs>
          <w:tab w:val="left" w:pos="720"/>
        </w:tabs>
        <w:jc w:val="both"/>
        <w:rPr>
          <w:lang w:val="en-US"/>
        </w:rPr>
      </w:pPr>
    </w:p>
    <w:p w:rsidR="004F01CA" w:rsidRPr="002E60EB" w:rsidRDefault="004F01CA" w:rsidP="00317748">
      <w:pPr>
        <w:numPr>
          <w:ilvl w:val="0"/>
          <w:numId w:val="1"/>
        </w:numPr>
        <w:tabs>
          <w:tab w:val="left" w:pos="720"/>
        </w:tabs>
        <w:jc w:val="both"/>
        <w:rPr>
          <w:lang w:val="en-US"/>
        </w:rPr>
      </w:pPr>
      <w:r w:rsidRPr="002E60EB">
        <w:rPr>
          <w:lang w:val="en-US"/>
        </w:rPr>
        <w:t>The Court has established that violations of Article 13 of the Convention may take different forms, according to how they produce a denial of freedom of expression or involve restrictions that go beyond what is allowed</w:t>
      </w:r>
      <w:r w:rsidR="008F3FDA" w:rsidRPr="002E60EB">
        <w:rPr>
          <w:lang w:val="en-US"/>
        </w:rPr>
        <w:t xml:space="preserve"> by law</w:t>
      </w:r>
      <w:r w:rsidRPr="002E60EB">
        <w:rPr>
          <w:lang w:val="en-US"/>
        </w:rPr>
        <w:t>.</w:t>
      </w:r>
      <w:r w:rsidRPr="002E60EB">
        <w:rPr>
          <w:rStyle w:val="Refdenotaalpie"/>
          <w:lang w:val="en-US"/>
        </w:rPr>
        <w:footnoteReference w:id="161"/>
      </w:r>
      <w:r w:rsidRPr="002E60EB">
        <w:rPr>
          <w:lang w:val="en-US"/>
        </w:rPr>
        <w:t xml:space="preserve"> T</w:t>
      </w:r>
      <w:r w:rsidR="005C02C0" w:rsidRPr="002E60EB">
        <w:rPr>
          <w:lang w:val="en-US"/>
        </w:rPr>
        <w:t xml:space="preserve">he Court has held that when </w:t>
      </w:r>
      <w:r w:rsidRPr="002E60EB">
        <w:rPr>
          <w:lang w:val="en-US"/>
        </w:rPr>
        <w:t xml:space="preserve">the public </w:t>
      </w:r>
      <w:r w:rsidR="005C02C0" w:rsidRPr="002E60EB">
        <w:rPr>
          <w:lang w:val="en-US"/>
        </w:rPr>
        <w:t xml:space="preserve">authorities </w:t>
      </w:r>
      <w:r w:rsidR="00334C3C" w:rsidRPr="002E60EB">
        <w:rPr>
          <w:lang w:val="en-US"/>
        </w:rPr>
        <w:t>establish</w:t>
      </w:r>
      <w:r w:rsidRPr="002E60EB">
        <w:rPr>
          <w:lang w:val="en-US"/>
        </w:rPr>
        <w:t xml:space="preserve"> mechanisms or </w:t>
      </w:r>
      <w:r w:rsidR="005C02C0" w:rsidRPr="002E60EB">
        <w:rPr>
          <w:lang w:val="en-US"/>
        </w:rPr>
        <w:t xml:space="preserve">tale </w:t>
      </w:r>
      <w:r w:rsidRPr="002E60EB">
        <w:rPr>
          <w:lang w:val="en-US"/>
        </w:rPr>
        <w:t>measures to prevent the free flow of information, ideas, opinions or news, a “radical violation [occurs] of both the individual's right to</w:t>
      </w:r>
      <w:r w:rsidR="005C02C0" w:rsidRPr="002E60EB">
        <w:rPr>
          <w:lang w:val="en-US"/>
        </w:rPr>
        <w:t xml:space="preserve"> express him</w:t>
      </w:r>
      <w:r w:rsidRPr="002E60EB">
        <w:rPr>
          <w:lang w:val="en-US"/>
        </w:rPr>
        <w:t xml:space="preserve"> or herself and of society’s right to be informed, </w:t>
      </w:r>
      <w:r w:rsidR="005C02C0" w:rsidRPr="002E60EB">
        <w:rPr>
          <w:lang w:val="en-US"/>
        </w:rPr>
        <w:t>so</w:t>
      </w:r>
      <w:r w:rsidRPr="002E60EB">
        <w:rPr>
          <w:lang w:val="en-US"/>
        </w:rPr>
        <w:t xml:space="preserve"> that one of the basic conditions of a democratic society is affected.”</w:t>
      </w:r>
      <w:r w:rsidRPr="002E60EB">
        <w:rPr>
          <w:rStyle w:val="Refdenotaalpie"/>
          <w:lang w:val="en-US"/>
        </w:rPr>
        <w:footnoteReference w:id="162"/>
      </w:r>
      <w:r w:rsidRPr="002E60EB">
        <w:rPr>
          <w:lang w:val="en-US"/>
        </w:rPr>
        <w:t xml:space="preserve"> This scenario includes “prior censorship, the seizure or banning of publications and, in general, all those procedures that subject the expression or dissemination of information to State control.”</w:t>
      </w:r>
      <w:r w:rsidRPr="002E60EB">
        <w:rPr>
          <w:rStyle w:val="Refdenotaalpie"/>
          <w:lang w:val="en-US"/>
        </w:rPr>
        <w:footnoteReference w:id="163"/>
      </w:r>
    </w:p>
    <w:p w:rsidR="004F01CA" w:rsidRPr="002E60EB" w:rsidRDefault="004F01CA" w:rsidP="00317748">
      <w:pPr>
        <w:pStyle w:val="Prrafodelista"/>
        <w:rPr>
          <w:sz w:val="20"/>
          <w:szCs w:val="20"/>
          <w:lang w:val="en-US"/>
        </w:rPr>
      </w:pPr>
    </w:p>
    <w:p w:rsidR="004F01CA" w:rsidRPr="002E60EB" w:rsidRDefault="004F01CA" w:rsidP="00317748">
      <w:pPr>
        <w:numPr>
          <w:ilvl w:val="0"/>
          <w:numId w:val="1"/>
        </w:numPr>
        <w:tabs>
          <w:tab w:val="left" w:pos="720"/>
        </w:tabs>
        <w:jc w:val="both"/>
        <w:rPr>
          <w:lang w:val="en-US"/>
        </w:rPr>
      </w:pPr>
      <w:r w:rsidRPr="002E60EB">
        <w:rPr>
          <w:lang w:val="en-US"/>
        </w:rPr>
        <w:t xml:space="preserve">The Inter-American </w:t>
      </w:r>
      <w:r w:rsidR="005C02C0" w:rsidRPr="002E60EB">
        <w:rPr>
          <w:lang w:val="en-US"/>
        </w:rPr>
        <w:t xml:space="preserve">Court </w:t>
      </w:r>
      <w:r w:rsidRPr="002E60EB">
        <w:rPr>
          <w:lang w:val="en-US"/>
        </w:rPr>
        <w:t>has emphasized that “the</w:t>
      </w:r>
      <w:r w:rsidR="005C02C0" w:rsidRPr="002E60EB">
        <w:rPr>
          <w:lang w:val="en-US"/>
        </w:rPr>
        <w:t xml:space="preserve"> profession of</w:t>
      </w:r>
      <w:r w:rsidRPr="002E60EB">
        <w:rPr>
          <w:lang w:val="en-US"/>
        </w:rPr>
        <w:t xml:space="preserve"> journalism […] specifically involves seeking, receiving and imparting information. Thus, the exercise of journalism requires a person to engage in activities that are defined or embraced in the freedom of expression guaranteed in the Convention.” The professional exercise of journalism “cannot be differentiated from freedom of expression, but rather, to the contrary, both are evidently interrelated, since the professional journalist is not, and cannot be, anyone other than a person who has decided to exercise freedom of expr</w:t>
      </w:r>
      <w:r w:rsidR="000F2110" w:rsidRPr="002E60EB">
        <w:rPr>
          <w:lang w:val="en-US"/>
        </w:rPr>
        <w:t>ession in a continuous, regular</w:t>
      </w:r>
      <w:r w:rsidRPr="002E60EB">
        <w:rPr>
          <w:lang w:val="en-US"/>
        </w:rPr>
        <w:t xml:space="preserve"> and paid</w:t>
      </w:r>
      <w:r w:rsidR="000F2110" w:rsidRPr="002E60EB">
        <w:rPr>
          <w:lang w:val="en-US"/>
        </w:rPr>
        <w:t xml:space="preserve"> manner.”</w:t>
      </w:r>
      <w:r w:rsidR="000F2110" w:rsidRPr="002E60EB">
        <w:rPr>
          <w:rStyle w:val="Refdenotaalpie"/>
          <w:lang w:val="en-US"/>
        </w:rPr>
        <w:footnoteReference w:id="164"/>
      </w:r>
      <w:r w:rsidR="000F2110" w:rsidRPr="002E60EB">
        <w:rPr>
          <w:lang w:val="en-US"/>
        </w:rPr>
        <w:t xml:space="preserve"> </w:t>
      </w:r>
    </w:p>
    <w:p w:rsidR="000F2110" w:rsidRPr="002E60EB" w:rsidRDefault="000F2110" w:rsidP="00317748">
      <w:pPr>
        <w:pStyle w:val="Prrafodelista"/>
        <w:rPr>
          <w:sz w:val="20"/>
          <w:szCs w:val="20"/>
          <w:lang w:val="en-US"/>
        </w:rPr>
      </w:pPr>
    </w:p>
    <w:p w:rsidR="000F2110" w:rsidRPr="002E60EB" w:rsidRDefault="000F2110" w:rsidP="00317748">
      <w:pPr>
        <w:numPr>
          <w:ilvl w:val="0"/>
          <w:numId w:val="1"/>
        </w:numPr>
        <w:tabs>
          <w:tab w:val="left" w:pos="720"/>
        </w:tabs>
        <w:jc w:val="both"/>
        <w:rPr>
          <w:lang w:val="en-US"/>
        </w:rPr>
      </w:pPr>
      <w:r w:rsidRPr="002E60EB">
        <w:rPr>
          <w:lang w:val="en-US"/>
        </w:rPr>
        <w:t>The Court has emphasized that freedom of expression, particularly in matters of public interest, “</w:t>
      </w:r>
      <w:r w:rsidR="005C02C0" w:rsidRPr="002E60EB">
        <w:rPr>
          <w:lang w:val="en-US"/>
        </w:rPr>
        <w:t>is a corner</w:t>
      </w:r>
      <w:r w:rsidRPr="002E60EB">
        <w:rPr>
          <w:lang w:val="en-US"/>
        </w:rPr>
        <w:t>stone in the very existence of a democratic society.” Without an effective guarantee of freedom of expression, the democratic system is weakened and pluralism and tolerance are shattered; the mechanisms of citizen control and complaint may become ineffective and, ultimately, a fertile ground is created for authoritarian systems to become entrenched.</w:t>
      </w:r>
      <w:r w:rsidRPr="002E60EB">
        <w:rPr>
          <w:rStyle w:val="Refdenotaalpie"/>
          <w:rFonts w:cs="Verdana"/>
          <w:lang w:val="en-US"/>
        </w:rPr>
        <w:footnoteReference w:id="165"/>
      </w:r>
    </w:p>
    <w:p w:rsidR="000F2110" w:rsidRPr="002E60EB" w:rsidRDefault="000F2110" w:rsidP="00317748">
      <w:pPr>
        <w:pStyle w:val="Prrafodelista"/>
        <w:rPr>
          <w:sz w:val="20"/>
          <w:szCs w:val="20"/>
          <w:lang w:val="en-US"/>
        </w:rPr>
      </w:pPr>
    </w:p>
    <w:p w:rsidR="000F2110" w:rsidRPr="002E60EB" w:rsidRDefault="000F2110" w:rsidP="00317748">
      <w:pPr>
        <w:numPr>
          <w:ilvl w:val="0"/>
          <w:numId w:val="1"/>
        </w:numPr>
        <w:tabs>
          <w:tab w:val="left" w:pos="720"/>
        </w:tabs>
        <w:jc w:val="both"/>
        <w:rPr>
          <w:lang w:val="en-US"/>
        </w:rPr>
      </w:pPr>
      <w:r w:rsidRPr="002E60EB">
        <w:rPr>
          <w:lang w:val="en-US"/>
        </w:rPr>
        <w:t xml:space="preserve">Regarding </w:t>
      </w:r>
      <w:r w:rsidR="005C02C0" w:rsidRPr="002E60EB">
        <w:rPr>
          <w:lang w:val="en-US"/>
        </w:rPr>
        <w:t>the events in</w:t>
      </w:r>
      <w:r w:rsidRPr="002E60EB">
        <w:rPr>
          <w:lang w:val="en-US"/>
        </w:rPr>
        <w:t xml:space="preserve"> this case, the Court finds it necessary to recall that Mr. Vélez Restrepo was attacked while he was performing his journalistic tasks as a cameraman for a national news program and that the attack by the soldiers was intended to harm his right to freedom of thought and expression by preventing him from continuing to record the incidents that were taking place (</w:t>
      </w:r>
      <w:r w:rsidRPr="002E60EB">
        <w:rPr>
          <w:i/>
          <w:lang w:val="en-US"/>
        </w:rPr>
        <w:t>supra</w:t>
      </w:r>
      <w:r w:rsidRPr="002E60EB">
        <w:rPr>
          <w:lang w:val="en-US"/>
        </w:rPr>
        <w:t xml:space="preserve"> para. 78 to 81) and to disseminate the images he had recorded. The Court underscores that, although the images that Mr. Velez Restrepo was able to film were disseminated, this was due to the fact that, despite the beating he received from the soldiers, he did not </w:t>
      </w:r>
      <w:r w:rsidR="005C02C0" w:rsidRPr="002E60EB">
        <w:rPr>
          <w:lang w:val="en-US"/>
        </w:rPr>
        <w:t>relinquish</w:t>
      </w:r>
      <w:r w:rsidRPr="002E60EB">
        <w:rPr>
          <w:lang w:val="en-US"/>
        </w:rPr>
        <w:t xml:space="preserve"> the camera</w:t>
      </w:r>
      <w:r w:rsidR="005C02C0" w:rsidRPr="002E60EB">
        <w:rPr>
          <w:lang w:val="en-US"/>
        </w:rPr>
        <w:t xml:space="preserve"> and, even when this</w:t>
      </w:r>
      <w:r w:rsidRPr="002E60EB">
        <w:rPr>
          <w:lang w:val="en-US"/>
        </w:rPr>
        <w:t xml:space="preserve"> was destroyed,</w:t>
      </w:r>
      <w:r w:rsidR="0080487C" w:rsidRPr="002E60EB">
        <w:rPr>
          <w:lang w:val="en-US"/>
        </w:rPr>
        <w:t xml:space="preserve"> the tape that contained </w:t>
      </w:r>
      <w:r w:rsidR="005C02C0" w:rsidRPr="002E60EB">
        <w:rPr>
          <w:lang w:val="en-US"/>
        </w:rPr>
        <w:t xml:space="preserve">the </w:t>
      </w:r>
      <w:r w:rsidR="0080487C" w:rsidRPr="002E60EB">
        <w:rPr>
          <w:lang w:val="en-US"/>
        </w:rPr>
        <w:t xml:space="preserve">recording was not damaged and it was possible to disseminate the images he </w:t>
      </w:r>
      <w:r w:rsidR="005C02C0" w:rsidRPr="002E60EB">
        <w:rPr>
          <w:lang w:val="en-US"/>
        </w:rPr>
        <w:t xml:space="preserve">had </w:t>
      </w:r>
      <w:r w:rsidR="0080487C" w:rsidRPr="002E60EB">
        <w:rPr>
          <w:lang w:val="en-US"/>
        </w:rPr>
        <w:t xml:space="preserve">captured when soldiers participating in the actions to control the </w:t>
      </w:r>
      <w:r w:rsidR="005C02C0" w:rsidRPr="002E60EB">
        <w:rPr>
          <w:lang w:val="en-US"/>
        </w:rPr>
        <w:t xml:space="preserve">protest </w:t>
      </w:r>
      <w:r w:rsidR="0080487C" w:rsidRPr="002E60EB">
        <w:rPr>
          <w:lang w:val="en-US"/>
        </w:rPr>
        <w:t xml:space="preserve">demonstration attacked defenseless </w:t>
      </w:r>
      <w:r w:rsidR="005C02C0" w:rsidRPr="002E60EB">
        <w:rPr>
          <w:lang w:val="en-US"/>
        </w:rPr>
        <w:t>individuals</w:t>
      </w:r>
      <w:r w:rsidR="0080487C" w:rsidRPr="002E60EB">
        <w:rPr>
          <w:lang w:val="en-US"/>
        </w:rPr>
        <w:t>. The Court also takes into account that, from the words that the attac</w:t>
      </w:r>
      <w:r w:rsidR="005C02C0" w:rsidRPr="002E60EB">
        <w:rPr>
          <w:lang w:val="en-US"/>
        </w:rPr>
        <w:t>k</w:t>
      </w:r>
      <w:r w:rsidR="0080487C" w:rsidRPr="002E60EB">
        <w:rPr>
          <w:lang w:val="en-US"/>
        </w:rPr>
        <w:t xml:space="preserve">ers shouted while they were hitting Mr. Vélez Restrepo, it </w:t>
      </w:r>
      <w:r w:rsidR="005C02C0" w:rsidRPr="002E60EB">
        <w:rPr>
          <w:lang w:val="en-US"/>
        </w:rPr>
        <w:t>can be</w:t>
      </w:r>
      <w:r w:rsidR="0080487C" w:rsidRPr="002E60EB">
        <w:rPr>
          <w:lang w:val="en-US"/>
        </w:rPr>
        <w:t xml:space="preserve"> hear</w:t>
      </w:r>
      <w:r w:rsidR="005C02C0" w:rsidRPr="002E60EB">
        <w:rPr>
          <w:lang w:val="en-US"/>
        </w:rPr>
        <w:t>d</w:t>
      </w:r>
      <w:r w:rsidR="0080487C" w:rsidRPr="002E60EB">
        <w:rPr>
          <w:lang w:val="en-US"/>
        </w:rPr>
        <w:t xml:space="preserve"> that they sought to take video “cassette” out of the camera, w</w:t>
      </w:r>
      <w:r w:rsidR="005C02C0" w:rsidRPr="002E60EB">
        <w:rPr>
          <w:lang w:val="en-US"/>
        </w:rPr>
        <w:t>hich they were unable to do. However,</w:t>
      </w:r>
      <w:r w:rsidR="0080487C" w:rsidRPr="002E60EB">
        <w:rPr>
          <w:lang w:val="en-US"/>
        </w:rPr>
        <w:t xml:space="preserve"> this shows that their purpose was to stop the dissemination of the images recorded by Mr. Velez Restrepo (</w:t>
      </w:r>
      <w:r w:rsidR="0080487C" w:rsidRPr="002E60EB">
        <w:rPr>
          <w:i/>
          <w:lang w:val="en-US"/>
        </w:rPr>
        <w:t>supra</w:t>
      </w:r>
      <w:r w:rsidR="0080487C" w:rsidRPr="002E60EB">
        <w:rPr>
          <w:lang w:val="en-US"/>
        </w:rPr>
        <w:t xml:space="preserve"> para. 81). In addition, the disciplinary decision issued next day against an Army</w:t>
      </w:r>
      <w:r w:rsidR="005C02C0" w:rsidRPr="002E60EB">
        <w:rPr>
          <w:lang w:val="en-US"/>
        </w:rPr>
        <w:t xml:space="preserve"> sergeant, </w:t>
      </w:r>
      <w:r w:rsidR="0080487C" w:rsidRPr="002E60EB">
        <w:rPr>
          <w:lang w:val="en-US"/>
        </w:rPr>
        <w:t>stated that “he ordered a soldier under his command to seize the video camera of the came</w:t>
      </w:r>
      <w:r w:rsidR="00334C3C" w:rsidRPr="002E60EB">
        <w:rPr>
          <w:lang w:val="en-US"/>
        </w:rPr>
        <w:t>raman [Luis Gonzalo Vélez Restre</w:t>
      </w:r>
      <w:r w:rsidR="0080487C" w:rsidRPr="002E60EB">
        <w:rPr>
          <w:lang w:val="en-US"/>
        </w:rPr>
        <w:t xml:space="preserve">po] of the television news program </w:t>
      </w:r>
      <w:r w:rsidR="0080487C" w:rsidRPr="002E60EB">
        <w:rPr>
          <w:i/>
          <w:lang w:val="en-US"/>
        </w:rPr>
        <w:t xml:space="preserve">Noticiero </w:t>
      </w:r>
      <w:r w:rsidR="00476F1E" w:rsidRPr="002E60EB">
        <w:rPr>
          <w:i/>
          <w:lang w:val="en-US"/>
        </w:rPr>
        <w:t>12:30</w:t>
      </w:r>
      <w:r w:rsidR="0080487C" w:rsidRPr="002E60EB">
        <w:rPr>
          <w:lang w:val="en-US"/>
        </w:rPr>
        <w:t>, an action that violates the provisions of freedom of the press” (</w:t>
      </w:r>
      <w:r w:rsidR="0080487C" w:rsidRPr="002E60EB">
        <w:rPr>
          <w:i/>
          <w:lang w:val="en-US"/>
        </w:rPr>
        <w:t>supra</w:t>
      </w:r>
      <w:r w:rsidR="00334C3C" w:rsidRPr="002E60EB">
        <w:rPr>
          <w:lang w:val="en-US"/>
        </w:rPr>
        <w:t xml:space="preserve"> </w:t>
      </w:r>
      <w:r w:rsidR="0080487C" w:rsidRPr="002E60EB">
        <w:rPr>
          <w:lang w:val="en-US"/>
        </w:rPr>
        <w:t>para. 102)</w:t>
      </w:r>
      <w:r w:rsidR="00DF5B0C" w:rsidRPr="002E60EB">
        <w:rPr>
          <w:lang w:val="en-US"/>
        </w:rPr>
        <w:t>.</w:t>
      </w:r>
    </w:p>
    <w:p w:rsidR="00DF5B0C" w:rsidRPr="002E60EB" w:rsidRDefault="00DF5B0C">
      <w:pPr>
        <w:tabs>
          <w:tab w:val="left" w:pos="720"/>
        </w:tabs>
        <w:jc w:val="both"/>
        <w:rPr>
          <w:lang w:val="en-US"/>
        </w:rPr>
      </w:pPr>
    </w:p>
    <w:p w:rsidR="00D52C16" w:rsidRPr="002E60EB" w:rsidRDefault="00DF5B0C" w:rsidP="00317748">
      <w:pPr>
        <w:numPr>
          <w:ilvl w:val="0"/>
          <w:numId w:val="1"/>
        </w:numPr>
        <w:tabs>
          <w:tab w:val="left" w:pos="720"/>
        </w:tabs>
        <w:jc w:val="both"/>
        <w:rPr>
          <w:lang w:val="en-US"/>
        </w:rPr>
      </w:pPr>
      <w:r w:rsidRPr="002E60EB">
        <w:rPr>
          <w:rFonts w:eastAsia="Calibri"/>
          <w:iCs/>
          <w:lang w:val="en-US"/>
        </w:rPr>
        <w:t>T</w:t>
      </w:r>
      <w:r w:rsidR="00D52C16" w:rsidRPr="002E60EB">
        <w:rPr>
          <w:rFonts w:eastAsia="Calibri"/>
          <w:iCs/>
          <w:lang w:val="en-US"/>
        </w:rPr>
        <w:t xml:space="preserve">his Court has </w:t>
      </w:r>
      <w:r w:rsidRPr="002E60EB">
        <w:rPr>
          <w:rFonts w:eastAsia="Calibri"/>
          <w:iCs/>
          <w:lang w:val="en-US"/>
        </w:rPr>
        <w:t xml:space="preserve">also </w:t>
      </w:r>
      <w:r w:rsidR="00D52C16" w:rsidRPr="002E60EB">
        <w:rPr>
          <w:rFonts w:eastAsia="Calibri"/>
          <w:iCs/>
          <w:lang w:val="en-US"/>
        </w:rPr>
        <w:t>noted that</w:t>
      </w:r>
      <w:r w:rsidRPr="002E60EB">
        <w:rPr>
          <w:rFonts w:eastAsia="Calibri"/>
          <w:iCs/>
          <w:lang w:val="en-US"/>
        </w:rPr>
        <w:t>, when making</w:t>
      </w:r>
      <w:r w:rsidR="00D52C16" w:rsidRPr="002E60EB">
        <w:rPr>
          <w:rFonts w:eastAsia="Calibri"/>
          <w:iCs/>
          <w:lang w:val="en-US"/>
        </w:rPr>
        <w:t xml:space="preserve"> its partial acknowledgment of t</w:t>
      </w:r>
      <w:r w:rsidRPr="002E60EB">
        <w:rPr>
          <w:rFonts w:eastAsia="Calibri"/>
          <w:iCs/>
          <w:lang w:val="en-US"/>
        </w:rPr>
        <w:t xml:space="preserve">he facts relating to the attack of August 29, 1996, the State </w:t>
      </w:r>
      <w:r w:rsidR="00D52C16" w:rsidRPr="002E60EB">
        <w:rPr>
          <w:rFonts w:eastAsia="Calibri"/>
          <w:iCs/>
          <w:lang w:val="en-US"/>
        </w:rPr>
        <w:t>argued that “the incident in which Mr. Velez was injured was not a deliberate attack</w:t>
      </w:r>
      <w:r w:rsidRPr="002E60EB">
        <w:rPr>
          <w:rFonts w:eastAsia="Calibri"/>
          <w:iCs/>
          <w:lang w:val="en-US"/>
        </w:rPr>
        <w:t>,</w:t>
      </w:r>
      <w:r w:rsidR="00D52C16" w:rsidRPr="002E60EB">
        <w:rPr>
          <w:rFonts w:eastAsia="Calibri"/>
          <w:iCs/>
          <w:lang w:val="en-US"/>
        </w:rPr>
        <w:t xml:space="preserve"> but the </w:t>
      </w:r>
      <w:r w:rsidRPr="002E60EB">
        <w:rPr>
          <w:rFonts w:eastAsia="Calibri"/>
          <w:iCs/>
          <w:lang w:val="en-US"/>
        </w:rPr>
        <w:t>result of a chaotic</w:t>
      </w:r>
      <w:r w:rsidR="00D52C16" w:rsidRPr="002E60EB">
        <w:rPr>
          <w:rFonts w:eastAsia="Calibri"/>
          <w:iCs/>
          <w:lang w:val="en-US"/>
        </w:rPr>
        <w:t xml:space="preserve"> situation that </w:t>
      </w:r>
      <w:r w:rsidRPr="002E60EB">
        <w:rPr>
          <w:rFonts w:eastAsia="Calibri"/>
          <w:iCs/>
          <w:lang w:val="en-US"/>
        </w:rPr>
        <w:t>led to acts of</w:t>
      </w:r>
      <w:r w:rsidR="00D52C16" w:rsidRPr="002E60EB">
        <w:rPr>
          <w:rFonts w:eastAsia="Calibri"/>
          <w:iCs/>
          <w:lang w:val="en-US"/>
        </w:rPr>
        <w:t xml:space="preserve"> violence </w:t>
      </w:r>
      <w:r w:rsidR="00334C3C" w:rsidRPr="002E60EB">
        <w:rPr>
          <w:rFonts w:eastAsia="Calibri"/>
          <w:iCs/>
          <w:lang w:val="en-US"/>
        </w:rPr>
        <w:t>involving</w:t>
      </w:r>
      <w:r w:rsidR="00D52C16" w:rsidRPr="002E60EB">
        <w:rPr>
          <w:rFonts w:eastAsia="Calibri"/>
          <w:iCs/>
          <w:lang w:val="en-US"/>
        </w:rPr>
        <w:t xml:space="preserve"> the </w:t>
      </w:r>
      <w:r w:rsidRPr="002E60EB">
        <w:rPr>
          <w:rFonts w:eastAsia="Calibri"/>
          <w:iCs/>
          <w:lang w:val="en-US"/>
        </w:rPr>
        <w:t>marchers</w:t>
      </w:r>
      <w:r w:rsidR="00D52C16" w:rsidRPr="002E60EB">
        <w:rPr>
          <w:rFonts w:eastAsia="Calibri"/>
          <w:iCs/>
          <w:lang w:val="en-US"/>
        </w:rPr>
        <w:t xml:space="preserve"> that</w:t>
      </w:r>
      <w:r w:rsidRPr="002E60EB">
        <w:rPr>
          <w:rFonts w:eastAsia="Calibri"/>
          <w:iCs/>
          <w:lang w:val="en-US"/>
        </w:rPr>
        <w:t xml:space="preserve"> caused the State’s security f</w:t>
      </w:r>
      <w:r w:rsidR="00D52C16" w:rsidRPr="002E60EB">
        <w:rPr>
          <w:rFonts w:eastAsia="Calibri"/>
          <w:iCs/>
          <w:lang w:val="en-US"/>
        </w:rPr>
        <w:t>o</w:t>
      </w:r>
      <w:r w:rsidRPr="002E60EB">
        <w:rPr>
          <w:rFonts w:eastAsia="Calibri"/>
          <w:iCs/>
          <w:lang w:val="en-US"/>
        </w:rPr>
        <w:t xml:space="preserve">rces to react, where one of the </w:t>
      </w:r>
      <w:r w:rsidR="00D52C16" w:rsidRPr="002E60EB">
        <w:rPr>
          <w:rFonts w:eastAsia="Calibri"/>
          <w:iCs/>
          <w:lang w:val="en-US"/>
        </w:rPr>
        <w:t xml:space="preserve">consequences was </w:t>
      </w:r>
      <w:r w:rsidRPr="002E60EB">
        <w:rPr>
          <w:rFonts w:eastAsia="Calibri"/>
          <w:iCs/>
          <w:lang w:val="en-US"/>
        </w:rPr>
        <w:t xml:space="preserve">the injury to </w:t>
      </w:r>
      <w:r w:rsidR="00D52C16" w:rsidRPr="002E60EB">
        <w:rPr>
          <w:rFonts w:eastAsia="Calibri"/>
          <w:iCs/>
          <w:lang w:val="en-US"/>
        </w:rPr>
        <w:t>Mr. Vele</w:t>
      </w:r>
      <w:r w:rsidRPr="002E60EB">
        <w:rPr>
          <w:rFonts w:eastAsia="Calibri"/>
          <w:iCs/>
          <w:lang w:val="en-US"/>
        </w:rPr>
        <w:t>z</w:t>
      </w:r>
      <w:r w:rsidR="00D52C16" w:rsidRPr="002E60EB">
        <w:rPr>
          <w:rFonts w:eastAsia="Calibri"/>
          <w:iCs/>
          <w:lang w:val="en-US"/>
        </w:rPr>
        <w:t xml:space="preserve">.” </w:t>
      </w:r>
      <w:r w:rsidRPr="002E60EB">
        <w:rPr>
          <w:rFonts w:eastAsia="Calibri"/>
          <w:iCs/>
          <w:lang w:val="en-US"/>
        </w:rPr>
        <w:t>In addition, t</w:t>
      </w:r>
      <w:r w:rsidR="00D52C16" w:rsidRPr="002E60EB">
        <w:rPr>
          <w:rFonts w:eastAsia="Calibri"/>
          <w:iCs/>
          <w:lang w:val="en-US"/>
        </w:rPr>
        <w:t xml:space="preserve">he Court </w:t>
      </w:r>
      <w:r w:rsidRPr="002E60EB">
        <w:rPr>
          <w:rFonts w:eastAsia="Calibri"/>
          <w:iCs/>
          <w:lang w:val="en-US"/>
        </w:rPr>
        <w:t>has verified</w:t>
      </w:r>
      <w:r w:rsidR="00D52C16" w:rsidRPr="002E60EB">
        <w:rPr>
          <w:rFonts w:eastAsia="Calibri"/>
          <w:iCs/>
          <w:lang w:val="en-US"/>
        </w:rPr>
        <w:t xml:space="preserve"> that, </w:t>
      </w:r>
      <w:r w:rsidRPr="002E60EB">
        <w:rPr>
          <w:rFonts w:eastAsia="Calibri"/>
          <w:iCs/>
          <w:lang w:val="en-US"/>
        </w:rPr>
        <w:t>similarly</w:t>
      </w:r>
      <w:r w:rsidR="00D52C16" w:rsidRPr="002E60EB">
        <w:rPr>
          <w:rFonts w:eastAsia="Calibri"/>
          <w:iCs/>
          <w:lang w:val="en-US"/>
        </w:rPr>
        <w:t>,</w:t>
      </w:r>
      <w:r w:rsidRPr="002E60EB">
        <w:rPr>
          <w:rFonts w:eastAsia="Calibri"/>
          <w:iCs/>
          <w:lang w:val="en-US"/>
        </w:rPr>
        <w:t xml:space="preserve"> when testifying before this Court by affidavit in 2012,</w:t>
      </w:r>
      <w:r w:rsidR="00D52C16" w:rsidRPr="002E60EB">
        <w:rPr>
          <w:rFonts w:eastAsia="Calibri"/>
          <w:iCs/>
          <w:lang w:val="en-US"/>
        </w:rPr>
        <w:t xml:space="preserve"> the </w:t>
      </w:r>
      <w:r w:rsidR="0036087C" w:rsidRPr="002E60EB">
        <w:rPr>
          <w:rFonts w:eastAsia="Calibri"/>
          <w:iCs/>
          <w:lang w:val="en-US"/>
        </w:rPr>
        <w:t>person</w:t>
      </w:r>
      <w:r w:rsidRPr="002E60EB">
        <w:rPr>
          <w:rFonts w:eastAsia="Calibri"/>
          <w:iCs/>
          <w:lang w:val="en-US"/>
        </w:rPr>
        <w:t xml:space="preserve"> who was </w:t>
      </w:r>
      <w:r w:rsidR="00D52C16" w:rsidRPr="002E60EB">
        <w:rPr>
          <w:rFonts w:eastAsia="Calibri"/>
          <w:iCs/>
          <w:lang w:val="en-US"/>
        </w:rPr>
        <w:t xml:space="preserve">Commander of the </w:t>
      </w:r>
      <w:r w:rsidRPr="002E60EB">
        <w:rPr>
          <w:rFonts w:eastAsia="Calibri"/>
          <w:iCs/>
          <w:lang w:val="en-US"/>
        </w:rPr>
        <w:t>Twelfth</w:t>
      </w:r>
      <w:r w:rsidR="00D52C16" w:rsidRPr="002E60EB">
        <w:rPr>
          <w:rFonts w:eastAsia="Calibri"/>
          <w:iCs/>
          <w:lang w:val="en-US"/>
        </w:rPr>
        <w:t xml:space="preserve"> Brigade of the National Army in 1996</w:t>
      </w:r>
      <w:r w:rsidRPr="002E60EB">
        <w:rPr>
          <w:rFonts w:eastAsia="Calibri"/>
          <w:iCs/>
          <w:lang w:val="en-US"/>
        </w:rPr>
        <w:t>, General Nestor Ramirez Mejia, even stated</w:t>
      </w:r>
      <w:r w:rsidR="00D52C16" w:rsidRPr="002E60EB">
        <w:rPr>
          <w:rFonts w:eastAsia="Calibri"/>
          <w:iCs/>
          <w:lang w:val="en-US"/>
        </w:rPr>
        <w:t xml:space="preserve"> that Mr. Vélez Restrepo received “a blow […]</w:t>
      </w:r>
      <w:r w:rsidR="00527FD2" w:rsidRPr="002E60EB">
        <w:rPr>
          <w:rFonts w:eastAsia="Calibri"/>
          <w:iCs/>
          <w:lang w:val="en-US"/>
        </w:rPr>
        <w:t xml:space="preserve"> from</w:t>
      </w:r>
      <w:r w:rsidR="00D52C16" w:rsidRPr="002E60EB">
        <w:rPr>
          <w:rFonts w:eastAsia="Calibri"/>
          <w:iCs/>
          <w:lang w:val="en-US"/>
        </w:rPr>
        <w:t xml:space="preserve"> a</w:t>
      </w:r>
      <w:r w:rsidR="00527FD2" w:rsidRPr="002E60EB">
        <w:rPr>
          <w:rFonts w:eastAsia="Calibri"/>
          <w:iCs/>
          <w:lang w:val="en-US"/>
        </w:rPr>
        <w:t xml:space="preserve"> soldier</w:t>
      </w:r>
      <w:r w:rsidR="00D52C16" w:rsidRPr="002E60EB">
        <w:rPr>
          <w:rFonts w:eastAsia="Calibri"/>
          <w:iCs/>
          <w:lang w:val="en-US"/>
        </w:rPr>
        <w:t xml:space="preserve"> </w:t>
      </w:r>
      <w:r w:rsidR="00527FD2" w:rsidRPr="002E60EB">
        <w:rPr>
          <w:rFonts w:eastAsia="Calibri"/>
          <w:iCs/>
          <w:lang w:val="en-US"/>
        </w:rPr>
        <w:t xml:space="preserve">as the result </w:t>
      </w:r>
      <w:r w:rsidR="00D52C16" w:rsidRPr="002E60EB">
        <w:rPr>
          <w:rFonts w:eastAsia="Calibri"/>
          <w:iCs/>
          <w:lang w:val="en-US"/>
        </w:rPr>
        <w:t xml:space="preserve">[…] of a </w:t>
      </w:r>
      <w:r w:rsidR="00527FD2" w:rsidRPr="002E60EB">
        <w:rPr>
          <w:rFonts w:eastAsia="Calibri"/>
          <w:iCs/>
          <w:lang w:val="en-US"/>
        </w:rPr>
        <w:t>situation involving the cameraman’s imprudence</w:t>
      </w:r>
      <w:r w:rsidR="00D52C16" w:rsidRPr="002E60EB">
        <w:rPr>
          <w:rFonts w:eastAsia="Calibri"/>
          <w:iCs/>
          <w:lang w:val="en-US"/>
        </w:rPr>
        <w:t xml:space="preserve"> </w:t>
      </w:r>
      <w:r w:rsidR="00527FD2" w:rsidRPr="002E60EB">
        <w:rPr>
          <w:rFonts w:eastAsia="Calibri"/>
          <w:iCs/>
          <w:lang w:val="en-US"/>
        </w:rPr>
        <w:t>and a soldier’s lack of self-</w:t>
      </w:r>
      <w:r w:rsidR="00D52C16" w:rsidRPr="002E60EB">
        <w:rPr>
          <w:rFonts w:eastAsia="Calibri"/>
          <w:iCs/>
          <w:lang w:val="en-US"/>
        </w:rPr>
        <w:t>control.”</w:t>
      </w:r>
    </w:p>
    <w:p w:rsidR="00527FD2" w:rsidRPr="002E60EB" w:rsidRDefault="00527FD2" w:rsidP="00317748">
      <w:pPr>
        <w:pStyle w:val="Prrafodelista"/>
        <w:rPr>
          <w:sz w:val="20"/>
          <w:szCs w:val="20"/>
          <w:lang w:val="en-US"/>
        </w:rPr>
      </w:pPr>
    </w:p>
    <w:p w:rsidR="00527FD2" w:rsidRPr="002E60EB" w:rsidRDefault="00527FD2" w:rsidP="00317748">
      <w:pPr>
        <w:numPr>
          <w:ilvl w:val="0"/>
          <w:numId w:val="1"/>
        </w:numPr>
        <w:tabs>
          <w:tab w:val="left" w:pos="720"/>
        </w:tabs>
        <w:jc w:val="both"/>
        <w:rPr>
          <w:lang w:val="en-US"/>
        </w:rPr>
      </w:pPr>
      <w:r w:rsidRPr="002E60EB">
        <w:rPr>
          <w:lang w:val="en-US"/>
        </w:rPr>
        <w:t xml:space="preserve">In this regard, the Court emphasizes that, even though the attack on Mr. Velez took place in a context in which agents of the security forces were trying to control a </w:t>
      </w:r>
      <w:r w:rsidR="0036087C" w:rsidRPr="002E60EB">
        <w:rPr>
          <w:lang w:val="en-US"/>
        </w:rPr>
        <w:t xml:space="preserve">protest </w:t>
      </w:r>
      <w:r w:rsidRPr="002E60EB">
        <w:rPr>
          <w:lang w:val="en-US"/>
        </w:rPr>
        <w:t xml:space="preserve">demonstration with thousands of people, where confrontations arose with some of the </w:t>
      </w:r>
      <w:r w:rsidR="0036087C" w:rsidRPr="002E60EB">
        <w:rPr>
          <w:lang w:val="en-US"/>
        </w:rPr>
        <w:t>protest</w:t>
      </w:r>
      <w:r w:rsidRPr="002E60EB">
        <w:rPr>
          <w:lang w:val="en-US"/>
        </w:rPr>
        <w:t>ors (</w:t>
      </w:r>
      <w:r w:rsidRPr="002E60EB">
        <w:rPr>
          <w:i/>
          <w:lang w:val="en-US"/>
        </w:rPr>
        <w:t>supra</w:t>
      </w:r>
      <w:r w:rsidRPr="002E60EB">
        <w:rPr>
          <w:lang w:val="en-US"/>
        </w:rPr>
        <w:t xml:space="preserve"> paras. 78 to 81), Mr. Vélez Restrepo was attacked under the following conditions: he was defenseless and had not acted in any way to justify such an attack; he could be identi</w:t>
      </w:r>
      <w:r w:rsidR="0036087C" w:rsidRPr="002E60EB">
        <w:rPr>
          <w:lang w:val="en-US"/>
        </w:rPr>
        <w:t>fi</w:t>
      </w:r>
      <w:r w:rsidRPr="002E60EB">
        <w:rPr>
          <w:lang w:val="en-US"/>
        </w:rPr>
        <w:t xml:space="preserve">ed as a member of the press by the video camera he was carrying and, moreover, the attack was directed </w:t>
      </w:r>
      <w:r w:rsidR="0036087C" w:rsidRPr="002E60EB">
        <w:rPr>
          <w:lang w:val="en-US"/>
        </w:rPr>
        <w:t>against</w:t>
      </w:r>
      <w:r w:rsidRPr="002E60EB">
        <w:rPr>
          <w:lang w:val="en-US"/>
        </w:rPr>
        <w:t xml:space="preserve"> him with the specific purpose of preventing him from continuing to record what was taking place and to prevent the dissemination of the recording. The Court finds that it is inacceptable to affirm that the attack on a journalist, under these conditions, “was not a deliberate attack” and that it was a “consequence” of the act</w:t>
      </w:r>
      <w:r w:rsidR="0036087C" w:rsidRPr="002E60EB">
        <w:rPr>
          <w:lang w:val="en-US"/>
        </w:rPr>
        <w:t>ions taken by</w:t>
      </w:r>
      <w:r w:rsidRPr="002E60EB">
        <w:rPr>
          <w:lang w:val="en-US"/>
        </w:rPr>
        <w:t xml:space="preserve"> the security forces to control the acts of violence that took place at the time.</w:t>
      </w:r>
    </w:p>
    <w:p w:rsidR="004B2737" w:rsidRPr="002E60EB" w:rsidRDefault="004B2737" w:rsidP="00317748">
      <w:pPr>
        <w:pStyle w:val="Prrafodelista"/>
        <w:rPr>
          <w:sz w:val="20"/>
          <w:szCs w:val="20"/>
          <w:lang w:val="en-US"/>
        </w:rPr>
      </w:pPr>
    </w:p>
    <w:p w:rsidR="004B2737" w:rsidRPr="002E60EB" w:rsidRDefault="004B2737" w:rsidP="00317748">
      <w:pPr>
        <w:numPr>
          <w:ilvl w:val="0"/>
          <w:numId w:val="1"/>
        </w:numPr>
        <w:tabs>
          <w:tab w:val="left" w:pos="720"/>
        </w:tabs>
        <w:jc w:val="both"/>
        <w:rPr>
          <w:lang w:val="en-US"/>
        </w:rPr>
      </w:pPr>
      <w:r w:rsidRPr="002E60EB">
        <w:rPr>
          <w:lang w:val="en-US"/>
        </w:rPr>
        <w:t xml:space="preserve">Furthermore, the Court emphasizes that the content of the information that Mr. Vélez Restrepo was recording was of public interest. Mr. Vélez Restrepo captured images of soldiers involved in actions to control the demonstration that was taking place on August 29, 1996 in Caquetá, attacking defenseless </w:t>
      </w:r>
      <w:r w:rsidR="0036087C" w:rsidRPr="002E60EB">
        <w:rPr>
          <w:lang w:val="en-US"/>
        </w:rPr>
        <w:t>individuals</w:t>
      </w:r>
      <w:r w:rsidRPr="002E60EB">
        <w:rPr>
          <w:lang w:val="en-US"/>
        </w:rPr>
        <w:t xml:space="preserve"> (supra paras. 80 and 81). The dissemination of that information enabled those who saw it to observe and </w:t>
      </w:r>
      <w:r w:rsidR="0036087C" w:rsidRPr="002E60EB">
        <w:rPr>
          <w:lang w:val="en-US"/>
        </w:rPr>
        <w:t>verify</w:t>
      </w:r>
      <w:r w:rsidRPr="002E60EB">
        <w:rPr>
          <w:lang w:val="en-US"/>
        </w:rPr>
        <w:t xml:space="preserve"> whether, during the demonstration, the members of the armed forces were performing their duties correctly</w:t>
      </w:r>
      <w:r w:rsidR="0036087C" w:rsidRPr="002E60EB">
        <w:rPr>
          <w:lang w:val="en-US"/>
        </w:rPr>
        <w:t>,</w:t>
      </w:r>
      <w:r w:rsidRPr="002E60EB">
        <w:rPr>
          <w:lang w:val="en-US"/>
        </w:rPr>
        <w:t xml:space="preserve"> with an appropriate use of force. This Court has stressed that “[d]emocratic control by society, through public opinion, encourages transparency in the State’s actions and promotes the accountability of public officials in relation to their public functions.”</w:t>
      </w:r>
      <w:r w:rsidRPr="002E60EB">
        <w:rPr>
          <w:rStyle w:val="Refdenotaalpie"/>
          <w:lang w:val="en-US"/>
        </w:rPr>
        <w:footnoteReference w:id="166"/>
      </w:r>
    </w:p>
    <w:p w:rsidR="004B2737" w:rsidRPr="002E60EB" w:rsidRDefault="004B2737" w:rsidP="00317748">
      <w:pPr>
        <w:pStyle w:val="Prrafodelista"/>
        <w:rPr>
          <w:sz w:val="20"/>
          <w:szCs w:val="20"/>
          <w:lang w:val="en-US"/>
        </w:rPr>
      </w:pPr>
    </w:p>
    <w:p w:rsidR="004B2737" w:rsidRPr="002E60EB" w:rsidRDefault="004B2737" w:rsidP="00317748">
      <w:pPr>
        <w:numPr>
          <w:ilvl w:val="0"/>
          <w:numId w:val="1"/>
        </w:numPr>
        <w:tabs>
          <w:tab w:val="left" w:pos="720"/>
        </w:tabs>
        <w:jc w:val="both"/>
        <w:rPr>
          <w:lang w:val="en-US"/>
        </w:rPr>
      </w:pPr>
      <w:r w:rsidRPr="002E60EB">
        <w:rPr>
          <w:lang w:val="en-US"/>
        </w:rPr>
        <w:t>Lastly, the Commission affirmed that “[a]ttacks such as those suffered by Mr. Vélez res</w:t>
      </w:r>
      <w:r w:rsidR="0036087C" w:rsidRPr="002E60EB">
        <w:rPr>
          <w:lang w:val="en-US"/>
        </w:rPr>
        <w:t>u</w:t>
      </w:r>
      <w:r w:rsidRPr="002E60EB">
        <w:rPr>
          <w:lang w:val="en-US"/>
        </w:rPr>
        <w:t>lt in fear to capture and disseminate certain information and opinions,” so that they limit the freedom of expression “of all citizens, because they have an intimidating effect on the free flow of information.”</w:t>
      </w:r>
    </w:p>
    <w:p w:rsidR="004B2737" w:rsidRPr="002E60EB" w:rsidRDefault="004B2737" w:rsidP="00317748">
      <w:pPr>
        <w:pStyle w:val="Prrafodelista"/>
        <w:rPr>
          <w:sz w:val="20"/>
          <w:szCs w:val="20"/>
          <w:lang w:val="en-US"/>
        </w:rPr>
      </w:pPr>
    </w:p>
    <w:p w:rsidR="004B2737" w:rsidRPr="002E60EB" w:rsidRDefault="004B2737" w:rsidP="00317748">
      <w:pPr>
        <w:numPr>
          <w:ilvl w:val="0"/>
          <w:numId w:val="1"/>
        </w:numPr>
        <w:tabs>
          <w:tab w:val="left" w:pos="720"/>
        </w:tabs>
        <w:jc w:val="both"/>
        <w:rPr>
          <w:lang w:val="en-US"/>
        </w:rPr>
      </w:pPr>
      <w:r w:rsidRPr="002E60EB">
        <w:rPr>
          <w:lang w:val="en-US"/>
        </w:rPr>
        <w:t>In this</w:t>
      </w:r>
      <w:r w:rsidR="0036087C" w:rsidRPr="002E60EB">
        <w:rPr>
          <w:lang w:val="en-US"/>
        </w:rPr>
        <w:t xml:space="preserve"> regard, Colombia stated that it</w:t>
      </w:r>
      <w:r w:rsidRPr="002E60EB">
        <w:rPr>
          <w:lang w:val="en-US"/>
        </w:rPr>
        <w:t xml:space="preserve"> is not responsible for the violation of the social dimension</w:t>
      </w:r>
      <w:r w:rsidR="00624C19" w:rsidRPr="002E60EB">
        <w:rPr>
          <w:lang w:val="en-US"/>
        </w:rPr>
        <w:t xml:space="preserve"> of the right to freedom of thought and expression, and emphasized that “[t]here is no evidence in these international proceedings that society or other journalists were intimidated by Richard’s situation.”</w:t>
      </w:r>
    </w:p>
    <w:p w:rsidR="00624C19" w:rsidRPr="002E60EB" w:rsidRDefault="00624C19" w:rsidP="00317748">
      <w:pPr>
        <w:pStyle w:val="Prrafodelista"/>
        <w:rPr>
          <w:lang w:val="en-US"/>
        </w:rPr>
      </w:pPr>
    </w:p>
    <w:p w:rsidR="00624C19" w:rsidRPr="002E60EB" w:rsidRDefault="00624C19" w:rsidP="00317748">
      <w:pPr>
        <w:numPr>
          <w:ilvl w:val="0"/>
          <w:numId w:val="1"/>
        </w:numPr>
        <w:tabs>
          <w:tab w:val="left" w:pos="720"/>
        </w:tabs>
        <w:jc w:val="both"/>
        <w:rPr>
          <w:lang w:val="en-US"/>
        </w:rPr>
      </w:pPr>
      <w:r w:rsidRPr="002E60EB">
        <w:rPr>
          <w:lang w:val="en-US"/>
        </w:rPr>
        <w:t xml:space="preserve">The Court finds it </w:t>
      </w:r>
      <w:r w:rsidR="00334C3C" w:rsidRPr="002E60EB">
        <w:rPr>
          <w:lang w:val="en-US"/>
        </w:rPr>
        <w:t>reasonable</w:t>
      </w:r>
      <w:r w:rsidRPr="002E60EB">
        <w:rPr>
          <w:lang w:val="en-US"/>
        </w:rPr>
        <w:t xml:space="preserve"> to conclude that the attack perpetrated against Mr. Vélez Restrepo by soldiers while he was covering a public demonstration, and its widespread dissemination in the Colombian media</w:t>
      </w:r>
      <w:r w:rsidR="0036087C" w:rsidRPr="002E60EB">
        <w:rPr>
          <w:lang w:val="en-US"/>
        </w:rPr>
        <w:t xml:space="preserve">, </w:t>
      </w:r>
      <w:r w:rsidRPr="002E60EB">
        <w:rPr>
          <w:lang w:val="en-US"/>
        </w:rPr>
        <w:t>had a negative impact on other journalists who had to cover events of this type, who could fear suffering similar acts of violence. In addition, the Court has verified that this attack prevented Mr. Vélez Restrepo from continuing to record th</w:t>
      </w:r>
      <w:r w:rsidR="0036087C" w:rsidRPr="002E60EB">
        <w:rPr>
          <w:lang w:val="en-US"/>
        </w:rPr>
        <w:t>e</w:t>
      </w:r>
      <w:r w:rsidRPr="002E60EB">
        <w:rPr>
          <w:lang w:val="en-US"/>
        </w:rPr>
        <w:t xml:space="preserve"> events of August 29, 1996, when the armed forces were controlling a demonstration, </w:t>
      </w:r>
      <w:r w:rsidR="0036087C" w:rsidRPr="002E60EB">
        <w:rPr>
          <w:lang w:val="en-US"/>
        </w:rPr>
        <w:t>and this</w:t>
      </w:r>
      <w:r w:rsidRPr="002E60EB">
        <w:rPr>
          <w:lang w:val="en-US"/>
        </w:rPr>
        <w:t xml:space="preserve"> </w:t>
      </w:r>
      <w:r w:rsidR="0036087C" w:rsidRPr="002E60EB">
        <w:rPr>
          <w:lang w:val="en-US"/>
        </w:rPr>
        <w:t>had the correlative</w:t>
      </w:r>
      <w:r w:rsidRPr="002E60EB">
        <w:rPr>
          <w:lang w:val="en-US"/>
        </w:rPr>
        <w:t xml:space="preserve"> </w:t>
      </w:r>
      <w:r w:rsidR="0036087C" w:rsidRPr="002E60EB">
        <w:rPr>
          <w:lang w:val="en-US"/>
        </w:rPr>
        <w:t xml:space="preserve">effect of preventing </w:t>
      </w:r>
      <w:r w:rsidRPr="002E60EB">
        <w:rPr>
          <w:lang w:val="en-US"/>
        </w:rPr>
        <w:t>this inf</w:t>
      </w:r>
      <w:r w:rsidR="0036087C" w:rsidRPr="002E60EB">
        <w:rPr>
          <w:lang w:val="en-US"/>
        </w:rPr>
        <w:t>ormation from</w:t>
      </w:r>
      <w:r w:rsidRPr="002E60EB">
        <w:rPr>
          <w:lang w:val="en-US"/>
        </w:rPr>
        <w:t xml:space="preserve"> reach</w:t>
      </w:r>
      <w:r w:rsidR="0036087C" w:rsidRPr="002E60EB">
        <w:rPr>
          <w:lang w:val="en-US"/>
        </w:rPr>
        <w:t>ing</w:t>
      </w:r>
      <w:r w:rsidRPr="002E60EB">
        <w:rPr>
          <w:lang w:val="en-US"/>
        </w:rPr>
        <w:t xml:space="preserve"> possible recipients.</w:t>
      </w:r>
      <w:r w:rsidRPr="002E60EB">
        <w:rPr>
          <w:rStyle w:val="Refdenotaalpie"/>
          <w:lang w:val="en-US"/>
        </w:rPr>
        <w:footnoteReference w:id="167"/>
      </w:r>
    </w:p>
    <w:p w:rsidR="00624C19" w:rsidRPr="002E60EB" w:rsidRDefault="00624C19" w:rsidP="00317748">
      <w:pPr>
        <w:pStyle w:val="Prrafodelista"/>
        <w:rPr>
          <w:sz w:val="20"/>
          <w:szCs w:val="20"/>
          <w:lang w:val="en-US"/>
        </w:rPr>
      </w:pPr>
    </w:p>
    <w:p w:rsidR="00624C19" w:rsidRPr="002E60EB" w:rsidRDefault="00406E7C" w:rsidP="00317748">
      <w:pPr>
        <w:numPr>
          <w:ilvl w:val="0"/>
          <w:numId w:val="1"/>
        </w:numPr>
        <w:tabs>
          <w:tab w:val="left" w:pos="720"/>
        </w:tabs>
        <w:jc w:val="both"/>
        <w:rPr>
          <w:lang w:val="en-US"/>
        </w:rPr>
      </w:pPr>
      <w:r w:rsidRPr="002E60EB">
        <w:rPr>
          <w:lang w:val="en-US"/>
        </w:rPr>
        <w:t xml:space="preserve">Based on the acknowledgment of international responsibility and on the above findings, the Court concludes that, by the acts of violence of August 29, 1996, Colombia violated the obligation to respect the right to freedom of thought and expression of Mr. Vélez Restrepo’s, recognized in Article 13 of the American Convention, in relation to Article 1(1) of this treaty </w:t>
      </w:r>
    </w:p>
    <w:p w:rsidR="007A6F32" w:rsidRPr="002E60EB" w:rsidRDefault="007A6F32" w:rsidP="00317748">
      <w:pPr>
        <w:pStyle w:val="Prrafodelista"/>
        <w:rPr>
          <w:sz w:val="20"/>
          <w:szCs w:val="20"/>
          <w:lang w:val="en-US"/>
        </w:rPr>
      </w:pPr>
    </w:p>
    <w:p w:rsidR="007A6F32" w:rsidRPr="002E60EB" w:rsidRDefault="007A6F32">
      <w:pPr>
        <w:tabs>
          <w:tab w:val="left" w:pos="720"/>
        </w:tabs>
        <w:jc w:val="both"/>
        <w:rPr>
          <w:lang w:val="en-US"/>
        </w:rPr>
      </w:pPr>
      <w:r w:rsidRPr="002E60EB">
        <w:rPr>
          <w:lang w:val="en-US"/>
        </w:rPr>
        <w:tab/>
      </w:r>
      <w:r w:rsidRPr="002E60EB">
        <w:rPr>
          <w:b/>
          <w:lang w:val="en-US"/>
        </w:rPr>
        <w:t xml:space="preserve">C) </w:t>
      </w:r>
      <w:r w:rsidRPr="002E60EB">
        <w:rPr>
          <w:b/>
          <w:lang w:val="en-US"/>
        </w:rPr>
        <w:tab/>
        <w:t xml:space="preserve">Regarding </w:t>
      </w:r>
      <w:r w:rsidR="00CF7F35" w:rsidRPr="002E60EB">
        <w:rPr>
          <w:b/>
          <w:lang w:val="en-US"/>
        </w:rPr>
        <w:t>events</w:t>
      </w:r>
      <w:r w:rsidRPr="002E60EB">
        <w:rPr>
          <w:b/>
          <w:lang w:val="en-US"/>
        </w:rPr>
        <w:t xml:space="preserve"> </w:t>
      </w:r>
      <w:r w:rsidR="00CF7F35" w:rsidRPr="002E60EB">
        <w:rPr>
          <w:b/>
          <w:lang w:val="en-US"/>
        </w:rPr>
        <w:t>after</w:t>
      </w:r>
      <w:r w:rsidRPr="002E60EB">
        <w:rPr>
          <w:b/>
          <w:lang w:val="en-US"/>
        </w:rPr>
        <w:t xml:space="preserve"> the attack of August 29, 1996</w:t>
      </w:r>
    </w:p>
    <w:p w:rsidR="007A6F32" w:rsidRPr="002E60EB" w:rsidRDefault="007A6F32" w:rsidP="00317748">
      <w:pPr>
        <w:pStyle w:val="Prrafodelista"/>
        <w:rPr>
          <w:sz w:val="20"/>
          <w:szCs w:val="20"/>
          <w:lang w:val="en-US"/>
        </w:rPr>
      </w:pPr>
    </w:p>
    <w:p w:rsidR="007A6F32" w:rsidRPr="002E60EB" w:rsidRDefault="007A6F32" w:rsidP="00317748">
      <w:pPr>
        <w:numPr>
          <w:ilvl w:val="0"/>
          <w:numId w:val="1"/>
        </w:numPr>
        <w:tabs>
          <w:tab w:val="left" w:pos="720"/>
        </w:tabs>
        <w:jc w:val="both"/>
        <w:rPr>
          <w:lang w:val="en-US"/>
        </w:rPr>
      </w:pPr>
      <w:r w:rsidRPr="002E60EB">
        <w:rPr>
          <w:lang w:val="en-US"/>
        </w:rPr>
        <w:t>In this section, the Court must rule on the State’s alleged responsibility in relation to the threats and harassment that took place after August 29, 1996 (</w:t>
      </w:r>
      <w:r w:rsidRPr="002E60EB">
        <w:rPr>
          <w:i/>
          <w:lang w:val="en-US"/>
        </w:rPr>
        <w:t>supra</w:t>
      </w:r>
      <w:r w:rsidR="0036087C" w:rsidRPr="002E60EB">
        <w:rPr>
          <w:lang w:val="en-US"/>
        </w:rPr>
        <w:t xml:space="preserve"> paras. </w:t>
      </w:r>
      <w:r w:rsidRPr="002E60EB">
        <w:rPr>
          <w:lang w:val="en-US"/>
        </w:rPr>
        <w:t>85 to 93), and in relation to the attempted arbitrary deprivation of liberty t</w:t>
      </w:r>
      <w:r w:rsidR="0036087C" w:rsidRPr="002E60EB">
        <w:rPr>
          <w:lang w:val="en-US"/>
        </w:rPr>
        <w:t>hat occurred on October 6, 1997</w:t>
      </w:r>
      <w:r w:rsidRPr="002E60EB">
        <w:rPr>
          <w:lang w:val="en-US"/>
        </w:rPr>
        <w:t xml:space="preserve"> (</w:t>
      </w:r>
      <w:r w:rsidRPr="002E60EB">
        <w:rPr>
          <w:i/>
          <w:lang w:val="en-US"/>
        </w:rPr>
        <w:t>supra</w:t>
      </w:r>
      <w:r w:rsidRPr="002E60EB">
        <w:rPr>
          <w:lang w:val="en-US"/>
        </w:rPr>
        <w:t xml:space="preserve"> para. 94), and the subsequent departure from the country of Mr. Vélez Restrepo (supra para. 96) and his wife and children (</w:t>
      </w:r>
      <w:r w:rsidRPr="002E60EB">
        <w:rPr>
          <w:i/>
          <w:lang w:val="en-US"/>
        </w:rPr>
        <w:t>supra</w:t>
      </w:r>
      <w:r w:rsidRPr="002E60EB">
        <w:rPr>
          <w:lang w:val="en-US"/>
        </w:rPr>
        <w:t xml:space="preserve"> para. 97). Colombia contested both that these events took place and that they had a causal </w:t>
      </w:r>
      <w:r w:rsidR="0036087C" w:rsidRPr="002E60EB">
        <w:rPr>
          <w:lang w:val="en-US"/>
        </w:rPr>
        <w:t>nexus</w:t>
      </w:r>
      <w:r w:rsidRPr="002E60EB">
        <w:rPr>
          <w:lang w:val="en-US"/>
        </w:rPr>
        <w:t xml:space="preserve"> with the attack perpetrated by the soldiers against Mr. Vélez Restrepo on August 29, 1996.</w:t>
      </w:r>
    </w:p>
    <w:p w:rsidR="006418AC" w:rsidRPr="002E60EB" w:rsidRDefault="006418AC">
      <w:pPr>
        <w:tabs>
          <w:tab w:val="left" w:pos="720"/>
        </w:tabs>
        <w:jc w:val="both"/>
        <w:rPr>
          <w:lang w:val="en-US"/>
        </w:rPr>
      </w:pPr>
    </w:p>
    <w:p w:rsidR="00A870F2" w:rsidRPr="002E60EB" w:rsidRDefault="006418AC" w:rsidP="00317748">
      <w:pPr>
        <w:numPr>
          <w:ilvl w:val="0"/>
          <w:numId w:val="1"/>
        </w:numPr>
        <w:tabs>
          <w:tab w:val="left" w:pos="720"/>
        </w:tabs>
        <w:jc w:val="both"/>
        <w:rPr>
          <w:lang w:val="en-US"/>
        </w:rPr>
      </w:pPr>
      <w:r w:rsidRPr="002E60EB">
        <w:rPr>
          <w:lang w:val="en-US"/>
        </w:rPr>
        <w:t xml:space="preserve">The Court will decide the aspects in dispute as follows: (1) the alleged violation of the obligation to respect the right to personal integrity of Mr. Vélez Restrepo, his wife and children owing to the threats, harassment and attempted arbitrary deprivation of liberty; (2) the alleged violation of the obligation to guarantee the right to personal integrity of Mr. Vélez Restrepo, his wife, and children owing to the alleged absence of an investigation and the adoption of measures of protection prior to the attempted arbitrary deprivation of liberty that occurred on October 6, 1997, and (3) the additional alleged violation of freedom of thought and expression owing to the events after August 29, 1996.  </w:t>
      </w:r>
    </w:p>
    <w:p w:rsidR="00A870F2" w:rsidRPr="002E60EB" w:rsidRDefault="00A870F2" w:rsidP="00317748">
      <w:pPr>
        <w:pStyle w:val="Prrafodelista"/>
        <w:rPr>
          <w:lang w:val="en-US"/>
        </w:rPr>
      </w:pPr>
    </w:p>
    <w:p w:rsidR="00A870F2" w:rsidRPr="002E60EB" w:rsidRDefault="00A870F2" w:rsidP="00A870F2">
      <w:pPr>
        <w:tabs>
          <w:tab w:val="left" w:pos="720"/>
        </w:tabs>
        <w:autoSpaceDE w:val="0"/>
        <w:autoSpaceDN w:val="0"/>
        <w:adjustRightInd w:val="0"/>
        <w:ind w:left="1440"/>
        <w:rPr>
          <w:i/>
          <w:lang w:val="en-US"/>
        </w:rPr>
      </w:pPr>
      <w:r w:rsidRPr="002E60EB">
        <w:rPr>
          <w:b/>
          <w:i/>
          <w:lang w:val="en-US"/>
        </w:rPr>
        <w:t xml:space="preserve">C.1) Obligation to respect </w:t>
      </w:r>
      <w:r w:rsidR="00CF7F35" w:rsidRPr="002E60EB">
        <w:rPr>
          <w:b/>
          <w:i/>
          <w:lang w:val="en-US"/>
        </w:rPr>
        <w:t>the right to personal integrity</w:t>
      </w:r>
      <w:r w:rsidRPr="002E60EB">
        <w:rPr>
          <w:b/>
          <w:i/>
          <w:lang w:val="en-US"/>
        </w:rPr>
        <w:t xml:space="preserve"> in relation to the threats, </w:t>
      </w:r>
      <w:r w:rsidR="0036087C" w:rsidRPr="002E60EB">
        <w:rPr>
          <w:b/>
          <w:i/>
          <w:lang w:val="en-US"/>
        </w:rPr>
        <w:t>harassment</w:t>
      </w:r>
      <w:r w:rsidRPr="002E60EB">
        <w:rPr>
          <w:b/>
          <w:i/>
          <w:lang w:val="en-US"/>
        </w:rPr>
        <w:t xml:space="preserve"> and attempted arbitrary deprivation of liberty</w:t>
      </w:r>
    </w:p>
    <w:p w:rsidR="00A870F2" w:rsidRPr="002E60EB" w:rsidRDefault="00A870F2" w:rsidP="00A870F2">
      <w:pPr>
        <w:tabs>
          <w:tab w:val="left" w:pos="720"/>
        </w:tabs>
        <w:rPr>
          <w:lang w:val="en-US"/>
        </w:rPr>
      </w:pPr>
    </w:p>
    <w:p w:rsidR="00A870F2" w:rsidRPr="002E60EB" w:rsidRDefault="00A870F2" w:rsidP="00A870F2">
      <w:pPr>
        <w:ind w:firstLine="720"/>
        <w:rPr>
          <w:i/>
          <w:lang w:val="en-US"/>
        </w:rPr>
      </w:pPr>
      <w:r w:rsidRPr="002E60EB">
        <w:rPr>
          <w:i/>
          <w:lang w:val="en-US"/>
        </w:rPr>
        <w:t>Observations of the Commission and arguments of the parties</w:t>
      </w:r>
    </w:p>
    <w:p w:rsidR="006418AC" w:rsidRPr="002E60EB" w:rsidRDefault="006418AC" w:rsidP="00317748">
      <w:pPr>
        <w:tabs>
          <w:tab w:val="left" w:pos="720"/>
        </w:tabs>
        <w:jc w:val="both"/>
        <w:rPr>
          <w:lang w:val="en-US"/>
        </w:rPr>
      </w:pPr>
      <w:r w:rsidRPr="002E60EB">
        <w:rPr>
          <w:lang w:val="en-US"/>
        </w:rPr>
        <w:t xml:space="preserve"> </w:t>
      </w:r>
      <w:r w:rsidR="007A6F32" w:rsidRPr="002E60EB">
        <w:rPr>
          <w:lang w:val="en-US"/>
        </w:rPr>
        <w:t xml:space="preserve">   </w:t>
      </w:r>
    </w:p>
    <w:p w:rsidR="006418AC" w:rsidRPr="002E60EB" w:rsidRDefault="00A870F2" w:rsidP="00317748">
      <w:pPr>
        <w:numPr>
          <w:ilvl w:val="0"/>
          <w:numId w:val="1"/>
        </w:numPr>
        <w:tabs>
          <w:tab w:val="left" w:pos="720"/>
        </w:tabs>
        <w:jc w:val="both"/>
        <w:rPr>
          <w:lang w:val="en-US"/>
        </w:rPr>
      </w:pPr>
      <w:r w:rsidRPr="002E60EB">
        <w:rPr>
          <w:lang w:val="en-US"/>
        </w:rPr>
        <w:t xml:space="preserve">The Commission referred in the Merits Report to the evidence that allowed it to establish “that, following the events of August 29, 1996, Mr. Vélez Restrepo and his family experienced a series of threats and harassment that culminated with the attempted </w:t>
      </w:r>
      <w:r w:rsidR="00334C3C" w:rsidRPr="002E60EB">
        <w:rPr>
          <w:lang w:val="en-US"/>
        </w:rPr>
        <w:t>kidnapping</w:t>
      </w:r>
      <w:r w:rsidRPr="002E60EB">
        <w:rPr>
          <w:lang w:val="en-US"/>
        </w:rPr>
        <w:t xml:space="preserve"> on October 6, 1997</w:t>
      </w:r>
      <w:r w:rsidR="0079465F" w:rsidRPr="002E60EB">
        <w:rPr>
          <w:lang w:val="en-US"/>
        </w:rPr>
        <w:t>.</w:t>
      </w:r>
      <w:r w:rsidRPr="002E60EB">
        <w:rPr>
          <w:lang w:val="en-US"/>
        </w:rPr>
        <w:t>”</w:t>
      </w:r>
      <w:r w:rsidR="0079465F" w:rsidRPr="002E60EB">
        <w:rPr>
          <w:lang w:val="en-US"/>
        </w:rPr>
        <w:t xml:space="preserve"> It also affirmed that “there is sufficient evidence to conclude that […] they originate</w:t>
      </w:r>
      <w:r w:rsidR="00E347F4" w:rsidRPr="002E60EB">
        <w:rPr>
          <w:lang w:val="en-US"/>
        </w:rPr>
        <w:t>d</w:t>
      </w:r>
      <w:r w:rsidR="0079465F" w:rsidRPr="002E60EB">
        <w:rPr>
          <w:lang w:val="en-US"/>
        </w:rPr>
        <w:t xml:space="preserve"> from State agents,” who were being investigated for the attack of August 29, 1996, as well as the fact that the State has not offered any other hypothesis that might explain the threats and harassment.</w:t>
      </w:r>
      <w:r w:rsidR="00651317" w:rsidRPr="002E60EB">
        <w:rPr>
          <w:lang w:val="en-US"/>
        </w:rPr>
        <w:t xml:space="preserve"> According to the Commission, “the repeated threats in the present case violated the right of the members of the Velez Roman family to their mental and moral integrity, also taking into account that the threats were aimed at preventing Mr. Velez from seeking justice.”</w:t>
      </w:r>
      <w:r w:rsidR="00651317" w:rsidRPr="002E60EB">
        <w:rPr>
          <w:b/>
          <w:lang w:val="en-US"/>
        </w:rPr>
        <w:t xml:space="preserve"> </w:t>
      </w:r>
      <w:r w:rsidR="00651317" w:rsidRPr="002E60EB">
        <w:rPr>
          <w:lang w:val="en-US"/>
        </w:rPr>
        <w:t xml:space="preserve">The Commission concluded that, with regard to these threats and harassment, culminating in the attempted </w:t>
      </w:r>
      <w:r w:rsidR="00334C3C" w:rsidRPr="002E60EB">
        <w:rPr>
          <w:lang w:val="en-US"/>
        </w:rPr>
        <w:t>kidnapping</w:t>
      </w:r>
      <w:r w:rsidR="00651317" w:rsidRPr="002E60EB">
        <w:rPr>
          <w:lang w:val="en-US"/>
        </w:rPr>
        <w:t xml:space="preserve"> of October 6, 1997, “the State violated Article 5(1) of the Convention to the detriment of Mr. Vélez and his family.”</w:t>
      </w:r>
    </w:p>
    <w:p w:rsidR="00651317" w:rsidRPr="002E60EB" w:rsidRDefault="00651317">
      <w:pPr>
        <w:tabs>
          <w:tab w:val="left" w:pos="720"/>
        </w:tabs>
        <w:jc w:val="both"/>
        <w:rPr>
          <w:lang w:val="en-US"/>
        </w:rPr>
      </w:pPr>
    </w:p>
    <w:p w:rsidR="00651317" w:rsidRPr="002E60EB" w:rsidRDefault="00651317" w:rsidP="00651317">
      <w:pPr>
        <w:numPr>
          <w:ilvl w:val="0"/>
          <w:numId w:val="1"/>
        </w:numPr>
        <w:tabs>
          <w:tab w:val="left" w:pos="720"/>
        </w:tabs>
        <w:jc w:val="both"/>
        <w:rPr>
          <w:lang w:val="en-US"/>
        </w:rPr>
      </w:pPr>
      <w:r w:rsidRPr="002E60EB">
        <w:rPr>
          <w:lang w:val="en-US"/>
        </w:rPr>
        <w:t>The victims’ representative stated that he “agree[d] ful</w:t>
      </w:r>
      <w:r w:rsidR="00E347F4" w:rsidRPr="002E60EB">
        <w:rPr>
          <w:lang w:val="en-US"/>
        </w:rPr>
        <w:t>l</w:t>
      </w:r>
      <w:r w:rsidRPr="002E60EB">
        <w:rPr>
          <w:lang w:val="en-US"/>
        </w:rPr>
        <w:t>y with the Inter-American Commission” regarding the alleged violations of Articles 5 and 13 of the Conventio</w:t>
      </w:r>
      <w:r w:rsidR="00E347F4" w:rsidRPr="002E60EB">
        <w:rPr>
          <w:lang w:val="en-US"/>
        </w:rPr>
        <w:t>n.</w:t>
      </w:r>
      <w:r w:rsidRPr="002E60EB">
        <w:rPr>
          <w:b/>
          <w:lang w:val="en-US"/>
        </w:rPr>
        <w:t xml:space="preserve"> </w:t>
      </w:r>
      <w:r w:rsidRPr="002E60EB">
        <w:rPr>
          <w:lang w:val="en-US"/>
        </w:rPr>
        <w:t>In addition, he emphasized that the threats and harassments were reactivated based on the complaints and procedural actions that sought to obtain justice for the events of August 29, 1996. He also argued that the numerous threats cause</w:t>
      </w:r>
      <w:r w:rsidR="00E347F4" w:rsidRPr="002E60EB">
        <w:rPr>
          <w:lang w:val="en-US"/>
        </w:rPr>
        <w:t xml:space="preserve">d Mr. Vélez Restrepo “profound </w:t>
      </w:r>
      <w:r w:rsidRPr="002E60EB">
        <w:rPr>
          <w:lang w:val="en-US"/>
        </w:rPr>
        <w:t>anguish and stress that even forced him to seek psychological therapy,</w:t>
      </w:r>
      <w:r w:rsidR="00E347F4" w:rsidRPr="002E60EB">
        <w:rPr>
          <w:lang w:val="en-US"/>
        </w:rPr>
        <w:t xml:space="preserve">” and </w:t>
      </w:r>
      <w:r w:rsidRPr="002E60EB">
        <w:rPr>
          <w:lang w:val="en-US"/>
        </w:rPr>
        <w:t xml:space="preserve">meant that the family had to move on </w:t>
      </w:r>
      <w:r w:rsidR="00E347F4" w:rsidRPr="002E60EB">
        <w:rPr>
          <w:lang w:val="en-US"/>
        </w:rPr>
        <w:t>numerous</w:t>
      </w:r>
      <w:r w:rsidRPr="002E60EB">
        <w:rPr>
          <w:lang w:val="en-US"/>
        </w:rPr>
        <w:t xml:space="preserve"> occasions</w:t>
      </w:r>
      <w:r w:rsidR="00E347F4" w:rsidRPr="002E60EB">
        <w:rPr>
          <w:lang w:val="en-US"/>
        </w:rPr>
        <w:t>.</w:t>
      </w:r>
    </w:p>
    <w:p w:rsidR="00AD625A" w:rsidRPr="002E60EB" w:rsidRDefault="00AD625A" w:rsidP="00317748">
      <w:pPr>
        <w:tabs>
          <w:tab w:val="left" w:pos="720"/>
        </w:tabs>
        <w:jc w:val="both"/>
        <w:rPr>
          <w:lang w:val="en-US"/>
        </w:rPr>
      </w:pPr>
    </w:p>
    <w:p w:rsidR="00651317" w:rsidRPr="002E60EB" w:rsidRDefault="00AD625A" w:rsidP="00317748">
      <w:pPr>
        <w:numPr>
          <w:ilvl w:val="0"/>
          <w:numId w:val="1"/>
        </w:numPr>
        <w:tabs>
          <w:tab w:val="left" w:pos="720"/>
        </w:tabs>
        <w:jc w:val="both"/>
        <w:rPr>
          <w:lang w:val="en-US"/>
        </w:rPr>
      </w:pPr>
      <w:r w:rsidRPr="002E60EB">
        <w:rPr>
          <w:lang w:val="en-US"/>
        </w:rPr>
        <w:t xml:space="preserve">The State indicated that it was not responsible for the alleged violations of the right </w:t>
      </w:r>
      <w:r w:rsidR="00E347F4" w:rsidRPr="002E60EB">
        <w:rPr>
          <w:lang w:val="en-US"/>
        </w:rPr>
        <w:t xml:space="preserve">to </w:t>
      </w:r>
      <w:r w:rsidRPr="002E60EB">
        <w:rPr>
          <w:lang w:val="en-US"/>
        </w:rPr>
        <w:t xml:space="preserve">personal integrity and the right to freedom of thought and expression in relation to the supposed threats, harassment and attempted </w:t>
      </w:r>
      <w:r w:rsidR="00334C3C" w:rsidRPr="002E60EB">
        <w:rPr>
          <w:lang w:val="en-US"/>
        </w:rPr>
        <w:t>kidnapping</w:t>
      </w:r>
      <w:r w:rsidRPr="002E60EB">
        <w:rPr>
          <w:lang w:val="en-US"/>
        </w:rPr>
        <w:t xml:space="preserve"> that supposedly took place after the attack of August 29, 1996. Colombia </w:t>
      </w:r>
      <w:r w:rsidR="00E347F4" w:rsidRPr="002E60EB">
        <w:rPr>
          <w:lang w:val="en-US"/>
        </w:rPr>
        <w:t>disputed</w:t>
      </w:r>
      <w:r w:rsidRPr="002E60EB">
        <w:rPr>
          <w:lang w:val="en-US"/>
        </w:rPr>
        <w:t xml:space="preserve"> that these acts had occurred</w:t>
      </w:r>
      <w:r w:rsidRPr="002E60EB">
        <w:rPr>
          <w:rStyle w:val="Refdenotaalpie"/>
          <w:lang w:val="en-US"/>
        </w:rPr>
        <w:footnoteReference w:id="168"/>
      </w:r>
      <w:r w:rsidRPr="002E60EB">
        <w:rPr>
          <w:b/>
          <w:lang w:val="en-US"/>
        </w:rPr>
        <w:t xml:space="preserve"> </w:t>
      </w:r>
      <w:r w:rsidRPr="002E60EB">
        <w:rPr>
          <w:lang w:val="en-US"/>
        </w:rPr>
        <w:t xml:space="preserve">and expressed its disagreement with the Commission’s </w:t>
      </w:r>
      <w:r w:rsidR="00E347F4" w:rsidRPr="002E60EB">
        <w:rPr>
          <w:lang w:val="en-US"/>
        </w:rPr>
        <w:t>assessment of</w:t>
      </w:r>
      <w:r w:rsidRPr="002E60EB">
        <w:rPr>
          <w:lang w:val="en-US"/>
        </w:rPr>
        <w:t xml:space="preserve"> documents that form part of the disciplinary case files to conclude that they originated from State agents, as well as to affirm that there was a causal nexus between the attacks of August 29, 1996, and the alleged threats, harassment, and attempted </w:t>
      </w:r>
      <w:r w:rsidR="00334C3C" w:rsidRPr="002E60EB">
        <w:rPr>
          <w:lang w:val="en-US"/>
        </w:rPr>
        <w:t>kidnapping</w:t>
      </w:r>
      <w:r w:rsidRPr="002E60EB">
        <w:rPr>
          <w:lang w:val="en-US"/>
        </w:rPr>
        <w:t>. Colombia underlined that</w:t>
      </w:r>
      <w:r w:rsidR="00A321ED" w:rsidRPr="002E60EB">
        <w:rPr>
          <w:lang w:val="en-US"/>
        </w:rPr>
        <w:t xml:space="preserve"> “there is no evidence, either at the domestic level or within the framework of the international proceedings that </w:t>
      </w:r>
      <w:r w:rsidR="00E347F4" w:rsidRPr="002E60EB">
        <w:rPr>
          <w:lang w:val="en-US"/>
        </w:rPr>
        <w:t>can</w:t>
      </w:r>
      <w:r w:rsidR="00A321ED" w:rsidRPr="002E60EB">
        <w:rPr>
          <w:lang w:val="en-US"/>
        </w:rPr>
        <w:t xml:space="preserve"> prove the State’s responsibility in relation to [those] presumed facts” and that, to the contrary, the disciplinary proceedings confirmed that State agents had not been involved in them. It affirmed that, owing to the absence of a serious investigation into the alleged threats, “the direct existence of a causal nexus between the attack suffered and the threats cannot be inferred and, in particular, the participation of State agents</w:t>
      </w:r>
      <w:r w:rsidR="00E347F4" w:rsidRPr="002E60EB">
        <w:rPr>
          <w:lang w:val="en-US"/>
        </w:rPr>
        <w:t>.</w:t>
      </w:r>
      <w:r w:rsidR="00A321ED" w:rsidRPr="002E60EB">
        <w:rPr>
          <w:lang w:val="en-US"/>
        </w:rPr>
        <w:t>” The State also argued that “neither the personal injuries sustained by Mr. Vélez Restrepo, nor the alleged threats against the victims constitute acts or conducts that the Inter-American Court or the international community as a whole have</w:t>
      </w:r>
      <w:r w:rsidR="00E347F4" w:rsidRPr="002E60EB">
        <w:rPr>
          <w:lang w:val="en-US"/>
        </w:rPr>
        <w:t xml:space="preserve"> indicated to be </w:t>
      </w:r>
      <w:r w:rsidR="00A321ED" w:rsidRPr="002E60EB">
        <w:rPr>
          <w:lang w:val="en-US"/>
        </w:rPr>
        <w:t>serious human rights violations.”</w:t>
      </w:r>
    </w:p>
    <w:p w:rsidR="000260F4" w:rsidRPr="002E60EB" w:rsidRDefault="000260F4">
      <w:pPr>
        <w:tabs>
          <w:tab w:val="left" w:pos="720"/>
        </w:tabs>
        <w:jc w:val="both"/>
        <w:rPr>
          <w:lang w:val="en-US"/>
        </w:rPr>
      </w:pPr>
    </w:p>
    <w:p w:rsidR="000260F4" w:rsidRPr="002E60EB" w:rsidRDefault="000260F4">
      <w:pPr>
        <w:tabs>
          <w:tab w:val="left" w:pos="720"/>
        </w:tabs>
        <w:jc w:val="both"/>
        <w:rPr>
          <w:i/>
          <w:lang w:val="en-US"/>
        </w:rPr>
      </w:pPr>
      <w:r w:rsidRPr="002E60EB">
        <w:rPr>
          <w:i/>
          <w:lang w:val="en-US"/>
        </w:rPr>
        <w:tab/>
        <w:t>Considerations of the Court</w:t>
      </w:r>
    </w:p>
    <w:p w:rsidR="000260F4" w:rsidRPr="002E60EB" w:rsidRDefault="000260F4">
      <w:pPr>
        <w:tabs>
          <w:tab w:val="left" w:pos="720"/>
        </w:tabs>
        <w:jc w:val="both"/>
        <w:rPr>
          <w:lang w:val="en-US"/>
        </w:rPr>
      </w:pPr>
    </w:p>
    <w:p w:rsidR="00A321ED" w:rsidRPr="002E60EB" w:rsidRDefault="000260F4" w:rsidP="00317748">
      <w:pPr>
        <w:numPr>
          <w:ilvl w:val="0"/>
          <w:numId w:val="1"/>
        </w:numPr>
        <w:tabs>
          <w:tab w:val="left" w:pos="720"/>
        </w:tabs>
        <w:jc w:val="both"/>
        <w:rPr>
          <w:lang w:val="en-US"/>
        </w:rPr>
      </w:pPr>
      <w:r w:rsidRPr="002E60EB">
        <w:rPr>
          <w:lang w:val="en-US"/>
        </w:rPr>
        <w:t>In order to determine whether the State is responsible for the obligation to respect the right to personal integrity, the Court must determine whether the threats, harassment and attempted deprivation of liberty that occurred after August 29, 1996, could have been perpetrated by State agent</w:t>
      </w:r>
      <w:r w:rsidR="00E753DA" w:rsidRPr="002E60EB">
        <w:rPr>
          <w:lang w:val="en-US"/>
        </w:rPr>
        <w:t xml:space="preserve">s, </w:t>
      </w:r>
      <w:r w:rsidRPr="002E60EB">
        <w:rPr>
          <w:lang w:val="en-US"/>
        </w:rPr>
        <w:t>owing to a possible connection with the complaints and procedural actions filed by Mr. Vélez Restrepo for the investigation and punishment of the soldiers who attacked him on August 29, 1996.</w:t>
      </w:r>
      <w:r w:rsidR="0095565F" w:rsidRPr="002E60EB">
        <w:rPr>
          <w:lang w:val="en-US"/>
        </w:rPr>
        <w:t xml:space="preserve"> In addition, since Colombia disagreed that such events could even have occurred, the Court considers it relevant to make some additional considerations that explain the assessments made in Chapter VIII to establish as proved that, after August 29, 1996, Mr. Vélez Restrepo and his family were subjected to threats and intimidation (supra paras. 84 to 93), and that Mr. Vélez Restrepo underwent an attempted arbitrary deprivation of liberty on October 6, 1997 (supra paras. 94).</w:t>
      </w:r>
    </w:p>
    <w:p w:rsidR="00B41DBB" w:rsidRPr="002E60EB" w:rsidRDefault="00B41DBB">
      <w:pPr>
        <w:tabs>
          <w:tab w:val="left" w:pos="720"/>
        </w:tabs>
        <w:jc w:val="both"/>
        <w:rPr>
          <w:lang w:val="en-US"/>
        </w:rPr>
      </w:pPr>
    </w:p>
    <w:p w:rsidR="00B41DBB" w:rsidRPr="002E60EB" w:rsidRDefault="00B41DBB" w:rsidP="00317748">
      <w:pPr>
        <w:numPr>
          <w:ilvl w:val="0"/>
          <w:numId w:val="1"/>
        </w:numPr>
        <w:tabs>
          <w:tab w:val="left" w:pos="709"/>
        </w:tabs>
        <w:jc w:val="both"/>
        <w:rPr>
          <w:lang w:val="en-US"/>
        </w:rPr>
      </w:pPr>
      <w:r w:rsidRPr="002E60EB">
        <w:rPr>
          <w:lang w:val="en-US"/>
        </w:rPr>
        <w:t>The</w:t>
      </w:r>
      <w:r w:rsidRPr="002E60EB">
        <w:rPr>
          <w:rFonts w:cs="Arial"/>
          <w:lang w:val="en-US"/>
        </w:rPr>
        <w:t xml:space="preserve"> Court has established previously that it is legitimate to use circumstantial evidence, indications and presumptions to found a judgment, </w:t>
      </w:r>
      <w:r w:rsidRPr="002E60EB">
        <w:rPr>
          <w:rFonts w:cs="Verdana"/>
          <w:lang w:val="en-US"/>
        </w:rPr>
        <w:t>“provided that, from them, it is possible to infer conclusions that are consistent with the facts.”</w:t>
      </w:r>
      <w:r w:rsidRPr="002E60EB">
        <w:rPr>
          <w:rStyle w:val="Refdenotaalpie"/>
          <w:szCs w:val="16"/>
          <w:lang w:val="en-US"/>
        </w:rPr>
        <w:footnoteReference w:id="169"/>
      </w:r>
      <w:r w:rsidRPr="002E60EB">
        <w:rPr>
          <w:lang w:val="en-US"/>
        </w:rPr>
        <w:t xml:space="preserve"> In addition, the Court recalls the criteria applicable to the assessment of evidence.  Ever since its first contentious case, it has indicated that, for an international court, these criteria are less rigid than under domestic legal system</w:t>
      </w:r>
      <w:r w:rsidR="00E753DA" w:rsidRPr="002E60EB">
        <w:rPr>
          <w:lang w:val="en-US"/>
        </w:rPr>
        <w:t>s and has maintained that it is able to</w:t>
      </w:r>
      <w:r w:rsidRPr="002E60EB">
        <w:rPr>
          <w:lang w:val="en-US"/>
        </w:rPr>
        <w:t xml:space="preserve"> assess the evidence freely.</w:t>
      </w:r>
      <w:r w:rsidRPr="002E60EB">
        <w:rPr>
          <w:rStyle w:val="Refdenotaalpie"/>
          <w:rFonts w:cs="Verdana"/>
          <w:lang w:val="en-US"/>
        </w:rPr>
        <w:t xml:space="preserve"> </w:t>
      </w:r>
      <w:r w:rsidRPr="002E60EB">
        <w:rPr>
          <w:lang w:val="en-US"/>
        </w:rPr>
        <w:t>The Court must apply an assessment of the evidence that takes into account the gravity of the attribution of international responsibility to a State and that, despite this, is able to create the conviction about the truth of the facts alleged.</w:t>
      </w:r>
      <w:r w:rsidRPr="002E60EB">
        <w:rPr>
          <w:rStyle w:val="Refdenotaalpie"/>
          <w:szCs w:val="24"/>
          <w:lang w:val="en-US"/>
        </w:rPr>
        <w:footnoteReference w:id="170"/>
      </w:r>
      <w:r w:rsidRPr="002E60EB">
        <w:rPr>
          <w:lang w:val="en-US"/>
        </w:rPr>
        <w:t xml:space="preserve"> The Court has also established criteria for the burden of proof and has emphasized that, in proceedings concerning human rights violations, the State’s defense cannot be based on the impossibility of the complainant to provide evidence, when it is the State that controls the means to clarify facts that have taken place on its territory.</w:t>
      </w:r>
      <w:r w:rsidRPr="002E60EB">
        <w:rPr>
          <w:vertAlign w:val="superscript"/>
          <w:lang w:val="en-US"/>
        </w:rPr>
        <w:footnoteReference w:id="171"/>
      </w:r>
    </w:p>
    <w:p w:rsidR="00E136C9" w:rsidRPr="002E60EB" w:rsidRDefault="00E136C9" w:rsidP="00317748">
      <w:pPr>
        <w:tabs>
          <w:tab w:val="left" w:pos="709"/>
        </w:tabs>
        <w:jc w:val="both"/>
        <w:rPr>
          <w:lang w:val="en-US"/>
        </w:rPr>
      </w:pPr>
    </w:p>
    <w:p w:rsidR="00E136C9" w:rsidRPr="002E60EB" w:rsidRDefault="00E136C9" w:rsidP="00E136C9">
      <w:pPr>
        <w:tabs>
          <w:tab w:val="left" w:pos="709"/>
        </w:tabs>
        <w:ind w:left="1440"/>
        <w:jc w:val="both"/>
        <w:rPr>
          <w:rFonts w:cs="Arial"/>
          <w:i/>
          <w:lang w:val="en-US"/>
        </w:rPr>
      </w:pPr>
      <w:r w:rsidRPr="002E60EB">
        <w:rPr>
          <w:rFonts w:cs="Arial"/>
          <w:i/>
          <w:lang w:val="en-US"/>
        </w:rPr>
        <w:t>C.1.a)</w:t>
      </w:r>
      <w:r w:rsidRPr="002E60EB">
        <w:rPr>
          <w:rFonts w:cs="Arial"/>
          <w:i/>
          <w:lang w:val="en-US"/>
        </w:rPr>
        <w:tab/>
        <w:t>Regarding the evidence to consider</w:t>
      </w:r>
      <w:r w:rsidR="00B46938" w:rsidRPr="002E60EB">
        <w:rPr>
          <w:rFonts w:cs="Arial"/>
          <w:i/>
          <w:lang w:val="en-US"/>
        </w:rPr>
        <w:t xml:space="preserve"> proved</w:t>
      </w:r>
      <w:r w:rsidRPr="002E60EB">
        <w:rPr>
          <w:rFonts w:cs="Arial"/>
          <w:i/>
          <w:lang w:val="en-US"/>
        </w:rPr>
        <w:t xml:space="preserve"> the threats and harassment </w:t>
      </w:r>
    </w:p>
    <w:p w:rsidR="00E136C9" w:rsidRPr="002E60EB" w:rsidRDefault="00E136C9" w:rsidP="00317748">
      <w:pPr>
        <w:tabs>
          <w:tab w:val="left" w:pos="709"/>
        </w:tabs>
        <w:jc w:val="both"/>
        <w:rPr>
          <w:lang w:val="en-US"/>
        </w:rPr>
      </w:pPr>
    </w:p>
    <w:p w:rsidR="004F1152" w:rsidRPr="002E60EB" w:rsidRDefault="00B41DBB" w:rsidP="00317748">
      <w:pPr>
        <w:numPr>
          <w:ilvl w:val="0"/>
          <w:numId w:val="1"/>
        </w:numPr>
        <w:tabs>
          <w:tab w:val="left" w:pos="720"/>
        </w:tabs>
        <w:jc w:val="both"/>
        <w:rPr>
          <w:lang w:val="en-US"/>
        </w:rPr>
      </w:pPr>
      <w:r w:rsidRPr="002E60EB">
        <w:rPr>
          <w:lang w:val="en-US"/>
        </w:rPr>
        <w:t xml:space="preserve">   </w:t>
      </w:r>
      <w:r w:rsidR="00E753DA" w:rsidRPr="002E60EB">
        <w:rPr>
          <w:rFonts w:cs="Arial"/>
          <w:lang w:val="en-US"/>
        </w:rPr>
        <w:t>With regard to</w:t>
      </w:r>
      <w:r w:rsidR="00246327" w:rsidRPr="002E60EB">
        <w:rPr>
          <w:rFonts w:cs="Arial"/>
          <w:lang w:val="en-US"/>
        </w:rPr>
        <w:t xml:space="preserve"> the evidence that this Court assessed in order to find the threats and harassment</w:t>
      </w:r>
      <w:r w:rsidR="00E753DA" w:rsidRPr="002E60EB">
        <w:rPr>
          <w:rFonts w:cs="Arial"/>
          <w:lang w:val="en-US"/>
        </w:rPr>
        <w:t xml:space="preserve"> proved</w:t>
      </w:r>
      <w:r w:rsidR="00246327" w:rsidRPr="002E60EB">
        <w:rPr>
          <w:rFonts w:cs="Arial"/>
          <w:lang w:val="en-US"/>
        </w:rPr>
        <w:t xml:space="preserve">, in addition to </w:t>
      </w:r>
      <w:r w:rsidR="00E753DA" w:rsidRPr="002E60EB">
        <w:rPr>
          <w:rFonts w:cs="Arial"/>
          <w:lang w:val="en-US"/>
        </w:rPr>
        <w:t xml:space="preserve">the </w:t>
      </w:r>
      <w:r w:rsidR="00246327" w:rsidRPr="002E60EB">
        <w:rPr>
          <w:rFonts w:cs="Arial"/>
          <w:lang w:val="en-US"/>
        </w:rPr>
        <w:t xml:space="preserve">testimony that the direct victims of these events </w:t>
      </w:r>
      <w:r w:rsidR="00E753DA" w:rsidRPr="002E60EB">
        <w:rPr>
          <w:rFonts w:cs="Arial"/>
          <w:lang w:val="en-US"/>
        </w:rPr>
        <w:t>gave at the domestic level</w:t>
      </w:r>
      <w:r w:rsidR="00246327" w:rsidRPr="002E60EB">
        <w:rPr>
          <w:rFonts w:cs="Arial"/>
          <w:lang w:val="en-US"/>
        </w:rPr>
        <w:t xml:space="preserve"> before the 243</w:t>
      </w:r>
      <w:r w:rsidR="00246327" w:rsidRPr="002E60EB">
        <w:rPr>
          <w:rFonts w:cs="Arial"/>
          <w:vertAlign w:val="superscript"/>
          <w:lang w:val="en-US"/>
        </w:rPr>
        <w:t>rd</w:t>
      </w:r>
      <w:r w:rsidR="00246327" w:rsidRPr="002E60EB">
        <w:rPr>
          <w:rFonts w:cs="Arial"/>
          <w:lang w:val="en-US"/>
        </w:rPr>
        <w:t xml:space="preserve"> Prosecutor</w:t>
      </w:r>
      <w:r w:rsidR="00E753DA" w:rsidRPr="002E60EB">
        <w:rPr>
          <w:rFonts w:cs="Arial"/>
          <w:lang w:val="en-US"/>
        </w:rPr>
        <w:t>’s</w:t>
      </w:r>
      <w:r w:rsidR="00246327" w:rsidRPr="002E60EB">
        <w:rPr>
          <w:rFonts w:cs="Arial"/>
          <w:lang w:val="en-US"/>
        </w:rPr>
        <w:t xml:space="preserve"> Office in 1997, and</w:t>
      </w:r>
      <w:r w:rsidR="004F1152" w:rsidRPr="002E60EB">
        <w:rPr>
          <w:rFonts w:cs="Arial"/>
          <w:lang w:val="en-US"/>
        </w:rPr>
        <w:t xml:space="preserve"> before the Attorney General’s Office in 1998, and the statements provided before notary public in 2005, Mr. Vélez and Mrs. Román testified </w:t>
      </w:r>
      <w:r w:rsidR="00E753DA" w:rsidRPr="002E60EB">
        <w:rPr>
          <w:rFonts w:cs="Arial"/>
          <w:lang w:val="en-US"/>
        </w:rPr>
        <w:t xml:space="preserve">before this Court </w:t>
      </w:r>
      <w:r w:rsidR="004F1152" w:rsidRPr="002E60EB">
        <w:rPr>
          <w:rFonts w:cs="Arial"/>
          <w:lang w:val="en-US"/>
        </w:rPr>
        <w:t>at the public hearing. Both the statements assessed previously by the Commission and those they gave before this Court, are consistent and coincide with the facts that</w:t>
      </w:r>
      <w:r w:rsidR="0086077C" w:rsidRPr="002E60EB">
        <w:rPr>
          <w:rFonts w:cs="Arial"/>
          <w:lang w:val="en-US"/>
        </w:rPr>
        <w:t xml:space="preserve"> the Court has considered proved</w:t>
      </w:r>
      <w:r w:rsidR="004F1152" w:rsidRPr="002E60EB">
        <w:rPr>
          <w:rFonts w:cs="Arial"/>
          <w:lang w:val="en-US"/>
        </w:rPr>
        <w:t xml:space="preserve"> (supra paras. 84 to 94).</w:t>
      </w:r>
    </w:p>
    <w:p w:rsidR="00B25831" w:rsidRPr="002E60EB" w:rsidRDefault="00B25831">
      <w:pPr>
        <w:tabs>
          <w:tab w:val="left" w:pos="720"/>
        </w:tabs>
        <w:jc w:val="both"/>
        <w:rPr>
          <w:lang w:val="en-US"/>
        </w:rPr>
      </w:pPr>
    </w:p>
    <w:p w:rsidR="00B25831" w:rsidRPr="002E60EB" w:rsidRDefault="00B25831" w:rsidP="00317748">
      <w:pPr>
        <w:numPr>
          <w:ilvl w:val="0"/>
          <w:numId w:val="1"/>
        </w:numPr>
        <w:tabs>
          <w:tab w:val="left" w:pos="709"/>
        </w:tabs>
        <w:jc w:val="both"/>
        <w:rPr>
          <w:lang w:val="en-US"/>
        </w:rPr>
      </w:pPr>
      <w:r w:rsidRPr="002E60EB">
        <w:rPr>
          <w:rFonts w:cs="Arial"/>
          <w:lang w:val="en-US"/>
        </w:rPr>
        <w:t xml:space="preserve">The Court has other probative elements that support the content of these statements, </w:t>
      </w:r>
      <w:r w:rsidR="0086077C" w:rsidRPr="002E60EB">
        <w:rPr>
          <w:rFonts w:cs="Arial"/>
          <w:lang w:val="en-US"/>
        </w:rPr>
        <w:t>consisting of</w:t>
      </w:r>
      <w:r w:rsidRPr="002E60EB">
        <w:rPr>
          <w:rFonts w:cs="Arial"/>
          <w:lang w:val="en-US"/>
        </w:rPr>
        <w:t xml:space="preserve"> statements or briefs from individuals or institutions that knew or had contact with Mr. Vélez at the time of the facts and to whom he commented on or informed of the threats and harassments that he and his family were experiencing. In this regard, there is a letter sent to the Attorney General’s Office on September 11, 1996, by the Editor-in-Chief of </w:t>
      </w:r>
      <w:r w:rsidRPr="002E60EB">
        <w:rPr>
          <w:rFonts w:cs="Arial"/>
          <w:i/>
          <w:lang w:val="en-US"/>
        </w:rPr>
        <w:t>Noticiero Colombia 12:30</w:t>
      </w:r>
      <w:r w:rsidRPr="002E60EB">
        <w:rPr>
          <w:rFonts w:cs="Arial"/>
          <w:lang w:val="en-US"/>
        </w:rPr>
        <w:t xml:space="preserve"> (</w:t>
      </w:r>
      <w:r w:rsidRPr="002E60EB">
        <w:rPr>
          <w:rFonts w:cs="Arial"/>
          <w:i/>
          <w:lang w:val="en-US"/>
        </w:rPr>
        <w:t xml:space="preserve">supra </w:t>
      </w:r>
      <w:r w:rsidRPr="002E60EB">
        <w:rPr>
          <w:rFonts w:cs="Arial"/>
          <w:lang w:val="en-US"/>
        </w:rPr>
        <w:t xml:space="preserve">para. 86). Also, the body of evidence includes the testimony given on October 17, 1997, by a colleague of Mr. Vélez, who </w:t>
      </w:r>
      <w:r w:rsidR="0086077C" w:rsidRPr="002E60EB">
        <w:rPr>
          <w:rFonts w:cs="Arial"/>
          <w:lang w:val="en-US"/>
        </w:rPr>
        <w:t>stated</w:t>
      </w:r>
      <w:r w:rsidRPr="002E60EB">
        <w:rPr>
          <w:rFonts w:cs="Arial"/>
          <w:lang w:val="en-US"/>
        </w:rPr>
        <w:t xml:space="preserve">, before the Attorney General’s Office, that “when [Mr. Velez] arrived at the news office, he recounted that he was receiving threatening telephone calls” and that “they told him that </w:t>
      </w:r>
      <w:r w:rsidR="003A64C5" w:rsidRPr="002E60EB">
        <w:rPr>
          <w:rFonts w:cs="Arial"/>
          <w:lang w:val="en-US"/>
        </w:rPr>
        <w:t>hypocrites</w:t>
      </w:r>
      <w:r w:rsidRPr="002E60EB">
        <w:rPr>
          <w:rFonts w:cs="Arial"/>
          <w:lang w:val="en-US"/>
        </w:rPr>
        <w:t xml:space="preserve"> </w:t>
      </w:r>
      <w:r w:rsidR="00847CA5" w:rsidRPr="002E60EB">
        <w:rPr>
          <w:rFonts w:cs="Arial"/>
          <w:lang w:val="en-US"/>
        </w:rPr>
        <w:t>are crushed to death</w:t>
      </w:r>
      <w:r w:rsidRPr="002E60EB">
        <w:rPr>
          <w:rFonts w:cs="Arial"/>
          <w:lang w:val="en-US"/>
        </w:rPr>
        <w:t xml:space="preserve"> </w:t>
      </w:r>
      <w:r w:rsidRPr="002E60EB">
        <w:rPr>
          <w:lang w:val="en-US"/>
        </w:rPr>
        <w:t>(</w:t>
      </w:r>
      <w:r w:rsidRPr="002E60EB">
        <w:rPr>
          <w:i/>
          <w:lang w:val="en-US"/>
        </w:rPr>
        <w:t>supra</w:t>
      </w:r>
      <w:r w:rsidRPr="002E60EB">
        <w:rPr>
          <w:lang w:val="en-US"/>
        </w:rPr>
        <w:t xml:space="preserve"> para.</w:t>
      </w:r>
      <w:r w:rsidR="00847CA5" w:rsidRPr="002E60EB">
        <w:rPr>
          <w:lang w:val="en-US"/>
        </w:rPr>
        <w:t xml:space="preserve"> 93</w:t>
      </w:r>
      <w:r w:rsidRPr="002E60EB">
        <w:rPr>
          <w:lang w:val="en-US"/>
        </w:rPr>
        <w:t>)</w:t>
      </w:r>
      <w:r w:rsidRPr="002E60EB">
        <w:rPr>
          <w:rFonts w:cs="Arial"/>
          <w:lang w:val="en-US"/>
        </w:rPr>
        <w:t>. In addition, it has been verified that, at the time of the facts, Mr. Velez went to the Colombian Commission of Jurists in order to seek legal counsel in view of the situation.</w:t>
      </w:r>
      <w:r w:rsidRPr="002E60EB">
        <w:rPr>
          <w:rStyle w:val="Refdenotaalpie"/>
          <w:rFonts w:cs="Arial"/>
          <w:lang w:val="en-US"/>
        </w:rPr>
        <w:footnoteReference w:id="172"/>
      </w:r>
      <w:r w:rsidRPr="002E60EB">
        <w:rPr>
          <w:rFonts w:cs="Arial"/>
          <w:lang w:val="en-US"/>
        </w:rPr>
        <w:t xml:space="preserve"> That organization, in turn, sent </w:t>
      </w:r>
      <w:r w:rsidR="0086077C" w:rsidRPr="002E60EB">
        <w:rPr>
          <w:rFonts w:cs="Arial"/>
          <w:lang w:val="en-US"/>
        </w:rPr>
        <w:t>letters</w:t>
      </w:r>
      <w:r w:rsidRPr="002E60EB">
        <w:rPr>
          <w:rFonts w:cs="Arial"/>
          <w:lang w:val="en-US"/>
        </w:rPr>
        <w:t xml:space="preserve"> dated September 29, 1997, to the Attorney General’s Office and to the Human Rights Council of the Presidency of the Republic, informing the said entities of the Vélez Roman family’s situation (</w:t>
      </w:r>
      <w:r w:rsidRPr="002E60EB">
        <w:rPr>
          <w:rFonts w:cs="Arial"/>
          <w:i/>
          <w:lang w:val="en-US"/>
        </w:rPr>
        <w:t xml:space="preserve">supra </w:t>
      </w:r>
      <w:r w:rsidR="00C46DA0" w:rsidRPr="002E60EB">
        <w:rPr>
          <w:rFonts w:cs="Arial"/>
          <w:lang w:val="en-US"/>
        </w:rPr>
        <w:t>paras. 90 and 91).</w:t>
      </w:r>
    </w:p>
    <w:p w:rsidR="00C46DA0" w:rsidRPr="002E60EB" w:rsidRDefault="00C46DA0">
      <w:pPr>
        <w:tabs>
          <w:tab w:val="left" w:pos="709"/>
        </w:tabs>
        <w:jc w:val="both"/>
        <w:rPr>
          <w:lang w:val="en-US"/>
        </w:rPr>
      </w:pPr>
    </w:p>
    <w:p w:rsidR="00C46DA0" w:rsidRPr="002E60EB" w:rsidRDefault="00C46DA0" w:rsidP="00C46DA0">
      <w:pPr>
        <w:pStyle w:val="Prrafodelista"/>
        <w:numPr>
          <w:ilvl w:val="0"/>
          <w:numId w:val="1"/>
        </w:numPr>
        <w:tabs>
          <w:tab w:val="left" w:pos="709"/>
        </w:tabs>
        <w:ind w:left="0"/>
        <w:jc w:val="both"/>
        <w:rPr>
          <w:rFonts w:cs="Arial"/>
          <w:sz w:val="20"/>
          <w:szCs w:val="20"/>
          <w:lang w:val="en-US"/>
        </w:rPr>
      </w:pPr>
      <w:r w:rsidRPr="002E60EB">
        <w:rPr>
          <w:rFonts w:cs="Arial"/>
          <w:sz w:val="20"/>
          <w:szCs w:val="20"/>
          <w:lang w:val="en-US"/>
        </w:rPr>
        <w:t xml:space="preserve">The Court observes that, in its answering brief, the State affirmed that there was no evidence that Mr. Vélez and Mrs. Román had personally filed complaints regarding the threats before the Prosecutor’s Office, </w:t>
      </w:r>
      <w:r w:rsidR="00101907" w:rsidRPr="002E60EB">
        <w:rPr>
          <w:rFonts w:cs="Arial"/>
          <w:sz w:val="20"/>
          <w:szCs w:val="20"/>
          <w:lang w:val="en-US"/>
        </w:rPr>
        <w:t>the National Police, or the DAS. N</w:t>
      </w:r>
      <w:r w:rsidRPr="002E60EB">
        <w:rPr>
          <w:rFonts w:cs="Arial"/>
          <w:sz w:val="20"/>
          <w:szCs w:val="20"/>
          <w:lang w:val="en-US"/>
        </w:rPr>
        <w:t>evertheless, at the same time, it accepted that “[i]t is true that the petitioners denounced the facts relating to the threats[s]”</w:t>
      </w:r>
      <w:r w:rsidRPr="002E60EB">
        <w:rPr>
          <w:rFonts w:cs="Arial"/>
          <w:b/>
          <w:sz w:val="20"/>
          <w:szCs w:val="20"/>
          <w:lang w:val="en-US"/>
        </w:rPr>
        <w:t xml:space="preserve"> </w:t>
      </w:r>
      <w:r w:rsidRPr="002E60EB">
        <w:rPr>
          <w:rFonts w:cs="Arial"/>
          <w:sz w:val="20"/>
          <w:szCs w:val="20"/>
          <w:lang w:val="en-US"/>
        </w:rPr>
        <w:t xml:space="preserve">and indicated that, “regarding the presumed threats,” </w:t>
      </w:r>
      <w:r w:rsidRPr="002E60EB">
        <w:rPr>
          <w:rFonts w:cs="Arial"/>
          <w:i/>
          <w:sz w:val="20"/>
          <w:szCs w:val="20"/>
          <w:lang w:val="en-US"/>
        </w:rPr>
        <w:t>inter alia</w:t>
      </w:r>
      <w:r w:rsidRPr="002E60EB">
        <w:rPr>
          <w:rFonts w:cs="Arial"/>
          <w:sz w:val="20"/>
          <w:szCs w:val="20"/>
          <w:lang w:val="en-US"/>
        </w:rPr>
        <w:t>, a criminal investigation was opened in the ordinary jurisdiction in 1996. For the Court, the relevant point is that, in October 1996, an investigation was opened before the 243</w:t>
      </w:r>
      <w:r w:rsidRPr="002E60EB">
        <w:rPr>
          <w:rFonts w:cs="Arial"/>
          <w:sz w:val="20"/>
          <w:szCs w:val="20"/>
          <w:vertAlign w:val="superscript"/>
          <w:lang w:val="en-US"/>
        </w:rPr>
        <w:t>rd</w:t>
      </w:r>
      <w:r w:rsidRPr="002E60EB">
        <w:rPr>
          <w:rFonts w:cs="Arial"/>
          <w:sz w:val="20"/>
          <w:szCs w:val="20"/>
          <w:lang w:val="en-US"/>
        </w:rPr>
        <w:t xml:space="preserve"> Bogota Sectional Prosecutor’s Office for the offense of threats. The Court infers that State authorities were informed of the facts, either by organizations or</w:t>
      </w:r>
      <w:r w:rsidR="00334C3C" w:rsidRPr="002E60EB">
        <w:rPr>
          <w:rFonts w:cs="Arial"/>
          <w:sz w:val="20"/>
          <w:szCs w:val="20"/>
          <w:lang w:val="en-US"/>
        </w:rPr>
        <w:t xml:space="preserve"> other persons, or by Mr. Vélez</w:t>
      </w:r>
      <w:r w:rsidRPr="002E60EB">
        <w:rPr>
          <w:rFonts w:cs="Arial"/>
          <w:sz w:val="20"/>
          <w:szCs w:val="20"/>
          <w:lang w:val="en-US"/>
        </w:rPr>
        <w:t xml:space="preserve"> and his wife (</w:t>
      </w:r>
      <w:r w:rsidRPr="002E60EB">
        <w:rPr>
          <w:rFonts w:cs="Arial"/>
          <w:i/>
          <w:sz w:val="20"/>
          <w:szCs w:val="20"/>
          <w:lang w:val="en-US"/>
        </w:rPr>
        <w:t xml:space="preserve">supra </w:t>
      </w:r>
      <w:r w:rsidRPr="002E60EB">
        <w:rPr>
          <w:rFonts w:cs="Arial"/>
          <w:sz w:val="20"/>
          <w:szCs w:val="20"/>
          <w:lang w:val="en-US"/>
        </w:rPr>
        <w:t xml:space="preserve">paras. 86, 88, 90, 91, 92 and 95). </w:t>
      </w:r>
    </w:p>
    <w:p w:rsidR="00597D81" w:rsidRPr="002E60EB" w:rsidRDefault="00597D81" w:rsidP="00317748">
      <w:pPr>
        <w:pStyle w:val="Prrafodelista"/>
        <w:tabs>
          <w:tab w:val="left" w:pos="709"/>
        </w:tabs>
        <w:ind w:left="0"/>
        <w:jc w:val="both"/>
        <w:rPr>
          <w:rFonts w:cs="Arial"/>
          <w:sz w:val="20"/>
          <w:szCs w:val="20"/>
          <w:lang w:val="en-US"/>
        </w:rPr>
      </w:pPr>
    </w:p>
    <w:p w:rsidR="00C73E73" w:rsidRPr="002E60EB" w:rsidRDefault="00597D81" w:rsidP="00317748">
      <w:pPr>
        <w:numPr>
          <w:ilvl w:val="0"/>
          <w:numId w:val="1"/>
        </w:numPr>
        <w:tabs>
          <w:tab w:val="left" w:pos="720"/>
        </w:tabs>
        <w:jc w:val="both"/>
        <w:rPr>
          <w:lang w:val="en-US"/>
        </w:rPr>
      </w:pPr>
      <w:r w:rsidRPr="002E60EB">
        <w:rPr>
          <w:lang w:val="en-US"/>
        </w:rPr>
        <w:t>The Court notes that, both to contest that the threats had occurred, and also its responsibility for them, in addition to affirming tha</w:t>
      </w:r>
      <w:r w:rsidR="00101907" w:rsidRPr="002E60EB">
        <w:rPr>
          <w:lang w:val="en-US"/>
        </w:rPr>
        <w:t>t the evidence was insufficient</w:t>
      </w:r>
      <w:r w:rsidRPr="002E60EB">
        <w:rPr>
          <w:lang w:val="en-US"/>
        </w:rPr>
        <w:t xml:space="preserve"> (supra para. 154), Colombia maintained that “the disciplinary investigations </w:t>
      </w:r>
      <w:r w:rsidR="00101907" w:rsidRPr="002E60EB">
        <w:rPr>
          <w:lang w:val="en-US"/>
        </w:rPr>
        <w:t>opene</w:t>
      </w:r>
      <w:r w:rsidRPr="002E60EB">
        <w:rPr>
          <w:lang w:val="en-US"/>
        </w:rPr>
        <w:t xml:space="preserve">d against the State agents for the supposed </w:t>
      </w:r>
      <w:r w:rsidR="00334C3C" w:rsidRPr="002E60EB">
        <w:rPr>
          <w:lang w:val="en-US"/>
        </w:rPr>
        <w:t>threats</w:t>
      </w:r>
      <w:r w:rsidRPr="002E60EB">
        <w:rPr>
          <w:lang w:val="en-US"/>
        </w:rPr>
        <w:t xml:space="preserve"> were </w:t>
      </w:r>
      <w:r w:rsidR="00101907" w:rsidRPr="002E60EB">
        <w:rPr>
          <w:lang w:val="en-US"/>
        </w:rPr>
        <w:t>closed</w:t>
      </w:r>
      <w:r w:rsidRPr="002E60EB">
        <w:rPr>
          <w:lang w:val="en-US"/>
        </w:rPr>
        <w:t xml:space="preserve"> for lack of merit.” In this regard, this</w:t>
      </w:r>
      <w:r w:rsidR="00101907" w:rsidRPr="002E60EB">
        <w:rPr>
          <w:lang w:val="en-US"/>
        </w:rPr>
        <w:t xml:space="preserve"> Court has </w:t>
      </w:r>
      <w:r w:rsidRPr="002E60EB">
        <w:rPr>
          <w:lang w:val="en-US"/>
        </w:rPr>
        <w:t>found it pertinent to recall that, in order to establish that there has been a violation of the rights recognized in the Convention, it is not necessary to prove th</w:t>
      </w:r>
      <w:r w:rsidR="00101907" w:rsidRPr="002E60EB">
        <w:rPr>
          <w:lang w:val="en-US"/>
        </w:rPr>
        <w:t xml:space="preserve">e </w:t>
      </w:r>
      <w:r w:rsidRPr="002E60EB">
        <w:rPr>
          <w:lang w:val="en-US"/>
        </w:rPr>
        <w:t>State’s responsibility beyond all reasonable doubt or to identify, individually, the agents to which the violations are attributed.</w:t>
      </w:r>
      <w:r w:rsidRPr="002E60EB">
        <w:rPr>
          <w:rStyle w:val="Refdenotaalpie"/>
          <w:szCs w:val="24"/>
          <w:lang w:val="en-US"/>
        </w:rPr>
        <w:footnoteReference w:id="173"/>
      </w:r>
      <w:r w:rsidRPr="002E60EB">
        <w:rPr>
          <w:rStyle w:val="Refdenotaalpie"/>
          <w:lang w:val="en-US"/>
        </w:rPr>
        <w:t xml:space="preserve"> </w:t>
      </w:r>
      <w:r w:rsidRPr="002E60EB">
        <w:rPr>
          <w:lang w:val="en-US"/>
        </w:rPr>
        <w:t>In addition, the Court reiterates that it is the State’s responsibility to investigate</w:t>
      </w:r>
      <w:r w:rsidR="004F1152" w:rsidRPr="002E60EB">
        <w:rPr>
          <w:rFonts w:cs="Arial"/>
          <w:lang w:val="en-US"/>
        </w:rPr>
        <w:t xml:space="preserve"> </w:t>
      </w:r>
      <w:r w:rsidR="00C73E73" w:rsidRPr="002E60EB">
        <w:rPr>
          <w:lang w:val="en-US"/>
        </w:rPr>
        <w:t xml:space="preserve">the facts </w:t>
      </w:r>
      <w:r w:rsidR="00334C3C" w:rsidRPr="002E60EB">
        <w:rPr>
          <w:lang w:val="en-US"/>
        </w:rPr>
        <w:t>diligently</w:t>
      </w:r>
      <w:r w:rsidR="00C73E73" w:rsidRPr="002E60EB">
        <w:rPr>
          <w:lang w:val="en-US"/>
        </w:rPr>
        <w:t xml:space="preserve"> by judicial proceedings,</w:t>
      </w:r>
      <w:r w:rsidR="00C73E73" w:rsidRPr="002E60EB">
        <w:rPr>
          <w:rStyle w:val="Refdenotaalpie"/>
          <w:lang w:val="en-US"/>
        </w:rPr>
        <w:footnoteReference w:id="174"/>
      </w:r>
      <w:r w:rsidR="00C73E73" w:rsidRPr="002E60EB">
        <w:rPr>
          <w:lang w:val="en-US"/>
        </w:rPr>
        <w:t xml:space="preserve"> which Colombia acknowledged that it had not done (</w:t>
      </w:r>
      <w:r w:rsidR="00C73E73" w:rsidRPr="002E60EB">
        <w:rPr>
          <w:i/>
          <w:lang w:val="en-US"/>
        </w:rPr>
        <w:t>supra</w:t>
      </w:r>
      <w:r w:rsidR="00C73E73" w:rsidRPr="002E60EB">
        <w:rPr>
          <w:lang w:val="en-US"/>
        </w:rPr>
        <w:t xml:space="preserve"> para. 14). Moreover, the Court underscores that, in the criminal jurisdiction, the investigations concluded for</w:t>
      </w:r>
      <w:r w:rsidR="00101907" w:rsidRPr="002E60EB">
        <w:rPr>
          <w:lang w:val="en-US"/>
        </w:rPr>
        <w:t xml:space="preserve"> reasons that differed greatly</w:t>
      </w:r>
      <w:r w:rsidR="00C73E73" w:rsidRPr="002E60EB">
        <w:rPr>
          <w:lang w:val="en-US"/>
        </w:rPr>
        <w:t xml:space="preserve"> </w:t>
      </w:r>
      <w:r w:rsidR="00101907" w:rsidRPr="002E60EB">
        <w:rPr>
          <w:lang w:val="en-US"/>
        </w:rPr>
        <w:t>from</w:t>
      </w:r>
      <w:r w:rsidR="00C73E73" w:rsidRPr="002E60EB">
        <w:rPr>
          <w:lang w:val="en-US"/>
        </w:rPr>
        <w:t xml:space="preserve"> “lack of merit.” The criminal investigation </w:t>
      </w:r>
      <w:r w:rsidR="008E6E5F" w:rsidRPr="002E60EB">
        <w:rPr>
          <w:lang w:val="en-US"/>
        </w:rPr>
        <w:t>opened</w:t>
      </w:r>
      <w:r w:rsidR="00C73E73" w:rsidRPr="002E60EB">
        <w:rPr>
          <w:lang w:val="en-US"/>
        </w:rPr>
        <w:t xml:space="preserve"> in 1996 ended on the basis that the “facts had already been denounced in the civil and criminal jurisdiction before the military criminal justice system” (</w:t>
      </w:r>
      <w:r w:rsidR="00C73E73" w:rsidRPr="002E60EB">
        <w:rPr>
          <w:i/>
          <w:lang w:val="en-US"/>
        </w:rPr>
        <w:t>supra</w:t>
      </w:r>
      <w:r w:rsidR="00C73E73" w:rsidRPr="002E60EB">
        <w:rPr>
          <w:lang w:val="en-US"/>
        </w:rPr>
        <w:t xml:space="preserve"> </w:t>
      </w:r>
      <w:r w:rsidR="008E6E5F" w:rsidRPr="002E60EB">
        <w:rPr>
          <w:lang w:val="en-US"/>
        </w:rPr>
        <w:t>para.</w:t>
      </w:r>
      <w:r w:rsidR="00C73E73" w:rsidRPr="002E60EB">
        <w:rPr>
          <w:lang w:val="en-US"/>
        </w:rPr>
        <w:t xml:space="preserve"> 118). Nevertheless, in response to a request for useful evidence, the State informed the Court that “investigations were not conducted in the military jurisdiction” for the threats.</w:t>
      </w:r>
      <w:r w:rsidR="00C73E73" w:rsidRPr="002E60EB">
        <w:rPr>
          <w:rStyle w:val="Refdenotaalpie"/>
          <w:lang w:val="en-US"/>
        </w:rPr>
        <w:footnoteReference w:id="175"/>
      </w:r>
      <w:r w:rsidR="00C73E73" w:rsidRPr="002E60EB">
        <w:rPr>
          <w:lang w:val="en-US"/>
        </w:rPr>
        <w:t xml:space="preserve"> Furthermore, the criminal investigation initiated in 2007 concluded in 2010 on the basis that the offense had prescribed (</w:t>
      </w:r>
      <w:r w:rsidR="00C73E73" w:rsidRPr="002E60EB">
        <w:rPr>
          <w:i/>
          <w:lang w:val="en-US"/>
        </w:rPr>
        <w:t xml:space="preserve">supra </w:t>
      </w:r>
      <w:r w:rsidR="00C73E73" w:rsidRPr="002E60EB">
        <w:rPr>
          <w:lang w:val="en-US"/>
        </w:rPr>
        <w:t>para. 119).</w:t>
      </w:r>
    </w:p>
    <w:p w:rsidR="00BC4EBF" w:rsidRPr="002E60EB" w:rsidRDefault="00BC4EBF">
      <w:pPr>
        <w:tabs>
          <w:tab w:val="left" w:pos="720"/>
        </w:tabs>
        <w:jc w:val="both"/>
        <w:rPr>
          <w:lang w:val="en-US"/>
        </w:rPr>
      </w:pPr>
    </w:p>
    <w:p w:rsidR="00BC4EBF" w:rsidRPr="002E60EB" w:rsidRDefault="00BC4EBF" w:rsidP="00BC4EBF">
      <w:pPr>
        <w:tabs>
          <w:tab w:val="left" w:pos="709"/>
        </w:tabs>
        <w:ind w:left="1440"/>
        <w:jc w:val="both"/>
        <w:rPr>
          <w:lang w:val="en-US"/>
        </w:rPr>
      </w:pPr>
      <w:r w:rsidRPr="002E60EB">
        <w:rPr>
          <w:rFonts w:cs="Arial"/>
          <w:i/>
          <w:lang w:val="en-US"/>
        </w:rPr>
        <w:t>C.1.b)</w:t>
      </w:r>
      <w:r w:rsidRPr="002E60EB">
        <w:rPr>
          <w:rFonts w:cs="Arial"/>
          <w:i/>
          <w:lang w:val="en-US"/>
        </w:rPr>
        <w:tab/>
        <w:t xml:space="preserve">Regarding the evidence to </w:t>
      </w:r>
      <w:r w:rsidR="00B46938" w:rsidRPr="002E60EB">
        <w:rPr>
          <w:rFonts w:cs="Arial"/>
          <w:i/>
          <w:lang w:val="en-US"/>
        </w:rPr>
        <w:t xml:space="preserve">consider </w:t>
      </w:r>
      <w:r w:rsidRPr="002E60EB">
        <w:rPr>
          <w:rFonts w:cs="Arial"/>
          <w:i/>
          <w:lang w:val="en-US"/>
        </w:rPr>
        <w:t>prove</w:t>
      </w:r>
      <w:r w:rsidR="00B46938" w:rsidRPr="002E60EB">
        <w:rPr>
          <w:rFonts w:cs="Arial"/>
          <w:i/>
          <w:lang w:val="en-US"/>
        </w:rPr>
        <w:t>d</w:t>
      </w:r>
      <w:r w:rsidRPr="002E60EB">
        <w:rPr>
          <w:rFonts w:cs="Arial"/>
          <w:i/>
          <w:lang w:val="en-US"/>
        </w:rPr>
        <w:t xml:space="preserve"> the attempted arbitrary deprivation of liberty</w:t>
      </w:r>
    </w:p>
    <w:p w:rsidR="00BC4EBF" w:rsidRPr="002E60EB" w:rsidRDefault="00BC4EBF">
      <w:pPr>
        <w:tabs>
          <w:tab w:val="left" w:pos="720"/>
        </w:tabs>
        <w:jc w:val="both"/>
        <w:rPr>
          <w:lang w:val="en-US"/>
        </w:rPr>
      </w:pPr>
    </w:p>
    <w:p w:rsidR="00DF04D1" w:rsidRPr="002E60EB" w:rsidRDefault="00BC4EBF" w:rsidP="00317748">
      <w:pPr>
        <w:numPr>
          <w:ilvl w:val="0"/>
          <w:numId w:val="1"/>
        </w:numPr>
        <w:tabs>
          <w:tab w:val="left" w:pos="720"/>
        </w:tabs>
        <w:jc w:val="both"/>
        <w:rPr>
          <w:lang w:val="en-US"/>
        </w:rPr>
      </w:pPr>
      <w:r w:rsidRPr="002E60EB">
        <w:rPr>
          <w:rFonts w:cs="Arial"/>
          <w:lang w:val="en-US"/>
        </w:rPr>
        <w:t>Regarding the probative elements that this Court assessed to find that the attempted arbitrary deprivation of liberty of which Mr. Vélez Restrepo was a victim on October 6, 1996, had been proved (supra para. 94), the Court underlines that, in addition to having assessed the statements made ​​by Mr. Vélez Restrepo and his wife by affidavit in 2005 and before this Court, other probative elements were provided in this regard. The Court</w:t>
      </w:r>
      <w:r w:rsidR="004F07CD" w:rsidRPr="002E60EB">
        <w:rPr>
          <w:rFonts w:cs="Arial"/>
          <w:lang w:val="en-US"/>
        </w:rPr>
        <w:t xml:space="preserve"> emphasizes that </w:t>
      </w:r>
      <w:r w:rsidR="004F07CD" w:rsidRPr="002E60EB">
        <w:rPr>
          <w:lang w:val="en-US"/>
        </w:rPr>
        <w:t>the day before that incident, Mr. Vélez Restrepo received a serious written threat consisting in an obituary notice or condolence card regarding his own death, of which he provided a copy (</w:t>
      </w:r>
      <w:r w:rsidR="004F07CD" w:rsidRPr="002E60EB">
        <w:rPr>
          <w:i/>
          <w:lang w:val="en-US"/>
        </w:rPr>
        <w:t>supra</w:t>
      </w:r>
      <w:r w:rsidR="004F07CD" w:rsidRPr="002E60EB">
        <w:rPr>
          <w:lang w:val="en-US"/>
        </w:rPr>
        <w:t xml:space="preserve"> para. 93). In his statement before this Court, Mr. Vélez Restrepo referred to the danger</w:t>
      </w:r>
      <w:r w:rsidR="008E6E5F" w:rsidRPr="002E60EB">
        <w:rPr>
          <w:lang w:val="en-US"/>
        </w:rPr>
        <w:t xml:space="preserve"> that a threat as serious as this</w:t>
      </w:r>
      <w:r w:rsidR="004F07CD" w:rsidRPr="002E60EB">
        <w:rPr>
          <w:lang w:val="en-US"/>
        </w:rPr>
        <w:t xml:space="preserve"> signified</w:t>
      </w:r>
      <w:r w:rsidR="008E6E5F" w:rsidRPr="002E60EB">
        <w:rPr>
          <w:lang w:val="en-US"/>
        </w:rPr>
        <w:t xml:space="preserve"> in Colombia</w:t>
      </w:r>
      <w:r w:rsidR="004F07CD" w:rsidRPr="002E60EB">
        <w:rPr>
          <w:lang w:val="en-US"/>
        </w:rPr>
        <w:t>. Even expert witness Tulande indicated, citing a “well-known [Colombian] journalist</w:t>
      </w:r>
      <w:r w:rsidR="008E6E5F" w:rsidRPr="002E60EB">
        <w:rPr>
          <w:lang w:val="en-US"/>
        </w:rPr>
        <w:t>,</w:t>
      </w:r>
      <w:r w:rsidR="004F07CD" w:rsidRPr="002E60EB">
        <w:rPr>
          <w:lang w:val="en-US"/>
        </w:rPr>
        <w:t xml:space="preserve">” that, in Colombia, “threats are carried out” </w:t>
      </w:r>
      <w:r w:rsidR="004F07CD" w:rsidRPr="002E60EB">
        <w:rPr>
          <w:rFonts w:cs="Arial"/>
          <w:lang w:val="en-US"/>
        </w:rPr>
        <w:t>(</w:t>
      </w:r>
      <w:r w:rsidR="004F07CD" w:rsidRPr="002E60EB">
        <w:rPr>
          <w:rFonts w:cs="Arial"/>
          <w:i/>
          <w:lang w:val="en-US"/>
        </w:rPr>
        <w:t>supra</w:t>
      </w:r>
      <w:r w:rsidR="004F07CD" w:rsidRPr="002E60EB">
        <w:rPr>
          <w:rFonts w:cs="Arial"/>
          <w:lang w:val="en-US"/>
        </w:rPr>
        <w:t xml:space="preserve"> para. 84).</w:t>
      </w:r>
      <w:r w:rsidR="004F07CD" w:rsidRPr="002E60EB">
        <w:rPr>
          <w:lang w:val="en-US"/>
        </w:rPr>
        <w:t xml:space="preserve"> In addition, the Court takes into account the reaction and intervention of national and international authorities when Mr. Vélez Restrepo reported that he had been the victim of an attempted arbitrary deprivation of liberty (</w:t>
      </w:r>
      <w:r w:rsidR="004F07CD" w:rsidRPr="002E60EB">
        <w:rPr>
          <w:i/>
          <w:lang w:val="en-US"/>
        </w:rPr>
        <w:t>supra</w:t>
      </w:r>
      <w:r w:rsidR="004F07CD" w:rsidRPr="002E60EB">
        <w:rPr>
          <w:lang w:val="en-US"/>
        </w:rPr>
        <w:t xml:space="preserve"> paras. 95 to 97)</w:t>
      </w:r>
      <w:r w:rsidR="008E6E5F" w:rsidRPr="002E60EB">
        <w:rPr>
          <w:lang w:val="en-US"/>
        </w:rPr>
        <w:t>,</w:t>
      </w:r>
      <w:r w:rsidR="00DF04D1" w:rsidRPr="002E60EB">
        <w:rPr>
          <w:lang w:val="en-US"/>
        </w:rPr>
        <w:t xml:space="preserve"> and that Mr. Vélez Restrepo, and his wife and children, were granted asylum by the United States of America. This shows that the said authorities were not only aware of the risk to the life of Mr. Vélez Restrepo and of </w:t>
      </w:r>
      <w:r w:rsidR="008E6E5F" w:rsidRPr="002E60EB">
        <w:rPr>
          <w:lang w:val="en-US"/>
        </w:rPr>
        <w:t>the situation that he</w:t>
      </w:r>
      <w:r w:rsidR="00DF04D1" w:rsidRPr="002E60EB">
        <w:rPr>
          <w:lang w:val="en-US"/>
        </w:rPr>
        <w:t xml:space="preserve"> and his family faced, but also allows the high </w:t>
      </w:r>
      <w:r w:rsidR="008E6E5F" w:rsidRPr="002E60EB">
        <w:rPr>
          <w:lang w:val="en-US"/>
        </w:rPr>
        <w:t>degree of credibility the authorities</w:t>
      </w:r>
      <w:r w:rsidR="00DF04D1" w:rsidRPr="002E60EB">
        <w:rPr>
          <w:lang w:val="en-US"/>
        </w:rPr>
        <w:t xml:space="preserve"> gave to their complaints to be</w:t>
      </w:r>
      <w:r w:rsidR="008E6E5F" w:rsidRPr="002E60EB">
        <w:rPr>
          <w:lang w:val="en-US"/>
        </w:rPr>
        <w:t xml:space="preserve"> measured.</w:t>
      </w:r>
      <w:r w:rsidR="00DF04D1" w:rsidRPr="002E60EB">
        <w:rPr>
          <w:lang w:val="en-US"/>
        </w:rPr>
        <w:t xml:space="preserve"> In addition to </w:t>
      </w:r>
      <w:r w:rsidR="008E6E5F" w:rsidRPr="002E60EB">
        <w:rPr>
          <w:lang w:val="en-US"/>
        </w:rPr>
        <w:t>these</w:t>
      </w:r>
      <w:r w:rsidR="00DF04D1" w:rsidRPr="002E60EB">
        <w:rPr>
          <w:lang w:val="en-US"/>
        </w:rPr>
        <w:t xml:space="preserve"> probative elements, it is worth noting that the State did not conduct ​​a diligent investigation of the incident and, in this regard, acknowledged the violation of the reasonable time in the investigation into the offense of attempted kidnapping (</w:t>
      </w:r>
      <w:r w:rsidR="00DF04D1" w:rsidRPr="002E60EB">
        <w:rPr>
          <w:i/>
          <w:lang w:val="en-US"/>
        </w:rPr>
        <w:t>supra</w:t>
      </w:r>
      <w:r w:rsidR="00DF04D1" w:rsidRPr="002E60EB">
        <w:rPr>
          <w:lang w:val="en-US"/>
        </w:rPr>
        <w:t xml:space="preserve"> para 14(c)).</w:t>
      </w:r>
      <w:r w:rsidR="004F1152" w:rsidRPr="002E60EB">
        <w:rPr>
          <w:rFonts w:cs="Arial"/>
          <w:lang w:val="en-US"/>
        </w:rPr>
        <w:t xml:space="preserve">  </w:t>
      </w:r>
    </w:p>
    <w:p w:rsidR="0072085F" w:rsidRPr="002E60EB" w:rsidRDefault="0072085F">
      <w:pPr>
        <w:tabs>
          <w:tab w:val="left" w:pos="720"/>
        </w:tabs>
        <w:jc w:val="both"/>
        <w:rPr>
          <w:lang w:val="en-US"/>
        </w:rPr>
      </w:pPr>
    </w:p>
    <w:p w:rsidR="00240C71" w:rsidRPr="002E60EB" w:rsidRDefault="00B51422" w:rsidP="00317748">
      <w:pPr>
        <w:numPr>
          <w:ilvl w:val="0"/>
          <w:numId w:val="1"/>
        </w:numPr>
        <w:tabs>
          <w:tab w:val="left" w:pos="720"/>
        </w:tabs>
        <w:jc w:val="both"/>
        <w:rPr>
          <w:lang w:val="en-US"/>
        </w:rPr>
      </w:pPr>
      <w:r w:rsidRPr="002E60EB">
        <w:rPr>
          <w:lang w:val="en-US"/>
        </w:rPr>
        <w:t xml:space="preserve">The Court considers it opportune to </w:t>
      </w:r>
      <w:r w:rsidR="008E6E5F" w:rsidRPr="002E60EB">
        <w:rPr>
          <w:lang w:val="en-US"/>
        </w:rPr>
        <w:t>clarify</w:t>
      </w:r>
      <w:r w:rsidRPr="002E60EB">
        <w:rPr>
          <w:lang w:val="en-US"/>
        </w:rPr>
        <w:t xml:space="preserve"> that, when establishing the facts relating to the said attempted deprivation of liberty, it did not consider it proved that State agents were assigned to provide protection to Mr. Vélez Restrepo before Monday, October 6, 1997,</w:t>
      </w:r>
      <w:r w:rsidRPr="002E60EB">
        <w:rPr>
          <w:rStyle w:val="Refdenotaalpie"/>
          <w:lang w:val="en-US"/>
        </w:rPr>
        <w:footnoteReference w:id="176"/>
      </w:r>
      <w:r w:rsidRPr="002E60EB">
        <w:rPr>
          <w:lang w:val="en-US"/>
        </w:rPr>
        <w:t xml:space="preserve"> because the only evidence of this is the testimony of Mr. Vélez Restrepo.</w:t>
      </w:r>
      <w:r w:rsidRPr="002E60EB">
        <w:rPr>
          <w:rStyle w:val="Refdenotaalpie"/>
          <w:lang w:val="en-US"/>
        </w:rPr>
        <w:footnoteReference w:id="177"/>
      </w:r>
      <w:r w:rsidRPr="002E60EB">
        <w:rPr>
          <w:lang w:val="en-US"/>
        </w:rPr>
        <w:t xml:space="preserve"> The Court assessed this evidence, taking into account that</w:t>
      </w:r>
      <w:r w:rsidR="0072085F" w:rsidRPr="002E60EB">
        <w:rPr>
          <w:lang w:val="en-US"/>
        </w:rPr>
        <w:t>, in the pleadings and motions brief,</w:t>
      </w:r>
      <w:r w:rsidR="004F1152" w:rsidRPr="002E60EB">
        <w:rPr>
          <w:rFonts w:cs="Arial"/>
          <w:lang w:val="en-US"/>
        </w:rPr>
        <w:t xml:space="preserve"> </w:t>
      </w:r>
      <w:r w:rsidR="00E7795B" w:rsidRPr="002E60EB">
        <w:rPr>
          <w:lang w:val="en-US"/>
        </w:rPr>
        <w:t xml:space="preserve">the representative stated that Mr. Vélez Restrepo “was unsure whether the supposed DAS agents who visited him [on Friday, October 3, 1997, to prepare a safety and protection plan for his family] were from the DAS or </w:t>
      </w:r>
      <w:r w:rsidR="008E6E5F" w:rsidRPr="002E60EB">
        <w:rPr>
          <w:lang w:val="en-US"/>
        </w:rPr>
        <w:t>whether</w:t>
      </w:r>
      <w:r w:rsidR="00E7795B" w:rsidRPr="002E60EB">
        <w:rPr>
          <w:lang w:val="en-US"/>
        </w:rPr>
        <w:t xml:space="preserve"> they were involved in the attempt” of October 6.</w:t>
      </w:r>
      <w:r w:rsidR="00240C71" w:rsidRPr="002E60EB">
        <w:rPr>
          <w:lang w:val="en-US"/>
        </w:rPr>
        <w:t xml:space="preserve"> Consequently, it is unclear to this Court whether the persons who Mr. Velez thought were DAS agents who, according to him, were supposed to arrive on Monday, October 6, 1997, really were DAS agents.</w:t>
      </w:r>
    </w:p>
    <w:p w:rsidR="00240C71" w:rsidRPr="002E60EB" w:rsidRDefault="00240C71" w:rsidP="00317748">
      <w:pPr>
        <w:pStyle w:val="Prrafodelista"/>
        <w:rPr>
          <w:rFonts w:cs="Arial"/>
          <w:lang w:val="en-US"/>
        </w:rPr>
      </w:pPr>
    </w:p>
    <w:p w:rsidR="000E46DA" w:rsidRPr="002E60EB" w:rsidRDefault="00764367" w:rsidP="00317748">
      <w:pPr>
        <w:numPr>
          <w:ilvl w:val="0"/>
          <w:numId w:val="1"/>
        </w:numPr>
        <w:tabs>
          <w:tab w:val="left" w:pos="720"/>
        </w:tabs>
        <w:jc w:val="both"/>
        <w:rPr>
          <w:lang w:val="en-US"/>
        </w:rPr>
      </w:pPr>
      <w:r w:rsidRPr="002E60EB">
        <w:rPr>
          <w:lang w:val="en-US"/>
        </w:rPr>
        <w:t xml:space="preserve">In this regard, the Court asked the State to provide useful information as to whether agents from the Administrative Department of Security (DAS) or from any other State institution had been assigned to provide protection to Mr. Vélez Restrepo prior to October 6, 1997, and were supposed to arrive that day, early in the morning, and to accompany him to work, and also, if appropriate, whether the reason why they did not </w:t>
      </w:r>
      <w:r w:rsidR="008E6E5F" w:rsidRPr="002E60EB">
        <w:rPr>
          <w:lang w:val="en-US"/>
        </w:rPr>
        <w:t>turn</w:t>
      </w:r>
      <w:r w:rsidRPr="002E60EB">
        <w:rPr>
          <w:lang w:val="en-US"/>
        </w:rPr>
        <w:t xml:space="preserve"> up that day was investigated. The State responded</w:t>
      </w:r>
      <w:r w:rsidR="00D811CC" w:rsidRPr="002E60EB">
        <w:rPr>
          <w:lang w:val="en-US"/>
        </w:rPr>
        <w:t xml:space="preserve"> that protection was provided to Mr. Vélez Restrepo from October 6 to 9, 1997, and that “[t]he State has no […] official information regarding the supposed protection by DAS agents before that date; the only element that the State and the Court have is what the representative and the presumed victim have indicated.” Nevertheless, the case file for the offense of thr</w:t>
      </w:r>
      <w:r w:rsidR="008E6E5F" w:rsidRPr="002E60EB">
        <w:rPr>
          <w:lang w:val="en-US"/>
        </w:rPr>
        <w:t>e</w:t>
      </w:r>
      <w:r w:rsidR="00D811CC" w:rsidRPr="002E60EB">
        <w:rPr>
          <w:lang w:val="en-US"/>
        </w:rPr>
        <w:t xml:space="preserve">ats contains a note dated September 24, 1996, signed by the Director of the Human Rights Unit of the Attorney General's Office addressed to the Director of the DAS, advising him of Mr. Vélez Restrepo’s situation “for the </w:t>
      </w:r>
      <w:r w:rsidR="008E6E5F" w:rsidRPr="002E60EB">
        <w:rPr>
          <w:lang w:val="en-US"/>
        </w:rPr>
        <w:t>effects</w:t>
      </w:r>
      <w:r w:rsidR="00D811CC" w:rsidRPr="002E60EB">
        <w:rPr>
          <w:lang w:val="en-US"/>
        </w:rPr>
        <w:t xml:space="preserve"> that your Department </w:t>
      </w:r>
      <w:r w:rsidR="00394DAE" w:rsidRPr="002E60EB">
        <w:rPr>
          <w:lang w:val="en-US"/>
        </w:rPr>
        <w:t>may consider</w:t>
      </w:r>
      <w:r w:rsidR="00D811CC" w:rsidRPr="002E60EB">
        <w:rPr>
          <w:lang w:val="en-US"/>
        </w:rPr>
        <w:t xml:space="preserve"> pertinent” (</w:t>
      </w:r>
      <w:r w:rsidR="00D811CC" w:rsidRPr="002E60EB">
        <w:rPr>
          <w:i/>
          <w:lang w:val="en-US"/>
        </w:rPr>
        <w:t>supra</w:t>
      </w:r>
      <w:r w:rsidR="00D811CC" w:rsidRPr="002E60EB">
        <w:rPr>
          <w:lang w:val="en-US"/>
        </w:rPr>
        <w:t xml:space="preserve"> para. 109). This document will be assessed by the Court when ruling on the State’s alleged responsibility for not adopting the opportune measures of protection (</w:t>
      </w:r>
      <w:r w:rsidR="00D811CC" w:rsidRPr="002E60EB">
        <w:rPr>
          <w:i/>
          <w:lang w:val="en-US"/>
        </w:rPr>
        <w:t>infra</w:t>
      </w:r>
      <w:r w:rsidR="00D811CC" w:rsidRPr="002E60EB">
        <w:rPr>
          <w:lang w:val="en-US"/>
        </w:rPr>
        <w:t xml:space="preserve"> paras. 186 to 204).</w:t>
      </w:r>
      <w:r w:rsidR="004F1152" w:rsidRPr="002E60EB">
        <w:rPr>
          <w:rFonts w:cs="Arial"/>
          <w:lang w:val="en-US"/>
        </w:rPr>
        <w:t xml:space="preserve"> </w:t>
      </w:r>
    </w:p>
    <w:p w:rsidR="00DA433B" w:rsidRPr="002E60EB" w:rsidRDefault="00DA433B">
      <w:pPr>
        <w:tabs>
          <w:tab w:val="left" w:pos="720"/>
        </w:tabs>
        <w:jc w:val="both"/>
        <w:rPr>
          <w:rFonts w:cs="Arial"/>
          <w:lang w:val="en-US"/>
        </w:rPr>
      </w:pPr>
    </w:p>
    <w:p w:rsidR="00DA433B" w:rsidRPr="002E60EB" w:rsidRDefault="00DA433B" w:rsidP="00DA433B">
      <w:pPr>
        <w:tabs>
          <w:tab w:val="left" w:pos="720"/>
        </w:tabs>
        <w:autoSpaceDE w:val="0"/>
        <w:autoSpaceDN w:val="0"/>
        <w:adjustRightInd w:val="0"/>
        <w:ind w:left="2160"/>
        <w:rPr>
          <w:i/>
          <w:lang w:val="en-US"/>
        </w:rPr>
      </w:pPr>
      <w:r w:rsidRPr="002E60EB">
        <w:rPr>
          <w:i/>
          <w:lang w:val="en-US"/>
        </w:rPr>
        <w:t xml:space="preserve">C.1.c) Determination of </w:t>
      </w:r>
      <w:r w:rsidR="008E6E5F" w:rsidRPr="002E60EB">
        <w:rPr>
          <w:i/>
          <w:lang w:val="en-US"/>
        </w:rPr>
        <w:t xml:space="preserve">the </w:t>
      </w:r>
      <w:r w:rsidRPr="002E60EB">
        <w:rPr>
          <w:i/>
          <w:lang w:val="en-US"/>
        </w:rPr>
        <w:t>State</w:t>
      </w:r>
      <w:r w:rsidR="008E6E5F" w:rsidRPr="002E60EB">
        <w:rPr>
          <w:i/>
          <w:lang w:val="en-US"/>
        </w:rPr>
        <w:t>’s</w:t>
      </w:r>
      <w:r w:rsidRPr="002E60EB">
        <w:rPr>
          <w:i/>
          <w:lang w:val="en-US"/>
        </w:rPr>
        <w:t xml:space="preserve"> responsibility for the threats, harassment and attempted deprivation of liberty</w:t>
      </w:r>
    </w:p>
    <w:p w:rsidR="00DA433B" w:rsidRPr="002E60EB" w:rsidRDefault="00DA433B">
      <w:pPr>
        <w:tabs>
          <w:tab w:val="left" w:pos="720"/>
        </w:tabs>
        <w:jc w:val="both"/>
        <w:rPr>
          <w:i/>
          <w:lang w:val="en-US"/>
        </w:rPr>
      </w:pPr>
    </w:p>
    <w:p w:rsidR="00270632" w:rsidRPr="002E60EB" w:rsidRDefault="00DA433B" w:rsidP="00317748">
      <w:pPr>
        <w:numPr>
          <w:ilvl w:val="0"/>
          <w:numId w:val="1"/>
        </w:numPr>
        <w:tabs>
          <w:tab w:val="left" w:pos="720"/>
        </w:tabs>
        <w:jc w:val="both"/>
        <w:rPr>
          <w:lang w:val="en-US"/>
        </w:rPr>
      </w:pPr>
      <w:r w:rsidRPr="002E60EB">
        <w:rPr>
          <w:lang w:val="en-US"/>
        </w:rPr>
        <w:t>The Court will now refer to the probative elements to which it grants fundamental value</w:t>
      </w:r>
      <w:r w:rsidR="001C6529" w:rsidRPr="002E60EB">
        <w:rPr>
          <w:lang w:val="en-US"/>
        </w:rPr>
        <w:t xml:space="preserve"> in order</w:t>
      </w:r>
      <w:r w:rsidRPr="002E60EB">
        <w:rPr>
          <w:lang w:val="en-US"/>
        </w:rPr>
        <w:t xml:space="preserve"> to consider proved the connection between the threats, harassment and attempted deprivation of liberty and the measures taken by Mr. Vélez Restrepo</w:t>
      </w:r>
      <w:r w:rsidR="007B141B" w:rsidRPr="002E60EB">
        <w:rPr>
          <w:lang w:val="en-US"/>
        </w:rPr>
        <w:t xml:space="preserve"> to ensure t</w:t>
      </w:r>
      <w:r w:rsidR="001C6529" w:rsidRPr="002E60EB">
        <w:rPr>
          <w:lang w:val="en-US"/>
        </w:rPr>
        <w:t>hat the soldiers responsible for</w:t>
      </w:r>
      <w:r w:rsidR="007B141B" w:rsidRPr="002E60EB">
        <w:rPr>
          <w:lang w:val="en-US"/>
        </w:rPr>
        <w:t xml:space="preserve"> the attack he suffered on August 29, 1996, were investigated and punished.</w:t>
      </w:r>
    </w:p>
    <w:p w:rsidR="00CE1F5A" w:rsidRPr="002E60EB" w:rsidRDefault="00CE1F5A" w:rsidP="006334C6">
      <w:pPr>
        <w:tabs>
          <w:tab w:val="left" w:pos="720"/>
        </w:tabs>
        <w:jc w:val="both"/>
        <w:rPr>
          <w:lang w:val="en-US"/>
        </w:rPr>
      </w:pPr>
    </w:p>
    <w:p w:rsidR="00CE1F5A" w:rsidRPr="002E60EB" w:rsidRDefault="004F1152" w:rsidP="00317748">
      <w:pPr>
        <w:numPr>
          <w:ilvl w:val="0"/>
          <w:numId w:val="1"/>
        </w:numPr>
        <w:tabs>
          <w:tab w:val="left" w:pos="720"/>
        </w:tabs>
        <w:jc w:val="both"/>
        <w:rPr>
          <w:lang w:val="en-US"/>
        </w:rPr>
      </w:pPr>
      <w:r w:rsidRPr="002E60EB">
        <w:rPr>
          <w:rFonts w:cs="Arial"/>
          <w:lang w:val="en-US"/>
        </w:rPr>
        <w:t xml:space="preserve">   </w:t>
      </w:r>
      <w:r w:rsidR="00CE1F5A" w:rsidRPr="002E60EB">
        <w:rPr>
          <w:lang w:val="en-US"/>
        </w:rPr>
        <w:t xml:space="preserve">The first piece of evidence that the Court takes into account is the impunity that prevails in this case, which is particularly relevant because it implied the failure to investigate the possible connection between the threats and the attempted deprivation of liberty, and the above-mentioned attack by soldiers on August 29, 1996, and the measures taken by Mr. Vélez Restrepo to obtain the punishment of those responsible for that attack. The State acknowledged that no serious investigations were conducted that would have allowed the determination and criminal punishment “of the perpetrators of the August 29, 1996, attack suffered by Mr. […] Vélez Restrepo” or of the “presumed authors of the threats,” and it also acknowledged that the reasonable time for investigating the presumed attempted </w:t>
      </w:r>
      <w:r w:rsidR="00334C3C" w:rsidRPr="002E60EB">
        <w:rPr>
          <w:lang w:val="en-US"/>
        </w:rPr>
        <w:t>kidnapping</w:t>
      </w:r>
      <w:r w:rsidR="00CE1F5A" w:rsidRPr="002E60EB">
        <w:rPr>
          <w:lang w:val="en-US"/>
        </w:rPr>
        <w:t xml:space="preserve"> of Mr. Vélez Restrepo was violated.</w:t>
      </w:r>
    </w:p>
    <w:p w:rsidR="00CE1F5A" w:rsidRPr="002E60EB" w:rsidRDefault="00CE1F5A" w:rsidP="00317748">
      <w:pPr>
        <w:pStyle w:val="Prrafodelista"/>
        <w:rPr>
          <w:sz w:val="20"/>
          <w:szCs w:val="20"/>
          <w:lang w:val="en-US"/>
        </w:rPr>
      </w:pPr>
    </w:p>
    <w:p w:rsidR="00282AFC" w:rsidRPr="002E60EB" w:rsidRDefault="00CE1F5A" w:rsidP="00317748">
      <w:pPr>
        <w:numPr>
          <w:ilvl w:val="0"/>
          <w:numId w:val="1"/>
        </w:numPr>
        <w:tabs>
          <w:tab w:val="left" w:pos="720"/>
        </w:tabs>
        <w:jc w:val="both"/>
        <w:rPr>
          <w:lang w:val="en-US"/>
        </w:rPr>
      </w:pPr>
      <w:r w:rsidRPr="002E60EB">
        <w:rPr>
          <w:lang w:val="en-US"/>
        </w:rPr>
        <w:t xml:space="preserve">  </w:t>
      </w:r>
      <w:r w:rsidR="002F4877" w:rsidRPr="002E60EB">
        <w:rPr>
          <w:lang w:val="en-US"/>
        </w:rPr>
        <w:t xml:space="preserve">The Court has also </w:t>
      </w:r>
      <w:r w:rsidR="00847CA9" w:rsidRPr="002E60EB">
        <w:rPr>
          <w:lang w:val="en-US"/>
        </w:rPr>
        <w:t>found that, in the statement</w:t>
      </w:r>
      <w:r w:rsidR="002F4877" w:rsidRPr="002E60EB">
        <w:rPr>
          <w:lang w:val="en-US"/>
        </w:rPr>
        <w:t xml:space="preserve"> made by Mr. Vélez Restrepo in August 1997 before the Prosecutor’s Office in charge of that investigation, he indicated that he believed that the threats “[were] related to the </w:t>
      </w:r>
      <w:r w:rsidR="00847CA9" w:rsidRPr="002E60EB">
        <w:rPr>
          <w:lang w:val="en-US"/>
        </w:rPr>
        <w:t xml:space="preserve">events that took place in </w:t>
      </w:r>
      <w:r w:rsidR="002F4877" w:rsidRPr="002E60EB">
        <w:rPr>
          <w:lang w:val="en-US"/>
        </w:rPr>
        <w:t>Caquetá on August 29, [1996]” (</w:t>
      </w:r>
      <w:r w:rsidR="002F4877" w:rsidRPr="002E60EB">
        <w:rPr>
          <w:i/>
          <w:lang w:val="en-US"/>
        </w:rPr>
        <w:t>supra</w:t>
      </w:r>
      <w:r w:rsidR="002F4877" w:rsidRPr="002E60EB">
        <w:rPr>
          <w:lang w:val="en-US"/>
        </w:rPr>
        <w:t xml:space="preserve"> para. 117), for which a complaint had been filed</w:t>
      </w:r>
      <w:r w:rsidR="00282AFC" w:rsidRPr="002E60EB">
        <w:rPr>
          <w:lang w:val="en-US"/>
        </w:rPr>
        <w:t>. Mr. Vélez Restrepo expla</w:t>
      </w:r>
      <w:r w:rsidR="00847CA9" w:rsidRPr="002E60EB">
        <w:rPr>
          <w:lang w:val="en-US"/>
        </w:rPr>
        <w:t>ined the consequences that the</w:t>
      </w:r>
      <w:r w:rsidR="00282AFC" w:rsidRPr="002E60EB">
        <w:rPr>
          <w:lang w:val="en-US"/>
        </w:rPr>
        <w:t xml:space="preserve"> threats had had on his life and that of his family. When asked if “the threats had persisted,” Mr. Vélez Restrepo explained that, in the last six months, he had not received threats and referred to those </w:t>
      </w:r>
      <w:r w:rsidR="00847CA9" w:rsidRPr="002E60EB">
        <w:rPr>
          <w:lang w:val="en-US"/>
        </w:rPr>
        <w:t>that</w:t>
      </w:r>
      <w:r w:rsidR="00282AFC" w:rsidRPr="002E60EB">
        <w:rPr>
          <w:lang w:val="en-US"/>
        </w:rPr>
        <w:t xml:space="preserve"> he had received previously.</w:t>
      </w:r>
    </w:p>
    <w:p w:rsidR="00282AFC" w:rsidRPr="002E60EB" w:rsidRDefault="00282AFC" w:rsidP="00317748">
      <w:pPr>
        <w:pStyle w:val="Prrafodelista"/>
        <w:rPr>
          <w:sz w:val="20"/>
          <w:szCs w:val="20"/>
          <w:lang w:val="en-US"/>
        </w:rPr>
      </w:pPr>
    </w:p>
    <w:p w:rsidR="00226238" w:rsidRPr="002E60EB" w:rsidRDefault="00226238" w:rsidP="00317748">
      <w:pPr>
        <w:numPr>
          <w:ilvl w:val="0"/>
          <w:numId w:val="1"/>
        </w:numPr>
        <w:tabs>
          <w:tab w:val="left" w:pos="720"/>
        </w:tabs>
        <w:jc w:val="both"/>
        <w:rPr>
          <w:lang w:val="en-US"/>
        </w:rPr>
      </w:pPr>
      <w:r w:rsidRPr="002E60EB">
        <w:rPr>
          <w:lang w:val="en-US"/>
        </w:rPr>
        <w:t>The Court finds that the State’s affirmation that there is no evidence of the said connection is unsubstantiated, considering that it is the State that has the obligation to investigate</w:t>
      </w:r>
      <w:r w:rsidR="00847CA9" w:rsidRPr="002E60EB">
        <w:rPr>
          <w:lang w:val="en-US"/>
        </w:rPr>
        <w:t xml:space="preserve"> the</w:t>
      </w:r>
      <w:r w:rsidRPr="002E60EB">
        <w:rPr>
          <w:lang w:val="en-US"/>
        </w:rPr>
        <w:t xml:space="preserve"> possible connection, and it did not do so. The Court underscores the seriousness of this omission, as the threats began less than a month after the attack on Mr. Vélez Restrepo, acknowledged by the State, to prevent him from recording and disseminating the actions of soldiers who were attacking defenseless </w:t>
      </w:r>
      <w:r w:rsidR="00847CA9" w:rsidRPr="002E60EB">
        <w:rPr>
          <w:lang w:val="en-US"/>
        </w:rPr>
        <w:t>individuals</w:t>
      </w:r>
      <w:r w:rsidRPr="002E60EB">
        <w:rPr>
          <w:lang w:val="en-US"/>
        </w:rPr>
        <w:t>. The State itself stressed that the recording of the said attacks that was disseminated by the media, “mobilized all the media to speak out,” and even resulted in senior State officials publicly rejecting such actions and asserting that they should be punished. It was logical and consistent to assume that the threats, harassment and attempted deprivation of liberty could originate from the people</w:t>
      </w:r>
      <w:r w:rsidR="00847CA9" w:rsidRPr="002E60EB">
        <w:rPr>
          <w:lang w:val="en-US"/>
        </w:rPr>
        <w:t xml:space="preserve"> who were</w:t>
      </w:r>
      <w:r w:rsidRPr="002E60EB">
        <w:rPr>
          <w:lang w:val="en-US"/>
        </w:rPr>
        <w:t xml:space="preserve"> interested in not being punished for these acts of violence.</w:t>
      </w:r>
    </w:p>
    <w:p w:rsidR="00226238" w:rsidRPr="002E60EB" w:rsidRDefault="00226238" w:rsidP="00317748">
      <w:pPr>
        <w:pStyle w:val="Prrafodelista"/>
        <w:rPr>
          <w:sz w:val="20"/>
          <w:szCs w:val="20"/>
          <w:lang w:val="en-US"/>
        </w:rPr>
      </w:pPr>
    </w:p>
    <w:p w:rsidR="009C030F" w:rsidRPr="002E60EB" w:rsidRDefault="00167FB8" w:rsidP="00317748">
      <w:pPr>
        <w:numPr>
          <w:ilvl w:val="0"/>
          <w:numId w:val="1"/>
        </w:numPr>
        <w:tabs>
          <w:tab w:val="left" w:pos="720"/>
        </w:tabs>
        <w:jc w:val="both"/>
        <w:rPr>
          <w:lang w:val="en-US"/>
        </w:rPr>
      </w:pPr>
      <w:r w:rsidRPr="002E60EB">
        <w:rPr>
          <w:rFonts w:cs="Arial"/>
          <w:lang w:val="en-US"/>
        </w:rPr>
        <w:t>A second piece of evidence is constituted by the indications arising from the temporal correlation between the frequency and intensification of the threats and the measures taken by Mr. Velez to obtain the investigation and punishment of the soldiers who attacked him on August 29, 1996. In around mid-September 1996, Mr. Vélez Restrepo testified in the criminal investigation conducted in the military jurisdiction for the attack of August 29, 1996 (supra para. 106) and, that same month, he began to receive death threats and harassment; also men came to his home claiming to be officials of the Attorney General’s Office, without showing a</w:t>
      </w:r>
      <w:r w:rsidR="00847CA9" w:rsidRPr="002E60EB">
        <w:rPr>
          <w:rFonts w:cs="Arial"/>
          <w:lang w:val="en-US"/>
        </w:rPr>
        <w:t>ny identification, and asked about</w:t>
      </w:r>
      <w:r w:rsidRPr="002E60EB">
        <w:rPr>
          <w:rFonts w:cs="Arial"/>
          <w:lang w:val="en-US"/>
        </w:rPr>
        <w:t xml:space="preserve"> his schedules and activities (</w:t>
      </w:r>
      <w:r w:rsidRPr="002E60EB">
        <w:rPr>
          <w:rFonts w:cs="Arial"/>
          <w:i/>
          <w:lang w:val="en-US"/>
        </w:rPr>
        <w:t>supra</w:t>
      </w:r>
      <w:r w:rsidRPr="002E60EB">
        <w:rPr>
          <w:rFonts w:cs="Arial"/>
          <w:lang w:val="en-US"/>
        </w:rPr>
        <w:t xml:space="preserve"> paras. 85 and 86).</w:t>
      </w:r>
      <w:r w:rsidRPr="002E60EB">
        <w:rPr>
          <w:lang w:val="en-US"/>
        </w:rPr>
        <w:t xml:space="preserve"> This situation led Mr. Vélez and his wife to decide to move house, following which they stopped receiving threats at home, although the calls to Mr. Vélez Restrepo’s place of work</w:t>
      </w:r>
      <w:r w:rsidR="00847CA9" w:rsidRPr="002E60EB">
        <w:rPr>
          <w:lang w:val="en-US"/>
        </w:rPr>
        <w:t xml:space="preserve"> continued</w:t>
      </w:r>
      <w:r w:rsidRPr="002E60EB">
        <w:rPr>
          <w:lang w:val="en-US"/>
        </w:rPr>
        <w:t>.</w:t>
      </w:r>
      <w:r w:rsidR="00AF3534" w:rsidRPr="002E60EB">
        <w:rPr>
          <w:lang w:val="en-US"/>
        </w:rPr>
        <w:t xml:space="preserve"> Between March and August 1997, he received no threats. Mr. Vélez indicated this when he testified that August before the Prosecutor’s Office in charge of the criminal investigation into the threats. In that statement, Mr. Vélez explained that he considered that the previous threats were related to the fact that he had denounced the attack of August 29, 1996. After making this statement, in September, Mr. Vélez and his family again received death threats and another</w:t>
      </w:r>
      <w:r w:rsidR="00847CA9" w:rsidRPr="002E60EB">
        <w:rPr>
          <w:lang w:val="en-US"/>
        </w:rPr>
        <w:t xml:space="preserve"> visit to</w:t>
      </w:r>
      <w:r w:rsidR="00AF3534" w:rsidRPr="002E60EB">
        <w:rPr>
          <w:lang w:val="en-US"/>
        </w:rPr>
        <w:t xml:space="preserve"> his home by men claiming to be officials of the Attorney General’s Office (supra para. 89)</w:t>
      </w:r>
      <w:r w:rsidR="009C030F" w:rsidRPr="002E60EB">
        <w:rPr>
          <w:lang w:val="en-US"/>
        </w:rPr>
        <w:t xml:space="preserve">. This new series of threats and harassment was reported by both the Colombian Commission of Jurists (supra paras. 90) and by Mr. Vélez Restrepo, who even appeared personally before the Human Rights Council of the Presidency of the Republic on October 3, 1997. Two days later he received a written death threat, which caused him “great fear that something would happen,” and the </w:t>
      </w:r>
      <w:r w:rsidR="00847CA9" w:rsidRPr="002E60EB">
        <w:rPr>
          <w:lang w:val="en-US"/>
        </w:rPr>
        <w:t xml:space="preserve">following </w:t>
      </w:r>
      <w:r w:rsidR="009C030F" w:rsidRPr="002E60EB">
        <w:rPr>
          <w:lang w:val="en-US"/>
        </w:rPr>
        <w:t>day he suffered an attempted deprivation of liberty (supra para. 94).</w:t>
      </w:r>
    </w:p>
    <w:p w:rsidR="00E17E46" w:rsidRPr="002E60EB" w:rsidRDefault="00E17E46" w:rsidP="006334C6">
      <w:pPr>
        <w:tabs>
          <w:tab w:val="left" w:pos="720"/>
        </w:tabs>
        <w:jc w:val="both"/>
        <w:rPr>
          <w:lang w:val="en-US"/>
        </w:rPr>
      </w:pPr>
    </w:p>
    <w:p w:rsidR="00E17E46" w:rsidRPr="002E60EB" w:rsidRDefault="00AF3534" w:rsidP="00317748">
      <w:pPr>
        <w:numPr>
          <w:ilvl w:val="0"/>
          <w:numId w:val="1"/>
        </w:numPr>
        <w:tabs>
          <w:tab w:val="left" w:pos="720"/>
        </w:tabs>
        <w:jc w:val="both"/>
        <w:rPr>
          <w:lang w:val="en-US"/>
        </w:rPr>
      </w:pPr>
      <w:r w:rsidRPr="002E60EB">
        <w:rPr>
          <w:lang w:val="en-US"/>
        </w:rPr>
        <w:t xml:space="preserve"> </w:t>
      </w:r>
      <w:r w:rsidR="00E17E46" w:rsidRPr="002E60EB">
        <w:rPr>
          <w:lang w:val="en-US"/>
        </w:rPr>
        <w:t>The Court notes that, according to the evidence provided to the Court, the period of approximately six months when Mr. Vélez Restrepo and his family did not receive threats coincides with the time during which Mr. Vélez Restrepo did not testify or take any other measure in the ongoing investigations, and when he and his family moved house. This reveals the said temporal correlation between the frequency and intensification of the threats and the measures taken by Mr. Vélez to obtain the invest</w:t>
      </w:r>
      <w:r w:rsidR="00F429E6" w:rsidRPr="002E60EB">
        <w:rPr>
          <w:lang w:val="en-US"/>
        </w:rPr>
        <w:t>igation and punishment of the so</w:t>
      </w:r>
      <w:r w:rsidR="00E17E46" w:rsidRPr="002E60EB">
        <w:rPr>
          <w:lang w:val="en-US"/>
        </w:rPr>
        <w:t>ldiers who attacked him on August 29, 1996.</w:t>
      </w:r>
    </w:p>
    <w:p w:rsidR="00E17E46" w:rsidRPr="002E60EB" w:rsidRDefault="00E17E46" w:rsidP="00317748">
      <w:pPr>
        <w:pStyle w:val="Prrafodelista"/>
        <w:rPr>
          <w:lang w:val="en-US"/>
        </w:rPr>
      </w:pPr>
    </w:p>
    <w:p w:rsidR="00D047D4" w:rsidRPr="002E60EB" w:rsidRDefault="00D047D4" w:rsidP="00D047D4">
      <w:pPr>
        <w:pStyle w:val="Prrafodelista2"/>
        <w:numPr>
          <w:ilvl w:val="0"/>
          <w:numId w:val="1"/>
        </w:numPr>
        <w:tabs>
          <w:tab w:val="left" w:pos="720"/>
        </w:tabs>
        <w:ind w:left="0"/>
        <w:contextualSpacing/>
        <w:jc w:val="both"/>
        <w:rPr>
          <w:lang w:val="en-US"/>
        </w:rPr>
      </w:pPr>
      <w:r w:rsidRPr="002E60EB">
        <w:rPr>
          <w:lang w:val="en-US"/>
        </w:rPr>
        <w:t>For this Court, a third important piece of evidence is that neither the State in its arguments, nor the authorities in charge of the investigations have offered or identified any alternative hypothesis that could explain the origin of the threats, harassment, and attempted deprivation of liberty. In this regard, to</w:t>
      </w:r>
      <w:r w:rsidR="00A74E56" w:rsidRPr="002E60EB">
        <w:rPr>
          <w:lang w:val="en-US"/>
        </w:rPr>
        <w:t xml:space="preserve"> assist in its deliberations</w:t>
      </w:r>
      <w:r w:rsidRPr="002E60EB">
        <w:rPr>
          <w:lang w:val="en-US"/>
        </w:rPr>
        <w:t xml:space="preserve">, the Court asked the State to </w:t>
      </w:r>
      <w:r w:rsidR="00C47CD4" w:rsidRPr="002E60EB">
        <w:rPr>
          <w:lang w:val="en-US"/>
        </w:rPr>
        <w:t>explain which</w:t>
      </w:r>
      <w:r w:rsidRPr="002E60EB">
        <w:rPr>
          <w:lang w:val="en-US"/>
        </w:rPr>
        <w:t xml:space="preserve"> individuals, other than the soldiers who attacked Mr. Velez in Caquetá on August 1996, could have had an interest in threatening him to the point that he had to leave the country.</w:t>
      </w:r>
      <w:r w:rsidRPr="002E60EB">
        <w:rPr>
          <w:rStyle w:val="Refdenotaalpie"/>
          <w:lang w:val="en-US"/>
        </w:rPr>
        <w:footnoteReference w:id="178"/>
      </w:r>
      <w:r w:rsidRPr="002E60EB">
        <w:rPr>
          <w:lang w:val="en-US"/>
        </w:rPr>
        <w:t xml:space="preserve"> </w:t>
      </w:r>
      <w:r w:rsidR="00C47CD4" w:rsidRPr="002E60EB">
        <w:rPr>
          <w:lang w:val="en-US"/>
        </w:rPr>
        <w:t>Moreover</w:t>
      </w:r>
      <w:r w:rsidRPr="002E60EB">
        <w:rPr>
          <w:lang w:val="en-US"/>
        </w:rPr>
        <w:t xml:space="preserve">, it should be emphasized that, to the contrary, in all the statements </w:t>
      </w:r>
      <w:r w:rsidR="00C47CD4" w:rsidRPr="002E60EB">
        <w:rPr>
          <w:lang w:val="en-US"/>
        </w:rPr>
        <w:t>that</w:t>
      </w:r>
      <w:r w:rsidRPr="002E60EB">
        <w:rPr>
          <w:lang w:val="en-US"/>
        </w:rPr>
        <w:t xml:space="preserve"> Mr. Vélez Restrepo</w:t>
      </w:r>
      <w:r w:rsidR="00C47CD4" w:rsidRPr="002E60EB">
        <w:rPr>
          <w:lang w:val="en-US"/>
        </w:rPr>
        <w:t xml:space="preserve"> has made </w:t>
      </w:r>
      <w:r w:rsidRPr="002E60EB">
        <w:rPr>
          <w:lang w:val="en-US"/>
        </w:rPr>
        <w:t>that form part of the body of evidence in this case, he has been consistent in stating that the t</w:t>
      </w:r>
      <w:r w:rsidR="00C47CD4" w:rsidRPr="002E60EB">
        <w:rPr>
          <w:lang w:val="en-US"/>
        </w:rPr>
        <w:t>hreats, harassment</w:t>
      </w:r>
      <w:r w:rsidRPr="002E60EB">
        <w:rPr>
          <w:lang w:val="en-US"/>
        </w:rPr>
        <w:t xml:space="preserve"> and attempted deprivation of liberty originated “from the soldiers, and</w:t>
      </w:r>
      <w:r w:rsidR="00C47CD4" w:rsidRPr="002E60EB">
        <w:rPr>
          <w:lang w:val="en-US"/>
        </w:rPr>
        <w:t xml:space="preserve"> were</w:t>
      </w:r>
      <w:r w:rsidRPr="002E60EB">
        <w:rPr>
          <w:lang w:val="en-US"/>
        </w:rPr>
        <w:t xml:space="preserve"> related to the Caquetá incident.” Before this Court, Mr. Vélez Restrepo stated that there was no other reason that could explain the origin of those acts. </w:t>
      </w:r>
    </w:p>
    <w:p w:rsidR="00A328EA" w:rsidRPr="002E60EB" w:rsidRDefault="00A328EA" w:rsidP="00317748">
      <w:pPr>
        <w:pStyle w:val="Prrafodelista2"/>
        <w:tabs>
          <w:tab w:val="left" w:pos="720"/>
        </w:tabs>
        <w:ind w:left="0"/>
        <w:contextualSpacing/>
        <w:jc w:val="both"/>
        <w:rPr>
          <w:lang w:val="en-US"/>
        </w:rPr>
      </w:pPr>
    </w:p>
    <w:p w:rsidR="00A328EA" w:rsidRPr="002E60EB" w:rsidRDefault="00A328EA" w:rsidP="00317748">
      <w:pPr>
        <w:numPr>
          <w:ilvl w:val="0"/>
          <w:numId w:val="1"/>
        </w:numPr>
        <w:tabs>
          <w:tab w:val="left" w:pos="720"/>
        </w:tabs>
        <w:jc w:val="both"/>
        <w:rPr>
          <w:lang w:val="en-US"/>
        </w:rPr>
      </w:pPr>
      <w:r w:rsidRPr="002E60EB">
        <w:rPr>
          <w:bCs/>
          <w:lang w:val="en-US"/>
        </w:rPr>
        <w:t xml:space="preserve">The Court finds that these indications are also confirmed by the information provided in the testimony of Mr. Tulande, expert witness proposed by the State, who indicated that a certain journalist also received threats in connection with the “decisive role” </w:t>
      </w:r>
      <w:r w:rsidR="00E02747" w:rsidRPr="002E60EB">
        <w:rPr>
          <w:bCs/>
          <w:lang w:val="en-US"/>
        </w:rPr>
        <w:t>s</w:t>
      </w:r>
      <w:r w:rsidRPr="002E60EB">
        <w:rPr>
          <w:bCs/>
          <w:lang w:val="en-US"/>
        </w:rPr>
        <w:t>he played in obtaining and disseminating the video recording made by Mr. Vélez Restrepo on August 29, 1996. The expert witness even provided the recording of the interview he had conducted with that journalist,</w:t>
      </w:r>
      <w:r w:rsidRPr="002E60EB">
        <w:rPr>
          <w:rStyle w:val="Refdenotaalpie"/>
          <w:lang w:val="en-US"/>
        </w:rPr>
        <w:footnoteReference w:id="179"/>
      </w:r>
      <w:r w:rsidRPr="002E60EB" w:rsidDel="000C296C">
        <w:rPr>
          <w:bCs/>
          <w:lang w:val="en-US"/>
        </w:rPr>
        <w:t xml:space="preserve"> </w:t>
      </w:r>
      <w:r w:rsidRPr="002E60EB">
        <w:rPr>
          <w:bCs/>
          <w:lang w:val="en-US"/>
        </w:rPr>
        <w:t>in which she stated that, on the day after she disseminated the video, she received a threatening telephone call at the hotel where she was staying in Caquetá, and that she “assumes that it was made by those who attacked Richard […], who were the soldiers who beat him,”</w:t>
      </w:r>
      <w:r w:rsidR="00E02747" w:rsidRPr="002E60EB">
        <w:rPr>
          <w:bCs/>
          <w:lang w:val="en-US"/>
        </w:rPr>
        <w:t xml:space="preserve"> an incident she said that</w:t>
      </w:r>
      <w:r w:rsidRPr="002E60EB">
        <w:rPr>
          <w:bCs/>
          <w:lang w:val="en-US"/>
        </w:rPr>
        <w:t xml:space="preserve"> she</w:t>
      </w:r>
      <w:r w:rsidR="00E02747" w:rsidRPr="002E60EB">
        <w:rPr>
          <w:bCs/>
          <w:lang w:val="en-US"/>
        </w:rPr>
        <w:t xml:space="preserve"> had</w:t>
      </w:r>
      <w:r w:rsidRPr="002E60EB">
        <w:rPr>
          <w:bCs/>
          <w:lang w:val="en-US"/>
        </w:rPr>
        <w:t xml:space="preserve"> witnessed personally. Also, the journalist explained that, as a preventive measure, the news station for which she worked decided to “take [her] out of the region,” following which she received no further threats or intimidation in this regard.</w:t>
      </w:r>
    </w:p>
    <w:p w:rsidR="00A328EA" w:rsidRPr="002E60EB" w:rsidRDefault="00A328EA" w:rsidP="00317748">
      <w:pPr>
        <w:pStyle w:val="Prrafodelista"/>
        <w:rPr>
          <w:lang w:val="en-US"/>
        </w:rPr>
      </w:pPr>
    </w:p>
    <w:p w:rsidR="00D60E84" w:rsidRPr="002E60EB" w:rsidRDefault="00864302" w:rsidP="00317748">
      <w:pPr>
        <w:numPr>
          <w:ilvl w:val="0"/>
          <w:numId w:val="1"/>
        </w:numPr>
        <w:tabs>
          <w:tab w:val="left" w:pos="720"/>
        </w:tabs>
        <w:jc w:val="both"/>
        <w:rPr>
          <w:lang w:val="en-US"/>
        </w:rPr>
      </w:pPr>
      <w:r w:rsidRPr="002E60EB">
        <w:rPr>
          <w:lang w:val="en-US"/>
        </w:rPr>
        <w:t>A fourth probative element that provides indications about the possible involvement of the military are two decisions adopted in the disciplinary inquiries. The Court notes</w:t>
      </w:r>
      <w:r w:rsidR="00E02747" w:rsidRPr="002E60EB">
        <w:rPr>
          <w:lang w:val="en-US"/>
        </w:rPr>
        <w:t xml:space="preserve"> </w:t>
      </w:r>
      <w:r w:rsidRPr="002E60EB">
        <w:rPr>
          <w:lang w:val="en-US"/>
        </w:rPr>
        <w:t>the State</w:t>
      </w:r>
      <w:r w:rsidR="00E02747" w:rsidRPr="002E60EB">
        <w:rPr>
          <w:lang w:val="en-US"/>
        </w:rPr>
        <w:t>’s opposition</w:t>
      </w:r>
      <w:r w:rsidRPr="002E60EB">
        <w:rPr>
          <w:lang w:val="en-US"/>
        </w:rPr>
        <w:t xml:space="preserve"> </w:t>
      </w:r>
      <w:r w:rsidR="00E02747" w:rsidRPr="002E60EB">
        <w:rPr>
          <w:lang w:val="en-US"/>
        </w:rPr>
        <w:t>to</w:t>
      </w:r>
      <w:r w:rsidRPr="002E60EB">
        <w:rPr>
          <w:lang w:val="en-US"/>
        </w:rPr>
        <w:t xml:space="preserve"> statements </w:t>
      </w:r>
      <w:r w:rsidR="00076C49" w:rsidRPr="002E60EB">
        <w:rPr>
          <w:lang w:val="en-US"/>
        </w:rPr>
        <w:t xml:space="preserve">being assessed for these purposes that were </w:t>
      </w:r>
      <w:r w:rsidRPr="002E60EB">
        <w:rPr>
          <w:lang w:val="en-US"/>
        </w:rPr>
        <w:t>made in decisions issued in the context of disciplinary investigations</w:t>
      </w:r>
      <w:r w:rsidR="00076C49" w:rsidRPr="002E60EB">
        <w:rPr>
          <w:lang w:val="en-US"/>
        </w:rPr>
        <w:t>; investigation that, moreover</w:t>
      </w:r>
      <w:r w:rsidRPr="002E60EB">
        <w:rPr>
          <w:lang w:val="en-US"/>
        </w:rPr>
        <w:t xml:space="preserve"> </w:t>
      </w:r>
      <w:r w:rsidR="00076C49" w:rsidRPr="002E60EB">
        <w:rPr>
          <w:lang w:val="en-US"/>
        </w:rPr>
        <w:t>had been closed</w:t>
      </w:r>
      <w:r w:rsidRPr="002E60EB">
        <w:rPr>
          <w:lang w:val="en-US"/>
        </w:rPr>
        <w:t xml:space="preserve"> for lack of merit (</w:t>
      </w:r>
      <w:r w:rsidRPr="002E60EB">
        <w:rPr>
          <w:i/>
          <w:lang w:val="en-US"/>
        </w:rPr>
        <w:t>supra</w:t>
      </w:r>
      <w:r w:rsidRPr="002E60EB">
        <w:rPr>
          <w:lang w:val="en-US"/>
        </w:rPr>
        <w:t xml:space="preserve"> para. 154). The Court does not agree with this position, because neither the Commission nor the Court used these documents to establish individual disciplinary or criminal responsibilities, but rather to emphasize that those authorities identified indications of the possible connection between the threats and harassment, and the attack committed by soldiers against Mr. Restrepo in August 1996. In this regard, the Court notes that</w:t>
      </w:r>
      <w:r w:rsidR="00AF3534" w:rsidRPr="002E60EB">
        <w:rPr>
          <w:lang w:val="en-US"/>
        </w:rPr>
        <w:t xml:space="preserve"> </w:t>
      </w:r>
      <w:r w:rsidR="00E964BF" w:rsidRPr="002E60EB">
        <w:rPr>
          <w:lang w:val="en-US"/>
        </w:rPr>
        <w:t>the “evaluation report” issued by the Human Rights Unit of the National Special Investigations Directorate of the Attorney General's Office</w:t>
      </w:r>
      <w:r w:rsidR="00076C49" w:rsidRPr="002E60EB">
        <w:rPr>
          <w:lang w:val="en-US"/>
        </w:rPr>
        <w:t xml:space="preserve"> in July 1998</w:t>
      </w:r>
      <w:r w:rsidR="00E964BF" w:rsidRPr="002E60EB">
        <w:rPr>
          <w:lang w:val="en-US"/>
        </w:rPr>
        <w:t xml:space="preserve"> stated that “the source of the threat can be found in the performance of his professional work as a cameraman, [because one of the events he filmed] was the </w:t>
      </w:r>
      <w:r w:rsidR="00076C49" w:rsidRPr="002E60EB">
        <w:rPr>
          <w:lang w:val="en-US"/>
        </w:rPr>
        <w:t>peasants’</w:t>
      </w:r>
      <w:r w:rsidR="00E964BF" w:rsidRPr="002E60EB">
        <w:rPr>
          <w:lang w:val="en-US"/>
        </w:rPr>
        <w:t xml:space="preserve"> coca march in the municipality of Morelia in the department of Caquetá where he was attacked by uniformed personnel attached to the Battalion of the Twelfth Brigade based in Florencia” (</w:t>
      </w:r>
      <w:r w:rsidR="00E964BF" w:rsidRPr="002E60EB">
        <w:rPr>
          <w:rFonts w:eastAsia="Calibri" w:cs="Arial"/>
          <w:i/>
          <w:lang w:val="en-US"/>
        </w:rPr>
        <w:t xml:space="preserve">supra </w:t>
      </w:r>
      <w:r w:rsidR="00E964BF" w:rsidRPr="002E60EB">
        <w:rPr>
          <w:rFonts w:eastAsia="Calibri" w:cs="Arial"/>
          <w:lang w:val="en-US"/>
        </w:rPr>
        <w:t>para. 113).</w:t>
      </w:r>
      <w:r w:rsidR="00E964BF" w:rsidRPr="002E60EB">
        <w:rPr>
          <w:lang w:val="en-US"/>
        </w:rPr>
        <w:t xml:space="preserve"> The decision of the Oversight Office of the Attorney General's Office of May 2002 </w:t>
      </w:r>
      <w:r w:rsidR="00E964BF" w:rsidRPr="002E60EB">
        <w:rPr>
          <w:rFonts w:eastAsia="Calibri" w:cs="Arial"/>
          <w:lang w:val="en-US"/>
        </w:rPr>
        <w:t>(</w:t>
      </w:r>
      <w:r w:rsidR="00E964BF" w:rsidRPr="002E60EB">
        <w:rPr>
          <w:rFonts w:eastAsia="Calibri" w:cs="Arial"/>
          <w:i/>
          <w:lang w:val="en-US"/>
        </w:rPr>
        <w:t xml:space="preserve">supra </w:t>
      </w:r>
      <w:r w:rsidR="00E964BF" w:rsidRPr="002E60EB">
        <w:rPr>
          <w:rFonts w:eastAsia="Calibri" w:cs="Arial"/>
          <w:lang w:val="en-US"/>
        </w:rPr>
        <w:t xml:space="preserve">para. 114) </w:t>
      </w:r>
      <w:r w:rsidR="00E964BF" w:rsidRPr="002E60EB">
        <w:rPr>
          <w:lang w:val="en-US"/>
        </w:rPr>
        <w:t xml:space="preserve">is also worth noting in which, when it decided to </w:t>
      </w:r>
      <w:r w:rsidR="00076C49" w:rsidRPr="002E60EB">
        <w:rPr>
          <w:lang w:val="en-US"/>
        </w:rPr>
        <w:t>close</w:t>
      </w:r>
      <w:r w:rsidR="00E964BF" w:rsidRPr="002E60EB">
        <w:rPr>
          <w:lang w:val="en-US"/>
        </w:rPr>
        <w:t xml:space="preserve"> the investigation, it noted that “those who may have had an </w:t>
      </w:r>
      <w:r w:rsidR="00076C49" w:rsidRPr="002E60EB">
        <w:rPr>
          <w:lang w:val="en-US"/>
        </w:rPr>
        <w:t>interest in harassing and threaten</w:t>
      </w:r>
      <w:r w:rsidR="00E964BF" w:rsidRPr="002E60EB">
        <w:rPr>
          <w:lang w:val="en-US"/>
        </w:rPr>
        <w:t>ing Mr. Vélez […] would be those who</w:t>
      </w:r>
      <w:r w:rsidR="00D60E84" w:rsidRPr="002E60EB">
        <w:rPr>
          <w:lang w:val="en-US"/>
        </w:rPr>
        <w:t xml:space="preserve"> attacked him during the violent events that took place in the municipality of Morelia, Caquetá, on August 29, 1996.” There is no evidence that these indications noted by the said </w:t>
      </w:r>
      <w:r w:rsidR="00076C49" w:rsidRPr="002E60EB">
        <w:rPr>
          <w:lang w:val="en-US"/>
        </w:rPr>
        <w:t xml:space="preserve">administrative bodies </w:t>
      </w:r>
      <w:r w:rsidR="00D60E84" w:rsidRPr="002E60EB">
        <w:rPr>
          <w:lang w:val="en-US"/>
        </w:rPr>
        <w:t>have been investigated in the criminal jurisdiction.</w:t>
      </w:r>
    </w:p>
    <w:p w:rsidR="00D60E84" w:rsidRPr="002E60EB" w:rsidRDefault="00D60E84" w:rsidP="006334C6">
      <w:pPr>
        <w:tabs>
          <w:tab w:val="left" w:pos="720"/>
        </w:tabs>
        <w:jc w:val="both"/>
        <w:rPr>
          <w:lang w:val="en-US"/>
        </w:rPr>
      </w:pPr>
    </w:p>
    <w:p w:rsidR="00D60E84" w:rsidRPr="002E60EB" w:rsidRDefault="00167FB8" w:rsidP="00317748">
      <w:pPr>
        <w:numPr>
          <w:ilvl w:val="0"/>
          <w:numId w:val="1"/>
        </w:numPr>
        <w:tabs>
          <w:tab w:val="left" w:pos="720"/>
        </w:tabs>
        <w:jc w:val="both"/>
        <w:rPr>
          <w:lang w:val="en-US"/>
        </w:rPr>
      </w:pPr>
      <w:r w:rsidRPr="002E60EB">
        <w:rPr>
          <w:lang w:val="en-US"/>
        </w:rPr>
        <w:t xml:space="preserve">   </w:t>
      </w:r>
      <w:r w:rsidR="00D60E84" w:rsidRPr="002E60EB">
        <w:rPr>
          <w:lang w:val="en-US"/>
        </w:rPr>
        <w:t xml:space="preserve">Finally, </w:t>
      </w:r>
      <w:r w:rsidR="00EB117E" w:rsidRPr="002E60EB">
        <w:rPr>
          <w:lang w:val="en-US"/>
        </w:rPr>
        <w:t>in relation to the affirmations concerning</w:t>
      </w:r>
      <w:r w:rsidR="00D60E84" w:rsidRPr="002E60EB">
        <w:rPr>
          <w:lang w:val="en-US"/>
        </w:rPr>
        <w:t xml:space="preserve"> an alleged context of threats and violence by Colombian military forces to prevent investigations against their members</w:t>
      </w:r>
      <w:r w:rsidR="00D60E84" w:rsidRPr="002E60EB">
        <w:rPr>
          <w:rStyle w:val="Refdenotaalpie"/>
          <w:lang w:val="en-US"/>
        </w:rPr>
        <w:footnoteReference w:id="180"/>
      </w:r>
      <w:r w:rsidR="00D60E84" w:rsidRPr="002E60EB">
        <w:rPr>
          <w:lang w:val="en-US"/>
        </w:rPr>
        <w:t xml:space="preserve"> (</w:t>
      </w:r>
      <w:r w:rsidR="00D60E84" w:rsidRPr="002E60EB">
        <w:rPr>
          <w:i/>
          <w:lang w:val="en-US"/>
        </w:rPr>
        <w:t>supra</w:t>
      </w:r>
      <w:r w:rsidR="00D60E84" w:rsidRPr="002E60EB">
        <w:rPr>
          <w:lang w:val="en-US"/>
        </w:rPr>
        <w:t xml:space="preserve"> para. 51), the Court considers that the evidence provided is insufficient to establish the contextual situations mentioned by the Commission and the representative</w:t>
      </w:r>
      <w:r w:rsidR="00EB117E" w:rsidRPr="002E60EB">
        <w:rPr>
          <w:lang w:val="en-US"/>
        </w:rPr>
        <w:t xml:space="preserve"> as a fact in this case</w:t>
      </w:r>
      <w:r w:rsidR="00D60E84" w:rsidRPr="002E60EB">
        <w:rPr>
          <w:lang w:val="en-US"/>
        </w:rPr>
        <w:t>.</w:t>
      </w:r>
    </w:p>
    <w:p w:rsidR="00D60E84" w:rsidRPr="002E60EB" w:rsidRDefault="00D60E84" w:rsidP="00317748">
      <w:pPr>
        <w:pStyle w:val="Prrafodelista"/>
        <w:rPr>
          <w:lang w:val="en-US"/>
        </w:rPr>
      </w:pPr>
    </w:p>
    <w:p w:rsidR="008B5E05" w:rsidRPr="002E60EB" w:rsidRDefault="00D60E84" w:rsidP="00317748">
      <w:pPr>
        <w:numPr>
          <w:ilvl w:val="0"/>
          <w:numId w:val="1"/>
        </w:numPr>
        <w:tabs>
          <w:tab w:val="left" w:pos="720"/>
        </w:tabs>
        <w:jc w:val="both"/>
        <w:rPr>
          <w:lang w:val="en-US"/>
        </w:rPr>
      </w:pPr>
      <w:r w:rsidRPr="002E60EB">
        <w:rPr>
          <w:lang w:val="en-US"/>
        </w:rPr>
        <w:t>Based on all the foregoing, the Court observes</w:t>
      </w:r>
      <w:r w:rsidR="008B5E05" w:rsidRPr="002E60EB">
        <w:rPr>
          <w:lang w:val="en-US"/>
        </w:rPr>
        <w:t xml:space="preserve"> </w:t>
      </w:r>
      <w:r w:rsidR="008B5E05" w:rsidRPr="002E60EB">
        <w:rPr>
          <w:rFonts w:cs="Arial"/>
          <w:lang w:val="en-US"/>
        </w:rPr>
        <w:t>that, in this case, the evidence is sufficient, reliable, and pertinent to prove the facts that are the subject of the analysis.</w:t>
      </w:r>
      <w:r w:rsidR="008B5E05" w:rsidRPr="002E60EB">
        <w:rPr>
          <w:rStyle w:val="Refdenotaalpie"/>
          <w:lang w:val="en-US"/>
        </w:rPr>
        <w:footnoteReference w:id="181"/>
      </w:r>
      <w:r w:rsidR="008B5E05" w:rsidRPr="002E60EB">
        <w:rPr>
          <w:rFonts w:cs="Arial"/>
          <w:lang w:val="en-US"/>
        </w:rPr>
        <w:t xml:space="preserve"> The Court has different concurring probative elements from which it is possible to find proved the connection between the threats, harassment and attempted deprivation of liberty, and the measures taken by Mr. Vélez Restrepo to obtain the investigation and punishment of the soldiers responsible for the attack he suffered on August 29, 1996. In addition, the State failed to comply with its obligation to conduct a criminal investigation into these events.</w:t>
      </w:r>
      <w:r w:rsidR="008B5E05" w:rsidRPr="002E60EB">
        <w:rPr>
          <w:lang w:val="en-US"/>
        </w:rPr>
        <w:t xml:space="preserve"> </w:t>
      </w:r>
    </w:p>
    <w:p w:rsidR="008B5E05" w:rsidRPr="002E60EB" w:rsidRDefault="008B5E05" w:rsidP="00317748">
      <w:pPr>
        <w:pStyle w:val="Prrafodelista"/>
        <w:rPr>
          <w:lang w:val="en-US"/>
        </w:rPr>
      </w:pPr>
    </w:p>
    <w:p w:rsidR="008B711F" w:rsidRPr="002E60EB" w:rsidRDefault="008B5E05" w:rsidP="00317748">
      <w:pPr>
        <w:numPr>
          <w:ilvl w:val="0"/>
          <w:numId w:val="1"/>
        </w:numPr>
        <w:tabs>
          <w:tab w:val="left" w:pos="720"/>
        </w:tabs>
        <w:jc w:val="both"/>
        <w:rPr>
          <w:lang w:val="en-US"/>
        </w:rPr>
      </w:pPr>
      <w:r w:rsidRPr="002E60EB">
        <w:rPr>
          <w:lang w:val="en-US"/>
        </w:rPr>
        <w:t>Consequently, the Court</w:t>
      </w:r>
      <w:r w:rsidR="008B711F" w:rsidRPr="002E60EB">
        <w:rPr>
          <w:lang w:val="en-US"/>
        </w:rPr>
        <w:t xml:space="preserve"> concludes that State can be attributed with international responsibility owing to </w:t>
      </w:r>
      <w:r w:rsidR="00EB117E" w:rsidRPr="002E60EB">
        <w:rPr>
          <w:lang w:val="en-US"/>
        </w:rPr>
        <w:t>the participation of</w:t>
      </w:r>
      <w:r w:rsidR="008B711F" w:rsidRPr="002E60EB">
        <w:rPr>
          <w:lang w:val="en-US"/>
        </w:rPr>
        <w:t xml:space="preserve"> State agents in the threats, harassment and attempted arbitrary deprivation of liberty </w:t>
      </w:r>
      <w:r w:rsidR="00EB117E" w:rsidRPr="002E60EB">
        <w:rPr>
          <w:lang w:val="en-US"/>
        </w:rPr>
        <w:t xml:space="preserve">perpetrated </w:t>
      </w:r>
      <w:r w:rsidR="008B711F" w:rsidRPr="002E60EB">
        <w:rPr>
          <w:lang w:val="en-US"/>
        </w:rPr>
        <w:t xml:space="preserve">against Mr. Vélez and his family. </w:t>
      </w:r>
    </w:p>
    <w:p w:rsidR="008B711F" w:rsidRPr="002E60EB" w:rsidRDefault="008B711F" w:rsidP="00317748">
      <w:pPr>
        <w:pStyle w:val="Prrafodelista"/>
        <w:rPr>
          <w:lang w:val="en-US"/>
        </w:rPr>
      </w:pPr>
    </w:p>
    <w:p w:rsidR="008B711F" w:rsidRPr="002E60EB" w:rsidRDefault="008B711F" w:rsidP="008B711F">
      <w:pPr>
        <w:pStyle w:val="Prrafodelista2"/>
        <w:tabs>
          <w:tab w:val="left" w:pos="720"/>
        </w:tabs>
        <w:ind w:left="0"/>
        <w:contextualSpacing/>
        <w:jc w:val="both"/>
        <w:rPr>
          <w:i/>
          <w:lang w:val="en-US"/>
        </w:rPr>
      </w:pPr>
      <w:r w:rsidRPr="002E60EB">
        <w:rPr>
          <w:lang w:val="en-US"/>
        </w:rPr>
        <w:tab/>
      </w:r>
      <w:r w:rsidRPr="002E60EB">
        <w:rPr>
          <w:lang w:val="en-US"/>
        </w:rPr>
        <w:tab/>
      </w:r>
      <w:r w:rsidRPr="002E60EB">
        <w:rPr>
          <w:i/>
          <w:lang w:val="en-US"/>
        </w:rPr>
        <w:t>C.1.d)</w:t>
      </w:r>
      <w:r w:rsidRPr="002E60EB">
        <w:rPr>
          <w:i/>
          <w:lang w:val="en-US"/>
        </w:rPr>
        <w:tab/>
        <w:t>Alleged violation of Article 5(1) of the American Convention</w:t>
      </w:r>
    </w:p>
    <w:p w:rsidR="008B711F" w:rsidRPr="002E60EB" w:rsidRDefault="008B711F" w:rsidP="00317748">
      <w:pPr>
        <w:pStyle w:val="Prrafodelista"/>
        <w:rPr>
          <w:lang w:val="en-US"/>
        </w:rPr>
      </w:pPr>
    </w:p>
    <w:p w:rsidR="009F52DE" w:rsidRPr="002E60EB" w:rsidRDefault="008B711F" w:rsidP="00317748">
      <w:pPr>
        <w:numPr>
          <w:ilvl w:val="0"/>
          <w:numId w:val="1"/>
        </w:numPr>
        <w:tabs>
          <w:tab w:val="left" w:pos="720"/>
        </w:tabs>
        <w:jc w:val="both"/>
        <w:rPr>
          <w:lang w:val="en-US"/>
        </w:rPr>
      </w:pPr>
      <w:r w:rsidRPr="002E60EB">
        <w:rPr>
          <w:lang w:val="en-US"/>
        </w:rPr>
        <w:t xml:space="preserve">Article 5(1) of the Convention recognizes the right to </w:t>
      </w:r>
      <w:r w:rsidR="00C56F3B" w:rsidRPr="002E60EB">
        <w:rPr>
          <w:lang w:val="en-US"/>
        </w:rPr>
        <w:t xml:space="preserve">personal, physical, mental and moral integrity. The Court has established that “[t]he violation of the right to physical and mental integrity of </w:t>
      </w:r>
      <w:r w:rsidR="009F2486" w:rsidRPr="002E60EB">
        <w:rPr>
          <w:lang w:val="en-US"/>
        </w:rPr>
        <w:t>the individual</w:t>
      </w:r>
      <w:r w:rsidR="00C56F3B" w:rsidRPr="002E60EB">
        <w:rPr>
          <w:lang w:val="en-US"/>
        </w:rPr>
        <w:t xml:space="preserve"> is a type of violation that has different levels that range from torture to other types of </w:t>
      </w:r>
      <w:r w:rsidR="009F2486" w:rsidRPr="002E60EB">
        <w:rPr>
          <w:lang w:val="en-US"/>
        </w:rPr>
        <w:t>abuse</w:t>
      </w:r>
      <w:r w:rsidR="00C56F3B" w:rsidRPr="002E60EB">
        <w:rPr>
          <w:lang w:val="en-US"/>
        </w:rPr>
        <w:t xml:space="preserve"> </w:t>
      </w:r>
      <w:r w:rsidR="009F2486" w:rsidRPr="002E60EB">
        <w:rPr>
          <w:lang w:val="en-US"/>
        </w:rPr>
        <w:t>or cruel, inhuman</w:t>
      </w:r>
      <w:r w:rsidR="00C56F3B" w:rsidRPr="002E60EB">
        <w:rPr>
          <w:lang w:val="en-US"/>
        </w:rPr>
        <w:t xml:space="preserve"> or degrading treatment, the physical and psychological effects off which vary in intensity according to endogenous and exogenous factors that must be proved in each specific situation.”</w:t>
      </w:r>
      <w:r w:rsidR="00C56F3B" w:rsidRPr="002E60EB">
        <w:rPr>
          <w:rStyle w:val="Refdenotaalpie"/>
          <w:lang w:val="en-US" w:eastAsia="es-ES"/>
        </w:rPr>
        <w:footnoteReference w:id="182"/>
      </w:r>
      <w:r w:rsidR="00226238" w:rsidRPr="002E60EB">
        <w:rPr>
          <w:lang w:val="en-US"/>
        </w:rPr>
        <w:t xml:space="preserve"> </w:t>
      </w:r>
      <w:r w:rsidR="00080246" w:rsidRPr="002E60EB">
        <w:rPr>
          <w:lang w:val="en-US"/>
        </w:rPr>
        <w:t>In other words, the personal characteristics of a presumed victim</w:t>
      </w:r>
      <w:r w:rsidR="009F2486" w:rsidRPr="002E60EB">
        <w:rPr>
          <w:lang w:val="en-US"/>
        </w:rPr>
        <w:t xml:space="preserve"> of torture or cruel, inhuman</w:t>
      </w:r>
      <w:r w:rsidR="00080246" w:rsidRPr="002E60EB">
        <w:rPr>
          <w:lang w:val="en-US"/>
        </w:rPr>
        <w:t xml:space="preserve"> or degrading treatment must be taken into account when determining whether personal integrity was violated and, consequently, </w:t>
      </w:r>
      <w:r w:rsidR="009F2486" w:rsidRPr="002E60EB">
        <w:rPr>
          <w:lang w:val="en-US"/>
        </w:rPr>
        <w:t xml:space="preserve">whether </w:t>
      </w:r>
      <w:r w:rsidR="00080246" w:rsidRPr="002E60EB">
        <w:rPr>
          <w:lang w:val="en-US"/>
        </w:rPr>
        <w:t xml:space="preserve">the </w:t>
      </w:r>
      <w:r w:rsidR="009F2486" w:rsidRPr="002E60EB">
        <w:rPr>
          <w:lang w:val="en-US"/>
        </w:rPr>
        <w:t>degree</w:t>
      </w:r>
      <w:r w:rsidR="00080246" w:rsidRPr="002E60EB">
        <w:rPr>
          <w:lang w:val="en-US"/>
        </w:rPr>
        <w:t xml:space="preserve"> of suffering and feeling of humiliation </w:t>
      </w:r>
      <w:r w:rsidR="009F2486" w:rsidRPr="002E60EB">
        <w:rPr>
          <w:lang w:val="en-US"/>
        </w:rPr>
        <w:t xml:space="preserve">was </w:t>
      </w:r>
      <w:r w:rsidR="00080246" w:rsidRPr="002E60EB">
        <w:rPr>
          <w:lang w:val="en-US"/>
        </w:rPr>
        <w:t>increased, when they were subjected to certain treatments.</w:t>
      </w:r>
      <w:r w:rsidR="00080246" w:rsidRPr="002E60EB">
        <w:rPr>
          <w:rStyle w:val="Refdenotaalpie"/>
          <w:lang w:val="en-US" w:eastAsia="es-ES"/>
        </w:rPr>
        <w:footnoteReference w:id="183"/>
      </w:r>
      <w:r w:rsidR="002F4877" w:rsidRPr="002E60EB">
        <w:rPr>
          <w:lang w:val="en-US"/>
        </w:rPr>
        <w:t xml:space="preserve"> </w:t>
      </w:r>
      <w:r w:rsidR="003040F2" w:rsidRPr="002E60EB">
        <w:rPr>
          <w:lang w:val="en-US"/>
        </w:rPr>
        <w:t>In addition, the Court has held that the mere threat that a conduct prohibited by Article 5 of the Convention may occur, when this is sufficiently real and imminent, may in itself be in conflict with the right to personal integrity. In that regard, creating a threatening situation</w:t>
      </w:r>
      <w:r w:rsidR="002D2C61" w:rsidRPr="002E60EB">
        <w:rPr>
          <w:lang w:val="en-US"/>
        </w:rPr>
        <w:t xml:space="preserve"> or threatening an individual with taking his or her life may, at least in some circumstances, be considered inhuman treatment.</w:t>
      </w:r>
      <w:r w:rsidR="002D2C61" w:rsidRPr="002E60EB">
        <w:rPr>
          <w:rStyle w:val="Refdenotaalpie"/>
          <w:lang w:val="en-US"/>
        </w:rPr>
        <w:footnoteReference w:id="184"/>
      </w:r>
      <w:r w:rsidR="002D2C61" w:rsidRPr="002E60EB">
        <w:rPr>
          <w:lang w:val="en-US"/>
        </w:rPr>
        <w:t xml:space="preserve"> The Court has also referred to the elements that must be present to consider that an act is torture.</w:t>
      </w:r>
      <w:r w:rsidR="002D2C61" w:rsidRPr="002E60EB">
        <w:rPr>
          <w:rStyle w:val="Refdenotaalpie"/>
          <w:lang w:val="en-US"/>
        </w:rPr>
        <w:footnoteReference w:id="185"/>
      </w:r>
      <w:r w:rsidR="002F4877" w:rsidRPr="002E60EB">
        <w:rPr>
          <w:lang w:val="en-US"/>
        </w:rPr>
        <w:t xml:space="preserve">  </w:t>
      </w:r>
      <w:r w:rsidR="00CE1F5A" w:rsidRPr="002E60EB">
        <w:rPr>
          <w:lang w:val="en-US"/>
        </w:rPr>
        <w:t xml:space="preserve"> </w:t>
      </w:r>
    </w:p>
    <w:p w:rsidR="0095565F" w:rsidRPr="002E60EB" w:rsidRDefault="00CE1F5A" w:rsidP="006334C6">
      <w:pPr>
        <w:tabs>
          <w:tab w:val="left" w:pos="720"/>
        </w:tabs>
        <w:jc w:val="both"/>
        <w:rPr>
          <w:lang w:val="en-US"/>
        </w:rPr>
      </w:pPr>
      <w:r w:rsidRPr="002E60EB">
        <w:rPr>
          <w:lang w:val="en-US"/>
        </w:rPr>
        <w:t xml:space="preserve"> </w:t>
      </w:r>
    </w:p>
    <w:p w:rsidR="009F52DE" w:rsidRPr="002E60EB" w:rsidRDefault="009F52DE" w:rsidP="009F52DE">
      <w:pPr>
        <w:pStyle w:val="Prrafodelista2"/>
        <w:numPr>
          <w:ilvl w:val="0"/>
          <w:numId w:val="1"/>
        </w:numPr>
        <w:tabs>
          <w:tab w:val="left" w:pos="720"/>
        </w:tabs>
        <w:ind w:left="0"/>
        <w:contextualSpacing/>
        <w:jc w:val="both"/>
        <w:rPr>
          <w:rFonts w:eastAsia="Times New Roman" w:cs="Arial"/>
          <w:lang w:val="en-US"/>
        </w:rPr>
      </w:pPr>
      <w:r w:rsidRPr="002E60EB">
        <w:rPr>
          <w:lang w:val="en-US"/>
        </w:rPr>
        <w:t>The Court considers that the new facts introduced by the representative in his observations on the acknowledgment of responsibility and in his final arguments, to the effect that the said acts of threat and intimidation should be characterized as torture, are not admissible as they are time-barred.</w:t>
      </w:r>
      <w:r w:rsidRPr="002E60EB">
        <w:rPr>
          <w:rStyle w:val="Refdenotaalpie"/>
          <w:lang w:val="en-US"/>
        </w:rPr>
        <w:footnoteReference w:id="186"/>
      </w:r>
    </w:p>
    <w:p w:rsidR="008555CB" w:rsidRPr="002E60EB" w:rsidRDefault="008555CB" w:rsidP="00317748">
      <w:pPr>
        <w:pStyle w:val="Prrafodelista2"/>
        <w:tabs>
          <w:tab w:val="left" w:pos="720"/>
        </w:tabs>
        <w:ind w:left="0"/>
        <w:contextualSpacing/>
        <w:jc w:val="both"/>
        <w:rPr>
          <w:rFonts w:eastAsia="Times New Roman" w:cs="Arial"/>
          <w:lang w:val="en-US"/>
        </w:rPr>
      </w:pPr>
    </w:p>
    <w:p w:rsidR="006365F7" w:rsidRPr="002E60EB" w:rsidRDefault="008555CB" w:rsidP="00317748">
      <w:pPr>
        <w:numPr>
          <w:ilvl w:val="0"/>
          <w:numId w:val="1"/>
        </w:numPr>
        <w:tabs>
          <w:tab w:val="left" w:pos="720"/>
        </w:tabs>
        <w:jc w:val="both"/>
        <w:rPr>
          <w:lang w:val="en-US"/>
        </w:rPr>
      </w:pPr>
      <w:r w:rsidRPr="002E60EB">
        <w:rPr>
          <w:lang w:val="en-US"/>
        </w:rPr>
        <w:t xml:space="preserve">According to the testimony of </w:t>
      </w:r>
      <w:r w:rsidR="00334C3C" w:rsidRPr="002E60EB">
        <w:rPr>
          <w:lang w:val="en-US"/>
        </w:rPr>
        <w:t>Mr.</w:t>
      </w:r>
      <w:r w:rsidRPr="002E60EB">
        <w:rPr>
          <w:lang w:val="en-US"/>
        </w:rPr>
        <w:t xml:space="preserve"> Vélez Restrepo and Mrs. Román Amariles, and the expert opinion of the psychiatrist Kessler given before this Court, it has been proved that the said threats and harassment that occurred between September 1996 and February 1997 and that were repeated in September and early October 1997, as well as the attempted deprivation of liberty on October 6, 1997, caused the members of the Vélez Román family</w:t>
      </w:r>
      <w:r w:rsidR="009F2486" w:rsidRPr="002E60EB">
        <w:rPr>
          <w:lang w:val="en-US"/>
        </w:rPr>
        <w:t xml:space="preserve"> constant fear and tension and</w:t>
      </w:r>
      <w:r w:rsidRPr="002E60EB">
        <w:rPr>
          <w:lang w:val="en-US"/>
        </w:rPr>
        <w:t xml:space="preserve"> “</w:t>
      </w:r>
      <w:r w:rsidR="009F2486" w:rsidRPr="002E60EB">
        <w:rPr>
          <w:lang w:val="en-US"/>
        </w:rPr>
        <w:t>overwhelming</w:t>
      </w:r>
      <w:r w:rsidRPr="002E60EB">
        <w:rPr>
          <w:lang w:val="en-US"/>
        </w:rPr>
        <w:t xml:space="preserve"> anxiety” that was detrimental to their mental integrity.</w:t>
      </w:r>
      <w:r w:rsidRPr="002E60EB">
        <w:rPr>
          <w:b/>
          <w:lang w:val="en-US"/>
        </w:rPr>
        <w:t xml:space="preserve"> </w:t>
      </w:r>
      <w:r w:rsidRPr="002E60EB">
        <w:rPr>
          <w:lang w:val="en-US"/>
        </w:rPr>
        <w:t>It should be emphasized that, although most of the threats were directed at Mr. Vélez Restrepo, it was Mrs. Roman Amariles who had to face the difficult situation of dealing with numerous threatening telephone calls to her husband, some of which also mentioned their son Mateo or the whole family</w:t>
      </w:r>
      <w:r w:rsidR="00333FE7" w:rsidRPr="002E60EB">
        <w:rPr>
          <w:lang w:val="en-US"/>
        </w:rPr>
        <w:t>. According to the testimony of Mr. Vélez Restrepo and Mrs. Roman Amariles, as well as the expert opinion of the psychiatrist Kessler, during periods of constant threats, the latter and the children Mateo and Juliana had to live “confined to the house” and Mateo felt the constant fear experienced by his mother. In addition, Mr. Vélez Restrepo and Mrs. Roman Amariles had to take measures to protect themselves, such as moving house and changing Mateo’s school, with all the emotional consequences that this implie</w:t>
      </w:r>
      <w:r w:rsidR="009F2486" w:rsidRPr="002E60EB">
        <w:rPr>
          <w:lang w:val="en-US"/>
        </w:rPr>
        <w:t>d</w:t>
      </w:r>
      <w:r w:rsidR="006365F7" w:rsidRPr="002E60EB">
        <w:rPr>
          <w:lang w:val="en-US"/>
        </w:rPr>
        <w:t xml:space="preserve">. Added to this, Mr. Vélez Restrepo had trouble sleeping and had nightmares, which consequently affected his wife. Mrs. Roman Amariles stated before the Court that this situation also affected their “life as a couple” and that the family had to seek psychological help. Mr. Vélez Restrepo, Mrs. Roman Amariles, and their son Mateo received psychological treatment for eight months </w:t>
      </w:r>
      <w:r w:rsidR="009F2486" w:rsidRPr="002E60EB">
        <w:rPr>
          <w:lang w:val="en-US"/>
        </w:rPr>
        <w:t>starting on</w:t>
      </w:r>
      <w:r w:rsidR="006365F7" w:rsidRPr="002E60EB">
        <w:rPr>
          <w:lang w:val="en-US"/>
        </w:rPr>
        <w:t xml:space="preserve"> September 10, 1996.</w:t>
      </w:r>
      <w:r w:rsidR="006365F7" w:rsidRPr="002E60EB">
        <w:rPr>
          <w:rStyle w:val="Refdenotaalpie"/>
          <w:lang w:val="en-US"/>
        </w:rPr>
        <w:footnoteReference w:id="187"/>
      </w:r>
      <w:r w:rsidR="00333FE7" w:rsidRPr="002E60EB">
        <w:rPr>
          <w:lang w:val="en-US"/>
        </w:rPr>
        <w:t xml:space="preserve">  </w:t>
      </w:r>
    </w:p>
    <w:p w:rsidR="00B46938" w:rsidRPr="002E60EB" w:rsidRDefault="00B46938" w:rsidP="00B46938">
      <w:pPr>
        <w:tabs>
          <w:tab w:val="left" w:pos="720"/>
        </w:tabs>
        <w:jc w:val="both"/>
        <w:rPr>
          <w:lang w:val="en-US"/>
        </w:rPr>
      </w:pPr>
    </w:p>
    <w:p w:rsidR="00911918" w:rsidRPr="002E60EB" w:rsidRDefault="00911918" w:rsidP="00317748">
      <w:pPr>
        <w:numPr>
          <w:ilvl w:val="0"/>
          <w:numId w:val="1"/>
        </w:numPr>
        <w:tabs>
          <w:tab w:val="left" w:pos="720"/>
        </w:tabs>
        <w:jc w:val="both"/>
        <w:rPr>
          <w:lang w:val="en-US"/>
        </w:rPr>
      </w:pPr>
      <w:r w:rsidRPr="002E60EB">
        <w:rPr>
          <w:lang w:val="en-US"/>
        </w:rPr>
        <w:t xml:space="preserve">Also, in their testimony before this Court, Mr. Vélez Restrepo and Mrs. Roman Amariles expressed the great fear, anguish and distress that the events of October 6, 1997, </w:t>
      </w:r>
      <w:r w:rsidR="009F2486" w:rsidRPr="002E60EB">
        <w:rPr>
          <w:lang w:val="en-US"/>
        </w:rPr>
        <w:t>caused to</w:t>
      </w:r>
      <w:r w:rsidRPr="002E60EB">
        <w:rPr>
          <w:lang w:val="en-US"/>
        </w:rPr>
        <w:t xml:space="preserve"> them and their children Mateo and Juliana, when Mr. Vélez Restrepo was able to escape from the individuals who tried to deprive him of his liberty and arrived home shouting that they wanted to kill him. They explained that, owing to </w:t>
      </w:r>
      <w:r w:rsidR="00F75881" w:rsidRPr="002E60EB">
        <w:rPr>
          <w:lang w:val="en-US"/>
        </w:rPr>
        <w:t xml:space="preserve">the </w:t>
      </w:r>
      <w:r w:rsidRPr="002E60EB">
        <w:rPr>
          <w:lang w:val="en-US"/>
        </w:rPr>
        <w:t>seriousness of the situation, they had to leave the house in which they lived and their belongings and, for the three following days, had to stay in different places.</w:t>
      </w:r>
    </w:p>
    <w:p w:rsidR="00B46938" w:rsidRPr="002E60EB" w:rsidRDefault="00B46938" w:rsidP="00B46938">
      <w:pPr>
        <w:tabs>
          <w:tab w:val="left" w:pos="720"/>
        </w:tabs>
        <w:jc w:val="both"/>
        <w:rPr>
          <w:lang w:val="en-US"/>
        </w:rPr>
      </w:pPr>
    </w:p>
    <w:p w:rsidR="002D2C61" w:rsidRPr="002E60EB" w:rsidRDefault="00333FE7" w:rsidP="00317748">
      <w:pPr>
        <w:numPr>
          <w:ilvl w:val="0"/>
          <w:numId w:val="1"/>
        </w:numPr>
        <w:tabs>
          <w:tab w:val="left" w:pos="720"/>
        </w:tabs>
        <w:jc w:val="both"/>
        <w:rPr>
          <w:lang w:val="en-US"/>
        </w:rPr>
      </w:pPr>
      <w:r w:rsidRPr="002E60EB">
        <w:rPr>
          <w:lang w:val="en-US"/>
        </w:rPr>
        <w:t xml:space="preserve"> </w:t>
      </w:r>
      <w:r w:rsidR="000D194E" w:rsidRPr="002E60EB">
        <w:rPr>
          <w:lang w:val="en-US"/>
        </w:rPr>
        <w:t>In order to rule on the violation of personal integrity, the Court takes into consideration that the expert appraisal of the psychiatrist Kessler, carried out between November 2011 and January 2012, diagnosed that Mr. Vélez Restrepo, Mrs. Román Amariles and their son Mateo Vélez Román suffered from a chronic disorder due to post-traumatic stress and major depression</w:t>
      </w:r>
      <w:r w:rsidR="00F75881" w:rsidRPr="002E60EB">
        <w:rPr>
          <w:lang w:val="en-US"/>
        </w:rPr>
        <w:t>,</w:t>
      </w:r>
      <w:r w:rsidR="000D194E" w:rsidRPr="002E60EB">
        <w:rPr>
          <w:lang w:val="en-US"/>
        </w:rPr>
        <w:t xml:space="preserve"> and that Juliana suffers from chronic mild depression, which is due to the attack on Mr. Vélez on August 29, 1996, the threats, intimidation and attempted deprivation of liberty, but also, to a great extent, is related to the consequences of having had to leave Colombia to live in the United States of America as asylees.</w:t>
      </w:r>
      <w:r w:rsidR="000D194E" w:rsidRPr="002E60EB">
        <w:rPr>
          <w:rStyle w:val="Refdenotaalpie"/>
          <w:lang w:val="en-US"/>
        </w:rPr>
        <w:footnoteReference w:id="188"/>
      </w:r>
      <w:r w:rsidRPr="002E60EB">
        <w:rPr>
          <w:lang w:val="en-US"/>
        </w:rPr>
        <w:t xml:space="preserve"> </w:t>
      </w:r>
      <w:r w:rsidR="008555CB" w:rsidRPr="002E60EB">
        <w:rPr>
          <w:lang w:val="en-US"/>
        </w:rPr>
        <w:t xml:space="preserve">  </w:t>
      </w:r>
    </w:p>
    <w:p w:rsidR="00B46938" w:rsidRPr="002E60EB" w:rsidRDefault="00B46938" w:rsidP="00B46938">
      <w:pPr>
        <w:tabs>
          <w:tab w:val="left" w:pos="720"/>
        </w:tabs>
        <w:jc w:val="both"/>
        <w:rPr>
          <w:lang w:val="en-US"/>
        </w:rPr>
      </w:pPr>
    </w:p>
    <w:p w:rsidR="000D194E" w:rsidRPr="002E60EB" w:rsidRDefault="00AD333B" w:rsidP="00317748">
      <w:pPr>
        <w:numPr>
          <w:ilvl w:val="0"/>
          <w:numId w:val="1"/>
        </w:numPr>
        <w:tabs>
          <w:tab w:val="left" w:pos="720"/>
        </w:tabs>
        <w:jc w:val="both"/>
        <w:rPr>
          <w:lang w:val="en-US"/>
        </w:rPr>
      </w:pPr>
      <w:r w:rsidRPr="002E60EB">
        <w:rPr>
          <w:lang w:val="en-US"/>
        </w:rPr>
        <w:t>Based on the foregoing considerations</w:t>
      </w:r>
      <w:r w:rsidRPr="002E60EB">
        <w:rPr>
          <w:u w:val="single"/>
          <w:lang w:val="en-US"/>
        </w:rPr>
        <w:t>,</w:t>
      </w:r>
      <w:r w:rsidRPr="002E60EB">
        <w:rPr>
          <w:lang w:val="en-US"/>
        </w:rPr>
        <w:t xml:space="preserve"> the Court concludes that the State violated the right to personal integrity recognized in Article 5(1) of the American Convention, in relation to Article 1(1) of this instrument, to the detriment of Luis Gonzalo Vélez Restrepo, Arace</w:t>
      </w:r>
      <w:r w:rsidR="00334C3C" w:rsidRPr="002E60EB">
        <w:rPr>
          <w:lang w:val="en-US"/>
        </w:rPr>
        <w:t>ll</w:t>
      </w:r>
      <w:r w:rsidRPr="002E60EB">
        <w:rPr>
          <w:lang w:val="en-US"/>
        </w:rPr>
        <w:t>y Roman Amariles, Mateo Vélez Román and Juliana Vélez Román.</w:t>
      </w:r>
    </w:p>
    <w:p w:rsidR="00987A10" w:rsidRPr="002E60EB" w:rsidRDefault="00987A10" w:rsidP="006334C6">
      <w:pPr>
        <w:tabs>
          <w:tab w:val="left" w:pos="720"/>
        </w:tabs>
        <w:jc w:val="both"/>
        <w:rPr>
          <w:lang w:val="en-US"/>
        </w:rPr>
      </w:pPr>
    </w:p>
    <w:p w:rsidR="00987A10" w:rsidRPr="002E60EB" w:rsidRDefault="00987A10" w:rsidP="00987A10">
      <w:pPr>
        <w:pStyle w:val="Prrafodelista"/>
        <w:ind w:left="2160" w:hanging="720"/>
        <w:jc w:val="both"/>
        <w:rPr>
          <w:i/>
          <w:sz w:val="20"/>
          <w:szCs w:val="20"/>
          <w:lang w:val="en-US"/>
        </w:rPr>
      </w:pPr>
      <w:r w:rsidRPr="002E60EB">
        <w:rPr>
          <w:i/>
          <w:sz w:val="20"/>
          <w:szCs w:val="20"/>
          <w:lang w:val="en-US"/>
        </w:rPr>
        <w:t>C.1.e)</w:t>
      </w:r>
      <w:r w:rsidRPr="002E60EB">
        <w:rPr>
          <w:i/>
          <w:sz w:val="20"/>
          <w:szCs w:val="20"/>
          <w:lang w:val="en-US"/>
        </w:rPr>
        <w:tab/>
        <w:t>Alleged violation of Article 4(1) (Right to Life)</w:t>
      </w:r>
      <w:r w:rsidRPr="002E60EB">
        <w:rPr>
          <w:rStyle w:val="Refdenotaalpie"/>
          <w:i/>
          <w:sz w:val="20"/>
          <w:szCs w:val="20"/>
          <w:lang w:val="en-US"/>
        </w:rPr>
        <w:footnoteReference w:id="189"/>
      </w:r>
      <w:r w:rsidRPr="002E60EB">
        <w:rPr>
          <w:i/>
          <w:sz w:val="20"/>
          <w:szCs w:val="20"/>
          <w:lang w:val="en-US"/>
        </w:rPr>
        <w:t xml:space="preserve"> of the Convention</w:t>
      </w:r>
    </w:p>
    <w:p w:rsidR="00987A10" w:rsidRPr="002E60EB" w:rsidRDefault="00987A10" w:rsidP="006334C6">
      <w:pPr>
        <w:tabs>
          <w:tab w:val="left" w:pos="720"/>
        </w:tabs>
        <w:jc w:val="both"/>
        <w:rPr>
          <w:lang w:val="en-US"/>
        </w:rPr>
      </w:pPr>
    </w:p>
    <w:p w:rsidR="00AD333B" w:rsidRPr="002E60EB" w:rsidRDefault="00987A10" w:rsidP="00317748">
      <w:pPr>
        <w:numPr>
          <w:ilvl w:val="0"/>
          <w:numId w:val="1"/>
        </w:numPr>
        <w:tabs>
          <w:tab w:val="left" w:pos="720"/>
        </w:tabs>
        <w:jc w:val="both"/>
        <w:rPr>
          <w:lang w:val="en-US"/>
        </w:rPr>
      </w:pPr>
      <w:r w:rsidRPr="002E60EB">
        <w:rPr>
          <w:rFonts w:eastAsia="MS Mincho"/>
          <w:lang w:val="en-US"/>
        </w:rPr>
        <w:t>Regarding the representative’s allegation, disputed by the State,</w:t>
      </w:r>
      <w:r w:rsidRPr="002E60EB">
        <w:rPr>
          <w:rStyle w:val="Refdenotaalpie"/>
          <w:rFonts w:eastAsia="MS Mincho"/>
          <w:lang w:val="en-US"/>
        </w:rPr>
        <w:footnoteReference w:id="190"/>
      </w:r>
      <w:r w:rsidRPr="002E60EB">
        <w:rPr>
          <w:rFonts w:eastAsia="MS Mincho"/>
          <w:lang w:val="en-US"/>
        </w:rPr>
        <w:t xml:space="preserve"> that the </w:t>
      </w:r>
      <w:r w:rsidR="00F75881" w:rsidRPr="002E60EB">
        <w:rPr>
          <w:rFonts w:eastAsia="MS Mincho"/>
          <w:lang w:val="en-US"/>
        </w:rPr>
        <w:t>said</w:t>
      </w:r>
      <w:r w:rsidRPr="002E60EB">
        <w:rPr>
          <w:rFonts w:eastAsia="MS Mincho"/>
          <w:lang w:val="en-US"/>
        </w:rPr>
        <w:t xml:space="preserve"> attempted deprivation of liberty of Mr. Vélez Restrepo was a violation of the right to life as it involved an “attempted forced disappearance,” the Court recalls</w:t>
      </w:r>
      <w:r w:rsidR="007E779A" w:rsidRPr="002E60EB">
        <w:rPr>
          <w:rFonts w:eastAsia="MS Mincho"/>
          <w:lang w:val="en-US"/>
        </w:rPr>
        <w:t xml:space="preserve"> th</w:t>
      </w:r>
      <w:r w:rsidR="00F75881" w:rsidRPr="002E60EB">
        <w:rPr>
          <w:rFonts w:eastAsia="MS Mincho"/>
          <w:lang w:val="en-US"/>
        </w:rPr>
        <w:t>at the assertions concerning</w:t>
      </w:r>
      <w:r w:rsidR="007E779A" w:rsidRPr="002E60EB">
        <w:rPr>
          <w:rFonts w:eastAsia="MS Mincho"/>
          <w:lang w:val="en-US"/>
        </w:rPr>
        <w:t xml:space="preserve"> the alleged context of forced disappearances in Colombia (</w:t>
      </w:r>
      <w:r w:rsidR="007E779A" w:rsidRPr="002E60EB">
        <w:rPr>
          <w:rFonts w:eastAsia="MS Mincho"/>
          <w:i/>
          <w:lang w:val="en-US"/>
        </w:rPr>
        <w:t xml:space="preserve">supra </w:t>
      </w:r>
      <w:r w:rsidR="007E779A" w:rsidRPr="002E60EB">
        <w:rPr>
          <w:rFonts w:eastAsia="MS Mincho"/>
          <w:lang w:val="en-US"/>
        </w:rPr>
        <w:t>para. 51)</w:t>
      </w:r>
      <w:r w:rsidR="00F75881" w:rsidRPr="002E60EB">
        <w:rPr>
          <w:rFonts w:eastAsia="MS Mincho"/>
          <w:lang w:val="en-US"/>
        </w:rPr>
        <w:t xml:space="preserve"> are</w:t>
      </w:r>
      <w:r w:rsidR="007E779A" w:rsidRPr="002E60EB">
        <w:rPr>
          <w:rFonts w:eastAsia="MS Mincho"/>
          <w:lang w:val="en-US"/>
        </w:rPr>
        <w:t xml:space="preserve"> </w:t>
      </w:r>
      <w:r w:rsidR="00F75881" w:rsidRPr="002E60EB">
        <w:rPr>
          <w:rFonts w:eastAsia="MS Mincho"/>
          <w:lang w:val="en-US"/>
        </w:rPr>
        <w:t>beyond</w:t>
      </w:r>
      <w:r w:rsidR="007E779A" w:rsidRPr="002E60EB">
        <w:rPr>
          <w:rFonts w:eastAsia="MS Mincho"/>
          <w:lang w:val="en-US"/>
        </w:rPr>
        <w:t xml:space="preserve"> the factual framework. In addition, the Court finds that the evidence in this case does not prove that there were exceptional circumstances such having survived an attack in which the deprivation of life was attempted or a situation that posed a serious risk to life, taking into account the force used, the intention and purpose for using it, as well as the victims’ situation.</w:t>
      </w:r>
      <w:r w:rsidR="007E779A" w:rsidRPr="002E60EB">
        <w:rPr>
          <w:rStyle w:val="Refdenotaalpie"/>
          <w:lang w:val="en-US"/>
        </w:rPr>
        <w:footnoteReference w:id="191"/>
      </w:r>
      <w:r w:rsidR="007E779A" w:rsidRPr="002E60EB">
        <w:rPr>
          <w:rFonts w:eastAsia="MS Mincho"/>
          <w:lang w:val="en-US"/>
        </w:rPr>
        <w:t xml:space="preserve"> Consequently, the Court concludes that there was no violation of Article 4(1) of the American Convention, in relation to Article 1(1) thereof. The attempted deprivation of liberty of Mr. Vélez has already been analyzed by the Court as part of the violations to the personal integrity of Mr. Vélez and his family.</w:t>
      </w:r>
    </w:p>
    <w:p w:rsidR="00285C1E" w:rsidRPr="002E60EB" w:rsidRDefault="00285C1E" w:rsidP="00285C1E">
      <w:pPr>
        <w:rPr>
          <w:lang w:val="en-US"/>
        </w:rPr>
      </w:pPr>
    </w:p>
    <w:p w:rsidR="00285C1E" w:rsidRPr="002E60EB" w:rsidRDefault="00285C1E" w:rsidP="00285C1E">
      <w:pPr>
        <w:tabs>
          <w:tab w:val="left" w:pos="720"/>
        </w:tabs>
        <w:autoSpaceDE w:val="0"/>
        <w:autoSpaceDN w:val="0"/>
        <w:adjustRightInd w:val="0"/>
        <w:ind w:left="720"/>
        <w:jc w:val="both"/>
        <w:rPr>
          <w:b/>
          <w:i/>
          <w:color w:val="00B050"/>
          <w:lang w:val="en-US"/>
        </w:rPr>
      </w:pPr>
      <w:r w:rsidRPr="002E60EB">
        <w:rPr>
          <w:b/>
          <w:i/>
          <w:lang w:val="en-US"/>
        </w:rPr>
        <w:t>C.2) Obligation to guarantee the right to personal integrity of Mr. Vélez Restrepo, his wife and children</w:t>
      </w:r>
      <w:r w:rsidR="00B46938" w:rsidRPr="002E60EB">
        <w:rPr>
          <w:b/>
          <w:i/>
          <w:lang w:val="en-US"/>
        </w:rPr>
        <w:t>,</w:t>
      </w:r>
      <w:r w:rsidRPr="002E60EB">
        <w:rPr>
          <w:b/>
          <w:i/>
          <w:lang w:val="en-US"/>
        </w:rPr>
        <w:t xml:space="preserve"> by the investigation and the adoption of measures of protection</w:t>
      </w:r>
    </w:p>
    <w:p w:rsidR="00285C1E" w:rsidRPr="002E60EB" w:rsidRDefault="00285C1E" w:rsidP="00285C1E">
      <w:pPr>
        <w:ind w:left="720"/>
        <w:rPr>
          <w:i/>
          <w:lang w:val="en-US"/>
        </w:rPr>
      </w:pPr>
    </w:p>
    <w:p w:rsidR="00285C1E" w:rsidRPr="002E60EB" w:rsidRDefault="00285C1E" w:rsidP="00285C1E">
      <w:pPr>
        <w:ind w:left="720"/>
        <w:rPr>
          <w:i/>
          <w:lang w:val="en-US"/>
        </w:rPr>
      </w:pPr>
      <w:r w:rsidRPr="002E60EB">
        <w:rPr>
          <w:i/>
          <w:lang w:val="en-US"/>
        </w:rPr>
        <w:t>Observations of the Commission and arguments of the parties</w:t>
      </w:r>
    </w:p>
    <w:p w:rsidR="00285C1E" w:rsidRPr="002E60EB" w:rsidRDefault="00285C1E" w:rsidP="006334C6">
      <w:pPr>
        <w:tabs>
          <w:tab w:val="left" w:pos="720"/>
        </w:tabs>
        <w:jc w:val="both"/>
        <w:rPr>
          <w:lang w:val="en-US"/>
        </w:rPr>
      </w:pPr>
    </w:p>
    <w:p w:rsidR="006334C6" w:rsidRPr="002E60EB" w:rsidRDefault="00285C1E" w:rsidP="00317748">
      <w:pPr>
        <w:numPr>
          <w:ilvl w:val="0"/>
          <w:numId w:val="1"/>
        </w:numPr>
        <w:tabs>
          <w:tab w:val="left" w:pos="720"/>
        </w:tabs>
        <w:jc w:val="both"/>
        <w:rPr>
          <w:lang w:val="en-US"/>
        </w:rPr>
      </w:pPr>
      <w:r w:rsidRPr="002E60EB">
        <w:rPr>
          <w:lang w:val="en-US"/>
        </w:rPr>
        <w:t xml:space="preserve">The Commission concluded that the State had failed to comply with its obligation to guarantee the personal integrity of the Roman Vélez family by the prevention and investigation of the </w:t>
      </w:r>
      <w:r w:rsidR="00F75881" w:rsidRPr="002E60EB">
        <w:rPr>
          <w:lang w:val="en-US"/>
        </w:rPr>
        <w:t>threats, harassment</w:t>
      </w:r>
      <w:r w:rsidRPr="002E60EB">
        <w:rPr>
          <w:lang w:val="en-US"/>
        </w:rPr>
        <w:t xml:space="preserve"> and attempted kidnapping</w:t>
      </w:r>
      <w:r w:rsidR="00C863B6" w:rsidRPr="002E60EB">
        <w:rPr>
          <w:lang w:val="en-US"/>
        </w:rPr>
        <w:t xml:space="preserve">. It argued that the State had violated the mental and moral integrity of Mr. Vélez and his family because it failed to adopt, in a “diligent and timely manner, the necessary measures to protect Mr. Vélez and his family owing to the threats and harassment reported to </w:t>
      </w:r>
      <w:r w:rsidR="00F75881" w:rsidRPr="002E60EB">
        <w:rPr>
          <w:lang w:val="en-US"/>
        </w:rPr>
        <w:t xml:space="preserve">the </w:t>
      </w:r>
      <w:r w:rsidR="00C863B6" w:rsidRPr="002E60EB">
        <w:rPr>
          <w:lang w:val="en-US"/>
        </w:rPr>
        <w:t xml:space="preserve">authorities [repeatedly] as of September 11, 1996.” In addition, it affirmed that, “in addition, the State did not conduct an investigation to clarify and deactivate the source of the harassment against the Roman Vélez family.” The Commission emphasized that “the investigations are the most important measure of protection for journalists who are threatened for carrying out their work” and that “the State itself acknowledges that there was no effective </w:t>
      </w:r>
      <w:r w:rsidR="006334C6" w:rsidRPr="002E60EB">
        <w:rPr>
          <w:lang w:val="en-US"/>
        </w:rPr>
        <w:t>investigation.”</w:t>
      </w:r>
    </w:p>
    <w:p w:rsidR="006334C6" w:rsidRPr="002E60EB" w:rsidRDefault="006334C6" w:rsidP="006334C6">
      <w:pPr>
        <w:tabs>
          <w:tab w:val="left" w:pos="720"/>
        </w:tabs>
        <w:jc w:val="both"/>
        <w:rPr>
          <w:lang w:val="en-US"/>
        </w:rPr>
      </w:pPr>
    </w:p>
    <w:p w:rsidR="006334C6" w:rsidRPr="002E60EB" w:rsidRDefault="00C863B6" w:rsidP="00317748">
      <w:pPr>
        <w:numPr>
          <w:ilvl w:val="0"/>
          <w:numId w:val="1"/>
        </w:numPr>
        <w:tabs>
          <w:tab w:val="left" w:pos="720"/>
        </w:tabs>
        <w:jc w:val="both"/>
        <w:rPr>
          <w:lang w:val="en-US"/>
        </w:rPr>
      </w:pPr>
      <w:r w:rsidRPr="002E60EB">
        <w:rPr>
          <w:lang w:val="en-US"/>
        </w:rPr>
        <w:t xml:space="preserve">  </w:t>
      </w:r>
      <w:r w:rsidR="006334C6" w:rsidRPr="002E60EB">
        <w:rPr>
          <w:lang w:val="en-US"/>
        </w:rPr>
        <w:t>The representative stated that “he agree[d] fully with the Inter-American Commission” regarding the alleged violations of Articles 5 and 13 of the Convention.</w:t>
      </w:r>
    </w:p>
    <w:p w:rsidR="006334C6" w:rsidRPr="002E60EB" w:rsidRDefault="006334C6" w:rsidP="006334C6">
      <w:pPr>
        <w:pStyle w:val="Prrafodelista"/>
        <w:rPr>
          <w:sz w:val="20"/>
          <w:szCs w:val="20"/>
          <w:lang w:val="en-US"/>
        </w:rPr>
      </w:pPr>
    </w:p>
    <w:p w:rsidR="007E779A" w:rsidRPr="002E60EB" w:rsidRDefault="006334C6" w:rsidP="006334C6">
      <w:pPr>
        <w:numPr>
          <w:ilvl w:val="0"/>
          <w:numId w:val="1"/>
        </w:numPr>
        <w:tabs>
          <w:tab w:val="left" w:pos="720"/>
        </w:tabs>
        <w:jc w:val="both"/>
        <w:rPr>
          <w:lang w:val="en-US"/>
        </w:rPr>
      </w:pPr>
      <w:r w:rsidRPr="002E60EB">
        <w:rPr>
          <w:lang w:val="en-US"/>
        </w:rPr>
        <w:t xml:space="preserve">   </w:t>
      </w:r>
      <w:r w:rsidR="007813CC" w:rsidRPr="002E60EB">
        <w:rPr>
          <w:lang w:val="en-US"/>
        </w:rPr>
        <w:t xml:space="preserve">Colombia maintained that “once the alleged threats and intimidation were brought to the attention of the competent authorities on October 6, 1997, the State, through the Protection Program of the Ministry of the Interior, immediately provided various means of protection [… and,] three days later, […] Mr. Vélez […] decided to leave the country of his own </w:t>
      </w:r>
      <w:r w:rsidR="00F75881" w:rsidRPr="002E60EB">
        <w:rPr>
          <w:lang w:val="en-US"/>
        </w:rPr>
        <w:t>volition</w:t>
      </w:r>
      <w:r w:rsidR="007813CC" w:rsidRPr="002E60EB">
        <w:rPr>
          <w:lang w:val="en-US"/>
        </w:rPr>
        <w:t>.” In addition</w:t>
      </w:r>
      <w:r w:rsidR="007813CC" w:rsidRPr="002E60EB">
        <w:rPr>
          <w:b/>
          <w:lang w:val="en-US"/>
        </w:rPr>
        <w:t xml:space="preserve">, </w:t>
      </w:r>
      <w:r w:rsidR="007813CC" w:rsidRPr="002E60EB">
        <w:rPr>
          <w:lang w:val="en-US"/>
        </w:rPr>
        <w:t xml:space="preserve">it argued that “[p]rior to the supposed attempted </w:t>
      </w:r>
      <w:r w:rsidR="00334C3C" w:rsidRPr="002E60EB">
        <w:rPr>
          <w:lang w:val="en-US"/>
        </w:rPr>
        <w:t>kidnapping</w:t>
      </w:r>
      <w:r w:rsidR="007813CC" w:rsidRPr="002E60EB">
        <w:rPr>
          <w:lang w:val="en-US"/>
        </w:rPr>
        <w:t xml:space="preserve"> on October 6, 1997, Mr. Vélez had never requested protection or a</w:t>
      </w:r>
      <w:r w:rsidR="00F75881" w:rsidRPr="002E60EB">
        <w:rPr>
          <w:lang w:val="en-US"/>
        </w:rPr>
        <w:t xml:space="preserve"> safety assessment </w:t>
      </w:r>
      <w:r w:rsidR="007813CC" w:rsidRPr="002E60EB">
        <w:rPr>
          <w:lang w:val="en-US"/>
        </w:rPr>
        <w:t>from the State.”</w:t>
      </w:r>
    </w:p>
    <w:p w:rsidR="007813CC" w:rsidRPr="002E60EB" w:rsidRDefault="007813CC" w:rsidP="007813CC">
      <w:pPr>
        <w:pStyle w:val="Prrafodelista"/>
        <w:rPr>
          <w:sz w:val="20"/>
          <w:szCs w:val="20"/>
          <w:lang w:val="en-US"/>
        </w:rPr>
      </w:pPr>
    </w:p>
    <w:p w:rsidR="007813CC" w:rsidRPr="002E60EB" w:rsidRDefault="007813CC" w:rsidP="00317748">
      <w:pPr>
        <w:pStyle w:val="Prrafodelista2"/>
        <w:tabs>
          <w:tab w:val="left" w:pos="720"/>
        </w:tabs>
        <w:ind w:left="0"/>
        <w:contextualSpacing/>
        <w:jc w:val="both"/>
        <w:rPr>
          <w:i/>
          <w:lang w:val="en-US"/>
        </w:rPr>
      </w:pPr>
      <w:r w:rsidRPr="002E60EB">
        <w:rPr>
          <w:color w:val="FF0000"/>
          <w:lang w:val="en-US"/>
        </w:rPr>
        <w:tab/>
      </w:r>
      <w:r w:rsidRPr="002E60EB">
        <w:rPr>
          <w:i/>
          <w:lang w:val="en-US"/>
        </w:rPr>
        <w:t xml:space="preserve">Considerations of the Court </w:t>
      </w:r>
    </w:p>
    <w:p w:rsidR="007813CC" w:rsidRPr="002E60EB" w:rsidRDefault="007813CC" w:rsidP="007813CC">
      <w:pPr>
        <w:rPr>
          <w:lang w:val="en-US"/>
        </w:rPr>
      </w:pPr>
    </w:p>
    <w:p w:rsidR="007813CC" w:rsidRPr="002E60EB" w:rsidRDefault="007813CC" w:rsidP="006334C6">
      <w:pPr>
        <w:numPr>
          <w:ilvl w:val="0"/>
          <w:numId w:val="1"/>
        </w:numPr>
        <w:tabs>
          <w:tab w:val="left" w:pos="720"/>
        </w:tabs>
        <w:jc w:val="both"/>
        <w:rPr>
          <w:lang w:val="en-US"/>
        </w:rPr>
      </w:pPr>
      <w:r w:rsidRPr="002E60EB">
        <w:rPr>
          <w:lang w:val="en-US"/>
        </w:rPr>
        <w:t xml:space="preserve">The Court has established that the obligation of guarantee covers the legal obligation to “take reasonable steps to prevent human rights violations, to </w:t>
      </w:r>
      <w:r w:rsidR="0019266A" w:rsidRPr="002E60EB">
        <w:rPr>
          <w:lang w:val="en-US"/>
        </w:rPr>
        <w:t xml:space="preserve">use the means at its disposal to carry out a serious investigation of violations committed within its jurisdiction in order to identify those responsible, </w:t>
      </w:r>
      <w:r w:rsidR="00F75881" w:rsidRPr="002E60EB">
        <w:rPr>
          <w:lang w:val="en-US"/>
        </w:rPr>
        <w:t xml:space="preserve">to </w:t>
      </w:r>
      <w:r w:rsidR="0019266A" w:rsidRPr="002E60EB">
        <w:rPr>
          <w:lang w:val="en-US"/>
        </w:rPr>
        <w:t>impose the appropriate punishment</w:t>
      </w:r>
      <w:r w:rsidR="00F75881" w:rsidRPr="002E60EB">
        <w:rPr>
          <w:lang w:val="en-US"/>
        </w:rPr>
        <w:t xml:space="preserve">s, and to </w:t>
      </w:r>
      <w:r w:rsidR="0019266A" w:rsidRPr="002E60EB">
        <w:rPr>
          <w:lang w:val="en-US"/>
        </w:rPr>
        <w:t>ensure adequate reparation for the victim.”</w:t>
      </w:r>
      <w:r w:rsidR="0019266A" w:rsidRPr="002E60EB">
        <w:rPr>
          <w:rStyle w:val="Refdenotaalpie"/>
          <w:lang w:val="en-US"/>
        </w:rPr>
        <w:t xml:space="preserve"> </w:t>
      </w:r>
      <w:r w:rsidR="0019266A" w:rsidRPr="002E60EB">
        <w:rPr>
          <w:lang w:val="en-US"/>
        </w:rPr>
        <w:t xml:space="preserve">The decisive factor is to determine whether “a specific violation […] has occurred with the support or tolerance of the public authorities, or whether </w:t>
      </w:r>
      <w:r w:rsidR="00F75881" w:rsidRPr="002E60EB">
        <w:rPr>
          <w:lang w:val="en-US"/>
        </w:rPr>
        <w:t>the latter</w:t>
      </w:r>
      <w:r w:rsidR="0019266A" w:rsidRPr="002E60EB">
        <w:rPr>
          <w:lang w:val="en-US"/>
        </w:rPr>
        <w:t xml:space="preserve"> have acted in such a way that the violation has been committed without any measures being taken to prevent it or to punish those responsible.”</w:t>
      </w:r>
      <w:r w:rsidR="0019266A" w:rsidRPr="002E60EB">
        <w:rPr>
          <w:rStyle w:val="Refdenotaalpie"/>
          <w:lang w:val="en-US"/>
        </w:rPr>
        <w:footnoteReference w:id="192"/>
      </w:r>
      <w:r w:rsidR="0019266A" w:rsidRPr="002E60EB">
        <w:rPr>
          <w:lang w:val="en-US"/>
        </w:rPr>
        <w:t xml:space="preserve"> In order to comply with this obligation, it is not sufficient that States merely abstain from violating rights; rather it is essential that States take </w:t>
      </w:r>
      <w:r w:rsidR="00F75881" w:rsidRPr="002E60EB">
        <w:rPr>
          <w:lang w:val="en-US"/>
        </w:rPr>
        <w:t xml:space="preserve">all </w:t>
      </w:r>
      <w:r w:rsidR="0019266A" w:rsidRPr="002E60EB">
        <w:rPr>
          <w:lang w:val="en-US"/>
        </w:rPr>
        <w:t>appropriate measures to protect and preserve t</w:t>
      </w:r>
      <w:r w:rsidR="00F75881" w:rsidRPr="002E60EB">
        <w:rPr>
          <w:lang w:val="en-US"/>
        </w:rPr>
        <w:t>he rights of all those under their</w:t>
      </w:r>
      <w:r w:rsidR="0019266A" w:rsidRPr="002E60EB">
        <w:rPr>
          <w:lang w:val="en-US"/>
        </w:rPr>
        <w:t xml:space="preserve"> jurisdiction (positive </w:t>
      </w:r>
      <w:r w:rsidR="00F75881" w:rsidRPr="002E60EB">
        <w:rPr>
          <w:lang w:val="en-US"/>
        </w:rPr>
        <w:t>obligation), in keeping with their</w:t>
      </w:r>
      <w:r w:rsidR="0019266A" w:rsidRPr="002E60EB">
        <w:rPr>
          <w:lang w:val="en-US"/>
        </w:rPr>
        <w:t xml:space="preserve"> obligation to ensure the free and full exercise</w:t>
      </w:r>
      <w:r w:rsidR="00F75881" w:rsidRPr="002E60EB">
        <w:rPr>
          <w:lang w:val="en-US"/>
        </w:rPr>
        <w:t xml:space="preserve"> of those rights</w:t>
      </w:r>
      <w:r w:rsidR="0019266A" w:rsidRPr="002E60EB">
        <w:rPr>
          <w:lang w:val="en-US"/>
        </w:rPr>
        <w:t>.</w:t>
      </w:r>
      <w:r w:rsidR="0019266A" w:rsidRPr="002E60EB">
        <w:rPr>
          <w:rStyle w:val="Refdenotaalpie"/>
          <w:lang w:val="en-US"/>
        </w:rPr>
        <w:footnoteReference w:id="193"/>
      </w:r>
    </w:p>
    <w:p w:rsidR="0019266A" w:rsidRPr="002E60EB" w:rsidRDefault="0019266A" w:rsidP="0019266A">
      <w:pPr>
        <w:tabs>
          <w:tab w:val="left" w:pos="720"/>
        </w:tabs>
        <w:jc w:val="both"/>
        <w:rPr>
          <w:lang w:val="en-US"/>
        </w:rPr>
      </w:pPr>
    </w:p>
    <w:p w:rsidR="0019266A" w:rsidRPr="002E60EB" w:rsidRDefault="0019266A" w:rsidP="006334C6">
      <w:pPr>
        <w:numPr>
          <w:ilvl w:val="0"/>
          <w:numId w:val="1"/>
        </w:numPr>
        <w:tabs>
          <w:tab w:val="left" w:pos="720"/>
        </w:tabs>
        <w:jc w:val="both"/>
        <w:rPr>
          <w:lang w:val="en-US"/>
        </w:rPr>
      </w:pPr>
      <w:r w:rsidRPr="002E60EB">
        <w:rPr>
          <w:lang w:val="en-US"/>
        </w:rPr>
        <w:t>In addition, the Court has held that, in certain circumstances, the prompt</w:t>
      </w:r>
      <w:r w:rsidR="004569FF" w:rsidRPr="002E60EB">
        <w:rPr>
          <w:lang w:val="en-US"/>
        </w:rPr>
        <w:t xml:space="preserve"> and resolute</w:t>
      </w:r>
      <w:r w:rsidRPr="002E60EB">
        <w:rPr>
          <w:lang w:val="en-US"/>
        </w:rPr>
        <w:t xml:space="preserve"> investigation of alleged threats may contribute, in turn, to prevent the violation of the rights that were being threatened.</w:t>
      </w:r>
      <w:r w:rsidRPr="002E60EB">
        <w:rPr>
          <w:rStyle w:val="Refdenotaalpie"/>
          <w:lang w:val="en-US"/>
        </w:rPr>
        <w:footnoteReference w:id="194"/>
      </w:r>
    </w:p>
    <w:p w:rsidR="00DC7BF9" w:rsidRPr="002E60EB" w:rsidRDefault="00DC7BF9" w:rsidP="00DC7BF9">
      <w:pPr>
        <w:pStyle w:val="Prrafodelista"/>
        <w:rPr>
          <w:sz w:val="20"/>
          <w:szCs w:val="20"/>
          <w:lang w:val="en-US"/>
        </w:rPr>
      </w:pPr>
    </w:p>
    <w:p w:rsidR="00DC7BF9" w:rsidRPr="002E60EB" w:rsidRDefault="00DC7BF9" w:rsidP="00DC7BF9">
      <w:pPr>
        <w:numPr>
          <w:ilvl w:val="0"/>
          <w:numId w:val="1"/>
        </w:numPr>
        <w:tabs>
          <w:tab w:val="left" w:pos="720"/>
        </w:tabs>
        <w:jc w:val="both"/>
        <w:rPr>
          <w:lang w:val="en-US"/>
        </w:rPr>
      </w:pPr>
      <w:r w:rsidRPr="002E60EB">
        <w:rPr>
          <w:lang w:val="en-US"/>
        </w:rPr>
        <w:t>The Court has noted that this obligation to investigate remains in effect “whatsoever the agent to whom the violation may eventually be attributed, even private individuals, because, if their acts are not investigated seriously, they would, to a certain extent, be supported by the public authorities, which would involve the international responsibility of the State.”</w:t>
      </w:r>
      <w:r w:rsidRPr="002E60EB">
        <w:rPr>
          <w:rStyle w:val="Refdenotaalpie"/>
          <w:rFonts w:eastAsia="Times"/>
          <w:lang w:val="en-US"/>
        </w:rPr>
        <w:footnoteReference w:id="195"/>
      </w:r>
      <w:r w:rsidRPr="002E60EB">
        <w:rPr>
          <w:rFonts w:eastAsia="Times"/>
          <w:lang w:val="en-US"/>
        </w:rPr>
        <w:t xml:space="preserve"> Regarding the State’s obligation to adopt measures of prevention and protection, the Court has recognized that this</w:t>
      </w:r>
      <w:r w:rsidRPr="002E60EB">
        <w:rPr>
          <w:lang w:val="en-US"/>
        </w:rPr>
        <w:t xml:space="preserve"> does not imply its unlimited responsibility for any act or deed of private individuals, because its obligation to adopt measures of prevention and protection for private individuals in their relations with each other is conditional on its awareness of a situation of real and imminent danger for a specific individual or group of individuals and the reasonable possibility of preventing or avoiding that danger.</w:t>
      </w:r>
      <w:r w:rsidRPr="002E60EB">
        <w:rPr>
          <w:rStyle w:val="Refdenotaalpie"/>
          <w:lang w:val="en-US"/>
        </w:rPr>
        <w:footnoteReference w:id="196"/>
      </w:r>
    </w:p>
    <w:p w:rsidR="00DC7BF9" w:rsidRPr="002E60EB" w:rsidRDefault="00DC7BF9" w:rsidP="00DC7BF9">
      <w:pPr>
        <w:tabs>
          <w:tab w:val="left" w:pos="720"/>
        </w:tabs>
        <w:jc w:val="both"/>
        <w:rPr>
          <w:lang w:val="en-US"/>
        </w:rPr>
      </w:pPr>
    </w:p>
    <w:p w:rsidR="00DC7BF9" w:rsidRPr="002E60EB" w:rsidRDefault="000F3982" w:rsidP="00DC7BF9">
      <w:pPr>
        <w:numPr>
          <w:ilvl w:val="0"/>
          <w:numId w:val="1"/>
        </w:numPr>
        <w:tabs>
          <w:tab w:val="left" w:pos="720"/>
        </w:tabs>
        <w:jc w:val="both"/>
        <w:rPr>
          <w:lang w:val="en-US"/>
        </w:rPr>
      </w:pPr>
      <w:r w:rsidRPr="002E60EB">
        <w:rPr>
          <w:rFonts w:cs="Verdana"/>
          <w:lang w:val="en-US"/>
        </w:rPr>
        <w:t>In addition</w:t>
      </w:r>
      <w:r w:rsidR="00E15BBF" w:rsidRPr="002E60EB">
        <w:rPr>
          <w:rFonts w:cs="Verdana"/>
          <w:lang w:val="en-US"/>
        </w:rPr>
        <w:t xml:space="preserve">, </w:t>
      </w:r>
      <w:r w:rsidR="00E15BBF" w:rsidRPr="002E60EB">
        <w:rPr>
          <w:lang w:val="en-US"/>
        </w:rPr>
        <w:t xml:space="preserve">the Court has stated that the effective exercise of freedom of expression </w:t>
      </w:r>
      <w:r w:rsidR="00DC7BF9" w:rsidRPr="002E60EB">
        <w:rPr>
          <w:lang w:val="en-US"/>
        </w:rPr>
        <w:t>entails</w:t>
      </w:r>
      <w:r w:rsidR="00E15BBF" w:rsidRPr="002E60EB">
        <w:rPr>
          <w:lang w:val="en-US"/>
        </w:rPr>
        <w:t xml:space="preserve"> the existence of </w:t>
      </w:r>
      <w:r w:rsidR="00DC7BF9" w:rsidRPr="002E60EB">
        <w:rPr>
          <w:lang w:val="en-US"/>
        </w:rPr>
        <w:t xml:space="preserve">social </w:t>
      </w:r>
      <w:r w:rsidR="00E15BBF" w:rsidRPr="002E60EB">
        <w:rPr>
          <w:lang w:val="en-US"/>
        </w:rPr>
        <w:t xml:space="preserve">conditions and practices that favor it. It is possible that this freedom may be illegally restricted by regulatory or administrative acts of the State or due to </w:t>
      </w:r>
      <w:r w:rsidR="00E15BBF" w:rsidRPr="002E60EB">
        <w:rPr>
          <w:i/>
          <w:lang w:val="en-US"/>
        </w:rPr>
        <w:t xml:space="preserve">de facto </w:t>
      </w:r>
      <w:r w:rsidR="00E15BBF" w:rsidRPr="002E60EB">
        <w:rPr>
          <w:lang w:val="en-US"/>
        </w:rPr>
        <w:t xml:space="preserve">conditions </w:t>
      </w:r>
      <w:r w:rsidR="004569FF" w:rsidRPr="002E60EB">
        <w:rPr>
          <w:lang w:val="en-US"/>
        </w:rPr>
        <w:t>that place those who exercise</w:t>
      </w:r>
      <w:r w:rsidR="00E15BBF" w:rsidRPr="002E60EB">
        <w:rPr>
          <w:lang w:val="en-US"/>
        </w:rPr>
        <w:t xml:space="preserve"> or try to exercise</w:t>
      </w:r>
      <w:r w:rsidR="004569FF" w:rsidRPr="002E60EB">
        <w:rPr>
          <w:lang w:val="en-US"/>
        </w:rPr>
        <w:t xml:space="preserve"> it</w:t>
      </w:r>
      <w:r w:rsidR="00E15BBF" w:rsidRPr="002E60EB">
        <w:rPr>
          <w:lang w:val="en-US"/>
        </w:rPr>
        <w:t xml:space="preserve"> in a direct or indirect situation of risk or greater vulnerability due to acts or omissions of State agents or </w:t>
      </w:r>
      <w:r w:rsidR="004569FF" w:rsidRPr="002E60EB">
        <w:rPr>
          <w:lang w:val="en-US"/>
        </w:rPr>
        <w:t xml:space="preserve">private </w:t>
      </w:r>
      <w:r w:rsidR="00E15BBF" w:rsidRPr="002E60EB">
        <w:rPr>
          <w:lang w:val="en-US"/>
        </w:rPr>
        <w:t>individuals</w:t>
      </w:r>
      <w:r w:rsidR="00DC7BF9" w:rsidRPr="002E60EB">
        <w:rPr>
          <w:lang w:val="en-US"/>
        </w:rPr>
        <w:t xml:space="preserve">. </w:t>
      </w:r>
      <w:r w:rsidR="00E15BBF" w:rsidRPr="002E60EB">
        <w:rPr>
          <w:lang w:val="en-US"/>
        </w:rPr>
        <w:t>Within the framework of its obligations to guarantee the rights acknowledged in the Convention, the State must ab</w:t>
      </w:r>
      <w:r w:rsidR="00DC7BF9" w:rsidRPr="002E60EB">
        <w:rPr>
          <w:lang w:val="en-US"/>
        </w:rPr>
        <w:t xml:space="preserve">stain from acting in </w:t>
      </w:r>
      <w:r w:rsidR="00E15BBF" w:rsidRPr="002E60EB">
        <w:rPr>
          <w:lang w:val="en-US"/>
        </w:rPr>
        <w:t xml:space="preserve">a way that </w:t>
      </w:r>
      <w:r w:rsidR="00DC7BF9" w:rsidRPr="002E60EB">
        <w:rPr>
          <w:lang w:val="en-US"/>
        </w:rPr>
        <w:t>encourages</w:t>
      </w:r>
      <w:r w:rsidR="00E15BBF" w:rsidRPr="002E60EB">
        <w:rPr>
          <w:lang w:val="en-US"/>
        </w:rPr>
        <w:t xml:space="preserve">, promotes, </w:t>
      </w:r>
      <w:r w:rsidR="00DC7BF9" w:rsidRPr="002E60EB">
        <w:rPr>
          <w:lang w:val="en-US"/>
        </w:rPr>
        <w:t>favor</w:t>
      </w:r>
      <w:r w:rsidR="00E15BBF" w:rsidRPr="002E60EB">
        <w:rPr>
          <w:lang w:val="en-US"/>
        </w:rPr>
        <w:t xml:space="preserve">s, or </w:t>
      </w:r>
      <w:r w:rsidR="00DC7BF9" w:rsidRPr="002E60EB">
        <w:rPr>
          <w:lang w:val="en-US"/>
        </w:rPr>
        <w:t>intensifies</w:t>
      </w:r>
      <w:r w:rsidR="00E15BBF" w:rsidRPr="002E60EB">
        <w:rPr>
          <w:lang w:val="en-US"/>
        </w:rPr>
        <w:t xml:space="preserve"> that vulnerability</w:t>
      </w:r>
      <w:r w:rsidR="00DC7BF9" w:rsidRPr="002E60EB">
        <w:rPr>
          <w:lang w:val="en-US"/>
        </w:rPr>
        <w:t>,</w:t>
      </w:r>
      <w:r w:rsidR="00DC7BF9" w:rsidRPr="002E60EB">
        <w:rPr>
          <w:rStyle w:val="Refdenotaalpie"/>
          <w:rFonts w:cs="Verdana"/>
          <w:lang w:val="en-US"/>
        </w:rPr>
        <w:footnoteReference w:id="197"/>
      </w:r>
      <w:r w:rsidR="00E15BBF" w:rsidRPr="002E60EB">
        <w:rPr>
          <w:lang w:val="en-US"/>
        </w:rPr>
        <w:t xml:space="preserve"> and it must adopt, </w:t>
      </w:r>
      <w:r w:rsidR="004569FF" w:rsidRPr="002E60EB">
        <w:rPr>
          <w:lang w:val="en-US"/>
        </w:rPr>
        <w:t xml:space="preserve">when pertinent, </w:t>
      </w:r>
      <w:r w:rsidR="00E15BBF" w:rsidRPr="002E60EB">
        <w:rPr>
          <w:lang w:val="en-US"/>
        </w:rPr>
        <w:t xml:space="preserve">the necessary and reasonable measures to prevent or protect the rights of </w:t>
      </w:r>
      <w:r w:rsidR="00DC7BF9" w:rsidRPr="002E60EB">
        <w:rPr>
          <w:lang w:val="en-US"/>
        </w:rPr>
        <w:t>those who are</w:t>
      </w:r>
      <w:r w:rsidR="00E15BBF" w:rsidRPr="002E60EB">
        <w:rPr>
          <w:lang w:val="en-US"/>
        </w:rPr>
        <w:t xml:space="preserve"> in that situation, as well as</w:t>
      </w:r>
      <w:r w:rsidR="004569FF" w:rsidRPr="002E60EB">
        <w:rPr>
          <w:lang w:val="en-US"/>
        </w:rPr>
        <w:t>, when</w:t>
      </w:r>
      <w:r w:rsidR="00DC7BF9" w:rsidRPr="002E60EB">
        <w:rPr>
          <w:lang w:val="en-US"/>
        </w:rPr>
        <w:t xml:space="preserve"> appropriate, to</w:t>
      </w:r>
      <w:r w:rsidR="004569FF" w:rsidRPr="002E60EB">
        <w:rPr>
          <w:lang w:val="en-US"/>
        </w:rPr>
        <w:t xml:space="preserve"> investigate </w:t>
      </w:r>
      <w:r w:rsidR="00E15BBF" w:rsidRPr="002E60EB">
        <w:rPr>
          <w:lang w:val="en-US"/>
        </w:rPr>
        <w:t>acts that</w:t>
      </w:r>
      <w:r w:rsidR="00DC7BF9" w:rsidRPr="002E60EB">
        <w:rPr>
          <w:lang w:val="en-US"/>
        </w:rPr>
        <w:t xml:space="preserve"> harm</w:t>
      </w:r>
      <w:r w:rsidR="00E15BBF" w:rsidRPr="002E60EB">
        <w:rPr>
          <w:lang w:val="en-US"/>
        </w:rPr>
        <w:t xml:space="preserve"> </w:t>
      </w:r>
      <w:r w:rsidR="00DC7BF9" w:rsidRPr="002E60EB">
        <w:rPr>
          <w:lang w:val="en-US"/>
        </w:rPr>
        <w:t>them.</w:t>
      </w:r>
      <w:r w:rsidR="00DC7BF9" w:rsidRPr="002E60EB">
        <w:rPr>
          <w:rStyle w:val="Refdenotaalpie"/>
          <w:rFonts w:cs="Verdana"/>
          <w:lang w:val="en-US"/>
        </w:rPr>
        <w:footnoteReference w:id="198"/>
      </w:r>
    </w:p>
    <w:p w:rsidR="00DC7BF9" w:rsidRPr="002E60EB" w:rsidRDefault="00DC7BF9" w:rsidP="00DC7BF9">
      <w:pPr>
        <w:pStyle w:val="Prrafodelista"/>
        <w:rPr>
          <w:sz w:val="20"/>
          <w:szCs w:val="20"/>
          <w:lang w:val="en-US"/>
        </w:rPr>
      </w:pPr>
    </w:p>
    <w:p w:rsidR="00DC7BF9" w:rsidRPr="002E60EB" w:rsidRDefault="00DC7BF9" w:rsidP="00317748">
      <w:pPr>
        <w:numPr>
          <w:ilvl w:val="0"/>
          <w:numId w:val="1"/>
        </w:numPr>
        <w:tabs>
          <w:tab w:val="left" w:pos="720"/>
        </w:tabs>
        <w:jc w:val="both"/>
        <w:rPr>
          <w:lang w:val="en-US"/>
        </w:rPr>
      </w:pPr>
      <w:r w:rsidRPr="002E60EB">
        <w:rPr>
          <w:lang w:val="en-US"/>
        </w:rPr>
        <w:t xml:space="preserve">Consequently, failure to comply with </w:t>
      </w:r>
      <w:r w:rsidR="00E15BBF" w:rsidRPr="002E60EB">
        <w:rPr>
          <w:lang w:val="en-US"/>
        </w:rPr>
        <w:t xml:space="preserve">the obligation to guarantee the rights protected in Articles 5 and 13 of the Convention </w:t>
      </w:r>
      <w:r w:rsidRPr="002E60EB">
        <w:rPr>
          <w:lang w:val="en-US"/>
        </w:rPr>
        <w:t xml:space="preserve">by adopting </w:t>
      </w:r>
      <w:r w:rsidR="00E15BBF" w:rsidRPr="002E60EB">
        <w:rPr>
          <w:lang w:val="en-US"/>
        </w:rPr>
        <w:t xml:space="preserve">measures of protection and </w:t>
      </w:r>
      <w:r w:rsidRPr="002E60EB">
        <w:rPr>
          <w:lang w:val="en-US"/>
        </w:rPr>
        <w:t xml:space="preserve">conducting </w:t>
      </w:r>
      <w:r w:rsidR="00E15BBF" w:rsidRPr="002E60EB">
        <w:rPr>
          <w:lang w:val="en-US"/>
        </w:rPr>
        <w:t>a diligent and effective investigation also gives ris</w:t>
      </w:r>
      <w:r w:rsidRPr="002E60EB">
        <w:rPr>
          <w:lang w:val="en-US"/>
        </w:rPr>
        <w:t>e to the State’s international responsibility.</w:t>
      </w:r>
      <w:r w:rsidRPr="002E60EB">
        <w:rPr>
          <w:rStyle w:val="Refdenotaalpie"/>
          <w:lang w:val="en-US"/>
        </w:rPr>
        <w:footnoteReference w:id="199"/>
      </w:r>
    </w:p>
    <w:p w:rsidR="00DC7BF9" w:rsidRPr="002E60EB" w:rsidRDefault="00DC7BF9" w:rsidP="00DC7BF9">
      <w:pPr>
        <w:pStyle w:val="Prrafodelista"/>
        <w:rPr>
          <w:sz w:val="20"/>
          <w:szCs w:val="20"/>
          <w:lang w:val="en-US"/>
        </w:rPr>
      </w:pPr>
    </w:p>
    <w:p w:rsidR="003146FF" w:rsidRPr="002E60EB" w:rsidRDefault="00E15BBF" w:rsidP="00317748">
      <w:pPr>
        <w:numPr>
          <w:ilvl w:val="0"/>
          <w:numId w:val="1"/>
        </w:numPr>
        <w:tabs>
          <w:tab w:val="left" w:pos="720"/>
        </w:tabs>
        <w:jc w:val="both"/>
        <w:rPr>
          <w:lang w:val="en-US"/>
        </w:rPr>
      </w:pPr>
      <w:r w:rsidRPr="002E60EB">
        <w:rPr>
          <w:lang w:val="en-US"/>
        </w:rPr>
        <w:t xml:space="preserve">With regard to compliance with the obligation to investigate, the Court emphasizes the importance of effectively and diligently investigating human rights violations perpetrated against journalists in </w:t>
      </w:r>
      <w:r w:rsidR="00DC7BF9" w:rsidRPr="002E60EB">
        <w:rPr>
          <w:lang w:val="en-US"/>
        </w:rPr>
        <w:t>relation to</w:t>
      </w:r>
      <w:r w:rsidRPr="002E60EB">
        <w:rPr>
          <w:lang w:val="en-US"/>
        </w:rPr>
        <w:t xml:space="preserve"> the exercise of their freedom of expression, whether these acts were committed by State agent</w:t>
      </w:r>
      <w:r w:rsidR="00DC7BF9" w:rsidRPr="002E60EB">
        <w:rPr>
          <w:lang w:val="en-US"/>
        </w:rPr>
        <w:t xml:space="preserve">s or private individuals, </w:t>
      </w:r>
      <w:r w:rsidR="004569FF" w:rsidRPr="002E60EB">
        <w:rPr>
          <w:lang w:val="en-US"/>
        </w:rPr>
        <w:t>as this will</w:t>
      </w:r>
      <w:r w:rsidR="00DC7BF9" w:rsidRPr="002E60EB">
        <w:rPr>
          <w:lang w:val="en-US"/>
        </w:rPr>
        <w:t xml:space="preserve"> </w:t>
      </w:r>
      <w:r w:rsidR="004569FF" w:rsidRPr="002E60EB">
        <w:rPr>
          <w:lang w:val="en-US"/>
        </w:rPr>
        <w:t>help</w:t>
      </w:r>
      <w:r w:rsidRPr="002E60EB">
        <w:rPr>
          <w:lang w:val="en-US"/>
        </w:rPr>
        <w:t xml:space="preserve"> prevent </w:t>
      </w:r>
      <w:r w:rsidR="00DC7BF9" w:rsidRPr="002E60EB">
        <w:rPr>
          <w:lang w:val="en-US"/>
        </w:rPr>
        <w:t>their repetition (infra para. 247)</w:t>
      </w:r>
      <w:r w:rsidR="003146FF" w:rsidRPr="002E60EB">
        <w:rPr>
          <w:lang w:val="en-US"/>
        </w:rPr>
        <w:t>.</w:t>
      </w:r>
    </w:p>
    <w:p w:rsidR="003146FF" w:rsidRPr="002E60EB" w:rsidRDefault="003146FF" w:rsidP="003146FF">
      <w:pPr>
        <w:pStyle w:val="Prrafodelista"/>
        <w:rPr>
          <w:sz w:val="20"/>
          <w:szCs w:val="20"/>
          <w:lang w:val="en-US"/>
        </w:rPr>
      </w:pPr>
    </w:p>
    <w:p w:rsidR="00E15BBF" w:rsidRPr="002E60EB" w:rsidRDefault="00DC7BF9" w:rsidP="00DB45F8">
      <w:pPr>
        <w:numPr>
          <w:ilvl w:val="0"/>
          <w:numId w:val="1"/>
        </w:numPr>
        <w:tabs>
          <w:tab w:val="left" w:pos="720"/>
        </w:tabs>
        <w:jc w:val="both"/>
        <w:rPr>
          <w:lang w:val="en-US"/>
        </w:rPr>
      </w:pPr>
      <w:r w:rsidRPr="002E60EB">
        <w:rPr>
          <w:lang w:val="en-US"/>
        </w:rPr>
        <w:t xml:space="preserve">  </w:t>
      </w:r>
      <w:r w:rsidR="003146FF" w:rsidRPr="002E60EB">
        <w:rPr>
          <w:lang w:val="en-US"/>
        </w:rPr>
        <w:t>In the instant</w:t>
      </w:r>
      <w:r w:rsidR="00E15BBF" w:rsidRPr="002E60EB">
        <w:rPr>
          <w:lang w:val="en-US"/>
        </w:rPr>
        <w:t xml:space="preserve"> case, the State a</w:t>
      </w:r>
      <w:r w:rsidR="003146FF" w:rsidRPr="002E60EB">
        <w:rPr>
          <w:lang w:val="en-US"/>
        </w:rPr>
        <w:t>ccepted</w:t>
      </w:r>
      <w:r w:rsidR="00E15BBF" w:rsidRPr="002E60EB">
        <w:rPr>
          <w:lang w:val="en-US"/>
        </w:rPr>
        <w:t xml:space="preserve"> that </w:t>
      </w:r>
      <w:r w:rsidR="00087093" w:rsidRPr="002E60EB">
        <w:rPr>
          <w:lang w:val="en-US"/>
        </w:rPr>
        <w:t>“</w:t>
      </w:r>
      <w:r w:rsidR="00DB45F8" w:rsidRPr="002E60EB">
        <w:rPr>
          <w:lang w:val="en-US"/>
        </w:rPr>
        <w:t>no</w:t>
      </w:r>
      <w:r w:rsidR="00E15BBF" w:rsidRPr="002E60EB">
        <w:rPr>
          <w:lang w:val="en-US"/>
        </w:rPr>
        <w:t xml:space="preserve"> serious investigation</w:t>
      </w:r>
      <w:r w:rsidR="00DB45F8" w:rsidRPr="002E60EB">
        <w:rPr>
          <w:lang w:val="en-US"/>
        </w:rPr>
        <w:t xml:space="preserve"> was conducted</w:t>
      </w:r>
      <w:r w:rsidR="00087093" w:rsidRPr="002E60EB">
        <w:rPr>
          <w:lang w:val="en-US"/>
        </w:rPr>
        <w:t>”</w:t>
      </w:r>
      <w:r w:rsidR="00DB45F8" w:rsidRPr="002E60EB">
        <w:rPr>
          <w:lang w:val="en-US"/>
        </w:rPr>
        <w:t xml:space="preserve"> into the threats and harassment; however, </w:t>
      </w:r>
      <w:r w:rsidR="00E15BBF" w:rsidRPr="002E60EB">
        <w:rPr>
          <w:lang w:val="en-US"/>
        </w:rPr>
        <w:t>in this regard, it only acknowledged having vi</w:t>
      </w:r>
      <w:r w:rsidR="00DB45F8" w:rsidRPr="002E60EB">
        <w:rPr>
          <w:lang w:val="en-US"/>
        </w:rPr>
        <w:t>olated the right to judicial guarantees</w:t>
      </w:r>
      <w:r w:rsidR="00E15BBF" w:rsidRPr="002E60EB">
        <w:rPr>
          <w:lang w:val="en-US"/>
        </w:rPr>
        <w:t xml:space="preserve"> and jud</w:t>
      </w:r>
      <w:r w:rsidR="00DB45F8" w:rsidRPr="002E60EB">
        <w:rPr>
          <w:lang w:val="en-US"/>
        </w:rPr>
        <w:t>icial protection (supra para. 14(c)</w:t>
      </w:r>
      <w:r w:rsidR="00E15BBF" w:rsidRPr="002E60EB">
        <w:rPr>
          <w:lang w:val="en-US"/>
        </w:rPr>
        <w:t>). The Court considers that the lack of a diligent investigation into the threats and harassment also involved a violation of the obligati</w:t>
      </w:r>
      <w:r w:rsidR="00DB45F8" w:rsidRPr="002E60EB">
        <w:rPr>
          <w:lang w:val="en-US"/>
        </w:rPr>
        <w:t>on to guarantee the right to personal</w:t>
      </w:r>
      <w:r w:rsidR="00E15BBF" w:rsidRPr="002E60EB">
        <w:rPr>
          <w:lang w:val="en-US"/>
        </w:rPr>
        <w:t xml:space="preserve"> integrity of Mr. Vélez </w:t>
      </w:r>
      <w:r w:rsidR="00DB45F8" w:rsidRPr="002E60EB">
        <w:rPr>
          <w:lang w:val="en-US"/>
        </w:rPr>
        <w:t>Restrepo, his wife and children</w:t>
      </w:r>
      <w:r w:rsidR="00E15BBF" w:rsidRPr="002E60EB">
        <w:rPr>
          <w:lang w:val="en-US"/>
        </w:rPr>
        <w:t xml:space="preserve"> and</w:t>
      </w:r>
      <w:r w:rsidR="00DB45F8" w:rsidRPr="002E60EB">
        <w:rPr>
          <w:lang w:val="en-US"/>
        </w:rPr>
        <w:t>,</w:t>
      </w:r>
      <w:r w:rsidR="00E15BBF" w:rsidRPr="002E60EB">
        <w:rPr>
          <w:lang w:val="en-US"/>
        </w:rPr>
        <w:t xml:space="preserve"> in turn</w:t>
      </w:r>
      <w:r w:rsidR="00DB45F8" w:rsidRPr="002E60EB">
        <w:rPr>
          <w:lang w:val="en-US"/>
        </w:rPr>
        <w:t>,</w:t>
      </w:r>
      <w:r w:rsidR="00E15BBF" w:rsidRPr="002E60EB">
        <w:rPr>
          <w:lang w:val="en-US"/>
        </w:rPr>
        <w:t xml:space="preserve"> constituted a violation of the </w:t>
      </w:r>
      <w:r w:rsidR="00DB45F8" w:rsidRPr="002E60EB">
        <w:rPr>
          <w:lang w:val="en-US"/>
        </w:rPr>
        <w:t>obligation</w:t>
      </w:r>
      <w:r w:rsidR="00E15BBF" w:rsidRPr="002E60EB">
        <w:rPr>
          <w:lang w:val="en-US"/>
        </w:rPr>
        <w:t xml:space="preserve"> to prevent since in this case the investigation could have been a means to prevent the continuation and escalation of </w:t>
      </w:r>
      <w:r w:rsidR="00DB45F8" w:rsidRPr="002E60EB">
        <w:rPr>
          <w:lang w:val="en-US"/>
        </w:rPr>
        <w:t xml:space="preserve">the </w:t>
      </w:r>
      <w:r w:rsidR="00E15BBF" w:rsidRPr="002E60EB">
        <w:rPr>
          <w:lang w:val="en-US"/>
        </w:rPr>
        <w:t xml:space="preserve">threats that </w:t>
      </w:r>
      <w:r w:rsidR="004569FF" w:rsidRPr="002E60EB">
        <w:rPr>
          <w:lang w:val="en-US"/>
        </w:rPr>
        <w:t>went s</w:t>
      </w:r>
      <w:r w:rsidR="00DB45F8" w:rsidRPr="002E60EB">
        <w:rPr>
          <w:lang w:val="en-US"/>
        </w:rPr>
        <w:t>o far as</w:t>
      </w:r>
      <w:r w:rsidR="00E15BBF" w:rsidRPr="002E60EB">
        <w:rPr>
          <w:lang w:val="en-US"/>
        </w:rPr>
        <w:t xml:space="preserve"> an attempted deprivation of liberty of Mr. Vélez</w:t>
      </w:r>
      <w:r w:rsidR="00DB45F8" w:rsidRPr="002E60EB">
        <w:rPr>
          <w:lang w:val="en-US"/>
        </w:rPr>
        <w:t xml:space="preserve">, which </w:t>
      </w:r>
      <w:r w:rsidR="00E15BBF" w:rsidRPr="002E60EB">
        <w:rPr>
          <w:lang w:val="en-US"/>
        </w:rPr>
        <w:t xml:space="preserve">caused him to have to leave the country to protect his life </w:t>
      </w:r>
      <w:r w:rsidR="00DB45F8" w:rsidRPr="002E60EB">
        <w:rPr>
          <w:lang w:val="en-US"/>
        </w:rPr>
        <w:t>and integrity.</w:t>
      </w:r>
    </w:p>
    <w:p w:rsidR="00DB45F8" w:rsidRPr="002E60EB" w:rsidRDefault="00DB45F8" w:rsidP="00DB45F8">
      <w:pPr>
        <w:pStyle w:val="Prrafodelista"/>
        <w:rPr>
          <w:sz w:val="20"/>
          <w:szCs w:val="20"/>
          <w:lang w:val="en-US"/>
        </w:rPr>
      </w:pPr>
    </w:p>
    <w:p w:rsidR="00DB45F8" w:rsidRPr="002E60EB" w:rsidRDefault="00DB45F8" w:rsidP="00317748">
      <w:pPr>
        <w:numPr>
          <w:ilvl w:val="0"/>
          <w:numId w:val="1"/>
        </w:numPr>
        <w:tabs>
          <w:tab w:val="left" w:pos="720"/>
        </w:tabs>
        <w:jc w:val="both"/>
        <w:rPr>
          <w:lang w:val="en-US"/>
        </w:rPr>
      </w:pPr>
      <w:r w:rsidRPr="002E60EB">
        <w:rPr>
          <w:lang w:val="en-US"/>
        </w:rPr>
        <w:t>Furthermore</w:t>
      </w:r>
      <w:r w:rsidR="00E15BBF" w:rsidRPr="002E60EB">
        <w:rPr>
          <w:lang w:val="en-US"/>
        </w:rPr>
        <w:t>,</w:t>
      </w:r>
      <w:r w:rsidRPr="002E60EB">
        <w:rPr>
          <w:lang w:val="en-US"/>
        </w:rPr>
        <w:t xml:space="preserve"> with regard to the State’s obligation to adopt special measures of prevention and protection,</w:t>
      </w:r>
      <w:r w:rsidR="00E15BBF" w:rsidRPr="002E60EB">
        <w:rPr>
          <w:lang w:val="en-US"/>
        </w:rPr>
        <w:t xml:space="preserve"> the Court considers</w:t>
      </w:r>
      <w:r w:rsidRPr="002E60EB">
        <w:rPr>
          <w:lang w:val="en-US"/>
        </w:rPr>
        <w:t xml:space="preserve"> that the context of risk for journalists in Colombia (</w:t>
      </w:r>
      <w:r w:rsidRPr="002E60EB">
        <w:rPr>
          <w:i/>
          <w:lang w:val="en-US"/>
        </w:rPr>
        <w:t>supra</w:t>
      </w:r>
      <w:r w:rsidRPr="002E60EB">
        <w:rPr>
          <w:lang w:val="en-US"/>
        </w:rPr>
        <w:t xml:space="preserve"> para. 84) should have been taken into account by the State authorities to make a diligent evaluation of the need for opportune measures of protection for Mr. Vélez Restrepo and his family. In this regard, the Court also takes into account the opinion of expert witness Tulande, proposed by the State, who explained the factors that have an impact on the level of danger faced by the journalists at the time of the facts of this case.</w:t>
      </w:r>
      <w:r w:rsidRPr="002E60EB">
        <w:rPr>
          <w:rStyle w:val="Refdenotaalpie"/>
          <w:rFonts w:cs="Arial"/>
          <w:lang w:val="en-US"/>
        </w:rPr>
        <w:footnoteReference w:id="200"/>
      </w:r>
      <w:r w:rsidRPr="002E60EB">
        <w:rPr>
          <w:lang w:val="en-US"/>
        </w:rPr>
        <w:t xml:space="preserve"> In addition, according to expert witness Tulande, the situation of the journalists was such that it warranted the adoption, in 1995, of a law to create a special protection unit for members of professions who experienced permanent risk, including journalists, which “could be fully implemented in 2002.”</w:t>
      </w:r>
    </w:p>
    <w:p w:rsidR="00DB45F8" w:rsidRPr="002E60EB" w:rsidRDefault="00DB45F8" w:rsidP="00DB45F8">
      <w:pPr>
        <w:pStyle w:val="Prrafodelista"/>
        <w:rPr>
          <w:sz w:val="20"/>
          <w:szCs w:val="20"/>
          <w:lang w:val="en-US"/>
        </w:rPr>
      </w:pPr>
    </w:p>
    <w:p w:rsidR="00E15BBF" w:rsidRPr="002E60EB" w:rsidRDefault="00DB45F8" w:rsidP="00DB45F8">
      <w:pPr>
        <w:numPr>
          <w:ilvl w:val="0"/>
          <w:numId w:val="1"/>
        </w:numPr>
        <w:tabs>
          <w:tab w:val="left" w:pos="720"/>
        </w:tabs>
        <w:jc w:val="both"/>
        <w:rPr>
          <w:lang w:val="en-US"/>
        </w:rPr>
      </w:pPr>
      <w:r w:rsidRPr="002E60EB">
        <w:rPr>
          <w:lang w:val="en-US"/>
        </w:rPr>
        <w:t xml:space="preserve">In this regard, the Court considers it important to indicate </w:t>
      </w:r>
      <w:r w:rsidR="00E15BBF" w:rsidRPr="002E60EB">
        <w:rPr>
          <w:lang w:val="en-US"/>
        </w:rPr>
        <w:t>that States have the obligation to adopt special measures of prevention and protection for journalists subject to</w:t>
      </w:r>
      <w:r w:rsidRPr="002E60EB">
        <w:rPr>
          <w:lang w:val="en-US"/>
        </w:rPr>
        <w:t xml:space="preserve"> special risk owing to the exercise of</w:t>
      </w:r>
      <w:r w:rsidR="00E15BBF" w:rsidRPr="002E60EB">
        <w:rPr>
          <w:lang w:val="en-US"/>
        </w:rPr>
        <w:t xml:space="preserve"> their profession. </w:t>
      </w:r>
      <w:r w:rsidR="00490ABA" w:rsidRPr="002E60EB">
        <w:rPr>
          <w:rFonts w:cs="Verdana"/>
          <w:lang w:val="en-US"/>
        </w:rPr>
        <w:t>Regarding the</w:t>
      </w:r>
      <w:r w:rsidR="00E15BBF" w:rsidRPr="002E60EB">
        <w:rPr>
          <w:rFonts w:cs="Verdana"/>
          <w:lang w:val="en-US"/>
        </w:rPr>
        <w:t xml:space="preserve"> measures of protection, the Court </w:t>
      </w:r>
      <w:r w:rsidR="00490ABA" w:rsidRPr="002E60EB">
        <w:rPr>
          <w:rFonts w:cs="Verdana"/>
          <w:lang w:val="en-US"/>
        </w:rPr>
        <w:t>underlines</w:t>
      </w:r>
      <w:r w:rsidR="00E15BBF" w:rsidRPr="002E60EB">
        <w:rPr>
          <w:rFonts w:cs="Verdana"/>
          <w:lang w:val="en-US"/>
        </w:rPr>
        <w:t xml:space="preserve"> that States have the obligation to provide </w:t>
      </w:r>
      <w:r w:rsidR="00490ABA" w:rsidRPr="002E60EB">
        <w:rPr>
          <w:rFonts w:cs="Verdana"/>
          <w:lang w:val="en-US"/>
        </w:rPr>
        <w:t>measures to protect</w:t>
      </w:r>
      <w:r w:rsidR="00E15BBF" w:rsidRPr="002E60EB">
        <w:rPr>
          <w:rFonts w:cs="Verdana"/>
          <w:lang w:val="en-US"/>
        </w:rPr>
        <w:t xml:space="preserve"> the life and integrity of </w:t>
      </w:r>
      <w:r w:rsidR="00490ABA" w:rsidRPr="002E60EB">
        <w:rPr>
          <w:rFonts w:cs="Verdana"/>
          <w:lang w:val="en-US"/>
        </w:rPr>
        <w:t xml:space="preserve"> the </w:t>
      </w:r>
      <w:r w:rsidR="00E15BBF" w:rsidRPr="002E60EB">
        <w:rPr>
          <w:rFonts w:cs="Verdana"/>
          <w:lang w:val="en-US"/>
        </w:rPr>
        <w:t xml:space="preserve">journalists </w:t>
      </w:r>
      <w:r w:rsidR="00490ABA" w:rsidRPr="002E60EB">
        <w:rPr>
          <w:rFonts w:cs="Verdana"/>
          <w:lang w:val="en-US"/>
        </w:rPr>
        <w:t xml:space="preserve">who face this special risk owing to </w:t>
      </w:r>
      <w:r w:rsidR="00E15BBF" w:rsidRPr="002E60EB">
        <w:rPr>
          <w:rFonts w:cs="Verdana"/>
          <w:lang w:val="en-US"/>
        </w:rPr>
        <w:t>fact</w:t>
      </w:r>
      <w:r w:rsidR="00490ABA" w:rsidRPr="002E60EB">
        <w:rPr>
          <w:rFonts w:cs="Verdana"/>
          <w:lang w:val="en-US"/>
        </w:rPr>
        <w:t>or</w:t>
      </w:r>
      <w:r w:rsidR="00E15BBF" w:rsidRPr="002E60EB">
        <w:rPr>
          <w:rFonts w:cs="Verdana"/>
          <w:lang w:val="en-US"/>
        </w:rPr>
        <w:t>s</w:t>
      </w:r>
      <w:r w:rsidR="00490ABA" w:rsidRPr="002E60EB">
        <w:rPr>
          <w:rFonts w:cs="Verdana"/>
          <w:lang w:val="en-US"/>
        </w:rPr>
        <w:t xml:space="preserve"> such as the type of events they cover, the public interest of</w:t>
      </w:r>
      <w:r w:rsidR="00E15BBF" w:rsidRPr="002E60EB">
        <w:rPr>
          <w:rFonts w:cs="Verdana"/>
          <w:lang w:val="en-US"/>
        </w:rPr>
        <w:t xml:space="preserve"> the information they disseminate, or the area they must go to in order to </w:t>
      </w:r>
      <w:r w:rsidR="00490ABA" w:rsidRPr="002E60EB">
        <w:rPr>
          <w:rFonts w:cs="Verdana"/>
          <w:lang w:val="en-US"/>
        </w:rPr>
        <w:t>do</w:t>
      </w:r>
      <w:r w:rsidR="00E15BBF" w:rsidRPr="002E60EB">
        <w:rPr>
          <w:rFonts w:cs="Verdana"/>
          <w:lang w:val="en-US"/>
        </w:rPr>
        <w:t xml:space="preserve"> their work, as well</w:t>
      </w:r>
      <w:r w:rsidR="00490ABA" w:rsidRPr="002E60EB">
        <w:rPr>
          <w:rFonts w:cs="Verdana"/>
          <w:lang w:val="en-US"/>
        </w:rPr>
        <w:t xml:space="preserve"> as to those who are the target</w:t>
      </w:r>
      <w:r w:rsidR="00E15BBF" w:rsidRPr="002E60EB">
        <w:rPr>
          <w:rFonts w:cs="Verdana"/>
          <w:lang w:val="en-US"/>
        </w:rPr>
        <w:t xml:space="preserve"> of threats in relation to the dissemination of</w:t>
      </w:r>
      <w:r w:rsidR="00490ABA" w:rsidRPr="002E60EB">
        <w:rPr>
          <w:rFonts w:cs="Verdana"/>
          <w:lang w:val="en-US"/>
        </w:rPr>
        <w:t xml:space="preserve"> that</w:t>
      </w:r>
      <w:r w:rsidR="00E15BBF" w:rsidRPr="002E60EB">
        <w:rPr>
          <w:rFonts w:cs="Verdana"/>
          <w:lang w:val="en-US"/>
        </w:rPr>
        <w:t xml:space="preserve"> information or for</w:t>
      </w:r>
      <w:r w:rsidR="00490ABA" w:rsidRPr="002E60EB">
        <w:rPr>
          <w:rFonts w:cs="Verdana"/>
          <w:lang w:val="en-US"/>
        </w:rPr>
        <w:t xml:space="preserve"> denouncing or promoting the </w:t>
      </w:r>
      <w:r w:rsidR="00E15BBF" w:rsidRPr="002E60EB">
        <w:rPr>
          <w:rFonts w:cs="Verdana"/>
          <w:lang w:val="en-US"/>
        </w:rPr>
        <w:t>investi</w:t>
      </w:r>
      <w:r w:rsidR="00490ABA" w:rsidRPr="002E60EB">
        <w:rPr>
          <w:rFonts w:cs="Verdana"/>
          <w:lang w:val="en-US"/>
        </w:rPr>
        <w:t>gation of</w:t>
      </w:r>
      <w:r w:rsidR="00E15BBF" w:rsidRPr="002E60EB">
        <w:rPr>
          <w:rFonts w:cs="Verdana"/>
          <w:lang w:val="en-US"/>
        </w:rPr>
        <w:t xml:space="preserve"> violations </w:t>
      </w:r>
      <w:r w:rsidR="00490ABA" w:rsidRPr="002E60EB">
        <w:rPr>
          <w:rFonts w:cs="Verdana"/>
          <w:lang w:val="en-US"/>
        </w:rPr>
        <w:t xml:space="preserve">that </w:t>
      </w:r>
      <w:r w:rsidR="00E15BBF" w:rsidRPr="002E60EB">
        <w:rPr>
          <w:rFonts w:cs="Verdana"/>
          <w:lang w:val="en-US"/>
        </w:rPr>
        <w:t>they suffered or</w:t>
      </w:r>
      <w:r w:rsidR="00490ABA" w:rsidRPr="002E60EB">
        <w:rPr>
          <w:rFonts w:cs="Verdana"/>
          <w:lang w:val="en-US"/>
        </w:rPr>
        <w:t xml:space="preserve"> of those </w:t>
      </w:r>
      <w:r w:rsidR="00E15BBF" w:rsidRPr="002E60EB">
        <w:rPr>
          <w:rFonts w:cs="Verdana"/>
          <w:lang w:val="en-US"/>
        </w:rPr>
        <w:t>they became aware of in the course of their work. The States must adopt the necessary measures of protection to avoid threats to the life and integrity of journalists under those conditions</w:t>
      </w:r>
      <w:r w:rsidR="00490ABA" w:rsidRPr="002E60EB">
        <w:rPr>
          <w:rFonts w:cs="Verdana"/>
          <w:lang w:val="en-US"/>
        </w:rPr>
        <w:t>.</w:t>
      </w:r>
      <w:r w:rsidR="00490ABA" w:rsidRPr="002E60EB">
        <w:rPr>
          <w:rStyle w:val="Refdenotaalpie"/>
          <w:lang w:val="en-US"/>
        </w:rPr>
        <w:footnoteReference w:id="201"/>
      </w:r>
    </w:p>
    <w:p w:rsidR="00E15BBF" w:rsidRPr="002E60EB" w:rsidRDefault="00490ABA" w:rsidP="007351C4">
      <w:pPr>
        <w:numPr>
          <w:ilvl w:val="0"/>
          <w:numId w:val="1"/>
        </w:numPr>
        <w:tabs>
          <w:tab w:val="left" w:pos="720"/>
        </w:tabs>
        <w:jc w:val="both"/>
        <w:rPr>
          <w:lang w:val="en-US"/>
        </w:rPr>
      </w:pPr>
      <w:r w:rsidRPr="002E60EB">
        <w:rPr>
          <w:lang w:val="en-US"/>
        </w:rPr>
        <w:t>Taking into account the context described and the specific situation of Mr. Vélez Restrepo, the Court considers that</w:t>
      </w:r>
      <w:r w:rsidR="004569FF" w:rsidRPr="002E60EB">
        <w:rPr>
          <w:lang w:val="en-US"/>
        </w:rPr>
        <w:t>,</w:t>
      </w:r>
      <w:r w:rsidRPr="002E60EB">
        <w:rPr>
          <w:lang w:val="en-US"/>
        </w:rPr>
        <w:t xml:space="preserve"> </w:t>
      </w:r>
      <w:r w:rsidR="00E15BBF" w:rsidRPr="002E60EB">
        <w:rPr>
          <w:lang w:val="en-US"/>
        </w:rPr>
        <w:t xml:space="preserve">prior to October 6, 1997, </w:t>
      </w:r>
      <w:r w:rsidR="007351C4" w:rsidRPr="002E60EB">
        <w:rPr>
          <w:lang w:val="en-US"/>
        </w:rPr>
        <w:t>he</w:t>
      </w:r>
      <w:r w:rsidR="00E15BBF" w:rsidRPr="002E60EB">
        <w:rPr>
          <w:lang w:val="en-US"/>
        </w:rPr>
        <w:t xml:space="preserve"> clearly faced real and immediate risk</w:t>
      </w:r>
      <w:r w:rsidR="00E15BBF" w:rsidRPr="002E60EB">
        <w:rPr>
          <w:b/>
          <w:lang w:val="en-US"/>
        </w:rPr>
        <w:t xml:space="preserve"> </w:t>
      </w:r>
      <w:r w:rsidR="00E15BBF" w:rsidRPr="002E60EB">
        <w:rPr>
          <w:lang w:val="en-US"/>
        </w:rPr>
        <w:t xml:space="preserve">to his personal integrity, as </w:t>
      </w:r>
      <w:r w:rsidR="007351C4" w:rsidRPr="002E60EB">
        <w:rPr>
          <w:lang w:val="en-US"/>
        </w:rPr>
        <w:t>did</w:t>
      </w:r>
      <w:r w:rsidR="00E15BBF" w:rsidRPr="002E60EB">
        <w:rPr>
          <w:lang w:val="en-US"/>
        </w:rPr>
        <w:t xml:space="preserve"> the members of </w:t>
      </w:r>
      <w:r w:rsidR="007351C4" w:rsidRPr="002E60EB">
        <w:rPr>
          <w:lang w:val="en-US"/>
        </w:rPr>
        <w:t>his family. T</w:t>
      </w:r>
      <w:r w:rsidR="00E15BBF" w:rsidRPr="002E60EB">
        <w:rPr>
          <w:lang w:val="en-US"/>
        </w:rPr>
        <w:t xml:space="preserve">he Court </w:t>
      </w:r>
      <w:r w:rsidR="007351C4" w:rsidRPr="002E60EB">
        <w:rPr>
          <w:lang w:val="en-US"/>
        </w:rPr>
        <w:t xml:space="preserve">considers, above all, that </w:t>
      </w:r>
      <w:r w:rsidR="00E15BBF" w:rsidRPr="002E60EB">
        <w:rPr>
          <w:lang w:val="en-US"/>
        </w:rPr>
        <w:t xml:space="preserve">this </w:t>
      </w:r>
      <w:r w:rsidR="007351C4" w:rsidRPr="002E60EB">
        <w:rPr>
          <w:lang w:val="en-US"/>
        </w:rPr>
        <w:t>was a</w:t>
      </w:r>
      <w:r w:rsidR="00E15BBF" w:rsidRPr="002E60EB">
        <w:rPr>
          <w:lang w:val="en-US"/>
        </w:rPr>
        <w:t xml:space="preserve"> journalist </w:t>
      </w:r>
      <w:r w:rsidR="007351C4" w:rsidRPr="002E60EB">
        <w:rPr>
          <w:lang w:val="en-US"/>
        </w:rPr>
        <w:t xml:space="preserve">who </w:t>
      </w:r>
      <w:r w:rsidR="00E15BBF" w:rsidRPr="002E60EB">
        <w:rPr>
          <w:lang w:val="en-US"/>
        </w:rPr>
        <w:t>s</w:t>
      </w:r>
      <w:r w:rsidR="007351C4" w:rsidRPr="002E60EB">
        <w:rPr>
          <w:lang w:val="en-US"/>
        </w:rPr>
        <w:t>ought and disseminated</w:t>
      </w:r>
      <w:r w:rsidR="00E15BBF" w:rsidRPr="002E60EB">
        <w:rPr>
          <w:lang w:val="en-US"/>
        </w:rPr>
        <w:t xml:space="preserve"> information of public interest</w:t>
      </w:r>
      <w:r w:rsidR="007351C4" w:rsidRPr="002E60EB">
        <w:rPr>
          <w:lang w:val="en-US"/>
        </w:rPr>
        <w:t xml:space="preserve"> (supra paras. 77 to 81</w:t>
      </w:r>
      <w:r w:rsidR="00E15BBF" w:rsidRPr="002E60EB">
        <w:rPr>
          <w:lang w:val="en-US"/>
        </w:rPr>
        <w:t xml:space="preserve">), </w:t>
      </w:r>
      <w:r w:rsidR="007351C4" w:rsidRPr="002E60EB">
        <w:rPr>
          <w:lang w:val="en-US"/>
        </w:rPr>
        <w:t>who was attacked</w:t>
      </w:r>
      <w:r w:rsidR="00E15BBF" w:rsidRPr="002E60EB">
        <w:rPr>
          <w:lang w:val="en-US"/>
        </w:rPr>
        <w:t xml:space="preserve"> by soldiers when he was obtaining such information and </w:t>
      </w:r>
      <w:r w:rsidR="007351C4" w:rsidRPr="002E60EB">
        <w:rPr>
          <w:lang w:val="en-US"/>
        </w:rPr>
        <w:t>who</w:t>
      </w:r>
      <w:r w:rsidR="00E15BBF" w:rsidRPr="002E60EB">
        <w:rPr>
          <w:lang w:val="en-US"/>
        </w:rPr>
        <w:t xml:space="preserve">, </w:t>
      </w:r>
      <w:r w:rsidR="007351C4" w:rsidRPr="002E60EB">
        <w:rPr>
          <w:lang w:val="en-US"/>
        </w:rPr>
        <w:t xml:space="preserve">following this, </w:t>
      </w:r>
      <w:r w:rsidR="00E15BBF" w:rsidRPr="002E60EB">
        <w:rPr>
          <w:lang w:val="en-US"/>
        </w:rPr>
        <w:t xml:space="preserve">was the target of threats and harassment. The Court has </w:t>
      </w:r>
      <w:r w:rsidR="004569FF" w:rsidRPr="002E60EB">
        <w:rPr>
          <w:lang w:val="en-US"/>
        </w:rPr>
        <w:t>indicated that there were</w:t>
      </w:r>
      <w:r w:rsidR="007351C4" w:rsidRPr="002E60EB">
        <w:rPr>
          <w:lang w:val="en-US"/>
        </w:rPr>
        <w:t xml:space="preserve"> </w:t>
      </w:r>
      <w:r w:rsidR="00E15BBF" w:rsidRPr="002E60EB">
        <w:rPr>
          <w:lang w:val="en-US"/>
        </w:rPr>
        <w:t>reasonable motive</w:t>
      </w:r>
      <w:r w:rsidR="007351C4" w:rsidRPr="002E60EB">
        <w:rPr>
          <w:lang w:val="en-US"/>
        </w:rPr>
        <w:t>s to pre</w:t>
      </w:r>
      <w:r w:rsidR="00E15BBF" w:rsidRPr="002E60EB">
        <w:rPr>
          <w:lang w:val="en-US"/>
        </w:rPr>
        <w:t xml:space="preserve">sume that these last events could have been related to </w:t>
      </w:r>
      <w:r w:rsidR="007351C4" w:rsidRPr="002E60EB">
        <w:rPr>
          <w:lang w:val="en-US"/>
        </w:rPr>
        <w:t>the</w:t>
      </w:r>
      <w:r w:rsidR="004569FF" w:rsidRPr="002E60EB">
        <w:rPr>
          <w:lang w:val="en-US"/>
        </w:rPr>
        <w:t xml:space="preserve"> measures he took to obtain the</w:t>
      </w:r>
      <w:r w:rsidR="00E15BBF" w:rsidRPr="002E60EB">
        <w:rPr>
          <w:lang w:val="en-US"/>
        </w:rPr>
        <w:t xml:space="preserve"> investigation and punishment of those responsible for </w:t>
      </w:r>
      <w:r w:rsidR="007351C4" w:rsidRPr="002E60EB">
        <w:rPr>
          <w:lang w:val="en-US"/>
        </w:rPr>
        <w:t>the attack. In addition, the public declarations of two ministers</w:t>
      </w:r>
      <w:r w:rsidR="00E15BBF" w:rsidRPr="002E60EB">
        <w:rPr>
          <w:lang w:val="en-US"/>
        </w:rPr>
        <w:t xml:space="preserve"> </w:t>
      </w:r>
      <w:r w:rsidR="007351C4" w:rsidRPr="002E60EB">
        <w:rPr>
          <w:lang w:val="en-US"/>
        </w:rPr>
        <w:t>stating</w:t>
      </w:r>
      <w:r w:rsidR="00E15BBF" w:rsidRPr="002E60EB">
        <w:rPr>
          <w:lang w:val="en-US"/>
        </w:rPr>
        <w:t xml:space="preserve"> that the attack</w:t>
      </w:r>
      <w:r w:rsidR="007351C4" w:rsidRPr="002E60EB">
        <w:rPr>
          <w:lang w:val="en-US"/>
        </w:rPr>
        <w:t xml:space="preserve"> on </w:t>
      </w:r>
      <w:r w:rsidR="00E15BBF" w:rsidRPr="002E60EB">
        <w:rPr>
          <w:lang w:val="en-US"/>
        </w:rPr>
        <w:t xml:space="preserve">Mr. Vélez Restrepo was </w:t>
      </w:r>
      <w:r w:rsidR="007351C4" w:rsidRPr="002E60EB">
        <w:rPr>
          <w:lang w:val="en-US"/>
        </w:rPr>
        <w:t>an act</w:t>
      </w:r>
      <w:r w:rsidR="00E15BBF" w:rsidRPr="002E60EB">
        <w:rPr>
          <w:lang w:val="en-US"/>
        </w:rPr>
        <w:t xml:space="preserve"> that</w:t>
      </w:r>
      <w:r w:rsidR="007351C4" w:rsidRPr="002E60EB">
        <w:rPr>
          <w:lang w:val="en-US"/>
        </w:rPr>
        <w:t xml:space="preserve"> would not be tolerated by the G</w:t>
      </w:r>
      <w:r w:rsidR="00E15BBF" w:rsidRPr="002E60EB">
        <w:rPr>
          <w:lang w:val="en-US"/>
        </w:rPr>
        <w:t xml:space="preserve">overnment and that </w:t>
      </w:r>
      <w:r w:rsidR="007351C4" w:rsidRPr="002E60EB">
        <w:rPr>
          <w:lang w:val="en-US"/>
        </w:rPr>
        <w:t>should</w:t>
      </w:r>
      <w:r w:rsidR="00E15BBF" w:rsidRPr="002E60EB">
        <w:rPr>
          <w:lang w:val="en-US"/>
        </w:rPr>
        <w:t xml:space="preserve"> be punished</w:t>
      </w:r>
      <w:r w:rsidR="00E15BBF" w:rsidRPr="002E60EB">
        <w:rPr>
          <w:rFonts w:eastAsia="Calibri" w:cs="Arial"/>
          <w:lang w:val="en-US"/>
        </w:rPr>
        <w:t xml:space="preserve"> (</w:t>
      </w:r>
      <w:r w:rsidR="00E15BBF" w:rsidRPr="002E60EB">
        <w:rPr>
          <w:rFonts w:eastAsia="Calibri" w:cs="Arial"/>
          <w:i/>
          <w:lang w:val="en-US"/>
        </w:rPr>
        <w:t xml:space="preserve">supra </w:t>
      </w:r>
      <w:r w:rsidR="007351C4" w:rsidRPr="002E60EB">
        <w:rPr>
          <w:rFonts w:eastAsia="Calibri" w:cs="Arial"/>
          <w:lang w:val="en-US"/>
        </w:rPr>
        <w:t>para. 83</w:t>
      </w:r>
      <w:r w:rsidR="00E15BBF" w:rsidRPr="002E60EB">
        <w:rPr>
          <w:rFonts w:eastAsia="Calibri" w:cs="Arial"/>
          <w:lang w:val="en-US"/>
        </w:rPr>
        <w:t xml:space="preserve">) could have </w:t>
      </w:r>
      <w:r w:rsidR="007351C4" w:rsidRPr="002E60EB">
        <w:rPr>
          <w:rFonts w:eastAsia="Calibri" w:cs="Arial"/>
          <w:lang w:val="en-US"/>
        </w:rPr>
        <w:t>had an impact on</w:t>
      </w:r>
      <w:r w:rsidR="00E15BBF" w:rsidRPr="002E60EB">
        <w:rPr>
          <w:rFonts w:eastAsia="Calibri" w:cs="Arial"/>
          <w:lang w:val="en-US"/>
        </w:rPr>
        <w:t xml:space="preserve"> the perpetrators of the threats </w:t>
      </w:r>
      <w:r w:rsidR="007351C4" w:rsidRPr="002E60EB">
        <w:rPr>
          <w:rFonts w:eastAsia="Calibri" w:cs="Arial"/>
          <w:lang w:val="en-US"/>
        </w:rPr>
        <w:t>fearing</w:t>
      </w:r>
      <w:r w:rsidR="00E15BBF" w:rsidRPr="002E60EB">
        <w:rPr>
          <w:rFonts w:eastAsia="Calibri" w:cs="Arial"/>
          <w:lang w:val="en-US"/>
        </w:rPr>
        <w:t xml:space="preserve"> that they would be investigated and punished.</w:t>
      </w:r>
    </w:p>
    <w:p w:rsidR="007351C4" w:rsidRPr="002E60EB" w:rsidRDefault="007351C4" w:rsidP="007351C4">
      <w:pPr>
        <w:pStyle w:val="Prrafodelista"/>
        <w:rPr>
          <w:lang w:val="en-US"/>
        </w:rPr>
      </w:pPr>
    </w:p>
    <w:p w:rsidR="007351C4" w:rsidRPr="002E60EB" w:rsidRDefault="007351C4" w:rsidP="007351C4">
      <w:pPr>
        <w:numPr>
          <w:ilvl w:val="0"/>
          <w:numId w:val="1"/>
        </w:numPr>
        <w:tabs>
          <w:tab w:val="left" w:pos="720"/>
        </w:tabs>
        <w:jc w:val="both"/>
        <w:rPr>
          <w:lang w:val="en-US"/>
        </w:rPr>
      </w:pPr>
      <w:r w:rsidRPr="002E60EB">
        <w:rPr>
          <w:lang w:val="en-US"/>
        </w:rPr>
        <w:t xml:space="preserve">A dispute exists as to whether the State knew of Mr. Vélez Restrepo’s particular situation of risk </w:t>
      </w:r>
      <w:r w:rsidR="00E15BBF" w:rsidRPr="002E60EB">
        <w:rPr>
          <w:lang w:val="en-US"/>
        </w:rPr>
        <w:t>prior to October 6, 1997, when the attempted deprivation of liberty took place, (</w:t>
      </w:r>
      <w:r w:rsidR="00E15BBF" w:rsidRPr="002E60EB">
        <w:rPr>
          <w:i/>
          <w:lang w:val="en-US"/>
        </w:rPr>
        <w:t>supra</w:t>
      </w:r>
      <w:r w:rsidRPr="002E60EB">
        <w:rPr>
          <w:lang w:val="en-US"/>
        </w:rPr>
        <w:t xml:space="preserve"> para. 94</w:t>
      </w:r>
      <w:r w:rsidR="00E15BBF" w:rsidRPr="002E60EB">
        <w:rPr>
          <w:lang w:val="en-US"/>
        </w:rPr>
        <w:t>), and whether it should have adopted measures of protection</w:t>
      </w:r>
      <w:r w:rsidRPr="002E60EB">
        <w:rPr>
          <w:lang w:val="en-US"/>
        </w:rPr>
        <w:t xml:space="preserve"> previously</w:t>
      </w:r>
      <w:r w:rsidR="00E15BBF" w:rsidRPr="002E60EB">
        <w:rPr>
          <w:lang w:val="en-US"/>
        </w:rPr>
        <w:t xml:space="preserve">. Colombia </w:t>
      </w:r>
      <w:r w:rsidRPr="002E60EB">
        <w:rPr>
          <w:lang w:val="en-US"/>
        </w:rPr>
        <w:t xml:space="preserve">bases its position on the fact </w:t>
      </w:r>
      <w:r w:rsidR="00E15BBF" w:rsidRPr="002E60EB">
        <w:rPr>
          <w:lang w:val="en-US"/>
        </w:rPr>
        <w:t xml:space="preserve">that </w:t>
      </w:r>
      <w:r w:rsidR="00087093" w:rsidRPr="002E60EB">
        <w:rPr>
          <w:lang w:val="en-US"/>
        </w:rPr>
        <w:t>“</w:t>
      </w:r>
      <w:r w:rsidR="00E15BBF" w:rsidRPr="002E60EB">
        <w:rPr>
          <w:lang w:val="en-US"/>
        </w:rPr>
        <w:t>the alleged threats and intimidation</w:t>
      </w:r>
      <w:r w:rsidRPr="002E60EB">
        <w:rPr>
          <w:lang w:val="en-US"/>
        </w:rPr>
        <w:t xml:space="preserve"> </w:t>
      </w:r>
      <w:r w:rsidR="00E15BBF" w:rsidRPr="002E60EB">
        <w:rPr>
          <w:lang w:val="en-US"/>
        </w:rPr>
        <w:t>were reported to the competent authorities on October 6, 1997,</w:t>
      </w:r>
      <w:r w:rsidR="00087093" w:rsidRPr="002E60EB">
        <w:rPr>
          <w:lang w:val="en-US"/>
        </w:rPr>
        <w:t>”</w:t>
      </w:r>
      <w:r w:rsidR="00E15BBF" w:rsidRPr="002E60EB">
        <w:rPr>
          <w:lang w:val="en-US"/>
        </w:rPr>
        <w:t xml:space="preserve"> </w:t>
      </w:r>
      <w:r w:rsidRPr="002E60EB">
        <w:rPr>
          <w:lang w:val="en-US"/>
        </w:rPr>
        <w:t xml:space="preserve">and, as of that date, </w:t>
      </w:r>
      <w:r w:rsidR="00E15BBF" w:rsidRPr="002E60EB">
        <w:rPr>
          <w:lang w:val="en-US"/>
        </w:rPr>
        <w:t xml:space="preserve">the State </w:t>
      </w:r>
      <w:r w:rsidR="00087093" w:rsidRPr="002E60EB">
        <w:rPr>
          <w:lang w:val="en-US"/>
        </w:rPr>
        <w:t>“</w:t>
      </w:r>
      <w:r w:rsidR="00E15BBF" w:rsidRPr="002E60EB">
        <w:rPr>
          <w:lang w:val="en-US"/>
        </w:rPr>
        <w:t xml:space="preserve">immediately </w:t>
      </w:r>
      <w:r w:rsidRPr="002E60EB">
        <w:rPr>
          <w:lang w:val="en-US"/>
        </w:rPr>
        <w:t>provided</w:t>
      </w:r>
      <w:r w:rsidR="00E15BBF" w:rsidRPr="002E60EB">
        <w:rPr>
          <w:lang w:val="en-US"/>
        </w:rPr>
        <w:t xml:space="preserve"> </w:t>
      </w:r>
      <w:r w:rsidRPr="002E60EB">
        <w:rPr>
          <w:lang w:val="en-US"/>
        </w:rPr>
        <w:t>different</w:t>
      </w:r>
      <w:r w:rsidR="00E15BBF" w:rsidRPr="002E60EB">
        <w:rPr>
          <w:lang w:val="en-US"/>
        </w:rPr>
        <w:t xml:space="preserve"> means of protection.</w:t>
      </w:r>
      <w:r w:rsidR="00087093" w:rsidRPr="002E60EB">
        <w:rPr>
          <w:lang w:val="en-US"/>
        </w:rPr>
        <w:t>”</w:t>
      </w:r>
      <w:r w:rsidRPr="002E60EB">
        <w:rPr>
          <w:lang w:val="en-US"/>
        </w:rPr>
        <w:t xml:space="preserve"> Colombia affirmed that, three days later,</w:t>
      </w:r>
      <w:r w:rsidR="00E15BBF" w:rsidRPr="002E60EB">
        <w:rPr>
          <w:lang w:val="en-US"/>
        </w:rPr>
        <w:t xml:space="preserve"> </w:t>
      </w:r>
      <w:r w:rsidR="00087093" w:rsidRPr="002E60EB">
        <w:rPr>
          <w:lang w:val="en-US"/>
        </w:rPr>
        <w:t>“</w:t>
      </w:r>
      <w:r w:rsidR="00E15BBF" w:rsidRPr="002E60EB">
        <w:rPr>
          <w:lang w:val="en-US"/>
        </w:rPr>
        <w:t>Mr. Vélez</w:t>
      </w:r>
      <w:r w:rsidR="00F13469" w:rsidRPr="002E60EB">
        <w:rPr>
          <w:lang w:val="en-US"/>
        </w:rPr>
        <w:t xml:space="preserve"> </w:t>
      </w:r>
      <w:r w:rsidR="00E15BBF" w:rsidRPr="002E60EB">
        <w:rPr>
          <w:lang w:val="en-US"/>
        </w:rPr>
        <w:t>[…]</w:t>
      </w:r>
      <w:r w:rsidRPr="002E60EB">
        <w:rPr>
          <w:lang w:val="en-US"/>
        </w:rPr>
        <w:t xml:space="preserve"> decided</w:t>
      </w:r>
      <w:r w:rsidR="00E15BBF" w:rsidRPr="002E60EB">
        <w:rPr>
          <w:lang w:val="en-US"/>
        </w:rPr>
        <w:t xml:space="preserve"> to leave the country</w:t>
      </w:r>
      <w:r w:rsidR="00F13469" w:rsidRPr="002E60EB">
        <w:rPr>
          <w:lang w:val="en-US"/>
        </w:rPr>
        <w:t xml:space="preserve"> of his own </w:t>
      </w:r>
      <w:r w:rsidR="004569FF" w:rsidRPr="002E60EB">
        <w:rPr>
          <w:lang w:val="en-US"/>
        </w:rPr>
        <w:t>volition</w:t>
      </w:r>
      <w:r w:rsidR="00E15BBF" w:rsidRPr="002E60EB">
        <w:rPr>
          <w:lang w:val="en-US"/>
        </w:rPr>
        <w:t>.</w:t>
      </w:r>
      <w:r w:rsidR="00087093" w:rsidRPr="002E60EB">
        <w:rPr>
          <w:lang w:val="en-US"/>
        </w:rPr>
        <w:t>”</w:t>
      </w:r>
      <w:r w:rsidR="00E15BBF" w:rsidRPr="002E60EB">
        <w:rPr>
          <w:lang w:val="en-US"/>
        </w:rPr>
        <w:t xml:space="preserve"> The Inter-American Commission </w:t>
      </w:r>
      <w:r w:rsidRPr="002E60EB">
        <w:rPr>
          <w:lang w:val="en-US"/>
        </w:rPr>
        <w:t>stated</w:t>
      </w:r>
      <w:r w:rsidR="00E15BBF" w:rsidRPr="002E60EB">
        <w:rPr>
          <w:lang w:val="en-US"/>
        </w:rPr>
        <w:t xml:space="preserve"> that </w:t>
      </w:r>
      <w:r w:rsidR="00087093" w:rsidRPr="002E60EB">
        <w:rPr>
          <w:lang w:val="en-US"/>
        </w:rPr>
        <w:t>“</w:t>
      </w:r>
      <w:r w:rsidR="00E15BBF" w:rsidRPr="002E60EB">
        <w:rPr>
          <w:lang w:val="en-US"/>
        </w:rPr>
        <w:t>the</w:t>
      </w:r>
      <w:r w:rsidRPr="002E60EB">
        <w:rPr>
          <w:lang w:val="en-US"/>
        </w:rPr>
        <w:t xml:space="preserve"> Colombian State was aware of the</w:t>
      </w:r>
      <w:r w:rsidR="004569FF" w:rsidRPr="002E60EB">
        <w:rPr>
          <w:lang w:val="en-US"/>
        </w:rPr>
        <w:t xml:space="preserve"> harassment</w:t>
      </w:r>
      <w:r w:rsidR="00E15BBF" w:rsidRPr="002E60EB">
        <w:rPr>
          <w:lang w:val="en-US"/>
        </w:rPr>
        <w:t xml:space="preserve"> and threats to Mr. Vélez and his family since September 11, 1996</w:t>
      </w:r>
      <w:r w:rsidRPr="002E60EB">
        <w:rPr>
          <w:lang w:val="en-US"/>
        </w:rPr>
        <w:t>,</w:t>
      </w:r>
      <w:r w:rsidR="00087093" w:rsidRPr="002E60EB">
        <w:rPr>
          <w:lang w:val="en-US"/>
        </w:rPr>
        <w:t>”</w:t>
      </w:r>
      <w:r w:rsidR="00E15BBF" w:rsidRPr="002E60EB">
        <w:rPr>
          <w:lang w:val="en-US"/>
        </w:rPr>
        <w:t xml:space="preserve"> and that</w:t>
      </w:r>
      <w:r w:rsidRPr="002E60EB">
        <w:rPr>
          <w:lang w:val="en-US"/>
        </w:rPr>
        <w:t>, prior to</w:t>
      </w:r>
      <w:r w:rsidR="00E15BBF" w:rsidRPr="002E60EB">
        <w:rPr>
          <w:lang w:val="en-US"/>
        </w:rPr>
        <w:t xml:space="preserve"> October 6, 1997, Mr. Vélez Restrepo</w:t>
      </w:r>
      <w:r w:rsidRPr="002E60EB">
        <w:rPr>
          <w:lang w:val="en-US"/>
        </w:rPr>
        <w:t xml:space="preserve"> had recourse</w:t>
      </w:r>
      <w:r w:rsidR="00E15BBF" w:rsidRPr="002E60EB">
        <w:rPr>
          <w:lang w:val="en-US"/>
        </w:rPr>
        <w:t xml:space="preserve"> </w:t>
      </w:r>
      <w:r w:rsidR="00087093" w:rsidRPr="002E60EB">
        <w:rPr>
          <w:lang w:val="en-US"/>
        </w:rPr>
        <w:t>“</w:t>
      </w:r>
      <w:r w:rsidRPr="002E60EB">
        <w:rPr>
          <w:lang w:val="en-US"/>
        </w:rPr>
        <w:t xml:space="preserve">to the State, </w:t>
      </w:r>
      <w:r w:rsidR="00E15BBF" w:rsidRPr="002E60EB">
        <w:rPr>
          <w:lang w:val="en-US"/>
        </w:rPr>
        <w:t xml:space="preserve">at </w:t>
      </w:r>
      <w:r w:rsidRPr="002E60EB">
        <w:rPr>
          <w:lang w:val="en-US"/>
        </w:rPr>
        <w:t>difference</w:t>
      </w:r>
      <w:r w:rsidR="00E15BBF" w:rsidRPr="002E60EB">
        <w:rPr>
          <w:lang w:val="en-US"/>
        </w:rPr>
        <w:t xml:space="preserve"> times and in di</w:t>
      </w:r>
      <w:r w:rsidRPr="002E60EB">
        <w:rPr>
          <w:lang w:val="en-US"/>
        </w:rPr>
        <w:t>fferent</w:t>
      </w:r>
      <w:r w:rsidR="00E15BBF" w:rsidRPr="002E60EB">
        <w:rPr>
          <w:lang w:val="en-US"/>
        </w:rPr>
        <w:t xml:space="preserve"> </w:t>
      </w:r>
      <w:r w:rsidRPr="002E60EB">
        <w:rPr>
          <w:lang w:val="en-US"/>
        </w:rPr>
        <w:t>ways,</w:t>
      </w:r>
      <w:r w:rsidR="00E15BBF" w:rsidRPr="002E60EB">
        <w:rPr>
          <w:lang w:val="en-US"/>
        </w:rPr>
        <w:t xml:space="preserve"> </w:t>
      </w:r>
      <w:r w:rsidRPr="002E60EB">
        <w:rPr>
          <w:lang w:val="en-US"/>
        </w:rPr>
        <w:t>in view of</w:t>
      </w:r>
      <w:r w:rsidR="00E15BBF" w:rsidRPr="002E60EB">
        <w:rPr>
          <w:lang w:val="en-US"/>
        </w:rPr>
        <w:t xml:space="preserve"> the threats against him, his wife, and</w:t>
      </w:r>
      <w:r w:rsidRPr="002E60EB">
        <w:rPr>
          <w:lang w:val="en-US"/>
        </w:rPr>
        <w:t xml:space="preserve"> even his son.”</w:t>
      </w:r>
    </w:p>
    <w:p w:rsidR="007351C4" w:rsidRPr="002E60EB" w:rsidRDefault="007351C4" w:rsidP="007351C4">
      <w:pPr>
        <w:pStyle w:val="Prrafodelista"/>
        <w:rPr>
          <w:b/>
          <w:sz w:val="20"/>
          <w:szCs w:val="20"/>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From an analysis of the </w:t>
      </w:r>
      <w:r w:rsidR="007351C4" w:rsidRPr="002E60EB">
        <w:rPr>
          <w:lang w:val="en-US"/>
        </w:rPr>
        <w:t xml:space="preserve">body of </w:t>
      </w:r>
      <w:r w:rsidRPr="002E60EB">
        <w:rPr>
          <w:lang w:val="en-US"/>
        </w:rPr>
        <w:t>evid</w:t>
      </w:r>
      <w:r w:rsidR="007351C4" w:rsidRPr="002E60EB">
        <w:rPr>
          <w:lang w:val="en-US"/>
        </w:rPr>
        <w:t>ence in this case, the Court can</w:t>
      </w:r>
      <w:r w:rsidRPr="002E60EB">
        <w:rPr>
          <w:lang w:val="en-US"/>
        </w:rPr>
        <w:t xml:space="preserve"> conclude that</w:t>
      </w:r>
      <w:r w:rsidR="007351C4" w:rsidRPr="002E60EB">
        <w:rPr>
          <w:lang w:val="en-US"/>
        </w:rPr>
        <w:t>, as of</w:t>
      </w:r>
      <w:r w:rsidRPr="002E60EB">
        <w:rPr>
          <w:lang w:val="en-US"/>
        </w:rPr>
        <w:t xml:space="preserve"> mid-September 1996, State authorities were aware of the threats and harassment against </w:t>
      </w:r>
      <w:r w:rsidR="00334C3C" w:rsidRPr="002E60EB">
        <w:rPr>
          <w:lang w:val="en-US"/>
        </w:rPr>
        <w:t>Mr. Vélez</w:t>
      </w:r>
      <w:r w:rsidRPr="002E60EB">
        <w:rPr>
          <w:lang w:val="en-US"/>
        </w:rPr>
        <w:t xml:space="preserve"> a</w:t>
      </w:r>
      <w:r w:rsidR="007351C4" w:rsidRPr="002E60EB">
        <w:rPr>
          <w:lang w:val="en-US"/>
        </w:rPr>
        <w:t>nd his family, and also that a State official had signed a note advising a</w:t>
      </w:r>
      <w:r w:rsidR="004569FF" w:rsidRPr="002E60EB">
        <w:rPr>
          <w:lang w:val="en-US"/>
        </w:rPr>
        <w:t>n agency</w:t>
      </w:r>
      <w:r w:rsidR="007351C4" w:rsidRPr="002E60EB">
        <w:rPr>
          <w:lang w:val="en-US"/>
        </w:rPr>
        <w:t xml:space="preserve"> responsible for providing security of the situation</w:t>
      </w:r>
      <w:r w:rsidRPr="002E60EB">
        <w:rPr>
          <w:lang w:val="en-US"/>
        </w:rPr>
        <w:t xml:space="preserve"> </w:t>
      </w:r>
      <w:r w:rsidR="007351C4" w:rsidRPr="002E60EB">
        <w:rPr>
          <w:lang w:val="en-US"/>
        </w:rPr>
        <w:t>of</w:t>
      </w:r>
      <w:r w:rsidRPr="002E60EB">
        <w:rPr>
          <w:lang w:val="en-US"/>
        </w:rPr>
        <w:t xml:space="preserve"> Mr. Vélez Restrepo and his family </w:t>
      </w:r>
      <w:r w:rsidR="007351C4" w:rsidRPr="002E60EB">
        <w:rPr>
          <w:lang w:val="en-US"/>
        </w:rPr>
        <w:t>(</w:t>
      </w:r>
      <w:r w:rsidR="007351C4" w:rsidRPr="002E60EB">
        <w:rPr>
          <w:i/>
          <w:lang w:val="en-US"/>
        </w:rPr>
        <w:t>supra</w:t>
      </w:r>
      <w:r w:rsidRPr="002E60EB">
        <w:rPr>
          <w:i/>
          <w:lang w:val="en-US"/>
        </w:rPr>
        <w:t xml:space="preserve"> </w:t>
      </w:r>
      <w:r w:rsidR="007351C4" w:rsidRPr="002E60EB">
        <w:rPr>
          <w:lang w:val="en-US"/>
        </w:rPr>
        <w:t>para. 86 and 109</w:t>
      </w:r>
      <w:r w:rsidRPr="002E60EB">
        <w:rPr>
          <w:lang w:val="en-US"/>
        </w:rPr>
        <w:t>).</w:t>
      </w:r>
    </w:p>
    <w:p w:rsidR="007351C4" w:rsidRPr="002E60EB" w:rsidRDefault="007351C4" w:rsidP="007351C4">
      <w:pPr>
        <w:pStyle w:val="Prrafodelista"/>
        <w:rPr>
          <w:sz w:val="20"/>
          <w:szCs w:val="20"/>
          <w:lang w:val="en-US"/>
        </w:rPr>
      </w:pPr>
    </w:p>
    <w:p w:rsidR="00E15BBF" w:rsidRPr="002E60EB" w:rsidRDefault="00E15BBF" w:rsidP="00247345">
      <w:pPr>
        <w:numPr>
          <w:ilvl w:val="0"/>
          <w:numId w:val="1"/>
        </w:numPr>
        <w:tabs>
          <w:tab w:val="left" w:pos="720"/>
        </w:tabs>
        <w:jc w:val="both"/>
        <w:rPr>
          <w:lang w:val="en-US"/>
        </w:rPr>
      </w:pPr>
      <w:r w:rsidRPr="002E60EB">
        <w:rPr>
          <w:lang w:val="en-US"/>
        </w:rPr>
        <w:t xml:space="preserve">On September 11, 1996, the </w:t>
      </w:r>
      <w:r w:rsidR="007351C4" w:rsidRPr="002E60EB">
        <w:rPr>
          <w:rFonts w:cs="Arial"/>
          <w:lang w:val="en-US"/>
        </w:rPr>
        <w:t>Editor-in-Chief</w:t>
      </w:r>
      <w:r w:rsidRPr="002E60EB">
        <w:rPr>
          <w:rFonts w:cs="Arial"/>
          <w:lang w:val="en-US"/>
        </w:rPr>
        <w:t xml:space="preserve"> of </w:t>
      </w:r>
      <w:r w:rsidR="007351C4" w:rsidRPr="002E60EB">
        <w:rPr>
          <w:rFonts w:cs="Arial"/>
          <w:i/>
          <w:lang w:val="en-US"/>
        </w:rPr>
        <w:t xml:space="preserve">Noticiero </w:t>
      </w:r>
      <w:r w:rsidRPr="002E60EB">
        <w:rPr>
          <w:rFonts w:cs="Arial"/>
          <w:i/>
          <w:lang w:val="en-US"/>
        </w:rPr>
        <w:t>Colombia 12:30</w:t>
      </w:r>
      <w:r w:rsidRPr="002E60EB">
        <w:rPr>
          <w:rFonts w:cs="Arial"/>
          <w:lang w:val="en-US"/>
        </w:rPr>
        <w:t xml:space="preserve"> </w:t>
      </w:r>
      <w:r w:rsidR="007351C4" w:rsidRPr="002E60EB">
        <w:rPr>
          <w:rFonts w:cs="Arial"/>
          <w:lang w:val="en-US"/>
        </w:rPr>
        <w:t>sent</w:t>
      </w:r>
      <w:r w:rsidRPr="002E60EB">
        <w:rPr>
          <w:rFonts w:cs="Arial"/>
          <w:lang w:val="en-US"/>
        </w:rPr>
        <w:t xml:space="preserve"> a </w:t>
      </w:r>
      <w:r w:rsidR="007351C4" w:rsidRPr="002E60EB">
        <w:rPr>
          <w:rFonts w:cs="Arial"/>
          <w:lang w:val="en-US"/>
        </w:rPr>
        <w:t xml:space="preserve">letter </w:t>
      </w:r>
      <w:r w:rsidRPr="002E60EB">
        <w:rPr>
          <w:rFonts w:cs="Arial"/>
          <w:lang w:val="en-US"/>
        </w:rPr>
        <w:t xml:space="preserve">to the Special Investigations Unit of the Attorney General’s Office </w:t>
      </w:r>
      <w:r w:rsidR="007351C4" w:rsidRPr="002E60EB">
        <w:rPr>
          <w:rFonts w:cs="Arial"/>
          <w:lang w:val="en-US"/>
        </w:rPr>
        <w:t>reporting</w:t>
      </w:r>
      <w:r w:rsidRPr="002E60EB">
        <w:rPr>
          <w:rFonts w:cs="Arial"/>
          <w:lang w:val="en-US"/>
        </w:rPr>
        <w:t xml:space="preserve"> a</w:t>
      </w:r>
      <w:r w:rsidR="007351C4" w:rsidRPr="002E60EB">
        <w:rPr>
          <w:rFonts w:cs="Arial"/>
          <w:lang w:val="en-US"/>
        </w:rPr>
        <w:t>n act of harassment</w:t>
      </w:r>
      <w:r w:rsidRPr="002E60EB">
        <w:rPr>
          <w:rFonts w:cs="Arial"/>
          <w:lang w:val="en-US"/>
        </w:rPr>
        <w:t xml:space="preserve"> and </w:t>
      </w:r>
      <w:r w:rsidR="007351C4" w:rsidRPr="002E60EB">
        <w:rPr>
          <w:rFonts w:cs="Arial"/>
          <w:lang w:val="en-US"/>
        </w:rPr>
        <w:t>asking that the</w:t>
      </w:r>
      <w:r w:rsidRPr="002E60EB">
        <w:rPr>
          <w:rFonts w:cs="Arial"/>
          <w:lang w:val="en-US"/>
        </w:rPr>
        <w:t xml:space="preserve"> situation be </w:t>
      </w:r>
      <w:r w:rsidR="007351C4" w:rsidRPr="002E60EB">
        <w:rPr>
          <w:rFonts w:cs="Arial"/>
          <w:lang w:val="en-US"/>
        </w:rPr>
        <w:t>clarified</w:t>
      </w:r>
      <w:r w:rsidRPr="002E60EB">
        <w:rPr>
          <w:rFonts w:cs="Arial"/>
          <w:lang w:val="en-US"/>
        </w:rPr>
        <w:t xml:space="preserve">, </w:t>
      </w:r>
      <w:r w:rsidR="00087093" w:rsidRPr="002E60EB">
        <w:rPr>
          <w:rFonts w:cs="Arial"/>
          <w:lang w:val="en-US"/>
        </w:rPr>
        <w:t>“</w:t>
      </w:r>
      <w:r w:rsidR="007351C4" w:rsidRPr="002E60EB">
        <w:rPr>
          <w:rFonts w:cs="Arial"/>
          <w:lang w:val="en-US"/>
        </w:rPr>
        <w:t>in view of</w:t>
      </w:r>
      <w:r w:rsidRPr="002E60EB">
        <w:rPr>
          <w:rFonts w:cs="Arial"/>
          <w:lang w:val="en-US"/>
        </w:rPr>
        <w:t xml:space="preserve"> the anguish </w:t>
      </w:r>
      <w:r w:rsidR="007351C4" w:rsidRPr="002E60EB">
        <w:rPr>
          <w:rFonts w:cs="Arial"/>
          <w:lang w:val="en-US"/>
        </w:rPr>
        <w:t>of</w:t>
      </w:r>
      <w:r w:rsidRPr="002E60EB">
        <w:rPr>
          <w:rFonts w:cs="Arial"/>
          <w:lang w:val="en-US"/>
        </w:rPr>
        <w:t xml:space="preserve"> the family of the cameraman Luis Gonzalo Vélez Restrepo.</w:t>
      </w:r>
      <w:r w:rsidR="00087093" w:rsidRPr="002E60EB">
        <w:rPr>
          <w:rFonts w:cs="Arial"/>
          <w:lang w:val="en-US"/>
        </w:rPr>
        <w:t>”</w:t>
      </w:r>
      <w:r w:rsidRPr="002E60EB">
        <w:rPr>
          <w:rFonts w:cs="Arial"/>
          <w:lang w:val="en-US"/>
        </w:rPr>
        <w:t xml:space="preserve"> </w:t>
      </w:r>
      <w:r w:rsidRPr="002E60EB">
        <w:rPr>
          <w:lang w:val="en-US"/>
        </w:rPr>
        <w:t xml:space="preserve">In this regard, it </w:t>
      </w:r>
      <w:r w:rsidR="007351C4" w:rsidRPr="002E60EB">
        <w:rPr>
          <w:lang w:val="en-US"/>
        </w:rPr>
        <w:t>is on record</w:t>
      </w:r>
      <w:r w:rsidRPr="002E60EB">
        <w:rPr>
          <w:lang w:val="en-US"/>
        </w:rPr>
        <w:t xml:space="preserve"> that Mr. Vélez Restrepo and his wife were in</w:t>
      </w:r>
      <w:r w:rsidR="007351C4" w:rsidRPr="002E60EB">
        <w:rPr>
          <w:lang w:val="en-US"/>
        </w:rPr>
        <w:t>terviewed that month by officials</w:t>
      </w:r>
      <w:r w:rsidRPr="002E60EB">
        <w:rPr>
          <w:lang w:val="en-US"/>
        </w:rPr>
        <w:t xml:space="preserve"> of the Human Rights Unit of the Attorney General’s Office </w:t>
      </w:r>
      <w:r w:rsidR="00247345" w:rsidRPr="002E60EB">
        <w:rPr>
          <w:lang w:val="en-US"/>
        </w:rPr>
        <w:t xml:space="preserve">with regard </w:t>
      </w:r>
      <w:r w:rsidRPr="002E60EB">
        <w:rPr>
          <w:lang w:val="en-US"/>
        </w:rPr>
        <w:t>to those facts</w:t>
      </w:r>
      <w:r w:rsidR="00247345" w:rsidRPr="002E60EB">
        <w:rPr>
          <w:lang w:val="en-US"/>
        </w:rPr>
        <w:t xml:space="preserve"> </w:t>
      </w:r>
      <w:r w:rsidR="00247345" w:rsidRPr="002E60EB">
        <w:rPr>
          <w:rFonts w:cs="Arial"/>
          <w:lang w:val="en-US"/>
        </w:rPr>
        <w:t>(</w:t>
      </w:r>
      <w:r w:rsidR="00247345" w:rsidRPr="002E60EB">
        <w:rPr>
          <w:rFonts w:cs="Arial"/>
          <w:i/>
          <w:lang w:val="en-US"/>
        </w:rPr>
        <w:t>supra</w:t>
      </w:r>
      <w:r w:rsidR="00247345" w:rsidRPr="002E60EB">
        <w:rPr>
          <w:rFonts w:cs="Arial"/>
          <w:lang w:val="en-US"/>
        </w:rPr>
        <w:t xml:space="preserve"> para. 109)</w:t>
      </w:r>
      <w:r w:rsidRPr="002E60EB">
        <w:rPr>
          <w:lang w:val="en-US"/>
        </w:rPr>
        <w:t>. Furthermore, in the statement made by Mr. Vélez Restrepo on August 27, 1997</w:t>
      </w:r>
      <w:r w:rsidR="00247345" w:rsidRPr="002E60EB">
        <w:rPr>
          <w:lang w:val="en-US"/>
        </w:rPr>
        <w:t>,</w:t>
      </w:r>
      <w:r w:rsidRPr="002E60EB">
        <w:rPr>
          <w:lang w:val="en-US"/>
        </w:rPr>
        <w:t xml:space="preserve"> before the Prosecutor in charge of the investigation for the </w:t>
      </w:r>
      <w:r w:rsidR="00247345" w:rsidRPr="002E60EB">
        <w:rPr>
          <w:lang w:val="en-US"/>
        </w:rPr>
        <w:t>offense</w:t>
      </w:r>
      <w:r w:rsidRPr="002E60EB">
        <w:rPr>
          <w:lang w:val="en-US"/>
        </w:rPr>
        <w:t xml:space="preserve"> of threats, </w:t>
      </w:r>
      <w:r w:rsidR="00247345" w:rsidRPr="002E60EB">
        <w:rPr>
          <w:lang w:val="en-US"/>
        </w:rPr>
        <w:t>it is recorded</w:t>
      </w:r>
      <w:r w:rsidRPr="002E60EB">
        <w:rPr>
          <w:lang w:val="en-US"/>
        </w:rPr>
        <w:t xml:space="preserve"> that he was asked</w:t>
      </w:r>
      <w:r w:rsidR="00247345" w:rsidRPr="002E60EB">
        <w:rPr>
          <w:lang w:val="en-US"/>
        </w:rPr>
        <w:t xml:space="preserve"> about the threats received the previous year (supra para. 117</w:t>
      </w:r>
      <w:r w:rsidRPr="002E60EB">
        <w:rPr>
          <w:lang w:val="en-US"/>
        </w:rPr>
        <w:t xml:space="preserve">). In addition, </w:t>
      </w:r>
      <w:r w:rsidR="00247345" w:rsidRPr="002E60EB">
        <w:rPr>
          <w:lang w:val="en-US"/>
        </w:rPr>
        <w:t xml:space="preserve">at </w:t>
      </w:r>
      <w:r w:rsidRPr="002E60EB">
        <w:rPr>
          <w:lang w:val="en-US"/>
        </w:rPr>
        <w:t>the end of September and on October 3, 1997, (</w:t>
      </w:r>
      <w:r w:rsidRPr="002E60EB">
        <w:rPr>
          <w:i/>
          <w:lang w:val="en-US"/>
        </w:rPr>
        <w:t>supra</w:t>
      </w:r>
      <w:r w:rsidR="00247345" w:rsidRPr="002E60EB">
        <w:rPr>
          <w:lang w:val="en-US"/>
        </w:rPr>
        <w:t xml:space="preserve"> paras. 90 and 92), </w:t>
      </w:r>
      <w:r w:rsidRPr="002E60EB">
        <w:rPr>
          <w:lang w:val="en-US"/>
        </w:rPr>
        <w:t xml:space="preserve">the Colombian Commission of Jurists and Mr. Vélez Restrepo, personally, </w:t>
      </w:r>
      <w:r w:rsidR="00247345" w:rsidRPr="002E60EB">
        <w:rPr>
          <w:lang w:val="en-US"/>
        </w:rPr>
        <w:t>sent</w:t>
      </w:r>
      <w:r w:rsidRPr="002E60EB">
        <w:rPr>
          <w:lang w:val="en-US"/>
        </w:rPr>
        <w:t xml:space="preserve"> communications </w:t>
      </w:r>
      <w:r w:rsidR="00247345" w:rsidRPr="002E60EB">
        <w:rPr>
          <w:lang w:val="en-US"/>
        </w:rPr>
        <w:t xml:space="preserve">to </w:t>
      </w:r>
      <w:r w:rsidRPr="002E60EB">
        <w:rPr>
          <w:lang w:val="en-US"/>
        </w:rPr>
        <w:t xml:space="preserve">State authorities informing them of the situation </w:t>
      </w:r>
      <w:r w:rsidR="00247345" w:rsidRPr="002E60EB">
        <w:rPr>
          <w:lang w:val="en-US"/>
        </w:rPr>
        <w:t>that he</w:t>
      </w:r>
      <w:r w:rsidRPr="002E60EB">
        <w:rPr>
          <w:lang w:val="en-US"/>
        </w:rPr>
        <w:t xml:space="preserve"> and his family</w:t>
      </w:r>
      <w:r w:rsidR="00247345" w:rsidRPr="002E60EB">
        <w:rPr>
          <w:lang w:val="en-US"/>
        </w:rPr>
        <w:t xml:space="preserve"> faced.</w:t>
      </w:r>
      <w:r w:rsidRPr="002E60EB">
        <w:rPr>
          <w:color w:val="00B050"/>
          <w:lang w:val="en-US"/>
        </w:rPr>
        <w:t xml:space="preserve"> </w:t>
      </w:r>
    </w:p>
    <w:p w:rsidR="00247345" w:rsidRPr="002E60EB" w:rsidRDefault="00247345" w:rsidP="00247345">
      <w:pPr>
        <w:pStyle w:val="Prrafodelista"/>
        <w:rPr>
          <w:sz w:val="20"/>
          <w:szCs w:val="20"/>
          <w:lang w:val="en-US"/>
        </w:rPr>
      </w:pPr>
    </w:p>
    <w:p w:rsidR="00357C5E" w:rsidRPr="002E60EB" w:rsidRDefault="00247345" w:rsidP="00357C5E">
      <w:pPr>
        <w:pStyle w:val="Prrafodelista2"/>
        <w:numPr>
          <w:ilvl w:val="0"/>
          <w:numId w:val="1"/>
        </w:numPr>
        <w:tabs>
          <w:tab w:val="left" w:pos="720"/>
        </w:tabs>
        <w:ind w:left="0"/>
        <w:contextualSpacing/>
        <w:jc w:val="both"/>
        <w:rPr>
          <w:lang w:val="en-US"/>
        </w:rPr>
      </w:pPr>
      <w:r w:rsidRPr="002E60EB">
        <w:rPr>
          <w:lang w:val="en-US"/>
        </w:rPr>
        <w:t xml:space="preserve">It </w:t>
      </w:r>
      <w:r w:rsidR="00E15BBF" w:rsidRPr="002E60EB">
        <w:rPr>
          <w:lang w:val="en-US"/>
        </w:rPr>
        <w:t xml:space="preserve">is </w:t>
      </w:r>
      <w:r w:rsidRPr="002E60EB">
        <w:rPr>
          <w:lang w:val="en-US"/>
        </w:rPr>
        <w:t xml:space="preserve">also highly relevant that, </w:t>
      </w:r>
      <w:r w:rsidR="00E15BBF" w:rsidRPr="002E60EB">
        <w:rPr>
          <w:lang w:val="en-US"/>
        </w:rPr>
        <w:t>in September 1996</w:t>
      </w:r>
      <w:r w:rsidRPr="002E60EB">
        <w:rPr>
          <w:lang w:val="en-US"/>
        </w:rPr>
        <w:t>,</w:t>
      </w:r>
      <w:r w:rsidR="00E15BBF" w:rsidRPr="002E60EB">
        <w:rPr>
          <w:lang w:val="en-US"/>
        </w:rPr>
        <w:t xml:space="preserve"> the </w:t>
      </w:r>
      <w:r w:rsidRPr="002E60EB">
        <w:rPr>
          <w:lang w:val="en-US"/>
        </w:rPr>
        <w:t xml:space="preserve">Head of the </w:t>
      </w:r>
      <w:r w:rsidR="00E15BBF" w:rsidRPr="002E60EB">
        <w:rPr>
          <w:lang w:val="en-US"/>
        </w:rPr>
        <w:t xml:space="preserve">Human Rights Unit of the Attorney General's Office </w:t>
      </w:r>
      <w:r w:rsidRPr="002E60EB">
        <w:rPr>
          <w:lang w:val="en-US"/>
        </w:rPr>
        <w:t xml:space="preserve">had </w:t>
      </w:r>
      <w:r w:rsidR="00E15BBF" w:rsidRPr="002E60EB">
        <w:rPr>
          <w:lang w:val="en-US"/>
        </w:rPr>
        <w:t xml:space="preserve">informed the </w:t>
      </w:r>
      <w:r w:rsidRPr="002E60EB">
        <w:rPr>
          <w:lang w:val="en-US"/>
        </w:rPr>
        <w:t xml:space="preserve">Administrative </w:t>
      </w:r>
      <w:r w:rsidR="00E15BBF" w:rsidRPr="002E60EB">
        <w:rPr>
          <w:lang w:val="en-US"/>
        </w:rPr>
        <w:t>Department of Security (DAS) of the situation of Mr. Vélez</w:t>
      </w:r>
      <w:r w:rsidRPr="002E60EB">
        <w:rPr>
          <w:lang w:val="en-US"/>
        </w:rPr>
        <w:t xml:space="preserve"> Restrepo and his family. The</w:t>
      </w:r>
      <w:r w:rsidR="00E15BBF" w:rsidRPr="002E60EB">
        <w:rPr>
          <w:lang w:val="en-US"/>
        </w:rPr>
        <w:t xml:space="preserve"> case file of the criminal investigations into the threats</w:t>
      </w:r>
      <w:r w:rsidRPr="002E60EB">
        <w:rPr>
          <w:lang w:val="en-US"/>
        </w:rPr>
        <w:t xml:space="preserve"> contains a note dated </w:t>
      </w:r>
      <w:r w:rsidR="00E15BBF" w:rsidRPr="002E60EB">
        <w:rPr>
          <w:lang w:val="en-US"/>
        </w:rPr>
        <w:t>September 24, 1996</w:t>
      </w:r>
      <w:r w:rsidRPr="002E60EB">
        <w:rPr>
          <w:lang w:val="en-US"/>
        </w:rPr>
        <w:t>,</w:t>
      </w:r>
      <w:r w:rsidR="00E15BBF" w:rsidRPr="002E60EB">
        <w:rPr>
          <w:lang w:val="en-US"/>
        </w:rPr>
        <w:t xml:space="preserve"> that</w:t>
      </w:r>
      <w:r w:rsidRPr="002E60EB">
        <w:rPr>
          <w:lang w:val="en-US"/>
        </w:rPr>
        <w:t xml:space="preserve"> the Director of this Unit sent to </w:t>
      </w:r>
      <w:r w:rsidR="00E15BBF" w:rsidRPr="002E60EB">
        <w:rPr>
          <w:lang w:val="en-US"/>
        </w:rPr>
        <w:t xml:space="preserve">the Director of the DAS, indicating that Mr. Vélez Restrepo </w:t>
      </w:r>
      <w:r w:rsidR="00087093" w:rsidRPr="002E60EB">
        <w:rPr>
          <w:lang w:val="en-US"/>
        </w:rPr>
        <w:t>“</w:t>
      </w:r>
      <w:r w:rsidR="00E15BBF" w:rsidRPr="002E60EB">
        <w:rPr>
          <w:lang w:val="en-US"/>
        </w:rPr>
        <w:t xml:space="preserve">was </w:t>
      </w:r>
      <w:r w:rsidR="000C296C" w:rsidRPr="002E60EB">
        <w:rPr>
          <w:lang w:val="en-US"/>
        </w:rPr>
        <w:t>[…]</w:t>
      </w:r>
      <w:r w:rsidR="00E15BBF" w:rsidRPr="002E60EB">
        <w:rPr>
          <w:lang w:val="en-US"/>
        </w:rPr>
        <w:t xml:space="preserve"> attacked in the recent public order</w:t>
      </w:r>
      <w:r w:rsidR="00394DAE" w:rsidRPr="002E60EB">
        <w:rPr>
          <w:lang w:val="en-US"/>
        </w:rPr>
        <w:t xml:space="preserve"> incidents</w:t>
      </w:r>
      <w:r w:rsidR="00E15BBF" w:rsidRPr="002E60EB">
        <w:rPr>
          <w:lang w:val="en-US"/>
        </w:rPr>
        <w:t xml:space="preserve"> in the </w:t>
      </w:r>
      <w:r w:rsidRPr="002E60EB">
        <w:rPr>
          <w:lang w:val="en-US"/>
        </w:rPr>
        <w:t>d</w:t>
      </w:r>
      <w:r w:rsidR="00E15BBF" w:rsidRPr="002E60EB">
        <w:rPr>
          <w:lang w:val="en-US"/>
        </w:rPr>
        <w:t>epartment of Caquetá</w:t>
      </w:r>
      <w:r w:rsidRPr="002E60EB">
        <w:rPr>
          <w:lang w:val="en-US"/>
        </w:rPr>
        <w:t>,</w:t>
      </w:r>
      <w:r w:rsidR="00087093" w:rsidRPr="002E60EB">
        <w:rPr>
          <w:lang w:val="en-US"/>
        </w:rPr>
        <w:t>”</w:t>
      </w:r>
      <w:r w:rsidR="00E15BBF" w:rsidRPr="002E60EB">
        <w:rPr>
          <w:lang w:val="en-US"/>
        </w:rPr>
        <w:t xml:space="preserve"> and </w:t>
      </w:r>
      <w:r w:rsidRPr="002E60EB">
        <w:rPr>
          <w:lang w:val="en-US"/>
        </w:rPr>
        <w:t xml:space="preserve">forwarding him a copy of the </w:t>
      </w:r>
      <w:r w:rsidR="00394DAE" w:rsidRPr="002E60EB">
        <w:rPr>
          <w:lang w:val="en-US"/>
        </w:rPr>
        <w:t>above-mentioned</w:t>
      </w:r>
      <w:r w:rsidRPr="002E60EB">
        <w:rPr>
          <w:lang w:val="en-US"/>
        </w:rPr>
        <w:t xml:space="preserve"> letter of the Editor-in-Chief </w:t>
      </w:r>
      <w:r w:rsidR="00E15BBF" w:rsidRPr="002E60EB">
        <w:rPr>
          <w:lang w:val="en-US"/>
        </w:rPr>
        <w:t xml:space="preserve">of </w:t>
      </w:r>
      <w:r w:rsidRPr="002E60EB">
        <w:rPr>
          <w:i/>
          <w:lang w:val="en-US"/>
        </w:rPr>
        <w:t>Noticiero</w:t>
      </w:r>
      <w:r w:rsidR="00E15BBF" w:rsidRPr="002E60EB">
        <w:rPr>
          <w:i/>
          <w:lang w:val="en-US"/>
        </w:rPr>
        <w:t xml:space="preserve"> Colombia 12:30</w:t>
      </w:r>
      <w:r w:rsidRPr="002E60EB">
        <w:rPr>
          <w:lang w:val="en-US"/>
        </w:rPr>
        <w:t xml:space="preserve"> (supra para. 198</w:t>
      </w:r>
      <w:r w:rsidR="00E15BBF" w:rsidRPr="002E60EB">
        <w:rPr>
          <w:lang w:val="en-US"/>
        </w:rPr>
        <w:t xml:space="preserve">) and of the </w:t>
      </w:r>
      <w:r w:rsidRPr="002E60EB">
        <w:rPr>
          <w:lang w:val="en-US"/>
        </w:rPr>
        <w:t>measures taken</w:t>
      </w:r>
      <w:r w:rsidR="00E15BBF" w:rsidRPr="002E60EB">
        <w:rPr>
          <w:lang w:val="en-US"/>
        </w:rPr>
        <w:t xml:space="preserve"> by the </w:t>
      </w:r>
      <w:r w:rsidRPr="002E60EB">
        <w:rPr>
          <w:lang w:val="en-US"/>
        </w:rPr>
        <w:t>Head of the</w:t>
      </w:r>
      <w:r w:rsidR="00E15BBF" w:rsidRPr="002E60EB">
        <w:rPr>
          <w:lang w:val="en-US"/>
        </w:rPr>
        <w:t xml:space="preserve"> Human Rights Unit, </w:t>
      </w:r>
      <w:r w:rsidR="00087093" w:rsidRPr="002E60EB">
        <w:rPr>
          <w:lang w:val="en-US"/>
        </w:rPr>
        <w:t>“</w:t>
      </w:r>
      <w:r w:rsidRPr="002E60EB">
        <w:rPr>
          <w:lang w:val="en-US"/>
        </w:rPr>
        <w:t xml:space="preserve">for the </w:t>
      </w:r>
      <w:r w:rsidR="00394DAE" w:rsidRPr="002E60EB">
        <w:rPr>
          <w:lang w:val="en-US"/>
        </w:rPr>
        <w:t>effects</w:t>
      </w:r>
      <w:r w:rsidRPr="002E60EB">
        <w:rPr>
          <w:lang w:val="en-US"/>
        </w:rPr>
        <w:t xml:space="preserve"> that your</w:t>
      </w:r>
      <w:r w:rsidR="00E15BBF" w:rsidRPr="002E60EB">
        <w:rPr>
          <w:lang w:val="en-US"/>
        </w:rPr>
        <w:t xml:space="preserve"> </w:t>
      </w:r>
      <w:r w:rsidR="00394DAE" w:rsidRPr="002E60EB">
        <w:rPr>
          <w:lang w:val="en-US"/>
        </w:rPr>
        <w:t>Department</w:t>
      </w:r>
      <w:r w:rsidR="00E15BBF" w:rsidRPr="002E60EB">
        <w:rPr>
          <w:lang w:val="en-US"/>
        </w:rPr>
        <w:t xml:space="preserve"> </w:t>
      </w:r>
      <w:r w:rsidR="00394DAE" w:rsidRPr="002E60EB">
        <w:rPr>
          <w:lang w:val="en-US"/>
        </w:rPr>
        <w:t xml:space="preserve">may </w:t>
      </w:r>
      <w:r w:rsidR="00E15BBF" w:rsidRPr="002E60EB">
        <w:rPr>
          <w:lang w:val="en-US"/>
        </w:rPr>
        <w:t xml:space="preserve">consider </w:t>
      </w:r>
      <w:r w:rsidRPr="002E60EB">
        <w:rPr>
          <w:lang w:val="en-US"/>
        </w:rPr>
        <w:t>pertinen</w:t>
      </w:r>
      <w:r w:rsidR="00E15BBF" w:rsidRPr="002E60EB">
        <w:rPr>
          <w:lang w:val="en-US"/>
        </w:rPr>
        <w:t>t.</w:t>
      </w:r>
      <w:r w:rsidR="00087093" w:rsidRPr="002E60EB">
        <w:rPr>
          <w:lang w:val="en-US"/>
        </w:rPr>
        <w:t>”</w:t>
      </w:r>
      <w:r w:rsidR="00E15BBF" w:rsidRPr="002E60EB">
        <w:rPr>
          <w:lang w:val="en-US"/>
        </w:rPr>
        <w:t xml:space="preserve"> </w:t>
      </w:r>
      <w:r w:rsidR="000F3982" w:rsidRPr="002E60EB">
        <w:rPr>
          <w:lang w:val="en-US"/>
        </w:rPr>
        <w:t>In addition</w:t>
      </w:r>
      <w:r w:rsidRPr="002E60EB">
        <w:rPr>
          <w:lang w:val="en-US"/>
        </w:rPr>
        <w:t xml:space="preserve">, it is also recorded </w:t>
      </w:r>
      <w:r w:rsidR="00E15BBF" w:rsidRPr="002E60EB">
        <w:rPr>
          <w:lang w:val="en-US"/>
        </w:rPr>
        <w:t>that</w:t>
      </w:r>
      <w:r w:rsidRPr="002E60EB">
        <w:rPr>
          <w:lang w:val="en-US"/>
        </w:rPr>
        <w:t>,</w:t>
      </w:r>
      <w:r w:rsidR="00E15BBF" w:rsidRPr="002E60EB">
        <w:rPr>
          <w:lang w:val="en-US"/>
        </w:rPr>
        <w:t xml:space="preserve"> on Sep</w:t>
      </w:r>
      <w:r w:rsidRPr="002E60EB">
        <w:rPr>
          <w:lang w:val="en-US"/>
        </w:rPr>
        <w:t>tember 17, 1996, two officials of</w:t>
      </w:r>
      <w:r w:rsidR="00E15BBF" w:rsidRPr="002E60EB">
        <w:rPr>
          <w:lang w:val="en-US"/>
        </w:rPr>
        <w:t xml:space="preserve"> the Attorney General’s Office, responsible for </w:t>
      </w:r>
      <w:r w:rsidRPr="002E60EB">
        <w:rPr>
          <w:lang w:val="en-US"/>
        </w:rPr>
        <w:t>the disciplinary investigation</w:t>
      </w:r>
      <w:r w:rsidR="00E15BBF" w:rsidRPr="002E60EB">
        <w:rPr>
          <w:lang w:val="en-US"/>
        </w:rPr>
        <w:t xml:space="preserve"> of </w:t>
      </w:r>
      <w:r w:rsidR="00357C5E" w:rsidRPr="002E60EB">
        <w:rPr>
          <w:lang w:val="en-US"/>
        </w:rPr>
        <w:t xml:space="preserve">the </w:t>
      </w:r>
      <w:r w:rsidR="00E15BBF" w:rsidRPr="002E60EB">
        <w:rPr>
          <w:lang w:val="en-US"/>
        </w:rPr>
        <w:t xml:space="preserve">threats and harassment, addressed </w:t>
      </w:r>
      <w:r w:rsidR="00357C5E" w:rsidRPr="002E60EB">
        <w:rPr>
          <w:lang w:val="en-US"/>
        </w:rPr>
        <w:t>a note</w:t>
      </w:r>
      <w:r w:rsidR="00E15BBF" w:rsidRPr="002E60EB">
        <w:rPr>
          <w:lang w:val="en-US"/>
        </w:rPr>
        <w:t xml:space="preserve"> to the Coordinator of the </w:t>
      </w:r>
      <w:r w:rsidR="00357C5E" w:rsidRPr="002E60EB">
        <w:rPr>
          <w:lang w:val="en-US"/>
        </w:rPr>
        <w:t xml:space="preserve">said </w:t>
      </w:r>
      <w:r w:rsidR="00E15BBF" w:rsidRPr="002E60EB">
        <w:rPr>
          <w:lang w:val="en-US"/>
        </w:rPr>
        <w:t>Human Rights Unit informing</w:t>
      </w:r>
      <w:r w:rsidR="00357C5E" w:rsidRPr="002E60EB">
        <w:rPr>
          <w:lang w:val="en-US"/>
        </w:rPr>
        <w:t xml:space="preserve"> him</w:t>
      </w:r>
      <w:r w:rsidR="00E15BBF" w:rsidRPr="002E60EB">
        <w:rPr>
          <w:lang w:val="en-US"/>
        </w:rPr>
        <w:t xml:space="preserve"> of the results of the </w:t>
      </w:r>
      <w:r w:rsidR="00357C5E" w:rsidRPr="002E60EB">
        <w:rPr>
          <w:lang w:val="en-US"/>
        </w:rPr>
        <w:t>interviews with</w:t>
      </w:r>
      <w:r w:rsidR="00E15BBF" w:rsidRPr="002E60EB">
        <w:rPr>
          <w:lang w:val="en-US"/>
        </w:rPr>
        <w:t xml:space="preserve"> Mr. Vélez Restrepo and his wife, and recommending</w:t>
      </w:r>
      <w:r w:rsidR="00357C5E" w:rsidRPr="002E60EB">
        <w:rPr>
          <w:lang w:val="en-US"/>
        </w:rPr>
        <w:t xml:space="preserve"> him to</w:t>
      </w:r>
      <w:r w:rsidR="00E15BBF" w:rsidRPr="002E60EB">
        <w:rPr>
          <w:lang w:val="en-US"/>
        </w:rPr>
        <w:t xml:space="preserve"> </w:t>
      </w:r>
      <w:r w:rsidR="00087093" w:rsidRPr="002E60EB">
        <w:rPr>
          <w:lang w:val="en-US"/>
        </w:rPr>
        <w:t>“</w:t>
      </w:r>
      <w:r w:rsidR="00357C5E" w:rsidRPr="002E60EB">
        <w:rPr>
          <w:lang w:val="en-US"/>
        </w:rPr>
        <w:t>forward</w:t>
      </w:r>
      <w:r w:rsidR="00E15BBF" w:rsidRPr="002E60EB">
        <w:rPr>
          <w:lang w:val="en-US"/>
        </w:rPr>
        <w:t xml:space="preserve"> </w:t>
      </w:r>
      <w:r w:rsidR="00357C5E" w:rsidRPr="002E60EB">
        <w:rPr>
          <w:lang w:val="en-US"/>
        </w:rPr>
        <w:t xml:space="preserve">this </w:t>
      </w:r>
      <w:r w:rsidR="00E15BBF" w:rsidRPr="002E60EB">
        <w:rPr>
          <w:lang w:val="en-US"/>
        </w:rPr>
        <w:t xml:space="preserve">to the </w:t>
      </w:r>
      <w:r w:rsidR="00357C5E" w:rsidRPr="002E60EB">
        <w:rPr>
          <w:lang w:val="en-US"/>
        </w:rPr>
        <w:t xml:space="preserve">Prosecutor General's Office, </w:t>
      </w:r>
      <w:r w:rsidR="00E15BBF" w:rsidRPr="002E60EB">
        <w:rPr>
          <w:lang w:val="en-US"/>
        </w:rPr>
        <w:t xml:space="preserve">or </w:t>
      </w:r>
      <w:r w:rsidR="00357C5E" w:rsidRPr="002E60EB">
        <w:rPr>
          <w:lang w:val="en-US"/>
        </w:rPr>
        <w:t xml:space="preserve">else </w:t>
      </w:r>
      <w:r w:rsidR="00E15BBF" w:rsidRPr="002E60EB">
        <w:rPr>
          <w:lang w:val="en-US"/>
        </w:rPr>
        <w:t xml:space="preserve">the </w:t>
      </w:r>
      <w:r w:rsidR="00357C5E" w:rsidRPr="002E60EB">
        <w:rPr>
          <w:lang w:val="en-US"/>
        </w:rPr>
        <w:t xml:space="preserve">Administrative </w:t>
      </w:r>
      <w:r w:rsidR="00E15BBF" w:rsidRPr="002E60EB">
        <w:rPr>
          <w:lang w:val="en-US"/>
        </w:rPr>
        <w:t xml:space="preserve">Department of Security </w:t>
      </w:r>
      <w:r w:rsidR="00357C5E" w:rsidRPr="002E60EB">
        <w:rPr>
          <w:lang w:val="en-US"/>
        </w:rPr>
        <w:t>(</w:t>
      </w:r>
      <w:r w:rsidR="00E15BBF" w:rsidRPr="002E60EB">
        <w:rPr>
          <w:lang w:val="en-US"/>
        </w:rPr>
        <w:t>DAS</w:t>
      </w:r>
      <w:r w:rsidR="00357C5E" w:rsidRPr="002E60EB">
        <w:rPr>
          <w:lang w:val="en-US"/>
        </w:rPr>
        <w:t>)</w:t>
      </w:r>
      <w:r w:rsidR="00394DAE" w:rsidRPr="002E60EB">
        <w:rPr>
          <w:lang w:val="en-US"/>
        </w:rPr>
        <w:t>, so that these entities may provide them</w:t>
      </w:r>
      <w:r w:rsidR="00357C5E" w:rsidRPr="002E60EB">
        <w:rPr>
          <w:lang w:val="en-US"/>
        </w:rPr>
        <w:t xml:space="preserve"> with </w:t>
      </w:r>
      <w:r w:rsidR="00E15BBF" w:rsidRPr="002E60EB">
        <w:rPr>
          <w:lang w:val="en-US"/>
        </w:rPr>
        <w:t>adequate protection</w:t>
      </w:r>
      <w:r w:rsidR="00087093" w:rsidRPr="002E60EB">
        <w:rPr>
          <w:lang w:val="en-US"/>
        </w:rPr>
        <w:t>”</w:t>
      </w:r>
      <w:r w:rsidR="00357C5E" w:rsidRPr="002E60EB">
        <w:rPr>
          <w:rFonts w:cs="Arial"/>
          <w:lang w:val="en-US"/>
        </w:rPr>
        <w:t xml:space="preserve"> (</w:t>
      </w:r>
      <w:r w:rsidR="00357C5E" w:rsidRPr="002E60EB">
        <w:rPr>
          <w:rFonts w:cs="Arial"/>
          <w:i/>
          <w:lang w:val="en-US"/>
        </w:rPr>
        <w:t>supra</w:t>
      </w:r>
      <w:r w:rsidR="00357C5E" w:rsidRPr="002E60EB">
        <w:rPr>
          <w:rFonts w:cs="Arial"/>
          <w:lang w:val="en-US"/>
        </w:rPr>
        <w:t xml:space="preserve"> para. 109). </w:t>
      </w:r>
    </w:p>
    <w:p w:rsidR="00357C5E" w:rsidRPr="002E60EB" w:rsidRDefault="00357C5E" w:rsidP="00357C5E">
      <w:pPr>
        <w:pStyle w:val="Prrafodelista2"/>
        <w:tabs>
          <w:tab w:val="left" w:pos="720"/>
        </w:tabs>
        <w:ind w:left="0"/>
        <w:contextualSpacing/>
        <w:jc w:val="both"/>
        <w:rPr>
          <w:lang w:val="en-US"/>
        </w:rPr>
      </w:pPr>
    </w:p>
    <w:p w:rsidR="00357C5E" w:rsidRPr="002E60EB" w:rsidRDefault="00357C5E" w:rsidP="00317748">
      <w:pPr>
        <w:numPr>
          <w:ilvl w:val="0"/>
          <w:numId w:val="1"/>
        </w:numPr>
        <w:tabs>
          <w:tab w:val="left" w:pos="720"/>
        </w:tabs>
        <w:jc w:val="both"/>
        <w:rPr>
          <w:lang w:val="en-US"/>
        </w:rPr>
      </w:pPr>
      <w:r w:rsidRPr="002E60EB">
        <w:rPr>
          <w:rStyle w:val="Refdenotaalpie"/>
          <w:rFonts w:cs="Arial"/>
          <w:lang w:val="en-US"/>
        </w:rPr>
        <w:t xml:space="preserve"> </w:t>
      </w:r>
      <w:r w:rsidRPr="002E60EB">
        <w:rPr>
          <w:lang w:val="en-US"/>
        </w:rPr>
        <w:t>Despite the foregoing</w:t>
      </w:r>
      <w:r w:rsidR="00E15BBF" w:rsidRPr="002E60EB">
        <w:rPr>
          <w:lang w:val="en-US"/>
        </w:rPr>
        <w:t xml:space="preserve">, the State has not </w:t>
      </w:r>
      <w:r w:rsidRPr="002E60EB">
        <w:rPr>
          <w:lang w:val="en-US"/>
        </w:rPr>
        <w:t>affirmed</w:t>
      </w:r>
      <w:r w:rsidR="00E15BBF" w:rsidRPr="002E60EB">
        <w:rPr>
          <w:lang w:val="en-US"/>
        </w:rPr>
        <w:t xml:space="preserve"> before the Court that, prior to October 6, 1997, it had evaluated the specific situation </w:t>
      </w:r>
      <w:r w:rsidRPr="002E60EB">
        <w:rPr>
          <w:lang w:val="en-US"/>
        </w:rPr>
        <w:t>of</w:t>
      </w:r>
      <w:r w:rsidR="00E15BBF" w:rsidRPr="002E60EB">
        <w:rPr>
          <w:lang w:val="en-US"/>
        </w:rPr>
        <w:t xml:space="preserve"> Mr</w:t>
      </w:r>
      <w:r w:rsidRPr="002E60EB">
        <w:rPr>
          <w:lang w:val="en-US"/>
        </w:rPr>
        <w:t>. Vélez Restrepo and his family and</w:t>
      </w:r>
      <w:r w:rsidR="00E15BBF" w:rsidRPr="002E60EB">
        <w:rPr>
          <w:lang w:val="en-US"/>
        </w:rPr>
        <w:t xml:space="preserve"> the level of risk, and </w:t>
      </w:r>
      <w:r w:rsidRPr="002E60EB">
        <w:rPr>
          <w:lang w:val="en-US"/>
        </w:rPr>
        <w:t xml:space="preserve">determined </w:t>
      </w:r>
      <w:r w:rsidR="00E15BBF" w:rsidRPr="002E60EB">
        <w:rPr>
          <w:lang w:val="en-US"/>
        </w:rPr>
        <w:t xml:space="preserve">the corresponding measures of protection. </w:t>
      </w:r>
      <w:r w:rsidRPr="002E60EB">
        <w:rPr>
          <w:lang w:val="en-US"/>
        </w:rPr>
        <w:t>To the contrary</w:t>
      </w:r>
      <w:r w:rsidR="00E15BBF" w:rsidRPr="002E60EB">
        <w:rPr>
          <w:lang w:val="en-US"/>
        </w:rPr>
        <w:t>, Colombia has maintained the position that</w:t>
      </w:r>
      <w:r w:rsidRPr="002E60EB">
        <w:rPr>
          <w:lang w:val="en-US"/>
        </w:rPr>
        <w:t>,</w:t>
      </w:r>
      <w:r w:rsidR="00E15BBF" w:rsidRPr="002E60EB">
        <w:rPr>
          <w:lang w:val="en-US"/>
        </w:rPr>
        <w:t xml:space="preserve"> prior to October 6, 1997, it had no obligation to adopt measures of protection because Mr. Vélez Restrepo </w:t>
      </w:r>
      <w:r w:rsidRPr="002E60EB">
        <w:rPr>
          <w:lang w:val="en-US"/>
        </w:rPr>
        <w:t xml:space="preserve">had </w:t>
      </w:r>
      <w:r w:rsidR="00087093" w:rsidRPr="002E60EB">
        <w:rPr>
          <w:lang w:val="en-US"/>
        </w:rPr>
        <w:t>“</w:t>
      </w:r>
      <w:r w:rsidR="00E15BBF" w:rsidRPr="002E60EB">
        <w:rPr>
          <w:lang w:val="en-US"/>
        </w:rPr>
        <w:t xml:space="preserve">never requested protection or </w:t>
      </w:r>
      <w:r w:rsidRPr="002E60EB">
        <w:rPr>
          <w:lang w:val="en-US"/>
        </w:rPr>
        <w:t>a</w:t>
      </w:r>
      <w:r w:rsidR="00441C91" w:rsidRPr="002E60EB">
        <w:rPr>
          <w:lang w:val="en-US"/>
        </w:rPr>
        <w:t xml:space="preserve"> safety assessment</w:t>
      </w:r>
      <w:r w:rsidRPr="002E60EB">
        <w:rPr>
          <w:lang w:val="en-US"/>
        </w:rPr>
        <w:t xml:space="preserve"> </w:t>
      </w:r>
      <w:r w:rsidR="00E15BBF" w:rsidRPr="002E60EB">
        <w:rPr>
          <w:lang w:val="en-US"/>
        </w:rPr>
        <w:t>from the State</w:t>
      </w:r>
      <w:r w:rsidR="00087093" w:rsidRPr="002E60EB">
        <w:rPr>
          <w:lang w:val="en-US"/>
        </w:rPr>
        <w:t>”</w:t>
      </w:r>
      <w:r w:rsidR="00E15BBF" w:rsidRPr="002E60EB">
        <w:rPr>
          <w:lang w:val="en-US"/>
        </w:rPr>
        <w:t xml:space="preserve"> </w:t>
      </w:r>
      <w:r w:rsidR="00441C91" w:rsidRPr="002E60EB">
        <w:rPr>
          <w:lang w:val="en-US"/>
        </w:rPr>
        <w:t>prior to</w:t>
      </w:r>
      <w:r w:rsidR="00E15BBF" w:rsidRPr="002E60EB">
        <w:rPr>
          <w:lang w:val="en-US"/>
        </w:rPr>
        <w:t xml:space="preserve"> that date. </w:t>
      </w:r>
    </w:p>
    <w:p w:rsidR="00357C5E" w:rsidRPr="002E60EB" w:rsidRDefault="00357C5E" w:rsidP="00357C5E">
      <w:pPr>
        <w:pStyle w:val="Prrafodelista"/>
        <w:rPr>
          <w:b/>
          <w:sz w:val="20"/>
          <w:szCs w:val="20"/>
          <w:lang w:val="en-US"/>
        </w:rPr>
      </w:pPr>
    </w:p>
    <w:p w:rsidR="00E15BBF" w:rsidRPr="002E60EB" w:rsidRDefault="00E15BBF" w:rsidP="00357C5E">
      <w:pPr>
        <w:numPr>
          <w:ilvl w:val="0"/>
          <w:numId w:val="1"/>
        </w:numPr>
        <w:tabs>
          <w:tab w:val="left" w:pos="720"/>
        </w:tabs>
        <w:jc w:val="both"/>
        <w:rPr>
          <w:lang w:val="en-US"/>
        </w:rPr>
      </w:pPr>
      <w:r w:rsidRPr="002E60EB">
        <w:rPr>
          <w:lang w:val="en-US"/>
        </w:rPr>
        <w:t xml:space="preserve">Regarding Colombia’s position, the Court considers it necessary to establish that it corresponds to the State authorities to </w:t>
      </w:r>
      <w:r w:rsidR="00357C5E" w:rsidRPr="002E60EB">
        <w:rPr>
          <w:lang w:val="en-US"/>
        </w:rPr>
        <w:t>get to know the situation of special risk</w:t>
      </w:r>
      <w:r w:rsidR="00E01E76" w:rsidRPr="002E60EB">
        <w:rPr>
          <w:lang w:val="en-US"/>
        </w:rPr>
        <w:t xml:space="preserve"> in order</w:t>
      </w:r>
      <w:r w:rsidR="00357C5E" w:rsidRPr="002E60EB">
        <w:rPr>
          <w:lang w:val="en-US"/>
        </w:rPr>
        <w:t xml:space="preserve"> to </w:t>
      </w:r>
      <w:r w:rsidR="00E01E76" w:rsidRPr="002E60EB">
        <w:rPr>
          <w:lang w:val="en-US"/>
        </w:rPr>
        <w:t>determine</w:t>
      </w:r>
      <w:r w:rsidRPr="002E60EB">
        <w:rPr>
          <w:lang w:val="en-US"/>
        </w:rPr>
        <w:t xml:space="preserve"> or assess whether the person </w:t>
      </w:r>
      <w:r w:rsidR="00357C5E" w:rsidRPr="002E60EB">
        <w:rPr>
          <w:lang w:val="en-US"/>
        </w:rPr>
        <w:t>who is the target of</w:t>
      </w:r>
      <w:r w:rsidRPr="002E60EB">
        <w:rPr>
          <w:lang w:val="en-US"/>
        </w:rPr>
        <w:t xml:space="preserve"> threats and harassment requires measures of protection or</w:t>
      </w:r>
      <w:r w:rsidR="00357C5E" w:rsidRPr="002E60EB">
        <w:rPr>
          <w:lang w:val="en-US"/>
        </w:rPr>
        <w:t xml:space="preserve"> to</w:t>
      </w:r>
      <w:r w:rsidRPr="002E60EB">
        <w:rPr>
          <w:lang w:val="en-US"/>
        </w:rPr>
        <w:t xml:space="preserve"> refer the case to </w:t>
      </w:r>
      <w:r w:rsidR="00357C5E" w:rsidRPr="002E60EB">
        <w:rPr>
          <w:lang w:val="en-US"/>
        </w:rPr>
        <w:t>the competent authority to do this</w:t>
      </w:r>
      <w:r w:rsidRPr="002E60EB">
        <w:rPr>
          <w:lang w:val="en-US"/>
        </w:rPr>
        <w:t>, and</w:t>
      </w:r>
      <w:r w:rsidR="00357C5E" w:rsidRPr="002E60EB">
        <w:rPr>
          <w:lang w:val="en-US"/>
        </w:rPr>
        <w:t xml:space="preserve"> also</w:t>
      </w:r>
      <w:r w:rsidRPr="002E60EB">
        <w:rPr>
          <w:lang w:val="en-US"/>
        </w:rPr>
        <w:t xml:space="preserve"> to </w:t>
      </w:r>
      <w:r w:rsidR="00357C5E" w:rsidRPr="002E60EB">
        <w:rPr>
          <w:lang w:val="en-US"/>
        </w:rPr>
        <w:t>offer</w:t>
      </w:r>
      <w:r w:rsidRPr="002E60EB">
        <w:rPr>
          <w:lang w:val="en-US"/>
        </w:rPr>
        <w:t xml:space="preserve"> the person </w:t>
      </w:r>
      <w:r w:rsidR="00357C5E" w:rsidRPr="002E60EB">
        <w:rPr>
          <w:lang w:val="en-US"/>
        </w:rPr>
        <w:t>at risk</w:t>
      </w:r>
      <w:r w:rsidRPr="002E60EB">
        <w:rPr>
          <w:lang w:val="en-US"/>
        </w:rPr>
        <w:t xml:space="preserve"> timely information on the measures available. The assessment </w:t>
      </w:r>
      <w:r w:rsidR="00357C5E" w:rsidRPr="002E60EB">
        <w:rPr>
          <w:lang w:val="en-US"/>
        </w:rPr>
        <w:t>of whether a</w:t>
      </w:r>
      <w:r w:rsidRPr="002E60EB">
        <w:rPr>
          <w:lang w:val="en-US"/>
        </w:rPr>
        <w:t xml:space="preserve"> person requires measures of protection and which measures are appropriate is an obligation </w:t>
      </w:r>
      <w:r w:rsidR="00357C5E" w:rsidRPr="002E60EB">
        <w:rPr>
          <w:lang w:val="en-US"/>
        </w:rPr>
        <w:t>of the State and</w:t>
      </w:r>
      <w:r w:rsidRPr="002E60EB">
        <w:rPr>
          <w:lang w:val="en-US"/>
        </w:rPr>
        <w:t xml:space="preserve"> cannot be restricted to </w:t>
      </w:r>
      <w:r w:rsidR="00E01E76" w:rsidRPr="002E60EB">
        <w:rPr>
          <w:lang w:val="en-US"/>
        </w:rPr>
        <w:t>the victim himself requesting this</w:t>
      </w:r>
      <w:r w:rsidRPr="002E60EB">
        <w:rPr>
          <w:lang w:val="en-US"/>
        </w:rPr>
        <w:t xml:space="preserve"> from </w:t>
      </w:r>
      <w:r w:rsidR="00357C5E" w:rsidRPr="002E60EB">
        <w:rPr>
          <w:lang w:val="en-US"/>
        </w:rPr>
        <w:t xml:space="preserve">“the </w:t>
      </w:r>
      <w:r w:rsidRPr="002E60EB">
        <w:rPr>
          <w:lang w:val="en-US"/>
        </w:rPr>
        <w:t>competent authorities</w:t>
      </w:r>
      <w:r w:rsidR="00357C5E" w:rsidRPr="002E60EB">
        <w:rPr>
          <w:lang w:val="en-US"/>
        </w:rPr>
        <w:t>,</w:t>
      </w:r>
      <w:r w:rsidR="00087093" w:rsidRPr="002E60EB">
        <w:rPr>
          <w:lang w:val="en-US"/>
        </w:rPr>
        <w:t>”</w:t>
      </w:r>
      <w:r w:rsidRPr="002E60EB">
        <w:rPr>
          <w:lang w:val="en-US"/>
        </w:rPr>
        <w:t xml:space="preserve"> </w:t>
      </w:r>
      <w:r w:rsidR="00357C5E" w:rsidRPr="002E60EB">
        <w:rPr>
          <w:lang w:val="en-US"/>
        </w:rPr>
        <w:t>or knowing</w:t>
      </w:r>
      <w:r w:rsidRPr="002E60EB">
        <w:rPr>
          <w:lang w:val="en-US"/>
        </w:rPr>
        <w:t xml:space="preserve"> exactly which authority is best suited to </w:t>
      </w:r>
      <w:r w:rsidR="00AF1549" w:rsidRPr="002E60EB">
        <w:rPr>
          <w:lang w:val="en-US"/>
        </w:rPr>
        <w:t>deal with his situation, because</w:t>
      </w:r>
      <w:r w:rsidRPr="002E60EB">
        <w:rPr>
          <w:lang w:val="en-US"/>
        </w:rPr>
        <w:t xml:space="preserve"> it </w:t>
      </w:r>
      <w:r w:rsidR="00AF1549" w:rsidRPr="002E60EB">
        <w:rPr>
          <w:lang w:val="en-US"/>
        </w:rPr>
        <w:t>corresponds to</w:t>
      </w:r>
      <w:r w:rsidRPr="002E60EB">
        <w:rPr>
          <w:lang w:val="en-US"/>
        </w:rPr>
        <w:t xml:space="preserve"> the State to establish the corresponding measures of coordination between its </w:t>
      </w:r>
      <w:r w:rsidR="00AF1549" w:rsidRPr="002E60EB">
        <w:rPr>
          <w:lang w:val="en-US"/>
        </w:rPr>
        <w:t>agencies and officials</w:t>
      </w:r>
      <w:r w:rsidRPr="002E60EB">
        <w:rPr>
          <w:lang w:val="en-US"/>
        </w:rPr>
        <w:t xml:space="preserve">. The Court </w:t>
      </w:r>
      <w:r w:rsidR="00AF1549" w:rsidRPr="002E60EB">
        <w:rPr>
          <w:lang w:val="en-US"/>
        </w:rPr>
        <w:t xml:space="preserve">underscores </w:t>
      </w:r>
      <w:r w:rsidRPr="002E60EB">
        <w:rPr>
          <w:lang w:val="en-US"/>
        </w:rPr>
        <w:t>that</w:t>
      </w:r>
      <w:r w:rsidR="00AF1549" w:rsidRPr="002E60EB">
        <w:rPr>
          <w:lang w:val="en-US"/>
        </w:rPr>
        <w:t>, at</w:t>
      </w:r>
      <w:r w:rsidRPr="002E60EB">
        <w:rPr>
          <w:lang w:val="en-US"/>
        </w:rPr>
        <w:t xml:space="preserve"> </w:t>
      </w:r>
      <w:r w:rsidR="00AF1549" w:rsidRPr="002E60EB">
        <w:rPr>
          <w:lang w:val="en-US"/>
        </w:rPr>
        <w:t>the time of the events of</w:t>
      </w:r>
      <w:r w:rsidRPr="002E60EB">
        <w:rPr>
          <w:lang w:val="en-US"/>
        </w:rPr>
        <w:t xml:space="preserve"> this ca</w:t>
      </w:r>
      <w:r w:rsidR="00AF1549" w:rsidRPr="002E60EB">
        <w:rPr>
          <w:lang w:val="en-US"/>
        </w:rPr>
        <w:t>se, the Protection Program for Journalists and S</w:t>
      </w:r>
      <w:r w:rsidRPr="002E60EB">
        <w:rPr>
          <w:lang w:val="en-US"/>
        </w:rPr>
        <w:t xml:space="preserve">ocial </w:t>
      </w:r>
      <w:r w:rsidR="00AF1549" w:rsidRPr="002E60EB">
        <w:rPr>
          <w:lang w:val="en-US"/>
        </w:rPr>
        <w:t>Communicators</w:t>
      </w:r>
      <w:r w:rsidRPr="002E60EB">
        <w:rPr>
          <w:lang w:val="en-US"/>
        </w:rPr>
        <w:t xml:space="preserve"> created in 2000</w:t>
      </w:r>
      <w:r w:rsidR="00AF1549" w:rsidRPr="002E60EB">
        <w:rPr>
          <w:lang w:val="en-US"/>
        </w:rPr>
        <w:t xml:space="preserve"> did not exist</w:t>
      </w:r>
      <w:r w:rsidRPr="002E60EB">
        <w:rPr>
          <w:lang w:val="en-US"/>
        </w:rPr>
        <w:t xml:space="preserve">, and </w:t>
      </w:r>
      <w:r w:rsidR="00AF1549" w:rsidRPr="002E60EB">
        <w:rPr>
          <w:lang w:val="en-US"/>
        </w:rPr>
        <w:t>that the threats and harassment</w:t>
      </w:r>
      <w:r w:rsidRPr="002E60EB">
        <w:rPr>
          <w:lang w:val="en-US"/>
        </w:rPr>
        <w:t xml:space="preserve"> were reported to the Special </w:t>
      </w:r>
      <w:r w:rsidR="00AF1549" w:rsidRPr="002E60EB">
        <w:rPr>
          <w:lang w:val="en-US"/>
        </w:rPr>
        <w:t>Investigations Unit</w:t>
      </w:r>
      <w:r w:rsidRPr="002E60EB">
        <w:rPr>
          <w:lang w:val="en-US"/>
        </w:rPr>
        <w:t xml:space="preserve"> of the Attorney General</w:t>
      </w:r>
      <w:r w:rsidR="00AF1549" w:rsidRPr="002E60EB">
        <w:rPr>
          <w:lang w:val="en-US"/>
        </w:rPr>
        <w:t>’s Office that was conducting an inquiry</w:t>
      </w:r>
      <w:r w:rsidRPr="002E60EB">
        <w:rPr>
          <w:lang w:val="en-US"/>
        </w:rPr>
        <w:t xml:space="preserve"> </w:t>
      </w:r>
      <w:r w:rsidR="00AF1549" w:rsidRPr="002E60EB">
        <w:rPr>
          <w:lang w:val="en-US"/>
        </w:rPr>
        <w:t>into the attack</w:t>
      </w:r>
      <w:r w:rsidRPr="002E60EB">
        <w:rPr>
          <w:lang w:val="en-US"/>
        </w:rPr>
        <w:t xml:space="preserve"> against Mr. Vélez Restrepo on August 29, 1996, and </w:t>
      </w:r>
      <w:r w:rsidR="00AF1549" w:rsidRPr="002E60EB">
        <w:rPr>
          <w:lang w:val="en-US"/>
        </w:rPr>
        <w:t>to a prosecutor</w:t>
      </w:r>
      <w:r w:rsidRPr="002E60EB">
        <w:rPr>
          <w:lang w:val="en-US"/>
        </w:rPr>
        <w:t xml:space="preserve"> in charge o</w:t>
      </w:r>
      <w:r w:rsidR="00AF1549" w:rsidRPr="002E60EB">
        <w:rPr>
          <w:lang w:val="en-US"/>
        </w:rPr>
        <w:t>f the criminal investigation into</w:t>
      </w:r>
      <w:r w:rsidRPr="002E60EB">
        <w:rPr>
          <w:lang w:val="en-US"/>
        </w:rPr>
        <w:t xml:space="preserve"> the threats. </w:t>
      </w:r>
    </w:p>
    <w:p w:rsidR="00AF1549" w:rsidRPr="002E60EB" w:rsidRDefault="00AF1549" w:rsidP="00AF1549">
      <w:pPr>
        <w:tabs>
          <w:tab w:val="left" w:pos="720"/>
        </w:tabs>
        <w:jc w:val="both"/>
        <w:rPr>
          <w:lang w:val="en-US"/>
        </w:rPr>
      </w:pPr>
    </w:p>
    <w:p w:rsidR="00E15BBF" w:rsidRPr="002E60EB" w:rsidRDefault="00AF1549" w:rsidP="00317748">
      <w:pPr>
        <w:numPr>
          <w:ilvl w:val="0"/>
          <w:numId w:val="1"/>
        </w:numPr>
        <w:tabs>
          <w:tab w:val="left" w:pos="720"/>
        </w:tabs>
        <w:jc w:val="both"/>
        <w:rPr>
          <w:lang w:val="en-US"/>
        </w:rPr>
      </w:pPr>
      <w:r w:rsidRPr="002E60EB">
        <w:rPr>
          <w:lang w:val="en-US"/>
        </w:rPr>
        <w:t xml:space="preserve">Even though there was a period in 1997 when </w:t>
      </w:r>
      <w:r w:rsidR="00E15BBF" w:rsidRPr="002E60EB">
        <w:rPr>
          <w:lang w:val="en-US"/>
        </w:rPr>
        <w:t>the threats d</w:t>
      </w:r>
      <w:r w:rsidRPr="002E60EB">
        <w:rPr>
          <w:lang w:val="en-US"/>
        </w:rPr>
        <w:t xml:space="preserve">ecreased and </w:t>
      </w:r>
      <w:r w:rsidR="00E15BBF" w:rsidRPr="002E60EB">
        <w:rPr>
          <w:lang w:val="en-US"/>
        </w:rPr>
        <w:t xml:space="preserve">no longer </w:t>
      </w:r>
      <w:r w:rsidRPr="002E60EB">
        <w:rPr>
          <w:lang w:val="en-US"/>
        </w:rPr>
        <w:t>occurred (</w:t>
      </w:r>
      <w:r w:rsidRPr="002E60EB">
        <w:rPr>
          <w:i/>
          <w:lang w:val="en-US"/>
        </w:rPr>
        <w:t>supra</w:t>
      </w:r>
      <w:r w:rsidRPr="002E60EB">
        <w:rPr>
          <w:lang w:val="en-US"/>
        </w:rPr>
        <w:t xml:space="preserve"> para. 87)</w:t>
      </w:r>
      <w:r w:rsidR="00E15BBF" w:rsidRPr="002E60EB">
        <w:rPr>
          <w:lang w:val="en-US"/>
        </w:rPr>
        <w:t xml:space="preserve">, </w:t>
      </w:r>
      <w:r w:rsidRPr="002E60EB">
        <w:rPr>
          <w:lang w:val="en-US"/>
        </w:rPr>
        <w:t>the Court notes that this coincided</w:t>
      </w:r>
      <w:r w:rsidR="00E15BBF" w:rsidRPr="002E60EB">
        <w:rPr>
          <w:lang w:val="en-US"/>
        </w:rPr>
        <w:t xml:space="preserve"> with Mr. Véle</w:t>
      </w:r>
      <w:r w:rsidR="00E01E76" w:rsidRPr="002E60EB">
        <w:rPr>
          <w:lang w:val="en-US"/>
        </w:rPr>
        <w:t>z and his wife taking measure</w:t>
      </w:r>
      <w:r w:rsidR="00E15BBF" w:rsidRPr="002E60EB">
        <w:rPr>
          <w:lang w:val="en-US"/>
        </w:rPr>
        <w:t xml:space="preserve"> </w:t>
      </w:r>
      <w:r w:rsidRPr="002E60EB">
        <w:rPr>
          <w:lang w:val="en-US"/>
        </w:rPr>
        <w:t>to protect themselves</w:t>
      </w:r>
      <w:r w:rsidR="00E15BBF" w:rsidRPr="002E60EB">
        <w:rPr>
          <w:lang w:val="en-US"/>
        </w:rPr>
        <w:t xml:space="preserve"> such as moving ho</w:t>
      </w:r>
      <w:r w:rsidRPr="002E60EB">
        <w:rPr>
          <w:lang w:val="en-US"/>
        </w:rPr>
        <w:t>use</w:t>
      </w:r>
      <w:r w:rsidR="00E15BBF" w:rsidRPr="002E60EB">
        <w:rPr>
          <w:lang w:val="en-US"/>
        </w:rPr>
        <w:t xml:space="preserve"> and that, according to the body of evidence provided, </w:t>
      </w:r>
      <w:r w:rsidRPr="002E60EB">
        <w:rPr>
          <w:lang w:val="en-US"/>
        </w:rPr>
        <w:t>at</w:t>
      </w:r>
      <w:r w:rsidR="00E15BBF" w:rsidRPr="002E60EB">
        <w:rPr>
          <w:lang w:val="en-US"/>
        </w:rPr>
        <w:t xml:space="preserve"> that time, Mr. Vélez Restrepo did not </w:t>
      </w:r>
      <w:r w:rsidRPr="002E60EB">
        <w:rPr>
          <w:lang w:val="en-US"/>
        </w:rPr>
        <w:t>take part in measures to obtain the</w:t>
      </w:r>
      <w:r w:rsidR="00E15BBF" w:rsidRPr="002E60EB">
        <w:rPr>
          <w:lang w:val="en-US"/>
        </w:rPr>
        <w:t xml:space="preserve"> investigation </w:t>
      </w:r>
      <w:r w:rsidRPr="002E60EB">
        <w:rPr>
          <w:lang w:val="en-US"/>
        </w:rPr>
        <w:t>of</w:t>
      </w:r>
      <w:r w:rsidR="00E15BBF" w:rsidRPr="002E60EB">
        <w:rPr>
          <w:lang w:val="en-US"/>
        </w:rPr>
        <w:t xml:space="preserve"> the attack of August 29, 1996.</w:t>
      </w:r>
      <w:r w:rsidR="00E15BBF" w:rsidRPr="002E60EB">
        <w:rPr>
          <w:color w:val="00B050"/>
          <w:lang w:val="en-US"/>
        </w:rPr>
        <w:t xml:space="preserve"> </w:t>
      </w:r>
    </w:p>
    <w:p w:rsidR="00675B0A" w:rsidRPr="002E60EB" w:rsidRDefault="00675B0A" w:rsidP="00675B0A">
      <w:pPr>
        <w:tabs>
          <w:tab w:val="left" w:pos="720"/>
        </w:tabs>
        <w:jc w:val="both"/>
        <w:rPr>
          <w:lang w:val="en-US"/>
        </w:rPr>
      </w:pPr>
    </w:p>
    <w:p w:rsidR="00E15BBF" w:rsidRPr="002E60EB" w:rsidRDefault="00AF1549" w:rsidP="00317748">
      <w:pPr>
        <w:numPr>
          <w:ilvl w:val="0"/>
          <w:numId w:val="1"/>
        </w:numPr>
        <w:tabs>
          <w:tab w:val="left" w:pos="720"/>
        </w:tabs>
        <w:jc w:val="both"/>
        <w:rPr>
          <w:lang w:val="en-US"/>
        </w:rPr>
      </w:pPr>
      <w:r w:rsidRPr="002E60EB">
        <w:rPr>
          <w:lang w:val="en-US"/>
        </w:rPr>
        <w:t>In the instant</w:t>
      </w:r>
      <w:r w:rsidR="00E15BBF" w:rsidRPr="002E60EB">
        <w:rPr>
          <w:lang w:val="en-US"/>
        </w:rPr>
        <w:t xml:space="preserve"> case, the State had the obligation to act with diligence in </w:t>
      </w:r>
      <w:r w:rsidRPr="002E60EB">
        <w:rPr>
          <w:lang w:val="en-US"/>
        </w:rPr>
        <w:t>view</w:t>
      </w:r>
      <w:r w:rsidR="00E15BBF" w:rsidRPr="002E60EB">
        <w:rPr>
          <w:lang w:val="en-US"/>
        </w:rPr>
        <w:t xml:space="preserve"> of the special risk faced by Mr. Vélez Restrepo and his family, taking into account the contextual elements</w:t>
      </w:r>
      <w:r w:rsidRPr="002E60EB">
        <w:rPr>
          <w:lang w:val="en-US"/>
        </w:rPr>
        <w:t xml:space="preserve"> described</w:t>
      </w:r>
      <w:r w:rsidR="00E15BBF" w:rsidRPr="002E60EB">
        <w:rPr>
          <w:lang w:val="en-US"/>
        </w:rPr>
        <w:t>, as well as the fact that</w:t>
      </w:r>
      <w:r w:rsidRPr="002E60EB">
        <w:rPr>
          <w:lang w:val="en-US"/>
        </w:rPr>
        <w:t>, in this</w:t>
      </w:r>
      <w:r w:rsidR="00E15BBF" w:rsidRPr="002E60EB">
        <w:rPr>
          <w:lang w:val="en-US"/>
        </w:rPr>
        <w:t xml:space="preserve"> specific case</w:t>
      </w:r>
      <w:r w:rsidRPr="002E60EB">
        <w:rPr>
          <w:lang w:val="en-US"/>
        </w:rPr>
        <w:t>,</w:t>
      </w:r>
      <w:r w:rsidR="00E15BBF" w:rsidRPr="002E60EB">
        <w:rPr>
          <w:lang w:val="en-US"/>
        </w:rPr>
        <w:t xml:space="preserve"> there were rea</w:t>
      </w:r>
      <w:r w:rsidRPr="002E60EB">
        <w:rPr>
          <w:lang w:val="en-US"/>
        </w:rPr>
        <w:t xml:space="preserve">listic </w:t>
      </w:r>
      <w:r w:rsidR="00E15BBF" w:rsidRPr="002E60EB">
        <w:rPr>
          <w:lang w:val="en-US"/>
        </w:rPr>
        <w:t xml:space="preserve">indications to </w:t>
      </w:r>
      <w:r w:rsidRPr="002E60EB">
        <w:rPr>
          <w:lang w:val="en-US"/>
        </w:rPr>
        <w:t>suppose</w:t>
      </w:r>
      <w:r w:rsidR="00E15BBF" w:rsidRPr="002E60EB">
        <w:rPr>
          <w:lang w:val="en-US"/>
        </w:rPr>
        <w:t xml:space="preserve"> that the </w:t>
      </w:r>
      <w:r w:rsidRPr="002E60EB">
        <w:rPr>
          <w:lang w:val="en-US"/>
        </w:rPr>
        <w:t>reason for</w:t>
      </w:r>
      <w:r w:rsidR="00E15BBF" w:rsidRPr="002E60EB">
        <w:rPr>
          <w:lang w:val="en-US"/>
        </w:rPr>
        <w:t xml:space="preserve"> the threats and harassment against him </w:t>
      </w:r>
      <w:r w:rsidRPr="002E60EB">
        <w:rPr>
          <w:lang w:val="en-US"/>
        </w:rPr>
        <w:t>were related to the measures he took to obtain the investigation of</w:t>
      </w:r>
      <w:r w:rsidR="00E15BBF" w:rsidRPr="002E60EB">
        <w:rPr>
          <w:lang w:val="en-US"/>
        </w:rPr>
        <w:t xml:space="preserve"> </w:t>
      </w:r>
      <w:r w:rsidRPr="002E60EB">
        <w:rPr>
          <w:lang w:val="en-US"/>
        </w:rPr>
        <w:t>the attack he suffered by</w:t>
      </w:r>
      <w:r w:rsidR="00E15BBF" w:rsidRPr="002E60EB">
        <w:rPr>
          <w:lang w:val="en-US"/>
        </w:rPr>
        <w:t xml:space="preserve"> soldiers</w:t>
      </w:r>
      <w:r w:rsidR="00675B0A" w:rsidRPr="002E60EB">
        <w:rPr>
          <w:lang w:val="en-US"/>
        </w:rPr>
        <w:t xml:space="preserve"> to prevent him from exercising his</w:t>
      </w:r>
      <w:r w:rsidR="00E15BBF" w:rsidRPr="002E60EB">
        <w:rPr>
          <w:lang w:val="en-US"/>
        </w:rPr>
        <w:t xml:space="preserve"> freedom of expression. The State did not </w:t>
      </w:r>
      <w:r w:rsidR="00675B0A" w:rsidRPr="002E60EB">
        <w:rPr>
          <w:lang w:val="en-US"/>
        </w:rPr>
        <w:t xml:space="preserve">comply with </w:t>
      </w:r>
      <w:r w:rsidR="00E15BBF" w:rsidRPr="002E60EB">
        <w:rPr>
          <w:lang w:val="en-US"/>
        </w:rPr>
        <w:t xml:space="preserve">its obligation to prevent the violation of the rights of Mr. Vélez Restrepo and his family, by the adoption of timely and necessary </w:t>
      </w:r>
      <w:r w:rsidR="00675B0A" w:rsidRPr="002E60EB">
        <w:rPr>
          <w:lang w:val="en-US"/>
        </w:rPr>
        <w:t xml:space="preserve">measures of protection, </w:t>
      </w:r>
      <w:r w:rsidR="00E15BBF" w:rsidRPr="002E60EB">
        <w:rPr>
          <w:lang w:val="en-US"/>
        </w:rPr>
        <w:t xml:space="preserve">until shortly after Mr. Vélez Restrepo </w:t>
      </w:r>
      <w:r w:rsidR="00675B0A" w:rsidRPr="002E60EB">
        <w:rPr>
          <w:lang w:val="en-US"/>
        </w:rPr>
        <w:t xml:space="preserve">had </w:t>
      </w:r>
      <w:r w:rsidR="00E15BBF" w:rsidRPr="002E60EB">
        <w:rPr>
          <w:lang w:val="en-US"/>
        </w:rPr>
        <w:t xml:space="preserve">suffered an attempted deprivation of liberty, </w:t>
      </w:r>
      <w:r w:rsidR="00675B0A" w:rsidRPr="002E60EB">
        <w:rPr>
          <w:lang w:val="en-US"/>
        </w:rPr>
        <w:t>at which time</w:t>
      </w:r>
      <w:r w:rsidR="00E15BBF" w:rsidRPr="002E60EB">
        <w:rPr>
          <w:lang w:val="en-US"/>
        </w:rPr>
        <w:t xml:space="preserve"> the State offered </w:t>
      </w:r>
      <w:r w:rsidR="00675B0A" w:rsidRPr="002E60EB">
        <w:rPr>
          <w:lang w:val="en-US"/>
        </w:rPr>
        <w:t>him</w:t>
      </w:r>
      <w:r w:rsidR="00E15BBF" w:rsidRPr="002E60EB">
        <w:rPr>
          <w:lang w:val="en-US"/>
        </w:rPr>
        <w:t xml:space="preserve"> various measures of protection that included the possibility of relocating to another part of the country to </w:t>
      </w:r>
      <w:r w:rsidR="00675B0A" w:rsidRPr="002E60EB">
        <w:rPr>
          <w:lang w:val="en-US"/>
        </w:rPr>
        <w:t>lessen</w:t>
      </w:r>
      <w:r w:rsidR="00E15BBF" w:rsidRPr="002E60EB">
        <w:rPr>
          <w:lang w:val="en-US"/>
        </w:rPr>
        <w:t xml:space="preserve"> the</w:t>
      </w:r>
      <w:r w:rsidR="00675B0A" w:rsidRPr="002E60EB">
        <w:rPr>
          <w:lang w:val="en-US"/>
        </w:rPr>
        <w:t xml:space="preserve"> reported risk</w:t>
      </w:r>
      <w:r w:rsidR="00675B0A" w:rsidRPr="002E60EB">
        <w:rPr>
          <w:rFonts w:eastAsia="Calibri" w:cs="Arial"/>
          <w:lang w:val="en-US"/>
        </w:rPr>
        <w:t xml:space="preserve"> (</w:t>
      </w:r>
      <w:r w:rsidR="00675B0A" w:rsidRPr="002E60EB">
        <w:rPr>
          <w:rFonts w:eastAsia="Calibri" w:cs="Arial"/>
          <w:i/>
          <w:lang w:val="en-US"/>
        </w:rPr>
        <w:t>supra</w:t>
      </w:r>
      <w:r w:rsidR="00675B0A" w:rsidRPr="002E60EB">
        <w:rPr>
          <w:rFonts w:eastAsia="Calibri" w:cs="Arial"/>
          <w:lang w:val="en-US"/>
        </w:rPr>
        <w:t xml:space="preserve"> para. 95</w:t>
      </w:r>
      <w:r w:rsidR="00E15BBF" w:rsidRPr="002E60EB">
        <w:rPr>
          <w:rFonts w:eastAsia="Calibri" w:cs="Arial"/>
          <w:lang w:val="en-US"/>
        </w:rPr>
        <w:t xml:space="preserve">). </w:t>
      </w:r>
    </w:p>
    <w:p w:rsidR="00675B0A" w:rsidRPr="002E60EB" w:rsidRDefault="00675B0A" w:rsidP="00675B0A">
      <w:pPr>
        <w:pStyle w:val="Prrafodelista"/>
        <w:rPr>
          <w:sz w:val="20"/>
          <w:szCs w:val="20"/>
          <w:lang w:val="en-US"/>
        </w:rPr>
      </w:pPr>
    </w:p>
    <w:p w:rsidR="00E15BBF" w:rsidRPr="002E60EB" w:rsidRDefault="00675B0A" w:rsidP="00317748">
      <w:pPr>
        <w:numPr>
          <w:ilvl w:val="0"/>
          <w:numId w:val="1"/>
        </w:numPr>
        <w:tabs>
          <w:tab w:val="left" w:pos="720"/>
        </w:tabs>
        <w:jc w:val="both"/>
        <w:rPr>
          <w:lang w:val="en-US"/>
        </w:rPr>
      </w:pPr>
      <w:r w:rsidRPr="002E60EB">
        <w:rPr>
          <w:lang w:val="en-US"/>
        </w:rPr>
        <w:t xml:space="preserve">Regarding Colombia’s allegation </w:t>
      </w:r>
      <w:r w:rsidR="00E15BBF" w:rsidRPr="002E60EB">
        <w:rPr>
          <w:lang w:val="en-US"/>
        </w:rPr>
        <w:t>that Mr. Vélez Restrepo</w:t>
      </w:r>
      <w:r w:rsidRPr="002E60EB">
        <w:rPr>
          <w:lang w:val="en-US"/>
        </w:rPr>
        <w:t xml:space="preserve"> decided to leave Colombia</w:t>
      </w:r>
      <w:r w:rsidR="00E15BBF" w:rsidRPr="002E60EB">
        <w:rPr>
          <w:lang w:val="en-US"/>
        </w:rPr>
        <w:t xml:space="preserve"> </w:t>
      </w:r>
      <w:r w:rsidR="00087093" w:rsidRPr="002E60EB">
        <w:rPr>
          <w:lang w:val="en-US"/>
        </w:rPr>
        <w:t>“</w:t>
      </w:r>
      <w:r w:rsidRPr="002E60EB">
        <w:rPr>
          <w:lang w:val="en-US"/>
        </w:rPr>
        <w:t xml:space="preserve">of his own </w:t>
      </w:r>
      <w:r w:rsidR="00BD0B61" w:rsidRPr="002E60EB">
        <w:rPr>
          <w:lang w:val="en-US"/>
        </w:rPr>
        <w:t>volition</w:t>
      </w:r>
      <w:r w:rsidRPr="002E60EB">
        <w:rPr>
          <w:lang w:val="en-US"/>
        </w:rPr>
        <w:t>,</w:t>
      </w:r>
      <w:r w:rsidR="00087093" w:rsidRPr="002E60EB">
        <w:rPr>
          <w:lang w:val="en-US"/>
        </w:rPr>
        <w:t>”</w:t>
      </w:r>
      <w:r w:rsidR="00E15BBF" w:rsidRPr="002E60EB">
        <w:rPr>
          <w:lang w:val="en-US"/>
        </w:rPr>
        <w:t xml:space="preserve"> the Court </w:t>
      </w:r>
      <w:r w:rsidRPr="002E60EB">
        <w:rPr>
          <w:lang w:val="en-US"/>
        </w:rPr>
        <w:t>underlines</w:t>
      </w:r>
      <w:r w:rsidR="00E15BBF" w:rsidRPr="002E60EB">
        <w:rPr>
          <w:lang w:val="en-US"/>
        </w:rPr>
        <w:t xml:space="preserve"> that</w:t>
      </w:r>
      <w:r w:rsidRPr="002E60EB">
        <w:rPr>
          <w:lang w:val="en-US"/>
        </w:rPr>
        <w:t>,</w:t>
      </w:r>
      <w:r w:rsidR="00E15BBF" w:rsidRPr="002E60EB">
        <w:rPr>
          <w:lang w:val="en-US"/>
        </w:rPr>
        <w:t xml:space="preserve"> when Mr. Vélez Restrepo made </w:t>
      </w:r>
      <w:r w:rsidRPr="002E60EB">
        <w:rPr>
          <w:lang w:val="en-US"/>
        </w:rPr>
        <w:t>this</w:t>
      </w:r>
      <w:r w:rsidR="00E15BBF" w:rsidRPr="002E60EB">
        <w:rPr>
          <w:lang w:val="en-US"/>
        </w:rPr>
        <w:t xml:space="preserve"> decision, </w:t>
      </w:r>
      <w:r w:rsidRPr="002E60EB">
        <w:rPr>
          <w:lang w:val="en-US"/>
        </w:rPr>
        <w:t>over the previous year he had faced a situation that included: the</w:t>
      </w:r>
      <w:r w:rsidR="00E15BBF" w:rsidRPr="002E60EB">
        <w:rPr>
          <w:lang w:val="en-US"/>
        </w:rPr>
        <w:t xml:space="preserve"> attack against him by soldiers, two periods in which he </w:t>
      </w:r>
      <w:r w:rsidRPr="002E60EB">
        <w:rPr>
          <w:lang w:val="en-US"/>
        </w:rPr>
        <w:t xml:space="preserve">had </w:t>
      </w:r>
      <w:r w:rsidR="00E15BBF" w:rsidRPr="002E60EB">
        <w:rPr>
          <w:lang w:val="en-US"/>
        </w:rPr>
        <w:t xml:space="preserve">received threats and harassment against him and his family, and a </w:t>
      </w:r>
      <w:r w:rsidRPr="002E60EB">
        <w:rPr>
          <w:lang w:val="en-US"/>
        </w:rPr>
        <w:t>serious</w:t>
      </w:r>
      <w:r w:rsidR="00E15BBF" w:rsidRPr="002E60EB">
        <w:rPr>
          <w:lang w:val="en-US"/>
        </w:rPr>
        <w:t xml:space="preserve"> death threat followed by an attempted deprivation of liberty. This makes it reasonable to assume that the measures of protection offered by the State were not </w:t>
      </w:r>
      <w:r w:rsidRPr="002E60EB">
        <w:rPr>
          <w:lang w:val="en-US"/>
        </w:rPr>
        <w:t>opportune</w:t>
      </w:r>
      <w:r w:rsidR="00E15BBF" w:rsidRPr="002E60EB">
        <w:rPr>
          <w:lang w:val="en-US"/>
        </w:rPr>
        <w:t>,</w:t>
      </w:r>
      <w:r w:rsidRPr="002E60EB">
        <w:rPr>
          <w:lang w:val="en-US"/>
        </w:rPr>
        <w:t xml:space="preserve"> and also </w:t>
      </w:r>
      <w:r w:rsidR="00E15BBF" w:rsidRPr="002E60EB">
        <w:rPr>
          <w:lang w:val="en-US"/>
        </w:rPr>
        <w:t xml:space="preserve">that the risk continued </w:t>
      </w:r>
      <w:r w:rsidRPr="002E60EB">
        <w:rPr>
          <w:lang w:val="en-US"/>
        </w:rPr>
        <w:t>because</w:t>
      </w:r>
      <w:r w:rsidR="00E15BBF" w:rsidRPr="002E60EB">
        <w:rPr>
          <w:lang w:val="en-US"/>
        </w:rPr>
        <w:t xml:space="preserve"> the events had not been investigated and punished. </w:t>
      </w:r>
      <w:r w:rsidRPr="002E60EB">
        <w:rPr>
          <w:lang w:val="en-US"/>
        </w:rPr>
        <w:t>Added to</w:t>
      </w:r>
      <w:r w:rsidR="00E15BBF" w:rsidRPr="002E60EB">
        <w:rPr>
          <w:lang w:val="en-US"/>
        </w:rPr>
        <w:t xml:space="preserve"> this, the Court notes that, even </w:t>
      </w:r>
      <w:r w:rsidRPr="002E60EB">
        <w:rPr>
          <w:lang w:val="en-US"/>
        </w:rPr>
        <w:t>though</w:t>
      </w:r>
      <w:r w:rsidR="00E15BBF" w:rsidRPr="002E60EB">
        <w:rPr>
          <w:lang w:val="en-US"/>
        </w:rPr>
        <w:t xml:space="preserve"> the attac</w:t>
      </w:r>
      <w:r w:rsidR="00BD0B61" w:rsidRPr="002E60EB">
        <w:rPr>
          <w:lang w:val="en-US"/>
        </w:rPr>
        <w:t>k against Mr. Vélez Restrepo</w:t>
      </w:r>
      <w:r w:rsidR="00E15BBF" w:rsidRPr="002E60EB">
        <w:rPr>
          <w:lang w:val="en-US"/>
        </w:rPr>
        <w:t xml:space="preserve"> perpetrated by soldiers</w:t>
      </w:r>
      <w:r w:rsidR="00BD0B61" w:rsidRPr="002E60EB">
        <w:rPr>
          <w:lang w:val="en-US"/>
        </w:rPr>
        <w:t xml:space="preserve"> was</w:t>
      </w:r>
      <w:r w:rsidR="00E15BBF" w:rsidRPr="002E60EB">
        <w:rPr>
          <w:lang w:val="en-US"/>
        </w:rPr>
        <w:t xml:space="preserve"> in Caquetá, the threats occurred in Bogota, which also explains Mr. Vélez Res</w:t>
      </w:r>
      <w:r w:rsidRPr="002E60EB">
        <w:rPr>
          <w:lang w:val="en-US"/>
        </w:rPr>
        <w:t>trepo’s founded fear that he would</w:t>
      </w:r>
      <w:r w:rsidR="00E15BBF" w:rsidRPr="002E60EB">
        <w:rPr>
          <w:lang w:val="en-US"/>
        </w:rPr>
        <w:t xml:space="preserve"> not </w:t>
      </w:r>
      <w:r w:rsidRPr="002E60EB">
        <w:rPr>
          <w:lang w:val="en-US"/>
        </w:rPr>
        <w:t xml:space="preserve">be </w:t>
      </w:r>
      <w:r w:rsidR="00E15BBF" w:rsidRPr="002E60EB">
        <w:rPr>
          <w:lang w:val="en-US"/>
        </w:rPr>
        <w:t xml:space="preserve">protected anywhere in the country. </w:t>
      </w:r>
    </w:p>
    <w:p w:rsidR="00675B0A" w:rsidRPr="002E60EB" w:rsidRDefault="00675B0A" w:rsidP="00675B0A">
      <w:pPr>
        <w:pStyle w:val="Prrafodelista"/>
        <w:rPr>
          <w:sz w:val="20"/>
          <w:szCs w:val="20"/>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Therefore, the Court concludes that the State </w:t>
      </w:r>
      <w:r w:rsidR="00675B0A" w:rsidRPr="002E60EB">
        <w:rPr>
          <w:lang w:val="en-US"/>
        </w:rPr>
        <w:t>failed to</w:t>
      </w:r>
      <w:r w:rsidR="00BD0B61" w:rsidRPr="002E60EB">
        <w:rPr>
          <w:lang w:val="en-US"/>
        </w:rPr>
        <w:t xml:space="preserve"> comply with its obligation</w:t>
      </w:r>
      <w:r w:rsidRPr="002E60EB">
        <w:rPr>
          <w:lang w:val="en-US"/>
        </w:rPr>
        <w:t xml:space="preserve"> to guarantee the right to</w:t>
      </w:r>
      <w:r w:rsidR="00675B0A" w:rsidRPr="002E60EB">
        <w:rPr>
          <w:lang w:val="en-US"/>
        </w:rPr>
        <w:t xml:space="preserve"> personal</w:t>
      </w:r>
      <w:r w:rsidRPr="002E60EB">
        <w:rPr>
          <w:lang w:val="en-US"/>
        </w:rPr>
        <w:t xml:space="preserve"> integrity of Mr. Vélez</w:t>
      </w:r>
      <w:r w:rsidR="00675B0A" w:rsidRPr="002E60EB">
        <w:rPr>
          <w:lang w:val="en-US"/>
        </w:rPr>
        <w:t xml:space="preserve"> Restrepo, Aracelly Román Amariles and their children Mateo and Juliana Vélez Román, by </w:t>
      </w:r>
      <w:r w:rsidRPr="002E60EB">
        <w:rPr>
          <w:lang w:val="en-US"/>
        </w:rPr>
        <w:t xml:space="preserve">an investigation into the threats and harassment and </w:t>
      </w:r>
      <w:r w:rsidR="00675B0A" w:rsidRPr="002E60EB">
        <w:rPr>
          <w:lang w:val="en-US"/>
        </w:rPr>
        <w:t>by</w:t>
      </w:r>
      <w:r w:rsidRPr="002E60EB">
        <w:rPr>
          <w:lang w:val="en-US"/>
        </w:rPr>
        <w:t xml:space="preserve"> the adoption of </w:t>
      </w:r>
      <w:r w:rsidR="00675B0A" w:rsidRPr="002E60EB">
        <w:rPr>
          <w:lang w:val="en-US"/>
        </w:rPr>
        <w:t>opportune</w:t>
      </w:r>
      <w:r w:rsidRPr="002E60EB">
        <w:rPr>
          <w:lang w:val="en-US"/>
        </w:rPr>
        <w:t xml:space="preserve"> </w:t>
      </w:r>
      <w:r w:rsidR="00675B0A" w:rsidRPr="002E60EB">
        <w:rPr>
          <w:lang w:val="en-US"/>
        </w:rPr>
        <w:t>measures of protection, which constitutes a violation of Article 5(</w:t>
      </w:r>
      <w:r w:rsidRPr="002E60EB">
        <w:rPr>
          <w:lang w:val="en-US"/>
        </w:rPr>
        <w:t>1</w:t>
      </w:r>
      <w:r w:rsidR="00675B0A" w:rsidRPr="002E60EB">
        <w:rPr>
          <w:lang w:val="en-US"/>
        </w:rPr>
        <w:t>)</w:t>
      </w:r>
      <w:r w:rsidRPr="002E60EB">
        <w:rPr>
          <w:lang w:val="en-US"/>
        </w:rPr>
        <w:t xml:space="preserve"> of the American Convention, in relation to Article 1(1) thereof.</w:t>
      </w:r>
    </w:p>
    <w:p w:rsidR="00AF65BC" w:rsidRPr="002E60EB" w:rsidRDefault="00AF65BC" w:rsidP="00AF65BC">
      <w:pPr>
        <w:pStyle w:val="Prrafodelista"/>
        <w:rPr>
          <w:sz w:val="20"/>
          <w:szCs w:val="20"/>
          <w:lang w:val="en-US"/>
        </w:rPr>
      </w:pPr>
    </w:p>
    <w:p w:rsidR="00AF65BC" w:rsidRPr="002E60EB" w:rsidRDefault="00B46938" w:rsidP="00317748">
      <w:pPr>
        <w:tabs>
          <w:tab w:val="left" w:pos="720"/>
        </w:tabs>
        <w:autoSpaceDE w:val="0"/>
        <w:autoSpaceDN w:val="0"/>
        <w:adjustRightInd w:val="0"/>
        <w:ind w:left="720"/>
        <w:jc w:val="both"/>
        <w:rPr>
          <w:b/>
          <w:i/>
          <w:color w:val="00B050"/>
          <w:lang w:val="en-US"/>
        </w:rPr>
      </w:pPr>
      <w:r w:rsidRPr="002E60EB">
        <w:rPr>
          <w:b/>
          <w:i/>
          <w:lang w:val="en-US"/>
        </w:rPr>
        <w:t>C.3) Violation of the</w:t>
      </w:r>
      <w:r w:rsidR="00AF65BC" w:rsidRPr="002E60EB">
        <w:rPr>
          <w:b/>
          <w:i/>
          <w:lang w:val="en-US"/>
        </w:rPr>
        <w:t xml:space="preserve"> right to freedom of thought and expression</w:t>
      </w:r>
      <w:r w:rsidRPr="002E60EB">
        <w:rPr>
          <w:b/>
          <w:i/>
          <w:lang w:val="en-US"/>
        </w:rPr>
        <w:t xml:space="preserve"> of Mr. Vélez Restrepo</w:t>
      </w:r>
    </w:p>
    <w:p w:rsidR="00AF65BC" w:rsidRPr="002E60EB" w:rsidRDefault="00AF65BC" w:rsidP="00317748">
      <w:pPr>
        <w:jc w:val="both"/>
        <w:rPr>
          <w:rFonts w:eastAsia="Batang"/>
          <w:lang w:val="en-US"/>
        </w:rPr>
      </w:pPr>
    </w:p>
    <w:p w:rsidR="00AF65BC" w:rsidRPr="002E60EB" w:rsidRDefault="00AF65BC" w:rsidP="00317748">
      <w:pPr>
        <w:ind w:firstLine="720"/>
        <w:jc w:val="both"/>
        <w:rPr>
          <w:i/>
          <w:lang w:val="en-US"/>
        </w:rPr>
      </w:pPr>
      <w:r w:rsidRPr="002E60EB">
        <w:rPr>
          <w:i/>
          <w:lang w:val="en-US"/>
        </w:rPr>
        <w:t>Observations of the Commission and arguments of the parties</w:t>
      </w:r>
    </w:p>
    <w:p w:rsidR="00AF65BC" w:rsidRPr="002E60EB" w:rsidRDefault="00AF65BC" w:rsidP="00AF65BC">
      <w:pPr>
        <w:rPr>
          <w:lang w:val="en-US"/>
        </w:rPr>
      </w:pPr>
    </w:p>
    <w:p w:rsidR="006B0DA5" w:rsidRPr="002E60EB" w:rsidRDefault="00AF65BC" w:rsidP="00317748">
      <w:pPr>
        <w:numPr>
          <w:ilvl w:val="0"/>
          <w:numId w:val="1"/>
        </w:numPr>
        <w:tabs>
          <w:tab w:val="left" w:pos="720"/>
        </w:tabs>
        <w:jc w:val="both"/>
        <w:rPr>
          <w:lang w:val="en-US"/>
        </w:rPr>
      </w:pPr>
      <w:r w:rsidRPr="002E60EB">
        <w:rPr>
          <w:rFonts w:eastAsia="Batang"/>
          <w:lang w:val="en-US"/>
        </w:rPr>
        <w:t xml:space="preserve">The Commission considered that the threats, harassment and attempted </w:t>
      </w:r>
      <w:r w:rsidR="00334C3C" w:rsidRPr="002E60EB">
        <w:rPr>
          <w:rFonts w:eastAsia="Batang"/>
          <w:lang w:val="en-US"/>
        </w:rPr>
        <w:t>kidnapping</w:t>
      </w:r>
      <w:r w:rsidRPr="002E60EB">
        <w:rPr>
          <w:rFonts w:eastAsia="Batang"/>
          <w:lang w:val="en-US"/>
        </w:rPr>
        <w:t xml:space="preserve"> suffered by Mr. Vélez constituted an additional violation of Article 13 of the Convention</w:t>
      </w:r>
      <w:r w:rsidR="006B0DA5" w:rsidRPr="002E60EB">
        <w:rPr>
          <w:lang w:val="en-US"/>
        </w:rPr>
        <w:t xml:space="preserve"> </w:t>
      </w:r>
      <w:r w:rsidRPr="002E60EB">
        <w:rPr>
          <w:rFonts w:eastAsia="Batang"/>
          <w:lang w:val="en-US"/>
        </w:rPr>
        <w:t>since</w:t>
      </w:r>
      <w:r w:rsidR="00E15BBF" w:rsidRPr="002E60EB">
        <w:rPr>
          <w:rFonts w:eastAsia="Batang"/>
          <w:lang w:val="en-US"/>
        </w:rPr>
        <w:t xml:space="preserve"> </w:t>
      </w:r>
      <w:r w:rsidR="00087093" w:rsidRPr="002E60EB">
        <w:rPr>
          <w:rFonts w:eastAsia="Batang"/>
          <w:lang w:val="en-US"/>
        </w:rPr>
        <w:t>“</w:t>
      </w:r>
      <w:r w:rsidR="00E15BBF" w:rsidRPr="002E60EB">
        <w:rPr>
          <w:rFonts w:eastAsia="Batang"/>
          <w:lang w:val="en-US"/>
        </w:rPr>
        <w:t xml:space="preserve">they were carried out with the clear intention of silencing </w:t>
      </w:r>
      <w:r w:rsidRPr="002E60EB">
        <w:rPr>
          <w:rFonts w:eastAsia="Batang"/>
          <w:lang w:val="en-US"/>
        </w:rPr>
        <w:t>[</w:t>
      </w:r>
      <w:r w:rsidR="00E15BBF" w:rsidRPr="002E60EB">
        <w:rPr>
          <w:rFonts w:eastAsia="Batang"/>
          <w:lang w:val="en-US"/>
        </w:rPr>
        <w:t>him</w:t>
      </w:r>
      <w:r w:rsidRPr="002E60EB">
        <w:rPr>
          <w:rFonts w:eastAsia="Batang"/>
          <w:lang w:val="en-US"/>
        </w:rPr>
        <w:t>]</w:t>
      </w:r>
      <w:r w:rsidR="00E15BBF" w:rsidRPr="002E60EB">
        <w:rPr>
          <w:rFonts w:eastAsia="Batang"/>
          <w:lang w:val="en-US"/>
        </w:rPr>
        <w:t xml:space="preserve"> and making him </w:t>
      </w:r>
      <w:r w:rsidRPr="002E60EB">
        <w:rPr>
          <w:rFonts w:eastAsia="Batang"/>
          <w:lang w:val="en-US"/>
        </w:rPr>
        <w:t>withdraw his</w:t>
      </w:r>
      <w:r w:rsidR="00E15BBF" w:rsidRPr="002E60EB">
        <w:rPr>
          <w:rFonts w:eastAsia="Batang"/>
          <w:lang w:val="en-US"/>
        </w:rPr>
        <w:t xml:space="preserve"> complaints, </w:t>
      </w:r>
      <w:r w:rsidRPr="002E60EB">
        <w:rPr>
          <w:rFonts w:eastAsia="Batang"/>
          <w:lang w:val="en-US"/>
        </w:rPr>
        <w:t>producing</w:t>
      </w:r>
      <w:r w:rsidR="00E15BBF" w:rsidRPr="002E60EB">
        <w:rPr>
          <w:rFonts w:eastAsia="Batang"/>
          <w:lang w:val="en-US"/>
        </w:rPr>
        <w:t xml:space="preserve"> self-censorship and </w:t>
      </w:r>
      <w:r w:rsidRPr="002E60EB">
        <w:rPr>
          <w:rFonts w:eastAsia="Batang"/>
          <w:lang w:val="en-US"/>
        </w:rPr>
        <w:t>fear,</w:t>
      </w:r>
      <w:r w:rsidR="00087093" w:rsidRPr="002E60EB">
        <w:rPr>
          <w:rFonts w:eastAsia="Batang"/>
          <w:lang w:val="en-US"/>
        </w:rPr>
        <w:t>”</w:t>
      </w:r>
      <w:r w:rsidR="00E15BBF" w:rsidRPr="002E60EB">
        <w:rPr>
          <w:rFonts w:eastAsia="Batang"/>
          <w:lang w:val="en-US"/>
        </w:rPr>
        <w:t xml:space="preserve"> </w:t>
      </w:r>
      <w:r w:rsidRPr="002E60EB">
        <w:rPr>
          <w:rFonts w:eastAsia="Batang"/>
          <w:lang w:val="en-US"/>
        </w:rPr>
        <w:t xml:space="preserve">for </w:t>
      </w:r>
      <w:r w:rsidR="004B600D" w:rsidRPr="002E60EB">
        <w:rPr>
          <w:rFonts w:eastAsia="Batang"/>
          <w:lang w:val="en-US"/>
        </w:rPr>
        <w:t xml:space="preserve">both </w:t>
      </w:r>
      <w:r w:rsidR="00E15BBF" w:rsidRPr="002E60EB">
        <w:rPr>
          <w:rFonts w:eastAsia="Batang"/>
          <w:lang w:val="en-US"/>
        </w:rPr>
        <w:t xml:space="preserve">Mr. Vélez </w:t>
      </w:r>
      <w:r w:rsidRPr="002E60EB">
        <w:rPr>
          <w:rFonts w:eastAsia="Batang"/>
          <w:lang w:val="en-US"/>
        </w:rPr>
        <w:t>and for</w:t>
      </w:r>
      <w:r w:rsidR="00E15BBF" w:rsidRPr="002E60EB">
        <w:rPr>
          <w:rFonts w:eastAsia="Batang"/>
          <w:lang w:val="en-US"/>
        </w:rPr>
        <w:t xml:space="preserve"> </w:t>
      </w:r>
      <w:r w:rsidR="00087093" w:rsidRPr="002E60EB">
        <w:rPr>
          <w:rFonts w:eastAsia="Batang"/>
          <w:lang w:val="en-US"/>
        </w:rPr>
        <w:t>“</w:t>
      </w:r>
      <w:r w:rsidR="00E15BBF" w:rsidRPr="002E60EB">
        <w:rPr>
          <w:rFonts w:eastAsia="Batang"/>
          <w:lang w:val="en-US"/>
        </w:rPr>
        <w:t>the community of journalists</w:t>
      </w:r>
      <w:r w:rsidRPr="002E60EB">
        <w:rPr>
          <w:rFonts w:eastAsia="Batang"/>
          <w:lang w:val="en-US"/>
        </w:rPr>
        <w:t xml:space="preserve"> who covered the activities of</w:t>
      </w:r>
      <w:r w:rsidR="00E15BBF" w:rsidRPr="002E60EB">
        <w:rPr>
          <w:rFonts w:eastAsia="Batang"/>
          <w:lang w:val="en-US"/>
        </w:rPr>
        <w:t xml:space="preserve"> the military forces,</w:t>
      </w:r>
      <w:r w:rsidR="00087093" w:rsidRPr="002E60EB">
        <w:rPr>
          <w:rFonts w:eastAsia="Batang"/>
          <w:lang w:val="en-US"/>
        </w:rPr>
        <w:t>”</w:t>
      </w:r>
      <w:r w:rsidRPr="002E60EB">
        <w:rPr>
          <w:rFonts w:eastAsia="Batang"/>
          <w:lang w:val="en-US"/>
        </w:rPr>
        <w:t xml:space="preserve"> </w:t>
      </w:r>
      <w:r w:rsidR="004B600D" w:rsidRPr="002E60EB">
        <w:rPr>
          <w:rFonts w:eastAsia="Batang"/>
          <w:lang w:val="en-US"/>
        </w:rPr>
        <w:t>and this</w:t>
      </w:r>
      <w:r w:rsidRPr="002E60EB">
        <w:rPr>
          <w:rFonts w:eastAsia="Batang"/>
          <w:lang w:val="en-US"/>
        </w:rPr>
        <w:t xml:space="preserve"> </w:t>
      </w:r>
      <w:r w:rsidR="004B600D" w:rsidRPr="002E60EB">
        <w:rPr>
          <w:rFonts w:eastAsia="Batang"/>
          <w:lang w:val="en-US"/>
        </w:rPr>
        <w:t>had</w:t>
      </w:r>
      <w:r w:rsidRPr="002E60EB">
        <w:rPr>
          <w:rFonts w:eastAsia="Batang"/>
          <w:lang w:val="en-US"/>
        </w:rPr>
        <w:t xml:space="preserve"> an intimidating </w:t>
      </w:r>
      <w:r w:rsidR="00E15BBF" w:rsidRPr="002E60EB">
        <w:rPr>
          <w:rFonts w:eastAsia="Batang"/>
          <w:lang w:val="en-US"/>
        </w:rPr>
        <w:t>effect on the free flow of information</w:t>
      </w:r>
      <w:r w:rsidRPr="002E60EB">
        <w:rPr>
          <w:rFonts w:eastAsia="Batang"/>
          <w:lang w:val="en-US"/>
        </w:rPr>
        <w:t>, which</w:t>
      </w:r>
      <w:r w:rsidR="004B600D" w:rsidRPr="002E60EB">
        <w:rPr>
          <w:rFonts w:eastAsia="Batang"/>
          <w:lang w:val="en-US"/>
        </w:rPr>
        <w:t xml:space="preserve"> affects</w:t>
      </w:r>
      <w:r w:rsidR="00E15BBF" w:rsidRPr="002E60EB">
        <w:rPr>
          <w:rFonts w:eastAsia="Batang"/>
          <w:lang w:val="en-US"/>
        </w:rPr>
        <w:t xml:space="preserve"> </w:t>
      </w:r>
      <w:r w:rsidRPr="002E60EB">
        <w:rPr>
          <w:rFonts w:eastAsia="Batang"/>
          <w:lang w:val="en-US"/>
        </w:rPr>
        <w:t xml:space="preserve">the </w:t>
      </w:r>
      <w:r w:rsidR="004B600D" w:rsidRPr="002E60EB">
        <w:rPr>
          <w:rFonts w:eastAsia="Batang"/>
          <w:lang w:val="en-US"/>
        </w:rPr>
        <w:t>general</w:t>
      </w:r>
      <w:r w:rsidRPr="002E60EB">
        <w:rPr>
          <w:rFonts w:eastAsia="Batang"/>
          <w:lang w:val="en-US"/>
        </w:rPr>
        <w:t xml:space="preserve"> population. It also indicated that </w:t>
      </w:r>
      <w:r w:rsidR="00E15BBF" w:rsidRPr="002E60EB">
        <w:rPr>
          <w:rFonts w:eastAsia="Batang"/>
          <w:lang w:val="en-US"/>
        </w:rPr>
        <w:t xml:space="preserve">when </w:t>
      </w:r>
      <w:r w:rsidRPr="002E60EB">
        <w:rPr>
          <w:rFonts w:eastAsia="Batang"/>
          <w:lang w:val="en-US"/>
        </w:rPr>
        <w:t>the attack, threats</w:t>
      </w:r>
      <w:r w:rsidR="00E15BBF" w:rsidRPr="002E60EB">
        <w:rPr>
          <w:rFonts w:eastAsia="Batang"/>
          <w:lang w:val="en-US"/>
        </w:rPr>
        <w:t xml:space="preserve"> and forced exile of </w:t>
      </w:r>
      <w:r w:rsidRPr="002E60EB">
        <w:rPr>
          <w:rFonts w:eastAsia="Batang"/>
          <w:lang w:val="en-US"/>
        </w:rPr>
        <w:t>a person</w:t>
      </w:r>
      <w:r w:rsidR="00E15BBF" w:rsidRPr="002E60EB">
        <w:rPr>
          <w:rFonts w:eastAsia="Batang"/>
          <w:lang w:val="en-US"/>
        </w:rPr>
        <w:t xml:space="preserve"> </w:t>
      </w:r>
      <w:r w:rsidRPr="002E60EB">
        <w:rPr>
          <w:rFonts w:eastAsia="Batang"/>
          <w:lang w:val="en-US"/>
        </w:rPr>
        <w:t>exercising</w:t>
      </w:r>
      <w:r w:rsidR="00E15BBF" w:rsidRPr="002E60EB">
        <w:rPr>
          <w:rFonts w:eastAsia="Batang"/>
          <w:lang w:val="en-US"/>
        </w:rPr>
        <w:t xml:space="preserve"> journalistic </w:t>
      </w:r>
      <w:r w:rsidRPr="002E60EB">
        <w:rPr>
          <w:rFonts w:eastAsia="Batang"/>
          <w:lang w:val="en-US"/>
        </w:rPr>
        <w:t>functions</w:t>
      </w:r>
      <w:r w:rsidR="00E15BBF" w:rsidRPr="002E60EB">
        <w:rPr>
          <w:rFonts w:eastAsia="Batang"/>
          <w:lang w:val="en-US"/>
        </w:rPr>
        <w:t xml:space="preserve"> remains in impunity, the social dimension of the right to freedom of expression is violated</w:t>
      </w:r>
      <w:r w:rsidR="00F13469" w:rsidRPr="002E60EB">
        <w:rPr>
          <w:rFonts w:eastAsia="Batang"/>
          <w:lang w:val="en-US"/>
        </w:rPr>
        <w:t xml:space="preserve">. </w:t>
      </w:r>
      <w:r w:rsidR="00E15BBF" w:rsidRPr="002E60EB">
        <w:rPr>
          <w:rFonts w:eastAsia="Batang"/>
          <w:lang w:val="en-US"/>
        </w:rPr>
        <w:t xml:space="preserve">The Commission considered that </w:t>
      </w:r>
      <w:r w:rsidR="00087093" w:rsidRPr="002E60EB">
        <w:rPr>
          <w:rFonts w:eastAsia="Batang"/>
          <w:lang w:val="en-US"/>
        </w:rPr>
        <w:t>“</w:t>
      </w:r>
      <w:r w:rsidR="00E15BBF" w:rsidRPr="002E60EB">
        <w:rPr>
          <w:rFonts w:eastAsia="Batang"/>
          <w:lang w:val="en-US"/>
        </w:rPr>
        <w:t>the lack of protection and investigation of the threats and harassment suffered</w:t>
      </w:r>
      <w:r w:rsidRPr="002E60EB">
        <w:rPr>
          <w:rFonts w:eastAsia="Batang"/>
          <w:lang w:val="en-US"/>
        </w:rPr>
        <w:t xml:space="preserve"> by Mr. Vélez, which led to</w:t>
      </w:r>
      <w:r w:rsidR="00E15BBF" w:rsidRPr="002E60EB">
        <w:rPr>
          <w:rFonts w:eastAsia="Batang"/>
          <w:lang w:val="en-US"/>
        </w:rPr>
        <w:t xml:space="preserve"> his </w:t>
      </w:r>
      <w:r w:rsidRPr="002E60EB">
        <w:rPr>
          <w:rFonts w:eastAsia="Batang"/>
          <w:lang w:val="en-US"/>
        </w:rPr>
        <w:t xml:space="preserve">definitive </w:t>
      </w:r>
      <w:r w:rsidR="00E15BBF" w:rsidRPr="002E60EB">
        <w:rPr>
          <w:rFonts w:eastAsia="Batang"/>
          <w:lang w:val="en-US"/>
        </w:rPr>
        <w:t>separation from journalism</w:t>
      </w:r>
      <w:r w:rsidRPr="002E60EB">
        <w:rPr>
          <w:rFonts w:eastAsia="Batang"/>
          <w:lang w:val="en-US"/>
        </w:rPr>
        <w:t xml:space="preserve"> owing to his exile</w:t>
      </w:r>
      <w:r w:rsidR="00E15BBF" w:rsidRPr="002E60EB">
        <w:rPr>
          <w:rFonts w:eastAsia="Batang"/>
          <w:lang w:val="en-US"/>
        </w:rPr>
        <w:t>, consti</w:t>
      </w:r>
      <w:r w:rsidR="006B0DA5" w:rsidRPr="002E60EB">
        <w:rPr>
          <w:rFonts w:eastAsia="Batang"/>
          <w:lang w:val="en-US"/>
        </w:rPr>
        <w:t>tuted an additional violation of</w:t>
      </w:r>
      <w:r w:rsidR="00E15BBF" w:rsidRPr="002E60EB">
        <w:rPr>
          <w:rFonts w:eastAsia="Batang"/>
          <w:lang w:val="en-US"/>
        </w:rPr>
        <w:t xml:space="preserve"> his freedom of thought and expression.</w:t>
      </w:r>
      <w:r w:rsidR="00087093" w:rsidRPr="002E60EB">
        <w:rPr>
          <w:rFonts w:eastAsia="Batang"/>
          <w:lang w:val="en-US"/>
        </w:rPr>
        <w:t>”</w:t>
      </w:r>
      <w:r w:rsidR="00E15BBF" w:rsidRPr="002E60EB">
        <w:rPr>
          <w:rFonts w:eastAsia="Batang"/>
          <w:lang w:val="en-US"/>
        </w:rPr>
        <w:t xml:space="preserve"> </w:t>
      </w:r>
    </w:p>
    <w:p w:rsidR="006B0DA5" w:rsidRPr="002E60EB" w:rsidRDefault="006B0DA5" w:rsidP="006B0DA5">
      <w:pPr>
        <w:tabs>
          <w:tab w:val="left" w:pos="720"/>
        </w:tabs>
        <w:jc w:val="both"/>
        <w:rPr>
          <w:lang w:val="en-US"/>
        </w:rPr>
      </w:pPr>
    </w:p>
    <w:p w:rsidR="006B0DA5" w:rsidRPr="002E60EB" w:rsidRDefault="00E15BBF" w:rsidP="00317748">
      <w:pPr>
        <w:numPr>
          <w:ilvl w:val="0"/>
          <w:numId w:val="1"/>
        </w:numPr>
        <w:tabs>
          <w:tab w:val="left" w:pos="720"/>
        </w:tabs>
        <w:jc w:val="both"/>
        <w:rPr>
          <w:lang w:val="en-US"/>
        </w:rPr>
      </w:pPr>
      <w:r w:rsidRPr="002E60EB">
        <w:rPr>
          <w:rFonts w:eastAsia="Batang"/>
          <w:lang w:val="en-US"/>
        </w:rPr>
        <w:t xml:space="preserve">The representative </w:t>
      </w:r>
      <w:r w:rsidR="006B0DA5" w:rsidRPr="002E60EB">
        <w:rPr>
          <w:rFonts w:eastAsia="Batang"/>
          <w:lang w:val="en-US"/>
        </w:rPr>
        <w:t>stated</w:t>
      </w:r>
      <w:r w:rsidRPr="002E60EB">
        <w:rPr>
          <w:rFonts w:eastAsia="Batang"/>
          <w:lang w:val="en-US"/>
        </w:rPr>
        <w:t xml:space="preserve"> that</w:t>
      </w:r>
      <w:r w:rsidR="006B0DA5" w:rsidRPr="002E60EB">
        <w:rPr>
          <w:rFonts w:eastAsia="Batang"/>
          <w:lang w:val="en-US"/>
        </w:rPr>
        <w:t xml:space="preserve"> he</w:t>
      </w:r>
      <w:r w:rsidRPr="002E60EB">
        <w:rPr>
          <w:rFonts w:eastAsia="Batang"/>
          <w:lang w:val="en-US"/>
        </w:rPr>
        <w:t xml:space="preserve"> </w:t>
      </w:r>
      <w:r w:rsidR="00087093" w:rsidRPr="002E60EB">
        <w:rPr>
          <w:rFonts w:eastAsia="Batang"/>
          <w:lang w:val="en-US"/>
        </w:rPr>
        <w:t>“</w:t>
      </w:r>
      <w:r w:rsidRPr="002E60EB">
        <w:rPr>
          <w:rFonts w:eastAsia="Batang"/>
          <w:lang w:val="en-US"/>
        </w:rPr>
        <w:t>agree</w:t>
      </w:r>
      <w:r w:rsidR="006B0DA5" w:rsidRPr="002E60EB">
        <w:rPr>
          <w:rFonts w:eastAsia="Batang"/>
          <w:lang w:val="en-US"/>
        </w:rPr>
        <w:t>d]</w:t>
      </w:r>
      <w:r w:rsidRPr="002E60EB">
        <w:rPr>
          <w:rFonts w:eastAsia="Batang"/>
          <w:lang w:val="en-US"/>
        </w:rPr>
        <w:t xml:space="preserve"> full</w:t>
      </w:r>
      <w:r w:rsidR="006B0DA5" w:rsidRPr="002E60EB">
        <w:rPr>
          <w:rFonts w:eastAsia="Batang"/>
          <w:lang w:val="en-US"/>
        </w:rPr>
        <w:t>y</w:t>
      </w:r>
      <w:r w:rsidRPr="002E60EB">
        <w:rPr>
          <w:rFonts w:eastAsia="Batang"/>
          <w:lang w:val="en-US"/>
        </w:rPr>
        <w:t xml:space="preserve"> with the Inter-American Commission</w:t>
      </w:r>
      <w:r w:rsidR="00087093" w:rsidRPr="002E60EB">
        <w:rPr>
          <w:rFonts w:eastAsia="Batang"/>
          <w:lang w:val="en-US"/>
        </w:rPr>
        <w:t>”</w:t>
      </w:r>
      <w:r w:rsidR="006B0DA5" w:rsidRPr="002E60EB">
        <w:rPr>
          <w:rFonts w:eastAsia="Batang"/>
          <w:lang w:val="en-US"/>
        </w:rPr>
        <w:t xml:space="preserve"> as regards</w:t>
      </w:r>
      <w:r w:rsidRPr="002E60EB">
        <w:rPr>
          <w:rFonts w:eastAsia="Batang"/>
          <w:lang w:val="en-US"/>
        </w:rPr>
        <w:t xml:space="preserve"> the alleged violations of Article 13 of the Convention. </w:t>
      </w:r>
      <w:r w:rsidR="000F3982" w:rsidRPr="002E60EB">
        <w:rPr>
          <w:rFonts w:eastAsia="Batang"/>
          <w:lang w:val="en-US"/>
        </w:rPr>
        <w:t>In addition</w:t>
      </w:r>
      <w:r w:rsidRPr="002E60EB">
        <w:rPr>
          <w:rFonts w:eastAsia="Batang"/>
          <w:lang w:val="en-US"/>
        </w:rPr>
        <w:t xml:space="preserve">, he </w:t>
      </w:r>
      <w:r w:rsidR="006B0DA5" w:rsidRPr="002E60EB">
        <w:rPr>
          <w:rFonts w:eastAsia="Batang"/>
          <w:lang w:val="en-US"/>
        </w:rPr>
        <w:t>argued</w:t>
      </w:r>
      <w:r w:rsidRPr="002E60EB">
        <w:rPr>
          <w:rFonts w:eastAsia="Batang"/>
          <w:lang w:val="en-US"/>
        </w:rPr>
        <w:t xml:space="preserve"> that </w:t>
      </w:r>
      <w:r w:rsidR="00087093" w:rsidRPr="002E60EB">
        <w:rPr>
          <w:rFonts w:eastAsia="Batang"/>
          <w:lang w:val="en-US"/>
        </w:rPr>
        <w:t>“</w:t>
      </w:r>
      <w:r w:rsidR="006B0DA5" w:rsidRPr="002E60EB">
        <w:rPr>
          <w:rFonts w:eastAsia="Batang"/>
          <w:lang w:val="en-US"/>
        </w:rPr>
        <w:t>what occurred from</w:t>
      </w:r>
      <w:r w:rsidRPr="002E60EB">
        <w:rPr>
          <w:rFonts w:eastAsia="Batang"/>
          <w:lang w:val="en-US"/>
        </w:rPr>
        <w:t xml:space="preserve"> August 29, 1996</w:t>
      </w:r>
      <w:r w:rsidR="006B0DA5" w:rsidRPr="002E60EB">
        <w:rPr>
          <w:rFonts w:eastAsia="Batang"/>
          <w:lang w:val="en-US"/>
        </w:rPr>
        <w:t>,</w:t>
      </w:r>
      <w:r w:rsidRPr="002E60EB">
        <w:rPr>
          <w:rFonts w:eastAsia="Batang"/>
          <w:lang w:val="en-US"/>
        </w:rPr>
        <w:t xml:space="preserve"> until September 12, </w:t>
      </w:r>
      <w:r w:rsidRPr="002E60EB">
        <w:rPr>
          <w:lang w:val="en-US"/>
        </w:rPr>
        <w:t xml:space="preserve">1998, </w:t>
      </w:r>
      <w:r w:rsidR="006B0DA5" w:rsidRPr="002E60EB">
        <w:rPr>
          <w:lang w:val="en-US"/>
        </w:rPr>
        <w:t>constituted</w:t>
      </w:r>
      <w:r w:rsidRPr="002E60EB">
        <w:rPr>
          <w:lang w:val="en-US"/>
        </w:rPr>
        <w:t xml:space="preserve"> a campaign orchestrated by State agents […] with </w:t>
      </w:r>
      <w:r w:rsidR="006B0DA5" w:rsidRPr="002E60EB">
        <w:rPr>
          <w:lang w:val="en-US"/>
        </w:rPr>
        <w:t>a single objective: t</w:t>
      </w:r>
      <w:r w:rsidRPr="002E60EB">
        <w:rPr>
          <w:lang w:val="en-US"/>
        </w:rPr>
        <w:t xml:space="preserve">o silence Richard Vélez for having made public the content of the </w:t>
      </w:r>
      <w:r w:rsidR="006B0DA5" w:rsidRPr="002E60EB">
        <w:rPr>
          <w:lang w:val="en-US"/>
        </w:rPr>
        <w:t>video</w:t>
      </w:r>
      <w:r w:rsidRPr="002E60EB">
        <w:rPr>
          <w:lang w:val="en-US"/>
        </w:rPr>
        <w:t xml:space="preserve">tape </w:t>
      </w:r>
      <w:r w:rsidR="006B0DA5" w:rsidRPr="002E60EB">
        <w:rPr>
          <w:lang w:val="en-US"/>
        </w:rPr>
        <w:t>that he recor</w:t>
      </w:r>
      <w:r w:rsidR="004B600D" w:rsidRPr="002E60EB">
        <w:rPr>
          <w:lang w:val="en-US"/>
        </w:rPr>
        <w:t>d</w:t>
      </w:r>
      <w:r w:rsidR="006B0DA5" w:rsidRPr="002E60EB">
        <w:rPr>
          <w:lang w:val="en-US"/>
        </w:rPr>
        <w:t xml:space="preserve">ed in </w:t>
      </w:r>
      <w:r w:rsidRPr="002E60EB">
        <w:rPr>
          <w:lang w:val="en-US"/>
        </w:rPr>
        <w:t xml:space="preserve">Caquetá and for </w:t>
      </w:r>
      <w:r w:rsidR="006B0DA5" w:rsidRPr="002E60EB">
        <w:rPr>
          <w:lang w:val="en-US"/>
        </w:rPr>
        <w:t>having blamed</w:t>
      </w:r>
      <w:r w:rsidRPr="002E60EB">
        <w:rPr>
          <w:lang w:val="en-US"/>
        </w:rPr>
        <w:t xml:space="preserve"> members of the military forces </w:t>
      </w:r>
      <w:r w:rsidR="006B0DA5" w:rsidRPr="002E60EB">
        <w:rPr>
          <w:lang w:val="en-US"/>
        </w:rPr>
        <w:t>[</w:t>
      </w:r>
      <w:r w:rsidRPr="002E60EB">
        <w:rPr>
          <w:lang w:val="en-US"/>
        </w:rPr>
        <w:t>for</w:t>
      </w:r>
      <w:r w:rsidR="006B0DA5" w:rsidRPr="002E60EB">
        <w:rPr>
          <w:lang w:val="en-US"/>
        </w:rPr>
        <w:t>]</w:t>
      </w:r>
      <w:r w:rsidRPr="002E60EB">
        <w:rPr>
          <w:lang w:val="en-US"/>
        </w:rPr>
        <w:t xml:space="preserve"> the attacks, threats, and harassment against </w:t>
      </w:r>
      <w:r w:rsidR="006B0DA5" w:rsidRPr="002E60EB">
        <w:rPr>
          <w:lang w:val="en-US"/>
        </w:rPr>
        <w:t>him</w:t>
      </w:r>
      <w:r w:rsidR="004B600D" w:rsidRPr="002E60EB">
        <w:rPr>
          <w:lang w:val="en-US"/>
        </w:rPr>
        <w:t>self</w:t>
      </w:r>
      <w:r w:rsidR="006B0DA5" w:rsidRPr="002E60EB">
        <w:rPr>
          <w:lang w:val="en-US"/>
        </w:rPr>
        <w:t xml:space="preserve"> and </w:t>
      </w:r>
      <w:r w:rsidRPr="002E60EB">
        <w:rPr>
          <w:lang w:val="en-US"/>
        </w:rPr>
        <w:t>his family.</w:t>
      </w:r>
      <w:r w:rsidR="00087093" w:rsidRPr="002E60EB">
        <w:rPr>
          <w:lang w:val="en-US"/>
        </w:rPr>
        <w:t>”</w:t>
      </w:r>
    </w:p>
    <w:p w:rsidR="00E77520" w:rsidRPr="002E60EB" w:rsidRDefault="00E77520" w:rsidP="00E77520">
      <w:pPr>
        <w:tabs>
          <w:tab w:val="left" w:pos="720"/>
        </w:tabs>
        <w:jc w:val="both"/>
        <w:rPr>
          <w:lang w:val="en-US"/>
        </w:rPr>
      </w:pPr>
    </w:p>
    <w:p w:rsidR="00E77520" w:rsidRPr="002E60EB" w:rsidRDefault="00E15BBF" w:rsidP="004B600D">
      <w:pPr>
        <w:numPr>
          <w:ilvl w:val="0"/>
          <w:numId w:val="1"/>
        </w:numPr>
        <w:tabs>
          <w:tab w:val="clear" w:pos="1427"/>
          <w:tab w:val="left" w:pos="720"/>
        </w:tabs>
        <w:jc w:val="both"/>
        <w:rPr>
          <w:lang w:val="en-US"/>
        </w:rPr>
      </w:pPr>
      <w:r w:rsidRPr="002E60EB">
        <w:rPr>
          <w:rFonts w:eastAsia="Batang"/>
          <w:lang w:val="en-US"/>
        </w:rPr>
        <w:t xml:space="preserve">The State considered that </w:t>
      </w:r>
      <w:r w:rsidR="006B0DA5" w:rsidRPr="002E60EB">
        <w:rPr>
          <w:rFonts w:eastAsia="Batang"/>
          <w:lang w:val="en-US"/>
        </w:rPr>
        <w:t xml:space="preserve">“the participation of [its] agents [in the threats and harassment] has not been proved”; hence </w:t>
      </w:r>
      <w:r w:rsidRPr="002E60EB">
        <w:rPr>
          <w:rFonts w:eastAsia="Batang"/>
          <w:lang w:val="en-US"/>
        </w:rPr>
        <w:t>it maintained that it w</w:t>
      </w:r>
      <w:r w:rsidR="006B0DA5" w:rsidRPr="002E60EB">
        <w:rPr>
          <w:rFonts w:eastAsia="Batang"/>
          <w:lang w:val="en-US"/>
        </w:rPr>
        <w:t>as not necessary to determine whether they had resulted in</w:t>
      </w:r>
      <w:r w:rsidRPr="002E60EB">
        <w:rPr>
          <w:rFonts w:eastAsia="Batang"/>
          <w:lang w:val="en-US"/>
        </w:rPr>
        <w:t xml:space="preserve"> a violation to the right to freedom of expression</w:t>
      </w:r>
      <w:r w:rsidR="00F13469" w:rsidRPr="002E60EB">
        <w:rPr>
          <w:rFonts w:eastAsia="Batang"/>
          <w:lang w:val="en-US"/>
        </w:rPr>
        <w:t xml:space="preserve">. </w:t>
      </w:r>
      <w:r w:rsidRPr="002E60EB">
        <w:rPr>
          <w:rFonts w:eastAsia="Batang"/>
          <w:lang w:val="en-US"/>
        </w:rPr>
        <w:t xml:space="preserve">It added that </w:t>
      </w:r>
      <w:r w:rsidR="00087093" w:rsidRPr="002E60EB">
        <w:rPr>
          <w:rFonts w:eastAsia="Batang"/>
          <w:lang w:val="en-US"/>
        </w:rPr>
        <w:t>“</w:t>
      </w:r>
      <w:r w:rsidRPr="002E60EB">
        <w:rPr>
          <w:rFonts w:eastAsia="Batang"/>
          <w:lang w:val="en-US"/>
        </w:rPr>
        <w:t xml:space="preserve">the representatives were never able to prove that the reason for the </w:t>
      </w:r>
      <w:r w:rsidR="00334C3C" w:rsidRPr="002E60EB">
        <w:rPr>
          <w:rFonts w:eastAsia="Batang"/>
          <w:lang w:val="en-US"/>
        </w:rPr>
        <w:t>supposed</w:t>
      </w:r>
      <w:r w:rsidR="006B0DA5" w:rsidRPr="002E60EB">
        <w:rPr>
          <w:rFonts w:eastAsia="Batang"/>
          <w:lang w:val="en-US"/>
        </w:rPr>
        <w:t xml:space="preserve"> intimidation</w:t>
      </w:r>
      <w:r w:rsidRPr="002E60EB">
        <w:rPr>
          <w:rFonts w:eastAsia="Batang"/>
          <w:lang w:val="en-US"/>
        </w:rPr>
        <w:t xml:space="preserve"> </w:t>
      </w:r>
      <w:r w:rsidR="006B0DA5" w:rsidRPr="002E60EB">
        <w:rPr>
          <w:rFonts w:eastAsia="Batang"/>
          <w:lang w:val="en-US"/>
        </w:rPr>
        <w:t>was to</w:t>
      </w:r>
      <w:r w:rsidRPr="002E60EB">
        <w:rPr>
          <w:rFonts w:eastAsia="Batang"/>
          <w:lang w:val="en-US"/>
        </w:rPr>
        <w:t xml:space="preserve"> limit and restrict [the] journalistic </w:t>
      </w:r>
      <w:r w:rsidR="006B0DA5" w:rsidRPr="002E60EB">
        <w:rPr>
          <w:rFonts w:eastAsia="Batang"/>
          <w:lang w:val="en-US"/>
        </w:rPr>
        <w:t>activities</w:t>
      </w:r>
      <w:r w:rsidRPr="002E60EB">
        <w:rPr>
          <w:rFonts w:eastAsia="Batang"/>
          <w:lang w:val="en-US"/>
        </w:rPr>
        <w:t xml:space="preserve"> </w:t>
      </w:r>
      <w:r w:rsidRPr="002E60EB">
        <w:rPr>
          <w:lang w:val="en-US"/>
        </w:rPr>
        <w:t>[</w:t>
      </w:r>
      <w:r w:rsidR="006B0DA5" w:rsidRPr="002E60EB">
        <w:rPr>
          <w:lang w:val="en-US"/>
        </w:rPr>
        <w:t xml:space="preserve">of </w:t>
      </w:r>
      <w:r w:rsidRPr="002E60EB">
        <w:rPr>
          <w:lang w:val="en-US"/>
        </w:rPr>
        <w:t>Mr. Vélez]</w:t>
      </w:r>
      <w:r w:rsidR="006B0DA5" w:rsidRPr="002E60EB">
        <w:rPr>
          <w:lang w:val="en-US"/>
        </w:rPr>
        <w:t>.</w:t>
      </w:r>
      <w:r w:rsidR="00087093" w:rsidRPr="002E60EB">
        <w:rPr>
          <w:lang w:val="en-US"/>
        </w:rPr>
        <w:t>”</w:t>
      </w:r>
      <w:r w:rsidRPr="002E60EB">
        <w:rPr>
          <w:rFonts w:eastAsia="Batang"/>
          <w:b/>
          <w:lang w:val="en-US"/>
        </w:rPr>
        <w:t xml:space="preserve"> </w:t>
      </w:r>
      <w:r w:rsidR="006B0DA5" w:rsidRPr="002E60EB">
        <w:rPr>
          <w:rFonts w:eastAsia="Batang"/>
          <w:lang w:val="en-US"/>
        </w:rPr>
        <w:t>The State reiterated that the</w:t>
      </w:r>
      <w:r w:rsidRPr="002E60EB">
        <w:rPr>
          <w:rFonts w:eastAsia="Batang"/>
          <w:lang w:val="en-US"/>
        </w:rPr>
        <w:t xml:space="preserve"> international responsibility</w:t>
      </w:r>
      <w:r w:rsidR="006B0DA5" w:rsidRPr="002E60EB">
        <w:rPr>
          <w:rFonts w:eastAsia="Batang"/>
          <w:lang w:val="en-US"/>
        </w:rPr>
        <w:t xml:space="preserve"> it had acknowledged</w:t>
      </w:r>
      <w:r w:rsidRPr="002E60EB">
        <w:rPr>
          <w:rFonts w:eastAsia="Batang"/>
          <w:lang w:val="en-US"/>
        </w:rPr>
        <w:t xml:space="preserve"> is </w:t>
      </w:r>
      <w:r w:rsidR="00087093" w:rsidRPr="002E60EB">
        <w:rPr>
          <w:rFonts w:eastAsia="Batang"/>
          <w:lang w:val="en-US"/>
        </w:rPr>
        <w:t>“</w:t>
      </w:r>
      <w:r w:rsidRPr="002E60EB">
        <w:rPr>
          <w:rFonts w:eastAsia="Batang"/>
          <w:lang w:val="en-US"/>
        </w:rPr>
        <w:t>a matter of justice</w:t>
      </w:r>
      <w:r w:rsidR="00087093" w:rsidRPr="002E60EB">
        <w:rPr>
          <w:rFonts w:eastAsia="Batang"/>
          <w:lang w:val="en-US"/>
        </w:rPr>
        <w:t>”</w:t>
      </w:r>
      <w:r w:rsidRPr="002E60EB">
        <w:rPr>
          <w:rFonts w:eastAsia="Batang"/>
          <w:lang w:val="en-US"/>
        </w:rPr>
        <w:t xml:space="preserve"> </w:t>
      </w:r>
      <w:r w:rsidR="006B0DA5" w:rsidRPr="002E60EB">
        <w:rPr>
          <w:rFonts w:eastAsia="Batang"/>
          <w:lang w:val="en-US"/>
        </w:rPr>
        <w:t>for</w:t>
      </w:r>
      <w:r w:rsidRPr="002E60EB">
        <w:rPr>
          <w:rFonts w:eastAsia="Batang"/>
          <w:lang w:val="en-US"/>
        </w:rPr>
        <w:t xml:space="preserve"> the </w:t>
      </w:r>
      <w:r w:rsidR="00087093" w:rsidRPr="002E60EB">
        <w:rPr>
          <w:rFonts w:eastAsia="Batang"/>
          <w:lang w:val="en-US"/>
        </w:rPr>
        <w:t>“</w:t>
      </w:r>
      <w:r w:rsidR="006B0DA5" w:rsidRPr="002E60EB">
        <w:rPr>
          <w:rFonts w:eastAsia="Batang"/>
          <w:lang w:val="en-US"/>
        </w:rPr>
        <w:t>presumed</w:t>
      </w:r>
      <w:r w:rsidRPr="002E60EB">
        <w:rPr>
          <w:rFonts w:eastAsia="Batang"/>
          <w:lang w:val="en-US"/>
        </w:rPr>
        <w:t xml:space="preserve"> threats, </w:t>
      </w:r>
      <w:r w:rsidR="006B0DA5" w:rsidRPr="002E60EB">
        <w:rPr>
          <w:rFonts w:eastAsia="Batang"/>
          <w:lang w:val="en-US"/>
        </w:rPr>
        <w:t>presumed</w:t>
      </w:r>
      <w:r w:rsidRPr="002E60EB">
        <w:rPr>
          <w:rFonts w:eastAsia="Batang"/>
          <w:lang w:val="en-US"/>
        </w:rPr>
        <w:t xml:space="preserve"> harassment, and</w:t>
      </w:r>
      <w:r w:rsidR="006B0DA5" w:rsidRPr="002E60EB">
        <w:rPr>
          <w:rFonts w:eastAsia="Batang"/>
          <w:lang w:val="en-US"/>
        </w:rPr>
        <w:t xml:space="preserve"> presumed</w:t>
      </w:r>
      <w:r w:rsidRPr="002E60EB">
        <w:rPr>
          <w:rFonts w:eastAsia="Batang"/>
          <w:lang w:val="en-US"/>
        </w:rPr>
        <w:t xml:space="preserve"> attempted </w:t>
      </w:r>
      <w:r w:rsidR="00334C3C" w:rsidRPr="002E60EB">
        <w:rPr>
          <w:rFonts w:eastAsia="Batang"/>
          <w:lang w:val="en-US"/>
        </w:rPr>
        <w:t>kidnapping</w:t>
      </w:r>
      <w:r w:rsidR="00F13469" w:rsidRPr="002E60EB">
        <w:rPr>
          <w:rFonts w:eastAsia="Batang"/>
          <w:lang w:val="en-US"/>
        </w:rPr>
        <w:t>.</w:t>
      </w:r>
      <w:r w:rsidR="00087093" w:rsidRPr="002E60EB">
        <w:rPr>
          <w:rFonts w:eastAsia="Batang"/>
          <w:lang w:val="en-US"/>
        </w:rPr>
        <w:t>”</w:t>
      </w:r>
      <w:r w:rsidRPr="002E60EB">
        <w:rPr>
          <w:rFonts w:eastAsia="Batang"/>
          <w:lang w:val="en-US"/>
        </w:rPr>
        <w:t xml:space="preserve"> It affirmed that there are no elements in this case to</w:t>
      </w:r>
      <w:r w:rsidR="006B0DA5" w:rsidRPr="002E60EB">
        <w:rPr>
          <w:rFonts w:eastAsia="Batang"/>
          <w:lang w:val="en-US"/>
        </w:rPr>
        <w:t xml:space="preserve"> find that </w:t>
      </w:r>
      <w:r w:rsidRPr="002E60EB">
        <w:rPr>
          <w:rFonts w:eastAsia="Batang"/>
          <w:lang w:val="en-US"/>
        </w:rPr>
        <w:t>an alleged viol</w:t>
      </w:r>
      <w:r w:rsidR="006B0DA5" w:rsidRPr="002E60EB">
        <w:rPr>
          <w:rFonts w:eastAsia="Batang"/>
          <w:lang w:val="en-US"/>
        </w:rPr>
        <w:t>ation of the collective right of</w:t>
      </w:r>
      <w:r w:rsidRPr="002E60EB">
        <w:rPr>
          <w:rFonts w:eastAsia="Batang"/>
          <w:lang w:val="en-US"/>
        </w:rPr>
        <w:t xml:space="preserve"> other journalists</w:t>
      </w:r>
      <w:r w:rsidR="006B0DA5" w:rsidRPr="002E60EB">
        <w:rPr>
          <w:rFonts w:eastAsia="Batang"/>
          <w:lang w:val="en-US"/>
        </w:rPr>
        <w:t xml:space="preserve"> has been proved</w:t>
      </w:r>
      <w:r w:rsidR="00F13469" w:rsidRPr="002E60EB">
        <w:rPr>
          <w:rFonts w:eastAsia="Batang"/>
          <w:lang w:val="en-US"/>
        </w:rPr>
        <w:t>.</w:t>
      </w:r>
      <w:r w:rsidR="00087093" w:rsidRPr="002E60EB">
        <w:rPr>
          <w:rFonts w:eastAsia="Batang"/>
          <w:lang w:val="en-US"/>
        </w:rPr>
        <w:t>”</w:t>
      </w:r>
      <w:r w:rsidRPr="002E60EB">
        <w:rPr>
          <w:rFonts w:eastAsia="Batang"/>
          <w:lang w:val="en-US"/>
        </w:rPr>
        <w:t xml:space="preserve"> </w:t>
      </w:r>
      <w:r w:rsidR="000F3982" w:rsidRPr="002E60EB">
        <w:rPr>
          <w:lang w:val="en-US"/>
        </w:rPr>
        <w:t>In addition</w:t>
      </w:r>
      <w:r w:rsidRPr="002E60EB">
        <w:rPr>
          <w:lang w:val="en-US"/>
        </w:rPr>
        <w:t xml:space="preserve">, it </w:t>
      </w:r>
      <w:r w:rsidR="006B0DA5" w:rsidRPr="002E60EB">
        <w:rPr>
          <w:lang w:val="en-US"/>
        </w:rPr>
        <w:t>argued</w:t>
      </w:r>
      <w:r w:rsidRPr="002E60EB">
        <w:rPr>
          <w:lang w:val="en-US"/>
        </w:rPr>
        <w:t xml:space="preserve"> </w:t>
      </w:r>
      <w:r w:rsidR="006B0DA5" w:rsidRPr="002E60EB">
        <w:rPr>
          <w:lang w:val="en-US"/>
        </w:rPr>
        <w:t>that certain facts and claims alleged by</w:t>
      </w:r>
      <w:r w:rsidRPr="002E60EB">
        <w:rPr>
          <w:lang w:val="en-US"/>
        </w:rPr>
        <w:t xml:space="preserve"> the Commission and the representative </w:t>
      </w:r>
      <w:r w:rsidR="006B0DA5" w:rsidRPr="002E60EB">
        <w:rPr>
          <w:lang w:val="en-US"/>
        </w:rPr>
        <w:t>re</w:t>
      </w:r>
      <w:r w:rsidR="004B600D" w:rsidRPr="002E60EB">
        <w:rPr>
          <w:lang w:val="en-US"/>
        </w:rPr>
        <w:t xml:space="preserve">lating </w:t>
      </w:r>
      <w:r w:rsidRPr="002E60EB">
        <w:rPr>
          <w:lang w:val="en-US"/>
        </w:rPr>
        <w:t xml:space="preserve">to the relationship between Mr. Vélez Restrepo and his employer </w:t>
      </w:r>
      <w:r w:rsidR="00087093" w:rsidRPr="002E60EB">
        <w:rPr>
          <w:lang w:val="en-US"/>
        </w:rPr>
        <w:t>“</w:t>
      </w:r>
      <w:r w:rsidRPr="002E60EB">
        <w:rPr>
          <w:lang w:val="en-US"/>
        </w:rPr>
        <w:t>are of a private dimension</w:t>
      </w:r>
      <w:r w:rsidR="006B0DA5" w:rsidRPr="002E60EB">
        <w:rPr>
          <w:lang w:val="en-US"/>
        </w:rPr>
        <w:t>,</w:t>
      </w:r>
      <w:r w:rsidR="00087093" w:rsidRPr="002E60EB">
        <w:rPr>
          <w:lang w:val="en-US"/>
        </w:rPr>
        <w:t>”</w:t>
      </w:r>
      <w:r w:rsidRPr="002E60EB">
        <w:rPr>
          <w:lang w:val="en-US"/>
        </w:rPr>
        <w:t xml:space="preserve"> and if his labor rights had been affected, he should have sought out the </w:t>
      </w:r>
      <w:r w:rsidR="00E77520" w:rsidRPr="002E60EB">
        <w:rPr>
          <w:lang w:val="en-US"/>
        </w:rPr>
        <w:t>mechanisms that existed in this regard.</w:t>
      </w:r>
      <w:r w:rsidRPr="002E60EB">
        <w:rPr>
          <w:b/>
          <w:lang w:val="en-US"/>
        </w:rPr>
        <w:t xml:space="preserve"> </w:t>
      </w:r>
    </w:p>
    <w:p w:rsidR="00E77520" w:rsidRPr="002E60EB" w:rsidRDefault="00E77520" w:rsidP="00E77520">
      <w:pPr>
        <w:tabs>
          <w:tab w:val="left" w:pos="720"/>
        </w:tabs>
        <w:jc w:val="both"/>
        <w:rPr>
          <w:lang w:val="en-US"/>
        </w:rPr>
      </w:pPr>
    </w:p>
    <w:p w:rsidR="00E77520" w:rsidRPr="002E60EB" w:rsidRDefault="00E77520" w:rsidP="00317748">
      <w:pPr>
        <w:ind w:firstLine="720"/>
        <w:rPr>
          <w:i/>
          <w:lang w:val="en-US"/>
        </w:rPr>
      </w:pPr>
      <w:r w:rsidRPr="002E60EB">
        <w:rPr>
          <w:i/>
          <w:lang w:val="en-US"/>
        </w:rPr>
        <w:t>Considerations of the Court</w:t>
      </w:r>
    </w:p>
    <w:p w:rsidR="00E77520" w:rsidRPr="002E60EB" w:rsidRDefault="00E77520" w:rsidP="00E77520">
      <w:pPr>
        <w:tabs>
          <w:tab w:val="left" w:pos="720"/>
        </w:tabs>
        <w:jc w:val="both"/>
        <w:rPr>
          <w:lang w:val="en-US"/>
        </w:rPr>
      </w:pPr>
    </w:p>
    <w:p w:rsidR="00E15BBF" w:rsidRPr="002E60EB" w:rsidRDefault="00E77520" w:rsidP="00317748">
      <w:pPr>
        <w:numPr>
          <w:ilvl w:val="0"/>
          <w:numId w:val="1"/>
        </w:numPr>
        <w:tabs>
          <w:tab w:val="left" w:pos="720"/>
        </w:tabs>
        <w:jc w:val="both"/>
        <w:rPr>
          <w:lang w:val="en-US"/>
        </w:rPr>
      </w:pPr>
      <w:r w:rsidRPr="002E60EB">
        <w:rPr>
          <w:rFonts w:eastAsia="Batang"/>
          <w:lang w:val="en-US"/>
        </w:rPr>
        <w:t>The Co</w:t>
      </w:r>
      <w:r w:rsidR="004B600D" w:rsidRPr="002E60EB">
        <w:rPr>
          <w:rFonts w:eastAsia="Batang"/>
          <w:lang w:val="en-US"/>
        </w:rPr>
        <w:t xml:space="preserve">urt considers that the </w:t>
      </w:r>
      <w:r w:rsidRPr="002E60EB">
        <w:rPr>
          <w:rFonts w:eastAsia="Batang"/>
          <w:lang w:val="en-US"/>
        </w:rPr>
        <w:t>journalism can only be exercised freely when those who carry out this work are not victims of threats or physical, mental or moral attacks or other acts of harassment.</w:t>
      </w:r>
      <w:r w:rsidRPr="002E60EB">
        <w:rPr>
          <w:rStyle w:val="Refdenotaalpie"/>
          <w:lang w:val="en-US"/>
        </w:rPr>
        <w:footnoteReference w:id="202"/>
      </w:r>
      <w:r w:rsidRPr="002E60EB">
        <w:rPr>
          <w:rStyle w:val="Refdenotaalpie"/>
          <w:lang w:val="en-US"/>
        </w:rPr>
        <w:t xml:space="preserve"> </w:t>
      </w:r>
      <w:r w:rsidRPr="002E60EB">
        <w:rPr>
          <w:rFonts w:eastAsia="Batang"/>
          <w:lang w:val="en-US"/>
        </w:rPr>
        <w:t>Those acts constitute serious obstacles to the full exercise of freedom of expression.</w:t>
      </w:r>
      <w:r w:rsidRPr="002E60EB">
        <w:rPr>
          <w:rStyle w:val="Refdenotaalpie"/>
          <w:lang w:val="en-US"/>
        </w:rPr>
        <w:footnoteReference w:id="203"/>
      </w:r>
      <w:r w:rsidRPr="002E60EB">
        <w:rPr>
          <w:rFonts w:eastAsia="Batang"/>
          <w:lang w:val="en-US"/>
        </w:rPr>
        <w:t xml:space="preserve"> In this regard, the Court has </w:t>
      </w:r>
      <w:r w:rsidR="00E15BBF" w:rsidRPr="002E60EB">
        <w:rPr>
          <w:rFonts w:eastAsia="Batang"/>
          <w:lang w:val="en-US"/>
        </w:rPr>
        <w:t>already ref</w:t>
      </w:r>
      <w:r w:rsidRPr="002E60EB">
        <w:rPr>
          <w:rFonts w:eastAsia="Batang"/>
          <w:lang w:val="en-US"/>
        </w:rPr>
        <w:t xml:space="preserve">erred to the special obligation </w:t>
      </w:r>
      <w:r w:rsidR="00E15BBF" w:rsidRPr="002E60EB">
        <w:rPr>
          <w:rFonts w:eastAsia="Batang"/>
          <w:lang w:val="en-US"/>
        </w:rPr>
        <w:t>to protect journalists</w:t>
      </w:r>
      <w:r w:rsidR="002D29BD" w:rsidRPr="002E60EB">
        <w:rPr>
          <w:rFonts w:eastAsia="Batang"/>
          <w:lang w:val="en-US"/>
        </w:rPr>
        <w:t xml:space="preserve"> at risk</w:t>
      </w:r>
      <w:r w:rsidR="00E15BBF" w:rsidRPr="002E60EB">
        <w:rPr>
          <w:rFonts w:eastAsia="Batang"/>
          <w:lang w:val="en-US"/>
        </w:rPr>
        <w:t xml:space="preserve"> (</w:t>
      </w:r>
      <w:r w:rsidR="00E15BBF" w:rsidRPr="002E60EB">
        <w:rPr>
          <w:rFonts w:eastAsia="Batang"/>
          <w:i/>
          <w:lang w:val="en-US"/>
        </w:rPr>
        <w:t>supra</w:t>
      </w:r>
      <w:r w:rsidRPr="002E60EB">
        <w:rPr>
          <w:rFonts w:eastAsia="Batang"/>
          <w:lang w:val="en-US"/>
        </w:rPr>
        <w:t xml:space="preserve"> para. 194</w:t>
      </w:r>
      <w:r w:rsidR="00E15BBF" w:rsidRPr="002E60EB">
        <w:rPr>
          <w:rFonts w:eastAsia="Batang"/>
          <w:lang w:val="en-US"/>
        </w:rPr>
        <w:t xml:space="preserve">), which was not </w:t>
      </w:r>
      <w:r w:rsidRPr="002E60EB">
        <w:rPr>
          <w:rFonts w:eastAsia="Batang"/>
          <w:lang w:val="en-US"/>
        </w:rPr>
        <w:t>complied with</w:t>
      </w:r>
      <w:r w:rsidR="00E15BBF" w:rsidRPr="002E60EB">
        <w:rPr>
          <w:rFonts w:eastAsia="Batang"/>
          <w:lang w:val="en-US"/>
        </w:rPr>
        <w:t xml:space="preserve"> in this case. </w:t>
      </w:r>
      <w:r w:rsidRPr="002E60EB">
        <w:rPr>
          <w:rFonts w:eastAsia="Batang"/>
          <w:lang w:val="en-US"/>
        </w:rPr>
        <w:t>In view of the attack</w:t>
      </w:r>
      <w:r w:rsidR="00E15BBF" w:rsidRPr="002E60EB">
        <w:rPr>
          <w:rFonts w:eastAsia="Batang"/>
          <w:lang w:val="en-US"/>
        </w:rPr>
        <w:t xml:space="preserve"> of August 29, 1996, perpetrated to prevent Mr. Vélez Restrepo from exercising his freedom of expression, and the subsequent threats </w:t>
      </w:r>
      <w:r w:rsidR="002D29BD" w:rsidRPr="002E60EB">
        <w:rPr>
          <w:rFonts w:eastAsia="Batang"/>
          <w:lang w:val="en-US"/>
        </w:rPr>
        <w:t>so that he cease pursuing</w:t>
      </w:r>
      <w:r w:rsidRPr="002E60EB">
        <w:rPr>
          <w:rFonts w:eastAsia="Batang"/>
          <w:lang w:val="en-US"/>
        </w:rPr>
        <w:t xml:space="preserve"> </w:t>
      </w:r>
      <w:r w:rsidR="002D29BD" w:rsidRPr="002E60EB">
        <w:rPr>
          <w:rFonts w:eastAsia="Batang"/>
          <w:lang w:val="en-US"/>
        </w:rPr>
        <w:t>his</w:t>
      </w:r>
      <w:r w:rsidR="00E15BBF" w:rsidRPr="002E60EB">
        <w:rPr>
          <w:rFonts w:eastAsia="Batang"/>
          <w:lang w:val="en-US"/>
        </w:rPr>
        <w:t xml:space="preserve"> search </w:t>
      </w:r>
      <w:r w:rsidR="002D29BD" w:rsidRPr="002E60EB">
        <w:rPr>
          <w:rFonts w:eastAsia="Batang"/>
          <w:lang w:val="en-US"/>
        </w:rPr>
        <w:t>to obtain</w:t>
      </w:r>
      <w:r w:rsidR="00E15BBF" w:rsidRPr="002E60EB">
        <w:rPr>
          <w:rFonts w:eastAsia="Batang"/>
          <w:lang w:val="en-US"/>
        </w:rPr>
        <w:t xml:space="preserve"> justice </w:t>
      </w:r>
      <w:r w:rsidR="002D29BD" w:rsidRPr="002E60EB">
        <w:rPr>
          <w:rFonts w:eastAsia="Batang"/>
          <w:lang w:val="en-US"/>
        </w:rPr>
        <w:t>owing to</w:t>
      </w:r>
      <w:r w:rsidR="00E15BBF" w:rsidRPr="002E60EB">
        <w:rPr>
          <w:rFonts w:eastAsia="Batang"/>
          <w:lang w:val="en-US"/>
        </w:rPr>
        <w:t xml:space="preserve"> this attack, the State had the obligation</w:t>
      </w:r>
      <w:r w:rsidRPr="002E60EB">
        <w:rPr>
          <w:rFonts w:eastAsia="Batang"/>
          <w:lang w:val="en-US"/>
        </w:rPr>
        <w:t>s to investigate, prosecute</w:t>
      </w:r>
      <w:r w:rsidR="00E15BBF" w:rsidRPr="002E60EB">
        <w:rPr>
          <w:rFonts w:eastAsia="Batang"/>
          <w:lang w:val="en-US"/>
        </w:rPr>
        <w:t xml:space="preserve"> and</w:t>
      </w:r>
      <w:r w:rsidRPr="002E60EB">
        <w:rPr>
          <w:rFonts w:eastAsia="Batang"/>
          <w:lang w:val="en-US"/>
        </w:rPr>
        <w:t>, as appropriate,</w:t>
      </w:r>
      <w:r w:rsidR="00E15BBF" w:rsidRPr="002E60EB">
        <w:rPr>
          <w:rFonts w:eastAsia="Batang"/>
          <w:lang w:val="en-US"/>
        </w:rPr>
        <w:t xml:space="preserve"> punish, as well as to </w:t>
      </w:r>
      <w:r w:rsidRPr="002E60EB">
        <w:rPr>
          <w:rFonts w:eastAsia="Batang"/>
          <w:lang w:val="en-US"/>
        </w:rPr>
        <w:t>adopt</w:t>
      </w:r>
      <w:r w:rsidR="00E15BBF" w:rsidRPr="002E60EB">
        <w:rPr>
          <w:rFonts w:eastAsia="Batang"/>
          <w:lang w:val="en-US"/>
        </w:rPr>
        <w:t xml:space="preserve"> measures of protection, which were not </w:t>
      </w:r>
      <w:r w:rsidRPr="002E60EB">
        <w:rPr>
          <w:rFonts w:eastAsia="Batang"/>
          <w:lang w:val="en-US"/>
        </w:rPr>
        <w:t>complied with</w:t>
      </w:r>
      <w:r w:rsidR="00E15BBF" w:rsidRPr="002E60EB">
        <w:rPr>
          <w:rFonts w:eastAsia="Batang"/>
          <w:lang w:val="en-US"/>
        </w:rPr>
        <w:t xml:space="preserve"> (</w:t>
      </w:r>
      <w:r w:rsidR="00E15BBF" w:rsidRPr="002E60EB">
        <w:rPr>
          <w:rFonts w:eastAsia="Batang"/>
          <w:i/>
          <w:lang w:val="en-US"/>
        </w:rPr>
        <w:t>supra</w:t>
      </w:r>
      <w:r w:rsidRPr="002E60EB">
        <w:rPr>
          <w:rFonts w:eastAsia="Batang"/>
          <w:lang w:val="en-US"/>
        </w:rPr>
        <w:t xml:space="preserve"> paras. 186 to 205</w:t>
      </w:r>
      <w:r w:rsidR="00E15BBF" w:rsidRPr="002E60EB">
        <w:rPr>
          <w:rFonts w:eastAsia="Batang"/>
          <w:lang w:val="en-US"/>
        </w:rPr>
        <w:t>).</w:t>
      </w:r>
    </w:p>
    <w:p w:rsidR="00E77520" w:rsidRPr="002E60EB" w:rsidRDefault="00E77520" w:rsidP="00E77520">
      <w:pPr>
        <w:tabs>
          <w:tab w:val="left" w:pos="720"/>
        </w:tabs>
        <w:jc w:val="both"/>
        <w:rPr>
          <w:lang w:val="en-US"/>
        </w:rPr>
      </w:pPr>
    </w:p>
    <w:p w:rsidR="00E77520" w:rsidRPr="002E60EB" w:rsidRDefault="00E15BBF" w:rsidP="00317748">
      <w:pPr>
        <w:numPr>
          <w:ilvl w:val="0"/>
          <w:numId w:val="1"/>
        </w:numPr>
        <w:tabs>
          <w:tab w:val="left" w:pos="720"/>
        </w:tabs>
        <w:jc w:val="both"/>
        <w:rPr>
          <w:lang w:val="en-US"/>
        </w:rPr>
      </w:pPr>
      <w:r w:rsidRPr="002E60EB">
        <w:rPr>
          <w:rFonts w:eastAsia="Batang"/>
          <w:lang w:val="en-US"/>
        </w:rPr>
        <w:t xml:space="preserve">The Court finds </w:t>
      </w:r>
      <w:r w:rsidR="00E77520" w:rsidRPr="002E60EB">
        <w:rPr>
          <w:rFonts w:eastAsia="Batang"/>
          <w:lang w:val="en-US"/>
        </w:rPr>
        <w:t xml:space="preserve">that </w:t>
      </w:r>
      <w:r w:rsidRPr="002E60EB">
        <w:rPr>
          <w:rFonts w:eastAsia="Batang"/>
          <w:lang w:val="en-US"/>
        </w:rPr>
        <w:t xml:space="preserve">compliance with </w:t>
      </w:r>
      <w:r w:rsidR="00E77520" w:rsidRPr="002E60EB">
        <w:rPr>
          <w:rFonts w:eastAsia="Batang"/>
          <w:lang w:val="en-US"/>
        </w:rPr>
        <w:t>the said</w:t>
      </w:r>
      <w:r w:rsidRPr="002E60EB">
        <w:rPr>
          <w:rFonts w:eastAsia="Batang"/>
          <w:lang w:val="en-US"/>
        </w:rPr>
        <w:t xml:space="preserve"> obligations</w:t>
      </w:r>
      <w:r w:rsidR="00EE0D2E" w:rsidRPr="002E60EB">
        <w:rPr>
          <w:rFonts w:eastAsia="Batang"/>
          <w:lang w:val="en-US"/>
        </w:rPr>
        <w:t xml:space="preserve"> is particularly relevant</w:t>
      </w:r>
      <w:r w:rsidRPr="002E60EB">
        <w:rPr>
          <w:rFonts w:eastAsia="Batang"/>
          <w:lang w:val="en-US"/>
        </w:rPr>
        <w:t xml:space="preserve"> in cases such as</w:t>
      </w:r>
      <w:r w:rsidR="00E77520" w:rsidRPr="002E60EB">
        <w:rPr>
          <w:rFonts w:eastAsia="Batang"/>
          <w:lang w:val="en-US"/>
        </w:rPr>
        <w:t xml:space="preserve"> this</w:t>
      </w:r>
      <w:r w:rsidRPr="002E60EB">
        <w:rPr>
          <w:rFonts w:eastAsia="Batang"/>
          <w:lang w:val="en-US"/>
        </w:rPr>
        <w:t>, in which the</w:t>
      </w:r>
      <w:r w:rsidR="00E77520" w:rsidRPr="002E60EB">
        <w:rPr>
          <w:rFonts w:eastAsia="Batang"/>
          <w:lang w:val="en-US"/>
        </w:rPr>
        <w:t xml:space="preserve"> </w:t>
      </w:r>
      <w:r w:rsidR="00EE0D2E" w:rsidRPr="002E60EB">
        <w:rPr>
          <w:rFonts w:eastAsia="Batang"/>
          <w:lang w:val="en-US"/>
        </w:rPr>
        <w:t>violations against the victim we</w:t>
      </w:r>
      <w:r w:rsidRPr="002E60EB">
        <w:rPr>
          <w:rFonts w:eastAsia="Batang"/>
          <w:lang w:val="en-US"/>
        </w:rPr>
        <w:t xml:space="preserve">re </w:t>
      </w:r>
      <w:r w:rsidR="00E77520" w:rsidRPr="002E60EB">
        <w:rPr>
          <w:rFonts w:eastAsia="Batang"/>
          <w:lang w:val="en-US"/>
        </w:rPr>
        <w:t>related to the exercise of his</w:t>
      </w:r>
      <w:r w:rsidRPr="002E60EB">
        <w:rPr>
          <w:rFonts w:eastAsia="Batang"/>
          <w:lang w:val="en-US"/>
        </w:rPr>
        <w:t xml:space="preserve"> right to freedom of expression</w:t>
      </w:r>
      <w:r w:rsidR="00E77520" w:rsidRPr="002E60EB">
        <w:rPr>
          <w:rFonts w:eastAsia="Batang"/>
          <w:lang w:val="en-US"/>
        </w:rPr>
        <w:t xml:space="preserve"> when he was working as a cameraman coverin</w:t>
      </w:r>
      <w:r w:rsidR="00EE0D2E" w:rsidRPr="002E60EB">
        <w:rPr>
          <w:rFonts w:eastAsia="Batang"/>
          <w:lang w:val="en-US"/>
        </w:rPr>
        <w:t>g a new item of public interest.</w:t>
      </w:r>
    </w:p>
    <w:p w:rsidR="00E77520" w:rsidRPr="002E60EB" w:rsidRDefault="00E77520" w:rsidP="00E77520">
      <w:pPr>
        <w:pStyle w:val="Prrafodelista"/>
        <w:rPr>
          <w:sz w:val="20"/>
          <w:szCs w:val="20"/>
          <w:lang w:val="en-US"/>
        </w:rPr>
      </w:pPr>
    </w:p>
    <w:p w:rsidR="00E15BBF" w:rsidRPr="002E60EB" w:rsidRDefault="0006086C" w:rsidP="0006086C">
      <w:pPr>
        <w:numPr>
          <w:ilvl w:val="0"/>
          <w:numId w:val="1"/>
        </w:numPr>
        <w:tabs>
          <w:tab w:val="left" w:pos="720"/>
        </w:tabs>
        <w:jc w:val="both"/>
        <w:rPr>
          <w:lang w:val="en-US"/>
        </w:rPr>
      </w:pPr>
      <w:r w:rsidRPr="002E60EB">
        <w:rPr>
          <w:rFonts w:eastAsia="Batang"/>
          <w:lang w:val="en-US"/>
        </w:rPr>
        <w:t xml:space="preserve">The </w:t>
      </w:r>
      <w:r w:rsidR="00E15BBF" w:rsidRPr="002E60EB">
        <w:rPr>
          <w:rFonts w:eastAsia="Batang"/>
          <w:lang w:val="en-US"/>
        </w:rPr>
        <w:t xml:space="preserve">State should have undertaken </w:t>
      </w:r>
      <w:r w:rsidR="00EE0D2E" w:rsidRPr="002E60EB">
        <w:rPr>
          <w:rFonts w:eastAsia="Batang"/>
          <w:lang w:val="en-US"/>
        </w:rPr>
        <w:t xml:space="preserve">the </w:t>
      </w:r>
      <w:r w:rsidRPr="002E60EB">
        <w:rPr>
          <w:rFonts w:eastAsia="Batang"/>
          <w:lang w:val="en-US"/>
        </w:rPr>
        <w:t>compliance with its</w:t>
      </w:r>
      <w:r w:rsidR="00E15BBF" w:rsidRPr="002E60EB">
        <w:rPr>
          <w:rFonts w:eastAsia="Batang"/>
          <w:lang w:val="en-US"/>
        </w:rPr>
        <w:t xml:space="preserve"> obligations </w:t>
      </w:r>
      <w:r w:rsidRPr="002E60EB">
        <w:rPr>
          <w:rFonts w:eastAsia="Batang"/>
          <w:lang w:val="en-US"/>
        </w:rPr>
        <w:t>of</w:t>
      </w:r>
      <w:r w:rsidR="00E15BBF" w:rsidRPr="002E60EB">
        <w:rPr>
          <w:rFonts w:eastAsia="Batang"/>
          <w:lang w:val="en-US"/>
        </w:rPr>
        <w:t xml:space="preserve"> investigation and protection </w:t>
      </w:r>
      <w:r w:rsidR="00EE0D2E" w:rsidRPr="002E60EB">
        <w:rPr>
          <w:rFonts w:eastAsia="Batang"/>
          <w:lang w:val="en-US"/>
        </w:rPr>
        <w:t>taking</w:t>
      </w:r>
      <w:r w:rsidR="00E15BBF" w:rsidRPr="002E60EB">
        <w:rPr>
          <w:rFonts w:eastAsia="Batang"/>
          <w:lang w:val="en-US"/>
        </w:rPr>
        <w:t xml:space="preserve"> into account the reasonable connection between the attack motivated by the exercise of freedom of expression </w:t>
      </w:r>
      <w:r w:rsidRPr="002E60EB">
        <w:rPr>
          <w:rFonts w:eastAsia="Batang"/>
          <w:lang w:val="en-US"/>
        </w:rPr>
        <w:t>(</w:t>
      </w:r>
      <w:r w:rsidRPr="002E60EB">
        <w:rPr>
          <w:rFonts w:eastAsia="Batang"/>
          <w:i/>
          <w:lang w:val="en-US"/>
        </w:rPr>
        <w:t>supra</w:t>
      </w:r>
      <w:r w:rsidRPr="002E60EB">
        <w:rPr>
          <w:rFonts w:eastAsia="Batang"/>
          <w:lang w:val="en-US"/>
        </w:rPr>
        <w:t xml:space="preserve"> paras. 78 to 81) </w:t>
      </w:r>
      <w:r w:rsidR="00E15BBF" w:rsidRPr="002E60EB">
        <w:rPr>
          <w:rFonts w:eastAsia="Batang"/>
          <w:lang w:val="en-US"/>
        </w:rPr>
        <w:t>and the subsequent threats and harassment that escalated into an attempted depr</w:t>
      </w:r>
      <w:r w:rsidRPr="002E60EB">
        <w:rPr>
          <w:rFonts w:eastAsia="Batang"/>
          <w:lang w:val="en-US"/>
        </w:rPr>
        <w:t xml:space="preserve">ivation of liberty. The </w:t>
      </w:r>
      <w:r w:rsidR="00E15BBF" w:rsidRPr="002E60EB">
        <w:rPr>
          <w:rFonts w:eastAsia="Batang"/>
          <w:lang w:val="en-US"/>
        </w:rPr>
        <w:t xml:space="preserve">failure to comply with these obligations </w:t>
      </w:r>
      <w:r w:rsidRPr="002E60EB">
        <w:rPr>
          <w:rFonts w:eastAsia="Batang"/>
          <w:lang w:val="en-US"/>
        </w:rPr>
        <w:t>meant</w:t>
      </w:r>
      <w:r w:rsidR="00E15BBF" w:rsidRPr="002E60EB">
        <w:rPr>
          <w:rFonts w:eastAsia="Batang"/>
          <w:lang w:val="en-US"/>
        </w:rPr>
        <w:t xml:space="preserve">, </w:t>
      </w:r>
      <w:r w:rsidRPr="002E60EB">
        <w:rPr>
          <w:rFonts w:eastAsia="Batang"/>
          <w:lang w:val="en-US"/>
        </w:rPr>
        <w:t>first</w:t>
      </w:r>
      <w:r w:rsidR="00E15BBF" w:rsidRPr="002E60EB">
        <w:rPr>
          <w:rFonts w:eastAsia="Batang"/>
          <w:lang w:val="en-US"/>
        </w:rPr>
        <w:t xml:space="preserve">, that the attack motivated by </w:t>
      </w:r>
      <w:r w:rsidRPr="002E60EB">
        <w:rPr>
          <w:rFonts w:eastAsia="Batang"/>
          <w:lang w:val="en-US"/>
        </w:rPr>
        <w:t>the</w:t>
      </w:r>
      <w:r w:rsidR="00E15BBF" w:rsidRPr="002E60EB">
        <w:rPr>
          <w:rFonts w:eastAsia="Batang"/>
          <w:lang w:val="en-US"/>
        </w:rPr>
        <w:t xml:space="preserve"> prevent</w:t>
      </w:r>
      <w:r w:rsidRPr="002E60EB">
        <w:rPr>
          <w:rFonts w:eastAsia="Batang"/>
          <w:lang w:val="en-US"/>
        </w:rPr>
        <w:t>ion of</w:t>
      </w:r>
      <w:r w:rsidR="00E15BBF" w:rsidRPr="002E60EB">
        <w:rPr>
          <w:rFonts w:eastAsia="Batang"/>
          <w:lang w:val="en-US"/>
        </w:rPr>
        <w:t xml:space="preserve"> the exercise of freedom of expression of the journalist Vélez Res</w:t>
      </w:r>
      <w:r w:rsidRPr="002E60EB">
        <w:rPr>
          <w:rFonts w:eastAsia="Batang"/>
          <w:lang w:val="en-US"/>
        </w:rPr>
        <w:t>trepo went</w:t>
      </w:r>
      <w:r w:rsidR="00E15BBF" w:rsidRPr="002E60EB">
        <w:rPr>
          <w:rFonts w:eastAsia="Batang"/>
          <w:lang w:val="en-US"/>
        </w:rPr>
        <w:t xml:space="preserve"> unpunished, and</w:t>
      </w:r>
      <w:r w:rsidR="00EE0D2E" w:rsidRPr="002E60EB">
        <w:rPr>
          <w:rFonts w:eastAsia="Batang"/>
          <w:lang w:val="en-US"/>
        </w:rPr>
        <w:t xml:space="preserve"> then</w:t>
      </w:r>
      <w:r w:rsidR="00E15BBF" w:rsidRPr="002E60EB">
        <w:rPr>
          <w:rFonts w:eastAsia="Batang"/>
          <w:lang w:val="en-US"/>
        </w:rPr>
        <w:t xml:space="preserve"> that the subsequent threats aimed at ensuring </w:t>
      </w:r>
      <w:r w:rsidRPr="002E60EB">
        <w:rPr>
          <w:rFonts w:eastAsia="Batang"/>
          <w:lang w:val="en-US"/>
        </w:rPr>
        <w:t>that the attack was not investigated went</w:t>
      </w:r>
      <w:r w:rsidR="00E15BBF" w:rsidRPr="002E60EB">
        <w:rPr>
          <w:rFonts w:eastAsia="Batang"/>
          <w:lang w:val="en-US"/>
        </w:rPr>
        <w:t xml:space="preserve"> unpunished. </w:t>
      </w:r>
      <w:r w:rsidR="000F3982" w:rsidRPr="002E60EB">
        <w:rPr>
          <w:rFonts w:eastAsia="Batang"/>
          <w:lang w:val="en-US"/>
        </w:rPr>
        <w:t>In addition</w:t>
      </w:r>
      <w:r w:rsidRPr="002E60EB">
        <w:rPr>
          <w:rFonts w:eastAsia="Batang"/>
          <w:lang w:val="en-US"/>
        </w:rPr>
        <w:t>, it</w:t>
      </w:r>
      <w:r w:rsidR="00E15BBF" w:rsidRPr="002E60EB">
        <w:rPr>
          <w:rFonts w:eastAsia="Batang"/>
          <w:lang w:val="en-US"/>
        </w:rPr>
        <w:t xml:space="preserve"> </w:t>
      </w:r>
      <w:r w:rsidRPr="002E60EB">
        <w:rPr>
          <w:rFonts w:eastAsia="Batang"/>
          <w:lang w:val="en-US"/>
        </w:rPr>
        <w:t>meant that</w:t>
      </w:r>
      <w:r w:rsidR="00E15BBF" w:rsidRPr="002E60EB">
        <w:rPr>
          <w:rFonts w:eastAsia="Batang"/>
          <w:lang w:val="en-US"/>
        </w:rPr>
        <w:t xml:space="preserve"> the State </w:t>
      </w:r>
      <w:r w:rsidRPr="002E60EB">
        <w:rPr>
          <w:rFonts w:eastAsia="Batang"/>
          <w:lang w:val="en-US"/>
        </w:rPr>
        <w:t xml:space="preserve">did not create the conditions </w:t>
      </w:r>
      <w:r w:rsidR="00E15BBF" w:rsidRPr="002E60EB">
        <w:rPr>
          <w:rFonts w:eastAsia="Batang"/>
          <w:lang w:val="en-US"/>
        </w:rPr>
        <w:t>or the due guarantees to protect the integrity of Mr. Vé</w:t>
      </w:r>
      <w:r w:rsidRPr="002E60EB">
        <w:rPr>
          <w:rFonts w:eastAsia="Batang"/>
          <w:lang w:val="en-US"/>
        </w:rPr>
        <w:t xml:space="preserve">lez Restrepo, which signified that, as a result of </w:t>
      </w:r>
      <w:r w:rsidR="00E15BBF" w:rsidRPr="002E60EB">
        <w:rPr>
          <w:rFonts w:eastAsia="Batang"/>
          <w:lang w:val="en-US"/>
        </w:rPr>
        <w:t xml:space="preserve">the attempted deprivation of liberty of which he was a victim, </w:t>
      </w:r>
      <w:r w:rsidRPr="002E60EB">
        <w:rPr>
          <w:rFonts w:eastAsia="Batang"/>
          <w:lang w:val="en-US"/>
        </w:rPr>
        <w:t>he was obliged to leave</w:t>
      </w:r>
      <w:r w:rsidR="00E15BBF" w:rsidRPr="002E60EB">
        <w:rPr>
          <w:rFonts w:eastAsia="Batang"/>
          <w:lang w:val="en-US"/>
        </w:rPr>
        <w:t xml:space="preserve"> Colombia and </w:t>
      </w:r>
      <w:r w:rsidRPr="002E60EB">
        <w:rPr>
          <w:rFonts w:eastAsia="Batang"/>
          <w:lang w:val="en-US"/>
        </w:rPr>
        <w:t>to seek</w:t>
      </w:r>
      <w:r w:rsidR="00E15BBF" w:rsidRPr="002E60EB">
        <w:rPr>
          <w:rFonts w:eastAsia="Batang"/>
          <w:lang w:val="en-US"/>
        </w:rPr>
        <w:t xml:space="preserve"> asylum in the United States</w:t>
      </w:r>
      <w:r w:rsidRPr="002E60EB">
        <w:rPr>
          <w:rFonts w:eastAsia="Batang"/>
          <w:lang w:val="en-US"/>
        </w:rPr>
        <w:t xml:space="preserve"> of America, where his journalistic activities that entailed </w:t>
      </w:r>
      <w:r w:rsidR="00E15BBF" w:rsidRPr="002E60EB">
        <w:rPr>
          <w:rFonts w:eastAsia="Batang"/>
          <w:lang w:val="en-US"/>
        </w:rPr>
        <w:t>seeking, receiving and imparting information</w:t>
      </w:r>
      <w:r w:rsidRPr="002E60EB">
        <w:rPr>
          <w:rStyle w:val="Refdenotaalpie"/>
          <w:rFonts w:eastAsia="Batang"/>
          <w:lang w:val="en-US"/>
        </w:rPr>
        <w:footnoteReference w:id="204"/>
      </w:r>
      <w:r w:rsidR="00E15BBF" w:rsidRPr="002E60EB">
        <w:rPr>
          <w:rFonts w:eastAsia="Batang"/>
          <w:lang w:val="en-US"/>
        </w:rPr>
        <w:t xml:space="preserve"> were restricted and could not be exercised</w:t>
      </w:r>
      <w:r w:rsidRPr="002E60EB">
        <w:rPr>
          <w:rFonts w:eastAsia="Batang"/>
          <w:lang w:val="en-US"/>
        </w:rPr>
        <w:t xml:space="preserve">, at least as he had </w:t>
      </w:r>
      <w:r w:rsidR="00EE0D2E" w:rsidRPr="002E60EB">
        <w:rPr>
          <w:rFonts w:eastAsia="Batang"/>
          <w:lang w:val="en-US"/>
        </w:rPr>
        <w:t xml:space="preserve">exercised them </w:t>
      </w:r>
      <w:r w:rsidRPr="002E60EB">
        <w:rPr>
          <w:rFonts w:eastAsia="Batang"/>
          <w:lang w:val="en-US"/>
        </w:rPr>
        <w:t>when working in Colombia for</w:t>
      </w:r>
      <w:r w:rsidR="00E15BBF" w:rsidRPr="002E60EB">
        <w:rPr>
          <w:rFonts w:eastAsia="Batang"/>
          <w:lang w:val="en-US"/>
        </w:rPr>
        <w:t xml:space="preserve"> a national news </w:t>
      </w:r>
      <w:r w:rsidRPr="002E60EB">
        <w:rPr>
          <w:rFonts w:eastAsia="Batang"/>
          <w:lang w:val="en-US"/>
        </w:rPr>
        <w:t>program.</w:t>
      </w:r>
    </w:p>
    <w:p w:rsidR="00A73612" w:rsidRPr="002E60EB" w:rsidRDefault="00A73612" w:rsidP="00A73612">
      <w:pPr>
        <w:tabs>
          <w:tab w:val="left" w:pos="720"/>
        </w:tabs>
        <w:jc w:val="both"/>
        <w:rPr>
          <w:lang w:val="en-US"/>
        </w:rPr>
      </w:pPr>
    </w:p>
    <w:p w:rsidR="00E15BBF" w:rsidRPr="002E60EB" w:rsidRDefault="00E15BBF" w:rsidP="00317748">
      <w:pPr>
        <w:numPr>
          <w:ilvl w:val="0"/>
          <w:numId w:val="1"/>
        </w:numPr>
        <w:tabs>
          <w:tab w:val="left" w:pos="720"/>
        </w:tabs>
        <w:jc w:val="both"/>
        <w:rPr>
          <w:lang w:val="en-US"/>
        </w:rPr>
      </w:pPr>
      <w:r w:rsidRPr="002E60EB">
        <w:rPr>
          <w:lang w:val="en-US"/>
        </w:rPr>
        <w:t>In this case, the Court considers that the impunity for the attack of August 29, 1996</w:t>
      </w:r>
      <w:r w:rsidR="00A664DA" w:rsidRPr="002E60EB">
        <w:rPr>
          <w:lang w:val="en-US"/>
        </w:rPr>
        <w:t>,</w:t>
      </w:r>
      <w:r w:rsidRPr="002E60EB">
        <w:rPr>
          <w:lang w:val="en-US"/>
        </w:rPr>
        <w:t xml:space="preserve"> and for the</w:t>
      </w:r>
      <w:r w:rsidR="00A664DA" w:rsidRPr="002E60EB">
        <w:rPr>
          <w:lang w:val="en-US"/>
        </w:rPr>
        <w:t xml:space="preserve"> subsequent threats, harassment</w:t>
      </w:r>
      <w:r w:rsidRPr="002E60EB">
        <w:rPr>
          <w:lang w:val="en-US"/>
        </w:rPr>
        <w:t xml:space="preserve"> and attempted deprivation of liberty that </w:t>
      </w:r>
      <w:r w:rsidR="00A664DA" w:rsidRPr="002E60EB">
        <w:rPr>
          <w:lang w:val="en-US"/>
        </w:rPr>
        <w:t>resulted in</w:t>
      </w:r>
      <w:r w:rsidRPr="002E60EB">
        <w:rPr>
          <w:lang w:val="en-US"/>
        </w:rPr>
        <w:t xml:space="preserve"> the exile of journalist Vélez</w:t>
      </w:r>
      <w:r w:rsidR="00A664DA" w:rsidRPr="002E60EB">
        <w:rPr>
          <w:lang w:val="en-US"/>
        </w:rPr>
        <w:t xml:space="preserve"> Restrepo we</w:t>
      </w:r>
      <w:r w:rsidRPr="002E60EB">
        <w:rPr>
          <w:lang w:val="en-US"/>
        </w:rPr>
        <w:t xml:space="preserve">re </w:t>
      </w:r>
      <w:r w:rsidR="00A664DA" w:rsidRPr="002E60EB">
        <w:rPr>
          <w:lang w:val="en-US"/>
        </w:rPr>
        <w:t>especially</w:t>
      </w:r>
      <w:r w:rsidRPr="002E60EB">
        <w:rPr>
          <w:lang w:val="en-US"/>
        </w:rPr>
        <w:t xml:space="preserve"> serious given the </w:t>
      </w:r>
      <w:r w:rsidR="00A73612" w:rsidRPr="002E60EB">
        <w:rPr>
          <w:lang w:val="en-US"/>
        </w:rPr>
        <w:t>intimidating</w:t>
      </w:r>
      <w:r w:rsidRPr="002E60EB">
        <w:rPr>
          <w:lang w:val="en-US"/>
        </w:rPr>
        <w:t xml:space="preserve"> effect </w:t>
      </w:r>
      <w:r w:rsidR="00A73612" w:rsidRPr="002E60EB">
        <w:rPr>
          <w:lang w:val="en-US"/>
        </w:rPr>
        <w:t>they could have</w:t>
      </w:r>
      <w:r w:rsidRPr="002E60EB">
        <w:rPr>
          <w:lang w:val="en-US"/>
        </w:rPr>
        <w:t xml:space="preserve"> on other journalists </w:t>
      </w:r>
      <w:r w:rsidR="00A73612" w:rsidRPr="002E60EB">
        <w:rPr>
          <w:lang w:val="en-US"/>
        </w:rPr>
        <w:t>who cover news of public interest,</w:t>
      </w:r>
      <w:r w:rsidRPr="002E60EB">
        <w:rPr>
          <w:lang w:val="en-US"/>
        </w:rPr>
        <w:t xml:space="preserve"> which affects the information that is ultimately received by </w:t>
      </w:r>
      <w:r w:rsidR="00A73612" w:rsidRPr="002E60EB">
        <w:rPr>
          <w:lang w:val="en-US"/>
        </w:rPr>
        <w:t xml:space="preserve">the </w:t>
      </w:r>
      <w:r w:rsidRPr="002E60EB">
        <w:rPr>
          <w:lang w:val="en-US"/>
        </w:rPr>
        <w:t xml:space="preserve">members of society. </w:t>
      </w:r>
      <w:r w:rsidR="00A73612" w:rsidRPr="002E60EB">
        <w:rPr>
          <w:lang w:val="en-US"/>
        </w:rPr>
        <w:t>The</w:t>
      </w:r>
      <w:r w:rsidRPr="002E60EB">
        <w:rPr>
          <w:lang w:val="en-US"/>
        </w:rPr>
        <w:t xml:space="preserve"> body of evidence </w:t>
      </w:r>
      <w:r w:rsidR="00A73612" w:rsidRPr="002E60EB">
        <w:rPr>
          <w:lang w:val="en-US"/>
        </w:rPr>
        <w:t>contains</w:t>
      </w:r>
      <w:r w:rsidRPr="002E60EB">
        <w:rPr>
          <w:lang w:val="en-US"/>
        </w:rPr>
        <w:t xml:space="preserve"> evidence</w:t>
      </w:r>
      <w:r w:rsidR="00A73612" w:rsidRPr="002E60EB">
        <w:rPr>
          <w:lang w:val="en-US"/>
        </w:rPr>
        <w:t xml:space="preserve"> showing</w:t>
      </w:r>
      <w:r w:rsidRPr="002E60EB">
        <w:rPr>
          <w:lang w:val="en-US"/>
        </w:rPr>
        <w:t xml:space="preserve"> the broad coverage</w:t>
      </w:r>
      <w:r w:rsidR="00A73612" w:rsidRPr="002E60EB">
        <w:rPr>
          <w:lang w:val="en-US"/>
        </w:rPr>
        <w:t xml:space="preserve"> given by the media to the attack</w:t>
      </w:r>
      <w:r w:rsidRPr="002E60EB">
        <w:rPr>
          <w:lang w:val="en-US"/>
        </w:rPr>
        <w:t xml:space="preserve"> </w:t>
      </w:r>
      <w:r w:rsidR="00A73612" w:rsidRPr="002E60EB">
        <w:rPr>
          <w:lang w:val="en-US"/>
        </w:rPr>
        <w:t xml:space="preserve">by </w:t>
      </w:r>
      <w:r w:rsidR="00334C3C" w:rsidRPr="002E60EB">
        <w:rPr>
          <w:lang w:val="en-US"/>
        </w:rPr>
        <w:t>soldiers</w:t>
      </w:r>
      <w:r w:rsidR="00A73612" w:rsidRPr="002E60EB">
        <w:rPr>
          <w:lang w:val="en-US"/>
        </w:rPr>
        <w:t xml:space="preserve"> on August 29, 1996, and also </w:t>
      </w:r>
      <w:r w:rsidR="00EE0D2E" w:rsidRPr="002E60EB">
        <w:rPr>
          <w:lang w:val="en-US"/>
        </w:rPr>
        <w:t xml:space="preserve">to </w:t>
      </w:r>
      <w:r w:rsidR="00A73612" w:rsidRPr="002E60EB">
        <w:rPr>
          <w:lang w:val="en-US"/>
        </w:rPr>
        <w:t xml:space="preserve">Mr. Vélez Restrepo’s subsequent departure </w:t>
      </w:r>
      <w:r w:rsidRPr="002E60EB">
        <w:rPr>
          <w:lang w:val="en-US"/>
        </w:rPr>
        <w:t>from the country on October 9, 1997</w:t>
      </w:r>
      <w:r w:rsidR="00A73612" w:rsidRPr="002E60EB">
        <w:rPr>
          <w:lang w:val="en-US"/>
        </w:rPr>
        <w:t xml:space="preserve"> (</w:t>
      </w:r>
      <w:r w:rsidR="00A73612" w:rsidRPr="002E60EB">
        <w:rPr>
          <w:i/>
          <w:lang w:val="en-US"/>
        </w:rPr>
        <w:t>supra</w:t>
      </w:r>
      <w:r w:rsidR="00A73612" w:rsidRPr="002E60EB">
        <w:rPr>
          <w:lang w:val="en-US"/>
        </w:rPr>
        <w:t xml:space="preserve"> paras. 81 and 96). The Court considers t</w:t>
      </w:r>
      <w:r w:rsidRPr="002E60EB">
        <w:rPr>
          <w:lang w:val="en-US"/>
        </w:rPr>
        <w:t>h</w:t>
      </w:r>
      <w:r w:rsidR="00A73612" w:rsidRPr="002E60EB">
        <w:rPr>
          <w:lang w:val="en-US"/>
        </w:rPr>
        <w:t>a</w:t>
      </w:r>
      <w:r w:rsidRPr="002E60EB">
        <w:rPr>
          <w:lang w:val="en-US"/>
        </w:rPr>
        <w:t xml:space="preserve">t, given the impunity </w:t>
      </w:r>
      <w:r w:rsidR="00A73612" w:rsidRPr="002E60EB">
        <w:rPr>
          <w:lang w:val="en-US"/>
        </w:rPr>
        <w:t>of these facts</w:t>
      </w:r>
      <w:r w:rsidRPr="002E60EB">
        <w:rPr>
          <w:lang w:val="en-US"/>
        </w:rPr>
        <w:t>, bot</w:t>
      </w:r>
      <w:r w:rsidR="00EE0D2E" w:rsidRPr="002E60EB">
        <w:rPr>
          <w:lang w:val="en-US"/>
        </w:rPr>
        <w:t>h</w:t>
      </w:r>
      <w:r w:rsidRPr="002E60EB">
        <w:rPr>
          <w:lang w:val="en-US"/>
        </w:rPr>
        <w:t xml:space="preserve"> Mr. Vélez Restrepo and other journalists could reasonably fear that this </w:t>
      </w:r>
      <w:r w:rsidR="00A73612" w:rsidRPr="002E60EB">
        <w:rPr>
          <w:lang w:val="en-US"/>
        </w:rPr>
        <w:t>type of human r</w:t>
      </w:r>
      <w:r w:rsidRPr="002E60EB">
        <w:rPr>
          <w:lang w:val="en-US"/>
        </w:rPr>
        <w:t xml:space="preserve">ights violation </w:t>
      </w:r>
      <w:r w:rsidR="00EE0D2E" w:rsidRPr="002E60EB">
        <w:rPr>
          <w:lang w:val="en-US"/>
        </w:rPr>
        <w:t>might</w:t>
      </w:r>
      <w:r w:rsidR="00A73612" w:rsidRPr="002E60EB">
        <w:rPr>
          <w:lang w:val="en-US"/>
        </w:rPr>
        <w:t xml:space="preserve"> </w:t>
      </w:r>
      <w:r w:rsidRPr="002E60EB">
        <w:rPr>
          <w:lang w:val="en-US"/>
        </w:rPr>
        <w:t xml:space="preserve">be repeated, </w:t>
      </w:r>
      <w:r w:rsidR="00EE0D2E" w:rsidRPr="002E60EB">
        <w:rPr>
          <w:lang w:val="en-US"/>
        </w:rPr>
        <w:t>and this</w:t>
      </w:r>
      <w:r w:rsidRPr="002E60EB">
        <w:rPr>
          <w:lang w:val="en-US"/>
        </w:rPr>
        <w:t xml:space="preserve"> could </w:t>
      </w:r>
      <w:r w:rsidR="00EE0D2E" w:rsidRPr="002E60EB">
        <w:rPr>
          <w:lang w:val="en-US"/>
        </w:rPr>
        <w:t>lead to</w:t>
      </w:r>
      <w:r w:rsidR="00A73612" w:rsidRPr="002E60EB">
        <w:rPr>
          <w:lang w:val="en-US"/>
        </w:rPr>
        <w:t xml:space="preserve"> self-c</w:t>
      </w:r>
      <w:r w:rsidRPr="002E60EB">
        <w:rPr>
          <w:lang w:val="en-US"/>
        </w:rPr>
        <w:t xml:space="preserve">ensorship of </w:t>
      </w:r>
      <w:r w:rsidR="00A73612" w:rsidRPr="002E60EB">
        <w:rPr>
          <w:lang w:val="en-US"/>
        </w:rPr>
        <w:t xml:space="preserve">their </w:t>
      </w:r>
      <w:r w:rsidRPr="002E60EB">
        <w:rPr>
          <w:lang w:val="en-US"/>
        </w:rPr>
        <w:t>work</w:t>
      </w:r>
      <w:r w:rsidR="00EE0D2E" w:rsidRPr="002E60EB">
        <w:rPr>
          <w:lang w:val="en-US"/>
        </w:rPr>
        <w:t>;</w:t>
      </w:r>
      <w:r w:rsidR="00A73612" w:rsidRPr="002E60EB">
        <w:rPr>
          <w:rStyle w:val="Refdenotaalpie"/>
          <w:lang w:val="en-US"/>
        </w:rPr>
        <w:footnoteReference w:id="205"/>
      </w:r>
      <w:r w:rsidR="00A73612" w:rsidRPr="002E60EB">
        <w:rPr>
          <w:lang w:val="en-US"/>
        </w:rPr>
        <w:t xml:space="preserve"> for example, as regards the type of news covered,</w:t>
      </w:r>
      <w:r w:rsidRPr="002E60EB">
        <w:rPr>
          <w:lang w:val="en-US"/>
        </w:rPr>
        <w:t xml:space="preserve"> the way the </w:t>
      </w:r>
      <w:r w:rsidR="00A73612" w:rsidRPr="002E60EB">
        <w:rPr>
          <w:lang w:val="en-US"/>
        </w:rPr>
        <w:t>information is obtained, and</w:t>
      </w:r>
      <w:r w:rsidRPr="002E60EB">
        <w:rPr>
          <w:lang w:val="en-US"/>
        </w:rPr>
        <w:t xml:space="preserve"> the decision to </w:t>
      </w:r>
      <w:r w:rsidR="00A73612" w:rsidRPr="002E60EB">
        <w:rPr>
          <w:lang w:val="en-US"/>
        </w:rPr>
        <w:t>disseminate it.</w:t>
      </w:r>
    </w:p>
    <w:p w:rsidR="00A73612" w:rsidRPr="002E60EB" w:rsidRDefault="00A73612" w:rsidP="00A73612">
      <w:pPr>
        <w:tabs>
          <w:tab w:val="left" w:pos="720"/>
        </w:tabs>
        <w:jc w:val="both"/>
        <w:rPr>
          <w:lang w:val="en-US"/>
        </w:rPr>
      </w:pPr>
    </w:p>
    <w:p w:rsidR="00E15BBF" w:rsidRPr="002E60EB" w:rsidRDefault="00E15BBF" w:rsidP="00317748">
      <w:pPr>
        <w:numPr>
          <w:ilvl w:val="0"/>
          <w:numId w:val="1"/>
        </w:numPr>
        <w:tabs>
          <w:tab w:val="left" w:pos="720"/>
        </w:tabs>
        <w:jc w:val="both"/>
        <w:rPr>
          <w:lang w:val="en-US"/>
        </w:rPr>
      </w:pPr>
      <w:r w:rsidRPr="002E60EB">
        <w:rPr>
          <w:lang w:val="en-US"/>
        </w:rPr>
        <w:t xml:space="preserve">Regarding the alleged violation of Article 11 of the Convention, the arguments </w:t>
      </w:r>
      <w:r w:rsidR="00A73612" w:rsidRPr="002E60EB">
        <w:rPr>
          <w:lang w:val="en-US"/>
        </w:rPr>
        <w:t>submitted</w:t>
      </w:r>
      <w:r w:rsidRPr="002E60EB">
        <w:rPr>
          <w:lang w:val="en-US"/>
        </w:rPr>
        <w:t xml:space="preserve"> by the representative</w:t>
      </w:r>
      <w:r w:rsidRPr="002E60EB">
        <w:rPr>
          <w:rStyle w:val="Refdenotaalpie"/>
          <w:lang w:val="en-US"/>
        </w:rPr>
        <w:footnoteReference w:id="206"/>
      </w:r>
      <w:r w:rsidRPr="002E60EB">
        <w:rPr>
          <w:lang w:val="en-US"/>
        </w:rPr>
        <w:t xml:space="preserve"> </w:t>
      </w:r>
      <w:r w:rsidR="00A73612" w:rsidRPr="002E60EB">
        <w:rPr>
          <w:lang w:val="en-US"/>
        </w:rPr>
        <w:t xml:space="preserve">concerning the fact </w:t>
      </w:r>
      <w:r w:rsidRPr="002E60EB">
        <w:rPr>
          <w:lang w:val="en-US"/>
        </w:rPr>
        <w:t xml:space="preserve">that Mr. Vélez Restrepo had to </w:t>
      </w:r>
      <w:r w:rsidR="00A73612" w:rsidRPr="002E60EB">
        <w:rPr>
          <w:lang w:val="en-US"/>
        </w:rPr>
        <w:t>abstain</w:t>
      </w:r>
      <w:r w:rsidRPr="002E60EB">
        <w:rPr>
          <w:lang w:val="en-US"/>
        </w:rPr>
        <w:t xml:space="preserve"> from journalism due to his asylum in the United States</w:t>
      </w:r>
      <w:r w:rsidR="00A73612" w:rsidRPr="002E60EB">
        <w:rPr>
          <w:lang w:val="en-US"/>
        </w:rPr>
        <w:t xml:space="preserve"> of America</w:t>
      </w:r>
      <w:r w:rsidR="00F13469" w:rsidRPr="002E60EB">
        <w:rPr>
          <w:lang w:val="en-US"/>
        </w:rPr>
        <w:t xml:space="preserve">, </w:t>
      </w:r>
      <w:r w:rsidRPr="002E60EB">
        <w:rPr>
          <w:lang w:val="en-US"/>
        </w:rPr>
        <w:t>were taken into account by Court</w:t>
      </w:r>
      <w:r w:rsidR="00A73612" w:rsidRPr="002E60EB">
        <w:rPr>
          <w:lang w:val="en-US"/>
        </w:rPr>
        <w:t xml:space="preserve"> when ruling on</w:t>
      </w:r>
      <w:r w:rsidRPr="002E60EB">
        <w:rPr>
          <w:lang w:val="en-US"/>
        </w:rPr>
        <w:t xml:space="preserve"> the alleged </w:t>
      </w:r>
      <w:r w:rsidR="00A73612" w:rsidRPr="002E60EB">
        <w:rPr>
          <w:lang w:val="en-US"/>
        </w:rPr>
        <w:t xml:space="preserve">additional </w:t>
      </w:r>
      <w:r w:rsidRPr="002E60EB">
        <w:rPr>
          <w:lang w:val="en-US"/>
        </w:rPr>
        <w:t>violation of the right to freedom of expression</w:t>
      </w:r>
      <w:r w:rsidR="00A73612" w:rsidRPr="002E60EB">
        <w:rPr>
          <w:lang w:val="en-US"/>
        </w:rPr>
        <w:t xml:space="preserve"> in this section</w:t>
      </w:r>
      <w:r w:rsidRPr="002E60EB">
        <w:rPr>
          <w:lang w:val="en-US"/>
        </w:rPr>
        <w:t>.</w:t>
      </w:r>
      <w:r w:rsidR="00EE0D2E" w:rsidRPr="002E60EB">
        <w:rPr>
          <w:lang w:val="en-US"/>
        </w:rPr>
        <w:t xml:space="preserve"> </w:t>
      </w:r>
    </w:p>
    <w:p w:rsidR="007D185A" w:rsidRPr="002E60EB" w:rsidRDefault="007D185A" w:rsidP="007D185A">
      <w:pPr>
        <w:pStyle w:val="Prrafodelista"/>
        <w:rPr>
          <w:sz w:val="20"/>
          <w:szCs w:val="20"/>
          <w:lang w:val="en-US"/>
        </w:rPr>
      </w:pPr>
    </w:p>
    <w:p w:rsidR="00F13469" w:rsidRPr="002E60EB" w:rsidRDefault="00A73612" w:rsidP="007D185A">
      <w:pPr>
        <w:numPr>
          <w:ilvl w:val="0"/>
          <w:numId w:val="1"/>
        </w:numPr>
        <w:tabs>
          <w:tab w:val="left" w:pos="720"/>
        </w:tabs>
        <w:jc w:val="both"/>
        <w:rPr>
          <w:lang w:val="en-US"/>
        </w:rPr>
      </w:pPr>
      <w:r w:rsidRPr="002E60EB">
        <w:rPr>
          <w:lang w:val="en-US"/>
        </w:rPr>
        <w:t>Lastly, t</w:t>
      </w:r>
      <w:r w:rsidR="00E15BBF" w:rsidRPr="002E60EB">
        <w:rPr>
          <w:lang w:val="en-US"/>
        </w:rPr>
        <w:t>he Court notes</w:t>
      </w:r>
      <w:r w:rsidRPr="002E60EB">
        <w:rPr>
          <w:lang w:val="en-US"/>
        </w:rPr>
        <w:t xml:space="preserve"> that it did not consider proved</w:t>
      </w:r>
      <w:r w:rsidR="00E15BBF" w:rsidRPr="002E60EB">
        <w:rPr>
          <w:lang w:val="en-US"/>
        </w:rPr>
        <w:t xml:space="preserve"> the facts</w:t>
      </w:r>
      <w:r w:rsidRPr="002E60EB">
        <w:rPr>
          <w:lang w:val="en-US"/>
        </w:rPr>
        <w:t xml:space="preserve"> argued</w:t>
      </w:r>
      <w:r w:rsidR="00E15BBF" w:rsidRPr="002E60EB">
        <w:rPr>
          <w:lang w:val="en-US"/>
        </w:rPr>
        <w:t xml:space="preserve"> by the Commission and explained by the representative regarding the </w:t>
      </w:r>
      <w:r w:rsidR="007D185A" w:rsidRPr="002E60EB">
        <w:rPr>
          <w:lang w:val="en-US"/>
        </w:rPr>
        <w:t>supposed</w:t>
      </w:r>
      <w:r w:rsidR="00E15BBF" w:rsidRPr="002E60EB">
        <w:rPr>
          <w:lang w:val="en-US"/>
        </w:rPr>
        <w:t xml:space="preserve"> </w:t>
      </w:r>
      <w:r w:rsidR="00087093" w:rsidRPr="002E60EB">
        <w:rPr>
          <w:lang w:val="en-US"/>
        </w:rPr>
        <w:t>“</w:t>
      </w:r>
      <w:r w:rsidR="00E15BBF" w:rsidRPr="002E60EB">
        <w:rPr>
          <w:lang w:val="en-US"/>
        </w:rPr>
        <w:t>strong pressure</w:t>
      </w:r>
      <w:r w:rsidR="00087093" w:rsidRPr="002E60EB">
        <w:rPr>
          <w:lang w:val="en-US"/>
        </w:rPr>
        <w:t>”</w:t>
      </w:r>
      <w:r w:rsidR="00E15BBF" w:rsidRPr="002E60EB">
        <w:rPr>
          <w:lang w:val="en-US"/>
        </w:rPr>
        <w:t xml:space="preserve"> exerted by the </w:t>
      </w:r>
      <w:r w:rsidR="007D185A" w:rsidRPr="002E60EB">
        <w:rPr>
          <w:lang w:val="en-US"/>
        </w:rPr>
        <w:t>medium for which Mr. Vélez</w:t>
      </w:r>
      <w:r w:rsidR="00E15BBF" w:rsidRPr="002E60EB">
        <w:rPr>
          <w:lang w:val="en-US"/>
        </w:rPr>
        <w:t xml:space="preserve"> work</w:t>
      </w:r>
      <w:r w:rsidR="007D185A" w:rsidRPr="002E60EB">
        <w:rPr>
          <w:lang w:val="en-US"/>
        </w:rPr>
        <w:t>ed</w:t>
      </w:r>
      <w:r w:rsidR="00E15BBF" w:rsidRPr="002E60EB">
        <w:rPr>
          <w:lang w:val="en-US"/>
        </w:rPr>
        <w:t xml:space="preserve"> </w:t>
      </w:r>
      <w:r w:rsidR="00087093" w:rsidRPr="002E60EB">
        <w:rPr>
          <w:lang w:val="en-US"/>
        </w:rPr>
        <w:t>“</w:t>
      </w:r>
      <w:r w:rsidR="00EE0D2E" w:rsidRPr="002E60EB">
        <w:rPr>
          <w:lang w:val="en-US"/>
        </w:rPr>
        <w:t>to censor</w:t>
      </w:r>
      <w:r w:rsidR="00E15BBF" w:rsidRPr="002E60EB">
        <w:rPr>
          <w:lang w:val="en-US"/>
        </w:rPr>
        <w:t xml:space="preserve"> his work and </w:t>
      </w:r>
      <w:r w:rsidR="007D185A" w:rsidRPr="002E60EB">
        <w:rPr>
          <w:lang w:val="en-US"/>
        </w:rPr>
        <w:t>to withdraw</w:t>
      </w:r>
      <w:r w:rsidR="00E15BBF" w:rsidRPr="002E60EB">
        <w:rPr>
          <w:lang w:val="en-US"/>
        </w:rPr>
        <w:t xml:space="preserve"> his legal complaints against the Army</w:t>
      </w:r>
      <w:r w:rsidR="00087093" w:rsidRPr="002E60EB">
        <w:rPr>
          <w:lang w:val="en-US"/>
        </w:rPr>
        <w:t>”</w:t>
      </w:r>
      <w:r w:rsidR="00E15BBF" w:rsidRPr="002E60EB">
        <w:rPr>
          <w:lang w:val="en-US"/>
        </w:rPr>
        <w:t xml:space="preserve"> (</w:t>
      </w:r>
      <w:r w:rsidR="00E15BBF" w:rsidRPr="002E60EB">
        <w:rPr>
          <w:i/>
          <w:lang w:val="en-US"/>
        </w:rPr>
        <w:t xml:space="preserve">supra </w:t>
      </w:r>
      <w:r w:rsidR="007D185A" w:rsidRPr="002E60EB">
        <w:rPr>
          <w:lang w:val="en-US"/>
        </w:rPr>
        <w:t>para. 55(a)</w:t>
      </w:r>
      <w:r w:rsidR="00E15BBF" w:rsidRPr="002E60EB">
        <w:rPr>
          <w:lang w:val="en-US"/>
        </w:rPr>
        <w:t xml:space="preserve">). </w:t>
      </w:r>
      <w:r w:rsidR="007D185A" w:rsidRPr="002E60EB">
        <w:rPr>
          <w:lang w:val="en-US"/>
        </w:rPr>
        <w:t>From</w:t>
      </w:r>
      <w:r w:rsidR="00E15BBF" w:rsidRPr="002E60EB">
        <w:rPr>
          <w:lang w:val="en-US"/>
        </w:rPr>
        <w:t xml:space="preserve"> the statement </w:t>
      </w:r>
      <w:r w:rsidR="007D185A" w:rsidRPr="002E60EB">
        <w:rPr>
          <w:lang w:val="en-US"/>
        </w:rPr>
        <w:t>made</w:t>
      </w:r>
      <w:r w:rsidR="00E15BBF" w:rsidRPr="002E60EB">
        <w:rPr>
          <w:lang w:val="en-US"/>
        </w:rPr>
        <w:t xml:space="preserve"> by Mr. Vélez Restrepo before this Court, it </w:t>
      </w:r>
      <w:r w:rsidR="007D185A" w:rsidRPr="002E60EB">
        <w:rPr>
          <w:lang w:val="en-US"/>
        </w:rPr>
        <w:t xml:space="preserve">even appears </w:t>
      </w:r>
      <w:r w:rsidR="00E15BBF" w:rsidRPr="002E60EB">
        <w:rPr>
          <w:lang w:val="en-US"/>
        </w:rPr>
        <w:t xml:space="preserve">that he was </w:t>
      </w:r>
      <w:r w:rsidR="007D185A" w:rsidRPr="002E60EB">
        <w:rPr>
          <w:lang w:val="en-US"/>
        </w:rPr>
        <w:t xml:space="preserve">removed from covering news </w:t>
      </w:r>
      <w:r w:rsidR="00EE0D2E" w:rsidRPr="002E60EB">
        <w:rPr>
          <w:lang w:val="en-US"/>
        </w:rPr>
        <w:t>on</w:t>
      </w:r>
      <w:r w:rsidR="007D185A" w:rsidRPr="002E60EB">
        <w:rPr>
          <w:lang w:val="en-US"/>
        </w:rPr>
        <w:t xml:space="preserve"> </w:t>
      </w:r>
      <w:r w:rsidR="00EE0D2E" w:rsidRPr="002E60EB">
        <w:rPr>
          <w:lang w:val="en-US"/>
        </w:rPr>
        <w:t>law and order</w:t>
      </w:r>
      <w:r w:rsidR="007D185A" w:rsidRPr="002E60EB">
        <w:rPr>
          <w:lang w:val="en-US"/>
        </w:rPr>
        <w:t xml:space="preserve"> </w:t>
      </w:r>
      <w:r w:rsidR="00E15BBF" w:rsidRPr="002E60EB">
        <w:rPr>
          <w:lang w:val="en-US"/>
        </w:rPr>
        <w:t>as</w:t>
      </w:r>
      <w:r w:rsidR="007D185A" w:rsidRPr="002E60EB">
        <w:rPr>
          <w:lang w:val="en-US"/>
        </w:rPr>
        <w:t xml:space="preserve"> a measure taken by the news program</w:t>
      </w:r>
      <w:r w:rsidR="00E15BBF" w:rsidRPr="002E60EB">
        <w:rPr>
          <w:lang w:val="en-US"/>
        </w:rPr>
        <w:t xml:space="preserve"> </w:t>
      </w:r>
      <w:r w:rsidR="00EE0D2E" w:rsidRPr="002E60EB">
        <w:rPr>
          <w:lang w:val="en-US"/>
        </w:rPr>
        <w:t>to help him</w:t>
      </w:r>
      <w:r w:rsidR="00E15BBF" w:rsidRPr="002E60EB">
        <w:rPr>
          <w:lang w:val="en-US"/>
        </w:rPr>
        <w:t xml:space="preserve"> </w:t>
      </w:r>
      <w:r w:rsidR="007D185A" w:rsidRPr="002E60EB">
        <w:rPr>
          <w:lang w:val="en-US"/>
        </w:rPr>
        <w:t>recover from the impact that the attack by</w:t>
      </w:r>
      <w:r w:rsidR="00E15BBF" w:rsidRPr="002E60EB">
        <w:rPr>
          <w:lang w:val="en-US"/>
        </w:rPr>
        <w:t xml:space="preserve"> the soldiers</w:t>
      </w:r>
      <w:r w:rsidR="007D185A" w:rsidRPr="002E60EB">
        <w:rPr>
          <w:lang w:val="en-US"/>
        </w:rPr>
        <w:t xml:space="preserve"> on August 9, 1996,</w:t>
      </w:r>
      <w:r w:rsidR="00E15BBF" w:rsidRPr="002E60EB">
        <w:rPr>
          <w:lang w:val="en-US"/>
        </w:rPr>
        <w:t xml:space="preserve"> had </w:t>
      </w:r>
      <w:r w:rsidR="007D185A" w:rsidRPr="002E60EB">
        <w:rPr>
          <w:lang w:val="en-US"/>
        </w:rPr>
        <w:t xml:space="preserve">had </w:t>
      </w:r>
      <w:r w:rsidR="00E15BBF" w:rsidRPr="002E60EB">
        <w:rPr>
          <w:lang w:val="en-US"/>
        </w:rPr>
        <w:t xml:space="preserve">on him. Accordingly, the Court finds that these alleged facts are not matters that should be taken into account when </w:t>
      </w:r>
      <w:r w:rsidR="007D185A" w:rsidRPr="002E60EB">
        <w:rPr>
          <w:lang w:val="en-US"/>
        </w:rPr>
        <w:t>ruling</w:t>
      </w:r>
      <w:r w:rsidR="00E15BBF" w:rsidRPr="002E60EB">
        <w:rPr>
          <w:lang w:val="en-US"/>
        </w:rPr>
        <w:t xml:space="preserve"> on the alleged violation of the right to fre</w:t>
      </w:r>
      <w:r w:rsidR="007D185A" w:rsidRPr="002E60EB">
        <w:rPr>
          <w:lang w:val="en-US"/>
        </w:rPr>
        <w:t>edom of thought and expression.</w:t>
      </w:r>
    </w:p>
    <w:p w:rsidR="007D185A" w:rsidRPr="002E60EB" w:rsidRDefault="007D185A" w:rsidP="007D185A">
      <w:pPr>
        <w:pStyle w:val="Prrafodelista"/>
        <w:rPr>
          <w:sz w:val="20"/>
          <w:szCs w:val="20"/>
          <w:lang w:val="en-US"/>
        </w:rPr>
      </w:pPr>
    </w:p>
    <w:p w:rsidR="00E15BBF" w:rsidRPr="002E60EB" w:rsidRDefault="007D185A" w:rsidP="00317748">
      <w:pPr>
        <w:numPr>
          <w:ilvl w:val="0"/>
          <w:numId w:val="1"/>
        </w:numPr>
        <w:tabs>
          <w:tab w:val="left" w:pos="720"/>
        </w:tabs>
        <w:jc w:val="both"/>
        <w:rPr>
          <w:lang w:val="en-US"/>
        </w:rPr>
      </w:pPr>
      <w:r w:rsidRPr="002E60EB">
        <w:rPr>
          <w:lang w:val="en-US"/>
        </w:rPr>
        <w:t xml:space="preserve">Based on all the above, the </w:t>
      </w:r>
      <w:r w:rsidR="00E15BBF" w:rsidRPr="002E60EB">
        <w:rPr>
          <w:lang w:val="en-US"/>
        </w:rPr>
        <w:t xml:space="preserve">Court considers that the </w:t>
      </w:r>
      <w:r w:rsidRPr="002E60EB">
        <w:rPr>
          <w:lang w:val="en-US"/>
        </w:rPr>
        <w:t xml:space="preserve">failure to comply </w:t>
      </w:r>
      <w:r w:rsidR="00E15BBF" w:rsidRPr="002E60EB">
        <w:rPr>
          <w:lang w:val="en-US"/>
        </w:rPr>
        <w:t xml:space="preserve">with the obligation to investigate </w:t>
      </w:r>
      <w:r w:rsidRPr="002E60EB">
        <w:rPr>
          <w:lang w:val="en-US"/>
        </w:rPr>
        <w:t>the acts of violence of</w:t>
      </w:r>
      <w:r w:rsidR="00E15BBF" w:rsidRPr="002E60EB">
        <w:rPr>
          <w:lang w:val="en-US"/>
        </w:rPr>
        <w:t xml:space="preserve"> August 29, 1996, and the subsequent threats and harassment, and</w:t>
      </w:r>
      <w:r w:rsidRPr="002E60EB">
        <w:rPr>
          <w:lang w:val="en-US"/>
        </w:rPr>
        <w:t xml:space="preserve"> with</w:t>
      </w:r>
      <w:r w:rsidR="00E15BBF" w:rsidRPr="002E60EB">
        <w:rPr>
          <w:lang w:val="en-US"/>
        </w:rPr>
        <w:t xml:space="preserve"> the obligation to adopt measures of protection </w:t>
      </w:r>
      <w:r w:rsidRPr="002E60EB">
        <w:rPr>
          <w:lang w:val="en-US"/>
        </w:rPr>
        <w:t>in view of</w:t>
      </w:r>
      <w:r w:rsidR="00E15BBF" w:rsidRPr="002E60EB">
        <w:rPr>
          <w:lang w:val="en-US"/>
        </w:rPr>
        <w:t xml:space="preserve"> the </w:t>
      </w:r>
      <w:r w:rsidR="00E7159A" w:rsidRPr="002E60EB">
        <w:rPr>
          <w:lang w:val="en-US"/>
        </w:rPr>
        <w:t>threats and harassment</w:t>
      </w:r>
      <w:r w:rsidR="00E15BBF" w:rsidRPr="002E60EB">
        <w:rPr>
          <w:lang w:val="en-US"/>
        </w:rPr>
        <w:t xml:space="preserve"> </w:t>
      </w:r>
      <w:r w:rsidRPr="002E60EB">
        <w:rPr>
          <w:lang w:val="en-US"/>
        </w:rPr>
        <w:t>entailed</w:t>
      </w:r>
      <w:r w:rsidR="00E15BBF" w:rsidRPr="002E60EB">
        <w:rPr>
          <w:rFonts w:eastAsia="Batang"/>
          <w:lang w:val="en-US"/>
        </w:rPr>
        <w:t xml:space="preserve"> </w:t>
      </w:r>
      <w:r w:rsidRPr="002E60EB">
        <w:rPr>
          <w:rFonts w:eastAsia="Batang"/>
          <w:lang w:val="en-US"/>
        </w:rPr>
        <w:t xml:space="preserve">failure to comply </w:t>
      </w:r>
      <w:r w:rsidR="00E15BBF" w:rsidRPr="002E60EB">
        <w:rPr>
          <w:rFonts w:eastAsia="Batang"/>
          <w:lang w:val="en-US"/>
        </w:rPr>
        <w:t xml:space="preserve">with the obligations to respect and guarantee </w:t>
      </w:r>
      <w:r w:rsidR="00E15BBF" w:rsidRPr="002E60EB">
        <w:rPr>
          <w:lang w:val="en-US"/>
        </w:rPr>
        <w:t>the right to freedom of</w:t>
      </w:r>
      <w:r w:rsidRPr="002E60EB">
        <w:rPr>
          <w:lang w:val="en-US"/>
        </w:rPr>
        <w:t xml:space="preserve"> thought and</w:t>
      </w:r>
      <w:r w:rsidR="00E15BBF" w:rsidRPr="002E60EB">
        <w:rPr>
          <w:lang w:val="en-US"/>
        </w:rPr>
        <w:t xml:space="preserve"> expression of Mr. Vélez Restrepo,</w:t>
      </w:r>
      <w:r w:rsidRPr="002E60EB">
        <w:rPr>
          <w:lang w:val="en-US"/>
        </w:rPr>
        <w:t xml:space="preserve"> and consequently,</w:t>
      </w:r>
      <w:r w:rsidR="00E15BBF" w:rsidRPr="002E60EB">
        <w:rPr>
          <w:lang w:val="en-US"/>
        </w:rPr>
        <w:t xml:space="preserve"> the State is responsible for violating Article 13 of the American Convention, in relation to Article 1(1</w:t>
      </w:r>
      <w:r w:rsidRPr="002E60EB">
        <w:rPr>
          <w:lang w:val="en-US"/>
        </w:rPr>
        <w:t>) of this treaty.</w:t>
      </w:r>
    </w:p>
    <w:p w:rsidR="007D185A" w:rsidRPr="002E60EB" w:rsidRDefault="007D185A" w:rsidP="007D185A">
      <w:pPr>
        <w:pStyle w:val="Prrafodelista"/>
        <w:rPr>
          <w:sz w:val="20"/>
          <w:szCs w:val="20"/>
          <w:lang w:val="en-US"/>
        </w:rPr>
      </w:pPr>
    </w:p>
    <w:p w:rsidR="007D185A" w:rsidRPr="002E60EB" w:rsidRDefault="007D185A" w:rsidP="007D185A">
      <w:pPr>
        <w:pStyle w:val="Prrafodelista"/>
        <w:rPr>
          <w:sz w:val="20"/>
          <w:szCs w:val="20"/>
          <w:lang w:val="en-US"/>
        </w:rPr>
      </w:pPr>
    </w:p>
    <w:p w:rsidR="007D185A" w:rsidRPr="002E60EB" w:rsidRDefault="007D185A" w:rsidP="00317748">
      <w:pPr>
        <w:jc w:val="center"/>
        <w:rPr>
          <w:b/>
          <w:lang w:val="en-US"/>
        </w:rPr>
      </w:pPr>
      <w:r w:rsidRPr="002E60EB">
        <w:rPr>
          <w:b/>
          <w:lang w:val="en-US"/>
        </w:rPr>
        <w:t>X</w:t>
      </w:r>
    </w:p>
    <w:p w:rsidR="007D185A" w:rsidRPr="002E60EB" w:rsidRDefault="00B46938" w:rsidP="00317748">
      <w:pPr>
        <w:jc w:val="center"/>
        <w:rPr>
          <w:b/>
          <w:lang w:val="en-US"/>
        </w:rPr>
      </w:pPr>
      <w:r w:rsidRPr="002E60EB">
        <w:rPr>
          <w:b/>
          <w:lang w:val="en-US"/>
        </w:rPr>
        <w:t xml:space="preserve">RIGHT TO </w:t>
      </w:r>
      <w:r w:rsidR="007D185A" w:rsidRPr="002E60EB">
        <w:rPr>
          <w:b/>
          <w:lang w:val="en-US"/>
        </w:rPr>
        <w:t>FREEDOM OF MOVEMENT AND RESIDENCE, RIGHTS OF THE FAMILY AND RIGHTS OF THE CHILD, IN RELATION TO THE OBLIGATION TO RESPECT AND GUARANTEE THE RIGHTS</w:t>
      </w:r>
    </w:p>
    <w:p w:rsidR="007D185A" w:rsidRPr="002E60EB" w:rsidRDefault="007D185A" w:rsidP="00317748">
      <w:pPr>
        <w:jc w:val="center"/>
        <w:rPr>
          <w:b/>
          <w:lang w:val="en-US"/>
        </w:rPr>
      </w:pPr>
    </w:p>
    <w:p w:rsidR="007D185A" w:rsidRPr="002E60EB" w:rsidRDefault="007D185A" w:rsidP="00317748">
      <w:pPr>
        <w:pStyle w:val="Prrafodelista"/>
        <w:numPr>
          <w:ilvl w:val="0"/>
          <w:numId w:val="16"/>
        </w:numPr>
        <w:tabs>
          <w:tab w:val="left" w:pos="1080"/>
        </w:tabs>
        <w:ind w:left="720" w:firstLine="0"/>
        <w:jc w:val="both"/>
        <w:rPr>
          <w:i/>
          <w:sz w:val="20"/>
          <w:szCs w:val="20"/>
          <w:lang w:val="en-US"/>
        </w:rPr>
      </w:pPr>
      <w:r w:rsidRPr="002E60EB">
        <w:rPr>
          <w:i/>
          <w:sz w:val="20"/>
          <w:szCs w:val="20"/>
          <w:lang w:val="en-US"/>
        </w:rPr>
        <w:t>Observations of the Commission and arguments of the parties</w:t>
      </w:r>
    </w:p>
    <w:p w:rsidR="007D185A" w:rsidRPr="002E60EB" w:rsidRDefault="007D185A" w:rsidP="007D185A">
      <w:pPr>
        <w:pStyle w:val="Prrafodelista"/>
        <w:rPr>
          <w:sz w:val="20"/>
          <w:szCs w:val="20"/>
          <w:lang w:val="en-US"/>
        </w:rPr>
      </w:pPr>
    </w:p>
    <w:p w:rsidR="004E7E70" w:rsidRPr="002E60EB" w:rsidRDefault="007D185A" w:rsidP="00317748">
      <w:pPr>
        <w:numPr>
          <w:ilvl w:val="0"/>
          <w:numId w:val="1"/>
        </w:numPr>
        <w:tabs>
          <w:tab w:val="left" w:pos="720"/>
        </w:tabs>
        <w:jc w:val="both"/>
        <w:rPr>
          <w:lang w:val="en-US"/>
        </w:rPr>
      </w:pPr>
      <w:r w:rsidRPr="002E60EB">
        <w:rPr>
          <w:lang w:val="en-US"/>
        </w:rPr>
        <w:t xml:space="preserve">The Commission </w:t>
      </w:r>
      <w:r w:rsidR="004E7E70" w:rsidRPr="002E60EB">
        <w:rPr>
          <w:lang w:val="en-US"/>
        </w:rPr>
        <w:t xml:space="preserve">indicated </w:t>
      </w:r>
      <w:r w:rsidRPr="002E60EB">
        <w:rPr>
          <w:lang w:val="en-US"/>
        </w:rPr>
        <w:t xml:space="preserve">that, </w:t>
      </w:r>
      <w:r w:rsidR="004E7E70" w:rsidRPr="002E60EB">
        <w:rPr>
          <w:lang w:val="en-US"/>
        </w:rPr>
        <w:t>since</w:t>
      </w:r>
      <w:r w:rsidRPr="002E60EB">
        <w:rPr>
          <w:lang w:val="en-US"/>
        </w:rPr>
        <w:t xml:space="preserve"> the State</w:t>
      </w:r>
      <w:r w:rsidR="004E7E70" w:rsidRPr="002E60EB">
        <w:rPr>
          <w:lang w:val="en-US"/>
        </w:rPr>
        <w:t xml:space="preserve"> had</w:t>
      </w:r>
      <w:r w:rsidRPr="002E60EB">
        <w:rPr>
          <w:lang w:val="en-US"/>
        </w:rPr>
        <w:t xml:space="preserve"> incurre</w:t>
      </w:r>
      <w:r w:rsidR="004E7E70" w:rsidRPr="002E60EB">
        <w:rPr>
          <w:lang w:val="en-US"/>
        </w:rPr>
        <w:t>d</w:t>
      </w:r>
      <w:r w:rsidRPr="002E60EB">
        <w:rPr>
          <w:lang w:val="en-US"/>
        </w:rPr>
        <w:t xml:space="preserve"> direct responsibility for the threats and harassment against Mr. Vélez and his </w:t>
      </w:r>
      <w:r w:rsidR="004E7E70" w:rsidRPr="002E60EB">
        <w:rPr>
          <w:lang w:val="en-US"/>
        </w:rPr>
        <w:t>family</w:t>
      </w:r>
      <w:r w:rsidRPr="002E60EB">
        <w:rPr>
          <w:lang w:val="en-US"/>
        </w:rPr>
        <w:t xml:space="preserve"> </w:t>
      </w:r>
      <w:r w:rsidR="0004795A" w:rsidRPr="002E60EB">
        <w:rPr>
          <w:lang w:val="en-US"/>
        </w:rPr>
        <w:t xml:space="preserve">and </w:t>
      </w:r>
      <w:r w:rsidR="004E7E70" w:rsidRPr="002E60EB">
        <w:rPr>
          <w:lang w:val="en-US"/>
        </w:rPr>
        <w:t xml:space="preserve">had </w:t>
      </w:r>
      <w:r w:rsidR="0004795A" w:rsidRPr="002E60EB">
        <w:rPr>
          <w:lang w:val="en-US"/>
        </w:rPr>
        <w:t xml:space="preserve">failed to comply with its obligations of protection and investigation in this </w:t>
      </w:r>
      <w:r w:rsidR="004E7E70" w:rsidRPr="002E60EB">
        <w:rPr>
          <w:lang w:val="en-US"/>
        </w:rPr>
        <w:t>regard,</w:t>
      </w:r>
      <w:r w:rsidR="0004795A" w:rsidRPr="002E60EB">
        <w:rPr>
          <w:lang w:val="en-US"/>
        </w:rPr>
        <w:t xml:space="preserve"> </w:t>
      </w:r>
      <w:r w:rsidR="00087093" w:rsidRPr="002E60EB">
        <w:rPr>
          <w:lang w:val="en-US"/>
        </w:rPr>
        <w:t>“</w:t>
      </w:r>
      <w:r w:rsidR="0004795A" w:rsidRPr="002E60EB">
        <w:rPr>
          <w:lang w:val="en-US"/>
        </w:rPr>
        <w:t>both the harassment itself a</w:t>
      </w:r>
      <w:r w:rsidR="004E7E70" w:rsidRPr="002E60EB">
        <w:rPr>
          <w:lang w:val="en-US"/>
        </w:rPr>
        <w:t xml:space="preserve">nd also </w:t>
      </w:r>
      <w:r w:rsidR="0004795A" w:rsidRPr="002E60EB">
        <w:rPr>
          <w:lang w:val="en-US"/>
        </w:rPr>
        <w:t xml:space="preserve">its foreseeable consequences, </w:t>
      </w:r>
      <w:r w:rsidR="004E7E70" w:rsidRPr="002E60EB">
        <w:rPr>
          <w:lang w:val="en-US"/>
        </w:rPr>
        <w:t>including</w:t>
      </w:r>
      <w:r w:rsidR="0004795A" w:rsidRPr="002E60EB">
        <w:rPr>
          <w:lang w:val="en-US"/>
        </w:rPr>
        <w:t xml:space="preserve"> the exile,</w:t>
      </w:r>
      <w:r w:rsidR="004E7E70" w:rsidRPr="002E60EB">
        <w:rPr>
          <w:lang w:val="en-US"/>
        </w:rPr>
        <w:t xml:space="preserve"> can be </w:t>
      </w:r>
      <w:r w:rsidR="0004795A" w:rsidRPr="002E60EB">
        <w:rPr>
          <w:lang w:val="en-US"/>
        </w:rPr>
        <w:t>attribut</w:t>
      </w:r>
      <w:r w:rsidR="004E7E70" w:rsidRPr="002E60EB">
        <w:rPr>
          <w:lang w:val="en-US"/>
        </w:rPr>
        <w:t>ed</w:t>
      </w:r>
      <w:r w:rsidR="0004795A" w:rsidRPr="002E60EB">
        <w:rPr>
          <w:lang w:val="en-US"/>
        </w:rPr>
        <w:t xml:space="preserve"> to the State</w:t>
      </w:r>
      <w:r w:rsidR="00087093" w:rsidRPr="002E60EB">
        <w:rPr>
          <w:lang w:val="en-US"/>
        </w:rPr>
        <w:t>”</w:t>
      </w:r>
      <w:r w:rsidR="004E7E70" w:rsidRPr="002E60EB">
        <w:rPr>
          <w:lang w:val="en-US"/>
        </w:rPr>
        <w:t>;</w:t>
      </w:r>
      <w:r w:rsidR="0004795A" w:rsidRPr="002E60EB">
        <w:rPr>
          <w:lang w:val="en-US"/>
        </w:rPr>
        <w:t xml:space="preserve"> </w:t>
      </w:r>
      <w:r w:rsidR="004E7E70" w:rsidRPr="002E60EB">
        <w:rPr>
          <w:lang w:val="en-US"/>
        </w:rPr>
        <w:t xml:space="preserve">hence, </w:t>
      </w:r>
      <w:r w:rsidR="0004795A" w:rsidRPr="002E60EB">
        <w:rPr>
          <w:lang w:val="en-US"/>
        </w:rPr>
        <w:t xml:space="preserve">the State </w:t>
      </w:r>
      <w:r w:rsidR="00E7159A" w:rsidRPr="002E60EB">
        <w:rPr>
          <w:lang w:val="en-US"/>
        </w:rPr>
        <w:t>had</w:t>
      </w:r>
      <w:r w:rsidR="004E7E70" w:rsidRPr="002E60EB">
        <w:rPr>
          <w:lang w:val="en-US"/>
        </w:rPr>
        <w:t xml:space="preserve"> </w:t>
      </w:r>
      <w:r w:rsidR="0004795A" w:rsidRPr="002E60EB">
        <w:rPr>
          <w:lang w:val="en-US"/>
        </w:rPr>
        <w:t xml:space="preserve">violated Article 22(1) of the Convention </w:t>
      </w:r>
      <w:r w:rsidR="004E7E70" w:rsidRPr="002E60EB">
        <w:rPr>
          <w:lang w:val="en-US"/>
        </w:rPr>
        <w:t>to the</w:t>
      </w:r>
      <w:r w:rsidR="0004795A" w:rsidRPr="002E60EB">
        <w:rPr>
          <w:lang w:val="en-US"/>
        </w:rPr>
        <w:t xml:space="preserve"> detriment of Mr. Vélez Restrepo, his wife</w:t>
      </w:r>
      <w:r w:rsidR="004E7E70" w:rsidRPr="002E60EB">
        <w:rPr>
          <w:lang w:val="en-US"/>
        </w:rPr>
        <w:t xml:space="preserve"> Aracelly Román Amariles</w:t>
      </w:r>
      <w:r w:rsidR="0004795A" w:rsidRPr="002E60EB">
        <w:rPr>
          <w:lang w:val="en-US"/>
        </w:rPr>
        <w:t xml:space="preserve">, and </w:t>
      </w:r>
      <w:r w:rsidR="004E7E70" w:rsidRPr="002E60EB">
        <w:rPr>
          <w:lang w:val="en-US"/>
        </w:rPr>
        <w:t xml:space="preserve">their </w:t>
      </w:r>
      <w:r w:rsidR="0004795A" w:rsidRPr="002E60EB">
        <w:rPr>
          <w:lang w:val="en-US"/>
        </w:rPr>
        <w:t>children</w:t>
      </w:r>
      <w:r w:rsidR="004E7E70" w:rsidRPr="002E60EB">
        <w:rPr>
          <w:lang w:val="en-US"/>
        </w:rPr>
        <w:t>, Mateo and Juliana Vélez Román.</w:t>
      </w:r>
      <w:r w:rsidR="0004795A" w:rsidRPr="002E60EB">
        <w:rPr>
          <w:b/>
          <w:bCs/>
          <w:lang w:val="en-US"/>
        </w:rPr>
        <w:t xml:space="preserve"> </w:t>
      </w:r>
      <w:r w:rsidR="0004795A" w:rsidRPr="002E60EB">
        <w:rPr>
          <w:lang w:val="en-US"/>
        </w:rPr>
        <w:t xml:space="preserve">The Commission argued that Colombia </w:t>
      </w:r>
      <w:r w:rsidR="004E7E70" w:rsidRPr="002E60EB">
        <w:rPr>
          <w:lang w:val="en-US"/>
        </w:rPr>
        <w:t xml:space="preserve">had </w:t>
      </w:r>
      <w:r w:rsidR="0004795A" w:rsidRPr="002E60EB">
        <w:rPr>
          <w:lang w:val="en-US"/>
        </w:rPr>
        <w:t xml:space="preserve">violated Article 17(1) of the Convention </w:t>
      </w:r>
      <w:r w:rsidR="004E7E70" w:rsidRPr="002E60EB">
        <w:rPr>
          <w:lang w:val="en-US"/>
        </w:rPr>
        <w:t>to the</w:t>
      </w:r>
      <w:r w:rsidR="0004795A" w:rsidRPr="002E60EB">
        <w:rPr>
          <w:lang w:val="en-US"/>
        </w:rPr>
        <w:t xml:space="preserve"> detriment of Mr. Vélez Restrepo, his wife, and Mateo and Juliana Vélez Román</w:t>
      </w:r>
      <w:r w:rsidR="004E7E70" w:rsidRPr="002E60EB">
        <w:rPr>
          <w:lang w:val="en-US"/>
        </w:rPr>
        <w:t>,</w:t>
      </w:r>
      <w:r w:rsidR="0004795A" w:rsidRPr="002E60EB">
        <w:rPr>
          <w:lang w:val="en-US"/>
        </w:rPr>
        <w:t xml:space="preserve"> and Article 19 of the Convention </w:t>
      </w:r>
      <w:r w:rsidR="004E7E70" w:rsidRPr="002E60EB">
        <w:rPr>
          <w:lang w:val="en-US"/>
        </w:rPr>
        <w:t>to the</w:t>
      </w:r>
      <w:r w:rsidR="0004795A" w:rsidRPr="002E60EB">
        <w:rPr>
          <w:lang w:val="en-US"/>
        </w:rPr>
        <w:t xml:space="preserve"> detriment of the last two, based on the fact that </w:t>
      </w:r>
      <w:r w:rsidR="00087093" w:rsidRPr="002E60EB">
        <w:rPr>
          <w:lang w:val="en-US"/>
        </w:rPr>
        <w:t>“</w:t>
      </w:r>
      <w:r w:rsidR="0004795A" w:rsidRPr="002E60EB">
        <w:rPr>
          <w:lang w:val="en-US"/>
        </w:rPr>
        <w:t>the acts and omissions of the Colombian State had</w:t>
      </w:r>
      <w:r w:rsidR="004E7E70" w:rsidRPr="002E60EB">
        <w:rPr>
          <w:lang w:val="en-US"/>
        </w:rPr>
        <w:t xml:space="preserve"> profound</w:t>
      </w:r>
      <w:r w:rsidR="0004795A" w:rsidRPr="002E60EB">
        <w:rPr>
          <w:lang w:val="en-US"/>
        </w:rPr>
        <w:t xml:space="preserve"> and undeniable consequences on the family life of the Vélez Román</w:t>
      </w:r>
      <w:r w:rsidR="004E7E70" w:rsidRPr="002E60EB">
        <w:rPr>
          <w:lang w:val="en-US"/>
        </w:rPr>
        <w:t>,</w:t>
      </w:r>
      <w:r w:rsidR="00087093" w:rsidRPr="002E60EB">
        <w:rPr>
          <w:lang w:val="en-US"/>
        </w:rPr>
        <w:t>”</w:t>
      </w:r>
      <w:r w:rsidR="0004795A" w:rsidRPr="002E60EB">
        <w:rPr>
          <w:lang w:val="en-US"/>
        </w:rPr>
        <w:t xml:space="preserve"> and </w:t>
      </w:r>
      <w:r w:rsidR="004E7E70" w:rsidRPr="002E60EB">
        <w:rPr>
          <w:lang w:val="en-US"/>
        </w:rPr>
        <w:t>r</w:t>
      </w:r>
      <w:r w:rsidR="0004795A" w:rsidRPr="002E60EB">
        <w:rPr>
          <w:lang w:val="en-US"/>
        </w:rPr>
        <w:t xml:space="preserve">eferred to these consequences. </w:t>
      </w:r>
      <w:r w:rsidR="0004795A" w:rsidRPr="002E60EB">
        <w:rPr>
          <w:bCs/>
          <w:lang w:val="en-US"/>
        </w:rPr>
        <w:t xml:space="preserve">The Commission indicated that </w:t>
      </w:r>
      <w:r w:rsidR="00087093" w:rsidRPr="002E60EB">
        <w:rPr>
          <w:bCs/>
          <w:lang w:val="en-US"/>
        </w:rPr>
        <w:t>“</w:t>
      </w:r>
      <w:r w:rsidR="0004795A" w:rsidRPr="002E60EB">
        <w:rPr>
          <w:bCs/>
          <w:lang w:val="en-US"/>
        </w:rPr>
        <w:t xml:space="preserve">the </w:t>
      </w:r>
      <w:r w:rsidR="004E7E70" w:rsidRPr="002E60EB">
        <w:rPr>
          <w:bCs/>
          <w:lang w:val="en-US"/>
        </w:rPr>
        <w:t>actions of a S</w:t>
      </w:r>
      <w:r w:rsidR="0004795A" w:rsidRPr="002E60EB">
        <w:rPr>
          <w:bCs/>
          <w:lang w:val="en-US"/>
        </w:rPr>
        <w:t>ta</w:t>
      </w:r>
      <w:r w:rsidR="00E7159A" w:rsidRPr="002E60EB">
        <w:rPr>
          <w:bCs/>
          <w:lang w:val="en-US"/>
        </w:rPr>
        <w:t>te that have the effect, even</w:t>
      </w:r>
      <w:r w:rsidR="0004795A" w:rsidRPr="002E60EB">
        <w:rPr>
          <w:bCs/>
          <w:lang w:val="en-US"/>
        </w:rPr>
        <w:t xml:space="preserve"> indirectly, of separating </w:t>
      </w:r>
      <w:r w:rsidR="004E7E70" w:rsidRPr="002E60EB">
        <w:rPr>
          <w:bCs/>
          <w:lang w:val="en-US"/>
        </w:rPr>
        <w:t>an individual from his or her family and children</w:t>
      </w:r>
      <w:r w:rsidR="00E7159A" w:rsidRPr="002E60EB">
        <w:rPr>
          <w:bCs/>
          <w:lang w:val="en-US"/>
        </w:rPr>
        <w:t xml:space="preserve"> may constitute violations of</w:t>
      </w:r>
      <w:r w:rsidR="0004795A" w:rsidRPr="002E60EB">
        <w:rPr>
          <w:bCs/>
          <w:lang w:val="en-US"/>
        </w:rPr>
        <w:t xml:space="preserve"> the </w:t>
      </w:r>
      <w:r w:rsidR="004E7E70" w:rsidRPr="002E60EB">
        <w:rPr>
          <w:bCs/>
          <w:lang w:val="en-US"/>
        </w:rPr>
        <w:t>rights of</w:t>
      </w:r>
      <w:r w:rsidR="0004795A" w:rsidRPr="002E60EB">
        <w:rPr>
          <w:bCs/>
          <w:lang w:val="en-US"/>
        </w:rPr>
        <w:t xml:space="preserve"> the family and the rights of the child.</w:t>
      </w:r>
      <w:r w:rsidR="00087093" w:rsidRPr="002E60EB">
        <w:rPr>
          <w:lang w:val="en-US"/>
        </w:rPr>
        <w:t>”</w:t>
      </w:r>
      <w:r w:rsidR="0004795A" w:rsidRPr="002E60EB">
        <w:rPr>
          <w:b/>
          <w:bCs/>
          <w:lang w:val="en-US"/>
        </w:rPr>
        <w:t xml:space="preserve"> </w:t>
      </w:r>
    </w:p>
    <w:p w:rsidR="004E7E70" w:rsidRPr="002E60EB" w:rsidRDefault="004E7E70" w:rsidP="00317748">
      <w:pPr>
        <w:tabs>
          <w:tab w:val="left" w:pos="720"/>
        </w:tabs>
        <w:jc w:val="both"/>
        <w:rPr>
          <w:lang w:val="en-US"/>
        </w:rPr>
      </w:pPr>
    </w:p>
    <w:p w:rsidR="004E7E70" w:rsidRPr="002E60EB" w:rsidRDefault="0004795A" w:rsidP="00317748">
      <w:pPr>
        <w:numPr>
          <w:ilvl w:val="0"/>
          <w:numId w:val="1"/>
        </w:numPr>
        <w:tabs>
          <w:tab w:val="left" w:pos="720"/>
        </w:tabs>
        <w:jc w:val="both"/>
        <w:rPr>
          <w:b/>
          <w:bCs/>
          <w:lang w:val="en-US"/>
        </w:rPr>
      </w:pPr>
      <w:r w:rsidRPr="002E60EB">
        <w:rPr>
          <w:lang w:val="en-US"/>
        </w:rPr>
        <w:t>The representative stated that</w:t>
      </w:r>
      <w:r w:rsidR="004E7E70" w:rsidRPr="002E60EB">
        <w:rPr>
          <w:lang w:val="en-US"/>
        </w:rPr>
        <w:t xml:space="preserve"> he</w:t>
      </w:r>
      <w:r w:rsidRPr="002E60EB">
        <w:rPr>
          <w:lang w:val="en-US"/>
        </w:rPr>
        <w:t xml:space="preserve"> </w:t>
      </w:r>
      <w:r w:rsidR="00087093" w:rsidRPr="002E60EB">
        <w:rPr>
          <w:lang w:val="en-US"/>
        </w:rPr>
        <w:t>“</w:t>
      </w:r>
      <w:r w:rsidRPr="002E60EB">
        <w:rPr>
          <w:lang w:val="en-US"/>
        </w:rPr>
        <w:t xml:space="preserve">agree[d] </w:t>
      </w:r>
      <w:r w:rsidR="004E7E70" w:rsidRPr="002E60EB">
        <w:rPr>
          <w:lang w:val="en-US"/>
        </w:rPr>
        <w:t xml:space="preserve">fully </w:t>
      </w:r>
      <w:r w:rsidRPr="002E60EB">
        <w:rPr>
          <w:lang w:val="en-US"/>
        </w:rPr>
        <w:t>with the Inter-American Commission</w:t>
      </w:r>
      <w:r w:rsidR="00087093" w:rsidRPr="002E60EB">
        <w:rPr>
          <w:lang w:val="en-US"/>
        </w:rPr>
        <w:t>”</w:t>
      </w:r>
      <w:r w:rsidRPr="002E60EB">
        <w:rPr>
          <w:lang w:val="en-US"/>
        </w:rPr>
        <w:t xml:space="preserve"> </w:t>
      </w:r>
      <w:r w:rsidR="004E7E70" w:rsidRPr="002E60EB">
        <w:rPr>
          <w:lang w:val="en-US"/>
        </w:rPr>
        <w:t>as regards</w:t>
      </w:r>
      <w:r w:rsidRPr="002E60EB">
        <w:rPr>
          <w:lang w:val="en-US"/>
        </w:rPr>
        <w:t xml:space="preserve"> the alleged violations </w:t>
      </w:r>
      <w:r w:rsidR="004E7E70" w:rsidRPr="002E60EB">
        <w:rPr>
          <w:lang w:val="en-US"/>
        </w:rPr>
        <w:t>of</w:t>
      </w:r>
      <w:r w:rsidRPr="002E60EB">
        <w:rPr>
          <w:lang w:val="en-US"/>
        </w:rPr>
        <w:t xml:space="preserve"> Articles 17(1), 22(1), and 19 of the Convention. </w:t>
      </w:r>
      <w:r w:rsidR="004E7E70" w:rsidRPr="002E60EB">
        <w:rPr>
          <w:lang w:val="en-US"/>
        </w:rPr>
        <w:t xml:space="preserve">In addition, he </w:t>
      </w:r>
      <w:r w:rsidRPr="002E60EB">
        <w:rPr>
          <w:lang w:val="en-US"/>
        </w:rPr>
        <w:t xml:space="preserve">referred in detail to the alleged </w:t>
      </w:r>
      <w:r w:rsidR="004E7E70" w:rsidRPr="002E60EB">
        <w:rPr>
          <w:lang w:val="en-US"/>
        </w:rPr>
        <w:t xml:space="preserve">consequences of </w:t>
      </w:r>
      <w:r w:rsidRPr="002E60EB">
        <w:rPr>
          <w:lang w:val="en-US"/>
        </w:rPr>
        <w:t xml:space="preserve">the facts of this case on the members of the Vélez Román family. He </w:t>
      </w:r>
      <w:r w:rsidR="004E7E70" w:rsidRPr="002E60EB">
        <w:rPr>
          <w:lang w:val="en-US"/>
        </w:rPr>
        <w:t>emphasized</w:t>
      </w:r>
      <w:r w:rsidRPr="002E60EB">
        <w:rPr>
          <w:lang w:val="en-US"/>
        </w:rPr>
        <w:t xml:space="preserve"> that </w:t>
      </w:r>
      <w:r w:rsidR="00087093" w:rsidRPr="002E60EB">
        <w:rPr>
          <w:lang w:val="en-US"/>
        </w:rPr>
        <w:t>“</w:t>
      </w:r>
      <w:r w:rsidRPr="002E60EB">
        <w:rPr>
          <w:lang w:val="en-US"/>
        </w:rPr>
        <w:t xml:space="preserve">the impact of what </w:t>
      </w:r>
      <w:r w:rsidR="004E7E70" w:rsidRPr="002E60EB">
        <w:rPr>
          <w:lang w:val="en-US"/>
        </w:rPr>
        <w:t>happened to</w:t>
      </w:r>
      <w:r w:rsidRPr="002E60EB">
        <w:rPr>
          <w:lang w:val="en-US"/>
        </w:rPr>
        <w:t xml:space="preserve"> Richard Vélez at </w:t>
      </w:r>
      <w:r w:rsidR="001E57DA" w:rsidRPr="002E60EB">
        <w:rPr>
          <w:lang w:val="en-US"/>
        </w:rPr>
        <w:t>Caquetá</w:t>
      </w:r>
      <w:r w:rsidRPr="002E60EB">
        <w:rPr>
          <w:lang w:val="en-US"/>
        </w:rPr>
        <w:t xml:space="preserve"> had very serious consequences on the family life and </w:t>
      </w:r>
      <w:r w:rsidR="004E7E70" w:rsidRPr="002E60EB">
        <w:rPr>
          <w:lang w:val="en-US"/>
        </w:rPr>
        <w:t xml:space="preserve">mental </w:t>
      </w:r>
      <w:r w:rsidRPr="002E60EB">
        <w:rPr>
          <w:lang w:val="en-US"/>
        </w:rPr>
        <w:t xml:space="preserve">integrity of the </w:t>
      </w:r>
      <w:r w:rsidR="004E7E70" w:rsidRPr="002E60EB">
        <w:rPr>
          <w:lang w:val="en-US"/>
        </w:rPr>
        <w:t xml:space="preserve">children, </w:t>
      </w:r>
      <w:r w:rsidRPr="002E60EB">
        <w:rPr>
          <w:lang w:val="en-US"/>
        </w:rPr>
        <w:t>Mateo and Juliana Vélez Román.</w:t>
      </w:r>
      <w:r w:rsidR="00087093" w:rsidRPr="002E60EB">
        <w:rPr>
          <w:lang w:val="en-US"/>
        </w:rPr>
        <w:t>”</w:t>
      </w:r>
      <w:r w:rsidRPr="002E60EB">
        <w:rPr>
          <w:lang w:val="en-US"/>
        </w:rPr>
        <w:t xml:space="preserve"> </w:t>
      </w:r>
    </w:p>
    <w:p w:rsidR="004E7E70" w:rsidRPr="002E60EB" w:rsidRDefault="004E7E70" w:rsidP="00317748">
      <w:pPr>
        <w:tabs>
          <w:tab w:val="left" w:pos="720"/>
        </w:tabs>
        <w:jc w:val="both"/>
        <w:rPr>
          <w:b/>
          <w:bCs/>
          <w:lang w:val="en-US"/>
        </w:rPr>
      </w:pPr>
    </w:p>
    <w:p w:rsidR="0004795A" w:rsidRPr="002E60EB" w:rsidRDefault="0004795A" w:rsidP="00317748">
      <w:pPr>
        <w:numPr>
          <w:ilvl w:val="0"/>
          <w:numId w:val="1"/>
        </w:numPr>
        <w:tabs>
          <w:tab w:val="left" w:pos="720"/>
        </w:tabs>
        <w:jc w:val="both"/>
        <w:rPr>
          <w:b/>
          <w:bCs/>
          <w:lang w:val="en-US"/>
        </w:rPr>
      </w:pPr>
      <w:r w:rsidRPr="002E60EB">
        <w:rPr>
          <w:lang w:val="en-US"/>
        </w:rPr>
        <w:t xml:space="preserve">The State </w:t>
      </w:r>
      <w:r w:rsidR="004E7E70" w:rsidRPr="002E60EB">
        <w:rPr>
          <w:lang w:val="en-US"/>
        </w:rPr>
        <w:t xml:space="preserve">affirmed </w:t>
      </w:r>
      <w:r w:rsidRPr="002E60EB">
        <w:rPr>
          <w:lang w:val="en-US"/>
        </w:rPr>
        <w:t xml:space="preserve">that there was no violation </w:t>
      </w:r>
      <w:r w:rsidR="004E7E70" w:rsidRPr="002E60EB">
        <w:rPr>
          <w:lang w:val="en-US"/>
        </w:rPr>
        <w:t>of</w:t>
      </w:r>
      <w:r w:rsidRPr="002E60EB">
        <w:rPr>
          <w:lang w:val="en-US"/>
        </w:rPr>
        <w:t xml:space="preserve"> Article 22 of the Convention </w:t>
      </w:r>
      <w:r w:rsidR="004E7E70" w:rsidRPr="002E60EB">
        <w:rPr>
          <w:lang w:val="en-US"/>
        </w:rPr>
        <w:t xml:space="preserve">because </w:t>
      </w:r>
      <w:r w:rsidRPr="002E60EB">
        <w:rPr>
          <w:lang w:val="en-US"/>
        </w:rPr>
        <w:t>it consider</w:t>
      </w:r>
      <w:r w:rsidR="004E7E70" w:rsidRPr="002E60EB">
        <w:rPr>
          <w:lang w:val="en-US"/>
        </w:rPr>
        <w:t>ed</w:t>
      </w:r>
      <w:r w:rsidRPr="002E60EB">
        <w:rPr>
          <w:lang w:val="en-US"/>
        </w:rPr>
        <w:t xml:space="preserve"> that </w:t>
      </w:r>
      <w:r w:rsidR="00087093" w:rsidRPr="002E60EB">
        <w:rPr>
          <w:lang w:val="en-US"/>
        </w:rPr>
        <w:t>“</w:t>
      </w:r>
      <w:r w:rsidRPr="002E60EB">
        <w:rPr>
          <w:lang w:val="en-US"/>
        </w:rPr>
        <w:t>it has not been duly prove</w:t>
      </w:r>
      <w:r w:rsidR="004E7E70" w:rsidRPr="002E60EB">
        <w:rPr>
          <w:lang w:val="en-US"/>
        </w:rPr>
        <w:t>d</w:t>
      </w:r>
      <w:r w:rsidRPr="002E60EB">
        <w:rPr>
          <w:lang w:val="en-US"/>
        </w:rPr>
        <w:t xml:space="preserve"> […] that the alleged threats were made by State agents</w:t>
      </w:r>
      <w:r w:rsidR="004E7E70" w:rsidRPr="002E60EB">
        <w:rPr>
          <w:lang w:val="en-US"/>
        </w:rPr>
        <w:t>,</w:t>
      </w:r>
      <w:r w:rsidR="00087093" w:rsidRPr="002E60EB">
        <w:rPr>
          <w:lang w:val="en-US"/>
        </w:rPr>
        <w:t>”</w:t>
      </w:r>
      <w:r w:rsidRPr="002E60EB">
        <w:rPr>
          <w:lang w:val="en-US"/>
        </w:rPr>
        <w:t xml:space="preserve"> and </w:t>
      </w:r>
      <w:r w:rsidR="00087093" w:rsidRPr="002E60EB">
        <w:rPr>
          <w:lang w:val="en-US"/>
        </w:rPr>
        <w:t>“</w:t>
      </w:r>
      <w:r w:rsidRPr="002E60EB">
        <w:rPr>
          <w:lang w:val="en-US"/>
        </w:rPr>
        <w:t xml:space="preserve">it is not possible to establish a causal nexus between the </w:t>
      </w:r>
      <w:r w:rsidR="004E7E70" w:rsidRPr="002E60EB">
        <w:rPr>
          <w:lang w:val="en-US"/>
        </w:rPr>
        <w:t xml:space="preserve">presumed </w:t>
      </w:r>
      <w:r w:rsidRPr="002E60EB">
        <w:rPr>
          <w:lang w:val="en-US"/>
        </w:rPr>
        <w:t xml:space="preserve">threats and attempted </w:t>
      </w:r>
      <w:r w:rsidR="00334C3C" w:rsidRPr="002E60EB">
        <w:rPr>
          <w:lang w:val="en-US"/>
        </w:rPr>
        <w:t>kidnapping</w:t>
      </w:r>
      <w:r w:rsidRPr="002E60EB">
        <w:rPr>
          <w:lang w:val="en-US"/>
        </w:rPr>
        <w:t xml:space="preserve"> </w:t>
      </w:r>
      <w:r w:rsidR="004E7E70" w:rsidRPr="002E60EB">
        <w:rPr>
          <w:lang w:val="en-US"/>
        </w:rPr>
        <w:t xml:space="preserve">that </w:t>
      </w:r>
      <w:r w:rsidRPr="002E60EB">
        <w:rPr>
          <w:lang w:val="en-US"/>
        </w:rPr>
        <w:t>alleg</w:t>
      </w:r>
      <w:r w:rsidR="004E7E70" w:rsidRPr="002E60EB">
        <w:rPr>
          <w:lang w:val="en-US"/>
        </w:rPr>
        <w:t>edly</w:t>
      </w:r>
      <w:r w:rsidRPr="002E60EB">
        <w:rPr>
          <w:lang w:val="en-US"/>
        </w:rPr>
        <w:t xml:space="preserve"> occurred</w:t>
      </w:r>
      <w:r w:rsidR="00E7159A" w:rsidRPr="002E60EB">
        <w:rPr>
          <w:lang w:val="en-US"/>
        </w:rPr>
        <w:t>,</w:t>
      </w:r>
      <w:r w:rsidRPr="002E60EB">
        <w:rPr>
          <w:lang w:val="en-US"/>
        </w:rPr>
        <w:t xml:space="preserve"> and</w:t>
      </w:r>
      <w:r w:rsidR="004E7E70" w:rsidRPr="002E60EB">
        <w:rPr>
          <w:lang w:val="en-US"/>
        </w:rPr>
        <w:t xml:space="preserve"> the need for</w:t>
      </w:r>
      <w:r w:rsidRPr="002E60EB">
        <w:rPr>
          <w:lang w:val="en-US"/>
        </w:rPr>
        <w:t xml:space="preserve"> Mr. Vélez to leave the country on October 9, 1997.</w:t>
      </w:r>
      <w:r w:rsidR="00087093" w:rsidRPr="002E60EB">
        <w:rPr>
          <w:lang w:val="en-US"/>
        </w:rPr>
        <w:t>”</w:t>
      </w:r>
      <w:r w:rsidRPr="002E60EB">
        <w:rPr>
          <w:lang w:val="en-US"/>
        </w:rPr>
        <w:t xml:space="preserve"> It </w:t>
      </w:r>
      <w:r w:rsidR="004E7E70" w:rsidRPr="002E60EB">
        <w:rPr>
          <w:lang w:val="en-US"/>
        </w:rPr>
        <w:t xml:space="preserve">asserted </w:t>
      </w:r>
      <w:r w:rsidRPr="002E60EB">
        <w:rPr>
          <w:lang w:val="en-US"/>
        </w:rPr>
        <w:t>that</w:t>
      </w:r>
      <w:r w:rsidR="004E7E70" w:rsidRPr="002E60EB">
        <w:rPr>
          <w:lang w:val="en-US"/>
        </w:rPr>
        <w:t>,</w:t>
      </w:r>
      <w:r w:rsidRPr="002E60EB">
        <w:rPr>
          <w:lang w:val="en-US"/>
        </w:rPr>
        <w:t xml:space="preserve"> </w:t>
      </w:r>
      <w:r w:rsidR="00087093" w:rsidRPr="002E60EB">
        <w:rPr>
          <w:lang w:val="en-US"/>
        </w:rPr>
        <w:t>“</w:t>
      </w:r>
      <w:r w:rsidRPr="002E60EB">
        <w:rPr>
          <w:lang w:val="en-US"/>
        </w:rPr>
        <w:t xml:space="preserve">prior to the </w:t>
      </w:r>
      <w:r w:rsidR="006C1744" w:rsidRPr="002E60EB">
        <w:rPr>
          <w:lang w:val="en-US"/>
        </w:rPr>
        <w:t xml:space="preserve">supposed </w:t>
      </w:r>
      <w:r w:rsidRPr="002E60EB">
        <w:rPr>
          <w:lang w:val="en-US"/>
        </w:rPr>
        <w:t xml:space="preserve">attempted </w:t>
      </w:r>
      <w:r w:rsidR="00334C3C" w:rsidRPr="002E60EB">
        <w:rPr>
          <w:lang w:val="en-US"/>
        </w:rPr>
        <w:t>kidnapping</w:t>
      </w:r>
      <w:r w:rsidRPr="002E60EB">
        <w:rPr>
          <w:lang w:val="en-US"/>
        </w:rPr>
        <w:t xml:space="preserve"> on October 6, 1997, Mr. Vélez had never requested any protection or safety</w:t>
      </w:r>
      <w:r w:rsidR="00E7159A" w:rsidRPr="002E60EB">
        <w:rPr>
          <w:lang w:val="en-US"/>
        </w:rPr>
        <w:t xml:space="preserve"> assessment</w:t>
      </w:r>
      <w:r w:rsidRPr="002E60EB">
        <w:rPr>
          <w:lang w:val="en-US"/>
        </w:rPr>
        <w:t xml:space="preserve"> from the State.</w:t>
      </w:r>
      <w:r w:rsidR="00087093" w:rsidRPr="002E60EB">
        <w:rPr>
          <w:lang w:val="en-US"/>
        </w:rPr>
        <w:t>”</w:t>
      </w:r>
      <w:r w:rsidRPr="002E60EB">
        <w:rPr>
          <w:b/>
          <w:bCs/>
          <w:lang w:val="en-US"/>
        </w:rPr>
        <w:t xml:space="preserve"> </w:t>
      </w:r>
      <w:r w:rsidRPr="002E60EB">
        <w:rPr>
          <w:lang w:val="en-US"/>
        </w:rPr>
        <w:t xml:space="preserve">The State argued that </w:t>
      </w:r>
      <w:r w:rsidR="006C1744" w:rsidRPr="002E60EB">
        <w:rPr>
          <w:lang w:val="en-US"/>
        </w:rPr>
        <w:t>“</w:t>
      </w:r>
      <w:r w:rsidRPr="002E60EB">
        <w:rPr>
          <w:lang w:val="en-US"/>
        </w:rPr>
        <w:t xml:space="preserve">on the day on which the attempted </w:t>
      </w:r>
      <w:r w:rsidR="00334C3C" w:rsidRPr="002E60EB">
        <w:rPr>
          <w:lang w:val="en-US"/>
        </w:rPr>
        <w:t>kidnapping</w:t>
      </w:r>
      <w:r w:rsidRPr="002E60EB">
        <w:rPr>
          <w:lang w:val="en-US"/>
        </w:rPr>
        <w:t xml:space="preserve"> </w:t>
      </w:r>
      <w:r w:rsidR="006C1744" w:rsidRPr="002E60EB">
        <w:rPr>
          <w:lang w:val="en-US"/>
        </w:rPr>
        <w:t xml:space="preserve">presumably </w:t>
      </w:r>
      <w:r w:rsidRPr="002E60EB">
        <w:rPr>
          <w:lang w:val="en-US"/>
        </w:rPr>
        <w:t xml:space="preserve">occurred, the Protection Program of the </w:t>
      </w:r>
      <w:r w:rsidR="006C1744" w:rsidRPr="002E60EB">
        <w:rPr>
          <w:lang w:val="en-US"/>
        </w:rPr>
        <w:t xml:space="preserve">Ministry of the Interior </w:t>
      </w:r>
      <w:r w:rsidRPr="002E60EB">
        <w:rPr>
          <w:lang w:val="en-US"/>
        </w:rPr>
        <w:t xml:space="preserve">offered Mr. Vélez and his </w:t>
      </w:r>
      <w:r w:rsidR="006C1744" w:rsidRPr="002E60EB">
        <w:rPr>
          <w:lang w:val="en-US"/>
        </w:rPr>
        <w:t>family</w:t>
      </w:r>
      <w:r w:rsidRPr="002E60EB">
        <w:rPr>
          <w:lang w:val="en-US"/>
        </w:rPr>
        <w:t xml:space="preserve"> the possibility </w:t>
      </w:r>
      <w:r w:rsidR="006C1744" w:rsidRPr="002E60EB">
        <w:rPr>
          <w:lang w:val="en-US"/>
        </w:rPr>
        <w:t>of</w:t>
      </w:r>
      <w:r w:rsidRPr="002E60EB">
        <w:rPr>
          <w:lang w:val="en-US"/>
        </w:rPr>
        <w:t xml:space="preserve"> relocat</w:t>
      </w:r>
      <w:r w:rsidR="006C1744" w:rsidRPr="002E60EB">
        <w:rPr>
          <w:lang w:val="en-US"/>
        </w:rPr>
        <w:t>ing to</w:t>
      </w:r>
      <w:r w:rsidRPr="002E60EB">
        <w:rPr>
          <w:lang w:val="en-US"/>
        </w:rPr>
        <w:t xml:space="preserve"> any part of the country in order to </w:t>
      </w:r>
      <w:r w:rsidR="006C1744" w:rsidRPr="002E60EB">
        <w:rPr>
          <w:lang w:val="en-US"/>
        </w:rPr>
        <w:t xml:space="preserve">lessen </w:t>
      </w:r>
      <w:r w:rsidRPr="002E60EB">
        <w:rPr>
          <w:lang w:val="en-US"/>
        </w:rPr>
        <w:t xml:space="preserve">the risk </w:t>
      </w:r>
      <w:r w:rsidR="006C1744" w:rsidRPr="002E60EB">
        <w:rPr>
          <w:lang w:val="en-US"/>
        </w:rPr>
        <w:t>he had</w:t>
      </w:r>
      <w:r w:rsidRPr="002E60EB">
        <w:rPr>
          <w:lang w:val="en-US"/>
        </w:rPr>
        <w:t xml:space="preserve"> denounc</w:t>
      </w:r>
      <w:r w:rsidR="006C1744" w:rsidRPr="002E60EB">
        <w:rPr>
          <w:lang w:val="en-US"/>
        </w:rPr>
        <w:t>ed</w:t>
      </w:r>
      <w:r w:rsidRPr="002E60EB">
        <w:rPr>
          <w:lang w:val="en-US"/>
        </w:rPr>
        <w:t xml:space="preserve">, guaranteeing them </w:t>
      </w:r>
      <w:r w:rsidR="006C1744" w:rsidRPr="002E60EB">
        <w:rPr>
          <w:lang w:val="en-US"/>
        </w:rPr>
        <w:t>financial assistance</w:t>
      </w:r>
      <w:r w:rsidRPr="002E60EB">
        <w:rPr>
          <w:lang w:val="en-US"/>
        </w:rPr>
        <w:t xml:space="preserve"> for three months.</w:t>
      </w:r>
      <w:r w:rsidR="00087093" w:rsidRPr="002E60EB">
        <w:rPr>
          <w:lang w:val="en-US"/>
        </w:rPr>
        <w:t>”</w:t>
      </w:r>
      <w:r w:rsidRPr="002E60EB">
        <w:rPr>
          <w:lang w:val="en-US"/>
        </w:rPr>
        <w:t xml:space="preserve"> </w:t>
      </w:r>
      <w:r w:rsidR="006C1744" w:rsidRPr="002E60EB">
        <w:rPr>
          <w:lang w:val="en-US"/>
        </w:rPr>
        <w:t xml:space="preserve">In addition, it indicated that, “[d]espite this, </w:t>
      </w:r>
      <w:r w:rsidRPr="002E60EB">
        <w:rPr>
          <w:lang w:val="en-US"/>
        </w:rPr>
        <w:t xml:space="preserve">Mr. Vélez </w:t>
      </w:r>
      <w:r w:rsidR="006C1744" w:rsidRPr="002E60EB">
        <w:rPr>
          <w:lang w:val="en-US"/>
        </w:rPr>
        <w:t xml:space="preserve">indicated </w:t>
      </w:r>
      <w:r w:rsidRPr="002E60EB">
        <w:rPr>
          <w:lang w:val="en-US"/>
        </w:rPr>
        <w:t xml:space="preserve">that </w:t>
      </w:r>
      <w:r w:rsidR="006C1744" w:rsidRPr="002E60EB">
        <w:rPr>
          <w:lang w:val="en-US"/>
        </w:rPr>
        <w:t>he wished</w:t>
      </w:r>
      <w:r w:rsidRPr="002E60EB">
        <w:rPr>
          <w:lang w:val="en-US"/>
        </w:rPr>
        <w:t xml:space="preserve"> to leave the country </w:t>
      </w:r>
      <w:r w:rsidR="006C1744" w:rsidRPr="002E60EB">
        <w:rPr>
          <w:lang w:val="en-US"/>
        </w:rPr>
        <w:t xml:space="preserve">because </w:t>
      </w:r>
      <w:r w:rsidRPr="002E60EB">
        <w:rPr>
          <w:lang w:val="en-US"/>
        </w:rPr>
        <w:t xml:space="preserve">he considered he would not feel safe in any part of </w:t>
      </w:r>
      <w:r w:rsidR="006C1744" w:rsidRPr="002E60EB">
        <w:rPr>
          <w:lang w:val="en-US"/>
        </w:rPr>
        <w:t>[its]</w:t>
      </w:r>
      <w:r w:rsidRPr="002E60EB">
        <w:rPr>
          <w:lang w:val="en-US"/>
        </w:rPr>
        <w:t xml:space="preserve"> territory.</w:t>
      </w:r>
      <w:r w:rsidRPr="002E60EB">
        <w:rPr>
          <w:b/>
          <w:bCs/>
          <w:lang w:val="en-US"/>
        </w:rPr>
        <w:t xml:space="preserve"> </w:t>
      </w:r>
      <w:r w:rsidRPr="002E60EB">
        <w:rPr>
          <w:lang w:val="en-US"/>
        </w:rPr>
        <w:t xml:space="preserve">The State </w:t>
      </w:r>
      <w:r w:rsidR="006C1744" w:rsidRPr="002E60EB">
        <w:rPr>
          <w:lang w:val="en-US"/>
        </w:rPr>
        <w:t xml:space="preserve">asked, </w:t>
      </w:r>
      <w:r w:rsidRPr="002E60EB">
        <w:rPr>
          <w:lang w:val="en-US"/>
        </w:rPr>
        <w:t>subsidia</w:t>
      </w:r>
      <w:r w:rsidR="006C1744" w:rsidRPr="002E60EB">
        <w:rPr>
          <w:lang w:val="en-US"/>
        </w:rPr>
        <w:t>rily,</w:t>
      </w:r>
      <w:r w:rsidRPr="002E60EB">
        <w:rPr>
          <w:lang w:val="en-US"/>
        </w:rPr>
        <w:t xml:space="preserve"> that, if the Court </w:t>
      </w:r>
      <w:r w:rsidR="006C1744" w:rsidRPr="002E60EB">
        <w:rPr>
          <w:lang w:val="en-US"/>
        </w:rPr>
        <w:t xml:space="preserve">found </w:t>
      </w:r>
      <w:r w:rsidRPr="002E60EB">
        <w:rPr>
          <w:lang w:val="en-US"/>
        </w:rPr>
        <w:t xml:space="preserve">that there </w:t>
      </w:r>
      <w:r w:rsidR="006C1744" w:rsidRPr="002E60EB">
        <w:rPr>
          <w:lang w:val="en-US"/>
        </w:rPr>
        <w:t xml:space="preserve">had been </w:t>
      </w:r>
      <w:r w:rsidRPr="002E60EB">
        <w:rPr>
          <w:lang w:val="en-US"/>
        </w:rPr>
        <w:t xml:space="preserve">a violation to Article 22 of the Convention, </w:t>
      </w:r>
      <w:r w:rsidR="00087093" w:rsidRPr="002E60EB">
        <w:rPr>
          <w:lang w:val="en-US"/>
        </w:rPr>
        <w:t>“</w:t>
      </w:r>
      <w:r w:rsidRPr="002E60EB">
        <w:rPr>
          <w:lang w:val="en-US"/>
        </w:rPr>
        <w:t xml:space="preserve">it declare that the </w:t>
      </w:r>
      <w:r w:rsidR="006C1744" w:rsidRPr="002E60EB">
        <w:rPr>
          <w:lang w:val="en-US"/>
        </w:rPr>
        <w:t xml:space="preserve">presumed </w:t>
      </w:r>
      <w:r w:rsidRPr="002E60EB">
        <w:rPr>
          <w:lang w:val="en-US"/>
        </w:rPr>
        <w:t xml:space="preserve">violations to the rights of the family and the rights of the children are subsumed in the violations to the right </w:t>
      </w:r>
      <w:r w:rsidR="006C1744" w:rsidRPr="002E60EB">
        <w:rPr>
          <w:lang w:val="en-US"/>
        </w:rPr>
        <w:t>to freedom of</w:t>
      </w:r>
      <w:r w:rsidRPr="002E60EB">
        <w:rPr>
          <w:lang w:val="en-US"/>
        </w:rPr>
        <w:t xml:space="preserve"> movement and residence.</w:t>
      </w:r>
      <w:r w:rsidR="00087093" w:rsidRPr="002E60EB">
        <w:rPr>
          <w:lang w:val="en-US"/>
        </w:rPr>
        <w:t>”</w:t>
      </w:r>
      <w:r w:rsidRPr="002E60EB">
        <w:rPr>
          <w:b/>
          <w:bCs/>
          <w:lang w:val="en-US"/>
        </w:rPr>
        <w:t xml:space="preserve"> </w:t>
      </w:r>
      <w:r w:rsidRPr="002E60EB">
        <w:rPr>
          <w:lang w:val="en-US"/>
        </w:rPr>
        <w:t xml:space="preserve">Regarding the alleged violation of Article 19 of the Convention, Colombia </w:t>
      </w:r>
      <w:r w:rsidR="006C1744" w:rsidRPr="002E60EB">
        <w:rPr>
          <w:lang w:val="en-US"/>
        </w:rPr>
        <w:t xml:space="preserve">indicated </w:t>
      </w:r>
      <w:r w:rsidRPr="002E60EB">
        <w:rPr>
          <w:lang w:val="en-US"/>
        </w:rPr>
        <w:t>that</w:t>
      </w:r>
      <w:r w:rsidR="006C1744" w:rsidRPr="002E60EB">
        <w:rPr>
          <w:lang w:val="en-US"/>
        </w:rPr>
        <w:t>,</w:t>
      </w:r>
      <w:r w:rsidRPr="002E60EB">
        <w:rPr>
          <w:lang w:val="en-US"/>
        </w:rPr>
        <w:t xml:space="preserve"> in the </w:t>
      </w:r>
      <w:r w:rsidR="006C1744" w:rsidRPr="002E60EB">
        <w:rPr>
          <w:lang w:val="en-US"/>
        </w:rPr>
        <w:t xml:space="preserve">instant </w:t>
      </w:r>
      <w:r w:rsidRPr="002E60EB">
        <w:rPr>
          <w:lang w:val="en-US"/>
        </w:rPr>
        <w:t>case</w:t>
      </w:r>
      <w:r w:rsidR="006C1744" w:rsidRPr="002E60EB">
        <w:rPr>
          <w:lang w:val="en-US"/>
        </w:rPr>
        <w:t>,</w:t>
      </w:r>
      <w:r w:rsidRPr="002E60EB">
        <w:rPr>
          <w:lang w:val="en-US"/>
        </w:rPr>
        <w:t xml:space="preserve"> there </w:t>
      </w:r>
      <w:r w:rsidR="006C1744" w:rsidRPr="002E60EB">
        <w:rPr>
          <w:lang w:val="en-US"/>
        </w:rPr>
        <w:t>was no</w:t>
      </w:r>
      <w:r w:rsidRPr="002E60EB">
        <w:rPr>
          <w:lang w:val="en-US"/>
        </w:rPr>
        <w:t xml:space="preserve"> specific context of social risk </w:t>
      </w:r>
      <w:r w:rsidR="006C1744" w:rsidRPr="002E60EB">
        <w:rPr>
          <w:lang w:val="en-US"/>
        </w:rPr>
        <w:t xml:space="preserve">as regards </w:t>
      </w:r>
      <w:r w:rsidRPr="002E60EB">
        <w:rPr>
          <w:lang w:val="en-US"/>
        </w:rPr>
        <w:t>the children.</w:t>
      </w:r>
      <w:r w:rsidRPr="002E60EB">
        <w:rPr>
          <w:b/>
          <w:bCs/>
          <w:lang w:val="en-US"/>
        </w:rPr>
        <w:t xml:space="preserve"> </w:t>
      </w:r>
    </w:p>
    <w:p w:rsidR="0004795A" w:rsidRPr="002E60EB" w:rsidRDefault="0004795A" w:rsidP="00317748">
      <w:pPr>
        <w:pStyle w:val="Prrafodelista"/>
        <w:autoSpaceDE w:val="0"/>
        <w:autoSpaceDN w:val="0"/>
        <w:ind w:left="0"/>
        <w:jc w:val="both"/>
        <w:rPr>
          <w:b/>
          <w:bCs/>
          <w:sz w:val="20"/>
          <w:szCs w:val="20"/>
          <w:lang w:val="en-US"/>
        </w:rPr>
      </w:pPr>
    </w:p>
    <w:p w:rsidR="0004795A" w:rsidRPr="002E60EB" w:rsidRDefault="0004795A" w:rsidP="00317748">
      <w:pPr>
        <w:pStyle w:val="Prrafodelista"/>
        <w:numPr>
          <w:ilvl w:val="0"/>
          <w:numId w:val="16"/>
        </w:numPr>
        <w:jc w:val="both"/>
        <w:rPr>
          <w:i/>
          <w:sz w:val="20"/>
          <w:szCs w:val="20"/>
          <w:lang w:val="en-US"/>
        </w:rPr>
      </w:pPr>
      <w:r w:rsidRPr="002E60EB">
        <w:rPr>
          <w:i/>
          <w:sz w:val="20"/>
          <w:szCs w:val="20"/>
          <w:lang w:val="en-US"/>
        </w:rPr>
        <w:t>Considerations of the Court</w:t>
      </w:r>
    </w:p>
    <w:p w:rsidR="0004795A" w:rsidRPr="002E60EB" w:rsidRDefault="0004795A" w:rsidP="002711CF">
      <w:pPr>
        <w:pStyle w:val="Prrafodelista"/>
        <w:autoSpaceDE w:val="0"/>
        <w:autoSpaceDN w:val="0"/>
        <w:ind w:left="0"/>
        <w:jc w:val="both"/>
        <w:rPr>
          <w:b/>
          <w:bCs/>
          <w:sz w:val="20"/>
          <w:szCs w:val="20"/>
          <w:lang w:val="en-US"/>
        </w:rPr>
      </w:pPr>
    </w:p>
    <w:p w:rsidR="003529B0" w:rsidRPr="002E60EB" w:rsidRDefault="0004795A" w:rsidP="00F87988">
      <w:pPr>
        <w:numPr>
          <w:ilvl w:val="0"/>
          <w:numId w:val="1"/>
        </w:numPr>
        <w:tabs>
          <w:tab w:val="clear" w:pos="1427"/>
        </w:tabs>
        <w:autoSpaceDE w:val="0"/>
        <w:autoSpaceDN w:val="0"/>
        <w:adjustRightInd w:val="0"/>
        <w:jc w:val="both"/>
        <w:rPr>
          <w:lang w:val="en-US"/>
        </w:rPr>
      </w:pPr>
      <w:r w:rsidRPr="002E60EB">
        <w:rPr>
          <w:rFonts w:cs="Verdana"/>
          <w:lang w:val="en-US"/>
        </w:rPr>
        <w:t xml:space="preserve">In </w:t>
      </w:r>
      <w:r w:rsidR="006C1744" w:rsidRPr="002E60EB">
        <w:rPr>
          <w:rFonts w:cs="Verdana"/>
          <w:lang w:val="en-US"/>
        </w:rPr>
        <w:t>this</w:t>
      </w:r>
      <w:r w:rsidRPr="002E60EB">
        <w:rPr>
          <w:rFonts w:cs="Verdana"/>
          <w:lang w:val="en-US"/>
        </w:rPr>
        <w:t xml:space="preserve"> chapter</w:t>
      </w:r>
      <w:r w:rsidR="006C1744" w:rsidRPr="002E60EB">
        <w:rPr>
          <w:rFonts w:cs="Verdana"/>
          <w:lang w:val="en-US"/>
        </w:rPr>
        <w:t xml:space="preserve">, </w:t>
      </w:r>
      <w:r w:rsidRPr="002E60EB">
        <w:rPr>
          <w:rFonts w:cs="Verdana"/>
          <w:lang w:val="en-US"/>
        </w:rPr>
        <w:t xml:space="preserve">the Court will </w:t>
      </w:r>
      <w:r w:rsidR="006C1744" w:rsidRPr="002E60EB">
        <w:rPr>
          <w:rFonts w:cs="Verdana"/>
          <w:lang w:val="en-US"/>
        </w:rPr>
        <w:t>rule</w:t>
      </w:r>
      <w:r w:rsidRPr="002E60EB">
        <w:rPr>
          <w:rFonts w:cs="Verdana"/>
          <w:lang w:val="en-US"/>
        </w:rPr>
        <w:t xml:space="preserve"> on the State’s alleged responsibility for the violations </w:t>
      </w:r>
      <w:r w:rsidR="003529B0" w:rsidRPr="002E60EB">
        <w:rPr>
          <w:rFonts w:cs="Verdana"/>
          <w:lang w:val="en-US"/>
        </w:rPr>
        <w:t>of</w:t>
      </w:r>
      <w:r w:rsidR="006C1744" w:rsidRPr="002E60EB">
        <w:rPr>
          <w:rFonts w:cs="Verdana"/>
          <w:lang w:val="en-US"/>
        </w:rPr>
        <w:t xml:space="preserve"> </w:t>
      </w:r>
      <w:r w:rsidRPr="002E60EB">
        <w:rPr>
          <w:rFonts w:cs="Verdana"/>
          <w:lang w:val="en-US"/>
        </w:rPr>
        <w:t>freedom of movement and residence,</w:t>
      </w:r>
      <w:r w:rsidR="006C1744" w:rsidRPr="002E60EB">
        <w:rPr>
          <w:rStyle w:val="Refdenotaalpie"/>
          <w:rFonts w:cs="Verdana"/>
          <w:lang w:val="en-US"/>
        </w:rPr>
        <w:footnoteReference w:id="207"/>
      </w:r>
      <w:r w:rsidRPr="002E60EB">
        <w:rPr>
          <w:rFonts w:cs="Verdana"/>
          <w:lang w:val="en-US"/>
        </w:rPr>
        <w:t xml:space="preserve"> the right</w:t>
      </w:r>
      <w:r w:rsidR="006C1744" w:rsidRPr="002E60EB">
        <w:rPr>
          <w:rFonts w:cs="Verdana"/>
          <w:lang w:val="en-US"/>
        </w:rPr>
        <w:t xml:space="preserve">s of </w:t>
      </w:r>
      <w:r w:rsidRPr="002E60EB">
        <w:rPr>
          <w:rFonts w:cs="Verdana"/>
          <w:lang w:val="en-US"/>
        </w:rPr>
        <w:t>the family,</w:t>
      </w:r>
      <w:r w:rsidR="006C1744" w:rsidRPr="002E60EB">
        <w:rPr>
          <w:rStyle w:val="Refdenotaalpie"/>
          <w:rFonts w:cs="Verdana"/>
          <w:lang w:val="en-US"/>
        </w:rPr>
        <w:footnoteReference w:id="208"/>
      </w:r>
      <w:r w:rsidRPr="002E60EB">
        <w:rPr>
          <w:rFonts w:cs="Verdana"/>
          <w:lang w:val="en-US"/>
        </w:rPr>
        <w:t xml:space="preserve"> and the rights of the child.</w:t>
      </w:r>
      <w:r w:rsidR="006C1744" w:rsidRPr="002E60EB">
        <w:rPr>
          <w:rStyle w:val="Refdenotaalpie"/>
          <w:rFonts w:cs="Verdana"/>
          <w:lang w:val="en-US"/>
        </w:rPr>
        <w:footnoteReference w:id="209"/>
      </w:r>
    </w:p>
    <w:p w:rsidR="00774274" w:rsidRPr="002E60EB" w:rsidRDefault="00774274" w:rsidP="00317748">
      <w:pPr>
        <w:autoSpaceDE w:val="0"/>
        <w:autoSpaceDN w:val="0"/>
        <w:adjustRightInd w:val="0"/>
        <w:jc w:val="both"/>
        <w:rPr>
          <w:rFonts w:cs="Verdana"/>
          <w:lang w:val="en-US"/>
        </w:rPr>
      </w:pPr>
    </w:p>
    <w:p w:rsidR="00774274" w:rsidRPr="002E60EB" w:rsidRDefault="00774274" w:rsidP="00774274">
      <w:pPr>
        <w:tabs>
          <w:tab w:val="num" w:pos="0"/>
        </w:tabs>
        <w:rPr>
          <w:i/>
          <w:lang w:val="en-US"/>
        </w:rPr>
      </w:pPr>
      <w:r w:rsidRPr="002E60EB">
        <w:rPr>
          <w:i/>
          <w:lang w:val="en-US"/>
        </w:rPr>
        <w:tab/>
      </w:r>
      <w:r w:rsidRPr="002E60EB">
        <w:rPr>
          <w:i/>
          <w:lang w:val="en-US"/>
        </w:rPr>
        <w:tab/>
        <w:t>B.1)</w:t>
      </w:r>
      <w:r w:rsidRPr="002E60EB">
        <w:rPr>
          <w:i/>
          <w:lang w:val="en-US"/>
        </w:rPr>
        <w:tab/>
        <w:t>Freedom of movement and residence</w:t>
      </w:r>
    </w:p>
    <w:p w:rsidR="00774274" w:rsidRPr="002E60EB" w:rsidRDefault="00774274" w:rsidP="00317748">
      <w:pPr>
        <w:autoSpaceDE w:val="0"/>
        <w:autoSpaceDN w:val="0"/>
        <w:adjustRightInd w:val="0"/>
        <w:jc w:val="both"/>
        <w:rPr>
          <w:lang w:val="en-US"/>
        </w:rPr>
      </w:pPr>
    </w:p>
    <w:p w:rsidR="003F3607" w:rsidRPr="002E60EB" w:rsidRDefault="00774274" w:rsidP="00F87988">
      <w:pPr>
        <w:numPr>
          <w:ilvl w:val="0"/>
          <w:numId w:val="1"/>
        </w:numPr>
        <w:tabs>
          <w:tab w:val="clear" w:pos="1427"/>
        </w:tabs>
        <w:autoSpaceDE w:val="0"/>
        <w:autoSpaceDN w:val="0"/>
        <w:adjustRightInd w:val="0"/>
        <w:jc w:val="both"/>
        <w:rPr>
          <w:lang w:val="en-US"/>
        </w:rPr>
      </w:pPr>
      <w:r w:rsidRPr="002E60EB">
        <w:rPr>
          <w:lang w:val="en-US"/>
        </w:rPr>
        <w:t>The Court has established that freedom of movement and residence, protected in Article 22(1) of the American Convention, is an essential condition for the free development of an individual,</w:t>
      </w:r>
      <w:r w:rsidRPr="002E60EB">
        <w:rPr>
          <w:vertAlign w:val="superscript"/>
          <w:lang w:val="en-US"/>
        </w:rPr>
        <w:footnoteReference w:id="210"/>
      </w:r>
      <w:r w:rsidRPr="002E60EB">
        <w:rPr>
          <w:lang w:val="en-US"/>
        </w:rPr>
        <w:t xml:space="preserve"> and includes, </w:t>
      </w:r>
      <w:r w:rsidRPr="002E60EB">
        <w:rPr>
          <w:i/>
          <w:lang w:val="en-US"/>
        </w:rPr>
        <w:t>inter alia</w:t>
      </w:r>
      <w:r w:rsidRPr="002E60EB">
        <w:rPr>
          <w:lang w:val="en-US"/>
        </w:rPr>
        <w:t>, the right of those who are legally in a State to move within it freely, as well as to choose their place of residence.</w:t>
      </w:r>
      <w:r w:rsidRPr="002E60EB">
        <w:rPr>
          <w:vertAlign w:val="superscript"/>
          <w:lang w:val="en-US"/>
        </w:rPr>
        <w:footnoteReference w:id="211"/>
      </w:r>
      <w:r w:rsidRPr="002E60EB">
        <w:rPr>
          <w:lang w:val="en-US"/>
        </w:rPr>
        <w:t xml:space="preserve"> This right may be violated </w:t>
      </w:r>
      <w:r w:rsidR="003F3607" w:rsidRPr="002E60EB">
        <w:rPr>
          <w:lang w:val="en-US"/>
        </w:rPr>
        <w:t xml:space="preserve">formally or by </w:t>
      </w:r>
      <w:r w:rsidR="003F3607" w:rsidRPr="002E60EB">
        <w:rPr>
          <w:i/>
          <w:lang w:val="en-US"/>
        </w:rPr>
        <w:t xml:space="preserve">de facto </w:t>
      </w:r>
      <w:r w:rsidR="003F3607" w:rsidRPr="002E60EB">
        <w:rPr>
          <w:lang w:val="en-US"/>
        </w:rPr>
        <w:t>restrictions, when the State has not established the conditions or provided the means that allow it to be exercised.</w:t>
      </w:r>
      <w:r w:rsidR="003F3607" w:rsidRPr="002E60EB">
        <w:rPr>
          <w:rStyle w:val="Refdenotaalpie"/>
          <w:lang w:val="en-US"/>
        </w:rPr>
        <w:footnoteReference w:id="212"/>
      </w:r>
      <w:r w:rsidR="003F3607" w:rsidRPr="002E60EB">
        <w:rPr>
          <w:lang w:val="en-US"/>
        </w:rPr>
        <w:t xml:space="preserve"> The said </w:t>
      </w:r>
      <w:r w:rsidR="003F3607" w:rsidRPr="002E60EB">
        <w:rPr>
          <w:i/>
          <w:lang w:val="en-US"/>
        </w:rPr>
        <w:t>de facto</w:t>
      </w:r>
      <w:r w:rsidR="003F3607" w:rsidRPr="002E60EB">
        <w:rPr>
          <w:lang w:val="en-US"/>
        </w:rPr>
        <w:t xml:space="preserve"> violations may occur when a</w:t>
      </w:r>
      <w:r w:rsidR="00E7159A" w:rsidRPr="002E60EB">
        <w:rPr>
          <w:lang w:val="en-US"/>
        </w:rPr>
        <w:t>n</w:t>
      </w:r>
      <w:r w:rsidR="003F3607" w:rsidRPr="002E60EB">
        <w:rPr>
          <w:lang w:val="en-US"/>
        </w:rPr>
        <w:t xml:space="preserve"> individual is the victim of threats or harassment and the State fails to provide the necessary guarantees to ensure they may move and reside freely within the territory in question.</w:t>
      </w:r>
      <w:r w:rsidR="003F3607" w:rsidRPr="002E60EB">
        <w:rPr>
          <w:rStyle w:val="Refdenotaalpie"/>
          <w:lang w:val="en-US"/>
        </w:rPr>
        <w:footnoteReference w:id="213"/>
      </w:r>
      <w:r w:rsidR="003F3607" w:rsidRPr="002E60EB">
        <w:rPr>
          <w:lang w:val="en-US"/>
        </w:rPr>
        <w:t xml:space="preserve"> In addition, the Court has indicated that the lack of an effective investigation of violent acts can encourage or perpetuate exile or forced displacement.</w:t>
      </w:r>
      <w:r w:rsidR="003F3607" w:rsidRPr="002E60EB">
        <w:rPr>
          <w:rStyle w:val="Refdenotaalpie"/>
          <w:lang w:val="en-US"/>
        </w:rPr>
        <w:footnoteReference w:id="214"/>
      </w:r>
    </w:p>
    <w:p w:rsidR="00ED54BA" w:rsidRPr="002E60EB" w:rsidRDefault="00ED54BA" w:rsidP="00ED54BA">
      <w:pPr>
        <w:autoSpaceDE w:val="0"/>
        <w:autoSpaceDN w:val="0"/>
        <w:adjustRightInd w:val="0"/>
        <w:jc w:val="both"/>
        <w:rPr>
          <w:lang w:val="en-US"/>
        </w:rPr>
      </w:pPr>
    </w:p>
    <w:p w:rsidR="009713A4" w:rsidRPr="002E60EB" w:rsidRDefault="009713A4" w:rsidP="009713A4">
      <w:pPr>
        <w:numPr>
          <w:ilvl w:val="0"/>
          <w:numId w:val="1"/>
        </w:numPr>
        <w:tabs>
          <w:tab w:val="clear" w:pos="1427"/>
          <w:tab w:val="num" w:pos="680"/>
        </w:tabs>
        <w:autoSpaceDE w:val="0"/>
        <w:autoSpaceDN w:val="0"/>
        <w:adjustRightInd w:val="0"/>
        <w:jc w:val="both"/>
        <w:rPr>
          <w:lang w:val="en-US"/>
        </w:rPr>
      </w:pPr>
      <w:r w:rsidRPr="002E60EB">
        <w:rPr>
          <w:lang w:val="en-US"/>
        </w:rPr>
        <w:t xml:space="preserve">The Court considers that, in the instant case, </w:t>
      </w:r>
      <w:r w:rsidRPr="002E60EB">
        <w:rPr>
          <w:i/>
          <w:lang w:val="en-US"/>
        </w:rPr>
        <w:t xml:space="preserve">de facto </w:t>
      </w:r>
      <w:r w:rsidRPr="002E60EB">
        <w:rPr>
          <w:lang w:val="en-US"/>
        </w:rPr>
        <w:t>restrictions existed to the freedom of movement and residence of Mr. Vélez Restrepo, Mrs. Román Amariles, and their children Mateo and Juliana, because the State’s omission to guarantee the right to personal integrity of Mr. Vélez Restrepo and his family, by the investigation together with opportune measures of protection or prevention (</w:t>
      </w:r>
      <w:r w:rsidRPr="002E60EB">
        <w:rPr>
          <w:i/>
          <w:lang w:val="en-US"/>
        </w:rPr>
        <w:t>supra</w:t>
      </w:r>
      <w:r w:rsidRPr="002E60EB">
        <w:rPr>
          <w:lang w:val="en-US"/>
        </w:rPr>
        <w:t xml:space="preserve"> paras. 186 to 205), gave rise to great insecurity and their well-founded fear that their life and personal integrity were at risk of being violated if they remained in Colombia, which led to their exile.</w:t>
      </w:r>
      <w:r w:rsidRPr="002E60EB">
        <w:rPr>
          <w:rStyle w:val="Refdenotaalpie"/>
          <w:rFonts w:eastAsia="Calibri"/>
          <w:lang w:val="en-US"/>
        </w:rPr>
        <w:footnoteReference w:id="215"/>
      </w:r>
    </w:p>
    <w:p w:rsidR="00ED54BA" w:rsidRPr="002E60EB" w:rsidRDefault="00ED54BA" w:rsidP="00ED54BA">
      <w:pPr>
        <w:autoSpaceDE w:val="0"/>
        <w:autoSpaceDN w:val="0"/>
        <w:adjustRightInd w:val="0"/>
        <w:jc w:val="both"/>
        <w:rPr>
          <w:lang w:val="en-US"/>
        </w:rPr>
      </w:pPr>
    </w:p>
    <w:p w:rsidR="00ED54BA" w:rsidRPr="002E60EB" w:rsidRDefault="00AF4934" w:rsidP="00317748">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 xml:space="preserve">In the preceding chapter, the Court determined the State’s responsibility, </w:t>
      </w:r>
      <w:r w:rsidRPr="002E60EB">
        <w:rPr>
          <w:i/>
          <w:sz w:val="20"/>
          <w:szCs w:val="20"/>
          <w:lang w:val="en-US"/>
        </w:rPr>
        <w:t>inter alia</w:t>
      </w:r>
      <w:r w:rsidRPr="002E60EB">
        <w:rPr>
          <w:sz w:val="20"/>
          <w:szCs w:val="20"/>
          <w:lang w:val="en-US"/>
        </w:rPr>
        <w:t xml:space="preserve">,  for the omission to adopt opportune measures of protection before the threats and harassment they suffered as of September 1996 that culminated in a grave death threat followed by an attempted </w:t>
      </w:r>
      <w:r w:rsidR="00334C3C" w:rsidRPr="002E60EB">
        <w:rPr>
          <w:sz w:val="20"/>
          <w:szCs w:val="20"/>
          <w:lang w:val="en-US"/>
        </w:rPr>
        <w:t>kidnapping</w:t>
      </w:r>
      <w:r w:rsidRPr="002E60EB">
        <w:rPr>
          <w:sz w:val="20"/>
          <w:szCs w:val="20"/>
          <w:lang w:val="en-US"/>
        </w:rPr>
        <w:t xml:space="preserve"> of Mr. Vélez Restrepo in August 1997 in Bogotá. In addition, the State acknowledged its responsibility for the absence of serious investigations into these facts (</w:t>
      </w:r>
      <w:r w:rsidRPr="002E60EB">
        <w:rPr>
          <w:i/>
          <w:sz w:val="20"/>
          <w:szCs w:val="20"/>
          <w:lang w:val="en-US"/>
        </w:rPr>
        <w:t xml:space="preserve">supra </w:t>
      </w:r>
      <w:r w:rsidRPr="002E60EB">
        <w:rPr>
          <w:sz w:val="20"/>
          <w:szCs w:val="20"/>
          <w:lang w:val="en-US"/>
        </w:rPr>
        <w:t>para. 14)</w:t>
      </w:r>
      <w:r w:rsidR="00787076" w:rsidRPr="002E60EB">
        <w:rPr>
          <w:sz w:val="20"/>
          <w:szCs w:val="20"/>
          <w:lang w:val="en-US"/>
        </w:rPr>
        <w:t>.</w:t>
      </w:r>
    </w:p>
    <w:p w:rsidR="00AF4934" w:rsidRPr="002E60EB" w:rsidRDefault="00AF4934" w:rsidP="00ED54BA">
      <w:pPr>
        <w:pStyle w:val="Prrafodelista"/>
        <w:autoSpaceDE w:val="0"/>
        <w:autoSpaceDN w:val="0"/>
        <w:ind w:left="0"/>
        <w:jc w:val="both"/>
        <w:rPr>
          <w:sz w:val="20"/>
          <w:szCs w:val="20"/>
          <w:lang w:val="en-US"/>
        </w:rPr>
      </w:pPr>
      <w:r w:rsidRPr="002E60EB">
        <w:rPr>
          <w:sz w:val="20"/>
          <w:szCs w:val="20"/>
          <w:lang w:val="en-US"/>
        </w:rPr>
        <w:t xml:space="preserve"> </w:t>
      </w:r>
    </w:p>
    <w:p w:rsidR="004677D1" w:rsidRPr="002E60EB" w:rsidRDefault="004677D1" w:rsidP="00317748">
      <w:pPr>
        <w:pStyle w:val="Prrafodelista"/>
        <w:numPr>
          <w:ilvl w:val="0"/>
          <w:numId w:val="1"/>
        </w:numPr>
        <w:tabs>
          <w:tab w:val="clear" w:pos="1427"/>
        </w:tabs>
        <w:autoSpaceDE w:val="0"/>
        <w:autoSpaceDN w:val="0"/>
        <w:ind w:left="0"/>
        <w:jc w:val="both"/>
        <w:rPr>
          <w:sz w:val="20"/>
          <w:szCs w:val="20"/>
          <w:lang w:val="en-US"/>
        </w:rPr>
      </w:pPr>
      <w:r w:rsidRPr="002E60EB">
        <w:rPr>
          <w:rFonts w:eastAsia="Calibri"/>
          <w:sz w:val="20"/>
          <w:szCs w:val="20"/>
          <w:lang w:val="en-US"/>
        </w:rPr>
        <w:t>The Court appreciated the fact that, after the said attempted deprivation of liberty of Mr. Vélez Restrepo, the State offered protection measures, but considered that they were not opportune and that a risk</w:t>
      </w:r>
      <w:r w:rsidR="00E7159A" w:rsidRPr="002E60EB">
        <w:rPr>
          <w:rFonts w:eastAsia="Calibri"/>
          <w:sz w:val="20"/>
          <w:szCs w:val="20"/>
          <w:lang w:val="en-US"/>
        </w:rPr>
        <w:t xml:space="preserve"> continued to exist</w:t>
      </w:r>
      <w:r w:rsidRPr="002E60EB">
        <w:rPr>
          <w:rFonts w:eastAsia="Calibri"/>
          <w:sz w:val="20"/>
          <w:szCs w:val="20"/>
          <w:lang w:val="en-US"/>
        </w:rPr>
        <w:t xml:space="preserve"> and </w:t>
      </w:r>
      <w:r w:rsidR="00E7159A" w:rsidRPr="002E60EB">
        <w:rPr>
          <w:rFonts w:eastAsia="Calibri"/>
          <w:sz w:val="20"/>
          <w:szCs w:val="20"/>
          <w:lang w:val="en-US"/>
        </w:rPr>
        <w:t xml:space="preserve">that </w:t>
      </w:r>
      <w:r w:rsidRPr="002E60EB">
        <w:rPr>
          <w:rFonts w:eastAsia="Calibri"/>
          <w:sz w:val="20"/>
          <w:szCs w:val="20"/>
          <w:lang w:val="en-US"/>
        </w:rPr>
        <w:t xml:space="preserve">Mr. </w:t>
      </w:r>
      <w:r w:rsidRPr="002E60EB">
        <w:rPr>
          <w:sz w:val="20"/>
          <w:szCs w:val="20"/>
          <w:lang w:val="en-US"/>
        </w:rPr>
        <w:t xml:space="preserve">Vélez Restrepo had a </w:t>
      </w:r>
      <w:r w:rsidRPr="002E60EB">
        <w:rPr>
          <w:rFonts w:eastAsia="Calibri"/>
          <w:sz w:val="20"/>
          <w:szCs w:val="20"/>
          <w:lang w:val="en-US"/>
        </w:rPr>
        <w:t xml:space="preserve">well-founded fear </w:t>
      </w:r>
      <w:r w:rsidRPr="002E60EB">
        <w:rPr>
          <w:sz w:val="20"/>
          <w:szCs w:val="20"/>
          <w:lang w:val="en-US"/>
        </w:rPr>
        <w:t xml:space="preserve">that he would not be protected in any part of the country. Mr. </w:t>
      </w:r>
      <w:r w:rsidRPr="002E60EB">
        <w:rPr>
          <w:rFonts w:eastAsia="Calibri"/>
          <w:sz w:val="20"/>
          <w:szCs w:val="20"/>
          <w:lang w:val="en-US"/>
        </w:rPr>
        <w:t xml:space="preserve">Vélez Restrepo was able to leave Colombia on October 9, 1997, three days after the attempted deprivation of his freedom, and his wife and children had to displace internally from Bogotá to Medellín, while they waited almost a year for the approval of the asylum request by the </w:t>
      </w:r>
      <w:r w:rsidR="00E7159A" w:rsidRPr="002E60EB">
        <w:rPr>
          <w:rFonts w:eastAsia="Calibri"/>
          <w:sz w:val="20"/>
          <w:szCs w:val="20"/>
          <w:lang w:val="en-US"/>
        </w:rPr>
        <w:t xml:space="preserve">United States </w:t>
      </w:r>
      <w:r w:rsidRPr="002E60EB">
        <w:rPr>
          <w:rFonts w:eastAsia="Calibri"/>
          <w:sz w:val="20"/>
          <w:szCs w:val="20"/>
          <w:lang w:val="en-US"/>
        </w:rPr>
        <w:t xml:space="preserve">authorities, after which they also left the country. </w:t>
      </w:r>
    </w:p>
    <w:p w:rsidR="00ED54BA" w:rsidRPr="002E60EB" w:rsidRDefault="00ED54BA" w:rsidP="00ED54BA">
      <w:pPr>
        <w:pStyle w:val="Prrafodelista"/>
        <w:autoSpaceDE w:val="0"/>
        <w:autoSpaceDN w:val="0"/>
        <w:ind w:left="0"/>
        <w:jc w:val="both"/>
        <w:rPr>
          <w:sz w:val="20"/>
          <w:szCs w:val="20"/>
          <w:lang w:val="en-US"/>
        </w:rPr>
      </w:pPr>
    </w:p>
    <w:p w:rsidR="00003902" w:rsidRPr="002E60EB" w:rsidRDefault="00003902" w:rsidP="00317748">
      <w:pPr>
        <w:pStyle w:val="Prrafodelista"/>
        <w:numPr>
          <w:ilvl w:val="0"/>
          <w:numId w:val="1"/>
        </w:numPr>
        <w:tabs>
          <w:tab w:val="clear" w:pos="1427"/>
        </w:tabs>
        <w:autoSpaceDE w:val="0"/>
        <w:autoSpaceDN w:val="0"/>
        <w:ind w:left="0"/>
        <w:jc w:val="both"/>
        <w:rPr>
          <w:rFonts w:eastAsia="Calibri"/>
          <w:sz w:val="20"/>
          <w:szCs w:val="20"/>
          <w:lang w:val="en-US"/>
        </w:rPr>
      </w:pPr>
      <w:r w:rsidRPr="002E60EB">
        <w:rPr>
          <w:rFonts w:eastAsia="Calibri"/>
          <w:sz w:val="20"/>
          <w:szCs w:val="20"/>
          <w:lang w:val="en-US"/>
        </w:rPr>
        <w:t>Therefore, the Court concludes that the State is responsible for the violation of freedom of movement and residence, protected by Article 22(1) of the Convention, in relation to Article 1(1) thereof, to the detriment of Luis Gonzalo Vélez Restrepo, Aracelly Román Amariles, Mateo Vélez Román and Juliana Vélez Román</w:t>
      </w:r>
      <w:r w:rsidR="00FD2149" w:rsidRPr="002E60EB">
        <w:rPr>
          <w:rFonts w:eastAsia="Calibri"/>
          <w:sz w:val="20"/>
          <w:szCs w:val="20"/>
          <w:lang w:val="en-US"/>
        </w:rPr>
        <w:t>.</w:t>
      </w:r>
    </w:p>
    <w:p w:rsidR="00FD2149" w:rsidRPr="002E60EB" w:rsidRDefault="00FD2149" w:rsidP="00FD2149">
      <w:pPr>
        <w:pStyle w:val="Prrafodelista"/>
        <w:autoSpaceDE w:val="0"/>
        <w:autoSpaceDN w:val="0"/>
        <w:ind w:left="0"/>
        <w:jc w:val="both"/>
        <w:rPr>
          <w:rFonts w:eastAsia="Calibri"/>
          <w:sz w:val="20"/>
          <w:szCs w:val="20"/>
          <w:lang w:val="en-US"/>
        </w:rPr>
      </w:pPr>
    </w:p>
    <w:p w:rsidR="00FD2149" w:rsidRPr="002E60EB" w:rsidRDefault="00FD2149" w:rsidP="00FD2149">
      <w:pPr>
        <w:ind w:left="720" w:firstLine="720"/>
        <w:jc w:val="both"/>
        <w:rPr>
          <w:i/>
          <w:lang w:val="en-US"/>
        </w:rPr>
      </w:pPr>
      <w:r w:rsidRPr="002E60EB">
        <w:rPr>
          <w:i/>
          <w:lang w:val="en-US"/>
        </w:rPr>
        <w:t>B.2)</w:t>
      </w:r>
      <w:r w:rsidRPr="002E60EB">
        <w:rPr>
          <w:i/>
          <w:lang w:val="en-US"/>
        </w:rPr>
        <w:tab/>
      </w:r>
      <w:r w:rsidR="00B46938" w:rsidRPr="002E60EB">
        <w:rPr>
          <w:i/>
          <w:lang w:val="en-US"/>
        </w:rPr>
        <w:t>Protection of</w:t>
      </w:r>
      <w:r w:rsidRPr="002E60EB">
        <w:rPr>
          <w:i/>
          <w:lang w:val="en-US"/>
        </w:rPr>
        <w:t xml:space="preserve"> the family and rights of </w:t>
      </w:r>
      <w:r w:rsidR="00ED54BA" w:rsidRPr="002E60EB">
        <w:rPr>
          <w:i/>
          <w:lang w:val="en-US"/>
        </w:rPr>
        <w:t>the child</w:t>
      </w:r>
    </w:p>
    <w:p w:rsidR="00FD2149" w:rsidRPr="002E60EB" w:rsidRDefault="00FD2149" w:rsidP="00FD2149">
      <w:pPr>
        <w:pStyle w:val="Prrafodelista"/>
        <w:autoSpaceDE w:val="0"/>
        <w:autoSpaceDN w:val="0"/>
        <w:ind w:left="0"/>
        <w:jc w:val="both"/>
        <w:rPr>
          <w:rFonts w:eastAsia="Calibri"/>
          <w:sz w:val="20"/>
          <w:szCs w:val="20"/>
          <w:lang w:val="en-US"/>
        </w:rPr>
      </w:pPr>
    </w:p>
    <w:p w:rsidR="009713A4" w:rsidRPr="002E60EB" w:rsidRDefault="00FD2149" w:rsidP="00615D3A">
      <w:pPr>
        <w:numPr>
          <w:ilvl w:val="0"/>
          <w:numId w:val="1"/>
        </w:numPr>
        <w:tabs>
          <w:tab w:val="clear" w:pos="1427"/>
        </w:tabs>
        <w:autoSpaceDE w:val="0"/>
        <w:autoSpaceDN w:val="0"/>
        <w:adjustRightInd w:val="0"/>
        <w:jc w:val="both"/>
        <w:rPr>
          <w:lang w:val="en-US"/>
        </w:rPr>
      </w:pPr>
      <w:r w:rsidRPr="002E60EB">
        <w:rPr>
          <w:lang w:val="en-US"/>
        </w:rPr>
        <w:t>Article 17 of the American Convention recognizes that the family is the natural and fundamental group unit of society and is entitled to protection by society and the State. Given the importance of the right to protection of the family, the Court has established that the State is obliged to promote the development and strengthening of the family unit.</w:t>
      </w:r>
      <w:r w:rsidRPr="002E60EB">
        <w:rPr>
          <w:rStyle w:val="Refdenotaalpie"/>
          <w:lang w:val="en-US"/>
        </w:rPr>
        <w:footnoteReference w:id="216"/>
      </w:r>
      <w:r w:rsidRPr="002E60EB">
        <w:rPr>
          <w:lang w:val="en-US"/>
        </w:rPr>
        <w:t xml:space="preserve"> It has also affirmed that it implies the right of every person to receive protection against arbitrary or illegal interferences in their family,</w:t>
      </w:r>
      <w:r w:rsidRPr="002E60EB">
        <w:rPr>
          <w:rStyle w:val="Refdenotaalpie"/>
          <w:lang w:val="en-US"/>
        </w:rPr>
        <w:footnoteReference w:id="217"/>
      </w:r>
      <w:r w:rsidRPr="002E60EB">
        <w:rPr>
          <w:lang w:val="en-US"/>
        </w:rPr>
        <w:t xml:space="preserve"> and that States have positive obligations to ensure effective respect for family life.</w:t>
      </w:r>
      <w:r w:rsidRPr="002E60EB">
        <w:rPr>
          <w:vertAlign w:val="superscript"/>
          <w:lang w:val="en-US"/>
        </w:rPr>
        <w:footnoteReference w:id="218"/>
      </w:r>
      <w:r w:rsidRPr="002E60EB">
        <w:rPr>
          <w:lang w:val="en-US"/>
        </w:rPr>
        <w:t xml:space="preserve"> The Court has also recognized that the mutual enjoyment of coexistence between parents and children constitutes a fundamental element of family life.</w:t>
      </w:r>
      <w:r w:rsidRPr="002E60EB">
        <w:rPr>
          <w:vertAlign w:val="superscript"/>
          <w:lang w:val="en-US"/>
        </w:rPr>
        <w:footnoteReference w:id="219"/>
      </w:r>
      <w:r w:rsidRPr="002E60EB">
        <w:rPr>
          <w:lang w:val="en-US"/>
        </w:rPr>
        <w:t xml:space="preserve"> It has also established that, in certain circumstances, separating children from their fam</w:t>
      </w:r>
      <w:r w:rsidR="00E7159A" w:rsidRPr="002E60EB">
        <w:rPr>
          <w:lang w:val="en-US"/>
        </w:rPr>
        <w:t>ilies constitutes a violation of</w:t>
      </w:r>
      <w:r w:rsidRPr="002E60EB">
        <w:rPr>
          <w:lang w:val="en-US"/>
        </w:rPr>
        <w:t xml:space="preserve"> their right to a family recognized in Article 17 of the American Convention.</w:t>
      </w:r>
      <w:r w:rsidRPr="002E60EB">
        <w:rPr>
          <w:rStyle w:val="Refdenotaalpie"/>
          <w:lang w:val="en-US"/>
        </w:rPr>
        <w:footnoteReference w:id="220"/>
      </w:r>
    </w:p>
    <w:p w:rsidR="00FD2149" w:rsidRPr="002E60EB" w:rsidRDefault="00FD2149" w:rsidP="00615D3A">
      <w:pPr>
        <w:autoSpaceDE w:val="0"/>
        <w:autoSpaceDN w:val="0"/>
        <w:adjustRightInd w:val="0"/>
        <w:jc w:val="both"/>
        <w:rPr>
          <w:lang w:val="en-US"/>
        </w:rPr>
      </w:pPr>
    </w:p>
    <w:p w:rsidR="0004795A" w:rsidRPr="002E60EB" w:rsidRDefault="000F3982" w:rsidP="00615D3A">
      <w:pPr>
        <w:numPr>
          <w:ilvl w:val="0"/>
          <w:numId w:val="1"/>
        </w:numPr>
        <w:tabs>
          <w:tab w:val="clear" w:pos="1427"/>
        </w:tabs>
        <w:autoSpaceDE w:val="0"/>
        <w:autoSpaceDN w:val="0"/>
        <w:adjustRightInd w:val="0"/>
        <w:jc w:val="both"/>
        <w:rPr>
          <w:lang w:val="en-US"/>
        </w:rPr>
      </w:pPr>
      <w:r w:rsidRPr="002E60EB">
        <w:rPr>
          <w:rFonts w:eastAsia="Calibri"/>
          <w:lang w:val="en-US"/>
        </w:rPr>
        <w:t>In addition</w:t>
      </w:r>
      <w:r w:rsidR="0004795A" w:rsidRPr="002E60EB">
        <w:rPr>
          <w:rFonts w:eastAsia="Calibri"/>
          <w:lang w:val="en-US"/>
        </w:rPr>
        <w:t xml:space="preserve">, the Court </w:t>
      </w:r>
      <w:r w:rsidR="00E7159A" w:rsidRPr="002E60EB">
        <w:rPr>
          <w:rFonts w:eastAsia="Calibri"/>
          <w:lang w:val="en-US"/>
        </w:rPr>
        <w:t>emphasizes that, in S</w:t>
      </w:r>
      <w:r w:rsidR="00FD2149" w:rsidRPr="002E60EB">
        <w:rPr>
          <w:rFonts w:eastAsia="Calibri"/>
          <w:lang w:val="en-US"/>
        </w:rPr>
        <w:t xml:space="preserve">eptember 1996, </w:t>
      </w:r>
      <w:r w:rsidR="0004795A" w:rsidRPr="002E60EB">
        <w:rPr>
          <w:lang w:val="en-US"/>
        </w:rPr>
        <w:t xml:space="preserve">Mateo Vélez Román </w:t>
      </w:r>
      <w:r w:rsidR="00FD2149" w:rsidRPr="002E60EB">
        <w:rPr>
          <w:lang w:val="en-US"/>
        </w:rPr>
        <w:t xml:space="preserve">was four years and eight months old and Juliana Vélez Román was 18 months old. </w:t>
      </w:r>
      <w:r w:rsidR="0004795A" w:rsidRPr="002E60EB">
        <w:rPr>
          <w:lang w:val="en-US"/>
        </w:rPr>
        <w:t xml:space="preserve">This </w:t>
      </w:r>
      <w:r w:rsidR="00D00C5F" w:rsidRPr="002E60EB">
        <w:rPr>
          <w:lang w:val="en-US"/>
        </w:rPr>
        <w:t>Court</w:t>
      </w:r>
      <w:r w:rsidR="0004795A" w:rsidRPr="002E60EB">
        <w:rPr>
          <w:lang w:val="en-US"/>
        </w:rPr>
        <w:t xml:space="preserve"> has understood that</w:t>
      </w:r>
      <w:r w:rsidR="00FD2149" w:rsidRPr="002E60EB">
        <w:rPr>
          <w:lang w:val="en-US"/>
        </w:rPr>
        <w:t>, pursuant to</w:t>
      </w:r>
      <w:r w:rsidR="0004795A" w:rsidRPr="002E60EB">
        <w:rPr>
          <w:lang w:val="en-US"/>
        </w:rPr>
        <w:t xml:space="preserve"> Article 19 of the American Convention</w:t>
      </w:r>
      <w:r w:rsidR="00FD2149" w:rsidRPr="002E60EB">
        <w:rPr>
          <w:lang w:val="en-US"/>
        </w:rPr>
        <w:t>,</w:t>
      </w:r>
      <w:r w:rsidR="0004795A" w:rsidRPr="002E60EB">
        <w:rPr>
          <w:lang w:val="en-US"/>
        </w:rPr>
        <w:t xml:space="preserve"> the State is </w:t>
      </w:r>
      <w:r w:rsidR="00FD2149" w:rsidRPr="002E60EB">
        <w:rPr>
          <w:lang w:val="en-US"/>
        </w:rPr>
        <w:t xml:space="preserve">obliged to promote </w:t>
      </w:r>
      <w:r w:rsidR="0004795A" w:rsidRPr="002E60EB">
        <w:rPr>
          <w:lang w:val="en-US"/>
        </w:rPr>
        <w:t xml:space="preserve">special measures </w:t>
      </w:r>
      <w:r w:rsidR="00FD2149" w:rsidRPr="002E60EB">
        <w:rPr>
          <w:lang w:val="en-US"/>
        </w:rPr>
        <w:t>of protection in keeping with</w:t>
      </w:r>
      <w:r w:rsidR="0004795A" w:rsidRPr="002E60EB">
        <w:rPr>
          <w:lang w:val="en-US"/>
        </w:rPr>
        <w:t xml:space="preserve"> the </w:t>
      </w:r>
      <w:r w:rsidR="00FD2149" w:rsidRPr="002E60EB">
        <w:rPr>
          <w:lang w:val="en-US"/>
        </w:rPr>
        <w:t xml:space="preserve">principle of the </w:t>
      </w:r>
      <w:r w:rsidR="0004795A" w:rsidRPr="002E60EB">
        <w:rPr>
          <w:lang w:val="en-US"/>
        </w:rPr>
        <w:t>best interests</w:t>
      </w:r>
      <w:r w:rsidR="00FD2149" w:rsidRPr="002E60EB">
        <w:rPr>
          <w:lang w:val="en-US"/>
        </w:rPr>
        <w:t xml:space="preserve"> of the child</w:t>
      </w:r>
      <w:r w:rsidR="0004795A" w:rsidRPr="002E60EB">
        <w:rPr>
          <w:lang w:val="en-US"/>
        </w:rPr>
        <w:t>,</w:t>
      </w:r>
      <w:r w:rsidR="00FD2149" w:rsidRPr="002E60EB">
        <w:rPr>
          <w:rStyle w:val="Refdenotaalpie"/>
          <w:lang w:val="en-US"/>
        </w:rPr>
        <w:footnoteReference w:id="221"/>
      </w:r>
      <w:r w:rsidR="0004795A" w:rsidRPr="002E60EB">
        <w:rPr>
          <w:lang w:val="en-US"/>
        </w:rPr>
        <w:t xml:space="preserve"> assuming its position of guarantor with </w:t>
      </w:r>
      <w:r w:rsidR="00FD2149" w:rsidRPr="002E60EB">
        <w:rPr>
          <w:lang w:val="en-US"/>
        </w:rPr>
        <w:t>increased</w:t>
      </w:r>
      <w:r w:rsidR="0004795A" w:rsidRPr="002E60EB">
        <w:rPr>
          <w:lang w:val="en-US"/>
        </w:rPr>
        <w:t xml:space="preserve"> care and responsibility</w:t>
      </w:r>
      <w:r w:rsidR="00FD2149" w:rsidRPr="002E60EB">
        <w:rPr>
          <w:lang w:val="en-US"/>
        </w:rPr>
        <w:t>,</w:t>
      </w:r>
      <w:r w:rsidR="00FD2149" w:rsidRPr="002E60EB">
        <w:rPr>
          <w:rStyle w:val="Refdenotaalpie"/>
          <w:lang w:val="en-US"/>
        </w:rPr>
        <w:footnoteReference w:id="222"/>
      </w:r>
      <w:r w:rsidR="0004795A" w:rsidRPr="002E60EB">
        <w:rPr>
          <w:lang w:val="en-US"/>
        </w:rPr>
        <w:t xml:space="preserve"> </w:t>
      </w:r>
      <w:r w:rsidR="00FD2149" w:rsidRPr="002E60EB">
        <w:rPr>
          <w:lang w:val="en-US"/>
        </w:rPr>
        <w:t>based on</w:t>
      </w:r>
      <w:r w:rsidR="0004795A" w:rsidRPr="002E60EB">
        <w:rPr>
          <w:lang w:val="en-US"/>
        </w:rPr>
        <w:t xml:space="preserve"> their special condition of vulnerability.</w:t>
      </w:r>
      <w:r w:rsidR="00FD2149" w:rsidRPr="002E60EB">
        <w:rPr>
          <w:rStyle w:val="Refdenotaalpie"/>
          <w:lang w:val="en-US"/>
        </w:rPr>
        <w:footnoteReference w:id="223"/>
      </w:r>
      <w:r w:rsidR="0004795A" w:rsidRPr="002E60EB">
        <w:rPr>
          <w:lang w:val="en-US"/>
        </w:rPr>
        <w:t xml:space="preserve"> The Court has established that children have special rights that </w:t>
      </w:r>
      <w:r w:rsidR="00FD2149" w:rsidRPr="002E60EB">
        <w:rPr>
          <w:lang w:val="en-US"/>
        </w:rPr>
        <w:t>correspond to</w:t>
      </w:r>
      <w:r w:rsidR="0004795A" w:rsidRPr="002E60EB">
        <w:rPr>
          <w:lang w:val="en-US"/>
        </w:rPr>
        <w:t xml:space="preserve"> specific duties for the</w:t>
      </w:r>
      <w:r w:rsidR="00FD2149" w:rsidRPr="002E60EB">
        <w:rPr>
          <w:lang w:val="en-US"/>
        </w:rPr>
        <w:t xml:space="preserve"> family, society,</w:t>
      </w:r>
      <w:r w:rsidR="0004795A" w:rsidRPr="002E60EB">
        <w:rPr>
          <w:lang w:val="en-US"/>
        </w:rPr>
        <w:t xml:space="preserve"> and the State. </w:t>
      </w:r>
      <w:r w:rsidR="00FD2149" w:rsidRPr="002E60EB">
        <w:rPr>
          <w:lang w:val="en-US"/>
        </w:rPr>
        <w:t xml:space="preserve">Furthermore, their condition demands </w:t>
      </w:r>
      <w:r w:rsidR="0004795A" w:rsidRPr="002E60EB">
        <w:rPr>
          <w:lang w:val="en-US"/>
        </w:rPr>
        <w:t xml:space="preserve">special protection from the latter that must be understood as an additional right, complementary to the other rights </w:t>
      </w:r>
      <w:r w:rsidR="004F3232" w:rsidRPr="002E60EB">
        <w:rPr>
          <w:lang w:val="en-US"/>
        </w:rPr>
        <w:t xml:space="preserve">that </w:t>
      </w:r>
      <w:r w:rsidR="0004795A" w:rsidRPr="002E60EB">
        <w:rPr>
          <w:lang w:val="en-US"/>
        </w:rPr>
        <w:t xml:space="preserve">the Convention </w:t>
      </w:r>
      <w:r w:rsidR="004F3232" w:rsidRPr="002E60EB">
        <w:rPr>
          <w:lang w:val="en-US"/>
        </w:rPr>
        <w:t>recognizes</w:t>
      </w:r>
      <w:r w:rsidR="0004795A" w:rsidRPr="002E60EB">
        <w:rPr>
          <w:lang w:val="en-US"/>
        </w:rPr>
        <w:t xml:space="preserve"> </w:t>
      </w:r>
      <w:r w:rsidR="004F3232" w:rsidRPr="002E60EB">
        <w:rPr>
          <w:lang w:val="en-US"/>
        </w:rPr>
        <w:t>to</w:t>
      </w:r>
      <w:r w:rsidR="0004795A" w:rsidRPr="002E60EB">
        <w:rPr>
          <w:lang w:val="en-US"/>
        </w:rPr>
        <w:t xml:space="preserve"> every </w:t>
      </w:r>
      <w:r w:rsidR="004F3232" w:rsidRPr="002E60EB">
        <w:rPr>
          <w:lang w:val="en-US"/>
        </w:rPr>
        <w:t>individual</w:t>
      </w:r>
      <w:r w:rsidR="0004795A" w:rsidRPr="002E60EB">
        <w:rPr>
          <w:lang w:val="en-US"/>
        </w:rPr>
        <w:t>.</w:t>
      </w:r>
      <w:r w:rsidR="004F3232" w:rsidRPr="002E60EB">
        <w:rPr>
          <w:rStyle w:val="Refdenotaalpie"/>
          <w:rFonts w:eastAsia="Times"/>
          <w:lang w:val="en-US"/>
        </w:rPr>
        <w:footnoteReference w:id="224"/>
      </w:r>
      <w:r w:rsidR="0004795A" w:rsidRPr="002E60EB">
        <w:rPr>
          <w:lang w:val="en-US"/>
        </w:rPr>
        <w:t xml:space="preserve"> </w:t>
      </w:r>
      <w:r w:rsidR="004F3232" w:rsidRPr="002E60EB">
        <w:rPr>
          <w:lang w:val="en-US"/>
        </w:rPr>
        <w:t>T</w:t>
      </w:r>
      <w:r w:rsidR="0004795A" w:rsidRPr="002E60EB">
        <w:rPr>
          <w:lang w:val="en-US"/>
        </w:rPr>
        <w:t xml:space="preserve">he State </w:t>
      </w:r>
      <w:r w:rsidR="004F3232" w:rsidRPr="002E60EB">
        <w:rPr>
          <w:lang w:val="en-US"/>
        </w:rPr>
        <w:t xml:space="preserve">also </w:t>
      </w:r>
      <w:r w:rsidR="0004795A" w:rsidRPr="002E60EB">
        <w:rPr>
          <w:lang w:val="en-US"/>
        </w:rPr>
        <w:t xml:space="preserve">has the </w:t>
      </w:r>
      <w:r w:rsidR="004F3232" w:rsidRPr="002E60EB">
        <w:rPr>
          <w:lang w:val="en-US"/>
        </w:rPr>
        <w:t>obligation</w:t>
      </w:r>
      <w:r w:rsidR="0004795A" w:rsidRPr="002E60EB">
        <w:rPr>
          <w:lang w:val="en-US"/>
        </w:rPr>
        <w:t xml:space="preserve"> to adopt all positive measures to </w:t>
      </w:r>
      <w:r w:rsidR="004F3232" w:rsidRPr="002E60EB">
        <w:rPr>
          <w:lang w:val="en-US"/>
        </w:rPr>
        <w:t>ensure</w:t>
      </w:r>
      <w:r w:rsidR="0004795A" w:rsidRPr="002E60EB">
        <w:rPr>
          <w:lang w:val="en-US"/>
        </w:rPr>
        <w:t xml:space="preserve"> the full </w:t>
      </w:r>
      <w:r w:rsidR="004F3232" w:rsidRPr="002E60EB">
        <w:rPr>
          <w:lang w:val="en-US"/>
        </w:rPr>
        <w:t>exercise</w:t>
      </w:r>
      <w:r w:rsidR="0004795A" w:rsidRPr="002E60EB">
        <w:rPr>
          <w:lang w:val="en-US"/>
        </w:rPr>
        <w:t xml:space="preserve"> of the rights of the child.</w:t>
      </w:r>
      <w:r w:rsidR="004F3232" w:rsidRPr="002E60EB">
        <w:rPr>
          <w:rStyle w:val="Refdenotaalpie"/>
          <w:lang w:val="en-US"/>
        </w:rPr>
        <w:footnoteReference w:id="225"/>
      </w:r>
      <w:r w:rsidR="0004795A" w:rsidRPr="002E60EB">
        <w:rPr>
          <w:lang w:val="en-US"/>
        </w:rPr>
        <w:t xml:space="preserve"> </w:t>
      </w:r>
    </w:p>
    <w:p w:rsidR="004F3232" w:rsidRPr="002E60EB" w:rsidRDefault="004F3232" w:rsidP="004F3232">
      <w:pPr>
        <w:pStyle w:val="Prrafodelista"/>
        <w:rPr>
          <w:sz w:val="20"/>
          <w:szCs w:val="20"/>
          <w:lang w:val="en-US"/>
        </w:rPr>
      </w:pPr>
    </w:p>
    <w:p w:rsidR="0004795A" w:rsidRPr="002E60EB" w:rsidRDefault="0004795A" w:rsidP="00615D3A">
      <w:pPr>
        <w:numPr>
          <w:ilvl w:val="0"/>
          <w:numId w:val="1"/>
        </w:numPr>
        <w:tabs>
          <w:tab w:val="clear" w:pos="1427"/>
        </w:tabs>
        <w:autoSpaceDE w:val="0"/>
        <w:autoSpaceDN w:val="0"/>
        <w:adjustRightInd w:val="0"/>
        <w:jc w:val="both"/>
        <w:rPr>
          <w:lang w:val="en-US"/>
        </w:rPr>
      </w:pPr>
      <w:r w:rsidRPr="002E60EB">
        <w:rPr>
          <w:lang w:val="en-US"/>
        </w:rPr>
        <w:t xml:space="preserve">It is especially important for this case to recall that the Court has established that </w:t>
      </w:r>
      <w:r w:rsidR="00087093" w:rsidRPr="002E60EB">
        <w:rPr>
          <w:lang w:val="en-US"/>
        </w:rPr>
        <w:t>“</w:t>
      </w:r>
      <w:r w:rsidRPr="002E60EB">
        <w:rPr>
          <w:lang w:val="en-US"/>
        </w:rPr>
        <w:t xml:space="preserve">[t]he child has the right to live with his family, </w:t>
      </w:r>
      <w:r w:rsidR="004F3232" w:rsidRPr="002E60EB">
        <w:rPr>
          <w:lang w:val="en-US"/>
        </w:rPr>
        <w:t xml:space="preserve">which is </w:t>
      </w:r>
      <w:r w:rsidRPr="002E60EB">
        <w:rPr>
          <w:lang w:val="en-US"/>
        </w:rPr>
        <w:t xml:space="preserve">called upon to satisfy his material, </w:t>
      </w:r>
      <w:r w:rsidR="004F3232" w:rsidRPr="002E60EB">
        <w:rPr>
          <w:lang w:val="en-US"/>
        </w:rPr>
        <w:t>affective, and psychological needs.</w:t>
      </w:r>
      <w:r w:rsidR="00087093" w:rsidRPr="002E60EB">
        <w:rPr>
          <w:lang w:val="en-US"/>
        </w:rPr>
        <w:t>”</w:t>
      </w:r>
      <w:r w:rsidR="004F3232" w:rsidRPr="002E60EB">
        <w:rPr>
          <w:rStyle w:val="Refdenotaalpie"/>
          <w:lang w:val="en-US"/>
        </w:rPr>
        <w:footnoteReference w:id="226"/>
      </w:r>
    </w:p>
    <w:p w:rsidR="004F3232" w:rsidRPr="002E60EB" w:rsidRDefault="004F3232" w:rsidP="00615D3A">
      <w:pPr>
        <w:pStyle w:val="Prrafodelista"/>
        <w:rPr>
          <w:sz w:val="20"/>
          <w:szCs w:val="20"/>
          <w:lang w:val="en-US"/>
        </w:rPr>
      </w:pPr>
    </w:p>
    <w:p w:rsidR="0004795A" w:rsidRPr="002E60EB" w:rsidRDefault="0004795A" w:rsidP="00615D3A">
      <w:pPr>
        <w:numPr>
          <w:ilvl w:val="0"/>
          <w:numId w:val="1"/>
        </w:numPr>
        <w:tabs>
          <w:tab w:val="clear" w:pos="1427"/>
        </w:tabs>
        <w:autoSpaceDE w:val="0"/>
        <w:autoSpaceDN w:val="0"/>
        <w:adjustRightInd w:val="0"/>
        <w:jc w:val="both"/>
        <w:rPr>
          <w:lang w:val="en-US"/>
        </w:rPr>
      </w:pPr>
      <w:r w:rsidRPr="002E60EB">
        <w:rPr>
          <w:lang w:val="en-US"/>
        </w:rPr>
        <w:t>The Court considers that the threats and harass</w:t>
      </w:r>
      <w:r w:rsidR="004F3232" w:rsidRPr="002E60EB">
        <w:rPr>
          <w:lang w:val="en-US"/>
        </w:rPr>
        <w:t>ment</w:t>
      </w:r>
      <w:r w:rsidRPr="002E60EB">
        <w:rPr>
          <w:lang w:val="en-US"/>
        </w:rPr>
        <w:t xml:space="preserve"> against Mr. Vélez Restrepo and his </w:t>
      </w:r>
      <w:r w:rsidR="004F3232" w:rsidRPr="002E60EB">
        <w:rPr>
          <w:lang w:val="en-US"/>
        </w:rPr>
        <w:t>family</w:t>
      </w:r>
      <w:r w:rsidRPr="002E60EB">
        <w:rPr>
          <w:lang w:val="en-US"/>
        </w:rPr>
        <w:t xml:space="preserve"> as of September 1996 and the </w:t>
      </w:r>
      <w:r w:rsidR="004F3232" w:rsidRPr="002E60EB">
        <w:rPr>
          <w:lang w:val="en-US"/>
        </w:rPr>
        <w:t>failure to adopt</w:t>
      </w:r>
      <w:r w:rsidRPr="002E60EB">
        <w:rPr>
          <w:lang w:val="en-US"/>
        </w:rPr>
        <w:t xml:space="preserve"> opportune protection measures </w:t>
      </w:r>
      <w:r w:rsidR="004F3232" w:rsidRPr="002E60EB">
        <w:rPr>
          <w:lang w:val="en-US"/>
        </w:rPr>
        <w:t>entailed</w:t>
      </w:r>
      <w:r w:rsidRPr="002E60EB">
        <w:rPr>
          <w:lang w:val="en-US"/>
        </w:rPr>
        <w:t xml:space="preserve"> the State’s failure to comply with its obligation to </w:t>
      </w:r>
      <w:r w:rsidR="004F3232" w:rsidRPr="002E60EB">
        <w:rPr>
          <w:lang w:val="en-US"/>
        </w:rPr>
        <w:t xml:space="preserve">provide </w:t>
      </w:r>
      <w:r w:rsidRPr="002E60EB">
        <w:rPr>
          <w:lang w:val="en-US"/>
        </w:rPr>
        <w:t>protect</w:t>
      </w:r>
      <w:r w:rsidR="004F3232" w:rsidRPr="002E60EB">
        <w:rPr>
          <w:lang w:val="en-US"/>
        </w:rPr>
        <w:t>ion</w:t>
      </w:r>
      <w:r w:rsidRPr="002E60EB">
        <w:rPr>
          <w:lang w:val="en-US"/>
        </w:rPr>
        <w:t xml:space="preserve"> against arbitrary or illegal interferences in the family. </w:t>
      </w:r>
      <w:r w:rsidR="004F3232" w:rsidRPr="002E60EB">
        <w:rPr>
          <w:lang w:val="en-US"/>
        </w:rPr>
        <w:t>In addition,</w:t>
      </w:r>
      <w:r w:rsidRPr="002E60EB">
        <w:rPr>
          <w:lang w:val="en-US"/>
        </w:rPr>
        <w:t xml:space="preserve"> the Court </w:t>
      </w:r>
      <w:r w:rsidR="004F3232" w:rsidRPr="002E60EB">
        <w:rPr>
          <w:lang w:val="en-US"/>
        </w:rPr>
        <w:t>finds</w:t>
      </w:r>
      <w:r w:rsidRPr="002E60EB">
        <w:rPr>
          <w:lang w:val="en-US"/>
        </w:rPr>
        <w:t xml:space="preserve"> that</w:t>
      </w:r>
      <w:r w:rsidR="004F3232" w:rsidRPr="002E60EB">
        <w:rPr>
          <w:lang w:val="en-US"/>
        </w:rPr>
        <w:t xml:space="preserve"> since Mr. Vélez Restrepo had to leave the country first and the </w:t>
      </w:r>
      <w:r w:rsidRPr="002E60EB">
        <w:rPr>
          <w:lang w:val="en-US"/>
        </w:rPr>
        <w:t>Vélez Román family</w:t>
      </w:r>
      <w:r w:rsidR="004F3232" w:rsidRPr="002E60EB">
        <w:rPr>
          <w:lang w:val="en-US"/>
        </w:rPr>
        <w:t xml:space="preserve"> was separated for almost a year, the enjoyment of coexistence between the members of this family was severely affected. Mr. Vélez Restrepo had to leave the country first, and the family was able to </w:t>
      </w:r>
      <w:r w:rsidRPr="002E60EB">
        <w:rPr>
          <w:lang w:val="en-US"/>
        </w:rPr>
        <w:t xml:space="preserve">reunite once they obtained the approval of the </w:t>
      </w:r>
      <w:r w:rsidR="004F3232" w:rsidRPr="002E60EB">
        <w:rPr>
          <w:lang w:val="en-US"/>
        </w:rPr>
        <w:t xml:space="preserve">asylum </w:t>
      </w:r>
      <w:r w:rsidRPr="002E60EB">
        <w:rPr>
          <w:lang w:val="en-US"/>
        </w:rPr>
        <w:t>request from the</w:t>
      </w:r>
      <w:r w:rsidR="00E7159A" w:rsidRPr="002E60EB">
        <w:rPr>
          <w:lang w:val="en-US"/>
        </w:rPr>
        <w:t xml:space="preserve"> United States</w:t>
      </w:r>
      <w:r w:rsidRPr="002E60EB">
        <w:rPr>
          <w:lang w:val="en-US"/>
        </w:rPr>
        <w:t xml:space="preserve"> authorities. </w:t>
      </w:r>
    </w:p>
    <w:p w:rsidR="004F3232" w:rsidRPr="002E60EB" w:rsidRDefault="004F3232" w:rsidP="004F3232">
      <w:pPr>
        <w:pStyle w:val="Prrafodelista"/>
        <w:rPr>
          <w:sz w:val="20"/>
          <w:szCs w:val="20"/>
          <w:lang w:val="en-US"/>
        </w:rPr>
      </w:pPr>
    </w:p>
    <w:p w:rsidR="0004795A" w:rsidRPr="002E60EB" w:rsidRDefault="0004795A" w:rsidP="00615D3A">
      <w:pPr>
        <w:numPr>
          <w:ilvl w:val="0"/>
          <w:numId w:val="1"/>
        </w:numPr>
        <w:tabs>
          <w:tab w:val="clear" w:pos="1427"/>
        </w:tabs>
        <w:autoSpaceDE w:val="0"/>
        <w:autoSpaceDN w:val="0"/>
        <w:adjustRightInd w:val="0"/>
        <w:jc w:val="both"/>
        <w:rPr>
          <w:lang w:val="en-US"/>
        </w:rPr>
      </w:pPr>
      <w:r w:rsidRPr="002E60EB">
        <w:rPr>
          <w:lang w:val="en-US"/>
        </w:rPr>
        <w:t xml:space="preserve">During that entire time, Mr. Vélez Restrepo had to remain alone in the United States of America, while </w:t>
      </w:r>
      <w:r w:rsidR="004F3232" w:rsidRPr="002E60EB">
        <w:rPr>
          <w:lang w:val="en-US"/>
        </w:rPr>
        <w:t>he</w:t>
      </w:r>
      <w:r w:rsidRPr="002E60EB">
        <w:rPr>
          <w:lang w:val="en-US"/>
        </w:rPr>
        <w:t xml:space="preserve"> waited for </w:t>
      </w:r>
      <w:r w:rsidR="00615D3A" w:rsidRPr="002E60EB">
        <w:rPr>
          <w:lang w:val="en-US"/>
        </w:rPr>
        <w:t>this</w:t>
      </w:r>
      <w:r w:rsidR="004F3232" w:rsidRPr="002E60EB">
        <w:rPr>
          <w:lang w:val="en-US"/>
        </w:rPr>
        <w:t xml:space="preserve"> approval. This</w:t>
      </w:r>
      <w:r w:rsidRPr="002E60EB">
        <w:rPr>
          <w:lang w:val="en-US"/>
        </w:rPr>
        <w:t xml:space="preserve"> meant that Mrs. </w:t>
      </w:r>
      <w:r w:rsidRPr="002E60EB">
        <w:rPr>
          <w:rFonts w:eastAsia="Calibri"/>
          <w:lang w:val="en-US"/>
        </w:rPr>
        <w:t xml:space="preserve">Román Amariles had to take care of </w:t>
      </w:r>
      <w:r w:rsidR="004F3232" w:rsidRPr="002E60EB">
        <w:rPr>
          <w:rFonts w:eastAsia="Calibri"/>
          <w:lang w:val="en-US"/>
        </w:rPr>
        <w:t>their</w:t>
      </w:r>
      <w:r w:rsidRPr="002E60EB">
        <w:rPr>
          <w:rFonts w:eastAsia="Calibri"/>
          <w:lang w:val="en-US"/>
        </w:rPr>
        <w:t xml:space="preserve"> children</w:t>
      </w:r>
      <w:r w:rsidR="00D7198E" w:rsidRPr="002E60EB">
        <w:rPr>
          <w:rFonts w:eastAsia="Calibri"/>
          <w:lang w:val="en-US"/>
        </w:rPr>
        <w:t xml:space="preserve"> M</w:t>
      </w:r>
      <w:r w:rsidR="004F3232" w:rsidRPr="002E60EB">
        <w:rPr>
          <w:rFonts w:eastAsia="Calibri"/>
          <w:lang w:val="en-US"/>
        </w:rPr>
        <w:t>ateo and Juliana</w:t>
      </w:r>
      <w:r w:rsidR="00615D3A" w:rsidRPr="002E60EB">
        <w:rPr>
          <w:rFonts w:eastAsia="Calibri"/>
          <w:lang w:val="en-US"/>
        </w:rPr>
        <w:t xml:space="preserve"> under</w:t>
      </w:r>
      <w:r w:rsidRPr="002E60EB">
        <w:rPr>
          <w:rFonts w:eastAsia="Calibri"/>
          <w:lang w:val="en-US"/>
        </w:rPr>
        <w:t xml:space="preserve"> </w:t>
      </w:r>
      <w:r w:rsidR="004F3232" w:rsidRPr="002E60EB">
        <w:rPr>
          <w:rFonts w:eastAsia="Calibri"/>
          <w:lang w:val="en-US"/>
        </w:rPr>
        <w:t>particularly</w:t>
      </w:r>
      <w:r w:rsidRPr="002E60EB">
        <w:rPr>
          <w:rFonts w:eastAsia="Calibri"/>
          <w:lang w:val="en-US"/>
        </w:rPr>
        <w:t xml:space="preserve"> difficult </w:t>
      </w:r>
      <w:r w:rsidR="00D7198E" w:rsidRPr="002E60EB">
        <w:rPr>
          <w:rFonts w:eastAsia="Calibri"/>
          <w:lang w:val="en-US"/>
        </w:rPr>
        <w:t xml:space="preserve">emotional and financial </w:t>
      </w:r>
      <w:r w:rsidRPr="002E60EB">
        <w:rPr>
          <w:rFonts w:eastAsia="Calibri"/>
          <w:lang w:val="en-US"/>
        </w:rPr>
        <w:t>c</w:t>
      </w:r>
      <w:r w:rsidR="004F3232" w:rsidRPr="002E60EB">
        <w:rPr>
          <w:rFonts w:eastAsia="Calibri"/>
          <w:lang w:val="en-US"/>
        </w:rPr>
        <w:t>ircumstances</w:t>
      </w:r>
      <w:r w:rsidRPr="002E60EB">
        <w:rPr>
          <w:rFonts w:eastAsia="Calibri"/>
          <w:lang w:val="en-US"/>
        </w:rPr>
        <w:t xml:space="preserve">, </w:t>
      </w:r>
      <w:r w:rsidR="00D7198E" w:rsidRPr="002E60EB">
        <w:rPr>
          <w:rFonts w:eastAsia="Calibri"/>
          <w:lang w:val="en-US"/>
        </w:rPr>
        <w:t>as well as in</w:t>
      </w:r>
      <w:r w:rsidRPr="002E60EB">
        <w:rPr>
          <w:rFonts w:eastAsia="Calibri"/>
          <w:lang w:val="en-US"/>
        </w:rPr>
        <w:t xml:space="preserve">security. They had to leave their home in Bogotá without their belongings and </w:t>
      </w:r>
      <w:r w:rsidR="005870C4" w:rsidRPr="002E60EB">
        <w:rPr>
          <w:rFonts w:eastAsia="Calibri"/>
          <w:lang w:val="en-US"/>
        </w:rPr>
        <w:t>move</w:t>
      </w:r>
      <w:r w:rsidRPr="002E60EB">
        <w:rPr>
          <w:rFonts w:eastAsia="Calibri"/>
          <w:lang w:val="en-US"/>
        </w:rPr>
        <w:t xml:space="preserve"> to Medellín to live in the homes of family members. According to the </w:t>
      </w:r>
      <w:r w:rsidR="005870C4" w:rsidRPr="002E60EB">
        <w:rPr>
          <w:rFonts w:eastAsia="Calibri"/>
          <w:lang w:val="en-US"/>
        </w:rPr>
        <w:t>testimony of</w:t>
      </w:r>
      <w:r w:rsidRPr="002E60EB">
        <w:rPr>
          <w:rFonts w:eastAsia="Calibri"/>
          <w:lang w:val="en-US"/>
        </w:rPr>
        <w:t xml:space="preserve"> Mrs. </w:t>
      </w:r>
      <w:r w:rsidRPr="002E60EB">
        <w:rPr>
          <w:lang w:val="en-US"/>
        </w:rPr>
        <w:t xml:space="preserve">Román Amariles, she was very afraid for </w:t>
      </w:r>
      <w:r w:rsidR="005870C4" w:rsidRPr="002E60EB">
        <w:rPr>
          <w:lang w:val="en-US"/>
        </w:rPr>
        <w:t>the</w:t>
      </w:r>
      <w:r w:rsidRPr="002E60EB">
        <w:rPr>
          <w:lang w:val="en-US"/>
        </w:rPr>
        <w:t xml:space="preserve"> safety </w:t>
      </w:r>
      <w:r w:rsidR="005870C4" w:rsidRPr="002E60EB">
        <w:rPr>
          <w:lang w:val="en-US"/>
        </w:rPr>
        <w:t xml:space="preserve">of herself </w:t>
      </w:r>
      <w:r w:rsidRPr="002E60EB">
        <w:rPr>
          <w:lang w:val="en-US"/>
        </w:rPr>
        <w:t xml:space="preserve">and her children </w:t>
      </w:r>
      <w:r w:rsidR="005870C4" w:rsidRPr="002E60EB">
        <w:rPr>
          <w:lang w:val="en-US"/>
        </w:rPr>
        <w:t xml:space="preserve">in view of </w:t>
      </w:r>
      <w:r w:rsidRPr="002E60EB">
        <w:rPr>
          <w:lang w:val="en-US"/>
        </w:rPr>
        <w:t xml:space="preserve">the possibility that the threats could </w:t>
      </w:r>
      <w:r w:rsidR="005870C4" w:rsidRPr="002E60EB">
        <w:rPr>
          <w:lang w:val="en-US"/>
        </w:rPr>
        <w:t>be carried out.</w:t>
      </w:r>
      <w:r w:rsidRPr="002E60EB">
        <w:rPr>
          <w:rFonts w:eastAsia="Calibri"/>
          <w:lang w:val="en-US"/>
        </w:rPr>
        <w:t xml:space="preserve"> </w:t>
      </w:r>
      <w:r w:rsidR="005870C4" w:rsidRPr="002E60EB">
        <w:rPr>
          <w:rFonts w:eastAsia="Calibri"/>
          <w:lang w:val="en-US"/>
        </w:rPr>
        <w:t>Even though</w:t>
      </w:r>
      <w:r w:rsidRPr="002E60EB">
        <w:rPr>
          <w:rFonts w:eastAsia="Calibri"/>
          <w:lang w:val="en-US"/>
        </w:rPr>
        <w:t xml:space="preserve"> Colombia stated </w:t>
      </w:r>
      <w:r w:rsidR="005870C4" w:rsidRPr="002E60EB">
        <w:rPr>
          <w:rFonts w:eastAsia="Calibri"/>
          <w:lang w:val="en-US"/>
        </w:rPr>
        <w:t xml:space="preserve">that </w:t>
      </w:r>
      <w:r w:rsidRPr="002E60EB">
        <w:rPr>
          <w:rFonts w:eastAsia="Calibri"/>
          <w:lang w:val="en-US"/>
        </w:rPr>
        <w:t xml:space="preserve">it had </w:t>
      </w:r>
      <w:r w:rsidR="005870C4" w:rsidRPr="002E60EB">
        <w:rPr>
          <w:rFonts w:eastAsia="Calibri"/>
          <w:lang w:val="en-US"/>
        </w:rPr>
        <w:t>offered financial assistance to</w:t>
      </w:r>
      <w:r w:rsidRPr="002E60EB">
        <w:rPr>
          <w:rFonts w:eastAsia="Calibri"/>
          <w:lang w:val="en-US"/>
        </w:rPr>
        <w:t xml:space="preserve"> the Vélez Roman family </w:t>
      </w:r>
      <w:r w:rsidR="005870C4" w:rsidRPr="002E60EB">
        <w:rPr>
          <w:rFonts w:eastAsia="Calibri"/>
          <w:lang w:val="en-US"/>
        </w:rPr>
        <w:t>for three months</w:t>
      </w:r>
      <w:r w:rsidRPr="002E60EB">
        <w:rPr>
          <w:rFonts w:eastAsia="Calibri"/>
          <w:lang w:val="en-US"/>
        </w:rPr>
        <w:t xml:space="preserve">, </w:t>
      </w:r>
      <w:r w:rsidR="005870C4" w:rsidRPr="002E60EB">
        <w:rPr>
          <w:rFonts w:eastAsia="Calibri"/>
          <w:lang w:val="en-US"/>
        </w:rPr>
        <w:t xml:space="preserve">this Court did not receive </w:t>
      </w:r>
      <w:r w:rsidRPr="002E60EB">
        <w:rPr>
          <w:rFonts w:eastAsia="Calibri"/>
          <w:lang w:val="en-US"/>
        </w:rPr>
        <w:t>sufficient evidence to prove that</w:t>
      </w:r>
      <w:r w:rsidR="005870C4" w:rsidRPr="002E60EB">
        <w:rPr>
          <w:rFonts w:eastAsia="Calibri"/>
          <w:lang w:val="en-US"/>
        </w:rPr>
        <w:t xml:space="preserve"> it had in fact provided this assistance to the family; to</w:t>
      </w:r>
      <w:r w:rsidRPr="002E60EB">
        <w:rPr>
          <w:rFonts w:eastAsia="Calibri"/>
          <w:lang w:val="en-US"/>
        </w:rPr>
        <w:t xml:space="preserve"> the contrary, in her </w:t>
      </w:r>
      <w:r w:rsidR="005870C4" w:rsidRPr="002E60EB">
        <w:rPr>
          <w:rFonts w:eastAsia="Calibri"/>
          <w:lang w:val="en-US"/>
        </w:rPr>
        <w:t>testimony,</w:t>
      </w:r>
      <w:r w:rsidRPr="002E60EB">
        <w:rPr>
          <w:rFonts w:eastAsia="Calibri"/>
          <w:lang w:val="en-US"/>
        </w:rPr>
        <w:t xml:space="preserve"> Mrs</w:t>
      </w:r>
      <w:r w:rsidR="005870C4" w:rsidRPr="002E60EB">
        <w:rPr>
          <w:rFonts w:eastAsia="Calibri"/>
          <w:lang w:val="en-US"/>
        </w:rPr>
        <w:t xml:space="preserve">. Román Amariles explained that, </w:t>
      </w:r>
      <w:r w:rsidRPr="002E60EB">
        <w:rPr>
          <w:rFonts w:eastAsia="Calibri"/>
          <w:lang w:val="en-US"/>
        </w:rPr>
        <w:t xml:space="preserve">since she did not have the </w:t>
      </w:r>
      <w:r w:rsidR="005870C4" w:rsidRPr="002E60EB">
        <w:rPr>
          <w:rFonts w:eastAsia="Calibri"/>
          <w:lang w:val="en-US"/>
        </w:rPr>
        <w:t>necessary financial</w:t>
      </w:r>
      <w:r w:rsidRPr="002E60EB">
        <w:rPr>
          <w:rFonts w:eastAsia="Calibri"/>
          <w:lang w:val="en-US"/>
        </w:rPr>
        <w:t xml:space="preserve"> resources </w:t>
      </w:r>
      <w:r w:rsidR="005870C4" w:rsidRPr="002E60EB">
        <w:rPr>
          <w:rFonts w:eastAsia="Calibri"/>
          <w:lang w:val="en-US"/>
        </w:rPr>
        <w:t xml:space="preserve">to maintain </w:t>
      </w:r>
      <w:r w:rsidRPr="002E60EB">
        <w:rPr>
          <w:rFonts w:eastAsia="Calibri"/>
          <w:lang w:val="en-US"/>
        </w:rPr>
        <w:t xml:space="preserve">her two children, she had to leave Mateo </w:t>
      </w:r>
      <w:r w:rsidR="005870C4" w:rsidRPr="002E60EB">
        <w:rPr>
          <w:rFonts w:eastAsia="Calibri"/>
          <w:lang w:val="en-US"/>
        </w:rPr>
        <w:t>with</w:t>
      </w:r>
      <w:r w:rsidRPr="002E60EB">
        <w:rPr>
          <w:rFonts w:eastAsia="Calibri"/>
          <w:lang w:val="en-US"/>
        </w:rPr>
        <w:t xml:space="preserve"> his paternal grandm</w:t>
      </w:r>
      <w:r w:rsidR="005870C4" w:rsidRPr="002E60EB">
        <w:rPr>
          <w:rFonts w:eastAsia="Calibri"/>
          <w:lang w:val="en-US"/>
        </w:rPr>
        <w:t xml:space="preserve">other and only visit him on </w:t>
      </w:r>
      <w:r w:rsidRPr="002E60EB">
        <w:rPr>
          <w:rFonts w:eastAsia="Calibri"/>
          <w:lang w:val="en-US"/>
        </w:rPr>
        <w:t>weekends</w:t>
      </w:r>
      <w:r w:rsidRPr="002E60EB">
        <w:rPr>
          <w:lang w:val="en-US"/>
        </w:rPr>
        <w:t xml:space="preserve">. </w:t>
      </w:r>
    </w:p>
    <w:p w:rsidR="005870C4" w:rsidRPr="002E60EB" w:rsidRDefault="005870C4" w:rsidP="005870C4">
      <w:pPr>
        <w:pStyle w:val="Prrafodelista"/>
        <w:rPr>
          <w:sz w:val="20"/>
          <w:szCs w:val="20"/>
          <w:lang w:val="en-US"/>
        </w:rPr>
      </w:pPr>
    </w:p>
    <w:p w:rsidR="00A15303" w:rsidRPr="002E60EB" w:rsidRDefault="0004795A" w:rsidP="00615D3A">
      <w:pPr>
        <w:numPr>
          <w:ilvl w:val="0"/>
          <w:numId w:val="1"/>
        </w:numPr>
        <w:tabs>
          <w:tab w:val="clear" w:pos="1427"/>
        </w:tabs>
        <w:autoSpaceDE w:val="0"/>
        <w:autoSpaceDN w:val="0"/>
        <w:adjustRightInd w:val="0"/>
        <w:jc w:val="both"/>
        <w:rPr>
          <w:lang w:val="en-US"/>
        </w:rPr>
      </w:pPr>
      <w:r w:rsidRPr="002E60EB">
        <w:rPr>
          <w:lang w:val="en-US"/>
        </w:rPr>
        <w:t>The Court considers that those facts specifically violate the right of the boy</w:t>
      </w:r>
      <w:r w:rsidR="00A15303" w:rsidRPr="002E60EB">
        <w:rPr>
          <w:lang w:val="en-US"/>
        </w:rPr>
        <w:t>,</w:t>
      </w:r>
      <w:r w:rsidRPr="002E60EB">
        <w:rPr>
          <w:lang w:val="en-US"/>
        </w:rPr>
        <w:t xml:space="preserve"> </w:t>
      </w:r>
      <w:r w:rsidRPr="002E60EB">
        <w:rPr>
          <w:rFonts w:eastAsia="Times"/>
          <w:lang w:val="en-US"/>
        </w:rPr>
        <w:t>Mateo</w:t>
      </w:r>
      <w:r w:rsidR="00A15303" w:rsidRPr="002E60EB">
        <w:rPr>
          <w:rFonts w:eastAsia="Times"/>
          <w:lang w:val="en-US"/>
        </w:rPr>
        <w:t>,</w:t>
      </w:r>
      <w:r w:rsidRPr="002E60EB">
        <w:rPr>
          <w:rFonts w:eastAsia="Times"/>
          <w:lang w:val="en-US"/>
        </w:rPr>
        <w:t xml:space="preserve"> and the girl</w:t>
      </w:r>
      <w:r w:rsidR="00A15303" w:rsidRPr="002E60EB">
        <w:rPr>
          <w:rFonts w:eastAsia="Times"/>
          <w:lang w:val="en-US"/>
        </w:rPr>
        <w:t>,</w:t>
      </w:r>
      <w:r w:rsidRPr="002E60EB">
        <w:rPr>
          <w:rFonts w:eastAsia="Times"/>
          <w:lang w:val="en-US"/>
        </w:rPr>
        <w:t xml:space="preserve"> Juliana</w:t>
      </w:r>
      <w:r w:rsidR="00A15303" w:rsidRPr="002E60EB">
        <w:rPr>
          <w:rFonts w:eastAsia="Times"/>
          <w:lang w:val="en-US"/>
        </w:rPr>
        <w:t>,</w:t>
      </w:r>
      <w:r w:rsidRPr="002E60EB">
        <w:rPr>
          <w:rFonts w:eastAsia="Times"/>
          <w:lang w:val="en-US"/>
        </w:rPr>
        <w:t xml:space="preserve"> to</w:t>
      </w:r>
      <w:r w:rsidR="00A15303" w:rsidRPr="002E60EB">
        <w:rPr>
          <w:rFonts w:eastAsia="Times"/>
          <w:lang w:val="en-US"/>
        </w:rPr>
        <w:t xml:space="preserve"> live with their family and, </w:t>
      </w:r>
      <w:r w:rsidRPr="002E60EB">
        <w:rPr>
          <w:rFonts w:eastAsia="Times"/>
          <w:lang w:val="en-US"/>
        </w:rPr>
        <w:t xml:space="preserve">consequently </w:t>
      </w:r>
      <w:r w:rsidR="00A15303" w:rsidRPr="002E60EB">
        <w:rPr>
          <w:rFonts w:eastAsia="Times"/>
          <w:lang w:val="en-US"/>
        </w:rPr>
        <w:t>to have</w:t>
      </w:r>
      <w:r w:rsidRPr="002E60EB">
        <w:rPr>
          <w:rFonts w:eastAsia="Times"/>
          <w:lang w:val="en-US"/>
        </w:rPr>
        <w:t xml:space="preserve"> their material, </w:t>
      </w:r>
      <w:r w:rsidR="00A15303" w:rsidRPr="002E60EB">
        <w:rPr>
          <w:rFonts w:eastAsia="Times"/>
          <w:lang w:val="en-US"/>
        </w:rPr>
        <w:t>affective</w:t>
      </w:r>
      <w:r w:rsidRPr="002E60EB">
        <w:rPr>
          <w:rFonts w:eastAsia="Times"/>
          <w:lang w:val="en-US"/>
        </w:rPr>
        <w:t xml:space="preserve">, and psychological needs satisfied. </w:t>
      </w:r>
      <w:r w:rsidR="00A15303" w:rsidRPr="002E60EB">
        <w:rPr>
          <w:rFonts w:eastAsia="Times"/>
          <w:lang w:val="en-US"/>
        </w:rPr>
        <w:t>Also</w:t>
      </w:r>
      <w:r w:rsidRPr="002E60EB">
        <w:rPr>
          <w:rFonts w:eastAsia="Times"/>
          <w:lang w:val="en-US"/>
        </w:rPr>
        <w:t>, the evidence proves the se</w:t>
      </w:r>
      <w:r w:rsidR="00A15303" w:rsidRPr="002E60EB">
        <w:rPr>
          <w:rFonts w:eastAsia="Times"/>
          <w:lang w:val="en-US"/>
        </w:rPr>
        <w:t>verity</w:t>
      </w:r>
      <w:r w:rsidRPr="002E60EB">
        <w:rPr>
          <w:rFonts w:eastAsia="Times"/>
          <w:lang w:val="en-US"/>
        </w:rPr>
        <w:t xml:space="preserve"> of the consequences on the life and stability of the boy</w:t>
      </w:r>
      <w:r w:rsidR="00A15303" w:rsidRPr="002E60EB">
        <w:rPr>
          <w:rFonts w:eastAsia="Times"/>
          <w:lang w:val="en-US"/>
        </w:rPr>
        <w:t>,</w:t>
      </w:r>
      <w:r w:rsidRPr="002E60EB">
        <w:rPr>
          <w:rFonts w:eastAsia="Times"/>
          <w:lang w:val="en-US"/>
        </w:rPr>
        <w:t xml:space="preserve"> Mateo, who not only had to </w:t>
      </w:r>
      <w:r w:rsidR="00A15303" w:rsidRPr="002E60EB">
        <w:rPr>
          <w:rFonts w:eastAsia="Times"/>
          <w:lang w:val="en-US"/>
        </w:rPr>
        <w:t>experience</w:t>
      </w:r>
      <w:r w:rsidRPr="002E60EB">
        <w:rPr>
          <w:rFonts w:eastAsia="Times"/>
          <w:lang w:val="en-US"/>
        </w:rPr>
        <w:t xml:space="preserve"> the threats against his family, </w:t>
      </w:r>
      <w:r w:rsidR="00A15303" w:rsidRPr="002E60EB">
        <w:rPr>
          <w:rFonts w:eastAsia="Times"/>
          <w:lang w:val="en-US"/>
        </w:rPr>
        <w:t>and the move</w:t>
      </w:r>
      <w:r w:rsidRPr="002E60EB">
        <w:rPr>
          <w:rFonts w:eastAsia="Times"/>
          <w:lang w:val="en-US"/>
        </w:rPr>
        <w:t xml:space="preserve"> to a different home and city, but also the separation from his father</w:t>
      </w:r>
      <w:r w:rsidR="00A15303" w:rsidRPr="002E60EB">
        <w:rPr>
          <w:rFonts w:eastAsia="Times"/>
          <w:lang w:val="en-US"/>
        </w:rPr>
        <w:t>,</w:t>
      </w:r>
      <w:r w:rsidRPr="002E60EB">
        <w:rPr>
          <w:rFonts w:eastAsia="Times"/>
          <w:lang w:val="en-US"/>
        </w:rPr>
        <w:t xml:space="preserve"> and </w:t>
      </w:r>
      <w:r w:rsidR="00A15303" w:rsidRPr="002E60EB">
        <w:rPr>
          <w:rFonts w:eastAsia="Times"/>
          <w:lang w:val="en-US"/>
        </w:rPr>
        <w:t xml:space="preserve">from his </w:t>
      </w:r>
      <w:r w:rsidRPr="002E60EB">
        <w:rPr>
          <w:rFonts w:eastAsia="Times"/>
          <w:lang w:val="en-US"/>
        </w:rPr>
        <w:t xml:space="preserve">mother and sister. </w:t>
      </w:r>
      <w:r w:rsidR="00615D3A" w:rsidRPr="002E60EB">
        <w:rPr>
          <w:rFonts w:eastAsia="Times"/>
          <w:lang w:val="en-US"/>
        </w:rPr>
        <w:t>P</w:t>
      </w:r>
      <w:r w:rsidRPr="002E60EB">
        <w:rPr>
          <w:rFonts w:eastAsia="Times"/>
          <w:lang w:val="en-US"/>
        </w:rPr>
        <w:t>sychiatrist Kessler</w:t>
      </w:r>
      <w:r w:rsidR="00615D3A" w:rsidRPr="002E60EB">
        <w:rPr>
          <w:rFonts w:eastAsia="Times"/>
          <w:lang w:val="en-US"/>
        </w:rPr>
        <w:t>’s expert opinion</w:t>
      </w:r>
      <w:r w:rsidRPr="002E60EB">
        <w:rPr>
          <w:rFonts w:eastAsia="Times"/>
          <w:lang w:val="en-US"/>
        </w:rPr>
        <w:t xml:space="preserve"> </w:t>
      </w:r>
      <w:r w:rsidR="00A15303" w:rsidRPr="002E60EB">
        <w:rPr>
          <w:rFonts w:eastAsia="Times"/>
          <w:lang w:val="en-US"/>
        </w:rPr>
        <w:t>reveals</w:t>
      </w:r>
      <w:r w:rsidRPr="002E60EB">
        <w:rPr>
          <w:rFonts w:eastAsia="Times"/>
          <w:lang w:val="en-US"/>
        </w:rPr>
        <w:t xml:space="preserve"> that this separation </w:t>
      </w:r>
      <w:r w:rsidR="00A15303" w:rsidRPr="002E60EB">
        <w:rPr>
          <w:rFonts w:eastAsia="Times"/>
          <w:lang w:val="en-US"/>
        </w:rPr>
        <w:t xml:space="preserve">had special repercussion on </w:t>
      </w:r>
      <w:r w:rsidRPr="002E60EB">
        <w:rPr>
          <w:rFonts w:eastAsia="Times"/>
          <w:lang w:val="en-US"/>
        </w:rPr>
        <w:t>Mateo, who did not understand why they had to be apart and, even when he tried to be strong to avoid causing his mother more concern</w:t>
      </w:r>
      <w:r w:rsidR="00A15303" w:rsidRPr="002E60EB">
        <w:rPr>
          <w:rFonts w:eastAsia="Times"/>
          <w:lang w:val="en-US"/>
        </w:rPr>
        <w:t>s</w:t>
      </w:r>
      <w:r w:rsidRPr="002E60EB">
        <w:rPr>
          <w:rFonts w:eastAsia="Times"/>
          <w:lang w:val="en-US"/>
        </w:rPr>
        <w:t xml:space="preserve">, </w:t>
      </w:r>
      <w:r w:rsidR="00087093" w:rsidRPr="002E60EB">
        <w:rPr>
          <w:rFonts w:eastAsia="Times"/>
          <w:lang w:val="en-US"/>
        </w:rPr>
        <w:t>“</w:t>
      </w:r>
      <w:r w:rsidR="00A15303" w:rsidRPr="002E60EB">
        <w:rPr>
          <w:rFonts w:eastAsia="Times"/>
          <w:lang w:val="en-US"/>
        </w:rPr>
        <w:t>he was very distressed</w:t>
      </w:r>
      <w:r w:rsidRPr="002E60EB">
        <w:rPr>
          <w:rFonts w:eastAsia="Times"/>
          <w:lang w:val="en-US"/>
        </w:rPr>
        <w:t xml:space="preserve"> each Sunday </w:t>
      </w:r>
      <w:r w:rsidR="00A15303" w:rsidRPr="002E60EB">
        <w:rPr>
          <w:rFonts w:eastAsia="Times"/>
          <w:lang w:val="en-US"/>
        </w:rPr>
        <w:t xml:space="preserve">when </w:t>
      </w:r>
      <w:r w:rsidRPr="002E60EB">
        <w:rPr>
          <w:rFonts w:eastAsia="Times"/>
          <w:lang w:val="en-US"/>
        </w:rPr>
        <w:t xml:space="preserve">he had to say goodbye to </w:t>
      </w:r>
      <w:r w:rsidR="00A15303" w:rsidRPr="002E60EB">
        <w:rPr>
          <w:rFonts w:eastAsia="Times"/>
          <w:lang w:val="en-US"/>
        </w:rPr>
        <w:t>her after their weekend meeting</w:t>
      </w:r>
      <w:r w:rsidRPr="002E60EB">
        <w:rPr>
          <w:rFonts w:eastAsia="Times"/>
          <w:lang w:val="en-US"/>
        </w:rPr>
        <w:t xml:space="preserve"> to go back to his grandmother’s house and </w:t>
      </w:r>
      <w:r w:rsidR="00A15303" w:rsidRPr="002E60EB">
        <w:rPr>
          <w:rFonts w:eastAsia="Times"/>
          <w:lang w:val="en-US"/>
        </w:rPr>
        <w:t xml:space="preserve">to </w:t>
      </w:r>
      <w:r w:rsidRPr="002E60EB">
        <w:rPr>
          <w:rFonts w:eastAsia="Times"/>
          <w:lang w:val="en-US"/>
        </w:rPr>
        <w:t>school.</w:t>
      </w:r>
      <w:r w:rsidR="00087093" w:rsidRPr="002E60EB">
        <w:rPr>
          <w:rFonts w:eastAsia="Times"/>
          <w:lang w:val="en-US"/>
        </w:rPr>
        <w:t>”</w:t>
      </w:r>
      <w:r w:rsidRPr="002E60EB">
        <w:rPr>
          <w:rFonts w:eastAsia="Times"/>
          <w:lang w:val="en-US"/>
        </w:rPr>
        <w:t xml:space="preserve"> The expert </w:t>
      </w:r>
      <w:r w:rsidR="00A15303" w:rsidRPr="002E60EB">
        <w:rPr>
          <w:rFonts w:eastAsia="Times"/>
          <w:lang w:val="en-US"/>
        </w:rPr>
        <w:t xml:space="preserve">witness </w:t>
      </w:r>
      <w:r w:rsidRPr="002E60EB">
        <w:rPr>
          <w:rFonts w:eastAsia="Times"/>
          <w:lang w:val="en-US"/>
        </w:rPr>
        <w:t xml:space="preserve">indicated that events such as the threats, </w:t>
      </w:r>
      <w:r w:rsidR="00A15303" w:rsidRPr="002E60EB">
        <w:rPr>
          <w:rFonts w:eastAsia="Times"/>
          <w:lang w:val="en-US"/>
        </w:rPr>
        <w:t xml:space="preserve">the flight from </w:t>
      </w:r>
      <w:r w:rsidRPr="002E60EB">
        <w:rPr>
          <w:rFonts w:eastAsia="Times"/>
          <w:lang w:val="en-US"/>
        </w:rPr>
        <w:t xml:space="preserve">his home in Bogotá, and the separation from his father and mother caused </w:t>
      </w:r>
      <w:r w:rsidR="00087093" w:rsidRPr="002E60EB">
        <w:rPr>
          <w:rFonts w:eastAsia="Times"/>
          <w:lang w:val="en-US"/>
        </w:rPr>
        <w:t>“</w:t>
      </w:r>
      <w:r w:rsidRPr="002E60EB">
        <w:rPr>
          <w:rFonts w:eastAsia="Times"/>
          <w:lang w:val="en-US"/>
        </w:rPr>
        <w:t>traumas</w:t>
      </w:r>
      <w:r w:rsidR="00087093" w:rsidRPr="002E60EB">
        <w:rPr>
          <w:rFonts w:eastAsia="Times"/>
          <w:lang w:val="en-US"/>
        </w:rPr>
        <w:t>”</w:t>
      </w:r>
      <w:r w:rsidR="00A15303" w:rsidRPr="002E60EB">
        <w:rPr>
          <w:rFonts w:eastAsia="Times"/>
          <w:lang w:val="en-US"/>
        </w:rPr>
        <w:t xml:space="preserve"> in Mateo’s life that</w:t>
      </w:r>
      <w:r w:rsidRPr="002E60EB">
        <w:rPr>
          <w:rFonts w:eastAsia="Times"/>
          <w:lang w:val="en-US"/>
        </w:rPr>
        <w:t xml:space="preserve"> made him feel </w:t>
      </w:r>
      <w:r w:rsidR="00A15303" w:rsidRPr="002E60EB">
        <w:rPr>
          <w:rFonts w:eastAsia="Times"/>
          <w:lang w:val="en-US"/>
        </w:rPr>
        <w:t>powerless</w:t>
      </w:r>
      <w:r w:rsidRPr="002E60EB">
        <w:rPr>
          <w:rFonts w:eastAsia="Times"/>
          <w:lang w:val="en-US"/>
        </w:rPr>
        <w:t xml:space="preserve"> and under the threat that he or his family c</w:t>
      </w:r>
      <w:r w:rsidR="00A15303" w:rsidRPr="002E60EB">
        <w:rPr>
          <w:rFonts w:eastAsia="Times"/>
          <w:lang w:val="en-US"/>
        </w:rPr>
        <w:t>ould be injured or murdered;</w:t>
      </w:r>
      <w:r w:rsidRPr="002E60EB">
        <w:rPr>
          <w:rFonts w:eastAsia="Times"/>
          <w:lang w:val="en-US"/>
        </w:rPr>
        <w:t xml:space="preserve"> she added that </w:t>
      </w:r>
      <w:r w:rsidR="00087093" w:rsidRPr="002E60EB">
        <w:rPr>
          <w:rFonts w:eastAsia="Times"/>
          <w:lang w:val="en-US"/>
        </w:rPr>
        <w:t>“</w:t>
      </w:r>
      <w:r w:rsidR="00A15303" w:rsidRPr="002E60EB">
        <w:rPr>
          <w:rFonts w:eastAsia="Times"/>
          <w:lang w:val="en-US"/>
        </w:rPr>
        <w:t>[</w:t>
      </w:r>
      <w:r w:rsidRPr="002E60EB">
        <w:rPr>
          <w:rFonts w:eastAsia="Times"/>
          <w:lang w:val="en-US"/>
        </w:rPr>
        <w:t>s</w:t>
      </w:r>
      <w:r w:rsidR="00A15303" w:rsidRPr="002E60EB">
        <w:rPr>
          <w:rFonts w:eastAsia="Times"/>
          <w:lang w:val="en-US"/>
        </w:rPr>
        <w:t>]</w:t>
      </w:r>
      <w:r w:rsidRPr="002E60EB">
        <w:rPr>
          <w:rFonts w:eastAsia="Times"/>
          <w:lang w:val="en-US"/>
        </w:rPr>
        <w:t>tudies show that traumas of t</w:t>
      </w:r>
      <w:r w:rsidR="00615D3A" w:rsidRPr="002E60EB">
        <w:rPr>
          <w:rFonts w:eastAsia="Times"/>
          <w:lang w:val="en-US"/>
        </w:rPr>
        <w:t>his nature have an impact on a</w:t>
      </w:r>
      <w:r w:rsidRPr="002E60EB">
        <w:rPr>
          <w:rFonts w:eastAsia="Times"/>
          <w:lang w:val="en-US"/>
        </w:rPr>
        <w:t xml:space="preserve"> child’s neurophysiology, his behavior, and the way he perceives his surroundings.</w:t>
      </w:r>
      <w:r w:rsidR="00087093" w:rsidRPr="002E60EB">
        <w:rPr>
          <w:rFonts w:eastAsia="Times"/>
          <w:lang w:val="en-US"/>
        </w:rPr>
        <w:t>”</w:t>
      </w:r>
      <w:r w:rsidRPr="002E60EB">
        <w:rPr>
          <w:rFonts w:eastAsia="Times"/>
          <w:lang w:val="en-US"/>
        </w:rPr>
        <w:t xml:space="preserve"> </w:t>
      </w:r>
    </w:p>
    <w:p w:rsidR="00A15303" w:rsidRPr="002E60EB" w:rsidRDefault="00A15303" w:rsidP="00615D3A">
      <w:pPr>
        <w:autoSpaceDE w:val="0"/>
        <w:autoSpaceDN w:val="0"/>
        <w:adjustRightInd w:val="0"/>
        <w:jc w:val="both"/>
        <w:rPr>
          <w:lang w:val="en-US"/>
        </w:rPr>
      </w:pPr>
    </w:p>
    <w:p w:rsidR="00A15303" w:rsidRPr="002E60EB" w:rsidRDefault="00A15303" w:rsidP="00615D3A">
      <w:pPr>
        <w:numPr>
          <w:ilvl w:val="0"/>
          <w:numId w:val="1"/>
        </w:numPr>
        <w:tabs>
          <w:tab w:val="clear" w:pos="1427"/>
        </w:tabs>
        <w:autoSpaceDE w:val="0"/>
        <w:autoSpaceDN w:val="0"/>
        <w:adjustRightInd w:val="0"/>
        <w:jc w:val="both"/>
        <w:rPr>
          <w:lang w:val="en-US"/>
        </w:rPr>
      </w:pPr>
      <w:r w:rsidRPr="002E60EB">
        <w:rPr>
          <w:rFonts w:eastAsia="Times"/>
          <w:lang w:val="en-US"/>
        </w:rPr>
        <w:t>In ad</w:t>
      </w:r>
      <w:r w:rsidR="0004795A" w:rsidRPr="002E60EB">
        <w:rPr>
          <w:rFonts w:eastAsia="Times"/>
          <w:lang w:val="en-US"/>
        </w:rPr>
        <w:t xml:space="preserve">dition, the </w:t>
      </w:r>
      <w:r w:rsidRPr="002E60EB">
        <w:rPr>
          <w:rFonts w:eastAsia="Times"/>
          <w:lang w:val="en-US"/>
        </w:rPr>
        <w:t>testimony given by</w:t>
      </w:r>
      <w:r w:rsidR="0004795A" w:rsidRPr="002E60EB">
        <w:rPr>
          <w:rFonts w:eastAsia="Times"/>
          <w:lang w:val="en-US"/>
        </w:rPr>
        <w:t xml:space="preserve"> Mr. Vélez Restrepo and Mrs. Román Amariles and the expert assessment of psychiatrist Kessler </w:t>
      </w:r>
      <w:r w:rsidRPr="002E60EB">
        <w:rPr>
          <w:rFonts w:eastAsia="Times"/>
          <w:lang w:val="en-US"/>
        </w:rPr>
        <w:t>reveal</w:t>
      </w:r>
      <w:r w:rsidR="0004795A" w:rsidRPr="002E60EB">
        <w:rPr>
          <w:rFonts w:eastAsia="Times"/>
          <w:lang w:val="en-US"/>
        </w:rPr>
        <w:t xml:space="preserve">, </w:t>
      </w:r>
      <w:r w:rsidR="0004795A" w:rsidRPr="002E60EB">
        <w:rPr>
          <w:rFonts w:eastAsia="Times"/>
          <w:i/>
          <w:lang w:val="en-US"/>
        </w:rPr>
        <w:t>inter alia</w:t>
      </w:r>
      <w:r w:rsidR="0004795A" w:rsidRPr="002E60EB">
        <w:rPr>
          <w:rFonts w:eastAsia="Times"/>
          <w:lang w:val="en-US"/>
        </w:rPr>
        <w:t xml:space="preserve">, the effect </w:t>
      </w:r>
      <w:r w:rsidRPr="002E60EB">
        <w:rPr>
          <w:rFonts w:eastAsia="Times"/>
          <w:lang w:val="en-US"/>
        </w:rPr>
        <w:t xml:space="preserve">that </w:t>
      </w:r>
      <w:r w:rsidR="0004795A" w:rsidRPr="002E60EB">
        <w:rPr>
          <w:rFonts w:eastAsia="Times"/>
          <w:lang w:val="en-US"/>
        </w:rPr>
        <w:t xml:space="preserve">the </w:t>
      </w:r>
      <w:r w:rsidRPr="002E60EB">
        <w:rPr>
          <w:rFonts w:eastAsia="Times"/>
          <w:lang w:val="en-US"/>
        </w:rPr>
        <w:t xml:space="preserve">absence </w:t>
      </w:r>
      <w:r w:rsidR="0004795A" w:rsidRPr="002E60EB">
        <w:rPr>
          <w:rFonts w:eastAsia="Times"/>
          <w:lang w:val="en-US"/>
        </w:rPr>
        <w:t xml:space="preserve">of opportune measures of protection and the subsequent separation of the family had </w:t>
      </w:r>
      <w:r w:rsidRPr="002E60EB">
        <w:rPr>
          <w:rFonts w:eastAsia="Times"/>
          <w:lang w:val="en-US"/>
        </w:rPr>
        <w:t xml:space="preserve">on </w:t>
      </w:r>
      <w:r w:rsidR="0004795A" w:rsidRPr="002E60EB">
        <w:rPr>
          <w:rFonts w:eastAsia="Times"/>
          <w:lang w:val="en-US"/>
        </w:rPr>
        <w:t xml:space="preserve">both the family’s coexistence and </w:t>
      </w:r>
      <w:r w:rsidRPr="002E60EB">
        <w:rPr>
          <w:rFonts w:eastAsia="Times"/>
          <w:lang w:val="en-US"/>
        </w:rPr>
        <w:t xml:space="preserve">the married </w:t>
      </w:r>
      <w:r w:rsidR="0004795A" w:rsidRPr="002E60EB">
        <w:rPr>
          <w:rFonts w:eastAsia="Times"/>
          <w:lang w:val="en-US"/>
        </w:rPr>
        <w:t xml:space="preserve">life </w:t>
      </w:r>
      <w:r w:rsidRPr="002E60EB">
        <w:rPr>
          <w:rFonts w:eastAsia="Times"/>
          <w:lang w:val="en-US"/>
        </w:rPr>
        <w:t xml:space="preserve">of </w:t>
      </w:r>
      <w:r w:rsidR="0004795A" w:rsidRPr="002E60EB">
        <w:rPr>
          <w:rFonts w:eastAsia="Times"/>
          <w:lang w:val="en-US"/>
        </w:rPr>
        <w:t xml:space="preserve">Mr. Vélez Restrepo and Mrs. Román Amariles. </w:t>
      </w:r>
    </w:p>
    <w:p w:rsidR="00A15303" w:rsidRPr="002E60EB" w:rsidRDefault="00A15303" w:rsidP="00615D3A">
      <w:pPr>
        <w:pStyle w:val="Prrafodelista"/>
        <w:rPr>
          <w:rFonts w:eastAsia="Times"/>
          <w:color w:val="00B050"/>
          <w:sz w:val="20"/>
          <w:szCs w:val="20"/>
          <w:lang w:val="en-US"/>
        </w:rPr>
      </w:pPr>
    </w:p>
    <w:p w:rsidR="00F5740E" w:rsidRPr="002E60EB" w:rsidRDefault="0004795A" w:rsidP="00615D3A">
      <w:pPr>
        <w:numPr>
          <w:ilvl w:val="0"/>
          <w:numId w:val="1"/>
        </w:numPr>
        <w:tabs>
          <w:tab w:val="clear" w:pos="1427"/>
        </w:tabs>
        <w:autoSpaceDE w:val="0"/>
        <w:autoSpaceDN w:val="0"/>
        <w:adjustRightInd w:val="0"/>
        <w:jc w:val="both"/>
        <w:rPr>
          <w:b/>
          <w:bCs/>
          <w:lang w:val="en-US"/>
        </w:rPr>
      </w:pPr>
      <w:r w:rsidRPr="002E60EB">
        <w:rPr>
          <w:lang w:val="en-US"/>
        </w:rPr>
        <w:t xml:space="preserve">Based on all the </w:t>
      </w:r>
      <w:r w:rsidR="00A15303" w:rsidRPr="002E60EB">
        <w:rPr>
          <w:lang w:val="en-US"/>
        </w:rPr>
        <w:t>above findings</w:t>
      </w:r>
      <w:r w:rsidRPr="002E60EB">
        <w:rPr>
          <w:lang w:val="en-US"/>
        </w:rPr>
        <w:t xml:space="preserve">, the Court concludes that the State is responsible for the violation of the right to protection of the family, </w:t>
      </w:r>
      <w:r w:rsidR="00A15303" w:rsidRPr="002E60EB">
        <w:rPr>
          <w:lang w:val="en-US"/>
        </w:rPr>
        <w:t xml:space="preserve">embodied </w:t>
      </w:r>
      <w:r w:rsidRPr="002E60EB">
        <w:rPr>
          <w:lang w:val="en-US"/>
        </w:rPr>
        <w:t>in Article</w:t>
      </w:r>
      <w:r w:rsidR="00A15303" w:rsidRPr="002E60EB">
        <w:rPr>
          <w:lang w:val="en-US"/>
        </w:rPr>
        <w:t xml:space="preserve"> </w:t>
      </w:r>
      <w:r w:rsidRPr="002E60EB">
        <w:rPr>
          <w:lang w:val="en-US"/>
        </w:rPr>
        <w:t xml:space="preserve">17(1) of the Convention, in relation to Article 1(1) </w:t>
      </w:r>
      <w:r w:rsidR="00A15303" w:rsidRPr="002E60EB">
        <w:rPr>
          <w:lang w:val="en-US"/>
        </w:rPr>
        <w:t>thereof</w:t>
      </w:r>
      <w:r w:rsidRPr="002E60EB">
        <w:rPr>
          <w:lang w:val="en-US"/>
        </w:rPr>
        <w:t xml:space="preserve">, </w:t>
      </w:r>
      <w:r w:rsidR="00A15303" w:rsidRPr="002E60EB">
        <w:rPr>
          <w:lang w:val="en-US"/>
        </w:rPr>
        <w:t>to the</w:t>
      </w:r>
      <w:r w:rsidRPr="002E60EB">
        <w:rPr>
          <w:lang w:val="en-US"/>
        </w:rPr>
        <w:t xml:space="preserve"> detriment of Luis Gonzalo Vélez Restrepo, Aracelly Román Amariles, Mateo Vélez Román, and Juliana Vélez Román,</w:t>
      </w:r>
      <w:r w:rsidR="002C32DA" w:rsidRPr="002E60EB">
        <w:rPr>
          <w:lang w:val="en-US"/>
        </w:rPr>
        <w:t xml:space="preserve"> and also for violating the right to spec</w:t>
      </w:r>
      <w:r w:rsidR="00615D3A" w:rsidRPr="002E60EB">
        <w:rPr>
          <w:lang w:val="en-US"/>
        </w:rPr>
        <w:t>ial protection of children embo</w:t>
      </w:r>
      <w:r w:rsidR="002C32DA" w:rsidRPr="002E60EB">
        <w:rPr>
          <w:lang w:val="en-US"/>
        </w:rPr>
        <w:t>died in</w:t>
      </w:r>
      <w:r w:rsidRPr="002E60EB">
        <w:rPr>
          <w:lang w:val="en-US"/>
        </w:rPr>
        <w:t xml:space="preserve"> Article 19 of the </w:t>
      </w:r>
      <w:r w:rsidR="002C32DA" w:rsidRPr="002E60EB">
        <w:rPr>
          <w:lang w:val="en-US"/>
        </w:rPr>
        <w:t xml:space="preserve">American </w:t>
      </w:r>
      <w:r w:rsidRPr="002E60EB">
        <w:rPr>
          <w:lang w:val="en-US"/>
        </w:rPr>
        <w:t xml:space="preserve">Convention </w:t>
      </w:r>
      <w:r w:rsidR="002C32DA" w:rsidRPr="002E60EB">
        <w:rPr>
          <w:lang w:val="en-US"/>
        </w:rPr>
        <w:t>to the</w:t>
      </w:r>
      <w:r w:rsidRPr="002E60EB">
        <w:rPr>
          <w:lang w:val="en-US"/>
        </w:rPr>
        <w:t xml:space="preserve"> detriment of Mateo and Juliana Vélez Román.</w:t>
      </w:r>
    </w:p>
    <w:p w:rsidR="00F5740E" w:rsidRPr="002E60EB" w:rsidRDefault="00F5740E" w:rsidP="00F5740E">
      <w:pPr>
        <w:autoSpaceDE w:val="0"/>
        <w:autoSpaceDN w:val="0"/>
        <w:adjustRightInd w:val="0"/>
        <w:jc w:val="both"/>
        <w:rPr>
          <w:lang w:val="en-US"/>
        </w:rPr>
      </w:pPr>
    </w:p>
    <w:p w:rsidR="00F5740E" w:rsidRPr="002E60EB" w:rsidRDefault="00F5740E" w:rsidP="00F5740E">
      <w:pPr>
        <w:autoSpaceDE w:val="0"/>
        <w:autoSpaceDN w:val="0"/>
        <w:adjustRightInd w:val="0"/>
        <w:jc w:val="both"/>
        <w:rPr>
          <w:lang w:val="en-US"/>
        </w:rPr>
      </w:pPr>
    </w:p>
    <w:p w:rsidR="00F5740E" w:rsidRPr="002E60EB" w:rsidRDefault="00F5740E" w:rsidP="00317748">
      <w:pPr>
        <w:jc w:val="center"/>
        <w:rPr>
          <w:b/>
          <w:lang w:val="en-US"/>
        </w:rPr>
      </w:pPr>
      <w:r w:rsidRPr="002E60EB">
        <w:rPr>
          <w:b/>
          <w:lang w:val="en-US"/>
        </w:rPr>
        <w:t>XI</w:t>
      </w:r>
    </w:p>
    <w:p w:rsidR="00F5740E" w:rsidRPr="002E60EB" w:rsidRDefault="00F5740E" w:rsidP="00F5740E">
      <w:pPr>
        <w:pStyle w:val="EstiloTtulo2Verdana10ptAntes6ptoDespus6pto"/>
        <w:rPr>
          <w:lang w:val="en-US"/>
        </w:rPr>
      </w:pPr>
      <w:r w:rsidRPr="002E60EB">
        <w:rPr>
          <w:lang w:val="en-US"/>
        </w:rPr>
        <w:t>RIGHTS TO JUDICIAL GUARANTEES AND JUDICIAL PROTECTION,</w:t>
      </w:r>
    </w:p>
    <w:p w:rsidR="00F5740E" w:rsidRPr="002E60EB" w:rsidRDefault="00F5740E" w:rsidP="00F5740E">
      <w:pPr>
        <w:autoSpaceDE w:val="0"/>
        <w:autoSpaceDN w:val="0"/>
        <w:adjustRightInd w:val="0"/>
        <w:jc w:val="center"/>
        <w:rPr>
          <w:b/>
          <w:lang w:val="en-US"/>
        </w:rPr>
      </w:pPr>
      <w:r w:rsidRPr="002E60EB">
        <w:rPr>
          <w:b/>
          <w:lang w:val="en-US"/>
        </w:rPr>
        <w:t>IN RELATION TO THE OBLIGATIONS TO RESPECT AND GUARANTEE RIGHTS</w:t>
      </w:r>
    </w:p>
    <w:p w:rsidR="00F5740E" w:rsidRPr="002E60EB" w:rsidRDefault="00F5740E" w:rsidP="00F5740E">
      <w:pPr>
        <w:autoSpaceDE w:val="0"/>
        <w:autoSpaceDN w:val="0"/>
        <w:adjustRightInd w:val="0"/>
        <w:jc w:val="center"/>
        <w:rPr>
          <w:b/>
          <w:bCs/>
          <w:lang w:val="en-US"/>
        </w:rPr>
      </w:pPr>
    </w:p>
    <w:p w:rsidR="003B32E0" w:rsidRPr="002E60EB" w:rsidRDefault="0004795A" w:rsidP="003000EC">
      <w:pPr>
        <w:numPr>
          <w:ilvl w:val="0"/>
          <w:numId w:val="1"/>
        </w:numPr>
        <w:tabs>
          <w:tab w:val="clear" w:pos="1427"/>
        </w:tabs>
        <w:autoSpaceDE w:val="0"/>
        <w:autoSpaceDN w:val="0"/>
        <w:adjustRightInd w:val="0"/>
        <w:jc w:val="both"/>
        <w:rPr>
          <w:b/>
          <w:bCs/>
          <w:lang w:val="en-US"/>
        </w:rPr>
      </w:pPr>
      <w:r w:rsidRPr="002E60EB">
        <w:rPr>
          <w:lang w:val="en-US"/>
        </w:rPr>
        <w:t xml:space="preserve"> </w:t>
      </w:r>
      <w:r w:rsidR="00F5740E" w:rsidRPr="002E60EB">
        <w:rPr>
          <w:lang w:val="en-US"/>
        </w:rPr>
        <w:t>First, it should be recalled that the State acknowledged partially its responsibility for the violation of Articles 8(1)</w:t>
      </w:r>
      <w:r w:rsidR="00F5740E" w:rsidRPr="002E60EB">
        <w:rPr>
          <w:rStyle w:val="Refdenotaalpie"/>
          <w:lang w:val="en-US"/>
        </w:rPr>
        <w:footnoteReference w:id="227"/>
      </w:r>
      <w:r w:rsidR="00F5740E" w:rsidRPr="002E60EB">
        <w:rPr>
          <w:lang w:val="en-US"/>
        </w:rPr>
        <w:t xml:space="preserve"> and 25</w:t>
      </w:r>
      <w:r w:rsidR="00F5740E" w:rsidRPr="002E60EB">
        <w:rPr>
          <w:rStyle w:val="Refdenotaalpie"/>
          <w:lang w:val="en-US"/>
        </w:rPr>
        <w:footnoteReference w:id="228"/>
      </w:r>
      <w:r w:rsidR="00F5740E" w:rsidRPr="002E60EB">
        <w:rPr>
          <w:lang w:val="en-US"/>
        </w:rPr>
        <w:t xml:space="preserve"> of the Convention, in relation to Article 1(1) thereof, for three reasons (</w:t>
      </w:r>
      <w:r w:rsidR="00F5740E" w:rsidRPr="002E60EB">
        <w:rPr>
          <w:i/>
          <w:lang w:val="en-US"/>
        </w:rPr>
        <w:t>supra</w:t>
      </w:r>
      <w:r w:rsidR="00F5740E" w:rsidRPr="002E60EB">
        <w:rPr>
          <w:lang w:val="en-US"/>
        </w:rPr>
        <w:t xml:space="preserve"> para. 14(c)): (i) the absence of “a serious investigation </w:t>
      </w:r>
      <w:r w:rsidRPr="002E60EB">
        <w:rPr>
          <w:lang w:val="en-US"/>
        </w:rPr>
        <w:t xml:space="preserve">that </w:t>
      </w:r>
      <w:r w:rsidR="00F5740E" w:rsidRPr="002E60EB">
        <w:rPr>
          <w:lang w:val="en-US"/>
        </w:rPr>
        <w:t>would have allowed</w:t>
      </w:r>
      <w:r w:rsidRPr="002E60EB">
        <w:rPr>
          <w:lang w:val="en-US"/>
        </w:rPr>
        <w:t xml:space="preserve"> the perpetrators of the a</w:t>
      </w:r>
      <w:r w:rsidR="00F5740E" w:rsidRPr="002E60EB">
        <w:rPr>
          <w:lang w:val="en-US"/>
        </w:rPr>
        <w:t>ttack</w:t>
      </w:r>
      <w:r w:rsidRPr="002E60EB">
        <w:rPr>
          <w:lang w:val="en-US"/>
        </w:rPr>
        <w:t xml:space="preserve"> suffered by Mr. […] Vélez Restrepo on August 29, 1996</w:t>
      </w:r>
      <w:r w:rsidR="00F5740E" w:rsidRPr="002E60EB">
        <w:rPr>
          <w:lang w:val="en-US"/>
        </w:rPr>
        <w:t>, to be determined and punished under criminal law</w:t>
      </w:r>
      <w:r w:rsidRPr="002E60EB">
        <w:rPr>
          <w:lang w:val="en-US"/>
        </w:rPr>
        <w:t>;</w:t>
      </w:r>
      <w:r w:rsidR="00087093" w:rsidRPr="002E60EB">
        <w:rPr>
          <w:lang w:val="en-US"/>
        </w:rPr>
        <w:t>”</w:t>
      </w:r>
      <w:r w:rsidRPr="002E60EB">
        <w:rPr>
          <w:lang w:val="en-US"/>
        </w:rPr>
        <w:t xml:space="preserve"> (ii) because </w:t>
      </w:r>
      <w:r w:rsidR="00087093" w:rsidRPr="002E60EB">
        <w:rPr>
          <w:lang w:val="en-US"/>
        </w:rPr>
        <w:t>“</w:t>
      </w:r>
      <w:r w:rsidRPr="002E60EB">
        <w:rPr>
          <w:lang w:val="en-US"/>
        </w:rPr>
        <w:t>[</w:t>
      </w:r>
      <w:r w:rsidR="00F5740E" w:rsidRPr="002E60EB">
        <w:rPr>
          <w:lang w:val="en-US"/>
        </w:rPr>
        <w:t xml:space="preserve">n]o </w:t>
      </w:r>
      <w:r w:rsidRPr="002E60EB">
        <w:rPr>
          <w:rFonts w:cs="Verdana"/>
          <w:lang w:val="en-US"/>
        </w:rPr>
        <w:t>serious investigation</w:t>
      </w:r>
      <w:r w:rsidR="00F5740E" w:rsidRPr="002E60EB">
        <w:rPr>
          <w:rFonts w:cs="Verdana"/>
          <w:lang w:val="en-US"/>
        </w:rPr>
        <w:t xml:space="preserve"> was conducted</w:t>
      </w:r>
      <w:r w:rsidRPr="002E60EB">
        <w:rPr>
          <w:rFonts w:cs="Verdana"/>
          <w:lang w:val="en-US"/>
        </w:rPr>
        <w:t xml:space="preserve"> that </w:t>
      </w:r>
      <w:r w:rsidR="00F5740E" w:rsidRPr="002E60EB">
        <w:rPr>
          <w:lang w:val="en-US"/>
        </w:rPr>
        <w:t>that would have allowed the presumed authors of the threats of which Mr. […] Vélez Restrepo was presumably a victim to be determined and punished under criminal law</w:t>
      </w:r>
      <w:r w:rsidR="00F5740E" w:rsidRPr="002E60EB">
        <w:rPr>
          <w:rFonts w:cs="Verdana"/>
          <w:lang w:val="en-US"/>
        </w:rPr>
        <w:t>,”</w:t>
      </w:r>
      <w:r w:rsidRPr="002E60EB">
        <w:rPr>
          <w:rFonts w:cs="Verdana"/>
          <w:lang w:val="en-US"/>
        </w:rPr>
        <w:t xml:space="preserve"> and</w:t>
      </w:r>
      <w:r w:rsidRPr="002E60EB">
        <w:rPr>
          <w:lang w:val="en-US"/>
        </w:rPr>
        <w:t xml:space="preserve"> (iii) because </w:t>
      </w:r>
      <w:r w:rsidR="00087093" w:rsidRPr="002E60EB">
        <w:rPr>
          <w:lang w:val="en-US"/>
        </w:rPr>
        <w:t>“</w:t>
      </w:r>
      <w:r w:rsidRPr="002E60EB">
        <w:rPr>
          <w:lang w:val="en-US"/>
        </w:rPr>
        <w:t>[</w:t>
      </w:r>
      <w:r w:rsidR="00F5740E" w:rsidRPr="002E60EB">
        <w:rPr>
          <w:rFonts w:cs="Verdana"/>
          <w:lang w:val="en-US"/>
        </w:rPr>
        <w:t xml:space="preserve">t]here was a violation of </w:t>
      </w:r>
      <w:r w:rsidRPr="002E60EB">
        <w:rPr>
          <w:rFonts w:cs="Verdana"/>
          <w:lang w:val="en-US"/>
        </w:rPr>
        <w:t xml:space="preserve">reasonable time </w:t>
      </w:r>
      <w:r w:rsidR="00F5740E" w:rsidRPr="002E60EB">
        <w:rPr>
          <w:rFonts w:cs="Verdana"/>
          <w:lang w:val="en-US"/>
        </w:rPr>
        <w:t>in</w:t>
      </w:r>
      <w:r w:rsidRPr="002E60EB">
        <w:rPr>
          <w:rFonts w:cs="Verdana"/>
          <w:lang w:val="en-US"/>
        </w:rPr>
        <w:t xml:space="preserve"> the investigation </w:t>
      </w:r>
      <w:r w:rsidR="00F5740E" w:rsidRPr="002E60EB">
        <w:rPr>
          <w:rFonts w:cs="Verdana"/>
          <w:lang w:val="en-US"/>
        </w:rPr>
        <w:t>underway</w:t>
      </w:r>
      <w:r w:rsidRPr="002E60EB">
        <w:rPr>
          <w:rFonts w:cs="Verdana"/>
          <w:lang w:val="en-US"/>
        </w:rPr>
        <w:t xml:space="preserve"> for the </w:t>
      </w:r>
      <w:r w:rsidR="003B32E0" w:rsidRPr="002E60EB">
        <w:rPr>
          <w:rFonts w:cs="Verdana"/>
          <w:lang w:val="en-US"/>
        </w:rPr>
        <w:t>presumed</w:t>
      </w:r>
      <w:r w:rsidRPr="002E60EB">
        <w:rPr>
          <w:rFonts w:cs="Verdana"/>
          <w:lang w:val="en-US"/>
        </w:rPr>
        <w:t xml:space="preserve"> attempted </w:t>
      </w:r>
      <w:r w:rsidR="00334C3C" w:rsidRPr="002E60EB">
        <w:rPr>
          <w:rFonts w:cs="Verdana"/>
          <w:lang w:val="en-US"/>
        </w:rPr>
        <w:t>kidnapping</w:t>
      </w:r>
      <w:r w:rsidRPr="002E60EB">
        <w:rPr>
          <w:rFonts w:cs="Verdana"/>
          <w:lang w:val="en-US"/>
        </w:rPr>
        <w:t xml:space="preserve"> </w:t>
      </w:r>
      <w:r w:rsidR="003B32E0" w:rsidRPr="002E60EB">
        <w:rPr>
          <w:rFonts w:cs="Verdana"/>
          <w:lang w:val="en-US"/>
        </w:rPr>
        <w:t xml:space="preserve">of </w:t>
      </w:r>
      <w:r w:rsidRPr="002E60EB">
        <w:rPr>
          <w:rFonts w:cs="Verdana"/>
          <w:lang w:val="en-US"/>
        </w:rPr>
        <w:t>Mr. Vélez Restrepo on October 6, 199[7].</w:t>
      </w:r>
      <w:r w:rsidR="00087093" w:rsidRPr="002E60EB">
        <w:rPr>
          <w:rFonts w:cs="Verdana"/>
          <w:lang w:val="en-US"/>
        </w:rPr>
        <w:t>”</w:t>
      </w:r>
      <w:r w:rsidRPr="002E60EB">
        <w:rPr>
          <w:rFonts w:cs="Verdana"/>
          <w:lang w:val="en-US"/>
        </w:rPr>
        <w:t xml:space="preserve"> </w:t>
      </w:r>
    </w:p>
    <w:p w:rsidR="003B32E0" w:rsidRPr="002E60EB" w:rsidRDefault="003B32E0" w:rsidP="003000EC">
      <w:pPr>
        <w:autoSpaceDE w:val="0"/>
        <w:autoSpaceDN w:val="0"/>
        <w:adjustRightInd w:val="0"/>
        <w:jc w:val="both"/>
        <w:rPr>
          <w:b/>
          <w:bCs/>
          <w:lang w:val="en-US"/>
        </w:rPr>
      </w:pPr>
    </w:p>
    <w:p w:rsidR="00312231" w:rsidRPr="002E60EB" w:rsidRDefault="003B32E0" w:rsidP="003000EC">
      <w:pPr>
        <w:numPr>
          <w:ilvl w:val="0"/>
          <w:numId w:val="1"/>
        </w:numPr>
        <w:tabs>
          <w:tab w:val="clear" w:pos="1427"/>
        </w:tabs>
        <w:autoSpaceDE w:val="0"/>
        <w:autoSpaceDN w:val="0"/>
        <w:adjustRightInd w:val="0"/>
        <w:jc w:val="both"/>
        <w:rPr>
          <w:b/>
          <w:bCs/>
          <w:lang w:val="en-US"/>
        </w:rPr>
      </w:pPr>
      <w:r w:rsidRPr="002E60EB">
        <w:rPr>
          <w:lang w:val="en-US"/>
        </w:rPr>
        <w:t>In its brief with observations on</w:t>
      </w:r>
      <w:r w:rsidR="0004795A" w:rsidRPr="002E60EB">
        <w:rPr>
          <w:lang w:val="en-US"/>
        </w:rPr>
        <w:t xml:space="preserve"> the State’s partial acknowledgment of responsibility, the Commission stated that the </w:t>
      </w:r>
      <w:r w:rsidRPr="002E60EB">
        <w:rPr>
          <w:lang w:val="en-US"/>
        </w:rPr>
        <w:t>dispute</w:t>
      </w:r>
      <w:r w:rsidR="0004795A" w:rsidRPr="002E60EB">
        <w:rPr>
          <w:lang w:val="en-US"/>
        </w:rPr>
        <w:t xml:space="preserve"> that subsisted with regard to the violation of Articles 8(1) and 25 of the Convention was the alleged violation in relation to </w:t>
      </w:r>
      <w:r w:rsidR="00087093" w:rsidRPr="002E60EB">
        <w:rPr>
          <w:lang w:val="en-US"/>
        </w:rPr>
        <w:t>“</w:t>
      </w:r>
      <w:r w:rsidR="0004795A" w:rsidRPr="002E60EB">
        <w:rPr>
          <w:lang w:val="en-US"/>
        </w:rPr>
        <w:t xml:space="preserve">the </w:t>
      </w:r>
      <w:r w:rsidRPr="002E60EB">
        <w:rPr>
          <w:lang w:val="en-US"/>
        </w:rPr>
        <w:t>proceedings under</w:t>
      </w:r>
      <w:r w:rsidR="0004795A" w:rsidRPr="002E60EB">
        <w:rPr>
          <w:lang w:val="en-US"/>
        </w:rPr>
        <w:t xml:space="preserve"> the military criminal justice in the </w:t>
      </w:r>
      <w:r w:rsidRPr="002E60EB">
        <w:rPr>
          <w:lang w:val="en-US"/>
        </w:rPr>
        <w:t>instant</w:t>
      </w:r>
      <w:r w:rsidR="0004795A" w:rsidRPr="002E60EB">
        <w:rPr>
          <w:lang w:val="en-US"/>
        </w:rPr>
        <w:t xml:space="preserve"> case.</w:t>
      </w:r>
      <w:r w:rsidR="00087093" w:rsidRPr="002E60EB">
        <w:rPr>
          <w:lang w:val="en-US"/>
        </w:rPr>
        <w:t>”</w:t>
      </w:r>
      <w:r w:rsidR="0004795A" w:rsidRPr="002E60EB">
        <w:rPr>
          <w:lang w:val="en-US"/>
        </w:rPr>
        <w:t xml:space="preserve"> </w:t>
      </w:r>
    </w:p>
    <w:p w:rsidR="00312231" w:rsidRPr="002E60EB" w:rsidRDefault="00312231" w:rsidP="003000EC">
      <w:pPr>
        <w:pStyle w:val="Prrafodelista"/>
        <w:rPr>
          <w:b/>
          <w:sz w:val="20"/>
          <w:szCs w:val="20"/>
          <w:lang w:val="en-US"/>
        </w:rPr>
      </w:pPr>
    </w:p>
    <w:p w:rsidR="0004795A" w:rsidRPr="002E60EB" w:rsidRDefault="0004795A" w:rsidP="003000EC">
      <w:pPr>
        <w:numPr>
          <w:ilvl w:val="0"/>
          <w:numId w:val="1"/>
        </w:numPr>
        <w:tabs>
          <w:tab w:val="clear" w:pos="1427"/>
        </w:tabs>
        <w:autoSpaceDE w:val="0"/>
        <w:autoSpaceDN w:val="0"/>
        <w:adjustRightInd w:val="0"/>
        <w:jc w:val="both"/>
        <w:rPr>
          <w:b/>
          <w:bCs/>
          <w:lang w:val="en-US"/>
        </w:rPr>
      </w:pPr>
      <w:r w:rsidRPr="002E60EB">
        <w:rPr>
          <w:lang w:val="en-US"/>
        </w:rPr>
        <w:t xml:space="preserve">The Court must </w:t>
      </w:r>
      <w:r w:rsidR="00063633" w:rsidRPr="002E60EB">
        <w:rPr>
          <w:lang w:val="en-US"/>
        </w:rPr>
        <w:t xml:space="preserve">rule on </w:t>
      </w:r>
      <w:r w:rsidRPr="002E60EB">
        <w:rPr>
          <w:lang w:val="en-US"/>
        </w:rPr>
        <w:t xml:space="preserve">the matter that remains in </w:t>
      </w:r>
      <w:r w:rsidR="00063633" w:rsidRPr="002E60EB">
        <w:rPr>
          <w:lang w:val="en-US"/>
        </w:rPr>
        <w:t>dispute</w:t>
      </w:r>
      <w:r w:rsidRPr="002E60EB">
        <w:rPr>
          <w:lang w:val="en-US"/>
        </w:rPr>
        <w:t xml:space="preserve"> </w:t>
      </w:r>
      <w:r w:rsidR="00063633" w:rsidRPr="002E60EB">
        <w:rPr>
          <w:lang w:val="en-US"/>
        </w:rPr>
        <w:t>concerning</w:t>
      </w:r>
      <w:r w:rsidRPr="002E60EB">
        <w:rPr>
          <w:lang w:val="en-US"/>
        </w:rPr>
        <w:t xml:space="preserve"> the alleged </w:t>
      </w:r>
      <w:r w:rsidR="00063633" w:rsidRPr="002E60EB">
        <w:rPr>
          <w:lang w:val="en-US"/>
        </w:rPr>
        <w:t xml:space="preserve">violation of the principle of the </w:t>
      </w:r>
      <w:r w:rsidR="00615D3A" w:rsidRPr="002E60EB">
        <w:rPr>
          <w:lang w:val="en-US"/>
        </w:rPr>
        <w:t>natural judge</w:t>
      </w:r>
      <w:r w:rsidR="00063633" w:rsidRPr="002E60EB">
        <w:rPr>
          <w:lang w:val="en-US"/>
        </w:rPr>
        <w:t>, owing to</w:t>
      </w:r>
      <w:r w:rsidRPr="002E60EB">
        <w:rPr>
          <w:lang w:val="en-US"/>
        </w:rPr>
        <w:t xml:space="preserve"> the investigation </w:t>
      </w:r>
      <w:r w:rsidR="00063633" w:rsidRPr="002E60EB">
        <w:rPr>
          <w:lang w:val="en-US"/>
        </w:rPr>
        <w:t>conducted by</w:t>
      </w:r>
      <w:r w:rsidRPr="002E60EB">
        <w:rPr>
          <w:lang w:val="en-US"/>
        </w:rPr>
        <w:t xml:space="preserve"> the mi</w:t>
      </w:r>
      <w:r w:rsidR="00063633" w:rsidRPr="002E60EB">
        <w:rPr>
          <w:lang w:val="en-US"/>
        </w:rPr>
        <w:t>litary criminal jurisdiction into</w:t>
      </w:r>
      <w:r w:rsidRPr="002E60EB">
        <w:rPr>
          <w:lang w:val="en-US"/>
        </w:rPr>
        <w:t xml:space="preserve"> the a</w:t>
      </w:r>
      <w:r w:rsidR="00063633" w:rsidRPr="002E60EB">
        <w:rPr>
          <w:lang w:val="en-US"/>
        </w:rPr>
        <w:t>ttack perpetrated by members of the Army</w:t>
      </w:r>
      <w:r w:rsidRPr="002E60EB">
        <w:rPr>
          <w:lang w:val="en-US"/>
        </w:rPr>
        <w:t xml:space="preserve"> again</w:t>
      </w:r>
      <w:r w:rsidR="00063633" w:rsidRPr="002E60EB">
        <w:rPr>
          <w:lang w:val="en-US"/>
        </w:rPr>
        <w:t xml:space="preserve">st Mr. Vélez on August 29, 1996, and </w:t>
      </w:r>
      <w:r w:rsidRPr="002E60EB">
        <w:rPr>
          <w:lang w:val="en-US"/>
        </w:rPr>
        <w:t xml:space="preserve">make some additional considerations </w:t>
      </w:r>
      <w:r w:rsidR="00063633" w:rsidRPr="002E60EB">
        <w:rPr>
          <w:lang w:val="en-US"/>
        </w:rPr>
        <w:t>on the lack of effective and diligent investigations in the instant case</w:t>
      </w:r>
      <w:r w:rsidRPr="002E60EB">
        <w:rPr>
          <w:lang w:val="en-US"/>
        </w:rPr>
        <w:t xml:space="preserve"> (</w:t>
      </w:r>
      <w:r w:rsidRPr="002E60EB">
        <w:rPr>
          <w:i/>
          <w:lang w:val="en-US"/>
        </w:rPr>
        <w:t>infra</w:t>
      </w:r>
      <w:r w:rsidRPr="002E60EB">
        <w:rPr>
          <w:lang w:val="en-US"/>
        </w:rPr>
        <w:t xml:space="preserve"> section B). </w:t>
      </w:r>
    </w:p>
    <w:p w:rsidR="00312231" w:rsidRPr="002E60EB" w:rsidRDefault="00312231" w:rsidP="00312231">
      <w:pPr>
        <w:pStyle w:val="Prrafodelista"/>
        <w:rPr>
          <w:b/>
          <w:bCs/>
          <w:sz w:val="20"/>
          <w:szCs w:val="20"/>
          <w:lang w:val="en-US"/>
        </w:rPr>
      </w:pPr>
    </w:p>
    <w:p w:rsidR="00647F0F" w:rsidRPr="002E60EB" w:rsidRDefault="00647F0F" w:rsidP="00317748">
      <w:pPr>
        <w:tabs>
          <w:tab w:val="left" w:pos="720"/>
        </w:tabs>
        <w:autoSpaceDE w:val="0"/>
        <w:autoSpaceDN w:val="0"/>
        <w:adjustRightInd w:val="0"/>
        <w:jc w:val="both"/>
        <w:rPr>
          <w:b/>
          <w:i/>
          <w:lang w:val="en-US"/>
        </w:rPr>
      </w:pPr>
      <w:r w:rsidRPr="002E60EB">
        <w:rPr>
          <w:b/>
          <w:i/>
          <w:lang w:val="en-US"/>
        </w:rPr>
        <w:t>A)</w:t>
      </w:r>
      <w:r w:rsidRPr="002E60EB">
        <w:rPr>
          <w:b/>
          <w:i/>
          <w:lang w:val="en-US"/>
        </w:rPr>
        <w:tab/>
        <w:t xml:space="preserve">Alleged violation of the guarantee of a </w:t>
      </w:r>
      <w:r w:rsidR="00615D3A" w:rsidRPr="002E60EB">
        <w:rPr>
          <w:b/>
          <w:i/>
          <w:lang w:val="en-US"/>
        </w:rPr>
        <w:t>natural judge</w:t>
      </w:r>
    </w:p>
    <w:p w:rsidR="00647F0F" w:rsidRPr="002E60EB" w:rsidRDefault="00647F0F" w:rsidP="00317748">
      <w:pPr>
        <w:tabs>
          <w:tab w:val="left" w:pos="720"/>
        </w:tabs>
        <w:autoSpaceDE w:val="0"/>
        <w:autoSpaceDN w:val="0"/>
        <w:adjustRightInd w:val="0"/>
        <w:jc w:val="both"/>
        <w:rPr>
          <w:i/>
          <w:lang w:val="en-US"/>
        </w:rPr>
      </w:pPr>
    </w:p>
    <w:p w:rsidR="00647F0F" w:rsidRPr="002E60EB" w:rsidRDefault="00647F0F" w:rsidP="00317748">
      <w:pPr>
        <w:pStyle w:val="Prrafodelista"/>
        <w:tabs>
          <w:tab w:val="left" w:pos="720"/>
        </w:tabs>
        <w:autoSpaceDE w:val="0"/>
        <w:autoSpaceDN w:val="0"/>
        <w:adjustRightInd w:val="0"/>
        <w:ind w:left="0"/>
        <w:jc w:val="both"/>
        <w:rPr>
          <w:i/>
          <w:sz w:val="20"/>
          <w:szCs w:val="20"/>
          <w:lang w:val="en-US"/>
        </w:rPr>
      </w:pPr>
      <w:r w:rsidRPr="002E60EB">
        <w:rPr>
          <w:i/>
          <w:sz w:val="20"/>
          <w:szCs w:val="20"/>
          <w:lang w:val="en-US"/>
        </w:rPr>
        <w:tab/>
        <w:t xml:space="preserve">Observations of the Commission and arguments of the parties </w:t>
      </w:r>
    </w:p>
    <w:p w:rsidR="00647F0F" w:rsidRPr="002E60EB" w:rsidRDefault="00647F0F" w:rsidP="00647F0F">
      <w:pPr>
        <w:rPr>
          <w:b/>
          <w:bCs/>
          <w:lang w:val="en-US"/>
        </w:rPr>
      </w:pPr>
    </w:p>
    <w:p w:rsidR="000455E8" w:rsidRPr="002E60EB" w:rsidRDefault="00647F0F" w:rsidP="00317748">
      <w:pPr>
        <w:numPr>
          <w:ilvl w:val="0"/>
          <w:numId w:val="1"/>
        </w:numPr>
        <w:tabs>
          <w:tab w:val="clear" w:pos="1427"/>
          <w:tab w:val="num" w:pos="680"/>
        </w:tabs>
        <w:autoSpaceDE w:val="0"/>
        <w:autoSpaceDN w:val="0"/>
        <w:adjustRightInd w:val="0"/>
        <w:jc w:val="both"/>
        <w:rPr>
          <w:b/>
          <w:bCs/>
          <w:lang w:val="en-US"/>
        </w:rPr>
      </w:pPr>
      <w:r w:rsidRPr="002E60EB">
        <w:rPr>
          <w:lang w:val="en-US"/>
        </w:rPr>
        <w:t xml:space="preserve">The Commission and the representative indicated that the assignment of the criminal investigation into the attack on Mr. Vélez at Caquetá in 1996 to the military criminal jurisdiction “not only formally violated the </w:t>
      </w:r>
      <w:r w:rsidR="003000EC" w:rsidRPr="002E60EB">
        <w:rPr>
          <w:lang w:val="en-US"/>
        </w:rPr>
        <w:t>right of</w:t>
      </w:r>
      <w:r w:rsidRPr="002E60EB">
        <w:rPr>
          <w:lang w:val="en-US"/>
        </w:rPr>
        <w:t xml:space="preserve"> access </w:t>
      </w:r>
      <w:r w:rsidR="003000EC" w:rsidRPr="002E60EB">
        <w:rPr>
          <w:lang w:val="en-US"/>
        </w:rPr>
        <w:t xml:space="preserve">to </w:t>
      </w:r>
      <w:r w:rsidRPr="002E60EB">
        <w:rPr>
          <w:lang w:val="en-US"/>
        </w:rPr>
        <w:t>justice of Mr. Vélez, but</w:t>
      </w:r>
      <w:r w:rsidR="0004795A" w:rsidRPr="002E60EB">
        <w:rPr>
          <w:lang w:val="en-US"/>
        </w:rPr>
        <w:t xml:space="preserve"> also constitutes the main </w:t>
      </w:r>
      <w:r w:rsidRPr="002E60EB">
        <w:rPr>
          <w:lang w:val="en-US"/>
        </w:rPr>
        <w:t>reason for</w:t>
      </w:r>
      <w:r w:rsidR="0004795A" w:rsidRPr="002E60EB">
        <w:rPr>
          <w:lang w:val="en-US"/>
        </w:rPr>
        <w:t xml:space="preserve"> the impunity that exists </w:t>
      </w:r>
      <w:r w:rsidRPr="002E60EB">
        <w:rPr>
          <w:lang w:val="en-US"/>
        </w:rPr>
        <w:t>in relation to</w:t>
      </w:r>
      <w:r w:rsidR="0004795A" w:rsidRPr="002E60EB">
        <w:rPr>
          <w:lang w:val="en-US"/>
        </w:rPr>
        <w:t xml:space="preserve"> the attack that took place on August 29, 1996.</w:t>
      </w:r>
      <w:r w:rsidR="00087093" w:rsidRPr="002E60EB">
        <w:rPr>
          <w:lang w:val="en-US"/>
        </w:rPr>
        <w:t>”</w:t>
      </w:r>
      <w:r w:rsidR="0004795A" w:rsidRPr="002E60EB">
        <w:rPr>
          <w:b/>
          <w:lang w:val="en-US"/>
        </w:rPr>
        <w:t xml:space="preserve"> </w:t>
      </w:r>
      <w:r w:rsidR="0004795A" w:rsidRPr="002E60EB">
        <w:rPr>
          <w:lang w:val="en-US"/>
        </w:rPr>
        <w:t xml:space="preserve"> </w:t>
      </w:r>
      <w:r w:rsidRPr="002E60EB">
        <w:rPr>
          <w:lang w:val="en-US"/>
        </w:rPr>
        <w:t xml:space="preserve">In addition, the </w:t>
      </w:r>
      <w:r w:rsidR="0004795A" w:rsidRPr="002E60EB">
        <w:rPr>
          <w:lang w:val="en-US"/>
        </w:rPr>
        <w:t>Commission rejected the</w:t>
      </w:r>
      <w:r w:rsidRPr="002E60EB">
        <w:rPr>
          <w:lang w:val="en-US"/>
        </w:rPr>
        <w:t xml:space="preserve"> State’s</w:t>
      </w:r>
      <w:r w:rsidR="0004795A" w:rsidRPr="002E60EB">
        <w:rPr>
          <w:lang w:val="en-US"/>
        </w:rPr>
        <w:t xml:space="preserve"> arguments on the competent jurisdiction at the time of the facts, and </w:t>
      </w:r>
      <w:r w:rsidRPr="002E60EB">
        <w:rPr>
          <w:lang w:val="en-US"/>
        </w:rPr>
        <w:t xml:space="preserve">affirmed </w:t>
      </w:r>
      <w:r w:rsidR="0004795A" w:rsidRPr="002E60EB">
        <w:rPr>
          <w:lang w:val="en-US"/>
        </w:rPr>
        <w:t>that the Court’s jurisdiction is constant in relation to the standards in force</w:t>
      </w:r>
      <w:r w:rsidRPr="002E60EB">
        <w:rPr>
          <w:lang w:val="en-US"/>
        </w:rPr>
        <w:t>,</w:t>
      </w:r>
      <w:r w:rsidR="0004795A" w:rsidRPr="002E60EB">
        <w:rPr>
          <w:lang w:val="en-US"/>
        </w:rPr>
        <w:t xml:space="preserve"> according to which </w:t>
      </w:r>
      <w:r w:rsidR="00087093" w:rsidRPr="002E60EB">
        <w:rPr>
          <w:lang w:val="en-US"/>
        </w:rPr>
        <w:t>“</w:t>
      </w:r>
      <w:r w:rsidR="0004795A" w:rsidRPr="002E60EB">
        <w:rPr>
          <w:lang w:val="en-US"/>
        </w:rPr>
        <w:t xml:space="preserve">under no circumstance may </w:t>
      </w:r>
      <w:r w:rsidRPr="002E60EB">
        <w:rPr>
          <w:lang w:val="en-US"/>
        </w:rPr>
        <w:t xml:space="preserve">the </w:t>
      </w:r>
      <w:r w:rsidR="0004795A" w:rsidRPr="002E60EB">
        <w:rPr>
          <w:lang w:val="en-US"/>
        </w:rPr>
        <w:t>military jurisdiction operate in situations that violate the human rights of civilians.</w:t>
      </w:r>
      <w:r w:rsidR="00087093" w:rsidRPr="002E60EB">
        <w:rPr>
          <w:lang w:val="en-US"/>
        </w:rPr>
        <w:t>”</w:t>
      </w:r>
      <w:r w:rsidR="0004795A" w:rsidRPr="002E60EB">
        <w:rPr>
          <w:lang w:val="en-US"/>
        </w:rPr>
        <w:t xml:space="preserve"> The Commission adde</w:t>
      </w:r>
      <w:r w:rsidR="000455E8" w:rsidRPr="002E60EB">
        <w:rPr>
          <w:lang w:val="en-US"/>
        </w:rPr>
        <w:t>d that the Court has applied the</w:t>
      </w:r>
      <w:r w:rsidR="0004795A" w:rsidRPr="002E60EB">
        <w:rPr>
          <w:lang w:val="en-US"/>
        </w:rPr>
        <w:t xml:space="preserve">se standards in cases in which the facts occurred even before the facts of the </w:t>
      </w:r>
      <w:r w:rsidR="000455E8" w:rsidRPr="002E60EB">
        <w:rPr>
          <w:lang w:val="en-US"/>
        </w:rPr>
        <w:t>instant case, and that this</w:t>
      </w:r>
      <w:r w:rsidR="0004795A" w:rsidRPr="002E60EB">
        <w:rPr>
          <w:lang w:val="en-US"/>
        </w:rPr>
        <w:t xml:space="preserve"> </w:t>
      </w:r>
      <w:r w:rsidR="00087093" w:rsidRPr="002E60EB">
        <w:rPr>
          <w:lang w:val="en-US"/>
        </w:rPr>
        <w:t>“</w:t>
      </w:r>
      <w:r w:rsidR="0004795A" w:rsidRPr="002E60EB">
        <w:rPr>
          <w:lang w:val="en-US"/>
        </w:rPr>
        <w:t xml:space="preserve">does not constitute a retroactive application of the obligations of international law, […] but </w:t>
      </w:r>
      <w:r w:rsidR="000455E8" w:rsidRPr="002E60EB">
        <w:rPr>
          <w:lang w:val="en-US"/>
        </w:rPr>
        <w:t>rather</w:t>
      </w:r>
      <w:r w:rsidR="0004795A" w:rsidRPr="002E60EB">
        <w:rPr>
          <w:lang w:val="en-US"/>
        </w:rPr>
        <w:t xml:space="preserve"> the interpretation of obligations that have existed </w:t>
      </w:r>
      <w:r w:rsidR="000455E8" w:rsidRPr="002E60EB">
        <w:rPr>
          <w:lang w:val="en-US"/>
        </w:rPr>
        <w:t>from the moment that</w:t>
      </w:r>
      <w:r w:rsidR="0004795A" w:rsidRPr="002E60EB">
        <w:rPr>
          <w:lang w:val="en-US"/>
        </w:rPr>
        <w:t xml:space="preserve"> Colombia ratified the American Convention.</w:t>
      </w:r>
      <w:r w:rsidR="00087093" w:rsidRPr="002E60EB">
        <w:rPr>
          <w:lang w:val="en-US"/>
        </w:rPr>
        <w:t>”</w:t>
      </w:r>
      <w:r w:rsidR="0004795A" w:rsidRPr="002E60EB">
        <w:rPr>
          <w:lang w:val="en-US"/>
        </w:rPr>
        <w:t xml:space="preserve"> </w:t>
      </w:r>
      <w:r w:rsidR="000455E8" w:rsidRPr="002E60EB">
        <w:rPr>
          <w:lang w:val="en-US"/>
        </w:rPr>
        <w:t>In addition, i</w:t>
      </w:r>
      <w:r w:rsidR="0004795A" w:rsidRPr="002E60EB">
        <w:rPr>
          <w:lang w:val="en-US"/>
        </w:rPr>
        <w:t xml:space="preserve">t </w:t>
      </w:r>
      <w:r w:rsidR="000455E8" w:rsidRPr="002E60EB">
        <w:rPr>
          <w:lang w:val="en-US"/>
        </w:rPr>
        <w:t>referred to some of its reports</w:t>
      </w:r>
      <w:r w:rsidR="0004795A" w:rsidRPr="002E60EB">
        <w:rPr>
          <w:lang w:val="en-US"/>
        </w:rPr>
        <w:t xml:space="preserve"> </w:t>
      </w:r>
      <w:r w:rsidR="000455E8" w:rsidRPr="002E60EB">
        <w:rPr>
          <w:lang w:val="en-US"/>
        </w:rPr>
        <w:t>that,</w:t>
      </w:r>
      <w:r w:rsidR="0004795A" w:rsidRPr="002E60EB">
        <w:rPr>
          <w:lang w:val="en-US"/>
        </w:rPr>
        <w:t xml:space="preserve"> it </w:t>
      </w:r>
      <w:r w:rsidR="000455E8" w:rsidRPr="002E60EB">
        <w:rPr>
          <w:lang w:val="en-US"/>
        </w:rPr>
        <w:t>affirmed, at the</w:t>
      </w:r>
      <w:r w:rsidR="0004795A" w:rsidRPr="002E60EB">
        <w:rPr>
          <w:lang w:val="en-US"/>
        </w:rPr>
        <w:t xml:space="preserve"> time of the facts of </w:t>
      </w:r>
      <w:r w:rsidR="000455E8" w:rsidRPr="002E60EB">
        <w:rPr>
          <w:lang w:val="en-US"/>
        </w:rPr>
        <w:t>this</w:t>
      </w:r>
      <w:r w:rsidR="0004795A" w:rsidRPr="002E60EB">
        <w:rPr>
          <w:lang w:val="en-US"/>
        </w:rPr>
        <w:t xml:space="preserve"> case </w:t>
      </w:r>
      <w:r w:rsidR="000455E8" w:rsidRPr="002E60EB">
        <w:rPr>
          <w:lang w:val="en-US"/>
        </w:rPr>
        <w:t xml:space="preserve">had </w:t>
      </w:r>
      <w:r w:rsidR="0004795A" w:rsidRPr="002E60EB">
        <w:rPr>
          <w:lang w:val="en-US"/>
        </w:rPr>
        <w:t xml:space="preserve">already established </w:t>
      </w:r>
      <w:r w:rsidR="000455E8" w:rsidRPr="002E60EB">
        <w:rPr>
          <w:lang w:val="en-US"/>
        </w:rPr>
        <w:t>the said</w:t>
      </w:r>
      <w:r w:rsidR="0004795A" w:rsidRPr="002E60EB">
        <w:rPr>
          <w:lang w:val="en-US"/>
        </w:rPr>
        <w:t xml:space="preserve"> standards. </w:t>
      </w:r>
      <w:r w:rsidR="000455E8" w:rsidRPr="002E60EB">
        <w:rPr>
          <w:lang w:val="en-US"/>
        </w:rPr>
        <w:t xml:space="preserve">The Commission also argued </w:t>
      </w:r>
      <w:r w:rsidR="0004795A" w:rsidRPr="002E60EB">
        <w:rPr>
          <w:lang w:val="en-US"/>
        </w:rPr>
        <w:t xml:space="preserve">that the prohibition that </w:t>
      </w:r>
      <w:r w:rsidR="000455E8" w:rsidRPr="002E60EB">
        <w:rPr>
          <w:lang w:val="en-US"/>
        </w:rPr>
        <w:t xml:space="preserve">the </w:t>
      </w:r>
      <w:r w:rsidR="0004795A" w:rsidRPr="002E60EB">
        <w:rPr>
          <w:lang w:val="en-US"/>
        </w:rPr>
        <w:t>military criminal jurisdiction</w:t>
      </w:r>
      <w:r w:rsidR="003000EC" w:rsidRPr="002E60EB">
        <w:rPr>
          <w:lang w:val="en-US"/>
        </w:rPr>
        <w:t xml:space="preserve"> </w:t>
      </w:r>
      <w:r w:rsidR="000455E8" w:rsidRPr="002E60EB">
        <w:rPr>
          <w:lang w:val="en-US"/>
        </w:rPr>
        <w:t>examine human rights</w:t>
      </w:r>
      <w:r w:rsidR="0004795A" w:rsidRPr="002E60EB">
        <w:rPr>
          <w:lang w:val="en-US"/>
        </w:rPr>
        <w:t xml:space="preserve"> violations </w:t>
      </w:r>
      <w:r w:rsidR="00087093" w:rsidRPr="002E60EB">
        <w:rPr>
          <w:lang w:val="en-US"/>
        </w:rPr>
        <w:t>“</w:t>
      </w:r>
      <w:r w:rsidR="000455E8" w:rsidRPr="002E60EB">
        <w:rPr>
          <w:lang w:val="en-US"/>
        </w:rPr>
        <w:t xml:space="preserve">was not </w:t>
      </w:r>
      <w:r w:rsidR="0004795A" w:rsidRPr="002E60EB">
        <w:rPr>
          <w:lang w:val="en-US"/>
        </w:rPr>
        <w:t>based on the se</w:t>
      </w:r>
      <w:r w:rsidR="000455E8" w:rsidRPr="002E60EB">
        <w:rPr>
          <w:lang w:val="en-US"/>
        </w:rPr>
        <w:t>verity</w:t>
      </w:r>
      <w:r w:rsidR="0004795A" w:rsidRPr="002E60EB">
        <w:rPr>
          <w:lang w:val="en-US"/>
        </w:rPr>
        <w:t xml:space="preserve"> of the human rights violations</w:t>
      </w:r>
      <w:r w:rsidR="000455E8" w:rsidRPr="002E60EB">
        <w:rPr>
          <w:lang w:val="en-US"/>
        </w:rPr>
        <w:t>,</w:t>
      </w:r>
      <w:r w:rsidR="0004795A" w:rsidRPr="002E60EB">
        <w:rPr>
          <w:lang w:val="en-US"/>
        </w:rPr>
        <w:t xml:space="preserve"> but </w:t>
      </w:r>
      <w:r w:rsidR="000455E8" w:rsidRPr="002E60EB">
        <w:rPr>
          <w:lang w:val="en-US"/>
        </w:rPr>
        <w:t xml:space="preserve">rather </w:t>
      </w:r>
      <w:r w:rsidR="0004795A" w:rsidRPr="002E60EB">
        <w:rPr>
          <w:lang w:val="en-US"/>
        </w:rPr>
        <w:t>on their nature.</w:t>
      </w:r>
      <w:r w:rsidR="00087093" w:rsidRPr="002E60EB">
        <w:rPr>
          <w:lang w:val="en-US"/>
        </w:rPr>
        <w:t>”</w:t>
      </w:r>
      <w:r w:rsidR="0004795A" w:rsidRPr="002E60EB">
        <w:rPr>
          <w:lang w:val="en-US"/>
        </w:rPr>
        <w:t xml:space="preserve"> </w:t>
      </w:r>
    </w:p>
    <w:p w:rsidR="000455E8" w:rsidRPr="002E60EB" w:rsidRDefault="000455E8" w:rsidP="00317748">
      <w:pPr>
        <w:autoSpaceDE w:val="0"/>
        <w:autoSpaceDN w:val="0"/>
        <w:adjustRightInd w:val="0"/>
        <w:jc w:val="both"/>
        <w:rPr>
          <w:b/>
          <w:bCs/>
          <w:lang w:val="en-US"/>
        </w:rPr>
      </w:pPr>
    </w:p>
    <w:p w:rsidR="00B013B5" w:rsidRPr="002E60EB" w:rsidRDefault="0004795A" w:rsidP="00317748">
      <w:pPr>
        <w:numPr>
          <w:ilvl w:val="0"/>
          <w:numId w:val="1"/>
        </w:numPr>
        <w:tabs>
          <w:tab w:val="clear" w:pos="1427"/>
          <w:tab w:val="num" w:pos="680"/>
        </w:tabs>
        <w:autoSpaceDE w:val="0"/>
        <w:autoSpaceDN w:val="0"/>
        <w:adjustRightInd w:val="0"/>
        <w:jc w:val="both"/>
        <w:rPr>
          <w:b/>
          <w:bCs/>
          <w:lang w:val="en-US"/>
        </w:rPr>
      </w:pPr>
      <w:r w:rsidRPr="002E60EB">
        <w:rPr>
          <w:lang w:val="en-US"/>
        </w:rPr>
        <w:t xml:space="preserve">The State </w:t>
      </w:r>
      <w:r w:rsidR="000455E8" w:rsidRPr="002E60EB">
        <w:rPr>
          <w:lang w:val="en-US"/>
        </w:rPr>
        <w:t xml:space="preserve">argued </w:t>
      </w:r>
      <w:r w:rsidR="003000EC" w:rsidRPr="002E60EB">
        <w:rPr>
          <w:lang w:val="en-US"/>
        </w:rPr>
        <w:t>that the criterion of</w:t>
      </w:r>
      <w:r w:rsidRPr="002E60EB">
        <w:rPr>
          <w:lang w:val="en-US"/>
        </w:rPr>
        <w:t xml:space="preserve"> the exceptional nature of the military jurisdiction, established by the current </w:t>
      </w:r>
      <w:r w:rsidR="000455E8" w:rsidRPr="002E60EB">
        <w:rPr>
          <w:lang w:val="en-US"/>
        </w:rPr>
        <w:t>i</w:t>
      </w:r>
      <w:r w:rsidRPr="002E60EB">
        <w:rPr>
          <w:lang w:val="en-US"/>
        </w:rPr>
        <w:t xml:space="preserve">nter-American </w:t>
      </w:r>
      <w:r w:rsidR="000455E8" w:rsidRPr="002E60EB">
        <w:rPr>
          <w:lang w:val="en-US"/>
        </w:rPr>
        <w:t>case law</w:t>
      </w:r>
      <w:r w:rsidRPr="002E60EB">
        <w:rPr>
          <w:lang w:val="en-US"/>
        </w:rPr>
        <w:t>, did not exist at the time of the facts and that</w:t>
      </w:r>
      <w:r w:rsidR="000455E8" w:rsidRPr="002E60EB">
        <w:rPr>
          <w:lang w:val="en-US"/>
        </w:rPr>
        <w:t>, in addition,</w:t>
      </w:r>
      <w:r w:rsidRPr="002E60EB">
        <w:rPr>
          <w:lang w:val="en-US"/>
        </w:rPr>
        <w:t xml:space="preserve"> it had been developed in cases in which grave </w:t>
      </w:r>
      <w:r w:rsidR="000455E8" w:rsidRPr="002E60EB">
        <w:rPr>
          <w:lang w:val="en-US"/>
        </w:rPr>
        <w:t xml:space="preserve">human rights </w:t>
      </w:r>
      <w:r w:rsidRPr="002E60EB">
        <w:rPr>
          <w:lang w:val="en-US"/>
        </w:rPr>
        <w:t xml:space="preserve">violations </w:t>
      </w:r>
      <w:r w:rsidR="000455E8" w:rsidRPr="002E60EB">
        <w:rPr>
          <w:lang w:val="en-US"/>
        </w:rPr>
        <w:t>had been committed</w:t>
      </w:r>
      <w:r w:rsidR="00EA0CA2" w:rsidRPr="002E60EB">
        <w:rPr>
          <w:lang w:val="en-US"/>
        </w:rPr>
        <w:t xml:space="preserve">. </w:t>
      </w:r>
      <w:r w:rsidRPr="002E60EB">
        <w:rPr>
          <w:lang w:val="en-US"/>
        </w:rPr>
        <w:t xml:space="preserve">It </w:t>
      </w:r>
      <w:r w:rsidR="000455E8" w:rsidRPr="002E60EB">
        <w:rPr>
          <w:lang w:val="en-US"/>
        </w:rPr>
        <w:t xml:space="preserve">indicated </w:t>
      </w:r>
      <w:r w:rsidRPr="002E60EB">
        <w:rPr>
          <w:lang w:val="en-US"/>
        </w:rPr>
        <w:t xml:space="preserve">that the Court’s </w:t>
      </w:r>
      <w:r w:rsidR="000455E8" w:rsidRPr="002E60EB">
        <w:rPr>
          <w:lang w:val="en-US"/>
        </w:rPr>
        <w:t xml:space="preserve">case law </w:t>
      </w:r>
      <w:r w:rsidRPr="002E60EB">
        <w:rPr>
          <w:lang w:val="en-US"/>
        </w:rPr>
        <w:t xml:space="preserve">had undergone </w:t>
      </w:r>
      <w:r w:rsidR="00087093" w:rsidRPr="002E60EB">
        <w:rPr>
          <w:lang w:val="en-US"/>
        </w:rPr>
        <w:t>“</w:t>
      </w:r>
      <w:r w:rsidRPr="002E60EB">
        <w:rPr>
          <w:lang w:val="en-US"/>
        </w:rPr>
        <w:t xml:space="preserve">important </w:t>
      </w:r>
      <w:r w:rsidR="000455E8" w:rsidRPr="002E60EB">
        <w:rPr>
          <w:lang w:val="en-US"/>
        </w:rPr>
        <w:t xml:space="preserve">changes between </w:t>
      </w:r>
      <w:r w:rsidRPr="002E60EB">
        <w:rPr>
          <w:lang w:val="en-US"/>
        </w:rPr>
        <w:t xml:space="preserve">1996 </w:t>
      </w:r>
      <w:r w:rsidR="000455E8" w:rsidRPr="002E60EB">
        <w:rPr>
          <w:lang w:val="en-US"/>
        </w:rPr>
        <w:t>and</w:t>
      </w:r>
      <w:r w:rsidRPr="002E60EB">
        <w:rPr>
          <w:lang w:val="en-US"/>
        </w:rPr>
        <w:t xml:space="preserve"> 2006</w:t>
      </w:r>
      <w:r w:rsidR="00087093" w:rsidRPr="002E60EB">
        <w:rPr>
          <w:lang w:val="en-US"/>
        </w:rPr>
        <w:t>”</w:t>
      </w:r>
      <w:r w:rsidR="00EA0CA2" w:rsidRPr="002E60EB">
        <w:rPr>
          <w:lang w:val="en-US"/>
        </w:rPr>
        <w:t xml:space="preserve"> </w:t>
      </w:r>
      <w:r w:rsidRPr="002E60EB">
        <w:rPr>
          <w:lang w:val="en-US"/>
        </w:rPr>
        <w:t xml:space="preserve">and that, according to the sources available at the time of the facts of this case, </w:t>
      </w:r>
      <w:r w:rsidR="000455E8" w:rsidRPr="002E60EB">
        <w:rPr>
          <w:lang w:val="en-US"/>
        </w:rPr>
        <w:t xml:space="preserve">the </w:t>
      </w:r>
      <w:r w:rsidRPr="002E60EB">
        <w:rPr>
          <w:lang w:val="en-US"/>
        </w:rPr>
        <w:t xml:space="preserve">military criminal jurisdiction had the </w:t>
      </w:r>
      <w:r w:rsidR="000455E8" w:rsidRPr="002E60EB">
        <w:rPr>
          <w:lang w:val="en-US"/>
        </w:rPr>
        <w:t xml:space="preserve">status </w:t>
      </w:r>
      <w:r w:rsidRPr="002E60EB">
        <w:rPr>
          <w:lang w:val="en-US"/>
        </w:rPr>
        <w:t>of a</w:t>
      </w:r>
      <w:r w:rsidR="008D78E8" w:rsidRPr="002E60EB">
        <w:rPr>
          <w:lang w:val="en-US"/>
        </w:rPr>
        <w:t xml:space="preserve"> </w:t>
      </w:r>
      <w:r w:rsidR="00615D3A" w:rsidRPr="002E60EB">
        <w:rPr>
          <w:lang w:val="en-US"/>
        </w:rPr>
        <w:t>natural judge</w:t>
      </w:r>
      <w:r w:rsidRPr="002E60EB">
        <w:rPr>
          <w:lang w:val="en-US"/>
        </w:rPr>
        <w:t xml:space="preserve"> to </w:t>
      </w:r>
      <w:r w:rsidR="000455E8" w:rsidRPr="002E60EB">
        <w:rPr>
          <w:lang w:val="en-US"/>
        </w:rPr>
        <w:t>examine</w:t>
      </w:r>
      <w:r w:rsidRPr="002E60EB">
        <w:rPr>
          <w:lang w:val="en-US"/>
        </w:rPr>
        <w:t xml:space="preserve"> </w:t>
      </w:r>
      <w:r w:rsidR="00087093" w:rsidRPr="002E60EB">
        <w:rPr>
          <w:lang w:val="en-US"/>
        </w:rPr>
        <w:t>“</w:t>
      </w:r>
      <w:r w:rsidRPr="002E60EB">
        <w:rPr>
          <w:lang w:val="en-US"/>
        </w:rPr>
        <w:t xml:space="preserve">the violation </w:t>
      </w:r>
      <w:r w:rsidR="000455E8" w:rsidRPr="002E60EB">
        <w:rPr>
          <w:lang w:val="en-US"/>
        </w:rPr>
        <w:t>of</w:t>
      </w:r>
      <w:r w:rsidRPr="002E60EB">
        <w:rPr>
          <w:lang w:val="en-US"/>
        </w:rPr>
        <w:t xml:space="preserve"> the personal integrity of Mr. Vélez.</w:t>
      </w:r>
      <w:r w:rsidR="00087093" w:rsidRPr="002E60EB">
        <w:rPr>
          <w:lang w:val="en-US"/>
        </w:rPr>
        <w:t>”</w:t>
      </w:r>
      <w:r w:rsidRPr="002E60EB">
        <w:rPr>
          <w:b/>
          <w:lang w:val="en-US"/>
        </w:rPr>
        <w:t xml:space="preserve"> </w:t>
      </w:r>
      <w:r w:rsidRPr="002E60EB">
        <w:rPr>
          <w:lang w:val="en-US"/>
        </w:rPr>
        <w:t xml:space="preserve">The </w:t>
      </w:r>
      <w:r w:rsidR="00EA0CA2" w:rsidRPr="002E60EB">
        <w:rPr>
          <w:lang w:val="en-US"/>
        </w:rPr>
        <w:t>S</w:t>
      </w:r>
      <w:r w:rsidRPr="002E60EB">
        <w:rPr>
          <w:lang w:val="en-US"/>
        </w:rPr>
        <w:t xml:space="preserve">tate </w:t>
      </w:r>
      <w:r w:rsidR="000455E8" w:rsidRPr="002E60EB">
        <w:rPr>
          <w:lang w:val="en-US"/>
        </w:rPr>
        <w:t xml:space="preserve">affirmed </w:t>
      </w:r>
      <w:r w:rsidRPr="002E60EB">
        <w:rPr>
          <w:lang w:val="en-US"/>
        </w:rPr>
        <w:t>that, prior to the</w:t>
      </w:r>
      <w:r w:rsidR="000455E8" w:rsidRPr="002E60EB">
        <w:rPr>
          <w:lang w:val="en-US"/>
        </w:rPr>
        <w:t xml:space="preserve"> 2009</w:t>
      </w:r>
      <w:r w:rsidRPr="002E60EB">
        <w:rPr>
          <w:lang w:val="en-US"/>
        </w:rPr>
        <w:t xml:space="preserve"> judgment in </w:t>
      </w:r>
      <w:r w:rsidRPr="002E60EB">
        <w:rPr>
          <w:i/>
          <w:lang w:val="en-US"/>
        </w:rPr>
        <w:t>Radilla Pacheco v. Mexico</w:t>
      </w:r>
      <w:r w:rsidRPr="002E60EB">
        <w:rPr>
          <w:lang w:val="en-US"/>
        </w:rPr>
        <w:t xml:space="preserve">, the applicable standard </w:t>
      </w:r>
      <w:r w:rsidR="00087093" w:rsidRPr="002E60EB">
        <w:rPr>
          <w:lang w:val="en-US"/>
        </w:rPr>
        <w:t>“</w:t>
      </w:r>
      <w:r w:rsidRPr="002E60EB">
        <w:rPr>
          <w:lang w:val="en-US"/>
        </w:rPr>
        <w:t xml:space="preserve">to determine </w:t>
      </w:r>
      <w:r w:rsidR="000455E8" w:rsidRPr="002E60EB">
        <w:rPr>
          <w:lang w:val="en-US"/>
        </w:rPr>
        <w:t>whether</w:t>
      </w:r>
      <w:r w:rsidRPr="002E60EB">
        <w:rPr>
          <w:lang w:val="en-US"/>
        </w:rPr>
        <w:t xml:space="preserve"> a </w:t>
      </w:r>
      <w:r w:rsidR="000455E8" w:rsidRPr="002E60EB">
        <w:rPr>
          <w:lang w:val="en-US"/>
        </w:rPr>
        <w:t xml:space="preserve">conduct </w:t>
      </w:r>
      <w:r w:rsidRPr="002E60EB">
        <w:rPr>
          <w:lang w:val="en-US"/>
        </w:rPr>
        <w:t xml:space="preserve">should be </w:t>
      </w:r>
      <w:r w:rsidR="000455E8" w:rsidRPr="002E60EB">
        <w:rPr>
          <w:lang w:val="en-US"/>
        </w:rPr>
        <w:t>heard by</w:t>
      </w:r>
      <w:r w:rsidRPr="002E60EB">
        <w:rPr>
          <w:lang w:val="en-US"/>
        </w:rPr>
        <w:t xml:space="preserve"> the ordinary jurisdiction, was the extreme gravity of the human rights</w:t>
      </w:r>
      <w:r w:rsidR="00BD1A63" w:rsidRPr="002E60EB">
        <w:rPr>
          <w:lang w:val="en-US"/>
        </w:rPr>
        <w:t xml:space="preserve"> violations</w:t>
      </w:r>
      <w:r w:rsidR="00087093" w:rsidRPr="002E60EB">
        <w:rPr>
          <w:lang w:val="en-US"/>
        </w:rPr>
        <w:t>”</w:t>
      </w:r>
      <w:r w:rsidRPr="002E60EB">
        <w:rPr>
          <w:lang w:val="en-US"/>
        </w:rPr>
        <w:t xml:space="preserve"> and that </w:t>
      </w:r>
      <w:r w:rsidR="00087093" w:rsidRPr="002E60EB">
        <w:rPr>
          <w:lang w:val="en-US"/>
        </w:rPr>
        <w:t>“</w:t>
      </w:r>
      <w:r w:rsidRPr="002E60EB">
        <w:rPr>
          <w:lang w:val="en-US"/>
        </w:rPr>
        <w:t xml:space="preserve">other human rights </w:t>
      </w:r>
      <w:r w:rsidR="00BD1A63" w:rsidRPr="002E60EB">
        <w:rPr>
          <w:lang w:val="en-US"/>
        </w:rPr>
        <w:t>violations examined</w:t>
      </w:r>
      <w:r w:rsidRPr="002E60EB">
        <w:rPr>
          <w:lang w:val="en-US"/>
        </w:rPr>
        <w:t xml:space="preserve"> by military courts would not be </w:t>
      </w:r>
      <w:r w:rsidRPr="002E60EB">
        <w:rPr>
          <w:i/>
          <w:lang w:val="en-US"/>
        </w:rPr>
        <w:t xml:space="preserve">per se </w:t>
      </w:r>
      <w:r w:rsidRPr="002E60EB">
        <w:rPr>
          <w:lang w:val="en-US"/>
        </w:rPr>
        <w:t xml:space="preserve">violations </w:t>
      </w:r>
      <w:r w:rsidR="00BD1A63" w:rsidRPr="002E60EB">
        <w:rPr>
          <w:lang w:val="en-US"/>
        </w:rPr>
        <w:t>of</w:t>
      </w:r>
      <w:r w:rsidRPr="002E60EB">
        <w:rPr>
          <w:lang w:val="en-US"/>
        </w:rPr>
        <w:t xml:space="preserve"> the American Convention.</w:t>
      </w:r>
      <w:r w:rsidR="00087093" w:rsidRPr="002E60EB">
        <w:rPr>
          <w:lang w:val="en-US"/>
        </w:rPr>
        <w:t>”</w:t>
      </w:r>
      <w:r w:rsidRPr="002E60EB">
        <w:rPr>
          <w:lang w:val="en-US"/>
        </w:rPr>
        <w:t xml:space="preserve"> Likewise, it referred to the Court’s decision in the</w:t>
      </w:r>
      <w:r w:rsidR="00BD1A63" w:rsidRPr="002E60EB">
        <w:rPr>
          <w:lang w:val="en-US"/>
        </w:rPr>
        <w:t xml:space="preserve"> 1997</w:t>
      </w:r>
      <w:r w:rsidRPr="002E60EB">
        <w:rPr>
          <w:lang w:val="en-US"/>
        </w:rPr>
        <w:t xml:space="preserve"> judgment </w:t>
      </w:r>
      <w:r w:rsidR="00BD1A63" w:rsidRPr="002E60EB">
        <w:rPr>
          <w:lang w:val="en-US"/>
        </w:rPr>
        <w:t>in</w:t>
      </w:r>
      <w:r w:rsidRPr="002E60EB">
        <w:rPr>
          <w:lang w:val="en-US"/>
        </w:rPr>
        <w:t xml:space="preserve"> </w:t>
      </w:r>
      <w:r w:rsidRPr="002E60EB">
        <w:rPr>
          <w:i/>
          <w:lang w:val="en-US"/>
        </w:rPr>
        <w:t>Genie Lacayo v</w:t>
      </w:r>
      <w:r w:rsidR="00BD1A63" w:rsidRPr="002E60EB">
        <w:rPr>
          <w:i/>
          <w:lang w:val="en-US"/>
        </w:rPr>
        <w:t>.</w:t>
      </w:r>
      <w:r w:rsidRPr="002E60EB">
        <w:rPr>
          <w:i/>
          <w:lang w:val="en-US"/>
        </w:rPr>
        <w:t xml:space="preserve"> Nicaragua</w:t>
      </w:r>
      <w:r w:rsidRPr="002E60EB">
        <w:rPr>
          <w:lang w:val="en-US"/>
        </w:rPr>
        <w:t xml:space="preserve">, in which it did not declare a violation </w:t>
      </w:r>
      <w:r w:rsidR="00BD1A63" w:rsidRPr="002E60EB">
        <w:rPr>
          <w:lang w:val="en-US"/>
        </w:rPr>
        <w:t>of</w:t>
      </w:r>
      <w:r w:rsidRPr="002E60EB">
        <w:rPr>
          <w:lang w:val="en-US"/>
        </w:rPr>
        <w:t xml:space="preserve"> the principle of </w:t>
      </w:r>
      <w:r w:rsidR="008D78E8" w:rsidRPr="002E60EB">
        <w:rPr>
          <w:lang w:val="en-US"/>
        </w:rPr>
        <w:t>the</w:t>
      </w:r>
      <w:r w:rsidRPr="002E60EB">
        <w:rPr>
          <w:lang w:val="en-US"/>
        </w:rPr>
        <w:t xml:space="preserve"> </w:t>
      </w:r>
      <w:r w:rsidR="00615D3A" w:rsidRPr="002E60EB">
        <w:rPr>
          <w:lang w:val="en-US"/>
        </w:rPr>
        <w:t>natural judge</w:t>
      </w:r>
      <w:r w:rsidRPr="002E60EB">
        <w:rPr>
          <w:lang w:val="en-US"/>
        </w:rPr>
        <w:t xml:space="preserve">. It also </w:t>
      </w:r>
      <w:r w:rsidR="008D78E8" w:rsidRPr="002E60EB">
        <w:rPr>
          <w:lang w:val="en-US"/>
        </w:rPr>
        <w:t>referred</w:t>
      </w:r>
      <w:r w:rsidRPr="002E60EB">
        <w:rPr>
          <w:lang w:val="en-US"/>
        </w:rPr>
        <w:t xml:space="preserve"> to reports of the Inter-American Commission, and </w:t>
      </w:r>
      <w:r w:rsidR="008D78E8" w:rsidRPr="002E60EB">
        <w:rPr>
          <w:lang w:val="en-US"/>
        </w:rPr>
        <w:t>to a General Comment</w:t>
      </w:r>
      <w:r w:rsidRPr="002E60EB">
        <w:rPr>
          <w:lang w:val="en-US"/>
        </w:rPr>
        <w:t xml:space="preserve"> of the Human Rights</w:t>
      </w:r>
      <w:r w:rsidR="008D78E8" w:rsidRPr="002E60EB">
        <w:rPr>
          <w:lang w:val="en-US"/>
        </w:rPr>
        <w:t xml:space="preserve"> Committee</w:t>
      </w:r>
      <w:r w:rsidRPr="002E60EB">
        <w:rPr>
          <w:lang w:val="en-US"/>
        </w:rPr>
        <w:t xml:space="preserve"> of the </w:t>
      </w:r>
      <w:r w:rsidR="008D78E8" w:rsidRPr="002E60EB">
        <w:rPr>
          <w:lang w:val="en-US"/>
        </w:rPr>
        <w:t xml:space="preserve">International Covenant </w:t>
      </w:r>
      <w:r w:rsidRPr="002E60EB">
        <w:rPr>
          <w:lang w:val="en-US"/>
        </w:rPr>
        <w:t xml:space="preserve">on Civil and Political Rights, and to </w:t>
      </w:r>
      <w:r w:rsidR="008D78E8" w:rsidRPr="002E60EB">
        <w:rPr>
          <w:lang w:val="en-US"/>
        </w:rPr>
        <w:t xml:space="preserve">the case law </w:t>
      </w:r>
      <w:r w:rsidRPr="002E60EB">
        <w:rPr>
          <w:lang w:val="en-US"/>
        </w:rPr>
        <w:t xml:space="preserve">of the </w:t>
      </w:r>
      <w:r w:rsidR="008D78E8" w:rsidRPr="002E60EB">
        <w:rPr>
          <w:lang w:val="en-US"/>
        </w:rPr>
        <w:t xml:space="preserve">Colombian </w:t>
      </w:r>
      <w:r w:rsidRPr="002E60EB">
        <w:rPr>
          <w:lang w:val="en-US"/>
        </w:rPr>
        <w:t>Constitutional Court</w:t>
      </w:r>
      <w:r w:rsidR="00AA7AB8" w:rsidRPr="002E60EB">
        <w:rPr>
          <w:lang w:val="en-US"/>
        </w:rPr>
        <w:t xml:space="preserve">. </w:t>
      </w:r>
      <w:r w:rsidR="008D78E8" w:rsidRPr="002E60EB">
        <w:rPr>
          <w:lang w:val="en-US"/>
        </w:rPr>
        <w:t>The State argued</w:t>
      </w:r>
      <w:r w:rsidRPr="002E60EB">
        <w:rPr>
          <w:lang w:val="en-US"/>
        </w:rPr>
        <w:t xml:space="preserve"> that </w:t>
      </w:r>
      <w:r w:rsidR="00087093" w:rsidRPr="002E60EB">
        <w:rPr>
          <w:lang w:val="en-US"/>
        </w:rPr>
        <w:t>“</w:t>
      </w:r>
      <w:r w:rsidRPr="002E60EB">
        <w:rPr>
          <w:lang w:val="en-US"/>
        </w:rPr>
        <w:t xml:space="preserve">it is not possible to declare [its] international responsibility […], </w:t>
      </w:r>
      <w:r w:rsidR="008D78E8" w:rsidRPr="002E60EB">
        <w:rPr>
          <w:lang w:val="en-US"/>
        </w:rPr>
        <w:t xml:space="preserve">because </w:t>
      </w:r>
      <w:r w:rsidRPr="002E60EB">
        <w:rPr>
          <w:lang w:val="en-US"/>
        </w:rPr>
        <w:t>that would be against the principle of the non-retroactive nature of obligations in international law</w:t>
      </w:r>
      <w:r w:rsidR="00087093" w:rsidRPr="002E60EB">
        <w:rPr>
          <w:lang w:val="en-US"/>
        </w:rPr>
        <w:t>”</w:t>
      </w:r>
      <w:r w:rsidRPr="002E60EB">
        <w:rPr>
          <w:lang w:val="en-US"/>
        </w:rPr>
        <w:t xml:space="preserve"> and </w:t>
      </w:r>
      <w:r w:rsidR="008D78E8" w:rsidRPr="002E60EB">
        <w:rPr>
          <w:lang w:val="en-US"/>
        </w:rPr>
        <w:t>asked</w:t>
      </w:r>
      <w:r w:rsidRPr="002E60EB">
        <w:rPr>
          <w:lang w:val="en-US"/>
        </w:rPr>
        <w:t xml:space="preserve"> the Court </w:t>
      </w:r>
      <w:r w:rsidR="008D78E8" w:rsidRPr="002E60EB">
        <w:rPr>
          <w:lang w:val="en-US"/>
        </w:rPr>
        <w:t xml:space="preserve">to </w:t>
      </w:r>
      <w:r w:rsidRPr="002E60EB">
        <w:rPr>
          <w:lang w:val="en-US"/>
        </w:rPr>
        <w:t xml:space="preserve">declare that </w:t>
      </w:r>
      <w:r w:rsidR="008D78E8" w:rsidRPr="002E60EB">
        <w:rPr>
          <w:lang w:val="en-US"/>
        </w:rPr>
        <w:t xml:space="preserve">it had </w:t>
      </w:r>
      <w:r w:rsidR="00087093" w:rsidRPr="002E60EB">
        <w:rPr>
          <w:lang w:val="en-US"/>
        </w:rPr>
        <w:t>“</w:t>
      </w:r>
      <w:r w:rsidRPr="002E60EB">
        <w:rPr>
          <w:lang w:val="en-US"/>
        </w:rPr>
        <w:t>not violate</w:t>
      </w:r>
      <w:r w:rsidR="008D78E8" w:rsidRPr="002E60EB">
        <w:rPr>
          <w:lang w:val="en-US"/>
        </w:rPr>
        <w:t>d</w:t>
      </w:r>
      <w:r w:rsidRPr="002E60EB">
        <w:rPr>
          <w:lang w:val="en-US"/>
        </w:rPr>
        <w:t xml:space="preserve"> the pri</w:t>
      </w:r>
      <w:r w:rsidR="003000EC" w:rsidRPr="002E60EB">
        <w:rPr>
          <w:lang w:val="en-US"/>
        </w:rPr>
        <w:t>nciple of the</w:t>
      </w:r>
      <w:r w:rsidRPr="002E60EB">
        <w:rPr>
          <w:lang w:val="en-US"/>
        </w:rPr>
        <w:t xml:space="preserve"> </w:t>
      </w:r>
      <w:r w:rsidR="00615D3A" w:rsidRPr="002E60EB">
        <w:rPr>
          <w:lang w:val="en-US"/>
        </w:rPr>
        <w:t>natural judge</w:t>
      </w:r>
      <w:r w:rsidRPr="002E60EB">
        <w:rPr>
          <w:lang w:val="en-US"/>
        </w:rPr>
        <w:t>.</w:t>
      </w:r>
      <w:r w:rsidR="00087093" w:rsidRPr="002E60EB">
        <w:rPr>
          <w:lang w:val="en-US"/>
        </w:rPr>
        <w:t>”</w:t>
      </w:r>
    </w:p>
    <w:p w:rsidR="00CF783C" w:rsidRPr="002E60EB" w:rsidRDefault="00CF783C" w:rsidP="00317748">
      <w:pPr>
        <w:autoSpaceDE w:val="0"/>
        <w:autoSpaceDN w:val="0"/>
        <w:adjustRightInd w:val="0"/>
        <w:jc w:val="both"/>
        <w:rPr>
          <w:lang w:val="en-US"/>
        </w:rPr>
      </w:pPr>
    </w:p>
    <w:p w:rsidR="00CF783C" w:rsidRPr="002E60EB" w:rsidRDefault="00CF783C" w:rsidP="00CF783C">
      <w:pPr>
        <w:jc w:val="both"/>
        <w:rPr>
          <w:i/>
          <w:lang w:val="en-US"/>
        </w:rPr>
      </w:pPr>
      <w:r w:rsidRPr="002E60EB">
        <w:rPr>
          <w:i/>
          <w:lang w:val="en-US"/>
        </w:rPr>
        <w:t>Considerations of the Court</w:t>
      </w:r>
    </w:p>
    <w:p w:rsidR="00CF783C" w:rsidRPr="002E60EB" w:rsidRDefault="00CF783C" w:rsidP="00317748">
      <w:pPr>
        <w:autoSpaceDE w:val="0"/>
        <w:autoSpaceDN w:val="0"/>
        <w:adjustRightInd w:val="0"/>
        <w:ind w:left="720"/>
        <w:jc w:val="both"/>
        <w:rPr>
          <w:b/>
          <w:bCs/>
          <w:lang w:val="en-US"/>
        </w:rPr>
      </w:pPr>
    </w:p>
    <w:p w:rsidR="00CF783C" w:rsidRPr="002E60EB" w:rsidRDefault="00CF783C" w:rsidP="00317748">
      <w:pPr>
        <w:numPr>
          <w:ilvl w:val="0"/>
          <w:numId w:val="1"/>
        </w:numPr>
        <w:tabs>
          <w:tab w:val="clear" w:pos="1427"/>
          <w:tab w:val="num" w:pos="680"/>
        </w:tabs>
        <w:autoSpaceDE w:val="0"/>
        <w:autoSpaceDN w:val="0"/>
        <w:adjustRightInd w:val="0"/>
        <w:jc w:val="both"/>
        <w:rPr>
          <w:lang w:val="en-US"/>
        </w:rPr>
      </w:pPr>
      <w:r w:rsidRPr="002E60EB">
        <w:rPr>
          <w:lang w:val="en-US"/>
        </w:rPr>
        <w:t>According to the proven facts (</w:t>
      </w:r>
      <w:r w:rsidRPr="002E60EB">
        <w:rPr>
          <w:i/>
          <w:lang w:val="en-US"/>
        </w:rPr>
        <w:t>supra</w:t>
      </w:r>
      <w:r w:rsidRPr="002E60EB">
        <w:rPr>
          <w:lang w:val="en-US"/>
        </w:rPr>
        <w:t xml:space="preserve"> paras. 106 and 107)</w:t>
      </w:r>
      <w:r w:rsidR="003000EC" w:rsidRPr="002E60EB">
        <w:rPr>
          <w:lang w:val="en-US"/>
        </w:rPr>
        <w:t>,</w:t>
      </w:r>
      <w:r w:rsidRPr="002E60EB">
        <w:rPr>
          <w:lang w:val="en-US"/>
        </w:rPr>
        <w:t xml:space="preserve"> the attack on Mr. Vélez Restrepo by soldiers on August 29, 1996, was the object of a preliminary investigation in the military criminal jurisdiction, and the f</w:t>
      </w:r>
      <w:r w:rsidR="0004795A" w:rsidRPr="002E60EB">
        <w:rPr>
          <w:lang w:val="en-US"/>
        </w:rPr>
        <w:t xml:space="preserve">inal ruling decided </w:t>
      </w:r>
      <w:r w:rsidR="00087093" w:rsidRPr="002E60EB">
        <w:rPr>
          <w:lang w:val="en-US"/>
        </w:rPr>
        <w:t>“</w:t>
      </w:r>
      <w:r w:rsidR="0004795A" w:rsidRPr="002E60EB">
        <w:rPr>
          <w:lang w:val="en-US"/>
        </w:rPr>
        <w:t xml:space="preserve">to abstain from </w:t>
      </w:r>
      <w:r w:rsidRPr="002E60EB">
        <w:rPr>
          <w:lang w:val="en-US"/>
        </w:rPr>
        <w:t xml:space="preserve">opening </w:t>
      </w:r>
      <w:r w:rsidR="0004795A" w:rsidRPr="002E60EB">
        <w:rPr>
          <w:lang w:val="en-US"/>
        </w:rPr>
        <w:t>a formal criminal investigation.</w:t>
      </w:r>
      <w:r w:rsidR="00087093" w:rsidRPr="002E60EB">
        <w:rPr>
          <w:lang w:val="en-US"/>
        </w:rPr>
        <w:t>”</w:t>
      </w:r>
      <w:r w:rsidR="0004795A" w:rsidRPr="002E60EB">
        <w:rPr>
          <w:lang w:val="en-US"/>
        </w:rPr>
        <w:t xml:space="preserve"> In th</w:t>
      </w:r>
      <w:r w:rsidRPr="002E60EB">
        <w:rPr>
          <w:lang w:val="en-US"/>
        </w:rPr>
        <w:t>is</w:t>
      </w:r>
      <w:r w:rsidR="0004795A" w:rsidRPr="002E60EB">
        <w:rPr>
          <w:lang w:val="en-US"/>
        </w:rPr>
        <w:t xml:space="preserve"> preliminary in</w:t>
      </w:r>
      <w:r w:rsidRPr="002E60EB">
        <w:rPr>
          <w:lang w:val="en-US"/>
        </w:rPr>
        <w:t>quiry into</w:t>
      </w:r>
      <w:r w:rsidR="0004795A" w:rsidRPr="002E60EB">
        <w:rPr>
          <w:lang w:val="en-US"/>
        </w:rPr>
        <w:t xml:space="preserve"> the </w:t>
      </w:r>
      <w:r w:rsidRPr="002E60EB">
        <w:rPr>
          <w:lang w:val="en-US"/>
        </w:rPr>
        <w:t xml:space="preserve">offense </w:t>
      </w:r>
      <w:r w:rsidR="0004795A" w:rsidRPr="002E60EB">
        <w:rPr>
          <w:lang w:val="en-US"/>
        </w:rPr>
        <w:t xml:space="preserve">of personal injuries, other </w:t>
      </w:r>
      <w:r w:rsidRPr="002E60EB">
        <w:rPr>
          <w:lang w:val="en-US"/>
        </w:rPr>
        <w:t>supposed offenses to the</w:t>
      </w:r>
      <w:r w:rsidR="0004795A" w:rsidRPr="002E60EB">
        <w:rPr>
          <w:lang w:val="en-US"/>
        </w:rPr>
        <w:t xml:space="preserve"> detriment of </w:t>
      </w:r>
      <w:r w:rsidRPr="002E60EB">
        <w:rPr>
          <w:lang w:val="en-US"/>
        </w:rPr>
        <w:t xml:space="preserve">individuals who were </w:t>
      </w:r>
      <w:r w:rsidR="0004795A" w:rsidRPr="002E60EB">
        <w:rPr>
          <w:lang w:val="en-US"/>
        </w:rPr>
        <w:t xml:space="preserve">injured in relation to the </w:t>
      </w:r>
      <w:r w:rsidRPr="002E60EB">
        <w:rPr>
          <w:lang w:val="en-US"/>
        </w:rPr>
        <w:t>incidents</w:t>
      </w:r>
      <w:r w:rsidR="0004795A" w:rsidRPr="002E60EB">
        <w:rPr>
          <w:lang w:val="en-US"/>
        </w:rPr>
        <w:t xml:space="preserve"> that </w:t>
      </w:r>
      <w:r w:rsidRPr="002E60EB">
        <w:rPr>
          <w:lang w:val="en-US"/>
        </w:rPr>
        <w:t xml:space="preserve">took place </w:t>
      </w:r>
      <w:r w:rsidR="0004795A" w:rsidRPr="002E60EB">
        <w:rPr>
          <w:lang w:val="en-US"/>
        </w:rPr>
        <w:t xml:space="preserve">on the </w:t>
      </w:r>
      <w:r w:rsidRPr="002E60EB">
        <w:rPr>
          <w:lang w:val="en-US"/>
        </w:rPr>
        <w:t xml:space="preserve">said </w:t>
      </w:r>
      <w:r w:rsidR="0004795A" w:rsidRPr="002E60EB">
        <w:rPr>
          <w:lang w:val="en-US"/>
        </w:rPr>
        <w:t>date during the</w:t>
      </w:r>
      <w:r w:rsidRPr="002E60EB">
        <w:rPr>
          <w:lang w:val="en-US"/>
        </w:rPr>
        <w:t xml:space="preserve"> protest</w:t>
      </w:r>
      <w:r w:rsidR="0004795A" w:rsidRPr="002E60EB">
        <w:rPr>
          <w:lang w:val="en-US"/>
        </w:rPr>
        <w:t xml:space="preserve"> </w:t>
      </w:r>
      <w:r w:rsidR="00334C3C" w:rsidRPr="002E60EB">
        <w:rPr>
          <w:lang w:val="en-US"/>
        </w:rPr>
        <w:t>demonstration</w:t>
      </w:r>
      <w:r w:rsidRPr="002E60EB">
        <w:rPr>
          <w:lang w:val="en-US"/>
        </w:rPr>
        <w:t xml:space="preserve"> in</w:t>
      </w:r>
      <w:r w:rsidR="0004795A" w:rsidRPr="002E60EB">
        <w:rPr>
          <w:lang w:val="en-US"/>
        </w:rPr>
        <w:t xml:space="preserve"> </w:t>
      </w:r>
      <w:r w:rsidR="001E57DA" w:rsidRPr="002E60EB">
        <w:rPr>
          <w:lang w:val="en-US"/>
        </w:rPr>
        <w:t>Caquetá</w:t>
      </w:r>
      <w:r w:rsidR="0004795A" w:rsidRPr="002E60EB">
        <w:rPr>
          <w:lang w:val="en-US"/>
        </w:rPr>
        <w:t xml:space="preserve"> were also investigated</w:t>
      </w:r>
      <w:r w:rsidR="0004795A" w:rsidRPr="002E60EB">
        <w:rPr>
          <w:rFonts w:eastAsia="Calibri" w:cs="Arial"/>
          <w:lang w:val="en-US"/>
        </w:rPr>
        <w:t xml:space="preserve"> (</w:t>
      </w:r>
      <w:r w:rsidR="0004795A" w:rsidRPr="002E60EB">
        <w:rPr>
          <w:rFonts w:eastAsia="Calibri" w:cs="Arial"/>
          <w:i/>
          <w:lang w:val="en-US"/>
        </w:rPr>
        <w:t>supra</w:t>
      </w:r>
      <w:r w:rsidR="0004795A" w:rsidRPr="002E60EB">
        <w:rPr>
          <w:rFonts w:eastAsia="Calibri" w:cs="Arial"/>
          <w:lang w:val="en-US"/>
        </w:rPr>
        <w:t xml:space="preserve"> </w:t>
      </w:r>
      <w:r w:rsidRPr="002E60EB">
        <w:rPr>
          <w:rFonts w:eastAsia="Calibri" w:cs="Arial"/>
          <w:lang w:val="en-US"/>
        </w:rPr>
        <w:t>para. 106</w:t>
      </w:r>
      <w:r w:rsidR="0004795A" w:rsidRPr="002E60EB">
        <w:rPr>
          <w:rFonts w:eastAsia="Calibri" w:cs="Arial"/>
          <w:lang w:val="en-US"/>
        </w:rPr>
        <w:t xml:space="preserve">). </w:t>
      </w:r>
      <w:r w:rsidRPr="002E60EB">
        <w:rPr>
          <w:rFonts w:eastAsia="Calibri" w:cs="Arial"/>
          <w:lang w:val="en-US"/>
        </w:rPr>
        <w:t>Consequently</w:t>
      </w:r>
      <w:r w:rsidR="0004795A" w:rsidRPr="002E60EB">
        <w:rPr>
          <w:rFonts w:eastAsia="Calibri" w:cs="Arial"/>
          <w:lang w:val="en-US"/>
        </w:rPr>
        <w:t xml:space="preserve">, the Court finds it relevant to recall that the guarantee of Article 8(1) of the Convention in relation to the intervention of the military </w:t>
      </w:r>
      <w:r w:rsidRPr="002E60EB">
        <w:rPr>
          <w:rFonts w:eastAsia="Calibri" w:cs="Arial"/>
          <w:lang w:val="en-US"/>
        </w:rPr>
        <w:t xml:space="preserve">justice system </w:t>
      </w:r>
      <w:r w:rsidR="00087093" w:rsidRPr="002E60EB">
        <w:rPr>
          <w:rFonts w:eastAsia="Calibri" w:cs="Arial"/>
          <w:lang w:val="en-US"/>
        </w:rPr>
        <w:t>“</w:t>
      </w:r>
      <w:r w:rsidR="0004795A" w:rsidRPr="002E60EB">
        <w:rPr>
          <w:rFonts w:eastAsia="Calibri" w:cs="Arial"/>
          <w:lang w:val="en-US"/>
        </w:rPr>
        <w:t>does not refer only to the act of prosecution by a court but</w:t>
      </w:r>
      <w:r w:rsidRPr="002E60EB">
        <w:rPr>
          <w:rFonts w:eastAsia="Calibri" w:cs="Arial"/>
          <w:lang w:val="en-US"/>
        </w:rPr>
        <w:t>, above all,</w:t>
      </w:r>
      <w:r w:rsidR="0004795A" w:rsidRPr="002E60EB">
        <w:rPr>
          <w:rFonts w:eastAsia="Calibri" w:cs="Arial"/>
          <w:lang w:val="en-US"/>
        </w:rPr>
        <w:t xml:space="preserve"> to the investigation itself, since it constitutes the </w:t>
      </w:r>
      <w:r w:rsidR="003000EC" w:rsidRPr="002E60EB">
        <w:rPr>
          <w:rFonts w:eastAsia="Calibri" w:cs="Arial"/>
          <w:lang w:val="en-US"/>
        </w:rPr>
        <w:t>start</w:t>
      </w:r>
      <w:r w:rsidR="0004795A" w:rsidRPr="002E60EB">
        <w:rPr>
          <w:rFonts w:eastAsia="Calibri" w:cs="Arial"/>
          <w:lang w:val="en-US"/>
        </w:rPr>
        <w:t xml:space="preserve"> and the necessary </w:t>
      </w:r>
      <w:r w:rsidRPr="002E60EB">
        <w:rPr>
          <w:rFonts w:eastAsia="Calibri" w:cs="Arial"/>
          <w:lang w:val="en-US"/>
        </w:rPr>
        <w:t xml:space="preserve">presumption </w:t>
      </w:r>
      <w:r w:rsidR="0004795A" w:rsidRPr="002E60EB">
        <w:rPr>
          <w:rFonts w:eastAsia="Calibri" w:cs="Arial"/>
          <w:lang w:val="en-US"/>
        </w:rPr>
        <w:t>for the subsequent intervention of an incompetent court.</w:t>
      </w:r>
      <w:r w:rsidR="00087093" w:rsidRPr="002E60EB">
        <w:rPr>
          <w:bCs/>
          <w:lang w:val="en-US"/>
        </w:rPr>
        <w:t>”</w:t>
      </w:r>
      <w:r w:rsidRPr="002E60EB">
        <w:rPr>
          <w:rStyle w:val="Refdenotaalpie"/>
          <w:lang w:val="en-US"/>
        </w:rPr>
        <w:footnoteReference w:id="229"/>
      </w:r>
    </w:p>
    <w:p w:rsidR="00CF783C" w:rsidRPr="002E60EB" w:rsidRDefault="00CF783C" w:rsidP="00317748">
      <w:pPr>
        <w:autoSpaceDE w:val="0"/>
        <w:autoSpaceDN w:val="0"/>
        <w:adjustRightInd w:val="0"/>
        <w:jc w:val="both"/>
        <w:rPr>
          <w:lang w:val="en-US"/>
        </w:rPr>
      </w:pPr>
    </w:p>
    <w:p w:rsidR="00EA0CA2" w:rsidRPr="002E60EB" w:rsidRDefault="0004795A" w:rsidP="00317748">
      <w:pPr>
        <w:numPr>
          <w:ilvl w:val="0"/>
          <w:numId w:val="1"/>
        </w:numPr>
        <w:tabs>
          <w:tab w:val="clear" w:pos="1427"/>
          <w:tab w:val="num" w:pos="680"/>
        </w:tabs>
        <w:autoSpaceDE w:val="0"/>
        <w:autoSpaceDN w:val="0"/>
        <w:adjustRightInd w:val="0"/>
        <w:jc w:val="both"/>
        <w:rPr>
          <w:lang w:val="en-US"/>
        </w:rPr>
      </w:pPr>
      <w:r w:rsidRPr="002E60EB">
        <w:rPr>
          <w:lang w:val="en-US"/>
        </w:rPr>
        <w:t xml:space="preserve">The Court </w:t>
      </w:r>
      <w:r w:rsidR="00CF783C" w:rsidRPr="002E60EB">
        <w:rPr>
          <w:lang w:val="en-US"/>
        </w:rPr>
        <w:t xml:space="preserve">will now rule on </w:t>
      </w:r>
      <w:r w:rsidRPr="002E60EB">
        <w:rPr>
          <w:lang w:val="en-US"/>
        </w:rPr>
        <w:t>Colombia’s argument that</w:t>
      </w:r>
      <w:r w:rsidR="00CF783C" w:rsidRPr="002E60EB">
        <w:rPr>
          <w:lang w:val="en-US"/>
        </w:rPr>
        <w:t>,</w:t>
      </w:r>
      <w:r w:rsidRPr="002E60EB">
        <w:rPr>
          <w:lang w:val="en-US"/>
        </w:rPr>
        <w:t xml:space="preserve"> according to the</w:t>
      </w:r>
      <w:r w:rsidR="00CF783C" w:rsidRPr="002E60EB">
        <w:rPr>
          <w:lang w:val="en-US"/>
        </w:rPr>
        <w:t xml:space="preserve"> </w:t>
      </w:r>
      <w:r w:rsidRPr="002E60EB">
        <w:rPr>
          <w:lang w:val="en-US"/>
        </w:rPr>
        <w:t xml:space="preserve">sources available at the time of the facts of this case, the military criminal jurisdiction </w:t>
      </w:r>
      <w:r w:rsidR="00CF783C" w:rsidRPr="002E60EB">
        <w:rPr>
          <w:lang w:val="en-US"/>
        </w:rPr>
        <w:t xml:space="preserve">had the status of a </w:t>
      </w:r>
      <w:r w:rsidR="003000EC" w:rsidRPr="002E60EB">
        <w:rPr>
          <w:lang w:val="en-US"/>
        </w:rPr>
        <w:t>competent court</w:t>
      </w:r>
      <w:r w:rsidRPr="002E60EB">
        <w:rPr>
          <w:lang w:val="en-US"/>
        </w:rPr>
        <w:t xml:space="preserve"> to hear </w:t>
      </w:r>
      <w:r w:rsidR="00087093" w:rsidRPr="002E60EB">
        <w:rPr>
          <w:lang w:val="en-US"/>
        </w:rPr>
        <w:t>“</w:t>
      </w:r>
      <w:r w:rsidRPr="002E60EB">
        <w:rPr>
          <w:lang w:val="en-US"/>
        </w:rPr>
        <w:t>the violation to the personal integrity of Mr. Vélez.</w:t>
      </w:r>
      <w:r w:rsidR="00087093" w:rsidRPr="002E60EB">
        <w:rPr>
          <w:lang w:val="en-US"/>
        </w:rPr>
        <w:t>”</w:t>
      </w:r>
    </w:p>
    <w:p w:rsidR="00CF783C" w:rsidRPr="002E60EB" w:rsidRDefault="00CF783C" w:rsidP="00317748">
      <w:pPr>
        <w:autoSpaceDE w:val="0"/>
        <w:autoSpaceDN w:val="0"/>
        <w:adjustRightInd w:val="0"/>
        <w:jc w:val="both"/>
        <w:rPr>
          <w:lang w:val="en-US"/>
        </w:rPr>
      </w:pPr>
    </w:p>
    <w:p w:rsidR="00CF783C" w:rsidRPr="002E60EB" w:rsidRDefault="00CF783C" w:rsidP="00317748">
      <w:pPr>
        <w:numPr>
          <w:ilvl w:val="0"/>
          <w:numId w:val="1"/>
        </w:numPr>
        <w:tabs>
          <w:tab w:val="clear" w:pos="1427"/>
          <w:tab w:val="num" w:pos="680"/>
        </w:tabs>
        <w:autoSpaceDE w:val="0"/>
        <w:autoSpaceDN w:val="0"/>
        <w:adjustRightInd w:val="0"/>
        <w:jc w:val="both"/>
        <w:rPr>
          <w:lang w:val="en-US"/>
        </w:rPr>
      </w:pPr>
      <w:r w:rsidRPr="002E60EB">
        <w:rPr>
          <w:lang w:val="en-US"/>
        </w:rPr>
        <w:t>On this point, the Court reiterates its consistent case law</w:t>
      </w:r>
      <w:r w:rsidRPr="002E60EB">
        <w:rPr>
          <w:rStyle w:val="Refdenotaalpie"/>
          <w:lang w:val="en-US"/>
        </w:rPr>
        <w:footnoteReference w:id="230"/>
      </w:r>
      <w:r w:rsidRPr="002E60EB">
        <w:rPr>
          <w:lang w:val="en-US"/>
        </w:rPr>
        <w:t xml:space="preserve"> regarding the lack of competence of the milit</w:t>
      </w:r>
      <w:r w:rsidR="003000EC" w:rsidRPr="002E60EB">
        <w:rPr>
          <w:lang w:val="en-US"/>
        </w:rPr>
        <w:t>ary criminal jurisdiction to prosecute</w:t>
      </w:r>
      <w:r w:rsidRPr="002E60EB">
        <w:rPr>
          <w:lang w:val="en-US"/>
        </w:rPr>
        <w:t xml:space="preserve"> human rights violations and the restrictive and exceptional scope that this should have in the S</w:t>
      </w:r>
      <w:r w:rsidR="003000EC" w:rsidRPr="002E60EB">
        <w:rPr>
          <w:lang w:val="en-US"/>
        </w:rPr>
        <w:t>tates that still retain this jurisdiction</w:t>
      </w:r>
      <w:r w:rsidRPr="002E60EB">
        <w:rPr>
          <w:lang w:val="en-US"/>
        </w:rPr>
        <w:t>. This Court</w:t>
      </w:r>
      <w:r w:rsidR="0037073B" w:rsidRPr="002E60EB">
        <w:rPr>
          <w:lang w:val="en-US"/>
        </w:rPr>
        <w:t xml:space="preserve"> has established that, owing to the legal right harmed, the said jurisdiction is not the competent system of justice to investigate and, as appropriate, prosecute and punish the authors of human rights violations, and that, only </w:t>
      </w:r>
      <w:r w:rsidR="00334C3C" w:rsidRPr="002E60EB">
        <w:rPr>
          <w:lang w:val="en-US"/>
        </w:rPr>
        <w:t>soldiers</w:t>
      </w:r>
      <w:r w:rsidR="0037073B" w:rsidRPr="002E60EB">
        <w:rPr>
          <w:lang w:val="en-US"/>
        </w:rPr>
        <w:t xml:space="preserve"> on active duty who have </w:t>
      </w:r>
      <w:r w:rsidR="00334C3C" w:rsidRPr="002E60EB">
        <w:rPr>
          <w:lang w:val="en-US"/>
        </w:rPr>
        <w:t>committed</w:t>
      </w:r>
      <w:r w:rsidR="0037073B" w:rsidRPr="002E60EB">
        <w:rPr>
          <w:lang w:val="en-US"/>
        </w:rPr>
        <w:t xml:space="preserve"> crimes or misdemeanors that, owing to their nature, harm juridical rights of a military nature, can be tried by the military justice system.</w:t>
      </w:r>
      <w:r w:rsidR="0037073B" w:rsidRPr="002E60EB">
        <w:rPr>
          <w:rStyle w:val="Refdenotaalpie"/>
          <w:lang w:val="en-US"/>
        </w:rPr>
        <w:footnoteReference w:id="231"/>
      </w:r>
      <w:r w:rsidR="0037073B" w:rsidRPr="002E60EB">
        <w:rPr>
          <w:lang w:val="en-US"/>
        </w:rPr>
        <w:t xml:space="preserve"> In addition, the Court notes that, prior to the facts of this case and at the time of the investigation, other international organs for the protection of human rights, such as the Inter-American Commission on Human Rights, and the Human Rights Committee of the International Covenant on Civil and Political Rights, had already indicated to Colombia that human rights violations should not be heard by the military criminal justice system.</w:t>
      </w:r>
      <w:r w:rsidR="0037073B" w:rsidRPr="002E60EB">
        <w:rPr>
          <w:vertAlign w:val="superscript"/>
          <w:lang w:val="en-US"/>
        </w:rPr>
        <w:footnoteReference w:id="232"/>
      </w:r>
    </w:p>
    <w:p w:rsidR="001204FE" w:rsidRPr="002E60EB" w:rsidRDefault="001204FE" w:rsidP="001204FE">
      <w:pPr>
        <w:autoSpaceDE w:val="0"/>
        <w:autoSpaceDN w:val="0"/>
        <w:adjustRightInd w:val="0"/>
        <w:jc w:val="both"/>
        <w:rPr>
          <w:lang w:val="en-US"/>
        </w:rPr>
      </w:pPr>
    </w:p>
    <w:p w:rsidR="0037073B" w:rsidRPr="002E60EB" w:rsidRDefault="0037073B" w:rsidP="00E5377F">
      <w:pPr>
        <w:pStyle w:val="Prrafodelista"/>
        <w:numPr>
          <w:ilvl w:val="0"/>
          <w:numId w:val="1"/>
        </w:numPr>
        <w:tabs>
          <w:tab w:val="clear" w:pos="1427"/>
        </w:tabs>
        <w:ind w:left="0"/>
        <w:jc w:val="both"/>
        <w:rPr>
          <w:sz w:val="20"/>
          <w:szCs w:val="20"/>
          <w:lang w:val="en-US"/>
        </w:rPr>
      </w:pPr>
      <w:r w:rsidRPr="002E60EB">
        <w:rPr>
          <w:sz w:val="20"/>
          <w:szCs w:val="20"/>
          <w:lang w:val="en-US"/>
        </w:rPr>
        <w:t>In this regard, it should be mentioned that, even though this Court’s consistent case law is the interpretive authority of the obligations established in the American Convention, the obligation not to investigate and prosecute human rights violations under the military criminal jurisdiction is a guarantee</w:t>
      </w:r>
      <w:r w:rsidR="00146542" w:rsidRPr="002E60EB">
        <w:rPr>
          <w:sz w:val="20"/>
          <w:szCs w:val="20"/>
          <w:lang w:val="en-US"/>
        </w:rPr>
        <w:t xml:space="preserve"> of </w:t>
      </w:r>
      <w:r w:rsidRPr="002E60EB">
        <w:rPr>
          <w:sz w:val="20"/>
          <w:szCs w:val="20"/>
          <w:lang w:val="en-US"/>
        </w:rPr>
        <w:t xml:space="preserve">due process </w:t>
      </w:r>
      <w:r w:rsidR="001204FE" w:rsidRPr="002E60EB">
        <w:rPr>
          <w:sz w:val="20"/>
          <w:szCs w:val="20"/>
          <w:lang w:val="en-US"/>
        </w:rPr>
        <w:t>derived from the obligations contained in Article 8(1) of the American Convention and does not depend solely on what this Court has reaffirmed in its case law. The guarantee that violations of human rights such as</w:t>
      </w:r>
      <w:r w:rsidR="00146542" w:rsidRPr="002E60EB">
        <w:rPr>
          <w:sz w:val="20"/>
          <w:szCs w:val="20"/>
          <w:lang w:val="en-US"/>
        </w:rPr>
        <w:t xml:space="preserve"> </w:t>
      </w:r>
      <w:r w:rsidR="001204FE" w:rsidRPr="002E60EB">
        <w:rPr>
          <w:sz w:val="20"/>
          <w:szCs w:val="20"/>
          <w:lang w:val="en-US"/>
        </w:rPr>
        <w:t>life and personal integrity are investigated by a competent court is embodied in the American Convention and is not the result of its application and interpretation by this Court in the exercise of its contentious jurisdiction; thus it must be respected by the States Parties from the moment they ratify the said treaty.</w:t>
      </w:r>
    </w:p>
    <w:p w:rsidR="00E5377F" w:rsidRPr="002E60EB" w:rsidRDefault="00E5377F" w:rsidP="00E5377F">
      <w:pPr>
        <w:pStyle w:val="Prrafodelista"/>
        <w:ind w:left="0"/>
        <w:rPr>
          <w:sz w:val="20"/>
          <w:szCs w:val="20"/>
          <w:lang w:val="en-US"/>
        </w:rPr>
      </w:pPr>
    </w:p>
    <w:p w:rsidR="00E5377F" w:rsidRPr="002E60EB" w:rsidRDefault="00E5377F" w:rsidP="00317748">
      <w:pPr>
        <w:pStyle w:val="Prrafodelista"/>
        <w:numPr>
          <w:ilvl w:val="0"/>
          <w:numId w:val="1"/>
        </w:numPr>
        <w:tabs>
          <w:tab w:val="clear" w:pos="1427"/>
        </w:tabs>
        <w:ind w:left="0"/>
        <w:jc w:val="both"/>
        <w:rPr>
          <w:sz w:val="20"/>
          <w:szCs w:val="20"/>
          <w:lang w:val="en-US"/>
        </w:rPr>
      </w:pPr>
      <w:r w:rsidRPr="002E60EB">
        <w:rPr>
          <w:sz w:val="20"/>
          <w:szCs w:val="20"/>
          <w:lang w:val="en-US"/>
        </w:rPr>
        <w:t xml:space="preserve">Regarding Colombia’s reference to the judgment in the case of </w:t>
      </w:r>
      <w:r w:rsidRPr="002E60EB">
        <w:rPr>
          <w:i/>
          <w:sz w:val="20"/>
          <w:szCs w:val="20"/>
          <w:lang w:val="en-US"/>
        </w:rPr>
        <w:t>Genie Lacayo v. Nicaragua,</w:t>
      </w:r>
      <w:r w:rsidRPr="002E60EB">
        <w:rPr>
          <w:rStyle w:val="Refdenotaalpie"/>
          <w:i/>
          <w:sz w:val="20"/>
          <w:szCs w:val="20"/>
          <w:lang w:val="en-US"/>
        </w:rPr>
        <w:footnoteReference w:id="233"/>
      </w:r>
      <w:r w:rsidRPr="002E60EB">
        <w:rPr>
          <w:sz w:val="20"/>
          <w:szCs w:val="20"/>
          <w:lang w:val="en-US"/>
        </w:rPr>
        <w:t xml:space="preserve"> in which it did not declare a violation of the guarantee of a </w:t>
      </w:r>
      <w:r w:rsidR="00615D3A" w:rsidRPr="002E60EB">
        <w:rPr>
          <w:sz w:val="20"/>
          <w:szCs w:val="20"/>
          <w:lang w:val="en-US"/>
        </w:rPr>
        <w:t>natural judge</w:t>
      </w:r>
      <w:r w:rsidRPr="002E60EB">
        <w:rPr>
          <w:sz w:val="20"/>
          <w:szCs w:val="20"/>
          <w:lang w:val="en-US"/>
        </w:rPr>
        <w:t xml:space="preserve">, the Court notes that, at the time </w:t>
      </w:r>
      <w:r w:rsidR="00146542" w:rsidRPr="002E60EB">
        <w:rPr>
          <w:sz w:val="20"/>
          <w:szCs w:val="20"/>
          <w:lang w:val="en-US"/>
        </w:rPr>
        <w:t>the State c</w:t>
      </w:r>
      <w:r w:rsidRPr="002E60EB">
        <w:rPr>
          <w:sz w:val="20"/>
          <w:szCs w:val="20"/>
          <w:lang w:val="en-US"/>
        </w:rPr>
        <w:t xml:space="preserve">ould </w:t>
      </w:r>
      <w:r w:rsidR="00146542" w:rsidRPr="002E60EB">
        <w:rPr>
          <w:sz w:val="20"/>
          <w:szCs w:val="20"/>
          <w:lang w:val="en-US"/>
        </w:rPr>
        <w:t>ha</w:t>
      </w:r>
      <w:r w:rsidRPr="002E60EB">
        <w:rPr>
          <w:sz w:val="20"/>
          <w:szCs w:val="20"/>
          <w:lang w:val="en-US"/>
        </w:rPr>
        <w:t xml:space="preserve">ve </w:t>
      </w:r>
      <w:r w:rsidR="00146542" w:rsidRPr="002E60EB">
        <w:rPr>
          <w:sz w:val="20"/>
          <w:szCs w:val="20"/>
          <w:lang w:val="en-US"/>
        </w:rPr>
        <w:t>investigated the attack</w:t>
      </w:r>
      <w:r w:rsidRPr="002E60EB">
        <w:rPr>
          <w:sz w:val="20"/>
          <w:szCs w:val="20"/>
          <w:lang w:val="en-US"/>
        </w:rPr>
        <w:t xml:space="preserve"> perpetrated by soldiers against Mr. Vélez Restrepo, it also delivered the judgment in the case of </w:t>
      </w:r>
      <w:r w:rsidRPr="002E60EB">
        <w:rPr>
          <w:i/>
          <w:sz w:val="20"/>
          <w:szCs w:val="20"/>
          <w:lang w:val="en-US"/>
        </w:rPr>
        <w:t xml:space="preserve">Durand and Ugarte v. Peru, </w:t>
      </w:r>
      <w:r w:rsidRPr="002E60EB">
        <w:rPr>
          <w:sz w:val="20"/>
          <w:szCs w:val="20"/>
          <w:lang w:val="en-US"/>
        </w:rPr>
        <w:t>in which it stated that the military criminal</w:t>
      </w:r>
      <w:r w:rsidR="00146542" w:rsidRPr="002E60EB">
        <w:rPr>
          <w:sz w:val="20"/>
          <w:szCs w:val="20"/>
          <w:lang w:val="en-US"/>
        </w:rPr>
        <w:t xml:space="preserve"> jurisdiction only applies to “</w:t>
      </w:r>
      <w:r w:rsidRPr="002E60EB">
        <w:rPr>
          <w:sz w:val="20"/>
          <w:szCs w:val="20"/>
          <w:lang w:val="en-US"/>
        </w:rPr>
        <w:t>soldiers, for the perpetration of crimes or misdemeanors that, owing to their nature, harm military juridical rights.”</w:t>
      </w:r>
      <w:r w:rsidRPr="002E60EB">
        <w:rPr>
          <w:rStyle w:val="Refdenotaalpie"/>
          <w:sz w:val="20"/>
          <w:szCs w:val="20"/>
          <w:lang w:val="en-US"/>
        </w:rPr>
        <w:footnoteReference w:id="234"/>
      </w:r>
      <w:r w:rsidRPr="002E60EB">
        <w:rPr>
          <w:sz w:val="20"/>
          <w:szCs w:val="20"/>
          <w:lang w:val="en-US"/>
        </w:rPr>
        <w:t xml:space="preserve"> This has been the constant criterion of this Court’s case law (</w:t>
      </w:r>
      <w:r w:rsidRPr="002E60EB">
        <w:rPr>
          <w:i/>
          <w:sz w:val="20"/>
          <w:szCs w:val="20"/>
          <w:lang w:val="en-US"/>
        </w:rPr>
        <w:t>supra</w:t>
      </w:r>
      <w:r w:rsidRPr="002E60EB">
        <w:rPr>
          <w:sz w:val="20"/>
          <w:szCs w:val="20"/>
          <w:lang w:val="en-US"/>
        </w:rPr>
        <w:t xml:space="preserve"> para. 240). The Court notes that Colombia</w:t>
      </w:r>
      <w:r w:rsidR="00146542" w:rsidRPr="002E60EB">
        <w:rPr>
          <w:sz w:val="20"/>
          <w:szCs w:val="20"/>
          <w:lang w:val="en-US"/>
        </w:rPr>
        <w:t xml:space="preserve"> could have </w:t>
      </w:r>
      <w:r w:rsidRPr="002E60EB">
        <w:rPr>
          <w:sz w:val="20"/>
          <w:szCs w:val="20"/>
          <w:lang w:val="en-US"/>
        </w:rPr>
        <w:t xml:space="preserve">taken this into consideration to investigate the attack on Mr. Vélez Restrepo in the competent ordinary criminal jurisdiction, since there is no evidence that, in 2000, the offense of injuries had </w:t>
      </w:r>
      <w:r w:rsidR="00146542" w:rsidRPr="002E60EB">
        <w:rPr>
          <w:sz w:val="20"/>
          <w:szCs w:val="20"/>
          <w:lang w:val="en-US"/>
        </w:rPr>
        <w:t>prescribe</w:t>
      </w:r>
      <w:r w:rsidRPr="002E60EB">
        <w:rPr>
          <w:sz w:val="20"/>
          <w:szCs w:val="20"/>
          <w:lang w:val="en-US"/>
        </w:rPr>
        <w:t xml:space="preserve">d. </w:t>
      </w:r>
    </w:p>
    <w:p w:rsidR="00E5377F" w:rsidRPr="002E60EB" w:rsidRDefault="00E5377F" w:rsidP="00317748">
      <w:pPr>
        <w:pStyle w:val="Prrafodelista"/>
        <w:ind w:left="0"/>
        <w:jc w:val="both"/>
        <w:rPr>
          <w:sz w:val="20"/>
          <w:szCs w:val="20"/>
          <w:lang w:val="en-US"/>
        </w:rPr>
      </w:pPr>
    </w:p>
    <w:p w:rsidR="0004795A" w:rsidRPr="002E60EB" w:rsidRDefault="0004795A" w:rsidP="00317748">
      <w:pPr>
        <w:pStyle w:val="Prrafodelista"/>
        <w:numPr>
          <w:ilvl w:val="0"/>
          <w:numId w:val="1"/>
        </w:numPr>
        <w:tabs>
          <w:tab w:val="clear" w:pos="1427"/>
        </w:tabs>
        <w:ind w:left="0"/>
        <w:jc w:val="both"/>
        <w:rPr>
          <w:sz w:val="20"/>
          <w:szCs w:val="20"/>
          <w:lang w:val="en-US"/>
        </w:rPr>
      </w:pPr>
      <w:r w:rsidRPr="002E60EB">
        <w:rPr>
          <w:sz w:val="20"/>
          <w:szCs w:val="20"/>
          <w:lang w:val="en-US"/>
        </w:rPr>
        <w:t xml:space="preserve">The Court </w:t>
      </w:r>
      <w:r w:rsidR="00E5377F" w:rsidRPr="002E60EB">
        <w:rPr>
          <w:sz w:val="20"/>
          <w:szCs w:val="20"/>
          <w:lang w:val="en-US"/>
        </w:rPr>
        <w:t>stresses</w:t>
      </w:r>
      <w:r w:rsidRPr="002E60EB">
        <w:rPr>
          <w:sz w:val="20"/>
          <w:szCs w:val="20"/>
          <w:lang w:val="en-US"/>
        </w:rPr>
        <w:t xml:space="preserve"> that it has been able to </w:t>
      </w:r>
      <w:r w:rsidR="00146542" w:rsidRPr="002E60EB">
        <w:rPr>
          <w:sz w:val="20"/>
          <w:szCs w:val="20"/>
          <w:lang w:val="en-US"/>
        </w:rPr>
        <w:t>construct</w:t>
      </w:r>
      <w:r w:rsidR="00E5377F" w:rsidRPr="002E60EB">
        <w:rPr>
          <w:sz w:val="20"/>
          <w:szCs w:val="20"/>
          <w:lang w:val="en-US"/>
        </w:rPr>
        <w:t xml:space="preserve"> the</w:t>
      </w:r>
      <w:r w:rsidRPr="002E60EB">
        <w:rPr>
          <w:sz w:val="20"/>
          <w:szCs w:val="20"/>
          <w:lang w:val="en-US"/>
        </w:rPr>
        <w:t xml:space="preserve"> restrictive jurisprudential criterion</w:t>
      </w:r>
      <w:r w:rsidR="00146542" w:rsidRPr="002E60EB">
        <w:rPr>
          <w:sz w:val="20"/>
          <w:szCs w:val="20"/>
          <w:lang w:val="en-US"/>
        </w:rPr>
        <w:t>, which</w:t>
      </w:r>
      <w:r w:rsidRPr="002E60EB">
        <w:rPr>
          <w:sz w:val="20"/>
          <w:szCs w:val="20"/>
          <w:lang w:val="en-US"/>
        </w:rPr>
        <w:t xml:space="preserve"> it is currently </w:t>
      </w:r>
      <w:r w:rsidR="00146542" w:rsidRPr="002E60EB">
        <w:rPr>
          <w:sz w:val="20"/>
          <w:szCs w:val="20"/>
          <w:lang w:val="en-US"/>
        </w:rPr>
        <w:t>developing fully,</w:t>
      </w:r>
      <w:r w:rsidR="00E5377F" w:rsidRPr="002E60EB">
        <w:rPr>
          <w:sz w:val="20"/>
          <w:szCs w:val="20"/>
          <w:lang w:val="en-US"/>
        </w:rPr>
        <w:t xml:space="preserve"> </w:t>
      </w:r>
      <w:r w:rsidR="00146542" w:rsidRPr="002E60EB">
        <w:rPr>
          <w:sz w:val="20"/>
          <w:szCs w:val="20"/>
          <w:lang w:val="en-US"/>
        </w:rPr>
        <w:t>through</w:t>
      </w:r>
      <w:r w:rsidR="00E5377F" w:rsidRPr="002E60EB">
        <w:rPr>
          <w:sz w:val="20"/>
          <w:szCs w:val="20"/>
          <w:lang w:val="en-US"/>
        </w:rPr>
        <w:t xml:space="preserve"> the analysis of the different contentious cases that have been submitted to its consideration</w:t>
      </w:r>
      <w:r w:rsidRPr="002E60EB">
        <w:rPr>
          <w:sz w:val="20"/>
          <w:szCs w:val="20"/>
          <w:lang w:val="en-US"/>
        </w:rPr>
        <w:t xml:space="preserve">. The Court also </w:t>
      </w:r>
      <w:r w:rsidR="00E5377F" w:rsidRPr="002E60EB">
        <w:rPr>
          <w:sz w:val="20"/>
          <w:szCs w:val="20"/>
          <w:lang w:val="en-US"/>
        </w:rPr>
        <w:t>emphasizes</w:t>
      </w:r>
      <w:r w:rsidRPr="002E60EB">
        <w:rPr>
          <w:sz w:val="20"/>
          <w:szCs w:val="20"/>
          <w:lang w:val="en-US"/>
        </w:rPr>
        <w:t xml:space="preserve"> that</w:t>
      </w:r>
      <w:r w:rsidR="00E5377F" w:rsidRPr="002E60EB">
        <w:rPr>
          <w:sz w:val="20"/>
          <w:szCs w:val="20"/>
          <w:lang w:val="en-US"/>
        </w:rPr>
        <w:t xml:space="preserve">, </w:t>
      </w:r>
      <w:r w:rsidRPr="002E60EB">
        <w:rPr>
          <w:sz w:val="20"/>
          <w:szCs w:val="20"/>
          <w:lang w:val="en-US"/>
        </w:rPr>
        <w:t xml:space="preserve">in several cases </w:t>
      </w:r>
      <w:r w:rsidR="00E5377F" w:rsidRPr="002E60EB">
        <w:rPr>
          <w:sz w:val="20"/>
          <w:szCs w:val="20"/>
          <w:lang w:val="en-US"/>
        </w:rPr>
        <w:t xml:space="preserve">the </w:t>
      </w:r>
      <w:r w:rsidRPr="002E60EB">
        <w:rPr>
          <w:sz w:val="20"/>
          <w:szCs w:val="20"/>
          <w:lang w:val="en-US"/>
        </w:rPr>
        <w:t xml:space="preserve">facts </w:t>
      </w:r>
      <w:r w:rsidR="00E5377F" w:rsidRPr="002E60EB">
        <w:rPr>
          <w:sz w:val="20"/>
          <w:szCs w:val="20"/>
          <w:lang w:val="en-US"/>
        </w:rPr>
        <w:t xml:space="preserve">of which took place </w:t>
      </w:r>
      <w:r w:rsidR="00146542" w:rsidRPr="002E60EB">
        <w:rPr>
          <w:sz w:val="20"/>
          <w:szCs w:val="20"/>
          <w:lang w:val="en-US"/>
        </w:rPr>
        <w:t>prior to</w:t>
      </w:r>
      <w:r w:rsidRPr="002E60EB">
        <w:rPr>
          <w:sz w:val="20"/>
          <w:szCs w:val="20"/>
          <w:lang w:val="en-US"/>
        </w:rPr>
        <w:t xml:space="preserve"> 1996,</w:t>
      </w:r>
      <w:r w:rsidR="00E5377F" w:rsidRPr="002E60EB">
        <w:rPr>
          <w:rStyle w:val="Refdenotaalpie"/>
          <w:sz w:val="20"/>
          <w:szCs w:val="20"/>
          <w:lang w:val="en-US"/>
        </w:rPr>
        <w:footnoteReference w:id="235"/>
      </w:r>
      <w:r w:rsidRPr="002E60EB">
        <w:rPr>
          <w:sz w:val="20"/>
          <w:szCs w:val="20"/>
          <w:lang w:val="en-US"/>
        </w:rPr>
        <w:t xml:space="preserve"> </w:t>
      </w:r>
      <w:r w:rsidR="00E5377F" w:rsidRPr="002E60EB">
        <w:rPr>
          <w:sz w:val="20"/>
          <w:szCs w:val="20"/>
          <w:lang w:val="en-US"/>
        </w:rPr>
        <w:t xml:space="preserve">the </w:t>
      </w:r>
      <w:r w:rsidRPr="002E60EB">
        <w:rPr>
          <w:sz w:val="20"/>
          <w:szCs w:val="20"/>
          <w:lang w:val="en-US"/>
        </w:rPr>
        <w:t>year in which the attack against Mr. Vélez Restrepo</w:t>
      </w:r>
      <w:r w:rsidR="007C3581" w:rsidRPr="002E60EB">
        <w:rPr>
          <w:sz w:val="20"/>
          <w:szCs w:val="20"/>
          <w:lang w:val="en-US"/>
        </w:rPr>
        <w:t xml:space="preserve"> was committed</w:t>
      </w:r>
      <w:r w:rsidRPr="002E60EB">
        <w:rPr>
          <w:sz w:val="20"/>
          <w:szCs w:val="20"/>
          <w:lang w:val="en-US"/>
        </w:rPr>
        <w:t xml:space="preserve">, this </w:t>
      </w:r>
      <w:r w:rsidR="00D00C5F" w:rsidRPr="002E60EB">
        <w:rPr>
          <w:sz w:val="20"/>
          <w:szCs w:val="20"/>
          <w:lang w:val="en-US"/>
        </w:rPr>
        <w:t>Court</w:t>
      </w:r>
      <w:r w:rsidRPr="002E60EB">
        <w:rPr>
          <w:sz w:val="20"/>
          <w:szCs w:val="20"/>
          <w:lang w:val="en-US"/>
        </w:rPr>
        <w:t xml:space="preserve"> </w:t>
      </w:r>
      <w:r w:rsidR="007C3581" w:rsidRPr="002E60EB">
        <w:rPr>
          <w:sz w:val="20"/>
          <w:szCs w:val="20"/>
          <w:lang w:val="en-US"/>
        </w:rPr>
        <w:t>up</w:t>
      </w:r>
      <w:r w:rsidR="00146542" w:rsidRPr="002E60EB">
        <w:rPr>
          <w:sz w:val="20"/>
          <w:szCs w:val="20"/>
          <w:lang w:val="en-US"/>
        </w:rPr>
        <w:t>held the</w:t>
      </w:r>
      <w:r w:rsidR="007C3581" w:rsidRPr="002E60EB">
        <w:rPr>
          <w:sz w:val="20"/>
          <w:szCs w:val="20"/>
          <w:lang w:val="en-US"/>
        </w:rPr>
        <w:t xml:space="preserve"> said </w:t>
      </w:r>
      <w:r w:rsidRPr="002E60EB">
        <w:rPr>
          <w:sz w:val="20"/>
          <w:szCs w:val="20"/>
          <w:lang w:val="en-US"/>
        </w:rPr>
        <w:t xml:space="preserve">restrictive and exceptional scope of </w:t>
      </w:r>
      <w:r w:rsidR="007C3581" w:rsidRPr="002E60EB">
        <w:rPr>
          <w:sz w:val="20"/>
          <w:szCs w:val="20"/>
          <w:lang w:val="en-US"/>
        </w:rPr>
        <w:t xml:space="preserve">the </w:t>
      </w:r>
      <w:r w:rsidRPr="002E60EB">
        <w:rPr>
          <w:sz w:val="20"/>
          <w:szCs w:val="20"/>
          <w:lang w:val="en-US"/>
        </w:rPr>
        <w:t>military criminal jurisdiction (</w:t>
      </w:r>
      <w:r w:rsidRPr="002E60EB">
        <w:rPr>
          <w:i/>
          <w:sz w:val="20"/>
          <w:szCs w:val="20"/>
          <w:lang w:val="en-US"/>
        </w:rPr>
        <w:t>supra</w:t>
      </w:r>
      <w:r w:rsidRPr="002E60EB">
        <w:rPr>
          <w:sz w:val="20"/>
          <w:szCs w:val="20"/>
          <w:lang w:val="en-US"/>
        </w:rPr>
        <w:t xml:space="preserve"> par</w:t>
      </w:r>
      <w:r w:rsidR="007C3581" w:rsidRPr="002E60EB">
        <w:rPr>
          <w:sz w:val="20"/>
          <w:szCs w:val="20"/>
          <w:lang w:val="en-US"/>
        </w:rPr>
        <w:t>a</w:t>
      </w:r>
      <w:r w:rsidRPr="002E60EB">
        <w:rPr>
          <w:sz w:val="20"/>
          <w:szCs w:val="20"/>
          <w:lang w:val="en-US"/>
        </w:rPr>
        <w:t>.</w:t>
      </w:r>
      <w:r w:rsidR="007C3581" w:rsidRPr="002E60EB">
        <w:rPr>
          <w:sz w:val="20"/>
          <w:szCs w:val="20"/>
          <w:lang w:val="en-US"/>
        </w:rPr>
        <w:t xml:space="preserve"> 240</w:t>
      </w:r>
      <w:r w:rsidRPr="002E60EB">
        <w:rPr>
          <w:sz w:val="20"/>
          <w:szCs w:val="20"/>
          <w:lang w:val="en-US"/>
        </w:rPr>
        <w:t xml:space="preserve">). This confirms the </w:t>
      </w:r>
      <w:r w:rsidR="007C3581" w:rsidRPr="002E60EB">
        <w:rPr>
          <w:sz w:val="20"/>
          <w:szCs w:val="20"/>
          <w:lang w:val="en-US"/>
        </w:rPr>
        <w:t xml:space="preserve">foregoing, </w:t>
      </w:r>
      <w:r w:rsidRPr="002E60EB">
        <w:rPr>
          <w:sz w:val="20"/>
          <w:szCs w:val="20"/>
          <w:lang w:val="en-US"/>
        </w:rPr>
        <w:t xml:space="preserve">in the sense that the obligation not </w:t>
      </w:r>
      <w:r w:rsidR="007C3581" w:rsidRPr="002E60EB">
        <w:rPr>
          <w:sz w:val="20"/>
          <w:szCs w:val="20"/>
          <w:lang w:val="en-US"/>
        </w:rPr>
        <w:t xml:space="preserve">to </w:t>
      </w:r>
      <w:r w:rsidRPr="002E60EB">
        <w:rPr>
          <w:sz w:val="20"/>
          <w:szCs w:val="20"/>
          <w:lang w:val="en-US"/>
        </w:rPr>
        <w:t xml:space="preserve">prosecute human rights </w:t>
      </w:r>
      <w:r w:rsidR="007C3581" w:rsidRPr="002E60EB">
        <w:rPr>
          <w:sz w:val="20"/>
          <w:szCs w:val="20"/>
          <w:lang w:val="en-US"/>
        </w:rPr>
        <w:t>violations under the</w:t>
      </w:r>
      <w:r w:rsidRPr="002E60EB">
        <w:rPr>
          <w:sz w:val="20"/>
          <w:szCs w:val="20"/>
          <w:lang w:val="en-US"/>
        </w:rPr>
        <w:t xml:space="preserve"> military jurisdiction is a guarantee of due process derived from the obligations included in Article 8(1) of the American Convention. </w:t>
      </w:r>
      <w:r w:rsidR="007C3581" w:rsidRPr="002E60EB">
        <w:rPr>
          <w:sz w:val="20"/>
          <w:szCs w:val="20"/>
          <w:lang w:val="en-US"/>
        </w:rPr>
        <w:t xml:space="preserve">Furthermore, </w:t>
      </w:r>
      <w:r w:rsidRPr="002E60EB">
        <w:rPr>
          <w:sz w:val="20"/>
          <w:szCs w:val="20"/>
          <w:lang w:val="en-US"/>
        </w:rPr>
        <w:t xml:space="preserve">it </w:t>
      </w:r>
      <w:r w:rsidR="007C3581" w:rsidRPr="002E60EB">
        <w:rPr>
          <w:sz w:val="20"/>
          <w:szCs w:val="20"/>
          <w:lang w:val="en-US"/>
        </w:rPr>
        <w:t>should be</w:t>
      </w:r>
      <w:r w:rsidRPr="002E60EB">
        <w:rPr>
          <w:sz w:val="20"/>
          <w:szCs w:val="20"/>
          <w:lang w:val="en-US"/>
        </w:rPr>
        <w:t xml:space="preserve"> mention</w:t>
      </w:r>
      <w:r w:rsidR="007C3581" w:rsidRPr="002E60EB">
        <w:rPr>
          <w:sz w:val="20"/>
          <w:szCs w:val="20"/>
          <w:lang w:val="en-US"/>
        </w:rPr>
        <w:t>ed</w:t>
      </w:r>
      <w:r w:rsidRPr="002E60EB">
        <w:rPr>
          <w:sz w:val="20"/>
          <w:szCs w:val="20"/>
          <w:lang w:val="en-US"/>
        </w:rPr>
        <w:t xml:space="preserve"> that, even though the standard in question has been developed mainly through cases on grave human rights</w:t>
      </w:r>
      <w:r w:rsidR="007C3581" w:rsidRPr="002E60EB">
        <w:rPr>
          <w:sz w:val="20"/>
          <w:szCs w:val="20"/>
          <w:lang w:val="en-US"/>
        </w:rPr>
        <w:t xml:space="preserve"> violations</w:t>
      </w:r>
      <w:r w:rsidRPr="002E60EB">
        <w:rPr>
          <w:sz w:val="20"/>
          <w:szCs w:val="20"/>
          <w:lang w:val="en-US"/>
        </w:rPr>
        <w:t>, this is only because the facts submitted to th</w:t>
      </w:r>
      <w:r w:rsidR="007C3581" w:rsidRPr="002E60EB">
        <w:rPr>
          <w:sz w:val="20"/>
          <w:szCs w:val="20"/>
          <w:lang w:val="en-US"/>
        </w:rPr>
        <w:t>is Court’s</w:t>
      </w:r>
      <w:r w:rsidRPr="002E60EB">
        <w:rPr>
          <w:sz w:val="20"/>
          <w:szCs w:val="20"/>
          <w:lang w:val="en-US"/>
        </w:rPr>
        <w:t xml:space="preserve"> jurisdiction </w:t>
      </w:r>
      <w:r w:rsidR="007C3581" w:rsidRPr="002E60EB">
        <w:rPr>
          <w:sz w:val="20"/>
          <w:szCs w:val="20"/>
          <w:lang w:val="en-US"/>
        </w:rPr>
        <w:t>were of this nature,</w:t>
      </w:r>
      <w:r w:rsidRPr="002E60EB">
        <w:rPr>
          <w:sz w:val="20"/>
          <w:szCs w:val="20"/>
          <w:lang w:val="en-US"/>
        </w:rPr>
        <w:t xml:space="preserve"> and not because the </w:t>
      </w:r>
      <w:r w:rsidR="007C3581" w:rsidRPr="002E60EB">
        <w:rPr>
          <w:sz w:val="20"/>
          <w:szCs w:val="20"/>
          <w:lang w:val="en-US"/>
        </w:rPr>
        <w:t xml:space="preserve">competence </w:t>
      </w:r>
      <w:r w:rsidRPr="002E60EB">
        <w:rPr>
          <w:sz w:val="20"/>
          <w:szCs w:val="20"/>
          <w:lang w:val="en-US"/>
        </w:rPr>
        <w:t xml:space="preserve">to hear the case </w:t>
      </w:r>
      <w:r w:rsidR="007C3581" w:rsidRPr="002E60EB">
        <w:rPr>
          <w:sz w:val="20"/>
          <w:szCs w:val="20"/>
          <w:lang w:val="en-US"/>
        </w:rPr>
        <w:t>must be assigned to</w:t>
      </w:r>
      <w:r w:rsidRPr="002E60EB">
        <w:rPr>
          <w:sz w:val="20"/>
          <w:szCs w:val="20"/>
          <w:lang w:val="en-US"/>
        </w:rPr>
        <w:t xml:space="preserve"> the ordinary jurisdiction</w:t>
      </w:r>
      <w:r w:rsidR="00146542" w:rsidRPr="002E60EB">
        <w:rPr>
          <w:sz w:val="20"/>
          <w:szCs w:val="20"/>
          <w:lang w:val="en-US"/>
        </w:rPr>
        <w:t xml:space="preserve"> only and exclusively in such cases</w:t>
      </w:r>
      <w:r w:rsidRPr="002E60EB">
        <w:rPr>
          <w:sz w:val="20"/>
          <w:szCs w:val="20"/>
          <w:lang w:val="en-US"/>
        </w:rPr>
        <w:t>.</w:t>
      </w:r>
    </w:p>
    <w:p w:rsidR="007C3581" w:rsidRPr="002E60EB" w:rsidRDefault="007C3581" w:rsidP="00317748">
      <w:pPr>
        <w:pStyle w:val="Prrafodelista"/>
        <w:ind w:left="0"/>
        <w:jc w:val="both"/>
        <w:rPr>
          <w:sz w:val="20"/>
          <w:szCs w:val="20"/>
          <w:lang w:val="en-US"/>
        </w:rPr>
      </w:pPr>
    </w:p>
    <w:p w:rsidR="00C47757" w:rsidRPr="002E60EB" w:rsidRDefault="0004795A" w:rsidP="00317748">
      <w:pPr>
        <w:numPr>
          <w:ilvl w:val="0"/>
          <w:numId w:val="1"/>
        </w:numPr>
        <w:tabs>
          <w:tab w:val="clear" w:pos="1427"/>
          <w:tab w:val="num" w:pos="680"/>
        </w:tabs>
        <w:autoSpaceDE w:val="0"/>
        <w:autoSpaceDN w:val="0"/>
        <w:adjustRightInd w:val="0"/>
        <w:jc w:val="both"/>
        <w:rPr>
          <w:lang w:val="en-US"/>
        </w:rPr>
      </w:pPr>
      <w:r w:rsidRPr="002E60EB">
        <w:rPr>
          <w:lang w:val="en-US"/>
        </w:rPr>
        <w:t xml:space="preserve">Therefore, the Court reiterates that the criteria to investigate and prosecute human rights violations before the ordinary jurisdiction reside not </w:t>
      </w:r>
      <w:r w:rsidR="00146542" w:rsidRPr="002E60EB">
        <w:rPr>
          <w:lang w:val="en-US"/>
        </w:rPr>
        <w:t>o</w:t>
      </w:r>
      <w:r w:rsidRPr="002E60EB">
        <w:rPr>
          <w:lang w:val="en-US"/>
        </w:rPr>
        <w:t xml:space="preserve">n the </w:t>
      </w:r>
      <w:r w:rsidR="00146542" w:rsidRPr="002E60EB">
        <w:rPr>
          <w:lang w:val="en-US"/>
        </w:rPr>
        <w:t>gravity</w:t>
      </w:r>
      <w:r w:rsidRPr="002E60EB">
        <w:rPr>
          <w:lang w:val="en-US"/>
        </w:rPr>
        <w:t xml:space="preserve"> of the violations</w:t>
      </w:r>
      <w:r w:rsidR="007C3581" w:rsidRPr="002E60EB">
        <w:rPr>
          <w:lang w:val="en-US"/>
        </w:rPr>
        <w:t>,</w:t>
      </w:r>
      <w:r w:rsidRPr="002E60EB">
        <w:rPr>
          <w:lang w:val="en-US"/>
        </w:rPr>
        <w:t xml:space="preserve"> but</w:t>
      </w:r>
      <w:r w:rsidR="007C3581" w:rsidRPr="002E60EB">
        <w:rPr>
          <w:lang w:val="en-US"/>
        </w:rPr>
        <w:t xml:space="preserve"> rather</w:t>
      </w:r>
      <w:r w:rsidRPr="002E60EB">
        <w:rPr>
          <w:lang w:val="en-US"/>
        </w:rPr>
        <w:t xml:space="preserve"> on their </w:t>
      </w:r>
      <w:r w:rsidR="007C3581" w:rsidRPr="002E60EB">
        <w:rPr>
          <w:lang w:val="en-US"/>
        </w:rPr>
        <w:t xml:space="preserve">very </w:t>
      </w:r>
      <w:r w:rsidRPr="002E60EB">
        <w:rPr>
          <w:lang w:val="en-US"/>
        </w:rPr>
        <w:t xml:space="preserve">nature and on that of the protected juridical right. The Court </w:t>
      </w:r>
      <w:r w:rsidR="007C3581" w:rsidRPr="002E60EB">
        <w:rPr>
          <w:lang w:val="en-US"/>
        </w:rPr>
        <w:t xml:space="preserve">repeats </w:t>
      </w:r>
      <w:r w:rsidRPr="002E60EB">
        <w:rPr>
          <w:lang w:val="en-US"/>
        </w:rPr>
        <w:t>that, regardless of the year in which the acts</w:t>
      </w:r>
      <w:r w:rsidR="007C3581" w:rsidRPr="002E60EB">
        <w:rPr>
          <w:lang w:val="en-US"/>
        </w:rPr>
        <w:t xml:space="preserve"> that violated human rights</w:t>
      </w:r>
      <w:r w:rsidRPr="002E60EB">
        <w:rPr>
          <w:lang w:val="en-US"/>
        </w:rPr>
        <w:t xml:space="preserve"> occurred, the guarantee of a </w:t>
      </w:r>
      <w:r w:rsidR="00615D3A" w:rsidRPr="002E60EB">
        <w:rPr>
          <w:lang w:val="en-US"/>
        </w:rPr>
        <w:t>natural judge</w:t>
      </w:r>
      <w:r w:rsidRPr="002E60EB">
        <w:rPr>
          <w:lang w:val="en-US"/>
        </w:rPr>
        <w:t xml:space="preserve"> must be analyzed according to the object and purpose of the American Convention, </w:t>
      </w:r>
      <w:r w:rsidR="007C3581" w:rsidRPr="002E60EB">
        <w:rPr>
          <w:lang w:val="en-US"/>
        </w:rPr>
        <w:t>which is the</w:t>
      </w:r>
      <w:r w:rsidRPr="002E60EB">
        <w:rPr>
          <w:lang w:val="en-US"/>
        </w:rPr>
        <w:t xml:space="preserve"> effective protection of </w:t>
      </w:r>
      <w:r w:rsidR="007C3581" w:rsidRPr="002E60EB">
        <w:rPr>
          <w:lang w:val="en-US"/>
        </w:rPr>
        <w:t>the individual</w:t>
      </w:r>
      <w:r w:rsidRPr="002E60EB">
        <w:rPr>
          <w:lang w:val="en-US"/>
        </w:rPr>
        <w:t>.</w:t>
      </w:r>
      <w:r w:rsidR="007C3581" w:rsidRPr="002E60EB">
        <w:rPr>
          <w:rStyle w:val="Refdenotaalpie"/>
          <w:lang w:val="en-US"/>
        </w:rPr>
        <w:footnoteReference w:id="236"/>
      </w:r>
    </w:p>
    <w:p w:rsidR="00C47757" w:rsidRPr="002E60EB" w:rsidRDefault="007C3581" w:rsidP="00317748">
      <w:pPr>
        <w:pStyle w:val="Prrafodelista"/>
        <w:numPr>
          <w:ilvl w:val="0"/>
          <w:numId w:val="1"/>
        </w:numPr>
        <w:tabs>
          <w:tab w:val="clear" w:pos="1427"/>
        </w:tabs>
        <w:ind w:left="0"/>
        <w:jc w:val="both"/>
        <w:rPr>
          <w:sz w:val="20"/>
          <w:szCs w:val="20"/>
          <w:lang w:val="en-US"/>
        </w:rPr>
      </w:pPr>
      <w:r w:rsidRPr="002E60EB">
        <w:rPr>
          <w:sz w:val="20"/>
          <w:szCs w:val="20"/>
          <w:lang w:val="en-US"/>
        </w:rPr>
        <w:t xml:space="preserve">Based on the above considerations, the Court concludes that the State violated the guarantee of a </w:t>
      </w:r>
      <w:r w:rsidR="00615D3A" w:rsidRPr="002E60EB">
        <w:rPr>
          <w:sz w:val="20"/>
          <w:szCs w:val="20"/>
          <w:lang w:val="en-US"/>
        </w:rPr>
        <w:t>natural judge</w:t>
      </w:r>
      <w:r w:rsidRPr="002E60EB">
        <w:rPr>
          <w:sz w:val="20"/>
          <w:szCs w:val="20"/>
          <w:lang w:val="en-US"/>
        </w:rPr>
        <w:t xml:space="preserve"> regarding the investigation into the attack perpetrated by soldiers against Mr. Vélez Restrepo on August 29, 1996; consequently, Colombia is responsible for the violation of Article 8(1) of the Convention, in relation to Article 1(1) thereof, to the detriment of Mr. Vélez </w:t>
      </w:r>
      <w:r w:rsidR="00C47757" w:rsidRPr="002E60EB">
        <w:rPr>
          <w:sz w:val="20"/>
          <w:szCs w:val="20"/>
          <w:lang w:val="en-US"/>
        </w:rPr>
        <w:t>Restrepo.</w:t>
      </w:r>
    </w:p>
    <w:p w:rsidR="004B1ABB" w:rsidRPr="002E60EB" w:rsidRDefault="004B1ABB" w:rsidP="004B1ABB">
      <w:pPr>
        <w:pStyle w:val="Prrafodelista"/>
        <w:ind w:left="0"/>
        <w:jc w:val="both"/>
        <w:rPr>
          <w:sz w:val="20"/>
          <w:szCs w:val="20"/>
          <w:lang w:val="en-US"/>
        </w:rPr>
      </w:pPr>
    </w:p>
    <w:p w:rsidR="00C47757" w:rsidRPr="002E60EB" w:rsidRDefault="00C47757" w:rsidP="00317748">
      <w:pPr>
        <w:pStyle w:val="Prrafodelista"/>
        <w:tabs>
          <w:tab w:val="left" w:pos="720"/>
          <w:tab w:val="left" w:pos="1260"/>
        </w:tabs>
        <w:autoSpaceDE w:val="0"/>
        <w:autoSpaceDN w:val="0"/>
        <w:adjustRightInd w:val="0"/>
        <w:jc w:val="both"/>
        <w:rPr>
          <w:i/>
          <w:sz w:val="20"/>
          <w:szCs w:val="20"/>
          <w:lang w:val="en-US"/>
        </w:rPr>
      </w:pPr>
      <w:r w:rsidRPr="002E60EB">
        <w:rPr>
          <w:i/>
          <w:sz w:val="20"/>
          <w:szCs w:val="20"/>
          <w:lang w:val="en-US"/>
        </w:rPr>
        <w:t>B)</w:t>
      </w:r>
      <w:r w:rsidRPr="002E60EB">
        <w:rPr>
          <w:i/>
          <w:sz w:val="20"/>
          <w:szCs w:val="20"/>
          <w:lang w:val="en-US"/>
        </w:rPr>
        <w:tab/>
        <w:t xml:space="preserve">   </w:t>
      </w:r>
      <w:r w:rsidR="00B46938" w:rsidRPr="002E60EB">
        <w:rPr>
          <w:i/>
          <w:sz w:val="20"/>
          <w:szCs w:val="20"/>
          <w:lang w:val="en-US"/>
        </w:rPr>
        <w:t>Absence of</w:t>
      </w:r>
      <w:r w:rsidR="004B1ABB" w:rsidRPr="002E60EB">
        <w:rPr>
          <w:i/>
          <w:sz w:val="20"/>
          <w:szCs w:val="20"/>
          <w:lang w:val="en-US"/>
        </w:rPr>
        <w:t xml:space="preserve"> </w:t>
      </w:r>
      <w:r w:rsidRPr="002E60EB">
        <w:rPr>
          <w:i/>
          <w:sz w:val="20"/>
          <w:szCs w:val="20"/>
          <w:lang w:val="en-US"/>
        </w:rPr>
        <w:t>effec</w:t>
      </w:r>
      <w:r w:rsidR="00B46938" w:rsidRPr="002E60EB">
        <w:rPr>
          <w:i/>
          <w:sz w:val="20"/>
          <w:szCs w:val="20"/>
          <w:lang w:val="en-US"/>
        </w:rPr>
        <w:t>tive and diligent investigations</w:t>
      </w:r>
    </w:p>
    <w:p w:rsidR="00C47757" w:rsidRPr="002E60EB" w:rsidRDefault="00C47757" w:rsidP="00317748">
      <w:pPr>
        <w:pStyle w:val="Prrafodelista"/>
        <w:ind w:left="0"/>
        <w:jc w:val="both"/>
        <w:rPr>
          <w:sz w:val="20"/>
          <w:szCs w:val="20"/>
          <w:lang w:val="en-US"/>
        </w:rPr>
      </w:pPr>
    </w:p>
    <w:p w:rsidR="00C47757" w:rsidRPr="002E60EB" w:rsidRDefault="00C47757" w:rsidP="00317748">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The Court considers it important to emphasize that none of the violations committed against Mr. Vélez Restrepo and his family was investigated effectively in the criminal jurisdiction. Both the attack of August 29, 1996, and the subsequent threats, harassment and attempted deprivation of liberty remain in impunity. This Court has verified that the only punishments meted out by the domestic courts were two disciplinary sanctions within the Armed Forces. However, these proceedings did not sanction any soldier directly for physically attacking Mr. Vélez Restrepo on August 29, 1996, and the State has not even proved that the sanctions were final, because it indicated that it had not found the rulings that decided the appeals filed by the soldiers (</w:t>
      </w:r>
      <w:r w:rsidRPr="002E60EB">
        <w:rPr>
          <w:i/>
          <w:sz w:val="20"/>
          <w:szCs w:val="20"/>
          <w:lang w:val="en-US"/>
        </w:rPr>
        <w:t>supra</w:t>
      </w:r>
      <w:r w:rsidRPr="002E60EB">
        <w:rPr>
          <w:sz w:val="20"/>
          <w:szCs w:val="20"/>
          <w:lang w:val="en-US"/>
        </w:rPr>
        <w:t xml:space="preserve"> para. 103); hence the Court was unable to examine the corresponding final rulings.</w:t>
      </w:r>
    </w:p>
    <w:p w:rsidR="00C47757" w:rsidRPr="002E60EB" w:rsidRDefault="00C47757" w:rsidP="00317748">
      <w:pPr>
        <w:pStyle w:val="Prrafodelista"/>
        <w:autoSpaceDE w:val="0"/>
        <w:autoSpaceDN w:val="0"/>
        <w:ind w:left="0"/>
        <w:jc w:val="both"/>
        <w:rPr>
          <w:sz w:val="20"/>
          <w:szCs w:val="20"/>
          <w:lang w:val="en-US"/>
        </w:rPr>
      </w:pPr>
    </w:p>
    <w:p w:rsidR="00C47757" w:rsidRPr="002E60EB" w:rsidRDefault="00C47757" w:rsidP="00317748">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In this regard, the Court</w:t>
      </w:r>
      <w:r w:rsidR="00245426" w:rsidRPr="002E60EB">
        <w:rPr>
          <w:sz w:val="20"/>
          <w:szCs w:val="20"/>
          <w:lang w:val="en-US"/>
        </w:rPr>
        <w:t xml:space="preserve"> reiterates that the obligation to investigate is an obligation of means and not of results, which must be assumed by the State as its own juridical duty and not as a mere formality predestined to b</w:t>
      </w:r>
      <w:r w:rsidR="00EB65C8" w:rsidRPr="002E60EB">
        <w:rPr>
          <w:sz w:val="20"/>
          <w:szCs w:val="20"/>
          <w:lang w:val="en-US"/>
        </w:rPr>
        <w:t>e</w:t>
      </w:r>
      <w:r w:rsidR="00245426" w:rsidRPr="002E60EB">
        <w:rPr>
          <w:sz w:val="20"/>
          <w:szCs w:val="20"/>
          <w:lang w:val="en-US"/>
        </w:rPr>
        <w:t xml:space="preserve"> unsuccessful, or as a simple </w:t>
      </w:r>
      <w:r w:rsidR="00EB65C8" w:rsidRPr="002E60EB">
        <w:rPr>
          <w:sz w:val="20"/>
          <w:szCs w:val="20"/>
          <w:lang w:val="en-US"/>
        </w:rPr>
        <w:t xml:space="preserve">measure </w:t>
      </w:r>
      <w:r w:rsidR="00245426" w:rsidRPr="002E60EB">
        <w:rPr>
          <w:sz w:val="20"/>
          <w:szCs w:val="20"/>
          <w:lang w:val="en-US"/>
        </w:rPr>
        <w:t>responding to private interests that depends on the procedural initiative of the victims or their next of kin or on the private contribution of probative elements.</w:t>
      </w:r>
      <w:r w:rsidR="00245426" w:rsidRPr="002E60EB">
        <w:rPr>
          <w:rStyle w:val="Refdenotaalpie"/>
          <w:rFonts w:eastAsia="Times"/>
          <w:sz w:val="20"/>
          <w:szCs w:val="20"/>
          <w:lang w:val="en-US"/>
        </w:rPr>
        <w:footnoteReference w:id="237"/>
      </w:r>
      <w:r w:rsidR="002B488A" w:rsidRPr="002E60EB">
        <w:rPr>
          <w:sz w:val="20"/>
          <w:szCs w:val="20"/>
          <w:lang w:val="en-US"/>
        </w:rPr>
        <w:t xml:space="preserve"> The State’s obligation to investigate must be complied with diligently in order to avoid impunity and the repetition of such acts. In this regard, the Court recalls that impunity encourages the repetition of human rights violations.</w:t>
      </w:r>
      <w:r w:rsidR="002B488A" w:rsidRPr="002E60EB">
        <w:rPr>
          <w:rStyle w:val="Refdenotaalpie"/>
          <w:rFonts w:eastAsia="Times"/>
          <w:sz w:val="20"/>
          <w:szCs w:val="20"/>
          <w:lang w:val="en-US"/>
        </w:rPr>
        <w:footnoteReference w:id="238"/>
      </w:r>
      <w:r w:rsidR="002B488A" w:rsidRPr="002E60EB">
        <w:rPr>
          <w:sz w:val="20"/>
          <w:szCs w:val="20"/>
          <w:lang w:val="en-US"/>
        </w:rPr>
        <w:t xml:space="preserve"> The State authorities have the responsibility to carry out a serious, impartial, and effective investigation using all legal means available, designed to determine the truth and to pursue, capture, prosecute, and eventually punish the authors of the facts, especially in a case such as this one in which State agents were involved.</w:t>
      </w:r>
      <w:r w:rsidR="002B488A" w:rsidRPr="002E60EB">
        <w:rPr>
          <w:rStyle w:val="Refdenotaalpie"/>
          <w:rFonts w:eastAsia="Times"/>
          <w:sz w:val="20"/>
          <w:szCs w:val="20"/>
          <w:lang w:val="en-US"/>
        </w:rPr>
        <w:footnoteReference w:id="239"/>
      </w:r>
    </w:p>
    <w:p w:rsidR="002B488A" w:rsidRPr="002E60EB" w:rsidRDefault="002B488A" w:rsidP="002B488A">
      <w:pPr>
        <w:pStyle w:val="Prrafodelista"/>
        <w:rPr>
          <w:sz w:val="20"/>
          <w:szCs w:val="20"/>
          <w:lang w:val="en-US"/>
        </w:rPr>
      </w:pPr>
    </w:p>
    <w:p w:rsidR="002B488A" w:rsidRPr="002E60EB" w:rsidRDefault="002B488A" w:rsidP="002B488A">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 xml:space="preserve">Regarding the investigation into the attack perpetrated by soldiers against Mr. Vélez Restrepo on august 29, 1996, the State asked the Court to “acknowledge the progress made in the </w:t>
      </w:r>
      <w:r w:rsidR="00EB65C8" w:rsidRPr="002E60EB">
        <w:rPr>
          <w:sz w:val="20"/>
          <w:szCs w:val="20"/>
          <w:lang w:val="en-US"/>
        </w:rPr>
        <w:t>investigation and punishment” under</w:t>
      </w:r>
      <w:r w:rsidRPr="002E60EB">
        <w:rPr>
          <w:sz w:val="20"/>
          <w:szCs w:val="20"/>
          <w:lang w:val="en-US"/>
        </w:rPr>
        <w:t xml:space="preserve"> the disciplinary proceedings conducted before the Armed Forces and the Attorney General’s Office. In this regard, the Court has recognized that disciplinary proceedings can fulfill a complementary function to guarantee the rights established in the Convention, but reiterates that they tend to protect the administrative </w:t>
      </w:r>
      <w:r w:rsidR="00130C9E" w:rsidRPr="002E60EB">
        <w:rPr>
          <w:sz w:val="20"/>
          <w:szCs w:val="20"/>
          <w:lang w:val="en-US"/>
        </w:rPr>
        <w:t>function and the correction and control of public officials and are not intended to clarify the facts and establish responsibilities in the case, as the criminal jurisdiction does.</w:t>
      </w:r>
      <w:r w:rsidR="00130C9E" w:rsidRPr="002E60EB">
        <w:rPr>
          <w:rStyle w:val="Refdenotaalpie"/>
          <w:rFonts w:cs="Verdana"/>
          <w:sz w:val="20"/>
          <w:szCs w:val="20"/>
          <w:lang w:val="en-US"/>
        </w:rPr>
        <w:footnoteReference w:id="240"/>
      </w:r>
      <w:r w:rsidR="00130C9E" w:rsidRPr="002E60EB">
        <w:rPr>
          <w:sz w:val="20"/>
          <w:szCs w:val="20"/>
          <w:lang w:val="en-US"/>
        </w:rPr>
        <w:t xml:space="preserve"> </w:t>
      </w:r>
    </w:p>
    <w:p w:rsidR="00D70343" w:rsidRPr="002E60EB" w:rsidRDefault="00D70343" w:rsidP="00D70343">
      <w:pPr>
        <w:pStyle w:val="Prrafodelista"/>
        <w:rPr>
          <w:sz w:val="20"/>
          <w:szCs w:val="20"/>
          <w:lang w:val="en-US"/>
        </w:rPr>
      </w:pPr>
    </w:p>
    <w:p w:rsidR="00D70343" w:rsidRPr="002E60EB" w:rsidRDefault="00130C9E" w:rsidP="00317748">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 xml:space="preserve">Moreover, the Court must call attention to the fact that no one was punished for having beaten </w:t>
      </w:r>
      <w:r w:rsidR="00CF09A5" w:rsidRPr="002E60EB">
        <w:rPr>
          <w:sz w:val="20"/>
          <w:szCs w:val="20"/>
          <w:lang w:val="en-US"/>
        </w:rPr>
        <w:t xml:space="preserve">Mr. Vélez Restrepo on August 29, 1996, in either the criminal or the disciplinary investigations. </w:t>
      </w:r>
      <w:r w:rsidR="00EE0563" w:rsidRPr="002E60EB">
        <w:rPr>
          <w:sz w:val="20"/>
          <w:szCs w:val="20"/>
          <w:lang w:val="en-US"/>
        </w:rPr>
        <w:t xml:space="preserve">The Court notes that one of the disciplinary decisions established that one of the soldiers was sanctioned for having given the order that Mr. Vélez Restrepo’s “video camera be seized,” and that “in compliance with that order, it appears that abuses were committed against Mr. […] </w:t>
      </w:r>
      <w:r w:rsidR="00EE0563" w:rsidRPr="002E60EB">
        <w:rPr>
          <w:rFonts w:eastAsia="Calibri" w:cs="Arial"/>
          <w:sz w:val="20"/>
          <w:szCs w:val="20"/>
          <w:lang w:val="en-US"/>
        </w:rPr>
        <w:t>Vélez.”</w:t>
      </w:r>
      <w:r w:rsidR="00EE0563" w:rsidRPr="002E60EB">
        <w:rPr>
          <w:sz w:val="20"/>
          <w:szCs w:val="20"/>
          <w:lang w:val="en-US"/>
        </w:rPr>
        <w:t xml:space="preserve"> The Court recalls</w:t>
      </w:r>
      <w:r w:rsidR="00CF09A5" w:rsidRPr="002E60EB">
        <w:rPr>
          <w:sz w:val="20"/>
          <w:szCs w:val="20"/>
          <w:lang w:val="en-US"/>
        </w:rPr>
        <w:t xml:space="preserve"> </w:t>
      </w:r>
      <w:r w:rsidR="00D70343" w:rsidRPr="002E60EB">
        <w:rPr>
          <w:sz w:val="20"/>
          <w:szCs w:val="20"/>
          <w:lang w:val="en-US"/>
        </w:rPr>
        <w:t>that the attack on Mr. Vélez Restrepo was even recorded in images and sound. Even though the faces of the soldiers who hit him were not revealed, it is reasonable to state that, in a case that was not very complicated to investigate, many other elements existed that would have permitted the identification of the soldiers responsible for hitting him. The Court stresses that the lack of diligence in the investigation also includes these aspects.</w:t>
      </w:r>
    </w:p>
    <w:p w:rsidR="00D70343" w:rsidRPr="002E60EB" w:rsidRDefault="00D70343" w:rsidP="00D70343">
      <w:pPr>
        <w:pStyle w:val="Prrafodelista"/>
        <w:autoSpaceDE w:val="0"/>
        <w:autoSpaceDN w:val="0"/>
        <w:ind w:left="0"/>
        <w:jc w:val="both"/>
        <w:rPr>
          <w:sz w:val="20"/>
          <w:szCs w:val="20"/>
          <w:lang w:val="en-US"/>
        </w:rPr>
      </w:pPr>
    </w:p>
    <w:p w:rsidR="0054449C" w:rsidRPr="002E60EB" w:rsidRDefault="00D70343" w:rsidP="002B488A">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 xml:space="preserve">The Court also finds it relevant to </w:t>
      </w:r>
      <w:r w:rsidR="00334C3C" w:rsidRPr="002E60EB">
        <w:rPr>
          <w:sz w:val="20"/>
          <w:szCs w:val="20"/>
          <w:lang w:val="en-US"/>
        </w:rPr>
        <w:t>refer</w:t>
      </w:r>
      <w:r w:rsidRPr="002E60EB">
        <w:rPr>
          <w:sz w:val="20"/>
          <w:szCs w:val="20"/>
          <w:lang w:val="en-US"/>
        </w:rPr>
        <w:t xml:space="preserve"> to the term</w:t>
      </w:r>
      <w:r w:rsidR="00EB65C8" w:rsidRPr="002E60EB">
        <w:rPr>
          <w:sz w:val="20"/>
          <w:szCs w:val="20"/>
          <w:lang w:val="en-US"/>
        </w:rPr>
        <w:t>s</w:t>
      </w:r>
      <w:r w:rsidRPr="002E60EB">
        <w:rPr>
          <w:sz w:val="20"/>
          <w:szCs w:val="20"/>
          <w:lang w:val="en-US"/>
        </w:rPr>
        <w:t xml:space="preserve"> in which the State made its partial acknowledgement of responsibility concerning the absence of a serious criminal investigation of the attack on Mr. Vélez Restrepo of August 29, 1996. Colombia</w:t>
      </w:r>
      <w:r w:rsidR="0054449C" w:rsidRPr="002E60EB">
        <w:rPr>
          <w:sz w:val="20"/>
          <w:szCs w:val="20"/>
          <w:lang w:val="en-US"/>
        </w:rPr>
        <w:t xml:space="preserve"> acknowledged its responsibility only because it had been unable to prove its diligence in the said investigation as a result of the loss of the criminal case file (</w:t>
      </w:r>
      <w:r w:rsidR="0054449C" w:rsidRPr="002E60EB">
        <w:rPr>
          <w:i/>
          <w:sz w:val="20"/>
          <w:szCs w:val="20"/>
          <w:lang w:val="en-US"/>
        </w:rPr>
        <w:t>supra</w:t>
      </w:r>
      <w:r w:rsidR="0054449C" w:rsidRPr="002E60EB">
        <w:rPr>
          <w:sz w:val="20"/>
          <w:szCs w:val="20"/>
          <w:lang w:val="en-US"/>
        </w:rPr>
        <w:t xml:space="preserve"> para. 14). In this regard, the Court has already established that the said criminal investigation did not respect the guarantee of due process of the principle of the </w:t>
      </w:r>
      <w:r w:rsidR="00615D3A" w:rsidRPr="002E60EB">
        <w:rPr>
          <w:sz w:val="20"/>
          <w:szCs w:val="20"/>
          <w:lang w:val="en-US"/>
        </w:rPr>
        <w:t>natural judge</w:t>
      </w:r>
      <w:r w:rsidR="0054449C" w:rsidRPr="002E60EB">
        <w:rPr>
          <w:sz w:val="20"/>
          <w:szCs w:val="20"/>
          <w:lang w:val="en-US"/>
        </w:rPr>
        <w:t xml:space="preserve"> (</w:t>
      </w:r>
      <w:r w:rsidR="0054449C" w:rsidRPr="002E60EB">
        <w:rPr>
          <w:i/>
          <w:sz w:val="20"/>
          <w:szCs w:val="20"/>
          <w:lang w:val="en-US"/>
        </w:rPr>
        <w:t>supra</w:t>
      </w:r>
      <w:r w:rsidR="0054449C" w:rsidRPr="002E60EB">
        <w:rPr>
          <w:sz w:val="20"/>
          <w:szCs w:val="20"/>
          <w:lang w:val="en-US"/>
        </w:rPr>
        <w:t xml:space="preserve"> para. 245). In addition, the Cou</w:t>
      </w:r>
      <w:r w:rsidR="00EB65C8" w:rsidRPr="002E60EB">
        <w:rPr>
          <w:sz w:val="20"/>
          <w:szCs w:val="20"/>
          <w:lang w:val="en-US"/>
        </w:rPr>
        <w:t>rt notes that, the considering</w:t>
      </w:r>
      <w:r w:rsidR="0054449C" w:rsidRPr="002E60EB">
        <w:rPr>
          <w:sz w:val="20"/>
          <w:szCs w:val="20"/>
          <w:lang w:val="en-US"/>
        </w:rPr>
        <w:t xml:space="preserve"> paragraphs of the final decision of the military criminal investigation, a document that was provided to these proceedings, do not even mentioned the specific attack suffered by the journalist Vélez Restrepo an</w:t>
      </w:r>
      <w:r w:rsidR="00EB65C8" w:rsidRPr="002E60EB">
        <w:rPr>
          <w:sz w:val="20"/>
          <w:szCs w:val="20"/>
          <w:lang w:val="en-US"/>
        </w:rPr>
        <w:t>d</w:t>
      </w:r>
      <w:r w:rsidR="0054449C" w:rsidRPr="002E60EB">
        <w:rPr>
          <w:sz w:val="20"/>
          <w:szCs w:val="20"/>
          <w:lang w:val="en-US"/>
        </w:rPr>
        <w:t xml:space="preserve"> decided that “it [was] not possible to open criminal proceedings and direct the investigation towards any specific soldier on active duty.”</w:t>
      </w:r>
      <w:r w:rsidR="0054449C" w:rsidRPr="002E60EB">
        <w:rPr>
          <w:rStyle w:val="Refdenotaalpie"/>
          <w:sz w:val="20"/>
          <w:szCs w:val="20"/>
          <w:lang w:val="en-US"/>
        </w:rPr>
        <w:footnoteReference w:id="241"/>
      </w:r>
      <w:r w:rsidR="0054449C" w:rsidRPr="002E60EB">
        <w:rPr>
          <w:sz w:val="20"/>
          <w:szCs w:val="20"/>
          <w:lang w:val="en-US"/>
        </w:rPr>
        <w:t xml:space="preserve"> This Court finds that this reveals a lack of due diligence in the investigation.</w:t>
      </w:r>
    </w:p>
    <w:p w:rsidR="00856D1D" w:rsidRPr="002E60EB" w:rsidRDefault="00856D1D" w:rsidP="00317748">
      <w:pPr>
        <w:pStyle w:val="Prrafodelista"/>
        <w:autoSpaceDE w:val="0"/>
        <w:autoSpaceDN w:val="0"/>
        <w:ind w:left="0"/>
        <w:jc w:val="both"/>
        <w:rPr>
          <w:sz w:val="20"/>
          <w:szCs w:val="20"/>
          <w:lang w:val="en-US"/>
        </w:rPr>
      </w:pPr>
    </w:p>
    <w:p w:rsidR="0004795A" w:rsidRPr="002E60EB" w:rsidRDefault="0004795A" w:rsidP="00317748">
      <w:pPr>
        <w:pStyle w:val="Prrafodelista"/>
        <w:numPr>
          <w:ilvl w:val="0"/>
          <w:numId w:val="1"/>
        </w:numPr>
        <w:tabs>
          <w:tab w:val="clear" w:pos="1427"/>
        </w:tabs>
        <w:autoSpaceDE w:val="0"/>
        <w:autoSpaceDN w:val="0"/>
        <w:ind w:left="0"/>
        <w:jc w:val="both"/>
        <w:rPr>
          <w:sz w:val="20"/>
          <w:szCs w:val="20"/>
          <w:lang w:val="en-US"/>
        </w:rPr>
      </w:pPr>
      <w:r w:rsidRPr="002E60EB">
        <w:rPr>
          <w:sz w:val="20"/>
          <w:szCs w:val="20"/>
          <w:lang w:val="en-US"/>
        </w:rPr>
        <w:t xml:space="preserve">Finally, regarding the investigation of the attempted deprivation of </w:t>
      </w:r>
      <w:r w:rsidR="0054449C" w:rsidRPr="002E60EB">
        <w:rPr>
          <w:sz w:val="20"/>
          <w:szCs w:val="20"/>
          <w:lang w:val="en-US"/>
        </w:rPr>
        <w:t>liberty</w:t>
      </w:r>
      <w:r w:rsidRPr="002E60EB">
        <w:rPr>
          <w:sz w:val="20"/>
          <w:szCs w:val="20"/>
          <w:lang w:val="en-US"/>
        </w:rPr>
        <w:t xml:space="preserve"> of Mr. Vélez Restrepo, the State acknowledged that</w:t>
      </w:r>
      <w:r w:rsidR="0054449C" w:rsidRPr="002E60EB">
        <w:rPr>
          <w:sz w:val="20"/>
          <w:szCs w:val="20"/>
          <w:lang w:val="en-US"/>
        </w:rPr>
        <w:t>,</w:t>
      </w:r>
      <w:r w:rsidRPr="002E60EB">
        <w:rPr>
          <w:sz w:val="20"/>
          <w:szCs w:val="20"/>
          <w:lang w:val="en-US"/>
        </w:rPr>
        <w:t xml:space="preserve"> in the investigation </w:t>
      </w:r>
      <w:r w:rsidR="0054449C" w:rsidRPr="002E60EB">
        <w:rPr>
          <w:sz w:val="20"/>
          <w:szCs w:val="20"/>
          <w:lang w:val="en-US"/>
        </w:rPr>
        <w:t>into</w:t>
      </w:r>
      <w:r w:rsidRPr="002E60EB">
        <w:rPr>
          <w:sz w:val="20"/>
          <w:szCs w:val="20"/>
          <w:lang w:val="en-US"/>
        </w:rPr>
        <w:t xml:space="preserve"> the crime of attempted </w:t>
      </w:r>
      <w:r w:rsidR="00334C3C" w:rsidRPr="002E60EB">
        <w:rPr>
          <w:sz w:val="20"/>
          <w:szCs w:val="20"/>
          <w:lang w:val="en-US"/>
        </w:rPr>
        <w:t>kidnapping</w:t>
      </w:r>
      <w:r w:rsidRPr="002E60EB">
        <w:rPr>
          <w:sz w:val="20"/>
          <w:szCs w:val="20"/>
          <w:lang w:val="en-US"/>
        </w:rPr>
        <w:t xml:space="preserve"> </w:t>
      </w:r>
      <w:r w:rsidR="00087093" w:rsidRPr="002E60EB">
        <w:rPr>
          <w:sz w:val="20"/>
          <w:szCs w:val="20"/>
          <w:lang w:val="en-US"/>
        </w:rPr>
        <w:t>“</w:t>
      </w:r>
      <w:r w:rsidR="0054449C" w:rsidRPr="002E60EB">
        <w:rPr>
          <w:sz w:val="20"/>
          <w:szCs w:val="20"/>
          <w:lang w:val="en-US"/>
        </w:rPr>
        <w:t>the reasonable time</w:t>
      </w:r>
      <w:r w:rsidR="00087093" w:rsidRPr="002E60EB">
        <w:rPr>
          <w:sz w:val="20"/>
          <w:szCs w:val="20"/>
          <w:lang w:val="en-US"/>
        </w:rPr>
        <w:t>”</w:t>
      </w:r>
      <w:r w:rsidRPr="002E60EB">
        <w:rPr>
          <w:sz w:val="20"/>
          <w:szCs w:val="20"/>
          <w:lang w:val="en-US"/>
        </w:rPr>
        <w:t xml:space="preserve"> was violated</w:t>
      </w:r>
      <w:r w:rsidR="0054449C" w:rsidRPr="002E60EB">
        <w:rPr>
          <w:sz w:val="20"/>
          <w:szCs w:val="20"/>
          <w:lang w:val="en-US"/>
        </w:rPr>
        <w:t xml:space="preserve"> (</w:t>
      </w:r>
      <w:r w:rsidR="0054449C" w:rsidRPr="002E60EB">
        <w:rPr>
          <w:i/>
          <w:sz w:val="20"/>
          <w:szCs w:val="20"/>
          <w:lang w:val="en-US"/>
        </w:rPr>
        <w:t>supra</w:t>
      </w:r>
      <w:r w:rsidR="0054449C" w:rsidRPr="002E60EB">
        <w:rPr>
          <w:sz w:val="20"/>
          <w:szCs w:val="20"/>
          <w:lang w:val="en-US"/>
        </w:rPr>
        <w:t xml:space="preserve"> para. 14)</w:t>
      </w:r>
      <w:r w:rsidRPr="002E60EB">
        <w:rPr>
          <w:sz w:val="20"/>
          <w:szCs w:val="20"/>
          <w:lang w:val="en-US"/>
        </w:rPr>
        <w:t xml:space="preserve">. The Court has </w:t>
      </w:r>
      <w:r w:rsidR="0054449C" w:rsidRPr="002E60EB">
        <w:rPr>
          <w:sz w:val="20"/>
          <w:szCs w:val="20"/>
          <w:lang w:val="en-US"/>
        </w:rPr>
        <w:t>noted</w:t>
      </w:r>
      <w:r w:rsidRPr="002E60EB">
        <w:rPr>
          <w:sz w:val="20"/>
          <w:szCs w:val="20"/>
          <w:lang w:val="en-US"/>
        </w:rPr>
        <w:t xml:space="preserve"> that</w:t>
      </w:r>
      <w:r w:rsidR="0054449C" w:rsidRPr="002E60EB">
        <w:rPr>
          <w:sz w:val="20"/>
          <w:szCs w:val="20"/>
          <w:lang w:val="en-US"/>
        </w:rPr>
        <w:t xml:space="preserve">, in the Merits </w:t>
      </w:r>
      <w:r w:rsidRPr="002E60EB">
        <w:rPr>
          <w:sz w:val="20"/>
          <w:szCs w:val="20"/>
          <w:lang w:val="en-US"/>
        </w:rPr>
        <w:t xml:space="preserve">Report, the Commission argued that the investigation </w:t>
      </w:r>
      <w:r w:rsidR="0054449C" w:rsidRPr="002E60EB">
        <w:rPr>
          <w:sz w:val="20"/>
          <w:szCs w:val="20"/>
          <w:lang w:val="en-US"/>
        </w:rPr>
        <w:t>into</w:t>
      </w:r>
      <w:r w:rsidRPr="002E60EB">
        <w:rPr>
          <w:sz w:val="20"/>
          <w:szCs w:val="20"/>
          <w:lang w:val="en-US"/>
        </w:rPr>
        <w:t xml:space="preserve"> the attempted </w:t>
      </w:r>
      <w:r w:rsidR="00334C3C" w:rsidRPr="002E60EB">
        <w:rPr>
          <w:sz w:val="20"/>
          <w:szCs w:val="20"/>
          <w:lang w:val="en-US"/>
        </w:rPr>
        <w:t>kidnapping</w:t>
      </w:r>
      <w:r w:rsidRPr="002E60EB">
        <w:rPr>
          <w:sz w:val="20"/>
          <w:szCs w:val="20"/>
          <w:lang w:val="en-US"/>
        </w:rPr>
        <w:t xml:space="preserve"> </w:t>
      </w:r>
      <w:r w:rsidR="00087093" w:rsidRPr="002E60EB">
        <w:rPr>
          <w:sz w:val="20"/>
          <w:szCs w:val="20"/>
          <w:lang w:val="en-US"/>
        </w:rPr>
        <w:t>“</w:t>
      </w:r>
      <w:r w:rsidRPr="002E60EB">
        <w:rPr>
          <w:sz w:val="20"/>
          <w:szCs w:val="20"/>
          <w:lang w:val="en-US"/>
        </w:rPr>
        <w:t>has not been carried out diligently and</w:t>
      </w:r>
      <w:r w:rsidR="0054449C" w:rsidRPr="002E60EB">
        <w:rPr>
          <w:sz w:val="20"/>
          <w:szCs w:val="20"/>
          <w:lang w:val="en-US"/>
        </w:rPr>
        <w:t xml:space="preserve"> within a reasonable time</w:t>
      </w:r>
      <w:r w:rsidRPr="002E60EB">
        <w:rPr>
          <w:sz w:val="20"/>
          <w:szCs w:val="20"/>
          <w:lang w:val="en-US"/>
        </w:rPr>
        <w:t>.</w:t>
      </w:r>
      <w:r w:rsidR="00087093" w:rsidRPr="002E60EB">
        <w:rPr>
          <w:sz w:val="20"/>
          <w:szCs w:val="20"/>
          <w:lang w:val="en-US"/>
        </w:rPr>
        <w:t>”</w:t>
      </w:r>
      <w:r w:rsidRPr="002E60EB">
        <w:rPr>
          <w:sz w:val="20"/>
          <w:szCs w:val="20"/>
          <w:lang w:val="en-US"/>
        </w:rPr>
        <w:t xml:space="preserve"> Since the State </w:t>
      </w:r>
      <w:r w:rsidR="0054449C" w:rsidRPr="002E60EB">
        <w:rPr>
          <w:sz w:val="20"/>
          <w:szCs w:val="20"/>
          <w:lang w:val="en-US"/>
        </w:rPr>
        <w:t>did</w:t>
      </w:r>
      <w:r w:rsidRPr="002E60EB">
        <w:rPr>
          <w:sz w:val="20"/>
          <w:szCs w:val="20"/>
          <w:lang w:val="en-US"/>
        </w:rPr>
        <w:t xml:space="preserve"> not expressly accept the alleged lack of diligence in the investigation, the Court must recall that the </w:t>
      </w:r>
      <w:r w:rsidR="0054449C" w:rsidRPr="002E60EB">
        <w:rPr>
          <w:sz w:val="20"/>
          <w:szCs w:val="20"/>
          <w:lang w:val="en-US"/>
        </w:rPr>
        <w:t xml:space="preserve">conduct </w:t>
      </w:r>
      <w:r w:rsidRPr="002E60EB">
        <w:rPr>
          <w:sz w:val="20"/>
          <w:szCs w:val="20"/>
          <w:lang w:val="en-US"/>
        </w:rPr>
        <w:t>of the judic</w:t>
      </w:r>
      <w:r w:rsidR="0054449C" w:rsidRPr="002E60EB">
        <w:rPr>
          <w:sz w:val="20"/>
          <w:szCs w:val="20"/>
          <w:lang w:val="en-US"/>
        </w:rPr>
        <w:t>ial authorities constitutes one</w:t>
      </w:r>
      <w:r w:rsidRPr="002E60EB">
        <w:rPr>
          <w:sz w:val="20"/>
          <w:szCs w:val="20"/>
          <w:lang w:val="en-US"/>
        </w:rPr>
        <w:t xml:space="preserve"> of the elements that </w:t>
      </w:r>
      <w:r w:rsidR="0054449C" w:rsidRPr="002E60EB">
        <w:rPr>
          <w:sz w:val="20"/>
          <w:szCs w:val="20"/>
          <w:lang w:val="en-US"/>
        </w:rPr>
        <w:t>form part of</w:t>
      </w:r>
      <w:r w:rsidRPr="002E60EB">
        <w:rPr>
          <w:sz w:val="20"/>
          <w:szCs w:val="20"/>
          <w:lang w:val="en-US"/>
        </w:rPr>
        <w:t xml:space="preserve"> the anal</w:t>
      </w:r>
      <w:r w:rsidR="0054449C" w:rsidRPr="002E60EB">
        <w:rPr>
          <w:sz w:val="20"/>
          <w:szCs w:val="20"/>
          <w:lang w:val="en-US"/>
        </w:rPr>
        <w:t>ysis to determine a violation of reasonable time</w:t>
      </w:r>
      <w:r w:rsidRPr="002E60EB">
        <w:rPr>
          <w:sz w:val="20"/>
          <w:szCs w:val="20"/>
          <w:lang w:val="en-US"/>
        </w:rPr>
        <w:t>.</w:t>
      </w:r>
      <w:r w:rsidR="0054449C" w:rsidRPr="002E60EB">
        <w:rPr>
          <w:rStyle w:val="Refdenotaalpie"/>
          <w:sz w:val="20"/>
          <w:szCs w:val="20"/>
          <w:lang w:val="en-US"/>
        </w:rPr>
        <w:footnoteReference w:id="242"/>
      </w:r>
      <w:r w:rsidRPr="002E60EB">
        <w:rPr>
          <w:rFonts w:cs="Verdana"/>
          <w:sz w:val="20"/>
          <w:szCs w:val="20"/>
          <w:lang w:val="en-US"/>
        </w:rPr>
        <w:t xml:space="preserve"> Therefore, the Court understands that</w:t>
      </w:r>
      <w:r w:rsidR="0054449C" w:rsidRPr="002E60EB">
        <w:rPr>
          <w:rFonts w:cs="Verdana"/>
          <w:sz w:val="20"/>
          <w:szCs w:val="20"/>
          <w:lang w:val="en-US"/>
        </w:rPr>
        <w:t>,</w:t>
      </w:r>
      <w:r w:rsidRPr="002E60EB">
        <w:rPr>
          <w:rFonts w:cs="Verdana"/>
          <w:sz w:val="20"/>
          <w:szCs w:val="20"/>
          <w:lang w:val="en-US"/>
        </w:rPr>
        <w:t xml:space="preserve"> implicitly</w:t>
      </w:r>
      <w:r w:rsidR="0054449C" w:rsidRPr="002E60EB">
        <w:rPr>
          <w:rFonts w:cs="Verdana"/>
          <w:sz w:val="20"/>
          <w:szCs w:val="20"/>
          <w:lang w:val="en-US"/>
        </w:rPr>
        <w:t>,</w:t>
      </w:r>
      <w:r w:rsidRPr="002E60EB">
        <w:rPr>
          <w:rFonts w:cs="Verdana"/>
          <w:sz w:val="20"/>
          <w:szCs w:val="20"/>
          <w:lang w:val="en-US"/>
        </w:rPr>
        <w:t xml:space="preserve"> the State acknowledged </w:t>
      </w:r>
      <w:r w:rsidR="0054449C" w:rsidRPr="002E60EB">
        <w:rPr>
          <w:rFonts w:cs="Verdana"/>
          <w:sz w:val="20"/>
          <w:szCs w:val="20"/>
          <w:lang w:val="en-US"/>
        </w:rPr>
        <w:t xml:space="preserve">that </w:t>
      </w:r>
      <w:r w:rsidRPr="002E60EB">
        <w:rPr>
          <w:rFonts w:cs="Verdana"/>
          <w:sz w:val="20"/>
          <w:szCs w:val="20"/>
          <w:lang w:val="en-US"/>
        </w:rPr>
        <w:t xml:space="preserve">it </w:t>
      </w:r>
      <w:r w:rsidR="0054449C" w:rsidRPr="002E60EB">
        <w:rPr>
          <w:rFonts w:cs="Verdana"/>
          <w:sz w:val="20"/>
          <w:szCs w:val="20"/>
          <w:lang w:val="en-US"/>
        </w:rPr>
        <w:t>had not complied with this</w:t>
      </w:r>
      <w:r w:rsidRPr="002E60EB">
        <w:rPr>
          <w:rFonts w:cs="Verdana"/>
          <w:sz w:val="20"/>
          <w:szCs w:val="20"/>
          <w:lang w:val="en-US"/>
        </w:rPr>
        <w:t xml:space="preserve"> standard of due diligence. </w:t>
      </w:r>
    </w:p>
    <w:p w:rsidR="0004795A" w:rsidRPr="002E60EB" w:rsidRDefault="0004795A" w:rsidP="00260DED">
      <w:pPr>
        <w:rPr>
          <w:rFonts w:cs="Verdana"/>
          <w:lang w:val="en-US"/>
        </w:rPr>
      </w:pPr>
    </w:p>
    <w:p w:rsidR="009D76A1" w:rsidRPr="002E60EB" w:rsidRDefault="0004795A" w:rsidP="00EB65C8">
      <w:pPr>
        <w:numPr>
          <w:ilvl w:val="0"/>
          <w:numId w:val="19"/>
        </w:numPr>
        <w:jc w:val="both"/>
        <w:rPr>
          <w:lang w:val="en-US"/>
        </w:rPr>
      </w:pPr>
      <w:r w:rsidRPr="002E60EB">
        <w:rPr>
          <w:rFonts w:cs="Verdana"/>
          <w:lang w:val="en-US"/>
        </w:rPr>
        <w:t xml:space="preserve">Based on the </w:t>
      </w:r>
      <w:r w:rsidR="0054449C" w:rsidRPr="002E60EB">
        <w:rPr>
          <w:rFonts w:cs="Verdana"/>
          <w:lang w:val="en-US"/>
        </w:rPr>
        <w:t>above</w:t>
      </w:r>
      <w:r w:rsidRPr="002E60EB">
        <w:rPr>
          <w:rFonts w:cs="Verdana"/>
          <w:lang w:val="en-US"/>
        </w:rPr>
        <w:t xml:space="preserve"> considerations and on the</w:t>
      </w:r>
      <w:r w:rsidR="0054449C" w:rsidRPr="002E60EB">
        <w:rPr>
          <w:rFonts w:cs="Verdana"/>
          <w:lang w:val="en-US"/>
        </w:rPr>
        <w:t xml:space="preserve"> State’s</w:t>
      </w:r>
      <w:r w:rsidRPr="002E60EB">
        <w:rPr>
          <w:rFonts w:cs="Verdana"/>
          <w:lang w:val="en-US"/>
        </w:rPr>
        <w:t xml:space="preserve"> partial ackno</w:t>
      </w:r>
      <w:r w:rsidR="0054449C" w:rsidRPr="002E60EB">
        <w:rPr>
          <w:rFonts w:cs="Verdana"/>
          <w:lang w:val="en-US"/>
        </w:rPr>
        <w:t>wledgment of responsibility</w:t>
      </w:r>
      <w:r w:rsidRPr="002E60EB">
        <w:rPr>
          <w:rFonts w:cs="Verdana"/>
          <w:lang w:val="en-US"/>
        </w:rPr>
        <w:t>, the Court concludes that the d</w:t>
      </w:r>
      <w:r w:rsidR="0054449C" w:rsidRPr="002E60EB">
        <w:rPr>
          <w:rFonts w:cs="Verdana"/>
          <w:lang w:val="en-US"/>
        </w:rPr>
        <w:t>omestic investigations did</w:t>
      </w:r>
      <w:r w:rsidRPr="002E60EB">
        <w:rPr>
          <w:rFonts w:cs="Verdana"/>
          <w:lang w:val="en-US"/>
        </w:rPr>
        <w:t xml:space="preserve"> not constitute effective re</w:t>
      </w:r>
      <w:r w:rsidR="009D76A1" w:rsidRPr="002E60EB">
        <w:rPr>
          <w:rFonts w:cs="Verdana"/>
          <w:lang w:val="en-US"/>
        </w:rPr>
        <w:t>medies to guarantee access to justice and</w:t>
      </w:r>
      <w:r w:rsidRPr="002E60EB">
        <w:rPr>
          <w:rFonts w:cs="Verdana"/>
          <w:lang w:val="en-US"/>
        </w:rPr>
        <w:t xml:space="preserve"> </w:t>
      </w:r>
      <w:r w:rsidR="00EB65C8" w:rsidRPr="002E60EB">
        <w:rPr>
          <w:rFonts w:cs="Verdana"/>
          <w:lang w:val="en-US"/>
        </w:rPr>
        <w:t xml:space="preserve">the </w:t>
      </w:r>
      <w:r w:rsidRPr="002E60EB">
        <w:rPr>
          <w:rFonts w:cs="Verdana"/>
          <w:lang w:val="en-US"/>
        </w:rPr>
        <w:t xml:space="preserve">determination of the truth, the investigation and punishment of those responsible, and the </w:t>
      </w:r>
      <w:r w:rsidR="009D76A1" w:rsidRPr="002E60EB">
        <w:rPr>
          <w:rFonts w:cs="Verdana"/>
          <w:lang w:val="en-US"/>
        </w:rPr>
        <w:t>integral reparation of</w:t>
      </w:r>
      <w:r w:rsidRPr="002E60EB">
        <w:rPr>
          <w:rFonts w:cs="Verdana"/>
          <w:lang w:val="en-US"/>
        </w:rPr>
        <w:t xml:space="preserve"> the consequences of the violations. None of the human rights violations declared in </w:t>
      </w:r>
      <w:r w:rsidR="009D76A1" w:rsidRPr="002E60EB">
        <w:rPr>
          <w:rFonts w:cs="Verdana"/>
          <w:lang w:val="en-US"/>
        </w:rPr>
        <w:t>this</w:t>
      </w:r>
      <w:r w:rsidRPr="002E60EB">
        <w:rPr>
          <w:rFonts w:cs="Verdana"/>
          <w:lang w:val="en-US"/>
        </w:rPr>
        <w:t xml:space="preserve"> Judgment was investigated seriously and diligently by </w:t>
      </w:r>
      <w:r w:rsidR="009D76A1" w:rsidRPr="002E60EB">
        <w:rPr>
          <w:rFonts w:cs="Verdana"/>
          <w:lang w:val="en-US"/>
        </w:rPr>
        <w:t>the S</w:t>
      </w:r>
      <w:r w:rsidRPr="002E60EB">
        <w:rPr>
          <w:rFonts w:cs="Verdana"/>
          <w:lang w:val="en-US"/>
        </w:rPr>
        <w:t xml:space="preserve">tate authorities. </w:t>
      </w:r>
      <w:r w:rsidR="009D76A1" w:rsidRPr="002E60EB">
        <w:rPr>
          <w:rFonts w:cs="Verdana"/>
          <w:lang w:val="en-US"/>
        </w:rPr>
        <w:t>Consequently,</w:t>
      </w:r>
      <w:r w:rsidRPr="002E60EB">
        <w:rPr>
          <w:rFonts w:cs="Verdana"/>
          <w:lang w:val="en-US"/>
        </w:rPr>
        <w:t xml:space="preserve"> the State is responsible for the violation of Articles 8(1) and 25 of the Convention, in relation to Article 1(1) </w:t>
      </w:r>
      <w:r w:rsidR="009D76A1" w:rsidRPr="002E60EB">
        <w:rPr>
          <w:rFonts w:cs="Verdana"/>
          <w:lang w:val="en-US"/>
        </w:rPr>
        <w:t>thereof, to the</w:t>
      </w:r>
      <w:r w:rsidRPr="002E60EB">
        <w:rPr>
          <w:rFonts w:cs="Verdana"/>
          <w:lang w:val="en-US"/>
        </w:rPr>
        <w:t xml:space="preserve"> detriment of </w:t>
      </w:r>
      <w:r w:rsidR="00AC1940" w:rsidRPr="002E60EB">
        <w:rPr>
          <w:rFonts w:cs="Verdana"/>
          <w:lang w:val="en-US"/>
        </w:rPr>
        <w:t>Luis</w:t>
      </w:r>
      <w:r w:rsidRPr="002E60EB">
        <w:rPr>
          <w:rFonts w:cs="Verdana"/>
          <w:lang w:val="en-US"/>
        </w:rPr>
        <w:t xml:space="preserve"> Gonzalo Vélez Restrepo, Aracelly Román</w:t>
      </w:r>
      <w:r w:rsidR="009D76A1" w:rsidRPr="002E60EB">
        <w:rPr>
          <w:rFonts w:cs="Verdana"/>
          <w:lang w:val="en-US"/>
        </w:rPr>
        <w:t xml:space="preserve"> Amariles,</w:t>
      </w:r>
      <w:r w:rsidRPr="002E60EB">
        <w:rPr>
          <w:rFonts w:cs="Verdana"/>
          <w:lang w:val="en-US"/>
        </w:rPr>
        <w:t xml:space="preserve"> and their children Mateo and Juliana</w:t>
      </w:r>
      <w:r w:rsidR="009D76A1" w:rsidRPr="002E60EB">
        <w:rPr>
          <w:rFonts w:cs="Verdana"/>
          <w:lang w:val="en-US"/>
        </w:rPr>
        <w:t xml:space="preserve"> Vélez Román</w:t>
      </w:r>
      <w:r w:rsidRPr="002E60EB">
        <w:rPr>
          <w:rFonts w:cs="Verdana"/>
          <w:lang w:val="en-US"/>
        </w:rPr>
        <w:t>.</w:t>
      </w:r>
    </w:p>
    <w:p w:rsidR="0004795A" w:rsidRPr="002E60EB" w:rsidRDefault="0004795A" w:rsidP="00317748">
      <w:pPr>
        <w:tabs>
          <w:tab w:val="left" w:pos="720"/>
        </w:tabs>
        <w:jc w:val="center"/>
        <w:rPr>
          <w:b/>
          <w:lang w:val="en-US"/>
        </w:rPr>
      </w:pPr>
      <w:r w:rsidRPr="002E60EB">
        <w:rPr>
          <w:b/>
          <w:lang w:val="en-US"/>
        </w:rPr>
        <w:t>XII</w:t>
      </w:r>
    </w:p>
    <w:p w:rsidR="0004795A" w:rsidRPr="002E60EB" w:rsidRDefault="0004795A" w:rsidP="00317748">
      <w:pPr>
        <w:tabs>
          <w:tab w:val="left" w:pos="720"/>
        </w:tabs>
        <w:jc w:val="center"/>
        <w:rPr>
          <w:b/>
          <w:lang w:val="en-US"/>
        </w:rPr>
      </w:pPr>
      <w:r w:rsidRPr="002E60EB">
        <w:rPr>
          <w:b/>
          <w:lang w:val="en-US"/>
        </w:rPr>
        <w:t>REPARATIONS</w:t>
      </w:r>
    </w:p>
    <w:p w:rsidR="0004795A" w:rsidRPr="002E60EB" w:rsidRDefault="0004795A" w:rsidP="00317748">
      <w:pPr>
        <w:tabs>
          <w:tab w:val="left" w:pos="720"/>
        </w:tabs>
        <w:jc w:val="center"/>
        <w:rPr>
          <w:b/>
          <w:lang w:val="en-US"/>
        </w:rPr>
      </w:pPr>
      <w:r w:rsidRPr="002E60EB">
        <w:rPr>
          <w:b/>
          <w:lang w:val="en-US"/>
        </w:rPr>
        <w:t>(</w:t>
      </w:r>
      <w:r w:rsidRPr="002E60EB">
        <w:rPr>
          <w:b/>
          <w:i/>
          <w:lang w:val="en-US"/>
        </w:rPr>
        <w:t>Application of Article 63(1) of the American Convention</w:t>
      </w:r>
      <w:r w:rsidRPr="002E60EB">
        <w:rPr>
          <w:b/>
          <w:lang w:val="en-US"/>
        </w:rPr>
        <w:t>)</w:t>
      </w:r>
    </w:p>
    <w:p w:rsidR="0004795A" w:rsidRPr="002E60EB" w:rsidRDefault="0004795A" w:rsidP="00317748">
      <w:pPr>
        <w:pStyle w:val="ListParagraph1"/>
        <w:spacing w:after="0"/>
        <w:ind w:left="0"/>
        <w:rPr>
          <w:rFonts w:ascii="Verdana" w:hAnsi="Verdana"/>
          <w:sz w:val="20"/>
          <w:szCs w:val="20"/>
        </w:rPr>
      </w:pPr>
    </w:p>
    <w:p w:rsidR="0004795A" w:rsidRPr="002E60EB" w:rsidRDefault="0004795A" w:rsidP="002711CF">
      <w:pPr>
        <w:numPr>
          <w:ilvl w:val="0"/>
          <w:numId w:val="19"/>
        </w:numPr>
        <w:jc w:val="both"/>
        <w:rPr>
          <w:lang w:val="en-US"/>
        </w:rPr>
      </w:pPr>
      <w:r w:rsidRPr="002E60EB">
        <w:rPr>
          <w:lang w:val="en-US"/>
        </w:rPr>
        <w:t xml:space="preserve">Based on </w:t>
      </w:r>
      <w:r w:rsidR="00856D1D" w:rsidRPr="002E60EB">
        <w:rPr>
          <w:lang w:val="en-US"/>
        </w:rPr>
        <w:t>the provisions of</w:t>
      </w:r>
      <w:r w:rsidRPr="002E60EB">
        <w:rPr>
          <w:lang w:val="en-US"/>
        </w:rPr>
        <w:t xml:space="preserve"> Article 63(1) of the American Convention,</w:t>
      </w:r>
      <w:r w:rsidRPr="002E60EB">
        <w:rPr>
          <w:rStyle w:val="Refdenotaalpie"/>
          <w:lang w:val="en-US"/>
        </w:rPr>
        <w:footnoteReference w:id="243"/>
      </w:r>
      <w:r w:rsidRPr="002E60EB">
        <w:rPr>
          <w:lang w:val="en-US"/>
        </w:rPr>
        <w:t xml:space="preserve"> the Court has indicated that a</w:t>
      </w:r>
      <w:r w:rsidR="00856D1D" w:rsidRPr="002E60EB">
        <w:rPr>
          <w:lang w:val="en-US"/>
        </w:rPr>
        <w:t>ny</w:t>
      </w:r>
      <w:r w:rsidRPr="002E60EB">
        <w:rPr>
          <w:lang w:val="en-US"/>
        </w:rPr>
        <w:t xml:space="preserve"> violation of an international obligation that ha</w:t>
      </w:r>
      <w:r w:rsidR="00856D1D" w:rsidRPr="002E60EB">
        <w:rPr>
          <w:lang w:val="en-US"/>
        </w:rPr>
        <w:t>s</w:t>
      </w:r>
      <w:r w:rsidRPr="002E60EB">
        <w:rPr>
          <w:lang w:val="en-US"/>
        </w:rPr>
        <w:t xml:space="preserve"> produced </w:t>
      </w:r>
      <w:r w:rsidR="00856D1D" w:rsidRPr="002E60EB">
        <w:rPr>
          <w:lang w:val="en-US"/>
        </w:rPr>
        <w:t xml:space="preserve">harm </w:t>
      </w:r>
      <w:r w:rsidRPr="002E60EB">
        <w:rPr>
          <w:lang w:val="en-US"/>
        </w:rPr>
        <w:t>entail</w:t>
      </w:r>
      <w:r w:rsidR="00856D1D" w:rsidRPr="002E60EB">
        <w:rPr>
          <w:lang w:val="en-US"/>
        </w:rPr>
        <w:t>s</w:t>
      </w:r>
      <w:r w:rsidRPr="002E60EB">
        <w:rPr>
          <w:lang w:val="en-US"/>
        </w:rPr>
        <w:t xml:space="preserve"> the </w:t>
      </w:r>
      <w:r w:rsidR="00856D1D" w:rsidRPr="002E60EB">
        <w:rPr>
          <w:lang w:val="en-US"/>
        </w:rPr>
        <w:t xml:space="preserve">obligation </w:t>
      </w:r>
      <w:r w:rsidRPr="002E60EB">
        <w:rPr>
          <w:lang w:val="en-US"/>
        </w:rPr>
        <w:t xml:space="preserve">to repair </w:t>
      </w:r>
      <w:r w:rsidR="00EB65C8" w:rsidRPr="002E60EB">
        <w:rPr>
          <w:lang w:val="en-US"/>
        </w:rPr>
        <w:t>t</w:t>
      </w:r>
      <w:r w:rsidR="00856D1D" w:rsidRPr="002E60EB">
        <w:rPr>
          <w:lang w:val="en-US"/>
        </w:rPr>
        <w:t>his</w:t>
      </w:r>
      <w:r w:rsidRPr="002E60EB">
        <w:rPr>
          <w:lang w:val="en-US"/>
        </w:rPr>
        <w:t xml:space="preserve"> adequately</w:t>
      </w:r>
      <w:r w:rsidR="00856D1D" w:rsidRPr="002E60EB">
        <w:rPr>
          <w:rStyle w:val="Refdenotaalpie"/>
          <w:rFonts w:cs="Verdana"/>
          <w:lang w:val="en-US" w:bidi="en-US"/>
        </w:rPr>
        <w:footnoteReference w:id="244"/>
      </w:r>
      <w:r w:rsidRPr="002E60EB">
        <w:rPr>
          <w:rFonts w:eastAsia="Times"/>
          <w:lang w:val="en-US"/>
        </w:rPr>
        <w:t xml:space="preserve"> and that this </w:t>
      </w:r>
      <w:r w:rsidR="00856D1D" w:rsidRPr="002E60EB">
        <w:rPr>
          <w:rFonts w:eastAsia="Times"/>
          <w:lang w:val="en-US"/>
        </w:rPr>
        <w:t xml:space="preserve">provision </w:t>
      </w:r>
      <w:r w:rsidRPr="002E60EB">
        <w:rPr>
          <w:rFonts w:eastAsia="Times"/>
          <w:lang w:val="en-US"/>
        </w:rPr>
        <w:t xml:space="preserve">reflects a customary </w:t>
      </w:r>
      <w:r w:rsidR="00856D1D" w:rsidRPr="002E60EB">
        <w:rPr>
          <w:rFonts w:eastAsia="Times"/>
          <w:lang w:val="en-US"/>
        </w:rPr>
        <w:t xml:space="preserve">norm </w:t>
      </w:r>
      <w:r w:rsidRPr="002E60EB">
        <w:rPr>
          <w:rFonts w:eastAsia="Times"/>
          <w:lang w:val="en-US"/>
        </w:rPr>
        <w:t xml:space="preserve">that constitutes one of the fundamental principles of contemporary </w:t>
      </w:r>
      <w:r w:rsidR="00856D1D" w:rsidRPr="002E60EB">
        <w:rPr>
          <w:rFonts w:eastAsia="Times"/>
          <w:lang w:val="en-US"/>
        </w:rPr>
        <w:t>i</w:t>
      </w:r>
      <w:r w:rsidRPr="002E60EB">
        <w:rPr>
          <w:rFonts w:eastAsia="Times"/>
          <w:lang w:val="en-US"/>
        </w:rPr>
        <w:t xml:space="preserve">nternational </w:t>
      </w:r>
      <w:r w:rsidR="00856D1D" w:rsidRPr="002E60EB">
        <w:rPr>
          <w:rFonts w:eastAsia="Times"/>
          <w:lang w:val="en-US"/>
        </w:rPr>
        <w:t>l</w:t>
      </w:r>
      <w:r w:rsidRPr="002E60EB">
        <w:rPr>
          <w:rFonts w:eastAsia="Times"/>
          <w:lang w:val="en-US"/>
        </w:rPr>
        <w:t xml:space="preserve">aw </w:t>
      </w:r>
      <w:r w:rsidR="00856D1D" w:rsidRPr="002E60EB">
        <w:rPr>
          <w:rFonts w:eastAsia="Times"/>
          <w:lang w:val="en-US"/>
        </w:rPr>
        <w:t>on</w:t>
      </w:r>
      <w:r w:rsidRPr="002E60EB">
        <w:rPr>
          <w:rFonts w:eastAsia="Times"/>
          <w:lang w:val="en-US"/>
        </w:rPr>
        <w:t xml:space="preserve"> State responsibility</w:t>
      </w:r>
      <w:r w:rsidRPr="002E60EB">
        <w:rPr>
          <w:rFonts w:cs="Verdana"/>
          <w:lang w:val="en-US" w:bidi="en-US"/>
        </w:rPr>
        <w:t>.</w:t>
      </w:r>
      <w:r w:rsidR="00856D1D" w:rsidRPr="002E60EB">
        <w:rPr>
          <w:rFonts w:cs="Verdana"/>
          <w:vertAlign w:val="superscript"/>
          <w:lang w:val="en-US" w:bidi="en-US"/>
        </w:rPr>
        <w:footnoteReference w:id="245"/>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rsidP="00317748">
      <w:pPr>
        <w:numPr>
          <w:ilvl w:val="0"/>
          <w:numId w:val="19"/>
        </w:numPr>
        <w:jc w:val="both"/>
        <w:rPr>
          <w:lang w:val="en-US"/>
        </w:rPr>
      </w:pPr>
      <w:r w:rsidRPr="002E60EB">
        <w:rPr>
          <w:bCs/>
          <w:lang w:val="en-US"/>
        </w:rPr>
        <w:t xml:space="preserve">The reparation of the </w:t>
      </w:r>
      <w:r w:rsidR="00856D1D" w:rsidRPr="002E60EB">
        <w:rPr>
          <w:bCs/>
          <w:lang w:val="en-US"/>
        </w:rPr>
        <w:t xml:space="preserve">harm </w:t>
      </w:r>
      <w:r w:rsidRPr="002E60EB">
        <w:rPr>
          <w:bCs/>
          <w:lang w:val="en-US"/>
        </w:rPr>
        <w:t xml:space="preserve">caused by the violation of an international obligation requires, whenever possible, </w:t>
      </w:r>
      <w:r w:rsidR="00856D1D" w:rsidRPr="002E60EB">
        <w:rPr>
          <w:bCs/>
          <w:lang w:val="en-US"/>
        </w:rPr>
        <w:t xml:space="preserve">full </w:t>
      </w:r>
      <w:r w:rsidRPr="002E60EB">
        <w:rPr>
          <w:bCs/>
          <w:lang w:val="en-US"/>
        </w:rPr>
        <w:t>restitution (</w:t>
      </w:r>
      <w:r w:rsidRPr="002E60EB">
        <w:rPr>
          <w:bCs/>
          <w:i/>
          <w:lang w:val="en-US"/>
        </w:rPr>
        <w:t>restitutio in integrum</w:t>
      </w:r>
      <w:r w:rsidRPr="002E60EB">
        <w:rPr>
          <w:bCs/>
          <w:lang w:val="en-US"/>
        </w:rPr>
        <w:t>), which consists in the re</w:t>
      </w:r>
      <w:r w:rsidR="00856D1D" w:rsidRPr="002E60EB">
        <w:rPr>
          <w:bCs/>
          <w:lang w:val="en-US"/>
        </w:rPr>
        <w:t>-</w:t>
      </w:r>
      <w:r w:rsidRPr="002E60EB">
        <w:rPr>
          <w:bCs/>
          <w:lang w:val="en-US"/>
        </w:rPr>
        <w:t xml:space="preserve">establishment of the previous situation. If this is not feasible, </w:t>
      </w:r>
      <w:r w:rsidR="00856D1D" w:rsidRPr="002E60EB">
        <w:rPr>
          <w:bCs/>
          <w:lang w:val="en-US"/>
        </w:rPr>
        <w:t>as</w:t>
      </w:r>
      <w:r w:rsidRPr="002E60EB">
        <w:rPr>
          <w:bCs/>
          <w:lang w:val="en-US"/>
        </w:rPr>
        <w:t xml:space="preserve"> in </w:t>
      </w:r>
      <w:r w:rsidR="00856D1D" w:rsidRPr="002E60EB">
        <w:rPr>
          <w:bCs/>
          <w:lang w:val="en-US"/>
        </w:rPr>
        <w:t>most</w:t>
      </w:r>
      <w:r w:rsidRPr="002E60EB">
        <w:rPr>
          <w:bCs/>
          <w:lang w:val="en-US"/>
        </w:rPr>
        <w:t xml:space="preserve"> cases of human rights</w:t>
      </w:r>
      <w:r w:rsidR="00856D1D" w:rsidRPr="002E60EB">
        <w:rPr>
          <w:bCs/>
          <w:lang w:val="en-US"/>
        </w:rPr>
        <w:t xml:space="preserve"> violations</w:t>
      </w:r>
      <w:r w:rsidRPr="002E60EB">
        <w:rPr>
          <w:bCs/>
          <w:lang w:val="en-US"/>
        </w:rPr>
        <w:t xml:space="preserve">, the </w:t>
      </w:r>
      <w:r w:rsidR="00D00C5F" w:rsidRPr="002E60EB">
        <w:rPr>
          <w:bCs/>
          <w:lang w:val="en-US"/>
        </w:rPr>
        <w:t>Court</w:t>
      </w:r>
      <w:r w:rsidRPr="002E60EB">
        <w:rPr>
          <w:bCs/>
          <w:lang w:val="en-US"/>
        </w:rPr>
        <w:t xml:space="preserve"> will determine measures to guarantee the violated rights and </w:t>
      </w:r>
      <w:r w:rsidR="00856D1D" w:rsidRPr="002E60EB">
        <w:rPr>
          <w:bCs/>
          <w:lang w:val="en-US"/>
        </w:rPr>
        <w:t xml:space="preserve">to redress </w:t>
      </w:r>
      <w:r w:rsidRPr="002E60EB">
        <w:rPr>
          <w:bCs/>
          <w:lang w:val="en-US"/>
        </w:rPr>
        <w:t>the consequences</w:t>
      </w:r>
      <w:r w:rsidR="00856D1D" w:rsidRPr="002E60EB">
        <w:rPr>
          <w:bCs/>
          <w:lang w:val="en-US"/>
        </w:rPr>
        <w:t xml:space="preserve"> of</w:t>
      </w:r>
      <w:r w:rsidRPr="002E60EB">
        <w:rPr>
          <w:bCs/>
          <w:lang w:val="en-US"/>
        </w:rPr>
        <w:t xml:space="preserve"> the </w:t>
      </w:r>
      <w:r w:rsidR="00856D1D" w:rsidRPr="002E60EB">
        <w:rPr>
          <w:bCs/>
          <w:lang w:val="en-US"/>
        </w:rPr>
        <w:t>violations</w:t>
      </w:r>
      <w:r w:rsidRPr="002E60EB">
        <w:rPr>
          <w:bCs/>
          <w:lang w:val="en-US"/>
        </w:rPr>
        <w:t>.</w:t>
      </w:r>
      <w:r w:rsidR="00856D1D" w:rsidRPr="002E60EB">
        <w:rPr>
          <w:vertAlign w:val="superscript"/>
          <w:lang w:val="en-US"/>
        </w:rPr>
        <w:footnoteReference w:id="246"/>
      </w:r>
      <w:r w:rsidRPr="002E60EB">
        <w:rPr>
          <w:bCs/>
          <w:lang w:val="en-US"/>
        </w:rPr>
        <w:t xml:space="preserve"> Therefore, the Court has considered the need to grant different </w:t>
      </w:r>
      <w:r w:rsidR="00856D1D" w:rsidRPr="002E60EB">
        <w:rPr>
          <w:bCs/>
          <w:lang w:val="en-US"/>
        </w:rPr>
        <w:t xml:space="preserve">measures of </w:t>
      </w:r>
      <w:r w:rsidRPr="002E60EB">
        <w:rPr>
          <w:bCs/>
          <w:lang w:val="en-US"/>
        </w:rPr>
        <w:t xml:space="preserve">reparation, in order to </w:t>
      </w:r>
      <w:r w:rsidR="00856D1D" w:rsidRPr="002E60EB">
        <w:rPr>
          <w:bCs/>
          <w:lang w:val="en-US"/>
        </w:rPr>
        <w:t xml:space="preserve">repair </w:t>
      </w:r>
      <w:r w:rsidRPr="002E60EB">
        <w:rPr>
          <w:bCs/>
          <w:lang w:val="en-US"/>
        </w:rPr>
        <w:t xml:space="preserve">the </w:t>
      </w:r>
      <w:r w:rsidR="00856D1D" w:rsidRPr="002E60EB">
        <w:rPr>
          <w:bCs/>
          <w:lang w:val="en-US"/>
        </w:rPr>
        <w:t>harm</w:t>
      </w:r>
      <w:r w:rsidRPr="002E60EB">
        <w:rPr>
          <w:bCs/>
          <w:lang w:val="en-US"/>
        </w:rPr>
        <w:t xml:space="preserve"> comprehensive</w:t>
      </w:r>
      <w:r w:rsidR="00856D1D" w:rsidRPr="002E60EB">
        <w:rPr>
          <w:bCs/>
          <w:lang w:val="en-US"/>
        </w:rPr>
        <w:t>ly</w:t>
      </w:r>
      <w:r w:rsidRPr="002E60EB">
        <w:rPr>
          <w:bCs/>
          <w:lang w:val="en-US"/>
        </w:rPr>
        <w:t>,</w:t>
      </w:r>
      <w:r w:rsidR="00856D1D" w:rsidRPr="002E60EB">
        <w:rPr>
          <w:bCs/>
          <w:lang w:val="en-US"/>
        </w:rPr>
        <w:t xml:space="preserve"> so that, in addition to</w:t>
      </w:r>
      <w:r w:rsidRPr="002E60EB">
        <w:rPr>
          <w:bCs/>
          <w:lang w:val="en-US"/>
        </w:rPr>
        <w:t xml:space="preserve"> pecuniary compensation, measures of restitution and satisfaction</w:t>
      </w:r>
      <w:r w:rsidR="00856D1D" w:rsidRPr="002E60EB">
        <w:rPr>
          <w:bCs/>
          <w:lang w:val="en-US"/>
        </w:rPr>
        <w:t>,</w:t>
      </w:r>
      <w:r w:rsidRPr="002E60EB">
        <w:rPr>
          <w:bCs/>
          <w:lang w:val="en-US"/>
        </w:rPr>
        <w:t xml:space="preserve"> </w:t>
      </w:r>
      <w:r w:rsidR="00856D1D" w:rsidRPr="002E60EB">
        <w:rPr>
          <w:bCs/>
          <w:lang w:val="en-US"/>
        </w:rPr>
        <w:t>and</w:t>
      </w:r>
      <w:r w:rsidRPr="002E60EB">
        <w:rPr>
          <w:bCs/>
          <w:lang w:val="en-US"/>
        </w:rPr>
        <w:t xml:space="preserve"> guarantees of non-repetition </w:t>
      </w:r>
      <w:r w:rsidR="00856D1D" w:rsidRPr="002E60EB">
        <w:rPr>
          <w:bCs/>
          <w:lang w:val="en-US"/>
        </w:rPr>
        <w:t>have</w:t>
      </w:r>
      <w:r w:rsidRPr="002E60EB">
        <w:rPr>
          <w:bCs/>
          <w:lang w:val="en-US"/>
        </w:rPr>
        <w:t xml:space="preserve"> special relevan</w:t>
      </w:r>
      <w:r w:rsidR="00856D1D" w:rsidRPr="002E60EB">
        <w:rPr>
          <w:bCs/>
          <w:lang w:val="en-US"/>
        </w:rPr>
        <w:t>ce to</w:t>
      </w:r>
      <w:r w:rsidRPr="002E60EB">
        <w:rPr>
          <w:bCs/>
          <w:lang w:val="en-US"/>
        </w:rPr>
        <w:t xml:space="preserve"> the </w:t>
      </w:r>
      <w:r w:rsidR="00856D1D" w:rsidRPr="002E60EB">
        <w:rPr>
          <w:bCs/>
          <w:lang w:val="en-US"/>
        </w:rPr>
        <w:t xml:space="preserve">harm </w:t>
      </w:r>
      <w:r w:rsidRPr="002E60EB">
        <w:rPr>
          <w:bCs/>
          <w:lang w:val="en-US"/>
        </w:rPr>
        <w:t>caused.</w:t>
      </w:r>
      <w:r w:rsidR="00856D1D" w:rsidRPr="002E60EB">
        <w:rPr>
          <w:vertAlign w:val="superscript"/>
          <w:lang w:val="en-US"/>
        </w:rPr>
        <w:footnoteReference w:id="247"/>
      </w:r>
      <w:r w:rsidRPr="002E60EB">
        <w:rPr>
          <w:lang w:val="en-US"/>
        </w:rPr>
        <w:t xml:space="preserve"> </w:t>
      </w:r>
    </w:p>
    <w:p w:rsidR="003549F6" w:rsidRPr="002E60EB" w:rsidRDefault="003549F6" w:rsidP="00260DED">
      <w:pPr>
        <w:pStyle w:val="Prrafodelista"/>
        <w:ind w:left="0"/>
        <w:rPr>
          <w:sz w:val="20"/>
          <w:szCs w:val="20"/>
          <w:lang w:val="en-US"/>
        </w:rPr>
      </w:pPr>
    </w:p>
    <w:p w:rsidR="0004795A" w:rsidRPr="002E60EB" w:rsidRDefault="0004795A" w:rsidP="00317748">
      <w:pPr>
        <w:numPr>
          <w:ilvl w:val="0"/>
          <w:numId w:val="19"/>
        </w:numPr>
        <w:jc w:val="both"/>
        <w:rPr>
          <w:lang w:val="en-US"/>
        </w:rPr>
      </w:pPr>
      <w:r w:rsidRPr="002E60EB">
        <w:rPr>
          <w:lang w:val="en-US"/>
        </w:rPr>
        <w:t xml:space="preserve">This </w:t>
      </w:r>
      <w:r w:rsidR="00D00C5F" w:rsidRPr="002E60EB">
        <w:rPr>
          <w:lang w:val="en-US"/>
        </w:rPr>
        <w:t>Court</w:t>
      </w:r>
      <w:r w:rsidRPr="002E60EB">
        <w:rPr>
          <w:lang w:val="en-US"/>
        </w:rPr>
        <w:t xml:space="preserve"> has established that the reparations must have a causal nexus with the facts of the case, the violations</w:t>
      </w:r>
      <w:r w:rsidR="00741E21" w:rsidRPr="002E60EB">
        <w:rPr>
          <w:lang w:val="en-US"/>
        </w:rPr>
        <w:t xml:space="preserve"> declared</w:t>
      </w:r>
      <w:r w:rsidRPr="002E60EB">
        <w:rPr>
          <w:lang w:val="en-US"/>
        </w:rPr>
        <w:t xml:space="preserve">, the </w:t>
      </w:r>
      <w:r w:rsidR="00741E21" w:rsidRPr="002E60EB">
        <w:rPr>
          <w:lang w:val="en-US"/>
        </w:rPr>
        <w:t xml:space="preserve">harm proved, </w:t>
      </w:r>
      <w:r w:rsidRPr="002E60EB">
        <w:rPr>
          <w:lang w:val="en-US"/>
        </w:rPr>
        <w:t xml:space="preserve">and the measures requested to repair the </w:t>
      </w:r>
      <w:r w:rsidR="00741E21" w:rsidRPr="002E60EB">
        <w:rPr>
          <w:lang w:val="en-US"/>
        </w:rPr>
        <w:t>respective harm</w:t>
      </w:r>
      <w:r w:rsidRPr="002E60EB">
        <w:rPr>
          <w:lang w:val="en-US"/>
        </w:rPr>
        <w:t xml:space="preserve">. Therefore, the Court must observe </w:t>
      </w:r>
      <w:r w:rsidR="00741E21" w:rsidRPr="002E60EB">
        <w:rPr>
          <w:lang w:val="en-US"/>
        </w:rPr>
        <w:t xml:space="preserve">the </w:t>
      </w:r>
      <w:r w:rsidRPr="002E60EB">
        <w:rPr>
          <w:lang w:val="en-US"/>
        </w:rPr>
        <w:t xml:space="preserve">said concurrence </w:t>
      </w:r>
      <w:r w:rsidR="00741E21" w:rsidRPr="002E60EB">
        <w:rPr>
          <w:lang w:val="en-US"/>
        </w:rPr>
        <w:t xml:space="preserve">in order to rule appropriately and </w:t>
      </w:r>
      <w:r w:rsidRPr="002E60EB">
        <w:rPr>
          <w:lang w:val="en-US"/>
        </w:rPr>
        <w:t>according to</w:t>
      </w:r>
      <w:r w:rsidR="00741E21" w:rsidRPr="002E60EB">
        <w:rPr>
          <w:lang w:val="en-US"/>
        </w:rPr>
        <w:t xml:space="preserve"> the</w:t>
      </w:r>
      <w:r w:rsidRPr="002E60EB">
        <w:rPr>
          <w:lang w:val="en-US"/>
        </w:rPr>
        <w:t xml:space="preserve"> law.</w:t>
      </w:r>
      <w:r w:rsidR="00741E21" w:rsidRPr="002E60EB">
        <w:rPr>
          <w:rStyle w:val="Refdenotaalpie"/>
          <w:lang w:val="en-US"/>
        </w:rPr>
        <w:footnoteReference w:id="248"/>
      </w:r>
    </w:p>
    <w:p w:rsidR="0004795A" w:rsidRPr="002E60EB" w:rsidRDefault="0004795A" w:rsidP="00260DED">
      <w:pPr>
        <w:pStyle w:val="Prrafodelista"/>
        <w:ind w:left="0"/>
        <w:rPr>
          <w:sz w:val="20"/>
          <w:szCs w:val="20"/>
          <w:lang w:val="en-US"/>
        </w:rPr>
      </w:pPr>
    </w:p>
    <w:p w:rsidR="0004795A" w:rsidRPr="002E60EB" w:rsidRDefault="0004795A" w:rsidP="00317748">
      <w:pPr>
        <w:numPr>
          <w:ilvl w:val="0"/>
          <w:numId w:val="19"/>
        </w:numPr>
        <w:jc w:val="both"/>
        <w:rPr>
          <w:lang w:val="en-US"/>
        </w:rPr>
      </w:pPr>
      <w:r w:rsidRPr="002E60EB">
        <w:rPr>
          <w:rFonts w:cs="Times"/>
          <w:lang w:val="en-US"/>
        </w:rPr>
        <w:t xml:space="preserve">Before </w:t>
      </w:r>
      <w:r w:rsidR="00741E21" w:rsidRPr="002E60EB">
        <w:rPr>
          <w:rFonts w:cs="Times"/>
          <w:lang w:val="en-US"/>
        </w:rPr>
        <w:t xml:space="preserve">beginning to </w:t>
      </w:r>
      <w:r w:rsidRPr="002E60EB">
        <w:rPr>
          <w:rFonts w:cs="Times"/>
          <w:lang w:val="en-US"/>
        </w:rPr>
        <w:t>determin</w:t>
      </w:r>
      <w:r w:rsidR="00741E21" w:rsidRPr="002E60EB">
        <w:rPr>
          <w:rFonts w:cs="Times"/>
          <w:lang w:val="en-US"/>
        </w:rPr>
        <w:t>e</w:t>
      </w:r>
      <w:r w:rsidRPr="002E60EB">
        <w:rPr>
          <w:rFonts w:cs="Times"/>
          <w:lang w:val="en-US"/>
        </w:rPr>
        <w:t xml:space="preserve"> the </w:t>
      </w:r>
      <w:r w:rsidR="00741E21" w:rsidRPr="002E60EB">
        <w:rPr>
          <w:rFonts w:cs="Times"/>
          <w:lang w:val="en-US"/>
        </w:rPr>
        <w:t xml:space="preserve">measures of </w:t>
      </w:r>
      <w:r w:rsidRPr="002E60EB">
        <w:rPr>
          <w:rFonts w:cs="Times"/>
          <w:lang w:val="en-US"/>
        </w:rPr>
        <w:t>reparation</w:t>
      </w:r>
      <w:r w:rsidR="00741E21" w:rsidRPr="002E60EB">
        <w:rPr>
          <w:rFonts w:cs="Times"/>
          <w:lang w:val="en-US"/>
        </w:rPr>
        <w:t xml:space="preserve">, </w:t>
      </w:r>
      <w:r w:rsidRPr="002E60EB">
        <w:rPr>
          <w:rFonts w:cs="Times"/>
          <w:lang w:val="en-US"/>
        </w:rPr>
        <w:t xml:space="preserve">the Court reiterates the value and importance of the partial acknowledgement of responsibility made by Colombia, and </w:t>
      </w:r>
      <w:r w:rsidR="00741E21" w:rsidRPr="002E60EB">
        <w:rPr>
          <w:rFonts w:cs="Times"/>
          <w:lang w:val="en-US"/>
        </w:rPr>
        <w:t>also</w:t>
      </w:r>
      <w:r w:rsidRPr="002E60EB">
        <w:rPr>
          <w:rFonts w:cs="Times"/>
          <w:lang w:val="en-US"/>
        </w:rPr>
        <w:t xml:space="preserve"> recalls that</w:t>
      </w:r>
      <w:r w:rsidR="00741E21" w:rsidRPr="002E60EB">
        <w:rPr>
          <w:rFonts w:cs="Times"/>
          <w:lang w:val="en-US"/>
        </w:rPr>
        <w:t>,</w:t>
      </w:r>
      <w:r w:rsidRPr="002E60EB">
        <w:rPr>
          <w:rFonts w:cs="Times"/>
          <w:lang w:val="en-US"/>
        </w:rPr>
        <w:t xml:space="preserve"> when ruling on </w:t>
      </w:r>
      <w:r w:rsidR="00741E21" w:rsidRPr="002E60EB">
        <w:rPr>
          <w:rFonts w:cs="Times"/>
          <w:lang w:val="en-US"/>
        </w:rPr>
        <w:t xml:space="preserve">the </w:t>
      </w:r>
      <w:r w:rsidRPr="002E60EB">
        <w:rPr>
          <w:rFonts w:cs="Times"/>
          <w:lang w:val="en-US"/>
        </w:rPr>
        <w:t>reparations</w:t>
      </w:r>
      <w:r w:rsidR="00741E21" w:rsidRPr="002E60EB">
        <w:rPr>
          <w:rFonts w:cs="Times"/>
          <w:lang w:val="en-US"/>
        </w:rPr>
        <w:t>,</w:t>
      </w:r>
      <w:r w:rsidRPr="002E60EB">
        <w:rPr>
          <w:rFonts w:cs="Times"/>
          <w:lang w:val="en-US"/>
        </w:rPr>
        <w:t xml:space="preserve"> it will take into consideration the arguments presented by Colombia when </w:t>
      </w:r>
      <w:r w:rsidR="00334C3C" w:rsidRPr="002E60EB">
        <w:rPr>
          <w:rFonts w:cs="Times"/>
          <w:lang w:val="en-US"/>
        </w:rPr>
        <w:t>alleging</w:t>
      </w:r>
      <w:r w:rsidRPr="002E60EB">
        <w:rPr>
          <w:rFonts w:cs="Times"/>
          <w:lang w:val="en-US"/>
        </w:rPr>
        <w:t xml:space="preserve"> </w:t>
      </w:r>
      <w:r w:rsidR="00087093" w:rsidRPr="002E60EB">
        <w:rPr>
          <w:rFonts w:cs="Times"/>
          <w:lang w:val="en-US"/>
        </w:rPr>
        <w:t>“</w:t>
      </w:r>
      <w:r w:rsidRPr="002E60EB">
        <w:rPr>
          <w:rFonts w:cs="Times"/>
          <w:lang w:val="en-US"/>
        </w:rPr>
        <w:t xml:space="preserve">non-compliance by the Commission </w:t>
      </w:r>
      <w:r w:rsidR="00741E21" w:rsidRPr="002E60EB">
        <w:rPr>
          <w:rFonts w:cs="Times"/>
          <w:lang w:val="en-US"/>
        </w:rPr>
        <w:t>with</w:t>
      </w:r>
      <w:r w:rsidRPr="002E60EB">
        <w:rPr>
          <w:rFonts w:cs="Times"/>
          <w:lang w:val="en-US"/>
        </w:rPr>
        <w:t xml:space="preserve"> the </w:t>
      </w:r>
      <w:r w:rsidR="00741E21" w:rsidRPr="002E60EB">
        <w:rPr>
          <w:rFonts w:cs="Times"/>
          <w:lang w:val="en-US"/>
        </w:rPr>
        <w:t xml:space="preserve">basic </w:t>
      </w:r>
      <w:r w:rsidRPr="002E60EB">
        <w:rPr>
          <w:rFonts w:cs="Times"/>
          <w:lang w:val="en-US"/>
        </w:rPr>
        <w:t xml:space="preserve">requirements </w:t>
      </w:r>
      <w:r w:rsidR="00741E21" w:rsidRPr="002E60EB">
        <w:rPr>
          <w:rFonts w:cs="Times"/>
          <w:lang w:val="en-US"/>
        </w:rPr>
        <w:t>for</w:t>
      </w:r>
      <w:r w:rsidRPr="002E60EB">
        <w:rPr>
          <w:rFonts w:cs="Times"/>
          <w:lang w:val="en-US"/>
        </w:rPr>
        <w:t xml:space="preserve"> fil</w:t>
      </w:r>
      <w:r w:rsidR="00741E21" w:rsidRPr="002E60EB">
        <w:rPr>
          <w:rFonts w:cs="Times"/>
          <w:lang w:val="en-US"/>
        </w:rPr>
        <w:t>ing</w:t>
      </w:r>
      <w:r w:rsidRPr="002E60EB">
        <w:rPr>
          <w:rFonts w:cs="Times"/>
          <w:lang w:val="en-US"/>
        </w:rPr>
        <w:t xml:space="preserve"> a case before the Court</w:t>
      </w:r>
      <w:r w:rsidR="00741E21" w:rsidRPr="002E60EB">
        <w:rPr>
          <w:rFonts w:cs="Times"/>
          <w:lang w:val="en-US"/>
        </w:rPr>
        <w:t>,</w:t>
      </w:r>
      <w:r w:rsidR="00087093" w:rsidRPr="002E60EB">
        <w:rPr>
          <w:rFonts w:cs="Times"/>
          <w:lang w:val="en-US"/>
        </w:rPr>
        <w:t>”</w:t>
      </w:r>
      <w:r w:rsidRPr="002E60EB">
        <w:rPr>
          <w:rFonts w:cs="Times"/>
          <w:lang w:val="en-US"/>
        </w:rPr>
        <w:t xml:space="preserve"> in relation to compliance with recommendations 4, 5, and 6 </w:t>
      </w:r>
      <w:r w:rsidR="00741E21" w:rsidRPr="002E60EB">
        <w:rPr>
          <w:rFonts w:cs="Times"/>
          <w:lang w:val="en-US"/>
        </w:rPr>
        <w:t>of</w:t>
      </w:r>
      <w:r w:rsidRPr="002E60EB">
        <w:rPr>
          <w:rFonts w:cs="Times"/>
          <w:lang w:val="en-US"/>
        </w:rPr>
        <w:t xml:space="preserve"> the </w:t>
      </w:r>
      <w:r w:rsidR="00741E21" w:rsidRPr="002E60EB">
        <w:rPr>
          <w:rFonts w:cs="Times"/>
          <w:lang w:val="en-US"/>
        </w:rPr>
        <w:t xml:space="preserve">Merits </w:t>
      </w:r>
      <w:r w:rsidRPr="002E60EB">
        <w:rPr>
          <w:rFonts w:cs="Times"/>
          <w:lang w:val="en-US"/>
        </w:rPr>
        <w:t>Report</w:t>
      </w:r>
      <w:r w:rsidR="00087093" w:rsidRPr="002E60EB">
        <w:rPr>
          <w:rFonts w:cs="Times"/>
          <w:lang w:val="en-US"/>
        </w:rPr>
        <w:t>”</w:t>
      </w:r>
      <w:r w:rsidRPr="002E60EB">
        <w:rPr>
          <w:rFonts w:cs="Times"/>
          <w:lang w:val="en-US"/>
        </w:rPr>
        <w:t xml:space="preserve"> </w:t>
      </w:r>
      <w:r w:rsidRPr="002E60EB">
        <w:rPr>
          <w:lang w:val="en-US"/>
        </w:rPr>
        <w:t>(</w:t>
      </w:r>
      <w:r w:rsidRPr="002E60EB">
        <w:rPr>
          <w:i/>
          <w:lang w:val="en-US"/>
        </w:rPr>
        <w:t>supra</w:t>
      </w:r>
      <w:r w:rsidRPr="002E60EB">
        <w:rPr>
          <w:lang w:val="en-US"/>
        </w:rPr>
        <w:t xml:space="preserve"> paras. </w:t>
      </w:r>
      <w:r w:rsidR="00741E21" w:rsidRPr="002E60EB">
        <w:rPr>
          <w:lang w:val="en-US"/>
        </w:rPr>
        <w:t>36 and 42</w:t>
      </w:r>
      <w:r w:rsidRPr="002E60EB">
        <w:rPr>
          <w:lang w:val="en-US"/>
        </w:rPr>
        <w:t xml:space="preserve">). The Court also </w:t>
      </w:r>
      <w:r w:rsidR="00741E21" w:rsidRPr="002E60EB">
        <w:rPr>
          <w:lang w:val="en-US"/>
        </w:rPr>
        <w:t>emphasizes</w:t>
      </w:r>
      <w:r w:rsidR="00B53552" w:rsidRPr="002E60EB">
        <w:rPr>
          <w:lang w:val="en-US"/>
        </w:rPr>
        <w:t xml:space="preserve"> </w:t>
      </w:r>
      <w:r w:rsidRPr="002E60EB">
        <w:rPr>
          <w:lang w:val="en-US"/>
        </w:rPr>
        <w:t>the State</w:t>
      </w:r>
      <w:r w:rsidR="00741E21" w:rsidRPr="002E60EB">
        <w:rPr>
          <w:lang w:val="en-US"/>
        </w:rPr>
        <w:t>’s declaration</w:t>
      </w:r>
      <w:r w:rsidRPr="002E60EB">
        <w:rPr>
          <w:lang w:val="en-US"/>
        </w:rPr>
        <w:t xml:space="preserve"> that it </w:t>
      </w:r>
      <w:r w:rsidR="00087093" w:rsidRPr="002E60EB">
        <w:rPr>
          <w:lang w:val="en-US"/>
        </w:rPr>
        <w:t>“</w:t>
      </w:r>
      <w:r w:rsidRPr="002E60EB">
        <w:rPr>
          <w:lang w:val="en-US"/>
        </w:rPr>
        <w:t xml:space="preserve">deeply regrets what </w:t>
      </w:r>
      <w:r w:rsidR="00741E21" w:rsidRPr="002E60EB">
        <w:rPr>
          <w:lang w:val="en-US"/>
        </w:rPr>
        <w:t xml:space="preserve">happened </w:t>
      </w:r>
      <w:r w:rsidRPr="002E60EB">
        <w:rPr>
          <w:lang w:val="en-US"/>
        </w:rPr>
        <w:t xml:space="preserve">and </w:t>
      </w:r>
      <w:r w:rsidR="00741E21" w:rsidRPr="002E60EB">
        <w:rPr>
          <w:lang w:val="en-US"/>
        </w:rPr>
        <w:t xml:space="preserve">that </w:t>
      </w:r>
      <w:r w:rsidRPr="002E60EB">
        <w:rPr>
          <w:lang w:val="en-US"/>
        </w:rPr>
        <w:t xml:space="preserve">its </w:t>
      </w:r>
      <w:r w:rsidR="00B53552" w:rsidRPr="002E60EB">
        <w:rPr>
          <w:lang w:val="en-US"/>
        </w:rPr>
        <w:t>intention i</w:t>
      </w:r>
      <w:r w:rsidR="00741E21" w:rsidRPr="002E60EB">
        <w:rPr>
          <w:lang w:val="en-US"/>
        </w:rPr>
        <w:t>s […] to achieve integral</w:t>
      </w:r>
      <w:r w:rsidRPr="002E60EB">
        <w:rPr>
          <w:lang w:val="en-US"/>
        </w:rPr>
        <w:t xml:space="preserve"> reparation for the victims of this case,</w:t>
      </w:r>
      <w:r w:rsidR="00741E21" w:rsidRPr="002E60EB">
        <w:rPr>
          <w:lang w:val="en-US"/>
        </w:rPr>
        <w:t xml:space="preserve"> respecting</w:t>
      </w:r>
      <w:r w:rsidRPr="002E60EB">
        <w:rPr>
          <w:lang w:val="en-US"/>
        </w:rPr>
        <w:t xml:space="preserve"> the criteria of reasonab</w:t>
      </w:r>
      <w:r w:rsidR="00741E21" w:rsidRPr="002E60EB">
        <w:rPr>
          <w:lang w:val="en-US"/>
        </w:rPr>
        <w:t>leness</w:t>
      </w:r>
      <w:r w:rsidRPr="002E60EB">
        <w:rPr>
          <w:lang w:val="en-US"/>
        </w:rPr>
        <w:t xml:space="preserve"> and proportionality, and </w:t>
      </w:r>
      <w:r w:rsidR="00741E21" w:rsidRPr="002E60EB">
        <w:rPr>
          <w:lang w:val="en-US"/>
        </w:rPr>
        <w:t>that</w:t>
      </w:r>
      <w:r w:rsidRPr="002E60EB">
        <w:rPr>
          <w:lang w:val="en-US"/>
        </w:rPr>
        <w:t xml:space="preserve"> similar acts </w:t>
      </w:r>
      <w:r w:rsidR="00741E21" w:rsidRPr="002E60EB">
        <w:rPr>
          <w:lang w:val="en-US"/>
        </w:rPr>
        <w:t>should not be repeated</w:t>
      </w:r>
      <w:r w:rsidRPr="002E60EB">
        <w:rPr>
          <w:lang w:val="en-US"/>
        </w:rPr>
        <w:t>.</w:t>
      </w:r>
      <w:r w:rsidR="00087093" w:rsidRPr="002E60EB">
        <w:rPr>
          <w:lang w:val="en-US"/>
        </w:rPr>
        <w:t>”</w:t>
      </w:r>
      <w:r w:rsidRPr="002E60EB">
        <w:rPr>
          <w:b/>
          <w:lang w:val="en-US" w:eastAsia="es-ES"/>
        </w:rPr>
        <w:t xml:space="preserve"> </w:t>
      </w:r>
    </w:p>
    <w:p w:rsidR="0004795A" w:rsidRPr="002E60EB" w:rsidRDefault="0004795A" w:rsidP="00260DED">
      <w:pPr>
        <w:pStyle w:val="Prrafodelista2"/>
        <w:tabs>
          <w:tab w:val="left" w:pos="720"/>
        </w:tabs>
        <w:ind w:left="0"/>
        <w:contextualSpacing/>
        <w:jc w:val="both"/>
        <w:rPr>
          <w:lang w:val="en-US"/>
        </w:rPr>
      </w:pPr>
    </w:p>
    <w:p w:rsidR="0004795A" w:rsidRPr="002E60EB" w:rsidRDefault="00741E21" w:rsidP="00317748">
      <w:pPr>
        <w:numPr>
          <w:ilvl w:val="0"/>
          <w:numId w:val="19"/>
        </w:numPr>
        <w:tabs>
          <w:tab w:val="clear" w:pos="680"/>
        </w:tabs>
        <w:jc w:val="both"/>
        <w:rPr>
          <w:rFonts w:cs="Times"/>
          <w:lang w:val="en-US"/>
        </w:rPr>
      </w:pPr>
      <w:r w:rsidRPr="002E60EB">
        <w:rPr>
          <w:lang w:val="en-US"/>
        </w:rPr>
        <w:t>Based on</w:t>
      </w:r>
      <w:r w:rsidR="0004795A" w:rsidRPr="002E60EB">
        <w:rPr>
          <w:lang w:val="en-US"/>
        </w:rPr>
        <w:t xml:space="preserve"> the State’s partial acknowledgment of responsibility and the </w:t>
      </w:r>
      <w:r w:rsidRPr="002E60EB">
        <w:rPr>
          <w:lang w:val="en-US"/>
        </w:rPr>
        <w:t>findings concerning this</w:t>
      </w:r>
      <w:r w:rsidR="0004795A" w:rsidRPr="002E60EB">
        <w:rPr>
          <w:lang w:val="en-US"/>
        </w:rPr>
        <w:t xml:space="preserve"> acknowledgment, as well as those o</w:t>
      </w:r>
      <w:r w:rsidRPr="002E60EB">
        <w:rPr>
          <w:lang w:val="en-US"/>
        </w:rPr>
        <w:t>n</w:t>
      </w:r>
      <w:r w:rsidR="0004795A" w:rsidRPr="002E60EB">
        <w:rPr>
          <w:lang w:val="en-US"/>
        </w:rPr>
        <w:t xml:space="preserve"> the merits and </w:t>
      </w:r>
      <w:r w:rsidRPr="002E60EB">
        <w:rPr>
          <w:lang w:val="en-US"/>
        </w:rPr>
        <w:t xml:space="preserve">the </w:t>
      </w:r>
      <w:r w:rsidR="0004795A" w:rsidRPr="002E60EB">
        <w:rPr>
          <w:lang w:val="en-US"/>
        </w:rPr>
        <w:t xml:space="preserve">violations </w:t>
      </w:r>
      <w:r w:rsidRPr="002E60EB">
        <w:rPr>
          <w:lang w:val="en-US"/>
        </w:rPr>
        <w:t>of</w:t>
      </w:r>
      <w:r w:rsidR="0004795A" w:rsidRPr="002E60EB">
        <w:rPr>
          <w:lang w:val="en-US"/>
        </w:rPr>
        <w:t xml:space="preserve"> the American Convention declared in the </w:t>
      </w:r>
      <w:r w:rsidRPr="002E60EB">
        <w:rPr>
          <w:lang w:val="en-US"/>
        </w:rPr>
        <w:t xml:space="preserve">preceding </w:t>
      </w:r>
      <w:r w:rsidR="0004795A" w:rsidRPr="002E60EB">
        <w:rPr>
          <w:lang w:val="en-US"/>
        </w:rPr>
        <w:t xml:space="preserve">chapters, the </w:t>
      </w:r>
      <w:r w:rsidR="00D00C5F" w:rsidRPr="002E60EB">
        <w:rPr>
          <w:lang w:val="en-US"/>
        </w:rPr>
        <w:t>Court</w:t>
      </w:r>
      <w:r w:rsidR="0004795A" w:rsidRPr="002E60EB">
        <w:rPr>
          <w:lang w:val="en-US"/>
        </w:rPr>
        <w:t xml:space="preserve"> will proceed to analyze the claims </w:t>
      </w:r>
      <w:r w:rsidR="00424ED8" w:rsidRPr="002E60EB">
        <w:rPr>
          <w:lang w:val="en-US"/>
        </w:rPr>
        <w:t>submitted by</w:t>
      </w:r>
      <w:r w:rsidR="0004795A" w:rsidRPr="002E60EB">
        <w:rPr>
          <w:lang w:val="en-US"/>
        </w:rPr>
        <w:t xml:space="preserve"> the Commission and the representative, as well as the State’s arguments, in light of the criteria </w:t>
      </w:r>
      <w:r w:rsidR="00627B28" w:rsidRPr="002E60EB">
        <w:rPr>
          <w:lang w:val="en-US"/>
        </w:rPr>
        <w:t>established</w:t>
      </w:r>
      <w:r w:rsidR="0004795A" w:rsidRPr="002E60EB">
        <w:rPr>
          <w:lang w:val="en-US"/>
        </w:rPr>
        <w:t xml:space="preserve"> in the Court’s </w:t>
      </w:r>
      <w:r w:rsidR="00627B28" w:rsidRPr="002E60EB">
        <w:rPr>
          <w:lang w:val="en-US"/>
        </w:rPr>
        <w:t>case law on</w:t>
      </w:r>
      <w:r w:rsidR="0004795A" w:rsidRPr="002E60EB">
        <w:rPr>
          <w:lang w:val="en-US"/>
        </w:rPr>
        <w:t xml:space="preserve"> the nature and scope of the obligation to repair,</w:t>
      </w:r>
      <w:r w:rsidR="00627B28" w:rsidRPr="002E60EB">
        <w:rPr>
          <w:vertAlign w:val="superscript"/>
          <w:lang w:val="en-US"/>
        </w:rPr>
        <w:footnoteReference w:id="249"/>
      </w:r>
      <w:r w:rsidR="0004795A" w:rsidRPr="002E60EB">
        <w:rPr>
          <w:lang w:val="en-US"/>
        </w:rPr>
        <w:t xml:space="preserve"> </w:t>
      </w:r>
      <w:r w:rsidR="00627B28" w:rsidRPr="002E60EB">
        <w:rPr>
          <w:lang w:val="en-US"/>
        </w:rPr>
        <w:t>in order to</w:t>
      </w:r>
      <w:r w:rsidR="0004795A" w:rsidRPr="002E60EB">
        <w:rPr>
          <w:lang w:val="en-US"/>
        </w:rPr>
        <w:t xml:space="preserve"> </w:t>
      </w:r>
      <w:r w:rsidR="00627B28" w:rsidRPr="002E60EB">
        <w:rPr>
          <w:lang w:val="en-US"/>
        </w:rPr>
        <w:t xml:space="preserve">determine </w:t>
      </w:r>
      <w:r w:rsidR="0004795A" w:rsidRPr="002E60EB">
        <w:rPr>
          <w:lang w:val="en-US"/>
        </w:rPr>
        <w:t xml:space="preserve">measures </w:t>
      </w:r>
      <w:r w:rsidR="00627B28" w:rsidRPr="002E60EB">
        <w:rPr>
          <w:lang w:val="en-US"/>
        </w:rPr>
        <w:t>aimed at</w:t>
      </w:r>
      <w:r w:rsidR="0004795A" w:rsidRPr="002E60EB">
        <w:rPr>
          <w:lang w:val="en-US"/>
        </w:rPr>
        <w:t xml:space="preserve"> repairing the </w:t>
      </w:r>
      <w:r w:rsidR="00627B28" w:rsidRPr="002E60EB">
        <w:rPr>
          <w:lang w:val="en-US"/>
        </w:rPr>
        <w:t xml:space="preserve">harm </w:t>
      </w:r>
      <w:r w:rsidR="0004795A" w:rsidRPr="002E60EB">
        <w:rPr>
          <w:lang w:val="en-US"/>
        </w:rPr>
        <w:t xml:space="preserve">caused to the victims. </w:t>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pPr>
        <w:tabs>
          <w:tab w:val="left" w:pos="720"/>
        </w:tabs>
        <w:jc w:val="both"/>
        <w:rPr>
          <w:b/>
          <w:i/>
          <w:lang w:val="en-US"/>
        </w:rPr>
      </w:pPr>
      <w:r w:rsidRPr="002E60EB">
        <w:rPr>
          <w:b/>
          <w:lang w:val="en-US"/>
        </w:rPr>
        <w:tab/>
      </w:r>
      <w:r w:rsidRPr="002E60EB">
        <w:rPr>
          <w:b/>
          <w:i/>
          <w:lang w:val="en-US"/>
        </w:rPr>
        <w:t xml:space="preserve">A) </w:t>
      </w:r>
      <w:r w:rsidRPr="002E60EB">
        <w:rPr>
          <w:b/>
          <w:i/>
          <w:lang w:val="en-US"/>
        </w:rPr>
        <w:tab/>
        <w:t>Injured Party</w:t>
      </w:r>
    </w:p>
    <w:p w:rsidR="0004795A" w:rsidRPr="002E60EB" w:rsidRDefault="0004795A" w:rsidP="00317748">
      <w:pPr>
        <w:pStyle w:val="ListParagraph1"/>
        <w:spacing w:after="0"/>
        <w:ind w:left="0"/>
        <w:rPr>
          <w:rFonts w:ascii="Verdana" w:hAnsi="Verdana"/>
          <w:sz w:val="20"/>
          <w:szCs w:val="20"/>
        </w:rPr>
      </w:pPr>
    </w:p>
    <w:p w:rsidR="0004795A" w:rsidRPr="002E60EB" w:rsidRDefault="0004795A" w:rsidP="00BB5A1A">
      <w:pPr>
        <w:numPr>
          <w:ilvl w:val="0"/>
          <w:numId w:val="19"/>
        </w:numPr>
        <w:tabs>
          <w:tab w:val="clear" w:pos="680"/>
        </w:tabs>
        <w:jc w:val="both"/>
        <w:rPr>
          <w:lang w:val="en-US"/>
        </w:rPr>
      </w:pPr>
      <w:r w:rsidRPr="002E60EB">
        <w:rPr>
          <w:lang w:val="en-US"/>
        </w:rPr>
        <w:t xml:space="preserve">The </w:t>
      </w:r>
      <w:r w:rsidR="00D00C5F" w:rsidRPr="002E60EB">
        <w:rPr>
          <w:lang w:val="en-US"/>
        </w:rPr>
        <w:t>Court</w:t>
      </w:r>
      <w:r w:rsidRPr="002E60EB">
        <w:rPr>
          <w:lang w:val="en-US"/>
        </w:rPr>
        <w:t xml:space="preserve"> reiterates that</w:t>
      </w:r>
      <w:r w:rsidR="0020379E" w:rsidRPr="002E60EB">
        <w:rPr>
          <w:lang w:val="en-US"/>
        </w:rPr>
        <w:t xml:space="preserve">, </w:t>
      </w:r>
      <w:r w:rsidRPr="002E60EB">
        <w:rPr>
          <w:lang w:val="en-US"/>
        </w:rPr>
        <w:t xml:space="preserve">in the terms of Article 63(1) of the Convention, </w:t>
      </w:r>
      <w:r w:rsidR="0020379E" w:rsidRPr="002E60EB">
        <w:rPr>
          <w:lang w:val="en-US"/>
        </w:rPr>
        <w:t>the injured party is considered to be</w:t>
      </w:r>
      <w:r w:rsidRPr="002E60EB">
        <w:rPr>
          <w:lang w:val="en-US"/>
        </w:rPr>
        <w:t xml:space="preserve"> those who have been declared victims of </w:t>
      </w:r>
      <w:r w:rsidR="0020379E" w:rsidRPr="002E60EB">
        <w:rPr>
          <w:lang w:val="en-US"/>
        </w:rPr>
        <w:t>the</w:t>
      </w:r>
      <w:r w:rsidRPr="002E60EB">
        <w:rPr>
          <w:lang w:val="en-US"/>
        </w:rPr>
        <w:t xml:space="preserve"> violation </w:t>
      </w:r>
      <w:r w:rsidR="0020379E" w:rsidRPr="002E60EB">
        <w:rPr>
          <w:lang w:val="en-US"/>
        </w:rPr>
        <w:t>of</w:t>
      </w:r>
      <w:r w:rsidRPr="002E60EB">
        <w:rPr>
          <w:lang w:val="en-US"/>
        </w:rPr>
        <w:t xml:space="preserve"> any right </w:t>
      </w:r>
      <w:r w:rsidR="0020379E" w:rsidRPr="002E60EB">
        <w:rPr>
          <w:lang w:val="en-US"/>
        </w:rPr>
        <w:t>recognized therein</w:t>
      </w:r>
      <w:r w:rsidRPr="002E60EB">
        <w:rPr>
          <w:lang w:val="en-US"/>
        </w:rPr>
        <w:t>. Therefore, this Court considers Luis Gonzalo Vélez Restrepo</w:t>
      </w:r>
      <w:r w:rsidR="0020379E" w:rsidRPr="002E60EB">
        <w:rPr>
          <w:lang w:val="en-US"/>
        </w:rPr>
        <w:t>,</w:t>
      </w:r>
      <w:r w:rsidRPr="002E60EB">
        <w:rPr>
          <w:lang w:val="en-US"/>
        </w:rPr>
        <w:t xml:space="preserve"> his </w:t>
      </w:r>
      <w:r w:rsidR="0020379E" w:rsidRPr="002E60EB">
        <w:rPr>
          <w:lang w:val="en-US"/>
        </w:rPr>
        <w:t>wife,</w:t>
      </w:r>
      <w:r w:rsidRPr="002E60EB">
        <w:rPr>
          <w:lang w:val="en-US"/>
        </w:rPr>
        <w:t xml:space="preserve"> Aracelly Román Amariles, </w:t>
      </w:r>
      <w:r w:rsidR="0020379E" w:rsidRPr="002E60EB">
        <w:rPr>
          <w:lang w:val="en-US"/>
        </w:rPr>
        <w:t>and</w:t>
      </w:r>
      <w:r w:rsidRPr="002E60EB">
        <w:rPr>
          <w:lang w:val="en-US"/>
        </w:rPr>
        <w:t xml:space="preserve"> their children Mateo and Juliana Vélez Román, </w:t>
      </w:r>
      <w:r w:rsidR="0020379E" w:rsidRPr="002E60EB">
        <w:rPr>
          <w:lang w:val="en-US"/>
        </w:rPr>
        <w:t>the “</w:t>
      </w:r>
      <w:r w:rsidRPr="002E60EB">
        <w:rPr>
          <w:lang w:val="en-US"/>
        </w:rPr>
        <w:t>injured part</w:t>
      </w:r>
      <w:r w:rsidR="0020379E" w:rsidRPr="002E60EB">
        <w:rPr>
          <w:lang w:val="en-US"/>
        </w:rPr>
        <w:t>y”</w:t>
      </w:r>
      <w:r w:rsidRPr="002E60EB">
        <w:rPr>
          <w:lang w:val="en-US"/>
        </w:rPr>
        <w:t xml:space="preserve"> and</w:t>
      </w:r>
      <w:r w:rsidR="0020379E" w:rsidRPr="002E60EB">
        <w:rPr>
          <w:lang w:val="en-US"/>
        </w:rPr>
        <w:t>,</w:t>
      </w:r>
      <w:r w:rsidRPr="002E60EB">
        <w:rPr>
          <w:lang w:val="en-US"/>
        </w:rPr>
        <w:t xml:space="preserve"> in their </w:t>
      </w:r>
      <w:r w:rsidR="0020379E" w:rsidRPr="002E60EB">
        <w:rPr>
          <w:lang w:val="en-US"/>
        </w:rPr>
        <w:t>capacity as</w:t>
      </w:r>
      <w:r w:rsidRPr="002E60EB">
        <w:rPr>
          <w:lang w:val="en-US"/>
        </w:rPr>
        <w:t xml:space="preserve"> victims of the violations declared in chapters</w:t>
      </w:r>
      <w:r w:rsidR="0020379E" w:rsidRPr="002E60EB">
        <w:rPr>
          <w:lang w:val="en-US"/>
        </w:rPr>
        <w:t xml:space="preserve"> IX, X and XI,</w:t>
      </w:r>
      <w:r w:rsidRPr="002E60EB">
        <w:rPr>
          <w:lang w:val="en-US"/>
        </w:rPr>
        <w:t xml:space="preserve"> they will be considered beneficiaries of the reparations ordered by the </w:t>
      </w:r>
      <w:r w:rsidR="00D00C5F" w:rsidRPr="002E60EB">
        <w:rPr>
          <w:lang w:val="en-US"/>
        </w:rPr>
        <w:t>Court</w:t>
      </w:r>
      <w:r w:rsidRPr="002E60EB">
        <w:rPr>
          <w:lang w:val="en-US"/>
        </w:rPr>
        <w:t>.</w:t>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rsidP="00317748">
      <w:pPr>
        <w:pStyle w:val="Prrafodelista2"/>
        <w:contextualSpacing/>
        <w:jc w:val="both"/>
        <w:rPr>
          <w:b/>
          <w:i/>
          <w:lang w:val="en-US"/>
        </w:rPr>
      </w:pPr>
      <w:r w:rsidRPr="002E60EB">
        <w:rPr>
          <w:b/>
          <w:i/>
          <w:lang w:val="en-US"/>
        </w:rPr>
        <w:t>B)</w:t>
      </w:r>
      <w:r w:rsidRPr="002E60EB">
        <w:rPr>
          <w:b/>
          <w:i/>
          <w:lang w:val="en-US"/>
        </w:rPr>
        <w:tab/>
      </w:r>
      <w:r w:rsidR="00B46938" w:rsidRPr="002E60EB">
        <w:rPr>
          <w:b/>
          <w:i/>
          <w:lang w:val="en-US"/>
        </w:rPr>
        <w:t>Measures</w:t>
      </w:r>
      <w:r w:rsidR="0020379E" w:rsidRPr="002E60EB">
        <w:rPr>
          <w:b/>
          <w:i/>
          <w:lang w:val="en-US"/>
        </w:rPr>
        <w:t xml:space="preserve"> of </w:t>
      </w:r>
      <w:r w:rsidR="00B46938" w:rsidRPr="002E60EB">
        <w:rPr>
          <w:b/>
          <w:i/>
          <w:lang w:val="en-US"/>
        </w:rPr>
        <w:t xml:space="preserve">integral </w:t>
      </w:r>
      <w:r w:rsidRPr="002E60EB">
        <w:rPr>
          <w:b/>
          <w:i/>
          <w:lang w:val="en-US"/>
        </w:rPr>
        <w:t>reparation: restitution, rehabilitation</w:t>
      </w:r>
      <w:r w:rsidR="0020379E" w:rsidRPr="002E60EB">
        <w:rPr>
          <w:b/>
          <w:i/>
          <w:lang w:val="en-US"/>
        </w:rPr>
        <w:t xml:space="preserve"> and</w:t>
      </w:r>
      <w:r w:rsidR="00B46938" w:rsidRPr="002E60EB">
        <w:rPr>
          <w:b/>
          <w:i/>
          <w:lang w:val="en-US"/>
        </w:rPr>
        <w:t xml:space="preserve"> satisfaction, guarantee</w:t>
      </w:r>
      <w:r w:rsidRPr="002E60EB">
        <w:rPr>
          <w:b/>
          <w:i/>
          <w:lang w:val="en-US"/>
        </w:rPr>
        <w:t xml:space="preserve"> of non-repetition</w:t>
      </w:r>
      <w:r w:rsidR="0020379E" w:rsidRPr="002E60EB">
        <w:rPr>
          <w:b/>
          <w:i/>
          <w:lang w:val="en-US"/>
        </w:rPr>
        <w:t>,</w:t>
      </w:r>
      <w:r w:rsidRPr="002E60EB">
        <w:rPr>
          <w:b/>
          <w:i/>
          <w:lang w:val="en-US"/>
        </w:rPr>
        <w:t xml:space="preserve"> and obligation to investigate</w:t>
      </w:r>
    </w:p>
    <w:p w:rsidR="0004795A" w:rsidRPr="002E60EB" w:rsidRDefault="0004795A">
      <w:pPr>
        <w:pStyle w:val="Prrafodelista2"/>
        <w:tabs>
          <w:tab w:val="left" w:pos="720"/>
        </w:tabs>
        <w:ind w:left="0"/>
        <w:contextualSpacing/>
        <w:jc w:val="both"/>
        <w:rPr>
          <w:lang w:val="en-US"/>
        </w:rPr>
      </w:pPr>
    </w:p>
    <w:p w:rsidR="0004795A" w:rsidRPr="002E60EB" w:rsidRDefault="0004795A" w:rsidP="00317748">
      <w:pPr>
        <w:numPr>
          <w:ilvl w:val="0"/>
          <w:numId w:val="19"/>
        </w:numPr>
        <w:tabs>
          <w:tab w:val="clear" w:pos="680"/>
        </w:tabs>
        <w:jc w:val="both"/>
        <w:rPr>
          <w:lang w:val="en-US"/>
        </w:rPr>
      </w:pPr>
      <w:r w:rsidRPr="002E60EB">
        <w:rPr>
          <w:lang w:val="en-US"/>
        </w:rPr>
        <w:t xml:space="preserve">The </w:t>
      </w:r>
      <w:r w:rsidR="00D00C5F" w:rsidRPr="002E60EB">
        <w:rPr>
          <w:lang w:val="en-US"/>
        </w:rPr>
        <w:t>Court</w:t>
      </w:r>
      <w:r w:rsidRPr="002E60EB">
        <w:rPr>
          <w:lang w:val="en-US"/>
        </w:rPr>
        <w:t xml:space="preserve"> will determine other measures that seek to repair the non-pecuniary damage and will order measures of a public scope or repercussion.</w:t>
      </w:r>
      <w:r w:rsidR="00BB5A1A" w:rsidRPr="002E60EB">
        <w:rPr>
          <w:rStyle w:val="Refdenotaalpie"/>
          <w:lang w:val="en-US"/>
        </w:rPr>
        <w:footnoteReference w:id="250"/>
      </w:r>
      <w:r w:rsidRPr="002E60EB">
        <w:rPr>
          <w:lang w:val="en-US"/>
        </w:rPr>
        <w:t xml:space="preserve"> International </w:t>
      </w:r>
      <w:r w:rsidR="00BB5A1A" w:rsidRPr="002E60EB">
        <w:rPr>
          <w:lang w:val="en-US"/>
        </w:rPr>
        <w:t>case law</w:t>
      </w:r>
      <w:r w:rsidRPr="002E60EB">
        <w:rPr>
          <w:lang w:val="en-US"/>
        </w:rPr>
        <w:t xml:space="preserve">, and </w:t>
      </w:r>
      <w:r w:rsidR="00BB5A1A" w:rsidRPr="002E60EB">
        <w:rPr>
          <w:lang w:val="en-US"/>
        </w:rPr>
        <w:t xml:space="preserve">particularly </w:t>
      </w:r>
      <w:r w:rsidRPr="002E60EB">
        <w:rPr>
          <w:lang w:val="en-US"/>
        </w:rPr>
        <w:t xml:space="preserve">that of the Court, has repeatedly established that the judgment constitutes </w:t>
      </w:r>
      <w:r w:rsidRPr="002E60EB">
        <w:rPr>
          <w:i/>
          <w:lang w:val="en-US"/>
        </w:rPr>
        <w:t>per se</w:t>
      </w:r>
      <w:r w:rsidRPr="002E60EB">
        <w:rPr>
          <w:lang w:val="en-US"/>
        </w:rPr>
        <w:t xml:space="preserve"> a form of reparation.</w:t>
      </w:r>
      <w:r w:rsidR="00BB5A1A" w:rsidRPr="002E60EB">
        <w:rPr>
          <w:rStyle w:val="Refdenotaalpie"/>
          <w:rFonts w:cs="Verdana"/>
          <w:lang w:val="en-US"/>
        </w:rPr>
        <w:footnoteReference w:id="251"/>
      </w:r>
      <w:r w:rsidRPr="002E60EB">
        <w:rPr>
          <w:lang w:val="en-US"/>
        </w:rPr>
        <w:t xml:space="preserve"> </w:t>
      </w:r>
      <w:r w:rsidR="00BB5A1A" w:rsidRPr="002E60EB">
        <w:rPr>
          <w:lang w:val="en-US"/>
        </w:rPr>
        <w:t>Nevertheless</w:t>
      </w:r>
      <w:r w:rsidRPr="002E60EB">
        <w:rPr>
          <w:lang w:val="en-US"/>
        </w:rPr>
        <w:t xml:space="preserve">, considering the circumstances of the case </w:t>
      </w:r>
      <w:r w:rsidRPr="002E60EB">
        <w:rPr>
          <w:i/>
          <w:lang w:val="en-US"/>
        </w:rPr>
        <w:t xml:space="preserve">sub judice, </w:t>
      </w:r>
      <w:r w:rsidR="00BB5A1A" w:rsidRPr="002E60EB">
        <w:rPr>
          <w:lang w:val="en-US"/>
        </w:rPr>
        <w:t>and based on</w:t>
      </w:r>
      <w:r w:rsidRPr="002E60EB">
        <w:rPr>
          <w:lang w:val="en-US"/>
        </w:rPr>
        <w:t xml:space="preserve"> the </w:t>
      </w:r>
      <w:r w:rsidR="00BB5A1A" w:rsidRPr="002E60EB">
        <w:rPr>
          <w:lang w:val="en-US"/>
        </w:rPr>
        <w:t xml:space="preserve">harm </w:t>
      </w:r>
      <w:r w:rsidRPr="002E60EB">
        <w:rPr>
          <w:lang w:val="en-US"/>
        </w:rPr>
        <w:t>to Mr. V</w:t>
      </w:r>
      <w:r w:rsidR="00334C3C" w:rsidRPr="002E60EB">
        <w:rPr>
          <w:lang w:val="en-US"/>
        </w:rPr>
        <w:t>élez Restrepo, Mrs. Román Amari</w:t>
      </w:r>
      <w:r w:rsidRPr="002E60EB">
        <w:rPr>
          <w:lang w:val="en-US"/>
        </w:rPr>
        <w:t xml:space="preserve">les, and their children Mateo and Juliana Vélez Román, as well as the consequences of a non-pecuniary </w:t>
      </w:r>
      <w:r w:rsidR="00BB5A1A" w:rsidRPr="002E60EB">
        <w:rPr>
          <w:lang w:val="en-US"/>
        </w:rPr>
        <w:t xml:space="preserve">nature arising </w:t>
      </w:r>
      <w:r w:rsidRPr="002E60EB">
        <w:rPr>
          <w:lang w:val="en-US"/>
        </w:rPr>
        <w:t xml:space="preserve">from the violations to the Convention </w:t>
      </w:r>
      <w:r w:rsidR="00BB5A1A" w:rsidRPr="002E60EB">
        <w:rPr>
          <w:lang w:val="en-US"/>
        </w:rPr>
        <w:t>declared to</w:t>
      </w:r>
      <w:r w:rsidRPr="002E60EB">
        <w:rPr>
          <w:lang w:val="en-US"/>
        </w:rPr>
        <w:t xml:space="preserve"> their detriment, the Court </w:t>
      </w:r>
      <w:r w:rsidR="00BB5A1A" w:rsidRPr="002E60EB">
        <w:rPr>
          <w:lang w:val="en-US"/>
        </w:rPr>
        <w:t>finds it pertinent</w:t>
      </w:r>
      <w:r w:rsidRPr="002E60EB">
        <w:rPr>
          <w:lang w:val="en-US"/>
        </w:rPr>
        <w:t xml:space="preserve"> to </w:t>
      </w:r>
      <w:r w:rsidR="00BB5A1A" w:rsidRPr="002E60EB">
        <w:rPr>
          <w:lang w:val="en-US"/>
        </w:rPr>
        <w:t xml:space="preserve">establish </w:t>
      </w:r>
      <w:r w:rsidRPr="002E60EB">
        <w:rPr>
          <w:lang w:val="en-US"/>
        </w:rPr>
        <w:t>measures of restitution, rehabilitation, and satisfaction, as well as guarantees of non-repetition.</w:t>
      </w:r>
    </w:p>
    <w:p w:rsidR="0004795A" w:rsidRPr="002E60EB" w:rsidRDefault="0004795A" w:rsidP="00260DED">
      <w:pPr>
        <w:tabs>
          <w:tab w:val="left" w:pos="720"/>
        </w:tabs>
        <w:jc w:val="both"/>
        <w:rPr>
          <w:b/>
          <w:i/>
          <w:lang w:val="en-US"/>
        </w:rPr>
      </w:pPr>
    </w:p>
    <w:p w:rsidR="0004795A" w:rsidRPr="002E60EB" w:rsidRDefault="0004795A" w:rsidP="00317748">
      <w:pPr>
        <w:pStyle w:val="Prrafodelista"/>
        <w:tabs>
          <w:tab w:val="left" w:pos="720"/>
        </w:tabs>
        <w:jc w:val="both"/>
        <w:rPr>
          <w:b/>
          <w:sz w:val="20"/>
          <w:szCs w:val="20"/>
          <w:lang w:val="en-US"/>
        </w:rPr>
      </w:pPr>
      <w:r w:rsidRPr="002E60EB">
        <w:rPr>
          <w:b/>
          <w:sz w:val="20"/>
          <w:szCs w:val="20"/>
          <w:lang w:val="en-US"/>
        </w:rPr>
        <w:t xml:space="preserve">B.1) </w:t>
      </w:r>
      <w:r w:rsidR="00B5134F" w:rsidRPr="002E60EB">
        <w:rPr>
          <w:b/>
          <w:sz w:val="20"/>
          <w:szCs w:val="20"/>
          <w:lang w:val="en-US"/>
        </w:rPr>
        <w:t xml:space="preserve"> </w:t>
      </w:r>
      <w:r w:rsidRPr="002E60EB">
        <w:rPr>
          <w:b/>
          <w:sz w:val="20"/>
          <w:szCs w:val="20"/>
          <w:lang w:val="en-US"/>
        </w:rPr>
        <w:t>Restitution: guarantee the conditions for the return of the Vélez Román family to Colombia</w:t>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rsidP="00317748">
      <w:pPr>
        <w:numPr>
          <w:ilvl w:val="0"/>
          <w:numId w:val="19"/>
        </w:numPr>
        <w:tabs>
          <w:tab w:val="clear" w:pos="680"/>
        </w:tabs>
        <w:jc w:val="both"/>
        <w:rPr>
          <w:lang w:val="en-US"/>
        </w:rPr>
      </w:pPr>
      <w:r w:rsidRPr="002E60EB">
        <w:rPr>
          <w:lang w:val="en-US"/>
        </w:rPr>
        <w:t xml:space="preserve">The Commission </w:t>
      </w:r>
      <w:r w:rsidR="00BB5A1A" w:rsidRPr="002E60EB">
        <w:rPr>
          <w:lang w:val="en-US"/>
        </w:rPr>
        <w:t>asked</w:t>
      </w:r>
      <w:r w:rsidRPr="002E60EB">
        <w:rPr>
          <w:lang w:val="en-US"/>
        </w:rPr>
        <w:t xml:space="preserve"> the Court </w:t>
      </w:r>
      <w:r w:rsidR="00BB5A1A" w:rsidRPr="002E60EB">
        <w:rPr>
          <w:lang w:val="en-US"/>
        </w:rPr>
        <w:t xml:space="preserve">to </w:t>
      </w:r>
      <w:r w:rsidRPr="002E60EB">
        <w:rPr>
          <w:lang w:val="en-US"/>
        </w:rPr>
        <w:t xml:space="preserve">order the State </w:t>
      </w:r>
      <w:r w:rsidR="00087093" w:rsidRPr="002E60EB">
        <w:rPr>
          <w:lang w:val="en-US"/>
        </w:rPr>
        <w:t>“</w:t>
      </w:r>
      <w:r w:rsidRPr="002E60EB">
        <w:rPr>
          <w:lang w:val="en-US"/>
        </w:rPr>
        <w:t xml:space="preserve">to adopt the </w:t>
      </w:r>
      <w:r w:rsidR="00BB5A1A" w:rsidRPr="002E60EB">
        <w:rPr>
          <w:lang w:val="en-US"/>
        </w:rPr>
        <w:t xml:space="preserve">necessary </w:t>
      </w:r>
      <w:r w:rsidRPr="002E60EB">
        <w:rPr>
          <w:lang w:val="en-US"/>
        </w:rPr>
        <w:t xml:space="preserve">measures to protect and safeguard the </w:t>
      </w:r>
      <w:r w:rsidR="00BB5A1A" w:rsidRPr="002E60EB">
        <w:rPr>
          <w:lang w:val="en-US"/>
        </w:rPr>
        <w:t xml:space="preserve">safety </w:t>
      </w:r>
      <w:r w:rsidRPr="002E60EB">
        <w:rPr>
          <w:lang w:val="en-US"/>
        </w:rPr>
        <w:t xml:space="preserve">of the Vélez Román family </w:t>
      </w:r>
      <w:r w:rsidR="00BB5A1A" w:rsidRPr="002E60EB">
        <w:rPr>
          <w:lang w:val="en-US"/>
        </w:rPr>
        <w:t>should</w:t>
      </w:r>
      <w:r w:rsidRPr="002E60EB">
        <w:rPr>
          <w:lang w:val="en-US"/>
        </w:rPr>
        <w:t xml:space="preserve"> they decide to return to Colombia </w:t>
      </w:r>
      <w:r w:rsidR="00BB5A1A" w:rsidRPr="002E60EB">
        <w:rPr>
          <w:lang w:val="en-US"/>
        </w:rPr>
        <w:t>on either a</w:t>
      </w:r>
      <w:r w:rsidRPr="002E60EB">
        <w:rPr>
          <w:lang w:val="en-US"/>
        </w:rPr>
        <w:t xml:space="preserve"> temporary or permanent basis.</w:t>
      </w:r>
      <w:r w:rsidR="00087093" w:rsidRPr="002E60EB">
        <w:rPr>
          <w:lang w:val="en-US"/>
        </w:rPr>
        <w:t>”</w:t>
      </w:r>
      <w:r w:rsidRPr="002E60EB">
        <w:rPr>
          <w:b/>
          <w:lang w:val="en-US" w:eastAsia="es-ES"/>
        </w:rPr>
        <w:t xml:space="preserve"> </w:t>
      </w:r>
    </w:p>
    <w:p w:rsidR="0004795A" w:rsidRPr="002E60EB" w:rsidRDefault="0004795A" w:rsidP="00BB5A1A">
      <w:pPr>
        <w:pStyle w:val="Prrafodelista2"/>
        <w:tabs>
          <w:tab w:val="left" w:pos="720"/>
        </w:tabs>
        <w:ind w:left="0"/>
        <w:contextualSpacing/>
        <w:jc w:val="both"/>
        <w:rPr>
          <w:lang w:val="en-US"/>
        </w:rPr>
      </w:pPr>
    </w:p>
    <w:p w:rsidR="0004795A" w:rsidRPr="002E60EB" w:rsidRDefault="0004795A" w:rsidP="00317748">
      <w:pPr>
        <w:numPr>
          <w:ilvl w:val="0"/>
          <w:numId w:val="19"/>
        </w:numPr>
        <w:tabs>
          <w:tab w:val="clear" w:pos="680"/>
        </w:tabs>
        <w:jc w:val="both"/>
        <w:rPr>
          <w:lang w:val="en-US"/>
        </w:rPr>
      </w:pPr>
      <w:r w:rsidRPr="002E60EB">
        <w:rPr>
          <w:lang w:val="en-US"/>
        </w:rPr>
        <w:t xml:space="preserve">In this regard, the State </w:t>
      </w:r>
      <w:r w:rsidR="00BB5A1A" w:rsidRPr="002E60EB">
        <w:rPr>
          <w:lang w:val="en-US"/>
        </w:rPr>
        <w:t xml:space="preserve">argued </w:t>
      </w:r>
      <w:r w:rsidRPr="002E60EB">
        <w:rPr>
          <w:lang w:val="en-US"/>
        </w:rPr>
        <w:t>that it ha</w:t>
      </w:r>
      <w:r w:rsidR="00BB5A1A" w:rsidRPr="002E60EB">
        <w:rPr>
          <w:lang w:val="en-US"/>
        </w:rPr>
        <w:t>d</w:t>
      </w:r>
      <w:r w:rsidRPr="002E60EB">
        <w:rPr>
          <w:lang w:val="en-US"/>
        </w:rPr>
        <w:t xml:space="preserve"> not failed to comply with </w:t>
      </w:r>
      <w:r w:rsidR="00B53552" w:rsidRPr="002E60EB">
        <w:rPr>
          <w:lang w:val="en-US"/>
        </w:rPr>
        <w:t xml:space="preserve">the </w:t>
      </w:r>
      <w:r w:rsidRPr="002E60EB">
        <w:rPr>
          <w:lang w:val="en-US"/>
        </w:rPr>
        <w:t xml:space="preserve">said recommendation made by the Commission in its </w:t>
      </w:r>
      <w:r w:rsidR="009E6ABC" w:rsidRPr="002E60EB">
        <w:rPr>
          <w:lang w:val="en-US"/>
        </w:rPr>
        <w:t xml:space="preserve">Merits </w:t>
      </w:r>
      <w:r w:rsidRPr="002E60EB">
        <w:rPr>
          <w:lang w:val="en-US"/>
        </w:rPr>
        <w:t xml:space="preserve">Report, since it has expressed </w:t>
      </w:r>
      <w:r w:rsidR="00087093" w:rsidRPr="002E60EB">
        <w:rPr>
          <w:lang w:val="en-US"/>
        </w:rPr>
        <w:t>“</w:t>
      </w:r>
      <w:r w:rsidRPr="002E60EB">
        <w:rPr>
          <w:lang w:val="en-US"/>
        </w:rPr>
        <w:t xml:space="preserve">[i]ts absolute commitment to provide </w:t>
      </w:r>
      <w:r w:rsidR="00AC1940" w:rsidRPr="002E60EB">
        <w:rPr>
          <w:lang w:val="en-US"/>
        </w:rPr>
        <w:t>Luis</w:t>
      </w:r>
      <w:r w:rsidRPr="002E60EB">
        <w:rPr>
          <w:lang w:val="en-US"/>
        </w:rPr>
        <w:t xml:space="preserve"> Gonzalo Vélez and his family with the </w:t>
      </w:r>
      <w:r w:rsidR="009E6ABC" w:rsidRPr="002E60EB">
        <w:rPr>
          <w:lang w:val="en-US"/>
        </w:rPr>
        <w:t xml:space="preserve">necessary safety </w:t>
      </w:r>
      <w:r w:rsidRPr="002E60EB">
        <w:rPr>
          <w:lang w:val="en-US"/>
        </w:rPr>
        <w:t xml:space="preserve">measures </w:t>
      </w:r>
      <w:r w:rsidR="009E6ABC" w:rsidRPr="002E60EB">
        <w:rPr>
          <w:lang w:val="en-US"/>
        </w:rPr>
        <w:t>should</w:t>
      </w:r>
      <w:r w:rsidRPr="002E60EB">
        <w:rPr>
          <w:lang w:val="en-US"/>
        </w:rPr>
        <w:t xml:space="preserve"> they consider returning to Colombia.</w:t>
      </w:r>
      <w:r w:rsidR="00087093" w:rsidRPr="002E60EB">
        <w:rPr>
          <w:lang w:val="en-US"/>
        </w:rPr>
        <w:t>”</w:t>
      </w:r>
      <w:r w:rsidRPr="002E60EB">
        <w:rPr>
          <w:lang w:val="en-US"/>
        </w:rPr>
        <w:t xml:space="preserve"> Colombia </w:t>
      </w:r>
      <w:r w:rsidR="009E6ABC" w:rsidRPr="002E60EB">
        <w:rPr>
          <w:lang w:val="en-US"/>
        </w:rPr>
        <w:t>underscored</w:t>
      </w:r>
      <w:r w:rsidRPr="002E60EB">
        <w:rPr>
          <w:lang w:val="en-US"/>
        </w:rPr>
        <w:t xml:space="preserve"> that this measure is subject to the Vélez Román family </w:t>
      </w:r>
      <w:r w:rsidR="00087093" w:rsidRPr="002E60EB">
        <w:rPr>
          <w:lang w:val="en-US"/>
        </w:rPr>
        <w:t>“</w:t>
      </w:r>
      <w:r w:rsidRPr="002E60EB">
        <w:rPr>
          <w:lang w:val="en-US"/>
        </w:rPr>
        <w:t xml:space="preserve">expressing </w:t>
      </w:r>
      <w:r w:rsidR="009E6ABC" w:rsidRPr="002E60EB">
        <w:rPr>
          <w:lang w:val="en-US"/>
        </w:rPr>
        <w:t xml:space="preserve">its </w:t>
      </w:r>
      <w:r w:rsidRPr="002E60EB">
        <w:rPr>
          <w:lang w:val="en-US"/>
        </w:rPr>
        <w:t xml:space="preserve">interest </w:t>
      </w:r>
      <w:r w:rsidR="009E6ABC" w:rsidRPr="002E60EB">
        <w:rPr>
          <w:lang w:val="en-US"/>
        </w:rPr>
        <w:t>in</w:t>
      </w:r>
      <w:r w:rsidRPr="002E60EB">
        <w:rPr>
          <w:lang w:val="en-US"/>
        </w:rPr>
        <w:t xml:space="preserve"> return</w:t>
      </w:r>
      <w:r w:rsidR="009E6ABC" w:rsidRPr="002E60EB">
        <w:rPr>
          <w:lang w:val="en-US"/>
        </w:rPr>
        <w:t>ing</w:t>
      </w:r>
      <w:r w:rsidRPr="002E60EB">
        <w:rPr>
          <w:lang w:val="en-US"/>
        </w:rPr>
        <w:t xml:space="preserve"> to the country</w:t>
      </w:r>
      <w:r w:rsidR="00087093" w:rsidRPr="002E60EB">
        <w:rPr>
          <w:lang w:val="en-US"/>
        </w:rPr>
        <w:t>”</w:t>
      </w:r>
      <w:r w:rsidRPr="002E60EB">
        <w:rPr>
          <w:lang w:val="en-US"/>
        </w:rPr>
        <w:t xml:space="preserve"> and that, once they do so, </w:t>
      </w:r>
      <w:r w:rsidR="00087093" w:rsidRPr="002E60EB">
        <w:rPr>
          <w:lang w:val="en-US"/>
        </w:rPr>
        <w:t>“</w:t>
      </w:r>
      <w:r w:rsidRPr="002E60EB">
        <w:rPr>
          <w:lang w:val="en-US"/>
        </w:rPr>
        <w:t xml:space="preserve">the State will activate the </w:t>
      </w:r>
      <w:r w:rsidR="009E6ABC" w:rsidRPr="002E60EB">
        <w:rPr>
          <w:lang w:val="en-US"/>
        </w:rPr>
        <w:t xml:space="preserve">relevant </w:t>
      </w:r>
      <w:r w:rsidRPr="002E60EB">
        <w:rPr>
          <w:lang w:val="en-US"/>
        </w:rPr>
        <w:t>mechanisms established in [its]</w:t>
      </w:r>
      <w:r w:rsidR="009E6ABC" w:rsidRPr="002E60EB">
        <w:rPr>
          <w:lang w:val="en-US"/>
        </w:rPr>
        <w:t xml:space="preserve"> laws</w:t>
      </w:r>
      <w:r w:rsidRPr="002E60EB">
        <w:rPr>
          <w:lang w:val="en-US"/>
        </w:rPr>
        <w:t>.</w:t>
      </w:r>
      <w:r w:rsidR="00087093" w:rsidRPr="002E60EB">
        <w:rPr>
          <w:lang w:val="en-US"/>
        </w:rPr>
        <w:t>”</w:t>
      </w:r>
      <w:r w:rsidRPr="002E60EB">
        <w:rPr>
          <w:lang w:val="en-US"/>
        </w:rPr>
        <w:t xml:space="preserve"> </w:t>
      </w:r>
      <w:r w:rsidR="009E6ABC" w:rsidRPr="002E60EB">
        <w:rPr>
          <w:lang w:val="en-US"/>
        </w:rPr>
        <w:t>Hence,</w:t>
      </w:r>
      <w:r w:rsidRPr="002E60EB">
        <w:rPr>
          <w:lang w:val="en-US"/>
        </w:rPr>
        <w:t xml:space="preserve"> Colombia </w:t>
      </w:r>
      <w:r w:rsidR="009E6ABC" w:rsidRPr="002E60EB">
        <w:rPr>
          <w:lang w:val="en-US"/>
        </w:rPr>
        <w:t xml:space="preserve">asked </w:t>
      </w:r>
      <w:r w:rsidRPr="002E60EB">
        <w:rPr>
          <w:lang w:val="en-US"/>
        </w:rPr>
        <w:t xml:space="preserve">that </w:t>
      </w:r>
      <w:r w:rsidR="00087093" w:rsidRPr="002E60EB">
        <w:rPr>
          <w:lang w:val="en-US"/>
        </w:rPr>
        <w:t>“</w:t>
      </w:r>
      <w:r w:rsidRPr="002E60EB">
        <w:rPr>
          <w:lang w:val="en-US"/>
        </w:rPr>
        <w:t xml:space="preserve">compliance with this recommendation be suspended until the [representative] </w:t>
      </w:r>
      <w:r w:rsidR="009E6ABC" w:rsidRPr="002E60EB">
        <w:rPr>
          <w:lang w:val="en-US"/>
        </w:rPr>
        <w:t>states his opinion</w:t>
      </w:r>
      <w:r w:rsidRPr="002E60EB">
        <w:rPr>
          <w:lang w:val="en-US"/>
        </w:rPr>
        <w:t xml:space="preserve"> in this regard.</w:t>
      </w:r>
      <w:r w:rsidR="00087093" w:rsidRPr="002E60EB">
        <w:rPr>
          <w:lang w:val="en-US"/>
        </w:rPr>
        <w:t>”</w:t>
      </w:r>
      <w:r w:rsidRPr="002E60EB">
        <w:rPr>
          <w:lang w:val="en-US"/>
        </w:rPr>
        <w:t xml:space="preserve"> </w:t>
      </w:r>
      <w:r w:rsidR="009E6ABC" w:rsidRPr="002E60EB">
        <w:rPr>
          <w:lang w:val="en-US" w:eastAsia="es-ES"/>
        </w:rPr>
        <w:t>Consequently</w:t>
      </w:r>
      <w:r w:rsidRPr="002E60EB">
        <w:rPr>
          <w:lang w:val="en-US"/>
        </w:rPr>
        <w:t xml:space="preserve">, it </w:t>
      </w:r>
      <w:r w:rsidR="009E6ABC" w:rsidRPr="002E60EB">
        <w:rPr>
          <w:lang w:val="en-US"/>
        </w:rPr>
        <w:t>asked</w:t>
      </w:r>
      <w:r w:rsidRPr="002E60EB">
        <w:rPr>
          <w:lang w:val="en-US"/>
        </w:rPr>
        <w:t xml:space="preserve"> the Court </w:t>
      </w:r>
      <w:r w:rsidR="009E6ABC" w:rsidRPr="002E60EB">
        <w:rPr>
          <w:lang w:val="en-US"/>
        </w:rPr>
        <w:t xml:space="preserve">to </w:t>
      </w:r>
      <w:r w:rsidR="00B53552" w:rsidRPr="002E60EB">
        <w:rPr>
          <w:lang w:val="en-US"/>
        </w:rPr>
        <w:t>reject</w:t>
      </w:r>
      <w:r w:rsidRPr="002E60EB">
        <w:rPr>
          <w:lang w:val="en-US"/>
        </w:rPr>
        <w:t xml:space="preserve"> this measure</w:t>
      </w:r>
      <w:r w:rsidR="009E6ABC" w:rsidRPr="002E60EB">
        <w:rPr>
          <w:lang w:val="en-US"/>
        </w:rPr>
        <w:t xml:space="preserve"> of reparation</w:t>
      </w:r>
      <w:r w:rsidRPr="002E60EB">
        <w:rPr>
          <w:lang w:val="en-US"/>
        </w:rPr>
        <w:t>.</w:t>
      </w:r>
      <w:r w:rsidRPr="002E60EB">
        <w:rPr>
          <w:b/>
          <w:lang w:val="en-US" w:eastAsia="es-ES"/>
        </w:rPr>
        <w:t xml:space="preserve"> </w:t>
      </w:r>
    </w:p>
    <w:p w:rsidR="0004795A" w:rsidRPr="002E60EB" w:rsidRDefault="0004795A" w:rsidP="00260DED">
      <w:pPr>
        <w:pStyle w:val="Prrafodelista"/>
        <w:ind w:left="0"/>
        <w:rPr>
          <w:sz w:val="20"/>
          <w:szCs w:val="20"/>
          <w:lang w:val="en-US"/>
        </w:rPr>
      </w:pPr>
    </w:p>
    <w:p w:rsidR="0004795A" w:rsidRPr="002E60EB" w:rsidRDefault="0004795A" w:rsidP="00317748">
      <w:pPr>
        <w:numPr>
          <w:ilvl w:val="0"/>
          <w:numId w:val="19"/>
        </w:numPr>
        <w:jc w:val="both"/>
        <w:rPr>
          <w:lang w:val="en-US"/>
        </w:rPr>
      </w:pPr>
      <w:r w:rsidRPr="002E60EB">
        <w:rPr>
          <w:lang w:val="en-US"/>
        </w:rPr>
        <w:t xml:space="preserve">The representative did not refer to this </w:t>
      </w:r>
      <w:r w:rsidR="009E6ABC" w:rsidRPr="002E60EB">
        <w:rPr>
          <w:lang w:val="en-US"/>
        </w:rPr>
        <w:t>measure of reparation</w:t>
      </w:r>
      <w:r w:rsidRPr="002E60EB">
        <w:rPr>
          <w:lang w:val="en-US"/>
        </w:rPr>
        <w:t>.</w:t>
      </w:r>
    </w:p>
    <w:p w:rsidR="0004795A" w:rsidRPr="002E60EB" w:rsidRDefault="0004795A" w:rsidP="00260DED">
      <w:pPr>
        <w:pStyle w:val="Prrafodelista"/>
        <w:ind w:left="0"/>
        <w:rPr>
          <w:sz w:val="20"/>
          <w:szCs w:val="20"/>
          <w:lang w:val="en-US"/>
        </w:rPr>
      </w:pPr>
    </w:p>
    <w:p w:rsidR="0004795A" w:rsidRPr="002E60EB" w:rsidRDefault="0004795A" w:rsidP="00317748">
      <w:pPr>
        <w:numPr>
          <w:ilvl w:val="0"/>
          <w:numId w:val="19"/>
        </w:numPr>
        <w:jc w:val="both"/>
        <w:rPr>
          <w:lang w:val="en-US"/>
        </w:rPr>
      </w:pPr>
      <w:r w:rsidRPr="002E60EB">
        <w:rPr>
          <w:lang w:val="en-US"/>
        </w:rPr>
        <w:t xml:space="preserve">The Court </w:t>
      </w:r>
      <w:r w:rsidR="00AE655E" w:rsidRPr="002E60EB">
        <w:rPr>
          <w:lang w:val="en-US"/>
        </w:rPr>
        <w:t>finds it</w:t>
      </w:r>
      <w:r w:rsidRPr="002E60EB">
        <w:rPr>
          <w:lang w:val="en-US"/>
        </w:rPr>
        <w:t xml:space="preserve"> relevant to recall that the State has the obligation to guarantee the freedom of movement and residence of Mr. Vélez Restrepo and</w:t>
      </w:r>
      <w:r w:rsidR="00AE655E" w:rsidRPr="002E60EB">
        <w:rPr>
          <w:lang w:val="en-US"/>
        </w:rPr>
        <w:t xml:space="preserve"> the members of</w:t>
      </w:r>
      <w:r w:rsidRPr="002E60EB">
        <w:rPr>
          <w:lang w:val="en-US"/>
        </w:rPr>
        <w:t xml:space="preserve"> </w:t>
      </w:r>
      <w:r w:rsidR="00AE655E" w:rsidRPr="002E60EB">
        <w:rPr>
          <w:lang w:val="en-US"/>
        </w:rPr>
        <w:t>the Vélez Román</w:t>
      </w:r>
      <w:r w:rsidRPr="002E60EB">
        <w:rPr>
          <w:lang w:val="en-US"/>
        </w:rPr>
        <w:t xml:space="preserve"> family, which includes the</w:t>
      </w:r>
      <w:r w:rsidR="00AE655E" w:rsidRPr="002E60EB">
        <w:rPr>
          <w:lang w:val="en-US"/>
        </w:rPr>
        <w:t xml:space="preserve"> obligation</w:t>
      </w:r>
      <w:r w:rsidRPr="002E60EB">
        <w:rPr>
          <w:lang w:val="en-US"/>
        </w:rPr>
        <w:t xml:space="preserve"> to establish the conditions and means that </w:t>
      </w:r>
      <w:r w:rsidR="00AE655E" w:rsidRPr="002E60EB">
        <w:rPr>
          <w:lang w:val="en-US"/>
        </w:rPr>
        <w:t>permit them</w:t>
      </w:r>
      <w:r w:rsidRPr="002E60EB">
        <w:rPr>
          <w:lang w:val="en-US"/>
        </w:rPr>
        <w:t xml:space="preserve"> to return safe</w:t>
      </w:r>
      <w:r w:rsidR="00AE655E" w:rsidRPr="002E60EB">
        <w:rPr>
          <w:lang w:val="en-US"/>
        </w:rPr>
        <w:t>l</w:t>
      </w:r>
      <w:r w:rsidRPr="002E60EB">
        <w:rPr>
          <w:lang w:val="en-US"/>
        </w:rPr>
        <w:t>y and with dignity.</w:t>
      </w:r>
      <w:r w:rsidR="00AE655E" w:rsidRPr="002E60EB">
        <w:rPr>
          <w:rStyle w:val="Refdenotaalpie"/>
          <w:lang w:val="en-US"/>
        </w:rPr>
        <w:footnoteReference w:id="252"/>
      </w:r>
      <w:r w:rsidRPr="002E60EB">
        <w:rPr>
          <w:lang w:val="en-US"/>
        </w:rPr>
        <w:t xml:space="preserve"> This</w:t>
      </w:r>
      <w:r w:rsidR="00D269D3" w:rsidRPr="002E60EB">
        <w:rPr>
          <w:lang w:val="en-US"/>
        </w:rPr>
        <w:t xml:space="preserve">, in turn, </w:t>
      </w:r>
      <w:r w:rsidRPr="002E60EB">
        <w:rPr>
          <w:lang w:val="en-US"/>
        </w:rPr>
        <w:t>constitutes a restitution of the right</w:t>
      </w:r>
      <w:r w:rsidR="00D269D3" w:rsidRPr="002E60EB">
        <w:rPr>
          <w:lang w:val="en-US"/>
        </w:rPr>
        <w:t xml:space="preserve"> violated</w:t>
      </w:r>
      <w:r w:rsidRPr="002E60EB">
        <w:rPr>
          <w:lang w:val="en-US"/>
        </w:rPr>
        <w:t xml:space="preserve">. </w:t>
      </w:r>
    </w:p>
    <w:p w:rsidR="0004795A" w:rsidRPr="002E60EB" w:rsidRDefault="0004795A" w:rsidP="00260DED">
      <w:pPr>
        <w:pStyle w:val="Prrafodelista"/>
        <w:ind w:left="0"/>
        <w:rPr>
          <w:sz w:val="20"/>
          <w:szCs w:val="20"/>
          <w:lang w:val="en-US"/>
        </w:rPr>
      </w:pPr>
    </w:p>
    <w:p w:rsidR="0004795A" w:rsidRPr="002E60EB" w:rsidRDefault="0004795A" w:rsidP="00317748">
      <w:pPr>
        <w:numPr>
          <w:ilvl w:val="0"/>
          <w:numId w:val="19"/>
        </w:numPr>
        <w:jc w:val="both"/>
        <w:rPr>
          <w:lang w:val="en-US"/>
        </w:rPr>
      </w:pPr>
      <w:r w:rsidRPr="002E60EB">
        <w:rPr>
          <w:lang w:val="en-US"/>
        </w:rPr>
        <w:t xml:space="preserve">In this regard, the Court </w:t>
      </w:r>
      <w:r w:rsidR="00D269D3" w:rsidRPr="002E60EB">
        <w:rPr>
          <w:lang w:val="en-US"/>
        </w:rPr>
        <w:t xml:space="preserve">appreciates </w:t>
      </w:r>
      <w:r w:rsidRPr="002E60EB">
        <w:rPr>
          <w:lang w:val="en-US"/>
        </w:rPr>
        <w:t xml:space="preserve">the State’s </w:t>
      </w:r>
      <w:r w:rsidR="00D269D3" w:rsidRPr="002E60EB">
        <w:rPr>
          <w:lang w:val="en-US"/>
        </w:rPr>
        <w:t xml:space="preserve">intention </w:t>
      </w:r>
      <w:r w:rsidRPr="002E60EB">
        <w:rPr>
          <w:lang w:val="en-US"/>
        </w:rPr>
        <w:t xml:space="preserve">to </w:t>
      </w:r>
      <w:r w:rsidR="00D269D3" w:rsidRPr="002E60EB">
        <w:rPr>
          <w:lang w:val="en-US"/>
        </w:rPr>
        <w:t xml:space="preserve">provide the necessary safety </w:t>
      </w:r>
      <w:r w:rsidRPr="002E60EB">
        <w:rPr>
          <w:lang w:val="en-US"/>
        </w:rPr>
        <w:t xml:space="preserve">measures </w:t>
      </w:r>
      <w:r w:rsidR="00D269D3" w:rsidRPr="002E60EB">
        <w:rPr>
          <w:lang w:val="en-US"/>
        </w:rPr>
        <w:t>for</w:t>
      </w:r>
      <w:r w:rsidRPr="002E60EB">
        <w:rPr>
          <w:lang w:val="en-US"/>
        </w:rPr>
        <w:t xml:space="preserve"> Mr. Vélez and </w:t>
      </w:r>
      <w:r w:rsidR="00D269D3" w:rsidRPr="002E60EB">
        <w:rPr>
          <w:lang w:val="en-US"/>
        </w:rPr>
        <w:t>family to</w:t>
      </w:r>
      <w:r w:rsidRPr="002E60EB">
        <w:rPr>
          <w:lang w:val="en-US"/>
        </w:rPr>
        <w:t xml:space="preserve"> return</w:t>
      </w:r>
      <w:r w:rsidR="00D269D3" w:rsidRPr="002E60EB">
        <w:rPr>
          <w:lang w:val="en-US"/>
        </w:rPr>
        <w:t xml:space="preserve"> to live in</w:t>
      </w:r>
      <w:r w:rsidRPr="002E60EB">
        <w:rPr>
          <w:lang w:val="en-US"/>
        </w:rPr>
        <w:t xml:space="preserve"> Colombia when they </w:t>
      </w:r>
      <w:r w:rsidR="00D269D3" w:rsidRPr="002E60EB">
        <w:rPr>
          <w:lang w:val="en-US"/>
        </w:rPr>
        <w:t xml:space="preserve">so </w:t>
      </w:r>
      <w:r w:rsidRPr="002E60EB">
        <w:rPr>
          <w:lang w:val="en-US"/>
        </w:rPr>
        <w:t xml:space="preserve">decide. However, the Court observes that the representative did not refer to this measure, and that, </w:t>
      </w:r>
      <w:r w:rsidR="00D269D3" w:rsidRPr="002E60EB">
        <w:rPr>
          <w:lang w:val="en-US"/>
        </w:rPr>
        <w:t>when testifying at the</w:t>
      </w:r>
      <w:r w:rsidRPr="002E60EB">
        <w:rPr>
          <w:lang w:val="en-US"/>
        </w:rPr>
        <w:t xml:space="preserve"> public hearing, Mr. Vélez Restrepo and Mrs. Román Amariles expressed their desire to return to Colombia, but at the same time consider that certain </w:t>
      </w:r>
      <w:r w:rsidR="00D269D3" w:rsidRPr="002E60EB">
        <w:rPr>
          <w:lang w:val="en-US"/>
        </w:rPr>
        <w:t xml:space="preserve">circumstances </w:t>
      </w:r>
      <w:r w:rsidR="00B53552" w:rsidRPr="002E60EB">
        <w:rPr>
          <w:lang w:val="en-US"/>
        </w:rPr>
        <w:t>make it difficult for them to t</w:t>
      </w:r>
      <w:r w:rsidRPr="002E60EB">
        <w:rPr>
          <w:lang w:val="en-US"/>
        </w:rPr>
        <w:t>ake th</w:t>
      </w:r>
      <w:r w:rsidR="00D269D3" w:rsidRPr="002E60EB">
        <w:rPr>
          <w:lang w:val="en-US"/>
        </w:rPr>
        <w:t>at</w:t>
      </w:r>
      <w:r w:rsidRPr="002E60EB">
        <w:rPr>
          <w:lang w:val="en-US"/>
        </w:rPr>
        <w:t xml:space="preserve"> decision, such as fear </w:t>
      </w:r>
      <w:r w:rsidR="00D269D3" w:rsidRPr="002E60EB">
        <w:rPr>
          <w:lang w:val="en-US"/>
        </w:rPr>
        <w:t>because of</w:t>
      </w:r>
      <w:r w:rsidRPr="002E60EB">
        <w:rPr>
          <w:lang w:val="en-US"/>
        </w:rPr>
        <w:t xml:space="preserve"> the country’s </w:t>
      </w:r>
      <w:r w:rsidR="00D269D3" w:rsidRPr="002E60EB">
        <w:rPr>
          <w:lang w:val="en-US"/>
        </w:rPr>
        <w:t>security situation</w:t>
      </w:r>
      <w:r w:rsidRPr="002E60EB">
        <w:rPr>
          <w:lang w:val="en-US"/>
        </w:rPr>
        <w:t>, the</w:t>
      </w:r>
      <w:r w:rsidR="00D269D3" w:rsidRPr="002E60EB">
        <w:rPr>
          <w:lang w:val="en-US"/>
        </w:rPr>
        <w:t>ir</w:t>
      </w:r>
      <w:r w:rsidRPr="002E60EB">
        <w:rPr>
          <w:lang w:val="en-US"/>
        </w:rPr>
        <w:t xml:space="preserve"> situation of </w:t>
      </w:r>
      <w:r w:rsidR="00D269D3" w:rsidRPr="002E60EB">
        <w:rPr>
          <w:lang w:val="en-US"/>
        </w:rPr>
        <w:t xml:space="preserve">financial </w:t>
      </w:r>
      <w:r w:rsidRPr="002E60EB">
        <w:rPr>
          <w:lang w:val="en-US"/>
        </w:rPr>
        <w:t xml:space="preserve">instability </w:t>
      </w:r>
      <w:r w:rsidR="00D269D3" w:rsidRPr="002E60EB">
        <w:rPr>
          <w:lang w:val="en-US"/>
        </w:rPr>
        <w:t>owing to</w:t>
      </w:r>
      <w:r w:rsidRPr="002E60EB">
        <w:rPr>
          <w:lang w:val="en-US"/>
        </w:rPr>
        <w:t xml:space="preserve"> the fact that Mr. Vélez Restrepo lost his job in Colombia and has not </w:t>
      </w:r>
      <w:r w:rsidR="00D269D3" w:rsidRPr="002E60EB">
        <w:rPr>
          <w:lang w:val="en-US"/>
        </w:rPr>
        <w:t>contributed</w:t>
      </w:r>
      <w:r w:rsidRPr="002E60EB">
        <w:rPr>
          <w:lang w:val="en-US"/>
        </w:rPr>
        <w:t xml:space="preserve"> to social security, and the family’s situation </w:t>
      </w:r>
      <w:r w:rsidR="00D269D3" w:rsidRPr="002E60EB">
        <w:rPr>
          <w:lang w:val="en-US"/>
        </w:rPr>
        <w:t>because</w:t>
      </w:r>
      <w:r w:rsidRPr="002E60EB">
        <w:rPr>
          <w:lang w:val="en-US"/>
        </w:rPr>
        <w:t xml:space="preserve"> </w:t>
      </w:r>
      <w:r w:rsidR="00D269D3" w:rsidRPr="002E60EB">
        <w:rPr>
          <w:lang w:val="en-US"/>
        </w:rPr>
        <w:t>their</w:t>
      </w:r>
      <w:r w:rsidRPr="002E60EB">
        <w:rPr>
          <w:lang w:val="en-US"/>
        </w:rPr>
        <w:t xml:space="preserve"> children are studying in the United States of America. The Court </w:t>
      </w:r>
      <w:r w:rsidR="00D269D3" w:rsidRPr="002E60EB">
        <w:rPr>
          <w:lang w:val="en-US"/>
        </w:rPr>
        <w:t>underscores</w:t>
      </w:r>
      <w:r w:rsidRPr="002E60EB">
        <w:rPr>
          <w:lang w:val="en-US"/>
        </w:rPr>
        <w:t xml:space="preserve"> that the two latter reasons </w:t>
      </w:r>
      <w:r w:rsidR="00D269D3" w:rsidRPr="002E60EB">
        <w:rPr>
          <w:lang w:val="en-US"/>
        </w:rPr>
        <w:t>result from</w:t>
      </w:r>
      <w:r w:rsidRPr="002E60EB">
        <w:rPr>
          <w:lang w:val="en-US"/>
        </w:rPr>
        <w:t xml:space="preserve"> the forced exile.</w:t>
      </w:r>
    </w:p>
    <w:p w:rsidR="0004795A" w:rsidRPr="002E60EB" w:rsidRDefault="0004795A" w:rsidP="00260DED">
      <w:pPr>
        <w:pStyle w:val="Prrafodelista"/>
        <w:ind w:left="0"/>
        <w:rPr>
          <w:sz w:val="20"/>
          <w:szCs w:val="20"/>
          <w:lang w:val="en-US"/>
        </w:rPr>
      </w:pPr>
    </w:p>
    <w:p w:rsidR="00B5134F" w:rsidRPr="002E60EB" w:rsidRDefault="0004795A" w:rsidP="00317748">
      <w:pPr>
        <w:numPr>
          <w:ilvl w:val="0"/>
          <w:numId w:val="19"/>
        </w:numPr>
        <w:jc w:val="both"/>
        <w:rPr>
          <w:color w:val="00B050"/>
          <w:lang w:val="en-US"/>
        </w:rPr>
      </w:pPr>
      <w:r w:rsidRPr="002E60EB">
        <w:rPr>
          <w:lang w:val="en-US"/>
        </w:rPr>
        <w:t>The Court</w:t>
      </w:r>
      <w:r w:rsidR="00B5134F" w:rsidRPr="002E60EB">
        <w:rPr>
          <w:lang w:val="en-US"/>
        </w:rPr>
        <w:t xml:space="preserve"> considers that an appropriate measure to repair the consequences of the violations that have been declared is to order the State to guarantee the conditions for </w:t>
      </w:r>
      <w:r w:rsidRPr="002E60EB">
        <w:rPr>
          <w:lang w:val="en-US"/>
        </w:rPr>
        <w:t>the Vélez Román family</w:t>
      </w:r>
      <w:r w:rsidR="00B5134F" w:rsidRPr="002E60EB">
        <w:rPr>
          <w:lang w:val="en-US"/>
        </w:rPr>
        <w:t xml:space="preserve"> to return to live in Colombia</w:t>
      </w:r>
      <w:r w:rsidRPr="002E60EB">
        <w:rPr>
          <w:lang w:val="en-US"/>
        </w:rPr>
        <w:t xml:space="preserve"> if they </w:t>
      </w:r>
      <w:r w:rsidR="00B5134F" w:rsidRPr="002E60EB">
        <w:rPr>
          <w:lang w:val="en-US"/>
        </w:rPr>
        <w:t xml:space="preserve">so </w:t>
      </w:r>
      <w:r w:rsidRPr="002E60EB">
        <w:rPr>
          <w:lang w:val="en-US"/>
        </w:rPr>
        <w:t>decide</w:t>
      </w:r>
      <w:r w:rsidR="00B5134F" w:rsidRPr="002E60EB">
        <w:rPr>
          <w:lang w:val="en-US"/>
        </w:rPr>
        <w:t>.</w:t>
      </w:r>
      <w:r w:rsidR="00B5134F" w:rsidRPr="002E60EB">
        <w:rPr>
          <w:rStyle w:val="Refdenotaalpie"/>
          <w:lang w:val="en-US"/>
        </w:rPr>
        <w:footnoteReference w:id="253"/>
      </w:r>
      <w:r w:rsidR="00B5134F" w:rsidRPr="002E60EB">
        <w:rPr>
          <w:lang w:val="en-US"/>
        </w:rPr>
        <w:t xml:space="preserve"> </w:t>
      </w:r>
      <w:r w:rsidRPr="002E60EB">
        <w:rPr>
          <w:lang w:val="en-US"/>
        </w:rPr>
        <w:t>Since the Vélez Román family</w:t>
      </w:r>
      <w:r w:rsidR="00B5134F" w:rsidRPr="002E60EB">
        <w:rPr>
          <w:lang w:val="en-US"/>
        </w:rPr>
        <w:t>’s intention</w:t>
      </w:r>
      <w:r w:rsidRPr="002E60EB">
        <w:rPr>
          <w:lang w:val="en-US"/>
        </w:rPr>
        <w:t xml:space="preserve"> to return to Colombia is </w:t>
      </w:r>
      <w:r w:rsidR="00B5134F" w:rsidRPr="002E60EB">
        <w:rPr>
          <w:lang w:val="en-US"/>
        </w:rPr>
        <w:t>un</w:t>
      </w:r>
      <w:r w:rsidRPr="002E60EB">
        <w:rPr>
          <w:lang w:val="en-US"/>
        </w:rPr>
        <w:t xml:space="preserve">clear, the State’s compliance with this measure requires the victims’ prior </w:t>
      </w:r>
      <w:r w:rsidR="00B5134F" w:rsidRPr="002E60EB">
        <w:rPr>
          <w:lang w:val="en-US"/>
        </w:rPr>
        <w:t>expression of</w:t>
      </w:r>
      <w:r w:rsidRPr="002E60EB">
        <w:rPr>
          <w:lang w:val="en-US"/>
        </w:rPr>
        <w:t xml:space="preserve"> their </w:t>
      </w:r>
      <w:r w:rsidR="00B5134F" w:rsidRPr="002E60EB">
        <w:rPr>
          <w:lang w:val="en-US"/>
        </w:rPr>
        <w:t xml:space="preserve">real </w:t>
      </w:r>
      <w:r w:rsidRPr="002E60EB">
        <w:rPr>
          <w:lang w:val="en-US"/>
        </w:rPr>
        <w:t xml:space="preserve">and true intention to return to Colombia, </w:t>
      </w:r>
      <w:r w:rsidR="00B5134F" w:rsidRPr="002E60EB">
        <w:rPr>
          <w:lang w:val="en-US"/>
        </w:rPr>
        <w:t>and they are granted one year for this. If, within the said time frame, the victims express their intention of returning to Colombia, a period of two years will</w:t>
      </w:r>
      <w:r w:rsidR="00B53552" w:rsidRPr="002E60EB">
        <w:rPr>
          <w:lang w:val="en-US"/>
        </w:rPr>
        <w:t xml:space="preserve"> then begin to</w:t>
      </w:r>
      <w:r w:rsidR="00B5134F" w:rsidRPr="002E60EB">
        <w:rPr>
          <w:lang w:val="en-US"/>
        </w:rPr>
        <w:t xml:space="preserve"> be calculated for </w:t>
      </w:r>
      <w:r w:rsidRPr="002E60EB">
        <w:rPr>
          <w:lang w:val="en-US"/>
        </w:rPr>
        <w:t>the State and the victims</w:t>
      </w:r>
      <w:r w:rsidR="00B5134F" w:rsidRPr="002E60EB">
        <w:rPr>
          <w:lang w:val="en-US"/>
        </w:rPr>
        <w:t xml:space="preserve"> to</w:t>
      </w:r>
      <w:r w:rsidRPr="002E60EB">
        <w:rPr>
          <w:lang w:val="en-US"/>
        </w:rPr>
        <w:t xml:space="preserve"> reach </w:t>
      </w:r>
      <w:r w:rsidR="00B5134F" w:rsidRPr="002E60EB">
        <w:rPr>
          <w:lang w:val="en-US"/>
        </w:rPr>
        <w:t>the rele</w:t>
      </w:r>
      <w:r w:rsidR="00B53552" w:rsidRPr="002E60EB">
        <w:rPr>
          <w:lang w:val="en-US"/>
        </w:rPr>
        <w:t>v</w:t>
      </w:r>
      <w:r w:rsidR="00B5134F" w:rsidRPr="002E60EB">
        <w:rPr>
          <w:lang w:val="en-US"/>
        </w:rPr>
        <w:t>ant</w:t>
      </w:r>
      <w:r w:rsidRPr="002E60EB">
        <w:rPr>
          <w:lang w:val="en-US"/>
        </w:rPr>
        <w:t xml:space="preserve"> agreement</w:t>
      </w:r>
      <w:r w:rsidR="00B5134F" w:rsidRPr="002E60EB">
        <w:rPr>
          <w:lang w:val="en-US"/>
        </w:rPr>
        <w:t xml:space="preserve"> for the State to guarantee them the said conditions for their return to Colombia. The State must pay the expenses of the return of the members of the family and their belongings.</w:t>
      </w:r>
    </w:p>
    <w:p w:rsidR="00B5134F" w:rsidRPr="002E60EB" w:rsidRDefault="00B5134F" w:rsidP="00317748">
      <w:pPr>
        <w:jc w:val="both"/>
        <w:rPr>
          <w:color w:val="00B050"/>
          <w:lang w:val="en-US"/>
        </w:rPr>
      </w:pPr>
    </w:p>
    <w:p w:rsidR="0004795A" w:rsidRPr="002E60EB" w:rsidRDefault="00B5134F" w:rsidP="00317748">
      <w:pPr>
        <w:numPr>
          <w:ilvl w:val="0"/>
          <w:numId w:val="19"/>
        </w:numPr>
        <w:jc w:val="both"/>
        <w:rPr>
          <w:color w:val="00B050"/>
          <w:lang w:val="en-US"/>
        </w:rPr>
      </w:pPr>
      <w:r w:rsidRPr="002E60EB">
        <w:rPr>
          <w:lang w:val="en-US"/>
        </w:rPr>
        <w:t>If, within the said one-year period, the membe</w:t>
      </w:r>
      <w:r w:rsidR="00B53552" w:rsidRPr="002E60EB">
        <w:rPr>
          <w:lang w:val="en-US"/>
        </w:rPr>
        <w:t>rs of the Vél</w:t>
      </w:r>
      <w:r w:rsidRPr="002E60EB">
        <w:rPr>
          <w:lang w:val="en-US"/>
        </w:rPr>
        <w:t>ez Román family state that they do not wish to live in Colombia, the State will not have a measure of reparation to fulfill in relation to this Judgment. However, if, in t</w:t>
      </w:r>
      <w:r w:rsidR="00B53552" w:rsidRPr="002E60EB">
        <w:rPr>
          <w:lang w:val="en-US"/>
        </w:rPr>
        <w:t>h</w:t>
      </w:r>
      <w:r w:rsidRPr="002E60EB">
        <w:rPr>
          <w:lang w:val="en-US"/>
        </w:rPr>
        <w:t>e future, Mr. Vélez Restrepo and the members of his family return to Colombia, the State must comply with its general obligation to guarantee them the rights to life and personal integrity, in accordance with the provisions of Articles 5 and 7 of the American Convention on Human Rights in relation to Article 1(1) thereof..</w:t>
      </w:r>
    </w:p>
    <w:p w:rsidR="0004795A" w:rsidRPr="002E60EB" w:rsidRDefault="0004795A" w:rsidP="00260DED">
      <w:pPr>
        <w:pStyle w:val="Prrafodelista2"/>
        <w:tabs>
          <w:tab w:val="left" w:pos="720"/>
        </w:tabs>
        <w:ind w:left="0"/>
        <w:contextualSpacing/>
        <w:jc w:val="both"/>
        <w:rPr>
          <w:lang w:val="en-US"/>
        </w:rPr>
      </w:pPr>
    </w:p>
    <w:p w:rsidR="00B5134F" w:rsidRPr="002E60EB" w:rsidRDefault="0004795A" w:rsidP="00317748">
      <w:pPr>
        <w:pStyle w:val="Prrafodelista2"/>
        <w:ind w:left="1440"/>
        <w:contextualSpacing/>
        <w:jc w:val="both"/>
        <w:rPr>
          <w:b/>
          <w:lang w:val="en-US"/>
        </w:rPr>
      </w:pPr>
      <w:r w:rsidRPr="002E60EB">
        <w:rPr>
          <w:b/>
          <w:lang w:val="en-US"/>
        </w:rPr>
        <w:t>B.</w:t>
      </w:r>
      <w:r w:rsidR="00B5134F" w:rsidRPr="002E60EB">
        <w:rPr>
          <w:b/>
          <w:lang w:val="en-US"/>
        </w:rPr>
        <w:t>2</w:t>
      </w:r>
      <w:r w:rsidRPr="002E60EB">
        <w:rPr>
          <w:b/>
          <w:lang w:val="en-US"/>
        </w:rPr>
        <w:t xml:space="preserve">) </w:t>
      </w:r>
      <w:r w:rsidR="00B5134F" w:rsidRPr="002E60EB">
        <w:rPr>
          <w:b/>
          <w:lang w:val="en-US"/>
        </w:rPr>
        <w:t>Rehabilitation</w:t>
      </w:r>
      <w:r w:rsidR="00B53552" w:rsidRPr="002E60EB">
        <w:rPr>
          <w:b/>
          <w:lang w:val="en-US"/>
        </w:rPr>
        <w:t>:</w:t>
      </w:r>
      <w:r w:rsidR="00B5134F" w:rsidRPr="002E60EB">
        <w:rPr>
          <w:b/>
          <w:lang w:val="en-US"/>
        </w:rPr>
        <w:t xml:space="preserve"> health care for the victims</w:t>
      </w:r>
    </w:p>
    <w:p w:rsidR="00B5134F" w:rsidRPr="002E60EB" w:rsidRDefault="00B5134F" w:rsidP="0068128C">
      <w:pPr>
        <w:pStyle w:val="Prrafodelista2"/>
        <w:ind w:left="1440"/>
        <w:contextualSpacing/>
        <w:jc w:val="both"/>
        <w:rPr>
          <w:b/>
          <w:lang w:val="en-US"/>
        </w:rPr>
      </w:pPr>
    </w:p>
    <w:p w:rsidR="0068128C" w:rsidRPr="002E60EB" w:rsidRDefault="0068128C" w:rsidP="0068128C">
      <w:pPr>
        <w:numPr>
          <w:ilvl w:val="0"/>
          <w:numId w:val="19"/>
        </w:numPr>
        <w:jc w:val="both"/>
        <w:rPr>
          <w:lang w:val="en-US"/>
        </w:rPr>
      </w:pPr>
      <w:r w:rsidRPr="002E60EB">
        <w:rPr>
          <w:lang w:val="en-US"/>
        </w:rPr>
        <w:t xml:space="preserve">The representative stated that he “considers […] essential” the need to “determine measures of reparation that provide adequate attention to the victims’ psychological and physical problems,” and therefore asked the Court to order the State to cover “the cost for the Vélez Román family of all the psycho-social and medical assistance required to alleviate the persistent </w:t>
      </w:r>
      <w:r w:rsidR="00B53552" w:rsidRPr="002E60EB">
        <w:rPr>
          <w:lang w:val="en-US"/>
        </w:rPr>
        <w:t>mental</w:t>
      </w:r>
      <w:r w:rsidRPr="002E60EB">
        <w:rPr>
          <w:lang w:val="en-US"/>
        </w:rPr>
        <w:t xml:space="preserve"> and physical effects of the violations suffered,” </w:t>
      </w:r>
      <w:r w:rsidR="001B7AF4" w:rsidRPr="002E60EB">
        <w:rPr>
          <w:lang w:val="en-US" w:eastAsia="es-ES"/>
        </w:rPr>
        <w:t>who</w:t>
      </w:r>
      <w:r w:rsidRPr="002E60EB">
        <w:rPr>
          <w:lang w:val="en-US" w:eastAsia="es-ES"/>
        </w:rPr>
        <w:t xml:space="preserve"> “require this professional treatment, bo</w:t>
      </w:r>
      <w:r w:rsidR="001B7AF4" w:rsidRPr="002E60EB">
        <w:rPr>
          <w:lang w:val="en-US" w:eastAsia="es-ES"/>
        </w:rPr>
        <w:t>th individually and as a family</w:t>
      </w:r>
      <w:r w:rsidRPr="002E60EB">
        <w:rPr>
          <w:lang w:val="en-US" w:eastAsia="es-ES"/>
        </w:rPr>
        <w:t xml:space="preserve"> and</w:t>
      </w:r>
      <w:r w:rsidR="001B7AF4" w:rsidRPr="002E60EB">
        <w:rPr>
          <w:lang w:val="en-US" w:eastAsia="es-ES"/>
        </w:rPr>
        <w:t>,</w:t>
      </w:r>
      <w:r w:rsidRPr="002E60EB">
        <w:rPr>
          <w:lang w:val="en-US" w:eastAsia="es-ES"/>
        </w:rPr>
        <w:t xml:space="preserve"> </w:t>
      </w:r>
      <w:r w:rsidR="00B53552" w:rsidRPr="002E60EB">
        <w:rPr>
          <w:lang w:val="en-US" w:eastAsia="es-ES"/>
        </w:rPr>
        <w:t>to date,</w:t>
      </w:r>
      <w:r w:rsidR="001B7AF4" w:rsidRPr="002E60EB">
        <w:rPr>
          <w:lang w:val="en-US" w:eastAsia="es-ES"/>
        </w:rPr>
        <w:t xml:space="preserve"> have </w:t>
      </w:r>
      <w:r w:rsidRPr="002E60EB">
        <w:rPr>
          <w:lang w:val="en-US" w:eastAsia="es-ES"/>
        </w:rPr>
        <w:t xml:space="preserve">been </w:t>
      </w:r>
      <w:r w:rsidR="001B7AF4" w:rsidRPr="002E60EB">
        <w:rPr>
          <w:lang w:val="en-US" w:eastAsia="es-ES"/>
        </w:rPr>
        <w:t>un</w:t>
      </w:r>
      <w:r w:rsidRPr="002E60EB">
        <w:rPr>
          <w:lang w:val="en-US" w:eastAsia="es-ES"/>
        </w:rPr>
        <w:t>able to receive it</w:t>
      </w:r>
      <w:r w:rsidRPr="002E60EB">
        <w:rPr>
          <w:lang w:val="en-US"/>
        </w:rPr>
        <w:t>.</w:t>
      </w:r>
      <w:r w:rsidRPr="002E60EB">
        <w:rPr>
          <w:lang w:val="en-US" w:eastAsia="es-ES"/>
        </w:rPr>
        <w:t>”</w:t>
      </w:r>
      <w:r w:rsidRPr="002E60EB">
        <w:rPr>
          <w:lang w:val="en-US"/>
        </w:rPr>
        <w:t xml:space="preserve"> </w:t>
      </w:r>
      <w:r w:rsidR="001B7AF4" w:rsidRPr="002E60EB">
        <w:rPr>
          <w:lang w:val="en-US"/>
        </w:rPr>
        <w:t>In particular</w:t>
      </w:r>
      <w:r w:rsidRPr="002E60EB">
        <w:rPr>
          <w:lang w:val="en-US"/>
        </w:rPr>
        <w:t xml:space="preserve">, he indicated that Mr. Vélez Restrepo, his </w:t>
      </w:r>
      <w:r w:rsidR="001B7AF4" w:rsidRPr="002E60EB">
        <w:rPr>
          <w:lang w:val="en-US"/>
        </w:rPr>
        <w:t>wife</w:t>
      </w:r>
      <w:r w:rsidRPr="002E60EB">
        <w:rPr>
          <w:lang w:val="en-US"/>
        </w:rPr>
        <w:t xml:space="preserve"> and </w:t>
      </w:r>
      <w:r w:rsidR="001B7AF4" w:rsidRPr="002E60EB">
        <w:rPr>
          <w:lang w:val="en-US"/>
        </w:rPr>
        <w:t xml:space="preserve">their </w:t>
      </w:r>
      <w:r w:rsidRPr="002E60EB">
        <w:rPr>
          <w:lang w:val="en-US"/>
        </w:rPr>
        <w:t xml:space="preserve">son Mateo </w:t>
      </w:r>
      <w:r w:rsidR="001B7AF4" w:rsidRPr="002E60EB">
        <w:rPr>
          <w:lang w:val="en-US"/>
        </w:rPr>
        <w:t xml:space="preserve">“need to </w:t>
      </w:r>
      <w:r w:rsidRPr="002E60EB">
        <w:rPr>
          <w:lang w:val="en-US"/>
        </w:rPr>
        <w:t>re</w:t>
      </w:r>
      <w:r w:rsidR="001B7AF4" w:rsidRPr="002E60EB">
        <w:rPr>
          <w:lang w:val="en-US"/>
        </w:rPr>
        <w:t>ceive</w:t>
      </w:r>
      <w:r w:rsidRPr="002E60EB">
        <w:rPr>
          <w:lang w:val="en-US"/>
        </w:rPr>
        <w:t xml:space="preserve"> individual professional treatment,</w:t>
      </w:r>
      <w:r w:rsidR="001B7AF4" w:rsidRPr="002E60EB">
        <w:rPr>
          <w:lang w:val="en-US"/>
        </w:rPr>
        <w:t>”</w:t>
      </w:r>
      <w:r w:rsidRPr="002E60EB">
        <w:rPr>
          <w:lang w:val="en-US"/>
        </w:rPr>
        <w:t xml:space="preserve"> </w:t>
      </w:r>
      <w:r w:rsidR="001B7AF4" w:rsidRPr="002E60EB">
        <w:rPr>
          <w:lang w:val="en-US"/>
        </w:rPr>
        <w:t>because</w:t>
      </w:r>
      <w:r w:rsidRPr="002E60EB">
        <w:rPr>
          <w:lang w:val="en-US"/>
        </w:rPr>
        <w:t xml:space="preserve"> they suffer from “debilitating physical effects” as a “</w:t>
      </w:r>
      <w:r w:rsidR="001B7AF4" w:rsidRPr="002E60EB">
        <w:rPr>
          <w:lang w:val="en-US"/>
        </w:rPr>
        <w:t>result</w:t>
      </w:r>
      <w:r w:rsidRPr="002E60EB">
        <w:rPr>
          <w:lang w:val="en-US"/>
        </w:rPr>
        <w:t xml:space="preserve"> of their prolonged </w:t>
      </w:r>
      <w:r w:rsidR="00B53552" w:rsidRPr="002E60EB">
        <w:rPr>
          <w:lang w:val="en-US"/>
        </w:rPr>
        <w:t>situation as</w:t>
      </w:r>
      <w:r w:rsidRPr="002E60EB">
        <w:rPr>
          <w:lang w:val="en-US"/>
        </w:rPr>
        <w:t xml:space="preserve"> victims of grave violations and</w:t>
      </w:r>
      <w:r w:rsidR="001B7AF4" w:rsidRPr="002E60EB">
        <w:rPr>
          <w:lang w:val="en-US"/>
        </w:rPr>
        <w:t xml:space="preserve"> </w:t>
      </w:r>
      <w:r w:rsidR="00B53552" w:rsidRPr="002E60EB">
        <w:rPr>
          <w:lang w:val="en-US"/>
        </w:rPr>
        <w:t>as</w:t>
      </w:r>
      <w:r w:rsidR="001B7AF4" w:rsidRPr="002E60EB">
        <w:rPr>
          <w:lang w:val="en-US"/>
        </w:rPr>
        <w:t xml:space="preserve"> </w:t>
      </w:r>
      <w:r w:rsidRPr="002E60EB">
        <w:rPr>
          <w:lang w:val="en-US"/>
        </w:rPr>
        <w:t>exile</w:t>
      </w:r>
      <w:r w:rsidR="001B7AF4" w:rsidRPr="002E60EB">
        <w:rPr>
          <w:lang w:val="en-US"/>
        </w:rPr>
        <w:t>s</w:t>
      </w:r>
      <w:r w:rsidRPr="002E60EB">
        <w:rPr>
          <w:lang w:val="en-US"/>
        </w:rPr>
        <w:t xml:space="preserve">.” In this </w:t>
      </w:r>
      <w:r w:rsidR="001B7AF4" w:rsidRPr="002E60EB">
        <w:rPr>
          <w:lang w:val="en-US"/>
        </w:rPr>
        <w:t>regard, he asked</w:t>
      </w:r>
      <w:r w:rsidRPr="002E60EB">
        <w:rPr>
          <w:lang w:val="en-US"/>
        </w:rPr>
        <w:t xml:space="preserve"> the Court </w:t>
      </w:r>
      <w:r w:rsidR="001B7AF4" w:rsidRPr="002E60EB">
        <w:rPr>
          <w:lang w:val="en-US"/>
        </w:rPr>
        <w:t xml:space="preserve">to </w:t>
      </w:r>
      <w:r w:rsidRPr="002E60EB">
        <w:rPr>
          <w:lang w:val="en-US"/>
        </w:rPr>
        <w:t xml:space="preserve">order the State to pay the </w:t>
      </w:r>
      <w:r w:rsidR="001B7AF4" w:rsidRPr="002E60EB">
        <w:rPr>
          <w:lang w:val="en-US"/>
        </w:rPr>
        <w:t>sum</w:t>
      </w:r>
      <w:r w:rsidRPr="002E60EB">
        <w:rPr>
          <w:lang w:val="en-US"/>
        </w:rPr>
        <w:t xml:space="preserve"> of US$20,000 to Mr. Vélez Restrepo, US$15,000 to Mrs. </w:t>
      </w:r>
      <w:r w:rsidR="001B7AF4" w:rsidRPr="002E60EB">
        <w:rPr>
          <w:lang w:val="en-US"/>
        </w:rPr>
        <w:t>Román Amariles</w:t>
      </w:r>
      <w:r w:rsidRPr="002E60EB">
        <w:rPr>
          <w:lang w:val="en-US"/>
        </w:rPr>
        <w:t>, and US$15,000 to Mateo Vélez Román</w:t>
      </w:r>
      <w:r w:rsidRPr="002E60EB">
        <w:rPr>
          <w:b/>
          <w:lang w:val="en-US" w:eastAsia="es-ES"/>
        </w:rPr>
        <w:t xml:space="preserve">, </w:t>
      </w:r>
      <w:r w:rsidRPr="002E60EB">
        <w:rPr>
          <w:lang w:val="en-US"/>
        </w:rPr>
        <w:t>and he ex</w:t>
      </w:r>
      <w:r w:rsidR="001B7AF4" w:rsidRPr="002E60EB">
        <w:rPr>
          <w:lang w:val="en-US"/>
        </w:rPr>
        <w:t>plained that the amounts for</w:t>
      </w:r>
      <w:r w:rsidRPr="002E60EB">
        <w:rPr>
          <w:lang w:val="en-US"/>
        </w:rPr>
        <w:t xml:space="preserve"> this concept </w:t>
      </w:r>
      <w:r w:rsidR="001B7AF4" w:rsidRPr="002E60EB">
        <w:rPr>
          <w:lang w:val="en-US"/>
        </w:rPr>
        <w:t>“</w:t>
      </w:r>
      <w:r w:rsidRPr="002E60EB">
        <w:rPr>
          <w:lang w:val="en-US"/>
        </w:rPr>
        <w:t xml:space="preserve">respond to the geographical and </w:t>
      </w:r>
      <w:r w:rsidR="001B7AF4" w:rsidRPr="002E60EB">
        <w:rPr>
          <w:lang w:val="en-US"/>
        </w:rPr>
        <w:t>financial</w:t>
      </w:r>
      <w:r w:rsidRPr="002E60EB">
        <w:rPr>
          <w:lang w:val="en-US"/>
        </w:rPr>
        <w:t xml:space="preserve"> realities of the family</w:t>
      </w:r>
      <w:r w:rsidR="001B7AF4" w:rsidRPr="002E60EB">
        <w:rPr>
          <w:lang w:val="en-US"/>
        </w:rPr>
        <w:t xml:space="preserve"> living</w:t>
      </w:r>
      <w:r w:rsidRPr="002E60EB">
        <w:rPr>
          <w:lang w:val="en-US"/>
        </w:rPr>
        <w:t xml:space="preserve"> in exile in New York</w:t>
      </w:r>
      <w:r w:rsidR="001B7AF4" w:rsidRPr="002E60EB">
        <w:rPr>
          <w:lang w:val="en-US"/>
        </w:rPr>
        <w:t>,</w:t>
      </w:r>
      <w:r w:rsidRPr="002E60EB">
        <w:rPr>
          <w:lang w:val="en-US"/>
        </w:rPr>
        <w:t xml:space="preserve"> United States.” </w:t>
      </w:r>
    </w:p>
    <w:p w:rsidR="0068128C" w:rsidRPr="002E60EB" w:rsidRDefault="0068128C" w:rsidP="0068128C">
      <w:pPr>
        <w:pStyle w:val="Prrafodelista2"/>
        <w:tabs>
          <w:tab w:val="left" w:pos="720"/>
        </w:tabs>
        <w:ind w:left="0"/>
        <w:contextualSpacing/>
        <w:jc w:val="both"/>
        <w:rPr>
          <w:lang w:val="en-US"/>
        </w:rPr>
      </w:pPr>
    </w:p>
    <w:p w:rsidR="0068128C" w:rsidRPr="002E60EB" w:rsidRDefault="0068128C" w:rsidP="00317748">
      <w:pPr>
        <w:numPr>
          <w:ilvl w:val="0"/>
          <w:numId w:val="19"/>
        </w:numPr>
        <w:jc w:val="both"/>
        <w:rPr>
          <w:lang w:val="en-US"/>
        </w:rPr>
      </w:pPr>
      <w:r w:rsidRPr="002E60EB">
        <w:rPr>
          <w:lang w:val="en-US"/>
        </w:rPr>
        <w:t xml:space="preserve">The State did not refer specifically to this measure of reparation. </w:t>
      </w:r>
    </w:p>
    <w:p w:rsidR="0068128C" w:rsidRPr="002E60EB" w:rsidRDefault="0068128C" w:rsidP="0068128C">
      <w:pPr>
        <w:pStyle w:val="Prrafodelista2"/>
        <w:tabs>
          <w:tab w:val="left" w:pos="720"/>
        </w:tabs>
        <w:ind w:left="0"/>
        <w:contextualSpacing/>
        <w:jc w:val="both"/>
        <w:rPr>
          <w:lang w:val="en-US"/>
        </w:rPr>
      </w:pPr>
    </w:p>
    <w:p w:rsidR="001B7AF4" w:rsidRPr="002E60EB" w:rsidRDefault="0068128C" w:rsidP="00317748">
      <w:pPr>
        <w:numPr>
          <w:ilvl w:val="0"/>
          <w:numId w:val="19"/>
        </w:numPr>
        <w:jc w:val="both"/>
        <w:rPr>
          <w:lang w:val="en-US"/>
        </w:rPr>
      </w:pPr>
      <w:r w:rsidRPr="002E60EB">
        <w:rPr>
          <w:lang w:val="en-US"/>
        </w:rPr>
        <w:t>The Court considers, as it has done so on other cases,</w:t>
      </w:r>
      <w:r w:rsidR="001B7AF4" w:rsidRPr="002E60EB">
        <w:rPr>
          <w:rStyle w:val="Refdenotaalpie"/>
          <w:lang w:val="en-US"/>
        </w:rPr>
        <w:footnoteReference w:id="254"/>
      </w:r>
      <w:r w:rsidRPr="002E60EB">
        <w:rPr>
          <w:lang w:val="en-US"/>
        </w:rPr>
        <w:t xml:space="preserve"> that it is necessary to </w:t>
      </w:r>
      <w:r w:rsidR="001B7AF4" w:rsidRPr="002E60EB">
        <w:rPr>
          <w:lang w:val="en-US"/>
        </w:rPr>
        <w:t>determine</w:t>
      </w:r>
      <w:r w:rsidRPr="002E60EB">
        <w:rPr>
          <w:lang w:val="en-US"/>
        </w:rPr>
        <w:t xml:space="preserve"> a measure of reparation that </w:t>
      </w:r>
      <w:r w:rsidR="001B7AF4" w:rsidRPr="002E60EB">
        <w:rPr>
          <w:lang w:val="en-US"/>
        </w:rPr>
        <w:t>provides</w:t>
      </w:r>
      <w:r w:rsidRPr="002E60EB">
        <w:rPr>
          <w:lang w:val="en-US"/>
        </w:rPr>
        <w:t xml:space="preserve"> adequate </w:t>
      </w:r>
      <w:r w:rsidR="001B7AF4" w:rsidRPr="002E60EB">
        <w:rPr>
          <w:lang w:val="en-US"/>
        </w:rPr>
        <w:t>treatment for</w:t>
      </w:r>
      <w:r w:rsidRPr="002E60EB">
        <w:rPr>
          <w:lang w:val="en-US"/>
        </w:rPr>
        <w:t xml:space="preserve"> the </w:t>
      </w:r>
      <w:r w:rsidR="001B7AF4" w:rsidRPr="002E60EB">
        <w:rPr>
          <w:lang w:val="en-US"/>
        </w:rPr>
        <w:t xml:space="preserve">health problems suffered by the victims as a result </w:t>
      </w:r>
      <w:r w:rsidRPr="002E60EB">
        <w:rPr>
          <w:lang w:val="en-US"/>
        </w:rPr>
        <w:t xml:space="preserve">of the violations established in </w:t>
      </w:r>
      <w:r w:rsidR="001B7AF4" w:rsidRPr="002E60EB">
        <w:rPr>
          <w:lang w:val="en-US"/>
        </w:rPr>
        <w:t>this</w:t>
      </w:r>
      <w:r w:rsidRPr="002E60EB">
        <w:rPr>
          <w:lang w:val="en-US"/>
        </w:rPr>
        <w:t xml:space="preserve"> Judgment</w:t>
      </w:r>
      <w:r w:rsidR="001B7AF4" w:rsidRPr="002E60EB">
        <w:rPr>
          <w:lang w:val="en-US"/>
        </w:rPr>
        <w:t>.</w:t>
      </w:r>
    </w:p>
    <w:p w:rsidR="001B7AF4" w:rsidRPr="002E60EB" w:rsidRDefault="001B7AF4" w:rsidP="001B7AF4">
      <w:pPr>
        <w:pStyle w:val="Prrafodelista"/>
        <w:rPr>
          <w:lang w:val="en-US"/>
        </w:rPr>
      </w:pPr>
    </w:p>
    <w:p w:rsidR="001B7AF4" w:rsidRPr="002E60EB" w:rsidRDefault="001B7AF4" w:rsidP="001B7AF4">
      <w:pPr>
        <w:numPr>
          <w:ilvl w:val="0"/>
          <w:numId w:val="19"/>
        </w:numPr>
        <w:jc w:val="both"/>
        <w:rPr>
          <w:lang w:val="en-US"/>
        </w:rPr>
      </w:pPr>
      <w:r w:rsidRPr="002E60EB">
        <w:rPr>
          <w:lang w:val="en-US"/>
        </w:rPr>
        <w:t xml:space="preserve"> </w:t>
      </w:r>
      <w:r w:rsidR="0068128C" w:rsidRPr="002E60EB">
        <w:rPr>
          <w:lang w:val="en-US"/>
        </w:rPr>
        <w:t>The Court</w:t>
      </w:r>
      <w:r w:rsidRPr="002E60EB">
        <w:rPr>
          <w:lang w:val="en-US"/>
        </w:rPr>
        <w:t xml:space="preserve"> determines that, if the victims express their intention to return to live in Colombia, in accordance with the time frames established in paragraph 265 of this Judgment, the State will have the obligation to provide them with immediate, adequate and effective health care if they request this, free of charge, and by its specialized health care institutions, including the provision of any medication they may eventually require, also free of charge, taking into consideration the ailments of each of them. </w:t>
      </w:r>
      <w:r w:rsidR="00F96C37" w:rsidRPr="002E60EB">
        <w:rPr>
          <w:lang w:val="en-US"/>
        </w:rPr>
        <w:t>If the State is unable to do</w:t>
      </w:r>
      <w:r w:rsidRPr="002E60EB">
        <w:rPr>
          <w:lang w:val="en-US"/>
        </w:rPr>
        <w:t xml:space="preserve"> this through its own health care institutions, </w:t>
      </w:r>
      <w:r w:rsidR="00F96C37" w:rsidRPr="002E60EB">
        <w:rPr>
          <w:lang w:val="en-US"/>
        </w:rPr>
        <w:t>it must have recourse to specialized private institutions or</w:t>
      </w:r>
      <w:r w:rsidR="0068128C" w:rsidRPr="002E60EB">
        <w:rPr>
          <w:lang w:val="en-US"/>
        </w:rPr>
        <w:t xml:space="preserve"> </w:t>
      </w:r>
      <w:r w:rsidR="00F96C37" w:rsidRPr="002E60EB">
        <w:rPr>
          <w:lang w:val="en-US"/>
        </w:rPr>
        <w:t>institutions of civil society. In addition, the respective treatment must be provided, insofar as possible, in the centers nearest to their places of residence in Colombia for all the time necessary.</w:t>
      </w:r>
      <w:r w:rsidR="00F96C37" w:rsidRPr="002E60EB">
        <w:rPr>
          <w:rStyle w:val="Refdenotaalpie"/>
          <w:lang w:val="en-US"/>
        </w:rPr>
        <w:footnoteReference w:id="255"/>
      </w:r>
      <w:r w:rsidR="00F96C37" w:rsidRPr="002E60EB">
        <w:rPr>
          <w:lang w:val="en-US"/>
        </w:rPr>
        <w:t xml:space="preserve"> When providing the psychological or psychiatric treatme</w:t>
      </w:r>
      <w:r w:rsidR="00FE246F" w:rsidRPr="002E60EB">
        <w:rPr>
          <w:lang w:val="en-US"/>
        </w:rPr>
        <w:t>nt the specific circumstances and</w:t>
      </w:r>
      <w:r w:rsidR="00F96C37" w:rsidRPr="002E60EB">
        <w:rPr>
          <w:lang w:val="en-US"/>
        </w:rPr>
        <w:t xml:space="preserve"> needs of each victim must be considered, so that they are provided with family or individual treatment</w:t>
      </w:r>
      <w:r w:rsidR="00FE246F" w:rsidRPr="002E60EB">
        <w:rPr>
          <w:lang w:val="en-US"/>
        </w:rPr>
        <w:t>, as agreed with each of them</w:t>
      </w:r>
      <w:r w:rsidR="00F96C37" w:rsidRPr="002E60EB">
        <w:rPr>
          <w:lang w:val="en-US"/>
        </w:rPr>
        <w:t xml:space="preserve"> following</w:t>
      </w:r>
      <w:r w:rsidR="00FE246F" w:rsidRPr="002E60EB">
        <w:rPr>
          <w:lang w:val="en-US"/>
        </w:rPr>
        <w:t xml:space="preserve"> an</w:t>
      </w:r>
      <w:r w:rsidR="00F96C37" w:rsidRPr="002E60EB">
        <w:rPr>
          <w:lang w:val="en-US"/>
        </w:rPr>
        <w:t xml:space="preserve"> individual assessment.</w:t>
      </w:r>
      <w:r w:rsidR="00F96C37" w:rsidRPr="002E60EB">
        <w:rPr>
          <w:rStyle w:val="Refdenotaalpie"/>
          <w:lang w:val="en-US"/>
        </w:rPr>
        <w:footnoteReference w:id="256"/>
      </w:r>
      <w:r w:rsidR="00F96C37" w:rsidRPr="002E60EB">
        <w:rPr>
          <w:lang w:val="en-US"/>
        </w:rPr>
        <w:t xml:space="preserve"> The victims who request this measure of reparation, or their legal representatives, must inform the State of their intention to receive psychological or psychiatric treatment.</w:t>
      </w:r>
      <w:r w:rsidR="00F96C37" w:rsidRPr="002E60EB">
        <w:rPr>
          <w:rStyle w:val="Refdenotaalpie"/>
          <w:lang w:val="en-US"/>
        </w:rPr>
        <w:footnoteReference w:id="257"/>
      </w:r>
    </w:p>
    <w:p w:rsidR="00F96C37" w:rsidRPr="002E60EB" w:rsidRDefault="00F96C37" w:rsidP="00F96C37">
      <w:pPr>
        <w:jc w:val="both"/>
        <w:rPr>
          <w:lang w:val="en-US"/>
        </w:rPr>
      </w:pPr>
    </w:p>
    <w:p w:rsidR="00F96C37" w:rsidRPr="002E60EB" w:rsidRDefault="00F96C37" w:rsidP="001B7AF4">
      <w:pPr>
        <w:numPr>
          <w:ilvl w:val="0"/>
          <w:numId w:val="19"/>
        </w:numPr>
        <w:jc w:val="both"/>
        <w:rPr>
          <w:lang w:val="en-US"/>
        </w:rPr>
      </w:pPr>
      <w:r w:rsidRPr="002E60EB">
        <w:rPr>
          <w:lang w:val="en-US"/>
        </w:rPr>
        <w:t>If the members of the Vélez Román family decide not to return to live in Colombia, the Court finds it a</w:t>
      </w:r>
      <w:r w:rsidR="00FE246F" w:rsidRPr="002E60EB">
        <w:rPr>
          <w:lang w:val="en-US"/>
        </w:rPr>
        <w:t>ppropriate</w:t>
      </w:r>
      <w:r w:rsidRPr="002E60EB">
        <w:rPr>
          <w:lang w:val="en-US"/>
        </w:rPr>
        <w:t xml:space="preserve"> that, in order to help cover the costs of health care, the State must deliver, </w:t>
      </w:r>
      <w:r w:rsidR="00FE246F" w:rsidRPr="002E60EB">
        <w:rPr>
          <w:lang w:val="en-US"/>
        </w:rPr>
        <w:t>once and within six months of</w:t>
      </w:r>
      <w:r w:rsidRPr="002E60EB">
        <w:rPr>
          <w:lang w:val="en-US"/>
        </w:rPr>
        <w:t xml:space="preserve"> the date of expiry of the one-year time frame established in paragraph 265 for the victims to express their intention of whether or not to return to live in Colombia, the sums of US$20,000 (twenty thousand United States dollars), US$15,000 (fifteen thousand United States dollars), and US$15,000 (fifteen thousand United States dollars) to Luis Gonzalo Vélez Restrepo, Aracelly Román Amariles</w:t>
      </w:r>
      <w:r w:rsidR="0015470F" w:rsidRPr="002E60EB">
        <w:rPr>
          <w:lang w:val="en-US"/>
        </w:rPr>
        <w:t xml:space="preserve"> and </w:t>
      </w:r>
      <w:r w:rsidRPr="002E60EB">
        <w:rPr>
          <w:lang w:val="en-US"/>
        </w:rPr>
        <w:t>Mateo Vélez Román, respectively.</w:t>
      </w:r>
    </w:p>
    <w:p w:rsidR="0068128C" w:rsidRPr="002E60EB" w:rsidRDefault="0068128C" w:rsidP="0068128C">
      <w:pPr>
        <w:pStyle w:val="Prrafodelista2"/>
        <w:tabs>
          <w:tab w:val="left" w:pos="720"/>
        </w:tabs>
        <w:ind w:left="0"/>
        <w:contextualSpacing/>
        <w:jc w:val="both"/>
        <w:rPr>
          <w:lang w:val="en-US"/>
        </w:rPr>
      </w:pPr>
    </w:p>
    <w:p w:rsidR="0068128C" w:rsidRPr="002E60EB" w:rsidRDefault="00F96C37" w:rsidP="00F96C37">
      <w:pPr>
        <w:tabs>
          <w:tab w:val="left" w:pos="720"/>
          <w:tab w:val="left" w:pos="1440"/>
        </w:tabs>
        <w:jc w:val="both"/>
        <w:rPr>
          <w:b/>
          <w:lang w:val="en-US"/>
        </w:rPr>
      </w:pPr>
      <w:r w:rsidRPr="002E60EB">
        <w:rPr>
          <w:b/>
          <w:lang w:val="en-US"/>
        </w:rPr>
        <w:tab/>
        <w:t>B.3</w:t>
      </w:r>
      <w:r w:rsidR="0068128C" w:rsidRPr="002E60EB">
        <w:rPr>
          <w:b/>
          <w:lang w:val="en-US"/>
        </w:rPr>
        <w:t xml:space="preserve">) Satisfaction: </w:t>
      </w:r>
      <w:r w:rsidRPr="002E60EB">
        <w:rPr>
          <w:b/>
          <w:lang w:val="en-US"/>
        </w:rPr>
        <w:t>publication and dissemination of the Judgment</w:t>
      </w:r>
    </w:p>
    <w:p w:rsidR="00F96C37" w:rsidRPr="002E60EB" w:rsidRDefault="00F96C37" w:rsidP="00F96C37">
      <w:pPr>
        <w:tabs>
          <w:tab w:val="left" w:pos="720"/>
          <w:tab w:val="left" w:pos="1440"/>
        </w:tabs>
        <w:jc w:val="both"/>
        <w:rPr>
          <w:b/>
          <w:lang w:val="en-US"/>
        </w:rPr>
      </w:pPr>
    </w:p>
    <w:p w:rsidR="0068128C" w:rsidRPr="002E60EB" w:rsidRDefault="00F96C37" w:rsidP="0039243A">
      <w:pPr>
        <w:numPr>
          <w:ilvl w:val="0"/>
          <w:numId w:val="19"/>
        </w:numPr>
        <w:tabs>
          <w:tab w:val="clear" w:pos="680"/>
        </w:tabs>
        <w:jc w:val="both"/>
        <w:rPr>
          <w:lang w:val="en-US"/>
        </w:rPr>
      </w:pPr>
      <w:r w:rsidRPr="002E60EB">
        <w:rPr>
          <w:rFonts w:cs="Verdana"/>
          <w:lang w:val="en-US"/>
        </w:rPr>
        <w:t>Regarding</w:t>
      </w:r>
      <w:r w:rsidR="0068128C" w:rsidRPr="002E60EB">
        <w:rPr>
          <w:rFonts w:cs="Verdana"/>
          <w:lang w:val="en-US"/>
        </w:rPr>
        <w:t xml:space="preserve"> the publication and </w:t>
      </w:r>
      <w:r w:rsidRPr="002E60EB">
        <w:rPr>
          <w:rFonts w:cs="Verdana"/>
          <w:lang w:val="en-US"/>
        </w:rPr>
        <w:t xml:space="preserve">dissemination </w:t>
      </w:r>
      <w:r w:rsidR="0068128C" w:rsidRPr="002E60EB">
        <w:rPr>
          <w:rFonts w:cs="Verdana"/>
          <w:lang w:val="en-US"/>
        </w:rPr>
        <w:t xml:space="preserve">of the Judgment, the representative </w:t>
      </w:r>
      <w:r w:rsidRPr="002E60EB">
        <w:rPr>
          <w:rFonts w:cs="Verdana"/>
          <w:lang w:val="en-US"/>
        </w:rPr>
        <w:t>asked</w:t>
      </w:r>
      <w:r w:rsidR="0068128C" w:rsidRPr="002E60EB">
        <w:rPr>
          <w:rFonts w:cs="Verdana"/>
          <w:lang w:val="en-US"/>
        </w:rPr>
        <w:t xml:space="preserve"> the Court </w:t>
      </w:r>
      <w:r w:rsidRPr="002E60EB">
        <w:rPr>
          <w:rFonts w:cs="Verdana"/>
          <w:lang w:val="en-US"/>
        </w:rPr>
        <w:t xml:space="preserve">to </w:t>
      </w:r>
      <w:r w:rsidR="0068128C" w:rsidRPr="002E60EB">
        <w:rPr>
          <w:rFonts w:cs="Verdana"/>
          <w:lang w:val="en-US"/>
        </w:rPr>
        <w:t xml:space="preserve">order the State </w:t>
      </w:r>
      <w:r w:rsidRPr="002E60EB">
        <w:rPr>
          <w:rFonts w:cs="Verdana"/>
          <w:lang w:val="en-US"/>
        </w:rPr>
        <w:t>“[</w:t>
      </w:r>
      <w:r w:rsidR="0068128C" w:rsidRPr="002E60EB">
        <w:rPr>
          <w:rFonts w:cs="Verdana"/>
          <w:lang w:val="en-US"/>
        </w:rPr>
        <w:t>t</w:t>
      </w:r>
      <w:r w:rsidRPr="002E60EB">
        <w:rPr>
          <w:rFonts w:cs="Verdana"/>
          <w:lang w:val="en-US"/>
        </w:rPr>
        <w:t>]</w:t>
      </w:r>
      <w:r w:rsidR="0068128C" w:rsidRPr="002E60EB">
        <w:rPr>
          <w:rFonts w:cs="Verdana"/>
          <w:lang w:val="en-US"/>
        </w:rPr>
        <w:t xml:space="preserve">o publish </w:t>
      </w:r>
      <w:r w:rsidRPr="002E60EB">
        <w:rPr>
          <w:rFonts w:cs="Verdana"/>
          <w:lang w:val="en-US"/>
        </w:rPr>
        <w:t>opportunely and repeatedly in</w:t>
      </w:r>
      <w:r w:rsidR="0068128C" w:rsidRPr="002E60EB">
        <w:rPr>
          <w:rFonts w:cs="Verdana"/>
          <w:lang w:val="en-US"/>
        </w:rPr>
        <w:t xml:space="preserve"> the newspapers </w:t>
      </w:r>
      <w:r w:rsidR="0068128C" w:rsidRPr="002E60EB">
        <w:rPr>
          <w:rFonts w:cs="Verdana"/>
          <w:i/>
          <w:lang w:val="en-US"/>
        </w:rPr>
        <w:t xml:space="preserve">El Espectador, El Tiempo and El Colombiano, </w:t>
      </w:r>
      <w:r w:rsidR="0068128C" w:rsidRPr="002E60EB">
        <w:rPr>
          <w:rFonts w:cs="Verdana"/>
          <w:lang w:val="en-US"/>
        </w:rPr>
        <w:t xml:space="preserve">as well as in the Official Gazette, the </w:t>
      </w:r>
      <w:r w:rsidRPr="002E60EB">
        <w:rPr>
          <w:rFonts w:cs="Verdana"/>
          <w:lang w:val="en-US"/>
        </w:rPr>
        <w:t xml:space="preserve">pertinent </w:t>
      </w:r>
      <w:r w:rsidR="0068128C" w:rsidRPr="002E60EB">
        <w:rPr>
          <w:rFonts w:cs="Verdana"/>
          <w:lang w:val="en-US"/>
        </w:rPr>
        <w:t>parts of the</w:t>
      </w:r>
      <w:r w:rsidRPr="002E60EB">
        <w:rPr>
          <w:rFonts w:cs="Verdana"/>
          <w:lang w:val="en-US"/>
        </w:rPr>
        <w:t xml:space="preserve"> Court’s</w:t>
      </w:r>
      <w:r w:rsidR="0068128C" w:rsidRPr="002E60EB">
        <w:rPr>
          <w:rFonts w:cs="Verdana"/>
          <w:lang w:val="en-US"/>
        </w:rPr>
        <w:t xml:space="preserve"> Judgment, </w:t>
      </w:r>
      <w:r w:rsidRPr="002E60EB">
        <w:rPr>
          <w:rFonts w:cs="Verdana"/>
          <w:lang w:val="en-US"/>
        </w:rPr>
        <w:t xml:space="preserve">in particular </w:t>
      </w:r>
      <w:r w:rsidR="0068128C" w:rsidRPr="002E60EB">
        <w:rPr>
          <w:rFonts w:cs="Verdana"/>
          <w:lang w:val="en-US"/>
        </w:rPr>
        <w:t xml:space="preserve">the section on proven facts and the operative paragraphs,” and that the State make </w:t>
      </w:r>
      <w:r w:rsidR="00A96985" w:rsidRPr="002E60EB">
        <w:rPr>
          <w:rFonts w:cs="Verdana"/>
          <w:lang w:val="en-US"/>
        </w:rPr>
        <w:t xml:space="preserve">the </w:t>
      </w:r>
      <w:r w:rsidR="0068128C" w:rsidRPr="002E60EB">
        <w:rPr>
          <w:rFonts w:cs="Verdana"/>
          <w:lang w:val="en-US"/>
        </w:rPr>
        <w:t xml:space="preserve">said publication, </w:t>
      </w:r>
      <w:r w:rsidR="00A96985" w:rsidRPr="002E60EB">
        <w:rPr>
          <w:rFonts w:cs="Verdana"/>
          <w:lang w:val="en-US"/>
        </w:rPr>
        <w:t>“</w:t>
      </w:r>
      <w:r w:rsidR="0068128C" w:rsidRPr="002E60EB">
        <w:rPr>
          <w:rFonts w:cs="Verdana"/>
          <w:lang w:val="en-US"/>
        </w:rPr>
        <w:t xml:space="preserve">translated </w:t>
      </w:r>
      <w:r w:rsidR="00A96985" w:rsidRPr="002E60EB">
        <w:rPr>
          <w:rFonts w:cs="Verdana"/>
          <w:lang w:val="en-US"/>
        </w:rPr>
        <w:t>in</w:t>
      </w:r>
      <w:r w:rsidR="0068128C" w:rsidRPr="002E60EB">
        <w:rPr>
          <w:rFonts w:cs="Verdana"/>
          <w:lang w:val="en-US"/>
        </w:rPr>
        <w:t xml:space="preserve">to the English language, “in a newspaper </w:t>
      </w:r>
      <w:r w:rsidR="00A96985" w:rsidRPr="002E60EB">
        <w:rPr>
          <w:rFonts w:cs="Verdana"/>
          <w:lang w:val="en-US"/>
        </w:rPr>
        <w:t>with widespread</w:t>
      </w:r>
      <w:r w:rsidR="0068128C" w:rsidRPr="002E60EB">
        <w:rPr>
          <w:rFonts w:cs="Verdana"/>
          <w:lang w:val="en-US"/>
        </w:rPr>
        <w:t xml:space="preserve"> circulation in the United States, specifically in the area where the family lives.” </w:t>
      </w:r>
    </w:p>
    <w:p w:rsidR="0068128C" w:rsidRPr="002E60EB" w:rsidRDefault="0068128C" w:rsidP="0039243A">
      <w:pPr>
        <w:pStyle w:val="Prrafodelista2"/>
        <w:tabs>
          <w:tab w:val="left" w:pos="720"/>
        </w:tabs>
        <w:ind w:left="0"/>
        <w:contextualSpacing/>
        <w:jc w:val="both"/>
        <w:rPr>
          <w:lang w:val="en-US"/>
        </w:rPr>
      </w:pPr>
    </w:p>
    <w:p w:rsidR="0068128C" w:rsidRPr="002E60EB" w:rsidRDefault="0068128C" w:rsidP="0039243A">
      <w:pPr>
        <w:numPr>
          <w:ilvl w:val="0"/>
          <w:numId w:val="19"/>
        </w:numPr>
        <w:tabs>
          <w:tab w:val="clear" w:pos="680"/>
        </w:tabs>
        <w:jc w:val="both"/>
        <w:rPr>
          <w:strike/>
          <w:lang w:val="en-US"/>
        </w:rPr>
      </w:pPr>
      <w:r w:rsidRPr="002E60EB">
        <w:rPr>
          <w:lang w:val="en-US" w:eastAsia="es-ES"/>
        </w:rPr>
        <w:t xml:space="preserve">The State </w:t>
      </w:r>
      <w:r w:rsidR="00A96985" w:rsidRPr="002E60EB">
        <w:rPr>
          <w:lang w:val="en-US" w:eastAsia="es-ES"/>
        </w:rPr>
        <w:t xml:space="preserve">indicated </w:t>
      </w:r>
      <w:r w:rsidRPr="002E60EB">
        <w:rPr>
          <w:lang w:val="en-US" w:eastAsia="es-ES"/>
        </w:rPr>
        <w:t xml:space="preserve">that “it will respect the decision of the […] Court in this </w:t>
      </w:r>
      <w:r w:rsidR="00A96985" w:rsidRPr="002E60EB">
        <w:rPr>
          <w:lang w:val="en-US" w:eastAsia="es-ES"/>
        </w:rPr>
        <w:t>regard</w:t>
      </w:r>
      <w:r w:rsidRPr="002E60EB">
        <w:rPr>
          <w:lang w:val="en-US" w:eastAsia="es-ES"/>
        </w:rPr>
        <w:t xml:space="preserve">, </w:t>
      </w:r>
      <w:r w:rsidR="00A96985" w:rsidRPr="002E60EB">
        <w:rPr>
          <w:lang w:val="en-US" w:eastAsia="es-ES"/>
        </w:rPr>
        <w:t xml:space="preserve">in keeping with </w:t>
      </w:r>
      <w:r w:rsidRPr="002E60EB">
        <w:rPr>
          <w:lang w:val="en-US" w:eastAsia="es-ES"/>
        </w:rPr>
        <w:t>the criteria of reasonab</w:t>
      </w:r>
      <w:r w:rsidR="00A96985" w:rsidRPr="002E60EB">
        <w:rPr>
          <w:lang w:val="en-US" w:eastAsia="es-ES"/>
        </w:rPr>
        <w:t>leness</w:t>
      </w:r>
      <w:r w:rsidRPr="002E60EB">
        <w:rPr>
          <w:lang w:val="en-US" w:eastAsia="es-ES"/>
        </w:rPr>
        <w:t xml:space="preserve"> and proportionality and the </w:t>
      </w:r>
      <w:r w:rsidR="00A96985" w:rsidRPr="002E60EB">
        <w:rPr>
          <w:lang w:val="en-US" w:eastAsia="es-ES"/>
        </w:rPr>
        <w:t xml:space="preserve">causal nexus </w:t>
      </w:r>
      <w:r w:rsidRPr="002E60EB">
        <w:rPr>
          <w:lang w:val="en-US" w:eastAsia="es-ES"/>
        </w:rPr>
        <w:t>with the violations that have</w:t>
      </w:r>
      <w:r w:rsidR="00A96985" w:rsidRPr="002E60EB">
        <w:rPr>
          <w:lang w:val="en-US" w:eastAsia="es-ES"/>
        </w:rPr>
        <w:t xml:space="preserve"> really</w:t>
      </w:r>
      <w:r w:rsidRPr="002E60EB">
        <w:rPr>
          <w:lang w:val="en-US" w:eastAsia="es-ES"/>
        </w:rPr>
        <w:t xml:space="preserve"> been prove</w:t>
      </w:r>
      <w:r w:rsidR="00A96985" w:rsidRPr="002E60EB">
        <w:rPr>
          <w:lang w:val="en-US" w:eastAsia="es-ES"/>
        </w:rPr>
        <w:t>d</w:t>
      </w:r>
      <w:r w:rsidRPr="002E60EB">
        <w:rPr>
          <w:lang w:val="en-US" w:eastAsia="es-ES"/>
        </w:rPr>
        <w:t xml:space="preserve">.” However, it observed </w:t>
      </w:r>
      <w:r w:rsidR="00A96985" w:rsidRPr="002E60EB">
        <w:rPr>
          <w:lang w:val="en-US" w:eastAsia="es-ES"/>
        </w:rPr>
        <w:t>“</w:t>
      </w:r>
      <w:r w:rsidRPr="002E60EB">
        <w:rPr>
          <w:lang w:val="en-US" w:eastAsia="es-ES"/>
        </w:rPr>
        <w:t xml:space="preserve">that the </w:t>
      </w:r>
      <w:r w:rsidR="00A96985" w:rsidRPr="002E60EB">
        <w:rPr>
          <w:lang w:val="en-US" w:eastAsia="es-ES"/>
        </w:rPr>
        <w:t>[</w:t>
      </w:r>
      <w:r w:rsidRPr="002E60EB">
        <w:rPr>
          <w:lang w:val="en-US" w:eastAsia="es-ES"/>
        </w:rPr>
        <w:t>Court’s</w:t>
      </w:r>
      <w:r w:rsidR="00A96985" w:rsidRPr="002E60EB">
        <w:rPr>
          <w:lang w:val="en-US" w:eastAsia="es-ES"/>
        </w:rPr>
        <w:t>]</w:t>
      </w:r>
      <w:r w:rsidRPr="002E60EB">
        <w:rPr>
          <w:lang w:val="en-US" w:eastAsia="es-ES"/>
        </w:rPr>
        <w:t xml:space="preserve"> practice </w:t>
      </w:r>
      <w:r w:rsidR="00A96985" w:rsidRPr="002E60EB">
        <w:rPr>
          <w:lang w:val="en-US" w:eastAsia="es-ES"/>
        </w:rPr>
        <w:t xml:space="preserve">reveals </w:t>
      </w:r>
      <w:r w:rsidRPr="002E60EB">
        <w:rPr>
          <w:lang w:val="en-US" w:eastAsia="es-ES"/>
        </w:rPr>
        <w:t>that</w:t>
      </w:r>
      <w:r w:rsidR="00A96985" w:rsidRPr="002E60EB">
        <w:rPr>
          <w:lang w:val="en-US" w:eastAsia="es-ES"/>
        </w:rPr>
        <w:t xml:space="preserve"> it is sufficient to publish</w:t>
      </w:r>
      <w:r w:rsidRPr="002E60EB">
        <w:rPr>
          <w:lang w:val="en-US" w:eastAsia="es-ES"/>
        </w:rPr>
        <w:t xml:space="preserve"> </w:t>
      </w:r>
      <w:r w:rsidR="00A96985" w:rsidRPr="002E60EB">
        <w:rPr>
          <w:lang w:val="en-US" w:eastAsia="es-ES"/>
        </w:rPr>
        <w:t>the</w:t>
      </w:r>
      <w:r w:rsidRPr="002E60EB">
        <w:rPr>
          <w:lang w:val="en-US" w:eastAsia="es-ES"/>
        </w:rPr>
        <w:t xml:space="preserve"> important [parts] of the</w:t>
      </w:r>
      <w:r w:rsidR="00A96985" w:rsidRPr="002E60EB">
        <w:rPr>
          <w:lang w:val="en-US" w:eastAsia="es-ES"/>
        </w:rPr>
        <w:t xml:space="preserve"> </w:t>
      </w:r>
      <w:r w:rsidRPr="002E60EB">
        <w:rPr>
          <w:lang w:val="en-US" w:eastAsia="es-ES"/>
        </w:rPr>
        <w:t xml:space="preserve">Judgment in a single </w:t>
      </w:r>
      <w:r w:rsidR="00A96985" w:rsidRPr="002E60EB">
        <w:rPr>
          <w:lang w:val="en-US" w:eastAsia="es-ES"/>
        </w:rPr>
        <w:t xml:space="preserve">national </w:t>
      </w:r>
      <w:r w:rsidRPr="002E60EB">
        <w:rPr>
          <w:lang w:val="en-US" w:eastAsia="es-ES"/>
        </w:rPr>
        <w:t xml:space="preserve">newspaper.” </w:t>
      </w:r>
    </w:p>
    <w:p w:rsidR="0068128C" w:rsidRPr="002E60EB" w:rsidRDefault="0068128C" w:rsidP="0039243A">
      <w:pPr>
        <w:pStyle w:val="Prrafodelista"/>
        <w:ind w:left="0"/>
        <w:rPr>
          <w:sz w:val="20"/>
          <w:szCs w:val="20"/>
          <w:lang w:val="en-US"/>
        </w:rPr>
      </w:pPr>
    </w:p>
    <w:p w:rsidR="0068128C" w:rsidRPr="002E60EB" w:rsidRDefault="0068128C" w:rsidP="0039243A">
      <w:pPr>
        <w:numPr>
          <w:ilvl w:val="0"/>
          <w:numId w:val="19"/>
        </w:numPr>
        <w:tabs>
          <w:tab w:val="clear" w:pos="680"/>
        </w:tabs>
        <w:jc w:val="both"/>
        <w:rPr>
          <w:lang w:val="en-US"/>
        </w:rPr>
      </w:pPr>
      <w:r w:rsidRPr="002E60EB">
        <w:rPr>
          <w:lang w:val="en-US"/>
        </w:rPr>
        <w:t xml:space="preserve">The Court </w:t>
      </w:r>
      <w:r w:rsidR="00A96985" w:rsidRPr="002E60EB">
        <w:rPr>
          <w:lang w:val="en-US"/>
        </w:rPr>
        <w:t>determines</w:t>
      </w:r>
      <w:r w:rsidRPr="002E60EB">
        <w:rPr>
          <w:lang w:val="en-US"/>
        </w:rPr>
        <w:t>, as it has in other cases,</w:t>
      </w:r>
      <w:r w:rsidR="00A96985" w:rsidRPr="002E60EB">
        <w:rPr>
          <w:rStyle w:val="Refdenotaalpie"/>
          <w:lang w:val="en-US"/>
        </w:rPr>
        <w:footnoteReference w:id="258"/>
      </w:r>
      <w:r w:rsidRPr="002E60EB">
        <w:rPr>
          <w:lang w:val="en-US"/>
        </w:rPr>
        <w:t xml:space="preserve"> that the State </w:t>
      </w:r>
      <w:r w:rsidR="00A96985" w:rsidRPr="002E60EB">
        <w:rPr>
          <w:lang w:val="en-US"/>
        </w:rPr>
        <w:t>must publish</w:t>
      </w:r>
      <w:r w:rsidRPr="002E60EB">
        <w:rPr>
          <w:lang w:val="en-US"/>
        </w:rPr>
        <w:t xml:space="preserve"> within six</w:t>
      </w:r>
      <w:r w:rsidR="00A96985" w:rsidRPr="002E60EB">
        <w:rPr>
          <w:lang w:val="en-US"/>
        </w:rPr>
        <w:t xml:space="preserve"> </w:t>
      </w:r>
      <w:r w:rsidRPr="002E60EB">
        <w:rPr>
          <w:lang w:val="en-US"/>
        </w:rPr>
        <w:t>month</w:t>
      </w:r>
      <w:r w:rsidR="00A96985" w:rsidRPr="002E60EB">
        <w:rPr>
          <w:lang w:val="en-US"/>
        </w:rPr>
        <w:t xml:space="preserve">s </w:t>
      </w:r>
      <w:r w:rsidRPr="002E60EB">
        <w:rPr>
          <w:lang w:val="en-US"/>
        </w:rPr>
        <w:t xml:space="preserve">of notification of </w:t>
      </w:r>
      <w:r w:rsidR="00A96985" w:rsidRPr="002E60EB">
        <w:rPr>
          <w:lang w:val="en-US"/>
        </w:rPr>
        <w:t>this</w:t>
      </w:r>
      <w:r w:rsidRPr="002E60EB">
        <w:rPr>
          <w:lang w:val="en-US"/>
        </w:rPr>
        <w:t xml:space="preserve"> Judgment: </w:t>
      </w:r>
      <w:r w:rsidR="00A96985" w:rsidRPr="002E60EB">
        <w:rPr>
          <w:lang w:val="en-US"/>
        </w:rPr>
        <w:t>(</w:t>
      </w:r>
      <w:r w:rsidRPr="002E60EB">
        <w:rPr>
          <w:lang w:val="en-US"/>
        </w:rPr>
        <w:t xml:space="preserve">a) the official summary of </w:t>
      </w:r>
      <w:r w:rsidR="00A96985" w:rsidRPr="002E60EB">
        <w:rPr>
          <w:lang w:val="en-US"/>
        </w:rPr>
        <w:t>this</w:t>
      </w:r>
      <w:r w:rsidRPr="002E60EB">
        <w:rPr>
          <w:lang w:val="en-US"/>
        </w:rPr>
        <w:t xml:space="preserve"> Judgment prepared by the Court, </w:t>
      </w:r>
      <w:r w:rsidR="00A96985" w:rsidRPr="002E60EB">
        <w:rPr>
          <w:lang w:val="en-US"/>
        </w:rPr>
        <w:t>once</w:t>
      </w:r>
      <w:r w:rsidRPr="002E60EB">
        <w:rPr>
          <w:lang w:val="en-US"/>
        </w:rPr>
        <w:t xml:space="preserve">, in </w:t>
      </w:r>
      <w:r w:rsidR="00A96985" w:rsidRPr="002E60EB">
        <w:rPr>
          <w:lang w:val="en-US"/>
        </w:rPr>
        <w:t>once</w:t>
      </w:r>
      <w:r w:rsidRPr="002E60EB">
        <w:rPr>
          <w:lang w:val="en-US"/>
        </w:rPr>
        <w:t xml:space="preserve">, in </w:t>
      </w:r>
      <w:r w:rsidR="00636A6D" w:rsidRPr="002E60EB">
        <w:rPr>
          <w:lang w:val="en-US"/>
        </w:rPr>
        <w:t xml:space="preserve">the official gazette; (b) the official summary of this Judgment prepared by the Court, once, in a national newspaper with widespread circulation, </w:t>
      </w:r>
      <w:r w:rsidRPr="002E60EB">
        <w:rPr>
          <w:lang w:val="en-US"/>
        </w:rPr>
        <w:t xml:space="preserve">and </w:t>
      </w:r>
      <w:r w:rsidR="00A96985" w:rsidRPr="002E60EB">
        <w:rPr>
          <w:lang w:val="en-US"/>
        </w:rPr>
        <w:t>(</w:t>
      </w:r>
      <w:r w:rsidRPr="002E60EB">
        <w:rPr>
          <w:lang w:val="en-US"/>
        </w:rPr>
        <w:t xml:space="preserve">c) </w:t>
      </w:r>
      <w:r w:rsidR="00A96985" w:rsidRPr="002E60EB">
        <w:rPr>
          <w:lang w:val="en-US"/>
        </w:rPr>
        <w:t>this</w:t>
      </w:r>
      <w:r w:rsidRPr="002E60EB">
        <w:rPr>
          <w:lang w:val="en-US"/>
        </w:rPr>
        <w:t xml:space="preserve"> Judgment in its </w:t>
      </w:r>
      <w:r w:rsidR="00A96985" w:rsidRPr="002E60EB">
        <w:rPr>
          <w:lang w:val="en-US"/>
        </w:rPr>
        <w:t>entirety</w:t>
      </w:r>
      <w:r w:rsidRPr="002E60EB">
        <w:rPr>
          <w:lang w:val="en-US"/>
        </w:rPr>
        <w:t xml:space="preserve">, available for </w:t>
      </w:r>
      <w:r w:rsidR="00A96985" w:rsidRPr="002E60EB">
        <w:rPr>
          <w:lang w:val="en-US"/>
        </w:rPr>
        <w:t xml:space="preserve">one year, </w:t>
      </w:r>
      <w:r w:rsidRPr="002E60EB">
        <w:rPr>
          <w:lang w:val="en-US"/>
        </w:rPr>
        <w:t xml:space="preserve">on an official website. </w:t>
      </w:r>
    </w:p>
    <w:p w:rsidR="0068128C" w:rsidRPr="002E60EB" w:rsidRDefault="0068128C" w:rsidP="0039243A">
      <w:pPr>
        <w:tabs>
          <w:tab w:val="left" w:pos="720"/>
        </w:tabs>
        <w:jc w:val="both"/>
        <w:rPr>
          <w:lang w:val="en-US"/>
        </w:rPr>
      </w:pPr>
    </w:p>
    <w:p w:rsidR="0068128C" w:rsidRPr="002E60EB" w:rsidRDefault="0068128C" w:rsidP="00317748">
      <w:pPr>
        <w:pStyle w:val="Prrafodelista2"/>
        <w:tabs>
          <w:tab w:val="left" w:pos="720"/>
        </w:tabs>
        <w:contextualSpacing/>
        <w:jc w:val="both"/>
        <w:rPr>
          <w:b/>
          <w:lang w:val="en-US"/>
        </w:rPr>
      </w:pPr>
      <w:r w:rsidRPr="002E60EB">
        <w:rPr>
          <w:b/>
          <w:lang w:val="en-US"/>
        </w:rPr>
        <w:t xml:space="preserve">B.5) Guarantees of non-repetition: </w:t>
      </w:r>
      <w:r w:rsidR="00A96985" w:rsidRPr="002E60EB">
        <w:rPr>
          <w:b/>
          <w:lang w:val="en-US"/>
        </w:rPr>
        <w:t>t</w:t>
      </w:r>
      <w:r w:rsidRPr="002E60EB">
        <w:rPr>
          <w:b/>
          <w:lang w:val="en-US"/>
        </w:rPr>
        <w:t>raining for the Armed Forces</w:t>
      </w:r>
    </w:p>
    <w:p w:rsidR="0068128C" w:rsidRPr="002E60EB" w:rsidRDefault="0068128C" w:rsidP="0068128C">
      <w:pPr>
        <w:pStyle w:val="Prrafodelista2"/>
        <w:tabs>
          <w:tab w:val="left" w:pos="720"/>
        </w:tabs>
        <w:ind w:left="0"/>
        <w:contextualSpacing/>
        <w:jc w:val="both"/>
        <w:rPr>
          <w:lang w:val="en-US"/>
        </w:rPr>
      </w:pPr>
    </w:p>
    <w:p w:rsidR="0068128C" w:rsidRPr="002E60EB" w:rsidRDefault="0068128C" w:rsidP="0039243A">
      <w:pPr>
        <w:numPr>
          <w:ilvl w:val="0"/>
          <w:numId w:val="19"/>
        </w:numPr>
        <w:tabs>
          <w:tab w:val="clear" w:pos="680"/>
          <w:tab w:val="left" w:pos="720"/>
        </w:tabs>
        <w:contextualSpacing/>
        <w:jc w:val="both"/>
        <w:rPr>
          <w:lang w:val="en-US"/>
        </w:rPr>
      </w:pPr>
      <w:r w:rsidRPr="002E60EB">
        <w:rPr>
          <w:lang w:val="en-US"/>
        </w:rPr>
        <w:t xml:space="preserve">The Commission and the representative </w:t>
      </w:r>
      <w:r w:rsidR="00A96985" w:rsidRPr="002E60EB">
        <w:rPr>
          <w:lang w:val="en-US"/>
        </w:rPr>
        <w:t>both asked</w:t>
      </w:r>
      <w:r w:rsidRPr="002E60EB">
        <w:rPr>
          <w:lang w:val="en-US"/>
        </w:rPr>
        <w:t xml:space="preserve"> the Court </w:t>
      </w:r>
      <w:r w:rsidR="00A96985" w:rsidRPr="002E60EB">
        <w:rPr>
          <w:lang w:val="en-US"/>
        </w:rPr>
        <w:t xml:space="preserve">to </w:t>
      </w:r>
      <w:r w:rsidRPr="002E60EB">
        <w:rPr>
          <w:lang w:val="en-US"/>
        </w:rPr>
        <w:t xml:space="preserve">order the State “to </w:t>
      </w:r>
      <w:r w:rsidR="00A96985" w:rsidRPr="002E60EB">
        <w:rPr>
          <w:lang w:val="en-US"/>
        </w:rPr>
        <w:t xml:space="preserve">provide </w:t>
      </w:r>
      <w:r w:rsidRPr="002E60EB">
        <w:rPr>
          <w:lang w:val="en-US"/>
        </w:rPr>
        <w:t>train</w:t>
      </w:r>
      <w:r w:rsidR="00A96985" w:rsidRPr="002E60EB">
        <w:rPr>
          <w:lang w:val="en-US"/>
        </w:rPr>
        <w:t>ing to</w:t>
      </w:r>
      <w:r w:rsidRPr="002E60EB">
        <w:rPr>
          <w:lang w:val="en-US"/>
        </w:rPr>
        <w:t xml:space="preserve"> the </w:t>
      </w:r>
      <w:r w:rsidR="00A96985" w:rsidRPr="002E60EB">
        <w:rPr>
          <w:lang w:val="en-US"/>
        </w:rPr>
        <w:t xml:space="preserve">armed </w:t>
      </w:r>
      <w:r w:rsidRPr="002E60EB">
        <w:rPr>
          <w:lang w:val="en-US"/>
        </w:rPr>
        <w:t>forces on the role</w:t>
      </w:r>
      <w:r w:rsidR="00A96985" w:rsidRPr="002E60EB">
        <w:rPr>
          <w:lang w:val="en-US"/>
        </w:rPr>
        <w:t xml:space="preserve"> of</w:t>
      </w:r>
      <w:r w:rsidRPr="002E60EB">
        <w:rPr>
          <w:lang w:val="en-US"/>
        </w:rPr>
        <w:t xml:space="preserve"> journalists in a democracy, and the</w:t>
      </w:r>
      <w:r w:rsidR="00A96985" w:rsidRPr="002E60EB">
        <w:rPr>
          <w:lang w:val="en-US"/>
        </w:rPr>
        <w:t>ir</w:t>
      </w:r>
      <w:r w:rsidRPr="002E60EB">
        <w:rPr>
          <w:lang w:val="en-US"/>
        </w:rPr>
        <w:t xml:space="preserve"> right to cover</w:t>
      </w:r>
      <w:r w:rsidR="00A96985" w:rsidRPr="002E60EB">
        <w:rPr>
          <w:lang w:val="en-US"/>
        </w:rPr>
        <w:t>,</w:t>
      </w:r>
      <w:r w:rsidRPr="002E60EB">
        <w:rPr>
          <w:lang w:val="en-US"/>
        </w:rPr>
        <w:t xml:space="preserve"> freely and </w:t>
      </w:r>
      <w:r w:rsidR="00A96985" w:rsidRPr="002E60EB">
        <w:rPr>
          <w:lang w:val="en-US"/>
        </w:rPr>
        <w:t>safely</w:t>
      </w:r>
      <w:r w:rsidRPr="002E60EB">
        <w:rPr>
          <w:lang w:val="en-US"/>
        </w:rPr>
        <w:t xml:space="preserve">, situations of public order and armed conflict.” </w:t>
      </w:r>
      <w:r w:rsidRPr="002E60EB">
        <w:rPr>
          <w:lang w:val="en-US" w:eastAsia="es-ES"/>
        </w:rPr>
        <w:t xml:space="preserve">In its brief </w:t>
      </w:r>
      <w:r w:rsidR="00A96985" w:rsidRPr="002E60EB">
        <w:rPr>
          <w:lang w:val="en-US" w:eastAsia="es-ES"/>
        </w:rPr>
        <w:t xml:space="preserve">submitting the case, </w:t>
      </w:r>
      <w:r w:rsidRPr="002E60EB">
        <w:rPr>
          <w:lang w:val="en-US" w:eastAsia="es-ES"/>
        </w:rPr>
        <w:t xml:space="preserve">the Commission referred to the </w:t>
      </w:r>
      <w:r w:rsidR="00A96985" w:rsidRPr="002E60EB">
        <w:rPr>
          <w:lang w:val="en-US" w:eastAsia="es-ES"/>
        </w:rPr>
        <w:t xml:space="preserve">undertaking made by the </w:t>
      </w:r>
      <w:r w:rsidRPr="002E60EB">
        <w:rPr>
          <w:lang w:val="en-US" w:eastAsia="es-ES"/>
        </w:rPr>
        <w:t>State</w:t>
      </w:r>
      <w:r w:rsidR="00A96985" w:rsidRPr="002E60EB">
        <w:rPr>
          <w:lang w:val="en-US" w:eastAsia="es-ES"/>
        </w:rPr>
        <w:t xml:space="preserve"> “to</w:t>
      </w:r>
      <w:r w:rsidRPr="002E60EB">
        <w:rPr>
          <w:lang w:val="en-US" w:eastAsia="es-ES"/>
        </w:rPr>
        <w:t xml:space="preserve"> promote</w:t>
      </w:r>
      <w:r w:rsidR="00A96985" w:rsidRPr="002E60EB">
        <w:rPr>
          <w:lang w:val="en-US" w:eastAsia="es-ES"/>
        </w:rPr>
        <w:t>,</w:t>
      </w:r>
      <w:r w:rsidRPr="002E60EB">
        <w:rPr>
          <w:lang w:val="en-US" w:eastAsia="es-ES"/>
        </w:rPr>
        <w:t xml:space="preserve"> in the </w:t>
      </w:r>
      <w:r w:rsidR="00A96985" w:rsidRPr="002E60EB">
        <w:rPr>
          <w:lang w:val="en-US" w:eastAsia="es-ES"/>
        </w:rPr>
        <w:t xml:space="preserve">coming </w:t>
      </w:r>
      <w:r w:rsidRPr="002E60EB">
        <w:rPr>
          <w:lang w:val="en-US" w:eastAsia="es-ES"/>
        </w:rPr>
        <w:t>months</w:t>
      </w:r>
      <w:r w:rsidR="00A96985" w:rsidRPr="002E60EB">
        <w:rPr>
          <w:lang w:val="en-US" w:eastAsia="es-ES"/>
        </w:rPr>
        <w:t>,</w:t>
      </w:r>
      <w:r w:rsidRPr="002E60EB">
        <w:rPr>
          <w:lang w:val="en-US" w:eastAsia="es-ES"/>
        </w:rPr>
        <w:t xml:space="preserve"> training </w:t>
      </w:r>
      <w:r w:rsidR="00A96985" w:rsidRPr="002E60EB">
        <w:rPr>
          <w:lang w:val="en-US" w:eastAsia="es-ES"/>
        </w:rPr>
        <w:t>for</w:t>
      </w:r>
      <w:r w:rsidRPr="002E60EB">
        <w:rPr>
          <w:lang w:val="en-US" w:eastAsia="es-ES"/>
        </w:rPr>
        <w:t xml:space="preserve"> the</w:t>
      </w:r>
      <w:r w:rsidR="00A96985" w:rsidRPr="002E60EB">
        <w:rPr>
          <w:lang w:val="en-US" w:eastAsia="es-ES"/>
        </w:rPr>
        <w:t xml:space="preserve"> armed</w:t>
      </w:r>
      <w:r w:rsidRPr="002E60EB">
        <w:rPr>
          <w:lang w:val="en-US" w:eastAsia="es-ES"/>
        </w:rPr>
        <w:t xml:space="preserve"> forces.” </w:t>
      </w:r>
      <w:r w:rsidR="00A96985" w:rsidRPr="002E60EB">
        <w:rPr>
          <w:lang w:val="en-US" w:eastAsia="es-ES"/>
        </w:rPr>
        <w:t>It</w:t>
      </w:r>
      <w:r w:rsidRPr="002E60EB">
        <w:rPr>
          <w:lang w:val="en-US"/>
        </w:rPr>
        <w:t xml:space="preserve"> added that States have a “special </w:t>
      </w:r>
      <w:r w:rsidR="00A96985" w:rsidRPr="002E60EB">
        <w:rPr>
          <w:lang w:val="en-US"/>
        </w:rPr>
        <w:t xml:space="preserve">obligation </w:t>
      </w:r>
      <w:r w:rsidRPr="002E60EB">
        <w:rPr>
          <w:lang w:val="en-US"/>
        </w:rPr>
        <w:t xml:space="preserve">to protect journalists at risk,” which </w:t>
      </w:r>
      <w:r w:rsidR="008A4175" w:rsidRPr="002E60EB">
        <w:rPr>
          <w:lang w:val="en-US"/>
        </w:rPr>
        <w:t xml:space="preserve">entails </w:t>
      </w:r>
      <w:r w:rsidRPr="002E60EB">
        <w:rPr>
          <w:lang w:val="en-US"/>
        </w:rPr>
        <w:t xml:space="preserve">the adoption of certain measures such as the training of security forces so they </w:t>
      </w:r>
      <w:r w:rsidR="008A4175" w:rsidRPr="002E60EB">
        <w:rPr>
          <w:lang w:val="en-US"/>
        </w:rPr>
        <w:t>are</w:t>
      </w:r>
      <w:r w:rsidRPr="002E60EB">
        <w:rPr>
          <w:lang w:val="en-US"/>
        </w:rPr>
        <w:t xml:space="preserve"> aware of the importance of journalists and social communicators in a democratic society. </w:t>
      </w:r>
      <w:r w:rsidR="008A4175" w:rsidRPr="002E60EB">
        <w:rPr>
          <w:lang w:val="en-US" w:eastAsia="es-ES"/>
        </w:rPr>
        <w:t>For</w:t>
      </w:r>
      <w:r w:rsidRPr="002E60EB">
        <w:rPr>
          <w:lang w:val="en-US" w:eastAsia="es-ES"/>
        </w:rPr>
        <w:t xml:space="preserve"> his part, the representative added that </w:t>
      </w:r>
      <w:r w:rsidR="00342C51" w:rsidRPr="002E60EB">
        <w:rPr>
          <w:lang w:val="en-US" w:eastAsia="es-ES"/>
        </w:rPr>
        <w:t xml:space="preserve">the </w:t>
      </w:r>
      <w:r w:rsidRPr="002E60EB">
        <w:rPr>
          <w:lang w:val="en-US" w:eastAsia="es-ES"/>
        </w:rPr>
        <w:t xml:space="preserve">said training </w:t>
      </w:r>
      <w:r w:rsidR="008A4175" w:rsidRPr="002E60EB">
        <w:rPr>
          <w:lang w:val="en-US" w:eastAsia="es-ES"/>
        </w:rPr>
        <w:t>should</w:t>
      </w:r>
      <w:r w:rsidRPr="002E60EB">
        <w:rPr>
          <w:lang w:val="en-US" w:eastAsia="es-ES"/>
        </w:rPr>
        <w:t xml:space="preserve"> also cover the role </w:t>
      </w:r>
      <w:r w:rsidR="008A4175" w:rsidRPr="002E60EB">
        <w:rPr>
          <w:lang w:val="en-US" w:eastAsia="es-ES"/>
        </w:rPr>
        <w:t xml:space="preserve">played </w:t>
      </w:r>
      <w:r w:rsidRPr="002E60EB">
        <w:rPr>
          <w:lang w:val="en-US" w:eastAsia="es-ES"/>
        </w:rPr>
        <w:t xml:space="preserve">by “other human rights defenders in a democracy.” </w:t>
      </w:r>
    </w:p>
    <w:p w:rsidR="0068128C" w:rsidRPr="002E60EB" w:rsidRDefault="0068128C" w:rsidP="0039243A">
      <w:pPr>
        <w:tabs>
          <w:tab w:val="left" w:pos="720"/>
        </w:tabs>
        <w:contextualSpacing/>
        <w:jc w:val="both"/>
        <w:rPr>
          <w:lang w:val="en-US"/>
        </w:rPr>
      </w:pPr>
    </w:p>
    <w:p w:rsidR="0068128C" w:rsidRPr="002E60EB" w:rsidRDefault="0068128C" w:rsidP="0039243A">
      <w:pPr>
        <w:numPr>
          <w:ilvl w:val="0"/>
          <w:numId w:val="19"/>
        </w:numPr>
        <w:tabs>
          <w:tab w:val="clear" w:pos="680"/>
        </w:tabs>
        <w:jc w:val="both"/>
        <w:rPr>
          <w:lang w:val="en-US"/>
        </w:rPr>
      </w:pPr>
      <w:r w:rsidRPr="002E60EB">
        <w:rPr>
          <w:lang w:val="en-US"/>
        </w:rPr>
        <w:t>The Stat</w:t>
      </w:r>
      <w:r w:rsidR="008A4175" w:rsidRPr="002E60EB">
        <w:rPr>
          <w:lang w:val="en-US"/>
        </w:rPr>
        <w:t xml:space="preserve">e asked the Court </w:t>
      </w:r>
      <w:r w:rsidR="00342C51" w:rsidRPr="002E60EB">
        <w:rPr>
          <w:lang w:val="en-US"/>
        </w:rPr>
        <w:t>to reject this measure</w:t>
      </w:r>
      <w:r w:rsidR="008A4175" w:rsidRPr="002E60EB">
        <w:rPr>
          <w:lang w:val="en-US"/>
        </w:rPr>
        <w:t xml:space="preserve"> because it has been complying with it and demonstrated its commitment to continue to comply with it. In its response to the Merits Report, </w:t>
      </w:r>
      <w:r w:rsidRPr="002E60EB">
        <w:rPr>
          <w:lang w:val="en-US" w:eastAsia="es-ES"/>
        </w:rPr>
        <w:t xml:space="preserve">it </w:t>
      </w:r>
      <w:r w:rsidR="008A4175" w:rsidRPr="002E60EB">
        <w:rPr>
          <w:lang w:val="en-US" w:eastAsia="es-ES"/>
        </w:rPr>
        <w:t xml:space="preserve">undertook </w:t>
      </w:r>
      <w:r w:rsidRPr="002E60EB">
        <w:rPr>
          <w:lang w:val="en-US" w:eastAsia="es-ES"/>
        </w:rPr>
        <w:t xml:space="preserve">to promote </w:t>
      </w:r>
      <w:r w:rsidR="008A4175" w:rsidRPr="002E60EB">
        <w:rPr>
          <w:lang w:val="en-US" w:eastAsia="es-ES"/>
        </w:rPr>
        <w:t xml:space="preserve">the </w:t>
      </w:r>
      <w:r w:rsidRPr="002E60EB">
        <w:rPr>
          <w:lang w:val="en-US" w:eastAsia="es-ES"/>
        </w:rPr>
        <w:t xml:space="preserve">said training </w:t>
      </w:r>
      <w:r w:rsidR="008A4175" w:rsidRPr="002E60EB">
        <w:rPr>
          <w:lang w:val="en-US" w:eastAsia="es-ES"/>
        </w:rPr>
        <w:t>for</w:t>
      </w:r>
      <w:r w:rsidRPr="002E60EB">
        <w:rPr>
          <w:lang w:val="en-US" w:eastAsia="es-ES"/>
        </w:rPr>
        <w:t xml:space="preserve"> the </w:t>
      </w:r>
      <w:r w:rsidR="008A4175" w:rsidRPr="002E60EB">
        <w:rPr>
          <w:lang w:val="en-US" w:eastAsia="es-ES"/>
        </w:rPr>
        <w:t>armed</w:t>
      </w:r>
      <w:r w:rsidRPr="002E60EB">
        <w:rPr>
          <w:lang w:val="en-US" w:eastAsia="es-ES"/>
        </w:rPr>
        <w:t xml:space="preserve"> forces. It </w:t>
      </w:r>
      <w:r w:rsidR="008A4175" w:rsidRPr="002E60EB">
        <w:rPr>
          <w:lang w:val="en-US" w:eastAsia="es-ES"/>
        </w:rPr>
        <w:t xml:space="preserve">stressed </w:t>
      </w:r>
      <w:r w:rsidRPr="002E60EB">
        <w:rPr>
          <w:lang w:val="en-US" w:eastAsia="es-ES"/>
        </w:rPr>
        <w:t>that this recommendation is “</w:t>
      </w:r>
      <w:r w:rsidR="00342C51" w:rsidRPr="002E60EB">
        <w:rPr>
          <w:lang w:val="en-US" w:eastAsia="es-ES"/>
        </w:rPr>
        <w:t>of</w:t>
      </w:r>
      <w:r w:rsidRPr="002E60EB">
        <w:rPr>
          <w:lang w:val="en-US" w:eastAsia="es-ES"/>
        </w:rPr>
        <w:t xml:space="preserve"> </w:t>
      </w:r>
      <w:r w:rsidR="008A4175" w:rsidRPr="002E60EB">
        <w:rPr>
          <w:lang w:val="en-US" w:eastAsia="es-ES"/>
        </w:rPr>
        <w:t xml:space="preserve">gradual short </w:t>
      </w:r>
      <w:r w:rsidR="00342C51" w:rsidRPr="002E60EB">
        <w:rPr>
          <w:lang w:val="en-US" w:eastAsia="es-ES"/>
        </w:rPr>
        <w:t xml:space="preserve">and medium-term implementation </w:t>
      </w:r>
      <w:r w:rsidR="008A4175" w:rsidRPr="002E60EB">
        <w:rPr>
          <w:lang w:val="en-US" w:eastAsia="es-ES"/>
        </w:rPr>
        <w:t>and impact</w:t>
      </w:r>
      <w:r w:rsidRPr="002E60EB">
        <w:rPr>
          <w:lang w:val="en-US" w:eastAsia="es-ES"/>
        </w:rPr>
        <w:t xml:space="preserve">.” In </w:t>
      </w:r>
      <w:r w:rsidR="008A4175" w:rsidRPr="002E60EB">
        <w:rPr>
          <w:lang w:val="en-US" w:eastAsia="es-ES"/>
        </w:rPr>
        <w:t xml:space="preserve">this regard, </w:t>
      </w:r>
      <w:r w:rsidRPr="002E60EB">
        <w:rPr>
          <w:lang w:val="en-US" w:eastAsia="es-ES"/>
        </w:rPr>
        <w:t xml:space="preserve">the State forwarded </w:t>
      </w:r>
      <w:r w:rsidR="008A4175" w:rsidRPr="002E60EB">
        <w:rPr>
          <w:lang w:val="en-US" w:eastAsia="es-ES"/>
        </w:rPr>
        <w:t xml:space="preserve">“Directive </w:t>
      </w:r>
      <w:r w:rsidRPr="002E60EB">
        <w:rPr>
          <w:lang w:val="en-US" w:eastAsia="es-ES"/>
        </w:rPr>
        <w:t xml:space="preserve">No. 19/2010 </w:t>
      </w:r>
      <w:r w:rsidR="008A4175" w:rsidRPr="002E60EB">
        <w:rPr>
          <w:lang w:val="en-US" w:eastAsia="es-ES"/>
        </w:rPr>
        <w:t xml:space="preserve">of </w:t>
      </w:r>
      <w:r w:rsidRPr="002E60EB">
        <w:rPr>
          <w:lang w:val="en-US" w:eastAsia="es-ES"/>
        </w:rPr>
        <w:t xml:space="preserve">the Office of Human Rights and International Humanitarian Law of the National Army, which includes the command policies </w:t>
      </w:r>
      <w:r w:rsidR="008A4175" w:rsidRPr="002E60EB">
        <w:rPr>
          <w:lang w:val="en-US" w:eastAsia="es-ES"/>
        </w:rPr>
        <w:t>to enhance</w:t>
      </w:r>
      <w:r w:rsidRPr="002E60EB">
        <w:rPr>
          <w:lang w:val="en-US" w:eastAsia="es-ES"/>
        </w:rPr>
        <w:t xml:space="preserve"> respect for journalists and social communicators</w:t>
      </w:r>
      <w:r w:rsidR="008A4175" w:rsidRPr="002E60EB">
        <w:rPr>
          <w:lang w:val="en-US" w:eastAsia="es-ES"/>
        </w:rPr>
        <w:t xml:space="preserve"> [in order to]</w:t>
      </w:r>
      <w:r w:rsidRPr="002E60EB">
        <w:rPr>
          <w:lang w:val="en-US" w:eastAsia="es-ES"/>
        </w:rPr>
        <w:t xml:space="preserve"> </w:t>
      </w:r>
      <w:r w:rsidR="008A4175" w:rsidRPr="002E60EB">
        <w:rPr>
          <w:lang w:val="en-US" w:eastAsia="es-ES"/>
        </w:rPr>
        <w:t>‘supervise</w:t>
      </w:r>
      <w:r w:rsidRPr="002E60EB">
        <w:rPr>
          <w:lang w:val="en-US" w:eastAsia="es-ES"/>
        </w:rPr>
        <w:t xml:space="preserve">, respect, and protect, […] according to the circumstances, the means and resources available to </w:t>
      </w:r>
      <w:r w:rsidR="008A4175" w:rsidRPr="002E60EB">
        <w:rPr>
          <w:lang w:val="en-US" w:eastAsia="es-ES"/>
        </w:rPr>
        <w:t>those who</w:t>
      </w:r>
      <w:r w:rsidRPr="002E60EB">
        <w:rPr>
          <w:lang w:val="en-US" w:eastAsia="es-ES"/>
        </w:rPr>
        <w:t xml:space="preserve"> exercise the profession of journalists and social communicators’ and ‘acknowledg</w:t>
      </w:r>
      <w:r w:rsidR="008A4175" w:rsidRPr="002E60EB">
        <w:rPr>
          <w:lang w:val="en-US" w:eastAsia="es-ES"/>
        </w:rPr>
        <w:t>e</w:t>
      </w:r>
      <w:r w:rsidRPr="002E60EB">
        <w:rPr>
          <w:lang w:val="en-US" w:eastAsia="es-ES"/>
        </w:rPr>
        <w:t xml:space="preserve"> the plausible </w:t>
      </w:r>
      <w:r w:rsidR="008A4175" w:rsidRPr="002E60EB">
        <w:rPr>
          <w:lang w:val="en-US" w:eastAsia="es-ES"/>
        </w:rPr>
        <w:t>work</w:t>
      </w:r>
      <w:r w:rsidRPr="002E60EB">
        <w:rPr>
          <w:lang w:val="en-US" w:eastAsia="es-ES"/>
        </w:rPr>
        <w:t xml:space="preserve"> [they] perform in Colombia</w:t>
      </w:r>
      <w:r w:rsidR="008A4175" w:rsidRPr="002E60EB">
        <w:rPr>
          <w:lang w:val="en-US" w:eastAsia="es-ES"/>
        </w:rPr>
        <w:t>.</w:t>
      </w:r>
      <w:r w:rsidRPr="002E60EB">
        <w:rPr>
          <w:lang w:val="en-US" w:eastAsia="es-ES"/>
        </w:rPr>
        <w:t>’” It indicated that this is complemented “</w:t>
      </w:r>
      <w:r w:rsidR="008A4175" w:rsidRPr="002E60EB">
        <w:rPr>
          <w:lang w:val="en-US" w:eastAsia="es-ES"/>
        </w:rPr>
        <w:t>by</w:t>
      </w:r>
      <w:r w:rsidRPr="002E60EB">
        <w:rPr>
          <w:lang w:val="en-US" w:eastAsia="es-ES"/>
        </w:rPr>
        <w:t xml:space="preserve"> a copy of the </w:t>
      </w:r>
      <w:r w:rsidR="00397C57" w:rsidRPr="002E60EB">
        <w:rPr>
          <w:lang w:val="en-US" w:eastAsia="es-ES"/>
        </w:rPr>
        <w:t>leaf</w:t>
      </w:r>
      <w:r w:rsidRPr="002E60EB">
        <w:rPr>
          <w:lang w:val="en-US" w:eastAsia="es-ES"/>
        </w:rPr>
        <w:t>let</w:t>
      </w:r>
      <w:r w:rsidR="008A4175" w:rsidRPr="002E60EB">
        <w:rPr>
          <w:lang w:val="en-US" w:eastAsia="es-ES"/>
        </w:rPr>
        <w:t xml:space="preserve"> that</w:t>
      </w:r>
      <w:r w:rsidRPr="002E60EB">
        <w:rPr>
          <w:lang w:val="en-US" w:eastAsia="es-ES"/>
        </w:rPr>
        <w:t xml:space="preserve"> each Colombian soldier carries </w:t>
      </w:r>
      <w:r w:rsidR="008A4175" w:rsidRPr="002E60EB">
        <w:rPr>
          <w:lang w:val="en-US" w:eastAsia="es-ES"/>
        </w:rPr>
        <w:t>in</w:t>
      </w:r>
      <w:r w:rsidRPr="002E60EB">
        <w:rPr>
          <w:lang w:val="en-US" w:eastAsia="es-ES"/>
        </w:rPr>
        <w:t xml:space="preserve"> his equipment </w:t>
      </w:r>
      <w:r w:rsidR="008A4175" w:rsidRPr="002E60EB">
        <w:rPr>
          <w:lang w:val="en-US" w:eastAsia="es-ES"/>
        </w:rPr>
        <w:t>en</w:t>
      </w:r>
      <w:r w:rsidRPr="002E60EB">
        <w:rPr>
          <w:lang w:val="en-US" w:eastAsia="es-ES"/>
        </w:rPr>
        <w:t xml:space="preserve">titled: ‘Respect, attention, </w:t>
      </w:r>
      <w:r w:rsidR="008A4175" w:rsidRPr="002E60EB">
        <w:rPr>
          <w:lang w:val="en-US" w:eastAsia="es-ES"/>
        </w:rPr>
        <w:t>recognition</w:t>
      </w:r>
      <w:r w:rsidRPr="002E60EB">
        <w:rPr>
          <w:lang w:val="en-US" w:eastAsia="es-ES"/>
        </w:rPr>
        <w:t xml:space="preserve">, protection, prevention, application and </w:t>
      </w:r>
      <w:r w:rsidR="008A4175" w:rsidRPr="002E60EB">
        <w:rPr>
          <w:lang w:val="en-US" w:eastAsia="es-ES"/>
        </w:rPr>
        <w:t xml:space="preserve">dissemination </w:t>
      </w:r>
      <w:r w:rsidRPr="002E60EB">
        <w:rPr>
          <w:lang w:val="en-US" w:eastAsia="es-ES"/>
        </w:rPr>
        <w:t xml:space="preserve">of human rights and international humanitarian law </w:t>
      </w:r>
      <w:r w:rsidR="00342C51" w:rsidRPr="002E60EB">
        <w:rPr>
          <w:lang w:val="en-US" w:eastAsia="es-ES"/>
        </w:rPr>
        <w:t>with regard to</w:t>
      </w:r>
      <w:r w:rsidRPr="002E60EB">
        <w:rPr>
          <w:lang w:val="en-US" w:eastAsia="es-ES"/>
        </w:rPr>
        <w:t xml:space="preserve"> special groups</w:t>
      </w:r>
      <w:r w:rsidR="008A4175" w:rsidRPr="002E60EB">
        <w:rPr>
          <w:lang w:val="en-US" w:eastAsia="es-ES"/>
        </w:rPr>
        <w:t>,</w:t>
      </w:r>
      <w:r w:rsidR="00342C51" w:rsidRPr="002E60EB">
        <w:rPr>
          <w:lang w:val="en-US" w:eastAsia="es-ES"/>
        </w:rPr>
        <w:t>’</w:t>
      </w:r>
      <w:r w:rsidR="008A4175" w:rsidRPr="002E60EB">
        <w:rPr>
          <w:lang w:val="en-US" w:eastAsia="es-ES"/>
        </w:rPr>
        <w:t xml:space="preserve"> which</w:t>
      </w:r>
      <w:r w:rsidRPr="002E60EB">
        <w:rPr>
          <w:lang w:val="en-US" w:eastAsia="es-ES"/>
        </w:rPr>
        <w:t xml:space="preserve"> </w:t>
      </w:r>
      <w:r w:rsidR="008A4175" w:rsidRPr="002E60EB">
        <w:rPr>
          <w:lang w:val="en-US" w:eastAsia="es-ES"/>
        </w:rPr>
        <w:t xml:space="preserve">emphasizes </w:t>
      </w:r>
      <w:r w:rsidRPr="002E60EB">
        <w:rPr>
          <w:lang w:val="en-US" w:eastAsia="es-ES"/>
        </w:rPr>
        <w:t xml:space="preserve">the </w:t>
      </w:r>
      <w:r w:rsidR="008A4175" w:rsidRPr="002E60EB">
        <w:rPr>
          <w:lang w:val="en-US" w:eastAsia="es-ES"/>
        </w:rPr>
        <w:t xml:space="preserve">work </w:t>
      </w:r>
      <w:r w:rsidRPr="002E60EB">
        <w:rPr>
          <w:lang w:val="en-US" w:eastAsia="es-ES"/>
        </w:rPr>
        <w:t>of journalists and th</w:t>
      </w:r>
      <w:r w:rsidR="00342C51" w:rsidRPr="002E60EB">
        <w:rPr>
          <w:lang w:val="en-US" w:eastAsia="es-ES"/>
        </w:rPr>
        <w:t>e importance of protecting them</w:t>
      </w:r>
      <w:r w:rsidRPr="002E60EB">
        <w:rPr>
          <w:lang w:val="en-US" w:eastAsia="es-ES"/>
        </w:rPr>
        <w:t xml:space="preserve">.” </w:t>
      </w:r>
      <w:r w:rsidRPr="002E60EB">
        <w:rPr>
          <w:b/>
          <w:lang w:val="en-US" w:eastAsia="es-ES"/>
        </w:rPr>
        <w:t xml:space="preserve"> </w:t>
      </w:r>
    </w:p>
    <w:p w:rsidR="0068128C" w:rsidRPr="002E60EB" w:rsidRDefault="0068128C" w:rsidP="0068128C">
      <w:pPr>
        <w:pStyle w:val="Prrafodelista2"/>
        <w:tabs>
          <w:tab w:val="left" w:pos="720"/>
        </w:tabs>
        <w:ind w:left="0"/>
        <w:contextualSpacing/>
        <w:jc w:val="both"/>
        <w:rPr>
          <w:lang w:val="en-US"/>
        </w:rPr>
      </w:pPr>
    </w:p>
    <w:p w:rsidR="0068128C" w:rsidRPr="002E60EB" w:rsidRDefault="0068128C" w:rsidP="0039243A">
      <w:pPr>
        <w:numPr>
          <w:ilvl w:val="0"/>
          <w:numId w:val="19"/>
        </w:numPr>
        <w:tabs>
          <w:tab w:val="clear" w:pos="680"/>
        </w:tabs>
        <w:jc w:val="both"/>
        <w:rPr>
          <w:lang w:val="en-US"/>
        </w:rPr>
      </w:pPr>
      <w:r w:rsidRPr="002E60EB">
        <w:rPr>
          <w:lang w:val="en-US"/>
        </w:rPr>
        <w:t xml:space="preserve">The Court </w:t>
      </w:r>
      <w:r w:rsidR="008A4175" w:rsidRPr="002E60EB">
        <w:rPr>
          <w:lang w:val="en-US"/>
        </w:rPr>
        <w:t xml:space="preserve">appreciates </w:t>
      </w:r>
      <w:r w:rsidRPr="002E60EB">
        <w:rPr>
          <w:lang w:val="en-US"/>
        </w:rPr>
        <w:t xml:space="preserve">the </w:t>
      </w:r>
      <w:r w:rsidR="008A4175" w:rsidRPr="002E60EB">
        <w:rPr>
          <w:lang w:val="en-US"/>
        </w:rPr>
        <w:t>measures taken</w:t>
      </w:r>
      <w:r w:rsidRPr="002E60EB">
        <w:rPr>
          <w:lang w:val="en-US"/>
        </w:rPr>
        <w:t xml:space="preserve"> by Colombia in this </w:t>
      </w:r>
      <w:r w:rsidR="008A4175" w:rsidRPr="002E60EB">
        <w:rPr>
          <w:lang w:val="en-US"/>
        </w:rPr>
        <w:t>area,</w:t>
      </w:r>
      <w:r w:rsidRPr="002E60EB">
        <w:rPr>
          <w:lang w:val="en-US"/>
        </w:rPr>
        <w:t xml:space="preserve"> through </w:t>
      </w:r>
      <w:r w:rsidR="008A4175" w:rsidRPr="002E60EB">
        <w:rPr>
          <w:lang w:val="en-US"/>
        </w:rPr>
        <w:t xml:space="preserve">directives </w:t>
      </w:r>
      <w:r w:rsidRPr="002E60EB">
        <w:rPr>
          <w:lang w:val="en-US"/>
        </w:rPr>
        <w:t xml:space="preserve">that seek to </w:t>
      </w:r>
      <w:r w:rsidR="00DC329F" w:rsidRPr="002E60EB">
        <w:rPr>
          <w:lang w:val="en-US"/>
        </w:rPr>
        <w:t xml:space="preserve">raise awareness within </w:t>
      </w:r>
      <w:r w:rsidR="00342C51" w:rsidRPr="002E60EB">
        <w:rPr>
          <w:lang w:val="en-US"/>
        </w:rPr>
        <w:t>the Armed Forces about</w:t>
      </w:r>
      <w:r w:rsidRPr="002E60EB">
        <w:rPr>
          <w:lang w:val="en-US"/>
        </w:rPr>
        <w:t xml:space="preserve"> the </w:t>
      </w:r>
      <w:r w:rsidR="00DC329F" w:rsidRPr="002E60EB">
        <w:rPr>
          <w:lang w:val="en-US"/>
        </w:rPr>
        <w:t>work of</w:t>
      </w:r>
      <w:r w:rsidRPr="002E60EB">
        <w:rPr>
          <w:lang w:val="en-US"/>
        </w:rPr>
        <w:t xml:space="preserve"> journ</w:t>
      </w:r>
      <w:r w:rsidR="00342C51" w:rsidRPr="002E60EB">
        <w:rPr>
          <w:lang w:val="en-US"/>
        </w:rPr>
        <w:t>alists and social communicators</w:t>
      </w:r>
      <w:r w:rsidRPr="002E60EB">
        <w:rPr>
          <w:lang w:val="en-US"/>
        </w:rPr>
        <w:t xml:space="preserve"> and the danger they face, especially during armed conflicts, a</w:t>
      </w:r>
      <w:r w:rsidR="00DC329F" w:rsidRPr="002E60EB">
        <w:rPr>
          <w:lang w:val="en-US"/>
        </w:rPr>
        <w:t xml:space="preserve">nd also </w:t>
      </w:r>
      <w:r w:rsidR="00342C51" w:rsidRPr="002E60EB">
        <w:rPr>
          <w:lang w:val="en-US"/>
        </w:rPr>
        <w:t>about</w:t>
      </w:r>
      <w:r w:rsidRPr="002E60EB">
        <w:rPr>
          <w:lang w:val="en-US"/>
        </w:rPr>
        <w:t xml:space="preserve"> the necessary respect they must exercise so </w:t>
      </w:r>
      <w:r w:rsidR="00342C51" w:rsidRPr="002E60EB">
        <w:rPr>
          <w:lang w:val="en-US"/>
        </w:rPr>
        <w:t xml:space="preserve">that </w:t>
      </w:r>
      <w:r w:rsidRPr="002E60EB">
        <w:rPr>
          <w:lang w:val="en-US"/>
        </w:rPr>
        <w:t>the</w:t>
      </w:r>
      <w:r w:rsidR="00DC329F" w:rsidRPr="002E60EB">
        <w:rPr>
          <w:lang w:val="en-US"/>
        </w:rPr>
        <w:t xml:space="preserve"> latter</w:t>
      </w:r>
      <w:r w:rsidRPr="002E60EB">
        <w:rPr>
          <w:lang w:val="en-US"/>
        </w:rPr>
        <w:t xml:space="preserve"> can </w:t>
      </w:r>
      <w:r w:rsidR="00DC329F" w:rsidRPr="002E60EB">
        <w:rPr>
          <w:lang w:val="en-US"/>
        </w:rPr>
        <w:t xml:space="preserve">exercise </w:t>
      </w:r>
      <w:r w:rsidRPr="002E60EB">
        <w:rPr>
          <w:lang w:val="en-US"/>
        </w:rPr>
        <w:t>their profession without obstacles</w:t>
      </w:r>
      <w:r w:rsidR="00342C51" w:rsidRPr="002E60EB">
        <w:rPr>
          <w:lang w:val="en-US"/>
        </w:rPr>
        <w:t>.</w:t>
      </w:r>
      <w:r w:rsidRPr="002E60EB">
        <w:rPr>
          <w:rStyle w:val="Refdenotaalpie"/>
          <w:lang w:val="en-US"/>
        </w:rPr>
        <w:footnoteReference w:id="259"/>
      </w:r>
      <w:r w:rsidRPr="002E60EB">
        <w:rPr>
          <w:lang w:val="en-US"/>
        </w:rPr>
        <w:t xml:space="preserve"> </w:t>
      </w:r>
      <w:r w:rsidR="00342C51" w:rsidRPr="002E60EB">
        <w:rPr>
          <w:lang w:val="en-US"/>
        </w:rPr>
        <w:t>T</w:t>
      </w:r>
      <w:r w:rsidR="00DC329F" w:rsidRPr="002E60EB">
        <w:rPr>
          <w:lang w:val="en-US"/>
        </w:rPr>
        <w:t>he</w:t>
      </w:r>
      <w:r w:rsidRPr="002E60EB">
        <w:rPr>
          <w:lang w:val="en-US"/>
        </w:rPr>
        <w:t xml:space="preserve"> existence and validity</w:t>
      </w:r>
      <w:r w:rsidR="00342C51" w:rsidRPr="002E60EB">
        <w:rPr>
          <w:lang w:val="en-US"/>
        </w:rPr>
        <w:t xml:space="preserve"> of these measures</w:t>
      </w:r>
      <w:r w:rsidRPr="002E60EB">
        <w:rPr>
          <w:lang w:val="en-US"/>
        </w:rPr>
        <w:t xml:space="preserve"> was not </w:t>
      </w:r>
      <w:r w:rsidR="00DC329F" w:rsidRPr="002E60EB">
        <w:rPr>
          <w:lang w:val="en-US"/>
        </w:rPr>
        <w:t xml:space="preserve">contested </w:t>
      </w:r>
      <w:r w:rsidRPr="002E60EB">
        <w:rPr>
          <w:lang w:val="en-US"/>
        </w:rPr>
        <w:t xml:space="preserve">by the Commission and it did not provide information </w:t>
      </w:r>
      <w:r w:rsidR="00DC329F" w:rsidRPr="002E60EB">
        <w:rPr>
          <w:lang w:val="en-US"/>
        </w:rPr>
        <w:t xml:space="preserve">indicating </w:t>
      </w:r>
      <w:r w:rsidR="00342C51" w:rsidRPr="002E60EB">
        <w:rPr>
          <w:lang w:val="en-US"/>
        </w:rPr>
        <w:t>any</w:t>
      </w:r>
      <w:r w:rsidRPr="002E60EB">
        <w:rPr>
          <w:lang w:val="en-US"/>
        </w:rPr>
        <w:t xml:space="preserve"> possible </w:t>
      </w:r>
      <w:r w:rsidR="00342C51" w:rsidRPr="002E60EB">
        <w:rPr>
          <w:lang w:val="en-US"/>
        </w:rPr>
        <w:t>s</w:t>
      </w:r>
      <w:r w:rsidR="00951FEC" w:rsidRPr="002E60EB">
        <w:rPr>
          <w:lang w:val="en-US"/>
        </w:rPr>
        <w:t>hortcomings</w:t>
      </w:r>
      <w:r w:rsidRPr="002E60EB">
        <w:rPr>
          <w:lang w:val="en-US"/>
        </w:rPr>
        <w:t xml:space="preserve">. </w:t>
      </w:r>
      <w:r w:rsidR="00DC329F" w:rsidRPr="002E60EB">
        <w:rPr>
          <w:lang w:val="en-US" w:eastAsia="es-ES"/>
        </w:rPr>
        <w:t>Nevertheless</w:t>
      </w:r>
      <w:r w:rsidRPr="002E60EB">
        <w:rPr>
          <w:lang w:val="en-US"/>
        </w:rPr>
        <w:t xml:space="preserve">, this Court </w:t>
      </w:r>
      <w:r w:rsidR="00DC329F" w:rsidRPr="002E60EB">
        <w:rPr>
          <w:lang w:val="en-US"/>
        </w:rPr>
        <w:t xml:space="preserve">finds </w:t>
      </w:r>
      <w:r w:rsidR="00951FEC" w:rsidRPr="002E60EB">
        <w:rPr>
          <w:lang w:val="en-US"/>
        </w:rPr>
        <w:t>it important that the State</w:t>
      </w:r>
      <w:r w:rsidRPr="002E60EB">
        <w:rPr>
          <w:lang w:val="en-US"/>
        </w:rPr>
        <w:t xml:space="preserve"> continue </w:t>
      </w:r>
      <w:r w:rsidR="00951FEC" w:rsidRPr="002E60EB">
        <w:rPr>
          <w:lang w:val="en-US"/>
        </w:rPr>
        <w:t xml:space="preserve">to enhance its </w:t>
      </w:r>
      <w:r w:rsidRPr="002E60EB">
        <w:rPr>
          <w:lang w:val="en-US"/>
        </w:rPr>
        <w:t xml:space="preserve">institutional capacities </w:t>
      </w:r>
      <w:r w:rsidR="00DC329F" w:rsidRPr="002E60EB">
        <w:rPr>
          <w:lang w:val="en-US"/>
        </w:rPr>
        <w:t>by</w:t>
      </w:r>
      <w:r w:rsidRPr="002E60EB">
        <w:rPr>
          <w:lang w:val="en-US"/>
        </w:rPr>
        <w:t xml:space="preserve"> training the members of the Armed Forces in order to avoid the repetition of acts such as th</w:t>
      </w:r>
      <w:r w:rsidR="00DC329F" w:rsidRPr="002E60EB">
        <w:rPr>
          <w:lang w:val="en-US"/>
        </w:rPr>
        <w:t>ose</w:t>
      </w:r>
      <w:r w:rsidRPr="002E60EB">
        <w:rPr>
          <w:lang w:val="en-US"/>
        </w:rPr>
        <w:t xml:space="preserve"> that occurred in </w:t>
      </w:r>
      <w:r w:rsidR="00DC329F" w:rsidRPr="002E60EB">
        <w:rPr>
          <w:lang w:val="en-US"/>
        </w:rPr>
        <w:t>this</w:t>
      </w:r>
      <w:r w:rsidRPr="002E60EB">
        <w:rPr>
          <w:lang w:val="en-US"/>
        </w:rPr>
        <w:t xml:space="preserve"> case. </w:t>
      </w:r>
      <w:r w:rsidR="00DC329F" w:rsidRPr="002E60EB">
        <w:rPr>
          <w:lang w:val="en-US"/>
        </w:rPr>
        <w:t>To this end</w:t>
      </w:r>
      <w:r w:rsidR="00034A17" w:rsidRPr="002E60EB">
        <w:rPr>
          <w:lang w:val="en-US"/>
        </w:rPr>
        <w:t xml:space="preserve">, the State must incorporate into </w:t>
      </w:r>
      <w:r w:rsidR="00DC329F" w:rsidRPr="002E60EB">
        <w:rPr>
          <w:lang w:val="en-US"/>
        </w:rPr>
        <w:t>its human rights education programs for the Armed Forces, a specific module on the protection of the right to freedom of thought and expression and on the work of journalists and social communicators.</w:t>
      </w:r>
    </w:p>
    <w:p w:rsidR="00B5134F" w:rsidRPr="002E60EB" w:rsidRDefault="00B5134F" w:rsidP="00317748">
      <w:pPr>
        <w:pStyle w:val="Prrafodelista2"/>
        <w:ind w:left="0"/>
        <w:contextualSpacing/>
        <w:jc w:val="both"/>
        <w:rPr>
          <w:b/>
          <w:lang w:val="en-US"/>
        </w:rPr>
      </w:pPr>
    </w:p>
    <w:p w:rsidR="0004795A" w:rsidRPr="002E60EB" w:rsidRDefault="00B5134F" w:rsidP="00317748">
      <w:pPr>
        <w:pStyle w:val="Prrafodelista2"/>
        <w:ind w:left="1440"/>
        <w:contextualSpacing/>
        <w:jc w:val="both"/>
        <w:rPr>
          <w:b/>
          <w:lang w:val="en-US"/>
        </w:rPr>
      </w:pPr>
      <w:r w:rsidRPr="002E60EB">
        <w:rPr>
          <w:b/>
          <w:lang w:val="en-US"/>
        </w:rPr>
        <w:t xml:space="preserve">B.5) </w:t>
      </w:r>
      <w:r w:rsidR="0004795A" w:rsidRPr="002E60EB">
        <w:rPr>
          <w:b/>
          <w:lang w:val="en-US"/>
        </w:rPr>
        <w:t xml:space="preserve">Obligation to investigate the facts that </w:t>
      </w:r>
      <w:r w:rsidRPr="002E60EB">
        <w:rPr>
          <w:b/>
          <w:lang w:val="en-US"/>
        </w:rPr>
        <w:t xml:space="preserve">gave rise to </w:t>
      </w:r>
      <w:r w:rsidR="0004795A" w:rsidRPr="002E60EB">
        <w:rPr>
          <w:b/>
          <w:lang w:val="en-US"/>
        </w:rPr>
        <w:t xml:space="preserve">the violations and </w:t>
      </w:r>
      <w:r w:rsidRPr="002E60EB">
        <w:rPr>
          <w:b/>
          <w:lang w:val="en-US"/>
        </w:rPr>
        <w:t xml:space="preserve">to </w:t>
      </w:r>
      <w:r w:rsidR="0004795A" w:rsidRPr="002E60EB">
        <w:rPr>
          <w:b/>
          <w:lang w:val="en-US"/>
        </w:rPr>
        <w:t xml:space="preserve">identify, prosecute and, </w:t>
      </w:r>
      <w:r w:rsidRPr="002E60EB">
        <w:rPr>
          <w:b/>
          <w:lang w:val="en-US"/>
        </w:rPr>
        <w:t>as appropriate</w:t>
      </w:r>
      <w:r w:rsidR="0004795A" w:rsidRPr="002E60EB">
        <w:rPr>
          <w:b/>
          <w:lang w:val="en-US"/>
        </w:rPr>
        <w:t>, punish those responsible</w:t>
      </w:r>
    </w:p>
    <w:p w:rsidR="0004795A" w:rsidRPr="002E60EB" w:rsidRDefault="0004795A">
      <w:pPr>
        <w:pStyle w:val="Prrafodelista2"/>
        <w:tabs>
          <w:tab w:val="left" w:pos="720"/>
        </w:tabs>
        <w:ind w:left="0"/>
        <w:contextualSpacing/>
        <w:jc w:val="both"/>
        <w:rPr>
          <w:lang w:val="en-US"/>
        </w:rPr>
      </w:pPr>
    </w:p>
    <w:p w:rsidR="0004795A" w:rsidRPr="002E60EB" w:rsidRDefault="0004795A" w:rsidP="0039243A">
      <w:pPr>
        <w:numPr>
          <w:ilvl w:val="0"/>
          <w:numId w:val="19"/>
        </w:numPr>
        <w:tabs>
          <w:tab w:val="clear" w:pos="680"/>
        </w:tabs>
        <w:jc w:val="both"/>
        <w:rPr>
          <w:lang w:val="en-US"/>
        </w:rPr>
      </w:pPr>
      <w:r w:rsidRPr="002E60EB">
        <w:rPr>
          <w:lang w:val="en-US"/>
        </w:rPr>
        <w:t xml:space="preserve">In its brief </w:t>
      </w:r>
      <w:r w:rsidR="00670BB7" w:rsidRPr="002E60EB">
        <w:rPr>
          <w:lang w:val="en-US"/>
        </w:rPr>
        <w:t>submitting the case</w:t>
      </w:r>
      <w:r w:rsidRPr="002E60EB">
        <w:rPr>
          <w:lang w:val="en-US"/>
        </w:rPr>
        <w:t xml:space="preserve">, the Commission </w:t>
      </w:r>
      <w:r w:rsidR="00670BB7" w:rsidRPr="002E60EB">
        <w:rPr>
          <w:lang w:val="en-US"/>
        </w:rPr>
        <w:t xml:space="preserve">asked </w:t>
      </w:r>
      <w:r w:rsidRPr="002E60EB">
        <w:rPr>
          <w:lang w:val="en-US"/>
        </w:rPr>
        <w:t xml:space="preserve">that the State be ordered </w:t>
      </w:r>
      <w:r w:rsidR="00087093" w:rsidRPr="002E60EB">
        <w:rPr>
          <w:lang w:val="en-US"/>
        </w:rPr>
        <w:t>“</w:t>
      </w:r>
      <w:r w:rsidR="00670BB7" w:rsidRPr="002E60EB">
        <w:rPr>
          <w:lang w:val="en-US"/>
        </w:rPr>
        <w:t>to conduct</w:t>
      </w:r>
      <w:r w:rsidRPr="002E60EB">
        <w:rPr>
          <w:lang w:val="en-US"/>
        </w:rPr>
        <w:t xml:space="preserve">, within a reasonable time and </w:t>
      </w:r>
      <w:r w:rsidR="00670BB7" w:rsidRPr="002E60EB">
        <w:rPr>
          <w:lang w:val="en-US"/>
        </w:rPr>
        <w:t xml:space="preserve">under </w:t>
      </w:r>
      <w:r w:rsidRPr="002E60EB">
        <w:rPr>
          <w:lang w:val="en-US"/>
        </w:rPr>
        <w:t xml:space="preserve">the ordinary jurisdiction, a diligent investigation of all the acts of violence and harassment against [Mr.] Vélez Restrepo and his </w:t>
      </w:r>
      <w:r w:rsidR="00670BB7" w:rsidRPr="002E60EB">
        <w:rPr>
          <w:lang w:val="en-US"/>
        </w:rPr>
        <w:t>family</w:t>
      </w:r>
      <w:r w:rsidRPr="002E60EB">
        <w:rPr>
          <w:lang w:val="en-US"/>
        </w:rPr>
        <w:t>, in order to identify, prosecute and punish those</w:t>
      </w:r>
      <w:r w:rsidR="00670BB7" w:rsidRPr="002E60EB">
        <w:rPr>
          <w:lang w:val="en-US"/>
        </w:rPr>
        <w:t xml:space="preserve"> eventually found</w:t>
      </w:r>
      <w:r w:rsidRPr="002E60EB">
        <w:rPr>
          <w:lang w:val="en-US"/>
        </w:rPr>
        <w:t xml:space="preserve"> responsible for </w:t>
      </w:r>
      <w:r w:rsidR="00670BB7" w:rsidRPr="002E60EB">
        <w:rPr>
          <w:lang w:val="en-US"/>
        </w:rPr>
        <w:t xml:space="preserve">the </w:t>
      </w:r>
      <w:r w:rsidRPr="002E60EB">
        <w:rPr>
          <w:lang w:val="en-US"/>
        </w:rPr>
        <w:t>said acts,</w:t>
      </w:r>
      <w:r w:rsidR="00087093" w:rsidRPr="002E60EB">
        <w:rPr>
          <w:lang w:val="en-US"/>
        </w:rPr>
        <w:t>”</w:t>
      </w:r>
      <w:r w:rsidRPr="002E60EB">
        <w:rPr>
          <w:lang w:val="en-US"/>
        </w:rPr>
        <w:t xml:space="preserve"> and </w:t>
      </w:r>
      <w:r w:rsidR="00087093" w:rsidRPr="002E60EB">
        <w:rPr>
          <w:lang w:val="en-US"/>
        </w:rPr>
        <w:t>“</w:t>
      </w:r>
      <w:r w:rsidR="00670BB7" w:rsidRPr="002E60EB">
        <w:rPr>
          <w:lang w:val="en-US"/>
        </w:rPr>
        <w:t>to conduct</w:t>
      </w:r>
      <w:r w:rsidRPr="002E60EB">
        <w:rPr>
          <w:lang w:val="en-US"/>
        </w:rPr>
        <w:t xml:space="preserve"> an investigation </w:t>
      </w:r>
      <w:r w:rsidR="00670BB7" w:rsidRPr="002E60EB">
        <w:rPr>
          <w:lang w:val="en-US"/>
        </w:rPr>
        <w:t>in order to</w:t>
      </w:r>
      <w:r w:rsidRPr="002E60EB">
        <w:rPr>
          <w:lang w:val="en-US"/>
        </w:rPr>
        <w:t xml:space="preserve"> identify th</w:t>
      </w:r>
      <w:r w:rsidR="00670BB7" w:rsidRPr="002E60EB">
        <w:rPr>
          <w:lang w:val="en-US"/>
        </w:rPr>
        <w:t>os</w:t>
      </w:r>
      <w:r w:rsidRPr="002E60EB">
        <w:rPr>
          <w:lang w:val="en-US"/>
        </w:rPr>
        <w:t>e eventual</w:t>
      </w:r>
      <w:r w:rsidR="00670BB7" w:rsidRPr="002E60EB">
        <w:rPr>
          <w:lang w:val="en-US"/>
        </w:rPr>
        <w:t>ly found</w:t>
      </w:r>
      <w:r w:rsidRPr="002E60EB">
        <w:rPr>
          <w:lang w:val="en-US"/>
        </w:rPr>
        <w:t xml:space="preserve"> responsible for the </w:t>
      </w:r>
      <w:r w:rsidR="00670BB7" w:rsidRPr="002E60EB">
        <w:rPr>
          <w:lang w:val="en-US"/>
        </w:rPr>
        <w:t>lack of measures</w:t>
      </w:r>
      <w:r w:rsidR="00B055A1" w:rsidRPr="002E60EB">
        <w:rPr>
          <w:lang w:val="en-US"/>
        </w:rPr>
        <w:t xml:space="preserve"> of protection</w:t>
      </w:r>
      <w:r w:rsidR="00670BB7" w:rsidRPr="002E60EB">
        <w:rPr>
          <w:lang w:val="en-US"/>
        </w:rPr>
        <w:t xml:space="preserve"> and the</w:t>
      </w:r>
      <w:r w:rsidRPr="002E60EB">
        <w:rPr>
          <w:lang w:val="en-US"/>
        </w:rPr>
        <w:t xml:space="preserve"> omissions in the protection of Mr. Vélez and his </w:t>
      </w:r>
      <w:r w:rsidR="00670BB7" w:rsidRPr="002E60EB">
        <w:rPr>
          <w:lang w:val="en-US"/>
        </w:rPr>
        <w:t>family</w:t>
      </w:r>
      <w:r w:rsidRPr="002E60EB">
        <w:rPr>
          <w:lang w:val="en-US"/>
        </w:rPr>
        <w:t xml:space="preserve">, and </w:t>
      </w:r>
      <w:r w:rsidR="00670BB7" w:rsidRPr="002E60EB">
        <w:rPr>
          <w:lang w:val="en-US"/>
        </w:rPr>
        <w:t xml:space="preserve">to </w:t>
      </w:r>
      <w:r w:rsidRPr="002E60EB">
        <w:rPr>
          <w:lang w:val="en-US"/>
        </w:rPr>
        <w:t xml:space="preserve">apply the corresponding administrative, disciplinary, or other </w:t>
      </w:r>
      <w:r w:rsidR="00670BB7" w:rsidRPr="002E60EB">
        <w:rPr>
          <w:lang w:val="en-US"/>
        </w:rPr>
        <w:t>sanctions</w:t>
      </w:r>
      <w:r w:rsidRPr="002E60EB">
        <w:rPr>
          <w:lang w:val="en-US"/>
        </w:rPr>
        <w:t>.</w:t>
      </w:r>
      <w:r w:rsidR="00087093" w:rsidRPr="002E60EB">
        <w:rPr>
          <w:lang w:val="en-US"/>
        </w:rPr>
        <w:t>”</w:t>
      </w:r>
      <w:r w:rsidRPr="002E60EB">
        <w:rPr>
          <w:lang w:val="en-US"/>
        </w:rPr>
        <w:t xml:space="preserve"> </w:t>
      </w:r>
      <w:r w:rsidR="00670BB7" w:rsidRPr="002E60EB">
        <w:rPr>
          <w:lang w:val="en-US"/>
        </w:rPr>
        <w:t>Subsequently</w:t>
      </w:r>
      <w:r w:rsidRPr="002E60EB">
        <w:rPr>
          <w:lang w:val="en-US"/>
        </w:rPr>
        <w:t xml:space="preserve">, in its final observations, the Commission indicated that the State </w:t>
      </w:r>
      <w:r w:rsidR="00554903">
        <w:rPr>
          <w:lang w:val="en-US"/>
        </w:rPr>
        <w:t xml:space="preserve">only advised it that </w:t>
      </w:r>
      <w:r w:rsidRPr="002E60EB">
        <w:rPr>
          <w:lang w:val="en-US"/>
        </w:rPr>
        <w:t>the criminal action</w:t>
      </w:r>
      <w:r w:rsidR="00554903">
        <w:rPr>
          <w:lang w:val="en-US"/>
        </w:rPr>
        <w:t xml:space="preserve"> was time-barred</w:t>
      </w:r>
      <w:r w:rsidRPr="002E60EB">
        <w:rPr>
          <w:lang w:val="en-US"/>
        </w:rPr>
        <w:t xml:space="preserve"> </w:t>
      </w:r>
      <w:r w:rsidR="00087093" w:rsidRPr="002E60EB">
        <w:rPr>
          <w:lang w:val="en-US"/>
        </w:rPr>
        <w:t>“</w:t>
      </w:r>
      <w:r w:rsidR="00B055A1" w:rsidRPr="002E60EB">
        <w:rPr>
          <w:lang w:val="en-US"/>
        </w:rPr>
        <w:t>at</w:t>
      </w:r>
      <w:r w:rsidR="00670BB7" w:rsidRPr="002E60EB">
        <w:rPr>
          <w:lang w:val="en-US"/>
        </w:rPr>
        <w:t xml:space="preserve"> </w:t>
      </w:r>
      <w:r w:rsidRPr="002E60EB">
        <w:rPr>
          <w:lang w:val="en-US"/>
        </w:rPr>
        <w:t xml:space="preserve">the </w:t>
      </w:r>
      <w:r w:rsidR="00670BB7" w:rsidRPr="002E60EB">
        <w:rPr>
          <w:lang w:val="en-US"/>
        </w:rPr>
        <w:t xml:space="preserve">stage of </w:t>
      </w:r>
      <w:r w:rsidRPr="002E60EB">
        <w:rPr>
          <w:lang w:val="en-US"/>
        </w:rPr>
        <w:t>compliance with the recommendations of the</w:t>
      </w:r>
      <w:r w:rsidR="00670BB7" w:rsidRPr="002E60EB">
        <w:rPr>
          <w:lang w:val="en-US"/>
        </w:rPr>
        <w:t xml:space="preserve"> Merits Report”; consequently,</w:t>
      </w:r>
      <w:r w:rsidRPr="002E60EB">
        <w:rPr>
          <w:lang w:val="en-US"/>
        </w:rPr>
        <w:t xml:space="preserve"> in </w:t>
      </w:r>
      <w:r w:rsidR="00670BB7" w:rsidRPr="002E60EB">
        <w:rPr>
          <w:lang w:val="en-US"/>
        </w:rPr>
        <w:t xml:space="preserve">the </w:t>
      </w:r>
      <w:r w:rsidRPr="002E60EB">
        <w:rPr>
          <w:lang w:val="en-US"/>
        </w:rPr>
        <w:t>said Report</w:t>
      </w:r>
      <w:r w:rsidR="00670BB7" w:rsidRPr="002E60EB">
        <w:rPr>
          <w:lang w:val="en-US"/>
        </w:rPr>
        <w:t>,</w:t>
      </w:r>
      <w:r w:rsidRPr="002E60EB">
        <w:rPr>
          <w:lang w:val="en-US"/>
        </w:rPr>
        <w:t xml:space="preserve"> </w:t>
      </w:r>
      <w:r w:rsidR="00087093" w:rsidRPr="002E60EB">
        <w:rPr>
          <w:lang w:val="en-US"/>
        </w:rPr>
        <w:t>“</w:t>
      </w:r>
      <w:r w:rsidRPr="002E60EB">
        <w:rPr>
          <w:lang w:val="en-US"/>
        </w:rPr>
        <w:t xml:space="preserve">it did not […] adopt a position </w:t>
      </w:r>
      <w:r w:rsidR="00670BB7" w:rsidRPr="002E60EB">
        <w:rPr>
          <w:lang w:val="en-US"/>
        </w:rPr>
        <w:t>regarding</w:t>
      </w:r>
      <w:r w:rsidRPr="002E60EB">
        <w:rPr>
          <w:lang w:val="en-US"/>
        </w:rPr>
        <w:t xml:space="preserve"> the applicability […] of the Court’s </w:t>
      </w:r>
      <w:r w:rsidR="00670BB7" w:rsidRPr="002E60EB">
        <w:rPr>
          <w:lang w:val="en-US"/>
        </w:rPr>
        <w:t xml:space="preserve">case law </w:t>
      </w:r>
      <w:r w:rsidRPr="002E60EB">
        <w:rPr>
          <w:lang w:val="en-US"/>
        </w:rPr>
        <w:t xml:space="preserve">regarding </w:t>
      </w:r>
      <w:r w:rsidR="00670BB7" w:rsidRPr="002E60EB">
        <w:rPr>
          <w:lang w:val="en-US"/>
        </w:rPr>
        <w:t xml:space="preserve">the </w:t>
      </w:r>
      <w:r w:rsidR="00554903">
        <w:rPr>
          <w:lang w:val="en-US"/>
        </w:rPr>
        <w:t>statute of limitations</w:t>
      </w:r>
      <w:r w:rsidR="00670BB7" w:rsidRPr="002E60EB">
        <w:rPr>
          <w:lang w:val="en-US"/>
        </w:rPr>
        <w:t xml:space="preserve">.” </w:t>
      </w:r>
      <w:r w:rsidRPr="002E60EB">
        <w:rPr>
          <w:lang w:val="en-US" w:eastAsia="es-ES"/>
        </w:rPr>
        <w:t xml:space="preserve">In this regard, it </w:t>
      </w:r>
      <w:r w:rsidR="00670BB7" w:rsidRPr="002E60EB">
        <w:rPr>
          <w:lang w:val="en-US" w:eastAsia="es-ES"/>
        </w:rPr>
        <w:t xml:space="preserve">indicated </w:t>
      </w:r>
      <w:r w:rsidRPr="002E60EB">
        <w:rPr>
          <w:lang w:val="en-US" w:eastAsia="es-ES"/>
        </w:rPr>
        <w:t xml:space="preserve">that </w:t>
      </w:r>
      <w:r w:rsidR="00087093" w:rsidRPr="002E60EB">
        <w:rPr>
          <w:lang w:val="en-US" w:eastAsia="es-ES"/>
        </w:rPr>
        <w:t>“</w:t>
      </w:r>
      <w:r w:rsidRPr="002E60EB">
        <w:rPr>
          <w:lang w:val="en-US" w:eastAsia="es-ES"/>
        </w:rPr>
        <w:t xml:space="preserve">even when the crime </w:t>
      </w:r>
      <w:r w:rsidR="00B055A1" w:rsidRPr="002E60EB">
        <w:rPr>
          <w:lang w:val="en-US" w:eastAsia="es-ES"/>
        </w:rPr>
        <w:t>cannot prescribe</w:t>
      </w:r>
      <w:r w:rsidRPr="002E60EB">
        <w:rPr>
          <w:lang w:val="en-US" w:eastAsia="es-ES"/>
        </w:rPr>
        <w:t xml:space="preserve"> </w:t>
      </w:r>
      <w:r w:rsidR="00670BB7" w:rsidRPr="002E60EB">
        <w:rPr>
          <w:lang w:val="en-US" w:eastAsia="es-ES"/>
        </w:rPr>
        <w:t>under</w:t>
      </w:r>
      <w:r w:rsidRPr="002E60EB">
        <w:rPr>
          <w:lang w:val="en-US" w:eastAsia="es-ES"/>
        </w:rPr>
        <w:t xml:space="preserve"> international law, there are certain rules that must be applied when determining the time that has </w:t>
      </w:r>
      <w:r w:rsidR="00670BB7" w:rsidRPr="002E60EB">
        <w:rPr>
          <w:lang w:val="en-US" w:eastAsia="es-ES"/>
        </w:rPr>
        <w:t>elapsed</w:t>
      </w:r>
      <w:r w:rsidRPr="002E60EB">
        <w:rPr>
          <w:lang w:val="en-US" w:eastAsia="es-ES"/>
        </w:rPr>
        <w:t xml:space="preserve"> for </w:t>
      </w:r>
      <w:r w:rsidR="00670BB7" w:rsidRPr="002E60EB">
        <w:rPr>
          <w:lang w:val="en-US" w:eastAsia="es-ES"/>
        </w:rPr>
        <w:t xml:space="preserve">the </w:t>
      </w:r>
      <w:r w:rsidRPr="002E60EB">
        <w:rPr>
          <w:lang w:val="en-US" w:eastAsia="es-ES"/>
        </w:rPr>
        <w:t xml:space="preserve">effects </w:t>
      </w:r>
      <w:r w:rsidR="00670BB7" w:rsidRPr="002E60EB">
        <w:rPr>
          <w:lang w:val="en-US" w:eastAsia="es-ES"/>
        </w:rPr>
        <w:t xml:space="preserve">of </w:t>
      </w:r>
      <w:r w:rsidR="00554903">
        <w:rPr>
          <w:lang w:val="en-US" w:eastAsia="es-ES"/>
        </w:rPr>
        <w:t>the statute of limitations</w:t>
      </w:r>
      <w:r w:rsidR="00B055A1" w:rsidRPr="002E60EB">
        <w:rPr>
          <w:lang w:val="en-US" w:eastAsia="es-ES"/>
        </w:rPr>
        <w:t xml:space="preserve">,” </w:t>
      </w:r>
      <w:r w:rsidRPr="002E60EB">
        <w:rPr>
          <w:lang w:val="en-US" w:eastAsia="es-ES"/>
        </w:rPr>
        <w:t>and it referred</w:t>
      </w:r>
      <w:r w:rsidR="0039243A" w:rsidRPr="002E60EB">
        <w:rPr>
          <w:lang w:val="en-US" w:eastAsia="es-ES"/>
        </w:rPr>
        <w:t xml:space="preserve"> to exceptions to invoking and applying</w:t>
      </w:r>
      <w:r w:rsidRPr="002E60EB">
        <w:rPr>
          <w:lang w:val="en-US" w:eastAsia="es-ES"/>
        </w:rPr>
        <w:t xml:space="preserve"> </w:t>
      </w:r>
      <w:r w:rsidR="00554903">
        <w:rPr>
          <w:lang w:val="en-US" w:eastAsia="es-ES"/>
        </w:rPr>
        <w:t>the statute of limitations</w:t>
      </w:r>
      <w:r w:rsidR="00670BB7" w:rsidRPr="002E60EB">
        <w:rPr>
          <w:lang w:val="en-US" w:eastAsia="es-ES"/>
        </w:rPr>
        <w:t>. Hence,</w:t>
      </w:r>
      <w:r w:rsidRPr="002E60EB">
        <w:rPr>
          <w:lang w:val="en-US" w:eastAsia="es-ES"/>
        </w:rPr>
        <w:t xml:space="preserve"> it considered </w:t>
      </w:r>
      <w:r w:rsidR="00670BB7" w:rsidRPr="002E60EB">
        <w:rPr>
          <w:lang w:val="en-US" w:eastAsia="es-ES"/>
        </w:rPr>
        <w:t xml:space="preserve">prudent </w:t>
      </w:r>
      <w:r w:rsidRPr="002E60EB">
        <w:rPr>
          <w:lang w:val="en-US" w:eastAsia="es-ES"/>
        </w:rPr>
        <w:t xml:space="preserve">that the Court assess </w:t>
      </w:r>
      <w:r w:rsidR="00670BB7" w:rsidRPr="002E60EB">
        <w:rPr>
          <w:lang w:val="en-US" w:eastAsia="es-ES"/>
        </w:rPr>
        <w:t xml:space="preserve">whether </w:t>
      </w:r>
      <w:r w:rsidRPr="002E60EB">
        <w:rPr>
          <w:lang w:val="en-US" w:eastAsia="es-ES"/>
        </w:rPr>
        <w:t xml:space="preserve">any of these exceptions </w:t>
      </w:r>
      <w:r w:rsidR="00670BB7" w:rsidRPr="002E60EB">
        <w:rPr>
          <w:lang w:val="en-US" w:eastAsia="es-ES"/>
        </w:rPr>
        <w:t>are</w:t>
      </w:r>
      <w:r w:rsidRPr="002E60EB">
        <w:rPr>
          <w:lang w:val="en-US" w:eastAsia="es-ES"/>
        </w:rPr>
        <w:t xml:space="preserve"> applicable to </w:t>
      </w:r>
      <w:r w:rsidR="00670BB7" w:rsidRPr="002E60EB">
        <w:rPr>
          <w:lang w:val="en-US" w:eastAsia="es-ES"/>
        </w:rPr>
        <w:t>this case</w:t>
      </w:r>
      <w:r w:rsidRPr="002E60EB">
        <w:rPr>
          <w:lang w:val="en-US" w:eastAsia="es-ES"/>
        </w:rPr>
        <w:t xml:space="preserve">. </w:t>
      </w:r>
    </w:p>
    <w:p w:rsidR="0004795A" w:rsidRPr="002E60EB" w:rsidRDefault="0004795A" w:rsidP="0039243A">
      <w:pPr>
        <w:pStyle w:val="Prrafodelista2"/>
        <w:tabs>
          <w:tab w:val="left" w:pos="720"/>
        </w:tabs>
        <w:ind w:left="0"/>
        <w:contextualSpacing/>
        <w:jc w:val="both"/>
        <w:rPr>
          <w:lang w:val="en-US"/>
        </w:rPr>
      </w:pPr>
    </w:p>
    <w:p w:rsidR="0004795A" w:rsidRPr="002E60EB" w:rsidRDefault="0004795A" w:rsidP="0039243A">
      <w:pPr>
        <w:numPr>
          <w:ilvl w:val="0"/>
          <w:numId w:val="19"/>
        </w:numPr>
        <w:tabs>
          <w:tab w:val="clear" w:pos="680"/>
        </w:tabs>
        <w:jc w:val="both"/>
        <w:rPr>
          <w:lang w:val="en-US"/>
        </w:rPr>
      </w:pPr>
      <w:r w:rsidRPr="002E60EB">
        <w:rPr>
          <w:lang w:val="en-US"/>
        </w:rPr>
        <w:t>In the pleadings and arguments</w:t>
      </w:r>
      <w:r w:rsidR="008B1E53" w:rsidRPr="002E60EB">
        <w:rPr>
          <w:lang w:val="en-US"/>
        </w:rPr>
        <w:t xml:space="preserve"> brief</w:t>
      </w:r>
      <w:r w:rsidRPr="002E60EB">
        <w:rPr>
          <w:lang w:val="en-US"/>
        </w:rPr>
        <w:t xml:space="preserve">, the representative asked the </w:t>
      </w:r>
      <w:r w:rsidR="00D00C5F" w:rsidRPr="002E60EB">
        <w:rPr>
          <w:lang w:val="en-US"/>
        </w:rPr>
        <w:t>Court</w:t>
      </w:r>
      <w:r w:rsidRPr="002E60EB">
        <w:rPr>
          <w:lang w:val="en-US"/>
        </w:rPr>
        <w:t xml:space="preserve"> to order the State </w:t>
      </w:r>
      <w:r w:rsidR="00087093" w:rsidRPr="002E60EB">
        <w:rPr>
          <w:lang w:val="en-US"/>
        </w:rPr>
        <w:t>“</w:t>
      </w:r>
      <w:r w:rsidRPr="002E60EB">
        <w:rPr>
          <w:lang w:val="en-US"/>
        </w:rPr>
        <w:t xml:space="preserve">to </w:t>
      </w:r>
      <w:r w:rsidR="00BF4A0E" w:rsidRPr="002E60EB">
        <w:rPr>
          <w:lang w:val="en-US"/>
        </w:rPr>
        <w:t>conduct</w:t>
      </w:r>
      <w:r w:rsidRPr="002E60EB">
        <w:rPr>
          <w:lang w:val="en-US"/>
        </w:rPr>
        <w:t>, within a reasonable time and</w:t>
      </w:r>
      <w:r w:rsidR="00BF4A0E" w:rsidRPr="002E60EB">
        <w:rPr>
          <w:lang w:val="en-US"/>
        </w:rPr>
        <w:t xml:space="preserve"> under</w:t>
      </w:r>
      <w:r w:rsidRPr="002E60EB">
        <w:rPr>
          <w:lang w:val="en-US"/>
        </w:rPr>
        <w:t xml:space="preserve"> the ordinary jurisdiction, a diligent investigation </w:t>
      </w:r>
      <w:r w:rsidR="00BF4A0E" w:rsidRPr="002E60EB">
        <w:rPr>
          <w:lang w:val="en-US"/>
        </w:rPr>
        <w:t>into</w:t>
      </w:r>
      <w:r w:rsidRPr="002E60EB">
        <w:rPr>
          <w:lang w:val="en-US"/>
        </w:rPr>
        <w:t xml:space="preserve"> all the acts of violence and harassment perpetrated against Mr. Vélez, in order to identify, prosecute and punish those responsible for </w:t>
      </w:r>
      <w:r w:rsidR="00BF4A0E" w:rsidRPr="002E60EB">
        <w:rPr>
          <w:lang w:val="en-US"/>
        </w:rPr>
        <w:t xml:space="preserve">the </w:t>
      </w:r>
      <w:r w:rsidRPr="002E60EB">
        <w:rPr>
          <w:lang w:val="en-US"/>
        </w:rPr>
        <w:t>said acts,</w:t>
      </w:r>
      <w:r w:rsidR="00087093" w:rsidRPr="002E60EB">
        <w:rPr>
          <w:lang w:val="en-US"/>
        </w:rPr>
        <w:t>”</w:t>
      </w:r>
      <w:r w:rsidRPr="002E60EB">
        <w:rPr>
          <w:lang w:val="en-US"/>
        </w:rPr>
        <w:t xml:space="preserve"> and </w:t>
      </w:r>
      <w:r w:rsidR="00087093" w:rsidRPr="002E60EB">
        <w:rPr>
          <w:lang w:val="en-US"/>
        </w:rPr>
        <w:t>“</w:t>
      </w:r>
      <w:r w:rsidRPr="002E60EB">
        <w:rPr>
          <w:lang w:val="en-US"/>
        </w:rPr>
        <w:t xml:space="preserve">an investigation </w:t>
      </w:r>
      <w:r w:rsidR="00BF4A0E" w:rsidRPr="002E60EB">
        <w:rPr>
          <w:lang w:val="en-US"/>
        </w:rPr>
        <w:t>in order to</w:t>
      </w:r>
      <w:r w:rsidRPr="002E60EB">
        <w:rPr>
          <w:lang w:val="en-US"/>
        </w:rPr>
        <w:t xml:space="preserve"> identify </w:t>
      </w:r>
      <w:r w:rsidR="00BF4A0E" w:rsidRPr="002E60EB">
        <w:rPr>
          <w:lang w:val="en-US"/>
        </w:rPr>
        <w:t>those</w:t>
      </w:r>
      <w:r w:rsidRPr="002E60EB">
        <w:rPr>
          <w:lang w:val="en-US"/>
        </w:rPr>
        <w:t xml:space="preserve"> </w:t>
      </w:r>
      <w:r w:rsidR="00BF4A0E" w:rsidRPr="002E60EB">
        <w:rPr>
          <w:lang w:val="en-US"/>
        </w:rPr>
        <w:t xml:space="preserve">possibly </w:t>
      </w:r>
      <w:r w:rsidRPr="002E60EB">
        <w:rPr>
          <w:lang w:val="en-US"/>
        </w:rPr>
        <w:t>responsible for</w:t>
      </w:r>
      <w:r w:rsidR="00BF4A0E" w:rsidRPr="002E60EB">
        <w:rPr>
          <w:lang w:val="en-US"/>
        </w:rPr>
        <w:t xml:space="preserve"> </w:t>
      </w:r>
      <w:r w:rsidRPr="002E60EB">
        <w:rPr>
          <w:lang w:val="en-US"/>
        </w:rPr>
        <w:t>the</w:t>
      </w:r>
      <w:r w:rsidR="00BF4A0E" w:rsidRPr="002E60EB">
        <w:rPr>
          <w:lang w:val="en-US"/>
        </w:rPr>
        <w:t xml:space="preserve"> defects in the</w:t>
      </w:r>
      <w:r w:rsidRPr="002E60EB">
        <w:rPr>
          <w:lang w:val="en-US"/>
        </w:rPr>
        <w:t xml:space="preserve"> investigati</w:t>
      </w:r>
      <w:r w:rsidR="00BF4A0E" w:rsidRPr="002E60EB">
        <w:rPr>
          <w:lang w:val="en-US"/>
        </w:rPr>
        <w:t xml:space="preserve">on </w:t>
      </w:r>
      <w:r w:rsidRPr="002E60EB">
        <w:rPr>
          <w:lang w:val="en-US"/>
        </w:rPr>
        <w:t>and</w:t>
      </w:r>
      <w:r w:rsidR="00BF4A0E" w:rsidRPr="002E60EB">
        <w:rPr>
          <w:lang w:val="en-US"/>
        </w:rPr>
        <w:t xml:space="preserve"> the</w:t>
      </w:r>
      <w:r w:rsidRPr="002E60EB">
        <w:rPr>
          <w:lang w:val="en-US"/>
        </w:rPr>
        <w:t xml:space="preserve"> omissions in the protection of Mr. Vélez and his </w:t>
      </w:r>
      <w:r w:rsidR="00BF4A0E" w:rsidRPr="002E60EB">
        <w:rPr>
          <w:lang w:val="en-US"/>
        </w:rPr>
        <w:t>family</w:t>
      </w:r>
      <w:r w:rsidRPr="002E60EB">
        <w:rPr>
          <w:lang w:val="en-US"/>
        </w:rPr>
        <w:t xml:space="preserve">, and </w:t>
      </w:r>
      <w:r w:rsidR="00BF4A0E" w:rsidRPr="002E60EB">
        <w:rPr>
          <w:lang w:val="en-US"/>
        </w:rPr>
        <w:t xml:space="preserve">to </w:t>
      </w:r>
      <w:r w:rsidRPr="002E60EB">
        <w:rPr>
          <w:lang w:val="en-US"/>
        </w:rPr>
        <w:t xml:space="preserve">apply the corresponding administrative, disciplinary, or any other </w:t>
      </w:r>
      <w:r w:rsidR="00BF4A0E" w:rsidRPr="002E60EB">
        <w:rPr>
          <w:lang w:val="en-US"/>
        </w:rPr>
        <w:t>sanctions</w:t>
      </w:r>
      <w:r w:rsidRPr="002E60EB">
        <w:rPr>
          <w:lang w:val="en-US"/>
        </w:rPr>
        <w:t>.</w:t>
      </w:r>
      <w:r w:rsidR="00087093" w:rsidRPr="002E60EB">
        <w:rPr>
          <w:lang w:val="en-US"/>
        </w:rPr>
        <w:t>”</w:t>
      </w:r>
      <w:r w:rsidRPr="002E60EB">
        <w:rPr>
          <w:lang w:val="en-US"/>
        </w:rPr>
        <w:t xml:space="preserve"> </w:t>
      </w:r>
      <w:r w:rsidR="00BF4A0E" w:rsidRPr="002E60EB">
        <w:rPr>
          <w:lang w:val="en-US" w:eastAsia="es-ES"/>
        </w:rPr>
        <w:t>Following his</w:t>
      </w:r>
      <w:r w:rsidRPr="002E60EB">
        <w:rPr>
          <w:lang w:val="en-US"/>
        </w:rPr>
        <w:t xml:space="preserve"> pleadings and motions</w:t>
      </w:r>
      <w:r w:rsidR="00BF4A0E" w:rsidRPr="002E60EB">
        <w:rPr>
          <w:lang w:val="en-US"/>
        </w:rPr>
        <w:t xml:space="preserve"> brief</w:t>
      </w:r>
      <w:r w:rsidRPr="002E60EB">
        <w:rPr>
          <w:lang w:val="en-US"/>
        </w:rPr>
        <w:t xml:space="preserve">, the representative </w:t>
      </w:r>
      <w:r w:rsidR="00BF4A0E" w:rsidRPr="002E60EB">
        <w:rPr>
          <w:lang w:val="en-US"/>
        </w:rPr>
        <w:t xml:space="preserve">argued </w:t>
      </w:r>
      <w:r w:rsidRPr="002E60EB">
        <w:rPr>
          <w:lang w:val="en-US"/>
        </w:rPr>
        <w:t xml:space="preserve">that </w:t>
      </w:r>
      <w:r w:rsidR="00BF4A0E" w:rsidRPr="002E60EB">
        <w:rPr>
          <w:lang w:val="en-US"/>
        </w:rPr>
        <w:t>happened</w:t>
      </w:r>
      <w:r w:rsidRPr="002E60EB">
        <w:rPr>
          <w:lang w:val="en-US"/>
        </w:rPr>
        <w:t xml:space="preserve"> to Mr. Vélez </w:t>
      </w:r>
      <w:r w:rsidR="00087093" w:rsidRPr="002E60EB">
        <w:rPr>
          <w:lang w:val="en-US"/>
        </w:rPr>
        <w:t>“</w:t>
      </w:r>
      <w:r w:rsidR="00BF4A0E" w:rsidRPr="002E60EB">
        <w:rPr>
          <w:lang w:val="en-US"/>
        </w:rPr>
        <w:t xml:space="preserve">is </w:t>
      </w:r>
      <w:r w:rsidRPr="002E60EB">
        <w:rPr>
          <w:lang w:val="en-US"/>
        </w:rPr>
        <w:t>a case of grave human rights</w:t>
      </w:r>
      <w:r w:rsidR="00BF4A0E" w:rsidRPr="002E60EB">
        <w:rPr>
          <w:lang w:val="en-US"/>
        </w:rPr>
        <w:t xml:space="preserve"> violations</w:t>
      </w:r>
      <w:r w:rsidRPr="002E60EB">
        <w:rPr>
          <w:lang w:val="en-US"/>
        </w:rPr>
        <w:t>.</w:t>
      </w:r>
      <w:r w:rsidR="00087093" w:rsidRPr="002E60EB">
        <w:rPr>
          <w:lang w:val="en-US"/>
        </w:rPr>
        <w:t>”</w:t>
      </w:r>
      <w:r w:rsidRPr="002E60EB">
        <w:rPr>
          <w:lang w:val="en-US"/>
        </w:rPr>
        <w:t xml:space="preserve"> In that </w:t>
      </w:r>
      <w:r w:rsidR="00BF4A0E" w:rsidRPr="002E60EB">
        <w:rPr>
          <w:lang w:val="en-US"/>
        </w:rPr>
        <w:t>regard</w:t>
      </w:r>
      <w:r w:rsidRPr="002E60EB">
        <w:rPr>
          <w:lang w:val="en-US"/>
        </w:rPr>
        <w:t>, he considered that what had happened to Mr. Vélez on August 29, 1996</w:t>
      </w:r>
      <w:r w:rsidR="00BF4A0E" w:rsidRPr="002E60EB">
        <w:rPr>
          <w:lang w:val="en-US"/>
        </w:rPr>
        <w:t>,</w:t>
      </w:r>
      <w:r w:rsidRPr="002E60EB">
        <w:rPr>
          <w:lang w:val="en-US"/>
        </w:rPr>
        <w:t xml:space="preserve"> must be understood as an act of </w:t>
      </w:r>
      <w:r w:rsidR="00BF4A0E" w:rsidRPr="002E60EB">
        <w:rPr>
          <w:lang w:val="en-US"/>
        </w:rPr>
        <w:t>“</w:t>
      </w:r>
      <w:r w:rsidRPr="002E60EB">
        <w:rPr>
          <w:lang w:val="en-US"/>
        </w:rPr>
        <w:t>torture</w:t>
      </w:r>
      <w:r w:rsidR="002606C4" w:rsidRPr="002E60EB">
        <w:rPr>
          <w:lang w:val="en-US"/>
        </w:rPr>
        <w:t>.</w:t>
      </w:r>
      <w:r w:rsidR="00BF4A0E" w:rsidRPr="002E60EB">
        <w:rPr>
          <w:lang w:val="en-US"/>
        </w:rPr>
        <w:t>”</w:t>
      </w:r>
      <w:r w:rsidRPr="002E60EB">
        <w:rPr>
          <w:lang w:val="en-US"/>
        </w:rPr>
        <w:t xml:space="preserve"> </w:t>
      </w:r>
      <w:r w:rsidR="00BF4A0E" w:rsidRPr="002E60EB">
        <w:rPr>
          <w:lang w:val="en-US" w:eastAsia="es-ES"/>
        </w:rPr>
        <w:t>Furthermore</w:t>
      </w:r>
      <w:r w:rsidRPr="002E60EB">
        <w:rPr>
          <w:lang w:val="en-US" w:eastAsia="es-ES"/>
        </w:rPr>
        <w:t xml:space="preserve">, he considered that the threats and harassment suffered by the Vélez Román family </w:t>
      </w:r>
      <w:r w:rsidR="00087093" w:rsidRPr="002E60EB">
        <w:rPr>
          <w:lang w:val="en-US" w:eastAsia="es-ES"/>
        </w:rPr>
        <w:t>“</w:t>
      </w:r>
      <w:r w:rsidR="00BF4A0E" w:rsidRPr="002E60EB">
        <w:rPr>
          <w:lang w:val="en-US" w:eastAsia="es-ES"/>
        </w:rPr>
        <w:t>culminated in</w:t>
      </w:r>
      <w:r w:rsidRPr="002E60EB">
        <w:rPr>
          <w:lang w:val="en-US" w:eastAsia="es-ES"/>
        </w:rPr>
        <w:t xml:space="preserve"> his forced exile </w:t>
      </w:r>
      <w:r w:rsidR="00BF4A0E" w:rsidRPr="002E60EB">
        <w:rPr>
          <w:lang w:val="en-US" w:eastAsia="es-ES"/>
        </w:rPr>
        <w:t>in</w:t>
      </w:r>
      <w:r w:rsidRPr="002E60EB">
        <w:rPr>
          <w:lang w:val="en-US" w:eastAsia="es-ES"/>
        </w:rPr>
        <w:t xml:space="preserve"> the United States</w:t>
      </w:r>
      <w:r w:rsidR="00087093" w:rsidRPr="002E60EB">
        <w:rPr>
          <w:lang w:val="en-US" w:eastAsia="es-ES"/>
        </w:rPr>
        <w:t>”</w:t>
      </w:r>
      <w:r w:rsidRPr="002E60EB">
        <w:rPr>
          <w:lang w:val="en-US" w:eastAsia="es-ES"/>
        </w:rPr>
        <w:t xml:space="preserve"> and </w:t>
      </w:r>
      <w:r w:rsidR="00087093" w:rsidRPr="002E60EB">
        <w:rPr>
          <w:lang w:val="en-US" w:eastAsia="es-ES"/>
        </w:rPr>
        <w:t>“</w:t>
      </w:r>
      <w:r w:rsidR="00BF4A0E" w:rsidRPr="002E60EB">
        <w:rPr>
          <w:lang w:val="en-US" w:eastAsia="es-ES"/>
        </w:rPr>
        <w:t>should</w:t>
      </w:r>
      <w:r w:rsidRPr="002E60EB">
        <w:rPr>
          <w:lang w:val="en-US" w:eastAsia="es-ES"/>
        </w:rPr>
        <w:t xml:space="preserve"> not be seen as violations </w:t>
      </w:r>
      <w:r w:rsidR="00BF4A0E" w:rsidRPr="002E60EB">
        <w:rPr>
          <w:lang w:val="en-US" w:eastAsia="es-ES"/>
        </w:rPr>
        <w:t>that have no connection</w:t>
      </w:r>
      <w:r w:rsidRPr="002E60EB">
        <w:rPr>
          <w:lang w:val="en-US" w:eastAsia="es-ES"/>
        </w:rPr>
        <w:t xml:space="preserve"> to the torture suffered by [Mr.] Vélez,</w:t>
      </w:r>
      <w:r w:rsidR="00087093" w:rsidRPr="002E60EB">
        <w:rPr>
          <w:lang w:val="en-US" w:eastAsia="es-ES"/>
        </w:rPr>
        <w:t>”</w:t>
      </w:r>
      <w:r w:rsidRPr="002E60EB">
        <w:rPr>
          <w:lang w:val="en-US" w:eastAsia="es-ES"/>
        </w:rPr>
        <w:t xml:space="preserve"> because they also caused </w:t>
      </w:r>
      <w:r w:rsidR="00BF4A0E" w:rsidRPr="002E60EB">
        <w:rPr>
          <w:lang w:val="en-US" w:eastAsia="es-ES"/>
        </w:rPr>
        <w:t>them</w:t>
      </w:r>
      <w:r w:rsidRPr="002E60EB">
        <w:rPr>
          <w:lang w:val="en-US" w:eastAsia="es-ES"/>
        </w:rPr>
        <w:t xml:space="preserve"> </w:t>
      </w:r>
      <w:r w:rsidR="00087093" w:rsidRPr="002E60EB">
        <w:rPr>
          <w:lang w:val="en-US" w:eastAsia="es-ES"/>
        </w:rPr>
        <w:t>“</w:t>
      </w:r>
      <w:r w:rsidRPr="002E60EB">
        <w:rPr>
          <w:lang w:val="en-US" w:eastAsia="es-ES"/>
        </w:rPr>
        <w:t xml:space="preserve">severe psychological </w:t>
      </w:r>
      <w:r w:rsidR="00BF4A0E" w:rsidRPr="002E60EB">
        <w:rPr>
          <w:lang w:val="en-US" w:eastAsia="es-ES"/>
        </w:rPr>
        <w:t>harm</w:t>
      </w:r>
      <w:r w:rsidRPr="002E60EB">
        <w:rPr>
          <w:lang w:val="en-US" w:eastAsia="es-ES"/>
        </w:rPr>
        <w:t>.</w:t>
      </w:r>
      <w:r w:rsidR="00087093" w:rsidRPr="002E60EB">
        <w:rPr>
          <w:lang w:val="en-US" w:eastAsia="es-ES"/>
        </w:rPr>
        <w:t>”</w:t>
      </w:r>
      <w:r w:rsidRPr="002E60EB">
        <w:rPr>
          <w:lang w:val="en-US" w:eastAsia="es-ES"/>
        </w:rPr>
        <w:t xml:space="preserve"> </w:t>
      </w:r>
    </w:p>
    <w:p w:rsidR="0004795A" w:rsidRPr="002E60EB" w:rsidRDefault="0004795A" w:rsidP="00260DED">
      <w:pPr>
        <w:rPr>
          <w:lang w:val="en-US"/>
        </w:rPr>
      </w:pPr>
    </w:p>
    <w:p w:rsidR="0004795A" w:rsidRPr="002E60EB" w:rsidRDefault="0004795A" w:rsidP="00317748">
      <w:pPr>
        <w:numPr>
          <w:ilvl w:val="0"/>
          <w:numId w:val="19"/>
        </w:numPr>
        <w:jc w:val="both"/>
        <w:rPr>
          <w:lang w:val="en-US"/>
        </w:rPr>
      </w:pPr>
      <w:r w:rsidRPr="002E60EB">
        <w:rPr>
          <w:lang w:val="en-US"/>
        </w:rPr>
        <w:t xml:space="preserve">The State </w:t>
      </w:r>
      <w:r w:rsidR="00397C57" w:rsidRPr="002E60EB">
        <w:rPr>
          <w:lang w:val="en-US"/>
        </w:rPr>
        <w:t xml:space="preserve">argued </w:t>
      </w:r>
      <w:r w:rsidRPr="002E60EB">
        <w:rPr>
          <w:lang w:val="en-US"/>
        </w:rPr>
        <w:t xml:space="preserve">that </w:t>
      </w:r>
      <w:r w:rsidR="00554903">
        <w:rPr>
          <w:lang w:val="en-US"/>
        </w:rPr>
        <w:t xml:space="preserve">actions for </w:t>
      </w:r>
      <w:r w:rsidRPr="002E60EB">
        <w:rPr>
          <w:lang w:val="en-US"/>
        </w:rPr>
        <w:t xml:space="preserve">the </w:t>
      </w:r>
      <w:r w:rsidR="00397C57" w:rsidRPr="002E60EB">
        <w:rPr>
          <w:lang w:val="en-US"/>
        </w:rPr>
        <w:t xml:space="preserve">offenses </w:t>
      </w:r>
      <w:r w:rsidRPr="002E60EB">
        <w:rPr>
          <w:lang w:val="en-US"/>
        </w:rPr>
        <w:t>of injuries and</w:t>
      </w:r>
      <w:r w:rsidR="00397C57" w:rsidRPr="002E60EB">
        <w:rPr>
          <w:lang w:val="en-US"/>
        </w:rPr>
        <w:t xml:space="preserve"> threats</w:t>
      </w:r>
      <w:r w:rsidRPr="002E60EB">
        <w:rPr>
          <w:lang w:val="en-US"/>
        </w:rPr>
        <w:t xml:space="preserve"> </w:t>
      </w:r>
      <w:r w:rsidR="00554903">
        <w:rPr>
          <w:lang w:val="en-US"/>
        </w:rPr>
        <w:t xml:space="preserve">were subject to the statute of limitations </w:t>
      </w:r>
      <w:r w:rsidRPr="002E60EB">
        <w:rPr>
          <w:lang w:val="en-US"/>
        </w:rPr>
        <w:t xml:space="preserve">and </w:t>
      </w:r>
      <w:r w:rsidR="00397C57" w:rsidRPr="002E60EB">
        <w:rPr>
          <w:lang w:val="en-US"/>
        </w:rPr>
        <w:t xml:space="preserve">did </w:t>
      </w:r>
      <w:r w:rsidRPr="002E60EB">
        <w:rPr>
          <w:lang w:val="en-US"/>
        </w:rPr>
        <w:t xml:space="preserve">not constitute a </w:t>
      </w:r>
      <w:r w:rsidR="00087093" w:rsidRPr="002E60EB">
        <w:rPr>
          <w:lang w:val="en-US"/>
        </w:rPr>
        <w:t>“</w:t>
      </w:r>
      <w:r w:rsidRPr="002E60EB">
        <w:rPr>
          <w:lang w:val="en-US"/>
        </w:rPr>
        <w:t>grave human rights</w:t>
      </w:r>
      <w:r w:rsidR="00397C57" w:rsidRPr="002E60EB">
        <w:rPr>
          <w:lang w:val="en-US"/>
        </w:rPr>
        <w:t xml:space="preserve"> violation</w:t>
      </w:r>
      <w:r w:rsidRPr="002E60EB">
        <w:rPr>
          <w:lang w:val="en-US"/>
        </w:rPr>
        <w:t>,</w:t>
      </w:r>
      <w:r w:rsidR="00087093" w:rsidRPr="002E60EB">
        <w:rPr>
          <w:lang w:val="en-US"/>
        </w:rPr>
        <w:t>”</w:t>
      </w:r>
      <w:r w:rsidRPr="002E60EB">
        <w:rPr>
          <w:lang w:val="en-US"/>
        </w:rPr>
        <w:t xml:space="preserve"> which </w:t>
      </w:r>
      <w:r w:rsidR="00087093" w:rsidRPr="002E60EB">
        <w:rPr>
          <w:lang w:val="en-US"/>
        </w:rPr>
        <w:t>“</w:t>
      </w:r>
      <w:r w:rsidRPr="002E60EB">
        <w:rPr>
          <w:lang w:val="en-US"/>
        </w:rPr>
        <w:t>makes it</w:t>
      </w:r>
      <w:r w:rsidR="00397C57" w:rsidRPr="002E60EB">
        <w:rPr>
          <w:lang w:val="en-US"/>
        </w:rPr>
        <w:t xml:space="preserve"> legally</w:t>
      </w:r>
      <w:r w:rsidRPr="002E60EB">
        <w:rPr>
          <w:lang w:val="en-US"/>
        </w:rPr>
        <w:t xml:space="preserve"> impossible to treat these </w:t>
      </w:r>
      <w:r w:rsidR="00397C57" w:rsidRPr="002E60EB">
        <w:rPr>
          <w:lang w:val="en-US"/>
        </w:rPr>
        <w:t xml:space="preserve">conducts </w:t>
      </w:r>
      <w:r w:rsidR="00554903">
        <w:rPr>
          <w:lang w:val="en-US"/>
        </w:rPr>
        <w:t>as</w:t>
      </w:r>
      <w:r w:rsidR="00397C57" w:rsidRPr="002E60EB">
        <w:rPr>
          <w:lang w:val="en-US"/>
        </w:rPr>
        <w:t xml:space="preserve"> offenses</w:t>
      </w:r>
      <w:r w:rsidR="00554903">
        <w:rPr>
          <w:lang w:val="en-US"/>
        </w:rPr>
        <w:t xml:space="preserve"> that cannot become time-barred</w:t>
      </w:r>
      <w:r w:rsidRPr="002E60EB">
        <w:rPr>
          <w:lang w:val="en-US"/>
        </w:rPr>
        <w:t>.</w:t>
      </w:r>
      <w:r w:rsidR="00087093" w:rsidRPr="002E60EB">
        <w:rPr>
          <w:lang w:val="en-US"/>
        </w:rPr>
        <w:t>”</w:t>
      </w:r>
      <w:r w:rsidRPr="002E60EB">
        <w:rPr>
          <w:lang w:val="en-US"/>
        </w:rPr>
        <w:t xml:space="preserve"> In this regard, it indicated that </w:t>
      </w:r>
      <w:r w:rsidR="00087093" w:rsidRPr="002E60EB">
        <w:rPr>
          <w:lang w:val="en-US"/>
        </w:rPr>
        <w:t>“</w:t>
      </w:r>
      <w:r w:rsidRPr="002E60EB">
        <w:rPr>
          <w:lang w:val="en-US"/>
        </w:rPr>
        <w:t xml:space="preserve">not even </w:t>
      </w:r>
      <w:r w:rsidR="0039243A" w:rsidRPr="002E60EB">
        <w:rPr>
          <w:lang w:val="en-US"/>
        </w:rPr>
        <w:t>applying</w:t>
      </w:r>
      <w:r w:rsidR="00397C57" w:rsidRPr="002E60EB">
        <w:rPr>
          <w:lang w:val="en-US"/>
        </w:rPr>
        <w:t xml:space="preserve"> </w:t>
      </w:r>
      <w:r w:rsidRPr="002E60EB">
        <w:rPr>
          <w:lang w:val="en-US"/>
        </w:rPr>
        <w:t xml:space="preserve">the </w:t>
      </w:r>
      <w:r w:rsidR="00397C57" w:rsidRPr="002E60EB">
        <w:rPr>
          <w:lang w:val="en-US"/>
        </w:rPr>
        <w:t>broadest</w:t>
      </w:r>
      <w:r w:rsidRPr="002E60EB">
        <w:rPr>
          <w:lang w:val="en-US"/>
        </w:rPr>
        <w:t xml:space="preserve"> </w:t>
      </w:r>
      <w:r w:rsidR="00553D53" w:rsidRPr="002E60EB">
        <w:rPr>
          <w:lang w:val="en-US"/>
        </w:rPr>
        <w:t>concept</w:t>
      </w:r>
      <w:r w:rsidR="00397C57" w:rsidRPr="002E60EB">
        <w:rPr>
          <w:lang w:val="en-US"/>
        </w:rPr>
        <w:t xml:space="preserve"> </w:t>
      </w:r>
      <w:r w:rsidR="00553D53" w:rsidRPr="002E60EB">
        <w:rPr>
          <w:lang w:val="en-US"/>
        </w:rPr>
        <w:t>as regards</w:t>
      </w:r>
      <w:r w:rsidR="00397C57" w:rsidRPr="002E60EB">
        <w:rPr>
          <w:lang w:val="en-US"/>
        </w:rPr>
        <w:t xml:space="preserve"> </w:t>
      </w:r>
      <w:r w:rsidRPr="002E60EB">
        <w:rPr>
          <w:lang w:val="en-US"/>
        </w:rPr>
        <w:t xml:space="preserve">the possibility of </w:t>
      </w:r>
      <w:r w:rsidR="00553D53" w:rsidRPr="002E60EB">
        <w:rPr>
          <w:lang w:val="en-US"/>
        </w:rPr>
        <w:t>making</w:t>
      </w:r>
      <w:r w:rsidR="00397C57" w:rsidRPr="002E60EB">
        <w:rPr>
          <w:lang w:val="en-US"/>
        </w:rPr>
        <w:t xml:space="preserve"> </w:t>
      </w:r>
      <w:r w:rsidRPr="002E60EB">
        <w:rPr>
          <w:lang w:val="en-US"/>
        </w:rPr>
        <w:t xml:space="preserve">the principle of </w:t>
      </w:r>
      <w:r w:rsidR="00397C57" w:rsidRPr="002E60EB">
        <w:rPr>
          <w:lang w:val="en-US"/>
        </w:rPr>
        <w:t xml:space="preserve">the prescription </w:t>
      </w:r>
      <w:r w:rsidRPr="002E60EB">
        <w:rPr>
          <w:lang w:val="en-US"/>
        </w:rPr>
        <w:t xml:space="preserve">of </w:t>
      </w:r>
      <w:r w:rsidR="00397C57" w:rsidRPr="002E60EB">
        <w:rPr>
          <w:lang w:val="en-US"/>
        </w:rPr>
        <w:t xml:space="preserve">the </w:t>
      </w:r>
      <w:r w:rsidRPr="002E60EB">
        <w:rPr>
          <w:lang w:val="en-US"/>
        </w:rPr>
        <w:t>criminal action</w:t>
      </w:r>
      <w:r w:rsidR="00553D53" w:rsidRPr="002E60EB">
        <w:rPr>
          <w:lang w:val="en-US"/>
        </w:rPr>
        <w:t xml:space="preserve"> more flexible</w:t>
      </w:r>
      <w:r w:rsidR="00397C57" w:rsidRPr="002E60EB">
        <w:rPr>
          <w:lang w:val="en-US"/>
        </w:rPr>
        <w:t xml:space="preserve">, </w:t>
      </w:r>
      <w:r w:rsidRPr="002E60EB">
        <w:rPr>
          <w:lang w:val="en-US"/>
        </w:rPr>
        <w:t xml:space="preserve">would it be possible to </w:t>
      </w:r>
      <w:r w:rsidR="00553D53" w:rsidRPr="002E60EB">
        <w:rPr>
          <w:lang w:val="en-US"/>
        </w:rPr>
        <w:t xml:space="preserve">lift </w:t>
      </w:r>
      <w:r w:rsidRPr="002E60EB">
        <w:rPr>
          <w:lang w:val="en-US"/>
        </w:rPr>
        <w:t xml:space="preserve">the </w:t>
      </w:r>
      <w:r w:rsidR="00554903">
        <w:rPr>
          <w:lang w:val="en-US"/>
        </w:rPr>
        <w:t>statute of limitations</w:t>
      </w:r>
      <w:r w:rsidR="00397C57" w:rsidRPr="002E60EB">
        <w:rPr>
          <w:lang w:val="en-US"/>
        </w:rPr>
        <w:t xml:space="preserve"> with regard to </w:t>
      </w:r>
      <w:r w:rsidRPr="002E60EB">
        <w:rPr>
          <w:lang w:val="en-US"/>
        </w:rPr>
        <w:t xml:space="preserve">[these] two […] </w:t>
      </w:r>
      <w:r w:rsidR="00397C57" w:rsidRPr="002E60EB">
        <w:rPr>
          <w:lang w:val="en-US"/>
        </w:rPr>
        <w:t>offenses</w:t>
      </w:r>
      <w:r w:rsidRPr="002E60EB">
        <w:rPr>
          <w:lang w:val="en-US"/>
        </w:rPr>
        <w:t>,</w:t>
      </w:r>
      <w:r w:rsidR="00087093" w:rsidRPr="002E60EB">
        <w:rPr>
          <w:lang w:val="en-US"/>
        </w:rPr>
        <w:t>”</w:t>
      </w:r>
      <w:r w:rsidRPr="002E60EB">
        <w:rPr>
          <w:lang w:val="en-US"/>
        </w:rPr>
        <w:t xml:space="preserve"> </w:t>
      </w:r>
      <w:r w:rsidR="00553D53" w:rsidRPr="002E60EB">
        <w:rPr>
          <w:lang w:val="en-US"/>
        </w:rPr>
        <w:t>because</w:t>
      </w:r>
      <w:r w:rsidRPr="002E60EB">
        <w:rPr>
          <w:lang w:val="en-US"/>
        </w:rPr>
        <w:t xml:space="preserve"> this principle not only </w:t>
      </w:r>
      <w:r w:rsidR="00087093" w:rsidRPr="002E60EB">
        <w:rPr>
          <w:lang w:val="en-US"/>
        </w:rPr>
        <w:t>“</w:t>
      </w:r>
      <w:r w:rsidRPr="002E60EB">
        <w:rPr>
          <w:lang w:val="en-US"/>
        </w:rPr>
        <w:t xml:space="preserve">harmonizes </w:t>
      </w:r>
      <w:r w:rsidR="00553D53" w:rsidRPr="002E60EB">
        <w:rPr>
          <w:lang w:val="en-US"/>
        </w:rPr>
        <w:t xml:space="preserve">fully </w:t>
      </w:r>
      <w:r w:rsidRPr="002E60EB">
        <w:rPr>
          <w:lang w:val="en-US"/>
        </w:rPr>
        <w:t xml:space="preserve">with the </w:t>
      </w:r>
      <w:r w:rsidR="00553D53" w:rsidRPr="002E60EB">
        <w:rPr>
          <w:lang w:val="en-US"/>
        </w:rPr>
        <w:t xml:space="preserve">provisions </w:t>
      </w:r>
      <w:r w:rsidRPr="002E60EB">
        <w:rPr>
          <w:lang w:val="en-US"/>
        </w:rPr>
        <w:t xml:space="preserve">of the Convention </w:t>
      </w:r>
      <w:r w:rsidR="00553D53" w:rsidRPr="002E60EB">
        <w:rPr>
          <w:lang w:val="en-US"/>
        </w:rPr>
        <w:t>as regards</w:t>
      </w:r>
      <w:r w:rsidRPr="002E60EB">
        <w:rPr>
          <w:lang w:val="en-US"/>
        </w:rPr>
        <w:t xml:space="preserve"> guarantees for </w:t>
      </w:r>
      <w:r w:rsidR="00553D53" w:rsidRPr="002E60EB">
        <w:rPr>
          <w:lang w:val="en-US"/>
        </w:rPr>
        <w:t xml:space="preserve">the </w:t>
      </w:r>
      <w:r w:rsidRPr="002E60EB">
        <w:rPr>
          <w:lang w:val="en-US"/>
        </w:rPr>
        <w:t>defendants,</w:t>
      </w:r>
      <w:r w:rsidR="00087093" w:rsidRPr="002E60EB">
        <w:rPr>
          <w:lang w:val="en-US"/>
        </w:rPr>
        <w:t>”</w:t>
      </w:r>
      <w:r w:rsidRPr="002E60EB">
        <w:rPr>
          <w:lang w:val="en-US"/>
        </w:rPr>
        <w:t xml:space="preserve"> but </w:t>
      </w:r>
      <w:r w:rsidR="00087093" w:rsidRPr="002E60EB">
        <w:rPr>
          <w:lang w:val="en-US"/>
        </w:rPr>
        <w:t>“</w:t>
      </w:r>
      <w:r w:rsidR="00553D53" w:rsidRPr="002E60EB">
        <w:rPr>
          <w:lang w:val="en-US"/>
        </w:rPr>
        <w:t>disregarding it</w:t>
      </w:r>
      <w:r w:rsidRPr="002E60EB">
        <w:rPr>
          <w:lang w:val="en-US"/>
        </w:rPr>
        <w:t xml:space="preserve"> would </w:t>
      </w:r>
      <w:r w:rsidR="00553D53" w:rsidRPr="002E60EB">
        <w:rPr>
          <w:lang w:val="en-US"/>
        </w:rPr>
        <w:t xml:space="preserve">give rise to </w:t>
      </w:r>
      <w:r w:rsidRPr="002E60EB">
        <w:rPr>
          <w:lang w:val="en-US"/>
        </w:rPr>
        <w:t>a new international violation by the State</w:t>
      </w:r>
      <w:r w:rsidR="00553D53" w:rsidRPr="002E60EB">
        <w:rPr>
          <w:lang w:val="en-US"/>
        </w:rPr>
        <w:t>.</w:t>
      </w:r>
      <w:r w:rsidR="00087093" w:rsidRPr="002E60EB">
        <w:rPr>
          <w:lang w:val="en-US"/>
        </w:rPr>
        <w:t>”</w:t>
      </w:r>
      <w:r w:rsidRPr="002E60EB">
        <w:rPr>
          <w:b/>
          <w:lang w:val="en-US" w:eastAsia="es-ES"/>
        </w:rPr>
        <w:t xml:space="preserve"> </w:t>
      </w:r>
      <w:r w:rsidRPr="002E60EB">
        <w:rPr>
          <w:lang w:val="en-US" w:eastAsia="es-ES"/>
        </w:rPr>
        <w:t xml:space="preserve">Therefore, the State </w:t>
      </w:r>
      <w:r w:rsidR="00553D53" w:rsidRPr="002E60EB">
        <w:rPr>
          <w:lang w:val="en-US" w:eastAsia="es-ES"/>
        </w:rPr>
        <w:t>asked</w:t>
      </w:r>
      <w:r w:rsidRPr="002E60EB">
        <w:rPr>
          <w:lang w:val="en-US" w:eastAsia="es-ES"/>
        </w:rPr>
        <w:t xml:space="preserve"> the Court </w:t>
      </w:r>
      <w:r w:rsidR="00087093" w:rsidRPr="002E60EB">
        <w:rPr>
          <w:lang w:val="en-US" w:eastAsia="es-ES"/>
        </w:rPr>
        <w:t>“</w:t>
      </w:r>
      <w:r w:rsidR="00553D53" w:rsidRPr="002E60EB">
        <w:rPr>
          <w:lang w:val="en-US" w:eastAsia="es-ES"/>
        </w:rPr>
        <w:t xml:space="preserve">to </w:t>
      </w:r>
      <w:r w:rsidRPr="002E60EB">
        <w:rPr>
          <w:lang w:val="en-US" w:eastAsia="es-ES"/>
        </w:rPr>
        <w:t xml:space="preserve">apply its </w:t>
      </w:r>
      <w:r w:rsidR="00553D53" w:rsidRPr="002E60EB">
        <w:rPr>
          <w:lang w:val="en-US" w:eastAsia="es-ES"/>
        </w:rPr>
        <w:t>consistent case law</w:t>
      </w:r>
      <w:r w:rsidRPr="002E60EB">
        <w:rPr>
          <w:lang w:val="en-US" w:eastAsia="es-ES"/>
        </w:rPr>
        <w:t xml:space="preserve"> that </w:t>
      </w:r>
      <w:r w:rsidR="00553D53" w:rsidRPr="002E60EB">
        <w:rPr>
          <w:lang w:val="en-US" w:eastAsia="es-ES"/>
        </w:rPr>
        <w:t>prohibition</w:t>
      </w:r>
      <w:r w:rsidRPr="002E60EB">
        <w:rPr>
          <w:lang w:val="en-US" w:eastAsia="es-ES"/>
        </w:rPr>
        <w:t xml:space="preserve"> of </w:t>
      </w:r>
      <w:r w:rsidR="00554903">
        <w:rPr>
          <w:lang w:val="en-US" w:eastAsia="es-ES"/>
        </w:rPr>
        <w:t>implementing the statute of limitations</w:t>
      </w:r>
      <w:r w:rsidR="00553D53" w:rsidRPr="002E60EB">
        <w:rPr>
          <w:lang w:val="en-US" w:eastAsia="es-ES"/>
        </w:rPr>
        <w:t xml:space="preserve"> </w:t>
      </w:r>
      <w:r w:rsidRPr="002E60EB">
        <w:rPr>
          <w:lang w:val="en-US" w:eastAsia="es-ES"/>
        </w:rPr>
        <w:t>applies only exceptio</w:t>
      </w:r>
      <w:r w:rsidR="00553D53" w:rsidRPr="002E60EB">
        <w:rPr>
          <w:lang w:val="en-US" w:eastAsia="es-ES"/>
        </w:rPr>
        <w:t>nally</w:t>
      </w:r>
      <w:r w:rsidRPr="002E60EB">
        <w:rPr>
          <w:lang w:val="en-US" w:eastAsia="es-ES"/>
        </w:rPr>
        <w:t xml:space="preserve"> in the case of […] grave human rights</w:t>
      </w:r>
      <w:r w:rsidR="00553D53" w:rsidRPr="002E60EB">
        <w:rPr>
          <w:lang w:val="en-US" w:eastAsia="es-ES"/>
        </w:rPr>
        <w:t xml:space="preserve"> violations</w:t>
      </w:r>
      <w:r w:rsidR="00087093" w:rsidRPr="002E60EB">
        <w:rPr>
          <w:lang w:val="en-US"/>
        </w:rPr>
        <w:t>”</w:t>
      </w:r>
      <w:r w:rsidRPr="002E60EB">
        <w:rPr>
          <w:lang w:val="en-US"/>
        </w:rPr>
        <w:t xml:space="preserve"> and</w:t>
      </w:r>
      <w:r w:rsidR="00553D53" w:rsidRPr="002E60EB">
        <w:rPr>
          <w:lang w:val="en-US"/>
        </w:rPr>
        <w:t>, consequently,</w:t>
      </w:r>
      <w:r w:rsidRPr="002E60EB">
        <w:rPr>
          <w:lang w:val="en-US"/>
        </w:rPr>
        <w:t xml:space="preserve"> </w:t>
      </w:r>
      <w:r w:rsidR="0039243A" w:rsidRPr="002E60EB">
        <w:rPr>
          <w:lang w:val="en-US"/>
        </w:rPr>
        <w:t xml:space="preserve">to </w:t>
      </w:r>
      <w:r w:rsidR="00087093" w:rsidRPr="002E60EB">
        <w:rPr>
          <w:lang w:val="en-US"/>
        </w:rPr>
        <w:t>“</w:t>
      </w:r>
      <w:r w:rsidR="00553D53" w:rsidRPr="002E60EB">
        <w:rPr>
          <w:lang w:val="en-US"/>
        </w:rPr>
        <w:t xml:space="preserve">reject </w:t>
      </w:r>
      <w:r w:rsidRPr="002E60EB">
        <w:rPr>
          <w:lang w:val="en-US"/>
        </w:rPr>
        <w:t xml:space="preserve">the claims of the Commission and [the] </w:t>
      </w:r>
      <w:r w:rsidR="00553D53" w:rsidRPr="002E60EB">
        <w:rPr>
          <w:lang w:val="en-US"/>
        </w:rPr>
        <w:t xml:space="preserve">victims’ </w:t>
      </w:r>
      <w:r w:rsidRPr="002E60EB">
        <w:rPr>
          <w:lang w:val="en-US"/>
        </w:rPr>
        <w:t>representative</w:t>
      </w:r>
      <w:r w:rsidR="00553D53" w:rsidRPr="002E60EB">
        <w:rPr>
          <w:lang w:val="en-US"/>
        </w:rPr>
        <w:t xml:space="preserve"> that it order </w:t>
      </w:r>
      <w:r w:rsidRPr="002E60EB">
        <w:rPr>
          <w:lang w:val="en-US"/>
        </w:rPr>
        <w:t xml:space="preserve">the reopening of [these] </w:t>
      </w:r>
      <w:r w:rsidR="00553D53" w:rsidRPr="002E60EB">
        <w:rPr>
          <w:lang w:val="en-US"/>
        </w:rPr>
        <w:t>proceedings</w:t>
      </w:r>
      <w:r w:rsidRPr="002E60EB">
        <w:rPr>
          <w:lang w:val="en-US"/>
        </w:rPr>
        <w:t>.</w:t>
      </w:r>
      <w:r w:rsidR="00087093" w:rsidRPr="002E60EB">
        <w:rPr>
          <w:lang w:val="en-US"/>
        </w:rPr>
        <w:t>”</w:t>
      </w:r>
      <w:r w:rsidRPr="002E60EB">
        <w:rPr>
          <w:lang w:val="en-US"/>
        </w:rPr>
        <w:t xml:space="preserve"> </w:t>
      </w:r>
    </w:p>
    <w:p w:rsidR="0004795A" w:rsidRPr="002E60EB" w:rsidRDefault="0004795A" w:rsidP="00260DED">
      <w:pPr>
        <w:pStyle w:val="Prrafodelista2"/>
        <w:tabs>
          <w:tab w:val="left" w:pos="720"/>
        </w:tabs>
        <w:ind w:left="0"/>
        <w:contextualSpacing/>
        <w:jc w:val="both"/>
        <w:rPr>
          <w:lang w:val="en-US"/>
        </w:rPr>
      </w:pPr>
      <w:r w:rsidRPr="002E60EB">
        <w:rPr>
          <w:b/>
          <w:lang w:val="en-US" w:eastAsia="es-ES"/>
        </w:rPr>
        <w:t xml:space="preserve"> </w:t>
      </w:r>
    </w:p>
    <w:p w:rsidR="0004795A" w:rsidRPr="002E60EB" w:rsidRDefault="0004795A" w:rsidP="00317748">
      <w:pPr>
        <w:numPr>
          <w:ilvl w:val="0"/>
          <w:numId w:val="19"/>
        </w:numPr>
        <w:jc w:val="both"/>
        <w:rPr>
          <w:lang w:val="en-US"/>
        </w:rPr>
      </w:pPr>
      <w:r w:rsidRPr="002E60EB">
        <w:rPr>
          <w:lang w:val="en-US"/>
        </w:rPr>
        <w:t>In Chapter</w:t>
      </w:r>
      <w:r w:rsidR="00553D53" w:rsidRPr="002E60EB">
        <w:rPr>
          <w:lang w:val="en-US"/>
        </w:rPr>
        <w:t>s IX, X and XI</w:t>
      </w:r>
      <w:r w:rsidRPr="002E60EB">
        <w:rPr>
          <w:lang w:val="en-US"/>
        </w:rPr>
        <w:t xml:space="preserve"> of </w:t>
      </w:r>
      <w:r w:rsidR="00553D53" w:rsidRPr="002E60EB">
        <w:rPr>
          <w:lang w:val="en-US"/>
        </w:rPr>
        <w:t>this</w:t>
      </w:r>
      <w:r w:rsidRPr="002E60EB">
        <w:rPr>
          <w:lang w:val="en-US"/>
        </w:rPr>
        <w:t xml:space="preserve"> Judgment, the Court determined that the facts of this case involved violations </w:t>
      </w:r>
      <w:r w:rsidR="00553D53" w:rsidRPr="002E60EB">
        <w:rPr>
          <w:lang w:val="en-US"/>
        </w:rPr>
        <w:t>of</w:t>
      </w:r>
      <w:r w:rsidRPr="002E60EB">
        <w:rPr>
          <w:lang w:val="en-US"/>
        </w:rPr>
        <w:t xml:space="preserve"> personal integrity, </w:t>
      </w:r>
      <w:r w:rsidR="00553D53" w:rsidRPr="002E60EB">
        <w:rPr>
          <w:lang w:val="en-US"/>
        </w:rPr>
        <w:t>f</w:t>
      </w:r>
      <w:r w:rsidRPr="002E60EB">
        <w:rPr>
          <w:lang w:val="en-US"/>
        </w:rPr>
        <w:t xml:space="preserve">reedom of expression, freedom of movement and residence, protection of the family, and the rights of </w:t>
      </w:r>
      <w:r w:rsidR="0039243A" w:rsidRPr="002E60EB">
        <w:rPr>
          <w:lang w:val="en-US"/>
        </w:rPr>
        <w:t>the child</w:t>
      </w:r>
      <w:r w:rsidRPr="002E60EB">
        <w:rPr>
          <w:lang w:val="en-US"/>
        </w:rPr>
        <w:t xml:space="preserve">, but the </w:t>
      </w:r>
      <w:r w:rsidR="00D00C5F" w:rsidRPr="002E60EB">
        <w:rPr>
          <w:lang w:val="en-US"/>
        </w:rPr>
        <w:t>Court</w:t>
      </w:r>
      <w:r w:rsidRPr="002E60EB">
        <w:rPr>
          <w:lang w:val="en-US"/>
        </w:rPr>
        <w:t xml:space="preserve"> did not declare that they constituted acts of torture or forced disappearance</w:t>
      </w:r>
      <w:r w:rsidR="00F15F48" w:rsidRPr="002E60EB">
        <w:rPr>
          <w:lang w:val="en-US"/>
        </w:rPr>
        <w:t>. Furthermore</w:t>
      </w:r>
      <w:r w:rsidRPr="002E60EB">
        <w:rPr>
          <w:lang w:val="en-US"/>
        </w:rPr>
        <w:t xml:space="preserve">, the Court declared the violation </w:t>
      </w:r>
      <w:r w:rsidR="00F15F48" w:rsidRPr="002E60EB">
        <w:rPr>
          <w:lang w:val="en-US"/>
        </w:rPr>
        <w:t>of</w:t>
      </w:r>
      <w:r w:rsidRPr="002E60EB">
        <w:rPr>
          <w:lang w:val="en-US"/>
        </w:rPr>
        <w:t xml:space="preserve"> Articles 8 and 25 of the Convention </w:t>
      </w:r>
      <w:r w:rsidR="00F15F48" w:rsidRPr="002E60EB">
        <w:rPr>
          <w:lang w:val="en-US"/>
        </w:rPr>
        <w:t xml:space="preserve">owing </w:t>
      </w:r>
      <w:r w:rsidRPr="002E60EB">
        <w:rPr>
          <w:lang w:val="en-US"/>
        </w:rPr>
        <w:t xml:space="preserve">to </w:t>
      </w:r>
      <w:r w:rsidR="00F15F48" w:rsidRPr="002E60EB">
        <w:rPr>
          <w:lang w:val="en-US"/>
        </w:rPr>
        <w:t xml:space="preserve">the absence </w:t>
      </w:r>
      <w:r w:rsidRPr="002E60EB">
        <w:rPr>
          <w:lang w:val="en-US"/>
        </w:rPr>
        <w:t xml:space="preserve">of </w:t>
      </w:r>
      <w:r w:rsidR="0039243A" w:rsidRPr="002E60EB">
        <w:rPr>
          <w:lang w:val="en-US"/>
        </w:rPr>
        <w:t>effective</w:t>
      </w:r>
      <w:r w:rsidRPr="002E60EB">
        <w:rPr>
          <w:lang w:val="en-US"/>
        </w:rPr>
        <w:t xml:space="preserve"> and diligent investigation</w:t>
      </w:r>
      <w:r w:rsidR="00F15F48" w:rsidRPr="002E60EB">
        <w:rPr>
          <w:lang w:val="en-US"/>
        </w:rPr>
        <w:t>s</w:t>
      </w:r>
      <w:r w:rsidRPr="002E60EB">
        <w:rPr>
          <w:lang w:val="en-US"/>
        </w:rPr>
        <w:t xml:space="preserve"> into the acts of </w:t>
      </w:r>
      <w:r w:rsidR="00F15F48" w:rsidRPr="002E60EB">
        <w:rPr>
          <w:lang w:val="en-US"/>
        </w:rPr>
        <w:t xml:space="preserve">violence </w:t>
      </w:r>
      <w:r w:rsidRPr="002E60EB">
        <w:rPr>
          <w:lang w:val="en-US"/>
        </w:rPr>
        <w:t xml:space="preserve">against Mr. </w:t>
      </w:r>
      <w:r w:rsidRPr="002E60EB">
        <w:rPr>
          <w:rFonts w:eastAsia="Calibri" w:cs="Verdana"/>
          <w:lang w:val="en-US"/>
        </w:rPr>
        <w:t xml:space="preserve">Vélez Restrepo, </w:t>
      </w:r>
      <w:r w:rsidR="00F15F48" w:rsidRPr="002E60EB">
        <w:rPr>
          <w:rFonts w:eastAsia="Calibri" w:cs="Verdana"/>
          <w:lang w:val="en-US"/>
        </w:rPr>
        <w:t xml:space="preserve">the </w:t>
      </w:r>
      <w:r w:rsidRPr="002E60EB">
        <w:rPr>
          <w:rFonts w:eastAsia="Calibri" w:cs="Verdana"/>
          <w:lang w:val="en-US"/>
        </w:rPr>
        <w:t>threats and harassment</w:t>
      </w:r>
      <w:r w:rsidR="00F15F48" w:rsidRPr="002E60EB">
        <w:rPr>
          <w:rFonts w:eastAsia="Calibri" w:cs="Verdana"/>
          <w:lang w:val="en-US"/>
        </w:rPr>
        <w:t>,</w:t>
      </w:r>
      <w:r w:rsidRPr="002E60EB">
        <w:rPr>
          <w:rFonts w:eastAsia="Calibri" w:cs="Verdana"/>
          <w:lang w:val="en-US"/>
        </w:rPr>
        <w:t xml:space="preserve"> and</w:t>
      </w:r>
      <w:r w:rsidR="00F15F48" w:rsidRPr="002E60EB">
        <w:rPr>
          <w:rFonts w:eastAsia="Calibri" w:cs="Verdana"/>
          <w:lang w:val="en-US"/>
        </w:rPr>
        <w:t xml:space="preserve"> the</w:t>
      </w:r>
      <w:r w:rsidRPr="002E60EB">
        <w:rPr>
          <w:rFonts w:eastAsia="Calibri" w:cs="Verdana"/>
          <w:lang w:val="en-US"/>
        </w:rPr>
        <w:t xml:space="preserve"> attempted </w:t>
      </w:r>
      <w:r w:rsidR="00F15F48" w:rsidRPr="002E60EB">
        <w:rPr>
          <w:rFonts w:eastAsia="Calibri" w:cs="Verdana"/>
          <w:lang w:val="en-US"/>
        </w:rPr>
        <w:t>deprivation of liberty</w:t>
      </w:r>
      <w:r w:rsidRPr="002E60EB">
        <w:rPr>
          <w:rFonts w:eastAsia="Calibri" w:cs="Verdana"/>
          <w:lang w:val="en-US"/>
        </w:rPr>
        <w:t xml:space="preserve">, as well as </w:t>
      </w:r>
      <w:r w:rsidR="00F15F48" w:rsidRPr="002E60EB">
        <w:rPr>
          <w:rFonts w:eastAsia="Calibri" w:cs="Verdana"/>
          <w:lang w:val="en-US"/>
        </w:rPr>
        <w:t>into</w:t>
      </w:r>
      <w:r w:rsidRPr="002E60EB">
        <w:rPr>
          <w:rFonts w:eastAsia="Calibri" w:cs="Verdana"/>
          <w:lang w:val="en-US"/>
        </w:rPr>
        <w:t xml:space="preserve"> the </w:t>
      </w:r>
      <w:r w:rsidR="0039243A" w:rsidRPr="002E60EB">
        <w:rPr>
          <w:rFonts w:eastAsia="Calibri" w:cs="Verdana"/>
          <w:lang w:val="en-US"/>
        </w:rPr>
        <w:t>violation of the guarantee of</w:t>
      </w:r>
      <w:r w:rsidRPr="002E60EB">
        <w:rPr>
          <w:rFonts w:eastAsia="Calibri" w:cs="Verdana"/>
          <w:lang w:val="en-US"/>
        </w:rPr>
        <w:t xml:space="preserve"> a </w:t>
      </w:r>
      <w:r w:rsidR="00615D3A" w:rsidRPr="002E60EB">
        <w:rPr>
          <w:rFonts w:eastAsia="Calibri" w:cs="Verdana"/>
          <w:lang w:val="en-US"/>
        </w:rPr>
        <w:t>natural judge</w:t>
      </w:r>
      <w:r w:rsidRPr="002E60EB">
        <w:rPr>
          <w:rFonts w:eastAsia="Calibri" w:cs="Verdana"/>
          <w:lang w:val="en-US"/>
        </w:rPr>
        <w:t xml:space="preserve"> in relation to the investigation into the </w:t>
      </w:r>
      <w:r w:rsidR="00F15F48" w:rsidRPr="002E60EB">
        <w:rPr>
          <w:rFonts w:eastAsia="Calibri" w:cs="Verdana"/>
          <w:lang w:val="en-US"/>
        </w:rPr>
        <w:t>said attack.</w:t>
      </w:r>
    </w:p>
    <w:p w:rsidR="0004795A" w:rsidRPr="002E60EB" w:rsidRDefault="0004795A" w:rsidP="00260DED">
      <w:pPr>
        <w:pStyle w:val="Prrafodelista"/>
        <w:ind w:left="0"/>
        <w:rPr>
          <w:sz w:val="20"/>
          <w:szCs w:val="20"/>
          <w:lang w:val="en-US"/>
        </w:rPr>
      </w:pPr>
    </w:p>
    <w:p w:rsidR="0004795A" w:rsidRPr="002E60EB" w:rsidRDefault="0004795A" w:rsidP="00317748">
      <w:pPr>
        <w:numPr>
          <w:ilvl w:val="0"/>
          <w:numId w:val="19"/>
        </w:numPr>
        <w:jc w:val="both"/>
        <w:rPr>
          <w:lang w:val="en-US"/>
        </w:rPr>
      </w:pPr>
      <w:r w:rsidRPr="002E60EB">
        <w:rPr>
          <w:lang w:val="en-US"/>
        </w:rPr>
        <w:t xml:space="preserve">The </w:t>
      </w:r>
      <w:r w:rsidR="00D00C5F" w:rsidRPr="002E60EB">
        <w:rPr>
          <w:lang w:val="en-US"/>
        </w:rPr>
        <w:t>Court</w:t>
      </w:r>
      <w:r w:rsidRPr="002E60EB">
        <w:rPr>
          <w:lang w:val="en-US"/>
        </w:rPr>
        <w:t xml:space="preserve"> reiterates that a</w:t>
      </w:r>
      <w:r w:rsidR="00F15F48" w:rsidRPr="002E60EB">
        <w:rPr>
          <w:lang w:val="en-US"/>
        </w:rPr>
        <w:t>ny</w:t>
      </w:r>
      <w:r w:rsidRPr="002E60EB">
        <w:rPr>
          <w:lang w:val="en-US"/>
        </w:rPr>
        <w:t xml:space="preserve"> violation </w:t>
      </w:r>
      <w:r w:rsidR="00F15F48" w:rsidRPr="002E60EB">
        <w:rPr>
          <w:lang w:val="en-US"/>
        </w:rPr>
        <w:t>of</w:t>
      </w:r>
      <w:r w:rsidRPr="002E60EB">
        <w:rPr>
          <w:lang w:val="en-US"/>
        </w:rPr>
        <w:t xml:space="preserve"> human rights </w:t>
      </w:r>
      <w:r w:rsidR="00F15F48" w:rsidRPr="002E60EB">
        <w:rPr>
          <w:lang w:val="en-US"/>
        </w:rPr>
        <w:t xml:space="preserve">supposes </w:t>
      </w:r>
      <w:r w:rsidRPr="002E60EB">
        <w:rPr>
          <w:lang w:val="en-US"/>
        </w:rPr>
        <w:t>a certain gravity based on their</w:t>
      </w:r>
      <w:r w:rsidR="00F15F48" w:rsidRPr="002E60EB">
        <w:rPr>
          <w:lang w:val="en-US"/>
        </w:rPr>
        <w:t xml:space="preserve"> very </w:t>
      </w:r>
      <w:r w:rsidRPr="002E60EB">
        <w:rPr>
          <w:lang w:val="en-US"/>
        </w:rPr>
        <w:t xml:space="preserve">nature, because </w:t>
      </w:r>
      <w:r w:rsidR="00F15F48" w:rsidRPr="002E60EB">
        <w:rPr>
          <w:lang w:val="en-US"/>
        </w:rPr>
        <w:t>it</w:t>
      </w:r>
      <w:r w:rsidRPr="002E60EB">
        <w:rPr>
          <w:lang w:val="en-US"/>
        </w:rPr>
        <w:t xml:space="preserve"> </w:t>
      </w:r>
      <w:r w:rsidR="00F15F48" w:rsidRPr="002E60EB">
        <w:rPr>
          <w:lang w:val="en-US"/>
        </w:rPr>
        <w:t>entails</w:t>
      </w:r>
      <w:r w:rsidRPr="002E60EB">
        <w:rPr>
          <w:lang w:val="en-US"/>
        </w:rPr>
        <w:t xml:space="preserve"> non-compliance </w:t>
      </w:r>
      <w:r w:rsidR="00F15F48" w:rsidRPr="002E60EB">
        <w:rPr>
          <w:lang w:val="en-US"/>
        </w:rPr>
        <w:t>with</w:t>
      </w:r>
      <w:r w:rsidRPr="002E60EB">
        <w:rPr>
          <w:lang w:val="en-US"/>
        </w:rPr>
        <w:t xml:space="preserve"> certain</w:t>
      </w:r>
      <w:r w:rsidR="00F15F48" w:rsidRPr="002E60EB">
        <w:rPr>
          <w:lang w:val="en-US"/>
        </w:rPr>
        <w:t xml:space="preserve"> State obligation</w:t>
      </w:r>
      <w:r w:rsidR="0039243A" w:rsidRPr="002E60EB">
        <w:rPr>
          <w:lang w:val="en-US"/>
        </w:rPr>
        <w:t>s</w:t>
      </w:r>
      <w:r w:rsidR="00F15F48" w:rsidRPr="002E60EB">
        <w:rPr>
          <w:lang w:val="en-US"/>
        </w:rPr>
        <w:t xml:space="preserve"> to</w:t>
      </w:r>
      <w:r w:rsidRPr="002E60EB">
        <w:rPr>
          <w:lang w:val="en-US"/>
        </w:rPr>
        <w:t xml:space="preserve"> respect and guarantee the rights and freedoms </w:t>
      </w:r>
      <w:r w:rsidR="00F15F48" w:rsidRPr="002E60EB">
        <w:rPr>
          <w:lang w:val="en-US"/>
        </w:rPr>
        <w:t>of the individual</w:t>
      </w:r>
      <w:r w:rsidRPr="002E60EB">
        <w:rPr>
          <w:lang w:val="en-US"/>
        </w:rPr>
        <w:t xml:space="preserve">. However, this must not be confused with what the </w:t>
      </w:r>
      <w:r w:rsidR="00D00C5F" w:rsidRPr="002E60EB">
        <w:rPr>
          <w:lang w:val="en-US"/>
        </w:rPr>
        <w:t>Court</w:t>
      </w:r>
      <w:r w:rsidR="00F15F48" w:rsidRPr="002E60EB">
        <w:rPr>
          <w:lang w:val="en-US"/>
        </w:rPr>
        <w:t>, in all its case law, has considered</w:t>
      </w:r>
      <w:r w:rsidRPr="002E60EB">
        <w:rPr>
          <w:lang w:val="en-US"/>
        </w:rPr>
        <w:t xml:space="preserve"> </w:t>
      </w:r>
      <w:r w:rsidR="00087093" w:rsidRPr="002E60EB">
        <w:rPr>
          <w:lang w:val="en-US"/>
        </w:rPr>
        <w:t>“</w:t>
      </w:r>
      <w:r w:rsidRPr="002E60EB">
        <w:rPr>
          <w:lang w:val="en-US"/>
        </w:rPr>
        <w:t>grave human rights</w:t>
      </w:r>
      <w:r w:rsidR="00F15F48" w:rsidRPr="002E60EB">
        <w:rPr>
          <w:lang w:val="en-US"/>
        </w:rPr>
        <w:t xml:space="preserve"> violations</w:t>
      </w:r>
      <w:r w:rsidRPr="002E60EB">
        <w:rPr>
          <w:lang w:val="en-US"/>
        </w:rPr>
        <w:t>,</w:t>
      </w:r>
      <w:r w:rsidR="00087093" w:rsidRPr="002E60EB">
        <w:rPr>
          <w:lang w:val="en-US"/>
        </w:rPr>
        <w:t>”</w:t>
      </w:r>
      <w:r w:rsidRPr="002E60EB">
        <w:rPr>
          <w:lang w:val="en-US"/>
        </w:rPr>
        <w:t xml:space="preserve"> which have </w:t>
      </w:r>
      <w:r w:rsidR="00334C3C" w:rsidRPr="002E60EB">
        <w:rPr>
          <w:lang w:val="en-US"/>
        </w:rPr>
        <w:t>their own</w:t>
      </w:r>
      <w:r w:rsidRPr="002E60EB">
        <w:rPr>
          <w:lang w:val="en-US"/>
        </w:rPr>
        <w:t xml:space="preserve"> connotation and consequences. </w:t>
      </w:r>
      <w:r w:rsidR="00F15F48" w:rsidRPr="002E60EB">
        <w:rPr>
          <w:lang w:val="en-US"/>
        </w:rPr>
        <w:t>Moreover, this</w:t>
      </w:r>
      <w:r w:rsidRPr="002E60EB">
        <w:rPr>
          <w:lang w:val="en-US"/>
        </w:rPr>
        <w:t xml:space="preserve"> </w:t>
      </w:r>
      <w:r w:rsidR="00D00C5F" w:rsidRPr="002E60EB">
        <w:rPr>
          <w:lang w:val="en-US"/>
        </w:rPr>
        <w:t>Court</w:t>
      </w:r>
      <w:r w:rsidRPr="002E60EB">
        <w:rPr>
          <w:lang w:val="en-US"/>
        </w:rPr>
        <w:t xml:space="preserve"> has indicated that it is </w:t>
      </w:r>
      <w:r w:rsidR="00F15F48" w:rsidRPr="002E60EB">
        <w:rPr>
          <w:lang w:val="en-US"/>
        </w:rPr>
        <w:t xml:space="preserve">not correct </w:t>
      </w:r>
      <w:r w:rsidRPr="002E60EB">
        <w:rPr>
          <w:lang w:val="en-US"/>
        </w:rPr>
        <w:t>to expect that</w:t>
      </w:r>
      <w:r w:rsidR="00F15F48" w:rsidRPr="002E60EB">
        <w:rPr>
          <w:lang w:val="en-US"/>
        </w:rPr>
        <w:t xml:space="preserve"> </w:t>
      </w:r>
      <w:r w:rsidR="00554903">
        <w:rPr>
          <w:lang w:val="en-US"/>
        </w:rPr>
        <w:t>the application of the statute of limitations</w:t>
      </w:r>
      <w:r w:rsidR="00F15F48" w:rsidRPr="002E60EB">
        <w:rPr>
          <w:lang w:val="en-US"/>
        </w:rPr>
        <w:t xml:space="preserve"> is inadmissible </w:t>
      </w:r>
      <w:r w:rsidRPr="002E60EB">
        <w:rPr>
          <w:lang w:val="en-US"/>
        </w:rPr>
        <w:t xml:space="preserve">in </w:t>
      </w:r>
      <w:r w:rsidR="00F15F48" w:rsidRPr="002E60EB">
        <w:rPr>
          <w:lang w:val="en-US"/>
        </w:rPr>
        <w:t xml:space="preserve">every </w:t>
      </w:r>
      <w:r w:rsidRPr="002E60EB">
        <w:rPr>
          <w:lang w:val="en-US"/>
        </w:rPr>
        <w:t xml:space="preserve">case </w:t>
      </w:r>
      <w:r w:rsidR="00F15F48" w:rsidRPr="002E60EB">
        <w:rPr>
          <w:lang w:val="en-US"/>
        </w:rPr>
        <w:t>submitted to</w:t>
      </w:r>
      <w:r w:rsidRPr="002E60EB">
        <w:rPr>
          <w:lang w:val="en-US"/>
        </w:rPr>
        <w:t xml:space="preserve"> the Court </w:t>
      </w:r>
      <w:r w:rsidR="00F15F48" w:rsidRPr="002E60EB">
        <w:rPr>
          <w:lang w:val="en-US"/>
        </w:rPr>
        <w:t>mere</w:t>
      </w:r>
      <w:r w:rsidRPr="002E60EB">
        <w:rPr>
          <w:lang w:val="en-US"/>
        </w:rPr>
        <w:t>ly because human rights violations</w:t>
      </w:r>
      <w:r w:rsidR="00F15F48" w:rsidRPr="002E60EB">
        <w:rPr>
          <w:lang w:val="en-US"/>
        </w:rPr>
        <w:t xml:space="preserve"> are involved</w:t>
      </w:r>
      <w:r w:rsidRPr="002E60EB">
        <w:rPr>
          <w:rFonts w:eastAsia="Calibri" w:cs="Verdana"/>
          <w:lang w:val="en-US" w:eastAsia="es-MX"/>
        </w:rPr>
        <w:t>.</w:t>
      </w:r>
      <w:r w:rsidR="00F15F48" w:rsidRPr="002E60EB">
        <w:rPr>
          <w:rStyle w:val="Refdenotaalpie"/>
          <w:rFonts w:eastAsia="Calibri" w:cs="Verdana"/>
          <w:lang w:val="en-US" w:eastAsia="es-MX"/>
        </w:rPr>
        <w:footnoteReference w:id="260"/>
      </w:r>
      <w:r w:rsidRPr="002E60EB">
        <w:rPr>
          <w:rFonts w:eastAsia="Calibri" w:cs="Verdana"/>
          <w:lang w:val="en-US" w:eastAsia="es-MX"/>
        </w:rPr>
        <w:t xml:space="preserve"> </w:t>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rsidP="00317748">
      <w:pPr>
        <w:numPr>
          <w:ilvl w:val="0"/>
          <w:numId w:val="19"/>
        </w:numPr>
        <w:tabs>
          <w:tab w:val="clear" w:pos="680"/>
        </w:tabs>
        <w:jc w:val="both"/>
        <w:rPr>
          <w:lang w:val="en-US"/>
        </w:rPr>
      </w:pPr>
      <w:r w:rsidRPr="002E60EB">
        <w:rPr>
          <w:lang w:val="en-US"/>
        </w:rPr>
        <w:t xml:space="preserve">The Court has already </w:t>
      </w:r>
      <w:r w:rsidR="00F15F48" w:rsidRPr="002E60EB">
        <w:rPr>
          <w:lang w:val="en-US"/>
        </w:rPr>
        <w:t xml:space="preserve">indicated </w:t>
      </w:r>
      <w:r w:rsidRPr="002E60EB">
        <w:rPr>
          <w:lang w:val="en-US"/>
        </w:rPr>
        <w:t>that</w:t>
      </w:r>
      <w:r w:rsidR="00F15F48" w:rsidRPr="002E60EB">
        <w:rPr>
          <w:lang w:val="en-US"/>
        </w:rPr>
        <w:t xml:space="preserve">, </w:t>
      </w:r>
      <w:r w:rsidRPr="002E60EB">
        <w:rPr>
          <w:lang w:val="en-US"/>
        </w:rPr>
        <w:t>in criminal matters</w:t>
      </w:r>
      <w:r w:rsidR="00F15F48" w:rsidRPr="002E60EB">
        <w:rPr>
          <w:lang w:val="en-US"/>
        </w:rPr>
        <w:t xml:space="preserve">, </w:t>
      </w:r>
      <w:r w:rsidR="000B54F8">
        <w:rPr>
          <w:lang w:val="en-US"/>
        </w:rPr>
        <w:t>application of the statute of limitations</w:t>
      </w:r>
      <w:r w:rsidRPr="002E60EB">
        <w:rPr>
          <w:lang w:val="en-US"/>
        </w:rPr>
        <w:t xml:space="preserve"> determines the extinction of punitive </w:t>
      </w:r>
      <w:r w:rsidR="00F15F48" w:rsidRPr="002E60EB">
        <w:rPr>
          <w:lang w:val="en-US"/>
        </w:rPr>
        <w:t>possibilities</w:t>
      </w:r>
      <w:r w:rsidRPr="002E60EB">
        <w:rPr>
          <w:lang w:val="en-US"/>
        </w:rPr>
        <w:t xml:space="preserve"> </w:t>
      </w:r>
      <w:r w:rsidR="00EF694B" w:rsidRPr="002E60EB">
        <w:rPr>
          <w:lang w:val="en-US"/>
        </w:rPr>
        <w:t>owing</w:t>
      </w:r>
      <w:r w:rsidRPr="002E60EB">
        <w:rPr>
          <w:lang w:val="en-US"/>
        </w:rPr>
        <w:t xml:space="preserve"> to the pass</w:t>
      </w:r>
      <w:r w:rsidR="00EF694B" w:rsidRPr="002E60EB">
        <w:rPr>
          <w:lang w:val="en-US"/>
        </w:rPr>
        <w:t>age</w:t>
      </w:r>
      <w:r w:rsidRPr="002E60EB">
        <w:rPr>
          <w:lang w:val="en-US"/>
        </w:rPr>
        <w:t xml:space="preserve"> of time and that</w:t>
      </w:r>
      <w:r w:rsidR="00EF694B" w:rsidRPr="002E60EB">
        <w:rPr>
          <w:lang w:val="en-US"/>
        </w:rPr>
        <w:t>,</w:t>
      </w:r>
      <w:r w:rsidRPr="002E60EB">
        <w:rPr>
          <w:lang w:val="en-US"/>
        </w:rPr>
        <w:t xml:space="preserve"> generally</w:t>
      </w:r>
      <w:r w:rsidR="00EF694B" w:rsidRPr="002E60EB">
        <w:rPr>
          <w:lang w:val="en-US"/>
        </w:rPr>
        <w:t xml:space="preserve">, it </w:t>
      </w:r>
      <w:r w:rsidRPr="002E60EB">
        <w:rPr>
          <w:lang w:val="en-US"/>
        </w:rPr>
        <w:t>limits the punitive power</w:t>
      </w:r>
      <w:r w:rsidR="00EF694B" w:rsidRPr="002E60EB">
        <w:rPr>
          <w:lang w:val="en-US"/>
        </w:rPr>
        <w:t>s of the State</w:t>
      </w:r>
      <w:r w:rsidRPr="002E60EB">
        <w:rPr>
          <w:lang w:val="en-US"/>
        </w:rPr>
        <w:t xml:space="preserve"> to prosecute the illegal </w:t>
      </w:r>
      <w:r w:rsidR="00EF694B" w:rsidRPr="002E60EB">
        <w:rPr>
          <w:lang w:val="en-US"/>
        </w:rPr>
        <w:t xml:space="preserve">conduct </w:t>
      </w:r>
      <w:r w:rsidRPr="002E60EB">
        <w:rPr>
          <w:lang w:val="en-US"/>
        </w:rPr>
        <w:t xml:space="preserve">and punish </w:t>
      </w:r>
      <w:r w:rsidR="00EF694B" w:rsidRPr="002E60EB">
        <w:rPr>
          <w:lang w:val="en-US"/>
        </w:rPr>
        <w:t>the</w:t>
      </w:r>
      <w:r w:rsidRPr="002E60EB">
        <w:rPr>
          <w:lang w:val="en-US"/>
        </w:rPr>
        <w:t xml:space="preserve"> authors.</w:t>
      </w:r>
      <w:r w:rsidR="00EF694B" w:rsidRPr="002E60EB">
        <w:rPr>
          <w:rStyle w:val="Refdenotaalpie"/>
          <w:rFonts w:eastAsia="Calibri" w:cs="Verdana"/>
          <w:lang w:val="en-US" w:eastAsia="es-MX"/>
        </w:rPr>
        <w:footnoteReference w:id="261"/>
      </w:r>
      <w:r w:rsidRPr="002E60EB">
        <w:rPr>
          <w:rFonts w:eastAsia="Calibri" w:cs="Verdana"/>
          <w:lang w:val="en-US" w:eastAsia="es-MX"/>
        </w:rPr>
        <w:t xml:space="preserve"> According to the </w:t>
      </w:r>
      <w:r w:rsidR="00EF694B" w:rsidRPr="002E60EB">
        <w:rPr>
          <w:rFonts w:eastAsia="Calibri" w:cs="Verdana"/>
          <w:lang w:val="en-US" w:eastAsia="es-MX"/>
        </w:rPr>
        <w:t xml:space="preserve">Court’s consistent </w:t>
      </w:r>
      <w:r w:rsidRPr="002E60EB">
        <w:rPr>
          <w:rFonts w:eastAsia="Calibri" w:cs="Verdana"/>
          <w:lang w:val="en-US" w:eastAsia="es-MX"/>
        </w:rPr>
        <w:t xml:space="preserve">and </w:t>
      </w:r>
      <w:r w:rsidR="00EF694B" w:rsidRPr="002E60EB">
        <w:rPr>
          <w:rFonts w:eastAsia="Calibri" w:cs="Verdana"/>
          <w:lang w:val="en-US" w:eastAsia="es-MX"/>
        </w:rPr>
        <w:t xml:space="preserve">unvarying case law, </w:t>
      </w:r>
      <w:r w:rsidRPr="002E60EB">
        <w:rPr>
          <w:rFonts w:eastAsia="Calibri" w:cs="Verdana"/>
          <w:lang w:val="en-US" w:eastAsia="es-MX"/>
        </w:rPr>
        <w:t xml:space="preserve">in certain circumstances </w:t>
      </w:r>
      <w:r w:rsidR="00EF694B" w:rsidRPr="002E60EB">
        <w:rPr>
          <w:rFonts w:eastAsia="Calibri" w:cs="Verdana"/>
          <w:lang w:val="en-US" w:eastAsia="es-MX"/>
        </w:rPr>
        <w:t>i</w:t>
      </w:r>
      <w:r w:rsidRPr="002E60EB">
        <w:rPr>
          <w:rFonts w:eastAsia="Calibri" w:cs="Verdana"/>
          <w:lang w:val="en-US" w:eastAsia="es-MX"/>
        </w:rPr>
        <w:t xml:space="preserve">nternational </w:t>
      </w:r>
      <w:r w:rsidR="00EF694B" w:rsidRPr="002E60EB">
        <w:rPr>
          <w:rFonts w:eastAsia="Calibri" w:cs="Verdana"/>
          <w:lang w:val="en-US" w:eastAsia="es-MX"/>
        </w:rPr>
        <w:t>l</w:t>
      </w:r>
      <w:r w:rsidRPr="002E60EB">
        <w:rPr>
          <w:rFonts w:eastAsia="Calibri" w:cs="Verdana"/>
          <w:lang w:val="en-US" w:eastAsia="es-MX"/>
        </w:rPr>
        <w:t>aw considers</w:t>
      </w:r>
      <w:r w:rsidR="00EF694B" w:rsidRPr="002E60EB">
        <w:rPr>
          <w:rFonts w:eastAsia="Calibri" w:cs="Verdana"/>
          <w:lang w:val="en-US" w:eastAsia="es-MX"/>
        </w:rPr>
        <w:t xml:space="preserve"> that </w:t>
      </w:r>
      <w:r w:rsidR="000B54F8">
        <w:rPr>
          <w:rFonts w:eastAsia="Calibri" w:cs="Verdana"/>
          <w:lang w:val="en-US" w:eastAsia="es-MX"/>
        </w:rPr>
        <w:t>application of the statute of limitations</w:t>
      </w:r>
      <w:r w:rsidR="00EF694B" w:rsidRPr="002E60EB">
        <w:rPr>
          <w:rFonts w:eastAsia="Calibri" w:cs="Verdana"/>
          <w:lang w:val="en-US" w:eastAsia="es-MX"/>
        </w:rPr>
        <w:t xml:space="preserve"> is</w:t>
      </w:r>
      <w:r w:rsidRPr="002E60EB">
        <w:rPr>
          <w:rFonts w:eastAsia="Calibri" w:cs="Verdana"/>
          <w:lang w:val="en-US" w:eastAsia="es-MX"/>
        </w:rPr>
        <w:t xml:space="preserve"> inadmissible and </w:t>
      </w:r>
      <w:r w:rsidR="000B54F8">
        <w:rPr>
          <w:rFonts w:eastAsia="Calibri" w:cs="Verdana"/>
          <w:lang w:val="en-US" w:eastAsia="es-MX"/>
        </w:rPr>
        <w:t>inappropriate</w:t>
      </w:r>
      <w:r w:rsidRPr="002E60EB">
        <w:rPr>
          <w:rFonts w:eastAsia="Calibri" w:cs="Verdana"/>
          <w:lang w:val="en-US" w:eastAsia="es-MX"/>
        </w:rPr>
        <w:t>, in order to maintain the State’s punitive power</w:t>
      </w:r>
      <w:r w:rsidR="00EF694B" w:rsidRPr="002E60EB">
        <w:rPr>
          <w:rFonts w:eastAsia="Calibri" w:cs="Verdana"/>
          <w:lang w:val="en-US" w:eastAsia="es-MX"/>
        </w:rPr>
        <w:t>s</w:t>
      </w:r>
      <w:r w:rsidRPr="002E60EB">
        <w:rPr>
          <w:rFonts w:eastAsia="Calibri" w:cs="Verdana"/>
          <w:lang w:val="en-US" w:eastAsia="es-MX"/>
        </w:rPr>
        <w:t xml:space="preserve"> in force over time </w:t>
      </w:r>
      <w:r w:rsidR="00EF694B" w:rsidRPr="002E60EB">
        <w:rPr>
          <w:rFonts w:eastAsia="Calibri" w:cs="Verdana"/>
          <w:lang w:val="en-US" w:eastAsia="es-MX"/>
        </w:rPr>
        <w:t>in relation to conducts, such as the forced disappearance of persons, extrajudicial execution, and torture,</w:t>
      </w:r>
      <w:r w:rsidRPr="002E60EB">
        <w:rPr>
          <w:rFonts w:eastAsia="Calibri" w:cs="Verdana"/>
          <w:lang w:val="en-US" w:eastAsia="es-MX"/>
        </w:rPr>
        <w:t xml:space="preserve"> </w:t>
      </w:r>
      <w:r w:rsidR="00EF694B" w:rsidRPr="002E60EB">
        <w:rPr>
          <w:rFonts w:eastAsia="Calibri" w:cs="Verdana"/>
          <w:lang w:val="en-US" w:eastAsia="es-MX"/>
        </w:rPr>
        <w:t>the</w:t>
      </w:r>
      <w:r w:rsidRPr="002E60EB">
        <w:rPr>
          <w:rFonts w:eastAsia="Calibri" w:cs="Verdana"/>
          <w:lang w:val="en-US" w:eastAsia="es-MX"/>
        </w:rPr>
        <w:t xml:space="preserve"> seriousness</w:t>
      </w:r>
      <w:r w:rsidR="00EF694B" w:rsidRPr="002E60EB">
        <w:rPr>
          <w:rFonts w:eastAsia="Calibri" w:cs="Verdana"/>
          <w:lang w:val="en-US" w:eastAsia="es-MX"/>
        </w:rPr>
        <w:t xml:space="preserve"> of which</w:t>
      </w:r>
      <w:r w:rsidRPr="002E60EB">
        <w:rPr>
          <w:rFonts w:eastAsia="Calibri" w:cs="Verdana"/>
          <w:lang w:val="en-US" w:eastAsia="es-MX"/>
        </w:rPr>
        <w:t xml:space="preserve"> makes </w:t>
      </w:r>
      <w:r w:rsidR="00EF694B" w:rsidRPr="002E60EB">
        <w:rPr>
          <w:rFonts w:eastAsia="Calibri" w:cs="Verdana"/>
          <w:lang w:val="en-US" w:eastAsia="es-MX"/>
        </w:rPr>
        <w:t>their</w:t>
      </w:r>
      <w:r w:rsidRPr="002E60EB">
        <w:rPr>
          <w:rFonts w:eastAsia="Calibri" w:cs="Verdana"/>
          <w:lang w:val="en-US" w:eastAsia="es-MX"/>
        </w:rPr>
        <w:t xml:space="preserve"> </w:t>
      </w:r>
      <w:r w:rsidR="00EF694B" w:rsidRPr="002E60EB">
        <w:rPr>
          <w:rFonts w:eastAsia="Calibri" w:cs="Verdana"/>
          <w:lang w:val="en-US" w:eastAsia="es-MX"/>
        </w:rPr>
        <w:t xml:space="preserve">punishment </w:t>
      </w:r>
      <w:r w:rsidRPr="002E60EB">
        <w:rPr>
          <w:rFonts w:eastAsia="Calibri" w:cs="Verdana"/>
          <w:lang w:val="en-US" w:eastAsia="es-MX"/>
        </w:rPr>
        <w:t>necessary in order to avoid their repetition</w:t>
      </w:r>
      <w:r w:rsidR="00EF694B" w:rsidRPr="002E60EB">
        <w:rPr>
          <w:rFonts w:eastAsia="Calibri" w:cs="Verdana"/>
          <w:lang w:val="en-US" w:eastAsia="es-MX"/>
        </w:rPr>
        <w:t>.</w:t>
      </w:r>
      <w:r w:rsidR="00EF694B" w:rsidRPr="002E60EB">
        <w:rPr>
          <w:rStyle w:val="Refdenotaalpie"/>
          <w:rFonts w:eastAsia="Calibri" w:cs="Verdana"/>
          <w:bCs/>
          <w:lang w:val="en-US" w:eastAsia="es-MX"/>
        </w:rPr>
        <w:footnoteReference w:id="262"/>
      </w:r>
      <w:r w:rsidRPr="002E60EB">
        <w:rPr>
          <w:rFonts w:eastAsia="Calibri" w:cs="Verdana"/>
          <w:bCs/>
          <w:lang w:val="en-US" w:eastAsia="es-MX"/>
        </w:rPr>
        <w:t xml:space="preserve"> </w:t>
      </w:r>
      <w:r w:rsidR="00EF694B" w:rsidRPr="002E60EB">
        <w:rPr>
          <w:rFonts w:eastAsia="Calibri" w:cs="Verdana"/>
          <w:bCs/>
          <w:lang w:val="en-US" w:eastAsia="es-MX"/>
        </w:rPr>
        <w:t xml:space="preserve">The </w:t>
      </w:r>
      <w:r w:rsidRPr="002E60EB">
        <w:rPr>
          <w:rFonts w:eastAsia="Calibri" w:cs="Verdana"/>
          <w:bCs/>
          <w:lang w:val="en-US" w:eastAsia="es-MX"/>
        </w:rPr>
        <w:t>Court considers that</w:t>
      </w:r>
      <w:r w:rsidR="00EF694B" w:rsidRPr="002E60EB">
        <w:rPr>
          <w:rFonts w:eastAsia="Calibri" w:cs="Verdana"/>
          <w:bCs/>
          <w:lang w:val="en-US" w:eastAsia="es-MX"/>
        </w:rPr>
        <w:t xml:space="preserve">, in the instant case, </w:t>
      </w:r>
      <w:r w:rsidRPr="002E60EB">
        <w:rPr>
          <w:rFonts w:eastAsia="Calibri" w:cs="Verdana"/>
          <w:bCs/>
          <w:lang w:val="en-US" w:eastAsia="es-MX"/>
        </w:rPr>
        <w:t xml:space="preserve">the </w:t>
      </w:r>
      <w:r w:rsidR="00EF694B" w:rsidRPr="002E60EB">
        <w:rPr>
          <w:rFonts w:eastAsia="Calibri" w:cs="Verdana"/>
          <w:bCs/>
          <w:lang w:val="en-US" w:eastAsia="es-MX"/>
        </w:rPr>
        <w:t>necessary pre</w:t>
      </w:r>
      <w:r w:rsidRPr="002E60EB">
        <w:rPr>
          <w:rFonts w:eastAsia="Calibri" w:cs="Verdana"/>
          <w:bCs/>
          <w:lang w:val="en-US" w:eastAsia="es-MX"/>
        </w:rPr>
        <w:t>sumptions</w:t>
      </w:r>
      <w:r w:rsidR="00554903">
        <w:rPr>
          <w:rFonts w:eastAsia="Calibri" w:cs="Verdana"/>
          <w:bCs/>
          <w:lang w:val="en-US" w:eastAsia="es-MX"/>
        </w:rPr>
        <w:t xml:space="preserve"> do not exist</w:t>
      </w:r>
      <w:r w:rsidRPr="002E60EB">
        <w:rPr>
          <w:rFonts w:eastAsia="Calibri" w:cs="Verdana"/>
          <w:bCs/>
          <w:lang w:val="en-US" w:eastAsia="es-MX"/>
        </w:rPr>
        <w:t xml:space="preserve"> to apply any of the exceptions to </w:t>
      </w:r>
      <w:r w:rsidR="00554903">
        <w:rPr>
          <w:rFonts w:eastAsia="Calibri" w:cs="Verdana"/>
          <w:bCs/>
          <w:lang w:val="en-US" w:eastAsia="es-MX"/>
        </w:rPr>
        <w:t>implementation of the statute of limitations argued by the Commission</w:t>
      </w:r>
      <w:r w:rsidRPr="002E60EB">
        <w:rPr>
          <w:rFonts w:eastAsia="Calibri" w:cs="Verdana"/>
          <w:bCs/>
          <w:lang w:val="en-US" w:eastAsia="es-MX"/>
        </w:rPr>
        <w:t xml:space="preserve">. </w:t>
      </w:r>
    </w:p>
    <w:p w:rsidR="0004795A" w:rsidRPr="002E60EB" w:rsidRDefault="0004795A" w:rsidP="00EF694B">
      <w:pPr>
        <w:pStyle w:val="Prrafodelista2"/>
        <w:tabs>
          <w:tab w:val="left" w:pos="720"/>
        </w:tabs>
        <w:ind w:left="0"/>
        <w:contextualSpacing/>
        <w:jc w:val="both"/>
        <w:rPr>
          <w:lang w:val="en-US"/>
        </w:rPr>
      </w:pPr>
    </w:p>
    <w:p w:rsidR="0004795A" w:rsidRPr="002E60EB" w:rsidRDefault="00EF694B" w:rsidP="00317748">
      <w:pPr>
        <w:numPr>
          <w:ilvl w:val="0"/>
          <w:numId w:val="19"/>
        </w:numPr>
        <w:tabs>
          <w:tab w:val="clear" w:pos="680"/>
        </w:tabs>
        <w:jc w:val="both"/>
        <w:rPr>
          <w:rFonts w:eastAsia="Calibri" w:cs="Verdana"/>
          <w:bCs/>
          <w:lang w:val="en-US" w:eastAsia="es-MX"/>
        </w:rPr>
      </w:pPr>
      <w:r w:rsidRPr="002E60EB">
        <w:rPr>
          <w:rFonts w:eastAsia="Calibri" w:cs="Verdana"/>
          <w:bCs/>
          <w:lang w:val="en-US" w:eastAsia="es-MX"/>
        </w:rPr>
        <w:t>Based on</w:t>
      </w:r>
      <w:r w:rsidR="0004795A" w:rsidRPr="002E60EB">
        <w:rPr>
          <w:rFonts w:eastAsia="Calibri" w:cs="Verdana"/>
          <w:bCs/>
          <w:lang w:val="en-US" w:eastAsia="es-MX"/>
        </w:rPr>
        <w:t xml:space="preserve"> the above, and taking into consideration its cons</w:t>
      </w:r>
      <w:r w:rsidRPr="002E60EB">
        <w:rPr>
          <w:rFonts w:eastAsia="Calibri" w:cs="Verdana"/>
          <w:bCs/>
          <w:lang w:val="en-US" w:eastAsia="es-MX"/>
        </w:rPr>
        <w:t>istent</w:t>
      </w:r>
      <w:r w:rsidR="0004795A" w:rsidRPr="002E60EB">
        <w:rPr>
          <w:rFonts w:eastAsia="Calibri" w:cs="Verdana"/>
          <w:bCs/>
          <w:lang w:val="en-US" w:eastAsia="es-MX"/>
        </w:rPr>
        <w:t xml:space="preserve"> </w:t>
      </w:r>
      <w:r w:rsidRPr="002E60EB">
        <w:rPr>
          <w:rFonts w:eastAsia="Calibri" w:cs="Verdana"/>
          <w:bCs/>
          <w:lang w:val="en-US" w:eastAsia="es-MX"/>
        </w:rPr>
        <w:t>case law</w:t>
      </w:r>
      <w:r w:rsidR="0004795A" w:rsidRPr="002E60EB">
        <w:rPr>
          <w:rFonts w:eastAsia="Calibri" w:cs="Verdana"/>
          <w:bCs/>
          <w:lang w:val="en-US" w:eastAsia="es-MX"/>
        </w:rPr>
        <w:t xml:space="preserve">, the Court </w:t>
      </w:r>
      <w:r w:rsidRPr="002E60EB">
        <w:rPr>
          <w:rFonts w:eastAsia="Calibri" w:cs="Verdana"/>
          <w:bCs/>
          <w:lang w:val="en-US" w:eastAsia="es-MX"/>
        </w:rPr>
        <w:t xml:space="preserve">finds </w:t>
      </w:r>
      <w:r w:rsidR="0004795A" w:rsidRPr="002E60EB">
        <w:rPr>
          <w:rFonts w:eastAsia="Calibri" w:cs="Verdana"/>
          <w:bCs/>
          <w:lang w:val="en-US" w:eastAsia="es-MX"/>
        </w:rPr>
        <w:t>that it</w:t>
      </w:r>
      <w:r w:rsidRPr="002E60EB">
        <w:rPr>
          <w:rFonts w:eastAsia="Calibri" w:cs="Verdana"/>
          <w:bCs/>
          <w:lang w:val="en-US" w:eastAsia="es-MX"/>
        </w:rPr>
        <w:t xml:space="preserve"> is not possible to</w:t>
      </w:r>
      <w:r w:rsidR="000B54F8">
        <w:rPr>
          <w:rFonts w:eastAsia="Calibri" w:cs="Verdana"/>
          <w:bCs/>
          <w:lang w:val="en-US" w:eastAsia="es-MX"/>
        </w:rPr>
        <w:t xml:space="preserve"> determine that the statute of limitations cannot be applied in the case</w:t>
      </w:r>
      <w:r w:rsidR="0004795A" w:rsidRPr="002E60EB">
        <w:rPr>
          <w:rFonts w:eastAsia="Calibri" w:cs="Verdana"/>
          <w:bCs/>
          <w:lang w:val="en-US" w:eastAsia="es-MX"/>
        </w:rPr>
        <w:t xml:space="preserve"> </w:t>
      </w:r>
      <w:r w:rsidRPr="002E60EB">
        <w:rPr>
          <w:rFonts w:eastAsia="Calibri" w:cs="Verdana"/>
          <w:bCs/>
          <w:lang w:val="en-US" w:eastAsia="es-MX"/>
        </w:rPr>
        <w:t>of</w:t>
      </w:r>
      <w:r w:rsidR="0004795A" w:rsidRPr="002E60EB">
        <w:rPr>
          <w:rFonts w:eastAsia="Calibri" w:cs="Verdana"/>
          <w:bCs/>
          <w:lang w:val="en-US" w:eastAsia="es-MX"/>
        </w:rPr>
        <w:t xml:space="preserve"> the acts of </w:t>
      </w:r>
      <w:r w:rsidRPr="002E60EB">
        <w:rPr>
          <w:rFonts w:eastAsia="Calibri" w:cs="Verdana"/>
          <w:bCs/>
          <w:lang w:val="en-US" w:eastAsia="es-MX"/>
        </w:rPr>
        <w:t xml:space="preserve">violence </w:t>
      </w:r>
      <w:r w:rsidR="0004795A" w:rsidRPr="002E60EB">
        <w:rPr>
          <w:rFonts w:eastAsia="Calibri" w:cs="Verdana"/>
          <w:bCs/>
          <w:lang w:val="en-US" w:eastAsia="es-MX"/>
        </w:rPr>
        <w:t>on August 29, 1996</w:t>
      </w:r>
      <w:r w:rsidR="00CB52D7" w:rsidRPr="002E60EB">
        <w:rPr>
          <w:rFonts w:eastAsia="Calibri" w:cs="Verdana"/>
          <w:bCs/>
          <w:lang w:val="en-US" w:eastAsia="es-MX"/>
        </w:rPr>
        <w:t xml:space="preserve"> (</w:t>
      </w:r>
      <w:r w:rsidR="00CB52D7" w:rsidRPr="002E60EB">
        <w:rPr>
          <w:rFonts w:eastAsia="Calibri" w:cs="Verdana"/>
          <w:bCs/>
          <w:i/>
          <w:lang w:val="en-US" w:eastAsia="es-MX"/>
        </w:rPr>
        <w:t>supra</w:t>
      </w:r>
      <w:r w:rsidR="00CB52D7" w:rsidRPr="002E60EB">
        <w:rPr>
          <w:rFonts w:eastAsia="Calibri" w:cs="Verdana"/>
          <w:bCs/>
          <w:lang w:val="en-US" w:eastAsia="es-MX"/>
        </w:rPr>
        <w:t xml:space="preserve"> paras. 80 to 82)</w:t>
      </w:r>
      <w:r w:rsidRPr="002E60EB">
        <w:rPr>
          <w:rFonts w:eastAsia="Calibri" w:cs="Verdana"/>
          <w:bCs/>
          <w:lang w:val="en-US" w:eastAsia="es-MX"/>
        </w:rPr>
        <w:t>,</w:t>
      </w:r>
      <w:r w:rsidR="0004795A" w:rsidRPr="002E60EB">
        <w:rPr>
          <w:rFonts w:eastAsia="Calibri" w:cs="Verdana"/>
          <w:bCs/>
          <w:lang w:val="en-US" w:eastAsia="es-MX"/>
        </w:rPr>
        <w:t xml:space="preserve"> and the threats and harassments of 1996 and 1997</w:t>
      </w:r>
      <w:r w:rsidR="00CB52D7" w:rsidRPr="002E60EB">
        <w:rPr>
          <w:rFonts w:eastAsia="Calibri" w:cs="Verdana"/>
          <w:bCs/>
          <w:lang w:val="en-US" w:eastAsia="es-MX"/>
        </w:rPr>
        <w:t xml:space="preserve"> (</w:t>
      </w:r>
      <w:r w:rsidR="00CB52D7" w:rsidRPr="002E60EB">
        <w:rPr>
          <w:rFonts w:eastAsia="Calibri" w:cs="Verdana"/>
          <w:bCs/>
          <w:i/>
          <w:lang w:val="en-US" w:eastAsia="es-MX"/>
        </w:rPr>
        <w:t>supra</w:t>
      </w:r>
      <w:r w:rsidR="00CB52D7" w:rsidRPr="002E60EB">
        <w:rPr>
          <w:rFonts w:eastAsia="Calibri" w:cs="Verdana"/>
          <w:bCs/>
          <w:lang w:val="en-US" w:eastAsia="es-MX"/>
        </w:rPr>
        <w:t xml:space="preserve"> paras. 85 to 93)</w:t>
      </w:r>
      <w:r w:rsidR="0004795A" w:rsidRPr="002E60EB">
        <w:rPr>
          <w:rFonts w:eastAsia="Calibri" w:cs="Verdana"/>
          <w:bCs/>
          <w:lang w:val="en-US" w:eastAsia="es-MX"/>
        </w:rPr>
        <w:t xml:space="preserve">. However, </w:t>
      </w:r>
      <w:r w:rsidR="00CB52D7" w:rsidRPr="002E60EB">
        <w:rPr>
          <w:rFonts w:eastAsia="Calibri" w:cs="Verdana"/>
          <w:bCs/>
          <w:lang w:val="en-US" w:eastAsia="es-MX"/>
        </w:rPr>
        <w:t>based on</w:t>
      </w:r>
      <w:r w:rsidR="0004795A" w:rsidRPr="002E60EB">
        <w:rPr>
          <w:rFonts w:eastAsia="Calibri" w:cs="Verdana"/>
          <w:bCs/>
          <w:lang w:val="en-US" w:eastAsia="es-MX"/>
        </w:rPr>
        <w:t xml:space="preserve"> the impunity</w:t>
      </w:r>
      <w:r w:rsidR="00CB52D7" w:rsidRPr="002E60EB">
        <w:rPr>
          <w:rFonts w:eastAsia="Calibri" w:cs="Verdana"/>
          <w:bCs/>
          <w:lang w:val="en-US" w:eastAsia="es-MX"/>
        </w:rPr>
        <w:t xml:space="preserve"> that prevails</w:t>
      </w:r>
      <w:r w:rsidR="0004795A" w:rsidRPr="002E60EB">
        <w:rPr>
          <w:rFonts w:eastAsia="Calibri" w:cs="Verdana"/>
          <w:bCs/>
          <w:lang w:val="en-US" w:eastAsia="es-MX"/>
        </w:rPr>
        <w:t xml:space="preserve"> in the </w:t>
      </w:r>
      <w:r w:rsidR="00CB52D7" w:rsidRPr="002E60EB">
        <w:rPr>
          <w:rFonts w:eastAsia="Calibri" w:cs="Verdana"/>
          <w:bCs/>
          <w:lang w:val="en-US" w:eastAsia="es-MX"/>
        </w:rPr>
        <w:t xml:space="preserve">instant </w:t>
      </w:r>
      <w:r w:rsidR="0004795A" w:rsidRPr="002E60EB">
        <w:rPr>
          <w:rFonts w:eastAsia="Calibri" w:cs="Verdana"/>
          <w:bCs/>
          <w:lang w:val="en-US" w:eastAsia="es-MX"/>
        </w:rPr>
        <w:t xml:space="preserve">case, the </w:t>
      </w:r>
      <w:r w:rsidR="00D00C5F" w:rsidRPr="002E60EB">
        <w:rPr>
          <w:rFonts w:eastAsia="Calibri" w:cs="Verdana"/>
          <w:bCs/>
          <w:lang w:val="en-US" w:eastAsia="es-MX"/>
        </w:rPr>
        <w:t>Court</w:t>
      </w:r>
      <w:r w:rsidR="0004795A" w:rsidRPr="002E60EB">
        <w:rPr>
          <w:rFonts w:eastAsia="Calibri" w:cs="Verdana"/>
          <w:bCs/>
          <w:lang w:val="en-US" w:eastAsia="es-MX"/>
        </w:rPr>
        <w:t xml:space="preserve"> </w:t>
      </w:r>
      <w:r w:rsidR="00CB52D7" w:rsidRPr="002E60EB">
        <w:rPr>
          <w:rFonts w:eastAsia="Calibri" w:cs="Verdana"/>
          <w:bCs/>
          <w:lang w:val="en-US" w:eastAsia="es-MX"/>
        </w:rPr>
        <w:t xml:space="preserve">finds </w:t>
      </w:r>
      <w:r w:rsidR="0004795A" w:rsidRPr="002E60EB">
        <w:rPr>
          <w:rFonts w:eastAsia="Calibri" w:cs="Verdana"/>
          <w:bCs/>
          <w:lang w:val="en-US" w:eastAsia="es-MX"/>
        </w:rPr>
        <w:t xml:space="preserve">it necessary to order the State </w:t>
      </w:r>
      <w:r w:rsidR="00CB52D7" w:rsidRPr="002E60EB">
        <w:rPr>
          <w:rFonts w:eastAsia="Calibri" w:cs="Verdana"/>
          <w:bCs/>
          <w:lang w:val="en-US" w:eastAsia="es-MX"/>
        </w:rPr>
        <w:t xml:space="preserve">to advise whether, under Colombian law, </w:t>
      </w:r>
      <w:r w:rsidR="0004795A" w:rsidRPr="002E60EB">
        <w:rPr>
          <w:rFonts w:eastAsia="Calibri" w:cs="Verdana"/>
          <w:bCs/>
          <w:lang w:val="en-US" w:eastAsia="es-MX"/>
        </w:rPr>
        <w:t xml:space="preserve">it is possible to adopt other measures or actions that allow </w:t>
      </w:r>
      <w:r w:rsidR="00CB52D7" w:rsidRPr="002E60EB">
        <w:rPr>
          <w:rFonts w:eastAsia="Calibri" w:cs="Verdana"/>
          <w:bCs/>
          <w:lang w:val="en-US" w:eastAsia="es-MX"/>
        </w:rPr>
        <w:t>the responsibilities in this case for the said acts to be determined and, if so, to take these measures or actions.</w:t>
      </w:r>
    </w:p>
    <w:p w:rsidR="0004795A" w:rsidRPr="002E60EB" w:rsidRDefault="0004795A" w:rsidP="00EF694B">
      <w:pPr>
        <w:pStyle w:val="Prrafodelista2"/>
        <w:tabs>
          <w:tab w:val="left" w:pos="720"/>
        </w:tabs>
        <w:ind w:left="0"/>
        <w:contextualSpacing/>
        <w:jc w:val="both"/>
        <w:rPr>
          <w:lang w:val="en-US"/>
        </w:rPr>
      </w:pPr>
    </w:p>
    <w:p w:rsidR="0004795A" w:rsidRPr="002E60EB" w:rsidRDefault="00CB52D7" w:rsidP="00317748">
      <w:pPr>
        <w:numPr>
          <w:ilvl w:val="0"/>
          <w:numId w:val="19"/>
        </w:numPr>
        <w:tabs>
          <w:tab w:val="clear" w:pos="680"/>
        </w:tabs>
        <w:jc w:val="both"/>
        <w:rPr>
          <w:lang w:val="en-US"/>
        </w:rPr>
      </w:pPr>
      <w:r w:rsidRPr="002E60EB">
        <w:rPr>
          <w:rFonts w:eastAsia="Calibri" w:cs="Verdana"/>
          <w:bCs/>
          <w:lang w:val="en-US" w:eastAsia="es-MX"/>
        </w:rPr>
        <w:t>With regard to</w:t>
      </w:r>
      <w:r w:rsidR="0004795A" w:rsidRPr="002E60EB">
        <w:rPr>
          <w:rFonts w:eastAsia="Calibri" w:cs="Verdana"/>
          <w:bCs/>
          <w:lang w:val="en-US" w:eastAsia="es-MX"/>
        </w:rPr>
        <w:t xml:space="preserve"> the investigation </w:t>
      </w:r>
      <w:r w:rsidRPr="002E60EB">
        <w:rPr>
          <w:rFonts w:eastAsia="Calibri" w:cs="Verdana"/>
          <w:bCs/>
          <w:lang w:val="en-US" w:eastAsia="es-MX"/>
        </w:rPr>
        <w:t>into</w:t>
      </w:r>
      <w:r w:rsidR="0004795A" w:rsidRPr="002E60EB">
        <w:rPr>
          <w:rFonts w:eastAsia="Calibri" w:cs="Verdana"/>
          <w:bCs/>
          <w:lang w:val="en-US" w:eastAsia="es-MX"/>
        </w:rPr>
        <w:t xml:space="preserve"> the attempted </w:t>
      </w:r>
      <w:r w:rsidRPr="002E60EB">
        <w:rPr>
          <w:rFonts w:eastAsia="Calibri" w:cs="Verdana"/>
          <w:bCs/>
          <w:lang w:val="en-US" w:eastAsia="es-MX"/>
        </w:rPr>
        <w:t xml:space="preserve">deprivation of liberty </w:t>
      </w:r>
      <w:r w:rsidR="0004795A" w:rsidRPr="002E60EB">
        <w:rPr>
          <w:rFonts w:eastAsia="Calibri" w:cs="Verdana"/>
          <w:bCs/>
          <w:lang w:val="en-US" w:eastAsia="es-MX"/>
        </w:rPr>
        <w:t>of Mr. Vélez Restrepo on October 6, 1997</w:t>
      </w:r>
      <w:r w:rsidRPr="002E60EB">
        <w:rPr>
          <w:rFonts w:eastAsia="Calibri" w:cs="Verdana"/>
          <w:bCs/>
          <w:lang w:val="en-US" w:eastAsia="es-MX"/>
        </w:rPr>
        <w:t xml:space="preserve"> (</w:t>
      </w:r>
      <w:r w:rsidRPr="002E60EB">
        <w:rPr>
          <w:rFonts w:eastAsia="Calibri" w:cs="Verdana"/>
          <w:bCs/>
          <w:i/>
          <w:lang w:val="en-US" w:eastAsia="es-MX"/>
        </w:rPr>
        <w:t>supra</w:t>
      </w:r>
      <w:r w:rsidRPr="002E60EB">
        <w:rPr>
          <w:rFonts w:eastAsia="Calibri" w:cs="Verdana"/>
          <w:bCs/>
          <w:lang w:val="en-US" w:eastAsia="es-MX"/>
        </w:rPr>
        <w:t xml:space="preserve"> para. 94),</w:t>
      </w:r>
      <w:r w:rsidR="0004795A" w:rsidRPr="002E60EB">
        <w:rPr>
          <w:rFonts w:eastAsia="Calibri" w:cs="Verdana"/>
          <w:bCs/>
          <w:lang w:val="en-US" w:eastAsia="es-MX"/>
        </w:rPr>
        <w:t xml:space="preserve"> the Court takes into </w:t>
      </w:r>
      <w:r w:rsidRPr="002E60EB">
        <w:rPr>
          <w:rFonts w:eastAsia="Calibri" w:cs="Verdana"/>
          <w:bCs/>
          <w:lang w:val="en-US" w:eastAsia="es-MX"/>
        </w:rPr>
        <w:t xml:space="preserve">account </w:t>
      </w:r>
      <w:r w:rsidR="0004795A" w:rsidRPr="002E60EB">
        <w:rPr>
          <w:rFonts w:eastAsia="Calibri" w:cs="Verdana"/>
          <w:bCs/>
          <w:lang w:val="en-US" w:eastAsia="es-MX"/>
        </w:rPr>
        <w:t>that</w:t>
      </w:r>
      <w:r w:rsidRPr="002E60EB">
        <w:rPr>
          <w:rFonts w:eastAsia="Calibri" w:cs="Verdana"/>
          <w:bCs/>
          <w:lang w:val="en-US" w:eastAsia="es-MX"/>
        </w:rPr>
        <w:t xml:space="preserve">, in its answering brief, </w:t>
      </w:r>
      <w:r w:rsidR="0004795A" w:rsidRPr="002E60EB">
        <w:rPr>
          <w:rFonts w:eastAsia="Calibri" w:cs="Verdana"/>
          <w:bCs/>
          <w:lang w:val="en-US" w:eastAsia="es-MX"/>
        </w:rPr>
        <w:t xml:space="preserve">the State </w:t>
      </w:r>
      <w:r w:rsidRPr="002E60EB">
        <w:rPr>
          <w:rFonts w:eastAsia="Calibri" w:cs="Verdana"/>
          <w:bCs/>
          <w:lang w:val="en-US" w:eastAsia="es-MX"/>
        </w:rPr>
        <w:t xml:space="preserve">indicated </w:t>
      </w:r>
      <w:r w:rsidR="0004795A" w:rsidRPr="002E60EB">
        <w:rPr>
          <w:rFonts w:eastAsia="Calibri" w:cs="Verdana"/>
          <w:bCs/>
          <w:lang w:val="en-US" w:eastAsia="es-MX"/>
        </w:rPr>
        <w:t xml:space="preserve">its intention to </w:t>
      </w:r>
      <w:r w:rsidR="00087093" w:rsidRPr="002E60EB">
        <w:rPr>
          <w:rFonts w:eastAsia="Calibri" w:cs="Verdana"/>
          <w:bCs/>
          <w:lang w:val="en-US" w:eastAsia="es-MX"/>
        </w:rPr>
        <w:t>“</w:t>
      </w:r>
      <w:r w:rsidR="0004795A" w:rsidRPr="002E60EB">
        <w:rPr>
          <w:rFonts w:eastAsia="Calibri" w:cs="Verdana"/>
          <w:bCs/>
          <w:lang w:val="en-US" w:eastAsia="es-MX"/>
        </w:rPr>
        <w:t>[</w:t>
      </w:r>
      <w:r w:rsidRPr="002E60EB">
        <w:rPr>
          <w:rFonts w:eastAsia="Calibri" w:cs="Verdana"/>
          <w:bCs/>
          <w:lang w:val="en-US" w:eastAsia="es-MX"/>
        </w:rPr>
        <w:t>advance</w:t>
      </w:r>
      <w:r w:rsidR="0004795A" w:rsidRPr="002E60EB">
        <w:rPr>
          <w:rFonts w:eastAsia="Calibri" w:cs="Verdana"/>
          <w:bCs/>
          <w:lang w:val="en-US" w:eastAsia="es-MX"/>
        </w:rPr>
        <w:t>] the investigation</w:t>
      </w:r>
      <w:r w:rsidRPr="002E60EB">
        <w:rPr>
          <w:rFonts w:eastAsia="Calibri" w:cs="Verdana"/>
          <w:bCs/>
          <w:lang w:val="en-US" w:eastAsia="es-MX"/>
        </w:rPr>
        <w:t xml:space="preserve"> that is still ongoing</w:t>
      </w:r>
      <w:r w:rsidR="0004795A" w:rsidRPr="002E60EB">
        <w:rPr>
          <w:rFonts w:eastAsia="Calibri" w:cs="Verdana"/>
          <w:bCs/>
          <w:lang w:val="en-US" w:eastAsia="es-MX"/>
        </w:rPr>
        <w:t xml:space="preserve"> </w:t>
      </w:r>
      <w:r w:rsidRPr="002E60EB">
        <w:rPr>
          <w:rFonts w:eastAsia="Calibri" w:cs="Verdana"/>
          <w:bCs/>
          <w:lang w:val="en-US" w:eastAsia="es-MX"/>
        </w:rPr>
        <w:t>into</w:t>
      </w:r>
      <w:r w:rsidR="0004795A" w:rsidRPr="002E60EB">
        <w:rPr>
          <w:rFonts w:eastAsia="Calibri" w:cs="Verdana"/>
          <w:bCs/>
          <w:lang w:val="en-US" w:eastAsia="es-MX"/>
        </w:rPr>
        <w:t xml:space="preserve"> the </w:t>
      </w:r>
      <w:r w:rsidRPr="002E60EB">
        <w:rPr>
          <w:rFonts w:eastAsia="Calibri" w:cs="Verdana"/>
          <w:bCs/>
          <w:lang w:val="en-US" w:eastAsia="es-MX"/>
        </w:rPr>
        <w:t xml:space="preserve">presumed </w:t>
      </w:r>
      <w:r w:rsidR="0004795A" w:rsidRPr="002E60EB">
        <w:rPr>
          <w:rFonts w:eastAsia="Calibri" w:cs="Verdana"/>
          <w:bCs/>
          <w:lang w:val="en-US" w:eastAsia="es-MX"/>
        </w:rPr>
        <w:t xml:space="preserve">attempted </w:t>
      </w:r>
      <w:r w:rsidR="00334C3C" w:rsidRPr="002E60EB">
        <w:rPr>
          <w:rFonts w:eastAsia="Calibri" w:cs="Verdana"/>
          <w:bCs/>
          <w:lang w:val="en-US" w:eastAsia="es-MX"/>
        </w:rPr>
        <w:t>kidnapping</w:t>
      </w:r>
      <w:r w:rsidR="0004795A" w:rsidRPr="002E60EB">
        <w:rPr>
          <w:rFonts w:eastAsia="Calibri" w:cs="Verdana"/>
          <w:bCs/>
          <w:lang w:val="en-US" w:eastAsia="es-MX"/>
        </w:rPr>
        <w:t>.</w:t>
      </w:r>
      <w:r w:rsidR="00087093" w:rsidRPr="002E60EB">
        <w:rPr>
          <w:rFonts w:eastAsia="Calibri" w:cs="Verdana"/>
          <w:bCs/>
          <w:lang w:val="en-US" w:eastAsia="es-MX"/>
        </w:rPr>
        <w:t>”</w:t>
      </w:r>
      <w:r w:rsidRPr="002E60EB">
        <w:rPr>
          <w:rStyle w:val="Refdenotaalpie"/>
          <w:rFonts w:eastAsia="Calibri" w:cs="Verdana"/>
          <w:bCs/>
          <w:lang w:val="en-US" w:eastAsia="es-MX"/>
        </w:rPr>
        <w:footnoteReference w:id="263"/>
      </w:r>
      <w:r w:rsidR="0004795A" w:rsidRPr="002E60EB">
        <w:rPr>
          <w:lang w:val="en-US"/>
        </w:rPr>
        <w:t xml:space="preserve"> The Court considers that the State must investigate </w:t>
      </w:r>
      <w:r w:rsidRPr="002E60EB">
        <w:rPr>
          <w:lang w:val="en-US"/>
        </w:rPr>
        <w:t xml:space="preserve">this incident </w:t>
      </w:r>
      <w:r w:rsidR="0004795A" w:rsidRPr="002E60EB">
        <w:rPr>
          <w:lang w:val="en-US"/>
        </w:rPr>
        <w:t>diligently and within a reasonable time,</w:t>
      </w:r>
      <w:r w:rsidRPr="002E60EB">
        <w:rPr>
          <w:lang w:val="en-US"/>
        </w:rPr>
        <w:t xml:space="preserve"> in order to clarify it and punish </w:t>
      </w:r>
      <w:r w:rsidR="0004795A" w:rsidRPr="002E60EB">
        <w:rPr>
          <w:lang w:val="en-US"/>
        </w:rPr>
        <w:t>those responsible.</w:t>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pPr>
        <w:pStyle w:val="Prrafodelista2"/>
        <w:tabs>
          <w:tab w:val="left" w:pos="720"/>
        </w:tabs>
        <w:ind w:left="0"/>
        <w:contextualSpacing/>
        <w:jc w:val="both"/>
        <w:rPr>
          <w:b/>
          <w:lang w:val="en-US"/>
        </w:rPr>
      </w:pPr>
      <w:r w:rsidRPr="002E60EB">
        <w:rPr>
          <w:b/>
          <w:lang w:val="en-US"/>
        </w:rPr>
        <w:tab/>
      </w:r>
      <w:r w:rsidRPr="002E60EB">
        <w:rPr>
          <w:b/>
          <w:lang w:val="en-US"/>
        </w:rPr>
        <w:tab/>
      </w:r>
      <w:r w:rsidR="00CB52D7" w:rsidRPr="002E60EB">
        <w:rPr>
          <w:b/>
          <w:lang w:val="en-US"/>
        </w:rPr>
        <w:t>C</w:t>
      </w:r>
      <w:r w:rsidRPr="002E60EB">
        <w:rPr>
          <w:b/>
          <w:lang w:val="en-US"/>
        </w:rPr>
        <w:t>) Other measures requested</w:t>
      </w:r>
    </w:p>
    <w:p w:rsidR="0004795A" w:rsidRPr="002E60EB" w:rsidRDefault="0004795A">
      <w:pPr>
        <w:pStyle w:val="Prrafodelista2"/>
        <w:tabs>
          <w:tab w:val="left" w:pos="720"/>
        </w:tabs>
        <w:ind w:left="0"/>
        <w:contextualSpacing/>
        <w:jc w:val="both"/>
        <w:rPr>
          <w:rFonts w:eastAsia="Calibri" w:cs="Verdana"/>
          <w:bCs/>
          <w:i/>
          <w:lang w:val="en-US" w:eastAsia="es-MX"/>
        </w:rPr>
      </w:pPr>
    </w:p>
    <w:p w:rsidR="0004795A" w:rsidRPr="002E60EB" w:rsidRDefault="00CB52D7">
      <w:pPr>
        <w:pStyle w:val="Prrafodelista2"/>
        <w:tabs>
          <w:tab w:val="left" w:pos="720"/>
        </w:tabs>
        <w:ind w:left="0"/>
        <w:contextualSpacing/>
        <w:jc w:val="both"/>
        <w:rPr>
          <w:rFonts w:eastAsia="Calibri" w:cs="Verdana"/>
          <w:bCs/>
          <w:i/>
          <w:lang w:val="en-US" w:eastAsia="es-MX"/>
        </w:rPr>
      </w:pPr>
      <w:r w:rsidRPr="002E60EB">
        <w:rPr>
          <w:rFonts w:eastAsia="Calibri" w:cs="Verdana"/>
          <w:bCs/>
          <w:i/>
          <w:lang w:val="en-US" w:eastAsia="es-MX"/>
        </w:rPr>
        <w:tab/>
      </w:r>
      <w:r w:rsidRPr="002E60EB">
        <w:rPr>
          <w:rFonts w:eastAsia="Calibri" w:cs="Verdana"/>
          <w:bCs/>
          <w:i/>
          <w:lang w:val="en-US" w:eastAsia="es-MX"/>
        </w:rPr>
        <w:tab/>
        <w:t>C.1</w:t>
      </w:r>
      <w:r w:rsidR="0004795A" w:rsidRPr="002E60EB">
        <w:rPr>
          <w:rFonts w:eastAsia="Calibri" w:cs="Verdana"/>
          <w:bCs/>
          <w:i/>
          <w:lang w:val="en-US" w:eastAsia="es-MX"/>
        </w:rPr>
        <w:t xml:space="preserve">) Written </w:t>
      </w:r>
      <w:r w:rsidR="00B46938" w:rsidRPr="002E60EB">
        <w:rPr>
          <w:rFonts w:eastAsia="Calibri" w:cs="Verdana"/>
          <w:bCs/>
          <w:i/>
          <w:lang w:val="en-US" w:eastAsia="es-MX"/>
        </w:rPr>
        <w:t>apolog</w:t>
      </w:r>
      <w:r w:rsidRPr="002E60EB">
        <w:rPr>
          <w:rFonts w:eastAsia="Calibri" w:cs="Verdana"/>
          <w:bCs/>
          <w:i/>
          <w:lang w:val="en-US" w:eastAsia="es-MX"/>
        </w:rPr>
        <w:t>y</w:t>
      </w:r>
      <w:r w:rsidR="0004795A" w:rsidRPr="002E60EB">
        <w:rPr>
          <w:rFonts w:eastAsia="Calibri" w:cs="Verdana"/>
          <w:bCs/>
          <w:i/>
          <w:lang w:val="en-US" w:eastAsia="es-MX"/>
        </w:rPr>
        <w:t xml:space="preserve"> and </w:t>
      </w:r>
      <w:r w:rsidRPr="002E60EB">
        <w:rPr>
          <w:rFonts w:eastAsia="Calibri" w:cs="Verdana"/>
          <w:bCs/>
          <w:i/>
          <w:lang w:val="en-US" w:eastAsia="es-MX"/>
        </w:rPr>
        <w:t xml:space="preserve">its dissemination </w:t>
      </w:r>
      <w:r w:rsidR="0004795A" w:rsidRPr="002E60EB">
        <w:rPr>
          <w:rFonts w:eastAsia="Calibri" w:cs="Verdana"/>
          <w:bCs/>
          <w:i/>
          <w:lang w:val="en-US" w:eastAsia="es-MX"/>
        </w:rPr>
        <w:t>in the media</w:t>
      </w:r>
    </w:p>
    <w:p w:rsidR="0004795A" w:rsidRPr="002E60EB" w:rsidRDefault="0004795A">
      <w:pPr>
        <w:pStyle w:val="Prrafodelista"/>
        <w:ind w:left="0"/>
        <w:rPr>
          <w:rFonts w:eastAsia="Calibri" w:cs="Verdana"/>
          <w:bCs/>
          <w:sz w:val="20"/>
          <w:szCs w:val="20"/>
          <w:lang w:val="en-US" w:eastAsia="es-MX"/>
        </w:rPr>
      </w:pPr>
    </w:p>
    <w:p w:rsidR="0004795A" w:rsidRPr="002E60EB" w:rsidRDefault="0004795A" w:rsidP="00521082">
      <w:pPr>
        <w:numPr>
          <w:ilvl w:val="0"/>
          <w:numId w:val="19"/>
        </w:numPr>
        <w:tabs>
          <w:tab w:val="clear" w:pos="680"/>
        </w:tabs>
        <w:jc w:val="both"/>
        <w:rPr>
          <w:lang w:val="en-US"/>
        </w:rPr>
      </w:pPr>
      <w:r w:rsidRPr="002E60EB">
        <w:rPr>
          <w:rFonts w:eastAsia="Calibri" w:cs="Verdana"/>
          <w:bCs/>
          <w:lang w:val="en-US" w:eastAsia="es-MX"/>
        </w:rPr>
        <w:t xml:space="preserve">The representative </w:t>
      </w:r>
      <w:r w:rsidR="00CB52D7" w:rsidRPr="002E60EB">
        <w:rPr>
          <w:rFonts w:eastAsia="Calibri" w:cs="Verdana"/>
          <w:bCs/>
          <w:lang w:val="en-US" w:eastAsia="es-MX"/>
        </w:rPr>
        <w:t>asked that</w:t>
      </w:r>
      <w:r w:rsidRPr="002E60EB">
        <w:rPr>
          <w:rFonts w:eastAsia="Calibri" w:cs="Verdana"/>
          <w:bCs/>
          <w:lang w:val="en-US" w:eastAsia="es-MX"/>
        </w:rPr>
        <w:t xml:space="preserve"> the State be ordered to make a public acknowledgment of responsibility and a public </w:t>
      </w:r>
      <w:r w:rsidR="00CB52D7" w:rsidRPr="002E60EB">
        <w:rPr>
          <w:rFonts w:eastAsia="Calibri" w:cs="Verdana"/>
          <w:bCs/>
          <w:lang w:val="en-US" w:eastAsia="es-MX"/>
        </w:rPr>
        <w:t>apology</w:t>
      </w:r>
      <w:r w:rsidRPr="002E60EB">
        <w:rPr>
          <w:rFonts w:eastAsia="Calibri" w:cs="Verdana"/>
          <w:bCs/>
          <w:lang w:val="en-US" w:eastAsia="es-MX"/>
        </w:rPr>
        <w:t xml:space="preserve"> to Mr. </w:t>
      </w:r>
      <w:r w:rsidRPr="002E60EB">
        <w:rPr>
          <w:lang w:val="en-US"/>
        </w:rPr>
        <w:t>Vélez Restrepo</w:t>
      </w:r>
      <w:r w:rsidR="00CB52D7" w:rsidRPr="002E60EB">
        <w:rPr>
          <w:lang w:val="en-US"/>
        </w:rPr>
        <w:t>, his wife</w:t>
      </w:r>
      <w:r w:rsidRPr="002E60EB">
        <w:rPr>
          <w:lang w:val="en-US"/>
        </w:rPr>
        <w:t xml:space="preserve"> </w:t>
      </w:r>
      <w:r w:rsidR="00CB52D7" w:rsidRPr="002E60EB">
        <w:rPr>
          <w:lang w:val="en-US"/>
        </w:rPr>
        <w:t>Aracelly Román Amariles, and their children Mateo and Juliana Vélez Román, by</w:t>
      </w:r>
      <w:r w:rsidRPr="002E60EB">
        <w:rPr>
          <w:lang w:val="en-US"/>
        </w:rPr>
        <w:t xml:space="preserve"> </w:t>
      </w:r>
      <w:r w:rsidR="00521082" w:rsidRPr="002E60EB">
        <w:rPr>
          <w:lang w:val="en-US"/>
        </w:rPr>
        <w:t>measure</w:t>
      </w:r>
      <w:r w:rsidRPr="002E60EB">
        <w:rPr>
          <w:lang w:val="en-US"/>
        </w:rPr>
        <w:t xml:space="preserve">s such as a </w:t>
      </w:r>
      <w:r w:rsidR="00087093" w:rsidRPr="002E60EB">
        <w:rPr>
          <w:lang w:val="en-US"/>
        </w:rPr>
        <w:t>“</w:t>
      </w:r>
      <w:r w:rsidRPr="002E60EB">
        <w:rPr>
          <w:lang w:val="en-US"/>
        </w:rPr>
        <w:t xml:space="preserve">formal written statement issued by </w:t>
      </w:r>
      <w:r w:rsidR="00CB52D7" w:rsidRPr="002E60EB">
        <w:rPr>
          <w:lang w:val="en-US"/>
        </w:rPr>
        <w:t xml:space="preserve">high-ranking </w:t>
      </w:r>
      <w:r w:rsidRPr="002E60EB">
        <w:rPr>
          <w:lang w:val="en-US"/>
        </w:rPr>
        <w:t>State authorities</w:t>
      </w:r>
      <w:r w:rsidR="00087093" w:rsidRPr="002E60EB">
        <w:rPr>
          <w:lang w:val="en-US"/>
        </w:rPr>
        <w:t>”</w:t>
      </w:r>
      <w:r w:rsidRPr="002E60EB">
        <w:rPr>
          <w:lang w:val="en-US"/>
        </w:rPr>
        <w:t xml:space="preserve"> and </w:t>
      </w:r>
      <w:r w:rsidR="00CB52D7" w:rsidRPr="002E60EB">
        <w:rPr>
          <w:lang w:val="en-US"/>
        </w:rPr>
        <w:t>its</w:t>
      </w:r>
      <w:r w:rsidRPr="002E60EB">
        <w:rPr>
          <w:lang w:val="en-US"/>
        </w:rPr>
        <w:t xml:space="preserve"> publication in several newspapers </w:t>
      </w:r>
      <w:r w:rsidR="00E00146" w:rsidRPr="002E60EB">
        <w:rPr>
          <w:lang w:val="en-US"/>
        </w:rPr>
        <w:t>in</w:t>
      </w:r>
      <w:r w:rsidRPr="002E60EB">
        <w:rPr>
          <w:lang w:val="en-US"/>
        </w:rPr>
        <w:t xml:space="preserve"> Colombia and the United States, as well as the </w:t>
      </w:r>
      <w:r w:rsidR="00087093" w:rsidRPr="002E60EB">
        <w:rPr>
          <w:lang w:val="en-US"/>
        </w:rPr>
        <w:t>“</w:t>
      </w:r>
      <w:r w:rsidR="00E00146" w:rsidRPr="002E60EB">
        <w:rPr>
          <w:lang w:val="en-US"/>
        </w:rPr>
        <w:t xml:space="preserve">preparation and recording of a </w:t>
      </w:r>
      <w:r w:rsidRPr="002E60EB">
        <w:rPr>
          <w:lang w:val="en-US"/>
        </w:rPr>
        <w:t>video clip for television</w:t>
      </w:r>
      <w:r w:rsidR="00087093" w:rsidRPr="002E60EB">
        <w:rPr>
          <w:lang w:val="en-US"/>
        </w:rPr>
        <w:t>”</w:t>
      </w:r>
      <w:r w:rsidRPr="002E60EB">
        <w:rPr>
          <w:lang w:val="en-US"/>
        </w:rPr>
        <w:t xml:space="preserve"> to be broadcast </w:t>
      </w:r>
      <w:r w:rsidR="00E00146" w:rsidRPr="002E60EB">
        <w:rPr>
          <w:lang w:val="en-US"/>
        </w:rPr>
        <w:t>“</w:t>
      </w:r>
      <w:r w:rsidRPr="002E60EB">
        <w:rPr>
          <w:lang w:val="en-US"/>
        </w:rPr>
        <w:t xml:space="preserve">on institutional and commercial channels in Colombia </w:t>
      </w:r>
      <w:r w:rsidR="00E00146" w:rsidRPr="002E60EB">
        <w:rPr>
          <w:lang w:val="en-US"/>
        </w:rPr>
        <w:t xml:space="preserve">[…] </w:t>
      </w:r>
      <w:r w:rsidRPr="002E60EB">
        <w:rPr>
          <w:lang w:val="en-US"/>
        </w:rPr>
        <w:t>and on the Day of the Journalist.</w:t>
      </w:r>
      <w:r w:rsidR="00E00146" w:rsidRPr="002E60EB">
        <w:rPr>
          <w:lang w:val="en-US"/>
        </w:rPr>
        <w:t>”</w:t>
      </w:r>
      <w:r w:rsidRPr="002E60EB">
        <w:rPr>
          <w:lang w:val="en-US"/>
        </w:rPr>
        <w:t xml:space="preserve"> In this regard, the </w:t>
      </w:r>
      <w:r w:rsidR="00D00C5F" w:rsidRPr="002E60EB">
        <w:rPr>
          <w:lang w:val="en-US"/>
        </w:rPr>
        <w:t>Court</w:t>
      </w:r>
      <w:r w:rsidRPr="002E60EB">
        <w:rPr>
          <w:lang w:val="en-US"/>
        </w:rPr>
        <w:t xml:space="preserve"> recalls that</w:t>
      </w:r>
      <w:r w:rsidR="00E00146" w:rsidRPr="002E60EB">
        <w:rPr>
          <w:lang w:val="en-US"/>
        </w:rPr>
        <w:t>,</w:t>
      </w:r>
      <w:r w:rsidRPr="002E60EB">
        <w:rPr>
          <w:lang w:val="en-US"/>
        </w:rPr>
        <w:t xml:space="preserve"> in its judgments</w:t>
      </w:r>
      <w:r w:rsidR="00E00146" w:rsidRPr="002E60EB">
        <w:rPr>
          <w:lang w:val="en-US"/>
        </w:rPr>
        <w:t>,</w:t>
      </w:r>
      <w:r w:rsidR="00521082" w:rsidRPr="002E60EB">
        <w:rPr>
          <w:lang w:val="en-US"/>
        </w:rPr>
        <w:t xml:space="preserve"> when it orders</w:t>
      </w:r>
      <w:r w:rsidRPr="002E60EB">
        <w:rPr>
          <w:lang w:val="en-US"/>
        </w:rPr>
        <w:t xml:space="preserve"> a public act of acknowledgment of responsibility it requires that there be a public ceremony </w:t>
      </w:r>
      <w:r w:rsidR="00E00146" w:rsidRPr="002E60EB">
        <w:rPr>
          <w:lang w:val="en-US"/>
        </w:rPr>
        <w:t xml:space="preserve">in </w:t>
      </w:r>
      <w:r w:rsidRPr="002E60EB">
        <w:rPr>
          <w:lang w:val="en-US"/>
        </w:rPr>
        <w:t>the presence of high</w:t>
      </w:r>
      <w:r w:rsidR="00E00146" w:rsidRPr="002E60EB">
        <w:rPr>
          <w:lang w:val="en-US"/>
        </w:rPr>
        <w:t>-ranking</w:t>
      </w:r>
      <w:r w:rsidRPr="002E60EB">
        <w:rPr>
          <w:lang w:val="en-US"/>
        </w:rPr>
        <w:t xml:space="preserve"> State officials and</w:t>
      </w:r>
      <w:r w:rsidR="00521082" w:rsidRPr="002E60EB">
        <w:rPr>
          <w:lang w:val="en-US"/>
        </w:rPr>
        <w:t xml:space="preserve"> </w:t>
      </w:r>
      <w:r w:rsidRPr="002E60EB">
        <w:rPr>
          <w:lang w:val="en-US"/>
        </w:rPr>
        <w:t xml:space="preserve">the victims </w:t>
      </w:r>
      <w:r w:rsidR="00E00146" w:rsidRPr="002E60EB">
        <w:rPr>
          <w:lang w:val="en-US"/>
        </w:rPr>
        <w:t>in</w:t>
      </w:r>
      <w:r w:rsidRPr="002E60EB">
        <w:rPr>
          <w:lang w:val="en-US"/>
        </w:rPr>
        <w:t xml:space="preserve"> the case, in which reference </w:t>
      </w:r>
      <w:r w:rsidR="00E00146" w:rsidRPr="002E60EB">
        <w:rPr>
          <w:lang w:val="en-US"/>
        </w:rPr>
        <w:t>is</w:t>
      </w:r>
      <w:r w:rsidRPr="002E60EB">
        <w:rPr>
          <w:lang w:val="en-US"/>
        </w:rPr>
        <w:t xml:space="preserve"> made to the human rights violations </w:t>
      </w:r>
      <w:r w:rsidR="00E00146" w:rsidRPr="002E60EB">
        <w:rPr>
          <w:lang w:val="en-US"/>
        </w:rPr>
        <w:t>that have been declared</w:t>
      </w:r>
      <w:r w:rsidRPr="002E60EB">
        <w:rPr>
          <w:lang w:val="en-US"/>
        </w:rPr>
        <w:t xml:space="preserve">. </w:t>
      </w:r>
      <w:r w:rsidR="00E00146" w:rsidRPr="002E60EB">
        <w:rPr>
          <w:lang w:val="en-US"/>
        </w:rPr>
        <w:t>T</w:t>
      </w:r>
      <w:r w:rsidRPr="002E60EB">
        <w:rPr>
          <w:lang w:val="en-US"/>
        </w:rPr>
        <w:t xml:space="preserve">he Court </w:t>
      </w:r>
      <w:r w:rsidR="00E00146" w:rsidRPr="002E60EB">
        <w:rPr>
          <w:lang w:val="en-US"/>
        </w:rPr>
        <w:t xml:space="preserve">appreciates the fact </w:t>
      </w:r>
      <w:r w:rsidRPr="002E60EB">
        <w:rPr>
          <w:lang w:val="en-US"/>
        </w:rPr>
        <w:t>that</w:t>
      </w:r>
      <w:r w:rsidR="00E00146" w:rsidRPr="002E60EB">
        <w:rPr>
          <w:lang w:val="en-US"/>
        </w:rPr>
        <w:t>,</w:t>
      </w:r>
      <w:r w:rsidRPr="002E60EB">
        <w:rPr>
          <w:lang w:val="en-US"/>
        </w:rPr>
        <w:t xml:space="preserve"> in the </w:t>
      </w:r>
      <w:r w:rsidR="00E00146" w:rsidRPr="002E60EB">
        <w:rPr>
          <w:lang w:val="en-US"/>
        </w:rPr>
        <w:t xml:space="preserve">instant </w:t>
      </w:r>
      <w:r w:rsidRPr="002E60EB">
        <w:rPr>
          <w:lang w:val="en-US"/>
        </w:rPr>
        <w:t>case</w:t>
      </w:r>
      <w:r w:rsidR="00E00146" w:rsidRPr="002E60EB">
        <w:rPr>
          <w:lang w:val="en-US"/>
        </w:rPr>
        <w:t>,</w:t>
      </w:r>
      <w:r w:rsidRPr="002E60EB">
        <w:rPr>
          <w:lang w:val="en-US"/>
        </w:rPr>
        <w:t xml:space="preserve"> Colombia has made a partial acknowledgment of responsibility (</w:t>
      </w:r>
      <w:r w:rsidRPr="002E60EB">
        <w:rPr>
          <w:i/>
          <w:lang w:val="en-US"/>
        </w:rPr>
        <w:t>supra</w:t>
      </w:r>
      <w:r w:rsidRPr="002E60EB">
        <w:rPr>
          <w:lang w:val="en-US"/>
        </w:rPr>
        <w:t xml:space="preserve"> paras. </w:t>
      </w:r>
      <w:r w:rsidR="00E00146" w:rsidRPr="002E60EB">
        <w:rPr>
          <w:lang w:val="en-US"/>
        </w:rPr>
        <w:t xml:space="preserve">13 and 14) </w:t>
      </w:r>
      <w:r w:rsidRPr="002E60EB">
        <w:rPr>
          <w:lang w:val="en-US"/>
        </w:rPr>
        <w:t xml:space="preserve">and </w:t>
      </w:r>
      <w:r w:rsidR="00E00146" w:rsidRPr="002E60EB">
        <w:rPr>
          <w:lang w:val="en-US"/>
        </w:rPr>
        <w:t xml:space="preserve">that, </w:t>
      </w:r>
      <w:r w:rsidRPr="002E60EB">
        <w:rPr>
          <w:lang w:val="en-US"/>
        </w:rPr>
        <w:t>at the public hearing</w:t>
      </w:r>
      <w:r w:rsidR="00E00146" w:rsidRPr="002E60EB">
        <w:rPr>
          <w:lang w:val="en-US"/>
        </w:rPr>
        <w:t>,</w:t>
      </w:r>
      <w:r w:rsidRPr="002E60EB">
        <w:rPr>
          <w:lang w:val="en-US"/>
        </w:rPr>
        <w:t xml:space="preserve"> it </w:t>
      </w:r>
      <w:r w:rsidR="00E00146" w:rsidRPr="002E60EB">
        <w:rPr>
          <w:lang w:val="en-US"/>
        </w:rPr>
        <w:t>apologized to</w:t>
      </w:r>
      <w:r w:rsidRPr="002E60EB">
        <w:rPr>
          <w:lang w:val="en-US"/>
        </w:rPr>
        <w:t xml:space="preserve"> the Vélez Román family</w:t>
      </w:r>
      <w:r w:rsidR="00E00146" w:rsidRPr="002E60EB">
        <w:rPr>
          <w:lang w:val="en-US"/>
        </w:rPr>
        <w:t xml:space="preserve"> (</w:t>
      </w:r>
      <w:r w:rsidR="00E00146" w:rsidRPr="002E60EB">
        <w:rPr>
          <w:i/>
          <w:lang w:val="en-US"/>
        </w:rPr>
        <w:t>supra</w:t>
      </w:r>
      <w:r w:rsidR="00E00146" w:rsidRPr="002E60EB">
        <w:rPr>
          <w:lang w:val="en-US"/>
        </w:rPr>
        <w:t xml:space="preserve"> para. 17)</w:t>
      </w:r>
      <w:r w:rsidR="00521082" w:rsidRPr="002E60EB">
        <w:rPr>
          <w:lang w:val="en-US"/>
        </w:rPr>
        <w:t>. T</w:t>
      </w:r>
      <w:r w:rsidR="00E00146" w:rsidRPr="002E60EB">
        <w:rPr>
          <w:lang w:val="en-US"/>
        </w:rPr>
        <w:t>his</w:t>
      </w:r>
      <w:r w:rsidRPr="002E60EB">
        <w:rPr>
          <w:lang w:val="en-US"/>
        </w:rPr>
        <w:t xml:space="preserve"> is complemented </w:t>
      </w:r>
      <w:r w:rsidR="00E00146" w:rsidRPr="002E60EB">
        <w:rPr>
          <w:lang w:val="en-US"/>
        </w:rPr>
        <w:t xml:space="preserve">by </w:t>
      </w:r>
      <w:r w:rsidRPr="002E60EB">
        <w:rPr>
          <w:lang w:val="en-US"/>
        </w:rPr>
        <w:t>the fact that</w:t>
      </w:r>
      <w:r w:rsidR="00E00146" w:rsidRPr="002E60EB">
        <w:rPr>
          <w:lang w:val="en-US"/>
        </w:rPr>
        <w:t>,</w:t>
      </w:r>
      <w:r w:rsidRPr="002E60EB">
        <w:rPr>
          <w:lang w:val="en-US"/>
        </w:rPr>
        <w:t xml:space="preserve"> in </w:t>
      </w:r>
      <w:r w:rsidR="00E00146" w:rsidRPr="002E60EB">
        <w:rPr>
          <w:lang w:val="en-US"/>
        </w:rPr>
        <w:t>this</w:t>
      </w:r>
      <w:r w:rsidRPr="002E60EB">
        <w:rPr>
          <w:lang w:val="en-US"/>
        </w:rPr>
        <w:t xml:space="preserve"> Judgment</w:t>
      </w:r>
      <w:r w:rsidR="00E00146" w:rsidRPr="002E60EB">
        <w:rPr>
          <w:lang w:val="en-US"/>
        </w:rPr>
        <w:t>,</w:t>
      </w:r>
      <w:r w:rsidRPr="002E60EB">
        <w:rPr>
          <w:lang w:val="en-US"/>
        </w:rPr>
        <w:t xml:space="preserve"> the Court </w:t>
      </w:r>
      <w:r w:rsidR="00E00146" w:rsidRPr="002E60EB">
        <w:rPr>
          <w:lang w:val="en-US"/>
        </w:rPr>
        <w:t xml:space="preserve">has </w:t>
      </w:r>
      <w:r w:rsidRPr="002E60EB">
        <w:rPr>
          <w:lang w:val="en-US"/>
        </w:rPr>
        <w:t>declared violations to human rights additional to the ones acknowledged by the State.</w:t>
      </w:r>
      <w:r w:rsidR="00E00146" w:rsidRPr="002E60EB">
        <w:rPr>
          <w:lang w:val="en-US"/>
        </w:rPr>
        <w:t xml:space="preserve"> The recording of the said public hearing is available on the Court’s web</w:t>
      </w:r>
      <w:r w:rsidR="00521082" w:rsidRPr="002E60EB">
        <w:rPr>
          <w:lang w:val="en-US"/>
        </w:rPr>
        <w:t xml:space="preserve"> </w:t>
      </w:r>
      <w:r w:rsidR="00E00146" w:rsidRPr="002E60EB">
        <w:rPr>
          <w:lang w:val="en-US"/>
        </w:rPr>
        <w:t>page. Consequently,</w:t>
      </w:r>
      <w:r w:rsidRPr="002E60EB">
        <w:rPr>
          <w:lang w:val="en-US"/>
        </w:rPr>
        <w:t xml:space="preserve"> the Court does not consider it </w:t>
      </w:r>
      <w:r w:rsidR="00E00146" w:rsidRPr="002E60EB">
        <w:rPr>
          <w:lang w:val="en-US"/>
        </w:rPr>
        <w:t xml:space="preserve">appropriate </w:t>
      </w:r>
      <w:r w:rsidRPr="002E60EB">
        <w:rPr>
          <w:lang w:val="en-US"/>
        </w:rPr>
        <w:t xml:space="preserve">to order the measures requested by the representative and </w:t>
      </w:r>
      <w:r w:rsidR="00E00146" w:rsidRPr="002E60EB">
        <w:rPr>
          <w:lang w:val="en-US"/>
        </w:rPr>
        <w:t>finds</w:t>
      </w:r>
      <w:r w:rsidRPr="002E60EB">
        <w:rPr>
          <w:lang w:val="en-US"/>
        </w:rPr>
        <w:t xml:space="preserve"> that the </w:t>
      </w:r>
      <w:r w:rsidR="00E00146" w:rsidRPr="002E60EB">
        <w:rPr>
          <w:lang w:val="en-US"/>
        </w:rPr>
        <w:t xml:space="preserve">delivery </w:t>
      </w:r>
      <w:r w:rsidRPr="002E60EB">
        <w:rPr>
          <w:lang w:val="en-US"/>
        </w:rPr>
        <w:t xml:space="preserve">of </w:t>
      </w:r>
      <w:r w:rsidR="00E00146" w:rsidRPr="002E60EB">
        <w:rPr>
          <w:lang w:val="en-US"/>
        </w:rPr>
        <w:t>this</w:t>
      </w:r>
      <w:r w:rsidRPr="002E60EB">
        <w:rPr>
          <w:lang w:val="en-US"/>
        </w:rPr>
        <w:t xml:space="preserve"> Judgment, </w:t>
      </w:r>
      <w:r w:rsidR="00E00146" w:rsidRPr="002E60EB">
        <w:rPr>
          <w:lang w:val="en-US"/>
        </w:rPr>
        <w:t>together with its</w:t>
      </w:r>
      <w:r w:rsidRPr="002E60EB">
        <w:rPr>
          <w:lang w:val="en-US"/>
        </w:rPr>
        <w:t xml:space="preserve"> </w:t>
      </w:r>
      <w:r w:rsidR="00E00146" w:rsidRPr="002E60EB">
        <w:rPr>
          <w:lang w:val="en-US"/>
        </w:rPr>
        <w:t>dissemination in</w:t>
      </w:r>
      <w:r w:rsidRPr="002E60EB">
        <w:rPr>
          <w:lang w:val="en-US"/>
        </w:rPr>
        <w:t xml:space="preserve"> different media, both a </w:t>
      </w:r>
      <w:r w:rsidR="00E00146" w:rsidRPr="002E60EB">
        <w:rPr>
          <w:lang w:val="en-US"/>
        </w:rPr>
        <w:t xml:space="preserve">national newspaper with widespread </w:t>
      </w:r>
      <w:r w:rsidRPr="002E60EB">
        <w:rPr>
          <w:lang w:val="en-US"/>
        </w:rPr>
        <w:t xml:space="preserve">circulation </w:t>
      </w:r>
      <w:r w:rsidR="00E00146" w:rsidRPr="002E60EB">
        <w:rPr>
          <w:lang w:val="en-US"/>
        </w:rPr>
        <w:t>and</w:t>
      </w:r>
      <w:r w:rsidRPr="002E60EB">
        <w:rPr>
          <w:lang w:val="en-US"/>
        </w:rPr>
        <w:t xml:space="preserve"> two official ones, are </w:t>
      </w:r>
      <w:r w:rsidR="00E00146" w:rsidRPr="002E60EB">
        <w:rPr>
          <w:lang w:val="en-US"/>
        </w:rPr>
        <w:t xml:space="preserve">sufficient and adequate </w:t>
      </w:r>
      <w:r w:rsidR="009E6ABC" w:rsidRPr="002E60EB">
        <w:rPr>
          <w:lang w:val="en-US"/>
        </w:rPr>
        <w:t>measure of reparation</w:t>
      </w:r>
      <w:r w:rsidRPr="002E60EB">
        <w:rPr>
          <w:lang w:val="en-US"/>
        </w:rPr>
        <w:t xml:space="preserve">s to </w:t>
      </w:r>
      <w:r w:rsidR="00606F2E" w:rsidRPr="002E60EB">
        <w:rPr>
          <w:lang w:val="en-US"/>
        </w:rPr>
        <w:t xml:space="preserve">make reparation for </w:t>
      </w:r>
      <w:r w:rsidRPr="002E60EB">
        <w:rPr>
          <w:lang w:val="en-US"/>
        </w:rPr>
        <w:t xml:space="preserve">the violations </w:t>
      </w:r>
      <w:r w:rsidR="00606F2E" w:rsidRPr="002E60EB">
        <w:rPr>
          <w:lang w:val="en-US"/>
        </w:rPr>
        <w:t>suffered by</w:t>
      </w:r>
      <w:r w:rsidRPr="002E60EB">
        <w:rPr>
          <w:lang w:val="en-US"/>
        </w:rPr>
        <w:t xml:space="preserve"> the victims and</w:t>
      </w:r>
      <w:r w:rsidR="00606F2E" w:rsidRPr="002E60EB">
        <w:rPr>
          <w:lang w:val="en-US"/>
        </w:rPr>
        <w:t xml:space="preserve"> to</w:t>
      </w:r>
      <w:r w:rsidRPr="002E60EB">
        <w:rPr>
          <w:lang w:val="en-US"/>
        </w:rPr>
        <w:t xml:space="preserve"> comply with the purpose indicated by the representative</w:t>
      </w:r>
      <w:r w:rsidR="00606F2E" w:rsidRPr="002E60EB">
        <w:rPr>
          <w:lang w:val="en-US"/>
        </w:rPr>
        <w:t>.</w:t>
      </w:r>
      <w:r w:rsidR="00606F2E" w:rsidRPr="002E60EB">
        <w:rPr>
          <w:rStyle w:val="Refdenotaalpie"/>
          <w:lang w:val="en-US"/>
        </w:rPr>
        <w:footnoteReference w:id="264"/>
      </w:r>
    </w:p>
    <w:p w:rsidR="0004795A" w:rsidRPr="002E60EB" w:rsidRDefault="0004795A" w:rsidP="00260DED">
      <w:pPr>
        <w:pStyle w:val="Prrafodelista2"/>
        <w:tabs>
          <w:tab w:val="left" w:pos="720"/>
        </w:tabs>
        <w:ind w:left="0"/>
        <w:contextualSpacing/>
        <w:jc w:val="both"/>
        <w:rPr>
          <w:lang w:val="en-US"/>
        </w:rPr>
      </w:pPr>
    </w:p>
    <w:p w:rsidR="00606F2E" w:rsidRPr="002E60EB" w:rsidRDefault="00606F2E" w:rsidP="00317748">
      <w:pPr>
        <w:pStyle w:val="Prrafodelista2"/>
        <w:tabs>
          <w:tab w:val="left" w:pos="720"/>
          <w:tab w:val="left" w:pos="1440"/>
          <w:tab w:val="left" w:pos="2160"/>
          <w:tab w:val="left" w:pos="2880"/>
          <w:tab w:val="left" w:pos="3600"/>
          <w:tab w:val="left" w:pos="4320"/>
          <w:tab w:val="left" w:pos="5040"/>
          <w:tab w:val="left" w:pos="5760"/>
          <w:tab w:val="left" w:pos="6668"/>
        </w:tabs>
        <w:ind w:left="0"/>
        <w:contextualSpacing/>
        <w:jc w:val="both"/>
        <w:rPr>
          <w:i/>
          <w:lang w:val="en-US"/>
        </w:rPr>
      </w:pPr>
      <w:r w:rsidRPr="002E60EB">
        <w:rPr>
          <w:i/>
          <w:lang w:val="en-US"/>
        </w:rPr>
        <w:tab/>
      </w:r>
      <w:r w:rsidRPr="002E60EB">
        <w:rPr>
          <w:i/>
          <w:lang w:val="en-US"/>
        </w:rPr>
        <w:tab/>
        <w:t xml:space="preserve">C.2) “Measures of educational rehabilitation” </w:t>
      </w:r>
      <w:r w:rsidRPr="002E60EB">
        <w:rPr>
          <w:i/>
          <w:lang w:val="en-US"/>
        </w:rPr>
        <w:tab/>
      </w:r>
    </w:p>
    <w:p w:rsidR="0004795A" w:rsidRPr="002E60EB" w:rsidRDefault="0004795A">
      <w:pPr>
        <w:pStyle w:val="Prrafodelista2"/>
        <w:tabs>
          <w:tab w:val="left" w:pos="720"/>
        </w:tabs>
        <w:ind w:left="0"/>
        <w:contextualSpacing/>
        <w:jc w:val="both"/>
        <w:rPr>
          <w:lang w:val="en-US"/>
        </w:rPr>
      </w:pPr>
    </w:p>
    <w:p w:rsidR="00606F2E" w:rsidRPr="002E60EB" w:rsidRDefault="00606F2E" w:rsidP="00521082">
      <w:pPr>
        <w:numPr>
          <w:ilvl w:val="0"/>
          <w:numId w:val="19"/>
        </w:numPr>
        <w:tabs>
          <w:tab w:val="clear" w:pos="680"/>
          <w:tab w:val="left" w:pos="720"/>
        </w:tabs>
        <w:jc w:val="both"/>
        <w:rPr>
          <w:lang w:val="en-US"/>
        </w:rPr>
      </w:pPr>
      <w:r w:rsidRPr="002E60EB">
        <w:rPr>
          <w:lang w:val="en-US"/>
        </w:rPr>
        <w:t xml:space="preserve">Regarding the representative’s request that a sum of money be allocated to cover the cost of courses so that Mr. Vélez Restrepo and Mrs. Román Amariles </w:t>
      </w:r>
      <w:r w:rsidR="00521082" w:rsidRPr="002E60EB">
        <w:rPr>
          <w:lang w:val="en-US"/>
        </w:rPr>
        <w:t>can</w:t>
      </w:r>
      <w:r w:rsidRPr="002E60EB">
        <w:rPr>
          <w:lang w:val="en-US"/>
        </w:rPr>
        <w:t xml:space="preserve"> to improve their “professional an</w:t>
      </w:r>
      <w:r w:rsidR="00521082" w:rsidRPr="002E60EB">
        <w:rPr>
          <w:lang w:val="en-US"/>
        </w:rPr>
        <w:t>d</w:t>
      </w:r>
      <w:r w:rsidRPr="002E60EB">
        <w:rPr>
          <w:lang w:val="en-US"/>
        </w:rPr>
        <w:t xml:space="preserve"> social profile in the [United] States,”</w:t>
      </w:r>
      <w:r w:rsidRPr="002E60EB">
        <w:rPr>
          <w:rStyle w:val="Refdenotaalpie"/>
          <w:lang w:val="en-US"/>
        </w:rPr>
        <w:footnoteReference w:id="265"/>
      </w:r>
      <w:r w:rsidRPr="002E60EB">
        <w:rPr>
          <w:lang w:val="en-US"/>
        </w:rPr>
        <w:t xml:space="preserve"> the Court considers that the compensation granted for non-pecuniary damage is sufficient a</w:t>
      </w:r>
      <w:r w:rsidR="00521082" w:rsidRPr="002E60EB">
        <w:rPr>
          <w:lang w:val="en-US"/>
        </w:rPr>
        <w:t>nd adequate to redress the viol</w:t>
      </w:r>
      <w:r w:rsidRPr="002E60EB">
        <w:rPr>
          <w:lang w:val="en-US"/>
        </w:rPr>
        <w:t>ations suffered by the victims and does not find it necessary to order this measure.</w:t>
      </w:r>
    </w:p>
    <w:p w:rsidR="00606F2E" w:rsidRPr="002E60EB" w:rsidRDefault="00606F2E" w:rsidP="00521082">
      <w:pPr>
        <w:tabs>
          <w:tab w:val="left" w:pos="720"/>
        </w:tabs>
        <w:jc w:val="both"/>
        <w:rPr>
          <w:lang w:val="en-US"/>
        </w:rPr>
      </w:pPr>
    </w:p>
    <w:p w:rsidR="00606F2E" w:rsidRPr="002E60EB" w:rsidRDefault="00606F2E" w:rsidP="00521082">
      <w:pPr>
        <w:pStyle w:val="Prrafodelista2"/>
        <w:tabs>
          <w:tab w:val="left" w:pos="720"/>
        </w:tabs>
        <w:ind w:left="1440"/>
        <w:contextualSpacing/>
        <w:jc w:val="both"/>
        <w:rPr>
          <w:i/>
          <w:lang w:val="en-US"/>
        </w:rPr>
      </w:pPr>
      <w:r w:rsidRPr="002E60EB">
        <w:rPr>
          <w:i/>
          <w:lang w:val="en-US"/>
        </w:rPr>
        <w:t>C.3) To continue adopting and strengthening special programs to protect journalists</w:t>
      </w:r>
      <w:r w:rsidR="00FB514F" w:rsidRPr="002E60EB">
        <w:rPr>
          <w:i/>
          <w:lang w:val="en-US"/>
        </w:rPr>
        <w:t xml:space="preserve"> at risk</w:t>
      </w:r>
      <w:r w:rsidRPr="002E60EB">
        <w:rPr>
          <w:i/>
          <w:lang w:val="en-US"/>
        </w:rPr>
        <w:t xml:space="preserve"> and investigate crimes against them</w:t>
      </w:r>
    </w:p>
    <w:p w:rsidR="00606F2E" w:rsidRPr="002E60EB" w:rsidRDefault="00606F2E" w:rsidP="00521082">
      <w:pPr>
        <w:tabs>
          <w:tab w:val="left" w:pos="720"/>
        </w:tabs>
        <w:jc w:val="both"/>
        <w:rPr>
          <w:lang w:val="en-US"/>
        </w:rPr>
      </w:pPr>
    </w:p>
    <w:p w:rsidR="0004795A" w:rsidRPr="002E60EB" w:rsidRDefault="0004795A" w:rsidP="00521082">
      <w:pPr>
        <w:numPr>
          <w:ilvl w:val="0"/>
          <w:numId w:val="19"/>
        </w:numPr>
        <w:tabs>
          <w:tab w:val="clear" w:pos="680"/>
          <w:tab w:val="left" w:pos="720"/>
        </w:tabs>
        <w:jc w:val="both"/>
        <w:rPr>
          <w:lang w:val="en-US"/>
        </w:rPr>
      </w:pPr>
      <w:r w:rsidRPr="002E60EB">
        <w:rPr>
          <w:lang w:val="en-US"/>
        </w:rPr>
        <w:t xml:space="preserve">Both the Commission and the representative requested that the State be ordered </w:t>
      </w:r>
      <w:r w:rsidR="003570FE" w:rsidRPr="002E60EB">
        <w:rPr>
          <w:lang w:val="en-US"/>
        </w:rPr>
        <w:t>“</w:t>
      </w:r>
      <w:r w:rsidRPr="002E60EB">
        <w:rPr>
          <w:lang w:val="en-US"/>
        </w:rPr>
        <w:t xml:space="preserve">to continue adopting and strengthening the special programs </w:t>
      </w:r>
      <w:r w:rsidR="00FB514F" w:rsidRPr="002E60EB">
        <w:rPr>
          <w:lang w:val="en-US"/>
        </w:rPr>
        <w:t>to</w:t>
      </w:r>
      <w:r w:rsidRPr="002E60EB">
        <w:rPr>
          <w:lang w:val="en-US"/>
        </w:rPr>
        <w:t xml:space="preserve"> protect journalists </w:t>
      </w:r>
      <w:r w:rsidR="00FB514F" w:rsidRPr="002E60EB">
        <w:rPr>
          <w:lang w:val="en-US"/>
        </w:rPr>
        <w:t xml:space="preserve">at risk </w:t>
      </w:r>
      <w:r w:rsidRPr="002E60EB">
        <w:rPr>
          <w:lang w:val="en-US"/>
        </w:rPr>
        <w:t>and investigate crimes against them.</w:t>
      </w:r>
      <w:r w:rsidR="00087093" w:rsidRPr="002E60EB">
        <w:rPr>
          <w:lang w:val="en-US"/>
        </w:rPr>
        <w:t>”</w:t>
      </w:r>
      <w:r w:rsidRPr="002E60EB">
        <w:rPr>
          <w:lang w:val="en-US"/>
        </w:rPr>
        <w:t xml:space="preserve"> In </w:t>
      </w:r>
      <w:r w:rsidR="00FB514F" w:rsidRPr="002E60EB">
        <w:rPr>
          <w:lang w:val="en-US"/>
        </w:rPr>
        <w:t xml:space="preserve">its submission </w:t>
      </w:r>
      <w:r w:rsidRPr="002E60EB">
        <w:rPr>
          <w:lang w:val="en-US"/>
        </w:rPr>
        <w:t xml:space="preserve">brief, the Commission clarified that the State had </w:t>
      </w:r>
      <w:r w:rsidR="00FB514F" w:rsidRPr="002E60EB">
        <w:rPr>
          <w:lang w:val="en-US"/>
        </w:rPr>
        <w:t xml:space="preserve">expressed </w:t>
      </w:r>
      <w:r w:rsidR="00087093" w:rsidRPr="002E60EB">
        <w:rPr>
          <w:lang w:val="en-US"/>
        </w:rPr>
        <w:t>“</w:t>
      </w:r>
      <w:r w:rsidRPr="002E60EB">
        <w:rPr>
          <w:lang w:val="en-US"/>
        </w:rPr>
        <w:t>its absolute commitment</w:t>
      </w:r>
      <w:r w:rsidR="00087093" w:rsidRPr="002E60EB">
        <w:rPr>
          <w:lang w:val="en-US"/>
        </w:rPr>
        <w:t>”</w:t>
      </w:r>
      <w:r w:rsidRPr="002E60EB">
        <w:rPr>
          <w:lang w:val="en-US"/>
        </w:rPr>
        <w:t xml:space="preserve"> </w:t>
      </w:r>
      <w:r w:rsidR="00FB514F" w:rsidRPr="002E60EB">
        <w:rPr>
          <w:lang w:val="en-US"/>
        </w:rPr>
        <w:t xml:space="preserve">to </w:t>
      </w:r>
      <w:r w:rsidRPr="002E60EB">
        <w:rPr>
          <w:lang w:val="en-US"/>
        </w:rPr>
        <w:t xml:space="preserve">this recommendation. </w:t>
      </w:r>
      <w:r w:rsidR="00FB514F" w:rsidRPr="002E60EB">
        <w:rPr>
          <w:lang w:val="en-US"/>
        </w:rPr>
        <w:t>The Commission</w:t>
      </w:r>
      <w:r w:rsidRPr="002E60EB">
        <w:rPr>
          <w:lang w:val="en-US"/>
        </w:rPr>
        <w:t xml:space="preserve"> indicated that Colombia had </w:t>
      </w:r>
      <w:r w:rsidR="00FB514F" w:rsidRPr="002E60EB">
        <w:rPr>
          <w:lang w:val="en-US"/>
        </w:rPr>
        <w:t xml:space="preserve">“described </w:t>
      </w:r>
      <w:r w:rsidRPr="002E60EB">
        <w:rPr>
          <w:lang w:val="en-US"/>
        </w:rPr>
        <w:t xml:space="preserve">the activities, results and budget </w:t>
      </w:r>
      <w:r w:rsidR="00FB514F" w:rsidRPr="002E60EB">
        <w:rPr>
          <w:lang w:val="en-US"/>
        </w:rPr>
        <w:t xml:space="preserve">of </w:t>
      </w:r>
      <w:r w:rsidRPr="002E60EB">
        <w:rPr>
          <w:lang w:val="en-US"/>
        </w:rPr>
        <w:t xml:space="preserve">the Protection Program of the Ministry of </w:t>
      </w:r>
      <w:r w:rsidR="00FB514F" w:rsidRPr="002E60EB">
        <w:rPr>
          <w:lang w:val="en-US"/>
        </w:rPr>
        <w:t xml:space="preserve">the Interior and </w:t>
      </w:r>
      <w:r w:rsidRPr="002E60EB">
        <w:rPr>
          <w:lang w:val="en-US"/>
        </w:rPr>
        <w:t xml:space="preserve">Justice and </w:t>
      </w:r>
      <w:r w:rsidR="00FB514F" w:rsidRPr="002E60EB">
        <w:rPr>
          <w:lang w:val="en-US"/>
        </w:rPr>
        <w:t>advised</w:t>
      </w:r>
      <w:r w:rsidRPr="002E60EB">
        <w:rPr>
          <w:lang w:val="en-US"/>
        </w:rPr>
        <w:t xml:space="preserve"> that the Human Rights Unit of the </w:t>
      </w:r>
      <w:r w:rsidR="00FB514F" w:rsidRPr="002E60EB">
        <w:rPr>
          <w:lang w:val="en-US"/>
        </w:rPr>
        <w:t>Prosecutor General’s Office</w:t>
      </w:r>
      <w:r w:rsidRPr="002E60EB">
        <w:rPr>
          <w:lang w:val="en-US"/>
        </w:rPr>
        <w:t xml:space="preserve"> has a work</w:t>
      </w:r>
      <w:r w:rsidR="00FB514F" w:rsidRPr="002E60EB">
        <w:rPr>
          <w:lang w:val="en-US"/>
        </w:rPr>
        <w:t>ing</w:t>
      </w:r>
      <w:r w:rsidRPr="002E60EB">
        <w:rPr>
          <w:lang w:val="en-US"/>
        </w:rPr>
        <w:t xml:space="preserve"> group of 19 specia</w:t>
      </w:r>
      <w:r w:rsidR="00FB514F" w:rsidRPr="002E60EB">
        <w:rPr>
          <w:lang w:val="en-US"/>
        </w:rPr>
        <w:t>l</w:t>
      </w:r>
      <w:r w:rsidRPr="002E60EB">
        <w:rPr>
          <w:lang w:val="en-US"/>
        </w:rPr>
        <w:t xml:space="preserve"> prosecutors in charge of investigating crimes against journalists.</w:t>
      </w:r>
      <w:r w:rsidR="00087093" w:rsidRPr="002E60EB">
        <w:rPr>
          <w:lang w:val="en-US"/>
        </w:rPr>
        <w:t>”</w:t>
      </w:r>
      <w:r w:rsidRPr="002E60EB">
        <w:rPr>
          <w:lang w:val="en-US"/>
        </w:rPr>
        <w:t xml:space="preserve"> In this regard, the Commission considered that the information provided by the State </w:t>
      </w:r>
      <w:r w:rsidR="00087093" w:rsidRPr="002E60EB">
        <w:rPr>
          <w:lang w:val="en-US"/>
        </w:rPr>
        <w:t>“</w:t>
      </w:r>
      <w:r w:rsidRPr="002E60EB">
        <w:rPr>
          <w:lang w:val="en-US"/>
        </w:rPr>
        <w:t xml:space="preserve">may reveal important steps in </w:t>
      </w:r>
      <w:r w:rsidR="00FB514F" w:rsidRPr="002E60EB">
        <w:rPr>
          <w:lang w:val="en-US"/>
        </w:rPr>
        <w:t xml:space="preserve">the </w:t>
      </w:r>
      <w:r w:rsidRPr="002E60EB">
        <w:rPr>
          <w:lang w:val="en-US"/>
        </w:rPr>
        <w:t>compl</w:t>
      </w:r>
      <w:r w:rsidR="00FB514F" w:rsidRPr="002E60EB">
        <w:rPr>
          <w:lang w:val="en-US"/>
        </w:rPr>
        <w:t>iance</w:t>
      </w:r>
      <w:r w:rsidRPr="002E60EB">
        <w:rPr>
          <w:lang w:val="en-US"/>
        </w:rPr>
        <w:t xml:space="preserve"> with this recommendation, […] which must continue to be </w:t>
      </w:r>
      <w:r w:rsidR="00521082" w:rsidRPr="002E60EB">
        <w:rPr>
          <w:lang w:val="en-US"/>
        </w:rPr>
        <w:t>enhanced and strengthened</w:t>
      </w:r>
      <w:r w:rsidRPr="002E60EB">
        <w:rPr>
          <w:lang w:val="en-US"/>
        </w:rPr>
        <w:t>.</w:t>
      </w:r>
      <w:r w:rsidR="00087093" w:rsidRPr="002E60EB">
        <w:rPr>
          <w:lang w:val="en-US"/>
        </w:rPr>
        <w:t>”</w:t>
      </w:r>
      <w:r w:rsidRPr="002E60EB">
        <w:rPr>
          <w:lang w:val="en-US"/>
        </w:rPr>
        <w:t xml:space="preserve"> Therefore, the Commission </w:t>
      </w:r>
      <w:r w:rsidR="00FB514F" w:rsidRPr="002E60EB">
        <w:rPr>
          <w:lang w:val="en-US"/>
        </w:rPr>
        <w:t>underscored</w:t>
      </w:r>
      <w:r w:rsidRPr="002E60EB">
        <w:rPr>
          <w:lang w:val="en-US"/>
        </w:rPr>
        <w:t xml:space="preserve"> the relevance of this type of program</w:t>
      </w:r>
      <w:r w:rsidR="00FB514F" w:rsidRPr="002E60EB">
        <w:rPr>
          <w:lang w:val="en-US"/>
        </w:rPr>
        <w:t>,</w:t>
      </w:r>
      <w:r w:rsidRPr="002E60EB">
        <w:rPr>
          <w:lang w:val="en-US"/>
        </w:rPr>
        <w:t xml:space="preserve"> and considered it important that the </w:t>
      </w:r>
      <w:r w:rsidR="00D00C5F" w:rsidRPr="002E60EB">
        <w:rPr>
          <w:lang w:val="en-US"/>
        </w:rPr>
        <w:t>Court</w:t>
      </w:r>
      <w:r w:rsidRPr="002E60EB">
        <w:rPr>
          <w:lang w:val="en-US"/>
        </w:rPr>
        <w:t xml:space="preserve"> </w:t>
      </w:r>
      <w:r w:rsidR="00087093" w:rsidRPr="002E60EB">
        <w:rPr>
          <w:lang w:val="en-US"/>
        </w:rPr>
        <w:t>“</w:t>
      </w:r>
      <w:r w:rsidRPr="002E60EB">
        <w:rPr>
          <w:lang w:val="en-US"/>
        </w:rPr>
        <w:t>take into consideration the State’s efforts […] to protect journalists</w:t>
      </w:r>
      <w:r w:rsidR="00FB514F" w:rsidRPr="002E60EB">
        <w:rPr>
          <w:lang w:val="en-US"/>
        </w:rPr>
        <w:t xml:space="preserve"> at risk</w:t>
      </w:r>
      <w:r w:rsidRPr="002E60EB">
        <w:rPr>
          <w:lang w:val="en-US"/>
        </w:rPr>
        <w:t>.</w:t>
      </w:r>
      <w:r w:rsidR="00FB514F" w:rsidRPr="002E60EB">
        <w:rPr>
          <w:lang w:val="en-US"/>
        </w:rPr>
        <w:t>”</w:t>
      </w:r>
      <w:r w:rsidRPr="002E60EB">
        <w:rPr>
          <w:lang w:val="en-US"/>
        </w:rPr>
        <w:t xml:space="preserve"> </w:t>
      </w:r>
    </w:p>
    <w:p w:rsidR="0004795A" w:rsidRPr="002E60EB" w:rsidRDefault="0004795A" w:rsidP="00260DED">
      <w:pPr>
        <w:pStyle w:val="Prrafodelista2"/>
        <w:tabs>
          <w:tab w:val="left" w:pos="720"/>
        </w:tabs>
        <w:ind w:left="0"/>
        <w:contextualSpacing/>
        <w:jc w:val="both"/>
        <w:rPr>
          <w:lang w:val="en-US"/>
        </w:rPr>
      </w:pPr>
    </w:p>
    <w:p w:rsidR="0004795A" w:rsidRPr="002E60EB" w:rsidRDefault="00FB514F" w:rsidP="00521082">
      <w:pPr>
        <w:numPr>
          <w:ilvl w:val="0"/>
          <w:numId w:val="19"/>
        </w:numPr>
        <w:tabs>
          <w:tab w:val="clear" w:pos="680"/>
        </w:tabs>
        <w:jc w:val="both"/>
        <w:rPr>
          <w:lang w:val="en-US"/>
        </w:rPr>
      </w:pPr>
      <w:r w:rsidRPr="002E60EB">
        <w:rPr>
          <w:lang w:val="en-US" w:eastAsia="es-ES"/>
        </w:rPr>
        <w:t xml:space="preserve">For </w:t>
      </w:r>
      <w:r w:rsidR="0004795A" w:rsidRPr="002E60EB">
        <w:rPr>
          <w:lang w:val="en-US" w:eastAsia="es-ES"/>
        </w:rPr>
        <w:t xml:space="preserve">its part, the State </w:t>
      </w:r>
      <w:r w:rsidRPr="002E60EB">
        <w:rPr>
          <w:lang w:val="en-US" w:eastAsia="es-ES"/>
        </w:rPr>
        <w:t xml:space="preserve">argued </w:t>
      </w:r>
      <w:r w:rsidR="0004795A" w:rsidRPr="002E60EB">
        <w:rPr>
          <w:lang w:val="en-US" w:eastAsia="es-ES"/>
        </w:rPr>
        <w:t xml:space="preserve">that this measure </w:t>
      </w:r>
      <w:r w:rsidR="00015D61" w:rsidRPr="002E60EB">
        <w:rPr>
          <w:lang w:val="en-US" w:eastAsia="es-ES"/>
        </w:rPr>
        <w:t xml:space="preserve">should be considered unfounded, because </w:t>
      </w:r>
      <w:r w:rsidR="0004795A" w:rsidRPr="002E60EB">
        <w:rPr>
          <w:lang w:val="en-US" w:eastAsia="es-ES"/>
        </w:rPr>
        <w:t xml:space="preserve">the State has already been </w:t>
      </w:r>
      <w:r w:rsidR="00015D61" w:rsidRPr="002E60EB">
        <w:rPr>
          <w:lang w:val="en-US" w:eastAsia="es-ES"/>
        </w:rPr>
        <w:t>complying with it</w:t>
      </w:r>
      <w:r w:rsidR="00015D61" w:rsidRPr="002E60EB">
        <w:rPr>
          <w:lang w:val="en-US"/>
        </w:rPr>
        <w:t>,</w:t>
      </w:r>
      <w:r w:rsidR="0004795A" w:rsidRPr="002E60EB">
        <w:rPr>
          <w:lang w:val="en-US"/>
        </w:rPr>
        <w:t xml:space="preserve"> </w:t>
      </w:r>
      <w:r w:rsidR="0004795A" w:rsidRPr="002E60EB">
        <w:rPr>
          <w:lang w:val="en-US" w:eastAsia="es-ES"/>
        </w:rPr>
        <w:t xml:space="preserve">which </w:t>
      </w:r>
      <w:r w:rsidR="00015D61" w:rsidRPr="002E60EB">
        <w:rPr>
          <w:lang w:val="en-US" w:eastAsia="es-ES"/>
        </w:rPr>
        <w:t>“</w:t>
      </w:r>
      <w:r w:rsidR="0004795A" w:rsidRPr="002E60EB">
        <w:rPr>
          <w:lang w:val="en-US" w:eastAsia="es-ES"/>
        </w:rPr>
        <w:t xml:space="preserve">proves the State’s political will and good faith </w:t>
      </w:r>
      <w:r w:rsidR="00015D61" w:rsidRPr="002E60EB">
        <w:rPr>
          <w:lang w:val="en-US" w:eastAsia="es-ES"/>
        </w:rPr>
        <w:t xml:space="preserve">to comply with it, </w:t>
      </w:r>
      <w:r w:rsidR="0004795A" w:rsidRPr="002E60EB">
        <w:rPr>
          <w:lang w:val="en-US" w:eastAsia="es-ES"/>
        </w:rPr>
        <w:t xml:space="preserve">and the specific results of the measures implemented </w:t>
      </w:r>
      <w:r w:rsidR="00015D61" w:rsidRPr="002E60EB">
        <w:rPr>
          <w:lang w:val="en-US" w:eastAsia="es-ES"/>
        </w:rPr>
        <w:t xml:space="preserve">to date.” Consequently, it asked </w:t>
      </w:r>
      <w:r w:rsidR="0004795A" w:rsidRPr="002E60EB">
        <w:rPr>
          <w:lang w:val="en-US" w:eastAsia="es-ES"/>
        </w:rPr>
        <w:t xml:space="preserve">the Court </w:t>
      </w:r>
      <w:r w:rsidR="00015D61" w:rsidRPr="002E60EB">
        <w:rPr>
          <w:lang w:val="en-US" w:eastAsia="es-ES"/>
        </w:rPr>
        <w:t xml:space="preserve">to reject </w:t>
      </w:r>
      <w:r w:rsidR="0004795A" w:rsidRPr="002E60EB">
        <w:rPr>
          <w:lang w:val="en-US" w:eastAsia="es-ES"/>
        </w:rPr>
        <w:t>the request to order this measure.</w:t>
      </w:r>
      <w:r w:rsidR="0004795A" w:rsidRPr="002E60EB">
        <w:rPr>
          <w:b/>
          <w:lang w:val="en-US" w:eastAsia="es-ES"/>
        </w:rPr>
        <w:t xml:space="preserve"> </w:t>
      </w:r>
    </w:p>
    <w:p w:rsidR="0004795A" w:rsidRPr="002E60EB" w:rsidRDefault="0004795A" w:rsidP="00521082">
      <w:pPr>
        <w:pStyle w:val="Prrafodelista2"/>
        <w:tabs>
          <w:tab w:val="left" w:pos="720"/>
        </w:tabs>
        <w:ind w:left="0"/>
        <w:contextualSpacing/>
        <w:jc w:val="both"/>
        <w:rPr>
          <w:lang w:val="en-US"/>
        </w:rPr>
      </w:pPr>
    </w:p>
    <w:p w:rsidR="0004795A" w:rsidRPr="002E60EB" w:rsidRDefault="0004795A" w:rsidP="00521082">
      <w:pPr>
        <w:numPr>
          <w:ilvl w:val="0"/>
          <w:numId w:val="19"/>
        </w:numPr>
        <w:tabs>
          <w:tab w:val="clear" w:pos="680"/>
        </w:tabs>
        <w:jc w:val="both"/>
        <w:rPr>
          <w:lang w:val="en-US"/>
        </w:rPr>
      </w:pPr>
      <w:r w:rsidRPr="002E60EB">
        <w:rPr>
          <w:lang w:val="en-US"/>
        </w:rPr>
        <w:t xml:space="preserve">The </w:t>
      </w:r>
      <w:r w:rsidR="00D00C5F" w:rsidRPr="002E60EB">
        <w:rPr>
          <w:lang w:val="en-US"/>
        </w:rPr>
        <w:t>Court</w:t>
      </w:r>
      <w:r w:rsidRPr="002E60EB">
        <w:rPr>
          <w:lang w:val="en-US"/>
        </w:rPr>
        <w:t xml:space="preserve"> observes that the State presented specific information on programs and actions </w:t>
      </w:r>
      <w:r w:rsidR="00015D61" w:rsidRPr="002E60EB">
        <w:rPr>
          <w:lang w:val="en-US"/>
        </w:rPr>
        <w:t xml:space="preserve">implemented </w:t>
      </w:r>
      <w:r w:rsidRPr="002E60EB">
        <w:rPr>
          <w:lang w:val="en-US"/>
        </w:rPr>
        <w:t xml:space="preserve">in this </w:t>
      </w:r>
      <w:r w:rsidR="00015D61" w:rsidRPr="002E60EB">
        <w:rPr>
          <w:lang w:val="en-US"/>
        </w:rPr>
        <w:t>area</w:t>
      </w:r>
      <w:r w:rsidRPr="002E60EB">
        <w:rPr>
          <w:lang w:val="en-US"/>
        </w:rPr>
        <w:t>,</w:t>
      </w:r>
      <w:r w:rsidR="00015D61" w:rsidRPr="002E60EB">
        <w:rPr>
          <w:rStyle w:val="Refdenotaalpie"/>
          <w:lang w:val="en-US"/>
        </w:rPr>
        <w:footnoteReference w:id="266"/>
      </w:r>
      <w:r w:rsidRPr="002E60EB">
        <w:rPr>
          <w:lang w:val="en-US"/>
        </w:rPr>
        <w:t xml:space="preserve"> and the Commission did not </w:t>
      </w:r>
      <w:r w:rsidR="00015D61" w:rsidRPr="002E60EB">
        <w:rPr>
          <w:lang w:val="en-US"/>
        </w:rPr>
        <w:t xml:space="preserve">contest </w:t>
      </w:r>
      <w:r w:rsidRPr="002E60EB">
        <w:rPr>
          <w:lang w:val="en-US"/>
        </w:rPr>
        <w:t xml:space="preserve">their existence or validity, </w:t>
      </w:r>
      <w:r w:rsidR="00015D61" w:rsidRPr="002E60EB">
        <w:rPr>
          <w:lang w:val="en-US"/>
        </w:rPr>
        <w:t>or</w:t>
      </w:r>
      <w:r w:rsidRPr="002E60EB">
        <w:rPr>
          <w:lang w:val="en-US"/>
        </w:rPr>
        <w:t xml:space="preserve"> provide any information indicating their possible </w:t>
      </w:r>
      <w:r w:rsidR="00015D61" w:rsidRPr="002E60EB">
        <w:rPr>
          <w:lang w:val="en-US"/>
        </w:rPr>
        <w:t>shortcomings</w:t>
      </w:r>
      <w:r w:rsidRPr="002E60EB">
        <w:rPr>
          <w:lang w:val="en-US"/>
        </w:rPr>
        <w:t xml:space="preserve">. </w:t>
      </w:r>
      <w:r w:rsidR="001C795C" w:rsidRPr="002E60EB">
        <w:rPr>
          <w:lang w:val="en-US"/>
        </w:rPr>
        <w:t xml:space="preserve">To </w:t>
      </w:r>
      <w:r w:rsidRPr="002E60EB">
        <w:rPr>
          <w:lang w:val="en-US"/>
        </w:rPr>
        <w:t xml:space="preserve">the contrary, the Commission </w:t>
      </w:r>
      <w:r w:rsidR="001C795C" w:rsidRPr="002E60EB">
        <w:rPr>
          <w:lang w:val="en-US"/>
        </w:rPr>
        <w:t>emphasized</w:t>
      </w:r>
      <w:r w:rsidRPr="002E60EB">
        <w:rPr>
          <w:lang w:val="en-US"/>
        </w:rPr>
        <w:t xml:space="preserve"> the importance of the steps </w:t>
      </w:r>
      <w:r w:rsidR="001C795C" w:rsidRPr="002E60EB">
        <w:rPr>
          <w:lang w:val="en-US"/>
        </w:rPr>
        <w:t>taken by</w:t>
      </w:r>
      <w:r w:rsidRPr="002E60EB">
        <w:rPr>
          <w:lang w:val="en-US"/>
        </w:rPr>
        <w:t xml:space="preserve"> the State</w:t>
      </w:r>
      <w:r w:rsidR="001C795C" w:rsidRPr="002E60EB">
        <w:rPr>
          <w:lang w:val="en-US"/>
        </w:rPr>
        <w:t xml:space="preserve"> as</w:t>
      </w:r>
      <w:r w:rsidRPr="002E60EB">
        <w:rPr>
          <w:lang w:val="en-US"/>
        </w:rPr>
        <w:t xml:space="preserve"> regard</w:t>
      </w:r>
      <w:r w:rsidR="001C795C" w:rsidRPr="002E60EB">
        <w:rPr>
          <w:lang w:val="en-US"/>
        </w:rPr>
        <w:t>s</w:t>
      </w:r>
      <w:r w:rsidRPr="002E60EB">
        <w:rPr>
          <w:lang w:val="en-US"/>
        </w:rPr>
        <w:t xml:space="preserve"> the programs and actions it has been implementing in this </w:t>
      </w:r>
      <w:r w:rsidR="001C795C" w:rsidRPr="002E60EB">
        <w:rPr>
          <w:lang w:val="en-US"/>
        </w:rPr>
        <w:t>area</w:t>
      </w:r>
      <w:r w:rsidRPr="002E60EB">
        <w:rPr>
          <w:lang w:val="en-US"/>
        </w:rPr>
        <w:t xml:space="preserve">, and both the Commission and the representative expressed their </w:t>
      </w:r>
      <w:r w:rsidR="001C795C" w:rsidRPr="002E60EB">
        <w:rPr>
          <w:lang w:val="en-US"/>
        </w:rPr>
        <w:t xml:space="preserve">wish </w:t>
      </w:r>
      <w:r w:rsidRPr="002E60EB">
        <w:rPr>
          <w:lang w:val="en-US"/>
        </w:rPr>
        <w:t xml:space="preserve">that the State continue strengthening the </w:t>
      </w:r>
      <w:r w:rsidR="001C795C" w:rsidRPr="002E60EB">
        <w:rPr>
          <w:lang w:val="en-US"/>
        </w:rPr>
        <w:t xml:space="preserve">special </w:t>
      </w:r>
      <w:r w:rsidRPr="002E60EB">
        <w:rPr>
          <w:lang w:val="en-US"/>
        </w:rPr>
        <w:t xml:space="preserve">programs </w:t>
      </w:r>
      <w:r w:rsidR="001C795C" w:rsidRPr="002E60EB">
        <w:rPr>
          <w:lang w:val="en-US"/>
        </w:rPr>
        <w:t>for</w:t>
      </w:r>
      <w:r w:rsidRPr="002E60EB">
        <w:rPr>
          <w:lang w:val="en-US"/>
        </w:rPr>
        <w:t xml:space="preserve"> the protection of journalists at risk and the investigation of crimes committed against them. Since the State has </w:t>
      </w:r>
      <w:r w:rsidR="001C795C" w:rsidRPr="002E60EB">
        <w:rPr>
          <w:lang w:val="en-US"/>
        </w:rPr>
        <w:t>taken</w:t>
      </w:r>
      <w:r w:rsidRPr="002E60EB">
        <w:rPr>
          <w:lang w:val="en-US"/>
        </w:rPr>
        <w:t xml:space="preserve"> certain actions</w:t>
      </w:r>
      <w:r w:rsidR="001C795C" w:rsidRPr="002E60EB">
        <w:rPr>
          <w:lang w:val="en-US"/>
        </w:rPr>
        <w:t xml:space="preserve"> to implement</w:t>
      </w:r>
      <w:r w:rsidRPr="002E60EB">
        <w:rPr>
          <w:lang w:val="en-US"/>
        </w:rPr>
        <w:t xml:space="preserve"> the </w:t>
      </w:r>
      <w:r w:rsidR="009E6ABC" w:rsidRPr="002E60EB">
        <w:rPr>
          <w:lang w:val="en-US"/>
        </w:rPr>
        <w:t>measure of reparation</w:t>
      </w:r>
      <w:r w:rsidRPr="002E60EB">
        <w:rPr>
          <w:lang w:val="en-US"/>
        </w:rPr>
        <w:t xml:space="preserve"> requested and, taking into consideration </w:t>
      </w:r>
      <w:r w:rsidR="001C795C" w:rsidRPr="002E60EB">
        <w:rPr>
          <w:lang w:val="en-US"/>
        </w:rPr>
        <w:t xml:space="preserve">that it has expressed </w:t>
      </w:r>
      <w:r w:rsidRPr="002E60EB">
        <w:rPr>
          <w:lang w:val="en-US"/>
        </w:rPr>
        <w:t xml:space="preserve">its </w:t>
      </w:r>
      <w:r w:rsidR="00087093" w:rsidRPr="002E60EB">
        <w:rPr>
          <w:lang w:val="en-US"/>
        </w:rPr>
        <w:t>“</w:t>
      </w:r>
      <w:r w:rsidRPr="002E60EB">
        <w:rPr>
          <w:lang w:val="en-US"/>
        </w:rPr>
        <w:t>absolute commitment</w:t>
      </w:r>
      <w:r w:rsidR="00087093" w:rsidRPr="002E60EB">
        <w:rPr>
          <w:lang w:val="en-US"/>
        </w:rPr>
        <w:t>”</w:t>
      </w:r>
      <w:r w:rsidRPr="002E60EB">
        <w:rPr>
          <w:lang w:val="en-US"/>
        </w:rPr>
        <w:t xml:space="preserve"> to </w:t>
      </w:r>
      <w:r w:rsidR="001C795C" w:rsidRPr="002E60EB">
        <w:rPr>
          <w:lang w:val="en-US"/>
        </w:rPr>
        <w:t>comply with it</w:t>
      </w:r>
      <w:r w:rsidRPr="002E60EB">
        <w:rPr>
          <w:lang w:val="en-US"/>
        </w:rPr>
        <w:t xml:space="preserve">, the </w:t>
      </w:r>
      <w:r w:rsidR="00D00C5F" w:rsidRPr="002E60EB">
        <w:rPr>
          <w:lang w:val="en-US"/>
        </w:rPr>
        <w:t>Court</w:t>
      </w:r>
      <w:r w:rsidRPr="002E60EB">
        <w:rPr>
          <w:lang w:val="en-US"/>
        </w:rPr>
        <w:t xml:space="preserve"> does not consider it appropriate to order the </w:t>
      </w:r>
      <w:r w:rsidR="001C795C" w:rsidRPr="002E60EB">
        <w:rPr>
          <w:lang w:val="en-US"/>
        </w:rPr>
        <w:t xml:space="preserve">requested </w:t>
      </w:r>
      <w:r w:rsidRPr="002E60EB">
        <w:rPr>
          <w:lang w:val="en-US"/>
        </w:rPr>
        <w:t>measure</w:t>
      </w:r>
      <w:r w:rsidR="001C795C" w:rsidRPr="002E60EB">
        <w:rPr>
          <w:lang w:val="en-US"/>
        </w:rPr>
        <w:t>. Nevertheless,</w:t>
      </w:r>
      <w:r w:rsidRPr="002E60EB">
        <w:rPr>
          <w:lang w:val="en-US"/>
        </w:rPr>
        <w:t xml:space="preserve"> the Court </w:t>
      </w:r>
      <w:r w:rsidR="001C795C" w:rsidRPr="002E60EB">
        <w:rPr>
          <w:lang w:val="en-US"/>
        </w:rPr>
        <w:t xml:space="preserve">finds </w:t>
      </w:r>
      <w:r w:rsidRPr="002E60EB">
        <w:rPr>
          <w:lang w:val="en-US"/>
        </w:rPr>
        <w:t xml:space="preserve">it extremely important to urge Colombia to comply with </w:t>
      </w:r>
      <w:r w:rsidR="001C795C" w:rsidRPr="002E60EB">
        <w:rPr>
          <w:lang w:val="en-US"/>
        </w:rPr>
        <w:t>the said</w:t>
      </w:r>
      <w:r w:rsidRPr="002E60EB">
        <w:rPr>
          <w:lang w:val="en-US"/>
        </w:rPr>
        <w:t xml:space="preserve"> commitment to continue </w:t>
      </w:r>
      <w:r w:rsidR="001C795C" w:rsidRPr="002E60EB">
        <w:rPr>
          <w:lang w:val="en-US"/>
        </w:rPr>
        <w:t xml:space="preserve">taking </w:t>
      </w:r>
      <w:r w:rsidRPr="002E60EB">
        <w:rPr>
          <w:lang w:val="en-US"/>
        </w:rPr>
        <w:t xml:space="preserve">all </w:t>
      </w:r>
      <w:r w:rsidR="001C795C" w:rsidRPr="002E60EB">
        <w:rPr>
          <w:lang w:val="en-US"/>
        </w:rPr>
        <w:t xml:space="preserve">necessary </w:t>
      </w:r>
      <w:r w:rsidRPr="002E60EB">
        <w:rPr>
          <w:lang w:val="en-US"/>
        </w:rPr>
        <w:t xml:space="preserve">measures to adopt and strengthen the special programs </w:t>
      </w:r>
      <w:r w:rsidR="001C795C" w:rsidRPr="002E60EB">
        <w:rPr>
          <w:lang w:val="en-US"/>
        </w:rPr>
        <w:t xml:space="preserve">designed </w:t>
      </w:r>
      <w:r w:rsidRPr="002E60EB">
        <w:rPr>
          <w:lang w:val="en-US"/>
        </w:rPr>
        <w:t>to protect journalists at risk and to investigat</w:t>
      </w:r>
      <w:r w:rsidR="001C795C" w:rsidRPr="002E60EB">
        <w:rPr>
          <w:lang w:val="en-US"/>
        </w:rPr>
        <w:t>e the</w:t>
      </w:r>
      <w:r w:rsidRPr="002E60EB">
        <w:rPr>
          <w:lang w:val="en-US"/>
        </w:rPr>
        <w:t xml:space="preserve"> crimes committed against them.</w:t>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pPr>
        <w:pStyle w:val="Prrafodelista"/>
        <w:tabs>
          <w:tab w:val="left" w:pos="720"/>
        </w:tabs>
        <w:ind w:left="0"/>
        <w:jc w:val="both"/>
        <w:rPr>
          <w:b/>
          <w:i/>
          <w:sz w:val="20"/>
          <w:szCs w:val="20"/>
          <w:lang w:val="en-US"/>
        </w:rPr>
      </w:pPr>
      <w:r w:rsidRPr="002E60EB">
        <w:rPr>
          <w:b/>
          <w:i/>
          <w:sz w:val="20"/>
          <w:szCs w:val="20"/>
          <w:lang w:val="en-US"/>
        </w:rPr>
        <w:tab/>
      </w:r>
      <w:r w:rsidR="001C795C" w:rsidRPr="002E60EB">
        <w:rPr>
          <w:b/>
          <w:i/>
          <w:sz w:val="20"/>
          <w:szCs w:val="20"/>
          <w:lang w:val="en-US"/>
        </w:rPr>
        <w:t>D</w:t>
      </w:r>
      <w:r w:rsidRPr="002E60EB">
        <w:rPr>
          <w:b/>
          <w:i/>
          <w:sz w:val="20"/>
          <w:szCs w:val="20"/>
          <w:lang w:val="en-US"/>
        </w:rPr>
        <w:t>) Compensation</w:t>
      </w:r>
    </w:p>
    <w:p w:rsidR="0004795A" w:rsidRPr="002E60EB" w:rsidRDefault="0004795A">
      <w:pPr>
        <w:pStyle w:val="Prrafodelista2"/>
        <w:tabs>
          <w:tab w:val="left" w:pos="720"/>
        </w:tabs>
        <w:ind w:left="0"/>
        <w:contextualSpacing/>
        <w:jc w:val="both"/>
        <w:rPr>
          <w:lang w:val="en-US"/>
        </w:rPr>
      </w:pPr>
    </w:p>
    <w:p w:rsidR="0004795A" w:rsidRPr="002E60EB" w:rsidRDefault="0004795A" w:rsidP="00DC21EF">
      <w:pPr>
        <w:numPr>
          <w:ilvl w:val="0"/>
          <w:numId w:val="19"/>
        </w:numPr>
        <w:tabs>
          <w:tab w:val="clear" w:pos="680"/>
        </w:tabs>
        <w:jc w:val="both"/>
        <w:rPr>
          <w:lang w:val="en-US"/>
        </w:rPr>
      </w:pPr>
      <w:r w:rsidRPr="002E60EB">
        <w:rPr>
          <w:lang w:val="en-US"/>
        </w:rPr>
        <w:t xml:space="preserve">Before determining compensation, the Court takes note that the State </w:t>
      </w:r>
      <w:r w:rsidR="001C795C" w:rsidRPr="002E60EB">
        <w:rPr>
          <w:lang w:val="en-US"/>
        </w:rPr>
        <w:t xml:space="preserve">indicated </w:t>
      </w:r>
      <w:r w:rsidRPr="002E60EB">
        <w:rPr>
          <w:lang w:val="en-US"/>
        </w:rPr>
        <w:t xml:space="preserve">that, when establishing the amounts corresponding to damage, the Court </w:t>
      </w:r>
      <w:r w:rsidR="00920874" w:rsidRPr="002E60EB">
        <w:rPr>
          <w:lang w:val="en-US"/>
        </w:rPr>
        <w:t xml:space="preserve">should </w:t>
      </w:r>
      <w:r w:rsidR="00087093" w:rsidRPr="002E60EB">
        <w:rPr>
          <w:lang w:val="en-US"/>
        </w:rPr>
        <w:t>“</w:t>
      </w:r>
      <w:r w:rsidR="00920874" w:rsidRPr="002E60EB">
        <w:rPr>
          <w:lang w:val="en-US"/>
        </w:rPr>
        <w:t>abide by</w:t>
      </w:r>
      <w:r w:rsidRPr="002E60EB">
        <w:rPr>
          <w:lang w:val="en-US"/>
        </w:rPr>
        <w:t xml:space="preserve"> what has </w:t>
      </w:r>
      <w:r w:rsidR="00521082" w:rsidRPr="002E60EB">
        <w:rPr>
          <w:lang w:val="en-US"/>
        </w:rPr>
        <w:t xml:space="preserve">really </w:t>
      </w:r>
      <w:r w:rsidRPr="002E60EB">
        <w:rPr>
          <w:lang w:val="en-US"/>
        </w:rPr>
        <w:t>been prove</w:t>
      </w:r>
      <w:r w:rsidR="00920874" w:rsidRPr="002E60EB">
        <w:rPr>
          <w:lang w:val="en-US"/>
        </w:rPr>
        <w:t>d</w:t>
      </w:r>
      <w:r w:rsidRPr="002E60EB">
        <w:rPr>
          <w:lang w:val="en-US"/>
        </w:rPr>
        <w:t xml:space="preserve"> in the proceedings, </w:t>
      </w:r>
      <w:r w:rsidR="00521082" w:rsidRPr="002E60EB">
        <w:rPr>
          <w:lang w:val="en-US"/>
        </w:rPr>
        <w:t>in keeping with</w:t>
      </w:r>
      <w:r w:rsidRPr="002E60EB">
        <w:rPr>
          <w:lang w:val="en-US"/>
        </w:rPr>
        <w:t xml:space="preserve"> the causal nexus </w:t>
      </w:r>
      <w:r w:rsidR="00920874" w:rsidRPr="002E60EB">
        <w:rPr>
          <w:lang w:val="en-US"/>
        </w:rPr>
        <w:t xml:space="preserve">that </w:t>
      </w:r>
      <w:r w:rsidRPr="002E60EB">
        <w:rPr>
          <w:lang w:val="en-US"/>
        </w:rPr>
        <w:t xml:space="preserve">the Court finds has been effectively </w:t>
      </w:r>
      <w:r w:rsidR="00920874" w:rsidRPr="002E60EB">
        <w:rPr>
          <w:lang w:val="en-US"/>
        </w:rPr>
        <w:t>demonstrated</w:t>
      </w:r>
      <w:r w:rsidRPr="002E60EB">
        <w:rPr>
          <w:lang w:val="en-US"/>
        </w:rPr>
        <w:t>.</w:t>
      </w:r>
      <w:r w:rsidR="00087093" w:rsidRPr="002E60EB">
        <w:rPr>
          <w:lang w:val="en-US"/>
        </w:rPr>
        <w:t>”</w:t>
      </w:r>
      <w:r w:rsidRPr="002E60EB">
        <w:rPr>
          <w:lang w:val="en-US"/>
        </w:rPr>
        <w:t xml:space="preserve"> </w:t>
      </w:r>
      <w:r w:rsidR="00920874" w:rsidRPr="002E60EB">
        <w:rPr>
          <w:lang w:val="en-US"/>
        </w:rPr>
        <w:t>It also</w:t>
      </w:r>
      <w:r w:rsidRPr="002E60EB">
        <w:rPr>
          <w:lang w:val="en-US"/>
        </w:rPr>
        <w:t xml:space="preserve"> asked the Court</w:t>
      </w:r>
      <w:r w:rsidR="00920874" w:rsidRPr="002E60EB">
        <w:rPr>
          <w:lang w:val="en-US"/>
        </w:rPr>
        <w:t xml:space="preserve"> to</w:t>
      </w:r>
      <w:r w:rsidRPr="002E60EB">
        <w:rPr>
          <w:lang w:val="en-US"/>
        </w:rPr>
        <w:t xml:space="preserve"> </w:t>
      </w:r>
      <w:r w:rsidR="00087093" w:rsidRPr="002E60EB">
        <w:rPr>
          <w:lang w:val="en-US"/>
        </w:rPr>
        <w:t>“</w:t>
      </w:r>
      <w:r w:rsidR="00920874" w:rsidRPr="002E60EB">
        <w:rPr>
          <w:lang w:val="en-US"/>
        </w:rPr>
        <w:t xml:space="preserve">reject </w:t>
      </w:r>
      <w:r w:rsidRPr="002E60EB">
        <w:rPr>
          <w:lang w:val="en-US"/>
        </w:rPr>
        <w:t xml:space="preserve">all those </w:t>
      </w:r>
      <w:r w:rsidR="00920874" w:rsidRPr="002E60EB">
        <w:rPr>
          <w:lang w:val="en-US"/>
        </w:rPr>
        <w:t xml:space="preserve">assertions </w:t>
      </w:r>
      <w:r w:rsidRPr="002E60EB">
        <w:rPr>
          <w:lang w:val="en-US"/>
        </w:rPr>
        <w:t xml:space="preserve">that seek to substantiate damage </w:t>
      </w:r>
      <w:r w:rsidR="00920874" w:rsidRPr="002E60EB">
        <w:rPr>
          <w:lang w:val="en-US"/>
        </w:rPr>
        <w:t xml:space="preserve">and that are based </w:t>
      </w:r>
      <w:r w:rsidRPr="002E60EB">
        <w:rPr>
          <w:lang w:val="en-US"/>
        </w:rPr>
        <w:t>exclusively</w:t>
      </w:r>
      <w:r w:rsidR="00920874" w:rsidRPr="002E60EB">
        <w:rPr>
          <w:lang w:val="en-US"/>
        </w:rPr>
        <w:t xml:space="preserve"> on the statements of </w:t>
      </w:r>
      <w:r w:rsidRPr="002E60EB">
        <w:rPr>
          <w:lang w:val="en-US"/>
        </w:rPr>
        <w:t>the victims or their representative when</w:t>
      </w:r>
      <w:r w:rsidR="00920874" w:rsidRPr="002E60EB">
        <w:rPr>
          <w:lang w:val="en-US"/>
        </w:rPr>
        <w:t xml:space="preserve">, owing to </w:t>
      </w:r>
      <w:r w:rsidRPr="002E60EB">
        <w:rPr>
          <w:lang w:val="en-US"/>
        </w:rPr>
        <w:t>their nature</w:t>
      </w:r>
      <w:r w:rsidR="00920874" w:rsidRPr="002E60EB">
        <w:rPr>
          <w:lang w:val="en-US"/>
        </w:rPr>
        <w:t>,</w:t>
      </w:r>
      <w:r w:rsidRPr="002E60EB">
        <w:rPr>
          <w:lang w:val="en-US"/>
        </w:rPr>
        <w:t xml:space="preserve"> […] they require special </w:t>
      </w:r>
      <w:r w:rsidR="00920874" w:rsidRPr="002E60EB">
        <w:rPr>
          <w:lang w:val="en-US"/>
        </w:rPr>
        <w:t xml:space="preserve">probative </w:t>
      </w:r>
      <w:r w:rsidRPr="002E60EB">
        <w:rPr>
          <w:lang w:val="en-US"/>
        </w:rPr>
        <w:t>support.</w:t>
      </w:r>
      <w:r w:rsidR="00087093" w:rsidRPr="002E60EB">
        <w:rPr>
          <w:lang w:val="en-US"/>
        </w:rPr>
        <w:t>”</w:t>
      </w:r>
      <w:r w:rsidRPr="002E60EB">
        <w:rPr>
          <w:lang w:val="en-US"/>
        </w:rPr>
        <w:t xml:space="preserve"> </w:t>
      </w:r>
      <w:r w:rsidR="00920874" w:rsidRPr="002E60EB">
        <w:rPr>
          <w:lang w:val="en-US"/>
        </w:rPr>
        <w:t xml:space="preserve"> </w:t>
      </w:r>
    </w:p>
    <w:p w:rsidR="0004795A" w:rsidRPr="002E60EB" w:rsidRDefault="0004795A" w:rsidP="00260DED">
      <w:pPr>
        <w:tabs>
          <w:tab w:val="left" w:pos="720"/>
        </w:tabs>
        <w:jc w:val="both"/>
        <w:rPr>
          <w:i/>
          <w:lang w:val="en-US"/>
        </w:rPr>
      </w:pPr>
    </w:p>
    <w:p w:rsidR="0004795A" w:rsidRPr="002E60EB" w:rsidRDefault="0004795A">
      <w:pPr>
        <w:tabs>
          <w:tab w:val="left" w:pos="720"/>
        </w:tabs>
        <w:jc w:val="both"/>
        <w:rPr>
          <w:b/>
          <w:lang w:val="en-US"/>
        </w:rPr>
      </w:pPr>
      <w:r w:rsidRPr="002E60EB">
        <w:rPr>
          <w:b/>
          <w:lang w:val="en-US"/>
        </w:rPr>
        <w:tab/>
      </w:r>
      <w:r w:rsidR="00920874" w:rsidRPr="002E60EB">
        <w:rPr>
          <w:b/>
          <w:lang w:val="en-US"/>
        </w:rPr>
        <w:tab/>
        <w:t>D</w:t>
      </w:r>
      <w:r w:rsidRPr="002E60EB">
        <w:rPr>
          <w:b/>
          <w:lang w:val="en-US"/>
        </w:rPr>
        <w:t xml:space="preserve">.1) Pecuniary </w:t>
      </w:r>
      <w:r w:rsidR="00920874" w:rsidRPr="002E60EB">
        <w:rPr>
          <w:b/>
          <w:lang w:val="en-US"/>
        </w:rPr>
        <w:t>d</w:t>
      </w:r>
      <w:r w:rsidRPr="002E60EB">
        <w:rPr>
          <w:b/>
          <w:lang w:val="en-US"/>
        </w:rPr>
        <w:t>amage</w:t>
      </w:r>
    </w:p>
    <w:p w:rsidR="0004795A" w:rsidRPr="002E60EB" w:rsidRDefault="0004795A" w:rsidP="00317748">
      <w:pPr>
        <w:pStyle w:val="ListParagraph1"/>
        <w:spacing w:after="0"/>
        <w:ind w:left="0"/>
        <w:rPr>
          <w:rFonts w:ascii="Verdana" w:hAnsi="Verdana"/>
          <w:sz w:val="20"/>
          <w:szCs w:val="20"/>
        </w:rPr>
      </w:pPr>
    </w:p>
    <w:p w:rsidR="0004795A" w:rsidRPr="002E60EB" w:rsidRDefault="00920874" w:rsidP="00DC21EF">
      <w:pPr>
        <w:numPr>
          <w:ilvl w:val="0"/>
          <w:numId w:val="19"/>
        </w:numPr>
        <w:tabs>
          <w:tab w:val="clear" w:pos="680"/>
        </w:tabs>
        <w:jc w:val="both"/>
        <w:rPr>
          <w:lang w:val="en-US"/>
        </w:rPr>
      </w:pPr>
      <w:r w:rsidRPr="002E60EB">
        <w:rPr>
          <w:lang w:val="en-US"/>
        </w:rPr>
        <w:t>In its case law, t</w:t>
      </w:r>
      <w:r w:rsidR="0004795A" w:rsidRPr="002E60EB">
        <w:rPr>
          <w:lang w:val="en-US"/>
        </w:rPr>
        <w:t xml:space="preserve">he Court has developed the concept of pecuniary damages and the </w:t>
      </w:r>
      <w:r w:rsidRPr="002E60EB">
        <w:rPr>
          <w:lang w:val="en-US"/>
        </w:rPr>
        <w:t>as</w:t>
      </w:r>
      <w:r w:rsidR="0004795A" w:rsidRPr="002E60EB">
        <w:rPr>
          <w:lang w:val="en-US"/>
        </w:rPr>
        <w:t xml:space="preserve">sumptions </w:t>
      </w:r>
      <w:r w:rsidRPr="002E60EB">
        <w:rPr>
          <w:lang w:val="en-US"/>
        </w:rPr>
        <w:t>under</w:t>
      </w:r>
      <w:r w:rsidR="0004795A" w:rsidRPr="002E60EB">
        <w:rPr>
          <w:lang w:val="en-US"/>
        </w:rPr>
        <w:t xml:space="preserve"> which it must be compensated. This </w:t>
      </w:r>
      <w:r w:rsidR="00D00C5F" w:rsidRPr="002E60EB">
        <w:rPr>
          <w:lang w:val="en-US"/>
        </w:rPr>
        <w:t>Court</w:t>
      </w:r>
      <w:r w:rsidR="0004795A" w:rsidRPr="002E60EB">
        <w:rPr>
          <w:lang w:val="en-US"/>
        </w:rPr>
        <w:t xml:space="preserve"> has established that pecuniary damage supposes </w:t>
      </w:r>
      <w:r w:rsidR="00087093" w:rsidRPr="002E60EB">
        <w:rPr>
          <w:lang w:val="en-US"/>
        </w:rPr>
        <w:t>“</w:t>
      </w:r>
      <w:r w:rsidR="0004795A" w:rsidRPr="002E60EB">
        <w:rPr>
          <w:lang w:val="en-US"/>
        </w:rPr>
        <w:t xml:space="preserve">the </w:t>
      </w:r>
      <w:r w:rsidR="0004795A" w:rsidRPr="002E60EB">
        <w:rPr>
          <w:bCs/>
          <w:lang w:val="en-US"/>
        </w:rPr>
        <w:t xml:space="preserve">loss </w:t>
      </w:r>
      <w:r w:rsidRPr="002E60EB">
        <w:rPr>
          <w:bCs/>
          <w:lang w:val="en-US"/>
        </w:rPr>
        <w:t xml:space="preserve">of </w:t>
      </w:r>
      <w:r w:rsidR="0004795A" w:rsidRPr="002E60EB">
        <w:rPr>
          <w:bCs/>
          <w:lang w:val="en-US"/>
        </w:rPr>
        <w:t xml:space="preserve">or detriment </w:t>
      </w:r>
      <w:r w:rsidRPr="002E60EB">
        <w:rPr>
          <w:bCs/>
          <w:lang w:val="en-US"/>
        </w:rPr>
        <w:t>to</w:t>
      </w:r>
      <w:r w:rsidR="0004795A" w:rsidRPr="002E60EB">
        <w:rPr>
          <w:bCs/>
          <w:lang w:val="en-US"/>
        </w:rPr>
        <w:t xml:space="preserve"> the victims’ income, the expenses incurred </w:t>
      </w:r>
      <w:r w:rsidRPr="002E60EB">
        <w:rPr>
          <w:bCs/>
          <w:lang w:val="en-US"/>
        </w:rPr>
        <w:t>owing</w:t>
      </w:r>
      <w:r w:rsidR="0004795A" w:rsidRPr="002E60EB">
        <w:rPr>
          <w:bCs/>
          <w:lang w:val="en-US"/>
        </w:rPr>
        <w:t xml:space="preserve"> to the facts, and the consequences of a pecuniary nature that have a causal nexus with the facts of the case.</w:t>
      </w:r>
      <w:r w:rsidR="00087093" w:rsidRPr="002E60EB">
        <w:rPr>
          <w:bCs/>
          <w:lang w:val="en-US"/>
        </w:rPr>
        <w:t>”</w:t>
      </w:r>
      <w:r w:rsidRPr="002E60EB">
        <w:rPr>
          <w:vertAlign w:val="superscript"/>
          <w:lang w:val="en-US"/>
        </w:rPr>
        <w:footnoteReference w:id="267"/>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rsidP="00317748">
      <w:pPr>
        <w:pStyle w:val="Prrafodelista2"/>
        <w:tabs>
          <w:tab w:val="left" w:pos="720"/>
          <w:tab w:val="left" w:pos="1415"/>
        </w:tabs>
        <w:ind w:left="0"/>
        <w:contextualSpacing/>
        <w:jc w:val="both"/>
        <w:rPr>
          <w:i/>
          <w:lang w:val="en-US"/>
        </w:rPr>
      </w:pPr>
      <w:r w:rsidRPr="002E60EB">
        <w:rPr>
          <w:i/>
          <w:lang w:val="en-US"/>
        </w:rPr>
        <w:tab/>
      </w:r>
      <w:r w:rsidRPr="002E60EB">
        <w:rPr>
          <w:i/>
          <w:lang w:val="en-US"/>
        </w:rPr>
        <w:tab/>
      </w:r>
      <w:r w:rsidR="00920874" w:rsidRPr="002E60EB">
        <w:rPr>
          <w:i/>
          <w:lang w:val="en-US"/>
        </w:rPr>
        <w:tab/>
      </w:r>
      <w:r w:rsidR="00920874" w:rsidRPr="002E60EB">
        <w:rPr>
          <w:i/>
          <w:lang w:val="en-US"/>
        </w:rPr>
        <w:tab/>
        <w:t>D</w:t>
      </w:r>
      <w:r w:rsidRPr="002E60EB">
        <w:rPr>
          <w:i/>
          <w:lang w:val="en-US"/>
        </w:rPr>
        <w:t xml:space="preserve">.1.a) </w:t>
      </w:r>
      <w:r w:rsidR="002606C4" w:rsidRPr="002E60EB">
        <w:rPr>
          <w:i/>
          <w:lang w:val="en-US"/>
        </w:rPr>
        <w:t>Loss of earnings</w:t>
      </w:r>
    </w:p>
    <w:p w:rsidR="0004795A" w:rsidRPr="002E60EB" w:rsidRDefault="0004795A">
      <w:pPr>
        <w:pStyle w:val="Prrafodelista2"/>
        <w:tabs>
          <w:tab w:val="left" w:pos="720"/>
        </w:tabs>
        <w:ind w:left="0"/>
        <w:contextualSpacing/>
        <w:jc w:val="both"/>
        <w:rPr>
          <w:lang w:val="en-US"/>
        </w:rPr>
      </w:pPr>
    </w:p>
    <w:p w:rsidR="0004795A" w:rsidRPr="002E60EB" w:rsidRDefault="0004795A" w:rsidP="00DC21EF">
      <w:pPr>
        <w:numPr>
          <w:ilvl w:val="0"/>
          <w:numId w:val="19"/>
        </w:numPr>
        <w:tabs>
          <w:tab w:val="clear" w:pos="680"/>
        </w:tabs>
        <w:jc w:val="both"/>
        <w:rPr>
          <w:lang w:val="en-US"/>
        </w:rPr>
      </w:pPr>
      <w:r w:rsidRPr="002E60EB">
        <w:rPr>
          <w:lang w:val="en-US"/>
        </w:rPr>
        <w:t xml:space="preserve">The representative </w:t>
      </w:r>
      <w:r w:rsidR="00920874" w:rsidRPr="002E60EB">
        <w:rPr>
          <w:lang w:val="en-US"/>
        </w:rPr>
        <w:t>asked</w:t>
      </w:r>
      <w:r w:rsidRPr="002E60EB">
        <w:rPr>
          <w:lang w:val="en-US"/>
        </w:rPr>
        <w:t xml:space="preserve"> the Court </w:t>
      </w:r>
      <w:r w:rsidR="00920874" w:rsidRPr="002E60EB">
        <w:rPr>
          <w:lang w:val="en-US"/>
        </w:rPr>
        <w:t xml:space="preserve">to </w:t>
      </w:r>
      <w:r w:rsidRPr="002E60EB">
        <w:rPr>
          <w:lang w:val="en-US"/>
        </w:rPr>
        <w:t xml:space="preserve">order payment </w:t>
      </w:r>
      <w:r w:rsidR="00920874" w:rsidRPr="002E60EB">
        <w:rPr>
          <w:lang w:val="en-US"/>
        </w:rPr>
        <w:t xml:space="preserve">to </w:t>
      </w:r>
      <w:r w:rsidRPr="002E60EB">
        <w:rPr>
          <w:lang w:val="en-US"/>
        </w:rPr>
        <w:t>Mr. Vélez Restrepo</w:t>
      </w:r>
      <w:r w:rsidR="00920874" w:rsidRPr="002E60EB">
        <w:rPr>
          <w:lang w:val="en-US"/>
        </w:rPr>
        <w:t xml:space="preserve"> for loss of earnings,</w:t>
      </w:r>
      <w:r w:rsidRPr="002E60EB">
        <w:rPr>
          <w:lang w:val="en-US"/>
        </w:rPr>
        <w:t xml:space="preserve"> </w:t>
      </w:r>
      <w:r w:rsidR="00920874" w:rsidRPr="002E60EB">
        <w:rPr>
          <w:lang w:val="en-US"/>
        </w:rPr>
        <w:t>because</w:t>
      </w:r>
      <w:r w:rsidRPr="002E60EB">
        <w:rPr>
          <w:lang w:val="en-US"/>
        </w:rPr>
        <w:t xml:space="preserve"> </w:t>
      </w:r>
      <w:r w:rsidR="00087093" w:rsidRPr="002E60EB">
        <w:rPr>
          <w:lang w:val="en-US"/>
        </w:rPr>
        <w:t>“</w:t>
      </w:r>
      <w:r w:rsidRPr="002E60EB">
        <w:rPr>
          <w:lang w:val="en-US"/>
        </w:rPr>
        <w:t>as of October 6, 1997</w:t>
      </w:r>
      <w:r w:rsidR="00920874" w:rsidRPr="002E60EB">
        <w:rPr>
          <w:lang w:val="en-US"/>
        </w:rPr>
        <w:t>,</w:t>
      </w:r>
      <w:r w:rsidRPr="002E60EB">
        <w:rPr>
          <w:lang w:val="en-US"/>
        </w:rPr>
        <w:t xml:space="preserve"> […] he </w:t>
      </w:r>
      <w:r w:rsidR="00DC21EF" w:rsidRPr="002E60EB">
        <w:rPr>
          <w:lang w:val="en-US"/>
        </w:rPr>
        <w:t>abandoned</w:t>
      </w:r>
      <w:r w:rsidR="00920874" w:rsidRPr="002E60EB">
        <w:rPr>
          <w:lang w:val="en-US"/>
        </w:rPr>
        <w:t xml:space="preserve"> </w:t>
      </w:r>
      <w:r w:rsidRPr="002E60EB">
        <w:rPr>
          <w:lang w:val="en-US"/>
        </w:rPr>
        <w:t xml:space="preserve">his </w:t>
      </w:r>
      <w:r w:rsidR="00920874" w:rsidRPr="002E60EB">
        <w:rPr>
          <w:lang w:val="en-US"/>
        </w:rPr>
        <w:t xml:space="preserve">usual </w:t>
      </w:r>
      <w:r w:rsidRPr="002E60EB">
        <w:rPr>
          <w:lang w:val="en-US"/>
        </w:rPr>
        <w:t xml:space="preserve">professional </w:t>
      </w:r>
      <w:r w:rsidR="00920874" w:rsidRPr="002E60EB">
        <w:rPr>
          <w:lang w:val="en-US"/>
        </w:rPr>
        <w:t>work</w:t>
      </w:r>
      <w:r w:rsidRPr="002E60EB">
        <w:rPr>
          <w:lang w:val="en-US"/>
        </w:rPr>
        <w:t xml:space="preserve"> until 2004, </w:t>
      </w:r>
      <w:r w:rsidR="00920874" w:rsidRPr="002E60EB">
        <w:rPr>
          <w:lang w:val="en-US"/>
        </w:rPr>
        <w:t xml:space="preserve">the </w:t>
      </w:r>
      <w:r w:rsidRPr="002E60EB">
        <w:rPr>
          <w:lang w:val="en-US"/>
        </w:rPr>
        <w:t>date on which he obtained a one-year work contract</w:t>
      </w:r>
      <w:r w:rsidR="00087093" w:rsidRPr="002E60EB">
        <w:rPr>
          <w:lang w:val="en-US"/>
        </w:rPr>
        <w:t>”</w:t>
      </w:r>
      <w:r w:rsidRPr="002E60EB">
        <w:rPr>
          <w:lang w:val="en-US"/>
        </w:rPr>
        <w:t xml:space="preserve"> and</w:t>
      </w:r>
      <w:r w:rsidR="00920874" w:rsidRPr="002E60EB">
        <w:rPr>
          <w:lang w:val="en-US"/>
        </w:rPr>
        <w:t>,</w:t>
      </w:r>
      <w:r w:rsidRPr="002E60EB">
        <w:rPr>
          <w:lang w:val="en-US"/>
        </w:rPr>
        <w:t xml:space="preserve"> despite having had several jobs </w:t>
      </w:r>
      <w:r w:rsidR="00B40533" w:rsidRPr="002E60EB">
        <w:rPr>
          <w:lang w:val="en-US"/>
        </w:rPr>
        <w:t>for his own account</w:t>
      </w:r>
      <w:r w:rsidRPr="002E60EB">
        <w:rPr>
          <w:lang w:val="en-US"/>
        </w:rPr>
        <w:t xml:space="preserve">, </w:t>
      </w:r>
      <w:r w:rsidR="00087093" w:rsidRPr="002E60EB">
        <w:rPr>
          <w:lang w:val="en-US"/>
        </w:rPr>
        <w:t>“</w:t>
      </w:r>
      <w:r w:rsidRPr="002E60EB">
        <w:rPr>
          <w:lang w:val="en-US"/>
        </w:rPr>
        <w:t xml:space="preserve">he has </w:t>
      </w:r>
      <w:r w:rsidR="00B40533" w:rsidRPr="002E60EB">
        <w:rPr>
          <w:lang w:val="en-US"/>
        </w:rPr>
        <w:t>been un</w:t>
      </w:r>
      <w:r w:rsidRPr="002E60EB">
        <w:rPr>
          <w:lang w:val="en-US"/>
        </w:rPr>
        <w:t>able to [re</w:t>
      </w:r>
      <w:r w:rsidR="00B40533" w:rsidRPr="002E60EB">
        <w:rPr>
          <w:lang w:val="en-US"/>
        </w:rPr>
        <w:t>-</w:t>
      </w:r>
      <w:r w:rsidRPr="002E60EB">
        <w:rPr>
          <w:lang w:val="en-US"/>
        </w:rPr>
        <w:t>establish] a professional activity with a regular income that would allow him to support his family in s</w:t>
      </w:r>
      <w:r w:rsidR="00B40533" w:rsidRPr="002E60EB">
        <w:rPr>
          <w:lang w:val="en-US"/>
        </w:rPr>
        <w:t>imilar</w:t>
      </w:r>
      <w:r w:rsidRPr="002E60EB">
        <w:rPr>
          <w:lang w:val="en-US"/>
        </w:rPr>
        <w:t xml:space="preserve"> conditions […] </w:t>
      </w:r>
      <w:r w:rsidR="00B40533" w:rsidRPr="002E60EB">
        <w:rPr>
          <w:lang w:val="en-US"/>
        </w:rPr>
        <w:t xml:space="preserve">to those </w:t>
      </w:r>
      <w:r w:rsidRPr="002E60EB">
        <w:rPr>
          <w:lang w:val="en-US"/>
        </w:rPr>
        <w:t>they enjoyed in Colombia.</w:t>
      </w:r>
      <w:r w:rsidR="00087093" w:rsidRPr="002E60EB">
        <w:rPr>
          <w:lang w:val="en-US"/>
        </w:rPr>
        <w:t>”</w:t>
      </w:r>
      <w:r w:rsidRPr="002E60EB">
        <w:rPr>
          <w:b/>
          <w:lang w:val="en-US" w:eastAsia="es-ES"/>
        </w:rPr>
        <w:t xml:space="preserve"> </w:t>
      </w:r>
      <w:r w:rsidR="00B40533" w:rsidRPr="002E60EB">
        <w:rPr>
          <w:lang w:val="en-US" w:eastAsia="es-ES"/>
        </w:rPr>
        <w:t>In addition</w:t>
      </w:r>
      <w:r w:rsidRPr="002E60EB">
        <w:rPr>
          <w:lang w:val="en-US"/>
        </w:rPr>
        <w:t xml:space="preserve">, he </w:t>
      </w:r>
      <w:r w:rsidR="00B40533" w:rsidRPr="002E60EB">
        <w:rPr>
          <w:lang w:val="en-US"/>
        </w:rPr>
        <w:t xml:space="preserve">explained </w:t>
      </w:r>
      <w:r w:rsidRPr="002E60EB">
        <w:rPr>
          <w:lang w:val="en-US"/>
        </w:rPr>
        <w:t xml:space="preserve">that it </w:t>
      </w:r>
      <w:r w:rsidR="00B40533" w:rsidRPr="002E60EB">
        <w:rPr>
          <w:lang w:val="en-US"/>
        </w:rPr>
        <w:t>wa</w:t>
      </w:r>
      <w:r w:rsidRPr="002E60EB">
        <w:rPr>
          <w:lang w:val="en-US"/>
        </w:rPr>
        <w:t xml:space="preserve">s complicated to </w:t>
      </w:r>
      <w:r w:rsidR="00B40533" w:rsidRPr="002E60EB">
        <w:rPr>
          <w:lang w:val="en-US"/>
        </w:rPr>
        <w:t xml:space="preserve">calculate </w:t>
      </w:r>
      <w:r w:rsidRPr="002E60EB">
        <w:rPr>
          <w:lang w:val="en-US"/>
        </w:rPr>
        <w:t xml:space="preserve">the losses and </w:t>
      </w:r>
      <w:r w:rsidR="00B40533" w:rsidRPr="002E60EB">
        <w:rPr>
          <w:lang w:val="en-US"/>
        </w:rPr>
        <w:t xml:space="preserve">harm </w:t>
      </w:r>
      <w:r w:rsidRPr="002E60EB">
        <w:rPr>
          <w:lang w:val="en-US"/>
        </w:rPr>
        <w:t>to</w:t>
      </w:r>
      <w:r w:rsidR="00B40533" w:rsidRPr="002E60EB">
        <w:rPr>
          <w:lang w:val="en-US"/>
        </w:rPr>
        <w:t xml:space="preserve"> the earnings of</w:t>
      </w:r>
      <w:r w:rsidRPr="002E60EB">
        <w:rPr>
          <w:lang w:val="en-US"/>
        </w:rPr>
        <w:t xml:space="preserve"> Mr. Vélez, </w:t>
      </w:r>
      <w:r w:rsidR="00B40533" w:rsidRPr="002E60EB">
        <w:rPr>
          <w:lang w:val="en-US"/>
        </w:rPr>
        <w:t xml:space="preserve">owing </w:t>
      </w:r>
      <w:r w:rsidRPr="002E60EB">
        <w:rPr>
          <w:lang w:val="en-US"/>
        </w:rPr>
        <w:t>to the changes</w:t>
      </w:r>
      <w:r w:rsidR="00B40533" w:rsidRPr="002E60EB">
        <w:rPr>
          <w:lang w:val="en-US"/>
        </w:rPr>
        <w:t xml:space="preserve"> in his finances</w:t>
      </w:r>
      <w:r w:rsidRPr="002E60EB">
        <w:rPr>
          <w:lang w:val="en-US"/>
        </w:rPr>
        <w:t xml:space="preserve"> </w:t>
      </w:r>
      <w:r w:rsidR="00B40533" w:rsidRPr="002E60EB">
        <w:rPr>
          <w:lang w:val="en-US"/>
        </w:rPr>
        <w:t>as a result of</w:t>
      </w:r>
      <w:r w:rsidRPr="002E60EB">
        <w:rPr>
          <w:lang w:val="en-US"/>
        </w:rPr>
        <w:t xml:space="preserve"> </w:t>
      </w:r>
      <w:r w:rsidR="00B40533" w:rsidRPr="002E60EB">
        <w:rPr>
          <w:lang w:val="en-US"/>
        </w:rPr>
        <w:t>his</w:t>
      </w:r>
      <w:r w:rsidRPr="002E60EB">
        <w:rPr>
          <w:lang w:val="en-US"/>
        </w:rPr>
        <w:t xml:space="preserve"> exile and the different socio</w:t>
      </w:r>
      <w:r w:rsidR="00B40533" w:rsidRPr="002E60EB">
        <w:rPr>
          <w:lang w:val="en-US"/>
        </w:rPr>
        <w:t>-</w:t>
      </w:r>
      <w:r w:rsidRPr="002E60EB">
        <w:rPr>
          <w:lang w:val="en-US"/>
        </w:rPr>
        <w:t xml:space="preserve">economic conditions between his life as a professional in Colombia prior to the facts and his situation in the United States as of 1997, </w:t>
      </w:r>
      <w:r w:rsidR="00B40533" w:rsidRPr="002E60EB">
        <w:rPr>
          <w:lang w:val="en-US"/>
        </w:rPr>
        <w:t>“</w:t>
      </w:r>
      <w:r w:rsidRPr="002E60EB">
        <w:rPr>
          <w:lang w:val="en-US"/>
        </w:rPr>
        <w:t xml:space="preserve">where he has not enjoyed work stability, </w:t>
      </w:r>
      <w:r w:rsidR="00B40533" w:rsidRPr="002E60EB">
        <w:rPr>
          <w:lang w:val="en-US"/>
        </w:rPr>
        <w:t xml:space="preserve">so that the loss of earnings has persisted over </w:t>
      </w:r>
      <w:r w:rsidRPr="002E60EB">
        <w:rPr>
          <w:lang w:val="en-US"/>
        </w:rPr>
        <w:t>time.</w:t>
      </w:r>
      <w:r w:rsidR="00087093" w:rsidRPr="002E60EB">
        <w:rPr>
          <w:lang w:val="en-US"/>
        </w:rPr>
        <w:t>”</w:t>
      </w:r>
      <w:r w:rsidRPr="002E60EB">
        <w:rPr>
          <w:lang w:val="en-US"/>
        </w:rPr>
        <w:t xml:space="preserve"> </w:t>
      </w:r>
      <w:r w:rsidR="00B40533" w:rsidRPr="002E60EB">
        <w:rPr>
          <w:lang w:val="en-US" w:eastAsia="es-ES"/>
        </w:rPr>
        <w:t>In order to determine this, he</w:t>
      </w:r>
      <w:r w:rsidRPr="002E60EB">
        <w:rPr>
          <w:lang w:val="en-US" w:eastAsia="es-ES"/>
        </w:rPr>
        <w:t xml:space="preserve"> forwarded </w:t>
      </w:r>
      <w:r w:rsidR="00B40533" w:rsidRPr="002E60EB">
        <w:rPr>
          <w:lang w:val="en-US" w:eastAsia="es-ES"/>
        </w:rPr>
        <w:t xml:space="preserve">a calculation </w:t>
      </w:r>
      <w:r w:rsidRPr="002E60EB">
        <w:rPr>
          <w:lang w:val="en-US" w:eastAsia="es-ES"/>
        </w:rPr>
        <w:t xml:space="preserve">with </w:t>
      </w:r>
      <w:r w:rsidR="00B40533" w:rsidRPr="002E60EB">
        <w:rPr>
          <w:lang w:val="en-US" w:eastAsia="es-ES"/>
        </w:rPr>
        <w:t>an</w:t>
      </w:r>
      <w:r w:rsidRPr="002E60EB">
        <w:rPr>
          <w:lang w:val="en-US" w:eastAsia="es-ES"/>
        </w:rPr>
        <w:t xml:space="preserve"> estimate of the </w:t>
      </w:r>
      <w:r w:rsidR="00B40533" w:rsidRPr="002E60EB">
        <w:rPr>
          <w:lang w:val="en-US" w:eastAsia="es-ES"/>
        </w:rPr>
        <w:t xml:space="preserve">earnings </w:t>
      </w:r>
      <w:r w:rsidRPr="002E60EB">
        <w:rPr>
          <w:lang w:val="en-US" w:eastAsia="es-ES"/>
        </w:rPr>
        <w:t xml:space="preserve">Mr. Vélez </w:t>
      </w:r>
      <w:r w:rsidR="00B40533" w:rsidRPr="002E60EB">
        <w:rPr>
          <w:lang w:val="en-US" w:eastAsia="es-ES"/>
        </w:rPr>
        <w:t>failed to</w:t>
      </w:r>
      <w:r w:rsidRPr="002E60EB">
        <w:rPr>
          <w:lang w:val="en-US" w:eastAsia="es-ES"/>
        </w:rPr>
        <w:t xml:space="preserve"> perceive, but also </w:t>
      </w:r>
      <w:r w:rsidR="00B40533" w:rsidRPr="002E60EB">
        <w:rPr>
          <w:lang w:val="en-US" w:eastAsia="es-ES"/>
        </w:rPr>
        <w:t>asked</w:t>
      </w:r>
      <w:r w:rsidRPr="002E60EB">
        <w:rPr>
          <w:lang w:val="en-US" w:eastAsia="es-ES"/>
        </w:rPr>
        <w:t xml:space="preserve"> the Court</w:t>
      </w:r>
      <w:r w:rsidR="00B40533" w:rsidRPr="002E60EB">
        <w:rPr>
          <w:lang w:val="en-US" w:eastAsia="es-ES"/>
        </w:rPr>
        <w:t xml:space="preserve"> to</w:t>
      </w:r>
      <w:r w:rsidRPr="002E60EB">
        <w:rPr>
          <w:lang w:val="en-US" w:eastAsia="es-ES"/>
        </w:rPr>
        <w:t xml:space="preserve"> </w:t>
      </w:r>
      <w:r w:rsidR="00087093" w:rsidRPr="002E60EB">
        <w:rPr>
          <w:lang w:val="en-US" w:eastAsia="es-ES"/>
        </w:rPr>
        <w:t>“</w:t>
      </w:r>
      <w:r w:rsidR="00B40533" w:rsidRPr="002E60EB">
        <w:rPr>
          <w:lang w:val="en-US" w:eastAsia="es-ES"/>
        </w:rPr>
        <w:t xml:space="preserve">establish </w:t>
      </w:r>
      <w:r w:rsidRPr="002E60EB">
        <w:rPr>
          <w:lang w:val="en-US" w:eastAsia="es-ES"/>
        </w:rPr>
        <w:t>in equity</w:t>
      </w:r>
      <w:r w:rsidR="00087093" w:rsidRPr="002E60EB">
        <w:rPr>
          <w:lang w:val="en-US" w:eastAsia="es-ES"/>
        </w:rPr>
        <w:t>”</w:t>
      </w:r>
      <w:r w:rsidRPr="002E60EB">
        <w:rPr>
          <w:lang w:val="en-US" w:eastAsia="es-ES"/>
        </w:rPr>
        <w:t xml:space="preserve"> the compensation corresponding to </w:t>
      </w:r>
      <w:r w:rsidR="00B40533" w:rsidRPr="002E60EB">
        <w:rPr>
          <w:lang w:val="en-US" w:eastAsia="es-ES"/>
        </w:rPr>
        <w:t xml:space="preserve">the loss of earnings of </w:t>
      </w:r>
      <w:r w:rsidRPr="002E60EB">
        <w:rPr>
          <w:lang w:val="en-US" w:eastAsia="es-ES"/>
        </w:rPr>
        <w:t>Mr. Vélez</w:t>
      </w:r>
      <w:r w:rsidR="00B40533" w:rsidRPr="002E60EB">
        <w:rPr>
          <w:lang w:val="en-US" w:eastAsia="es-ES"/>
        </w:rPr>
        <w:t>,</w:t>
      </w:r>
      <w:r w:rsidRPr="002E60EB">
        <w:rPr>
          <w:lang w:val="en-US" w:eastAsia="es-ES"/>
        </w:rPr>
        <w:t xml:space="preserve"> </w:t>
      </w:r>
      <w:r w:rsidR="00087093" w:rsidRPr="002E60EB">
        <w:rPr>
          <w:lang w:val="en-US" w:eastAsia="es-ES"/>
        </w:rPr>
        <w:t>“</w:t>
      </w:r>
      <w:r w:rsidRPr="002E60EB">
        <w:rPr>
          <w:lang w:val="en-US" w:eastAsia="es-ES"/>
        </w:rPr>
        <w:t xml:space="preserve">without </w:t>
      </w:r>
      <w:r w:rsidR="00B40533" w:rsidRPr="002E60EB">
        <w:rPr>
          <w:lang w:val="en-US" w:eastAsia="es-ES"/>
        </w:rPr>
        <w:t>this</w:t>
      </w:r>
      <w:r w:rsidRPr="002E60EB">
        <w:rPr>
          <w:lang w:val="en-US" w:eastAsia="es-ES"/>
        </w:rPr>
        <w:t xml:space="preserve"> being less than </w:t>
      </w:r>
      <w:r w:rsidRPr="002E60EB">
        <w:rPr>
          <w:lang w:val="en-US"/>
        </w:rPr>
        <w:t xml:space="preserve">US$175,000.00, </w:t>
      </w:r>
      <w:r w:rsidR="00B40533" w:rsidRPr="002E60EB">
        <w:rPr>
          <w:lang w:val="en-US"/>
        </w:rPr>
        <w:t xml:space="preserve">an </w:t>
      </w:r>
      <w:r w:rsidRPr="002E60EB">
        <w:rPr>
          <w:lang w:val="en-US"/>
        </w:rPr>
        <w:t xml:space="preserve">amount that represents approximately half what he would have earned as a professional cameraman in Colombia </w:t>
      </w:r>
      <w:r w:rsidR="00B40533" w:rsidRPr="002E60EB">
        <w:rPr>
          <w:lang w:val="en-US"/>
        </w:rPr>
        <w:t xml:space="preserve">from </w:t>
      </w:r>
      <w:r w:rsidRPr="002E60EB">
        <w:rPr>
          <w:lang w:val="en-US"/>
        </w:rPr>
        <w:t xml:space="preserve">October 1997 </w:t>
      </w:r>
      <w:r w:rsidR="00B40533" w:rsidRPr="002E60EB">
        <w:rPr>
          <w:lang w:val="en-US"/>
        </w:rPr>
        <w:t xml:space="preserve">to </w:t>
      </w:r>
      <w:r w:rsidRPr="002E60EB">
        <w:rPr>
          <w:lang w:val="en-US"/>
        </w:rPr>
        <w:t>April 2011.</w:t>
      </w:r>
      <w:r w:rsidR="00087093" w:rsidRPr="002E60EB">
        <w:rPr>
          <w:lang w:val="en-US"/>
        </w:rPr>
        <w:t>”</w:t>
      </w:r>
      <w:r w:rsidRPr="002E60EB">
        <w:rPr>
          <w:rStyle w:val="Refdenotaalpie"/>
          <w:lang w:val="en-US"/>
        </w:rPr>
        <w:footnoteReference w:id="268"/>
      </w:r>
      <w:r w:rsidRPr="002E60EB">
        <w:rPr>
          <w:color w:val="00B050"/>
          <w:lang w:val="en-US"/>
        </w:rPr>
        <w:t xml:space="preserve"> </w:t>
      </w:r>
    </w:p>
    <w:p w:rsidR="0004795A" w:rsidRPr="002E60EB" w:rsidRDefault="0004795A" w:rsidP="00260DED">
      <w:pPr>
        <w:pStyle w:val="Prrafodelista2"/>
        <w:tabs>
          <w:tab w:val="left" w:pos="720"/>
        </w:tabs>
        <w:ind w:left="0"/>
        <w:contextualSpacing/>
        <w:jc w:val="both"/>
        <w:rPr>
          <w:lang w:val="en-US"/>
        </w:rPr>
      </w:pPr>
    </w:p>
    <w:p w:rsidR="0004795A" w:rsidRPr="002E60EB" w:rsidRDefault="00186786" w:rsidP="00317748">
      <w:pPr>
        <w:numPr>
          <w:ilvl w:val="0"/>
          <w:numId w:val="19"/>
        </w:numPr>
        <w:jc w:val="both"/>
        <w:rPr>
          <w:lang w:val="en-US"/>
        </w:rPr>
      </w:pPr>
      <w:r w:rsidRPr="002E60EB">
        <w:rPr>
          <w:lang w:val="en-US"/>
        </w:rPr>
        <w:t>For</w:t>
      </w:r>
      <w:r w:rsidR="0004795A" w:rsidRPr="002E60EB">
        <w:rPr>
          <w:lang w:val="en-US"/>
        </w:rPr>
        <w:t xml:space="preserve"> its part, the State </w:t>
      </w:r>
      <w:r w:rsidRPr="002E60EB">
        <w:rPr>
          <w:lang w:val="en-US"/>
        </w:rPr>
        <w:t xml:space="preserve">indicated </w:t>
      </w:r>
      <w:r w:rsidR="0004795A" w:rsidRPr="002E60EB">
        <w:rPr>
          <w:lang w:val="en-US"/>
        </w:rPr>
        <w:t xml:space="preserve">that there is a </w:t>
      </w:r>
      <w:r w:rsidR="00087093" w:rsidRPr="002E60EB">
        <w:rPr>
          <w:lang w:val="en-US"/>
        </w:rPr>
        <w:t>“</w:t>
      </w:r>
      <w:r w:rsidR="0004795A" w:rsidRPr="002E60EB">
        <w:rPr>
          <w:lang w:val="en-US"/>
        </w:rPr>
        <w:t xml:space="preserve">complete absence </w:t>
      </w:r>
      <w:r w:rsidRPr="002E60EB">
        <w:rPr>
          <w:lang w:val="en-US"/>
        </w:rPr>
        <w:t xml:space="preserve">of evidence that </w:t>
      </w:r>
      <w:r w:rsidR="0004795A" w:rsidRPr="002E60EB">
        <w:rPr>
          <w:lang w:val="en-US"/>
        </w:rPr>
        <w:t>would prove the degree of damage caused to Mr. Vélez.</w:t>
      </w:r>
      <w:r w:rsidR="00087093" w:rsidRPr="002E60EB">
        <w:rPr>
          <w:lang w:val="en-US"/>
        </w:rPr>
        <w:t>”</w:t>
      </w:r>
      <w:r w:rsidR="0004795A" w:rsidRPr="002E60EB">
        <w:rPr>
          <w:lang w:val="en-US"/>
        </w:rPr>
        <w:t xml:space="preserve"> It added that the amount </w:t>
      </w:r>
      <w:r w:rsidR="00DC21EF" w:rsidRPr="002E60EB">
        <w:rPr>
          <w:lang w:val="en-US"/>
        </w:rPr>
        <w:t>for</w:t>
      </w:r>
      <w:r w:rsidR="0004795A" w:rsidRPr="002E60EB">
        <w:rPr>
          <w:lang w:val="en-US"/>
        </w:rPr>
        <w:t xml:space="preserve"> los</w:t>
      </w:r>
      <w:r w:rsidRPr="002E60EB">
        <w:rPr>
          <w:lang w:val="en-US"/>
        </w:rPr>
        <w:t>s of</w:t>
      </w:r>
      <w:r w:rsidR="0004795A" w:rsidRPr="002E60EB">
        <w:rPr>
          <w:lang w:val="en-US"/>
        </w:rPr>
        <w:t xml:space="preserve"> </w:t>
      </w:r>
      <w:r w:rsidRPr="002E60EB">
        <w:rPr>
          <w:lang w:val="en-US"/>
        </w:rPr>
        <w:t xml:space="preserve">earnings </w:t>
      </w:r>
      <w:r w:rsidR="00087093" w:rsidRPr="002E60EB">
        <w:rPr>
          <w:lang w:val="en-US"/>
        </w:rPr>
        <w:t>“</w:t>
      </w:r>
      <w:r w:rsidR="00DC21EF" w:rsidRPr="002E60EB">
        <w:rPr>
          <w:lang w:val="en-US"/>
        </w:rPr>
        <w:t>has no</w:t>
      </w:r>
      <w:r w:rsidRPr="002E60EB">
        <w:rPr>
          <w:lang w:val="en-US"/>
        </w:rPr>
        <w:t xml:space="preserve"> basis</w:t>
      </w:r>
      <w:r w:rsidR="00087093" w:rsidRPr="002E60EB">
        <w:rPr>
          <w:lang w:val="en-US"/>
        </w:rPr>
        <w:t>”</w:t>
      </w:r>
      <w:r w:rsidR="0004795A" w:rsidRPr="002E60EB">
        <w:rPr>
          <w:lang w:val="en-US"/>
        </w:rPr>
        <w:t xml:space="preserve"> and </w:t>
      </w:r>
      <w:r w:rsidR="00087093" w:rsidRPr="002E60EB">
        <w:rPr>
          <w:lang w:val="en-US"/>
        </w:rPr>
        <w:t>“</w:t>
      </w:r>
      <w:r w:rsidR="00DC21EF" w:rsidRPr="002E60EB">
        <w:rPr>
          <w:lang w:val="en-US"/>
        </w:rPr>
        <w:t>is excessive</w:t>
      </w:r>
      <w:r w:rsidR="00087093" w:rsidRPr="002E60EB">
        <w:rPr>
          <w:lang w:val="en-US"/>
        </w:rPr>
        <w:t>”</w:t>
      </w:r>
      <w:r w:rsidR="0004795A" w:rsidRPr="002E60EB">
        <w:rPr>
          <w:lang w:val="en-US"/>
        </w:rPr>
        <w:t xml:space="preserve"> considering that </w:t>
      </w:r>
      <w:r w:rsidR="00087093" w:rsidRPr="002E60EB">
        <w:rPr>
          <w:lang w:val="en-US"/>
        </w:rPr>
        <w:t>“</w:t>
      </w:r>
      <w:r w:rsidR="0004795A" w:rsidRPr="002E60EB">
        <w:rPr>
          <w:lang w:val="en-US"/>
        </w:rPr>
        <w:t xml:space="preserve">there is no causal nexus between the </w:t>
      </w:r>
      <w:r w:rsidRPr="002E60EB">
        <w:rPr>
          <w:lang w:val="en-US"/>
        </w:rPr>
        <w:t xml:space="preserve">events </w:t>
      </w:r>
      <w:r w:rsidR="0004795A" w:rsidRPr="002E60EB">
        <w:rPr>
          <w:lang w:val="en-US"/>
        </w:rPr>
        <w:t>of August 29, 1996</w:t>
      </w:r>
      <w:r w:rsidRPr="002E60EB">
        <w:rPr>
          <w:lang w:val="en-US"/>
        </w:rPr>
        <w:t>,</w:t>
      </w:r>
      <w:r w:rsidR="0004795A" w:rsidRPr="002E60EB">
        <w:rPr>
          <w:lang w:val="en-US"/>
        </w:rPr>
        <w:t xml:space="preserve"> and the subsequent exile.</w:t>
      </w:r>
      <w:r w:rsidR="00087093" w:rsidRPr="002E60EB">
        <w:rPr>
          <w:lang w:val="en-US"/>
        </w:rPr>
        <w:t>”</w:t>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rsidP="00317748">
      <w:pPr>
        <w:numPr>
          <w:ilvl w:val="0"/>
          <w:numId w:val="19"/>
        </w:numPr>
        <w:jc w:val="both"/>
        <w:rPr>
          <w:lang w:val="en-US"/>
        </w:rPr>
      </w:pPr>
      <w:r w:rsidRPr="002E60EB">
        <w:rPr>
          <w:rFonts w:cs="Verdana"/>
          <w:lang w:val="en-US"/>
        </w:rPr>
        <w:t xml:space="preserve">The Court recalls that it declared that the State is responsible for Mr. Vélez Restrepo </w:t>
      </w:r>
      <w:r w:rsidR="00186786" w:rsidRPr="002E60EB">
        <w:rPr>
          <w:rFonts w:cs="Verdana"/>
          <w:lang w:val="en-US"/>
        </w:rPr>
        <w:t xml:space="preserve">and his family </w:t>
      </w:r>
      <w:r w:rsidRPr="002E60EB">
        <w:rPr>
          <w:rFonts w:cs="Verdana"/>
          <w:lang w:val="en-US"/>
        </w:rPr>
        <w:t>having to leave Colombia in 1997 and 1998</w:t>
      </w:r>
      <w:r w:rsidR="00186786" w:rsidRPr="002E60EB">
        <w:rPr>
          <w:rFonts w:cs="Verdana"/>
          <w:lang w:val="en-US"/>
        </w:rPr>
        <w:t xml:space="preserve">, </w:t>
      </w:r>
      <w:r w:rsidRPr="002E60EB">
        <w:rPr>
          <w:rFonts w:cs="Verdana"/>
          <w:lang w:val="en-US"/>
        </w:rPr>
        <w:t xml:space="preserve">and </w:t>
      </w:r>
      <w:r w:rsidR="00DC21EF" w:rsidRPr="002E60EB">
        <w:rPr>
          <w:rFonts w:cs="Verdana"/>
          <w:lang w:val="en-US"/>
        </w:rPr>
        <w:t>recognizes</w:t>
      </w:r>
      <w:r w:rsidRPr="002E60EB">
        <w:rPr>
          <w:rFonts w:cs="Verdana"/>
          <w:lang w:val="en-US"/>
        </w:rPr>
        <w:t xml:space="preserve"> that </w:t>
      </w:r>
      <w:r w:rsidR="00186786" w:rsidRPr="002E60EB">
        <w:rPr>
          <w:rFonts w:cs="Verdana"/>
          <w:lang w:val="en-US"/>
        </w:rPr>
        <w:t>this harmed</w:t>
      </w:r>
      <w:r w:rsidRPr="002E60EB">
        <w:rPr>
          <w:rFonts w:cs="Verdana"/>
          <w:lang w:val="en-US"/>
        </w:rPr>
        <w:t xml:space="preserve"> his possibility </w:t>
      </w:r>
      <w:r w:rsidR="00186786" w:rsidRPr="002E60EB">
        <w:rPr>
          <w:rFonts w:cs="Verdana"/>
          <w:lang w:val="en-US"/>
        </w:rPr>
        <w:t>of</w:t>
      </w:r>
      <w:r w:rsidRPr="002E60EB">
        <w:rPr>
          <w:rFonts w:cs="Verdana"/>
          <w:lang w:val="en-US"/>
        </w:rPr>
        <w:t xml:space="preserve"> </w:t>
      </w:r>
      <w:r w:rsidR="00186786" w:rsidRPr="002E60EB">
        <w:rPr>
          <w:rFonts w:cs="Verdana"/>
          <w:lang w:val="en-US"/>
        </w:rPr>
        <w:t>exercising his work as a</w:t>
      </w:r>
      <w:r w:rsidRPr="002E60EB">
        <w:rPr>
          <w:rFonts w:cs="Verdana"/>
          <w:lang w:val="en-US"/>
        </w:rPr>
        <w:t xml:space="preserve"> journalist</w:t>
      </w:r>
      <w:r w:rsidR="00186786" w:rsidRPr="002E60EB">
        <w:rPr>
          <w:rFonts w:cs="Verdana"/>
          <w:lang w:val="en-US"/>
        </w:rPr>
        <w:t xml:space="preserve"> in the way that he did in </w:t>
      </w:r>
      <w:r w:rsidRPr="002E60EB">
        <w:rPr>
          <w:rFonts w:cs="Verdana"/>
          <w:lang w:val="en-US"/>
        </w:rPr>
        <w:t xml:space="preserve">Colombia as a cameraman for a national news </w:t>
      </w:r>
      <w:r w:rsidR="00186786" w:rsidRPr="002E60EB">
        <w:rPr>
          <w:rFonts w:cs="Verdana"/>
          <w:lang w:val="en-US"/>
        </w:rPr>
        <w:t>program</w:t>
      </w:r>
      <w:r w:rsidRPr="002E60EB">
        <w:rPr>
          <w:rFonts w:cs="Verdana"/>
          <w:lang w:val="en-US"/>
        </w:rPr>
        <w:t xml:space="preserve">, </w:t>
      </w:r>
      <w:r w:rsidR="00186786" w:rsidRPr="002E60EB">
        <w:rPr>
          <w:rFonts w:cs="Verdana"/>
          <w:lang w:val="en-US"/>
        </w:rPr>
        <w:t>particularly since</w:t>
      </w:r>
      <w:r w:rsidRPr="002E60EB">
        <w:rPr>
          <w:rFonts w:cs="Verdana"/>
          <w:lang w:val="en-US"/>
        </w:rPr>
        <w:t xml:space="preserve"> the family obtained political asylum in a country where the official language is not Mr. Vélez Restrepo’s </w:t>
      </w:r>
      <w:r w:rsidR="00186786" w:rsidRPr="002E60EB">
        <w:rPr>
          <w:rFonts w:cs="Verdana"/>
          <w:lang w:val="en-US"/>
        </w:rPr>
        <w:t>mother tongue</w:t>
      </w:r>
      <w:r w:rsidRPr="002E60EB">
        <w:rPr>
          <w:rFonts w:cs="Verdana"/>
          <w:lang w:val="en-US"/>
        </w:rPr>
        <w:t xml:space="preserve">. </w:t>
      </w:r>
      <w:r w:rsidR="00186786" w:rsidRPr="002E60EB">
        <w:rPr>
          <w:rFonts w:cs="Verdana"/>
          <w:lang w:val="en-US"/>
        </w:rPr>
        <w:t xml:space="preserve">Consequently, </w:t>
      </w:r>
      <w:r w:rsidRPr="002E60EB">
        <w:rPr>
          <w:rFonts w:cs="Verdana"/>
          <w:lang w:val="en-US"/>
        </w:rPr>
        <w:t>and taking into account that the representative did not provide evidence</w:t>
      </w:r>
      <w:r w:rsidR="0054768C" w:rsidRPr="002E60EB">
        <w:rPr>
          <w:rFonts w:cs="Verdana"/>
          <w:lang w:val="en-US"/>
        </w:rPr>
        <w:t xml:space="preserve"> that would allow the </w:t>
      </w:r>
      <w:r w:rsidR="00334C3C" w:rsidRPr="002E60EB">
        <w:rPr>
          <w:rFonts w:cs="Verdana"/>
          <w:lang w:val="en-US"/>
        </w:rPr>
        <w:t>Court</w:t>
      </w:r>
      <w:r w:rsidRPr="002E60EB">
        <w:rPr>
          <w:rFonts w:cs="Verdana"/>
          <w:lang w:val="en-US"/>
        </w:rPr>
        <w:t xml:space="preserve"> to verify the amount </w:t>
      </w:r>
      <w:r w:rsidR="0054768C" w:rsidRPr="002E60EB">
        <w:rPr>
          <w:rFonts w:cs="Verdana"/>
          <w:lang w:val="en-US"/>
        </w:rPr>
        <w:t xml:space="preserve">indicated </w:t>
      </w:r>
      <w:r w:rsidRPr="002E60EB">
        <w:rPr>
          <w:rFonts w:cs="Verdana"/>
          <w:lang w:val="en-US"/>
        </w:rPr>
        <w:t xml:space="preserve">as corresponding to </w:t>
      </w:r>
      <w:r w:rsidR="0054768C" w:rsidRPr="002E60EB">
        <w:rPr>
          <w:rFonts w:cs="Verdana"/>
          <w:lang w:val="en-US"/>
        </w:rPr>
        <w:t>the monthly earnings of Mr. Vélez Restrepo</w:t>
      </w:r>
      <w:r w:rsidRPr="002E60EB">
        <w:rPr>
          <w:rFonts w:cs="Verdana"/>
          <w:lang w:val="en-US"/>
        </w:rPr>
        <w:t xml:space="preserve"> in 1997, the Court determines</w:t>
      </w:r>
      <w:r w:rsidR="0054768C" w:rsidRPr="002E60EB">
        <w:rPr>
          <w:rFonts w:cs="Verdana"/>
          <w:lang w:val="en-US"/>
        </w:rPr>
        <w:t xml:space="preserve">, for </w:t>
      </w:r>
      <w:r w:rsidRPr="002E60EB">
        <w:rPr>
          <w:rFonts w:cs="Verdana"/>
          <w:lang w:val="en-US"/>
        </w:rPr>
        <w:t xml:space="preserve">reasons of equity, to </w:t>
      </w:r>
      <w:r w:rsidR="0054768C" w:rsidRPr="002E60EB">
        <w:rPr>
          <w:rFonts w:cs="Verdana"/>
          <w:lang w:val="en-US"/>
        </w:rPr>
        <w:t>establish</w:t>
      </w:r>
      <w:r w:rsidRPr="002E60EB">
        <w:rPr>
          <w:rFonts w:cs="Verdana"/>
          <w:lang w:val="en-US"/>
        </w:rPr>
        <w:t xml:space="preserve"> the </w:t>
      </w:r>
      <w:r w:rsidR="0054768C" w:rsidRPr="002E60EB">
        <w:rPr>
          <w:rFonts w:cs="Verdana"/>
          <w:lang w:val="en-US"/>
        </w:rPr>
        <w:t xml:space="preserve">sum </w:t>
      </w:r>
      <w:r w:rsidRPr="002E60EB">
        <w:rPr>
          <w:rFonts w:cs="Verdana"/>
          <w:lang w:val="en-US"/>
        </w:rPr>
        <w:t>of US$</w:t>
      </w:r>
      <w:r w:rsidR="0054768C" w:rsidRPr="002E60EB">
        <w:rPr>
          <w:rFonts w:cs="Verdana"/>
          <w:lang w:val="en-US"/>
        </w:rPr>
        <w:t>50,000.00</w:t>
      </w:r>
      <w:r w:rsidRPr="002E60EB">
        <w:rPr>
          <w:rFonts w:cs="Verdana"/>
          <w:lang w:val="en-US"/>
        </w:rPr>
        <w:t xml:space="preserve"> (</w:t>
      </w:r>
      <w:r w:rsidR="0054768C" w:rsidRPr="002E60EB">
        <w:rPr>
          <w:rFonts w:cs="Verdana"/>
          <w:lang w:val="en-US"/>
        </w:rPr>
        <w:t xml:space="preserve">fifty thousand </w:t>
      </w:r>
      <w:r w:rsidRPr="002E60EB">
        <w:rPr>
          <w:rFonts w:cs="Verdana"/>
          <w:lang w:val="en-US"/>
        </w:rPr>
        <w:t xml:space="preserve">United States </w:t>
      </w:r>
      <w:r w:rsidR="002606C4" w:rsidRPr="002E60EB">
        <w:rPr>
          <w:rFonts w:cs="Verdana"/>
          <w:lang w:val="en-US"/>
        </w:rPr>
        <w:t>dollars</w:t>
      </w:r>
      <w:r w:rsidRPr="002E60EB">
        <w:rPr>
          <w:rFonts w:cs="Arial"/>
          <w:lang w:val="en-US"/>
        </w:rPr>
        <w:t>)</w:t>
      </w:r>
      <w:r w:rsidRPr="002E60EB">
        <w:rPr>
          <w:rFonts w:cs="Verdana"/>
          <w:lang w:val="en-US" w:eastAsia="es-ES"/>
        </w:rPr>
        <w:t xml:space="preserve"> </w:t>
      </w:r>
      <w:r w:rsidR="0054768C" w:rsidRPr="002E60EB">
        <w:rPr>
          <w:rFonts w:cs="Verdana"/>
          <w:lang w:val="en-US" w:eastAsia="es-ES"/>
        </w:rPr>
        <w:t>for</w:t>
      </w:r>
      <w:r w:rsidRPr="002E60EB">
        <w:rPr>
          <w:rFonts w:cs="Verdana"/>
          <w:lang w:val="en-US" w:eastAsia="es-ES"/>
        </w:rPr>
        <w:t xml:space="preserve"> </w:t>
      </w:r>
      <w:r w:rsidR="0054768C" w:rsidRPr="002E60EB">
        <w:rPr>
          <w:rFonts w:cs="Verdana"/>
          <w:lang w:val="en-US" w:eastAsia="es-ES"/>
        </w:rPr>
        <w:t xml:space="preserve">Mr. </w:t>
      </w:r>
      <w:r w:rsidR="0054768C" w:rsidRPr="002E60EB">
        <w:rPr>
          <w:rFonts w:cs="Verdana"/>
          <w:lang w:val="en-US"/>
        </w:rPr>
        <w:t>Vélez Restrepo</w:t>
      </w:r>
      <w:r w:rsidR="0054768C" w:rsidRPr="002E60EB">
        <w:rPr>
          <w:rFonts w:cs="Verdana"/>
          <w:lang w:val="en-US" w:eastAsia="es-ES"/>
        </w:rPr>
        <w:t xml:space="preserve">’s loss of earning. This sum </w:t>
      </w:r>
      <w:r w:rsidRPr="002E60EB">
        <w:rPr>
          <w:rFonts w:cs="Verdana"/>
          <w:lang w:val="en-US"/>
        </w:rPr>
        <w:t xml:space="preserve">must be paid within </w:t>
      </w:r>
      <w:r w:rsidR="0054768C" w:rsidRPr="002E60EB">
        <w:rPr>
          <w:rFonts w:cs="Verdana"/>
          <w:lang w:val="en-US"/>
        </w:rPr>
        <w:t>one year of notification</w:t>
      </w:r>
      <w:r w:rsidRPr="002E60EB">
        <w:rPr>
          <w:rFonts w:cs="Verdana"/>
          <w:lang w:val="en-US"/>
        </w:rPr>
        <w:t xml:space="preserve"> of this Judgment. </w:t>
      </w:r>
    </w:p>
    <w:p w:rsidR="0004795A" w:rsidRPr="002E60EB" w:rsidRDefault="0004795A" w:rsidP="002711CF">
      <w:pPr>
        <w:pStyle w:val="Prrafodelista2"/>
        <w:tabs>
          <w:tab w:val="left" w:pos="720"/>
        </w:tabs>
        <w:ind w:left="0"/>
        <w:contextualSpacing/>
        <w:jc w:val="both"/>
        <w:rPr>
          <w:lang w:val="en-US"/>
        </w:rPr>
      </w:pPr>
    </w:p>
    <w:p w:rsidR="0004795A" w:rsidRPr="002E60EB" w:rsidRDefault="0054768C" w:rsidP="00317748">
      <w:pPr>
        <w:pStyle w:val="ListParagraph1"/>
        <w:spacing w:after="0"/>
        <w:ind w:left="0" w:firstLine="900"/>
        <w:rPr>
          <w:rFonts w:ascii="Verdana" w:hAnsi="Verdana"/>
          <w:sz w:val="20"/>
          <w:szCs w:val="20"/>
        </w:rPr>
      </w:pPr>
      <w:r w:rsidRPr="002E60EB">
        <w:rPr>
          <w:rFonts w:ascii="Verdana" w:hAnsi="Verdana"/>
          <w:sz w:val="20"/>
          <w:szCs w:val="20"/>
        </w:rPr>
        <w:t>D</w:t>
      </w:r>
      <w:r w:rsidR="0004795A" w:rsidRPr="002E60EB">
        <w:rPr>
          <w:rFonts w:ascii="Verdana" w:hAnsi="Verdana"/>
          <w:sz w:val="20"/>
          <w:szCs w:val="20"/>
        </w:rPr>
        <w:t xml:space="preserve">.1.b) </w:t>
      </w:r>
      <w:r w:rsidR="0004795A" w:rsidRPr="002E60EB">
        <w:rPr>
          <w:rFonts w:ascii="Verdana" w:hAnsi="Verdana"/>
          <w:i/>
          <w:sz w:val="20"/>
          <w:szCs w:val="20"/>
        </w:rPr>
        <w:t>Consequential damages</w:t>
      </w:r>
      <w:r w:rsidR="0004795A" w:rsidRPr="002E60EB">
        <w:rPr>
          <w:rFonts w:ascii="Verdana" w:hAnsi="Verdana"/>
          <w:sz w:val="20"/>
          <w:szCs w:val="20"/>
        </w:rPr>
        <w:t xml:space="preserve"> </w:t>
      </w:r>
    </w:p>
    <w:p w:rsidR="0004795A" w:rsidRPr="002E60EB" w:rsidRDefault="0004795A" w:rsidP="00317748">
      <w:pPr>
        <w:pStyle w:val="ListParagraph1"/>
        <w:spacing w:after="0"/>
        <w:ind w:left="0"/>
        <w:rPr>
          <w:rFonts w:ascii="Verdana" w:hAnsi="Verdana"/>
          <w:sz w:val="20"/>
          <w:szCs w:val="20"/>
        </w:rPr>
      </w:pPr>
    </w:p>
    <w:p w:rsidR="0004795A" w:rsidRPr="002E60EB" w:rsidRDefault="0004795A" w:rsidP="002711CF">
      <w:pPr>
        <w:numPr>
          <w:ilvl w:val="0"/>
          <w:numId w:val="19"/>
        </w:numPr>
        <w:jc w:val="both"/>
        <w:rPr>
          <w:lang w:val="en-US"/>
        </w:rPr>
      </w:pPr>
      <w:r w:rsidRPr="002E60EB">
        <w:rPr>
          <w:lang w:val="en-US"/>
        </w:rPr>
        <w:t xml:space="preserve">The representative </w:t>
      </w:r>
      <w:r w:rsidR="0054768C" w:rsidRPr="002E60EB">
        <w:rPr>
          <w:lang w:val="en-US"/>
        </w:rPr>
        <w:t>asked</w:t>
      </w:r>
      <w:r w:rsidRPr="002E60EB">
        <w:rPr>
          <w:lang w:val="en-US"/>
        </w:rPr>
        <w:t xml:space="preserve"> the Court </w:t>
      </w:r>
      <w:r w:rsidR="0054768C" w:rsidRPr="002E60EB">
        <w:rPr>
          <w:lang w:val="en-US"/>
        </w:rPr>
        <w:t xml:space="preserve">to </w:t>
      </w:r>
      <w:r w:rsidRPr="002E60EB">
        <w:rPr>
          <w:lang w:val="en-US"/>
        </w:rPr>
        <w:t xml:space="preserve">order the State to pay </w:t>
      </w:r>
      <w:r w:rsidR="00087093" w:rsidRPr="002E60EB">
        <w:rPr>
          <w:lang w:val="en-US"/>
        </w:rPr>
        <w:t>“</w:t>
      </w:r>
      <w:r w:rsidRPr="002E60EB">
        <w:rPr>
          <w:lang w:val="en-US"/>
        </w:rPr>
        <w:t xml:space="preserve">consequential </w:t>
      </w:r>
      <w:r w:rsidR="0054768C" w:rsidRPr="002E60EB">
        <w:rPr>
          <w:lang w:val="en-US"/>
        </w:rPr>
        <w:t>damages and for d</w:t>
      </w:r>
      <w:r w:rsidRPr="002E60EB">
        <w:rPr>
          <w:lang w:val="en-US"/>
        </w:rPr>
        <w:t>a</w:t>
      </w:r>
      <w:r w:rsidR="0054768C" w:rsidRPr="002E60EB">
        <w:rPr>
          <w:lang w:val="en-US"/>
        </w:rPr>
        <w:t>mage to the</w:t>
      </w:r>
      <w:r w:rsidRPr="002E60EB">
        <w:rPr>
          <w:lang w:val="en-US"/>
        </w:rPr>
        <w:t xml:space="preserve"> family</w:t>
      </w:r>
      <w:r w:rsidR="0054768C" w:rsidRPr="002E60EB">
        <w:rPr>
          <w:lang w:val="en-US"/>
        </w:rPr>
        <w:t xml:space="preserve"> wealth</w:t>
      </w:r>
      <w:r w:rsidR="00087093" w:rsidRPr="002E60EB">
        <w:rPr>
          <w:lang w:val="en-US"/>
        </w:rPr>
        <w:t>”</w:t>
      </w:r>
      <w:r w:rsidRPr="002E60EB">
        <w:rPr>
          <w:lang w:val="en-US"/>
        </w:rPr>
        <w:t xml:space="preserve"> </w:t>
      </w:r>
      <w:r w:rsidR="0054768C" w:rsidRPr="002E60EB">
        <w:rPr>
          <w:lang w:val="en-US"/>
        </w:rPr>
        <w:t>of</w:t>
      </w:r>
      <w:r w:rsidRPr="002E60EB">
        <w:rPr>
          <w:lang w:val="en-US"/>
        </w:rPr>
        <w:t xml:space="preserve"> Mr. Véle</w:t>
      </w:r>
      <w:r w:rsidRPr="002E60EB">
        <w:rPr>
          <w:lang w:val="en-US" w:eastAsia="es-ES"/>
        </w:rPr>
        <w:t>z Restr</w:t>
      </w:r>
      <w:r w:rsidRPr="002E60EB">
        <w:rPr>
          <w:rFonts w:cs="Arial"/>
          <w:lang w:val="en-US"/>
        </w:rPr>
        <w:t>epo</w:t>
      </w:r>
      <w:r w:rsidR="0054768C" w:rsidRPr="002E60EB">
        <w:rPr>
          <w:rFonts w:cs="Arial"/>
          <w:lang w:val="en-US"/>
        </w:rPr>
        <w:t>,</w:t>
      </w:r>
      <w:r w:rsidR="0054768C" w:rsidRPr="002E60EB">
        <w:rPr>
          <w:lang w:val="en-US"/>
        </w:rPr>
        <w:t xml:space="preserve"> his wife Aracelly Román Amariles, and their children Mateo and Juliana Vélez Román, considering </w:t>
      </w:r>
      <w:r w:rsidRPr="002E60EB">
        <w:rPr>
          <w:rFonts w:cs="Arial"/>
          <w:lang w:val="en-US"/>
        </w:rPr>
        <w:t xml:space="preserve">the </w:t>
      </w:r>
      <w:r w:rsidR="00087093" w:rsidRPr="002E60EB">
        <w:rPr>
          <w:rFonts w:cs="Arial"/>
          <w:lang w:val="en-US"/>
        </w:rPr>
        <w:t>“</w:t>
      </w:r>
      <w:r w:rsidRPr="002E60EB">
        <w:rPr>
          <w:rFonts w:cs="Arial"/>
          <w:lang w:val="en-US"/>
        </w:rPr>
        <w:t xml:space="preserve">expenses and </w:t>
      </w:r>
      <w:r w:rsidR="0054768C" w:rsidRPr="002E60EB">
        <w:rPr>
          <w:rFonts w:cs="Arial"/>
          <w:lang w:val="en-US"/>
        </w:rPr>
        <w:t xml:space="preserve">losses they </w:t>
      </w:r>
      <w:r w:rsidRPr="002E60EB">
        <w:rPr>
          <w:rFonts w:cs="Arial"/>
          <w:lang w:val="en-US"/>
        </w:rPr>
        <w:t>incurred, as well as the</w:t>
      </w:r>
      <w:r w:rsidR="0054768C" w:rsidRPr="002E60EB">
        <w:rPr>
          <w:rFonts w:cs="Arial"/>
          <w:lang w:val="en-US"/>
        </w:rPr>
        <w:t xml:space="preserve"> </w:t>
      </w:r>
      <w:r w:rsidR="00DC21EF" w:rsidRPr="002E60EB">
        <w:rPr>
          <w:rFonts w:cs="Arial"/>
          <w:lang w:val="en-US"/>
        </w:rPr>
        <w:t>impact on the family</w:t>
      </w:r>
      <w:r w:rsidRPr="002E60EB">
        <w:rPr>
          <w:rFonts w:cs="Arial"/>
          <w:lang w:val="en-US"/>
        </w:rPr>
        <w:t xml:space="preserve"> wealth.</w:t>
      </w:r>
      <w:r w:rsidR="00087093" w:rsidRPr="002E60EB">
        <w:rPr>
          <w:rFonts w:cs="Arial"/>
          <w:lang w:val="en-US"/>
        </w:rPr>
        <w:t>”</w:t>
      </w:r>
      <w:r w:rsidRPr="002E60EB">
        <w:rPr>
          <w:rStyle w:val="Refdenotaalpie"/>
          <w:lang w:val="en-US"/>
        </w:rPr>
        <w:footnoteReference w:id="269"/>
      </w:r>
      <w:r w:rsidRPr="002E60EB">
        <w:rPr>
          <w:lang w:val="en-US"/>
        </w:rPr>
        <w:t xml:space="preserve"> </w:t>
      </w:r>
      <w:r w:rsidRPr="002E60EB">
        <w:rPr>
          <w:lang w:val="en-US" w:eastAsia="es-ES"/>
        </w:rPr>
        <w:t xml:space="preserve">Therefore, he asked that the </w:t>
      </w:r>
      <w:r w:rsidR="00D00C5F" w:rsidRPr="002E60EB">
        <w:rPr>
          <w:lang w:val="en-US" w:eastAsia="es-ES"/>
        </w:rPr>
        <w:t>Court</w:t>
      </w:r>
      <w:r w:rsidRPr="002E60EB">
        <w:rPr>
          <w:lang w:val="en-US" w:eastAsia="es-ES"/>
        </w:rPr>
        <w:t xml:space="preserve"> </w:t>
      </w:r>
      <w:r w:rsidR="00087093" w:rsidRPr="002E60EB">
        <w:rPr>
          <w:lang w:val="en-US" w:eastAsia="es-ES"/>
        </w:rPr>
        <w:t>“</w:t>
      </w:r>
      <w:r w:rsidR="00334C3C" w:rsidRPr="002E60EB">
        <w:rPr>
          <w:lang w:val="en-US" w:eastAsia="es-ES"/>
        </w:rPr>
        <w:t>establish</w:t>
      </w:r>
      <w:r w:rsidRPr="002E60EB">
        <w:rPr>
          <w:lang w:val="en-US" w:eastAsia="es-ES"/>
        </w:rPr>
        <w:t xml:space="preserve"> in equity compensation […] of US$75,000.00,</w:t>
      </w:r>
      <w:r w:rsidR="00087093" w:rsidRPr="002E60EB">
        <w:rPr>
          <w:lang w:val="en-US" w:eastAsia="es-ES"/>
        </w:rPr>
        <w:t>”</w:t>
      </w:r>
      <w:r w:rsidRPr="002E60EB">
        <w:rPr>
          <w:lang w:val="en-US" w:eastAsia="es-ES"/>
        </w:rPr>
        <w:t xml:space="preserve"> which </w:t>
      </w:r>
      <w:r w:rsidR="00087093" w:rsidRPr="002E60EB">
        <w:rPr>
          <w:lang w:val="en-US" w:eastAsia="es-ES"/>
        </w:rPr>
        <w:t>“</w:t>
      </w:r>
      <w:r w:rsidRPr="002E60EB">
        <w:rPr>
          <w:lang w:val="en-US" w:eastAsia="es-ES"/>
        </w:rPr>
        <w:t xml:space="preserve">reflects the fact that an important part of the pecuniary damage </w:t>
      </w:r>
      <w:r w:rsidR="008813EA" w:rsidRPr="002E60EB">
        <w:rPr>
          <w:lang w:val="en-US" w:eastAsia="es-ES"/>
        </w:rPr>
        <w:t>has been incurred</w:t>
      </w:r>
      <w:r w:rsidRPr="002E60EB">
        <w:rPr>
          <w:lang w:val="en-US" w:eastAsia="es-ES"/>
        </w:rPr>
        <w:t xml:space="preserve"> in the United States, directly in dollars.</w:t>
      </w:r>
      <w:r w:rsidR="00087093" w:rsidRPr="002E60EB">
        <w:rPr>
          <w:lang w:val="en-US" w:eastAsia="es-ES"/>
        </w:rPr>
        <w:t>”</w:t>
      </w:r>
    </w:p>
    <w:p w:rsidR="0004795A" w:rsidRPr="002E60EB" w:rsidRDefault="0004795A" w:rsidP="008C5C78">
      <w:pPr>
        <w:pStyle w:val="Prrafodelista2"/>
        <w:tabs>
          <w:tab w:val="left" w:pos="720"/>
        </w:tabs>
        <w:ind w:left="0"/>
        <w:contextualSpacing/>
        <w:jc w:val="both"/>
        <w:rPr>
          <w:lang w:val="en-US"/>
        </w:rPr>
      </w:pPr>
    </w:p>
    <w:p w:rsidR="0004795A" w:rsidRPr="002E60EB" w:rsidRDefault="0004795A" w:rsidP="008C5C78">
      <w:pPr>
        <w:numPr>
          <w:ilvl w:val="0"/>
          <w:numId w:val="19"/>
        </w:numPr>
        <w:tabs>
          <w:tab w:val="clear" w:pos="680"/>
          <w:tab w:val="left" w:pos="720"/>
        </w:tabs>
        <w:jc w:val="both"/>
        <w:rPr>
          <w:lang w:val="en-US"/>
        </w:rPr>
      </w:pPr>
      <w:r w:rsidRPr="002E60EB">
        <w:rPr>
          <w:lang w:val="en-US"/>
        </w:rPr>
        <w:t xml:space="preserve">The State indicated that </w:t>
      </w:r>
      <w:r w:rsidR="00087093" w:rsidRPr="002E60EB">
        <w:rPr>
          <w:lang w:val="en-US"/>
        </w:rPr>
        <w:t>“</w:t>
      </w:r>
      <w:r w:rsidRPr="002E60EB">
        <w:rPr>
          <w:lang w:val="en-US"/>
        </w:rPr>
        <w:t>there is no evidence of the causal nexus between the expen</w:t>
      </w:r>
      <w:r w:rsidR="008813EA" w:rsidRPr="002E60EB">
        <w:rPr>
          <w:lang w:val="en-US"/>
        </w:rPr>
        <w:t>diture</w:t>
      </w:r>
      <w:r w:rsidR="008C5C78" w:rsidRPr="002E60EB">
        <w:rPr>
          <w:lang w:val="en-US"/>
        </w:rPr>
        <w:t>s</w:t>
      </w:r>
      <w:r w:rsidRPr="002E60EB">
        <w:rPr>
          <w:lang w:val="en-US"/>
        </w:rPr>
        <w:t xml:space="preserve"> </w:t>
      </w:r>
      <w:r w:rsidR="008C5C78" w:rsidRPr="002E60EB">
        <w:rPr>
          <w:lang w:val="en-US"/>
        </w:rPr>
        <w:t>incurred</w:t>
      </w:r>
      <w:r w:rsidRPr="002E60EB">
        <w:rPr>
          <w:lang w:val="en-US"/>
        </w:rPr>
        <w:t xml:space="preserve"> by Mr. Vélez and his </w:t>
      </w:r>
      <w:r w:rsidR="008813EA" w:rsidRPr="002E60EB">
        <w:rPr>
          <w:lang w:val="en-US"/>
        </w:rPr>
        <w:t>family</w:t>
      </w:r>
      <w:r w:rsidRPr="002E60EB">
        <w:rPr>
          <w:lang w:val="en-US"/>
        </w:rPr>
        <w:t>, argued as consequential damages</w:t>
      </w:r>
      <w:r w:rsidR="008813EA" w:rsidRPr="002E60EB">
        <w:rPr>
          <w:lang w:val="en-US"/>
        </w:rPr>
        <w:t>,</w:t>
      </w:r>
      <w:r w:rsidRPr="002E60EB">
        <w:rPr>
          <w:lang w:val="en-US"/>
        </w:rPr>
        <w:t xml:space="preserve"> and the facts of </w:t>
      </w:r>
      <w:r w:rsidR="008813EA" w:rsidRPr="002E60EB">
        <w:rPr>
          <w:lang w:val="en-US"/>
        </w:rPr>
        <w:t>the instant</w:t>
      </w:r>
      <w:r w:rsidRPr="002E60EB">
        <w:rPr>
          <w:lang w:val="en-US"/>
        </w:rPr>
        <w:t xml:space="preserve"> case,</w:t>
      </w:r>
      <w:r w:rsidR="00087093" w:rsidRPr="002E60EB">
        <w:rPr>
          <w:lang w:val="en-US"/>
        </w:rPr>
        <w:t>”</w:t>
      </w:r>
      <w:r w:rsidRPr="002E60EB">
        <w:rPr>
          <w:lang w:val="en-US"/>
        </w:rPr>
        <w:t xml:space="preserve"> which is </w:t>
      </w:r>
      <w:r w:rsidR="00087093" w:rsidRPr="002E60EB">
        <w:rPr>
          <w:lang w:val="en-US"/>
        </w:rPr>
        <w:t>“</w:t>
      </w:r>
      <w:r w:rsidR="008813EA" w:rsidRPr="002E60EB">
        <w:rPr>
          <w:lang w:val="en-US"/>
        </w:rPr>
        <w:t>essential</w:t>
      </w:r>
      <w:r w:rsidRPr="002E60EB">
        <w:rPr>
          <w:lang w:val="en-US"/>
        </w:rPr>
        <w:t xml:space="preserve"> when ordering compensation </w:t>
      </w:r>
      <w:r w:rsidR="008813EA" w:rsidRPr="002E60EB">
        <w:rPr>
          <w:lang w:val="en-US"/>
        </w:rPr>
        <w:t>for</w:t>
      </w:r>
      <w:r w:rsidRPr="002E60EB">
        <w:rPr>
          <w:lang w:val="en-US"/>
        </w:rPr>
        <w:t xml:space="preserve"> this concept.</w:t>
      </w:r>
      <w:r w:rsidR="00087093" w:rsidRPr="002E60EB">
        <w:rPr>
          <w:lang w:val="en-US"/>
        </w:rPr>
        <w:t>”</w:t>
      </w:r>
      <w:r w:rsidRPr="002E60EB">
        <w:rPr>
          <w:lang w:val="en-US"/>
        </w:rPr>
        <w:t xml:space="preserve"> Therefore, Colombia </w:t>
      </w:r>
      <w:r w:rsidR="008813EA" w:rsidRPr="002E60EB">
        <w:rPr>
          <w:lang w:val="en-US"/>
        </w:rPr>
        <w:t>asked</w:t>
      </w:r>
      <w:r w:rsidRPr="002E60EB">
        <w:rPr>
          <w:lang w:val="en-US"/>
        </w:rPr>
        <w:t xml:space="preserve"> the </w:t>
      </w:r>
      <w:r w:rsidR="00D00C5F" w:rsidRPr="002E60EB">
        <w:rPr>
          <w:lang w:val="en-US"/>
        </w:rPr>
        <w:t>Court</w:t>
      </w:r>
      <w:r w:rsidR="008813EA" w:rsidRPr="002E60EB">
        <w:rPr>
          <w:lang w:val="en-US"/>
        </w:rPr>
        <w:t xml:space="preserve"> to</w:t>
      </w:r>
      <w:r w:rsidRPr="002E60EB">
        <w:rPr>
          <w:lang w:val="en-US"/>
        </w:rPr>
        <w:t xml:space="preserve"> </w:t>
      </w:r>
      <w:r w:rsidR="00087093" w:rsidRPr="002E60EB">
        <w:rPr>
          <w:lang w:val="en-US"/>
        </w:rPr>
        <w:t>“</w:t>
      </w:r>
      <w:r w:rsidR="008813EA" w:rsidRPr="002E60EB">
        <w:rPr>
          <w:lang w:val="en-US"/>
        </w:rPr>
        <w:t xml:space="preserve">abide by </w:t>
      </w:r>
      <w:r w:rsidR="008C5C78" w:rsidRPr="002E60EB">
        <w:rPr>
          <w:lang w:val="en-US"/>
        </w:rPr>
        <w:t>the expenses that have</w:t>
      </w:r>
      <w:r w:rsidR="008813EA" w:rsidRPr="002E60EB">
        <w:rPr>
          <w:lang w:val="en-US"/>
        </w:rPr>
        <w:t xml:space="preserve"> been </w:t>
      </w:r>
      <w:r w:rsidR="008C5C78" w:rsidRPr="002E60EB">
        <w:rPr>
          <w:lang w:val="en-US"/>
        </w:rPr>
        <w:t>authenticated</w:t>
      </w:r>
      <w:r w:rsidR="008813EA" w:rsidRPr="002E60EB">
        <w:rPr>
          <w:lang w:val="en-US"/>
        </w:rPr>
        <w:t xml:space="preserve"> with vouchers or</w:t>
      </w:r>
      <w:r w:rsidRPr="002E60EB">
        <w:rPr>
          <w:lang w:val="en-US"/>
        </w:rPr>
        <w:t xml:space="preserve"> invoices.</w:t>
      </w:r>
      <w:r w:rsidR="00087093" w:rsidRPr="002E60EB">
        <w:rPr>
          <w:lang w:val="en-US"/>
        </w:rPr>
        <w:t>”</w:t>
      </w:r>
      <w:r w:rsidRPr="002E60EB">
        <w:rPr>
          <w:lang w:val="en-US"/>
        </w:rPr>
        <w:t xml:space="preserve"> </w:t>
      </w:r>
    </w:p>
    <w:p w:rsidR="0004795A" w:rsidRPr="002E60EB" w:rsidRDefault="0004795A" w:rsidP="008C5C78">
      <w:pPr>
        <w:pStyle w:val="Prrafodelista2"/>
        <w:tabs>
          <w:tab w:val="left" w:pos="720"/>
        </w:tabs>
        <w:ind w:left="0"/>
        <w:contextualSpacing/>
        <w:jc w:val="both"/>
        <w:rPr>
          <w:lang w:val="en-US"/>
        </w:rPr>
      </w:pPr>
    </w:p>
    <w:p w:rsidR="0004795A" w:rsidRPr="002E60EB" w:rsidRDefault="0004795A" w:rsidP="008C5C78">
      <w:pPr>
        <w:numPr>
          <w:ilvl w:val="0"/>
          <w:numId w:val="19"/>
        </w:numPr>
        <w:tabs>
          <w:tab w:val="clear" w:pos="680"/>
          <w:tab w:val="left" w:pos="720"/>
        </w:tabs>
        <w:jc w:val="both"/>
        <w:rPr>
          <w:rFonts w:cs="Verdana"/>
          <w:lang w:val="en-US" w:bidi="en-US"/>
        </w:rPr>
      </w:pPr>
      <w:r w:rsidRPr="002E60EB">
        <w:rPr>
          <w:lang w:val="en-US"/>
        </w:rPr>
        <w:t xml:space="preserve">Regarding consequential damage, the Court observes that the representative did not </w:t>
      </w:r>
      <w:r w:rsidR="008813EA" w:rsidRPr="002E60EB">
        <w:rPr>
          <w:lang w:val="en-US"/>
        </w:rPr>
        <w:t xml:space="preserve">provide </w:t>
      </w:r>
      <w:r w:rsidRPr="002E60EB">
        <w:rPr>
          <w:lang w:val="en-US"/>
        </w:rPr>
        <w:t xml:space="preserve">evidence that </w:t>
      </w:r>
      <w:r w:rsidR="008813EA" w:rsidRPr="002E60EB">
        <w:rPr>
          <w:lang w:val="en-US"/>
        </w:rPr>
        <w:t xml:space="preserve">would </w:t>
      </w:r>
      <w:r w:rsidRPr="002E60EB">
        <w:rPr>
          <w:lang w:val="en-US"/>
        </w:rPr>
        <w:t xml:space="preserve">allow it to </w:t>
      </w:r>
      <w:r w:rsidR="008813EA" w:rsidRPr="002E60EB">
        <w:rPr>
          <w:lang w:val="en-US"/>
        </w:rPr>
        <w:t xml:space="preserve">verify either </w:t>
      </w:r>
      <w:r w:rsidRPr="002E60EB">
        <w:rPr>
          <w:lang w:val="en-US"/>
        </w:rPr>
        <w:t xml:space="preserve">the expenses or the amounts </w:t>
      </w:r>
      <w:r w:rsidR="008813EA" w:rsidRPr="002E60EB">
        <w:rPr>
          <w:lang w:val="en-US"/>
        </w:rPr>
        <w:t xml:space="preserve">indicated </w:t>
      </w:r>
      <w:r w:rsidRPr="002E60EB">
        <w:rPr>
          <w:lang w:val="en-US"/>
        </w:rPr>
        <w:t xml:space="preserve">as corresponding to </w:t>
      </w:r>
      <w:r w:rsidR="00087093" w:rsidRPr="002E60EB">
        <w:rPr>
          <w:lang w:val="en-US"/>
        </w:rPr>
        <w:t>“</w:t>
      </w:r>
      <w:r w:rsidRPr="002E60EB">
        <w:rPr>
          <w:lang w:val="en-US"/>
        </w:rPr>
        <w:t>consequential</w:t>
      </w:r>
      <w:r w:rsidR="008813EA" w:rsidRPr="002E60EB">
        <w:rPr>
          <w:lang w:val="en-US"/>
        </w:rPr>
        <w:t xml:space="preserve"> damage</w:t>
      </w:r>
      <w:r w:rsidRPr="002E60EB">
        <w:rPr>
          <w:lang w:val="en-US"/>
        </w:rPr>
        <w:t xml:space="preserve"> and </w:t>
      </w:r>
      <w:r w:rsidR="008813EA" w:rsidRPr="002E60EB">
        <w:rPr>
          <w:lang w:val="en-US"/>
        </w:rPr>
        <w:t xml:space="preserve">damage to the family wealth”; furthermore, the body of evidence reveals that some of them were not </w:t>
      </w:r>
      <w:r w:rsidRPr="002E60EB">
        <w:rPr>
          <w:lang w:val="en-US"/>
        </w:rPr>
        <w:t>assumed by the Vélez Román family</w:t>
      </w:r>
      <w:r w:rsidR="008813EA" w:rsidRPr="002E60EB">
        <w:rPr>
          <w:lang w:val="en-US"/>
        </w:rPr>
        <w:t>. Nevertheless,</w:t>
      </w:r>
      <w:r w:rsidRPr="002E60EB">
        <w:rPr>
          <w:lang w:val="en-US"/>
        </w:rPr>
        <w:t xml:space="preserve"> the Court finds it reasonable that, in order to t</w:t>
      </w:r>
      <w:r w:rsidR="008813EA" w:rsidRPr="002E60EB">
        <w:rPr>
          <w:lang w:val="en-US"/>
        </w:rPr>
        <w:t>reat</w:t>
      </w:r>
      <w:r w:rsidRPr="002E60EB">
        <w:rPr>
          <w:lang w:val="en-US"/>
        </w:rPr>
        <w:t xml:space="preserve"> the psychological damage suffered as a </w:t>
      </w:r>
      <w:r w:rsidR="008813EA" w:rsidRPr="002E60EB">
        <w:rPr>
          <w:lang w:val="en-US"/>
        </w:rPr>
        <w:t xml:space="preserve">result </w:t>
      </w:r>
      <w:r w:rsidRPr="002E60EB">
        <w:rPr>
          <w:lang w:val="en-US"/>
        </w:rPr>
        <w:t xml:space="preserve">of the violations declared in </w:t>
      </w:r>
      <w:r w:rsidR="00E00146" w:rsidRPr="002E60EB">
        <w:rPr>
          <w:lang w:val="en-US"/>
        </w:rPr>
        <w:t>this Judgment</w:t>
      </w:r>
      <w:r w:rsidRPr="002E60EB">
        <w:rPr>
          <w:lang w:val="en-US"/>
        </w:rPr>
        <w:t xml:space="preserve">, the Vélez Román family had to incur expenses </w:t>
      </w:r>
      <w:r w:rsidR="008813EA" w:rsidRPr="002E60EB">
        <w:rPr>
          <w:lang w:val="en-US"/>
        </w:rPr>
        <w:t>for the</w:t>
      </w:r>
      <w:r w:rsidRPr="002E60EB">
        <w:rPr>
          <w:lang w:val="en-US"/>
        </w:rPr>
        <w:t xml:space="preserve"> concept of psychological treatment,</w:t>
      </w:r>
      <w:r w:rsidRPr="002E60EB">
        <w:rPr>
          <w:rStyle w:val="Refdenotaalpie"/>
          <w:rFonts w:cs="Verdana"/>
          <w:lang w:val="en-US"/>
        </w:rPr>
        <w:footnoteReference w:id="270"/>
      </w:r>
      <w:r w:rsidRPr="002E60EB">
        <w:rPr>
          <w:rFonts w:cs="Verdana"/>
          <w:lang w:val="en-US" w:bidi="en-US"/>
        </w:rPr>
        <w:t xml:space="preserve"> and it is also reasonable that they incurred other expenses</w:t>
      </w:r>
      <w:r w:rsidR="008813EA" w:rsidRPr="002E60EB">
        <w:rPr>
          <w:rFonts w:cs="Verdana"/>
          <w:lang w:val="en-US" w:bidi="en-US"/>
        </w:rPr>
        <w:t xml:space="preserve"> because, owing to the threats, </w:t>
      </w:r>
      <w:r w:rsidRPr="002E60EB">
        <w:rPr>
          <w:rFonts w:cs="Verdana"/>
          <w:lang w:val="en-US" w:bidi="en-US"/>
        </w:rPr>
        <w:t>they had to move</w:t>
      </w:r>
      <w:r w:rsidR="008813EA" w:rsidRPr="002E60EB">
        <w:rPr>
          <w:rFonts w:cs="Verdana"/>
          <w:lang w:val="en-US" w:bidi="en-US"/>
        </w:rPr>
        <w:t xml:space="preserve"> house</w:t>
      </w:r>
      <w:r w:rsidRPr="002E60EB">
        <w:rPr>
          <w:rFonts w:cs="Verdana"/>
          <w:lang w:val="en-US" w:bidi="en-US"/>
        </w:rPr>
        <w:t xml:space="preserve">, </w:t>
      </w:r>
      <w:r w:rsidR="008C5C78" w:rsidRPr="002E60EB">
        <w:rPr>
          <w:rFonts w:cs="Verdana"/>
          <w:lang w:val="en-US" w:bidi="en-US"/>
        </w:rPr>
        <w:t>and also incurred expenses</w:t>
      </w:r>
      <w:r w:rsidRPr="002E60EB">
        <w:rPr>
          <w:rFonts w:cs="Verdana"/>
          <w:lang w:val="en-US" w:bidi="en-US"/>
        </w:rPr>
        <w:t xml:space="preserve"> </w:t>
      </w:r>
      <w:r w:rsidR="008C5C78" w:rsidRPr="002E60EB">
        <w:rPr>
          <w:rFonts w:cs="Verdana"/>
          <w:lang w:val="en-US" w:bidi="en-US"/>
        </w:rPr>
        <w:t>owing to</w:t>
      </w:r>
      <w:r w:rsidR="008813EA" w:rsidRPr="002E60EB">
        <w:rPr>
          <w:rFonts w:cs="Verdana"/>
          <w:lang w:val="en-US" w:bidi="en-US"/>
        </w:rPr>
        <w:t xml:space="preserve"> </w:t>
      </w:r>
      <w:r w:rsidRPr="002E60EB">
        <w:rPr>
          <w:rFonts w:cs="Verdana"/>
          <w:lang w:val="en-US" w:bidi="en-US"/>
        </w:rPr>
        <w:t xml:space="preserve">their </w:t>
      </w:r>
      <w:r w:rsidR="008813EA" w:rsidRPr="002E60EB">
        <w:rPr>
          <w:rFonts w:cs="Verdana"/>
          <w:lang w:val="en-US" w:bidi="en-US"/>
        </w:rPr>
        <w:t xml:space="preserve">move </w:t>
      </w:r>
      <w:r w:rsidR="008C5C78" w:rsidRPr="002E60EB">
        <w:rPr>
          <w:rFonts w:cs="Verdana"/>
          <w:lang w:val="en-US" w:bidi="en-US"/>
        </w:rPr>
        <w:t>to the United States</w:t>
      </w:r>
      <w:r w:rsidRPr="002E60EB">
        <w:rPr>
          <w:rFonts w:cs="Verdana"/>
          <w:lang w:val="en-US" w:bidi="en-US"/>
        </w:rPr>
        <w:t xml:space="preserve">, which </w:t>
      </w:r>
      <w:r w:rsidR="008813EA" w:rsidRPr="002E60EB">
        <w:rPr>
          <w:rFonts w:cs="Verdana"/>
          <w:lang w:val="en-US" w:bidi="en-US"/>
        </w:rPr>
        <w:t xml:space="preserve">meant </w:t>
      </w:r>
      <w:r w:rsidRPr="002E60EB">
        <w:rPr>
          <w:rFonts w:cs="Verdana"/>
          <w:lang w:val="en-US" w:bidi="en-US"/>
        </w:rPr>
        <w:t xml:space="preserve">that they had to leave their belongings in Colombia. </w:t>
      </w:r>
      <w:r w:rsidR="008813EA" w:rsidRPr="002E60EB">
        <w:rPr>
          <w:rFonts w:cs="Verdana"/>
          <w:lang w:val="en-US" w:bidi="en-US"/>
        </w:rPr>
        <w:t>Consequently</w:t>
      </w:r>
      <w:r w:rsidRPr="002E60EB">
        <w:rPr>
          <w:rFonts w:cs="Verdana"/>
          <w:lang w:val="en-US" w:bidi="en-US"/>
        </w:rPr>
        <w:t>, the Court</w:t>
      </w:r>
      <w:r w:rsidR="008813EA" w:rsidRPr="002E60EB">
        <w:rPr>
          <w:rFonts w:cs="Verdana"/>
          <w:lang w:val="en-US" w:bidi="en-US"/>
        </w:rPr>
        <w:t xml:space="preserve"> establishes</w:t>
      </w:r>
      <w:r w:rsidRPr="002E60EB">
        <w:rPr>
          <w:rFonts w:cs="Verdana"/>
          <w:lang w:val="en-US" w:bidi="en-US"/>
        </w:rPr>
        <w:t xml:space="preserve">, in equity, the </w:t>
      </w:r>
      <w:r w:rsidR="008813EA" w:rsidRPr="002E60EB">
        <w:rPr>
          <w:rFonts w:cs="Verdana"/>
          <w:lang w:val="en-US" w:bidi="en-US"/>
        </w:rPr>
        <w:t xml:space="preserve">sum </w:t>
      </w:r>
      <w:r w:rsidRPr="002E60EB">
        <w:rPr>
          <w:rFonts w:cs="Verdana"/>
          <w:lang w:val="en-US" w:bidi="en-US"/>
        </w:rPr>
        <w:t xml:space="preserve">of </w:t>
      </w:r>
      <w:r w:rsidRPr="002E60EB">
        <w:rPr>
          <w:lang w:val="en-US"/>
        </w:rPr>
        <w:t>US$</w:t>
      </w:r>
      <w:r w:rsidR="008813EA" w:rsidRPr="002E60EB">
        <w:rPr>
          <w:lang w:val="en-US"/>
        </w:rPr>
        <w:t>40,000.00</w:t>
      </w:r>
      <w:r w:rsidRPr="002E60EB">
        <w:rPr>
          <w:lang w:val="en-US"/>
        </w:rPr>
        <w:t xml:space="preserve"> </w:t>
      </w:r>
      <w:r w:rsidR="008813EA" w:rsidRPr="002E60EB">
        <w:rPr>
          <w:lang w:val="en-US"/>
        </w:rPr>
        <w:t xml:space="preserve">(forty thousand </w:t>
      </w:r>
      <w:r w:rsidR="00FF539B" w:rsidRPr="002E60EB">
        <w:rPr>
          <w:lang w:val="en-US"/>
        </w:rPr>
        <w:t>United States dollars</w:t>
      </w:r>
      <w:r w:rsidRPr="002E60EB">
        <w:rPr>
          <w:lang w:val="en-US"/>
        </w:rPr>
        <w:t xml:space="preserve">) </w:t>
      </w:r>
      <w:r w:rsidR="008813EA" w:rsidRPr="002E60EB">
        <w:rPr>
          <w:lang w:val="en-US"/>
        </w:rPr>
        <w:t>for</w:t>
      </w:r>
      <w:r w:rsidRPr="002E60EB">
        <w:rPr>
          <w:lang w:val="en-US"/>
        </w:rPr>
        <w:t xml:space="preserve"> consequential damage, which must be paid to </w:t>
      </w:r>
      <w:r w:rsidR="008813EA" w:rsidRPr="002E60EB">
        <w:rPr>
          <w:lang w:val="en-US"/>
        </w:rPr>
        <w:t>Mr.</w:t>
      </w:r>
      <w:r w:rsidRPr="002E60EB">
        <w:rPr>
          <w:lang w:val="en-US"/>
        </w:rPr>
        <w:t xml:space="preserve"> Vélez </w:t>
      </w:r>
      <w:r w:rsidR="008813EA" w:rsidRPr="002E60EB">
        <w:rPr>
          <w:lang w:val="en-US"/>
        </w:rPr>
        <w:t>Restrepo</w:t>
      </w:r>
      <w:r w:rsidRPr="002E60EB">
        <w:rPr>
          <w:lang w:val="en-US"/>
        </w:rPr>
        <w:t xml:space="preserve"> within </w:t>
      </w:r>
      <w:r w:rsidR="0054768C" w:rsidRPr="002E60EB">
        <w:rPr>
          <w:lang w:val="en-US"/>
        </w:rPr>
        <w:t>one year of notification</w:t>
      </w:r>
      <w:r w:rsidRPr="002E60EB">
        <w:rPr>
          <w:lang w:val="en-US"/>
        </w:rPr>
        <w:t xml:space="preserve"> of this Judgment</w:t>
      </w:r>
      <w:r w:rsidRPr="002E60EB">
        <w:rPr>
          <w:rFonts w:cs="Verdana"/>
          <w:lang w:val="en-US"/>
        </w:rPr>
        <w:t>.</w:t>
      </w:r>
    </w:p>
    <w:p w:rsidR="0004795A" w:rsidRPr="002E60EB" w:rsidRDefault="0004795A" w:rsidP="008C5C78">
      <w:pPr>
        <w:pStyle w:val="Prrafodelista2"/>
        <w:tabs>
          <w:tab w:val="left" w:pos="720"/>
        </w:tabs>
        <w:ind w:left="0"/>
        <w:contextualSpacing/>
        <w:jc w:val="both"/>
        <w:rPr>
          <w:rFonts w:cs="Verdana"/>
          <w:lang w:val="en-US" w:bidi="en-US"/>
        </w:rPr>
      </w:pPr>
    </w:p>
    <w:p w:rsidR="0004795A" w:rsidRPr="002E60EB" w:rsidRDefault="0004795A" w:rsidP="008C5C78">
      <w:pPr>
        <w:pStyle w:val="ListParagraph1"/>
        <w:tabs>
          <w:tab w:val="left" w:pos="720"/>
        </w:tabs>
        <w:spacing w:after="0"/>
        <w:ind w:left="0"/>
        <w:rPr>
          <w:rFonts w:ascii="Verdana" w:hAnsi="Verdana"/>
          <w:b/>
          <w:sz w:val="20"/>
          <w:szCs w:val="20"/>
        </w:rPr>
      </w:pPr>
      <w:r w:rsidRPr="002E60EB">
        <w:rPr>
          <w:rFonts w:ascii="Verdana" w:hAnsi="Verdana"/>
          <w:i/>
          <w:sz w:val="20"/>
          <w:szCs w:val="20"/>
        </w:rPr>
        <w:tab/>
      </w:r>
      <w:r w:rsidRPr="002E60EB">
        <w:rPr>
          <w:rFonts w:ascii="Verdana" w:hAnsi="Verdana"/>
          <w:i/>
          <w:sz w:val="20"/>
          <w:szCs w:val="20"/>
        </w:rPr>
        <w:tab/>
      </w:r>
      <w:r w:rsidR="008813EA" w:rsidRPr="002E60EB">
        <w:rPr>
          <w:rFonts w:ascii="Verdana" w:hAnsi="Verdana"/>
          <w:b/>
          <w:sz w:val="20"/>
          <w:szCs w:val="20"/>
        </w:rPr>
        <w:t>D</w:t>
      </w:r>
      <w:r w:rsidRPr="002E60EB">
        <w:rPr>
          <w:rFonts w:ascii="Verdana" w:hAnsi="Verdana"/>
          <w:b/>
          <w:sz w:val="20"/>
          <w:szCs w:val="20"/>
        </w:rPr>
        <w:t>.2) Non-</w:t>
      </w:r>
      <w:r w:rsidR="00FF539B" w:rsidRPr="002E60EB">
        <w:rPr>
          <w:rFonts w:ascii="Verdana" w:hAnsi="Verdana"/>
          <w:b/>
          <w:sz w:val="20"/>
          <w:szCs w:val="20"/>
        </w:rPr>
        <w:t>p</w:t>
      </w:r>
      <w:r w:rsidRPr="002E60EB">
        <w:rPr>
          <w:rFonts w:ascii="Verdana" w:hAnsi="Verdana"/>
          <w:b/>
          <w:sz w:val="20"/>
          <w:szCs w:val="20"/>
        </w:rPr>
        <w:t xml:space="preserve">ecuniary </w:t>
      </w:r>
      <w:r w:rsidR="00FF539B" w:rsidRPr="002E60EB">
        <w:rPr>
          <w:rFonts w:ascii="Verdana" w:hAnsi="Verdana"/>
          <w:b/>
          <w:sz w:val="20"/>
          <w:szCs w:val="20"/>
        </w:rPr>
        <w:t>d</w:t>
      </w:r>
      <w:r w:rsidRPr="002E60EB">
        <w:rPr>
          <w:rFonts w:ascii="Verdana" w:hAnsi="Verdana"/>
          <w:b/>
          <w:sz w:val="20"/>
          <w:szCs w:val="20"/>
        </w:rPr>
        <w:t>amage</w:t>
      </w:r>
    </w:p>
    <w:p w:rsidR="0004795A" w:rsidRPr="002E60EB" w:rsidRDefault="0004795A" w:rsidP="008C5C78">
      <w:pPr>
        <w:pStyle w:val="ListParagraph1"/>
        <w:tabs>
          <w:tab w:val="left" w:pos="720"/>
        </w:tabs>
        <w:spacing w:after="0"/>
        <w:ind w:left="0"/>
        <w:rPr>
          <w:rFonts w:ascii="Verdana" w:hAnsi="Verdana" w:cs="Verdana"/>
          <w:b/>
          <w:sz w:val="20"/>
          <w:szCs w:val="20"/>
          <w:lang w:bidi="en-US"/>
        </w:rPr>
      </w:pPr>
    </w:p>
    <w:p w:rsidR="0004795A" w:rsidRPr="002E60EB" w:rsidRDefault="008813EA" w:rsidP="008C5C78">
      <w:pPr>
        <w:numPr>
          <w:ilvl w:val="0"/>
          <w:numId w:val="19"/>
        </w:numPr>
        <w:tabs>
          <w:tab w:val="clear" w:pos="680"/>
          <w:tab w:val="left" w:pos="720"/>
        </w:tabs>
        <w:jc w:val="both"/>
        <w:rPr>
          <w:lang w:val="en-US"/>
        </w:rPr>
      </w:pPr>
      <w:r w:rsidRPr="002E60EB">
        <w:rPr>
          <w:rFonts w:cs="Verdana"/>
          <w:lang w:val="en-US" w:bidi="en-US"/>
        </w:rPr>
        <w:t>In its case law, t</w:t>
      </w:r>
      <w:r w:rsidR="0004795A" w:rsidRPr="002E60EB">
        <w:rPr>
          <w:rFonts w:cs="Verdana"/>
          <w:lang w:val="en-US" w:bidi="en-US"/>
        </w:rPr>
        <w:t xml:space="preserve">he Court has developed the concept of non-pecuniary damage and has established that it </w:t>
      </w:r>
      <w:r w:rsidR="00087093" w:rsidRPr="002E60EB">
        <w:rPr>
          <w:rFonts w:cs="Verdana"/>
          <w:lang w:val="en-US" w:bidi="en-US"/>
        </w:rPr>
        <w:t>“</w:t>
      </w:r>
      <w:r w:rsidR="0004795A" w:rsidRPr="002E60EB">
        <w:rPr>
          <w:rFonts w:cs="Verdana"/>
          <w:lang w:val="en-US" w:bidi="en-US"/>
        </w:rPr>
        <w:t xml:space="preserve">may include both the suffering and </w:t>
      </w:r>
      <w:r w:rsidRPr="002E60EB">
        <w:rPr>
          <w:rFonts w:cs="Verdana"/>
          <w:lang w:val="en-US" w:bidi="en-US"/>
        </w:rPr>
        <w:t xml:space="preserve">difficulties </w:t>
      </w:r>
      <w:r w:rsidR="0004795A" w:rsidRPr="002E60EB">
        <w:rPr>
          <w:rFonts w:cs="Verdana"/>
          <w:lang w:val="en-US" w:bidi="en-US"/>
        </w:rPr>
        <w:t xml:space="preserve">caused to the direct victim and his next of kin, the </w:t>
      </w:r>
      <w:r w:rsidR="008C5C78" w:rsidRPr="002E60EB">
        <w:rPr>
          <w:rFonts w:cs="Verdana"/>
          <w:lang w:val="en-US" w:bidi="en-US"/>
        </w:rPr>
        <w:t>harm to</w:t>
      </w:r>
      <w:r w:rsidR="0004795A" w:rsidRPr="002E60EB">
        <w:rPr>
          <w:rFonts w:cs="Verdana"/>
          <w:lang w:val="en-US" w:bidi="en-US"/>
        </w:rPr>
        <w:t xml:space="preserve"> values that are </w:t>
      </w:r>
      <w:r w:rsidRPr="002E60EB">
        <w:rPr>
          <w:rFonts w:cs="Verdana"/>
          <w:lang w:val="en-US" w:bidi="en-US"/>
        </w:rPr>
        <w:t>of great significance</w:t>
      </w:r>
      <w:r w:rsidR="0004795A" w:rsidRPr="002E60EB">
        <w:rPr>
          <w:rFonts w:cs="Verdana"/>
          <w:lang w:val="en-US" w:bidi="en-US"/>
        </w:rPr>
        <w:t xml:space="preserve"> to the </w:t>
      </w:r>
      <w:r w:rsidRPr="002E60EB">
        <w:rPr>
          <w:rFonts w:cs="Verdana"/>
          <w:lang w:val="en-US" w:bidi="en-US"/>
        </w:rPr>
        <w:t>individual</w:t>
      </w:r>
      <w:r w:rsidR="0004795A" w:rsidRPr="002E60EB">
        <w:rPr>
          <w:rFonts w:cs="Verdana"/>
          <w:lang w:val="en-US" w:bidi="en-US"/>
        </w:rPr>
        <w:t xml:space="preserve">, </w:t>
      </w:r>
      <w:r w:rsidR="008C5C78" w:rsidRPr="002E60EB">
        <w:rPr>
          <w:rFonts w:cs="Verdana"/>
          <w:lang w:val="en-US" w:bidi="en-US"/>
        </w:rPr>
        <w:t>and als</w:t>
      </w:r>
      <w:r w:rsidRPr="002E60EB">
        <w:rPr>
          <w:rFonts w:cs="Verdana"/>
          <w:lang w:val="en-US" w:bidi="en-US"/>
        </w:rPr>
        <w:t>o</w:t>
      </w:r>
      <w:r w:rsidR="0004795A" w:rsidRPr="002E60EB">
        <w:rPr>
          <w:rFonts w:cs="Verdana"/>
          <w:lang w:val="en-US" w:bidi="en-US"/>
        </w:rPr>
        <w:t xml:space="preserve"> the alterations, of a non-pecuniary nature, </w:t>
      </w:r>
      <w:r w:rsidRPr="002E60EB">
        <w:rPr>
          <w:rFonts w:cs="Verdana"/>
          <w:lang w:val="en-US" w:bidi="en-US"/>
        </w:rPr>
        <w:t>i</w:t>
      </w:r>
      <w:r w:rsidR="0004795A" w:rsidRPr="002E60EB">
        <w:rPr>
          <w:rFonts w:cs="Verdana"/>
          <w:lang w:val="en-US" w:bidi="en-US"/>
        </w:rPr>
        <w:t>n the living conditions of the victim</w:t>
      </w:r>
      <w:r w:rsidRPr="002E60EB">
        <w:rPr>
          <w:rFonts w:cs="Verdana"/>
          <w:lang w:val="en-US" w:bidi="en-US"/>
        </w:rPr>
        <w:t>s</w:t>
      </w:r>
      <w:r w:rsidR="0004795A" w:rsidRPr="002E60EB">
        <w:rPr>
          <w:rFonts w:cs="Verdana"/>
          <w:lang w:val="en-US" w:bidi="en-US"/>
        </w:rPr>
        <w:t xml:space="preserve"> or </w:t>
      </w:r>
      <w:r w:rsidRPr="002E60EB">
        <w:rPr>
          <w:rFonts w:cs="Verdana"/>
          <w:lang w:val="en-US" w:bidi="en-US"/>
        </w:rPr>
        <w:t>their</w:t>
      </w:r>
      <w:r w:rsidR="0004795A" w:rsidRPr="002E60EB">
        <w:rPr>
          <w:rFonts w:cs="Verdana"/>
          <w:lang w:val="en-US" w:bidi="en-US"/>
        </w:rPr>
        <w:t xml:space="preserve"> </w:t>
      </w:r>
      <w:r w:rsidRPr="002E60EB">
        <w:rPr>
          <w:rFonts w:cs="Verdana"/>
          <w:lang w:val="en-US" w:bidi="en-US"/>
        </w:rPr>
        <w:t>family</w:t>
      </w:r>
      <w:r w:rsidR="0004795A" w:rsidRPr="002E60EB">
        <w:rPr>
          <w:rFonts w:cs="Verdana"/>
          <w:lang w:val="en-US" w:bidi="en-US"/>
        </w:rPr>
        <w:t>.</w:t>
      </w:r>
      <w:r w:rsidR="00087093" w:rsidRPr="002E60EB">
        <w:rPr>
          <w:lang w:val="en-US"/>
        </w:rPr>
        <w:t>”</w:t>
      </w:r>
      <w:r w:rsidRPr="002E60EB">
        <w:rPr>
          <w:rStyle w:val="Refdenotaalpie"/>
          <w:lang w:val="en-US"/>
        </w:rPr>
        <w:footnoteReference w:id="271"/>
      </w:r>
    </w:p>
    <w:p w:rsidR="0004795A" w:rsidRPr="002E60EB" w:rsidRDefault="0004795A" w:rsidP="008C5C78">
      <w:pPr>
        <w:pStyle w:val="Prrafodelista2"/>
        <w:tabs>
          <w:tab w:val="left" w:pos="720"/>
        </w:tabs>
        <w:ind w:left="0"/>
        <w:contextualSpacing/>
        <w:jc w:val="both"/>
        <w:rPr>
          <w:lang w:val="en-US"/>
        </w:rPr>
      </w:pPr>
    </w:p>
    <w:p w:rsidR="0004795A" w:rsidRPr="002E60EB" w:rsidRDefault="0004795A" w:rsidP="008C5C78">
      <w:pPr>
        <w:numPr>
          <w:ilvl w:val="0"/>
          <w:numId w:val="19"/>
        </w:numPr>
        <w:tabs>
          <w:tab w:val="clear" w:pos="680"/>
          <w:tab w:val="left" w:pos="720"/>
        </w:tabs>
        <w:jc w:val="both"/>
        <w:rPr>
          <w:lang w:val="en-US"/>
        </w:rPr>
      </w:pPr>
      <w:r w:rsidRPr="002E60EB">
        <w:rPr>
          <w:lang w:val="en-US"/>
        </w:rPr>
        <w:t xml:space="preserve">The representative </w:t>
      </w:r>
      <w:r w:rsidR="008813EA" w:rsidRPr="002E60EB">
        <w:rPr>
          <w:lang w:val="en-US"/>
        </w:rPr>
        <w:t>asked</w:t>
      </w:r>
      <w:r w:rsidRPr="002E60EB">
        <w:rPr>
          <w:lang w:val="en-US"/>
        </w:rPr>
        <w:t xml:space="preserve"> the Court </w:t>
      </w:r>
      <w:r w:rsidR="008813EA" w:rsidRPr="002E60EB">
        <w:rPr>
          <w:lang w:val="en-US"/>
        </w:rPr>
        <w:t xml:space="preserve">to </w:t>
      </w:r>
      <w:r w:rsidRPr="002E60EB">
        <w:rPr>
          <w:lang w:val="en-US"/>
        </w:rPr>
        <w:t xml:space="preserve">order </w:t>
      </w:r>
      <w:r w:rsidR="008813EA" w:rsidRPr="002E60EB">
        <w:rPr>
          <w:lang w:val="en-US"/>
        </w:rPr>
        <w:t xml:space="preserve">that, </w:t>
      </w:r>
      <w:r w:rsidRPr="002E60EB">
        <w:rPr>
          <w:lang w:val="en-US"/>
        </w:rPr>
        <w:t xml:space="preserve">as a measure of reparation for the non-pecuniary damage suffered, </w:t>
      </w:r>
      <w:r w:rsidR="008813EA" w:rsidRPr="002E60EB">
        <w:rPr>
          <w:lang w:val="en-US"/>
        </w:rPr>
        <w:t xml:space="preserve">the State pay </w:t>
      </w:r>
      <w:r w:rsidRPr="002E60EB">
        <w:rPr>
          <w:lang w:val="en-US"/>
        </w:rPr>
        <w:t xml:space="preserve">the </w:t>
      </w:r>
      <w:r w:rsidR="008813EA" w:rsidRPr="002E60EB">
        <w:rPr>
          <w:lang w:val="en-US"/>
        </w:rPr>
        <w:t>sum</w:t>
      </w:r>
      <w:r w:rsidR="008C5C78" w:rsidRPr="002E60EB">
        <w:rPr>
          <w:lang w:val="en-US"/>
        </w:rPr>
        <w:t>s</w:t>
      </w:r>
      <w:r w:rsidR="008813EA" w:rsidRPr="002E60EB">
        <w:rPr>
          <w:lang w:val="en-US"/>
        </w:rPr>
        <w:t xml:space="preserve"> </w:t>
      </w:r>
      <w:r w:rsidRPr="002E60EB">
        <w:rPr>
          <w:lang w:val="en-US"/>
        </w:rPr>
        <w:t xml:space="preserve">of: </w:t>
      </w:r>
      <w:r w:rsidR="008813EA" w:rsidRPr="002E60EB">
        <w:rPr>
          <w:lang w:val="en-US"/>
        </w:rPr>
        <w:t>(</w:t>
      </w:r>
      <w:r w:rsidRPr="002E60EB">
        <w:rPr>
          <w:lang w:val="en-US"/>
        </w:rPr>
        <w:t>i) US$140,000</w:t>
      </w:r>
      <w:r w:rsidRPr="002E60EB">
        <w:rPr>
          <w:rStyle w:val="Refdenotaalpie"/>
          <w:lang w:val="en-US"/>
        </w:rPr>
        <w:footnoteReference w:id="272"/>
      </w:r>
      <w:r w:rsidRPr="002E60EB">
        <w:rPr>
          <w:lang w:val="en-US"/>
        </w:rPr>
        <w:t xml:space="preserve"> to Mr. Vélez Restrepo;</w:t>
      </w:r>
      <w:r w:rsidR="008813EA" w:rsidRPr="002E60EB">
        <w:rPr>
          <w:rStyle w:val="Refdenotaalpie"/>
          <w:lang w:val="en-US"/>
        </w:rPr>
        <w:footnoteReference w:id="273"/>
      </w:r>
      <w:r w:rsidRPr="002E60EB">
        <w:rPr>
          <w:lang w:val="en-US"/>
        </w:rPr>
        <w:t xml:space="preserve"> </w:t>
      </w:r>
      <w:r w:rsidR="008813EA" w:rsidRPr="002E60EB">
        <w:rPr>
          <w:lang w:val="en-US"/>
        </w:rPr>
        <w:t>(</w:t>
      </w:r>
      <w:r w:rsidRPr="002E60EB">
        <w:rPr>
          <w:lang w:val="en-US"/>
        </w:rPr>
        <w:t>ii) US$100,000 to Mrs. Román Amariles;</w:t>
      </w:r>
      <w:r w:rsidR="008813EA" w:rsidRPr="002E60EB">
        <w:rPr>
          <w:rStyle w:val="Refdenotaalpie"/>
          <w:lang w:val="en-US"/>
        </w:rPr>
        <w:footnoteReference w:id="274"/>
      </w:r>
      <w:r w:rsidRPr="002E60EB">
        <w:rPr>
          <w:lang w:val="en-US"/>
        </w:rPr>
        <w:t xml:space="preserve"> </w:t>
      </w:r>
      <w:r w:rsidR="008813EA" w:rsidRPr="002E60EB">
        <w:rPr>
          <w:lang w:val="en-US"/>
        </w:rPr>
        <w:t>(</w:t>
      </w:r>
      <w:r w:rsidRPr="002E60EB">
        <w:rPr>
          <w:lang w:val="en-US"/>
        </w:rPr>
        <w:t>iii) US$50,000 to Mateo Vélez Román,</w:t>
      </w:r>
      <w:r w:rsidRPr="002E60EB">
        <w:rPr>
          <w:rStyle w:val="Refdenotaalpie"/>
          <w:lang w:val="en-US"/>
        </w:rPr>
        <w:footnoteReference w:id="275"/>
      </w:r>
      <w:r w:rsidRPr="002E60EB">
        <w:rPr>
          <w:lang w:val="en-US"/>
        </w:rPr>
        <w:t xml:space="preserve"> and </w:t>
      </w:r>
      <w:r w:rsidR="008813EA" w:rsidRPr="002E60EB">
        <w:rPr>
          <w:lang w:val="en-US"/>
        </w:rPr>
        <w:t>(</w:t>
      </w:r>
      <w:r w:rsidRPr="002E60EB">
        <w:rPr>
          <w:lang w:val="en-US"/>
        </w:rPr>
        <w:t>iv) US$40,000 to Juliana Vélez Román.</w:t>
      </w:r>
      <w:r w:rsidRPr="002E60EB">
        <w:rPr>
          <w:rStyle w:val="Refdenotaalpie"/>
          <w:lang w:val="en-US"/>
        </w:rPr>
        <w:footnoteReference w:id="276"/>
      </w:r>
      <w:r w:rsidRPr="002E60EB">
        <w:rPr>
          <w:lang w:val="en-US"/>
        </w:rPr>
        <w:t xml:space="preserve"> </w:t>
      </w:r>
    </w:p>
    <w:p w:rsidR="0004795A" w:rsidRPr="002E60EB" w:rsidRDefault="0004795A" w:rsidP="008C5C78">
      <w:pPr>
        <w:pStyle w:val="Prrafodelista"/>
        <w:tabs>
          <w:tab w:val="left" w:pos="720"/>
        </w:tabs>
        <w:ind w:left="0"/>
        <w:rPr>
          <w:sz w:val="20"/>
          <w:szCs w:val="20"/>
          <w:lang w:val="en-US"/>
        </w:rPr>
      </w:pPr>
    </w:p>
    <w:p w:rsidR="0004795A" w:rsidRPr="002E60EB" w:rsidRDefault="00FF539B" w:rsidP="008C5C78">
      <w:pPr>
        <w:numPr>
          <w:ilvl w:val="0"/>
          <w:numId w:val="19"/>
        </w:numPr>
        <w:tabs>
          <w:tab w:val="left" w:pos="720"/>
        </w:tabs>
        <w:jc w:val="both"/>
        <w:rPr>
          <w:lang w:val="en-US"/>
        </w:rPr>
      </w:pPr>
      <w:r w:rsidRPr="002E60EB">
        <w:rPr>
          <w:lang w:val="en-US"/>
        </w:rPr>
        <w:t>For</w:t>
      </w:r>
      <w:r w:rsidR="0004795A" w:rsidRPr="002E60EB">
        <w:rPr>
          <w:lang w:val="en-US"/>
        </w:rPr>
        <w:t xml:space="preserve"> its part, the State </w:t>
      </w:r>
      <w:r w:rsidR="002A1CC8" w:rsidRPr="002E60EB">
        <w:rPr>
          <w:lang w:val="en-US"/>
        </w:rPr>
        <w:t>asked</w:t>
      </w:r>
      <w:r w:rsidR="0004795A" w:rsidRPr="002E60EB">
        <w:rPr>
          <w:lang w:val="en-US"/>
        </w:rPr>
        <w:t xml:space="preserve"> </w:t>
      </w:r>
      <w:r w:rsidR="002A1CC8" w:rsidRPr="002E60EB">
        <w:rPr>
          <w:lang w:val="en-US"/>
        </w:rPr>
        <w:t xml:space="preserve">that </w:t>
      </w:r>
      <w:r w:rsidR="0004795A" w:rsidRPr="002E60EB">
        <w:rPr>
          <w:lang w:val="en-US"/>
        </w:rPr>
        <w:t xml:space="preserve">the Court, taking into </w:t>
      </w:r>
      <w:r w:rsidR="002A1CC8" w:rsidRPr="002E60EB">
        <w:rPr>
          <w:lang w:val="en-US"/>
        </w:rPr>
        <w:t xml:space="preserve">account </w:t>
      </w:r>
      <w:r w:rsidR="0004795A" w:rsidRPr="002E60EB">
        <w:rPr>
          <w:lang w:val="en-US"/>
        </w:rPr>
        <w:t xml:space="preserve">its partial acknowledgment of responsibility, </w:t>
      </w:r>
      <w:r w:rsidR="00087093" w:rsidRPr="002E60EB">
        <w:rPr>
          <w:lang w:val="en-US"/>
        </w:rPr>
        <w:t>“</w:t>
      </w:r>
      <w:r w:rsidR="008C5C78" w:rsidRPr="002E60EB">
        <w:rPr>
          <w:lang w:val="en-US"/>
        </w:rPr>
        <w:t xml:space="preserve">to </w:t>
      </w:r>
      <w:r w:rsidRPr="002E60EB">
        <w:rPr>
          <w:lang w:val="en-US"/>
        </w:rPr>
        <w:t xml:space="preserve">establish </w:t>
      </w:r>
      <w:r w:rsidR="0004795A" w:rsidRPr="002E60EB">
        <w:rPr>
          <w:lang w:val="en-US"/>
        </w:rPr>
        <w:t>the amounts it considers appropriate.</w:t>
      </w:r>
      <w:r w:rsidR="00087093" w:rsidRPr="002E60EB">
        <w:rPr>
          <w:lang w:val="en-US"/>
        </w:rPr>
        <w:t>”</w:t>
      </w:r>
      <w:r w:rsidR="0004795A" w:rsidRPr="002E60EB">
        <w:rPr>
          <w:lang w:val="en-US"/>
        </w:rPr>
        <w:t xml:space="preserve"> However, it observed that </w:t>
      </w:r>
      <w:r w:rsidR="00087093" w:rsidRPr="002E60EB">
        <w:rPr>
          <w:lang w:val="en-US"/>
        </w:rPr>
        <w:t>“</w:t>
      </w:r>
      <w:r w:rsidR="0004795A" w:rsidRPr="002E60EB">
        <w:rPr>
          <w:lang w:val="en-US"/>
        </w:rPr>
        <w:t xml:space="preserve">the </w:t>
      </w:r>
      <w:r w:rsidR="002A1CC8" w:rsidRPr="002E60EB">
        <w:rPr>
          <w:lang w:val="en-US"/>
        </w:rPr>
        <w:t xml:space="preserve">sums </w:t>
      </w:r>
      <w:r w:rsidR="0004795A" w:rsidRPr="002E60EB">
        <w:rPr>
          <w:lang w:val="en-US"/>
        </w:rPr>
        <w:t xml:space="preserve">requested […] are excessive in comparison with </w:t>
      </w:r>
      <w:r w:rsidR="002A1CC8" w:rsidRPr="002E60EB">
        <w:rPr>
          <w:lang w:val="en-US"/>
        </w:rPr>
        <w:t xml:space="preserve">those </w:t>
      </w:r>
      <w:r w:rsidR="0004795A" w:rsidRPr="002E60EB">
        <w:rPr>
          <w:lang w:val="en-US"/>
        </w:rPr>
        <w:t xml:space="preserve">ordered by [the] Court in cases </w:t>
      </w:r>
      <w:r w:rsidR="002A1CC8" w:rsidRPr="002E60EB">
        <w:rPr>
          <w:lang w:val="en-US"/>
        </w:rPr>
        <w:t>of</w:t>
      </w:r>
      <w:r w:rsidR="0004795A" w:rsidRPr="002E60EB">
        <w:rPr>
          <w:lang w:val="en-US"/>
        </w:rPr>
        <w:t xml:space="preserve"> similar or even greater </w:t>
      </w:r>
      <w:r w:rsidR="002A1CC8" w:rsidRPr="002E60EB">
        <w:rPr>
          <w:lang w:val="en-US"/>
        </w:rPr>
        <w:t>harm</w:t>
      </w:r>
      <w:r w:rsidR="0004795A" w:rsidRPr="002E60EB">
        <w:rPr>
          <w:lang w:val="en-US"/>
        </w:rPr>
        <w:t>.</w:t>
      </w:r>
      <w:r w:rsidR="00087093" w:rsidRPr="002E60EB">
        <w:rPr>
          <w:lang w:val="en-US"/>
        </w:rPr>
        <w:t>”</w:t>
      </w:r>
      <w:r w:rsidR="0004795A" w:rsidRPr="002E60EB">
        <w:rPr>
          <w:lang w:val="en-US"/>
        </w:rPr>
        <w:t xml:space="preserve"> </w:t>
      </w:r>
    </w:p>
    <w:p w:rsidR="0004795A" w:rsidRPr="002E60EB" w:rsidRDefault="0004795A" w:rsidP="008C5C78">
      <w:pPr>
        <w:pStyle w:val="Prrafodelista"/>
        <w:tabs>
          <w:tab w:val="left" w:pos="720"/>
        </w:tabs>
        <w:ind w:left="0"/>
        <w:rPr>
          <w:sz w:val="20"/>
          <w:szCs w:val="20"/>
          <w:lang w:val="en-US"/>
        </w:rPr>
      </w:pPr>
    </w:p>
    <w:p w:rsidR="0004795A" w:rsidRPr="002E60EB" w:rsidRDefault="0004795A" w:rsidP="008C5C78">
      <w:pPr>
        <w:numPr>
          <w:ilvl w:val="0"/>
          <w:numId w:val="19"/>
        </w:numPr>
        <w:tabs>
          <w:tab w:val="left" w:pos="720"/>
        </w:tabs>
        <w:jc w:val="both"/>
        <w:rPr>
          <w:lang w:val="en-US"/>
        </w:rPr>
      </w:pPr>
      <w:r w:rsidRPr="002E60EB">
        <w:rPr>
          <w:lang w:val="en-US"/>
        </w:rPr>
        <w:t xml:space="preserve">Considering the circumstances of the case </w:t>
      </w:r>
      <w:r w:rsidRPr="002E60EB">
        <w:rPr>
          <w:i/>
          <w:lang w:val="en-US"/>
        </w:rPr>
        <w:t>sub judice</w:t>
      </w:r>
      <w:r w:rsidRPr="002E60EB">
        <w:rPr>
          <w:lang w:val="en-US"/>
        </w:rPr>
        <w:t xml:space="preserve">, the suffering that the violations committed caused the victims, as well as the change in their living conditions and </w:t>
      </w:r>
      <w:r w:rsidR="002A1CC8" w:rsidRPr="002E60EB">
        <w:rPr>
          <w:lang w:val="en-US"/>
        </w:rPr>
        <w:t xml:space="preserve">the </w:t>
      </w:r>
      <w:r w:rsidRPr="002E60EB">
        <w:rPr>
          <w:lang w:val="en-US"/>
        </w:rPr>
        <w:t xml:space="preserve">other consequences of a non-pecuniary nature they suffered, the Court </w:t>
      </w:r>
      <w:r w:rsidR="002A1CC8" w:rsidRPr="002E60EB">
        <w:rPr>
          <w:lang w:val="en-US"/>
        </w:rPr>
        <w:t xml:space="preserve">finds </w:t>
      </w:r>
      <w:r w:rsidRPr="002E60EB">
        <w:rPr>
          <w:lang w:val="en-US"/>
        </w:rPr>
        <w:t>it appropriate to</w:t>
      </w:r>
      <w:r w:rsidR="002A1CC8" w:rsidRPr="002E60EB">
        <w:rPr>
          <w:lang w:val="en-US"/>
        </w:rPr>
        <w:t xml:space="preserve"> establish</w:t>
      </w:r>
      <w:r w:rsidRPr="002E60EB">
        <w:rPr>
          <w:lang w:val="en-US"/>
        </w:rPr>
        <w:t xml:space="preserve"> an amount, in equity, as compensation for non-pecuniary damage</w:t>
      </w:r>
      <w:r w:rsidR="002A1CC8" w:rsidRPr="002E60EB">
        <w:rPr>
          <w:lang w:val="en-US"/>
        </w:rPr>
        <w:t>. The Court takes into account</w:t>
      </w:r>
      <w:r w:rsidRPr="002E60EB">
        <w:rPr>
          <w:lang w:val="en-US"/>
        </w:rPr>
        <w:t xml:space="preserve"> </w:t>
      </w:r>
      <w:r w:rsidR="008C5C78" w:rsidRPr="002E60EB">
        <w:rPr>
          <w:lang w:val="en-US"/>
        </w:rPr>
        <w:t xml:space="preserve">the </w:t>
      </w:r>
      <w:r w:rsidRPr="002E60EB">
        <w:rPr>
          <w:lang w:val="en-US"/>
        </w:rPr>
        <w:t xml:space="preserve">suffering and </w:t>
      </w:r>
      <w:r w:rsidR="002A1CC8" w:rsidRPr="002E60EB">
        <w:rPr>
          <w:lang w:val="en-US"/>
        </w:rPr>
        <w:t xml:space="preserve">harm </w:t>
      </w:r>
      <w:r w:rsidRPr="002E60EB">
        <w:rPr>
          <w:lang w:val="en-US"/>
        </w:rPr>
        <w:t xml:space="preserve">caused to the victims </w:t>
      </w:r>
      <w:r w:rsidR="002A1CC8" w:rsidRPr="002E60EB">
        <w:rPr>
          <w:lang w:val="en-US"/>
        </w:rPr>
        <w:t xml:space="preserve">owing to </w:t>
      </w:r>
      <w:r w:rsidRPr="002E60EB">
        <w:rPr>
          <w:lang w:val="en-US"/>
        </w:rPr>
        <w:t xml:space="preserve">the human rights violations declared in </w:t>
      </w:r>
      <w:r w:rsidR="002A1CC8" w:rsidRPr="002E60EB">
        <w:rPr>
          <w:lang w:val="en-US"/>
        </w:rPr>
        <w:t>the instant</w:t>
      </w:r>
      <w:r w:rsidRPr="002E60EB">
        <w:rPr>
          <w:lang w:val="en-US"/>
        </w:rPr>
        <w:t xml:space="preserve"> case, the impunity in which </w:t>
      </w:r>
      <w:r w:rsidR="002A1CC8" w:rsidRPr="002E60EB">
        <w:rPr>
          <w:lang w:val="en-US"/>
        </w:rPr>
        <w:t xml:space="preserve">these </w:t>
      </w:r>
      <w:r w:rsidRPr="002E60EB">
        <w:rPr>
          <w:lang w:val="en-US"/>
        </w:rPr>
        <w:t xml:space="preserve">violations </w:t>
      </w:r>
      <w:r w:rsidR="002A1CC8" w:rsidRPr="002E60EB">
        <w:rPr>
          <w:lang w:val="en-US"/>
        </w:rPr>
        <w:t>remain</w:t>
      </w:r>
      <w:r w:rsidRPr="002E60EB">
        <w:rPr>
          <w:lang w:val="en-US"/>
        </w:rPr>
        <w:t>, and the different consequences th</w:t>
      </w:r>
      <w:r w:rsidR="002A1CC8" w:rsidRPr="002E60EB">
        <w:rPr>
          <w:lang w:val="en-US"/>
        </w:rPr>
        <w:t>at</w:t>
      </w:r>
      <w:r w:rsidRPr="002E60EB">
        <w:rPr>
          <w:lang w:val="en-US"/>
        </w:rPr>
        <w:t xml:space="preserve"> exile has had on the members of the Vélez Román family, such as the separation from their </w:t>
      </w:r>
      <w:r w:rsidR="002A1CC8" w:rsidRPr="002E60EB">
        <w:rPr>
          <w:lang w:val="en-US"/>
        </w:rPr>
        <w:t>relatives</w:t>
      </w:r>
      <w:r w:rsidRPr="002E60EB">
        <w:rPr>
          <w:lang w:val="en-US"/>
        </w:rPr>
        <w:t xml:space="preserve"> in Colombia</w:t>
      </w:r>
      <w:r w:rsidR="002A1CC8" w:rsidRPr="002E60EB">
        <w:rPr>
          <w:lang w:val="en-US"/>
        </w:rPr>
        <w:t>,</w:t>
      </w:r>
      <w:r w:rsidRPr="002E60EB">
        <w:rPr>
          <w:lang w:val="en-US"/>
        </w:rPr>
        <w:t xml:space="preserve"> the </w:t>
      </w:r>
      <w:r w:rsidR="002A1CC8" w:rsidRPr="002E60EB">
        <w:rPr>
          <w:lang w:val="en-US"/>
        </w:rPr>
        <w:t xml:space="preserve">financial </w:t>
      </w:r>
      <w:r w:rsidRPr="002E60EB">
        <w:rPr>
          <w:lang w:val="en-US"/>
        </w:rPr>
        <w:t xml:space="preserve">and </w:t>
      </w:r>
      <w:r w:rsidR="002A1CC8" w:rsidRPr="002E60EB">
        <w:rPr>
          <w:lang w:val="en-US"/>
        </w:rPr>
        <w:t xml:space="preserve">employment </w:t>
      </w:r>
      <w:r w:rsidRPr="002E60EB">
        <w:rPr>
          <w:lang w:val="en-US"/>
        </w:rPr>
        <w:t>situation they have faced in the United States of America,</w:t>
      </w:r>
      <w:r w:rsidR="008C5C78" w:rsidRPr="002E60EB">
        <w:rPr>
          <w:lang w:val="en-US"/>
        </w:rPr>
        <w:t xml:space="preserve"> and the harm to Mr. Vélez R</w:t>
      </w:r>
      <w:r w:rsidR="002A1CC8" w:rsidRPr="002E60EB">
        <w:rPr>
          <w:lang w:val="en-US"/>
        </w:rPr>
        <w:t>estrepo’s professional activities as a journalist.</w:t>
      </w:r>
      <w:r w:rsidRPr="002E60EB">
        <w:rPr>
          <w:lang w:val="en-US"/>
        </w:rPr>
        <w:t xml:space="preserve"> </w:t>
      </w:r>
      <w:r w:rsidR="002A1CC8" w:rsidRPr="002E60EB">
        <w:rPr>
          <w:lang w:val="en-US"/>
        </w:rPr>
        <w:t>T</w:t>
      </w:r>
      <w:r w:rsidRPr="002E60EB">
        <w:rPr>
          <w:lang w:val="en-US"/>
        </w:rPr>
        <w:t xml:space="preserve">he Court </w:t>
      </w:r>
      <w:r w:rsidR="002A1CC8" w:rsidRPr="002E60EB">
        <w:rPr>
          <w:lang w:val="en-US"/>
        </w:rPr>
        <w:t xml:space="preserve">finds </w:t>
      </w:r>
      <w:r w:rsidRPr="002E60EB">
        <w:rPr>
          <w:lang w:val="en-US"/>
        </w:rPr>
        <w:t xml:space="preserve">it appropriate to </w:t>
      </w:r>
      <w:r w:rsidR="002A1CC8" w:rsidRPr="002E60EB">
        <w:rPr>
          <w:lang w:val="en-US"/>
        </w:rPr>
        <w:t>establish</w:t>
      </w:r>
      <w:r w:rsidRPr="002E60EB">
        <w:rPr>
          <w:lang w:val="en-US"/>
        </w:rPr>
        <w:t xml:space="preserve">, in equity, the </w:t>
      </w:r>
      <w:r w:rsidR="002A1CC8" w:rsidRPr="002E60EB">
        <w:rPr>
          <w:lang w:val="en-US"/>
        </w:rPr>
        <w:t xml:space="preserve">sum </w:t>
      </w:r>
      <w:r w:rsidRPr="002E60EB">
        <w:rPr>
          <w:lang w:val="en-US"/>
        </w:rPr>
        <w:t>of US</w:t>
      </w:r>
      <w:r w:rsidR="002A1CC8" w:rsidRPr="002E60EB">
        <w:rPr>
          <w:lang w:val="en-US"/>
        </w:rPr>
        <w:t xml:space="preserve">$60,000 (sixty thousand </w:t>
      </w:r>
      <w:r w:rsidR="00FF539B" w:rsidRPr="002E60EB">
        <w:rPr>
          <w:lang w:val="en-US"/>
        </w:rPr>
        <w:t>United States dollars</w:t>
      </w:r>
      <w:r w:rsidRPr="002E60EB">
        <w:rPr>
          <w:lang w:val="en-US"/>
        </w:rPr>
        <w:t>) in favor of Luis Gonzalo Vélez Restrepo, as compensation for non-pecuniary damage. A</w:t>
      </w:r>
      <w:r w:rsidR="002A1CC8" w:rsidRPr="002E60EB">
        <w:rPr>
          <w:lang w:val="en-US"/>
        </w:rPr>
        <w:t>lso</w:t>
      </w:r>
      <w:r w:rsidRPr="002E60EB">
        <w:rPr>
          <w:lang w:val="en-US"/>
        </w:rPr>
        <w:t xml:space="preserve">, for the same concept, the </w:t>
      </w:r>
      <w:r w:rsidR="00D00C5F" w:rsidRPr="002E60EB">
        <w:rPr>
          <w:lang w:val="en-US"/>
        </w:rPr>
        <w:t>Court</w:t>
      </w:r>
      <w:r w:rsidRPr="002E60EB">
        <w:rPr>
          <w:lang w:val="en-US"/>
        </w:rPr>
        <w:t xml:space="preserve"> </w:t>
      </w:r>
      <w:r w:rsidR="002A1CC8" w:rsidRPr="002E60EB">
        <w:rPr>
          <w:lang w:val="en-US"/>
        </w:rPr>
        <w:t>establishes</w:t>
      </w:r>
      <w:r w:rsidRPr="002E60EB">
        <w:rPr>
          <w:lang w:val="en-US"/>
        </w:rPr>
        <w:t>, in equity, compensation of US</w:t>
      </w:r>
      <w:r w:rsidR="002A1CC8" w:rsidRPr="002E60EB">
        <w:rPr>
          <w:lang w:val="en-US"/>
        </w:rPr>
        <w:t xml:space="preserve">$40,000 (forty thousand </w:t>
      </w:r>
      <w:r w:rsidR="00FF539B" w:rsidRPr="002E60EB">
        <w:rPr>
          <w:lang w:val="en-US"/>
        </w:rPr>
        <w:t>United States dollars</w:t>
      </w:r>
      <w:r w:rsidRPr="002E60EB">
        <w:rPr>
          <w:lang w:val="en-US"/>
        </w:rPr>
        <w:t xml:space="preserve">) </w:t>
      </w:r>
      <w:r w:rsidR="002A1CC8" w:rsidRPr="002E60EB">
        <w:rPr>
          <w:lang w:val="en-US"/>
        </w:rPr>
        <w:t>for</w:t>
      </w:r>
      <w:r w:rsidRPr="002E60EB">
        <w:rPr>
          <w:lang w:val="en-US"/>
        </w:rPr>
        <w:t xml:space="preserve"> Aracelly Román Amariles, as well as compensation of US</w:t>
      </w:r>
      <w:r w:rsidR="001809D2" w:rsidRPr="002E60EB">
        <w:rPr>
          <w:lang w:val="en-US"/>
        </w:rPr>
        <w:t xml:space="preserve">$30,000 (thirty thousand </w:t>
      </w:r>
      <w:r w:rsidR="00FF539B" w:rsidRPr="002E60EB">
        <w:rPr>
          <w:lang w:val="en-US"/>
        </w:rPr>
        <w:t>United States dollars</w:t>
      </w:r>
      <w:r w:rsidRPr="002E60EB">
        <w:rPr>
          <w:lang w:val="en-US"/>
        </w:rPr>
        <w:t>) for Mateo Vélez Román</w:t>
      </w:r>
      <w:r w:rsidR="008C5C78" w:rsidRPr="002E60EB">
        <w:rPr>
          <w:lang w:val="en-US"/>
        </w:rPr>
        <w:t>,</w:t>
      </w:r>
      <w:r w:rsidRPr="002E60EB">
        <w:rPr>
          <w:lang w:val="en-US"/>
        </w:rPr>
        <w:t xml:space="preserve"> and US</w:t>
      </w:r>
      <w:r w:rsidR="001809D2" w:rsidRPr="002E60EB">
        <w:rPr>
          <w:lang w:val="en-US"/>
        </w:rPr>
        <w:t xml:space="preserve">$20,000 (twenty thousand </w:t>
      </w:r>
      <w:r w:rsidR="00FF539B" w:rsidRPr="002E60EB">
        <w:rPr>
          <w:lang w:val="en-US"/>
        </w:rPr>
        <w:t>United States dollars</w:t>
      </w:r>
      <w:r w:rsidRPr="002E60EB">
        <w:rPr>
          <w:lang w:val="en-US"/>
        </w:rPr>
        <w:t xml:space="preserve">) for Juliana Vélez Román. </w:t>
      </w:r>
      <w:r w:rsidR="00FF539B" w:rsidRPr="002E60EB">
        <w:rPr>
          <w:lang w:val="en-US"/>
        </w:rPr>
        <w:t xml:space="preserve">These </w:t>
      </w:r>
      <w:r w:rsidRPr="002E60EB">
        <w:rPr>
          <w:lang w:val="en-US"/>
        </w:rPr>
        <w:t>amounts must be paid within one</w:t>
      </w:r>
      <w:r w:rsidR="00FF539B" w:rsidRPr="002E60EB">
        <w:rPr>
          <w:lang w:val="en-US"/>
        </w:rPr>
        <w:t xml:space="preserve"> year</w:t>
      </w:r>
      <w:r w:rsidRPr="002E60EB">
        <w:rPr>
          <w:lang w:val="en-US"/>
        </w:rPr>
        <w:t xml:space="preserve"> of </w:t>
      </w:r>
      <w:r w:rsidR="00FF539B" w:rsidRPr="002E60EB">
        <w:rPr>
          <w:lang w:val="en-US"/>
        </w:rPr>
        <w:t>n</w:t>
      </w:r>
      <w:r w:rsidRPr="002E60EB">
        <w:rPr>
          <w:lang w:val="en-US"/>
        </w:rPr>
        <w:t xml:space="preserve">otification of the Judgment. </w:t>
      </w:r>
    </w:p>
    <w:p w:rsidR="0004795A" w:rsidRPr="002E60EB" w:rsidRDefault="0004795A" w:rsidP="008C5C78">
      <w:pPr>
        <w:tabs>
          <w:tab w:val="left" w:pos="720"/>
        </w:tabs>
        <w:jc w:val="both"/>
        <w:rPr>
          <w:b/>
          <w:lang w:val="en-US"/>
        </w:rPr>
      </w:pPr>
    </w:p>
    <w:p w:rsidR="0004795A" w:rsidRPr="002E60EB" w:rsidRDefault="0004795A" w:rsidP="008C5C78">
      <w:pPr>
        <w:tabs>
          <w:tab w:val="left" w:pos="720"/>
        </w:tabs>
        <w:jc w:val="both"/>
        <w:rPr>
          <w:b/>
          <w:i/>
          <w:lang w:val="en-US"/>
        </w:rPr>
      </w:pPr>
      <w:r w:rsidRPr="002E60EB">
        <w:rPr>
          <w:b/>
          <w:i/>
          <w:lang w:val="en-US"/>
        </w:rPr>
        <w:tab/>
      </w:r>
      <w:r w:rsidR="001809D2" w:rsidRPr="002E60EB">
        <w:rPr>
          <w:b/>
          <w:i/>
          <w:lang w:val="en-US"/>
        </w:rPr>
        <w:t>E</w:t>
      </w:r>
      <w:r w:rsidRPr="002E60EB">
        <w:rPr>
          <w:b/>
          <w:i/>
          <w:lang w:val="en-US"/>
        </w:rPr>
        <w:t>) Costs and expenses</w:t>
      </w:r>
    </w:p>
    <w:p w:rsidR="0004795A" w:rsidRPr="002E60EB" w:rsidRDefault="008C5C78" w:rsidP="008C5C78">
      <w:pPr>
        <w:tabs>
          <w:tab w:val="left" w:pos="3911"/>
        </w:tabs>
        <w:jc w:val="both"/>
        <w:rPr>
          <w:b/>
          <w:lang w:val="en-US"/>
        </w:rPr>
      </w:pPr>
      <w:r w:rsidRPr="002E60EB">
        <w:rPr>
          <w:b/>
          <w:lang w:val="en-US"/>
        </w:rPr>
        <w:tab/>
      </w:r>
    </w:p>
    <w:p w:rsidR="0004795A" w:rsidRPr="002E60EB" w:rsidRDefault="0004795A" w:rsidP="003E759F">
      <w:pPr>
        <w:numPr>
          <w:ilvl w:val="0"/>
          <w:numId w:val="19"/>
        </w:numPr>
        <w:tabs>
          <w:tab w:val="clear" w:pos="680"/>
        </w:tabs>
        <w:jc w:val="both"/>
        <w:rPr>
          <w:lang w:val="en-US"/>
        </w:rPr>
      </w:pPr>
      <w:r w:rsidRPr="002E60EB">
        <w:rPr>
          <w:lang w:val="en-US"/>
        </w:rPr>
        <w:t>As the Court</w:t>
      </w:r>
      <w:r w:rsidR="001809D2" w:rsidRPr="002E60EB">
        <w:rPr>
          <w:lang w:val="en-US"/>
        </w:rPr>
        <w:t xml:space="preserve"> has indicated </w:t>
      </w:r>
      <w:r w:rsidR="00FF539B" w:rsidRPr="002E60EB">
        <w:rPr>
          <w:lang w:val="en-US"/>
        </w:rPr>
        <w:t>previously</w:t>
      </w:r>
      <w:r w:rsidRPr="002E60EB">
        <w:rPr>
          <w:lang w:val="en-US"/>
        </w:rPr>
        <w:t>, costs and expenses are included</w:t>
      </w:r>
      <w:r w:rsidR="00FF539B" w:rsidRPr="002E60EB">
        <w:rPr>
          <w:lang w:val="en-US"/>
        </w:rPr>
        <w:t xml:space="preserve"> </w:t>
      </w:r>
      <w:r w:rsidRPr="002E60EB">
        <w:rPr>
          <w:lang w:val="en-US"/>
        </w:rPr>
        <w:t>in the concept of reparation established in Article 63(1) of the American Convention.</w:t>
      </w:r>
      <w:r w:rsidR="001809D2" w:rsidRPr="002E60EB">
        <w:rPr>
          <w:rStyle w:val="Refdenotaalpie"/>
          <w:lang w:val="en-US"/>
        </w:rPr>
        <w:footnoteReference w:id="277"/>
      </w:r>
    </w:p>
    <w:p w:rsidR="0004795A" w:rsidRPr="002E60EB" w:rsidRDefault="0004795A" w:rsidP="00260DED">
      <w:pPr>
        <w:pStyle w:val="Prrafodelista2"/>
        <w:tabs>
          <w:tab w:val="left" w:pos="720"/>
        </w:tabs>
        <w:ind w:left="0"/>
        <w:contextualSpacing/>
        <w:jc w:val="both"/>
        <w:rPr>
          <w:lang w:val="en-US"/>
        </w:rPr>
      </w:pPr>
    </w:p>
    <w:p w:rsidR="0004795A" w:rsidRPr="002E60EB" w:rsidRDefault="0004795A" w:rsidP="008C5C78">
      <w:pPr>
        <w:numPr>
          <w:ilvl w:val="0"/>
          <w:numId w:val="19"/>
        </w:numPr>
        <w:tabs>
          <w:tab w:val="clear" w:pos="680"/>
        </w:tabs>
        <w:jc w:val="both"/>
        <w:rPr>
          <w:lang w:val="en-US"/>
        </w:rPr>
      </w:pPr>
      <w:r w:rsidRPr="002E60EB">
        <w:rPr>
          <w:lang w:val="en-US"/>
        </w:rPr>
        <w:t xml:space="preserve">In </w:t>
      </w:r>
      <w:r w:rsidR="001809D2" w:rsidRPr="002E60EB">
        <w:rPr>
          <w:lang w:val="en-US"/>
        </w:rPr>
        <w:t>the</w:t>
      </w:r>
      <w:r w:rsidRPr="002E60EB">
        <w:rPr>
          <w:lang w:val="en-US"/>
        </w:rPr>
        <w:t xml:space="preserve"> pleadings and </w:t>
      </w:r>
      <w:r w:rsidR="001809D2" w:rsidRPr="002E60EB">
        <w:rPr>
          <w:lang w:val="en-US"/>
        </w:rPr>
        <w:t>motions brief,</w:t>
      </w:r>
      <w:r w:rsidR="008C5C78" w:rsidRPr="002E60EB">
        <w:rPr>
          <w:lang w:val="en-US"/>
        </w:rPr>
        <w:t xml:space="preserve"> the representative asked</w:t>
      </w:r>
      <w:r w:rsidRPr="002E60EB">
        <w:rPr>
          <w:lang w:val="en-US"/>
        </w:rPr>
        <w:t xml:space="preserve"> the Court </w:t>
      </w:r>
      <w:r w:rsidR="008C5C78" w:rsidRPr="002E60EB">
        <w:rPr>
          <w:lang w:val="en-US"/>
        </w:rPr>
        <w:t xml:space="preserve">to </w:t>
      </w:r>
      <w:r w:rsidRPr="002E60EB">
        <w:rPr>
          <w:lang w:val="en-US"/>
        </w:rPr>
        <w:t>order the State to reimburse the expenses he ha</w:t>
      </w:r>
      <w:r w:rsidR="001809D2" w:rsidRPr="002E60EB">
        <w:rPr>
          <w:lang w:val="en-US"/>
        </w:rPr>
        <w:t>d</w:t>
      </w:r>
      <w:r w:rsidRPr="002E60EB">
        <w:rPr>
          <w:lang w:val="en-US"/>
        </w:rPr>
        <w:t xml:space="preserve"> incurred </w:t>
      </w:r>
      <w:r w:rsidR="00087093" w:rsidRPr="002E60EB">
        <w:rPr>
          <w:lang w:val="en-US"/>
        </w:rPr>
        <w:t>“</w:t>
      </w:r>
      <w:r w:rsidR="001809D2" w:rsidRPr="002E60EB">
        <w:rPr>
          <w:lang w:val="en-US"/>
        </w:rPr>
        <w:t>by</w:t>
      </w:r>
      <w:r w:rsidRPr="002E60EB">
        <w:rPr>
          <w:lang w:val="en-US"/>
        </w:rPr>
        <w:t xml:space="preserve"> processin</w:t>
      </w:r>
      <w:r w:rsidR="008C5C78" w:rsidRPr="002E60EB">
        <w:rPr>
          <w:lang w:val="en-US"/>
        </w:rPr>
        <w:t>g</w:t>
      </w:r>
      <w:r w:rsidRPr="002E60EB">
        <w:rPr>
          <w:lang w:val="en-US"/>
        </w:rPr>
        <w:t xml:space="preserve"> the case before the Court,</w:t>
      </w:r>
      <w:r w:rsidR="00087093" w:rsidRPr="002E60EB">
        <w:rPr>
          <w:lang w:val="en-US"/>
        </w:rPr>
        <w:t>”</w:t>
      </w:r>
      <w:r w:rsidRPr="002E60EB">
        <w:rPr>
          <w:lang w:val="en-US"/>
        </w:rPr>
        <w:t xml:space="preserve"> corresponding to US$1,602.27, which cover</w:t>
      </w:r>
      <w:r w:rsidR="008C5C78" w:rsidRPr="002E60EB">
        <w:rPr>
          <w:lang w:val="en-US"/>
        </w:rPr>
        <w:t>s</w:t>
      </w:r>
      <w:r w:rsidRPr="002E60EB">
        <w:rPr>
          <w:lang w:val="en-US"/>
        </w:rPr>
        <w:t xml:space="preserve"> </w:t>
      </w:r>
      <w:r w:rsidR="00087093" w:rsidRPr="002E60EB">
        <w:rPr>
          <w:lang w:val="en-US"/>
        </w:rPr>
        <w:t>“</w:t>
      </w:r>
      <w:r w:rsidRPr="002E60EB">
        <w:rPr>
          <w:lang w:val="en-US"/>
        </w:rPr>
        <w:t>the cost of travelling as a team from Washington to New York</w:t>
      </w:r>
      <w:r w:rsidR="001809D2" w:rsidRPr="002E60EB">
        <w:rPr>
          <w:lang w:val="en-US"/>
        </w:rPr>
        <w:t xml:space="preserve"> […]</w:t>
      </w:r>
      <w:r w:rsidRPr="002E60EB">
        <w:rPr>
          <w:lang w:val="en-US"/>
        </w:rPr>
        <w:t xml:space="preserve"> in February 2011 to work with members of the Vélez Restrepo family</w:t>
      </w:r>
      <w:r w:rsidR="001809D2" w:rsidRPr="002E60EB">
        <w:rPr>
          <w:lang w:val="en-US"/>
        </w:rPr>
        <w:t xml:space="preserve"> for several days</w:t>
      </w:r>
      <w:r w:rsidRPr="002E60EB">
        <w:rPr>
          <w:lang w:val="en-US"/>
        </w:rPr>
        <w:t>.</w:t>
      </w:r>
      <w:r w:rsidR="00087093" w:rsidRPr="002E60EB">
        <w:rPr>
          <w:lang w:val="en-US"/>
        </w:rPr>
        <w:t>”</w:t>
      </w:r>
      <w:r w:rsidRPr="002E60EB">
        <w:rPr>
          <w:lang w:val="en-US"/>
        </w:rPr>
        <w:t xml:space="preserve"> </w:t>
      </w:r>
      <w:r w:rsidRPr="002E60EB">
        <w:rPr>
          <w:lang w:val="en-US" w:eastAsia="es-ES"/>
        </w:rPr>
        <w:t>In his final written arguments</w:t>
      </w:r>
      <w:r w:rsidR="001809D2" w:rsidRPr="002E60EB">
        <w:rPr>
          <w:lang w:val="en-US" w:eastAsia="es-ES"/>
        </w:rPr>
        <w:t>,</w:t>
      </w:r>
      <w:r w:rsidRPr="002E60EB">
        <w:rPr>
          <w:lang w:val="en-US" w:eastAsia="es-ES"/>
        </w:rPr>
        <w:t xml:space="preserve"> he </w:t>
      </w:r>
      <w:r w:rsidR="001809D2" w:rsidRPr="002E60EB">
        <w:rPr>
          <w:lang w:val="en-US" w:eastAsia="es-ES"/>
        </w:rPr>
        <w:t xml:space="preserve">asked </w:t>
      </w:r>
      <w:r w:rsidRPr="002E60EB">
        <w:rPr>
          <w:lang w:val="en-US" w:eastAsia="es-ES"/>
        </w:rPr>
        <w:t>that</w:t>
      </w:r>
      <w:r w:rsidR="001809D2" w:rsidRPr="002E60EB">
        <w:rPr>
          <w:lang w:val="en-US" w:eastAsia="es-ES"/>
        </w:rPr>
        <w:t>, for</w:t>
      </w:r>
      <w:r w:rsidRPr="002E60EB">
        <w:rPr>
          <w:lang w:val="en-US" w:eastAsia="es-ES"/>
        </w:rPr>
        <w:t xml:space="preserve"> the concept of costs and expenses</w:t>
      </w:r>
      <w:r w:rsidR="001809D2" w:rsidRPr="002E60EB">
        <w:rPr>
          <w:lang w:val="en-US" w:eastAsia="es-ES"/>
        </w:rPr>
        <w:t>,</w:t>
      </w:r>
      <w:r w:rsidRPr="002E60EB">
        <w:rPr>
          <w:lang w:val="en-US" w:eastAsia="es-ES"/>
        </w:rPr>
        <w:t xml:space="preserve"> the Court order</w:t>
      </w:r>
      <w:r w:rsidR="001809D2" w:rsidRPr="002E60EB">
        <w:rPr>
          <w:lang w:val="en-US" w:eastAsia="es-ES"/>
        </w:rPr>
        <w:t>,</w:t>
      </w:r>
      <w:r w:rsidRPr="002E60EB">
        <w:rPr>
          <w:lang w:val="en-US" w:eastAsia="es-ES"/>
        </w:rPr>
        <w:t xml:space="preserve"> </w:t>
      </w:r>
      <w:r w:rsidR="00087093" w:rsidRPr="002E60EB">
        <w:rPr>
          <w:lang w:val="en-US" w:eastAsia="es-ES"/>
        </w:rPr>
        <w:t>“</w:t>
      </w:r>
      <w:r w:rsidRPr="002E60EB">
        <w:rPr>
          <w:lang w:val="en-US" w:eastAsia="es-ES"/>
        </w:rPr>
        <w:t>in equity</w:t>
      </w:r>
      <w:r w:rsidR="001809D2" w:rsidRPr="002E60EB">
        <w:rPr>
          <w:lang w:val="en-US" w:eastAsia="es-ES"/>
        </w:rPr>
        <w:t>,</w:t>
      </w:r>
      <w:r w:rsidRPr="002E60EB">
        <w:rPr>
          <w:lang w:val="en-US" w:eastAsia="es-ES"/>
        </w:rPr>
        <w:t xml:space="preserve"> </w:t>
      </w:r>
      <w:r w:rsidR="001809D2" w:rsidRPr="002E60EB">
        <w:rPr>
          <w:lang w:val="en-US" w:eastAsia="es-ES"/>
        </w:rPr>
        <w:t>the</w:t>
      </w:r>
      <w:r w:rsidRPr="002E60EB">
        <w:rPr>
          <w:lang w:val="en-US" w:eastAsia="es-ES"/>
        </w:rPr>
        <w:t xml:space="preserve"> payment of US$10,000 </w:t>
      </w:r>
      <w:r w:rsidR="001809D2" w:rsidRPr="002E60EB">
        <w:rPr>
          <w:lang w:val="en-US" w:eastAsia="es-ES"/>
        </w:rPr>
        <w:t>in recognition of</w:t>
      </w:r>
      <w:r w:rsidRPr="002E60EB">
        <w:rPr>
          <w:lang w:val="en-US" w:eastAsia="es-ES"/>
        </w:rPr>
        <w:t xml:space="preserve"> the work </w:t>
      </w:r>
      <w:r w:rsidR="001809D2" w:rsidRPr="002E60EB">
        <w:rPr>
          <w:lang w:val="en-US" w:eastAsia="es-ES"/>
        </w:rPr>
        <w:t xml:space="preserve">[he] and [his] team had </w:t>
      </w:r>
      <w:r w:rsidRPr="002E60EB">
        <w:rPr>
          <w:lang w:val="en-US" w:eastAsia="es-ES"/>
        </w:rPr>
        <w:t xml:space="preserve">carried out before the </w:t>
      </w:r>
      <w:r w:rsidR="00FF539B" w:rsidRPr="002E60EB">
        <w:rPr>
          <w:lang w:val="en-US" w:eastAsia="es-ES"/>
        </w:rPr>
        <w:t>i</w:t>
      </w:r>
      <w:r w:rsidRPr="002E60EB">
        <w:rPr>
          <w:lang w:val="en-US" w:eastAsia="es-ES"/>
        </w:rPr>
        <w:t xml:space="preserve">nter-American </w:t>
      </w:r>
      <w:r w:rsidR="00FF539B" w:rsidRPr="002E60EB">
        <w:rPr>
          <w:lang w:val="en-US" w:eastAsia="es-ES"/>
        </w:rPr>
        <w:t>s</w:t>
      </w:r>
      <w:r w:rsidRPr="002E60EB">
        <w:rPr>
          <w:lang w:val="en-US" w:eastAsia="es-ES"/>
        </w:rPr>
        <w:t>ystem as well as other expenses incurred during the litigation.</w:t>
      </w:r>
      <w:r w:rsidR="00087093" w:rsidRPr="002E60EB">
        <w:rPr>
          <w:lang w:val="en-US" w:eastAsia="es-ES"/>
        </w:rPr>
        <w:t>”</w:t>
      </w:r>
      <w:r w:rsidRPr="002E60EB">
        <w:rPr>
          <w:lang w:val="en-US" w:eastAsia="es-ES"/>
        </w:rPr>
        <w:t xml:space="preserve"> </w:t>
      </w:r>
    </w:p>
    <w:p w:rsidR="0004795A" w:rsidRPr="002E60EB" w:rsidRDefault="0004795A" w:rsidP="008C5C78">
      <w:pPr>
        <w:pStyle w:val="Prrafodelista"/>
        <w:ind w:left="0"/>
        <w:rPr>
          <w:sz w:val="20"/>
          <w:szCs w:val="20"/>
          <w:lang w:val="en-US"/>
        </w:rPr>
      </w:pPr>
    </w:p>
    <w:p w:rsidR="0004795A" w:rsidRPr="002E60EB" w:rsidRDefault="001809D2" w:rsidP="008C5C78">
      <w:pPr>
        <w:numPr>
          <w:ilvl w:val="0"/>
          <w:numId w:val="19"/>
        </w:numPr>
        <w:tabs>
          <w:tab w:val="clear" w:pos="680"/>
        </w:tabs>
        <w:jc w:val="both"/>
        <w:rPr>
          <w:lang w:val="en-US"/>
        </w:rPr>
      </w:pPr>
      <w:r w:rsidRPr="002E60EB">
        <w:rPr>
          <w:lang w:val="en-US"/>
        </w:rPr>
        <w:t>Regarding</w:t>
      </w:r>
      <w:r w:rsidR="0004795A" w:rsidRPr="002E60EB">
        <w:rPr>
          <w:lang w:val="en-US"/>
        </w:rPr>
        <w:t xml:space="preserve"> costs and expenses, the State indicated that </w:t>
      </w:r>
      <w:r w:rsidR="00087093" w:rsidRPr="002E60EB">
        <w:rPr>
          <w:lang w:val="en-US"/>
        </w:rPr>
        <w:t>“</w:t>
      </w:r>
      <w:r w:rsidR="0004795A" w:rsidRPr="002E60EB">
        <w:rPr>
          <w:lang w:val="en-US"/>
        </w:rPr>
        <w:t xml:space="preserve">it </w:t>
      </w:r>
      <w:r w:rsidRPr="002E60EB">
        <w:rPr>
          <w:lang w:val="en-US"/>
        </w:rPr>
        <w:t>would abide by</w:t>
      </w:r>
      <w:r w:rsidR="0004795A" w:rsidRPr="002E60EB">
        <w:rPr>
          <w:lang w:val="en-US"/>
        </w:rPr>
        <w:t xml:space="preserve"> what is prove</w:t>
      </w:r>
      <w:r w:rsidRPr="002E60EB">
        <w:rPr>
          <w:lang w:val="en-US"/>
        </w:rPr>
        <w:t>d</w:t>
      </w:r>
      <w:r w:rsidR="0004795A" w:rsidRPr="002E60EB">
        <w:rPr>
          <w:lang w:val="en-US"/>
        </w:rPr>
        <w:t xml:space="preserve"> before the</w:t>
      </w:r>
      <w:r w:rsidRPr="002E60EB">
        <w:rPr>
          <w:lang w:val="en-US"/>
        </w:rPr>
        <w:t xml:space="preserve"> […] </w:t>
      </w:r>
      <w:r w:rsidR="0004795A" w:rsidRPr="002E60EB">
        <w:rPr>
          <w:lang w:val="en-US"/>
        </w:rPr>
        <w:t>Court.</w:t>
      </w:r>
      <w:r w:rsidR="00087093" w:rsidRPr="002E60EB">
        <w:rPr>
          <w:lang w:val="en-US"/>
        </w:rPr>
        <w:t>”</w:t>
      </w:r>
      <w:r w:rsidR="0004795A" w:rsidRPr="002E60EB">
        <w:rPr>
          <w:lang w:val="en-US"/>
        </w:rPr>
        <w:t xml:space="preserve"> </w:t>
      </w:r>
    </w:p>
    <w:p w:rsidR="0004795A" w:rsidRPr="002E60EB" w:rsidRDefault="0004795A" w:rsidP="008C5C78">
      <w:pPr>
        <w:pStyle w:val="Prrafodelista"/>
        <w:ind w:left="0"/>
        <w:rPr>
          <w:sz w:val="20"/>
          <w:szCs w:val="20"/>
          <w:lang w:val="en-US"/>
        </w:rPr>
      </w:pPr>
    </w:p>
    <w:p w:rsidR="0004795A" w:rsidRPr="002E60EB" w:rsidRDefault="0004795A" w:rsidP="008C5C78">
      <w:pPr>
        <w:numPr>
          <w:ilvl w:val="0"/>
          <w:numId w:val="19"/>
        </w:numPr>
        <w:tabs>
          <w:tab w:val="clear" w:pos="680"/>
        </w:tabs>
        <w:jc w:val="both"/>
        <w:rPr>
          <w:lang w:val="en-US"/>
        </w:rPr>
      </w:pPr>
      <w:r w:rsidRPr="002E60EB">
        <w:rPr>
          <w:lang w:val="en-US"/>
        </w:rPr>
        <w:t>The Court reiterates that</w:t>
      </w:r>
      <w:r w:rsidR="001809D2" w:rsidRPr="002E60EB">
        <w:rPr>
          <w:lang w:val="en-US"/>
        </w:rPr>
        <w:t>, in keeping with its case law,</w:t>
      </w:r>
      <w:r w:rsidR="001809D2" w:rsidRPr="002E60EB">
        <w:rPr>
          <w:rStyle w:val="Refdenotaalpie"/>
          <w:lang w:val="en-US"/>
        </w:rPr>
        <w:footnoteReference w:id="278"/>
      </w:r>
      <w:r w:rsidR="001809D2" w:rsidRPr="002E60EB">
        <w:rPr>
          <w:lang w:val="en-US"/>
        </w:rPr>
        <w:t xml:space="preserve"> </w:t>
      </w:r>
      <w:r w:rsidRPr="002E60EB">
        <w:rPr>
          <w:lang w:val="en-US"/>
        </w:rPr>
        <w:t xml:space="preserve">costs and expenses </w:t>
      </w:r>
      <w:r w:rsidR="001809D2" w:rsidRPr="002E60EB">
        <w:rPr>
          <w:lang w:val="en-US"/>
        </w:rPr>
        <w:t>form</w:t>
      </w:r>
      <w:r w:rsidRPr="002E60EB">
        <w:rPr>
          <w:lang w:val="en-US"/>
        </w:rPr>
        <w:t xml:space="preserve"> part of the concept of reparation, provided that the </w:t>
      </w:r>
      <w:r w:rsidR="001809D2" w:rsidRPr="002E60EB">
        <w:rPr>
          <w:lang w:val="en-US"/>
        </w:rPr>
        <w:t>measures taken</w:t>
      </w:r>
      <w:r w:rsidRPr="002E60EB">
        <w:rPr>
          <w:lang w:val="en-US"/>
        </w:rPr>
        <w:t xml:space="preserve"> by the victims </w:t>
      </w:r>
      <w:r w:rsidR="001809D2" w:rsidRPr="002E60EB">
        <w:rPr>
          <w:lang w:val="en-US"/>
        </w:rPr>
        <w:t>in order to</w:t>
      </w:r>
      <w:r w:rsidRPr="002E60EB">
        <w:rPr>
          <w:lang w:val="en-US"/>
        </w:rPr>
        <w:t xml:space="preserve"> </w:t>
      </w:r>
      <w:r w:rsidR="001809D2" w:rsidRPr="002E60EB">
        <w:rPr>
          <w:lang w:val="en-US"/>
        </w:rPr>
        <w:t>obtain</w:t>
      </w:r>
      <w:r w:rsidRPr="002E60EB">
        <w:rPr>
          <w:lang w:val="en-US"/>
        </w:rPr>
        <w:t xml:space="preserve"> justice, </w:t>
      </w:r>
      <w:r w:rsidR="001809D2" w:rsidRPr="002E60EB">
        <w:rPr>
          <w:lang w:val="en-US"/>
        </w:rPr>
        <w:t xml:space="preserve">at </w:t>
      </w:r>
      <w:r w:rsidRPr="002E60EB">
        <w:rPr>
          <w:lang w:val="en-US"/>
        </w:rPr>
        <w:t xml:space="preserve">both </w:t>
      </w:r>
      <w:r w:rsidR="001809D2" w:rsidRPr="002E60EB">
        <w:rPr>
          <w:lang w:val="en-US"/>
        </w:rPr>
        <w:t xml:space="preserve">the </w:t>
      </w:r>
      <w:r w:rsidRPr="002E60EB">
        <w:rPr>
          <w:lang w:val="en-US"/>
        </w:rPr>
        <w:t>national and</w:t>
      </w:r>
      <w:r w:rsidR="001809D2" w:rsidRPr="002E60EB">
        <w:rPr>
          <w:lang w:val="en-US"/>
        </w:rPr>
        <w:t xml:space="preserve"> the</w:t>
      </w:r>
      <w:r w:rsidRPr="002E60EB">
        <w:rPr>
          <w:lang w:val="en-US"/>
        </w:rPr>
        <w:t xml:space="preserve"> international</w:t>
      </w:r>
      <w:r w:rsidR="001809D2" w:rsidRPr="002E60EB">
        <w:rPr>
          <w:lang w:val="en-US"/>
        </w:rPr>
        <w:t xml:space="preserve"> level</w:t>
      </w:r>
      <w:r w:rsidRPr="002E60EB">
        <w:rPr>
          <w:lang w:val="en-US"/>
        </w:rPr>
        <w:t xml:space="preserve">, </w:t>
      </w:r>
      <w:r w:rsidR="001809D2" w:rsidRPr="002E60EB">
        <w:rPr>
          <w:lang w:val="en-US"/>
        </w:rPr>
        <w:t xml:space="preserve">entail </w:t>
      </w:r>
      <w:r w:rsidRPr="002E60EB">
        <w:rPr>
          <w:lang w:val="en-US"/>
        </w:rPr>
        <w:t xml:space="preserve">expenditure that must be compensated when the State’s international responsibility is declared </w:t>
      </w:r>
      <w:r w:rsidR="001809D2" w:rsidRPr="002E60EB">
        <w:rPr>
          <w:lang w:val="en-US"/>
        </w:rPr>
        <w:t xml:space="preserve">in a </w:t>
      </w:r>
      <w:r w:rsidR="008C5C78" w:rsidRPr="002E60EB">
        <w:rPr>
          <w:lang w:val="en-US"/>
        </w:rPr>
        <w:t>judgment</w:t>
      </w:r>
      <w:r w:rsidR="001809D2" w:rsidRPr="002E60EB">
        <w:rPr>
          <w:lang w:val="en-US"/>
        </w:rPr>
        <w:t xml:space="preserve">. </w:t>
      </w:r>
      <w:r w:rsidRPr="002E60EB">
        <w:rPr>
          <w:lang w:val="en-US"/>
        </w:rPr>
        <w:t xml:space="preserve">Regarding their reimbursement, the </w:t>
      </w:r>
      <w:r w:rsidR="00D00C5F" w:rsidRPr="002E60EB">
        <w:rPr>
          <w:lang w:val="en-US"/>
        </w:rPr>
        <w:t>Court</w:t>
      </w:r>
      <w:r w:rsidRPr="002E60EB">
        <w:rPr>
          <w:lang w:val="en-US"/>
        </w:rPr>
        <w:t xml:space="preserve"> must prudently assess their scope, which includes the expenses generated before the authorities of the domestic jurisdiction, as well as those generated </w:t>
      </w:r>
      <w:r w:rsidR="001809D2" w:rsidRPr="002E60EB">
        <w:rPr>
          <w:lang w:val="en-US"/>
        </w:rPr>
        <w:t xml:space="preserve">during </w:t>
      </w:r>
      <w:r w:rsidRPr="002E60EB">
        <w:rPr>
          <w:lang w:val="en-US"/>
        </w:rPr>
        <w:t xml:space="preserve">the proceedings before this Court, taking into </w:t>
      </w:r>
      <w:r w:rsidR="001809D2" w:rsidRPr="002E60EB">
        <w:rPr>
          <w:lang w:val="en-US"/>
        </w:rPr>
        <w:t xml:space="preserve">account </w:t>
      </w:r>
      <w:r w:rsidRPr="002E60EB">
        <w:rPr>
          <w:lang w:val="en-US"/>
        </w:rPr>
        <w:t xml:space="preserve">the circumstances of the specific case and the nature of the international jurisdiction for the protection of human rights. This assessment can be made based on the principle of equity and taking into consideration the expenses </w:t>
      </w:r>
      <w:r w:rsidR="001809D2" w:rsidRPr="002E60EB">
        <w:rPr>
          <w:lang w:val="en-US"/>
        </w:rPr>
        <w:t xml:space="preserve">indicated </w:t>
      </w:r>
      <w:r w:rsidR="008C5C78" w:rsidRPr="002E60EB">
        <w:rPr>
          <w:lang w:val="en-US"/>
        </w:rPr>
        <w:t>by the parties, provided</w:t>
      </w:r>
      <w:r w:rsidRPr="002E60EB">
        <w:rPr>
          <w:lang w:val="en-US"/>
        </w:rPr>
        <w:t xml:space="preserve"> their </w:t>
      </w:r>
      <w:r w:rsidRPr="002E60EB">
        <w:rPr>
          <w:i/>
          <w:lang w:val="en-US"/>
        </w:rPr>
        <w:t xml:space="preserve">quantum </w:t>
      </w:r>
      <w:r w:rsidRPr="002E60EB">
        <w:rPr>
          <w:lang w:val="en-US"/>
        </w:rPr>
        <w:t>is reasonable.</w:t>
      </w:r>
    </w:p>
    <w:p w:rsidR="0004795A" w:rsidRPr="002E60EB" w:rsidRDefault="0004795A" w:rsidP="008C5C78">
      <w:pPr>
        <w:pStyle w:val="Prrafodelista2"/>
        <w:tabs>
          <w:tab w:val="left" w:pos="720"/>
        </w:tabs>
        <w:ind w:left="0"/>
        <w:contextualSpacing/>
        <w:jc w:val="both"/>
        <w:rPr>
          <w:lang w:val="en-US"/>
        </w:rPr>
      </w:pPr>
    </w:p>
    <w:p w:rsidR="0004795A" w:rsidRPr="002E60EB" w:rsidRDefault="0004795A" w:rsidP="008C5C78">
      <w:pPr>
        <w:numPr>
          <w:ilvl w:val="0"/>
          <w:numId w:val="19"/>
        </w:numPr>
        <w:tabs>
          <w:tab w:val="clear" w:pos="680"/>
        </w:tabs>
        <w:jc w:val="both"/>
        <w:rPr>
          <w:lang w:val="en-US"/>
        </w:rPr>
      </w:pPr>
      <w:r w:rsidRPr="002E60EB">
        <w:rPr>
          <w:lang w:val="en-US"/>
        </w:rPr>
        <w:t xml:space="preserve">The </w:t>
      </w:r>
      <w:r w:rsidR="00D00C5F" w:rsidRPr="002E60EB">
        <w:rPr>
          <w:lang w:val="en-US"/>
        </w:rPr>
        <w:t>Court</w:t>
      </w:r>
      <w:r w:rsidRPr="002E60EB">
        <w:rPr>
          <w:lang w:val="en-US"/>
        </w:rPr>
        <w:t xml:space="preserve"> has </w:t>
      </w:r>
      <w:r w:rsidR="001809D2" w:rsidRPr="002E60EB">
        <w:rPr>
          <w:lang w:val="en-US"/>
        </w:rPr>
        <w:t xml:space="preserve">indicated </w:t>
      </w:r>
      <w:r w:rsidRPr="002E60EB">
        <w:rPr>
          <w:lang w:val="en-US"/>
        </w:rPr>
        <w:t xml:space="preserve">that </w:t>
      </w:r>
      <w:r w:rsidR="00087093" w:rsidRPr="002E60EB">
        <w:rPr>
          <w:lang w:val="en-US"/>
        </w:rPr>
        <w:t>“</w:t>
      </w:r>
      <w:r w:rsidRPr="002E60EB">
        <w:rPr>
          <w:lang w:val="en-US"/>
        </w:rPr>
        <w:t xml:space="preserve">the claims </w:t>
      </w:r>
      <w:r w:rsidR="001809D2" w:rsidRPr="002E60EB">
        <w:rPr>
          <w:lang w:val="en-US"/>
        </w:rPr>
        <w:t>of</w:t>
      </w:r>
      <w:r w:rsidRPr="002E60EB">
        <w:rPr>
          <w:lang w:val="en-US"/>
        </w:rPr>
        <w:t xml:space="preserve"> the victims or their representatives</w:t>
      </w:r>
      <w:r w:rsidR="00847495" w:rsidRPr="002E60EB">
        <w:rPr>
          <w:lang w:val="en-US"/>
        </w:rPr>
        <w:t xml:space="preserve"> regarding</w:t>
      </w:r>
      <w:r w:rsidRPr="002E60EB">
        <w:rPr>
          <w:lang w:val="en-US"/>
        </w:rPr>
        <w:t xml:space="preserve"> costs and expenses, and the </w:t>
      </w:r>
      <w:r w:rsidR="00847495" w:rsidRPr="002E60EB">
        <w:rPr>
          <w:lang w:val="en-US"/>
        </w:rPr>
        <w:t xml:space="preserve">supporting </w:t>
      </w:r>
      <w:r w:rsidRPr="002E60EB">
        <w:rPr>
          <w:lang w:val="en-US"/>
        </w:rPr>
        <w:t xml:space="preserve">evidence, must be presented to the Court </w:t>
      </w:r>
      <w:r w:rsidR="00847495" w:rsidRPr="002E60EB">
        <w:rPr>
          <w:lang w:val="en-US"/>
        </w:rPr>
        <w:t>at</w:t>
      </w:r>
      <w:r w:rsidRPr="002E60EB">
        <w:rPr>
          <w:lang w:val="en-US"/>
        </w:rPr>
        <w:t xml:space="preserve"> the first procedural moment granted to them</w:t>
      </w:r>
      <w:r w:rsidR="00847495" w:rsidRPr="002E60EB">
        <w:rPr>
          <w:lang w:val="en-US"/>
        </w:rPr>
        <w:t>;</w:t>
      </w:r>
      <w:r w:rsidRPr="002E60EB">
        <w:rPr>
          <w:lang w:val="en-US"/>
        </w:rPr>
        <w:t xml:space="preserve"> that is, in the pleadings and </w:t>
      </w:r>
      <w:r w:rsidR="00847495" w:rsidRPr="002E60EB">
        <w:rPr>
          <w:lang w:val="en-US"/>
        </w:rPr>
        <w:t>motions brief, without prejudice to the</w:t>
      </w:r>
      <w:r w:rsidRPr="002E60EB">
        <w:rPr>
          <w:lang w:val="en-US"/>
        </w:rPr>
        <w:t xml:space="preserve"> said claims </w:t>
      </w:r>
      <w:r w:rsidR="00847495" w:rsidRPr="002E60EB">
        <w:rPr>
          <w:lang w:val="en-US"/>
        </w:rPr>
        <w:t xml:space="preserve">being </w:t>
      </w:r>
      <w:r w:rsidRPr="002E60EB">
        <w:rPr>
          <w:lang w:val="en-US"/>
        </w:rPr>
        <w:t xml:space="preserve">updated at a later time, </w:t>
      </w:r>
      <w:r w:rsidR="00847495" w:rsidRPr="002E60EB">
        <w:rPr>
          <w:lang w:val="en-US"/>
        </w:rPr>
        <w:t xml:space="preserve">in accordance </w:t>
      </w:r>
      <w:r w:rsidRPr="002E60EB">
        <w:rPr>
          <w:lang w:val="en-US"/>
        </w:rPr>
        <w:t>with the new costs and expenses incurred as a result of the proceedings before this Court.</w:t>
      </w:r>
      <w:r w:rsidR="00087093" w:rsidRPr="002E60EB">
        <w:rPr>
          <w:lang w:val="en-US"/>
        </w:rPr>
        <w:t>”</w:t>
      </w:r>
      <w:r w:rsidR="00847495" w:rsidRPr="002E60EB">
        <w:rPr>
          <w:vertAlign w:val="superscript"/>
          <w:lang w:val="en-US"/>
        </w:rPr>
        <w:footnoteReference w:id="279"/>
      </w:r>
      <w:r w:rsidRPr="002E60EB">
        <w:rPr>
          <w:lang w:val="en-US"/>
        </w:rPr>
        <w:t xml:space="preserve"> </w:t>
      </w:r>
      <w:r w:rsidR="00847495" w:rsidRPr="002E60EB">
        <w:rPr>
          <w:lang w:val="en-US"/>
        </w:rPr>
        <w:t>In addition, the</w:t>
      </w:r>
      <w:r w:rsidRPr="002E60EB">
        <w:rPr>
          <w:lang w:val="en-US"/>
        </w:rPr>
        <w:t xml:space="preserve"> Court reiterates</w:t>
      </w:r>
      <w:r w:rsidR="008C5C78" w:rsidRPr="002E60EB">
        <w:rPr>
          <w:lang w:val="en-US"/>
        </w:rPr>
        <w:t xml:space="preserve"> that</w:t>
      </w:r>
      <w:r w:rsidR="00847495" w:rsidRPr="002E60EB">
        <w:rPr>
          <w:lang w:val="en-US"/>
        </w:rPr>
        <w:t xml:space="preserve"> it is not sufficient to </w:t>
      </w:r>
      <w:r w:rsidR="008C5C78" w:rsidRPr="002E60EB">
        <w:rPr>
          <w:lang w:val="en-US"/>
        </w:rPr>
        <w:t>merely submit</w:t>
      </w:r>
      <w:r w:rsidRPr="002E60EB">
        <w:rPr>
          <w:lang w:val="en-US"/>
        </w:rPr>
        <w:t xml:space="preserve"> </w:t>
      </w:r>
      <w:r w:rsidR="00847495" w:rsidRPr="002E60EB">
        <w:rPr>
          <w:lang w:val="en-US"/>
        </w:rPr>
        <w:t>probative</w:t>
      </w:r>
      <w:r w:rsidRPr="002E60EB">
        <w:rPr>
          <w:lang w:val="en-US"/>
        </w:rPr>
        <w:t xml:space="preserve"> documents;</w:t>
      </w:r>
      <w:r w:rsidR="00847495" w:rsidRPr="002E60EB">
        <w:rPr>
          <w:lang w:val="en-US"/>
        </w:rPr>
        <w:t xml:space="preserve"> but rather, the parties </w:t>
      </w:r>
      <w:r w:rsidR="008C5C78" w:rsidRPr="002E60EB">
        <w:rPr>
          <w:lang w:val="en-US"/>
        </w:rPr>
        <w:t>must</w:t>
      </w:r>
      <w:r w:rsidRPr="002E60EB">
        <w:rPr>
          <w:lang w:val="en-US"/>
        </w:rPr>
        <w:t xml:space="preserve"> present arguments </w:t>
      </w:r>
      <w:r w:rsidR="00847495" w:rsidRPr="002E60EB">
        <w:rPr>
          <w:lang w:val="en-US"/>
        </w:rPr>
        <w:t xml:space="preserve">relating </w:t>
      </w:r>
      <w:r w:rsidRPr="002E60EB">
        <w:rPr>
          <w:lang w:val="en-US"/>
        </w:rPr>
        <w:t xml:space="preserve">the evidence </w:t>
      </w:r>
      <w:r w:rsidR="00847495" w:rsidRPr="002E60EB">
        <w:rPr>
          <w:lang w:val="en-US"/>
        </w:rPr>
        <w:t>to</w:t>
      </w:r>
      <w:r w:rsidRPr="002E60EB">
        <w:rPr>
          <w:lang w:val="en-US"/>
        </w:rPr>
        <w:t xml:space="preserve"> the fact they consider </w:t>
      </w:r>
      <w:r w:rsidR="00847495" w:rsidRPr="002E60EB">
        <w:rPr>
          <w:lang w:val="en-US"/>
        </w:rPr>
        <w:t xml:space="preserve">it </w:t>
      </w:r>
      <w:r w:rsidRPr="002E60EB">
        <w:rPr>
          <w:lang w:val="en-US"/>
        </w:rPr>
        <w:t>represent</w:t>
      </w:r>
      <w:r w:rsidR="00847495" w:rsidRPr="002E60EB">
        <w:rPr>
          <w:lang w:val="en-US"/>
        </w:rPr>
        <w:t>s</w:t>
      </w:r>
      <w:r w:rsidR="008C5C78" w:rsidRPr="002E60EB">
        <w:rPr>
          <w:lang w:val="en-US"/>
        </w:rPr>
        <w:t xml:space="preserve"> and</w:t>
      </w:r>
      <w:r w:rsidRPr="002E60EB">
        <w:rPr>
          <w:lang w:val="en-US"/>
        </w:rPr>
        <w:t xml:space="preserve">, </w:t>
      </w:r>
      <w:r w:rsidR="00847495" w:rsidRPr="002E60EB">
        <w:rPr>
          <w:lang w:val="en-US"/>
        </w:rPr>
        <w:t>since this relates to alleged financial disbursements,</w:t>
      </w:r>
      <w:r w:rsidR="008C5C78" w:rsidRPr="002E60EB">
        <w:rPr>
          <w:lang w:val="en-US"/>
        </w:rPr>
        <w:t xml:space="preserve"> must clearly establish</w:t>
      </w:r>
      <w:r w:rsidR="00847495" w:rsidRPr="002E60EB">
        <w:rPr>
          <w:lang w:val="en-US"/>
        </w:rPr>
        <w:t xml:space="preserve"> </w:t>
      </w:r>
      <w:r w:rsidRPr="002E60EB">
        <w:rPr>
          <w:lang w:val="en-US"/>
        </w:rPr>
        <w:t>the items and their justification.</w:t>
      </w:r>
      <w:r w:rsidR="00847495" w:rsidRPr="002E60EB">
        <w:rPr>
          <w:vertAlign w:val="superscript"/>
          <w:lang w:val="en-US"/>
        </w:rPr>
        <w:footnoteReference w:id="280"/>
      </w:r>
      <w:r w:rsidRPr="002E60EB">
        <w:rPr>
          <w:lang w:val="en-US"/>
        </w:rPr>
        <w:t xml:space="preserve"> </w:t>
      </w:r>
    </w:p>
    <w:p w:rsidR="0004795A" w:rsidRPr="002E60EB" w:rsidRDefault="0004795A" w:rsidP="008C5C78">
      <w:pPr>
        <w:pStyle w:val="Prrafodelista2"/>
        <w:tabs>
          <w:tab w:val="left" w:pos="720"/>
        </w:tabs>
        <w:ind w:left="0"/>
        <w:contextualSpacing/>
        <w:jc w:val="both"/>
        <w:rPr>
          <w:lang w:val="en-US"/>
        </w:rPr>
      </w:pPr>
    </w:p>
    <w:p w:rsidR="0004795A" w:rsidRPr="002E60EB" w:rsidRDefault="0004795A" w:rsidP="008C5C78">
      <w:pPr>
        <w:numPr>
          <w:ilvl w:val="0"/>
          <w:numId w:val="19"/>
        </w:numPr>
        <w:tabs>
          <w:tab w:val="clear" w:pos="680"/>
        </w:tabs>
        <w:jc w:val="both"/>
        <w:rPr>
          <w:b/>
          <w:lang w:val="en-US"/>
        </w:rPr>
      </w:pPr>
      <w:r w:rsidRPr="002E60EB">
        <w:rPr>
          <w:lang w:val="en-US"/>
        </w:rPr>
        <w:t xml:space="preserve">In the </w:t>
      </w:r>
      <w:r w:rsidR="00847495" w:rsidRPr="002E60EB">
        <w:rPr>
          <w:lang w:val="en-US"/>
        </w:rPr>
        <w:t xml:space="preserve">instant </w:t>
      </w:r>
      <w:r w:rsidRPr="002E60EB">
        <w:rPr>
          <w:lang w:val="en-US"/>
        </w:rPr>
        <w:t xml:space="preserve">case, the Court has verified that the representative </w:t>
      </w:r>
      <w:r w:rsidR="00847495" w:rsidRPr="002E60EB">
        <w:rPr>
          <w:lang w:val="en-US"/>
        </w:rPr>
        <w:t>submitted vouchers for</w:t>
      </w:r>
      <w:r w:rsidRPr="002E60EB">
        <w:rPr>
          <w:lang w:val="en-US"/>
        </w:rPr>
        <w:t xml:space="preserve"> expenses in the amount of US$1,842.27 (one thousand eight hundred and forty two </w:t>
      </w:r>
      <w:r w:rsidR="00FF539B" w:rsidRPr="002E60EB">
        <w:rPr>
          <w:lang w:val="en-US"/>
        </w:rPr>
        <w:t>United States dollars</w:t>
      </w:r>
      <w:r w:rsidRPr="002E60EB">
        <w:rPr>
          <w:lang w:val="en-US"/>
        </w:rPr>
        <w:t xml:space="preserve"> </w:t>
      </w:r>
      <w:r w:rsidR="008C5C78" w:rsidRPr="002E60EB">
        <w:rPr>
          <w:lang w:val="en-US"/>
        </w:rPr>
        <w:t>and</w:t>
      </w:r>
      <w:r w:rsidRPr="002E60EB">
        <w:rPr>
          <w:lang w:val="en-US"/>
        </w:rPr>
        <w:t xml:space="preserve"> twenty-seven cents) corresponding to travel</w:t>
      </w:r>
      <w:r w:rsidR="00847495" w:rsidRPr="002E60EB">
        <w:rPr>
          <w:lang w:val="en-US"/>
        </w:rPr>
        <w:t>, accommodation</w:t>
      </w:r>
      <w:r w:rsidRPr="002E60EB">
        <w:rPr>
          <w:lang w:val="en-US"/>
        </w:rPr>
        <w:t xml:space="preserve"> and food in New York for three members of the International Human Rights Law Clinic of George Washington University in February 2011.</w:t>
      </w:r>
      <w:r w:rsidRPr="002E60EB">
        <w:rPr>
          <w:rStyle w:val="Refdenotaalpie"/>
          <w:lang w:val="en-US"/>
        </w:rPr>
        <w:footnoteReference w:id="281"/>
      </w:r>
      <w:r w:rsidRPr="002E60EB">
        <w:rPr>
          <w:lang w:val="en-US"/>
        </w:rPr>
        <w:t xml:space="preserve"> </w:t>
      </w:r>
      <w:r w:rsidR="00847495" w:rsidRPr="002E60EB">
        <w:rPr>
          <w:lang w:val="en-US"/>
        </w:rPr>
        <w:t>Consequently</w:t>
      </w:r>
      <w:r w:rsidRPr="002E60EB">
        <w:rPr>
          <w:lang w:val="en-US"/>
        </w:rPr>
        <w:t xml:space="preserve">, </w:t>
      </w:r>
      <w:r w:rsidR="00847495" w:rsidRPr="002E60EB">
        <w:rPr>
          <w:lang w:val="en-US"/>
        </w:rPr>
        <w:t xml:space="preserve">the </w:t>
      </w:r>
      <w:r w:rsidRPr="002E60EB">
        <w:rPr>
          <w:lang w:val="en-US"/>
        </w:rPr>
        <w:t xml:space="preserve">said expenses will be taken into account when determining the respective costs and expenses. </w:t>
      </w:r>
      <w:r w:rsidR="00847495" w:rsidRPr="002E60EB">
        <w:rPr>
          <w:lang w:val="en-US"/>
        </w:rPr>
        <w:t>In addition</w:t>
      </w:r>
      <w:r w:rsidRPr="002E60EB">
        <w:rPr>
          <w:lang w:val="en-US"/>
        </w:rPr>
        <w:t xml:space="preserve">, as it has in other cases, the </w:t>
      </w:r>
      <w:r w:rsidR="00D00C5F" w:rsidRPr="002E60EB">
        <w:rPr>
          <w:lang w:val="en-US"/>
        </w:rPr>
        <w:t>Court</w:t>
      </w:r>
      <w:r w:rsidRPr="002E60EB">
        <w:rPr>
          <w:lang w:val="en-US"/>
        </w:rPr>
        <w:t xml:space="preserve"> can infer that the representative incurred expenses in the processing of the case before the </w:t>
      </w:r>
      <w:r w:rsidR="00847495" w:rsidRPr="002E60EB">
        <w:rPr>
          <w:lang w:val="en-US"/>
        </w:rPr>
        <w:t>i</w:t>
      </w:r>
      <w:r w:rsidRPr="002E60EB">
        <w:rPr>
          <w:lang w:val="en-US"/>
        </w:rPr>
        <w:t xml:space="preserve">nter-American </w:t>
      </w:r>
      <w:r w:rsidR="00847495" w:rsidRPr="002E60EB">
        <w:rPr>
          <w:lang w:val="en-US"/>
        </w:rPr>
        <w:t>h</w:t>
      </w:r>
      <w:r w:rsidRPr="002E60EB">
        <w:rPr>
          <w:lang w:val="en-US"/>
        </w:rPr>
        <w:t xml:space="preserve">uman </w:t>
      </w:r>
      <w:r w:rsidR="00847495" w:rsidRPr="002E60EB">
        <w:rPr>
          <w:lang w:val="en-US"/>
        </w:rPr>
        <w:t>r</w:t>
      </w:r>
      <w:r w:rsidRPr="002E60EB">
        <w:rPr>
          <w:lang w:val="en-US"/>
        </w:rPr>
        <w:t xml:space="preserve">ights </w:t>
      </w:r>
      <w:r w:rsidR="00847495" w:rsidRPr="002E60EB">
        <w:rPr>
          <w:lang w:val="en-US"/>
        </w:rPr>
        <w:t>s</w:t>
      </w:r>
      <w:r w:rsidRPr="002E60EB">
        <w:rPr>
          <w:lang w:val="en-US"/>
        </w:rPr>
        <w:t>ystem</w:t>
      </w:r>
      <w:r w:rsidRPr="002E60EB">
        <w:rPr>
          <w:bCs/>
          <w:iCs/>
          <w:lang w:val="en-US"/>
        </w:rPr>
        <w:t>.</w:t>
      </w:r>
    </w:p>
    <w:p w:rsidR="0004795A" w:rsidRPr="002E60EB" w:rsidRDefault="0004795A" w:rsidP="008C5C78">
      <w:pPr>
        <w:pStyle w:val="Prrafodelista"/>
        <w:ind w:left="0"/>
        <w:rPr>
          <w:b/>
          <w:sz w:val="20"/>
          <w:szCs w:val="20"/>
          <w:lang w:val="en-US"/>
        </w:rPr>
      </w:pPr>
    </w:p>
    <w:p w:rsidR="0004795A" w:rsidRPr="002E60EB" w:rsidRDefault="0004795A" w:rsidP="008C5C78">
      <w:pPr>
        <w:numPr>
          <w:ilvl w:val="0"/>
          <w:numId w:val="19"/>
        </w:numPr>
        <w:tabs>
          <w:tab w:val="clear" w:pos="680"/>
        </w:tabs>
        <w:jc w:val="both"/>
        <w:rPr>
          <w:b/>
          <w:lang w:val="en-US"/>
        </w:rPr>
      </w:pPr>
      <w:r w:rsidRPr="002E60EB">
        <w:rPr>
          <w:lang w:val="en-US"/>
        </w:rPr>
        <w:t xml:space="preserve">Therefore, the Court </w:t>
      </w:r>
      <w:r w:rsidR="00847495" w:rsidRPr="002E60EB">
        <w:rPr>
          <w:lang w:val="en-US"/>
        </w:rPr>
        <w:t xml:space="preserve">establishes, </w:t>
      </w:r>
      <w:r w:rsidRPr="002E60EB">
        <w:rPr>
          <w:lang w:val="en-US"/>
        </w:rPr>
        <w:t>in equity</w:t>
      </w:r>
      <w:r w:rsidR="00847495" w:rsidRPr="002E60EB">
        <w:rPr>
          <w:lang w:val="en-US"/>
        </w:rPr>
        <w:t xml:space="preserve">, </w:t>
      </w:r>
      <w:r w:rsidRPr="002E60EB">
        <w:rPr>
          <w:lang w:val="en-US"/>
        </w:rPr>
        <w:t xml:space="preserve">the </w:t>
      </w:r>
      <w:r w:rsidR="00847495" w:rsidRPr="002E60EB">
        <w:rPr>
          <w:lang w:val="en-US"/>
        </w:rPr>
        <w:t xml:space="preserve">sum </w:t>
      </w:r>
      <w:r w:rsidRPr="002E60EB">
        <w:rPr>
          <w:lang w:val="en-US"/>
        </w:rPr>
        <w:t>of US</w:t>
      </w:r>
      <w:r w:rsidR="00847495" w:rsidRPr="002E60EB">
        <w:rPr>
          <w:lang w:val="en-US"/>
        </w:rPr>
        <w:t xml:space="preserve">$9,000 </w:t>
      </w:r>
      <w:r w:rsidR="00847495" w:rsidRPr="002E60EB">
        <w:rPr>
          <w:spacing w:val="-2"/>
          <w:lang w:val="en-US"/>
        </w:rPr>
        <w:t xml:space="preserve">(nine thousand </w:t>
      </w:r>
      <w:r w:rsidR="00FF539B" w:rsidRPr="002E60EB">
        <w:rPr>
          <w:spacing w:val="-2"/>
          <w:lang w:val="en-US"/>
        </w:rPr>
        <w:t>United States dollars</w:t>
      </w:r>
      <w:r w:rsidRPr="002E60EB">
        <w:rPr>
          <w:spacing w:val="-2"/>
          <w:lang w:val="en-US"/>
        </w:rPr>
        <w:t xml:space="preserve">) </w:t>
      </w:r>
      <w:r w:rsidR="00FF539B" w:rsidRPr="002E60EB">
        <w:rPr>
          <w:spacing w:val="-2"/>
          <w:lang w:val="en-US"/>
        </w:rPr>
        <w:t>for</w:t>
      </w:r>
      <w:r w:rsidRPr="002E60EB">
        <w:rPr>
          <w:spacing w:val="-2"/>
          <w:lang w:val="en-US"/>
        </w:rPr>
        <w:t xml:space="preserve"> costs and expenses in favor of </w:t>
      </w:r>
      <w:r w:rsidRPr="002E60EB">
        <w:rPr>
          <w:lang w:val="en-US"/>
        </w:rPr>
        <w:t xml:space="preserve">Arturo J. </w:t>
      </w:r>
      <w:r w:rsidR="00334C3C" w:rsidRPr="002E60EB">
        <w:rPr>
          <w:lang w:val="en-US"/>
        </w:rPr>
        <w:t>Carrillo</w:t>
      </w:r>
      <w:r w:rsidRPr="002E60EB">
        <w:rPr>
          <w:lang w:val="en-US"/>
        </w:rPr>
        <w:t>, the victims</w:t>
      </w:r>
      <w:r w:rsidR="00FF539B" w:rsidRPr="002E60EB">
        <w:rPr>
          <w:lang w:val="en-US"/>
        </w:rPr>
        <w:t xml:space="preserve">’ </w:t>
      </w:r>
      <w:r w:rsidR="00334C3C" w:rsidRPr="002E60EB">
        <w:rPr>
          <w:lang w:val="en-US"/>
        </w:rPr>
        <w:t>representative</w:t>
      </w:r>
      <w:r w:rsidRPr="002E60EB">
        <w:rPr>
          <w:spacing w:val="-2"/>
          <w:lang w:val="en-US"/>
        </w:rPr>
        <w:t xml:space="preserve">. </w:t>
      </w:r>
    </w:p>
    <w:p w:rsidR="0004795A" w:rsidRPr="002E60EB" w:rsidRDefault="0004795A" w:rsidP="002711CF">
      <w:pPr>
        <w:widowControl w:val="0"/>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Batang"/>
          <w:b/>
          <w:bCs/>
          <w:lang w:val="en-US"/>
        </w:rPr>
      </w:pPr>
    </w:p>
    <w:p w:rsidR="0004795A" w:rsidRPr="002E60EB" w:rsidRDefault="0004795A" w:rsidP="00260DED">
      <w:pPr>
        <w:widowControl w:val="0"/>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en-US"/>
        </w:rPr>
      </w:pPr>
      <w:r w:rsidRPr="002E60EB">
        <w:rPr>
          <w:rFonts w:eastAsia="Batang"/>
          <w:b/>
          <w:bCs/>
          <w:lang w:val="en-US"/>
        </w:rPr>
        <w:tab/>
      </w:r>
      <w:r w:rsidRPr="002E60EB">
        <w:rPr>
          <w:rFonts w:eastAsia="Batang"/>
          <w:b/>
          <w:bCs/>
          <w:lang w:val="en-US"/>
        </w:rPr>
        <w:tab/>
      </w:r>
      <w:r w:rsidR="00484F43" w:rsidRPr="002E60EB">
        <w:rPr>
          <w:rFonts w:eastAsia="Batang"/>
          <w:b/>
          <w:bCs/>
          <w:lang w:val="en-US"/>
        </w:rPr>
        <w:t>F</w:t>
      </w:r>
      <w:r w:rsidRPr="002E60EB">
        <w:rPr>
          <w:rFonts w:eastAsia="Batang"/>
          <w:b/>
          <w:bCs/>
          <w:lang w:val="en-US"/>
        </w:rPr>
        <w:t xml:space="preserve">) </w:t>
      </w:r>
      <w:r w:rsidR="00FF539B" w:rsidRPr="002E60EB">
        <w:rPr>
          <w:b/>
          <w:bCs/>
          <w:i/>
          <w:lang w:val="en-US"/>
        </w:rPr>
        <w:t xml:space="preserve">Method </w:t>
      </w:r>
      <w:r w:rsidRPr="002E60EB">
        <w:rPr>
          <w:b/>
          <w:bCs/>
          <w:i/>
          <w:lang w:val="en-US"/>
        </w:rPr>
        <w:t xml:space="preserve">of </w:t>
      </w:r>
      <w:r w:rsidR="00FF539B" w:rsidRPr="002E60EB">
        <w:rPr>
          <w:b/>
          <w:bCs/>
          <w:i/>
          <w:lang w:val="en-US"/>
        </w:rPr>
        <w:t>complying with</w:t>
      </w:r>
      <w:r w:rsidRPr="002E60EB">
        <w:rPr>
          <w:b/>
          <w:bCs/>
          <w:i/>
          <w:lang w:val="en-US"/>
        </w:rPr>
        <w:t xml:space="preserve"> the payments ordered</w:t>
      </w:r>
    </w:p>
    <w:p w:rsidR="0004795A" w:rsidRPr="002E60EB" w:rsidRDefault="0004795A" w:rsidP="00317748">
      <w:pPr>
        <w:pStyle w:val="ListParagraph1"/>
        <w:spacing w:after="0"/>
        <w:ind w:left="0"/>
        <w:rPr>
          <w:rFonts w:ascii="Verdana" w:hAnsi="Verdana"/>
          <w:sz w:val="20"/>
          <w:szCs w:val="20"/>
        </w:rPr>
      </w:pPr>
    </w:p>
    <w:p w:rsidR="0004795A" w:rsidRPr="002E60EB" w:rsidRDefault="0004795A" w:rsidP="008C5C78">
      <w:pPr>
        <w:numPr>
          <w:ilvl w:val="0"/>
          <w:numId w:val="19"/>
        </w:numPr>
        <w:tabs>
          <w:tab w:val="clear" w:pos="680"/>
        </w:tabs>
        <w:jc w:val="both"/>
        <w:rPr>
          <w:lang w:val="en-US"/>
        </w:rPr>
      </w:pPr>
      <w:r w:rsidRPr="002E60EB">
        <w:rPr>
          <w:lang w:val="en-US"/>
        </w:rPr>
        <w:t xml:space="preserve">The State must make the payment of the compensation for pecuniary and non-pecuniary damage and the reimbursement of costs and expenses established in </w:t>
      </w:r>
      <w:r w:rsidR="00E00146" w:rsidRPr="002E60EB">
        <w:rPr>
          <w:lang w:val="en-US"/>
        </w:rPr>
        <w:t>this Judgment</w:t>
      </w:r>
      <w:r w:rsidRPr="002E60EB">
        <w:rPr>
          <w:lang w:val="en-US"/>
        </w:rPr>
        <w:t xml:space="preserve"> directly to the persons indicated </w:t>
      </w:r>
      <w:r w:rsidR="00484F43" w:rsidRPr="002E60EB">
        <w:rPr>
          <w:lang w:val="en-US"/>
        </w:rPr>
        <w:t>herein</w:t>
      </w:r>
      <w:r w:rsidRPr="002E60EB">
        <w:rPr>
          <w:lang w:val="en-US"/>
        </w:rPr>
        <w:t>, within one</w:t>
      </w:r>
      <w:r w:rsidR="00484F43" w:rsidRPr="002E60EB">
        <w:rPr>
          <w:lang w:val="en-US"/>
        </w:rPr>
        <w:t xml:space="preserve"> </w:t>
      </w:r>
      <w:r w:rsidRPr="002E60EB">
        <w:rPr>
          <w:lang w:val="en-US"/>
        </w:rPr>
        <w:t xml:space="preserve">year of notification of </w:t>
      </w:r>
      <w:r w:rsidR="00E00146" w:rsidRPr="002E60EB">
        <w:rPr>
          <w:lang w:val="en-US"/>
        </w:rPr>
        <w:t>this Judgment</w:t>
      </w:r>
      <w:r w:rsidRPr="002E60EB">
        <w:rPr>
          <w:lang w:val="en-US"/>
        </w:rPr>
        <w:t xml:space="preserve">, in the terms of the following paragraphs. In the event of the death of the victims </w:t>
      </w:r>
      <w:r w:rsidR="00484F43" w:rsidRPr="002E60EB">
        <w:rPr>
          <w:lang w:val="en-US"/>
        </w:rPr>
        <w:t>before</w:t>
      </w:r>
      <w:r w:rsidRPr="002E60EB">
        <w:rPr>
          <w:lang w:val="en-US"/>
        </w:rPr>
        <w:t xml:space="preserve"> the payment of the corresponding amounts, the</w:t>
      </w:r>
      <w:r w:rsidR="00484F43" w:rsidRPr="002E60EB">
        <w:rPr>
          <w:lang w:val="en-US"/>
        </w:rPr>
        <w:t xml:space="preserve"> latter</w:t>
      </w:r>
      <w:r w:rsidRPr="002E60EB">
        <w:rPr>
          <w:lang w:val="en-US"/>
        </w:rPr>
        <w:t xml:space="preserve"> will be delivered to their heirs, </w:t>
      </w:r>
      <w:r w:rsidR="00484F43" w:rsidRPr="002E60EB">
        <w:rPr>
          <w:lang w:val="en-US"/>
        </w:rPr>
        <w:t xml:space="preserve">in keeping </w:t>
      </w:r>
      <w:r w:rsidRPr="002E60EB">
        <w:rPr>
          <w:lang w:val="en-US"/>
        </w:rPr>
        <w:t xml:space="preserve">with the applicable domestic </w:t>
      </w:r>
      <w:r w:rsidR="00484F43" w:rsidRPr="002E60EB">
        <w:rPr>
          <w:lang w:val="en-US"/>
        </w:rPr>
        <w:t>laws</w:t>
      </w:r>
      <w:r w:rsidRPr="002E60EB">
        <w:rPr>
          <w:lang w:val="en-US"/>
        </w:rPr>
        <w:t>.</w:t>
      </w:r>
    </w:p>
    <w:p w:rsidR="0004795A" w:rsidRPr="002E60EB" w:rsidRDefault="0004795A" w:rsidP="008C5C78">
      <w:pPr>
        <w:pStyle w:val="Prrafodelista"/>
        <w:ind w:left="0"/>
        <w:rPr>
          <w:sz w:val="20"/>
          <w:szCs w:val="20"/>
          <w:lang w:val="en-US"/>
        </w:rPr>
      </w:pPr>
    </w:p>
    <w:p w:rsidR="0004795A" w:rsidRPr="002E60EB" w:rsidRDefault="0004795A" w:rsidP="008C5C78">
      <w:pPr>
        <w:numPr>
          <w:ilvl w:val="0"/>
          <w:numId w:val="19"/>
        </w:numPr>
        <w:tabs>
          <w:tab w:val="clear" w:pos="680"/>
        </w:tabs>
        <w:jc w:val="both"/>
        <w:rPr>
          <w:lang w:val="en-US"/>
        </w:rPr>
      </w:pPr>
      <w:r w:rsidRPr="002E60EB">
        <w:rPr>
          <w:lang w:val="en-US"/>
        </w:rPr>
        <w:t>The State m</w:t>
      </w:r>
      <w:r w:rsidR="00484F43" w:rsidRPr="002E60EB">
        <w:rPr>
          <w:lang w:val="en-US"/>
        </w:rPr>
        <w:t>ust</w:t>
      </w:r>
      <w:r w:rsidRPr="002E60EB">
        <w:rPr>
          <w:lang w:val="en-US"/>
        </w:rPr>
        <w:t xml:space="preserve"> </w:t>
      </w:r>
      <w:r w:rsidR="00484F43" w:rsidRPr="002E60EB">
        <w:rPr>
          <w:lang w:val="en-US"/>
        </w:rPr>
        <w:t xml:space="preserve">comply with </w:t>
      </w:r>
      <w:r w:rsidRPr="002E60EB">
        <w:rPr>
          <w:lang w:val="en-US"/>
        </w:rPr>
        <w:t xml:space="preserve">its pecuniary obligations by </w:t>
      </w:r>
      <w:r w:rsidR="00484F43" w:rsidRPr="002E60EB">
        <w:rPr>
          <w:lang w:val="en-US"/>
        </w:rPr>
        <w:t>payment in</w:t>
      </w:r>
      <w:r w:rsidRPr="002E60EB">
        <w:rPr>
          <w:lang w:val="en-US"/>
        </w:rPr>
        <w:t xml:space="preserve"> </w:t>
      </w:r>
      <w:r w:rsidR="00484F43" w:rsidRPr="002E60EB">
        <w:rPr>
          <w:lang w:val="en-US"/>
        </w:rPr>
        <w:t>United States dollars</w:t>
      </w:r>
      <w:r w:rsidRPr="002E60EB">
        <w:rPr>
          <w:lang w:val="en-US"/>
        </w:rPr>
        <w:t>.</w:t>
      </w:r>
    </w:p>
    <w:p w:rsidR="0004795A" w:rsidRPr="002E60EB" w:rsidRDefault="0004795A" w:rsidP="008C5C78">
      <w:pPr>
        <w:pStyle w:val="Prrafodelista"/>
        <w:ind w:left="0"/>
        <w:rPr>
          <w:rFonts w:cs="Verdana"/>
          <w:sz w:val="20"/>
          <w:szCs w:val="20"/>
          <w:lang w:val="en-US"/>
        </w:rPr>
      </w:pPr>
    </w:p>
    <w:p w:rsidR="0004795A" w:rsidRPr="002E60EB" w:rsidRDefault="0004795A" w:rsidP="008C5C78">
      <w:pPr>
        <w:numPr>
          <w:ilvl w:val="0"/>
          <w:numId w:val="19"/>
        </w:numPr>
        <w:tabs>
          <w:tab w:val="clear" w:pos="680"/>
        </w:tabs>
        <w:jc w:val="both"/>
        <w:rPr>
          <w:lang w:val="en-US"/>
        </w:rPr>
      </w:pPr>
      <w:r w:rsidRPr="002E60EB">
        <w:rPr>
          <w:rFonts w:cs="Verdana"/>
          <w:lang w:val="en-US"/>
        </w:rPr>
        <w:t>If</w:t>
      </w:r>
      <w:r w:rsidR="00484F43" w:rsidRPr="002E60EB">
        <w:rPr>
          <w:rFonts w:cs="Verdana"/>
          <w:lang w:val="en-US"/>
        </w:rPr>
        <w:t>, for</w:t>
      </w:r>
      <w:r w:rsidRPr="002E60EB">
        <w:rPr>
          <w:rFonts w:cs="Verdana"/>
          <w:lang w:val="en-US"/>
        </w:rPr>
        <w:t xml:space="preserve"> </w:t>
      </w:r>
      <w:r w:rsidR="00484F43" w:rsidRPr="002E60EB">
        <w:rPr>
          <w:rFonts w:cs="Verdana"/>
          <w:lang w:val="en-US"/>
        </w:rPr>
        <w:t xml:space="preserve">reasons that can be </w:t>
      </w:r>
      <w:r w:rsidRPr="002E60EB">
        <w:rPr>
          <w:rFonts w:cs="Verdana"/>
          <w:lang w:val="en-US"/>
        </w:rPr>
        <w:t>attribut</w:t>
      </w:r>
      <w:r w:rsidR="00484F43" w:rsidRPr="002E60EB">
        <w:rPr>
          <w:rFonts w:cs="Verdana"/>
          <w:lang w:val="en-US"/>
        </w:rPr>
        <w:t>ed</w:t>
      </w:r>
      <w:r w:rsidRPr="002E60EB">
        <w:rPr>
          <w:rFonts w:cs="Verdana"/>
          <w:lang w:val="en-US"/>
        </w:rPr>
        <w:t xml:space="preserve"> to the beneficiaries of the compensation or their heirs</w:t>
      </w:r>
      <w:r w:rsidR="00484F43" w:rsidRPr="002E60EB">
        <w:rPr>
          <w:rFonts w:cs="Verdana"/>
          <w:lang w:val="en-US"/>
        </w:rPr>
        <w:t>,</w:t>
      </w:r>
      <w:r w:rsidRPr="002E60EB">
        <w:rPr>
          <w:rFonts w:cs="Verdana"/>
          <w:lang w:val="en-US"/>
        </w:rPr>
        <w:t xml:space="preserve"> </w:t>
      </w:r>
      <w:r w:rsidR="00484F43" w:rsidRPr="002E60EB">
        <w:rPr>
          <w:rFonts w:cs="Verdana"/>
          <w:lang w:val="en-US"/>
        </w:rPr>
        <w:t xml:space="preserve">it is not possible to pay </w:t>
      </w:r>
      <w:r w:rsidRPr="002E60EB">
        <w:rPr>
          <w:rFonts w:cs="Verdana"/>
          <w:lang w:val="en-US"/>
        </w:rPr>
        <w:t xml:space="preserve">the amounts </w:t>
      </w:r>
      <w:r w:rsidR="00484F43" w:rsidRPr="002E60EB">
        <w:rPr>
          <w:rFonts w:cs="Verdana"/>
          <w:lang w:val="en-US"/>
        </w:rPr>
        <w:t xml:space="preserve">established </w:t>
      </w:r>
      <w:r w:rsidRPr="002E60EB">
        <w:rPr>
          <w:rFonts w:cs="Verdana"/>
          <w:lang w:val="en-US"/>
        </w:rPr>
        <w:t>within the</w:t>
      </w:r>
      <w:r w:rsidR="00484F43" w:rsidRPr="002E60EB">
        <w:rPr>
          <w:rFonts w:cs="Verdana"/>
          <w:lang w:val="en-US"/>
        </w:rPr>
        <w:t xml:space="preserve"> time frames indicated,</w:t>
      </w:r>
      <w:r w:rsidRPr="002E60EB">
        <w:rPr>
          <w:rFonts w:cs="Verdana"/>
          <w:lang w:val="en-US"/>
        </w:rPr>
        <w:t xml:space="preserve"> the State shall deposit </w:t>
      </w:r>
      <w:r w:rsidR="00484F43" w:rsidRPr="002E60EB">
        <w:rPr>
          <w:rFonts w:cs="Verdana"/>
          <w:lang w:val="en-US"/>
        </w:rPr>
        <w:t xml:space="preserve">the </w:t>
      </w:r>
      <w:r w:rsidRPr="002E60EB">
        <w:rPr>
          <w:rFonts w:cs="Verdana"/>
          <w:lang w:val="en-US"/>
        </w:rPr>
        <w:t>said amount</w:t>
      </w:r>
      <w:r w:rsidR="00484F43" w:rsidRPr="002E60EB">
        <w:rPr>
          <w:rFonts w:cs="Verdana"/>
          <w:lang w:val="en-US"/>
        </w:rPr>
        <w:t>s</w:t>
      </w:r>
      <w:r w:rsidRPr="002E60EB">
        <w:rPr>
          <w:rFonts w:cs="Verdana"/>
          <w:lang w:val="en-US"/>
        </w:rPr>
        <w:t xml:space="preserve"> in their favor in an account or certificate of deposit </w:t>
      </w:r>
      <w:r w:rsidR="00484F43" w:rsidRPr="002E60EB">
        <w:rPr>
          <w:rFonts w:cs="Verdana"/>
          <w:lang w:val="en-US"/>
        </w:rPr>
        <w:t>in</w:t>
      </w:r>
      <w:r w:rsidRPr="002E60EB">
        <w:rPr>
          <w:rFonts w:cs="Verdana"/>
          <w:lang w:val="en-US"/>
        </w:rPr>
        <w:t xml:space="preserve"> a solvent Colombian financial institution, in United States dollars, and </w:t>
      </w:r>
      <w:r w:rsidR="00484F43" w:rsidRPr="002E60EB">
        <w:rPr>
          <w:rFonts w:cs="Verdana"/>
          <w:lang w:val="en-US"/>
        </w:rPr>
        <w:t xml:space="preserve">in </w:t>
      </w:r>
      <w:r w:rsidRPr="002E60EB">
        <w:rPr>
          <w:rFonts w:cs="Verdana"/>
          <w:lang w:val="en-US"/>
        </w:rPr>
        <w:t>the most favorable financial conditions allo</w:t>
      </w:r>
      <w:r w:rsidR="008C5C78" w:rsidRPr="002E60EB">
        <w:rPr>
          <w:rFonts w:cs="Verdana"/>
          <w:lang w:val="en-US"/>
        </w:rPr>
        <w:t>wed by law and banking practice</w:t>
      </w:r>
      <w:r w:rsidRPr="002E60EB">
        <w:rPr>
          <w:rFonts w:cs="Verdana"/>
          <w:lang w:val="en-US"/>
        </w:rPr>
        <w:t>. If</w:t>
      </w:r>
      <w:r w:rsidR="00484F43" w:rsidRPr="002E60EB">
        <w:rPr>
          <w:rFonts w:cs="Verdana"/>
          <w:lang w:val="en-US"/>
        </w:rPr>
        <w:t>,</w:t>
      </w:r>
      <w:r w:rsidRPr="002E60EB">
        <w:rPr>
          <w:rFonts w:cs="Verdana"/>
          <w:lang w:val="en-US"/>
        </w:rPr>
        <w:t xml:space="preserve"> after ten years</w:t>
      </w:r>
      <w:r w:rsidR="00484F43" w:rsidRPr="002E60EB">
        <w:rPr>
          <w:rFonts w:cs="Verdana"/>
          <w:lang w:val="en-US"/>
        </w:rPr>
        <w:t>,</w:t>
      </w:r>
      <w:r w:rsidRPr="002E60EB">
        <w:rPr>
          <w:rFonts w:cs="Verdana"/>
          <w:lang w:val="en-US"/>
        </w:rPr>
        <w:t xml:space="preserve"> the </w:t>
      </w:r>
      <w:r w:rsidR="00484F43" w:rsidRPr="002E60EB">
        <w:rPr>
          <w:rFonts w:cs="Verdana"/>
          <w:lang w:val="en-US"/>
        </w:rPr>
        <w:t xml:space="preserve">allocated </w:t>
      </w:r>
      <w:r w:rsidRPr="002E60EB">
        <w:rPr>
          <w:rFonts w:cs="Verdana"/>
          <w:lang w:val="en-US"/>
        </w:rPr>
        <w:t>amount has not been claimed, the amounts will be returned to the State with the</w:t>
      </w:r>
      <w:r w:rsidR="00484F43" w:rsidRPr="002E60EB">
        <w:rPr>
          <w:rFonts w:cs="Verdana"/>
          <w:lang w:val="en-US"/>
        </w:rPr>
        <w:t xml:space="preserve"> accrued</w:t>
      </w:r>
      <w:r w:rsidRPr="002E60EB">
        <w:rPr>
          <w:rFonts w:cs="Verdana"/>
          <w:lang w:val="en-US"/>
        </w:rPr>
        <w:t xml:space="preserve"> interest. </w:t>
      </w:r>
    </w:p>
    <w:p w:rsidR="0004795A" w:rsidRPr="002E60EB" w:rsidRDefault="0004795A" w:rsidP="008C5C78">
      <w:pPr>
        <w:pStyle w:val="Prrafodelista"/>
        <w:ind w:left="0"/>
        <w:rPr>
          <w:rFonts w:cs="Verdana"/>
          <w:sz w:val="20"/>
          <w:szCs w:val="20"/>
          <w:lang w:val="en-US" w:bidi="en-US"/>
        </w:rPr>
      </w:pPr>
    </w:p>
    <w:p w:rsidR="0004795A" w:rsidRPr="002E60EB" w:rsidRDefault="0004795A" w:rsidP="008C5C78">
      <w:pPr>
        <w:numPr>
          <w:ilvl w:val="0"/>
          <w:numId w:val="19"/>
        </w:numPr>
        <w:tabs>
          <w:tab w:val="clear" w:pos="680"/>
        </w:tabs>
        <w:jc w:val="both"/>
        <w:rPr>
          <w:lang w:val="en-US"/>
        </w:rPr>
      </w:pPr>
      <w:r w:rsidRPr="002E60EB">
        <w:rPr>
          <w:rFonts w:cs="Verdana"/>
          <w:lang w:val="en-US" w:bidi="en-US"/>
        </w:rPr>
        <w:t xml:space="preserve">The amounts allocated in this Judgment </w:t>
      </w:r>
      <w:r w:rsidR="008C5C78" w:rsidRPr="002E60EB">
        <w:rPr>
          <w:rFonts w:cs="Verdana"/>
          <w:lang w:val="en-US" w:bidi="en-US"/>
        </w:rPr>
        <w:t>for</w:t>
      </w:r>
      <w:r w:rsidR="006D5CE3" w:rsidRPr="002E60EB">
        <w:rPr>
          <w:rFonts w:cs="Verdana"/>
          <w:lang w:val="en-US" w:bidi="en-US"/>
        </w:rPr>
        <w:t xml:space="preserve"> the concepts of rehabilitation, </w:t>
      </w:r>
      <w:r w:rsidRPr="002E60EB">
        <w:rPr>
          <w:rFonts w:cs="Verdana"/>
          <w:lang w:val="en-US" w:bidi="en-US"/>
        </w:rPr>
        <w:t xml:space="preserve">pecuniary and non-pecuniary damages and reimbursement of costs and expenses </w:t>
      </w:r>
      <w:r w:rsidR="006D5CE3" w:rsidRPr="002E60EB">
        <w:rPr>
          <w:rFonts w:cs="Verdana"/>
          <w:lang w:val="en-US" w:bidi="en-US"/>
        </w:rPr>
        <w:t xml:space="preserve">must </w:t>
      </w:r>
      <w:r w:rsidRPr="002E60EB">
        <w:rPr>
          <w:rFonts w:cs="Verdana"/>
          <w:lang w:val="en-US" w:bidi="en-US"/>
        </w:rPr>
        <w:t xml:space="preserve">be delivered to the victims in their </w:t>
      </w:r>
      <w:r w:rsidR="006D5CE3" w:rsidRPr="002E60EB">
        <w:rPr>
          <w:rFonts w:cs="Verdana"/>
          <w:lang w:val="en-US" w:bidi="en-US"/>
        </w:rPr>
        <w:t>entirety</w:t>
      </w:r>
      <w:r w:rsidRPr="002E60EB">
        <w:rPr>
          <w:rFonts w:cs="Verdana"/>
          <w:lang w:val="en-US" w:bidi="en-US"/>
        </w:rPr>
        <w:t xml:space="preserve">, </w:t>
      </w:r>
      <w:r w:rsidR="006D5CE3" w:rsidRPr="002E60EB">
        <w:rPr>
          <w:rFonts w:cs="Verdana"/>
          <w:lang w:val="en-US" w:bidi="en-US"/>
        </w:rPr>
        <w:t>as established in</w:t>
      </w:r>
      <w:r w:rsidRPr="002E60EB">
        <w:rPr>
          <w:rFonts w:cs="Verdana"/>
          <w:lang w:val="en-US" w:bidi="en-US"/>
        </w:rPr>
        <w:t xml:space="preserve"> this Judgment, and may not be affected or conditioned by</w:t>
      </w:r>
      <w:r w:rsidR="006D5CE3" w:rsidRPr="002E60EB">
        <w:rPr>
          <w:rFonts w:cs="Verdana"/>
          <w:lang w:val="en-US" w:bidi="en-US"/>
        </w:rPr>
        <w:t xml:space="preserve"> current or future</w:t>
      </w:r>
      <w:r w:rsidRPr="002E60EB">
        <w:rPr>
          <w:rFonts w:cs="Verdana"/>
          <w:lang w:val="en-US" w:bidi="en-US"/>
        </w:rPr>
        <w:t xml:space="preserve"> tax</w:t>
      </w:r>
      <w:r w:rsidR="006D5CE3" w:rsidRPr="002E60EB">
        <w:rPr>
          <w:rFonts w:cs="Verdana"/>
          <w:lang w:val="en-US" w:bidi="en-US"/>
        </w:rPr>
        <w:t>es or charges.</w:t>
      </w:r>
      <w:r w:rsidRPr="002E60EB">
        <w:rPr>
          <w:rFonts w:cs="Verdana"/>
          <w:lang w:val="en-US" w:bidi="en-US"/>
        </w:rPr>
        <w:t xml:space="preserve"> </w:t>
      </w:r>
    </w:p>
    <w:p w:rsidR="0004795A" w:rsidRPr="002E60EB" w:rsidRDefault="0004795A" w:rsidP="008C5C78">
      <w:pPr>
        <w:pStyle w:val="Prrafodelista"/>
        <w:ind w:left="0"/>
        <w:rPr>
          <w:rFonts w:cs="Verdana"/>
          <w:sz w:val="20"/>
          <w:szCs w:val="20"/>
          <w:lang w:val="en-US"/>
        </w:rPr>
      </w:pPr>
    </w:p>
    <w:p w:rsidR="0004795A" w:rsidRPr="002E60EB" w:rsidRDefault="006D5CE3" w:rsidP="008C5C78">
      <w:pPr>
        <w:numPr>
          <w:ilvl w:val="0"/>
          <w:numId w:val="19"/>
        </w:numPr>
        <w:tabs>
          <w:tab w:val="clear" w:pos="680"/>
        </w:tabs>
        <w:jc w:val="both"/>
        <w:rPr>
          <w:lang w:val="en-US"/>
        </w:rPr>
      </w:pPr>
      <w:r w:rsidRPr="002E60EB">
        <w:rPr>
          <w:rFonts w:cs="Verdana"/>
          <w:lang w:val="en-US"/>
        </w:rPr>
        <w:t xml:space="preserve">If </w:t>
      </w:r>
      <w:r w:rsidR="0004795A" w:rsidRPr="002E60EB">
        <w:rPr>
          <w:rFonts w:cs="Verdana"/>
          <w:lang w:val="en-US"/>
        </w:rPr>
        <w:t xml:space="preserve">the State </w:t>
      </w:r>
      <w:r w:rsidRPr="002E60EB">
        <w:rPr>
          <w:rFonts w:cs="Verdana"/>
          <w:lang w:val="en-US"/>
        </w:rPr>
        <w:t xml:space="preserve">should </w:t>
      </w:r>
      <w:r w:rsidR="0004795A" w:rsidRPr="002E60EB">
        <w:rPr>
          <w:rFonts w:cs="Verdana"/>
          <w:lang w:val="en-US"/>
        </w:rPr>
        <w:t>fall into arrears with its payments,</w:t>
      </w:r>
      <w:r w:rsidRPr="002E60EB">
        <w:rPr>
          <w:rFonts w:cs="Verdana"/>
          <w:lang w:val="en-US"/>
        </w:rPr>
        <w:t xml:space="preserve"> it must pay interest on the amount owed corresponding to bank interest on arrears in</w:t>
      </w:r>
      <w:r w:rsidR="0004795A" w:rsidRPr="002E60EB">
        <w:rPr>
          <w:rFonts w:cs="Verdana"/>
          <w:lang w:val="en-US"/>
        </w:rPr>
        <w:t xml:space="preserve"> Colombia</w:t>
      </w:r>
      <w:r w:rsidRPr="002E60EB">
        <w:rPr>
          <w:rFonts w:cs="Verdana"/>
          <w:lang w:val="en-US"/>
        </w:rPr>
        <w:t>.</w:t>
      </w:r>
    </w:p>
    <w:p w:rsidR="0004795A" w:rsidRPr="002E60EB" w:rsidRDefault="0004795A" w:rsidP="008C5C78">
      <w:pPr>
        <w:pStyle w:val="Prrafodelista"/>
        <w:ind w:left="0"/>
        <w:rPr>
          <w:sz w:val="20"/>
          <w:szCs w:val="20"/>
          <w:lang w:val="en-US"/>
        </w:rPr>
      </w:pPr>
    </w:p>
    <w:p w:rsidR="009A75EB" w:rsidRPr="002E60EB" w:rsidRDefault="0004795A" w:rsidP="008C5C78">
      <w:pPr>
        <w:numPr>
          <w:ilvl w:val="0"/>
          <w:numId w:val="19"/>
        </w:numPr>
        <w:tabs>
          <w:tab w:val="clear" w:pos="680"/>
        </w:tabs>
        <w:jc w:val="both"/>
        <w:rPr>
          <w:lang w:val="en-US"/>
        </w:rPr>
      </w:pPr>
      <w:r w:rsidRPr="002E60EB">
        <w:rPr>
          <w:lang w:val="en-US"/>
        </w:rPr>
        <w:t>In accordance with its cons</w:t>
      </w:r>
      <w:r w:rsidR="006D5CE3" w:rsidRPr="002E60EB">
        <w:rPr>
          <w:lang w:val="en-US"/>
        </w:rPr>
        <w:t>iste</w:t>
      </w:r>
      <w:r w:rsidRPr="002E60EB">
        <w:rPr>
          <w:lang w:val="en-US"/>
        </w:rPr>
        <w:t xml:space="preserve">nt practice, the Court </w:t>
      </w:r>
      <w:r w:rsidR="006D5CE3" w:rsidRPr="002E60EB">
        <w:rPr>
          <w:lang w:val="en-US"/>
        </w:rPr>
        <w:t xml:space="preserve">reserves the authority inherent in its powers and also </w:t>
      </w:r>
      <w:r w:rsidRPr="002E60EB">
        <w:rPr>
          <w:lang w:val="en-US"/>
        </w:rPr>
        <w:t xml:space="preserve">derived from Article 65 of the American Convention, to monitor full compliance with this Judgment. The case </w:t>
      </w:r>
      <w:r w:rsidR="006D5CE3" w:rsidRPr="002E60EB">
        <w:rPr>
          <w:lang w:val="en-US"/>
        </w:rPr>
        <w:t xml:space="preserve">will </w:t>
      </w:r>
      <w:r w:rsidRPr="002E60EB">
        <w:rPr>
          <w:lang w:val="en-US"/>
        </w:rPr>
        <w:t xml:space="preserve">be closed </w:t>
      </w:r>
      <w:r w:rsidR="006D5CE3" w:rsidRPr="002E60EB">
        <w:rPr>
          <w:lang w:val="en-US"/>
        </w:rPr>
        <w:t>when</w:t>
      </w:r>
      <w:r w:rsidRPr="002E60EB">
        <w:rPr>
          <w:lang w:val="en-US"/>
        </w:rPr>
        <w:t xml:space="preserve"> the State</w:t>
      </w:r>
      <w:r w:rsidR="006D5CE3" w:rsidRPr="002E60EB">
        <w:rPr>
          <w:lang w:val="en-US"/>
        </w:rPr>
        <w:t xml:space="preserve"> has comp</w:t>
      </w:r>
      <w:r w:rsidR="008C5C78" w:rsidRPr="002E60EB">
        <w:rPr>
          <w:lang w:val="en-US"/>
        </w:rPr>
        <w:t>l</w:t>
      </w:r>
      <w:r w:rsidR="006D5CE3" w:rsidRPr="002E60EB">
        <w:rPr>
          <w:lang w:val="en-US"/>
        </w:rPr>
        <w:t>ied fully with the provisions of this Judgment.</w:t>
      </w:r>
    </w:p>
    <w:p w:rsidR="009A75EB" w:rsidRPr="002E60EB" w:rsidRDefault="009A75EB" w:rsidP="008C5C78">
      <w:pPr>
        <w:pStyle w:val="Prrafodelista"/>
        <w:rPr>
          <w:sz w:val="20"/>
          <w:szCs w:val="20"/>
          <w:lang w:val="en-US"/>
        </w:rPr>
      </w:pPr>
    </w:p>
    <w:p w:rsidR="0004795A" w:rsidRPr="002E60EB" w:rsidRDefault="0004795A" w:rsidP="008C5C78">
      <w:pPr>
        <w:numPr>
          <w:ilvl w:val="0"/>
          <w:numId w:val="19"/>
        </w:numPr>
        <w:tabs>
          <w:tab w:val="clear" w:pos="680"/>
        </w:tabs>
        <w:jc w:val="both"/>
        <w:rPr>
          <w:lang w:val="en-US"/>
        </w:rPr>
      </w:pPr>
      <w:r w:rsidRPr="002E60EB">
        <w:rPr>
          <w:lang w:val="en-US"/>
        </w:rPr>
        <w:t xml:space="preserve"> </w:t>
      </w:r>
      <w:r w:rsidR="009A75EB" w:rsidRPr="002E60EB">
        <w:rPr>
          <w:lang w:val="en-US"/>
        </w:rPr>
        <w:t xml:space="preserve">Within one year of </w:t>
      </w:r>
      <w:r w:rsidRPr="002E60EB">
        <w:rPr>
          <w:lang w:val="en-US"/>
        </w:rPr>
        <w:t xml:space="preserve">notification of this Judgment, </w:t>
      </w:r>
      <w:r w:rsidR="009A75EB" w:rsidRPr="002E60EB">
        <w:rPr>
          <w:lang w:val="en-US"/>
        </w:rPr>
        <w:t xml:space="preserve">the State must </w:t>
      </w:r>
      <w:r w:rsidRPr="002E60EB">
        <w:rPr>
          <w:lang w:val="en-US"/>
        </w:rPr>
        <w:t xml:space="preserve">submit a report to the Court on the measures </w:t>
      </w:r>
      <w:r w:rsidR="009A75EB" w:rsidRPr="002E60EB">
        <w:rPr>
          <w:lang w:val="en-US"/>
        </w:rPr>
        <w:t>taken to comply with it</w:t>
      </w:r>
      <w:r w:rsidRPr="002E60EB">
        <w:rPr>
          <w:lang w:val="en-US"/>
        </w:rPr>
        <w:t xml:space="preserve">. </w:t>
      </w:r>
    </w:p>
    <w:p w:rsidR="0004795A" w:rsidRPr="002E60EB" w:rsidRDefault="0004795A" w:rsidP="00260DED">
      <w:pPr>
        <w:pStyle w:val="Prrafodelista2"/>
        <w:tabs>
          <w:tab w:val="left" w:pos="720"/>
        </w:tabs>
        <w:ind w:left="0"/>
        <w:contextualSpacing/>
        <w:jc w:val="both"/>
        <w:rPr>
          <w:lang w:val="en-US"/>
        </w:rPr>
      </w:pPr>
    </w:p>
    <w:p w:rsidR="002704D3" w:rsidRPr="002E60EB" w:rsidRDefault="002704D3" w:rsidP="002704D3">
      <w:pPr>
        <w:rPr>
          <w:lang w:val="en-US"/>
        </w:rPr>
      </w:pPr>
    </w:p>
    <w:p w:rsidR="002704D3" w:rsidRPr="002E60EB" w:rsidRDefault="002704D3" w:rsidP="002704D3">
      <w:pPr>
        <w:jc w:val="center"/>
        <w:rPr>
          <w:b/>
          <w:lang w:val="en-US"/>
        </w:rPr>
      </w:pPr>
      <w:r w:rsidRPr="002E60EB">
        <w:rPr>
          <w:b/>
          <w:lang w:val="en-US"/>
        </w:rPr>
        <w:t>XIII</w:t>
      </w:r>
    </w:p>
    <w:p w:rsidR="002704D3" w:rsidRPr="002E60EB" w:rsidRDefault="00A2386A" w:rsidP="002704D3">
      <w:pPr>
        <w:jc w:val="center"/>
        <w:rPr>
          <w:b/>
          <w:lang w:val="en-US"/>
        </w:rPr>
      </w:pPr>
      <w:r w:rsidRPr="002E60EB">
        <w:rPr>
          <w:b/>
          <w:lang w:val="en-US"/>
        </w:rPr>
        <w:t>OPERATIVE PARAGRAPHS</w:t>
      </w:r>
    </w:p>
    <w:p w:rsidR="002704D3" w:rsidRPr="002E60EB" w:rsidRDefault="002704D3" w:rsidP="002704D3">
      <w:pPr>
        <w:pStyle w:val="ListParagraph1"/>
        <w:spacing w:after="0" w:line="240" w:lineRule="auto"/>
        <w:ind w:left="0"/>
        <w:rPr>
          <w:rFonts w:ascii="Verdana" w:hAnsi="Verdana"/>
          <w:sz w:val="20"/>
          <w:szCs w:val="20"/>
        </w:rPr>
      </w:pPr>
    </w:p>
    <w:p w:rsidR="002704D3" w:rsidRPr="002E60EB" w:rsidRDefault="002704D3" w:rsidP="002704D3">
      <w:pPr>
        <w:pStyle w:val="ListParagraph1"/>
        <w:spacing w:after="0" w:line="240" w:lineRule="auto"/>
        <w:ind w:left="0"/>
        <w:rPr>
          <w:rFonts w:ascii="Verdana" w:hAnsi="Verdana"/>
          <w:sz w:val="20"/>
          <w:szCs w:val="20"/>
        </w:rPr>
      </w:pPr>
    </w:p>
    <w:p w:rsidR="002704D3" w:rsidRPr="002E60EB" w:rsidRDefault="00A2386A" w:rsidP="009C0529">
      <w:pPr>
        <w:pStyle w:val="Prrafodelista2"/>
        <w:numPr>
          <w:ilvl w:val="0"/>
          <w:numId w:val="19"/>
        </w:numPr>
        <w:tabs>
          <w:tab w:val="left" w:pos="720"/>
        </w:tabs>
        <w:contextualSpacing/>
        <w:jc w:val="both"/>
        <w:rPr>
          <w:lang w:val="en-US"/>
        </w:rPr>
      </w:pPr>
      <w:r w:rsidRPr="002E60EB">
        <w:rPr>
          <w:lang w:val="en-US"/>
        </w:rPr>
        <w:t>Therefore</w:t>
      </w:r>
      <w:r w:rsidR="002704D3" w:rsidRPr="002E60EB">
        <w:rPr>
          <w:lang w:val="en-US"/>
        </w:rPr>
        <w:t xml:space="preserve">, </w:t>
      </w:r>
    </w:p>
    <w:p w:rsidR="002704D3" w:rsidRPr="002E60EB" w:rsidRDefault="002704D3" w:rsidP="002704D3">
      <w:pPr>
        <w:rPr>
          <w:b/>
          <w:lang w:val="en-US"/>
        </w:rPr>
      </w:pPr>
    </w:p>
    <w:p w:rsidR="002704D3" w:rsidRPr="002E60EB" w:rsidRDefault="00A2386A" w:rsidP="002704D3">
      <w:pPr>
        <w:rPr>
          <w:b/>
          <w:lang w:val="en-US"/>
        </w:rPr>
      </w:pPr>
      <w:r w:rsidRPr="002E60EB">
        <w:rPr>
          <w:b/>
          <w:lang w:val="en-US"/>
        </w:rPr>
        <w:t>THE COURT</w:t>
      </w:r>
      <w:r w:rsidR="002704D3" w:rsidRPr="002E60EB">
        <w:rPr>
          <w:b/>
          <w:lang w:val="en-US"/>
        </w:rPr>
        <w:t xml:space="preserve"> </w:t>
      </w:r>
    </w:p>
    <w:p w:rsidR="002704D3" w:rsidRPr="002E60EB" w:rsidRDefault="002704D3" w:rsidP="002704D3">
      <w:pPr>
        <w:rPr>
          <w:b/>
          <w:lang w:val="en-US"/>
        </w:rPr>
      </w:pPr>
    </w:p>
    <w:p w:rsidR="002704D3" w:rsidRPr="002E60EB" w:rsidRDefault="002704D3">
      <w:pPr>
        <w:jc w:val="both"/>
        <w:rPr>
          <w:b/>
          <w:lang w:val="en-US"/>
        </w:rPr>
      </w:pPr>
      <w:r w:rsidRPr="002E60EB">
        <w:rPr>
          <w:b/>
          <w:lang w:val="en-US"/>
        </w:rPr>
        <w:t>DECIDE</w:t>
      </w:r>
      <w:r w:rsidR="00A2386A" w:rsidRPr="002E60EB">
        <w:rPr>
          <w:b/>
          <w:lang w:val="en-US"/>
        </w:rPr>
        <w:t>S</w:t>
      </w:r>
      <w:r w:rsidRPr="002E60EB">
        <w:rPr>
          <w:b/>
          <w:lang w:val="en-US"/>
        </w:rPr>
        <w:t xml:space="preserve">, </w:t>
      </w:r>
    </w:p>
    <w:p w:rsidR="002704D3" w:rsidRPr="002E60EB" w:rsidRDefault="002704D3">
      <w:pPr>
        <w:jc w:val="both"/>
        <w:rPr>
          <w:b/>
          <w:lang w:val="en-US"/>
        </w:rPr>
      </w:pPr>
    </w:p>
    <w:p w:rsidR="002704D3" w:rsidRPr="002E60EB" w:rsidRDefault="00A2386A">
      <w:pPr>
        <w:jc w:val="both"/>
        <w:rPr>
          <w:lang w:val="en-US"/>
        </w:rPr>
      </w:pPr>
      <w:r w:rsidRPr="002E60EB">
        <w:rPr>
          <w:lang w:val="en-US"/>
        </w:rPr>
        <w:t>unanimously</w:t>
      </w:r>
      <w:r w:rsidR="002704D3" w:rsidRPr="002E60EB">
        <w:rPr>
          <w:lang w:val="en-US"/>
        </w:rPr>
        <w:t>,</w:t>
      </w:r>
    </w:p>
    <w:p w:rsidR="002704D3" w:rsidRPr="002E60EB" w:rsidRDefault="002704D3">
      <w:pPr>
        <w:jc w:val="both"/>
        <w:rPr>
          <w:lang w:val="en-US"/>
        </w:rPr>
      </w:pPr>
    </w:p>
    <w:p w:rsidR="002704D3" w:rsidRPr="002E60EB" w:rsidRDefault="007F78CB" w:rsidP="00317748">
      <w:pPr>
        <w:numPr>
          <w:ilvl w:val="0"/>
          <w:numId w:val="25"/>
        </w:numPr>
        <w:tabs>
          <w:tab w:val="clear" w:pos="720"/>
        </w:tabs>
        <w:ind w:left="0" w:firstLine="0"/>
        <w:jc w:val="both"/>
        <w:rPr>
          <w:lang w:val="en-US"/>
        </w:rPr>
      </w:pPr>
      <w:r w:rsidRPr="002E60EB">
        <w:rPr>
          <w:lang w:val="en-US"/>
        </w:rPr>
        <w:t>To reject the preliminary objection filed by the State on the alleged lack of competence of the Court to examine facts or presumptions include</w:t>
      </w:r>
      <w:r w:rsidR="003E759F" w:rsidRPr="002E60EB">
        <w:rPr>
          <w:lang w:val="en-US"/>
        </w:rPr>
        <w:t>d in the Merits Report “that do</w:t>
      </w:r>
      <w:r w:rsidRPr="002E60EB">
        <w:rPr>
          <w:lang w:val="en-US"/>
        </w:rPr>
        <w:t xml:space="preserve"> not comply with the requirements of the Convention,” in the terms of paragraphs 30 to</w:t>
      </w:r>
      <w:r w:rsidR="002704D3" w:rsidRPr="002E60EB">
        <w:rPr>
          <w:lang w:val="en-US"/>
        </w:rPr>
        <w:t xml:space="preserve"> 33 </w:t>
      </w:r>
      <w:r w:rsidR="0015470F" w:rsidRPr="002E60EB">
        <w:rPr>
          <w:lang w:val="en-US"/>
        </w:rPr>
        <w:t>of this Judgment</w:t>
      </w:r>
      <w:r w:rsidR="002704D3" w:rsidRPr="002E60EB">
        <w:rPr>
          <w:lang w:val="en-US"/>
        </w:rPr>
        <w:t>.</w:t>
      </w:r>
    </w:p>
    <w:p w:rsidR="002704D3" w:rsidRPr="002E60EB" w:rsidRDefault="002704D3">
      <w:pPr>
        <w:jc w:val="both"/>
        <w:rPr>
          <w:lang w:val="en-US"/>
        </w:rPr>
      </w:pPr>
    </w:p>
    <w:p w:rsidR="002704D3" w:rsidRPr="002E60EB" w:rsidRDefault="009427EC" w:rsidP="00317748">
      <w:pPr>
        <w:numPr>
          <w:ilvl w:val="0"/>
          <w:numId w:val="25"/>
        </w:numPr>
        <w:tabs>
          <w:tab w:val="clear" w:pos="720"/>
        </w:tabs>
        <w:ind w:left="0" w:firstLine="0"/>
        <w:jc w:val="both"/>
        <w:rPr>
          <w:lang w:val="en-US"/>
        </w:rPr>
      </w:pPr>
      <w:r w:rsidRPr="002E60EB">
        <w:rPr>
          <w:lang w:val="en-US"/>
        </w:rPr>
        <w:t xml:space="preserve">To accept </w:t>
      </w:r>
      <w:r w:rsidR="0015470F" w:rsidRPr="002E60EB">
        <w:rPr>
          <w:lang w:val="en-US"/>
        </w:rPr>
        <w:t xml:space="preserve">the partial acknowledgment of </w:t>
      </w:r>
      <w:r w:rsidR="00334C3C" w:rsidRPr="002E60EB">
        <w:rPr>
          <w:lang w:val="en-US"/>
        </w:rPr>
        <w:t>international</w:t>
      </w:r>
      <w:r w:rsidR="0015470F" w:rsidRPr="002E60EB">
        <w:rPr>
          <w:lang w:val="en-US"/>
        </w:rPr>
        <w:t xml:space="preserve"> responsibility made by the State, in the terms of paragraphs 20 to</w:t>
      </w:r>
      <w:r w:rsidR="002704D3" w:rsidRPr="002E60EB">
        <w:rPr>
          <w:lang w:val="en-US"/>
        </w:rPr>
        <w:t xml:space="preserve"> 26 </w:t>
      </w:r>
      <w:r w:rsidR="0015470F" w:rsidRPr="002E60EB">
        <w:rPr>
          <w:lang w:val="en-US"/>
        </w:rPr>
        <w:t>of this Judgment</w:t>
      </w:r>
      <w:r w:rsidR="002704D3" w:rsidRPr="002E60EB">
        <w:rPr>
          <w:lang w:val="en-US"/>
        </w:rPr>
        <w:t>.</w:t>
      </w:r>
    </w:p>
    <w:p w:rsidR="002704D3" w:rsidRPr="002E60EB" w:rsidRDefault="002704D3">
      <w:pPr>
        <w:rPr>
          <w:b/>
          <w:lang w:val="en-US"/>
        </w:rPr>
      </w:pPr>
    </w:p>
    <w:p w:rsidR="002704D3" w:rsidRPr="002E60EB" w:rsidRDefault="00A2386A">
      <w:pPr>
        <w:rPr>
          <w:b/>
          <w:lang w:val="en-US"/>
        </w:rPr>
      </w:pPr>
      <w:r w:rsidRPr="002E60EB">
        <w:rPr>
          <w:b/>
          <w:lang w:val="en-US"/>
        </w:rPr>
        <w:t>DECLARES</w:t>
      </w:r>
      <w:r w:rsidR="002704D3" w:rsidRPr="002E60EB">
        <w:rPr>
          <w:b/>
          <w:lang w:val="en-US"/>
        </w:rPr>
        <w:t>,</w:t>
      </w:r>
    </w:p>
    <w:p w:rsidR="002704D3" w:rsidRPr="002E60EB" w:rsidRDefault="002704D3">
      <w:pPr>
        <w:tabs>
          <w:tab w:val="num" w:pos="630"/>
        </w:tabs>
        <w:rPr>
          <w:b/>
          <w:lang w:val="en-US"/>
        </w:rPr>
      </w:pPr>
    </w:p>
    <w:p w:rsidR="002704D3" w:rsidRPr="002E60EB" w:rsidRDefault="0015470F">
      <w:pPr>
        <w:rPr>
          <w:lang w:val="en-US"/>
        </w:rPr>
      </w:pPr>
      <w:r w:rsidRPr="002E60EB">
        <w:rPr>
          <w:lang w:val="en-US"/>
        </w:rPr>
        <w:t>u</w:t>
      </w:r>
      <w:r w:rsidR="00A2386A" w:rsidRPr="002E60EB">
        <w:rPr>
          <w:lang w:val="en-US"/>
        </w:rPr>
        <w:t>nanimously that</w:t>
      </w:r>
      <w:r w:rsidR="002704D3" w:rsidRPr="002E60EB">
        <w:rPr>
          <w:lang w:val="en-US"/>
        </w:rPr>
        <w:t xml:space="preserve">: </w:t>
      </w:r>
    </w:p>
    <w:p w:rsidR="002704D3" w:rsidRPr="002E60EB" w:rsidRDefault="002704D3">
      <w:pPr>
        <w:tabs>
          <w:tab w:val="left" w:pos="0"/>
          <w:tab w:val="left" w:pos="720"/>
        </w:tabs>
        <w:jc w:val="both"/>
        <w:rPr>
          <w:lang w:val="en-US"/>
        </w:rPr>
      </w:pPr>
    </w:p>
    <w:p w:rsidR="002704D3" w:rsidRPr="002E60EB" w:rsidRDefault="0015470F" w:rsidP="00317748">
      <w:pPr>
        <w:numPr>
          <w:ilvl w:val="0"/>
          <w:numId w:val="26"/>
        </w:numPr>
        <w:tabs>
          <w:tab w:val="clear" w:pos="720"/>
        </w:tabs>
        <w:ind w:left="0" w:firstLine="0"/>
        <w:jc w:val="both"/>
        <w:rPr>
          <w:lang w:val="en-US"/>
        </w:rPr>
      </w:pPr>
      <w:r w:rsidRPr="002E60EB">
        <w:rPr>
          <w:lang w:val="en-US"/>
        </w:rPr>
        <w:t>The State is responsible for the violation of the right</w:t>
      </w:r>
      <w:r w:rsidR="002704D3" w:rsidRPr="002E60EB">
        <w:rPr>
          <w:lang w:val="en-US"/>
        </w:rPr>
        <w:t xml:space="preserve"> </w:t>
      </w:r>
      <w:r w:rsidRPr="002E60EB">
        <w:rPr>
          <w:lang w:val="en-US"/>
        </w:rPr>
        <w:t>to personal integrity recognized in Article</w:t>
      </w:r>
      <w:r w:rsidR="002704D3" w:rsidRPr="002E60EB">
        <w:rPr>
          <w:lang w:val="en-US"/>
        </w:rPr>
        <w:t xml:space="preserve"> </w:t>
      </w:r>
      <w:r w:rsidRPr="002E60EB">
        <w:rPr>
          <w:lang w:val="en-US"/>
        </w:rPr>
        <w:t>5(1)</w:t>
      </w:r>
      <w:r w:rsidR="002704D3" w:rsidRPr="002E60EB">
        <w:rPr>
          <w:lang w:val="en-US"/>
        </w:rPr>
        <w:t xml:space="preserve"> </w:t>
      </w:r>
      <w:r w:rsidRPr="002E60EB">
        <w:rPr>
          <w:lang w:val="en-US"/>
        </w:rPr>
        <w:t>of the American Convention on Human Rights</w:t>
      </w:r>
      <w:r w:rsidR="002704D3" w:rsidRPr="002E60EB">
        <w:rPr>
          <w:lang w:val="en-US"/>
        </w:rPr>
        <w:t xml:space="preserve">, </w:t>
      </w:r>
      <w:r w:rsidRPr="002E60EB">
        <w:rPr>
          <w:lang w:val="en-US"/>
        </w:rPr>
        <w:t>in relation to Article</w:t>
      </w:r>
      <w:r w:rsidR="002704D3" w:rsidRPr="002E60EB">
        <w:rPr>
          <w:lang w:val="en-US"/>
        </w:rPr>
        <w:t xml:space="preserve"> </w:t>
      </w:r>
      <w:r w:rsidRPr="002E60EB">
        <w:rPr>
          <w:lang w:val="en-US"/>
        </w:rPr>
        <w:t>1(1)</w:t>
      </w:r>
      <w:r w:rsidR="002704D3" w:rsidRPr="002E60EB">
        <w:rPr>
          <w:lang w:val="en-US"/>
        </w:rPr>
        <w:t xml:space="preserve"> </w:t>
      </w:r>
      <w:r w:rsidRPr="002E60EB">
        <w:rPr>
          <w:lang w:val="en-US"/>
        </w:rPr>
        <w:t>thereof</w:t>
      </w:r>
      <w:r w:rsidR="002704D3" w:rsidRPr="002E60EB">
        <w:rPr>
          <w:lang w:val="en-US"/>
        </w:rPr>
        <w:t xml:space="preserve">, </w:t>
      </w:r>
      <w:r w:rsidRPr="002E60EB">
        <w:rPr>
          <w:lang w:val="en-US"/>
        </w:rPr>
        <w:t>to the detriment of Luis</w:t>
      </w:r>
      <w:r w:rsidR="002704D3" w:rsidRPr="002E60EB">
        <w:rPr>
          <w:lang w:val="en-US"/>
        </w:rPr>
        <w:t xml:space="preserve"> Gonzalo Vélez Restrepo, </w:t>
      </w:r>
      <w:r w:rsidRPr="002E60EB">
        <w:rPr>
          <w:lang w:val="en-US"/>
        </w:rPr>
        <w:t>Aracelly</w:t>
      </w:r>
      <w:r w:rsidR="002704D3" w:rsidRPr="002E60EB">
        <w:rPr>
          <w:lang w:val="en-US"/>
        </w:rPr>
        <w:t xml:space="preserve"> Román Amariles</w:t>
      </w:r>
      <w:r w:rsidR="003E759F" w:rsidRPr="002E60EB">
        <w:rPr>
          <w:lang w:val="en-US"/>
        </w:rPr>
        <w:t>, and</w:t>
      </w:r>
      <w:r w:rsidRPr="002E60EB">
        <w:rPr>
          <w:lang w:val="en-US"/>
        </w:rPr>
        <w:t xml:space="preserve"> their children </w:t>
      </w:r>
      <w:r w:rsidR="002704D3" w:rsidRPr="002E60EB">
        <w:rPr>
          <w:lang w:val="en-US"/>
        </w:rPr>
        <w:t>Mateo</w:t>
      </w:r>
      <w:r w:rsidRPr="002E60EB">
        <w:rPr>
          <w:lang w:val="en-US"/>
        </w:rPr>
        <w:t xml:space="preserve"> and </w:t>
      </w:r>
      <w:r w:rsidR="002704D3" w:rsidRPr="002E60EB">
        <w:rPr>
          <w:lang w:val="en-US"/>
        </w:rPr>
        <w:t xml:space="preserve">Juliana Vélez Román, </w:t>
      </w:r>
      <w:r w:rsidRPr="002E60EB">
        <w:rPr>
          <w:lang w:val="en-US"/>
        </w:rPr>
        <w:t>in the terms of</w:t>
      </w:r>
      <w:r w:rsidR="002704D3" w:rsidRPr="002E60EB">
        <w:rPr>
          <w:lang w:val="en-US"/>
        </w:rPr>
        <w:t xml:space="preserve"> </w:t>
      </w:r>
      <w:r w:rsidRPr="002E60EB">
        <w:rPr>
          <w:lang w:val="en-US"/>
        </w:rPr>
        <w:t>paragraphs 123 to 135, 150, 151, 155 to</w:t>
      </w:r>
      <w:r w:rsidR="002704D3" w:rsidRPr="002E60EB">
        <w:rPr>
          <w:lang w:val="en-US"/>
        </w:rPr>
        <w:t xml:space="preserve"> 181</w:t>
      </w:r>
      <w:r w:rsidRPr="002E60EB">
        <w:rPr>
          <w:lang w:val="en-US"/>
        </w:rPr>
        <w:t xml:space="preserve"> and 186 to</w:t>
      </w:r>
      <w:r w:rsidR="002704D3" w:rsidRPr="002E60EB">
        <w:rPr>
          <w:lang w:val="en-US"/>
        </w:rPr>
        <w:t xml:space="preserve"> 205 </w:t>
      </w:r>
      <w:r w:rsidRPr="002E60EB">
        <w:rPr>
          <w:lang w:val="en-US"/>
        </w:rPr>
        <w:t>of this Judgment</w:t>
      </w:r>
      <w:r w:rsidR="002704D3" w:rsidRPr="002E60EB">
        <w:rPr>
          <w:lang w:val="en-US"/>
        </w:rPr>
        <w:t>.</w:t>
      </w:r>
    </w:p>
    <w:p w:rsidR="00A2386A" w:rsidRPr="002E60EB" w:rsidRDefault="00A2386A" w:rsidP="00317748">
      <w:pPr>
        <w:jc w:val="both"/>
        <w:rPr>
          <w:lang w:val="en-US"/>
        </w:rPr>
      </w:pPr>
    </w:p>
    <w:p w:rsidR="002704D3" w:rsidRPr="002E60EB" w:rsidRDefault="0015470F" w:rsidP="00317748">
      <w:pPr>
        <w:numPr>
          <w:ilvl w:val="0"/>
          <w:numId w:val="26"/>
        </w:numPr>
        <w:tabs>
          <w:tab w:val="clear" w:pos="720"/>
        </w:tabs>
        <w:ind w:left="0" w:firstLine="0"/>
        <w:jc w:val="both"/>
        <w:rPr>
          <w:lang w:val="en-US"/>
        </w:rPr>
      </w:pPr>
      <w:r w:rsidRPr="002E60EB">
        <w:rPr>
          <w:lang w:val="en-US"/>
        </w:rPr>
        <w:t>The State is responsible for the violation of the right</w:t>
      </w:r>
      <w:r w:rsidR="002704D3" w:rsidRPr="002E60EB">
        <w:rPr>
          <w:lang w:val="en-US"/>
        </w:rPr>
        <w:t xml:space="preserve"> </w:t>
      </w:r>
      <w:r w:rsidRPr="002E60EB">
        <w:rPr>
          <w:lang w:val="en-US"/>
        </w:rPr>
        <w:t>to fr</w:t>
      </w:r>
      <w:r w:rsidR="003E759F" w:rsidRPr="002E60EB">
        <w:rPr>
          <w:lang w:val="en-US"/>
        </w:rPr>
        <w:t xml:space="preserve">eedom of thought and expression </w:t>
      </w:r>
      <w:r w:rsidRPr="002E60EB">
        <w:rPr>
          <w:lang w:val="en-US"/>
        </w:rPr>
        <w:t>recognized in Article</w:t>
      </w:r>
      <w:r w:rsidR="002704D3" w:rsidRPr="002E60EB">
        <w:rPr>
          <w:lang w:val="en-US"/>
        </w:rPr>
        <w:t xml:space="preserve"> 13 </w:t>
      </w:r>
      <w:r w:rsidRPr="002E60EB">
        <w:rPr>
          <w:lang w:val="en-US"/>
        </w:rPr>
        <w:t>of the American Convention on Human Rights</w:t>
      </w:r>
      <w:r w:rsidR="002704D3" w:rsidRPr="002E60EB">
        <w:rPr>
          <w:lang w:val="en-US"/>
        </w:rPr>
        <w:t xml:space="preserve">, </w:t>
      </w:r>
      <w:r w:rsidRPr="002E60EB">
        <w:rPr>
          <w:lang w:val="en-US"/>
        </w:rPr>
        <w:t>in relation to Article</w:t>
      </w:r>
      <w:r w:rsidR="002704D3" w:rsidRPr="002E60EB">
        <w:rPr>
          <w:lang w:val="en-US"/>
        </w:rPr>
        <w:t xml:space="preserve"> </w:t>
      </w:r>
      <w:r w:rsidRPr="002E60EB">
        <w:rPr>
          <w:lang w:val="en-US"/>
        </w:rPr>
        <w:t>1(1)</w:t>
      </w:r>
      <w:r w:rsidR="002704D3" w:rsidRPr="002E60EB">
        <w:rPr>
          <w:lang w:val="en-US"/>
        </w:rPr>
        <w:t xml:space="preserve"> </w:t>
      </w:r>
      <w:r w:rsidRPr="002E60EB">
        <w:rPr>
          <w:lang w:val="en-US"/>
        </w:rPr>
        <w:t>thereof</w:t>
      </w:r>
      <w:r w:rsidR="002704D3" w:rsidRPr="002E60EB">
        <w:rPr>
          <w:lang w:val="en-US"/>
        </w:rPr>
        <w:t xml:space="preserve">, </w:t>
      </w:r>
      <w:r w:rsidRPr="002E60EB">
        <w:rPr>
          <w:lang w:val="en-US"/>
        </w:rPr>
        <w:t>to the detriment of Luis</w:t>
      </w:r>
      <w:r w:rsidR="002704D3" w:rsidRPr="002E60EB">
        <w:rPr>
          <w:lang w:val="en-US"/>
        </w:rPr>
        <w:t xml:space="preserve"> Gonzalo Vélez Restrepo, </w:t>
      </w:r>
      <w:r w:rsidRPr="002E60EB">
        <w:rPr>
          <w:lang w:val="en-US"/>
        </w:rPr>
        <w:t>in the terms of</w:t>
      </w:r>
      <w:r w:rsidR="002704D3" w:rsidRPr="002E60EB">
        <w:rPr>
          <w:lang w:val="en-US"/>
        </w:rPr>
        <w:t xml:space="preserve"> </w:t>
      </w:r>
      <w:r w:rsidRPr="002E60EB">
        <w:rPr>
          <w:lang w:val="en-US"/>
        </w:rPr>
        <w:t>paragraphs 123 to 126, 136 to</w:t>
      </w:r>
      <w:r w:rsidR="002704D3" w:rsidRPr="002E60EB">
        <w:rPr>
          <w:lang w:val="en-US"/>
        </w:rPr>
        <w:t xml:space="preserve"> 151</w:t>
      </w:r>
      <w:r w:rsidRPr="002E60EB">
        <w:rPr>
          <w:lang w:val="en-US"/>
        </w:rPr>
        <w:t xml:space="preserve"> and 209 to</w:t>
      </w:r>
      <w:r w:rsidR="002704D3" w:rsidRPr="002E60EB">
        <w:rPr>
          <w:lang w:val="en-US"/>
        </w:rPr>
        <w:t xml:space="preserve"> 215 </w:t>
      </w:r>
      <w:r w:rsidRPr="002E60EB">
        <w:rPr>
          <w:lang w:val="en-US"/>
        </w:rPr>
        <w:t>of this Judgment</w:t>
      </w:r>
      <w:r w:rsidR="002704D3" w:rsidRPr="002E60EB">
        <w:rPr>
          <w:lang w:val="en-US"/>
        </w:rPr>
        <w:t>.</w:t>
      </w:r>
    </w:p>
    <w:p w:rsidR="00A2386A" w:rsidRPr="002E60EB" w:rsidRDefault="00A2386A" w:rsidP="00317748">
      <w:pPr>
        <w:jc w:val="both"/>
        <w:rPr>
          <w:lang w:val="en-US"/>
        </w:rPr>
      </w:pPr>
    </w:p>
    <w:p w:rsidR="002704D3" w:rsidRPr="002E60EB" w:rsidRDefault="0015470F" w:rsidP="00317748">
      <w:pPr>
        <w:numPr>
          <w:ilvl w:val="0"/>
          <w:numId w:val="26"/>
        </w:numPr>
        <w:tabs>
          <w:tab w:val="clear" w:pos="720"/>
        </w:tabs>
        <w:ind w:left="0" w:firstLine="0"/>
        <w:jc w:val="both"/>
        <w:rPr>
          <w:lang w:val="en-US"/>
        </w:rPr>
      </w:pPr>
      <w:r w:rsidRPr="002E60EB">
        <w:rPr>
          <w:lang w:val="en-US"/>
        </w:rPr>
        <w:t>The State is responsible for the violation of the right to freedom of movement and residence, recognized in Article</w:t>
      </w:r>
      <w:r w:rsidR="002704D3" w:rsidRPr="002E60EB">
        <w:rPr>
          <w:lang w:val="en-US"/>
        </w:rPr>
        <w:t xml:space="preserve"> </w:t>
      </w:r>
      <w:r w:rsidRPr="002E60EB">
        <w:rPr>
          <w:lang w:val="en-US"/>
        </w:rPr>
        <w:t>22(1)</w:t>
      </w:r>
      <w:r w:rsidR="002704D3" w:rsidRPr="002E60EB">
        <w:rPr>
          <w:lang w:val="en-US"/>
        </w:rPr>
        <w:t xml:space="preserve"> </w:t>
      </w:r>
      <w:r w:rsidRPr="002E60EB">
        <w:rPr>
          <w:lang w:val="en-US"/>
        </w:rPr>
        <w:t>of the American Convention on Human Rights</w:t>
      </w:r>
      <w:r w:rsidR="002704D3" w:rsidRPr="002E60EB">
        <w:rPr>
          <w:lang w:val="en-US"/>
        </w:rPr>
        <w:t xml:space="preserve">, </w:t>
      </w:r>
      <w:r w:rsidRPr="002E60EB">
        <w:rPr>
          <w:lang w:val="en-US"/>
        </w:rPr>
        <w:t>in relation to Article</w:t>
      </w:r>
      <w:r w:rsidR="002704D3" w:rsidRPr="002E60EB">
        <w:rPr>
          <w:lang w:val="en-US"/>
        </w:rPr>
        <w:t xml:space="preserve"> </w:t>
      </w:r>
      <w:r w:rsidRPr="002E60EB">
        <w:rPr>
          <w:lang w:val="en-US"/>
        </w:rPr>
        <w:t>1(1)</w:t>
      </w:r>
      <w:r w:rsidR="002704D3" w:rsidRPr="002E60EB">
        <w:rPr>
          <w:lang w:val="en-US"/>
        </w:rPr>
        <w:t xml:space="preserve"> </w:t>
      </w:r>
      <w:r w:rsidRPr="002E60EB">
        <w:rPr>
          <w:lang w:val="en-US"/>
        </w:rPr>
        <w:t>thereof</w:t>
      </w:r>
      <w:r w:rsidR="002704D3" w:rsidRPr="002E60EB">
        <w:rPr>
          <w:lang w:val="en-US"/>
        </w:rPr>
        <w:t xml:space="preserve">, </w:t>
      </w:r>
      <w:r w:rsidRPr="002E60EB">
        <w:rPr>
          <w:lang w:val="en-US"/>
        </w:rPr>
        <w:t>to the detriment of Luis</w:t>
      </w:r>
      <w:r w:rsidR="002704D3" w:rsidRPr="002E60EB">
        <w:rPr>
          <w:lang w:val="en-US"/>
        </w:rPr>
        <w:t xml:space="preserve"> Gonzalo Vélez Restrepo, </w:t>
      </w:r>
      <w:r w:rsidRPr="002E60EB">
        <w:rPr>
          <w:lang w:val="en-US"/>
        </w:rPr>
        <w:t>Aracelly</w:t>
      </w:r>
      <w:r w:rsidR="002704D3" w:rsidRPr="002E60EB">
        <w:rPr>
          <w:lang w:val="en-US"/>
        </w:rPr>
        <w:t xml:space="preserve"> Román Amariles</w:t>
      </w:r>
      <w:r w:rsidR="003E759F" w:rsidRPr="002E60EB">
        <w:rPr>
          <w:lang w:val="en-US"/>
        </w:rPr>
        <w:t>,</w:t>
      </w:r>
      <w:r w:rsidRPr="002E60EB">
        <w:rPr>
          <w:lang w:val="en-US"/>
        </w:rPr>
        <w:t xml:space="preserve"> and their children</w:t>
      </w:r>
      <w:r w:rsidR="002704D3" w:rsidRPr="002E60EB">
        <w:rPr>
          <w:lang w:val="en-US"/>
        </w:rPr>
        <w:t xml:space="preserve"> Mateo</w:t>
      </w:r>
      <w:r w:rsidRPr="002E60EB">
        <w:rPr>
          <w:lang w:val="en-US"/>
        </w:rPr>
        <w:t xml:space="preserve"> and </w:t>
      </w:r>
      <w:r w:rsidR="002704D3" w:rsidRPr="002E60EB">
        <w:rPr>
          <w:lang w:val="en-US"/>
        </w:rPr>
        <w:t xml:space="preserve">Juliana Vélez Román, </w:t>
      </w:r>
      <w:r w:rsidRPr="002E60EB">
        <w:rPr>
          <w:lang w:val="en-US"/>
        </w:rPr>
        <w:t>in the terms of</w:t>
      </w:r>
      <w:r w:rsidR="002704D3" w:rsidRPr="002E60EB">
        <w:rPr>
          <w:lang w:val="en-US"/>
        </w:rPr>
        <w:t xml:space="preserve"> </w:t>
      </w:r>
      <w:r w:rsidRPr="002E60EB">
        <w:rPr>
          <w:lang w:val="en-US"/>
        </w:rPr>
        <w:t>paragraphs</w:t>
      </w:r>
      <w:r w:rsidR="002704D3" w:rsidRPr="002E60EB">
        <w:rPr>
          <w:lang w:val="en-US"/>
        </w:rPr>
        <w:t xml:space="preserve"> 219 </w:t>
      </w:r>
      <w:r w:rsidRPr="002E60EB">
        <w:rPr>
          <w:lang w:val="en-US"/>
        </w:rPr>
        <w:t>to</w:t>
      </w:r>
      <w:r w:rsidR="002704D3" w:rsidRPr="002E60EB">
        <w:rPr>
          <w:lang w:val="en-US"/>
        </w:rPr>
        <w:t xml:space="preserve"> 224 </w:t>
      </w:r>
      <w:r w:rsidRPr="002E60EB">
        <w:rPr>
          <w:lang w:val="en-US"/>
        </w:rPr>
        <w:t>of this Judgment</w:t>
      </w:r>
      <w:r w:rsidR="002704D3" w:rsidRPr="002E60EB">
        <w:rPr>
          <w:lang w:val="en-US"/>
        </w:rPr>
        <w:t>.</w:t>
      </w:r>
    </w:p>
    <w:p w:rsidR="00A2386A" w:rsidRPr="002E60EB" w:rsidRDefault="00A2386A" w:rsidP="00317748">
      <w:pPr>
        <w:jc w:val="both"/>
        <w:rPr>
          <w:lang w:val="en-US"/>
        </w:rPr>
      </w:pPr>
    </w:p>
    <w:p w:rsidR="002704D3" w:rsidRPr="002E60EB" w:rsidRDefault="0015470F" w:rsidP="00317748">
      <w:pPr>
        <w:numPr>
          <w:ilvl w:val="0"/>
          <w:numId w:val="26"/>
        </w:numPr>
        <w:tabs>
          <w:tab w:val="clear" w:pos="720"/>
        </w:tabs>
        <w:ind w:left="0" w:firstLine="0"/>
        <w:jc w:val="both"/>
        <w:rPr>
          <w:lang w:val="en-US"/>
        </w:rPr>
      </w:pPr>
      <w:r w:rsidRPr="002E60EB">
        <w:rPr>
          <w:lang w:val="en-US"/>
        </w:rPr>
        <w:t>The State is responsible for the violation of the right to the protection of the family, recognized in Article</w:t>
      </w:r>
      <w:r w:rsidR="002704D3" w:rsidRPr="002E60EB">
        <w:rPr>
          <w:lang w:val="en-US"/>
        </w:rPr>
        <w:t xml:space="preserve"> </w:t>
      </w:r>
      <w:r w:rsidRPr="002E60EB">
        <w:rPr>
          <w:lang w:val="en-US"/>
        </w:rPr>
        <w:t>17(1)</w:t>
      </w:r>
      <w:r w:rsidR="002704D3" w:rsidRPr="002E60EB">
        <w:rPr>
          <w:lang w:val="en-US"/>
        </w:rPr>
        <w:t xml:space="preserve"> </w:t>
      </w:r>
      <w:r w:rsidRPr="002E60EB">
        <w:rPr>
          <w:lang w:val="en-US"/>
        </w:rPr>
        <w:t>of the American Convention on Human Rights</w:t>
      </w:r>
      <w:r w:rsidR="002704D3" w:rsidRPr="002E60EB">
        <w:rPr>
          <w:lang w:val="en-US"/>
        </w:rPr>
        <w:t xml:space="preserve">, </w:t>
      </w:r>
      <w:r w:rsidRPr="002E60EB">
        <w:rPr>
          <w:lang w:val="en-US"/>
        </w:rPr>
        <w:t>in relation to Article</w:t>
      </w:r>
      <w:r w:rsidR="002704D3" w:rsidRPr="002E60EB">
        <w:rPr>
          <w:lang w:val="en-US"/>
        </w:rPr>
        <w:t xml:space="preserve"> </w:t>
      </w:r>
      <w:r w:rsidRPr="002E60EB">
        <w:rPr>
          <w:lang w:val="en-US"/>
        </w:rPr>
        <w:t>1(1)</w:t>
      </w:r>
      <w:r w:rsidR="002704D3" w:rsidRPr="002E60EB">
        <w:rPr>
          <w:lang w:val="en-US"/>
        </w:rPr>
        <w:t xml:space="preserve"> </w:t>
      </w:r>
      <w:r w:rsidRPr="002E60EB">
        <w:rPr>
          <w:lang w:val="en-US"/>
        </w:rPr>
        <w:t>thereof</w:t>
      </w:r>
      <w:r w:rsidR="002704D3" w:rsidRPr="002E60EB">
        <w:rPr>
          <w:lang w:val="en-US"/>
        </w:rPr>
        <w:t xml:space="preserve">, </w:t>
      </w:r>
      <w:r w:rsidRPr="002E60EB">
        <w:rPr>
          <w:lang w:val="en-US"/>
        </w:rPr>
        <w:t>to the detriment of Luis</w:t>
      </w:r>
      <w:r w:rsidR="002704D3" w:rsidRPr="002E60EB">
        <w:rPr>
          <w:lang w:val="en-US"/>
        </w:rPr>
        <w:t xml:space="preserve"> Gonzalo Vélez Restrepo</w:t>
      </w:r>
      <w:r w:rsidRPr="002E60EB">
        <w:rPr>
          <w:lang w:val="en-US"/>
        </w:rPr>
        <w:t xml:space="preserve"> and Aracelly</w:t>
      </w:r>
      <w:r w:rsidR="002704D3" w:rsidRPr="002E60EB">
        <w:rPr>
          <w:lang w:val="en-US"/>
        </w:rPr>
        <w:t xml:space="preserve"> Román Amariles, </w:t>
      </w:r>
      <w:r w:rsidRPr="002E60EB">
        <w:rPr>
          <w:lang w:val="en-US"/>
        </w:rPr>
        <w:t>in the terms of</w:t>
      </w:r>
      <w:r w:rsidR="002704D3" w:rsidRPr="002E60EB">
        <w:rPr>
          <w:lang w:val="en-US"/>
        </w:rPr>
        <w:t xml:space="preserve"> </w:t>
      </w:r>
      <w:r w:rsidRPr="002E60EB">
        <w:rPr>
          <w:lang w:val="en-US"/>
        </w:rPr>
        <w:t>paragraphs</w:t>
      </w:r>
      <w:r w:rsidR="002704D3" w:rsidRPr="002E60EB">
        <w:rPr>
          <w:lang w:val="en-US"/>
        </w:rPr>
        <w:t xml:space="preserve"> 225</w:t>
      </w:r>
      <w:r w:rsidRPr="002E60EB">
        <w:rPr>
          <w:lang w:val="en-US"/>
        </w:rPr>
        <w:t xml:space="preserve"> and </w:t>
      </w:r>
      <w:r w:rsidR="002704D3" w:rsidRPr="002E60EB">
        <w:rPr>
          <w:lang w:val="en-US"/>
        </w:rPr>
        <w:t>228</w:t>
      </w:r>
      <w:r w:rsidRPr="002E60EB">
        <w:rPr>
          <w:lang w:val="en-US"/>
        </w:rPr>
        <w:t xml:space="preserve"> to</w:t>
      </w:r>
      <w:r w:rsidR="002704D3" w:rsidRPr="002E60EB">
        <w:rPr>
          <w:lang w:val="en-US"/>
        </w:rPr>
        <w:t xml:space="preserve"> 232 </w:t>
      </w:r>
      <w:r w:rsidRPr="002E60EB">
        <w:rPr>
          <w:lang w:val="en-US"/>
        </w:rPr>
        <w:t>of this Judgment</w:t>
      </w:r>
      <w:r w:rsidR="002704D3" w:rsidRPr="002E60EB">
        <w:rPr>
          <w:lang w:val="en-US"/>
        </w:rPr>
        <w:t>.</w:t>
      </w:r>
    </w:p>
    <w:p w:rsidR="00A2386A" w:rsidRPr="002E60EB" w:rsidRDefault="00A2386A" w:rsidP="00317748">
      <w:pPr>
        <w:jc w:val="both"/>
        <w:rPr>
          <w:lang w:val="en-US"/>
        </w:rPr>
      </w:pPr>
    </w:p>
    <w:p w:rsidR="002704D3" w:rsidRPr="002E60EB" w:rsidRDefault="0015470F" w:rsidP="00317748">
      <w:pPr>
        <w:numPr>
          <w:ilvl w:val="0"/>
          <w:numId w:val="26"/>
        </w:numPr>
        <w:tabs>
          <w:tab w:val="clear" w:pos="720"/>
        </w:tabs>
        <w:ind w:left="0" w:firstLine="0"/>
        <w:jc w:val="both"/>
        <w:rPr>
          <w:lang w:val="en-US"/>
        </w:rPr>
      </w:pPr>
      <w:r w:rsidRPr="002E60EB">
        <w:rPr>
          <w:lang w:val="en-US"/>
        </w:rPr>
        <w:t>The State is responsible for the violation of the right</w:t>
      </w:r>
      <w:r w:rsidR="002704D3" w:rsidRPr="002E60EB">
        <w:rPr>
          <w:lang w:val="en-US"/>
        </w:rPr>
        <w:t xml:space="preserve"> </w:t>
      </w:r>
      <w:r w:rsidRPr="002E60EB">
        <w:rPr>
          <w:lang w:val="en-US"/>
        </w:rPr>
        <w:t>to protection of the family and of the rights of the child, recognized in Articles</w:t>
      </w:r>
      <w:r w:rsidR="002704D3" w:rsidRPr="002E60EB">
        <w:rPr>
          <w:lang w:val="en-US"/>
        </w:rPr>
        <w:t xml:space="preserve"> </w:t>
      </w:r>
      <w:r w:rsidRPr="002E60EB">
        <w:rPr>
          <w:lang w:val="en-US"/>
        </w:rPr>
        <w:t xml:space="preserve">17(1) and </w:t>
      </w:r>
      <w:r w:rsidR="002704D3" w:rsidRPr="002E60EB">
        <w:rPr>
          <w:lang w:val="en-US"/>
        </w:rPr>
        <w:t xml:space="preserve">19 </w:t>
      </w:r>
      <w:r w:rsidRPr="002E60EB">
        <w:rPr>
          <w:lang w:val="en-US"/>
        </w:rPr>
        <w:t>of the American Convention on Human Rights</w:t>
      </w:r>
      <w:r w:rsidR="002704D3" w:rsidRPr="002E60EB">
        <w:rPr>
          <w:lang w:val="en-US"/>
        </w:rPr>
        <w:t xml:space="preserve">, </w:t>
      </w:r>
      <w:r w:rsidRPr="002E60EB">
        <w:rPr>
          <w:lang w:val="en-US"/>
        </w:rPr>
        <w:t>in relation to Article</w:t>
      </w:r>
      <w:r w:rsidR="002704D3" w:rsidRPr="002E60EB">
        <w:rPr>
          <w:lang w:val="en-US"/>
        </w:rPr>
        <w:t xml:space="preserve"> </w:t>
      </w:r>
      <w:r w:rsidRPr="002E60EB">
        <w:rPr>
          <w:lang w:val="en-US"/>
        </w:rPr>
        <w:t>1(1)</w:t>
      </w:r>
      <w:r w:rsidR="002704D3" w:rsidRPr="002E60EB">
        <w:rPr>
          <w:lang w:val="en-US"/>
        </w:rPr>
        <w:t xml:space="preserve"> </w:t>
      </w:r>
      <w:r w:rsidRPr="002E60EB">
        <w:rPr>
          <w:lang w:val="en-US"/>
        </w:rPr>
        <w:t>thereof</w:t>
      </w:r>
      <w:r w:rsidR="002704D3" w:rsidRPr="002E60EB">
        <w:rPr>
          <w:lang w:val="en-US"/>
        </w:rPr>
        <w:t xml:space="preserve">, </w:t>
      </w:r>
      <w:r w:rsidRPr="002E60EB">
        <w:rPr>
          <w:lang w:val="en-US"/>
        </w:rPr>
        <w:t>to the detriment of</w:t>
      </w:r>
      <w:r w:rsidR="002704D3" w:rsidRPr="002E60EB">
        <w:rPr>
          <w:lang w:val="en-US"/>
        </w:rPr>
        <w:t xml:space="preserve"> Mateo</w:t>
      </w:r>
      <w:r w:rsidRPr="002E60EB">
        <w:rPr>
          <w:lang w:val="en-US"/>
        </w:rPr>
        <w:t xml:space="preserve"> and </w:t>
      </w:r>
      <w:r w:rsidR="002704D3" w:rsidRPr="002E60EB">
        <w:rPr>
          <w:lang w:val="en-US"/>
        </w:rPr>
        <w:t xml:space="preserve">Juliana Vélez Román, </w:t>
      </w:r>
      <w:r w:rsidRPr="002E60EB">
        <w:rPr>
          <w:lang w:val="en-US"/>
        </w:rPr>
        <w:t>in the terms of</w:t>
      </w:r>
      <w:r w:rsidR="002704D3" w:rsidRPr="002E60EB">
        <w:rPr>
          <w:lang w:val="en-US"/>
        </w:rPr>
        <w:t xml:space="preserve"> </w:t>
      </w:r>
      <w:r w:rsidRPr="002E60EB">
        <w:rPr>
          <w:lang w:val="en-US"/>
        </w:rPr>
        <w:t>paragraphs 225 to</w:t>
      </w:r>
      <w:r w:rsidR="002704D3" w:rsidRPr="002E60EB">
        <w:rPr>
          <w:lang w:val="en-US"/>
        </w:rPr>
        <w:t xml:space="preserve"> 232 </w:t>
      </w:r>
      <w:r w:rsidRPr="002E60EB">
        <w:rPr>
          <w:lang w:val="en-US"/>
        </w:rPr>
        <w:t>of this Judgment</w:t>
      </w:r>
      <w:r w:rsidR="002704D3" w:rsidRPr="002E60EB">
        <w:rPr>
          <w:lang w:val="en-US"/>
        </w:rPr>
        <w:t>.</w:t>
      </w:r>
    </w:p>
    <w:p w:rsidR="00A2386A" w:rsidRPr="002E60EB" w:rsidRDefault="00A2386A" w:rsidP="00317748">
      <w:pPr>
        <w:jc w:val="both"/>
        <w:rPr>
          <w:lang w:val="en-US"/>
        </w:rPr>
      </w:pPr>
    </w:p>
    <w:p w:rsidR="002704D3" w:rsidRPr="002E60EB" w:rsidRDefault="0015470F" w:rsidP="00317748">
      <w:pPr>
        <w:numPr>
          <w:ilvl w:val="0"/>
          <w:numId w:val="26"/>
        </w:numPr>
        <w:tabs>
          <w:tab w:val="clear" w:pos="720"/>
        </w:tabs>
        <w:ind w:left="0" w:firstLine="0"/>
        <w:jc w:val="both"/>
        <w:rPr>
          <w:lang w:val="en-US"/>
        </w:rPr>
      </w:pPr>
      <w:r w:rsidRPr="002E60EB">
        <w:rPr>
          <w:lang w:val="en-US"/>
        </w:rPr>
        <w:t>The State is responsible for the violation of the rights to judicial guarantees and judicial protection, recognized in</w:t>
      </w:r>
      <w:r w:rsidR="002704D3" w:rsidRPr="002E60EB">
        <w:rPr>
          <w:rFonts w:cs="Verdana"/>
          <w:bCs/>
          <w:lang w:val="en-US"/>
        </w:rPr>
        <w:t xml:space="preserve"> </w:t>
      </w:r>
      <w:r w:rsidRPr="002E60EB">
        <w:rPr>
          <w:rFonts w:cs="Verdana"/>
          <w:bCs/>
          <w:lang w:val="en-US"/>
        </w:rPr>
        <w:t xml:space="preserve">Articles 8(1) and </w:t>
      </w:r>
      <w:r w:rsidR="002704D3" w:rsidRPr="002E60EB">
        <w:rPr>
          <w:rFonts w:cs="Verdana"/>
          <w:bCs/>
          <w:lang w:val="en-US"/>
        </w:rPr>
        <w:t xml:space="preserve">25 </w:t>
      </w:r>
      <w:r w:rsidRPr="002E60EB">
        <w:rPr>
          <w:rFonts w:cs="Verdana"/>
          <w:bCs/>
          <w:lang w:val="en-US"/>
        </w:rPr>
        <w:t>of the American Convention on Human Rights</w:t>
      </w:r>
      <w:r w:rsidR="002704D3" w:rsidRPr="002E60EB">
        <w:rPr>
          <w:rFonts w:cs="Verdana"/>
          <w:bCs/>
          <w:lang w:val="en-US"/>
        </w:rPr>
        <w:t xml:space="preserve">, </w:t>
      </w:r>
      <w:r w:rsidRPr="002E60EB">
        <w:rPr>
          <w:rFonts w:cs="Verdana"/>
          <w:bCs/>
          <w:lang w:val="en-US"/>
        </w:rPr>
        <w:t>in relation to Article</w:t>
      </w:r>
      <w:r w:rsidR="002704D3" w:rsidRPr="002E60EB">
        <w:rPr>
          <w:rFonts w:cs="Verdana"/>
          <w:bCs/>
          <w:lang w:val="en-US"/>
        </w:rPr>
        <w:t xml:space="preserve"> </w:t>
      </w:r>
      <w:r w:rsidRPr="002E60EB">
        <w:rPr>
          <w:rFonts w:cs="Verdana"/>
          <w:bCs/>
          <w:lang w:val="en-US"/>
        </w:rPr>
        <w:t>1(1)</w:t>
      </w:r>
      <w:r w:rsidR="002704D3" w:rsidRPr="002E60EB">
        <w:rPr>
          <w:rFonts w:cs="Verdana"/>
          <w:bCs/>
          <w:lang w:val="en-US"/>
        </w:rPr>
        <w:t xml:space="preserve"> </w:t>
      </w:r>
      <w:r w:rsidRPr="002E60EB">
        <w:rPr>
          <w:rFonts w:cs="Verdana"/>
          <w:bCs/>
          <w:lang w:val="en-US"/>
        </w:rPr>
        <w:t>thereof</w:t>
      </w:r>
      <w:r w:rsidR="002704D3" w:rsidRPr="002E60EB">
        <w:rPr>
          <w:rFonts w:cs="Verdana"/>
          <w:bCs/>
          <w:lang w:val="en-US"/>
        </w:rPr>
        <w:t xml:space="preserve">, </w:t>
      </w:r>
      <w:r w:rsidRPr="002E60EB">
        <w:rPr>
          <w:rFonts w:cs="Verdana"/>
          <w:bCs/>
          <w:lang w:val="en-US"/>
        </w:rPr>
        <w:t>to the detriment of Luis</w:t>
      </w:r>
      <w:r w:rsidR="002704D3" w:rsidRPr="002E60EB">
        <w:rPr>
          <w:lang w:val="en-US"/>
        </w:rPr>
        <w:t xml:space="preserve"> Gonzalo Vélez Restrepo, </w:t>
      </w:r>
      <w:r w:rsidRPr="002E60EB">
        <w:rPr>
          <w:lang w:val="en-US"/>
        </w:rPr>
        <w:t>Aracelly</w:t>
      </w:r>
      <w:r w:rsidR="002704D3" w:rsidRPr="002E60EB">
        <w:rPr>
          <w:lang w:val="en-US"/>
        </w:rPr>
        <w:t xml:space="preserve"> Román Amariles</w:t>
      </w:r>
      <w:r w:rsidR="003E759F" w:rsidRPr="002E60EB">
        <w:rPr>
          <w:lang w:val="en-US"/>
        </w:rPr>
        <w:t>,</w:t>
      </w:r>
      <w:r w:rsidRPr="002E60EB">
        <w:rPr>
          <w:lang w:val="en-US"/>
        </w:rPr>
        <w:t xml:space="preserve"> and their children</w:t>
      </w:r>
      <w:r w:rsidR="002704D3" w:rsidRPr="002E60EB">
        <w:rPr>
          <w:lang w:val="en-US"/>
        </w:rPr>
        <w:t xml:space="preserve"> Mateo</w:t>
      </w:r>
      <w:r w:rsidRPr="002E60EB">
        <w:rPr>
          <w:lang w:val="en-US"/>
        </w:rPr>
        <w:t xml:space="preserve"> and </w:t>
      </w:r>
      <w:r w:rsidR="002704D3" w:rsidRPr="002E60EB">
        <w:rPr>
          <w:lang w:val="en-US"/>
        </w:rPr>
        <w:t>Juliana Vélez Román</w:t>
      </w:r>
      <w:r w:rsidR="002704D3" w:rsidRPr="002E60EB">
        <w:rPr>
          <w:rFonts w:cs="Verdana"/>
          <w:bCs/>
          <w:lang w:val="en-US"/>
        </w:rPr>
        <w:t xml:space="preserve">, </w:t>
      </w:r>
      <w:r w:rsidRPr="002E60EB">
        <w:rPr>
          <w:rFonts w:cs="Verdana"/>
          <w:bCs/>
          <w:lang w:val="en-US"/>
        </w:rPr>
        <w:t xml:space="preserve">in the terms of </w:t>
      </w:r>
      <w:r w:rsidRPr="002E60EB">
        <w:rPr>
          <w:rFonts w:eastAsia="Batang" w:cs="Verdana"/>
          <w:lang w:val="en-US"/>
        </w:rPr>
        <w:t>paragraphs 233 to</w:t>
      </w:r>
      <w:r w:rsidR="002704D3" w:rsidRPr="002E60EB">
        <w:rPr>
          <w:rFonts w:eastAsia="Batang" w:cs="Verdana"/>
          <w:lang w:val="en-US"/>
        </w:rPr>
        <w:t xml:space="preserve"> 235</w:t>
      </w:r>
      <w:r w:rsidRPr="002E60EB">
        <w:rPr>
          <w:rFonts w:eastAsia="Batang" w:cs="Verdana"/>
          <w:lang w:val="en-US"/>
        </w:rPr>
        <w:t xml:space="preserve"> and 238 to</w:t>
      </w:r>
      <w:r w:rsidR="002704D3" w:rsidRPr="002E60EB">
        <w:rPr>
          <w:rFonts w:eastAsia="Batang" w:cs="Verdana"/>
          <w:lang w:val="en-US"/>
        </w:rPr>
        <w:t xml:space="preserve"> 252 </w:t>
      </w:r>
      <w:r w:rsidRPr="002E60EB">
        <w:rPr>
          <w:rFonts w:eastAsia="Batang" w:cs="Verdana"/>
          <w:lang w:val="en-US"/>
        </w:rPr>
        <w:t>of this Judgment</w:t>
      </w:r>
      <w:r w:rsidR="002704D3" w:rsidRPr="002E60EB">
        <w:rPr>
          <w:rFonts w:eastAsia="Batang" w:cs="Verdana"/>
          <w:lang w:val="en-US"/>
        </w:rPr>
        <w:t>.</w:t>
      </w:r>
    </w:p>
    <w:p w:rsidR="00A2386A" w:rsidRPr="002E60EB" w:rsidRDefault="00A2386A" w:rsidP="00317748">
      <w:pPr>
        <w:jc w:val="both"/>
        <w:rPr>
          <w:lang w:val="en-US"/>
        </w:rPr>
      </w:pPr>
    </w:p>
    <w:p w:rsidR="002704D3" w:rsidRPr="002E60EB" w:rsidRDefault="0015470F" w:rsidP="00317748">
      <w:pPr>
        <w:numPr>
          <w:ilvl w:val="0"/>
          <w:numId w:val="26"/>
        </w:numPr>
        <w:tabs>
          <w:tab w:val="clear" w:pos="720"/>
        </w:tabs>
        <w:ind w:left="0" w:firstLine="0"/>
        <w:jc w:val="both"/>
        <w:rPr>
          <w:u w:val="single"/>
          <w:lang w:val="en-US"/>
        </w:rPr>
      </w:pPr>
      <w:r w:rsidRPr="002E60EB">
        <w:rPr>
          <w:lang w:val="en-US"/>
        </w:rPr>
        <w:t>The State is not responsible for the alleged violation of Article</w:t>
      </w:r>
      <w:r w:rsidR="002704D3" w:rsidRPr="002E60EB">
        <w:rPr>
          <w:lang w:val="en-US"/>
        </w:rPr>
        <w:t xml:space="preserve"> 4 </w:t>
      </w:r>
      <w:r w:rsidRPr="002E60EB">
        <w:rPr>
          <w:rFonts w:eastAsia="MS Mincho"/>
          <w:lang w:val="en-US"/>
        </w:rPr>
        <w:t>of the American Convention on Human Rights</w:t>
      </w:r>
      <w:r w:rsidR="002704D3" w:rsidRPr="002E60EB">
        <w:rPr>
          <w:rFonts w:eastAsia="MS Mincho"/>
          <w:lang w:val="en-US"/>
        </w:rPr>
        <w:t xml:space="preserve">, </w:t>
      </w:r>
      <w:r w:rsidRPr="002E60EB">
        <w:rPr>
          <w:rFonts w:eastAsia="MS Mincho"/>
          <w:lang w:val="en-US"/>
        </w:rPr>
        <w:t>in relation to Article</w:t>
      </w:r>
      <w:r w:rsidR="002704D3" w:rsidRPr="002E60EB">
        <w:rPr>
          <w:rFonts w:eastAsia="MS Mincho"/>
          <w:lang w:val="en-US"/>
        </w:rPr>
        <w:t xml:space="preserve"> </w:t>
      </w:r>
      <w:r w:rsidRPr="002E60EB">
        <w:rPr>
          <w:rFonts w:eastAsia="MS Mincho"/>
          <w:lang w:val="en-US"/>
        </w:rPr>
        <w:t>1(1)</w:t>
      </w:r>
      <w:r w:rsidR="002704D3" w:rsidRPr="002E60EB">
        <w:rPr>
          <w:rFonts w:eastAsia="MS Mincho"/>
          <w:lang w:val="en-US"/>
        </w:rPr>
        <w:t xml:space="preserve"> </w:t>
      </w:r>
      <w:r w:rsidRPr="002E60EB">
        <w:rPr>
          <w:rFonts w:eastAsia="MS Mincho"/>
          <w:lang w:val="en-US"/>
        </w:rPr>
        <w:t xml:space="preserve">of this instrument, in accordance with </w:t>
      </w:r>
      <w:r w:rsidRPr="002E60EB">
        <w:rPr>
          <w:rFonts w:cs="Tahoma"/>
          <w:lang w:val="en-US"/>
        </w:rPr>
        <w:t>paragraph</w:t>
      </w:r>
      <w:r w:rsidR="002704D3" w:rsidRPr="002E60EB">
        <w:rPr>
          <w:rFonts w:cs="Tahoma"/>
          <w:lang w:val="en-US"/>
        </w:rPr>
        <w:t xml:space="preserve"> 182 </w:t>
      </w:r>
      <w:r w:rsidRPr="002E60EB">
        <w:rPr>
          <w:rFonts w:cs="Tahoma"/>
          <w:lang w:val="en-US"/>
        </w:rPr>
        <w:t>of this Judgment</w:t>
      </w:r>
      <w:r w:rsidR="002704D3" w:rsidRPr="002E60EB">
        <w:rPr>
          <w:rFonts w:eastAsia="MS Mincho"/>
          <w:lang w:val="en-US"/>
        </w:rPr>
        <w:t>.</w:t>
      </w:r>
    </w:p>
    <w:p w:rsidR="00A2386A" w:rsidRPr="002E60EB" w:rsidRDefault="00A2386A" w:rsidP="00317748">
      <w:pPr>
        <w:jc w:val="both"/>
        <w:rPr>
          <w:u w:val="single"/>
          <w:lang w:val="en-US"/>
        </w:rPr>
      </w:pPr>
    </w:p>
    <w:p w:rsidR="002704D3" w:rsidRPr="002E60EB" w:rsidRDefault="0015470F">
      <w:pPr>
        <w:rPr>
          <w:b/>
          <w:lang w:val="en-US"/>
        </w:rPr>
      </w:pPr>
      <w:r w:rsidRPr="002E60EB">
        <w:rPr>
          <w:b/>
          <w:lang w:val="en-US"/>
        </w:rPr>
        <w:t>AND ORDERS,</w:t>
      </w:r>
    </w:p>
    <w:p w:rsidR="00A2386A" w:rsidRPr="002E60EB" w:rsidRDefault="00A2386A">
      <w:pPr>
        <w:rPr>
          <w:b/>
          <w:lang w:val="en-US"/>
        </w:rPr>
      </w:pPr>
    </w:p>
    <w:p w:rsidR="002704D3" w:rsidRPr="002E60EB" w:rsidRDefault="0015470F">
      <w:pPr>
        <w:rPr>
          <w:lang w:val="en-US"/>
        </w:rPr>
      </w:pPr>
      <w:r w:rsidRPr="002E60EB">
        <w:rPr>
          <w:lang w:val="en-US"/>
        </w:rPr>
        <w:t>unanimously that</w:t>
      </w:r>
      <w:r w:rsidR="002704D3" w:rsidRPr="002E60EB">
        <w:rPr>
          <w:lang w:val="en-US"/>
        </w:rPr>
        <w:t>:</w:t>
      </w:r>
    </w:p>
    <w:p w:rsidR="002704D3" w:rsidRPr="002E60EB" w:rsidRDefault="002704D3">
      <w:pPr>
        <w:rPr>
          <w:lang w:val="en-US"/>
        </w:rPr>
      </w:pPr>
    </w:p>
    <w:p w:rsidR="002704D3" w:rsidRPr="002E60EB" w:rsidRDefault="0015470F" w:rsidP="00317748">
      <w:pPr>
        <w:numPr>
          <w:ilvl w:val="0"/>
          <w:numId w:val="24"/>
        </w:numPr>
        <w:ind w:left="0" w:firstLine="0"/>
        <w:jc w:val="both"/>
        <w:rPr>
          <w:lang w:val="en-US"/>
        </w:rPr>
      </w:pPr>
      <w:r w:rsidRPr="002E60EB">
        <w:rPr>
          <w:lang w:val="en-US"/>
        </w:rPr>
        <w:t xml:space="preserve">This Judgment constitutes </w:t>
      </w:r>
      <w:r w:rsidR="002704D3" w:rsidRPr="002E60EB">
        <w:rPr>
          <w:i/>
          <w:lang w:val="en-US"/>
        </w:rPr>
        <w:t>per se</w:t>
      </w:r>
      <w:r w:rsidR="002704D3" w:rsidRPr="002E60EB">
        <w:rPr>
          <w:lang w:val="en-US"/>
        </w:rPr>
        <w:t xml:space="preserve"> </w:t>
      </w:r>
      <w:r w:rsidRPr="002E60EB">
        <w:rPr>
          <w:lang w:val="en-US"/>
        </w:rPr>
        <w:t>a form of reparation</w:t>
      </w:r>
      <w:r w:rsidR="002704D3" w:rsidRPr="002E60EB">
        <w:rPr>
          <w:lang w:val="en-US"/>
        </w:rPr>
        <w:t>.</w:t>
      </w:r>
    </w:p>
    <w:p w:rsidR="002704D3" w:rsidRPr="002E60EB" w:rsidRDefault="002704D3">
      <w:pPr>
        <w:jc w:val="both"/>
        <w:rPr>
          <w:lang w:val="en-US"/>
        </w:rPr>
      </w:pPr>
    </w:p>
    <w:p w:rsidR="002704D3" w:rsidRPr="002E60EB" w:rsidRDefault="0015470F" w:rsidP="00BE70F8">
      <w:pPr>
        <w:numPr>
          <w:ilvl w:val="0"/>
          <w:numId w:val="24"/>
        </w:numPr>
        <w:ind w:left="0" w:firstLine="0"/>
        <w:jc w:val="both"/>
        <w:rPr>
          <w:lang w:val="en-US"/>
        </w:rPr>
      </w:pPr>
      <w:r w:rsidRPr="002E60EB">
        <w:rPr>
          <w:lang w:val="en-US"/>
        </w:rPr>
        <w:t xml:space="preserve">The State must guarantee the conditions for the members of the </w:t>
      </w:r>
      <w:r w:rsidR="002704D3" w:rsidRPr="002E60EB">
        <w:rPr>
          <w:lang w:val="en-US"/>
        </w:rPr>
        <w:t xml:space="preserve">Vélez Román </w:t>
      </w:r>
      <w:r w:rsidRPr="002E60EB">
        <w:rPr>
          <w:lang w:val="en-US"/>
        </w:rPr>
        <w:t>family to return to live in Colombia, if they so decide, in the terms established in paragraphs 263 to</w:t>
      </w:r>
      <w:r w:rsidR="002704D3" w:rsidRPr="002E60EB">
        <w:rPr>
          <w:lang w:val="en-US"/>
        </w:rPr>
        <w:t xml:space="preserve"> 266 </w:t>
      </w:r>
      <w:r w:rsidRPr="002E60EB">
        <w:rPr>
          <w:lang w:val="en-US"/>
        </w:rPr>
        <w:t>of this Judgment</w:t>
      </w:r>
      <w:r w:rsidR="002704D3" w:rsidRPr="002E60EB">
        <w:rPr>
          <w:lang w:val="en-US"/>
        </w:rPr>
        <w:t>.</w:t>
      </w:r>
    </w:p>
    <w:p w:rsidR="0015470F" w:rsidRPr="002E60EB" w:rsidRDefault="0015470F" w:rsidP="0015470F">
      <w:pPr>
        <w:numPr>
          <w:ilvl w:val="0"/>
          <w:numId w:val="24"/>
        </w:numPr>
        <w:ind w:left="0" w:firstLine="0"/>
        <w:jc w:val="both"/>
        <w:rPr>
          <w:lang w:val="en-US"/>
        </w:rPr>
      </w:pPr>
      <w:r w:rsidRPr="002E60EB">
        <w:rPr>
          <w:lang w:val="en-US"/>
        </w:rPr>
        <w:t>The State must provide health care to the victims through its specialized health care institutions if the victims indicate their intention of returning to live in Colombia, in keeping with the time frames established in paragraph 265 of this Judgment, and in accordance with the terms established in paragraphs 269 and 270 of this Judgment. If the members of the Vélez Román family decide not to return to live in Colombia, the State must pay them the amounts established in paragraph 271 of this Judgment, in order to help cover the costs of health care, as established in the said paragraph 271.</w:t>
      </w:r>
    </w:p>
    <w:p w:rsidR="002704D3" w:rsidRPr="002E60EB" w:rsidRDefault="002704D3">
      <w:pPr>
        <w:jc w:val="both"/>
        <w:rPr>
          <w:lang w:val="en-US"/>
        </w:rPr>
      </w:pPr>
    </w:p>
    <w:p w:rsidR="002704D3" w:rsidRPr="002E60EB" w:rsidRDefault="0015470F" w:rsidP="00317748">
      <w:pPr>
        <w:numPr>
          <w:ilvl w:val="0"/>
          <w:numId w:val="24"/>
        </w:numPr>
        <w:ind w:left="0" w:firstLine="0"/>
        <w:jc w:val="both"/>
        <w:rPr>
          <w:lang w:val="en-US"/>
        </w:rPr>
      </w:pPr>
      <w:r w:rsidRPr="002E60EB">
        <w:rPr>
          <w:lang w:val="en-US"/>
        </w:rPr>
        <w:t>The State must make the publications indicated in paragraph</w:t>
      </w:r>
      <w:r w:rsidR="002704D3" w:rsidRPr="002E60EB">
        <w:rPr>
          <w:lang w:val="en-US"/>
        </w:rPr>
        <w:t xml:space="preserve"> 274 </w:t>
      </w:r>
      <w:r w:rsidRPr="002E60EB">
        <w:rPr>
          <w:lang w:val="en-US"/>
        </w:rPr>
        <w:t>of this Judgment</w:t>
      </w:r>
      <w:r w:rsidR="002704D3" w:rsidRPr="002E60EB">
        <w:rPr>
          <w:lang w:val="en-US"/>
        </w:rPr>
        <w:t xml:space="preserve">, </w:t>
      </w:r>
      <w:r w:rsidRPr="002E60EB">
        <w:rPr>
          <w:lang w:val="en-US"/>
        </w:rPr>
        <w:t>within six months</w:t>
      </w:r>
      <w:r w:rsidR="002704D3" w:rsidRPr="002E60EB">
        <w:rPr>
          <w:lang w:val="en-US"/>
        </w:rPr>
        <w:t xml:space="preserve"> </w:t>
      </w:r>
      <w:r w:rsidRPr="002E60EB">
        <w:rPr>
          <w:lang w:val="en-US"/>
        </w:rPr>
        <w:t>of its notification</w:t>
      </w:r>
      <w:r w:rsidR="002704D3" w:rsidRPr="002E60EB">
        <w:rPr>
          <w:lang w:val="en-US"/>
        </w:rPr>
        <w:t>.</w:t>
      </w:r>
    </w:p>
    <w:p w:rsidR="002704D3" w:rsidRPr="002E60EB" w:rsidRDefault="002704D3">
      <w:pPr>
        <w:pStyle w:val="Prrafodelista"/>
        <w:ind w:left="0"/>
        <w:rPr>
          <w:lang w:val="en-US"/>
        </w:rPr>
      </w:pPr>
    </w:p>
    <w:p w:rsidR="002704D3" w:rsidRPr="002E60EB" w:rsidRDefault="0015470F" w:rsidP="00A422FC">
      <w:pPr>
        <w:numPr>
          <w:ilvl w:val="0"/>
          <w:numId w:val="24"/>
        </w:numPr>
        <w:ind w:left="0" w:firstLine="0"/>
        <w:jc w:val="both"/>
        <w:rPr>
          <w:lang w:val="en-US"/>
        </w:rPr>
      </w:pPr>
      <w:r w:rsidRPr="002E60EB">
        <w:rPr>
          <w:lang w:val="en-US"/>
        </w:rPr>
        <w:t>The State must</w:t>
      </w:r>
      <w:r w:rsidR="002704D3" w:rsidRPr="002E60EB">
        <w:rPr>
          <w:lang w:val="en-US"/>
        </w:rPr>
        <w:t xml:space="preserve"> </w:t>
      </w:r>
      <w:r w:rsidR="00A422FC" w:rsidRPr="002E60EB">
        <w:rPr>
          <w:lang w:val="en-US"/>
        </w:rPr>
        <w:t>incorpo</w:t>
      </w:r>
      <w:r w:rsidRPr="002E60EB">
        <w:rPr>
          <w:lang w:val="en-US"/>
        </w:rPr>
        <w:t>rate into its human rights education programs for the Armed Forces, a specific module on the</w:t>
      </w:r>
      <w:r w:rsidR="003E759F" w:rsidRPr="002E60EB">
        <w:rPr>
          <w:lang w:val="en-US"/>
        </w:rPr>
        <w:t xml:space="preserve"> </w:t>
      </w:r>
      <w:r w:rsidRPr="002E60EB">
        <w:rPr>
          <w:lang w:val="en-US"/>
        </w:rPr>
        <w:t>protection of the right to freedom of thought and expression</w:t>
      </w:r>
      <w:r w:rsidR="00A422FC" w:rsidRPr="002E60EB">
        <w:rPr>
          <w:lang w:val="en-US"/>
        </w:rPr>
        <w:t xml:space="preserve"> and </w:t>
      </w:r>
      <w:r w:rsidR="003E759F" w:rsidRPr="002E60EB">
        <w:rPr>
          <w:lang w:val="en-US"/>
        </w:rPr>
        <w:t>on</w:t>
      </w:r>
      <w:r w:rsidR="00A422FC" w:rsidRPr="002E60EB">
        <w:rPr>
          <w:lang w:val="en-US"/>
        </w:rPr>
        <w:t xml:space="preserve"> the role </w:t>
      </w:r>
      <w:r w:rsidR="003E759F" w:rsidRPr="002E60EB">
        <w:rPr>
          <w:lang w:val="en-US"/>
        </w:rPr>
        <w:t>of</w:t>
      </w:r>
      <w:r w:rsidR="00A422FC" w:rsidRPr="002E60EB">
        <w:rPr>
          <w:lang w:val="en-US"/>
        </w:rPr>
        <w:t xml:space="preserve"> journalists and social communicators, </w:t>
      </w:r>
      <w:r w:rsidRPr="002E60EB">
        <w:rPr>
          <w:lang w:val="en-US"/>
        </w:rPr>
        <w:t>in the terms of</w:t>
      </w:r>
      <w:r w:rsidR="002704D3" w:rsidRPr="002E60EB">
        <w:rPr>
          <w:lang w:val="en-US"/>
        </w:rPr>
        <w:t xml:space="preserve"> </w:t>
      </w:r>
      <w:r w:rsidRPr="002E60EB">
        <w:rPr>
          <w:lang w:val="en-US"/>
        </w:rPr>
        <w:t>paragraph</w:t>
      </w:r>
      <w:r w:rsidR="002704D3" w:rsidRPr="002E60EB">
        <w:rPr>
          <w:lang w:val="en-US"/>
        </w:rPr>
        <w:t xml:space="preserve"> 277 </w:t>
      </w:r>
      <w:r w:rsidRPr="002E60EB">
        <w:rPr>
          <w:lang w:val="en-US"/>
        </w:rPr>
        <w:t>of this Judgment</w:t>
      </w:r>
      <w:r w:rsidR="002704D3" w:rsidRPr="002E60EB">
        <w:rPr>
          <w:lang w:val="en-US"/>
        </w:rPr>
        <w:t>.</w:t>
      </w:r>
    </w:p>
    <w:p w:rsidR="002704D3" w:rsidRPr="002E60EB" w:rsidRDefault="002704D3">
      <w:pPr>
        <w:pStyle w:val="Prrafodelista"/>
        <w:ind w:left="0"/>
        <w:rPr>
          <w:lang w:val="en-US"/>
        </w:rPr>
      </w:pPr>
    </w:p>
    <w:p w:rsidR="002704D3" w:rsidRPr="002E60EB" w:rsidRDefault="0015470F" w:rsidP="00A422FC">
      <w:pPr>
        <w:numPr>
          <w:ilvl w:val="0"/>
          <w:numId w:val="24"/>
        </w:numPr>
        <w:ind w:left="0" w:firstLine="0"/>
        <w:jc w:val="both"/>
        <w:rPr>
          <w:lang w:val="en-US"/>
        </w:rPr>
      </w:pPr>
      <w:r w:rsidRPr="002E60EB">
        <w:rPr>
          <w:lang w:val="en-US"/>
        </w:rPr>
        <w:t>The State must</w:t>
      </w:r>
      <w:r w:rsidR="002704D3" w:rsidRPr="002E60EB">
        <w:rPr>
          <w:lang w:val="en-US"/>
        </w:rPr>
        <w:t xml:space="preserve"> </w:t>
      </w:r>
      <w:r w:rsidR="00A422FC" w:rsidRPr="002E60EB">
        <w:rPr>
          <w:lang w:val="en-US"/>
        </w:rPr>
        <w:t>advise whether, under Colombian law, it is possible to adopt other measures or actions that would permit determining responsibilities in this case for the acts of violence on August 29, 1996, and the threats and harassment in 1996 and 1997 and, if so, i</w:t>
      </w:r>
      <w:r w:rsidR="003E759F" w:rsidRPr="002E60EB">
        <w:rPr>
          <w:lang w:val="en-US"/>
        </w:rPr>
        <w:t>t must i</w:t>
      </w:r>
      <w:r w:rsidR="00A422FC" w:rsidRPr="002E60EB">
        <w:rPr>
          <w:lang w:val="en-US"/>
        </w:rPr>
        <w:t xml:space="preserve">mplement the said measures or actions, in the terms of </w:t>
      </w:r>
      <w:r w:rsidRPr="002E60EB">
        <w:rPr>
          <w:lang w:val="en-US"/>
        </w:rPr>
        <w:t>paragraphs</w:t>
      </w:r>
      <w:r w:rsidR="00A422FC" w:rsidRPr="002E60EB">
        <w:rPr>
          <w:lang w:val="en-US"/>
        </w:rPr>
        <w:t xml:space="preserve"> 281 to</w:t>
      </w:r>
      <w:r w:rsidR="002704D3" w:rsidRPr="002E60EB">
        <w:rPr>
          <w:lang w:val="en-US"/>
        </w:rPr>
        <w:t xml:space="preserve"> 284 </w:t>
      </w:r>
      <w:r w:rsidRPr="002E60EB">
        <w:rPr>
          <w:lang w:val="en-US"/>
        </w:rPr>
        <w:t>of this Judgment</w:t>
      </w:r>
      <w:r w:rsidR="002704D3" w:rsidRPr="002E60EB">
        <w:rPr>
          <w:lang w:val="en-US"/>
        </w:rPr>
        <w:t>.</w:t>
      </w:r>
    </w:p>
    <w:p w:rsidR="002704D3" w:rsidRPr="002E60EB" w:rsidRDefault="002704D3">
      <w:pPr>
        <w:pStyle w:val="Prrafodelista"/>
        <w:ind w:left="0"/>
        <w:rPr>
          <w:lang w:val="en-US"/>
        </w:rPr>
      </w:pPr>
    </w:p>
    <w:p w:rsidR="002704D3" w:rsidRPr="002E60EB" w:rsidRDefault="0015470F" w:rsidP="00317748">
      <w:pPr>
        <w:numPr>
          <w:ilvl w:val="0"/>
          <w:numId w:val="24"/>
        </w:numPr>
        <w:ind w:left="0" w:firstLine="0"/>
        <w:jc w:val="both"/>
        <w:rPr>
          <w:bCs/>
          <w:lang w:val="en-US"/>
        </w:rPr>
      </w:pPr>
      <w:r w:rsidRPr="002E60EB">
        <w:rPr>
          <w:lang w:val="en-US"/>
        </w:rPr>
        <w:t>The State must</w:t>
      </w:r>
      <w:r w:rsidR="002704D3" w:rsidRPr="002E60EB">
        <w:rPr>
          <w:lang w:val="en-US"/>
        </w:rPr>
        <w:t xml:space="preserve"> </w:t>
      </w:r>
      <w:r w:rsidR="002704D3" w:rsidRPr="002E60EB">
        <w:rPr>
          <w:bCs/>
          <w:lang w:val="en-US"/>
        </w:rPr>
        <w:t>conduc</w:t>
      </w:r>
      <w:r w:rsidR="00A422FC" w:rsidRPr="002E60EB">
        <w:rPr>
          <w:bCs/>
          <w:lang w:val="en-US"/>
        </w:rPr>
        <w:t xml:space="preserve">t, effectively and with a reasonable time, the criminal investigation into the attempted deprivation of liberty of </w:t>
      </w:r>
      <w:r w:rsidR="002704D3" w:rsidRPr="002E60EB">
        <w:rPr>
          <w:rFonts w:eastAsia="Calibri" w:cs="Verdana"/>
          <w:bCs/>
          <w:lang w:val="en-US" w:eastAsia="es-MX"/>
        </w:rPr>
        <w:t xml:space="preserve">Luis Gonzalo Vélez Restrepo </w:t>
      </w:r>
      <w:r w:rsidR="00A422FC" w:rsidRPr="002E60EB">
        <w:rPr>
          <w:rFonts w:eastAsia="Calibri" w:cs="Verdana"/>
          <w:bCs/>
          <w:lang w:val="en-US" w:eastAsia="es-MX"/>
        </w:rPr>
        <w:t xml:space="preserve">that took place on October 6, </w:t>
      </w:r>
      <w:r w:rsidR="002704D3" w:rsidRPr="002E60EB">
        <w:rPr>
          <w:rFonts w:eastAsia="Calibri" w:cs="Verdana"/>
          <w:bCs/>
          <w:lang w:val="en-US" w:eastAsia="es-MX"/>
        </w:rPr>
        <w:t>1997</w:t>
      </w:r>
      <w:r w:rsidR="002704D3" w:rsidRPr="002E60EB">
        <w:rPr>
          <w:lang w:val="en-US"/>
        </w:rPr>
        <w:t xml:space="preserve">, </w:t>
      </w:r>
      <w:r w:rsidR="00A422FC" w:rsidRPr="002E60EB">
        <w:rPr>
          <w:lang w:val="en-US"/>
        </w:rPr>
        <w:t xml:space="preserve">in a way that leads to the clarification of the facts, the determination of the corresponding criminal responsibilities, and the effective application of the sanctions and consequences established by law, in accordance with </w:t>
      </w:r>
      <w:r w:rsidRPr="002E60EB">
        <w:rPr>
          <w:bCs/>
          <w:lang w:val="en-US"/>
        </w:rPr>
        <w:t>paragraph</w:t>
      </w:r>
      <w:r w:rsidR="002704D3" w:rsidRPr="002E60EB">
        <w:rPr>
          <w:bCs/>
          <w:lang w:val="en-US"/>
        </w:rPr>
        <w:t xml:space="preserve"> 285 </w:t>
      </w:r>
      <w:r w:rsidRPr="002E60EB">
        <w:rPr>
          <w:bCs/>
          <w:lang w:val="en-US"/>
        </w:rPr>
        <w:t>of this Judgment</w:t>
      </w:r>
      <w:r w:rsidR="002704D3" w:rsidRPr="002E60EB">
        <w:rPr>
          <w:bCs/>
          <w:lang w:val="en-US"/>
        </w:rPr>
        <w:t>.</w:t>
      </w:r>
    </w:p>
    <w:p w:rsidR="002704D3" w:rsidRPr="002E60EB" w:rsidRDefault="002704D3">
      <w:pPr>
        <w:jc w:val="both"/>
        <w:rPr>
          <w:lang w:val="en-US"/>
        </w:rPr>
      </w:pPr>
    </w:p>
    <w:p w:rsidR="002704D3" w:rsidRPr="002E60EB" w:rsidRDefault="0015470F" w:rsidP="00317748">
      <w:pPr>
        <w:numPr>
          <w:ilvl w:val="0"/>
          <w:numId w:val="24"/>
        </w:numPr>
        <w:ind w:left="0" w:firstLine="0"/>
        <w:jc w:val="both"/>
        <w:rPr>
          <w:lang w:val="en-US"/>
        </w:rPr>
      </w:pPr>
      <w:r w:rsidRPr="002E60EB">
        <w:rPr>
          <w:lang w:val="en-US"/>
        </w:rPr>
        <w:t>The State must</w:t>
      </w:r>
      <w:r w:rsidR="002704D3" w:rsidRPr="002E60EB">
        <w:rPr>
          <w:lang w:val="en-US"/>
        </w:rPr>
        <w:t xml:space="preserve"> pa</w:t>
      </w:r>
      <w:r w:rsidR="00A422FC" w:rsidRPr="002E60EB">
        <w:rPr>
          <w:lang w:val="en-US"/>
        </w:rPr>
        <w:t xml:space="preserve">y the amounts established in </w:t>
      </w:r>
      <w:r w:rsidRPr="002E60EB">
        <w:rPr>
          <w:lang w:val="en-US"/>
        </w:rPr>
        <w:t>paragraphs</w:t>
      </w:r>
      <w:r w:rsidR="002704D3" w:rsidRPr="002E60EB">
        <w:rPr>
          <w:lang w:val="en-US"/>
        </w:rPr>
        <w:t xml:space="preserve"> 295, 298, 302</w:t>
      </w:r>
      <w:r w:rsidRPr="002E60EB">
        <w:rPr>
          <w:lang w:val="en-US"/>
        </w:rPr>
        <w:t xml:space="preserve"> and </w:t>
      </w:r>
      <w:r w:rsidR="00A422FC" w:rsidRPr="002E60EB">
        <w:rPr>
          <w:lang w:val="en-US"/>
        </w:rPr>
        <w:t>307 to</w:t>
      </w:r>
      <w:r w:rsidR="002704D3" w:rsidRPr="002E60EB">
        <w:rPr>
          <w:lang w:val="en-US"/>
        </w:rPr>
        <w:t xml:space="preserve"> 309 </w:t>
      </w:r>
      <w:r w:rsidRPr="002E60EB">
        <w:rPr>
          <w:lang w:val="en-US"/>
        </w:rPr>
        <w:t>of this Judgment</w:t>
      </w:r>
      <w:r w:rsidR="002704D3" w:rsidRPr="002E60EB">
        <w:rPr>
          <w:lang w:val="en-US"/>
        </w:rPr>
        <w:t xml:space="preserve">, </w:t>
      </w:r>
      <w:r w:rsidR="00A422FC" w:rsidRPr="002E60EB">
        <w:rPr>
          <w:lang w:val="en-US"/>
        </w:rPr>
        <w:t>as compensation for pecuniary and non-pecuniary damage and for reimbursement of costs and expenses</w:t>
      </w:r>
      <w:r w:rsidR="002704D3" w:rsidRPr="002E60EB">
        <w:rPr>
          <w:lang w:val="en-US"/>
        </w:rPr>
        <w:t xml:space="preserve">, </w:t>
      </w:r>
      <w:r w:rsidRPr="002E60EB">
        <w:rPr>
          <w:lang w:val="en-US"/>
        </w:rPr>
        <w:t>in the terms of</w:t>
      </w:r>
      <w:r w:rsidR="002704D3" w:rsidRPr="002E60EB">
        <w:rPr>
          <w:lang w:val="en-US"/>
        </w:rPr>
        <w:t xml:space="preserve"> </w:t>
      </w:r>
      <w:r w:rsidR="00A422FC" w:rsidRPr="002E60EB">
        <w:rPr>
          <w:lang w:val="en-US"/>
        </w:rPr>
        <w:t xml:space="preserve">the said paragraphs and also of </w:t>
      </w:r>
      <w:r w:rsidRPr="002E60EB">
        <w:rPr>
          <w:lang w:val="en-US"/>
        </w:rPr>
        <w:t>paragraphs</w:t>
      </w:r>
      <w:r w:rsidR="00A422FC" w:rsidRPr="002E60EB">
        <w:rPr>
          <w:lang w:val="en-US"/>
        </w:rPr>
        <w:t xml:space="preserve"> 310 to</w:t>
      </w:r>
      <w:r w:rsidR="002704D3" w:rsidRPr="002E60EB">
        <w:rPr>
          <w:lang w:val="en-US"/>
        </w:rPr>
        <w:t xml:space="preserve"> 314 </w:t>
      </w:r>
      <w:r w:rsidRPr="002E60EB">
        <w:rPr>
          <w:lang w:val="en-US"/>
        </w:rPr>
        <w:t>of this Judgment</w:t>
      </w:r>
      <w:r w:rsidR="002704D3" w:rsidRPr="002E60EB">
        <w:rPr>
          <w:lang w:val="en-US"/>
        </w:rPr>
        <w:t>.</w:t>
      </w:r>
    </w:p>
    <w:p w:rsidR="002704D3" w:rsidRPr="002E60EB" w:rsidRDefault="002704D3">
      <w:pPr>
        <w:pStyle w:val="Prrafodelista"/>
        <w:ind w:left="0"/>
        <w:rPr>
          <w:lang w:val="en-US"/>
        </w:rPr>
      </w:pPr>
    </w:p>
    <w:p w:rsidR="002704D3" w:rsidRPr="002E60EB" w:rsidRDefault="0015470F" w:rsidP="00317748">
      <w:pPr>
        <w:numPr>
          <w:ilvl w:val="0"/>
          <w:numId w:val="24"/>
        </w:numPr>
        <w:ind w:left="0" w:firstLine="0"/>
        <w:jc w:val="both"/>
        <w:rPr>
          <w:lang w:val="en-US"/>
        </w:rPr>
      </w:pPr>
      <w:r w:rsidRPr="002E60EB">
        <w:rPr>
          <w:lang w:val="en-US"/>
        </w:rPr>
        <w:t>The State must</w:t>
      </w:r>
      <w:r w:rsidR="002704D3" w:rsidRPr="002E60EB">
        <w:rPr>
          <w:lang w:val="en-US"/>
        </w:rPr>
        <w:t xml:space="preserve">, </w:t>
      </w:r>
      <w:r w:rsidR="00A422FC" w:rsidRPr="002E60EB">
        <w:rPr>
          <w:lang w:val="en-US"/>
        </w:rPr>
        <w:t>within one year of notification of this Judgment, provide the Court with a report on the measures adopted to comply with it.</w:t>
      </w:r>
    </w:p>
    <w:p w:rsidR="002704D3" w:rsidRPr="002E60EB" w:rsidRDefault="002704D3">
      <w:pPr>
        <w:pStyle w:val="Prrafodelista"/>
        <w:ind w:left="0"/>
        <w:rPr>
          <w:lang w:val="en-US"/>
        </w:rPr>
      </w:pPr>
    </w:p>
    <w:p w:rsidR="002704D3" w:rsidRPr="002E60EB" w:rsidRDefault="00A422FC" w:rsidP="00317748">
      <w:pPr>
        <w:numPr>
          <w:ilvl w:val="0"/>
          <w:numId w:val="24"/>
        </w:numPr>
        <w:ind w:left="0" w:firstLine="0"/>
        <w:jc w:val="both"/>
        <w:rPr>
          <w:lang w:val="en-US"/>
        </w:rPr>
      </w:pPr>
      <w:r w:rsidRPr="002E60EB">
        <w:rPr>
          <w:lang w:val="en-US"/>
        </w:rPr>
        <w:t>The Court will monitor full compliance with this Judgment, in exercise of its authority and in compliance with its obligations under the American Convention on Human Rights, and will conclude this case when the State has complied fully with its provisions.</w:t>
      </w:r>
    </w:p>
    <w:p w:rsidR="002704D3" w:rsidRPr="002E60EB" w:rsidRDefault="002704D3">
      <w:pPr>
        <w:pStyle w:val="Prrafodelista"/>
        <w:rPr>
          <w:lang w:val="en-US"/>
        </w:rPr>
      </w:pPr>
    </w:p>
    <w:p w:rsidR="00A2386A" w:rsidRPr="002E60EB" w:rsidRDefault="00A2386A">
      <w:pPr>
        <w:pStyle w:val="Prrafodelista"/>
        <w:rPr>
          <w:lang w:val="en-US"/>
        </w:rPr>
      </w:pPr>
    </w:p>
    <w:p w:rsidR="002704D3" w:rsidRPr="002E60EB" w:rsidRDefault="00A002C7">
      <w:pPr>
        <w:jc w:val="both"/>
        <w:rPr>
          <w:lang w:val="en-US"/>
        </w:rPr>
      </w:pPr>
      <w:r w:rsidRPr="002E60EB">
        <w:rPr>
          <w:lang w:val="en-US"/>
        </w:rPr>
        <w:t>Done, at San José, Costa Rica</w:t>
      </w:r>
      <w:r w:rsidR="00902875" w:rsidRPr="002E60EB">
        <w:rPr>
          <w:lang w:val="en-US"/>
        </w:rPr>
        <w:t>, on September 3, 2012, in the Spanish and English languages, the Spanish text being authentic.</w:t>
      </w:r>
    </w:p>
    <w:p w:rsidR="002704D3" w:rsidRPr="002E60EB" w:rsidRDefault="002704D3" w:rsidP="002704D3">
      <w:pPr>
        <w:jc w:val="both"/>
        <w:rPr>
          <w:lang w:val="en-US"/>
        </w:rPr>
      </w:pPr>
    </w:p>
    <w:p w:rsidR="002704D3" w:rsidRPr="002E60EB" w:rsidRDefault="002704D3" w:rsidP="002704D3">
      <w:pPr>
        <w:jc w:val="both"/>
        <w:rPr>
          <w:lang w:val="en-US"/>
        </w:rPr>
      </w:pPr>
    </w:p>
    <w:p w:rsidR="002704D3" w:rsidRPr="002E60EB" w:rsidRDefault="002704D3" w:rsidP="002704D3">
      <w:pPr>
        <w:jc w:val="both"/>
        <w:rPr>
          <w:lang w:val="en-US"/>
        </w:rPr>
      </w:pPr>
    </w:p>
    <w:p w:rsidR="002704D3" w:rsidRPr="002E60EB" w:rsidRDefault="002704D3" w:rsidP="002704D3">
      <w:pPr>
        <w:jc w:val="both"/>
        <w:rPr>
          <w:lang w:val="en-US"/>
        </w:rPr>
      </w:pPr>
    </w:p>
    <w:p w:rsidR="002704D3" w:rsidRPr="002E60EB" w:rsidRDefault="002704D3" w:rsidP="002704D3">
      <w:pPr>
        <w:jc w:val="both"/>
        <w:rPr>
          <w:lang w:val="en-US"/>
        </w:rPr>
      </w:pPr>
    </w:p>
    <w:p w:rsidR="002704D3" w:rsidRPr="009C0529" w:rsidRDefault="002704D3" w:rsidP="002704D3">
      <w:pPr>
        <w:jc w:val="center"/>
        <w:rPr>
          <w:lang w:val="es-ES"/>
        </w:rPr>
      </w:pPr>
      <w:r w:rsidRPr="009C0529">
        <w:rPr>
          <w:lang w:val="es-ES"/>
        </w:rPr>
        <w:t>Diego García</w:t>
      </w:r>
      <w:r w:rsidR="00334C3C" w:rsidRPr="009C0529">
        <w:rPr>
          <w:lang w:val="es-ES"/>
        </w:rPr>
        <w:t>-</w:t>
      </w:r>
      <w:r w:rsidRPr="009C0529">
        <w:rPr>
          <w:lang w:val="es-ES"/>
        </w:rPr>
        <w:t>Sayán</w:t>
      </w:r>
    </w:p>
    <w:p w:rsidR="002704D3" w:rsidRPr="009C0529" w:rsidRDefault="002704D3" w:rsidP="002704D3">
      <w:pPr>
        <w:jc w:val="center"/>
        <w:rPr>
          <w:lang w:val="es-ES"/>
        </w:rPr>
      </w:pPr>
      <w:r w:rsidRPr="009C0529">
        <w:rPr>
          <w:lang w:val="es-ES"/>
        </w:rPr>
        <w:t>President</w:t>
      </w: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r w:rsidRPr="009C0529">
        <w:rPr>
          <w:lang w:val="es-ES"/>
        </w:rPr>
        <w:t>Manuel Ventura Robles</w:t>
      </w:r>
      <w:r w:rsidRPr="009C0529">
        <w:rPr>
          <w:lang w:val="es-ES"/>
        </w:rPr>
        <w:tab/>
      </w:r>
      <w:r w:rsidRPr="009C0529">
        <w:rPr>
          <w:lang w:val="es-ES"/>
        </w:rPr>
        <w:tab/>
      </w:r>
      <w:r w:rsidRPr="009C0529">
        <w:rPr>
          <w:lang w:val="es-ES"/>
        </w:rPr>
        <w:tab/>
      </w:r>
      <w:r w:rsidRPr="009C0529">
        <w:rPr>
          <w:lang w:val="es-ES"/>
        </w:rPr>
        <w:tab/>
      </w:r>
      <w:r w:rsidRPr="009C0529">
        <w:rPr>
          <w:lang w:val="es-ES"/>
        </w:rPr>
        <w:tab/>
      </w:r>
      <w:r w:rsidRPr="009C0529">
        <w:rPr>
          <w:lang w:val="es-ES"/>
        </w:rPr>
        <w:tab/>
        <w:t>Leonardo A. Franco</w:t>
      </w: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r w:rsidRPr="009C0529">
        <w:rPr>
          <w:lang w:val="es-ES"/>
        </w:rPr>
        <w:t>Rhadys Abreu Blondet</w:t>
      </w:r>
      <w:r w:rsidRPr="009C0529">
        <w:rPr>
          <w:lang w:val="es-ES"/>
        </w:rPr>
        <w:tab/>
      </w:r>
      <w:r w:rsidRPr="009C0529">
        <w:rPr>
          <w:lang w:val="es-ES"/>
        </w:rPr>
        <w:tab/>
      </w:r>
      <w:r w:rsidRPr="009C0529">
        <w:rPr>
          <w:lang w:val="es-ES"/>
        </w:rPr>
        <w:tab/>
      </w:r>
      <w:r w:rsidRPr="009C0529">
        <w:rPr>
          <w:lang w:val="es-ES"/>
        </w:rPr>
        <w:tab/>
      </w:r>
      <w:r w:rsidRPr="009C0529">
        <w:rPr>
          <w:lang w:val="es-ES"/>
        </w:rPr>
        <w:tab/>
      </w:r>
      <w:r w:rsidRPr="009C0529">
        <w:rPr>
          <w:lang w:val="es-ES"/>
        </w:rPr>
        <w:tab/>
        <w:t>Alberto Pérez Pérez</w:t>
      </w: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center"/>
        <w:rPr>
          <w:lang w:val="es-ES"/>
        </w:rPr>
      </w:pPr>
      <w:r w:rsidRPr="009C0529">
        <w:rPr>
          <w:lang w:val="es-ES"/>
        </w:rPr>
        <w:t>Eduardo Vio Grossi</w:t>
      </w: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9C0529" w:rsidRDefault="002704D3" w:rsidP="002704D3">
      <w:pPr>
        <w:jc w:val="both"/>
        <w:rPr>
          <w:lang w:val="es-ES"/>
        </w:rPr>
      </w:pPr>
    </w:p>
    <w:p w:rsidR="002704D3" w:rsidRPr="00BF6EA2" w:rsidRDefault="002704D3" w:rsidP="002704D3">
      <w:pPr>
        <w:jc w:val="center"/>
        <w:rPr>
          <w:lang w:val="es-CR"/>
        </w:rPr>
      </w:pPr>
      <w:r w:rsidRPr="00BF6EA2">
        <w:rPr>
          <w:lang w:val="es-CR"/>
        </w:rPr>
        <w:t>Pablo Saavedra Alessandri</w:t>
      </w:r>
    </w:p>
    <w:p w:rsidR="002704D3" w:rsidRPr="002E60EB" w:rsidRDefault="002704D3" w:rsidP="002704D3">
      <w:pPr>
        <w:jc w:val="center"/>
        <w:rPr>
          <w:lang w:val="en-US"/>
        </w:rPr>
      </w:pPr>
      <w:r w:rsidRPr="002E60EB">
        <w:rPr>
          <w:lang w:val="en-US"/>
        </w:rPr>
        <w:t>Secretary</w:t>
      </w:r>
    </w:p>
    <w:p w:rsidR="002704D3" w:rsidRPr="002E60EB" w:rsidRDefault="002704D3" w:rsidP="002704D3">
      <w:pPr>
        <w:jc w:val="both"/>
        <w:rPr>
          <w:lang w:val="en-US"/>
        </w:rPr>
      </w:pPr>
    </w:p>
    <w:p w:rsidR="002704D3" w:rsidRPr="002E60EB" w:rsidRDefault="002704D3" w:rsidP="002704D3">
      <w:pPr>
        <w:jc w:val="both"/>
        <w:rPr>
          <w:lang w:val="en-US"/>
        </w:rPr>
      </w:pPr>
    </w:p>
    <w:p w:rsidR="002704D3" w:rsidRPr="002E60EB" w:rsidRDefault="002704D3" w:rsidP="002704D3">
      <w:pPr>
        <w:jc w:val="both"/>
        <w:rPr>
          <w:lang w:val="en-US"/>
        </w:rPr>
      </w:pPr>
      <w:r w:rsidRPr="002E60EB">
        <w:rPr>
          <w:lang w:val="en-US"/>
        </w:rPr>
        <w:t>So ordered,</w:t>
      </w:r>
    </w:p>
    <w:p w:rsidR="002704D3" w:rsidRPr="002E60EB" w:rsidRDefault="002704D3" w:rsidP="002704D3">
      <w:pPr>
        <w:jc w:val="both"/>
        <w:rPr>
          <w:lang w:val="en-US"/>
        </w:rPr>
      </w:pPr>
    </w:p>
    <w:p w:rsidR="002704D3" w:rsidRPr="002E60EB" w:rsidRDefault="002704D3" w:rsidP="002704D3">
      <w:pPr>
        <w:jc w:val="both"/>
        <w:rPr>
          <w:lang w:val="en-US"/>
        </w:rPr>
      </w:pPr>
    </w:p>
    <w:p w:rsidR="002704D3" w:rsidRPr="002E60EB" w:rsidRDefault="00334C3C" w:rsidP="002704D3">
      <w:pPr>
        <w:ind w:left="6480"/>
        <w:jc w:val="both"/>
        <w:rPr>
          <w:lang w:val="en-US"/>
        </w:rPr>
      </w:pPr>
      <w:r w:rsidRPr="002E60EB">
        <w:rPr>
          <w:lang w:val="en-US"/>
        </w:rPr>
        <w:t>Diego García-</w:t>
      </w:r>
      <w:r w:rsidR="002704D3" w:rsidRPr="002E60EB">
        <w:rPr>
          <w:lang w:val="en-US"/>
        </w:rPr>
        <w:t>Sayán</w:t>
      </w:r>
    </w:p>
    <w:p w:rsidR="002704D3" w:rsidRPr="002E60EB" w:rsidRDefault="002704D3" w:rsidP="002704D3">
      <w:pPr>
        <w:ind w:left="6480"/>
        <w:jc w:val="both"/>
        <w:rPr>
          <w:lang w:val="en-US"/>
        </w:rPr>
      </w:pPr>
      <w:r w:rsidRPr="002E60EB">
        <w:rPr>
          <w:lang w:val="en-US"/>
        </w:rPr>
        <w:t xml:space="preserve">       President</w:t>
      </w:r>
    </w:p>
    <w:p w:rsidR="002704D3" w:rsidRPr="002E60EB" w:rsidRDefault="002704D3" w:rsidP="002704D3">
      <w:pPr>
        <w:jc w:val="both"/>
        <w:rPr>
          <w:lang w:val="en-US"/>
        </w:rPr>
      </w:pPr>
    </w:p>
    <w:p w:rsidR="002704D3" w:rsidRPr="002E60EB" w:rsidRDefault="002704D3" w:rsidP="002704D3">
      <w:pPr>
        <w:jc w:val="both"/>
        <w:rPr>
          <w:lang w:val="en-US"/>
        </w:rPr>
      </w:pPr>
    </w:p>
    <w:p w:rsidR="002704D3" w:rsidRPr="002E60EB" w:rsidRDefault="002704D3" w:rsidP="002704D3">
      <w:pPr>
        <w:jc w:val="both"/>
        <w:rPr>
          <w:lang w:val="en-US"/>
        </w:rPr>
      </w:pPr>
      <w:r w:rsidRPr="002E60EB">
        <w:rPr>
          <w:lang w:val="en-US"/>
        </w:rPr>
        <w:t>Pablo Saavedra Alessandri</w:t>
      </w:r>
    </w:p>
    <w:p w:rsidR="00E15BBF" w:rsidRPr="00334C3C" w:rsidRDefault="002704D3" w:rsidP="00317748">
      <w:pPr>
        <w:jc w:val="both"/>
        <w:rPr>
          <w:lang w:val="en-US"/>
        </w:rPr>
      </w:pPr>
      <w:r w:rsidRPr="002E60EB">
        <w:rPr>
          <w:lang w:val="en-US"/>
        </w:rPr>
        <w:t xml:space="preserve">         Secretary</w:t>
      </w:r>
    </w:p>
    <w:sectPr w:rsidR="00E15BBF" w:rsidRPr="00334C3C" w:rsidSect="00317748">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DC1" w:rsidRDefault="00EF2DC1" w:rsidP="00E15BBF">
      <w:r>
        <w:separator/>
      </w:r>
    </w:p>
  </w:endnote>
  <w:endnote w:type="continuationSeparator" w:id="0">
    <w:p w:rsidR="00EF2DC1" w:rsidRDefault="00EF2DC1" w:rsidP="00E1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Times New Roman"/>
    <w:charset w:val="00"/>
    <w:family w:val="auto"/>
    <w:pitch w:val="variable"/>
    <w:sig w:usb0="00000000" w:usb1="5000A1FF" w:usb2="00000000" w:usb3="00000000" w:csb0="000001B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Univers">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aslonBookBE-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C78" w:rsidRDefault="008C5C78">
    <w:pPr>
      <w:pStyle w:val="Piedepgina"/>
      <w:jc w:val="center"/>
    </w:pPr>
    <w:r>
      <w:t xml:space="preserve"> </w:t>
    </w:r>
    <w:r w:rsidR="004E4F77">
      <w:fldChar w:fldCharType="begin"/>
    </w:r>
    <w:r>
      <w:instrText xml:space="preserve"> PAGE   \* MERGEFORMAT </w:instrText>
    </w:r>
    <w:r w:rsidR="004E4F77">
      <w:fldChar w:fldCharType="separate"/>
    </w:r>
    <w:r w:rsidR="008E381C">
      <w:rPr>
        <w:noProof/>
      </w:rPr>
      <w:t>91</w:t>
    </w:r>
    <w:r w:rsidR="004E4F77">
      <w:rPr>
        <w:noProof/>
      </w:rPr>
      <w:fldChar w:fldCharType="end"/>
    </w:r>
  </w:p>
  <w:p w:rsidR="008C5C78" w:rsidRDefault="008C5C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DC1" w:rsidRDefault="00EF2DC1" w:rsidP="00E15BBF">
      <w:r>
        <w:separator/>
      </w:r>
    </w:p>
  </w:footnote>
  <w:footnote w:type="continuationSeparator" w:id="0">
    <w:p w:rsidR="00EF2DC1" w:rsidRDefault="00EF2DC1" w:rsidP="00E15BBF">
      <w:r>
        <w:continuationSeparator/>
      </w:r>
    </w:p>
  </w:footnote>
  <w:footnote w:id="1">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t>*</w:t>
      </w:r>
      <w:r w:rsidRPr="004B75F8">
        <w:rPr>
          <w:szCs w:val="16"/>
          <w:lang w:val="en-US"/>
        </w:rPr>
        <w:t xml:space="preserve"> </w:t>
      </w:r>
      <w:r w:rsidRPr="004B75F8">
        <w:rPr>
          <w:szCs w:val="16"/>
          <w:lang w:val="en-US"/>
        </w:rPr>
        <w:tab/>
        <w:t xml:space="preserve">For reasons beyond her control, Judge </w:t>
      </w:r>
      <w:r w:rsidRPr="004B75F8">
        <w:rPr>
          <w:rFonts w:cs="Verdana"/>
          <w:szCs w:val="16"/>
          <w:lang w:val="en-US"/>
        </w:rPr>
        <w:t>Margarette May Macaulay was unable to take part in the deliberation and signature of this Judgment.</w:t>
      </w:r>
    </w:p>
  </w:footnote>
  <w:footnote w:id="2">
    <w:p w:rsidR="008C5C78" w:rsidRPr="004B75F8" w:rsidRDefault="008C5C78" w:rsidP="00722D73">
      <w:pPr>
        <w:tabs>
          <w:tab w:val="left" w:pos="720"/>
        </w:tabs>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The Court’s Rules of Procedure approved by the Court at its eight-fifth regular session held from November 16 to 28, 2009.</w:t>
      </w:r>
      <w:r w:rsidRPr="004B75F8">
        <w:rPr>
          <w:rFonts w:cs="Verdana"/>
          <w:sz w:val="16"/>
          <w:szCs w:val="16"/>
          <w:lang w:val="en-US"/>
        </w:rPr>
        <w:t xml:space="preserve"> </w:t>
      </w:r>
    </w:p>
  </w:footnote>
  <w:footnote w:id="3">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In this Report, the Inter-American Commission declared petition No. 864-05 admissible in relation to the alleged violation of Articles 5, 8, 13, 17(1), 19, 22(1) and 25 of the American Convention, in relation to Articles 1(1) and 2 of this treaty. </w:t>
      </w:r>
      <w:r w:rsidRPr="004B75F8">
        <w:rPr>
          <w:i/>
          <w:szCs w:val="16"/>
          <w:lang w:val="en-US"/>
        </w:rPr>
        <w:t>Cf.</w:t>
      </w:r>
      <w:r w:rsidRPr="004B75F8">
        <w:rPr>
          <w:szCs w:val="16"/>
          <w:lang w:val="en-US"/>
        </w:rPr>
        <w:t xml:space="preserve"> Admissibility Report No. 47/08, Case 12,658, Luis Gonzalo “Richard“ Vélez Restrepo and family </w:t>
      </w:r>
      <w:r w:rsidRPr="004B75F8">
        <w:rPr>
          <w:i/>
          <w:szCs w:val="16"/>
          <w:lang w:val="en-US"/>
        </w:rPr>
        <w:t>v.</w:t>
      </w:r>
      <w:r w:rsidRPr="004B75F8">
        <w:rPr>
          <w:szCs w:val="16"/>
          <w:lang w:val="en-US"/>
        </w:rPr>
        <w:t xml:space="preserve"> Colombia, July 24, 2008 (file of annexes to the Merits Report, appendix 1, folios 261 to 277).</w:t>
      </w:r>
    </w:p>
  </w:footnote>
  <w:footnote w:id="4">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Merits Report No 136/10, Case 12,658, Luis Gonzalo “Richard“ Vélez Restrepo and family </w:t>
      </w:r>
      <w:r w:rsidRPr="004B75F8">
        <w:rPr>
          <w:i/>
          <w:szCs w:val="16"/>
          <w:lang w:val="en-US"/>
        </w:rPr>
        <w:t>v.</w:t>
      </w:r>
      <w:r w:rsidRPr="004B75F8">
        <w:rPr>
          <w:szCs w:val="16"/>
          <w:lang w:val="en-US"/>
        </w:rPr>
        <w:t xml:space="preserve"> Colombia, October 23, 2010 (merits file, folios 5 to 42).</w:t>
      </w:r>
    </w:p>
  </w:footnote>
  <w:footnote w:id="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Calibri" w:cs="Arial"/>
          <w:szCs w:val="16"/>
          <w:lang w:val="en-US"/>
        </w:rPr>
        <w:t xml:space="preserve">The presumed victims in this case appointed Arturo </w:t>
      </w:r>
      <w:r w:rsidRPr="004B75F8">
        <w:rPr>
          <w:rFonts w:eastAsia="Calibri"/>
          <w:szCs w:val="16"/>
          <w:lang w:val="en-US"/>
        </w:rPr>
        <w:t xml:space="preserve">J. </w:t>
      </w:r>
      <w:r w:rsidRPr="004B75F8">
        <w:rPr>
          <w:rFonts w:eastAsia="Calibri" w:cs="Arial"/>
          <w:szCs w:val="16"/>
          <w:lang w:val="en-US"/>
        </w:rPr>
        <w:t>Carrillo, of the Legal Human Rights Clinic of the Law School of George Washington University as their representative. Mr.</w:t>
      </w:r>
      <w:r w:rsidRPr="004B75F8">
        <w:rPr>
          <w:rFonts w:eastAsia="Calibri"/>
          <w:szCs w:val="16"/>
          <w:lang w:val="en-US"/>
        </w:rPr>
        <w:t xml:space="preserve"> </w:t>
      </w:r>
      <w:r w:rsidRPr="004B75F8">
        <w:rPr>
          <w:rFonts w:eastAsia="Calibri" w:cs="Arial"/>
          <w:szCs w:val="16"/>
          <w:lang w:val="en-US"/>
        </w:rPr>
        <w:t xml:space="preserve">Carrillo informed the Court that professors Carlos </w:t>
      </w:r>
      <w:r w:rsidRPr="004B75F8">
        <w:rPr>
          <w:rFonts w:eastAsia="Calibri"/>
          <w:szCs w:val="16"/>
          <w:lang w:val="en-US"/>
        </w:rPr>
        <w:t xml:space="preserve">J. </w:t>
      </w:r>
      <w:r w:rsidRPr="004B75F8">
        <w:rPr>
          <w:rFonts w:eastAsia="Calibri" w:cs="Arial"/>
          <w:szCs w:val="16"/>
          <w:lang w:val="en-US"/>
        </w:rPr>
        <w:t>Zelada and Eduardo Bertoni would act as “legal advisers”</w:t>
      </w:r>
      <w:r w:rsidRPr="004B75F8">
        <w:rPr>
          <w:szCs w:val="16"/>
          <w:lang w:val="en-US"/>
        </w:rPr>
        <w:t xml:space="preserve"> (file of appendices to the Merits Report, appendix 1, folio 1122). </w:t>
      </w:r>
    </w:p>
  </w:footnote>
  <w:footnote w:id="6">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In communications of July 29 and December 8, 2011, the State appointed Luz Marina Gil Garcia and Juana Inés Acosta Lopez as agents for the instant case. In communications of June 8, September 30 and December 8, 2011, Colombia accredited Hernán Jaime Ulloa Venegas, Javier Echeverri Lara and Jorge Alberto Giraldo Rivera as agents, but subsequently indicated that they would not act in that capacity.</w:t>
      </w:r>
    </w:p>
  </w:footnote>
  <w:footnote w:id="7">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In this brief, the representative submitted additional observations on the State’s answering brief. In this regard, the Secretariat of the Court, on the instructions of the President of the Court, informed him in a note of November 30, 2011, that the additional observations had not been requested by the Court, so that they were “inadmissible and w[ould] not be considered by the Court. </w:t>
      </w:r>
    </w:p>
  </w:footnote>
  <w:footnote w:id="8">
    <w:p w:rsidR="008C5C78" w:rsidRPr="004B75F8" w:rsidRDefault="008C5C78" w:rsidP="00722D73">
      <w:pPr>
        <w:pStyle w:val="Textonotapie"/>
        <w:shd w:val="clear" w:color="auto" w:fill="FFFFFF"/>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Case of Vélez Restrepo and Family v. Colombia</w:t>
      </w:r>
      <w:r w:rsidRPr="004B75F8">
        <w:rPr>
          <w:szCs w:val="16"/>
          <w:lang w:val="en-US"/>
        </w:rPr>
        <w:t>. Order of the President of the Court of January 25, 2012.</w:t>
      </w:r>
    </w:p>
  </w:footnote>
  <w:footnote w:id="9">
    <w:p w:rsidR="008C5C78" w:rsidRPr="004B75F8" w:rsidRDefault="008C5C78" w:rsidP="00722D73">
      <w:pPr>
        <w:pStyle w:val="Textonotapie"/>
        <w:tabs>
          <w:tab w:val="left" w:pos="720"/>
        </w:tabs>
        <w:spacing w:after="100"/>
        <w:rPr>
          <w:szCs w:val="16"/>
          <w:lang w:val="en-US" w:eastAsia="es-E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caps/>
          <w:szCs w:val="16"/>
          <w:lang w:val="en-US"/>
        </w:rPr>
        <w:t>T</w:t>
      </w:r>
      <w:r w:rsidRPr="004B75F8">
        <w:rPr>
          <w:szCs w:val="16"/>
          <w:lang w:val="en-US"/>
        </w:rPr>
        <w:t xml:space="preserve">he following appeared at the hearing: (a) for the Inter-American Commission: Catalina Botero, Special Rapporteur for Freedom of Expression; Michael Camilleri and Silvia Serrano Guzmán, legal advisers; (b) for the representative: Arturo Carrillo Suárez, legal representative of the presumed victims, Carlos Zelada Acuña and Raúl Hernández Hernández, advisers, and (c) for the State: </w:t>
      </w:r>
      <w:r w:rsidRPr="004B75F8">
        <w:rPr>
          <w:szCs w:val="16"/>
          <w:lang w:val="en-US" w:eastAsia="es-ES"/>
        </w:rPr>
        <w:t xml:space="preserve">Hernando Herrera Vergara, Ambassador of Colombia to Costa Rica; Assad José Jater Peña, Director of Human Rights and International Humanitarian Law of the Ministry of Foreign Affairs; Luz Marina Gil García, Agent; Juana Acosta López, Agent; Ivett Lorena Sanabria Gaitán, Head of the Internal Legal Affairs Office of the Ministry of Foreign Affairs; Brigadier General Emilio Enrique Torres Ariza, Head of Human Rights and International Humanitarian Law of the National Army; Elena Ambrosi Turbay, Director of Human Rights of the Ministry of National Defense; Luz Stella Bejarano, Coordinator of the Defense Group before the International Organizations of the Ministry of National Defense; Francisco Javier Echeverri Lara, Director of International Affairs of the Office of the Prosecutor General of the Nation; Jorge Alberto Giraldo Rivera, </w:t>
      </w:r>
      <w:r w:rsidR="00334C3C" w:rsidRPr="004B75F8">
        <w:rPr>
          <w:szCs w:val="16"/>
          <w:lang w:val="en-US" w:eastAsia="es-ES"/>
        </w:rPr>
        <w:t>Coordinator</w:t>
      </w:r>
      <w:r w:rsidRPr="004B75F8">
        <w:rPr>
          <w:szCs w:val="16"/>
          <w:lang w:val="en-US" w:eastAsia="es-ES"/>
        </w:rPr>
        <w:t xml:space="preserve"> of the Inter-institutional Operations Group; Claudia Niño López, Sectional Prosecutor attached to the National Section of Prosecution Offices, and Felipe Ferreira Rojas, Adviser to the Inter-institutional Operations Group. </w:t>
      </w:r>
    </w:p>
  </w:footnote>
  <w:footnote w:id="10">
    <w:p w:rsidR="008C5C78" w:rsidRPr="004B75F8" w:rsidRDefault="008C5C78" w:rsidP="00722D73">
      <w:pPr>
        <w:pStyle w:val="Textonotapie"/>
        <w:shd w:val="clear" w:color="auto" w:fill="FFFFFF"/>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The brief was presented by Juan Felipe Lozano Reyes and Juliana Castro Londoño, students of the GAP Public Interest Clinic of the Universidad de Rosario, under the direction of Beatriz Londoño Toro, Director of the Human Rights Group and the GAP Public Action Group of the Universidad de Rosario, and under the academic direction of María Teresa Palacios, Director of the Human Rights Area and Nayid Abú Fager Coordinator of the GAP and professor, both the latter from the Universidad de Rosario.</w:t>
      </w:r>
    </w:p>
  </w:footnote>
  <w:footnote w:id="11">
    <w:p w:rsidR="008C5C78" w:rsidRPr="004B75F8" w:rsidRDefault="008C5C78" w:rsidP="00722D73">
      <w:pPr>
        <w:pStyle w:val="Textonotapie"/>
        <w:shd w:val="clear" w:color="auto" w:fill="FFFFFF"/>
        <w:tabs>
          <w:tab w:val="left" w:pos="720"/>
        </w:tabs>
        <w:spacing w:after="100"/>
        <w:rPr>
          <w:rFonts w:eastAsia="Calibri"/>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brief was submitted by </w:t>
      </w:r>
      <w:r w:rsidRPr="004B75F8">
        <w:rPr>
          <w:rFonts w:eastAsia="Calibri"/>
          <w:szCs w:val="16"/>
          <w:lang w:val="en-US"/>
        </w:rPr>
        <w:t xml:space="preserve">Gabriel Choi Choi, Mar Cosín Muñoz, José García Añón, Sandra Gómez López, Lorena Menes Corrales, Ruth Mestre Mestre, Diana Núñez Pérez, Ausias Ortí Moreno, Anastasia Tsyhanok and Sara Verdú Vila of the Legal Clinic for Social Justice of the Universitat de Valencia and the Master’s Program in “Human Rights, Democracy and International Justice” of the university’s Human Rights Institute. </w:t>
      </w:r>
    </w:p>
  </w:footnote>
  <w:footnote w:id="12">
    <w:p w:rsidR="008C5C78" w:rsidRPr="004B75F8" w:rsidRDefault="008C5C78" w:rsidP="00722D73">
      <w:pPr>
        <w:pStyle w:val="Textonotapie"/>
        <w:shd w:val="clear" w:color="auto" w:fill="FFFFFF"/>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brief was submitted by David Banisar, Senior Legal Counsel, on behalf of the organization, Article 19. </w:t>
      </w:r>
    </w:p>
  </w:footnote>
  <w:footnote w:id="13">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Articles 62 and 64 of the Court’s Rules of Procedure establish:</w:t>
      </w:r>
    </w:p>
    <w:p w:rsidR="008C5C78" w:rsidRPr="004B75F8" w:rsidRDefault="008C5C78" w:rsidP="00722D73">
      <w:pPr>
        <w:pStyle w:val="Textonotapie"/>
        <w:tabs>
          <w:tab w:val="left" w:pos="720"/>
        </w:tabs>
        <w:spacing w:after="100"/>
        <w:rPr>
          <w:szCs w:val="16"/>
          <w:lang w:val="en-US"/>
        </w:rPr>
      </w:pPr>
      <w:r w:rsidRPr="004B75F8">
        <w:rPr>
          <w:szCs w:val="16"/>
          <w:lang w:val="en-US"/>
        </w:rPr>
        <w:tab/>
        <w:t>Article 62. Acquiescence</w:t>
      </w:r>
    </w:p>
    <w:p w:rsidR="008C5C78" w:rsidRPr="004B75F8" w:rsidRDefault="008C5C78" w:rsidP="00722D73">
      <w:pPr>
        <w:pStyle w:val="Textonotapie"/>
        <w:tabs>
          <w:tab w:val="left" w:pos="720"/>
        </w:tabs>
        <w:spacing w:after="100"/>
        <w:rPr>
          <w:szCs w:val="16"/>
          <w:lang w:val="en-US"/>
        </w:rPr>
      </w:pPr>
      <w:r w:rsidRPr="004B75F8">
        <w:rPr>
          <w:szCs w:val="16"/>
          <w:lang w:val="en-US"/>
        </w:rPr>
        <w:t>If the respondent informs the Court of its acceptance of the facts or its total or partial acquiescence to the claims stated in the presentation of the case or the brief submitted by the presumed victims or their representatives, the Court shall decide, having heard the opinions of all those participating in the proceedings and at the appropriate procedural moment, whether to accept that acquiescence, and shall rule upon its juridical effects.</w:t>
      </w:r>
    </w:p>
    <w:p w:rsidR="008C5C78" w:rsidRPr="004B75F8" w:rsidRDefault="008C5C78" w:rsidP="00722D73">
      <w:pPr>
        <w:tabs>
          <w:tab w:val="left" w:pos="720"/>
        </w:tabs>
        <w:spacing w:after="100"/>
        <w:jc w:val="both"/>
        <w:rPr>
          <w:sz w:val="16"/>
          <w:szCs w:val="16"/>
          <w:lang w:val="en-US"/>
        </w:rPr>
      </w:pPr>
      <w:r w:rsidRPr="004B75F8">
        <w:rPr>
          <w:sz w:val="16"/>
          <w:szCs w:val="16"/>
          <w:lang w:val="en-US"/>
        </w:rPr>
        <w:tab/>
        <w:t>Article 64. Continuation of a case</w:t>
      </w:r>
    </w:p>
    <w:p w:rsidR="008C5C78" w:rsidRPr="004B75F8" w:rsidRDefault="008C5C78" w:rsidP="00722D73">
      <w:pPr>
        <w:pStyle w:val="Textonotapie"/>
        <w:tabs>
          <w:tab w:val="left" w:pos="720"/>
        </w:tabs>
        <w:spacing w:after="100"/>
        <w:rPr>
          <w:szCs w:val="16"/>
          <w:lang w:val="en-US"/>
        </w:rPr>
      </w:pPr>
      <w:r w:rsidRPr="004B75F8">
        <w:rPr>
          <w:szCs w:val="16"/>
          <w:lang w:val="en-US"/>
        </w:rPr>
        <w:t xml:space="preserve">Bearing in mind its responsibility to protect human rights, the Court may decide to </w:t>
      </w:r>
      <w:r w:rsidR="00334C3C" w:rsidRPr="004B75F8">
        <w:rPr>
          <w:szCs w:val="16"/>
          <w:lang w:val="en-US"/>
        </w:rPr>
        <w:t>continue the consideration of a</w:t>
      </w:r>
      <w:r w:rsidRPr="004B75F8">
        <w:rPr>
          <w:szCs w:val="16"/>
          <w:lang w:val="en-US"/>
        </w:rPr>
        <w:t xml:space="preserve"> case notwithstanding the existence of the conditions indicated in the preceding articles.</w:t>
      </w:r>
    </w:p>
  </w:footnote>
  <w:footnote w:id="14">
    <w:p w:rsidR="008C5C78" w:rsidRPr="004B75F8" w:rsidRDefault="008C5C78" w:rsidP="00722D73">
      <w:pPr>
        <w:pStyle w:val="Textonotapie"/>
        <w:spacing w:after="100"/>
        <w:rPr>
          <w:color w:val="000000"/>
          <w:szCs w:val="16"/>
          <w:lang w:val="en-US"/>
        </w:rPr>
      </w:pPr>
      <w:r w:rsidRPr="004B75F8">
        <w:rPr>
          <w:rStyle w:val="Refdenotaalpie"/>
          <w:szCs w:val="16"/>
          <w:lang w:val="en-US"/>
        </w:rPr>
        <w:footnoteRef/>
      </w:r>
      <w:r w:rsidRPr="004B75F8">
        <w:rPr>
          <w:i/>
          <w:szCs w:val="16"/>
          <w:lang w:val="en-US"/>
        </w:rPr>
        <w:t xml:space="preserve"> </w:t>
      </w:r>
      <w:r w:rsidRPr="004B75F8">
        <w:rPr>
          <w:i/>
          <w:szCs w:val="16"/>
          <w:lang w:val="en-US"/>
        </w:rPr>
        <w:tab/>
        <w:t>Cf.</w:t>
      </w:r>
      <w:r w:rsidRPr="004B75F8">
        <w:rPr>
          <w:szCs w:val="16"/>
          <w:lang w:val="en-US"/>
        </w:rPr>
        <w:t xml:space="preserve"> </w:t>
      </w:r>
      <w:r w:rsidRPr="004B75F8">
        <w:rPr>
          <w:i/>
          <w:szCs w:val="16"/>
          <w:lang w:val="en-US"/>
        </w:rPr>
        <w:t>Case of Kimel v. Argentina. Merits, reparations and costs.</w:t>
      </w:r>
      <w:r w:rsidRPr="004B75F8">
        <w:rPr>
          <w:szCs w:val="16"/>
          <w:lang w:val="en-US"/>
        </w:rPr>
        <w:t xml:space="preserve"> Judgment of May 2, 2008. Series C No. 177, para. 24, and </w:t>
      </w:r>
      <w:r w:rsidRPr="004B75F8">
        <w:rPr>
          <w:bCs/>
          <w:i/>
          <w:color w:val="000000"/>
          <w:szCs w:val="16"/>
          <w:lang w:val="en-US"/>
        </w:rPr>
        <w:t xml:space="preserve">Case of the Kichwa Indigenous </w:t>
      </w:r>
      <w:r w:rsidR="00334C3C" w:rsidRPr="004B75F8">
        <w:rPr>
          <w:bCs/>
          <w:i/>
          <w:color w:val="000000"/>
          <w:szCs w:val="16"/>
          <w:lang w:val="en-US"/>
        </w:rPr>
        <w:t>People</w:t>
      </w:r>
      <w:r w:rsidRPr="004B75F8">
        <w:rPr>
          <w:bCs/>
          <w:i/>
          <w:color w:val="000000"/>
          <w:szCs w:val="16"/>
          <w:lang w:val="en-US"/>
        </w:rPr>
        <w:t xml:space="preserve"> of Sarayaku v. Ecuador. Merits and reparations. </w:t>
      </w:r>
      <w:r w:rsidRPr="004B75F8">
        <w:rPr>
          <w:bCs/>
          <w:color w:val="000000"/>
          <w:szCs w:val="16"/>
          <w:lang w:val="en-US"/>
        </w:rPr>
        <w:t>Judgment of June 27, 2012. Series C No. 245</w:t>
      </w:r>
      <w:r w:rsidRPr="004B75F8">
        <w:rPr>
          <w:color w:val="000000"/>
          <w:szCs w:val="16"/>
          <w:lang w:val="en-US"/>
        </w:rPr>
        <w:t xml:space="preserve">, para. 26. </w:t>
      </w:r>
    </w:p>
  </w:footnote>
  <w:footnote w:id="1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bCs/>
          <w:i/>
          <w:color w:val="000000"/>
          <w:szCs w:val="16"/>
          <w:lang w:val="en-US"/>
        </w:rPr>
        <w:t xml:space="preserve">Case of Manuel Cepeda Vargas v. Colombia. </w:t>
      </w:r>
      <w:r w:rsidRPr="004B75F8">
        <w:rPr>
          <w:i/>
          <w:color w:val="000000"/>
          <w:szCs w:val="16"/>
          <w:lang w:val="en-US"/>
        </w:rPr>
        <w:t>Preliminary objections, merits, reparations and costs.</w:t>
      </w:r>
      <w:r w:rsidRPr="004B75F8">
        <w:rPr>
          <w:color w:val="000000"/>
          <w:szCs w:val="16"/>
          <w:lang w:val="en-US"/>
        </w:rPr>
        <w:t xml:space="preserve"> Judgment of May 26, 2010, para. 18; </w:t>
      </w:r>
      <w:r w:rsidRPr="004B75F8">
        <w:rPr>
          <w:i/>
          <w:szCs w:val="16"/>
          <w:lang w:val="en-US"/>
        </w:rPr>
        <w:t>Case of Valle Jaramillo et al. v. Colombia</w:t>
      </w:r>
      <w:r w:rsidRPr="004B75F8">
        <w:rPr>
          <w:szCs w:val="16"/>
          <w:lang w:val="en-US"/>
        </w:rPr>
        <w:t xml:space="preserve">. </w:t>
      </w:r>
      <w:r w:rsidRPr="004B75F8">
        <w:rPr>
          <w:i/>
          <w:szCs w:val="16"/>
          <w:lang w:val="en-US"/>
        </w:rPr>
        <w:t>Merits, reparations and costs</w:t>
      </w:r>
      <w:r w:rsidRPr="004B75F8">
        <w:rPr>
          <w:szCs w:val="16"/>
          <w:lang w:val="en-US"/>
        </w:rPr>
        <w:t xml:space="preserve">. Judgment of November 27, 2008. Series C No. 192, para. 46; </w:t>
      </w:r>
      <w:r w:rsidRPr="004B75F8">
        <w:rPr>
          <w:i/>
          <w:szCs w:val="16"/>
          <w:lang w:val="en-US"/>
        </w:rPr>
        <w:t>Case of Escué Zapata v. Colombia</w:t>
      </w:r>
      <w:r w:rsidRPr="004B75F8">
        <w:rPr>
          <w:szCs w:val="16"/>
          <w:lang w:val="en-US"/>
        </w:rPr>
        <w:t xml:space="preserve">. </w:t>
      </w:r>
      <w:r w:rsidRPr="004B75F8">
        <w:rPr>
          <w:i/>
          <w:szCs w:val="16"/>
          <w:lang w:val="en-US"/>
        </w:rPr>
        <w:t>Merits, reparations and costs</w:t>
      </w:r>
      <w:r w:rsidRPr="004B75F8">
        <w:rPr>
          <w:szCs w:val="16"/>
          <w:lang w:val="en-US"/>
        </w:rPr>
        <w:t>.</w:t>
      </w:r>
      <w:r w:rsidRPr="004B75F8">
        <w:rPr>
          <w:b/>
          <w:szCs w:val="16"/>
          <w:lang w:val="en-US"/>
        </w:rPr>
        <w:t xml:space="preserve"> </w:t>
      </w:r>
      <w:r w:rsidRPr="004B75F8">
        <w:rPr>
          <w:szCs w:val="16"/>
          <w:lang w:val="en-US"/>
        </w:rPr>
        <w:t xml:space="preserve">Judgment of July 4, 2007. Series C No. 165, para. 20; </w:t>
      </w:r>
      <w:r w:rsidRPr="004B75F8">
        <w:rPr>
          <w:i/>
          <w:szCs w:val="16"/>
          <w:lang w:val="en-US"/>
        </w:rPr>
        <w:t>Case of the La Rochela Massacre v. Colombia</w:t>
      </w:r>
      <w:r w:rsidRPr="004B75F8">
        <w:rPr>
          <w:szCs w:val="16"/>
          <w:lang w:val="en-US"/>
        </w:rPr>
        <w:t>. Merits, reparations and costs.</w:t>
      </w:r>
      <w:r w:rsidRPr="004B75F8">
        <w:rPr>
          <w:b/>
          <w:szCs w:val="16"/>
          <w:lang w:val="en-US"/>
        </w:rPr>
        <w:t xml:space="preserve"> </w:t>
      </w:r>
      <w:r w:rsidRPr="004B75F8">
        <w:rPr>
          <w:szCs w:val="16"/>
          <w:lang w:val="en-US"/>
        </w:rPr>
        <w:t xml:space="preserve">Judgment of May 11, 2007. Series C No. 163, para. 29, and </w:t>
      </w:r>
      <w:r w:rsidRPr="004B75F8">
        <w:rPr>
          <w:i/>
          <w:szCs w:val="16"/>
          <w:lang w:val="en-US"/>
        </w:rPr>
        <w:t>Case of the Ituango Massacres v. Colombia.</w:t>
      </w:r>
      <w:r w:rsidRPr="004B75F8">
        <w:rPr>
          <w:szCs w:val="16"/>
          <w:lang w:val="en-US"/>
        </w:rPr>
        <w:t xml:space="preserve"> </w:t>
      </w:r>
      <w:r w:rsidRPr="004B75F8">
        <w:rPr>
          <w:i/>
          <w:szCs w:val="16"/>
          <w:lang w:val="en-US"/>
        </w:rPr>
        <w:t>Preliminary objection, merits, reparations and costs</w:t>
      </w:r>
      <w:r w:rsidRPr="004B75F8">
        <w:rPr>
          <w:szCs w:val="16"/>
          <w:lang w:val="en-US"/>
        </w:rPr>
        <w:t>. Judgment of July 1, 2006. Series C No. 148, para. 79.</w:t>
      </w:r>
    </w:p>
  </w:footnote>
  <w:footnote w:id="16">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rStyle w:val="Refdenotaalpie"/>
          <w:i/>
          <w:sz w:val="16"/>
          <w:szCs w:val="16"/>
          <w:vertAlign w:val="baseline"/>
          <w:lang w:val="en-US"/>
        </w:rPr>
        <w:t>Cf.</w:t>
      </w:r>
      <w:r w:rsidRPr="004B75F8">
        <w:rPr>
          <w:rStyle w:val="Refdenotaalpie"/>
          <w:sz w:val="16"/>
          <w:szCs w:val="16"/>
          <w:vertAlign w:val="baseline"/>
          <w:lang w:val="en-US"/>
        </w:rPr>
        <w:t xml:space="preserve"> </w:t>
      </w:r>
      <w:r w:rsidRPr="004B75F8">
        <w:rPr>
          <w:rStyle w:val="Refdenotaalpie"/>
          <w:i/>
          <w:sz w:val="16"/>
          <w:szCs w:val="16"/>
          <w:vertAlign w:val="baseline"/>
          <w:lang w:val="en-US"/>
        </w:rPr>
        <w:t>Case of E</w:t>
      </w:r>
      <w:r w:rsidRPr="004B75F8">
        <w:rPr>
          <w:i/>
          <w:sz w:val="16"/>
          <w:szCs w:val="16"/>
          <w:lang w:val="en-US"/>
        </w:rPr>
        <w:t>l</w:t>
      </w:r>
      <w:r w:rsidRPr="004B75F8">
        <w:rPr>
          <w:rStyle w:val="Refdenotaalpie"/>
          <w:i/>
          <w:sz w:val="16"/>
          <w:szCs w:val="16"/>
          <w:vertAlign w:val="baseline"/>
          <w:lang w:val="en-US"/>
        </w:rPr>
        <w:t xml:space="preserve"> Caracazo v. Venezuela. Merits</w:t>
      </w:r>
      <w:r w:rsidRPr="004B75F8">
        <w:rPr>
          <w:rStyle w:val="Refdenotaalpie"/>
          <w:sz w:val="16"/>
          <w:szCs w:val="16"/>
          <w:vertAlign w:val="baseline"/>
          <w:lang w:val="en-US"/>
        </w:rPr>
        <w:t>. Judgment of November 11, 1999. Series C No. 58</w:t>
      </w:r>
      <w:r w:rsidRPr="004B75F8">
        <w:rPr>
          <w:sz w:val="16"/>
          <w:szCs w:val="16"/>
          <w:lang w:val="en-US"/>
        </w:rPr>
        <w:t xml:space="preserve">, </w:t>
      </w:r>
      <w:r w:rsidRPr="004B75F8">
        <w:rPr>
          <w:color w:val="000000"/>
          <w:sz w:val="16"/>
          <w:szCs w:val="16"/>
          <w:lang w:val="en-US"/>
        </w:rPr>
        <w:t>para. 43</w:t>
      </w:r>
      <w:r w:rsidRPr="004B75F8">
        <w:rPr>
          <w:sz w:val="16"/>
          <w:szCs w:val="16"/>
          <w:lang w:val="en-US"/>
        </w:rPr>
        <w:t>, and</w:t>
      </w:r>
      <w:r w:rsidRPr="004B75F8">
        <w:rPr>
          <w:rStyle w:val="Refdenotaalpie"/>
          <w:sz w:val="16"/>
          <w:szCs w:val="16"/>
          <w:lang w:val="en-US"/>
        </w:rPr>
        <w:t xml:space="preserve">  </w:t>
      </w:r>
      <w:r w:rsidRPr="004B75F8">
        <w:rPr>
          <w:bCs/>
          <w:i/>
          <w:color w:val="000000"/>
          <w:sz w:val="16"/>
          <w:szCs w:val="16"/>
          <w:lang w:val="en-US"/>
        </w:rPr>
        <w:t xml:space="preserve">Case of the Kichwa Indigenous </w:t>
      </w:r>
      <w:r w:rsidR="00334C3C" w:rsidRPr="004B75F8">
        <w:rPr>
          <w:bCs/>
          <w:i/>
          <w:color w:val="000000"/>
          <w:sz w:val="16"/>
          <w:szCs w:val="16"/>
          <w:lang w:val="en-US"/>
        </w:rPr>
        <w:t>People</w:t>
      </w:r>
      <w:r w:rsidRPr="004B75F8">
        <w:rPr>
          <w:bCs/>
          <w:i/>
          <w:color w:val="000000"/>
          <w:sz w:val="16"/>
          <w:szCs w:val="16"/>
          <w:lang w:val="en-US"/>
        </w:rPr>
        <w:t xml:space="preserve"> of Sarayaku v. Ecuador. Merits and reparations</w:t>
      </w:r>
      <w:r w:rsidRPr="004B75F8">
        <w:rPr>
          <w:color w:val="000000"/>
          <w:sz w:val="16"/>
          <w:szCs w:val="16"/>
          <w:lang w:val="en-US"/>
        </w:rPr>
        <w:t>, para. 27.</w:t>
      </w:r>
    </w:p>
  </w:footnote>
  <w:footnote w:id="17">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bCs/>
          <w:i/>
          <w:color w:val="000000"/>
          <w:szCs w:val="16"/>
          <w:lang w:val="en-US"/>
        </w:rPr>
        <w:t xml:space="preserve">Case of Manuel Cepeda Vargas v. Colombia. </w:t>
      </w:r>
      <w:r w:rsidRPr="004B75F8">
        <w:rPr>
          <w:i/>
          <w:color w:val="000000"/>
          <w:szCs w:val="16"/>
          <w:lang w:val="en-US"/>
        </w:rPr>
        <w:t xml:space="preserve">Preliminary objections, merits, reparations and costs, </w:t>
      </w:r>
      <w:r w:rsidRPr="004B75F8">
        <w:rPr>
          <w:color w:val="000000"/>
          <w:szCs w:val="16"/>
          <w:lang w:val="en-US"/>
        </w:rPr>
        <w:t xml:space="preserve">para. 18, and </w:t>
      </w:r>
      <w:r w:rsidRPr="004B75F8">
        <w:rPr>
          <w:bCs/>
          <w:i/>
          <w:color w:val="000000"/>
          <w:szCs w:val="16"/>
          <w:lang w:val="en-US"/>
        </w:rPr>
        <w:t xml:space="preserve">Case of Contreras et al. v. El Salvador. </w:t>
      </w:r>
      <w:r w:rsidRPr="004B75F8">
        <w:rPr>
          <w:i/>
          <w:color w:val="000000"/>
          <w:szCs w:val="16"/>
          <w:lang w:val="en-US"/>
        </w:rPr>
        <w:t>Merits, reparations and costs.</w:t>
      </w:r>
      <w:r w:rsidRPr="004B75F8">
        <w:rPr>
          <w:color w:val="000000"/>
          <w:szCs w:val="16"/>
          <w:lang w:val="en-US"/>
        </w:rPr>
        <w:t xml:space="preserve"> Judgment of August 31, 2011 Series C No. 232.</w:t>
      </w:r>
    </w:p>
  </w:footnote>
  <w:footnote w:id="1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inter alia</w:t>
      </w:r>
      <w:r w:rsidRPr="004B75F8">
        <w:rPr>
          <w:szCs w:val="16"/>
          <w:lang w:val="en-US"/>
        </w:rPr>
        <w:t xml:space="preserve">, </w:t>
      </w:r>
      <w:r w:rsidRPr="004B75F8">
        <w:rPr>
          <w:i/>
          <w:szCs w:val="16"/>
          <w:lang w:val="en-US"/>
        </w:rPr>
        <w:t>Case of Kimel v. Argentina. Merits, reparations and costs.</w:t>
      </w:r>
      <w:r w:rsidRPr="004B75F8">
        <w:rPr>
          <w:szCs w:val="16"/>
          <w:lang w:val="en-US"/>
        </w:rPr>
        <w:t xml:space="preserve"> Judgment of May 2, 2008. Series C No. 177, paras. 23 to 25, and </w:t>
      </w:r>
      <w:r w:rsidRPr="004B75F8">
        <w:rPr>
          <w:bCs/>
          <w:i/>
          <w:color w:val="000000"/>
          <w:szCs w:val="16"/>
          <w:lang w:val="en-US"/>
        </w:rPr>
        <w:t xml:space="preserve">Case of Manuel Cepeda Vargas v. Colombia. </w:t>
      </w:r>
      <w:r w:rsidRPr="004B75F8">
        <w:rPr>
          <w:i/>
          <w:color w:val="000000"/>
          <w:szCs w:val="16"/>
          <w:lang w:val="en-US"/>
        </w:rPr>
        <w:t>Preliminary objections, merits, reparations and costs</w:t>
      </w:r>
      <w:r w:rsidRPr="004B75F8">
        <w:rPr>
          <w:color w:val="000000"/>
          <w:szCs w:val="16"/>
          <w:lang w:val="en-US"/>
        </w:rPr>
        <w:t>, para. 18.</w:t>
      </w:r>
      <w:r w:rsidRPr="004B75F8">
        <w:rPr>
          <w:szCs w:val="16"/>
          <w:lang w:val="en-US"/>
        </w:rPr>
        <w:t xml:space="preserve"> </w:t>
      </w:r>
    </w:p>
  </w:footnote>
  <w:footnote w:id="1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i/>
          <w:szCs w:val="16"/>
          <w:lang w:val="en-US"/>
        </w:rPr>
        <w:t xml:space="preserve"> </w:t>
      </w:r>
      <w:r w:rsidRPr="004B75F8">
        <w:rPr>
          <w:i/>
          <w:szCs w:val="16"/>
          <w:lang w:val="en-US"/>
        </w:rPr>
        <w:tab/>
        <w:t xml:space="preserve">Cf. Case of Tiu Tojín v. Guatemala. Merits, reparations and costs. </w:t>
      </w:r>
      <w:r w:rsidRPr="004B75F8">
        <w:rPr>
          <w:szCs w:val="16"/>
          <w:lang w:val="en-US"/>
        </w:rPr>
        <w:t xml:space="preserve">Judgment of November 26, 2008. Series C No. 190, para. 26, and </w:t>
      </w:r>
      <w:r w:rsidRPr="004B75F8">
        <w:rPr>
          <w:bCs/>
          <w:i/>
          <w:color w:val="000000"/>
          <w:szCs w:val="16"/>
          <w:lang w:val="en-US"/>
        </w:rPr>
        <w:t xml:space="preserve">Case of the Kichwa Indigenous </w:t>
      </w:r>
      <w:r w:rsidR="00334C3C" w:rsidRPr="004B75F8">
        <w:rPr>
          <w:bCs/>
          <w:i/>
          <w:color w:val="000000"/>
          <w:szCs w:val="16"/>
          <w:lang w:val="en-US"/>
        </w:rPr>
        <w:t>People</w:t>
      </w:r>
      <w:r w:rsidRPr="004B75F8">
        <w:rPr>
          <w:bCs/>
          <w:i/>
          <w:color w:val="000000"/>
          <w:szCs w:val="16"/>
          <w:lang w:val="en-US"/>
        </w:rPr>
        <w:t xml:space="preserve"> of Sarayaku v. Ecuador. Merits and reparations</w:t>
      </w:r>
      <w:r w:rsidRPr="004B75F8">
        <w:rPr>
          <w:color w:val="000000"/>
          <w:szCs w:val="16"/>
          <w:lang w:val="en-US"/>
        </w:rPr>
        <w:t>, para. 28.</w:t>
      </w:r>
    </w:p>
  </w:footnote>
  <w:footnote w:id="20">
    <w:p w:rsidR="008C5C78" w:rsidRPr="004B75F8" w:rsidRDefault="008C5C78" w:rsidP="00722D73">
      <w:pPr>
        <w:pStyle w:val="Textonotapie"/>
        <w:spacing w:after="100"/>
        <w:rPr>
          <w:szCs w:val="16"/>
          <w:lang w:val="en-US"/>
        </w:rPr>
      </w:pPr>
      <w:r w:rsidRPr="004B75F8">
        <w:rPr>
          <w:rStyle w:val="Refdenotaalpie"/>
          <w:rFonts w:cs="Arial"/>
          <w:szCs w:val="16"/>
          <w:lang w:val="en-US"/>
        </w:rPr>
        <w:footnoteRef/>
      </w:r>
      <w:r w:rsidRPr="004B75F8">
        <w:rPr>
          <w:szCs w:val="16"/>
          <w:lang w:val="en-US"/>
        </w:rPr>
        <w:tab/>
      </w:r>
      <w:r w:rsidRPr="004B75F8">
        <w:rPr>
          <w:i/>
          <w:szCs w:val="16"/>
          <w:lang w:val="en-US"/>
        </w:rPr>
        <w:t xml:space="preserve">Cf. </w:t>
      </w:r>
      <w:r w:rsidRPr="004B75F8">
        <w:rPr>
          <w:i/>
          <w:iCs/>
          <w:szCs w:val="16"/>
          <w:lang w:val="en-US" w:eastAsia="es-ES_tradnl"/>
        </w:rPr>
        <w:t xml:space="preserve">Case of Las Palmeras v. Colombia. Preliminary objections. </w:t>
      </w:r>
      <w:r w:rsidRPr="004B75F8">
        <w:rPr>
          <w:szCs w:val="16"/>
          <w:lang w:val="en-US" w:eastAsia="es-ES_tradnl"/>
        </w:rPr>
        <w:t xml:space="preserve">Judgment of February 4, 2000. Series C No. 67, para. 34, and </w:t>
      </w:r>
      <w:r w:rsidRPr="004B75F8">
        <w:rPr>
          <w:i/>
          <w:szCs w:val="16"/>
          <w:lang w:val="en-US"/>
        </w:rPr>
        <w:t>Case of González Medina and family members  v. Dominican Republic. Preliminary objections, merits, reparations and costs</w:t>
      </w:r>
      <w:r w:rsidRPr="004B75F8">
        <w:rPr>
          <w:szCs w:val="16"/>
          <w:lang w:val="en-US"/>
        </w:rPr>
        <w:t>. Judgment of February 27, 2012. Series C No. 240, para. 39.</w:t>
      </w:r>
    </w:p>
  </w:footnote>
  <w:footnote w:id="2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Case of Castañeda Gutman v. Mexico. Preliminary objections, merits, reparations and costs. </w:t>
      </w:r>
      <w:r w:rsidRPr="004B75F8">
        <w:rPr>
          <w:szCs w:val="16"/>
          <w:lang w:val="en-US"/>
        </w:rPr>
        <w:t xml:space="preserve">Judgment of August 6, 2008. Series C No. 184, para. 39, and </w:t>
      </w:r>
      <w:r w:rsidRPr="004B75F8">
        <w:rPr>
          <w:i/>
          <w:szCs w:val="16"/>
          <w:lang w:val="en-US"/>
        </w:rPr>
        <w:t>Case of González Medina and family members  v. Dominican Republic. Preliminary objections, merits, reparations and costs</w:t>
      </w:r>
      <w:r w:rsidRPr="004B75F8">
        <w:rPr>
          <w:szCs w:val="16"/>
          <w:lang w:val="en-US"/>
        </w:rPr>
        <w:t>, para. 39.</w:t>
      </w:r>
    </w:p>
  </w:footnote>
  <w:footnote w:id="2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bCs/>
          <w:i/>
          <w:szCs w:val="16"/>
          <w:lang w:val="en-US"/>
        </w:rPr>
        <w:t xml:space="preserve">Case of Díaz Peña v. Venezuela. </w:t>
      </w:r>
      <w:r w:rsidRPr="004B75F8">
        <w:rPr>
          <w:i/>
          <w:szCs w:val="16"/>
          <w:lang w:val="en-US"/>
        </w:rPr>
        <w:t>Preliminary objection, merits, reparations and costs</w:t>
      </w:r>
      <w:r w:rsidRPr="004B75F8">
        <w:rPr>
          <w:szCs w:val="16"/>
          <w:lang w:val="en-US"/>
        </w:rPr>
        <w:t>. Judgment of June 26, 2012. Series C No. 244, para. 34.</w:t>
      </w:r>
    </w:p>
  </w:footnote>
  <w:footnote w:id="2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 xml:space="preserve">inter alia, Case of Fairén Garbi and Solís Corrales v. Honduras. Merits. </w:t>
      </w:r>
      <w:r w:rsidRPr="004B75F8">
        <w:rPr>
          <w:szCs w:val="16"/>
          <w:lang w:val="en-US"/>
        </w:rPr>
        <w:t>Judgment of March 155, 1989. Series C No. 6,</w:t>
      </w:r>
      <w:r w:rsidRPr="004B75F8">
        <w:rPr>
          <w:i/>
          <w:szCs w:val="16"/>
          <w:lang w:val="en-US"/>
        </w:rPr>
        <w:t xml:space="preserve"> </w:t>
      </w:r>
      <w:r w:rsidRPr="004B75F8">
        <w:rPr>
          <w:szCs w:val="16"/>
          <w:lang w:val="en-US"/>
        </w:rPr>
        <w:t xml:space="preserve">paras. 153 to 161, and </w:t>
      </w:r>
      <w:r w:rsidRPr="004B75F8">
        <w:rPr>
          <w:i/>
          <w:szCs w:val="16"/>
          <w:lang w:val="en-US"/>
        </w:rPr>
        <w:t>Case of</w:t>
      </w:r>
      <w:r w:rsidR="00334C3C" w:rsidRPr="004B75F8">
        <w:rPr>
          <w:i/>
          <w:szCs w:val="16"/>
          <w:lang w:val="en-US"/>
        </w:rPr>
        <w:t xml:space="preserve"> the </w:t>
      </w:r>
      <w:r w:rsidRPr="004B75F8">
        <w:rPr>
          <w:i/>
          <w:szCs w:val="16"/>
          <w:lang w:val="en-US"/>
        </w:rPr>
        <w:t>Miguel Castro Castro Prison v. Peru. Merits, reparations and costs</w:t>
      </w:r>
      <w:r w:rsidRPr="004B75F8">
        <w:rPr>
          <w:szCs w:val="16"/>
          <w:lang w:val="en-US"/>
        </w:rPr>
        <w:t>. Judgment of November 25, 2006. Series C No. 160, paras. 210 to 228.</w:t>
      </w:r>
      <w:r w:rsidRPr="004B75F8">
        <w:rPr>
          <w:i/>
          <w:szCs w:val="16"/>
          <w:lang w:val="en-US"/>
        </w:rPr>
        <w:t xml:space="preserve"> </w:t>
      </w:r>
    </w:p>
  </w:footnote>
  <w:footnote w:id="24">
    <w:p w:rsidR="008C5C78" w:rsidRPr="009C0529"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w:t>
      </w:r>
      <w:r w:rsidRPr="004B75F8">
        <w:rPr>
          <w:sz w:val="16"/>
          <w:szCs w:val="16"/>
          <w:lang w:val="en-US"/>
        </w:rPr>
        <w:t xml:space="preserve"> </w:t>
      </w:r>
      <w:r w:rsidRPr="004B75F8">
        <w:rPr>
          <w:i/>
          <w:sz w:val="16"/>
          <w:szCs w:val="16"/>
          <w:lang w:val="en-US"/>
        </w:rPr>
        <w:t>inter alia, Case of Yvon Neptune v. Haiti. Merits, reparations and costs</w:t>
      </w:r>
      <w:r w:rsidRPr="004B75F8">
        <w:rPr>
          <w:sz w:val="16"/>
          <w:szCs w:val="16"/>
          <w:lang w:val="en-US"/>
        </w:rPr>
        <w:t xml:space="preserve">. Judgment of May 6, 2008. Series C No. 180, para. 19, and </w:t>
      </w:r>
      <w:r w:rsidRPr="004B75F8">
        <w:rPr>
          <w:i/>
          <w:sz w:val="16"/>
          <w:szCs w:val="16"/>
          <w:lang w:val="en-US"/>
        </w:rPr>
        <w:t xml:space="preserve">Case of López Mendoza v. Venezuela. Merits, reparations and costs. </w:t>
      </w:r>
      <w:r w:rsidRPr="004B75F8">
        <w:rPr>
          <w:sz w:val="16"/>
          <w:szCs w:val="16"/>
          <w:lang w:val="en-US"/>
        </w:rPr>
        <w:t xml:space="preserve">Judgment of </w:t>
      </w:r>
      <w:r w:rsidR="00334C3C" w:rsidRPr="004B75F8">
        <w:rPr>
          <w:sz w:val="16"/>
          <w:szCs w:val="16"/>
          <w:lang w:val="en-US"/>
        </w:rPr>
        <w:t>September</w:t>
      </w:r>
      <w:r w:rsidRPr="004B75F8">
        <w:rPr>
          <w:sz w:val="16"/>
          <w:szCs w:val="16"/>
          <w:lang w:val="en-US"/>
        </w:rPr>
        <w:t xml:space="preserve"> 1, 2011. Series C No. 233, para. </w:t>
      </w:r>
      <w:r w:rsidRPr="009C0529">
        <w:rPr>
          <w:sz w:val="16"/>
          <w:szCs w:val="16"/>
          <w:lang w:val="en-US"/>
        </w:rPr>
        <w:t>27.</w:t>
      </w:r>
    </w:p>
  </w:footnote>
  <w:footnote w:id="2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arguments of the State on the “failure to comply with the requirements indicated in Article 35(1)(f)“ of the Rules of Procedure, objecting to the expert opinions proposed by the Commission were considered by the President of the Court in the Order he issued on January 25, 2012. </w:t>
      </w:r>
      <w:r w:rsidRPr="004B75F8">
        <w:rPr>
          <w:i/>
          <w:szCs w:val="16"/>
          <w:lang w:val="en-US"/>
        </w:rPr>
        <w:t>Cf. Case of Vélez Restrepo and Family v. Colombia</w:t>
      </w:r>
      <w:r w:rsidRPr="004B75F8">
        <w:rPr>
          <w:szCs w:val="16"/>
          <w:lang w:val="en-US"/>
        </w:rPr>
        <w:t>. Order of the President of January 25, 2012, Considering paragraphs 9 to 16.</w:t>
      </w:r>
      <w:r w:rsidRPr="004B75F8">
        <w:rPr>
          <w:b/>
          <w:szCs w:val="16"/>
          <w:lang w:val="en-US"/>
        </w:rPr>
        <w:t xml:space="preserve"> </w:t>
      </w:r>
      <w:r w:rsidRPr="004B75F8">
        <w:rPr>
          <w:szCs w:val="16"/>
          <w:lang w:val="en-US"/>
        </w:rPr>
        <w:t>Also, Colombia’s arguments about the failure to comply with Article 35(1)(d) of the Court’s Rules of Procedure, because there were problems with the file of the proceedings before the Commission such as illegible and repeated documents, were answered in a note of the Secretariat (</w:t>
      </w:r>
      <w:r w:rsidRPr="004B75F8">
        <w:rPr>
          <w:i/>
          <w:szCs w:val="16"/>
          <w:lang w:val="en-US"/>
        </w:rPr>
        <w:t>infra</w:t>
      </w:r>
      <w:r w:rsidRPr="004B75F8">
        <w:rPr>
          <w:szCs w:val="16"/>
          <w:lang w:val="en-US"/>
        </w:rPr>
        <w:t xml:space="preserve"> para. 65); the Court therefore reiterates that it will assess these documents at the appropriate procedural moment. </w:t>
      </w:r>
    </w:p>
  </w:footnote>
  <w:footnote w:id="26">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Regarding the recommendation related to the “adopt[ion] of the measures necessary to protect and safeguard the security of the Vélez Román family if they decide to return to Colombia on a temporary or permanent basis,“ the State asserted that it had asked the Commission that compliance with this recommendation “be suspended until“ the petitioners indicate their interest in returning to Colombia; but the Commission had not ruled on this request and had not indicated any grounds to assess that the State had failed to comply with this commitment. </w:t>
      </w:r>
    </w:p>
  </w:footnote>
  <w:footnote w:id="27">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Regarding the recommendation to “continue adopting and strengthening special programs to protect journalists at risk and to investigate crimes against them,“ the State argued that it had provided the Commission with evidence of its “programs to protect journalists“ and “the juridical and legal framework“ supporting them, which confirmed its commitment to comply with this recommendation. The State indicated that this recommendation required “compliance over time,” and provided information that “proved that […] it [had] continued complying with it.” The State mentioned that the fact that the Commission appreciated the information presented as “important steps in compliance” meant that it recognized that this recommendation could not be implemented immediately, and “invalidated the reasons” it had to present the case to the Court in relation to this recommendation. </w:t>
      </w:r>
    </w:p>
  </w:footnote>
  <w:footnote w:id="28">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Regarding the recommendation “to train the armed forces on the role played by journalists in a democracy, and on the right of journalists to </w:t>
      </w:r>
      <w:r w:rsidR="00334C3C" w:rsidRPr="004B75F8">
        <w:rPr>
          <w:szCs w:val="16"/>
          <w:lang w:val="en-US"/>
        </w:rPr>
        <w:t>cover</w:t>
      </w:r>
      <w:r w:rsidRPr="004B75F8">
        <w:rPr>
          <w:szCs w:val="16"/>
          <w:lang w:val="en-US"/>
        </w:rPr>
        <w:t xml:space="preserve"> freely and safely situations of public order and armed conflict,” the State referred to the nature of this recommendation that required compliance over time and reiterated that it had informed the Commission about the measures it had taken in this regard and provided updated information on progress in implementing this recommendation. It maintained that the Commission had not made any observations that would allow it to be understood how this recommendation had not been complied with.</w:t>
      </w:r>
    </w:p>
  </w:footnote>
  <w:footnote w:id="29">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the 19 Tradesmen v. Colombia</w:t>
      </w:r>
      <w:r w:rsidRPr="004B75F8">
        <w:rPr>
          <w:szCs w:val="16"/>
          <w:lang w:val="en-US"/>
        </w:rPr>
        <w:t>. Preliminary objection. Judgment of June 12, 2002. Series C No. 93. para. 31.</w:t>
      </w:r>
    </w:p>
  </w:footnote>
  <w:footnote w:id="30">
    <w:p w:rsidR="008C5C78" w:rsidRPr="009C0529"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the 19 Tradesmen v. Colombia</w:t>
      </w:r>
      <w:r w:rsidRPr="004B75F8">
        <w:rPr>
          <w:szCs w:val="16"/>
          <w:lang w:val="en-US"/>
        </w:rPr>
        <w:t xml:space="preserve">. </w:t>
      </w:r>
      <w:r w:rsidRPr="004B75F8">
        <w:rPr>
          <w:i/>
          <w:szCs w:val="16"/>
          <w:lang w:val="en-US"/>
        </w:rPr>
        <w:t>Preliminary objection</w:t>
      </w:r>
      <w:r w:rsidRPr="004B75F8">
        <w:rPr>
          <w:szCs w:val="16"/>
          <w:lang w:val="en-US"/>
        </w:rPr>
        <w:t xml:space="preserve">, para. 31, and </w:t>
      </w:r>
      <w:r w:rsidRPr="004B75F8">
        <w:rPr>
          <w:i/>
          <w:szCs w:val="16"/>
          <w:lang w:val="en-US"/>
        </w:rPr>
        <w:t>Case of Gomes Lund et al. (Guerrilha do Araguaia) v. Brazil. Preliminary objections, merits, reparations and costs</w:t>
      </w:r>
      <w:r w:rsidRPr="004B75F8">
        <w:rPr>
          <w:szCs w:val="16"/>
          <w:lang w:val="en-US"/>
        </w:rPr>
        <w:t xml:space="preserve">. Judgment of November 24, 2010. Series </w:t>
      </w:r>
      <w:r w:rsidRPr="009C0529">
        <w:rPr>
          <w:szCs w:val="16"/>
          <w:lang w:val="en-US"/>
        </w:rPr>
        <w:t xml:space="preserve">C No. 219, </w:t>
      </w:r>
      <w:r w:rsidRPr="004B75F8">
        <w:rPr>
          <w:szCs w:val="16"/>
          <w:lang w:val="en-US"/>
        </w:rPr>
        <w:t>para.</w:t>
      </w:r>
      <w:r w:rsidRPr="009C0529">
        <w:rPr>
          <w:szCs w:val="16"/>
          <w:lang w:val="en-US"/>
        </w:rPr>
        <w:t xml:space="preserve"> 27. </w:t>
      </w:r>
    </w:p>
  </w:footnote>
  <w:footnote w:id="31">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Colombia indicated that it considers as new facts those described in paragraphs 16 to 43 of the pleadings and motions brief, with the exception of the fact described in paragraph 28, which states that the </w:t>
      </w:r>
      <w:r w:rsidR="00334C3C" w:rsidRPr="004B75F8">
        <w:rPr>
          <w:szCs w:val="16"/>
          <w:lang w:val="en-US"/>
        </w:rPr>
        <w:t>perpetrators</w:t>
      </w:r>
      <w:r w:rsidRPr="004B75F8">
        <w:rPr>
          <w:szCs w:val="16"/>
          <w:lang w:val="en-US"/>
        </w:rPr>
        <w:t xml:space="preserve"> of the attack against Mr. Vélez in El Caquetá were members of the Army. The State also asserted that the facts and assertions included in paragraphs 16 to 22 constitute “general affirmations” that “do not describe facts that are directly or indirectly related to the case,” and that the affirmations on the alleged systematic practice of forced disappearances, extrajudicial executions, and torture, by State agents are based on “an assessment regarding which there is no certainty.”</w:t>
      </w:r>
      <w:r w:rsidRPr="004B75F8">
        <w:rPr>
          <w:b/>
          <w:szCs w:val="16"/>
          <w:lang w:val="en-US"/>
        </w:rPr>
        <w:t xml:space="preserve"> </w:t>
      </w:r>
      <w:r w:rsidRPr="004B75F8">
        <w:rPr>
          <w:szCs w:val="16"/>
          <w:lang w:val="en-US"/>
        </w:rPr>
        <w:t xml:space="preserve">In addition, Colombia referred to the lack or insufficiency of evidence to support the alleged facts included in paragraphs 23 to 34 of the pleadings and motions brief. </w:t>
      </w:r>
      <w:r w:rsidR="00334C3C" w:rsidRPr="004B75F8">
        <w:rPr>
          <w:szCs w:val="16"/>
          <w:lang w:val="en-US"/>
        </w:rPr>
        <w:t>Regarding</w:t>
      </w:r>
      <w:r w:rsidRPr="004B75F8">
        <w:rPr>
          <w:szCs w:val="16"/>
          <w:lang w:val="en-US"/>
        </w:rPr>
        <w:t xml:space="preserve"> the facts included in paragraphs 37 to 43 of the pleadings and motions brief, the State also argued that, as defined by the Inter-American Commission in its Merits Report, “the incident that occurred of October 6, 1997, consisted in an alleged attempted </w:t>
      </w:r>
      <w:r w:rsidR="00334C3C" w:rsidRPr="004B75F8">
        <w:rPr>
          <w:szCs w:val="16"/>
          <w:lang w:val="en-US"/>
        </w:rPr>
        <w:t>kidnapping</w:t>
      </w:r>
      <w:r w:rsidRPr="004B75F8">
        <w:rPr>
          <w:szCs w:val="16"/>
          <w:lang w:val="en-US"/>
        </w:rPr>
        <w:t xml:space="preserve">; therefore, it is not admissible to examine the argument of the representatives insisting on defining this incident as an attempted forced disappearance.” </w:t>
      </w:r>
    </w:p>
  </w:footnote>
  <w:footnote w:id="3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The facts described in the pleadings and motions brief outside the chapter “Factual analysis […],” which Colombia considers to be new, are those included in paragraphs 58, 59, 65, 66, 67, 71, 72, 76, 77, 78, 81, 83, 84 and 94 to 145.</w:t>
      </w:r>
    </w:p>
  </w:footnote>
  <w:footnote w:id="3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bCs/>
          <w:i/>
          <w:szCs w:val="16"/>
          <w:lang w:val="en-US"/>
        </w:rPr>
        <w:t xml:space="preserve">Case of the Five Pensioners v. Peru. </w:t>
      </w:r>
      <w:r w:rsidRPr="004B75F8">
        <w:rPr>
          <w:i/>
          <w:szCs w:val="16"/>
          <w:lang w:val="en-US"/>
        </w:rPr>
        <w:t>Merits, reparations and costs.</w:t>
      </w:r>
      <w:r w:rsidRPr="004B75F8">
        <w:rPr>
          <w:szCs w:val="16"/>
          <w:lang w:val="en-US"/>
        </w:rPr>
        <w:t xml:space="preserve"> Judgment of February 28, 2003. Series C No. 98, para. 153</w:t>
      </w:r>
      <w:r w:rsidRPr="004B75F8">
        <w:rPr>
          <w:rFonts w:cs="Verdana"/>
          <w:szCs w:val="16"/>
          <w:lang w:val="en-US" w:bidi="en-US"/>
        </w:rPr>
        <w:t xml:space="preserve">, and </w:t>
      </w:r>
      <w:r w:rsidRPr="004B75F8">
        <w:rPr>
          <w:bCs/>
          <w:i/>
          <w:color w:val="000000"/>
          <w:szCs w:val="16"/>
          <w:lang w:val="en-US"/>
        </w:rPr>
        <w:t xml:space="preserve">Case of Díaz Peña v. Venezuela. </w:t>
      </w:r>
      <w:r w:rsidRPr="004B75F8">
        <w:rPr>
          <w:i/>
          <w:color w:val="000000"/>
          <w:szCs w:val="16"/>
          <w:lang w:val="en-US"/>
        </w:rPr>
        <w:t>Preliminary objection, merits, reparations and costs</w:t>
      </w:r>
      <w:r w:rsidRPr="004B75F8">
        <w:rPr>
          <w:color w:val="000000"/>
          <w:szCs w:val="16"/>
          <w:lang w:val="en-US"/>
        </w:rPr>
        <w:t>, para. 34.</w:t>
      </w:r>
    </w:p>
  </w:footnote>
  <w:footnote w:id="3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bCs/>
          <w:i/>
          <w:szCs w:val="16"/>
          <w:lang w:val="en-US"/>
        </w:rPr>
        <w:t xml:space="preserve">Case of The Five Pensioners v. Peru. </w:t>
      </w:r>
      <w:r w:rsidRPr="004B75F8">
        <w:rPr>
          <w:i/>
          <w:szCs w:val="16"/>
          <w:lang w:val="en-US"/>
        </w:rPr>
        <w:t>Merits, reparations and costs</w:t>
      </w:r>
      <w:r w:rsidRPr="004B75F8">
        <w:rPr>
          <w:szCs w:val="16"/>
          <w:lang w:val="en-US"/>
        </w:rPr>
        <w:t>, para. 153</w:t>
      </w:r>
      <w:r w:rsidRPr="004B75F8">
        <w:rPr>
          <w:rFonts w:cs="Verdana"/>
          <w:szCs w:val="16"/>
          <w:lang w:val="en-US" w:bidi="en-US"/>
        </w:rPr>
        <w:t xml:space="preserve">, and </w:t>
      </w:r>
      <w:r w:rsidRPr="004B75F8">
        <w:rPr>
          <w:bCs/>
          <w:i/>
          <w:color w:val="000000"/>
          <w:szCs w:val="16"/>
          <w:lang w:val="en-US"/>
        </w:rPr>
        <w:t xml:space="preserve">Case of Díaz Peña v. Venezuela. </w:t>
      </w:r>
      <w:r w:rsidRPr="004B75F8">
        <w:rPr>
          <w:i/>
          <w:color w:val="000000"/>
          <w:szCs w:val="16"/>
          <w:lang w:val="en-US"/>
        </w:rPr>
        <w:t>Preliminary objection, merits, reparations and costs</w:t>
      </w:r>
      <w:r w:rsidRPr="004B75F8">
        <w:rPr>
          <w:color w:val="000000"/>
          <w:szCs w:val="16"/>
          <w:lang w:val="en-US"/>
        </w:rPr>
        <w:t>, para. 34.</w:t>
      </w:r>
    </w:p>
  </w:footnote>
  <w:footnote w:id="3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Case of The Five Pensioners v. Peru,</w:t>
      </w:r>
      <w:r w:rsidRPr="004B75F8">
        <w:rPr>
          <w:szCs w:val="16"/>
          <w:lang w:val="en-US"/>
        </w:rPr>
        <w:t xml:space="preserve"> </w:t>
      </w:r>
      <w:r w:rsidRPr="004B75F8">
        <w:rPr>
          <w:i/>
          <w:szCs w:val="16"/>
          <w:lang w:val="en-US"/>
        </w:rPr>
        <w:t>Merits, reparations and costs</w:t>
      </w:r>
      <w:r w:rsidRPr="004B75F8">
        <w:rPr>
          <w:szCs w:val="16"/>
          <w:lang w:val="en-US"/>
        </w:rPr>
        <w:t>, para. 155</w:t>
      </w:r>
      <w:r w:rsidRPr="004B75F8">
        <w:rPr>
          <w:rFonts w:cs="Verdana"/>
          <w:szCs w:val="16"/>
          <w:lang w:val="en-US" w:bidi="en-US"/>
        </w:rPr>
        <w:t xml:space="preserve">, and </w:t>
      </w:r>
      <w:r w:rsidRPr="004B75F8">
        <w:rPr>
          <w:bCs/>
          <w:i/>
          <w:color w:val="000000"/>
          <w:szCs w:val="16"/>
          <w:lang w:val="en-US"/>
        </w:rPr>
        <w:t xml:space="preserve">Case of the Kichwa Indigenous </w:t>
      </w:r>
      <w:r w:rsidR="00334C3C" w:rsidRPr="004B75F8">
        <w:rPr>
          <w:bCs/>
          <w:i/>
          <w:color w:val="000000"/>
          <w:szCs w:val="16"/>
          <w:lang w:val="en-US"/>
        </w:rPr>
        <w:t>People</w:t>
      </w:r>
      <w:r w:rsidRPr="004B75F8">
        <w:rPr>
          <w:bCs/>
          <w:i/>
          <w:color w:val="000000"/>
          <w:szCs w:val="16"/>
          <w:lang w:val="en-US"/>
        </w:rPr>
        <w:t xml:space="preserve"> of Sarayaku v. Ecuador. Merits and reparations</w:t>
      </w:r>
      <w:r w:rsidRPr="004B75F8">
        <w:rPr>
          <w:color w:val="000000"/>
          <w:szCs w:val="16"/>
          <w:lang w:val="en-US"/>
        </w:rPr>
        <w:t>, footnote 28.</w:t>
      </w:r>
    </w:p>
  </w:footnote>
  <w:footnote w:id="36">
    <w:p w:rsidR="008C5C78" w:rsidRPr="004B75F8" w:rsidRDefault="008C5C78" w:rsidP="00722D73">
      <w:pPr>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ab/>
      </w:r>
      <w:r w:rsidRPr="004B75F8">
        <w:rPr>
          <w:i/>
          <w:sz w:val="16"/>
          <w:szCs w:val="16"/>
          <w:lang w:val="en-US"/>
        </w:rPr>
        <w:t>Cf. Case of the “Mapiripán Massacre” v. Colombia. Merits, reparations and costs.</w:t>
      </w:r>
      <w:r w:rsidRPr="004B75F8">
        <w:rPr>
          <w:sz w:val="16"/>
          <w:szCs w:val="16"/>
          <w:lang w:val="en-US"/>
        </w:rPr>
        <w:t xml:space="preserve"> Judgment of September 15, 2005. Series C No. 134, para. 58, and </w:t>
      </w:r>
      <w:r w:rsidRPr="004B75F8">
        <w:rPr>
          <w:bCs/>
          <w:i/>
          <w:color w:val="000000"/>
          <w:sz w:val="16"/>
          <w:szCs w:val="16"/>
          <w:lang w:val="en-US"/>
        </w:rPr>
        <w:t xml:space="preserve">Case of the Kichwa Indigenous </w:t>
      </w:r>
      <w:r w:rsidR="00334C3C" w:rsidRPr="004B75F8">
        <w:rPr>
          <w:bCs/>
          <w:i/>
          <w:color w:val="000000"/>
          <w:sz w:val="16"/>
          <w:szCs w:val="16"/>
          <w:lang w:val="en-US"/>
        </w:rPr>
        <w:t>People</w:t>
      </w:r>
      <w:r w:rsidRPr="004B75F8">
        <w:rPr>
          <w:bCs/>
          <w:i/>
          <w:color w:val="000000"/>
          <w:sz w:val="16"/>
          <w:szCs w:val="16"/>
          <w:lang w:val="en-US"/>
        </w:rPr>
        <w:t xml:space="preserve"> of Sarayaku v. Ecuador. Merits and reparations</w:t>
      </w:r>
      <w:r w:rsidRPr="004B75F8">
        <w:rPr>
          <w:color w:val="000000"/>
          <w:sz w:val="16"/>
          <w:szCs w:val="16"/>
          <w:lang w:val="en-US"/>
        </w:rPr>
        <w:t>, footnote 28.</w:t>
      </w:r>
    </w:p>
  </w:footnote>
  <w:footnote w:id="3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Paragraphs 80 and 81 of Merits Report 136/10. </w:t>
      </w:r>
    </w:p>
  </w:footnote>
  <w:footnote w:id="38">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Paragraph 90 of Merits Report 136/10, and footnote 38.</w:t>
      </w:r>
    </w:p>
  </w:footnote>
  <w:footnote w:id="3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In Paragraph 118 of Merits Report 136/10.</w:t>
      </w:r>
    </w:p>
  </w:footnote>
  <w:footnote w:id="40">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Paragraphs 16 to 18 of the pleadings and motions brief (merits file, tome I, folios 108 and 109).</w:t>
      </w:r>
    </w:p>
  </w:footnote>
  <w:footnote w:id="41">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Paragraphs 37 to 43 of the pleadings and motions brief (merits file, tome I, folios 116 to 119).</w:t>
      </w:r>
    </w:p>
  </w:footnote>
  <w:footnote w:id="4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Paragraphs 19 to 23 of the pleadings and motions brief (merits file, tome I, folios 109 to 111). In addition, regarding the assertions included in paragraphs 19 to 22 (on the alleged impunity in Colombia), the State affirmed that they constitute “general assertions contained in the cited documents and do not explain facts that are related directly or indirectly to the case.”</w:t>
      </w:r>
      <w:r w:rsidRPr="004B75F8">
        <w:rPr>
          <w:b/>
          <w:szCs w:val="16"/>
          <w:lang w:val="en-US"/>
        </w:rPr>
        <w:t xml:space="preserve"> </w:t>
      </w:r>
    </w:p>
  </w:footnote>
  <w:footnote w:id="43">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Paragraph 23 of the pleadings and motions brief (merits file, tome I, folio 111).</w:t>
      </w:r>
    </w:p>
  </w:footnote>
  <w:footnote w:id="44">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Paragraphs 24 to 31 of the pleadings and motions brief (merits file, tome I, folios 111 to 114).</w:t>
      </w:r>
    </w:p>
  </w:footnote>
  <w:footnote w:id="4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bCs/>
          <w:i/>
          <w:szCs w:val="16"/>
          <w:lang w:val="en-US"/>
        </w:rPr>
        <w:t xml:space="preserve">Case of Cabrera García and Montiel Flores v. Mexico. </w:t>
      </w:r>
      <w:r w:rsidRPr="004B75F8">
        <w:rPr>
          <w:i/>
          <w:szCs w:val="16"/>
          <w:lang w:val="en-US"/>
        </w:rPr>
        <w:t>Preliminary objection, merits, reparations and costs.</w:t>
      </w:r>
      <w:r w:rsidRPr="004B75F8">
        <w:rPr>
          <w:szCs w:val="16"/>
          <w:lang w:val="en-US"/>
        </w:rPr>
        <w:t xml:space="preserve"> Judgment of November 26, 2010. Series C No. 220, para. 59, and </w:t>
      </w:r>
      <w:r w:rsidRPr="004B75F8">
        <w:rPr>
          <w:i/>
          <w:szCs w:val="16"/>
          <w:lang w:val="en-US"/>
        </w:rPr>
        <w:t>Case of López Mendoza v. Venezuela. Merits, reparations and costs</w:t>
      </w:r>
      <w:r w:rsidRPr="004B75F8">
        <w:rPr>
          <w:szCs w:val="16"/>
          <w:lang w:val="en-US"/>
        </w:rPr>
        <w:t xml:space="preserve">, para. 29. </w:t>
      </w:r>
    </w:p>
  </w:footnote>
  <w:footnote w:id="4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The Court requested information on the threats, harassment, executions, and disappearances of which journalists may have been victims in the period between 1995 and 1998, the complaints that had been filed in this regard, and the corresponding actions taken by the State.</w:t>
      </w:r>
    </w:p>
  </w:footnote>
  <w:footnote w:id="47">
    <w:p w:rsidR="008C5C78" w:rsidRPr="004B75F8" w:rsidRDefault="008C5C78" w:rsidP="0044358E">
      <w:pPr>
        <w:pStyle w:val="Textonotapie"/>
        <w:spacing w:before="120" w:after="12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bCs/>
          <w:i/>
          <w:szCs w:val="16"/>
          <w:lang w:val="en-US"/>
        </w:rPr>
        <w:t xml:space="preserve">Case of the La Rochela Massacre v. Colombia. </w:t>
      </w:r>
      <w:r w:rsidRPr="004B75F8">
        <w:rPr>
          <w:i/>
          <w:szCs w:val="16"/>
          <w:lang w:val="en-US"/>
        </w:rPr>
        <w:t>Merits, reparations and costs</w:t>
      </w:r>
      <w:r w:rsidRPr="004B75F8">
        <w:rPr>
          <w:szCs w:val="16"/>
          <w:lang w:val="en-US"/>
        </w:rPr>
        <w:t xml:space="preserve">, para. 32, and </w:t>
      </w:r>
      <w:r w:rsidRPr="004B75F8">
        <w:rPr>
          <w:bCs/>
          <w:i/>
          <w:color w:val="000000"/>
          <w:szCs w:val="16"/>
          <w:lang w:val="en-US"/>
        </w:rPr>
        <w:t xml:space="preserve">Case of Manuel Cepeda Vargas v. Colombia. </w:t>
      </w:r>
      <w:r w:rsidRPr="004B75F8">
        <w:rPr>
          <w:i/>
          <w:szCs w:val="16"/>
          <w:lang w:val="en-US"/>
        </w:rPr>
        <w:t xml:space="preserve">Preliminary objection, merits, reparations and costs, </w:t>
      </w:r>
      <w:r w:rsidRPr="004B75F8">
        <w:rPr>
          <w:color w:val="000000"/>
          <w:szCs w:val="16"/>
          <w:lang w:val="en-US"/>
        </w:rPr>
        <w:t>para. 51.</w:t>
      </w:r>
    </w:p>
    <w:p w:rsidR="008C5C78" w:rsidRPr="004B75F8" w:rsidRDefault="008C5C78" w:rsidP="00722D73">
      <w:pPr>
        <w:pStyle w:val="Textonotapie"/>
        <w:tabs>
          <w:tab w:val="left" w:pos="720"/>
        </w:tabs>
        <w:spacing w:after="100"/>
        <w:rPr>
          <w:szCs w:val="16"/>
          <w:lang w:val="en-US"/>
        </w:rPr>
      </w:pPr>
      <w:r w:rsidRPr="004B75F8">
        <w:rPr>
          <w:szCs w:val="16"/>
          <w:lang w:val="en-US"/>
        </w:rPr>
        <w:t xml:space="preserve"> </w:t>
      </w:r>
    </w:p>
  </w:footnote>
  <w:footnote w:id="48">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Paragraphs 65 of the pleadings and motions brief (merits file, tome I, folio 123).</w:t>
      </w:r>
    </w:p>
  </w:footnote>
  <w:footnote w:id="4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 76 of the pleadings and motions brief (merits file, tome I, folio</w:t>
      </w:r>
      <w:r w:rsidRPr="004B75F8">
        <w:rPr>
          <w:rStyle w:val="Refdenotaalpie"/>
          <w:szCs w:val="16"/>
          <w:vertAlign w:val="baseline"/>
          <w:lang w:val="en-US"/>
        </w:rPr>
        <w:t xml:space="preserve"> 126).</w:t>
      </w:r>
    </w:p>
  </w:footnote>
  <w:footnote w:id="50">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Paragraphs 66 and 67 of the pleadings and motions brief (merits file, tome I, folio</w:t>
      </w:r>
      <w:r w:rsidRPr="004B75F8">
        <w:rPr>
          <w:rStyle w:val="Refdenotaalpie"/>
          <w:szCs w:val="16"/>
          <w:vertAlign w:val="baseline"/>
          <w:lang w:val="en-US"/>
        </w:rPr>
        <w:t xml:space="preserve"> 124).</w:t>
      </w:r>
    </w:p>
  </w:footnote>
  <w:footnote w:id="51">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Paragraphs 71 and 72 of the pleadings and motions brief (merits file, tome I, folio</w:t>
      </w:r>
      <w:r w:rsidRPr="004B75F8">
        <w:rPr>
          <w:rStyle w:val="Refdenotaalpie"/>
          <w:szCs w:val="16"/>
          <w:vertAlign w:val="baseline"/>
          <w:lang w:val="en-US"/>
        </w:rPr>
        <w:t xml:space="preserve"> 125).</w:t>
      </w:r>
    </w:p>
  </w:footnote>
  <w:footnote w:id="5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 77 of the pleadings and motions brief (merits file, tome I, folio</w:t>
      </w:r>
      <w:r w:rsidRPr="004B75F8">
        <w:rPr>
          <w:rStyle w:val="Refdenotaalpie"/>
          <w:szCs w:val="16"/>
          <w:vertAlign w:val="baseline"/>
          <w:lang w:val="en-US"/>
        </w:rPr>
        <w:t xml:space="preserve"> 126).</w:t>
      </w:r>
    </w:p>
  </w:footnote>
  <w:footnote w:id="53">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 78 of the pleadings and motions brief</w:t>
      </w:r>
      <w:r w:rsidRPr="004B75F8">
        <w:rPr>
          <w:b/>
          <w:szCs w:val="16"/>
          <w:lang w:val="en-US"/>
        </w:rPr>
        <w:t xml:space="preserve"> </w:t>
      </w:r>
      <w:r w:rsidRPr="004B75F8">
        <w:rPr>
          <w:szCs w:val="16"/>
          <w:lang w:val="en-US"/>
        </w:rPr>
        <w:t>(merits file, tome I, folios</w:t>
      </w:r>
      <w:r w:rsidRPr="004B75F8">
        <w:rPr>
          <w:rStyle w:val="Refdenotaalpie"/>
          <w:szCs w:val="16"/>
          <w:vertAlign w:val="baseline"/>
          <w:lang w:val="en-US"/>
        </w:rPr>
        <w:t xml:space="preserve"> 126</w:t>
      </w:r>
      <w:r w:rsidRPr="004B75F8">
        <w:rPr>
          <w:szCs w:val="16"/>
          <w:lang w:val="en-US"/>
        </w:rPr>
        <w:t xml:space="preserve"> and 127</w:t>
      </w:r>
      <w:r w:rsidRPr="004B75F8">
        <w:rPr>
          <w:rStyle w:val="Refdenotaalpie"/>
          <w:szCs w:val="16"/>
          <w:vertAlign w:val="baseline"/>
          <w:lang w:val="en-US"/>
        </w:rPr>
        <w:t>)</w:t>
      </w:r>
      <w:r w:rsidRPr="004B75F8">
        <w:rPr>
          <w:szCs w:val="16"/>
          <w:lang w:val="en-US"/>
        </w:rPr>
        <w:t>.</w:t>
      </w:r>
    </w:p>
  </w:footnote>
  <w:footnote w:id="54">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Paragraphs 81, 83 and 84 of the pleadings and motions brief (merits file, tome I, folios</w:t>
      </w:r>
      <w:r w:rsidRPr="004B75F8">
        <w:rPr>
          <w:rStyle w:val="Refdenotaalpie"/>
          <w:szCs w:val="16"/>
          <w:vertAlign w:val="baseline"/>
          <w:lang w:val="en-US"/>
        </w:rPr>
        <w:t xml:space="preserve"> 127</w:t>
      </w:r>
      <w:r w:rsidRPr="004B75F8">
        <w:rPr>
          <w:szCs w:val="16"/>
          <w:lang w:val="en-US"/>
        </w:rPr>
        <w:t xml:space="preserve"> and 128</w:t>
      </w:r>
      <w:r w:rsidRPr="004B75F8">
        <w:rPr>
          <w:rStyle w:val="Refdenotaalpie"/>
          <w:szCs w:val="16"/>
          <w:vertAlign w:val="baseline"/>
          <w:lang w:val="en-US"/>
        </w:rPr>
        <w:t>)</w:t>
      </w:r>
      <w:r w:rsidRPr="004B75F8">
        <w:rPr>
          <w:szCs w:val="16"/>
          <w:lang w:val="en-US"/>
        </w:rPr>
        <w:t>.</w:t>
      </w:r>
    </w:p>
  </w:footnote>
  <w:footnote w:id="5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i/>
          <w:szCs w:val="16"/>
          <w:lang w:val="en-US"/>
        </w:rPr>
        <w:tab/>
      </w:r>
      <w:r w:rsidRPr="004B75F8">
        <w:rPr>
          <w:szCs w:val="16"/>
          <w:lang w:val="en-US"/>
        </w:rPr>
        <w:t>Paragraphs 94 to 145, which form part of the chapter of the pleadings and motions brief entitled “Forced separation of the Velez Roman family: October 1997 – September 1998” (merits file, tome I, folios</w:t>
      </w:r>
      <w:r w:rsidRPr="004B75F8">
        <w:rPr>
          <w:rStyle w:val="Refdenotaalpie"/>
          <w:szCs w:val="16"/>
          <w:vertAlign w:val="baseline"/>
          <w:lang w:val="en-US"/>
        </w:rPr>
        <w:t xml:space="preserve"> 130</w:t>
      </w:r>
      <w:r w:rsidRPr="004B75F8">
        <w:rPr>
          <w:szCs w:val="16"/>
          <w:lang w:val="en-US"/>
        </w:rPr>
        <w:t xml:space="preserve"> to 137</w:t>
      </w:r>
      <w:r w:rsidRPr="004B75F8">
        <w:rPr>
          <w:rStyle w:val="Refdenotaalpie"/>
          <w:szCs w:val="16"/>
          <w:vertAlign w:val="baseline"/>
          <w:lang w:val="en-US"/>
        </w:rPr>
        <w:t>)</w:t>
      </w:r>
      <w:r w:rsidRPr="004B75F8">
        <w:rPr>
          <w:szCs w:val="16"/>
          <w:lang w:val="en-US"/>
        </w:rPr>
        <w:t>.</w:t>
      </w:r>
    </w:p>
  </w:footnote>
  <w:footnote w:id="5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Case of Barbani Duarte et al. v. Uruguay. Merits, reparations and costs. </w:t>
      </w:r>
      <w:r w:rsidRPr="004B75F8">
        <w:rPr>
          <w:szCs w:val="16"/>
          <w:lang w:val="en-US"/>
        </w:rPr>
        <w:t>Judgment of October 13, 2011. Series C No. 234, para. 41.</w:t>
      </w:r>
    </w:p>
  </w:footnote>
  <w:footnote w:id="5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the “White Van” (Paniagua Morales et al.) v. Guatemala. Merits.</w:t>
      </w:r>
      <w:r w:rsidRPr="004B75F8">
        <w:rPr>
          <w:szCs w:val="16"/>
          <w:lang w:val="en-US"/>
        </w:rPr>
        <w:t xml:space="preserve"> Judgment of March 8, 1998. Series C No. 37, paras. 69 to 76, and </w:t>
      </w:r>
      <w:r w:rsidRPr="004B75F8">
        <w:rPr>
          <w:bCs/>
          <w:i/>
          <w:szCs w:val="16"/>
          <w:lang w:val="en-US"/>
        </w:rPr>
        <w:t xml:space="preserve">Case of Díaz Peña v. Venezuela. </w:t>
      </w:r>
      <w:r w:rsidRPr="004B75F8">
        <w:rPr>
          <w:i/>
          <w:szCs w:val="16"/>
          <w:lang w:val="en-US"/>
        </w:rPr>
        <w:t>Preliminary objection, merits, reparations and costs</w:t>
      </w:r>
      <w:r w:rsidRPr="004B75F8">
        <w:rPr>
          <w:szCs w:val="16"/>
          <w:lang w:val="en-US"/>
        </w:rPr>
        <w:t>, para. 13.</w:t>
      </w:r>
    </w:p>
  </w:footnote>
  <w:footnote w:id="5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the “White Van” (Paniagua Morales et al.) v. Guatemala. Merits</w:t>
      </w:r>
      <w:r w:rsidRPr="004B75F8">
        <w:rPr>
          <w:szCs w:val="16"/>
          <w:lang w:val="en-US"/>
        </w:rPr>
        <w:t xml:space="preserve">, para. 76, and </w:t>
      </w:r>
      <w:r w:rsidRPr="004B75F8">
        <w:rPr>
          <w:bCs/>
          <w:i/>
          <w:szCs w:val="16"/>
          <w:lang w:val="en-US"/>
        </w:rPr>
        <w:t xml:space="preserve">Case of Díaz Peña v. Venezuela. </w:t>
      </w:r>
      <w:r w:rsidRPr="004B75F8">
        <w:rPr>
          <w:i/>
          <w:szCs w:val="16"/>
          <w:lang w:val="en-US"/>
        </w:rPr>
        <w:t>Preliminary objection, merits, reparations and costs</w:t>
      </w:r>
      <w:r w:rsidRPr="004B75F8">
        <w:rPr>
          <w:szCs w:val="16"/>
          <w:lang w:val="en-US"/>
        </w:rPr>
        <w:t>, para. 13.</w:t>
      </w:r>
    </w:p>
  </w:footnote>
  <w:footnote w:id="5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purpose of all of these statements is established in the Order of the President of the Court of January 25, 2012, which can be consulted on the Court’s web page at: </w:t>
      </w:r>
      <w:hyperlink r:id="rId1" w:history="1">
        <w:r w:rsidRPr="004B75F8">
          <w:rPr>
            <w:rStyle w:val="Hipervnculo"/>
            <w:szCs w:val="16"/>
            <w:lang w:val="en-US"/>
          </w:rPr>
          <w:t>http://www.corteidh.or.cr/docs/asuntos/Velez1.pdf</w:t>
        </w:r>
      </w:hyperlink>
      <w:r w:rsidRPr="004B75F8">
        <w:rPr>
          <w:szCs w:val="16"/>
          <w:lang w:val="en-US"/>
        </w:rPr>
        <w:t>.</w:t>
      </w:r>
    </w:p>
  </w:footnote>
  <w:footnote w:id="6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9C0529">
        <w:rPr>
          <w:szCs w:val="16"/>
          <w:lang w:val="es-ES"/>
        </w:rPr>
        <w:t xml:space="preserve"> </w:t>
      </w:r>
      <w:r w:rsidRPr="009C0529">
        <w:rPr>
          <w:szCs w:val="16"/>
          <w:lang w:val="es-ES"/>
        </w:rPr>
        <w:tab/>
      </w:r>
      <w:r w:rsidRPr="009C0529">
        <w:rPr>
          <w:i/>
          <w:szCs w:val="16"/>
          <w:lang w:val="es-ES"/>
        </w:rPr>
        <w:t>Cf.</w:t>
      </w:r>
      <w:r w:rsidRPr="009C0529">
        <w:rPr>
          <w:szCs w:val="16"/>
          <w:lang w:val="es-ES"/>
        </w:rPr>
        <w:t xml:space="preserve"> </w:t>
      </w:r>
      <w:r w:rsidRPr="009C0529">
        <w:rPr>
          <w:i/>
          <w:szCs w:val="16"/>
          <w:lang w:val="es-ES"/>
        </w:rPr>
        <w:t xml:space="preserve">Case of Velásquez Rodríguez v. Honduras. </w:t>
      </w:r>
      <w:r w:rsidRPr="004B75F8">
        <w:rPr>
          <w:i/>
          <w:szCs w:val="16"/>
          <w:lang w:val="en-US"/>
        </w:rPr>
        <w:t>Merits</w:t>
      </w:r>
      <w:r w:rsidRPr="004B75F8">
        <w:rPr>
          <w:szCs w:val="16"/>
          <w:lang w:val="en-US"/>
        </w:rPr>
        <w:t xml:space="preserve">. Judgment of July 29, 1988. Series C No. 4, para. 140, and </w:t>
      </w:r>
      <w:r w:rsidRPr="004B75F8">
        <w:rPr>
          <w:bCs/>
          <w:i/>
          <w:color w:val="000000"/>
          <w:szCs w:val="16"/>
          <w:lang w:val="en-US"/>
        </w:rPr>
        <w:t xml:space="preserve">Case of the Kichwa Indigenous </w:t>
      </w:r>
      <w:r w:rsidR="00334C3C" w:rsidRPr="004B75F8">
        <w:rPr>
          <w:bCs/>
          <w:i/>
          <w:color w:val="000000"/>
          <w:szCs w:val="16"/>
          <w:lang w:val="en-US"/>
        </w:rPr>
        <w:t>People</w:t>
      </w:r>
      <w:r w:rsidRPr="004B75F8">
        <w:rPr>
          <w:bCs/>
          <w:i/>
          <w:color w:val="000000"/>
          <w:szCs w:val="16"/>
          <w:lang w:val="en-US"/>
        </w:rPr>
        <w:t xml:space="preserve"> of Sarayaku v. Ecuador. Merits and reparations</w:t>
      </w:r>
      <w:r w:rsidRPr="004B75F8">
        <w:rPr>
          <w:color w:val="000000"/>
          <w:szCs w:val="16"/>
          <w:lang w:val="en-US"/>
        </w:rPr>
        <w:t>, para. 35</w:t>
      </w:r>
      <w:r w:rsidRPr="004B75F8">
        <w:rPr>
          <w:szCs w:val="16"/>
          <w:lang w:val="en-US"/>
        </w:rPr>
        <w:t>.</w:t>
      </w:r>
    </w:p>
  </w:footnote>
  <w:footnote w:id="6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Case of Velásquez Rodríguez v. Honduras. Merits</w:t>
      </w:r>
      <w:r w:rsidRPr="004B75F8">
        <w:rPr>
          <w:szCs w:val="16"/>
          <w:lang w:val="en-US"/>
        </w:rPr>
        <w:t xml:space="preserve">, para. 146, and </w:t>
      </w:r>
      <w:r w:rsidRPr="004B75F8">
        <w:rPr>
          <w:bCs/>
          <w:i/>
          <w:color w:val="000000"/>
          <w:szCs w:val="16"/>
          <w:lang w:val="en-US"/>
        </w:rPr>
        <w:t xml:space="preserve">Case of the Kichwa Indigenous </w:t>
      </w:r>
      <w:r w:rsidR="00334C3C" w:rsidRPr="004B75F8">
        <w:rPr>
          <w:bCs/>
          <w:i/>
          <w:color w:val="000000"/>
          <w:szCs w:val="16"/>
          <w:lang w:val="en-US"/>
        </w:rPr>
        <w:t>People</w:t>
      </w:r>
      <w:r w:rsidRPr="004B75F8">
        <w:rPr>
          <w:bCs/>
          <w:i/>
          <w:color w:val="000000"/>
          <w:szCs w:val="16"/>
          <w:lang w:val="en-US"/>
        </w:rPr>
        <w:t xml:space="preserve"> of Sarayaku v. Ecuador. Merits and reparations</w:t>
      </w:r>
      <w:r w:rsidRPr="004B75F8">
        <w:rPr>
          <w:color w:val="000000"/>
          <w:szCs w:val="16"/>
          <w:lang w:val="en-US"/>
        </w:rPr>
        <w:t>, para. 36</w:t>
      </w:r>
      <w:r w:rsidRPr="004B75F8">
        <w:rPr>
          <w:szCs w:val="16"/>
          <w:lang w:val="en-US"/>
        </w:rPr>
        <w:t>.</w:t>
      </w:r>
    </w:p>
  </w:footnote>
  <w:footnote w:id="6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Escué Zapata v. Colombia. Merits, reparations and costs</w:t>
      </w:r>
      <w:r w:rsidRPr="004B75F8">
        <w:rPr>
          <w:szCs w:val="16"/>
          <w:lang w:val="en-US"/>
        </w:rPr>
        <w:t xml:space="preserve">, para. 26, and </w:t>
      </w:r>
      <w:r w:rsidRPr="004B75F8">
        <w:rPr>
          <w:bCs/>
          <w:i/>
          <w:color w:val="000000"/>
          <w:szCs w:val="16"/>
          <w:lang w:val="en-US"/>
        </w:rPr>
        <w:t>Case of the Kichwa Indigenous People of Sarayaku v. Ecuador. Merits and reparations</w:t>
      </w:r>
      <w:r w:rsidRPr="004B75F8">
        <w:rPr>
          <w:color w:val="000000"/>
          <w:szCs w:val="16"/>
          <w:lang w:val="en-US"/>
        </w:rPr>
        <w:t>, para. 37</w:t>
      </w:r>
      <w:r w:rsidRPr="004B75F8">
        <w:rPr>
          <w:szCs w:val="16"/>
          <w:lang w:val="en-US"/>
        </w:rPr>
        <w:t>.</w:t>
      </w:r>
    </w:p>
  </w:footnote>
  <w:footnote w:id="63">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Case of Ríos et al. v. Venezuela</w:t>
      </w:r>
      <w:r w:rsidRPr="004B75F8">
        <w:rPr>
          <w:szCs w:val="16"/>
          <w:lang w:val="en-US"/>
        </w:rPr>
        <w:t xml:space="preserve">. Preliminary objections, merits, reparations and costs. Judgment of January 28, 2009. Series C No. 194, para. 93, and </w:t>
      </w:r>
      <w:r w:rsidRPr="004B75F8">
        <w:rPr>
          <w:i/>
          <w:szCs w:val="16"/>
          <w:lang w:val="en-US"/>
        </w:rPr>
        <w:t>Case of Perozo et al. v. Venezuela</w:t>
      </w:r>
      <w:r w:rsidRPr="004B75F8">
        <w:rPr>
          <w:szCs w:val="16"/>
          <w:lang w:val="en-US"/>
        </w:rPr>
        <w:t>. Preliminary objections, merits, reparations and costs. Judgment of January 28, 2009. Series C No. 195, para. 107.</w:t>
      </w:r>
    </w:p>
  </w:footnote>
  <w:footnote w:id="64">
    <w:p w:rsidR="008C5C78" w:rsidRPr="004B75F8" w:rsidRDefault="008C5C78" w:rsidP="00722D73">
      <w:pPr>
        <w:tabs>
          <w:tab w:val="left" w:pos="720"/>
        </w:tabs>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sz w:val="16"/>
          <w:szCs w:val="16"/>
          <w:lang w:val="en-US" w:eastAsia="es-ES"/>
        </w:rPr>
        <w:t>On the instructions of the President of the Court, the State was reminded that, in a note of the Secretariat of March 28, 2011, the Commission had been informed that, following a preliminary review, it was found that some documents were incomplete or illegible in the appendix and attachments to Merits Report 136/10 in this case. When the case was notified to the State, it was advised that, in a communication of April 4, 2011, the Inter-American Commission had confirmed the observations made by the Secretariat following the respective analysis of the annexes, and had indicated that the folios identified as illegible were “the best [copies] it had.” The President of the Court also informed the State that the Court would assess those documents at the appropriate procedural opportunity.</w:t>
      </w:r>
    </w:p>
  </w:footnote>
  <w:footnote w:id="6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Case of Loayza Tamayo v. Peru</w:t>
      </w:r>
      <w:r w:rsidRPr="004B75F8">
        <w:rPr>
          <w:szCs w:val="16"/>
          <w:lang w:val="en-US"/>
        </w:rPr>
        <w:t xml:space="preserve">. Merits. Judgment of September 17, 1997. Series C No. 33, para. 43, and </w:t>
      </w:r>
      <w:r w:rsidRPr="004B75F8">
        <w:rPr>
          <w:i/>
          <w:szCs w:val="16"/>
          <w:lang w:val="en-US"/>
        </w:rPr>
        <w:t>Case of Fornerón and daughter v. Argentina</w:t>
      </w:r>
      <w:r w:rsidRPr="004B75F8">
        <w:rPr>
          <w:szCs w:val="16"/>
          <w:lang w:val="en-US"/>
        </w:rPr>
        <w:t xml:space="preserve">. </w:t>
      </w:r>
      <w:r w:rsidRPr="004B75F8">
        <w:rPr>
          <w:i/>
          <w:szCs w:val="16"/>
          <w:lang w:val="en-US"/>
        </w:rPr>
        <w:t>Merits, reparations and costs.</w:t>
      </w:r>
      <w:r w:rsidRPr="004B75F8">
        <w:rPr>
          <w:szCs w:val="16"/>
          <w:lang w:val="en-US"/>
        </w:rPr>
        <w:t xml:space="preserve"> Judgment of April 27, 2012. Series C No. 242, para. 13.</w:t>
      </w:r>
    </w:p>
  </w:footnote>
  <w:footnote w:id="6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Case of Loayza Tamayo v. Peru</w:t>
      </w:r>
      <w:r w:rsidRPr="004B75F8">
        <w:rPr>
          <w:szCs w:val="16"/>
          <w:lang w:val="en-US"/>
        </w:rPr>
        <w:t xml:space="preserve">. Merits, para. 43, and </w:t>
      </w:r>
      <w:r w:rsidRPr="004B75F8">
        <w:rPr>
          <w:i/>
          <w:szCs w:val="16"/>
          <w:lang w:val="en-US"/>
        </w:rPr>
        <w:t>Case of Fornerón and daughter v. Argentina</w:t>
      </w:r>
      <w:r w:rsidRPr="004B75F8">
        <w:rPr>
          <w:szCs w:val="16"/>
          <w:lang w:val="en-US"/>
        </w:rPr>
        <w:t>. Merits, reparations and costs, para. 13.</w:t>
      </w:r>
    </w:p>
  </w:footnote>
  <w:footnote w:id="67">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Reverón Trujillo v. Venezuela</w:t>
      </w:r>
      <w:r w:rsidRPr="004B75F8">
        <w:rPr>
          <w:szCs w:val="16"/>
          <w:lang w:val="en-US"/>
        </w:rPr>
        <w:t xml:space="preserve">. Preliminary objection, merits, reparations and costs. Judgment of June 30, 2009. Series C No. 197, para. 42, and </w:t>
      </w:r>
      <w:r w:rsidRPr="004B75F8">
        <w:rPr>
          <w:i/>
          <w:szCs w:val="16"/>
          <w:lang w:val="en-US"/>
        </w:rPr>
        <w:t>Case of the Barrios Family v. Venezuela</w:t>
      </w:r>
      <w:r w:rsidRPr="004B75F8">
        <w:rPr>
          <w:szCs w:val="16"/>
          <w:lang w:val="en-US"/>
        </w:rPr>
        <w:t>. Merits, reparations and costs. Judgment of November 24, 2011. Series C No. 237, para. 28.</w:t>
      </w:r>
    </w:p>
  </w:footnote>
  <w:footnote w:id="6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Cf. statement made by Luis Gonzalo Vélez Restrepo before the Inter-American Court during the public hearing held on February 24, 2012.</w:t>
      </w:r>
      <w:r w:rsidRPr="004B75F8">
        <w:rPr>
          <w:szCs w:val="16"/>
          <w:lang w:val="en-US"/>
        </w:rPr>
        <w:t xml:space="preserve"> </w:t>
      </w:r>
    </w:p>
  </w:footnote>
  <w:footnote w:id="6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 made by Luis Gonzalo Restrepo on June 25, 2005, before a notary public of the District of Columbia, United States of America (file of annexes to Merits Report 136/10, tome I, annex 15, folios 78 to 82, and file of attachments to the pleadings and motions brief, tome II, attachment 16, folios 655 to 660); statement made by </w:t>
      </w:r>
      <w:r w:rsidRPr="004B75F8">
        <w:rPr>
          <w:rFonts w:eastAsia="ヒラギノ角ゴ Pro W3"/>
          <w:szCs w:val="16"/>
          <w:lang w:val="en-US"/>
        </w:rPr>
        <w:t xml:space="preserve">Luis Gonzalo Vélez Restrepo before the Court during the public hearing </w:t>
      </w:r>
      <w:r w:rsidRPr="004B75F8">
        <w:rPr>
          <w:szCs w:val="16"/>
          <w:lang w:val="en-US"/>
        </w:rPr>
        <w:t xml:space="preserve">held on February 24, 2012, and statement made by </w:t>
      </w:r>
      <w:r w:rsidRPr="004B75F8">
        <w:rPr>
          <w:rFonts w:eastAsia="ヒラギノ角ゴ Pro W3"/>
          <w:szCs w:val="16"/>
          <w:lang w:val="en-US"/>
        </w:rPr>
        <w:t xml:space="preserve">Aracelly Román Amariles on July 25, 2005, before a notary public of the District of Columbia, United States of America </w:t>
      </w:r>
      <w:r w:rsidRPr="004B75F8">
        <w:rPr>
          <w:szCs w:val="16"/>
          <w:lang w:val="en-US"/>
        </w:rPr>
        <w:t>(file of annexes to Merits Report 136/10, tome I, annex 16, folios 74 to 88, and file of attachments to the pleadings and motions brief, tome II, attachment 17, folios 662 to 666).</w:t>
      </w:r>
      <w:r w:rsidRPr="004B75F8">
        <w:rPr>
          <w:rFonts w:eastAsia="ヒラギノ角ゴ Pro W3"/>
          <w:szCs w:val="16"/>
          <w:lang w:val="en-US"/>
        </w:rPr>
        <w:t xml:space="preserve"> </w:t>
      </w:r>
    </w:p>
  </w:footnote>
  <w:footnote w:id="70">
    <w:p w:rsidR="008C5C78" w:rsidRPr="004B75F8" w:rsidRDefault="008C5C78" w:rsidP="00722D73">
      <w:pPr>
        <w:tabs>
          <w:tab w:val="left" w:pos="720"/>
        </w:tabs>
        <w:spacing w:after="100"/>
        <w:jc w:val="both"/>
        <w:rPr>
          <w:rStyle w:val="Refdenotaalpie"/>
          <w:sz w:val="16"/>
          <w:szCs w:val="16"/>
          <w:vertAlign w:val="baseline"/>
          <w:lang w:val="en-US"/>
        </w:rPr>
      </w:pPr>
      <w:r w:rsidRPr="004B75F8">
        <w:rPr>
          <w:rStyle w:val="Refdenotaalpie"/>
          <w:sz w:val="16"/>
          <w:szCs w:val="16"/>
          <w:lang w:val="en-US"/>
        </w:rPr>
        <w:footnoteRef/>
      </w:r>
      <w:r w:rsidRPr="004B75F8">
        <w:rPr>
          <w:rStyle w:val="Refdenotaalpie"/>
          <w:sz w:val="16"/>
          <w:szCs w:val="16"/>
          <w:lang w:val="en-US"/>
        </w:rPr>
        <w:t xml:space="preserve"> </w:t>
      </w:r>
      <w:r w:rsidRPr="004B75F8">
        <w:rPr>
          <w:sz w:val="16"/>
          <w:szCs w:val="16"/>
          <w:lang w:val="en-US"/>
        </w:rPr>
        <w:tab/>
      </w:r>
      <w:r w:rsidRPr="004B75F8">
        <w:rPr>
          <w:i/>
          <w:sz w:val="16"/>
          <w:szCs w:val="16"/>
          <w:lang w:val="en-US"/>
        </w:rPr>
        <w:t>Cf.</w:t>
      </w:r>
      <w:r w:rsidRPr="004B75F8">
        <w:rPr>
          <w:sz w:val="16"/>
          <w:szCs w:val="16"/>
          <w:lang w:val="en-US"/>
        </w:rPr>
        <w:t xml:space="preserve"> preliminary report dated September 5, 1996, of the Attorney Delegated to the Defense of Human Rights of the Attorney General’s Office on the disturbances that </w:t>
      </w:r>
      <w:r w:rsidR="00334C3C" w:rsidRPr="004B75F8">
        <w:rPr>
          <w:sz w:val="16"/>
          <w:szCs w:val="16"/>
          <w:lang w:val="en-US"/>
        </w:rPr>
        <w:t>occurred</w:t>
      </w:r>
      <w:r w:rsidRPr="004B75F8">
        <w:rPr>
          <w:sz w:val="16"/>
          <w:szCs w:val="16"/>
          <w:lang w:val="en-US"/>
        </w:rPr>
        <w:t xml:space="preserve"> on August 29, 1996, in the municipality of Morelía, Caquetá (file of helpful evidence presented by the State, tome IV, folios 1666 to 1674);</w:t>
      </w:r>
      <w:r w:rsidRPr="004B75F8">
        <w:rPr>
          <w:color w:val="26A52F"/>
          <w:sz w:val="16"/>
          <w:szCs w:val="16"/>
          <w:lang w:val="en-US"/>
        </w:rPr>
        <w:t xml:space="preserve"> </w:t>
      </w:r>
      <w:r w:rsidRPr="004B75F8">
        <w:rPr>
          <w:sz w:val="16"/>
          <w:szCs w:val="16"/>
          <w:lang w:val="en-US"/>
        </w:rPr>
        <w:t>article published in the magazine “</w:t>
      </w:r>
      <w:r w:rsidRPr="004B75F8">
        <w:rPr>
          <w:i/>
          <w:sz w:val="16"/>
          <w:szCs w:val="16"/>
          <w:lang w:val="en-US"/>
        </w:rPr>
        <w:t>Cambio</w:t>
      </w:r>
      <w:r w:rsidRPr="004B75F8">
        <w:rPr>
          <w:sz w:val="16"/>
          <w:szCs w:val="16"/>
          <w:lang w:val="en-US"/>
        </w:rPr>
        <w:t>” of September 2, 1996, entitled “</w:t>
      </w:r>
      <w:r w:rsidRPr="004B75F8">
        <w:rPr>
          <w:i/>
          <w:sz w:val="16"/>
          <w:szCs w:val="16"/>
          <w:lang w:val="en-US"/>
        </w:rPr>
        <w:t>Batalla sobre el puente</w:t>
      </w:r>
      <w:r w:rsidRPr="004B75F8">
        <w:rPr>
          <w:sz w:val="16"/>
          <w:szCs w:val="16"/>
          <w:lang w:val="en-US"/>
        </w:rPr>
        <w:t>” [Battle on the bridge] (file of annexes to Merits Report 136/10, tome I, annex 1, folio 5), and newspaper article published in “</w:t>
      </w:r>
      <w:r w:rsidRPr="004B75F8">
        <w:rPr>
          <w:i/>
          <w:sz w:val="16"/>
          <w:szCs w:val="16"/>
          <w:lang w:val="en-US"/>
        </w:rPr>
        <w:t>El Mundo</w:t>
      </w:r>
      <w:r w:rsidRPr="004B75F8">
        <w:rPr>
          <w:sz w:val="16"/>
          <w:szCs w:val="16"/>
          <w:lang w:val="en-US"/>
        </w:rPr>
        <w:t>” on August 31, 1996, entitled “</w:t>
      </w:r>
      <w:r w:rsidRPr="004B75F8">
        <w:rPr>
          <w:i/>
          <w:sz w:val="16"/>
          <w:szCs w:val="16"/>
          <w:lang w:val="en-US"/>
        </w:rPr>
        <w:t>Polémica por golpes a la libertad de prensa</w:t>
      </w:r>
      <w:r w:rsidRPr="004B75F8">
        <w:rPr>
          <w:sz w:val="16"/>
          <w:szCs w:val="16"/>
          <w:lang w:val="en-US"/>
        </w:rPr>
        <w:t>” [Polemic owing to blows to press freedom] (file of annexes to Merits Report 136/10, tome I, annex 8, folio 55 to 58)</w:t>
      </w:r>
    </w:p>
  </w:footnote>
  <w:footnote w:id="7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Expert opinion provided by José Francisco Tulande during the public hearing held before the Inter-American Court on February 24, 2012; newspaper article published in the newspaper “</w:t>
      </w:r>
      <w:r w:rsidRPr="004B75F8">
        <w:rPr>
          <w:i/>
          <w:szCs w:val="16"/>
          <w:lang w:val="en-US"/>
        </w:rPr>
        <w:t>El País</w:t>
      </w:r>
      <w:r w:rsidRPr="004B75F8">
        <w:rPr>
          <w:szCs w:val="16"/>
          <w:lang w:val="en-US"/>
        </w:rPr>
        <w:t>” on August 31, 1996, entitled “</w:t>
      </w:r>
      <w:r w:rsidRPr="004B75F8">
        <w:rPr>
          <w:i/>
          <w:szCs w:val="16"/>
          <w:lang w:val="en-US"/>
        </w:rPr>
        <w:t>Preacuerdo en Caquetá</w:t>
      </w:r>
      <w:r w:rsidRPr="004B75F8">
        <w:rPr>
          <w:szCs w:val="16"/>
          <w:lang w:val="en-US"/>
        </w:rPr>
        <w:t>” (file of annexes to Merits Report 136/10, tome I, annex 9, folios 59 to 60), and statement made by Luis Gonzalo Vélez Restrepo on June 25, 2005, before a notary public of the District of Columbia, United States of America (</w:t>
      </w:r>
      <w:r w:rsidRPr="004B75F8">
        <w:rPr>
          <w:rStyle w:val="TextonotapieCar"/>
          <w:rFonts w:eastAsia="ヒラギノ角ゴ Pro W3"/>
          <w:szCs w:val="16"/>
          <w:lang w:val="en-US"/>
        </w:rPr>
        <w:t xml:space="preserve">file of annexes to Merits Report 136/10, tome I, annex 15, folio 78 to 82 and file of annexes to the pleadings and motions brief, tome II, annex 16, folios 655 to 660), and preliminary report, dated </w:t>
      </w:r>
      <w:r w:rsidRPr="004B75F8">
        <w:rPr>
          <w:rFonts w:eastAsia="ヒラギノ角ゴ Pro W3"/>
          <w:szCs w:val="16"/>
          <w:lang w:val="en-US"/>
        </w:rPr>
        <w:t xml:space="preserve">September 5, 1996, of the </w:t>
      </w:r>
      <w:r w:rsidRPr="004B75F8">
        <w:rPr>
          <w:szCs w:val="16"/>
          <w:lang w:val="en-US"/>
        </w:rPr>
        <w:t>Attorney Delegated to the Defense of Human Rights</w:t>
      </w:r>
      <w:r w:rsidRPr="004B75F8">
        <w:rPr>
          <w:rFonts w:eastAsia="ヒラギノ角ゴ Pro W3"/>
          <w:szCs w:val="16"/>
          <w:lang w:val="en-US"/>
        </w:rPr>
        <w:t xml:space="preserve"> of the Attorney General’s Office, </w:t>
      </w:r>
      <w:r w:rsidRPr="004B75F8">
        <w:rPr>
          <w:rFonts w:eastAsia="ヒラギノ角ゴ Pro W3"/>
          <w:i/>
          <w:szCs w:val="16"/>
          <w:lang w:val="en-US"/>
        </w:rPr>
        <w:t>supra</w:t>
      </w:r>
      <w:r w:rsidRPr="004B75F8">
        <w:rPr>
          <w:rFonts w:eastAsia="ヒラギノ角ゴ Pro W3"/>
          <w:szCs w:val="16"/>
          <w:lang w:val="en-US"/>
        </w:rPr>
        <w:t xml:space="preserve"> note 70</w:t>
      </w:r>
      <w:r w:rsidRPr="004B75F8">
        <w:rPr>
          <w:rStyle w:val="TextonotapieCar"/>
          <w:rFonts w:eastAsia="ヒラギノ角ゴ Pro W3"/>
          <w:szCs w:val="16"/>
          <w:lang w:val="en-US"/>
        </w:rPr>
        <w:t>, folios 1666 to 1674.</w:t>
      </w:r>
      <w:r w:rsidRPr="004B75F8">
        <w:rPr>
          <w:color w:val="00B050"/>
          <w:szCs w:val="16"/>
          <w:lang w:val="en-US"/>
        </w:rPr>
        <w:t xml:space="preserve"> </w:t>
      </w:r>
    </w:p>
  </w:footnote>
  <w:footnote w:id="7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Decision issued by the Attorney General’s Office on May 27, 1998, in file No. 001-3422 (file of annexes to Merits Report 136/10, tome I, annex 33, folios 195 to 203), and affidavit made by Néstor Ramírez Mejía on February 18, 2012 (merits file, tome II, folio 1019 to 1023).</w:t>
      </w:r>
    </w:p>
  </w:footnote>
  <w:footnote w:id="73">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Decision issued by the Attorney General’s Office on May 27, 1998, in file No. 001-3422, </w:t>
      </w:r>
      <w:r w:rsidRPr="004B75F8">
        <w:rPr>
          <w:i/>
          <w:szCs w:val="16"/>
          <w:lang w:val="en-US"/>
        </w:rPr>
        <w:t>supra</w:t>
      </w:r>
      <w:r w:rsidRPr="004B75F8">
        <w:rPr>
          <w:szCs w:val="16"/>
          <w:lang w:val="en-US"/>
        </w:rPr>
        <w:t xml:space="preserve"> note 71,  folios 195 to 203); statement made by Luis Gonzalo Vélez Restrepo on June 25, 2005, before a notary public of the District of Columbia, United States of America (file of annexes to Merits Report 136/10, tome I, annex 15, folios 78 to 82, and file of annexes to the pleadings and motions brief, tome II, annex 16, folios 655 to 660); statement made by Luis Gonzalo Vélez Restrepo before the Inter-American Court during the public hearing held on February 24, 2012, and article published in the magazine “</w:t>
      </w:r>
      <w:r w:rsidRPr="004B75F8">
        <w:rPr>
          <w:i/>
          <w:szCs w:val="16"/>
          <w:lang w:val="en-US"/>
        </w:rPr>
        <w:t>Cambio</w:t>
      </w:r>
      <w:r w:rsidRPr="004B75F8">
        <w:rPr>
          <w:szCs w:val="16"/>
          <w:lang w:val="en-US"/>
        </w:rPr>
        <w:t>” on September 2, 1996, entitled “</w:t>
      </w:r>
      <w:r w:rsidRPr="004B75F8">
        <w:rPr>
          <w:i/>
          <w:szCs w:val="16"/>
          <w:lang w:val="en-US"/>
        </w:rPr>
        <w:t>Batalla sobre el puente,</w:t>
      </w:r>
      <w:r w:rsidRPr="004B75F8">
        <w:rPr>
          <w:szCs w:val="16"/>
          <w:lang w:val="en-US"/>
        </w:rPr>
        <w:t xml:space="preserve">“ </w:t>
      </w:r>
      <w:r w:rsidRPr="004B75F8">
        <w:rPr>
          <w:i/>
          <w:szCs w:val="16"/>
          <w:lang w:val="en-US"/>
        </w:rPr>
        <w:t>supra</w:t>
      </w:r>
      <w:r w:rsidRPr="004B75F8">
        <w:rPr>
          <w:szCs w:val="16"/>
          <w:lang w:val="en-US"/>
        </w:rPr>
        <w:t xml:space="preserve"> note 69, folio 5. </w:t>
      </w:r>
    </w:p>
  </w:footnote>
  <w:footnote w:id="74">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Video recording of the events of August 29, 1996, in El Caquetá (file of annexes to Merits Report 136/10, tome I, annex 4, folio 14, </w:t>
      </w:r>
      <w:r w:rsidRPr="004B75F8">
        <w:rPr>
          <w:rFonts w:eastAsia="ヒラギノ角ゴ Pro W3"/>
          <w:szCs w:val="16"/>
          <w:lang w:val="en-US"/>
        </w:rPr>
        <w:t>minutes 0.23, 2.57-3.26, and 3.35-3.48).</w:t>
      </w:r>
    </w:p>
  </w:footnote>
  <w:footnote w:id="7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Decision No. 012 issued by the Commander of the Twelfth Brigade of the National Army on August 30, 1996 (file of annexes to Merits Report 136/10, tome I, annex 6, folios 21 to 24). </w:t>
      </w:r>
    </w:p>
  </w:footnote>
  <w:footnote w:id="76">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Decision issued on October 3, 1997, by the Colombian Military Forces, 122nd Military Criminal Investigations Court, San Vicente del Cagúan (Caquetá) (file of annexes to Merits Report 136/10, tome I, annex 32, folios 188 to 193).</w:t>
      </w:r>
    </w:p>
  </w:footnote>
  <w:footnote w:id="77">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Video recording of the events of August 29, 1996, in </w:t>
      </w:r>
      <w:r w:rsidR="00334C3C" w:rsidRPr="004B75F8">
        <w:rPr>
          <w:szCs w:val="16"/>
          <w:lang w:val="en-US"/>
        </w:rPr>
        <w:t>El Caquetá</w:t>
      </w:r>
      <w:r w:rsidRPr="004B75F8">
        <w:rPr>
          <w:szCs w:val="16"/>
          <w:lang w:val="en-US"/>
        </w:rPr>
        <w:t xml:space="preserve"> (file of annexes to Merits Report 136/10, tome I, annex 4, folio 14, seconds: 0.28,0.44; </w:t>
      </w:r>
      <w:r w:rsidR="00334C3C" w:rsidRPr="004B75F8">
        <w:rPr>
          <w:szCs w:val="16"/>
          <w:lang w:val="en-US"/>
        </w:rPr>
        <w:t>minutes</w:t>
      </w:r>
      <w:r w:rsidRPr="004B75F8">
        <w:rPr>
          <w:szCs w:val="16"/>
          <w:lang w:val="en-US"/>
        </w:rPr>
        <w:t>: 3.27, 3.50 and 10.38); statement made by Luis Gonzalo Vélez Restrepo on June 25, 2005, before a notary public of the District of Columbia, United States of America (file of annexes to Merits Report 136/10, tome 1, annex 15, folios 79 to 82, and file of annexes to the pleadings and motions brief, tome II, annex 16, folios 655 to 660), and decision No. 012 issued by the Colombian Military Forces, Twelfth Brigade on August 30, 1996,</w:t>
      </w:r>
      <w:r w:rsidRPr="004B75F8">
        <w:rPr>
          <w:i/>
          <w:szCs w:val="16"/>
          <w:lang w:val="en-US"/>
        </w:rPr>
        <w:t xml:space="preserve"> supra</w:t>
      </w:r>
      <w:r w:rsidRPr="004B75F8">
        <w:rPr>
          <w:szCs w:val="16"/>
          <w:lang w:val="en-US"/>
        </w:rPr>
        <w:t xml:space="preserve"> note 74, folios 21 to 24.</w:t>
      </w:r>
    </w:p>
  </w:footnote>
  <w:footnote w:id="78">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 made by Luis Gonzalo Vélez Restrepo on June 25, 2005, before a notary public of the District of Columbia, United States of America (file of annexes to Merits Report 136/10, tome 1, annex 15, folios 78 to 82, and file of annexes to the pleadings and motions brief, tome II, annex 16, folio 655 to 660).</w:t>
      </w:r>
    </w:p>
  </w:footnote>
  <w:footnote w:id="7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Decision No. 011 issued by the Colombian Military Forces, Twelfth Brigade, on August 30, 1996 (file of annexes to Merits Report 136/10, tome I, annex 5, folios 16 to 19). </w:t>
      </w:r>
    </w:p>
  </w:footnote>
  <w:footnote w:id="80">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 made by Luis Gonzalo Vélez Restrepo on June 25, 2005, before a notary public of the District of Columbia, United States of America (file of annexes to Merits Report 136/10, tome 1, annex 15, folios 78 to 82, and file of annexes to the pleadings and motions brief, tome II, annex 16, folio 655 to 660). Also, in its answering brief, the State accepted the fact mentioned in paragraph 84 of Merits Report when stating that “[t]he attack against Mr. Vélez  ended when another soldier intervened to interrupt the attack and helped the journalist reach his colleagues” (merits report, tome 1, folio 333, para. 74).</w:t>
      </w:r>
    </w:p>
  </w:footnote>
  <w:footnote w:id="81">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Fact accepted by the State (answering brief, para. 73, merits file, tome I, folio 332). Also, </w:t>
      </w:r>
      <w:r w:rsidRPr="004B75F8">
        <w:rPr>
          <w:i/>
          <w:szCs w:val="16"/>
          <w:lang w:val="en-US"/>
        </w:rPr>
        <w:t>cf.</w:t>
      </w:r>
      <w:r w:rsidRPr="004B75F8">
        <w:rPr>
          <w:szCs w:val="16"/>
          <w:lang w:val="en-US"/>
        </w:rPr>
        <w:t xml:space="preserve"> statement made by Luis Gonzalo Vélez Restrepo on June 25, 2005, before a notary public of the District of Columbia, United States of America (file of annexes to Merits Report 136/10, tome 1, annex 15, folios 78 to 82, and file of annexes to the pleadings and motions brief, tome II, annex 16, folio 655 to 660), and newspaper articles published in “</w:t>
      </w:r>
      <w:r w:rsidRPr="004B75F8">
        <w:rPr>
          <w:i/>
          <w:szCs w:val="16"/>
          <w:lang w:val="en-US"/>
        </w:rPr>
        <w:t>El Mundo</w:t>
      </w:r>
      <w:r w:rsidRPr="004B75F8">
        <w:rPr>
          <w:szCs w:val="16"/>
          <w:lang w:val="en-US"/>
        </w:rPr>
        <w:t>” on August 31, 1996 entitled “</w:t>
      </w:r>
      <w:r w:rsidRPr="004B75F8">
        <w:rPr>
          <w:i/>
          <w:szCs w:val="16"/>
          <w:lang w:val="en-US"/>
        </w:rPr>
        <w:t>Polémica por golpes a la libertad de prensa</w:t>
      </w:r>
      <w:r w:rsidRPr="004B75F8">
        <w:rPr>
          <w:szCs w:val="16"/>
          <w:lang w:val="en-US"/>
        </w:rPr>
        <w:t>” [Polemic for blows to freedom of the press], and in “</w:t>
      </w:r>
      <w:r w:rsidRPr="004B75F8">
        <w:rPr>
          <w:i/>
          <w:szCs w:val="16"/>
          <w:lang w:val="en-US"/>
        </w:rPr>
        <w:t>El Heraldo</w:t>
      </w:r>
      <w:r w:rsidRPr="004B75F8">
        <w:rPr>
          <w:szCs w:val="16"/>
          <w:lang w:val="en-US"/>
        </w:rPr>
        <w:t>” on August 31, 1996, entitled “</w:t>
      </w:r>
      <w:r w:rsidRPr="004B75F8">
        <w:rPr>
          <w:i/>
          <w:szCs w:val="16"/>
          <w:lang w:val="en-US"/>
        </w:rPr>
        <w:t>Investigan brutal ataque de soldados</w:t>
      </w:r>
      <w:r w:rsidRPr="004B75F8">
        <w:rPr>
          <w:szCs w:val="16"/>
          <w:lang w:val="en-US"/>
        </w:rPr>
        <w:t>” [Brutal attack by soldiers investigated] (file of annexes to Merits Report 136/10, annex 8, folios 54 and 57).</w:t>
      </w:r>
    </w:p>
  </w:footnote>
  <w:footnote w:id="8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Fact accepted by the State (answering brief, para. 73, and merits file, tome I, folio 332), and video recording of the events o</w:t>
      </w:r>
      <w:r w:rsidR="00334C3C" w:rsidRPr="004B75F8">
        <w:rPr>
          <w:szCs w:val="16"/>
          <w:lang w:val="en-US"/>
        </w:rPr>
        <w:t>f August 29, 1996, in El Caquetá</w:t>
      </w:r>
      <w:r w:rsidRPr="004B75F8">
        <w:rPr>
          <w:szCs w:val="16"/>
          <w:lang w:val="en-US"/>
        </w:rPr>
        <w:t xml:space="preserve"> (file of annexes to Merits Report 136/10, tome I, annex 4, folio 14, minutes 0.56, 4.09) </w:t>
      </w:r>
    </w:p>
  </w:footnote>
  <w:footnote w:id="8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Cf. records of medical reports and treatment of the María Inmaculada Hospital in Florencia of August 29, 1996 (file of annexes to Merits Report 136/10, annex 7, folios 25 to 33), and video recording of news disseminated in the media in relation to the attack of August 29, 1996 (file of annexes to Merits Report 136/10, annex 4, folio 14, minutes 4.59-5.03 and 16.06).</w:t>
      </w:r>
    </w:p>
  </w:footnote>
  <w:footnote w:id="8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ab/>
      </w:r>
      <w:r w:rsidRPr="004B75F8">
        <w:rPr>
          <w:rFonts w:eastAsia="ヒラギノ角ゴ Pro W3"/>
          <w:szCs w:val="16"/>
          <w:lang w:val="en-US"/>
        </w:rPr>
        <w:t xml:space="preserve">Cf. medical report of the María Inmaculada Hospital in Florencia of August 29, 1996 (file of annexes to Merits Report 136/10, tome I, annex 7, folio 29), and statement made by Aracelly Román Amariles on July 25, 2005, </w:t>
      </w:r>
      <w:r w:rsidRPr="004B75F8">
        <w:rPr>
          <w:szCs w:val="16"/>
          <w:lang w:val="en-US"/>
        </w:rPr>
        <w:t>before a notary public of the District of Colombia, United States of America</w:t>
      </w:r>
      <w:r w:rsidRPr="004B75F8">
        <w:rPr>
          <w:rFonts w:eastAsia="ヒラギノ角ゴ Pro W3"/>
          <w:szCs w:val="16"/>
          <w:lang w:val="en-US"/>
        </w:rPr>
        <w:t xml:space="preserve"> (file of annexes to Merits Report 136/10, tome I, annex 16, folio 84, and file of annexes to the pleadings and motions brief, tome II, annex 17, folio 662).</w:t>
      </w:r>
    </w:p>
  </w:footnote>
  <w:footnote w:id="8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Statement made by </w:t>
      </w:r>
      <w:r w:rsidRPr="004B75F8">
        <w:rPr>
          <w:rFonts w:eastAsia="ヒラギノ角ゴ Pro W3"/>
          <w:szCs w:val="16"/>
          <w:lang w:val="en-US"/>
        </w:rPr>
        <w:t xml:space="preserve">Luis Gonzalo </w:t>
      </w:r>
      <w:r w:rsidRPr="004B75F8">
        <w:rPr>
          <w:szCs w:val="16"/>
          <w:lang w:val="en-US"/>
        </w:rPr>
        <w:t>Vélez Restrepo before the Inter-American Court at the public hearing held on February 24, 2012.</w:t>
      </w:r>
    </w:p>
  </w:footnote>
  <w:footnote w:id="8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 xml:space="preserve">Cf. medical report issued by the </w:t>
      </w:r>
      <w:r w:rsidRPr="004B75F8">
        <w:rPr>
          <w:rFonts w:eastAsia="ヒラギノ角ゴ Pro W3"/>
          <w:i/>
          <w:szCs w:val="16"/>
          <w:lang w:val="en-US"/>
        </w:rPr>
        <w:t>Sociedad Médica Assistir</w:t>
      </w:r>
      <w:r w:rsidRPr="004B75F8">
        <w:rPr>
          <w:rFonts w:eastAsia="ヒラギノ角ゴ Pro W3"/>
          <w:szCs w:val="16"/>
          <w:lang w:val="en-US"/>
        </w:rPr>
        <w:t xml:space="preserve"> of Bogotá on August 29, 1996 (file of annexes to Merits Report 136/10, annex 7, folios 49 and 50)</w:t>
      </w:r>
      <w:r w:rsidRPr="004B75F8">
        <w:rPr>
          <w:szCs w:val="16"/>
          <w:lang w:val="en-US"/>
        </w:rPr>
        <w:t>.</w:t>
      </w:r>
    </w:p>
  </w:footnote>
  <w:footnote w:id="87">
    <w:p w:rsidR="008C5C78" w:rsidRPr="004B75F8" w:rsidRDefault="008C5C78" w:rsidP="00722D73">
      <w:pPr>
        <w:pStyle w:val="FootnoteText2"/>
        <w:spacing w:after="100"/>
        <w:jc w:val="both"/>
        <w:rPr>
          <w:rFonts w:ascii="Verdana" w:hAnsi="Verdana"/>
          <w:sz w:val="16"/>
          <w:szCs w:val="16"/>
          <w:lang w:val="en-US"/>
        </w:rPr>
      </w:pPr>
      <w:r w:rsidRPr="004B75F8">
        <w:rPr>
          <w:rStyle w:val="Refdenotaalpie"/>
          <w:rFonts w:ascii="Verdana" w:hAnsi="Verdana"/>
          <w:sz w:val="16"/>
          <w:szCs w:val="16"/>
          <w:lang w:val="en-US"/>
        </w:rPr>
        <w:footnoteRef/>
      </w:r>
      <w:r w:rsidRPr="004B75F8">
        <w:rPr>
          <w:rFonts w:ascii="Verdana" w:hAnsi="Verdana"/>
          <w:sz w:val="16"/>
          <w:szCs w:val="16"/>
          <w:lang w:val="en-US"/>
        </w:rPr>
        <w:t xml:space="preserve"> </w:t>
      </w:r>
      <w:r w:rsidRPr="004B75F8">
        <w:rPr>
          <w:rFonts w:ascii="Verdana" w:hAnsi="Verdana"/>
          <w:sz w:val="16"/>
          <w:szCs w:val="16"/>
          <w:lang w:val="en-US"/>
        </w:rPr>
        <w:tab/>
        <w:t xml:space="preserve">Cf. medical report issued by the </w:t>
      </w:r>
      <w:r w:rsidRPr="004B75F8">
        <w:rPr>
          <w:rFonts w:ascii="Verdana" w:hAnsi="Verdana"/>
          <w:i/>
          <w:sz w:val="16"/>
          <w:szCs w:val="16"/>
          <w:lang w:val="en-US"/>
        </w:rPr>
        <w:t>Sociedad Médica Assistir</w:t>
      </w:r>
      <w:r w:rsidRPr="004B75F8">
        <w:rPr>
          <w:rFonts w:ascii="Verdana" w:hAnsi="Verdana"/>
          <w:sz w:val="16"/>
          <w:szCs w:val="16"/>
          <w:lang w:val="en-US"/>
        </w:rPr>
        <w:t xml:space="preserve"> of Bogotá on August 29, 1996, </w:t>
      </w:r>
      <w:r w:rsidRPr="004B75F8">
        <w:rPr>
          <w:rFonts w:ascii="Verdana" w:hAnsi="Verdana"/>
          <w:i/>
          <w:sz w:val="16"/>
          <w:szCs w:val="16"/>
          <w:lang w:val="en-US"/>
        </w:rPr>
        <w:t>supra</w:t>
      </w:r>
      <w:r w:rsidRPr="004B75F8">
        <w:rPr>
          <w:rFonts w:ascii="Verdana" w:hAnsi="Verdana"/>
          <w:sz w:val="16"/>
          <w:szCs w:val="16"/>
          <w:lang w:val="en-US"/>
        </w:rPr>
        <w:t xml:space="preserve"> note 85, folio 50.</w:t>
      </w:r>
    </w:p>
  </w:footnote>
  <w:footnote w:id="88">
    <w:p w:rsidR="008C5C78" w:rsidRPr="004B75F8" w:rsidRDefault="008C5C78" w:rsidP="00722D73">
      <w:pPr>
        <w:pStyle w:val="Textonotapie"/>
        <w:spacing w:after="100"/>
        <w:rPr>
          <w:szCs w:val="16"/>
          <w:lang w:val="en-US"/>
        </w:rPr>
      </w:pPr>
      <w:r w:rsidRPr="004B75F8">
        <w:rPr>
          <w:szCs w:val="16"/>
          <w:vertAlign w:val="superscript"/>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 xml:space="preserve">Cf. </w:t>
      </w:r>
      <w:r w:rsidRPr="004B75F8">
        <w:rPr>
          <w:szCs w:val="16"/>
          <w:lang w:val="en-US"/>
        </w:rPr>
        <w:t xml:space="preserve">medical report issued by the </w:t>
      </w:r>
      <w:r w:rsidRPr="004B75F8">
        <w:rPr>
          <w:i/>
          <w:szCs w:val="16"/>
          <w:lang w:val="en-US"/>
        </w:rPr>
        <w:t>Sociedad Médica Assistir</w:t>
      </w:r>
      <w:r w:rsidRPr="004B75F8">
        <w:rPr>
          <w:szCs w:val="16"/>
          <w:lang w:val="en-US"/>
        </w:rPr>
        <w:t xml:space="preserve"> of </w:t>
      </w:r>
      <w:r w:rsidRPr="004B75F8">
        <w:rPr>
          <w:rFonts w:eastAsia="ヒラギノ角ゴ Pro W3"/>
          <w:szCs w:val="16"/>
          <w:lang w:val="en-US"/>
        </w:rPr>
        <w:t>Bogotá on August 30, 1996 (file of annexes to Merits Report 136/10, annex 7, folio 39)</w:t>
      </w:r>
      <w:r w:rsidRPr="004B75F8">
        <w:rPr>
          <w:szCs w:val="16"/>
          <w:lang w:val="en-US"/>
        </w:rPr>
        <w:t xml:space="preserve">. </w:t>
      </w:r>
    </w:p>
  </w:footnote>
  <w:footnote w:id="8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 xml:space="preserve">Cf. </w:t>
      </w:r>
      <w:r w:rsidRPr="004B75F8">
        <w:rPr>
          <w:szCs w:val="16"/>
          <w:lang w:val="en-US"/>
        </w:rPr>
        <w:t>Opinion issued by the National</w:t>
      </w:r>
      <w:r w:rsidR="00334C3C" w:rsidRPr="004B75F8">
        <w:rPr>
          <w:szCs w:val="16"/>
          <w:lang w:val="en-US"/>
        </w:rPr>
        <w:t xml:space="preserve"> Institute of Legal Medi</w:t>
      </w:r>
      <w:r w:rsidRPr="004B75F8">
        <w:rPr>
          <w:szCs w:val="16"/>
          <w:lang w:val="en-US"/>
        </w:rPr>
        <w:t xml:space="preserve">cine and Forensic Sciences on November 1, 1996 (final arguments of the State, annex 1, merits file, tome III, folio 1840).  </w:t>
      </w:r>
    </w:p>
  </w:footnote>
  <w:footnote w:id="9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 xml:space="preserve">Cf. control of evolution </w:t>
      </w:r>
      <w:r w:rsidRPr="004B75F8">
        <w:rPr>
          <w:szCs w:val="16"/>
          <w:lang w:val="en-US"/>
        </w:rPr>
        <w:t xml:space="preserve">by the </w:t>
      </w:r>
      <w:r w:rsidRPr="004B75F8">
        <w:rPr>
          <w:i/>
          <w:szCs w:val="16"/>
          <w:lang w:val="en-US"/>
        </w:rPr>
        <w:t>Sociedad Médica Assistir</w:t>
      </w:r>
      <w:r w:rsidRPr="004B75F8">
        <w:rPr>
          <w:szCs w:val="16"/>
          <w:lang w:val="en-US"/>
        </w:rPr>
        <w:t xml:space="preserve"> of </w:t>
      </w:r>
      <w:r w:rsidRPr="004B75F8">
        <w:rPr>
          <w:rFonts w:eastAsia="ヒラギノ角ゴ Pro W3"/>
          <w:szCs w:val="16"/>
          <w:lang w:val="en-US"/>
        </w:rPr>
        <w:t>Bogotá on September 4, 1996 (file of annexes to Merits Report 136/10, annex 7, folio 40)</w:t>
      </w:r>
      <w:r w:rsidRPr="004B75F8">
        <w:rPr>
          <w:szCs w:val="16"/>
          <w:lang w:val="en-US"/>
        </w:rPr>
        <w:t xml:space="preserve">. </w:t>
      </w:r>
    </w:p>
  </w:footnote>
  <w:footnote w:id="91">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 xml:space="preserve">Cf. </w:t>
      </w:r>
      <w:r w:rsidRPr="004B75F8">
        <w:rPr>
          <w:szCs w:val="16"/>
          <w:lang w:val="en-US"/>
        </w:rPr>
        <w:t>Video recording of news item disseminated by the media in relation to the attack of August 29, 1996 (file of annexes to Merits Report 136/10, tome I, annex 4, folio 14, minute 9.26-10.48 and minute 11.06-11.56); article published in the newspaper “</w:t>
      </w:r>
      <w:r w:rsidRPr="004B75F8">
        <w:rPr>
          <w:i/>
          <w:szCs w:val="16"/>
          <w:lang w:val="en-US"/>
        </w:rPr>
        <w:t>El Heraldo</w:t>
      </w:r>
      <w:r w:rsidRPr="004B75F8">
        <w:rPr>
          <w:szCs w:val="16"/>
          <w:lang w:val="en-US"/>
        </w:rPr>
        <w:t>” on August 31, 1996, entitled “</w:t>
      </w:r>
      <w:r w:rsidRPr="004B75F8">
        <w:rPr>
          <w:i/>
          <w:szCs w:val="16"/>
          <w:lang w:val="en-US"/>
        </w:rPr>
        <w:t>Investigan brutal ataque de soldados</w:t>
      </w:r>
      <w:r w:rsidRPr="004B75F8">
        <w:rPr>
          <w:szCs w:val="16"/>
          <w:lang w:val="en-US"/>
        </w:rPr>
        <w:t>“ [Investigation of brutal attack by soldiers] (file of annexes to Merits Report 136/10, annex 8, folio 57).</w:t>
      </w:r>
    </w:p>
  </w:footnote>
  <w:footnote w:id="9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ヒラギノ角ゴ Pro W3"/>
          <w:szCs w:val="16"/>
          <w:lang w:val="en-US"/>
        </w:rPr>
        <w:t xml:space="preserve">Cf. </w:t>
      </w:r>
      <w:r w:rsidRPr="004B75F8">
        <w:rPr>
          <w:szCs w:val="16"/>
          <w:lang w:val="en-US"/>
        </w:rPr>
        <w:t>video recording of  news disseminated by the media in relation to the attack of August 29, 1996 (file of annexes to Merits Report 136/10, annex 4, folio 14, minutes 6:42, 12:12 and 12:36), and article published in the newspaper “</w:t>
      </w:r>
      <w:r w:rsidRPr="004B75F8">
        <w:rPr>
          <w:i/>
          <w:szCs w:val="16"/>
          <w:lang w:val="en-US"/>
        </w:rPr>
        <w:t>El Siglo</w:t>
      </w:r>
      <w:r w:rsidRPr="004B75F8">
        <w:rPr>
          <w:szCs w:val="16"/>
          <w:lang w:val="en-US"/>
        </w:rPr>
        <w:t>” on August 31, 1996, entitled “</w:t>
      </w:r>
      <w:r w:rsidRPr="004B75F8">
        <w:rPr>
          <w:i/>
          <w:szCs w:val="16"/>
          <w:lang w:val="en-US"/>
        </w:rPr>
        <w:t>Gobierno se disculpa públicamente por agresiones en Caquetá</w:t>
      </w:r>
      <w:r w:rsidRPr="004B75F8">
        <w:rPr>
          <w:szCs w:val="16"/>
          <w:lang w:val="en-US"/>
        </w:rPr>
        <w:t xml:space="preserve">” [Government issues public apology for acts of violence in Caquetá] (merits file, tome II, folio 1146); </w:t>
      </w:r>
      <w:r w:rsidRPr="004B75F8">
        <w:rPr>
          <w:rFonts w:eastAsia="ヒラギノ角ゴ Pro W3"/>
          <w:szCs w:val="16"/>
          <w:lang w:val="en-US"/>
        </w:rPr>
        <w:t>article published in the newspaper “</w:t>
      </w:r>
      <w:r w:rsidRPr="004B75F8">
        <w:rPr>
          <w:rFonts w:eastAsia="ヒラギノ角ゴ Pro W3"/>
          <w:i/>
          <w:szCs w:val="16"/>
          <w:lang w:val="en-US"/>
        </w:rPr>
        <w:t>El Heraldo</w:t>
      </w:r>
      <w:r w:rsidRPr="004B75F8">
        <w:rPr>
          <w:rFonts w:eastAsia="ヒラギノ角ゴ Pro W3"/>
          <w:szCs w:val="16"/>
          <w:lang w:val="en-US"/>
        </w:rPr>
        <w:t>” on August 31, 1996, entitled “In</w:t>
      </w:r>
      <w:r w:rsidRPr="004B75F8">
        <w:rPr>
          <w:rFonts w:eastAsia="ヒラギノ角ゴ Pro W3"/>
          <w:i/>
          <w:szCs w:val="16"/>
          <w:lang w:val="en-US"/>
        </w:rPr>
        <w:t xml:space="preserve">vestigan brutal ataque de soldados”, supra </w:t>
      </w:r>
      <w:r w:rsidRPr="004B75F8">
        <w:rPr>
          <w:rFonts w:eastAsia="ヒラギノ角ゴ Pro W3"/>
          <w:szCs w:val="16"/>
          <w:lang w:val="en-US"/>
        </w:rPr>
        <w:t xml:space="preserve">note 90, folio 57, and </w:t>
      </w:r>
      <w:r w:rsidRPr="004B75F8">
        <w:rPr>
          <w:szCs w:val="16"/>
          <w:lang w:val="en-US"/>
        </w:rPr>
        <w:t xml:space="preserve">article published in the newspaper </w:t>
      </w:r>
      <w:r w:rsidRPr="004B75F8">
        <w:rPr>
          <w:rFonts w:eastAsia="ヒラギノ角ゴ Pro W3"/>
          <w:szCs w:val="16"/>
          <w:lang w:val="en-US"/>
        </w:rPr>
        <w:t>“</w:t>
      </w:r>
      <w:r w:rsidRPr="004B75F8">
        <w:rPr>
          <w:rFonts w:eastAsia="ヒラギノ角ゴ Pro W3"/>
          <w:i/>
          <w:szCs w:val="16"/>
          <w:lang w:val="en-US"/>
        </w:rPr>
        <w:t>El País</w:t>
      </w:r>
      <w:r w:rsidRPr="004B75F8">
        <w:rPr>
          <w:rFonts w:eastAsia="ヒラギノ角ゴ Pro W3"/>
          <w:szCs w:val="16"/>
          <w:lang w:val="en-US"/>
        </w:rPr>
        <w:t>” on August 31, 1996, entitled “</w:t>
      </w:r>
      <w:r w:rsidRPr="004B75F8">
        <w:rPr>
          <w:rFonts w:eastAsia="ヒラギノ角ゴ Pro W3"/>
          <w:i/>
          <w:szCs w:val="16"/>
          <w:lang w:val="en-US"/>
        </w:rPr>
        <w:t>Preacuerdo en Caquetá</w:t>
      </w:r>
      <w:r w:rsidRPr="004B75F8">
        <w:rPr>
          <w:rFonts w:eastAsia="ヒラギノ角ゴ Pro W3"/>
          <w:szCs w:val="16"/>
          <w:lang w:val="en-US"/>
        </w:rPr>
        <w:t>” [Preliminary agreement in Caquetá] (file of annexes to Merits Report 136/10, annex 9, folio 60).</w:t>
      </w:r>
    </w:p>
  </w:footnote>
  <w:footnote w:id="93">
    <w:p w:rsidR="008C5C78" w:rsidRPr="004B75F8" w:rsidRDefault="008C5C78" w:rsidP="00722D73">
      <w:pPr>
        <w:spacing w:after="100"/>
        <w:jc w:val="both"/>
        <w:rPr>
          <w:b/>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Expert opinion provided to the Inter-American Court by José Francisco Tulande during the public hearing held on February 24, 2012; Jorge Orlando Melo, “</w:t>
      </w:r>
      <w:r w:rsidRPr="004B75F8">
        <w:rPr>
          <w:i/>
          <w:sz w:val="16"/>
          <w:szCs w:val="16"/>
          <w:lang w:val="en-US"/>
        </w:rPr>
        <w:t>La libertad de Prensa in Colombia: Pasado and perspectivas actuales</w:t>
      </w:r>
      <w:r w:rsidRPr="004B75F8">
        <w:rPr>
          <w:sz w:val="16"/>
          <w:szCs w:val="16"/>
          <w:lang w:val="en-US"/>
        </w:rPr>
        <w:t xml:space="preserve">,” published in </w:t>
      </w:r>
      <w:r w:rsidRPr="004B75F8">
        <w:rPr>
          <w:i/>
          <w:sz w:val="16"/>
          <w:szCs w:val="16"/>
          <w:lang w:val="en-US"/>
        </w:rPr>
        <w:t>Fernando Cepeda Ulloa</w:t>
      </w:r>
      <w:r w:rsidRPr="004B75F8">
        <w:rPr>
          <w:sz w:val="16"/>
          <w:szCs w:val="16"/>
          <w:lang w:val="en-US"/>
        </w:rPr>
        <w:t xml:space="preserve">, ed., Fortalezas de Colombia, May 2004 (article presented by expert witness José Francisco Tulande on March 12, 2012, merits file, tome III, folio 1633); Reports of the Office in Colombia of the United Nations High Commissioner for Human Rights of March 9, 1998, E/CN.4/1998/16, and of March 9, 2000, E/CN.4/1998/16 11 </w:t>
      </w:r>
      <w:r w:rsidRPr="004B75F8">
        <w:rPr>
          <w:rFonts w:cs="Arial"/>
          <w:sz w:val="16"/>
          <w:szCs w:val="16"/>
          <w:lang w:val="en-US"/>
        </w:rPr>
        <w:t>(file of annexes to the pleadings and motions brief, tome I, annex 6, folios 217 and 223, paras. 87, 119 and 121, and tome II, annex 14, folio 621);</w:t>
      </w:r>
      <w:r w:rsidRPr="004B75F8">
        <w:rPr>
          <w:sz w:val="16"/>
          <w:szCs w:val="16"/>
          <w:lang w:val="en-US"/>
        </w:rPr>
        <w:t xml:space="preserve"> </w:t>
      </w:r>
      <w:r w:rsidRPr="004B75F8">
        <w:rPr>
          <w:rStyle w:val="Ttulo1Car"/>
          <w:rFonts w:ascii="Verdana" w:hAnsi="Verdana"/>
          <w:b w:val="0"/>
          <w:color w:val="auto"/>
          <w:sz w:val="16"/>
          <w:szCs w:val="16"/>
          <w:lang w:val="en-US"/>
        </w:rPr>
        <w:t>Report of the Special Rapporteur on the Promotion and Protection of the Right to Freedom of Opinion and Expression.</w:t>
      </w:r>
      <w:r w:rsidRPr="004B75F8">
        <w:rPr>
          <w:rStyle w:val="Ttulo1Car"/>
          <w:rFonts w:ascii="Verdana" w:hAnsi="Verdana"/>
          <w:color w:val="auto"/>
          <w:sz w:val="16"/>
          <w:szCs w:val="16"/>
          <w:lang w:val="en-US"/>
        </w:rPr>
        <w:t xml:space="preserve"> </w:t>
      </w:r>
      <w:r w:rsidRPr="004B75F8">
        <w:rPr>
          <w:rFonts w:cs="Arial"/>
          <w:sz w:val="16"/>
          <w:szCs w:val="16"/>
          <w:lang w:val="en-US"/>
        </w:rPr>
        <w:t xml:space="preserve">Doc. E/CN.4/2000/63, 18 January 2000 (file of annexes to the pleadings and motions brief, tome I, annex 9, folios 326 and 327); </w:t>
      </w:r>
      <w:r w:rsidRPr="004B75F8">
        <w:rPr>
          <w:sz w:val="16"/>
          <w:szCs w:val="16"/>
          <w:lang w:val="en-US"/>
        </w:rPr>
        <w:t xml:space="preserve">Inter-American Commission on Human Rights, Third report on the Human Rights Situation in Colombia OEA/Ser.L/V/II.102 Doc. 9 rev. 1 of February 26, 1999 </w:t>
      </w:r>
      <w:r w:rsidRPr="004B75F8">
        <w:rPr>
          <w:rFonts w:eastAsia="ヒラギノ角ゴ Pro W3"/>
          <w:sz w:val="16"/>
          <w:szCs w:val="16"/>
          <w:lang w:val="en-US"/>
        </w:rPr>
        <w:t>(file of annexes to Merits Report 136/10, tome II, annex 24, folios 67 and 68, c</w:t>
      </w:r>
      <w:r w:rsidR="00334C3C" w:rsidRPr="004B75F8">
        <w:rPr>
          <w:rFonts w:eastAsia="ヒラギノ角ゴ Pro W3"/>
          <w:sz w:val="16"/>
          <w:szCs w:val="16"/>
          <w:lang w:val="en-US"/>
        </w:rPr>
        <w:t xml:space="preserve">hapter VIII section </w:t>
      </w:r>
      <w:r w:rsidRPr="004B75F8">
        <w:rPr>
          <w:rFonts w:eastAsia="ヒラギノ角ゴ Pro W3"/>
          <w:sz w:val="16"/>
          <w:szCs w:val="16"/>
          <w:lang w:val="en-US"/>
        </w:rPr>
        <w:t>C.</w:t>
      </w:r>
      <w:r w:rsidRPr="004B75F8">
        <w:rPr>
          <w:rFonts w:cs="Arial"/>
          <w:sz w:val="16"/>
          <w:szCs w:val="16"/>
          <w:lang w:val="en-US"/>
        </w:rPr>
        <w:t>, paras. 8 to 26)</w:t>
      </w:r>
      <w:r w:rsidRPr="004B75F8">
        <w:rPr>
          <w:sz w:val="16"/>
          <w:szCs w:val="16"/>
          <w:lang w:val="en-US"/>
        </w:rPr>
        <w:t xml:space="preserve">; </w:t>
      </w:r>
      <w:r w:rsidRPr="004B75F8">
        <w:rPr>
          <w:rFonts w:cs="Arial"/>
          <w:sz w:val="16"/>
          <w:szCs w:val="16"/>
          <w:lang w:val="en-US"/>
        </w:rPr>
        <w:t>document entitled: “</w:t>
      </w:r>
      <w:r w:rsidRPr="004B75F8">
        <w:rPr>
          <w:rFonts w:cs="Arial"/>
          <w:i/>
          <w:sz w:val="16"/>
          <w:szCs w:val="16"/>
          <w:lang w:val="en-US"/>
        </w:rPr>
        <w:t>Avances en casos relevantes por delitos cometidos contra periodistas</w:t>
      </w:r>
      <w:r w:rsidRPr="004B75F8">
        <w:rPr>
          <w:rFonts w:cs="Arial"/>
          <w:sz w:val="16"/>
          <w:szCs w:val="16"/>
          <w:lang w:val="en-US"/>
        </w:rPr>
        <w:t xml:space="preserve">” [Progress in relevant cases based on crimes committed against journalists] and newspaper article </w:t>
      </w:r>
      <w:r w:rsidR="00334C3C" w:rsidRPr="004B75F8">
        <w:rPr>
          <w:rFonts w:cs="Arial"/>
          <w:sz w:val="16"/>
          <w:szCs w:val="16"/>
          <w:lang w:val="en-US"/>
        </w:rPr>
        <w:t>available</w:t>
      </w:r>
      <w:r w:rsidRPr="004B75F8">
        <w:rPr>
          <w:rFonts w:cs="Arial"/>
          <w:sz w:val="16"/>
          <w:szCs w:val="16"/>
          <w:lang w:val="en-US"/>
        </w:rPr>
        <w:t xml:space="preserve"> at: </w:t>
      </w:r>
      <w:hyperlink r:id="rId2" w:history="1">
        <w:r w:rsidRPr="004B75F8">
          <w:rPr>
            <w:rStyle w:val="Hipervnculo"/>
            <w:rFonts w:cs="Arial"/>
            <w:color w:val="auto"/>
            <w:sz w:val="16"/>
            <w:szCs w:val="16"/>
            <w:lang w:val="en-US"/>
          </w:rPr>
          <w:t>http://www.eltiempo.com/</w:t>
        </w:r>
      </w:hyperlink>
      <w:r w:rsidRPr="004B75F8">
        <w:rPr>
          <w:rStyle w:val="Hipervnculo"/>
          <w:rFonts w:cs="Arial"/>
          <w:color w:val="auto"/>
          <w:sz w:val="16"/>
          <w:szCs w:val="16"/>
          <w:u w:val="none"/>
          <w:lang w:val="en-US"/>
        </w:rPr>
        <w:t xml:space="preserve">, </w:t>
      </w:r>
      <w:r w:rsidRPr="004B75F8">
        <w:rPr>
          <w:sz w:val="16"/>
          <w:szCs w:val="16"/>
          <w:lang w:val="en-US"/>
        </w:rPr>
        <w:t>general information section,</w:t>
      </w:r>
      <w:r w:rsidRPr="004B75F8">
        <w:rPr>
          <w:rStyle w:val="Hipervnculo"/>
          <w:rFonts w:cs="Arial"/>
          <w:color w:val="auto"/>
          <w:sz w:val="16"/>
          <w:szCs w:val="16"/>
          <w:u w:val="none"/>
          <w:lang w:val="en-US"/>
        </w:rPr>
        <w:t xml:space="preserve"> on February 9, 2011, entitled “</w:t>
      </w:r>
      <w:r w:rsidRPr="004B75F8">
        <w:rPr>
          <w:rFonts w:cs="Arial"/>
          <w:i/>
          <w:sz w:val="16"/>
          <w:szCs w:val="16"/>
          <w:lang w:val="en-US"/>
        </w:rPr>
        <w:t>Alfredo Abad, crimen sin castigo”</w:t>
      </w:r>
      <w:r w:rsidRPr="004B75F8">
        <w:rPr>
          <w:sz w:val="16"/>
          <w:szCs w:val="16"/>
          <w:lang w:val="en-US"/>
        </w:rPr>
        <w:t xml:space="preserve"> [Alfredo Abad, crime without punishment] (documents presented by expert witness José Francisco Tulande on March 12, 2012, merits file, tome III, folios</w:t>
      </w:r>
      <w:r w:rsidRPr="004B75F8">
        <w:rPr>
          <w:rStyle w:val="Refdenotaalpie"/>
          <w:sz w:val="16"/>
          <w:szCs w:val="16"/>
          <w:vertAlign w:val="baseline"/>
          <w:lang w:val="en-US"/>
        </w:rPr>
        <w:t xml:space="preserve"> </w:t>
      </w:r>
      <w:r w:rsidRPr="004B75F8">
        <w:rPr>
          <w:sz w:val="16"/>
          <w:szCs w:val="16"/>
          <w:lang w:val="en-US"/>
        </w:rPr>
        <w:t>1641 to 1643 and 1652 to 1654</w:t>
      </w:r>
      <w:r w:rsidRPr="004B75F8">
        <w:rPr>
          <w:rStyle w:val="Refdenotaalpie"/>
          <w:sz w:val="16"/>
          <w:szCs w:val="16"/>
          <w:vertAlign w:val="baseline"/>
          <w:lang w:val="en-US"/>
        </w:rPr>
        <w:t>)</w:t>
      </w:r>
      <w:r w:rsidRPr="004B75F8">
        <w:rPr>
          <w:sz w:val="16"/>
          <w:szCs w:val="16"/>
          <w:lang w:val="en-US"/>
        </w:rPr>
        <w:t>.</w:t>
      </w:r>
    </w:p>
  </w:footnote>
  <w:footnote w:id="9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response of the State to the Court’s request for useful evidence and information at the public hearing (final written arguments of the State, merits file, tome III, folio 1829).</w:t>
      </w:r>
    </w:p>
  </w:footnote>
  <w:footnote w:id="9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expert witness also stated that, at the time of the evens of this case, “law and order” journalists in Colombia were considered to be “courting danger.” </w:t>
      </w:r>
      <w:r w:rsidRPr="004B75F8">
        <w:rPr>
          <w:i/>
          <w:szCs w:val="16"/>
          <w:lang w:val="en-US"/>
        </w:rPr>
        <w:t xml:space="preserve">Cf. </w:t>
      </w:r>
      <w:r w:rsidRPr="004B75F8">
        <w:rPr>
          <w:szCs w:val="16"/>
          <w:lang w:val="en-US"/>
        </w:rPr>
        <w:t>expert opinion provided by José Francisco Tulande during the public hearing before the Inter-American Court on February 24, 2012.</w:t>
      </w:r>
    </w:p>
  </w:footnote>
  <w:footnote w:id="96">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 xml:space="preserve">Expert opinion provided by José Francisco Tulande during the public hearing before the Inter-American Court on February 24, 2012. </w:t>
      </w:r>
      <w:r w:rsidR="00334C3C" w:rsidRPr="004B75F8">
        <w:rPr>
          <w:sz w:val="16"/>
          <w:szCs w:val="16"/>
          <w:lang w:val="en-US"/>
        </w:rPr>
        <w:t>Also</w:t>
      </w:r>
      <w:r w:rsidRPr="004B75F8">
        <w:rPr>
          <w:sz w:val="16"/>
          <w:szCs w:val="16"/>
          <w:lang w:val="en-US"/>
        </w:rPr>
        <w:t xml:space="preserve">, </w:t>
      </w:r>
      <w:r w:rsidR="00334C3C" w:rsidRPr="004B75F8">
        <w:rPr>
          <w:i/>
          <w:sz w:val="16"/>
          <w:szCs w:val="16"/>
          <w:lang w:val="en-US"/>
        </w:rPr>
        <w:t>c</w:t>
      </w:r>
      <w:r w:rsidRPr="004B75F8">
        <w:rPr>
          <w:i/>
          <w:sz w:val="16"/>
          <w:szCs w:val="16"/>
          <w:lang w:val="en-US"/>
        </w:rPr>
        <w:t>f.</w:t>
      </w:r>
      <w:r w:rsidRPr="004B75F8">
        <w:rPr>
          <w:sz w:val="16"/>
          <w:szCs w:val="16"/>
          <w:lang w:val="en-US"/>
        </w:rPr>
        <w:t xml:space="preserve"> </w:t>
      </w:r>
      <w:r w:rsidRPr="004B75F8">
        <w:rPr>
          <w:rStyle w:val="TextonotapieCar"/>
          <w:szCs w:val="16"/>
          <w:lang w:val="en-US"/>
        </w:rPr>
        <w:t>reports of the Office in Colombia of the United Nations High Commissioner for Human Rights</w:t>
      </w:r>
      <w:r w:rsidRPr="004B75F8">
        <w:rPr>
          <w:sz w:val="16"/>
          <w:szCs w:val="16"/>
          <w:lang w:val="en-US"/>
        </w:rPr>
        <w:t xml:space="preserve"> of March 9, 1998 E/CN.4/1998/16 and of March 9, 2000, E/CN.4/2000/11 </w:t>
      </w:r>
      <w:r w:rsidRPr="004B75F8">
        <w:rPr>
          <w:rFonts w:cs="Arial"/>
          <w:sz w:val="16"/>
          <w:szCs w:val="16"/>
          <w:lang w:val="en-US"/>
        </w:rPr>
        <w:t>(file of annexes to the pleadings and motions brief, tome I, annex 6, folios 217 and 223, paras. 87, 119 and 121, and tome II, annex 14, folio 621, para. 55)</w:t>
      </w:r>
      <w:r w:rsidRPr="004B75F8">
        <w:rPr>
          <w:sz w:val="16"/>
          <w:szCs w:val="16"/>
          <w:lang w:val="en-US"/>
        </w:rPr>
        <w:t>, and Inter-American Commission on Human Rights,</w:t>
      </w:r>
      <w:r w:rsidRPr="004B75F8">
        <w:rPr>
          <w:i/>
          <w:sz w:val="16"/>
          <w:szCs w:val="16"/>
          <w:lang w:val="en-US"/>
        </w:rPr>
        <w:t xml:space="preserve"> Third Report on the Situation of Human Rights in Colombia</w:t>
      </w:r>
      <w:r w:rsidRPr="004B75F8">
        <w:rPr>
          <w:sz w:val="16"/>
          <w:szCs w:val="16"/>
          <w:lang w:val="en-US"/>
        </w:rPr>
        <w:t xml:space="preserve">. OEA/Ser.L/V/II.102 Doc. 9 rev. 1 of February 26, 1999, </w:t>
      </w:r>
      <w:r w:rsidRPr="004B75F8">
        <w:rPr>
          <w:i/>
          <w:sz w:val="16"/>
          <w:szCs w:val="16"/>
          <w:lang w:val="en-US"/>
        </w:rPr>
        <w:t>supra</w:t>
      </w:r>
      <w:r w:rsidRPr="004B75F8">
        <w:rPr>
          <w:sz w:val="16"/>
          <w:szCs w:val="16"/>
          <w:lang w:val="en-US"/>
        </w:rPr>
        <w:t xml:space="preserve"> note 93</w:t>
      </w:r>
      <w:r w:rsidRPr="004B75F8">
        <w:rPr>
          <w:rFonts w:eastAsia="ヒラギノ角ゴ Pro W3"/>
          <w:sz w:val="16"/>
          <w:szCs w:val="16"/>
          <w:lang w:val="en-US"/>
        </w:rPr>
        <w:t>, folios 67 and 68, Chapter VIII, section C.</w:t>
      </w:r>
      <w:r w:rsidRPr="004B75F8">
        <w:rPr>
          <w:rFonts w:cs="Arial"/>
          <w:sz w:val="16"/>
          <w:szCs w:val="16"/>
          <w:lang w:val="en-US"/>
        </w:rPr>
        <w:t>, paras. 8 to 26).</w:t>
      </w:r>
    </w:p>
  </w:footnote>
  <w:footnote w:id="9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expert opinion provided by José Francisco Tulande during the public hearing before the Inter-American Court on February 24, 2012, and e-mail sent by Juan Gossaín Abdala to José Francisco Tulande on January 4, 2012 (presented by expert witness José Francisco Tulande on March 12, 2012, merits file, tome III, folio 1640).</w:t>
      </w:r>
    </w:p>
  </w:footnote>
  <w:footnote w:id="9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vertAlign w:val="superscript"/>
          <w:lang w:val="en-US"/>
        </w:rPr>
        <w:t xml:space="preserve"> </w:t>
      </w:r>
      <w:r w:rsidRPr="004B75F8">
        <w:rPr>
          <w:szCs w:val="16"/>
          <w:lang w:val="en-US"/>
        </w:rPr>
        <w:tab/>
      </w:r>
      <w:r w:rsidRPr="004B75F8">
        <w:rPr>
          <w:i/>
          <w:szCs w:val="16"/>
          <w:lang w:val="en-US"/>
        </w:rPr>
        <w:t>Cf.</w:t>
      </w:r>
      <w:r w:rsidRPr="004B75F8">
        <w:rPr>
          <w:szCs w:val="16"/>
          <w:lang w:val="en-US"/>
        </w:rPr>
        <w:t xml:space="preserve"> statement made by Luis Gonzalo </w:t>
      </w:r>
      <w:r w:rsidRPr="004B75F8">
        <w:rPr>
          <w:rStyle w:val="Refdenotaalpie"/>
          <w:szCs w:val="16"/>
          <w:vertAlign w:val="baseline"/>
          <w:lang w:val="en-US"/>
        </w:rPr>
        <w:t>Vélez Restrepo</w:t>
      </w:r>
      <w:r w:rsidRPr="004B75F8">
        <w:rPr>
          <w:szCs w:val="16"/>
          <w:lang w:val="en-US"/>
        </w:rPr>
        <w:t xml:space="preserve"> before the Inter-American Court during the public hearing held on February 24, 2012; statement made by </w:t>
      </w:r>
      <w:r w:rsidRPr="004B75F8">
        <w:rPr>
          <w:rStyle w:val="Refdenotaalpie"/>
          <w:szCs w:val="16"/>
          <w:vertAlign w:val="baseline"/>
          <w:lang w:val="en-US"/>
        </w:rPr>
        <w:t xml:space="preserve">Aracelly Román Amariles </w:t>
      </w:r>
      <w:r w:rsidRPr="004B75F8">
        <w:rPr>
          <w:szCs w:val="16"/>
          <w:lang w:val="en-US"/>
        </w:rPr>
        <w:t xml:space="preserve">before the Inter-American Court during the public hearing held on February 24, 2012; statement made by Luis Gonzalo </w:t>
      </w:r>
      <w:r w:rsidRPr="004B75F8">
        <w:rPr>
          <w:rStyle w:val="Refdenotaalpie"/>
          <w:szCs w:val="16"/>
          <w:vertAlign w:val="baseline"/>
          <w:lang w:val="en-US"/>
        </w:rPr>
        <w:t>Vélez Restrepo</w:t>
      </w:r>
      <w:r w:rsidRPr="004B75F8">
        <w:rPr>
          <w:szCs w:val="16"/>
          <w:lang w:val="en-US"/>
        </w:rPr>
        <w:t xml:space="preserve"> before the 243rd Bogota Sectional Prosecutor’s Office on August 27, 1997 (file of annexes to Merits Report 136/10, tome I, annex 11, folios 64 to 65); </w:t>
      </w:r>
      <w:r w:rsidRPr="004B75F8">
        <w:rPr>
          <w:rFonts w:cs="Arial"/>
          <w:szCs w:val="16"/>
          <w:lang w:val="en-US"/>
        </w:rPr>
        <w:t>statement made by Eduin Yesid Cristancho Merchan before the Human Rights United of the National Special Investigations Directorate of the Attorney General’s Office</w:t>
      </w:r>
      <w:r w:rsidRPr="004B75F8">
        <w:rPr>
          <w:szCs w:val="16"/>
          <w:lang w:val="en-US"/>
        </w:rPr>
        <w:t xml:space="preserve"> on October 17, 1997</w:t>
      </w:r>
      <w:r w:rsidRPr="004B75F8">
        <w:rPr>
          <w:rStyle w:val="Refdenotaalpie"/>
          <w:szCs w:val="16"/>
          <w:vertAlign w:val="baseline"/>
          <w:lang w:val="en-US"/>
        </w:rPr>
        <w:t xml:space="preserve"> </w:t>
      </w:r>
      <w:r w:rsidRPr="004B75F8">
        <w:rPr>
          <w:szCs w:val="16"/>
          <w:lang w:val="en-US"/>
        </w:rPr>
        <w:t>(file of annexes to Merits Report 136/10, tome I, annex 17, folio 91);</w:t>
      </w:r>
      <w:r w:rsidRPr="004B75F8">
        <w:rPr>
          <w:color w:val="00B050"/>
          <w:szCs w:val="16"/>
          <w:lang w:val="en-US"/>
        </w:rPr>
        <w:t xml:space="preserve"> </w:t>
      </w:r>
      <w:r w:rsidRPr="004B75F8">
        <w:rPr>
          <w:szCs w:val="16"/>
          <w:lang w:val="en-US"/>
        </w:rPr>
        <w:t>statement made by Luis Gonzalo Vélez Restrepo on July 25,</w:t>
      </w:r>
      <w:r w:rsidRPr="004B75F8">
        <w:rPr>
          <w:rFonts w:eastAsia="ヒラギノ角ゴ Pro W3"/>
          <w:szCs w:val="16"/>
          <w:lang w:val="en-US"/>
        </w:rPr>
        <w:t xml:space="preserve"> 2005, </w:t>
      </w:r>
      <w:r w:rsidRPr="004B75F8">
        <w:rPr>
          <w:szCs w:val="16"/>
          <w:lang w:val="en-US"/>
        </w:rPr>
        <w:t>before a notary public of the District of Colombia, United States of America</w:t>
      </w:r>
      <w:r w:rsidRPr="004B75F8">
        <w:rPr>
          <w:rFonts w:eastAsia="ヒラギノ角ゴ Pro W3"/>
          <w:szCs w:val="16"/>
          <w:lang w:val="en-US"/>
        </w:rPr>
        <w:t xml:space="preserve"> </w:t>
      </w:r>
      <w:r w:rsidRPr="004B75F8">
        <w:rPr>
          <w:szCs w:val="16"/>
          <w:lang w:val="en-US"/>
        </w:rPr>
        <w:t xml:space="preserve">(file of annexes to Merits Report 136/10, tome I, annex 15, folio 80, and </w:t>
      </w:r>
      <w:r w:rsidRPr="004B75F8">
        <w:rPr>
          <w:rFonts w:cs="Arial"/>
          <w:szCs w:val="16"/>
          <w:lang w:val="en-US"/>
        </w:rPr>
        <w:t>file of annexes to the pleadings and motions brief, tome II, annex 16, folios 656 and 657</w:t>
      </w:r>
      <w:r w:rsidRPr="004B75F8">
        <w:rPr>
          <w:szCs w:val="16"/>
          <w:lang w:val="en-US"/>
        </w:rPr>
        <w:t xml:space="preserve">); statement made by </w:t>
      </w:r>
      <w:r w:rsidRPr="004B75F8">
        <w:rPr>
          <w:rStyle w:val="Refdenotaalpie"/>
          <w:szCs w:val="16"/>
          <w:vertAlign w:val="baseline"/>
          <w:lang w:val="en-US"/>
        </w:rPr>
        <w:t xml:space="preserve">Aracelly Román Amariles </w:t>
      </w:r>
      <w:r w:rsidRPr="004B75F8">
        <w:rPr>
          <w:szCs w:val="16"/>
          <w:lang w:val="en-US"/>
        </w:rPr>
        <w:t>on July 25,</w:t>
      </w:r>
      <w:r w:rsidRPr="004B75F8">
        <w:rPr>
          <w:rFonts w:eastAsia="ヒラギノ角ゴ Pro W3"/>
          <w:szCs w:val="16"/>
          <w:lang w:val="en-US"/>
        </w:rPr>
        <w:t xml:space="preserve"> 2005, </w:t>
      </w:r>
      <w:r w:rsidRPr="004B75F8">
        <w:rPr>
          <w:szCs w:val="16"/>
          <w:lang w:val="en-US"/>
        </w:rPr>
        <w:t xml:space="preserve">before a notary public of the District of Colombia, United States of America (file of annexes to Merits Report 136/10, tome I, annex 16, folio 85, and </w:t>
      </w:r>
      <w:r w:rsidRPr="004B75F8">
        <w:rPr>
          <w:rFonts w:cs="Arial"/>
          <w:szCs w:val="16"/>
          <w:lang w:val="en-US"/>
        </w:rPr>
        <w:t xml:space="preserve">file of annexes to the pleadings and motions brief, tome </w:t>
      </w:r>
      <w:r w:rsidRPr="004B75F8">
        <w:rPr>
          <w:szCs w:val="16"/>
          <w:lang w:val="en-US"/>
        </w:rPr>
        <w:t>II, annex 17, folio 663).</w:t>
      </w:r>
    </w:p>
  </w:footnote>
  <w:footnote w:id="99">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 made by Luis Gonzalo </w:t>
      </w:r>
      <w:r w:rsidRPr="004B75F8">
        <w:rPr>
          <w:rStyle w:val="Refdenotaalpie"/>
          <w:szCs w:val="16"/>
          <w:vertAlign w:val="baseline"/>
          <w:lang w:val="en-US"/>
        </w:rPr>
        <w:t>Vélez Restrepo</w:t>
      </w:r>
      <w:r w:rsidRPr="004B75F8">
        <w:rPr>
          <w:szCs w:val="16"/>
          <w:lang w:val="en-US"/>
        </w:rPr>
        <w:t xml:space="preserve"> before the Inter-American Court during the public hearing held on February 24, 2012; statement made by Luis Gonzalo Vélez Restrepo on July 25,</w:t>
      </w:r>
      <w:r w:rsidRPr="004B75F8">
        <w:rPr>
          <w:rFonts w:eastAsia="ヒラギノ角ゴ Pro W3"/>
          <w:szCs w:val="16"/>
          <w:lang w:val="en-US"/>
        </w:rPr>
        <w:t xml:space="preserve"> 2005, </w:t>
      </w:r>
      <w:r w:rsidRPr="004B75F8">
        <w:rPr>
          <w:szCs w:val="16"/>
          <w:lang w:val="en-US"/>
        </w:rPr>
        <w:t xml:space="preserve">before a notary public of the District of Colombia, United States of America (file of annexes to Merits Report 136/10, tome I, annex 15, folio 80, and </w:t>
      </w:r>
      <w:r w:rsidRPr="004B75F8">
        <w:rPr>
          <w:rFonts w:cs="Arial"/>
          <w:szCs w:val="16"/>
          <w:lang w:val="en-US"/>
        </w:rPr>
        <w:t>file of annexes to the pleadings and motions brief, tome II, annex 16, folio 657</w:t>
      </w:r>
      <w:r w:rsidRPr="004B75F8">
        <w:rPr>
          <w:szCs w:val="16"/>
          <w:lang w:val="en-US"/>
        </w:rPr>
        <w:t>).</w:t>
      </w:r>
    </w:p>
  </w:footnote>
  <w:footnote w:id="10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 xml:space="preserve">statements made by Luis Gonzalo </w:t>
      </w:r>
      <w:r w:rsidRPr="004B75F8">
        <w:rPr>
          <w:rStyle w:val="Refdenotaalpie"/>
          <w:szCs w:val="16"/>
          <w:vertAlign w:val="baseline"/>
          <w:lang w:val="en-US"/>
        </w:rPr>
        <w:t>Vélez Restrepo</w:t>
      </w:r>
      <w:r w:rsidRPr="004B75F8">
        <w:rPr>
          <w:szCs w:val="16"/>
          <w:lang w:val="en-US"/>
        </w:rPr>
        <w:t xml:space="preserve"> and Aracelly Román Amariles before the Inter-American Court during the public hearing held on February 24, 2012; </w:t>
      </w:r>
      <w:r w:rsidRPr="004B75F8">
        <w:rPr>
          <w:rStyle w:val="Refdenotaalpie"/>
          <w:szCs w:val="16"/>
          <w:vertAlign w:val="baseline"/>
          <w:lang w:val="en-US"/>
        </w:rPr>
        <w:t>statement made by Aracelly Román Amariles b</w:t>
      </w:r>
      <w:r w:rsidRPr="004B75F8">
        <w:rPr>
          <w:szCs w:val="16"/>
          <w:lang w:val="en-US"/>
        </w:rPr>
        <w:t>efore the</w:t>
      </w:r>
      <w:r w:rsidRPr="004B75F8">
        <w:rPr>
          <w:rStyle w:val="Refdenotaalpie"/>
          <w:szCs w:val="16"/>
          <w:vertAlign w:val="baseline"/>
          <w:lang w:val="en-US"/>
        </w:rPr>
        <w:t xml:space="preserve"> Antioquia</w:t>
      </w:r>
      <w:r w:rsidRPr="004B75F8">
        <w:rPr>
          <w:szCs w:val="16"/>
          <w:lang w:val="en-US"/>
        </w:rPr>
        <w:t xml:space="preserve"> Branch Office of the National Special Investigations Directorate of the Attorney General’s Office,</w:t>
      </w:r>
      <w:r w:rsidRPr="004B75F8">
        <w:rPr>
          <w:rStyle w:val="Refdenotaalpie"/>
          <w:szCs w:val="16"/>
          <w:vertAlign w:val="baseline"/>
          <w:lang w:val="en-US"/>
        </w:rPr>
        <w:t xml:space="preserve"> </w:t>
      </w:r>
      <w:r w:rsidRPr="004B75F8">
        <w:rPr>
          <w:szCs w:val="16"/>
          <w:lang w:val="en-US"/>
        </w:rPr>
        <w:t>on February 2,</w:t>
      </w:r>
      <w:r w:rsidRPr="004B75F8">
        <w:rPr>
          <w:rStyle w:val="Refdenotaalpie"/>
          <w:szCs w:val="16"/>
          <w:vertAlign w:val="baseline"/>
          <w:lang w:val="en-US"/>
        </w:rPr>
        <w:t xml:space="preserve"> 1998 (file of annexes to Merits Report 136/10, </w:t>
      </w:r>
      <w:r w:rsidRPr="004B75F8">
        <w:rPr>
          <w:szCs w:val="16"/>
          <w:lang w:val="en-US"/>
        </w:rPr>
        <w:t xml:space="preserve">tome I, </w:t>
      </w:r>
      <w:r w:rsidRPr="004B75F8">
        <w:rPr>
          <w:rStyle w:val="Refdenotaalpie"/>
          <w:szCs w:val="16"/>
          <w:vertAlign w:val="baseline"/>
          <w:lang w:val="en-US"/>
        </w:rPr>
        <w:t>annex 18, folio</w:t>
      </w:r>
      <w:r w:rsidRPr="004B75F8">
        <w:rPr>
          <w:szCs w:val="16"/>
          <w:lang w:val="en-US"/>
        </w:rPr>
        <w:t xml:space="preserve"> </w:t>
      </w:r>
      <w:r w:rsidRPr="004B75F8">
        <w:rPr>
          <w:rStyle w:val="Refdenotaalpie"/>
          <w:szCs w:val="16"/>
          <w:vertAlign w:val="baseline"/>
          <w:lang w:val="en-US"/>
        </w:rPr>
        <w:t>95</w:t>
      </w:r>
      <w:r w:rsidRPr="004B75F8">
        <w:rPr>
          <w:szCs w:val="16"/>
          <w:lang w:val="en-US"/>
        </w:rPr>
        <w:t>); decision issued by the Oversight Office of the Attorney General’s Office, case file 030-54410/2001, on May 3, 2002 (file of annexes to Merits Report 136/10, tome I, annex 22, folio 107); statements made by Luis Gonzalo Vélez Restrepo and Aracelly Román Amariles on July 25,</w:t>
      </w:r>
      <w:r w:rsidRPr="004B75F8">
        <w:rPr>
          <w:rFonts w:eastAsia="ヒラギノ角ゴ Pro W3"/>
          <w:szCs w:val="16"/>
          <w:lang w:val="en-US"/>
        </w:rPr>
        <w:t xml:space="preserve"> 2005, </w:t>
      </w:r>
      <w:r w:rsidRPr="004B75F8">
        <w:rPr>
          <w:szCs w:val="16"/>
          <w:lang w:val="en-US"/>
        </w:rPr>
        <w:t xml:space="preserve">before a notary public of the District of Colombia, United States of America (file of annexes to Merits Report 136/10, tome I, annexes 15 and 16, folios 80 and 85, and </w:t>
      </w:r>
      <w:r w:rsidRPr="004B75F8">
        <w:rPr>
          <w:rFonts w:cs="Arial"/>
          <w:szCs w:val="16"/>
          <w:lang w:val="en-US"/>
        </w:rPr>
        <w:t>file of annexes to the pleadings and motions brief, tome II, annexes 16 and 17, folios 657 and 663</w:t>
      </w:r>
      <w:r w:rsidRPr="004B75F8">
        <w:rPr>
          <w:szCs w:val="16"/>
          <w:lang w:val="en-US"/>
        </w:rPr>
        <w:t xml:space="preserve">), and brief of September 11, 1996 signed by Hans Sarmiento, Editor-in-Chief of </w:t>
      </w:r>
      <w:r w:rsidRPr="004B75F8">
        <w:rPr>
          <w:i/>
          <w:szCs w:val="16"/>
          <w:lang w:val="en-US"/>
        </w:rPr>
        <w:t>Noticiero Colombia 12:30</w:t>
      </w:r>
      <w:r w:rsidRPr="004B75F8">
        <w:rPr>
          <w:szCs w:val="16"/>
          <w:lang w:val="en-US"/>
        </w:rPr>
        <w:t>, addressed to the National Director of Special Investigations of the Attorney General’s Office (file of annexes to Merits Report 136/10, tome I, annex 10, folio 62).</w:t>
      </w:r>
    </w:p>
  </w:footnote>
  <w:footnote w:id="10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Statement made by Luis Gonzalo Vélez Restrepo on August 27, 1997, before the 243</w:t>
      </w:r>
      <w:r w:rsidRPr="004B75F8">
        <w:rPr>
          <w:szCs w:val="16"/>
          <w:vertAlign w:val="superscript"/>
          <w:lang w:val="en-US"/>
        </w:rPr>
        <w:t>rd</w:t>
      </w:r>
      <w:r w:rsidRPr="004B75F8">
        <w:rPr>
          <w:szCs w:val="16"/>
          <w:lang w:val="en-US"/>
        </w:rPr>
        <w:t xml:space="preserve"> Prosecutor of Bogota (file of annexes to Merits Report 136/10, tome I, annex 11, folios 64 and 65); statements made by Luis Gonzalo </w:t>
      </w:r>
      <w:r w:rsidRPr="004B75F8">
        <w:rPr>
          <w:rStyle w:val="Refdenotaalpie"/>
          <w:szCs w:val="16"/>
          <w:vertAlign w:val="baseline"/>
          <w:lang w:val="en-US"/>
        </w:rPr>
        <w:t>Vélez Restrepo</w:t>
      </w:r>
      <w:r w:rsidRPr="004B75F8">
        <w:rPr>
          <w:szCs w:val="16"/>
          <w:lang w:val="en-US"/>
        </w:rPr>
        <w:t xml:space="preserve"> and Aracelly Román Amariles before the Court during the public hearing held on February 24, 2012; request for pre-trial administrative conciliation filed by Raúl Hernández Rodríguez on behalf of Luis Gonzalo Vélez Restrepo and some of his next of kin before the Contentious Administrative Law Court of Cundinamarca</w:t>
      </w:r>
      <w:r w:rsidRPr="004B75F8">
        <w:rPr>
          <w:color w:val="0000FF"/>
          <w:szCs w:val="16"/>
          <w:lang w:val="en-US"/>
        </w:rPr>
        <w:t xml:space="preserve"> </w:t>
      </w:r>
      <w:r w:rsidRPr="004B75F8">
        <w:rPr>
          <w:szCs w:val="16"/>
          <w:lang w:val="en-US"/>
        </w:rPr>
        <w:t xml:space="preserve">(file of annexes to Merits Report 136/10, annex 36, folio 218), and statement made by </w:t>
      </w:r>
      <w:r w:rsidRPr="004B75F8">
        <w:rPr>
          <w:rStyle w:val="Refdenotaalpie"/>
          <w:szCs w:val="16"/>
          <w:vertAlign w:val="baseline"/>
          <w:lang w:val="en-US"/>
        </w:rPr>
        <w:t>Aracelly Román Amariles</w:t>
      </w:r>
      <w:r w:rsidRPr="004B75F8">
        <w:rPr>
          <w:rStyle w:val="Refdenotaalpie"/>
          <w:szCs w:val="16"/>
          <w:lang w:val="en-US"/>
        </w:rPr>
        <w:t xml:space="preserve"> </w:t>
      </w:r>
      <w:r w:rsidRPr="004B75F8">
        <w:rPr>
          <w:szCs w:val="16"/>
          <w:lang w:val="en-US"/>
        </w:rPr>
        <w:t>on July 25,</w:t>
      </w:r>
      <w:r w:rsidRPr="004B75F8">
        <w:rPr>
          <w:rFonts w:eastAsia="ヒラギノ角ゴ Pro W3"/>
          <w:szCs w:val="16"/>
          <w:lang w:val="en-US"/>
        </w:rPr>
        <w:t xml:space="preserve"> 2005, </w:t>
      </w:r>
      <w:r w:rsidRPr="004B75F8">
        <w:rPr>
          <w:szCs w:val="16"/>
          <w:lang w:val="en-US"/>
        </w:rPr>
        <w:t xml:space="preserve">before a notary public of the District of Colombia, United States of America (file of annexes to Merits Report 136/10, tome I, annex 16, folio 85; </w:t>
      </w:r>
      <w:r w:rsidRPr="004B75F8">
        <w:rPr>
          <w:rFonts w:cs="Arial"/>
          <w:szCs w:val="16"/>
          <w:lang w:val="en-US"/>
        </w:rPr>
        <w:t xml:space="preserve">file of annexes to the pleadings and motions brief, tome </w:t>
      </w:r>
      <w:r w:rsidRPr="004B75F8">
        <w:rPr>
          <w:szCs w:val="16"/>
          <w:lang w:val="en-US"/>
        </w:rPr>
        <w:t>II, annex 17, folio 663).</w:t>
      </w:r>
      <w:r w:rsidRPr="004B75F8">
        <w:rPr>
          <w:color w:val="00B050"/>
          <w:szCs w:val="16"/>
          <w:lang w:val="en-US"/>
        </w:rPr>
        <w:t xml:space="preserve"> </w:t>
      </w:r>
    </w:p>
  </w:footnote>
  <w:footnote w:id="10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Statement made by Luis Gonzalo Vélez Restrepo before the 243rd Bogota Sectional Prosecutor’s Office on August 27, 1997 (file of annexes to Merits Report 136/10, tome I, annex 11, folio 64); statements made by Luis Gonzalo </w:t>
      </w:r>
      <w:r w:rsidRPr="004B75F8">
        <w:rPr>
          <w:rStyle w:val="Refdenotaalpie"/>
          <w:szCs w:val="16"/>
          <w:vertAlign w:val="baseline"/>
          <w:lang w:val="en-US"/>
        </w:rPr>
        <w:t>Vélez Restrepo</w:t>
      </w:r>
      <w:r w:rsidRPr="004B75F8">
        <w:rPr>
          <w:szCs w:val="16"/>
          <w:lang w:val="en-US"/>
        </w:rPr>
        <w:t xml:space="preserve"> and Aracelly Román Amariles before the Inter-American Court during the public hearing held on February 24, 2012; and statements made by Luis Gonzalo Vélez Restrepo and Aracelly Román Amariles  on June 25, 2005, before a notary public of the District of Columbia, United States of America (file of annexes to Merits Report 136/10, annexes 15 and 16, folios 80 and 85, and </w:t>
      </w:r>
      <w:r w:rsidRPr="004B75F8">
        <w:rPr>
          <w:rFonts w:cs="Arial"/>
          <w:szCs w:val="16"/>
          <w:lang w:val="en-US"/>
        </w:rPr>
        <w:t>file of annexes to the pleadings and motions brief, tome II, annexes 16 and 17, folios 657, 658 and 663</w:t>
      </w:r>
      <w:r w:rsidRPr="004B75F8">
        <w:rPr>
          <w:szCs w:val="16"/>
          <w:lang w:val="en-US"/>
        </w:rPr>
        <w:t>).</w:t>
      </w:r>
    </w:p>
  </w:footnote>
  <w:footnote w:id="10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statements made by Luis Gonzalo </w:t>
      </w:r>
      <w:r w:rsidRPr="004B75F8">
        <w:rPr>
          <w:rStyle w:val="Refdenotaalpie"/>
          <w:szCs w:val="16"/>
          <w:vertAlign w:val="baseline"/>
          <w:lang w:val="en-US"/>
        </w:rPr>
        <w:t>Vélez Restrepo</w:t>
      </w:r>
      <w:r w:rsidRPr="004B75F8">
        <w:rPr>
          <w:szCs w:val="16"/>
          <w:lang w:val="en-US"/>
        </w:rPr>
        <w:t xml:space="preserve"> and Aracelly Román Amariles before the Inter-American Court during the public hearing held on February 24, 2012; statement made by Luis Gonzalo Vélez Restrepo on July 25,</w:t>
      </w:r>
      <w:r w:rsidRPr="004B75F8">
        <w:rPr>
          <w:rFonts w:eastAsia="ヒラギノ角ゴ Pro W3"/>
          <w:szCs w:val="16"/>
          <w:lang w:val="en-US"/>
        </w:rPr>
        <w:t xml:space="preserve"> 2005, </w:t>
      </w:r>
      <w:r w:rsidRPr="004B75F8">
        <w:rPr>
          <w:szCs w:val="16"/>
          <w:lang w:val="en-US"/>
        </w:rPr>
        <w:t xml:space="preserve">before a notary public of the District of Colombia, United States of America (file of annexes to Merits Report 136/10, tome I, annex 15, folio 80, and </w:t>
      </w:r>
      <w:r w:rsidRPr="004B75F8">
        <w:rPr>
          <w:rFonts w:cs="Arial"/>
          <w:szCs w:val="16"/>
          <w:lang w:val="en-US"/>
        </w:rPr>
        <w:t>file of annexes to the pleadings and motions brief, tome II, annex 16, folios 657 and 658</w:t>
      </w:r>
      <w:r w:rsidRPr="004B75F8">
        <w:rPr>
          <w:szCs w:val="16"/>
          <w:lang w:val="en-US"/>
        </w:rPr>
        <w:t>), and letter addressed by the C</w:t>
      </w:r>
      <w:r w:rsidR="002333E5" w:rsidRPr="004B75F8">
        <w:rPr>
          <w:szCs w:val="16"/>
          <w:lang w:val="en-US"/>
        </w:rPr>
        <w:t>olombian Commission of Jurists to</w:t>
      </w:r>
      <w:r w:rsidRPr="004B75F8">
        <w:rPr>
          <w:szCs w:val="16"/>
          <w:lang w:val="en-US"/>
        </w:rPr>
        <w:t xml:space="preserve"> the Attorney General’s Office on September 29, 1997 (file of the processing of the case before the Commission, tome II, folio 912)</w:t>
      </w:r>
      <w:r w:rsidRPr="004B75F8">
        <w:rPr>
          <w:color w:val="0000FF"/>
          <w:szCs w:val="16"/>
          <w:lang w:val="en-US"/>
        </w:rPr>
        <w:t>.</w:t>
      </w:r>
    </w:p>
  </w:footnote>
  <w:footnote w:id="104">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Statement made by Aracelly Román Amariles on February 2, 1998, before the Antioquía Office of the National Special Investigations Directorate of the Attorney General’s Office (file of annexes to Merits Report 136/10, tome I, annex 18, folios 94 and 95); note issued by</w:t>
      </w:r>
      <w:r w:rsidRPr="004B75F8">
        <w:rPr>
          <w:rStyle w:val="Refdenotaalpie"/>
          <w:szCs w:val="16"/>
          <w:vertAlign w:val="baseline"/>
          <w:lang w:val="en-US"/>
        </w:rPr>
        <w:t xml:space="preserve"> the Human Rights Unit of the </w:t>
      </w:r>
      <w:r w:rsidRPr="004B75F8">
        <w:rPr>
          <w:szCs w:val="16"/>
          <w:lang w:val="en-US"/>
        </w:rPr>
        <w:t>National Special Investigations Directorate of the Attorney General’s Office</w:t>
      </w:r>
      <w:r w:rsidRPr="004B75F8">
        <w:rPr>
          <w:rStyle w:val="Refdenotaalpie"/>
          <w:szCs w:val="16"/>
          <w:vertAlign w:val="baseline"/>
          <w:lang w:val="en-US"/>
        </w:rPr>
        <w:t xml:space="preserve"> o</w:t>
      </w:r>
      <w:r w:rsidRPr="004B75F8">
        <w:rPr>
          <w:szCs w:val="16"/>
          <w:lang w:val="en-US"/>
        </w:rPr>
        <w:t xml:space="preserve">n October 10, </w:t>
      </w:r>
      <w:r w:rsidRPr="004B75F8">
        <w:rPr>
          <w:rStyle w:val="Refdenotaalpie"/>
          <w:szCs w:val="16"/>
          <w:vertAlign w:val="baseline"/>
          <w:lang w:val="en-US"/>
        </w:rPr>
        <w:t xml:space="preserve">1997 (file of annexes to Merits Report 136/10, </w:t>
      </w:r>
      <w:r w:rsidRPr="004B75F8">
        <w:rPr>
          <w:szCs w:val="16"/>
          <w:lang w:val="en-US"/>
        </w:rPr>
        <w:t xml:space="preserve">tome I, </w:t>
      </w:r>
      <w:r w:rsidRPr="004B75F8">
        <w:rPr>
          <w:rStyle w:val="Refdenotaalpie"/>
          <w:szCs w:val="16"/>
          <w:vertAlign w:val="baseline"/>
          <w:lang w:val="en-US"/>
        </w:rPr>
        <w:t>annex 12, folio 67)</w:t>
      </w:r>
      <w:r w:rsidRPr="004B75F8">
        <w:rPr>
          <w:szCs w:val="16"/>
          <w:lang w:val="en-US"/>
        </w:rPr>
        <w:t xml:space="preserve">; decision issued by the Oversight Office of the Attorney General’s Office on May 3, 2002, case file 030-54410/2001 (file of annexes to Merits Report 136/10, tome I, annex 22, folio 107), and </w:t>
      </w:r>
      <w:r w:rsidRPr="004B75F8">
        <w:rPr>
          <w:rStyle w:val="Refdenotaalpie"/>
          <w:szCs w:val="16"/>
          <w:vertAlign w:val="baseline"/>
          <w:lang w:val="en-US"/>
        </w:rPr>
        <w:t>statements made by</w:t>
      </w:r>
      <w:r w:rsidRPr="004B75F8">
        <w:rPr>
          <w:szCs w:val="16"/>
          <w:lang w:val="en-US"/>
        </w:rPr>
        <w:t xml:space="preserve"> Luis Gonzalo </w:t>
      </w:r>
      <w:r w:rsidRPr="004B75F8">
        <w:rPr>
          <w:rStyle w:val="Refdenotaalpie"/>
          <w:szCs w:val="16"/>
          <w:vertAlign w:val="baseline"/>
          <w:lang w:val="en-US"/>
        </w:rPr>
        <w:t>Vélez Restrepo</w:t>
      </w:r>
      <w:r w:rsidRPr="004B75F8">
        <w:rPr>
          <w:szCs w:val="16"/>
          <w:lang w:val="en-US"/>
        </w:rPr>
        <w:t xml:space="preserve"> and Aracelly Román Amariles before the Inter-American Court during the public hearing held on February 24, 2012.</w:t>
      </w:r>
    </w:p>
  </w:footnote>
  <w:footnote w:id="10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Note DH 2860 of October 14, 1997, signed by an adviser to the Human Rights Council of the Presidency of the Republic, addressed to Gustavo Gallón of the Colombian Commission of Jurists (file of annexes to Merits Report 136/10, annex 13, folios 71 and 72).</w:t>
      </w:r>
    </w:p>
  </w:footnote>
  <w:footnote w:id="106">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00334C3C" w:rsidRPr="004B75F8">
        <w:rPr>
          <w:szCs w:val="16"/>
          <w:lang w:val="en-US"/>
        </w:rPr>
        <w:t>letter</w:t>
      </w:r>
      <w:r w:rsidRPr="004B75F8">
        <w:rPr>
          <w:szCs w:val="16"/>
          <w:lang w:val="en-US"/>
        </w:rPr>
        <w:t xml:space="preserve"> of September 29, 1997, addressed to the Attorney General’s Office by the Colombian Commission of Jurists (file of the processing of the case before the Commission, tome II, folios 912 and 913).)</w:t>
      </w:r>
    </w:p>
  </w:footnote>
  <w:footnote w:id="10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note issued</w:t>
      </w:r>
      <w:r w:rsidRPr="004B75F8">
        <w:rPr>
          <w:rStyle w:val="Refdenotaalpie"/>
          <w:szCs w:val="16"/>
          <w:vertAlign w:val="baseline"/>
          <w:lang w:val="en-US"/>
        </w:rPr>
        <w:t xml:space="preserve"> on October 10, 1997</w:t>
      </w:r>
      <w:r w:rsidRPr="004B75F8">
        <w:rPr>
          <w:szCs w:val="16"/>
          <w:lang w:val="en-US"/>
        </w:rPr>
        <w:t>, by</w:t>
      </w:r>
      <w:r w:rsidRPr="004B75F8">
        <w:rPr>
          <w:rStyle w:val="Refdenotaalpie"/>
          <w:szCs w:val="16"/>
          <w:vertAlign w:val="baseline"/>
          <w:lang w:val="en-US"/>
        </w:rPr>
        <w:t xml:space="preserve"> the Human Rights Unit of the </w:t>
      </w:r>
      <w:r w:rsidRPr="004B75F8">
        <w:rPr>
          <w:szCs w:val="16"/>
          <w:lang w:val="en-US"/>
        </w:rPr>
        <w:t>National Special Investigations Directorate of the Attorney General’s Office</w:t>
      </w:r>
      <w:r w:rsidRPr="004B75F8">
        <w:rPr>
          <w:rStyle w:val="Refdenotaalpie"/>
          <w:szCs w:val="16"/>
          <w:vertAlign w:val="baseline"/>
          <w:lang w:val="en-US"/>
        </w:rPr>
        <w:t xml:space="preserve"> (file of annexes to Merits Report 136/10, </w:t>
      </w:r>
      <w:r w:rsidRPr="004B75F8">
        <w:rPr>
          <w:szCs w:val="16"/>
          <w:lang w:val="en-US"/>
        </w:rPr>
        <w:t xml:space="preserve">tome I, </w:t>
      </w:r>
      <w:r w:rsidRPr="004B75F8">
        <w:rPr>
          <w:rStyle w:val="Refdenotaalpie"/>
          <w:szCs w:val="16"/>
          <w:vertAlign w:val="baseline"/>
          <w:lang w:val="en-US"/>
        </w:rPr>
        <w:t>annex 12, folio 67)</w:t>
      </w:r>
      <w:r w:rsidRPr="004B75F8">
        <w:rPr>
          <w:szCs w:val="16"/>
          <w:lang w:val="en-US"/>
        </w:rPr>
        <w:t>.</w:t>
      </w:r>
    </w:p>
  </w:footnote>
  <w:footnote w:id="10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note DH 2190 of July 6, 1998, signed by the Coordinator of the Cases Unit of the Human Rights Council of the Presidency of the Republic addressed to Raúl Hernández (file of annexes to Merits Report 136/10, tome I, annex 20, folio 100).</w:t>
      </w:r>
    </w:p>
  </w:footnote>
  <w:footnote w:id="10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written threat received by Mr. Vélez Restrepo on October 5, 1997 (file of annexes to Merits Report 136/10, tome I, annex 19, folio 98), and statement made by Luis Gonzalo </w:t>
      </w:r>
      <w:r w:rsidRPr="004B75F8">
        <w:rPr>
          <w:rStyle w:val="Refdenotaalpie"/>
          <w:szCs w:val="16"/>
          <w:vertAlign w:val="baseline"/>
          <w:lang w:val="en-US"/>
        </w:rPr>
        <w:t>Vélez Restrepo</w:t>
      </w:r>
      <w:r w:rsidRPr="004B75F8">
        <w:rPr>
          <w:szCs w:val="16"/>
          <w:lang w:val="en-US"/>
        </w:rPr>
        <w:t xml:space="preserve">  before the Inter-American Court during the public hearing held on February 24, 2012.</w:t>
      </w:r>
    </w:p>
  </w:footnote>
  <w:footnote w:id="110">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Statements made by Luis Gonzalo </w:t>
      </w:r>
      <w:r w:rsidRPr="004B75F8">
        <w:rPr>
          <w:rStyle w:val="Refdenotaalpie"/>
          <w:szCs w:val="16"/>
          <w:vertAlign w:val="baseline"/>
          <w:lang w:val="en-US"/>
        </w:rPr>
        <w:t>Vélez Restrepo</w:t>
      </w:r>
      <w:r w:rsidRPr="004B75F8">
        <w:rPr>
          <w:szCs w:val="16"/>
          <w:lang w:val="en-US"/>
        </w:rPr>
        <w:t xml:space="preserve"> and Aracelly Román Amariles before the Inter-American Court during the public hearing held on February 24, 2012; statements made by Luis Gonzalo Vélez Restrepo and Aracelly Román Amariles on June 25, 2005, before a notary public of the District of Columbia, United States of America (file of annexes to Merits Report 136/10, tome I, annexes 15 and 16, folios 81 and 86, and file of annexes to the pleadings and motions brief, tome II, annexes 16 and 17, folios 658 and 664), and note DH 2860 of October 14, 1997, signed by an adviser to the Human Rights Council of the Presidency of the Republic, </w:t>
      </w:r>
      <w:r w:rsidRPr="004B75F8">
        <w:rPr>
          <w:i/>
          <w:szCs w:val="16"/>
          <w:lang w:val="en-US"/>
        </w:rPr>
        <w:t>supra</w:t>
      </w:r>
      <w:r w:rsidRPr="004B75F8">
        <w:rPr>
          <w:szCs w:val="16"/>
          <w:lang w:val="en-US"/>
        </w:rPr>
        <w:t xml:space="preserve"> note 104, folio 72.</w:t>
      </w:r>
      <w:r w:rsidRPr="004B75F8">
        <w:rPr>
          <w:rFonts w:eastAsia="Calibri" w:cs="Arial"/>
          <w:szCs w:val="16"/>
          <w:lang w:val="en-US"/>
        </w:rPr>
        <w:t xml:space="preserve"> </w:t>
      </w:r>
    </w:p>
  </w:footnote>
  <w:footnote w:id="111">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w:t>
      </w:r>
      <w:r w:rsidRPr="004B75F8">
        <w:rPr>
          <w:sz w:val="16"/>
          <w:szCs w:val="16"/>
          <w:lang w:val="en-US"/>
        </w:rPr>
        <w:t xml:space="preserve"> answer to note No. DDH.GOI No. 38367/1644 sent on June 30, 2009, by the Human Rights Directorate of the Ministry of the Interior and Justice to the Human Rights and International Humanitarian Law Directorate of the Ministry of Foreign Affairs (annex to the answering brief, annex 3, merits file, tome I, folios 670 and 671); note No. 4468 of March 26, 2007, of the Protection Program of the Ministry of the Interior and Justice addressed to the Human Rights and International Humanitarian Law Directorate of the Ministry of Foreign Affairs (annex to the answering brief, annex 3, merits file, tome I, folio 673); note No. 3410 of November 29, 1997, of the General Directorate of the Special Administrative Unit for Human Rights of the Ministry of the Interior addressed to the Ministry of Foreign Affairs (file of annexes to Merits Report 136/10, tome I, annex 14, folio 75); record of delivery of the bulletproof vest, Ministry of the Interior, Office of the Director General of the Special Administrative Unit for Human Rights (file of annexes to Merits Report 136/10, tome I, annex 21, folio 103); note DH 2190 of July 6, 1998, signed by the Coordinator of the Cases Unit of the Human Rights Council of the Presidency of the Republic addressed to Raúl Hernández, </w:t>
      </w:r>
      <w:r w:rsidRPr="004B75F8">
        <w:rPr>
          <w:i/>
          <w:sz w:val="16"/>
          <w:szCs w:val="16"/>
          <w:lang w:val="en-US"/>
        </w:rPr>
        <w:t xml:space="preserve">supra </w:t>
      </w:r>
      <w:r w:rsidRPr="004B75F8">
        <w:rPr>
          <w:sz w:val="16"/>
          <w:szCs w:val="16"/>
          <w:lang w:val="en-US"/>
        </w:rPr>
        <w:t>note 107, folio 101, and note of October 7, 1997 “Humanitarian assistance for Luis Gonzalo Vélez Restrepo CC: 70,049,928 [of] Medellín” of the General Directorate of the Special Administrative Unit for Human Rights of the Ministry of the Interior (annex to the answering brief, annex 3, merits file, tome I, folio 677).</w:t>
      </w:r>
    </w:p>
  </w:footnote>
  <w:footnote w:id="11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note No. 3410 of November 29, 1997, of the General Directorate of the Special Administrative Unit for Human Rights of the Ministry of the Interior addressed to the Ministry of Foreign Affairs, </w:t>
      </w:r>
      <w:r w:rsidRPr="004B75F8">
        <w:rPr>
          <w:i/>
          <w:szCs w:val="16"/>
          <w:lang w:val="en-US"/>
        </w:rPr>
        <w:t>supra</w:t>
      </w:r>
      <w:r w:rsidRPr="004B75F8">
        <w:rPr>
          <w:szCs w:val="16"/>
          <w:lang w:val="en-US"/>
        </w:rPr>
        <w:t xml:space="preserve"> note 110, folio 75, and note DH 2190 of July 6, 1998, signed by the Coordinator of the Cases Unit of the Human Rights Council of the Presidency of the Republic addressed to Raúl Hernández, </w:t>
      </w:r>
      <w:r w:rsidRPr="004B75F8">
        <w:rPr>
          <w:i/>
          <w:szCs w:val="16"/>
          <w:lang w:val="en-US"/>
        </w:rPr>
        <w:t>supra</w:t>
      </w:r>
      <w:r w:rsidRPr="004B75F8">
        <w:rPr>
          <w:szCs w:val="16"/>
          <w:lang w:val="en-US"/>
        </w:rPr>
        <w:t xml:space="preserve"> note 107, folio 101.</w:t>
      </w:r>
    </w:p>
  </w:footnote>
  <w:footnote w:id="11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record of delivery of the bulletproof vest, General Directorate of the Special Administrative Unit for Human Rights of the Ministry of the Interior, </w:t>
      </w:r>
      <w:r w:rsidRPr="004B75F8">
        <w:rPr>
          <w:i/>
          <w:szCs w:val="16"/>
          <w:lang w:val="en-US"/>
        </w:rPr>
        <w:t>supra</w:t>
      </w:r>
      <w:r w:rsidRPr="004B75F8">
        <w:rPr>
          <w:szCs w:val="16"/>
          <w:lang w:val="en-US"/>
        </w:rPr>
        <w:t xml:space="preserve"> note 110, folio 103; note No. 3410 of November 29, 1997, of the General Directorate of the Special Administrative Unit for Human Rights of the Ministry of the Interior addressed to the Ministry of Foreign Affairs, </w:t>
      </w:r>
      <w:r w:rsidRPr="004B75F8">
        <w:rPr>
          <w:i/>
          <w:szCs w:val="16"/>
          <w:lang w:val="en-US"/>
        </w:rPr>
        <w:t>supra</w:t>
      </w:r>
      <w:r w:rsidRPr="004B75F8">
        <w:rPr>
          <w:szCs w:val="16"/>
          <w:lang w:val="en-US"/>
        </w:rPr>
        <w:t xml:space="preserve"> note 110, folio 75; answer to note No. DDH.GOI No. 38367/1644 sent on June 30, 2009, by the Human Rights Directorate of the Ministry of the Interior and Justice to the Human Rights and International Humanitarian Law Directorate of the Ministry of Foreign Affairs,</w:t>
      </w:r>
      <w:r w:rsidRPr="004B75F8">
        <w:rPr>
          <w:i/>
          <w:szCs w:val="16"/>
          <w:lang w:val="en-US"/>
        </w:rPr>
        <w:t xml:space="preserve"> supra </w:t>
      </w:r>
      <w:r w:rsidRPr="004B75F8">
        <w:rPr>
          <w:szCs w:val="16"/>
          <w:lang w:val="en-US"/>
        </w:rPr>
        <w:t>note 110, folio 671, and note No. 4468 of March 26, 2007, addressed by the Protection Program of the Ministry of the Interior and Justice to the Human Rights and International Humanitarian Law Directorate of the Ministry of Foreign Affairs (annexes to the answering brief, annex 3, merits file, tome I, folio 673).</w:t>
      </w:r>
    </w:p>
  </w:footnote>
  <w:footnote w:id="11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answer to note No. DDH.GOI No. 38367/1644 sent on June 30, 2009, by the Human Rights Directorate of the Ministry of the Interior</w:t>
      </w:r>
      <w:r w:rsidR="00334C3C" w:rsidRPr="004B75F8">
        <w:rPr>
          <w:szCs w:val="16"/>
          <w:lang w:val="en-US"/>
        </w:rPr>
        <w:t xml:space="preserve"> and Justice</w:t>
      </w:r>
      <w:r w:rsidRPr="004B75F8">
        <w:rPr>
          <w:szCs w:val="16"/>
          <w:lang w:val="en-US"/>
        </w:rPr>
        <w:t xml:space="preserve"> to the Human Rights and International Humanitarian Law Directorate of the Ministry of Foreign Affairs, </w:t>
      </w:r>
      <w:r w:rsidRPr="004B75F8">
        <w:rPr>
          <w:i/>
          <w:szCs w:val="16"/>
          <w:lang w:val="en-US"/>
        </w:rPr>
        <w:t>supra</w:t>
      </w:r>
      <w:r w:rsidRPr="004B75F8">
        <w:rPr>
          <w:szCs w:val="16"/>
          <w:lang w:val="en-US"/>
        </w:rPr>
        <w:t xml:space="preserve"> nota 110, folio 671; note DH 2190 of July 6, 1998, signed by the Coordinator of the Cases Unit of the Human Rights Council of the Presidency of the Republic addressed to Raúl Hernández, </w:t>
      </w:r>
      <w:r w:rsidRPr="004B75F8">
        <w:rPr>
          <w:i/>
          <w:szCs w:val="16"/>
          <w:lang w:val="en-US"/>
        </w:rPr>
        <w:t>supra</w:t>
      </w:r>
      <w:r w:rsidRPr="004B75F8">
        <w:rPr>
          <w:szCs w:val="16"/>
          <w:lang w:val="en-US"/>
        </w:rPr>
        <w:t xml:space="preserve"> nota 107, folio 101, and letter of July 30, 1998, from the Director of the Asylum Division of the U.S. Citizenship and Immigration Service, addressed to Luis Gonzalo Vélez Restrepo (file of annexes to Merits Report 136/10, Tome I, Annex 27, folio 159)</w:t>
      </w:r>
      <w:r w:rsidRPr="004B75F8">
        <w:rPr>
          <w:bCs/>
          <w:szCs w:val="16"/>
          <w:lang w:val="en-US"/>
        </w:rPr>
        <w:t>.</w:t>
      </w:r>
    </w:p>
  </w:footnote>
  <w:footnote w:id="11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note No. 3410 of November 29, 1997, of the General Directorate of the Special Administrative Unit for Human Rights of the Ministry of the Interior addressed to the Ministry of Foreign Affairs,</w:t>
      </w:r>
      <w:r w:rsidRPr="004B75F8">
        <w:rPr>
          <w:i/>
          <w:szCs w:val="16"/>
          <w:lang w:val="en-US"/>
        </w:rPr>
        <w:t xml:space="preserve"> supra</w:t>
      </w:r>
      <w:r w:rsidRPr="004B75F8">
        <w:rPr>
          <w:szCs w:val="16"/>
          <w:lang w:val="en-US"/>
        </w:rPr>
        <w:t xml:space="preserve"> nota 110, folio 75</w:t>
      </w:r>
      <w:r w:rsidRPr="004B75F8">
        <w:rPr>
          <w:bCs/>
          <w:szCs w:val="16"/>
          <w:lang w:val="en-US"/>
        </w:rPr>
        <w:t>.</w:t>
      </w:r>
    </w:p>
  </w:footnote>
  <w:footnote w:id="116">
    <w:p w:rsidR="008C5C78" w:rsidRPr="004B75F8" w:rsidRDefault="008C5C78" w:rsidP="00722D73">
      <w:pPr>
        <w:tabs>
          <w:tab w:val="left" w:pos="720"/>
        </w:tabs>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w:t>
      </w:r>
      <w:r w:rsidRPr="004B75F8">
        <w:rPr>
          <w:sz w:val="16"/>
          <w:szCs w:val="16"/>
          <w:lang w:val="en-US"/>
        </w:rPr>
        <w:t xml:space="preserve"> letter of the Director of the Asylum Division, U.S. Citizenship and Immigration Services, to Luis Gonzalo Vélez Restrepo dated July 30, 1998, </w:t>
      </w:r>
      <w:r w:rsidRPr="004B75F8">
        <w:rPr>
          <w:i/>
          <w:sz w:val="16"/>
          <w:szCs w:val="16"/>
          <w:lang w:val="en-US"/>
        </w:rPr>
        <w:t>supra</w:t>
      </w:r>
      <w:r w:rsidRPr="004B75F8">
        <w:rPr>
          <w:sz w:val="16"/>
          <w:szCs w:val="16"/>
          <w:lang w:val="en-US"/>
        </w:rPr>
        <w:t xml:space="preserve"> note 113, folio 159, and notifications of decision of the U.S. Citizenship and Immigration Services of August 14, 1998 (file of annexes to Merits Report 136/10, tome I, annex 28, folios 163 to 165).</w:t>
      </w:r>
    </w:p>
  </w:footnote>
  <w:footnote w:id="11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answer to note No. DDH.GOI No. 38367/1644 sent on June 30, 2009 by the Human Rights Directorate of the Minist</w:t>
      </w:r>
      <w:r w:rsidR="00334C3C" w:rsidRPr="004B75F8">
        <w:rPr>
          <w:szCs w:val="16"/>
          <w:lang w:val="en-US"/>
        </w:rPr>
        <w:t>ry of the Interior and Justice to</w:t>
      </w:r>
      <w:r w:rsidRPr="004B75F8">
        <w:rPr>
          <w:szCs w:val="16"/>
          <w:lang w:val="en-US"/>
        </w:rPr>
        <w:t xml:space="preserve"> the Human Rights and International Humanitarian Law Directorate of the Ministry of Foreign Affairs, </w:t>
      </w:r>
      <w:r w:rsidRPr="004B75F8">
        <w:rPr>
          <w:i/>
          <w:szCs w:val="16"/>
          <w:lang w:val="en-US"/>
        </w:rPr>
        <w:t>supra</w:t>
      </w:r>
      <w:r w:rsidRPr="004B75F8">
        <w:rPr>
          <w:szCs w:val="16"/>
          <w:lang w:val="en-US"/>
        </w:rPr>
        <w:t xml:space="preserve"> note 110, folios 670 and 671; statement made by </w:t>
      </w:r>
      <w:r w:rsidRPr="004B75F8">
        <w:rPr>
          <w:rStyle w:val="Refdenotaalpie"/>
          <w:szCs w:val="16"/>
          <w:vertAlign w:val="baseline"/>
          <w:lang w:val="en-US"/>
        </w:rPr>
        <w:t xml:space="preserve">Aracelly Román Amariles </w:t>
      </w:r>
      <w:r w:rsidRPr="004B75F8">
        <w:rPr>
          <w:szCs w:val="16"/>
          <w:lang w:val="en-US"/>
        </w:rPr>
        <w:t xml:space="preserve">before the Inter-American Court during the public hearing held on February 24, 2012, and statement made by </w:t>
      </w:r>
      <w:r w:rsidRPr="004B75F8">
        <w:rPr>
          <w:rStyle w:val="Refdenotaalpie"/>
          <w:szCs w:val="16"/>
          <w:vertAlign w:val="baseline"/>
          <w:lang w:val="en-US"/>
        </w:rPr>
        <w:t>Aracelly Román Amariles</w:t>
      </w:r>
      <w:r w:rsidRPr="004B75F8">
        <w:rPr>
          <w:rStyle w:val="Refdenotaalpie"/>
          <w:szCs w:val="16"/>
          <w:lang w:val="en-US"/>
        </w:rPr>
        <w:t xml:space="preserve"> </w:t>
      </w:r>
      <w:r w:rsidRPr="004B75F8">
        <w:rPr>
          <w:szCs w:val="16"/>
          <w:lang w:val="en-US"/>
        </w:rPr>
        <w:t>on July 25,</w:t>
      </w:r>
      <w:r w:rsidRPr="004B75F8">
        <w:rPr>
          <w:rFonts w:eastAsia="ヒラギノ角ゴ Pro W3"/>
          <w:szCs w:val="16"/>
          <w:lang w:val="en-US"/>
        </w:rPr>
        <w:t xml:space="preserve"> 2005, </w:t>
      </w:r>
      <w:r w:rsidRPr="004B75F8">
        <w:rPr>
          <w:szCs w:val="16"/>
          <w:lang w:val="en-US"/>
        </w:rPr>
        <w:t xml:space="preserve">before a notary public of the District of Colombia, United States of America (file of annexes to Merits Report 136/10, tome I, annex 16, folio 86, and </w:t>
      </w:r>
      <w:r w:rsidRPr="004B75F8">
        <w:rPr>
          <w:rFonts w:cs="Arial"/>
          <w:szCs w:val="16"/>
          <w:lang w:val="en-US"/>
        </w:rPr>
        <w:t xml:space="preserve">file of annexes to the pleadings and motions brief, tome </w:t>
      </w:r>
      <w:r w:rsidRPr="004B75F8">
        <w:rPr>
          <w:szCs w:val="16"/>
          <w:lang w:val="en-US"/>
        </w:rPr>
        <w:t>II, annex 17, folio 664).</w:t>
      </w:r>
    </w:p>
  </w:footnote>
  <w:footnote w:id="118">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Fact accepted by the State. </w:t>
      </w:r>
    </w:p>
  </w:footnote>
  <w:footnote w:id="119">
    <w:p w:rsidR="008C5C78" w:rsidRPr="004B75F8" w:rsidRDefault="008C5C78" w:rsidP="00722D73">
      <w:pPr>
        <w:pStyle w:val="Textonotapie"/>
        <w:tabs>
          <w:tab w:val="left" w:pos="720"/>
        </w:tabs>
        <w:spacing w:after="100"/>
        <w:rPr>
          <w:szCs w:val="16"/>
          <w:lang w:val="en-US"/>
        </w:rPr>
      </w:pPr>
      <w:r w:rsidRPr="004B75F8">
        <w:rPr>
          <w:szCs w:val="16"/>
          <w:vertAlign w:val="superscript"/>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decision No. 011 issued by the Commander of the Twelfth Brigade of the Colombian National Army on August 30, 1996,</w:t>
      </w:r>
      <w:r w:rsidRPr="004B75F8">
        <w:rPr>
          <w:i/>
          <w:szCs w:val="16"/>
          <w:lang w:val="en-US"/>
        </w:rPr>
        <w:t xml:space="preserve"> supra</w:t>
      </w:r>
      <w:r w:rsidRPr="004B75F8">
        <w:rPr>
          <w:szCs w:val="16"/>
          <w:lang w:val="en-US"/>
        </w:rPr>
        <w:t xml:space="preserve"> note 79, folio 18.</w:t>
      </w:r>
    </w:p>
  </w:footnote>
  <w:footnote w:id="120">
    <w:p w:rsidR="008C5C78" w:rsidRPr="004B75F8" w:rsidRDefault="008C5C78" w:rsidP="00722D73">
      <w:pPr>
        <w:pStyle w:val="Textonotapie"/>
        <w:tabs>
          <w:tab w:val="left" w:pos="720"/>
        </w:tabs>
        <w:spacing w:after="100"/>
        <w:rPr>
          <w:szCs w:val="16"/>
          <w:lang w:val="en-US"/>
        </w:rPr>
      </w:pPr>
      <w:r w:rsidRPr="004B75F8">
        <w:rPr>
          <w:szCs w:val="16"/>
          <w:vertAlign w:val="superscript"/>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decision No. 012 issued by the Commander of the Twelfth Brigade of the Colombian National Army on August 30, 1996,</w:t>
      </w:r>
      <w:r w:rsidRPr="004B75F8">
        <w:rPr>
          <w:i/>
          <w:szCs w:val="16"/>
          <w:lang w:val="en-US"/>
        </w:rPr>
        <w:t xml:space="preserve"> supra</w:t>
      </w:r>
      <w:r w:rsidRPr="004B75F8">
        <w:rPr>
          <w:szCs w:val="16"/>
          <w:lang w:val="en-US"/>
        </w:rPr>
        <w:t xml:space="preserve"> note 74, folio 23.</w:t>
      </w:r>
    </w:p>
  </w:footnote>
  <w:footnote w:id="12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request for reconsideration of sanction filed by Sergeant first class </w:t>
      </w:r>
      <w:r w:rsidRPr="004B75F8">
        <w:rPr>
          <w:rFonts w:eastAsia="Calibri" w:cs="Arial"/>
          <w:szCs w:val="16"/>
          <w:lang w:val="en-US"/>
        </w:rPr>
        <w:t>Fernando Echavarría Calle before the Brigadier General Commander of the Twelfth Brigade of the Colombian National Army dated September 4, 1996, and request for revocation of decision No. 11 of</w:t>
      </w:r>
      <w:r w:rsidRPr="004B75F8">
        <w:rPr>
          <w:bCs/>
          <w:szCs w:val="16"/>
          <w:lang w:val="en-US"/>
        </w:rPr>
        <w:t xml:space="preserve"> August 30, 1996, and supplementary appeal filed by Second Sergeant second class </w:t>
      </w:r>
      <w:r w:rsidRPr="004B75F8">
        <w:rPr>
          <w:rFonts w:eastAsia="Calibri" w:cs="Arial"/>
          <w:szCs w:val="16"/>
          <w:lang w:val="en-US"/>
        </w:rPr>
        <w:t xml:space="preserve">William Moreno Pérez before the Brigadier General Commander of the Twelfth Brigade of the Twelfth Brigade of the Colombian National Army </w:t>
      </w:r>
      <w:r w:rsidRPr="004B75F8">
        <w:rPr>
          <w:bCs/>
          <w:szCs w:val="16"/>
          <w:lang w:val="en-US"/>
        </w:rPr>
        <w:t>(file of useful evidence presented by the State, tome III, folios 1200 and 1205)</w:t>
      </w:r>
      <w:r w:rsidRPr="004B75F8">
        <w:rPr>
          <w:rFonts w:eastAsia="Calibri" w:cs="Arial"/>
          <w:szCs w:val="16"/>
          <w:lang w:val="en-US"/>
        </w:rPr>
        <w:t>.</w:t>
      </w:r>
    </w:p>
  </w:footnote>
  <w:footnote w:id="122">
    <w:p w:rsidR="008C5C78" w:rsidRPr="004B75F8" w:rsidRDefault="008C5C78" w:rsidP="00722D73">
      <w:pPr>
        <w:pStyle w:val="Textonotapie"/>
        <w:tabs>
          <w:tab w:val="left" w:pos="720"/>
        </w:tabs>
        <w:spacing w:after="100"/>
        <w:rPr>
          <w:szCs w:val="16"/>
          <w:lang w:val="en-US"/>
        </w:rPr>
      </w:pPr>
      <w:r w:rsidRPr="004B75F8">
        <w:rPr>
          <w:szCs w:val="16"/>
          <w:vertAlign w:val="superscript"/>
          <w:lang w:val="en-US"/>
        </w:rPr>
        <w:footnoteRef/>
      </w:r>
      <w:r w:rsidRPr="004B75F8">
        <w:rPr>
          <w:szCs w:val="16"/>
          <w:vertAlign w:val="superscript"/>
          <w:lang w:val="en-US"/>
        </w:rPr>
        <w:t xml:space="preserve"> </w:t>
      </w:r>
      <w:r w:rsidRPr="004B75F8">
        <w:rPr>
          <w:szCs w:val="16"/>
          <w:vertAlign w:val="superscript"/>
          <w:lang w:val="en-US"/>
        </w:rPr>
        <w:tab/>
      </w:r>
      <w:r w:rsidRPr="004B75F8">
        <w:rPr>
          <w:i/>
          <w:szCs w:val="16"/>
          <w:lang w:val="en-US"/>
        </w:rPr>
        <w:t>Cf.</w:t>
      </w:r>
      <w:r w:rsidRPr="004B75F8">
        <w:rPr>
          <w:szCs w:val="16"/>
          <w:lang w:val="en-US"/>
        </w:rPr>
        <w:t xml:space="preserve"> Communication No. 68983 of July 25, 2012, from the Director for Human Rights and International Humanitarian Law of the Ministry of National Defense of Colombia to the Director for Human Rights and International Humanitarian Law of the Ministry of Foreign Affairs (</w:t>
      </w:r>
      <w:r w:rsidRPr="004B75F8">
        <w:rPr>
          <w:bCs/>
          <w:szCs w:val="16"/>
          <w:lang w:val="en-US"/>
        </w:rPr>
        <w:t>file of useful evidence presented by the State, tome</w:t>
      </w:r>
      <w:r w:rsidRPr="004B75F8">
        <w:rPr>
          <w:szCs w:val="16"/>
          <w:lang w:val="en-US"/>
        </w:rPr>
        <w:t xml:space="preserve"> I, folio 5).</w:t>
      </w:r>
    </w:p>
  </w:footnote>
  <w:footnote w:id="123">
    <w:p w:rsidR="008C5C78" w:rsidRPr="004B75F8" w:rsidRDefault="008C5C78" w:rsidP="00722D73">
      <w:pPr>
        <w:pStyle w:val="Textonotapie"/>
        <w:spacing w:after="100"/>
        <w:rPr>
          <w:szCs w:val="16"/>
          <w:vertAlign w:val="superscript"/>
          <w:lang w:val="en-US"/>
        </w:rPr>
      </w:pPr>
      <w:r w:rsidRPr="004B75F8">
        <w:rPr>
          <w:szCs w:val="16"/>
          <w:vertAlign w:val="superscript"/>
          <w:lang w:val="en-US"/>
        </w:rPr>
        <w:footnoteRef/>
      </w:r>
      <w:r w:rsidRPr="004B75F8">
        <w:rPr>
          <w:szCs w:val="16"/>
          <w:vertAlign w:val="superscript"/>
          <w:lang w:val="en-US"/>
        </w:rPr>
        <w:t xml:space="preserve"> </w:t>
      </w:r>
      <w:r w:rsidRPr="004B75F8">
        <w:rPr>
          <w:szCs w:val="16"/>
          <w:vertAlign w:val="superscript"/>
          <w:lang w:val="en-US"/>
        </w:rPr>
        <w:tab/>
      </w:r>
      <w:r w:rsidRPr="004B75F8">
        <w:rPr>
          <w:i/>
          <w:szCs w:val="16"/>
          <w:lang w:val="en-US"/>
        </w:rPr>
        <w:t>Cf.</w:t>
      </w:r>
      <w:r w:rsidRPr="004B75F8">
        <w:rPr>
          <w:szCs w:val="16"/>
          <w:lang w:val="en-US"/>
        </w:rPr>
        <w:t xml:space="preserve"> decision issued on May 27, 1998 por the Attorney General’s Office, File No. 001-3422 (file of annexes to Merits Report 136/10, tome I, annex 33, folios 195 to 197).</w:t>
      </w:r>
    </w:p>
  </w:footnote>
  <w:footnote w:id="124">
    <w:p w:rsidR="008C5C78" w:rsidRPr="004B75F8" w:rsidRDefault="008C5C78" w:rsidP="00722D73">
      <w:pPr>
        <w:pStyle w:val="FootnoteText1"/>
        <w:spacing w:after="100"/>
        <w:jc w:val="both"/>
        <w:rPr>
          <w:rFonts w:ascii="Verdana" w:eastAsia="Times New Roman" w:hAnsi="Verdana"/>
          <w:color w:val="auto"/>
          <w:sz w:val="16"/>
          <w:szCs w:val="16"/>
        </w:rPr>
      </w:pPr>
      <w:r w:rsidRPr="004B75F8">
        <w:rPr>
          <w:rFonts w:ascii="Verdana" w:hAnsi="Verdana"/>
          <w:sz w:val="16"/>
          <w:szCs w:val="16"/>
          <w:vertAlign w:val="superscript"/>
        </w:rPr>
        <w:footnoteRef/>
      </w:r>
      <w:r w:rsidRPr="004B75F8">
        <w:rPr>
          <w:rFonts w:ascii="Verdana" w:hAnsi="Verdana"/>
          <w:sz w:val="16"/>
          <w:szCs w:val="16"/>
        </w:rPr>
        <w:t xml:space="preserve"> </w:t>
      </w:r>
      <w:r w:rsidRPr="004B75F8">
        <w:rPr>
          <w:rFonts w:ascii="Verdana" w:hAnsi="Verdana"/>
          <w:sz w:val="16"/>
          <w:szCs w:val="16"/>
        </w:rPr>
        <w:tab/>
      </w:r>
      <w:r w:rsidRPr="004B75F8">
        <w:rPr>
          <w:rFonts w:ascii="Verdana" w:hAnsi="Verdana"/>
          <w:i/>
          <w:sz w:val="16"/>
          <w:szCs w:val="16"/>
        </w:rPr>
        <w:t>Cf.</w:t>
      </w:r>
      <w:r w:rsidRPr="004B75F8">
        <w:rPr>
          <w:rFonts w:ascii="Verdana" w:hAnsi="Verdana"/>
          <w:sz w:val="16"/>
          <w:szCs w:val="16"/>
        </w:rPr>
        <w:t xml:space="preserve"> decision issued on May 27, 1998 por the Attorney General’s Office, File No. 001-3422, </w:t>
      </w:r>
      <w:r w:rsidRPr="004B75F8">
        <w:rPr>
          <w:rFonts w:ascii="Verdana" w:hAnsi="Verdana"/>
          <w:i/>
          <w:sz w:val="16"/>
          <w:szCs w:val="16"/>
        </w:rPr>
        <w:t>supra</w:t>
      </w:r>
      <w:r w:rsidRPr="004B75F8">
        <w:rPr>
          <w:rFonts w:ascii="Verdana" w:hAnsi="Verdana"/>
          <w:sz w:val="16"/>
          <w:szCs w:val="16"/>
        </w:rPr>
        <w:t xml:space="preserve"> note 122, folio 202.</w:t>
      </w:r>
    </w:p>
  </w:footnote>
  <w:footnote w:id="125">
    <w:p w:rsidR="008C5C78" w:rsidRPr="004B75F8" w:rsidRDefault="008C5C78" w:rsidP="00722D73">
      <w:pPr>
        <w:pStyle w:val="FootnoteText1"/>
        <w:spacing w:after="100"/>
        <w:jc w:val="both"/>
        <w:rPr>
          <w:rFonts w:ascii="Verdana" w:eastAsia="Times New Roman" w:hAnsi="Verdana"/>
          <w:color w:val="auto"/>
          <w:sz w:val="16"/>
          <w:szCs w:val="16"/>
        </w:rPr>
      </w:pPr>
      <w:r w:rsidRPr="004B75F8">
        <w:rPr>
          <w:rFonts w:ascii="Verdana" w:hAnsi="Verdana"/>
          <w:sz w:val="16"/>
          <w:szCs w:val="16"/>
          <w:vertAlign w:val="superscript"/>
        </w:rPr>
        <w:footnoteRef/>
      </w:r>
      <w:r w:rsidRPr="004B75F8">
        <w:rPr>
          <w:rFonts w:ascii="Verdana" w:hAnsi="Verdana"/>
          <w:sz w:val="16"/>
          <w:szCs w:val="16"/>
        </w:rPr>
        <w:t xml:space="preserve"> </w:t>
      </w:r>
      <w:r w:rsidRPr="004B75F8">
        <w:rPr>
          <w:rFonts w:ascii="Verdana" w:hAnsi="Verdana"/>
          <w:sz w:val="16"/>
          <w:szCs w:val="16"/>
        </w:rPr>
        <w:tab/>
      </w:r>
      <w:r w:rsidRPr="004B75F8">
        <w:rPr>
          <w:rFonts w:ascii="Verdana" w:hAnsi="Verdana"/>
          <w:i/>
          <w:sz w:val="16"/>
          <w:szCs w:val="16"/>
        </w:rPr>
        <w:t>Cf.</w:t>
      </w:r>
      <w:r w:rsidRPr="004B75F8">
        <w:rPr>
          <w:rFonts w:ascii="Verdana" w:hAnsi="Verdana"/>
          <w:sz w:val="16"/>
          <w:szCs w:val="16"/>
        </w:rPr>
        <w:t xml:space="preserve"> decision issued on October 3, 1997, by the 122</w:t>
      </w:r>
      <w:r w:rsidRPr="004B75F8">
        <w:rPr>
          <w:rFonts w:ascii="Verdana" w:hAnsi="Verdana"/>
          <w:sz w:val="16"/>
          <w:szCs w:val="16"/>
          <w:vertAlign w:val="superscript"/>
        </w:rPr>
        <w:t>nd</w:t>
      </w:r>
      <w:r w:rsidRPr="004B75F8">
        <w:rPr>
          <w:rFonts w:ascii="Verdana" w:hAnsi="Verdana"/>
          <w:sz w:val="16"/>
          <w:szCs w:val="16"/>
        </w:rPr>
        <w:t xml:space="preserve"> Military Criminal Court of First Instance, San Vicente del Caguán (Caquetá) (file of annexes to Merits Report 136/10, tome I, annex 32, folio 188), and Note No. 193 of October 31, 1996, of the 122</w:t>
      </w:r>
      <w:r w:rsidRPr="004B75F8">
        <w:rPr>
          <w:rFonts w:ascii="Verdana" w:hAnsi="Verdana"/>
          <w:sz w:val="16"/>
          <w:szCs w:val="16"/>
          <w:vertAlign w:val="superscript"/>
        </w:rPr>
        <w:t>nd</w:t>
      </w:r>
      <w:r w:rsidRPr="004B75F8">
        <w:rPr>
          <w:rFonts w:ascii="Verdana" w:hAnsi="Verdana"/>
          <w:sz w:val="16"/>
          <w:szCs w:val="16"/>
        </w:rPr>
        <w:t xml:space="preserve"> Military Criminal Court of First Instance, San Vicente del Caguán (Caquetá) (file of annexes to Merits Report 136/10, tome I, annex 37, folio 229).</w:t>
      </w:r>
    </w:p>
  </w:footnote>
  <w:footnote w:id="12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 made by Luis Gonzalo </w:t>
      </w:r>
      <w:r w:rsidRPr="004B75F8">
        <w:rPr>
          <w:rStyle w:val="Refdenotaalpie"/>
          <w:szCs w:val="16"/>
          <w:vertAlign w:val="baseline"/>
          <w:lang w:val="en-US"/>
        </w:rPr>
        <w:t>Vélez Restrepo</w:t>
      </w:r>
      <w:r w:rsidRPr="004B75F8">
        <w:rPr>
          <w:szCs w:val="16"/>
          <w:lang w:val="en-US"/>
        </w:rPr>
        <w:t xml:space="preserve"> before the Inter-American Court during the public hearing held on February 24, 2012, and statement made by Luis Gonzalo Vélez Restrepo on July 25,</w:t>
      </w:r>
      <w:r w:rsidRPr="004B75F8">
        <w:rPr>
          <w:rFonts w:eastAsia="ヒラギノ角ゴ Pro W3"/>
          <w:szCs w:val="16"/>
          <w:lang w:val="en-US"/>
        </w:rPr>
        <w:t xml:space="preserve"> 2005, </w:t>
      </w:r>
      <w:r w:rsidRPr="004B75F8">
        <w:rPr>
          <w:szCs w:val="16"/>
          <w:lang w:val="en-US"/>
        </w:rPr>
        <w:t xml:space="preserve">before a notary public of the District of Colombia, United States of America (file of annexes to Merits Report 136/10, tome I, annex 15, folio 79, and </w:t>
      </w:r>
      <w:r w:rsidRPr="004B75F8">
        <w:rPr>
          <w:rFonts w:cs="Arial"/>
          <w:szCs w:val="16"/>
          <w:lang w:val="en-US"/>
        </w:rPr>
        <w:t>file of annexes to the pleadings and motions brief, tome II, annex 16, folio 656</w:t>
      </w:r>
      <w:r w:rsidRPr="004B75F8">
        <w:rPr>
          <w:szCs w:val="16"/>
          <w:lang w:val="en-US"/>
        </w:rPr>
        <w:t>).</w:t>
      </w:r>
    </w:p>
  </w:footnote>
  <w:footnote w:id="127">
    <w:p w:rsidR="008C5C78" w:rsidRPr="004B75F8" w:rsidRDefault="008C5C78" w:rsidP="00722D73">
      <w:pPr>
        <w:pStyle w:val="Prrafodelista"/>
        <w:tabs>
          <w:tab w:val="left" w:pos="720"/>
        </w:tabs>
        <w:autoSpaceDE w:val="0"/>
        <w:autoSpaceDN w:val="0"/>
        <w:adjustRightInd w:val="0"/>
        <w:spacing w:after="100"/>
        <w:ind w:left="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w:t>
      </w:r>
      <w:r w:rsidRPr="004B75F8">
        <w:rPr>
          <w:sz w:val="16"/>
          <w:szCs w:val="16"/>
          <w:lang w:val="en-US"/>
        </w:rPr>
        <w:t xml:space="preserve"> note No. 0605/MDN-DEJUM-J67lPM-BICAZ-742 of June 22, 2006, of the 67</w:t>
      </w:r>
      <w:r w:rsidRPr="004B75F8">
        <w:rPr>
          <w:sz w:val="16"/>
          <w:szCs w:val="16"/>
          <w:vertAlign w:val="superscript"/>
          <w:lang w:val="en-US"/>
        </w:rPr>
        <w:t>th</w:t>
      </w:r>
      <w:r w:rsidRPr="004B75F8">
        <w:rPr>
          <w:sz w:val="16"/>
          <w:szCs w:val="16"/>
          <w:lang w:val="en-US"/>
        </w:rPr>
        <w:t xml:space="preserve"> Military Criminal Court of First Instance (file of annexes to Merits Report 136/10, tome I, annex 31, folio 186).</w:t>
      </w:r>
    </w:p>
  </w:footnote>
  <w:footnote w:id="12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Decision issued October 3, 1997, by the 122nd Military Criminal Court of First Instance, San Vicente del Caguán (Caquetá), </w:t>
      </w:r>
      <w:r w:rsidRPr="004B75F8">
        <w:rPr>
          <w:i/>
          <w:szCs w:val="16"/>
          <w:lang w:val="en-US"/>
        </w:rPr>
        <w:t>supra</w:t>
      </w:r>
      <w:r w:rsidRPr="004B75F8">
        <w:rPr>
          <w:szCs w:val="16"/>
          <w:lang w:val="en-US"/>
        </w:rPr>
        <w:t xml:space="preserve"> note 124, folio 193.</w:t>
      </w:r>
    </w:p>
  </w:footnote>
  <w:footnote w:id="129">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 xml:space="preserve">letter of September 11, 1996, signed by Hans Sarmiento, Editor-in-Chief of </w:t>
      </w:r>
      <w:r w:rsidRPr="004B75F8">
        <w:rPr>
          <w:i/>
          <w:szCs w:val="16"/>
          <w:lang w:val="en-US"/>
        </w:rPr>
        <w:t>Noticiero Colombia 12:30</w:t>
      </w:r>
      <w:r w:rsidRPr="004B75F8">
        <w:rPr>
          <w:szCs w:val="16"/>
          <w:lang w:val="en-US"/>
        </w:rPr>
        <w:t xml:space="preserve">, addressed to the National Director of Special Investigations of the Attorney General’s Office, </w:t>
      </w:r>
      <w:r w:rsidRPr="004B75F8">
        <w:rPr>
          <w:i/>
          <w:szCs w:val="16"/>
          <w:lang w:val="en-US"/>
        </w:rPr>
        <w:t>supra</w:t>
      </w:r>
      <w:r w:rsidRPr="004B75F8">
        <w:rPr>
          <w:szCs w:val="16"/>
          <w:lang w:val="en-US"/>
        </w:rPr>
        <w:t xml:space="preserve"> note 99, folio 62.</w:t>
      </w:r>
    </w:p>
  </w:footnote>
  <w:footnote w:id="130">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iCs/>
          <w:sz w:val="16"/>
          <w:szCs w:val="16"/>
          <w:lang w:val="en-US"/>
        </w:rPr>
        <w:t xml:space="preserve">Cf. </w:t>
      </w:r>
      <w:r w:rsidRPr="004B75F8">
        <w:rPr>
          <w:sz w:val="16"/>
          <w:szCs w:val="16"/>
          <w:lang w:val="en-US"/>
        </w:rPr>
        <w:t xml:space="preserve">case </w:t>
      </w:r>
      <w:r w:rsidR="00334C3C" w:rsidRPr="004B75F8">
        <w:rPr>
          <w:sz w:val="16"/>
          <w:szCs w:val="16"/>
          <w:lang w:val="en-US"/>
        </w:rPr>
        <w:t>file</w:t>
      </w:r>
      <w:r w:rsidRPr="004B75F8">
        <w:rPr>
          <w:sz w:val="16"/>
          <w:szCs w:val="16"/>
          <w:lang w:val="en-US"/>
        </w:rPr>
        <w:t xml:space="preserve"> 286969, report dated September 17, 1996, addressed by two officials of the Human Rights Unit of the National Special Investigations Directorate of the Attorney General’s Office to the </w:t>
      </w:r>
      <w:r w:rsidR="00334C3C" w:rsidRPr="004B75F8">
        <w:rPr>
          <w:sz w:val="16"/>
          <w:szCs w:val="16"/>
          <w:lang w:val="en-US"/>
        </w:rPr>
        <w:t>Coordinator</w:t>
      </w:r>
      <w:r w:rsidRPr="004B75F8">
        <w:rPr>
          <w:sz w:val="16"/>
          <w:szCs w:val="16"/>
          <w:lang w:val="en-US"/>
        </w:rPr>
        <w:t xml:space="preserve"> of the Human Rights Unit with regard to mandate No. 0171, and  note of </w:t>
      </w:r>
      <w:r w:rsidRPr="004B75F8">
        <w:rPr>
          <w:rFonts w:cs="Arial"/>
          <w:sz w:val="16"/>
          <w:szCs w:val="16"/>
          <w:lang w:val="en-US"/>
        </w:rPr>
        <w:t>September 24, 1996, signed by the Director of the Human Rights Unit of the Attorney General’s Office addressed to the Director of the DAS</w:t>
      </w:r>
      <w:r w:rsidRPr="004B75F8">
        <w:rPr>
          <w:sz w:val="16"/>
          <w:szCs w:val="16"/>
          <w:lang w:val="en-US"/>
        </w:rPr>
        <w:t xml:space="preserve"> (file of useful evidence presented by the State on August 13, 2012, tome IV, folios 1719 and 1720).</w:t>
      </w:r>
    </w:p>
  </w:footnote>
  <w:footnote w:id="13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note issued</w:t>
      </w:r>
      <w:r w:rsidRPr="004B75F8">
        <w:rPr>
          <w:rStyle w:val="Refdenotaalpie"/>
          <w:szCs w:val="16"/>
          <w:vertAlign w:val="baseline"/>
          <w:lang w:val="en-US"/>
        </w:rPr>
        <w:t xml:space="preserve"> on October 10, 1997 b</w:t>
      </w:r>
      <w:r w:rsidRPr="004B75F8">
        <w:rPr>
          <w:szCs w:val="16"/>
          <w:lang w:val="en-US"/>
        </w:rPr>
        <w:t>y</w:t>
      </w:r>
      <w:r w:rsidRPr="004B75F8">
        <w:rPr>
          <w:rStyle w:val="Refdenotaalpie"/>
          <w:szCs w:val="16"/>
          <w:vertAlign w:val="baseline"/>
          <w:lang w:val="en-US"/>
        </w:rPr>
        <w:t xml:space="preserve"> the Human Rights Unit of the </w:t>
      </w:r>
      <w:r w:rsidRPr="004B75F8">
        <w:rPr>
          <w:szCs w:val="16"/>
          <w:lang w:val="en-US"/>
        </w:rPr>
        <w:t>National Special Investigations Directorate of the Attorney General’s Office</w:t>
      </w:r>
      <w:r w:rsidRPr="004B75F8">
        <w:rPr>
          <w:rStyle w:val="Refdenotaalpie"/>
          <w:szCs w:val="16"/>
          <w:vertAlign w:val="baseline"/>
          <w:lang w:val="en-US"/>
        </w:rPr>
        <w:t xml:space="preserve"> (file of annexes to Merits Report 136/10, </w:t>
      </w:r>
      <w:r w:rsidRPr="004B75F8">
        <w:rPr>
          <w:szCs w:val="16"/>
          <w:lang w:val="en-US"/>
        </w:rPr>
        <w:t xml:space="preserve">tome I, </w:t>
      </w:r>
      <w:r w:rsidRPr="004B75F8">
        <w:rPr>
          <w:rStyle w:val="Refdenotaalpie"/>
          <w:szCs w:val="16"/>
          <w:vertAlign w:val="baseline"/>
          <w:lang w:val="en-US"/>
        </w:rPr>
        <w:t>annex 12, folio</w:t>
      </w:r>
      <w:r w:rsidRPr="004B75F8">
        <w:rPr>
          <w:szCs w:val="16"/>
          <w:lang w:val="en-US"/>
        </w:rPr>
        <w:t>s</w:t>
      </w:r>
      <w:r w:rsidRPr="004B75F8">
        <w:rPr>
          <w:rStyle w:val="Refdenotaalpie"/>
          <w:szCs w:val="16"/>
          <w:vertAlign w:val="baseline"/>
          <w:lang w:val="en-US"/>
        </w:rPr>
        <w:t xml:space="preserve"> 67 and 68)</w:t>
      </w:r>
      <w:r w:rsidRPr="004B75F8">
        <w:rPr>
          <w:szCs w:val="16"/>
          <w:lang w:val="en-US"/>
        </w:rPr>
        <w:t>, and letter addressed by the Colombian Commission of Jurists to the Attorney General’s Office on September 29, 1997 (file of the processing of the case before the Commission, tome II, folios 912 and 913).</w:t>
      </w:r>
    </w:p>
  </w:footnote>
  <w:footnote w:id="13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letter dated September 29, 1997, addressed by the Colombian Commission of Jurists to the Attorney General’s Office, </w:t>
      </w:r>
      <w:r w:rsidRPr="004B75F8">
        <w:rPr>
          <w:i/>
          <w:szCs w:val="16"/>
          <w:lang w:val="en-US"/>
        </w:rPr>
        <w:t>supra</w:t>
      </w:r>
      <w:r w:rsidRPr="004B75F8">
        <w:rPr>
          <w:szCs w:val="16"/>
          <w:lang w:val="en-US"/>
        </w:rPr>
        <w:t xml:space="preserve"> note 105, folios 912 and 913.</w:t>
      </w:r>
    </w:p>
  </w:footnote>
  <w:footnote w:id="13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note issued</w:t>
      </w:r>
      <w:r w:rsidRPr="004B75F8">
        <w:rPr>
          <w:rStyle w:val="Refdenotaalpie"/>
          <w:szCs w:val="16"/>
          <w:vertAlign w:val="baseline"/>
          <w:lang w:val="en-US"/>
        </w:rPr>
        <w:t xml:space="preserve"> on October 10, 1997, by the Human Rights Unit of the </w:t>
      </w:r>
      <w:r w:rsidRPr="004B75F8">
        <w:rPr>
          <w:szCs w:val="16"/>
          <w:lang w:val="en-US"/>
        </w:rPr>
        <w:t>National Special Investigations Directorate of the Attorney General’s Office</w:t>
      </w:r>
      <w:r w:rsidRPr="004B75F8">
        <w:rPr>
          <w:rStyle w:val="Refdenotaalpie"/>
          <w:szCs w:val="16"/>
          <w:vertAlign w:val="baseline"/>
          <w:lang w:val="en-US"/>
        </w:rPr>
        <w:t xml:space="preserve">, </w:t>
      </w:r>
      <w:r w:rsidRPr="004B75F8">
        <w:rPr>
          <w:rStyle w:val="Refdenotaalpie"/>
          <w:i/>
          <w:szCs w:val="16"/>
          <w:vertAlign w:val="baseline"/>
          <w:lang w:val="en-US"/>
        </w:rPr>
        <w:t>supra</w:t>
      </w:r>
      <w:r w:rsidRPr="004B75F8">
        <w:rPr>
          <w:rStyle w:val="Refdenotaalpie"/>
          <w:szCs w:val="16"/>
          <w:vertAlign w:val="baseline"/>
          <w:lang w:val="en-US"/>
        </w:rPr>
        <w:t xml:space="preserve"> note 130, folio</w:t>
      </w:r>
      <w:r w:rsidRPr="004B75F8">
        <w:rPr>
          <w:szCs w:val="16"/>
          <w:lang w:val="en-US"/>
        </w:rPr>
        <w:t>s</w:t>
      </w:r>
      <w:r w:rsidRPr="004B75F8">
        <w:rPr>
          <w:rStyle w:val="Refdenotaalpie"/>
          <w:szCs w:val="16"/>
          <w:vertAlign w:val="baseline"/>
          <w:lang w:val="en-US"/>
        </w:rPr>
        <w:t xml:space="preserve"> 67 and 68</w:t>
      </w:r>
      <w:r w:rsidRPr="004B75F8">
        <w:rPr>
          <w:szCs w:val="16"/>
          <w:lang w:val="en-US"/>
        </w:rPr>
        <w:t xml:space="preserve">, and </w:t>
      </w:r>
      <w:r w:rsidRPr="004B75F8">
        <w:rPr>
          <w:rFonts w:cs="Arial"/>
          <w:szCs w:val="16"/>
          <w:lang w:val="en-US"/>
        </w:rPr>
        <w:t>statement made by Eduin Yesid Cristancho Merchan before the Human Rights United of the National Special Investigations Directorate of the Attorney General’s Office on October 17,</w:t>
      </w:r>
      <w:r w:rsidRPr="004B75F8">
        <w:rPr>
          <w:szCs w:val="16"/>
          <w:lang w:val="en-US"/>
        </w:rPr>
        <w:t xml:space="preserve"> 1997</w:t>
      </w:r>
      <w:r w:rsidRPr="004B75F8">
        <w:rPr>
          <w:rStyle w:val="Refdenotaalpie"/>
          <w:szCs w:val="16"/>
          <w:lang w:val="en-US"/>
        </w:rPr>
        <w:t xml:space="preserve"> </w:t>
      </w:r>
      <w:r w:rsidRPr="004B75F8">
        <w:rPr>
          <w:szCs w:val="16"/>
          <w:lang w:val="en-US"/>
        </w:rPr>
        <w:t>(file of annexes to Merits Report 136/10, tome I, annex 17, folio 91).</w:t>
      </w:r>
    </w:p>
  </w:footnote>
  <w:footnote w:id="13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rStyle w:val="Refdenotaalpie"/>
          <w:szCs w:val="16"/>
          <w:vertAlign w:val="baseline"/>
          <w:lang w:val="en-US"/>
        </w:rPr>
        <w:t>statement made on February 2, 1998</w:t>
      </w:r>
      <w:r w:rsidRPr="004B75F8">
        <w:rPr>
          <w:szCs w:val="16"/>
          <w:lang w:val="en-US"/>
        </w:rPr>
        <w:t>, by</w:t>
      </w:r>
      <w:r w:rsidRPr="004B75F8">
        <w:rPr>
          <w:rStyle w:val="Refdenotaalpie"/>
          <w:szCs w:val="16"/>
          <w:vertAlign w:val="baseline"/>
          <w:lang w:val="en-US"/>
        </w:rPr>
        <w:t xml:space="preserve"> Aracelly Román Amariles </w:t>
      </w:r>
      <w:r w:rsidRPr="004B75F8">
        <w:rPr>
          <w:szCs w:val="16"/>
          <w:lang w:val="en-US"/>
        </w:rPr>
        <w:t>before the</w:t>
      </w:r>
      <w:r w:rsidRPr="004B75F8">
        <w:rPr>
          <w:rStyle w:val="Refdenotaalpie"/>
          <w:szCs w:val="16"/>
          <w:vertAlign w:val="baseline"/>
          <w:lang w:val="en-US"/>
        </w:rPr>
        <w:t xml:space="preserve"> Antioquia</w:t>
      </w:r>
      <w:r w:rsidRPr="004B75F8">
        <w:rPr>
          <w:szCs w:val="16"/>
          <w:lang w:val="en-US"/>
        </w:rPr>
        <w:t xml:space="preserve"> Branch Office of the National Special Investigations Directorate of the Attorney General’s Office</w:t>
      </w:r>
      <w:r w:rsidRPr="004B75F8">
        <w:rPr>
          <w:rStyle w:val="Refdenotaalpie"/>
          <w:szCs w:val="16"/>
          <w:vertAlign w:val="baseline"/>
          <w:lang w:val="en-US"/>
        </w:rPr>
        <w:t xml:space="preserve">, </w:t>
      </w:r>
      <w:r w:rsidRPr="004B75F8">
        <w:rPr>
          <w:rStyle w:val="Refdenotaalpie"/>
          <w:i/>
          <w:szCs w:val="16"/>
          <w:vertAlign w:val="baseline"/>
          <w:lang w:val="en-US"/>
        </w:rPr>
        <w:t>supra</w:t>
      </w:r>
      <w:r w:rsidRPr="004B75F8">
        <w:rPr>
          <w:rStyle w:val="Refdenotaalpie"/>
          <w:szCs w:val="16"/>
          <w:vertAlign w:val="baseline"/>
          <w:lang w:val="en-US"/>
        </w:rPr>
        <w:t xml:space="preserve"> note 103, folio</w:t>
      </w:r>
      <w:r w:rsidRPr="004B75F8">
        <w:rPr>
          <w:szCs w:val="16"/>
          <w:lang w:val="en-US"/>
        </w:rPr>
        <w:t>s</w:t>
      </w:r>
      <w:r w:rsidRPr="004B75F8">
        <w:rPr>
          <w:rStyle w:val="Refdenotaalpie"/>
          <w:szCs w:val="16"/>
          <w:vertAlign w:val="baseline"/>
          <w:lang w:val="en-US"/>
        </w:rPr>
        <w:t xml:space="preserve"> 94</w:t>
      </w:r>
      <w:r w:rsidRPr="004B75F8">
        <w:rPr>
          <w:szCs w:val="16"/>
          <w:lang w:val="en-US"/>
        </w:rPr>
        <w:t xml:space="preserve"> and 95.</w:t>
      </w:r>
    </w:p>
  </w:footnote>
  <w:footnote w:id="13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report of July 10, 1998, assessing the preliminary inquiry D.N.I.E. 125/98 of the </w:t>
      </w:r>
      <w:r w:rsidRPr="004B75F8">
        <w:rPr>
          <w:rStyle w:val="Refdenotaalpie"/>
          <w:szCs w:val="16"/>
          <w:vertAlign w:val="baseline"/>
          <w:lang w:val="en-US"/>
        </w:rPr>
        <w:t xml:space="preserve">Human Rights Unit of the </w:t>
      </w:r>
      <w:r w:rsidRPr="004B75F8">
        <w:rPr>
          <w:szCs w:val="16"/>
          <w:lang w:val="en-US"/>
        </w:rPr>
        <w:t xml:space="preserve">National Special Investigations Directorate of the Attorney General’s Office </w:t>
      </w:r>
      <w:r w:rsidRPr="004B75F8">
        <w:rPr>
          <w:rStyle w:val="Refdenotaalpie"/>
          <w:szCs w:val="16"/>
          <w:vertAlign w:val="baseline"/>
          <w:lang w:val="en-US"/>
        </w:rPr>
        <w:t xml:space="preserve">(file of annexes to Merits Report 136/10, </w:t>
      </w:r>
      <w:r w:rsidRPr="004B75F8">
        <w:rPr>
          <w:szCs w:val="16"/>
          <w:lang w:val="en-US"/>
        </w:rPr>
        <w:t>tome I, annex 23, folios 110 to 113).</w:t>
      </w:r>
    </w:p>
  </w:footnote>
  <w:footnote w:id="13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Decision issued on May 3, 2002, by the Oversight Office of the Attorney General’s Office, </w:t>
      </w:r>
      <w:r w:rsidR="00334C3C" w:rsidRPr="004B75F8">
        <w:rPr>
          <w:szCs w:val="16"/>
          <w:lang w:val="en-US"/>
        </w:rPr>
        <w:t>case file</w:t>
      </w:r>
      <w:r w:rsidRPr="004B75F8">
        <w:rPr>
          <w:szCs w:val="16"/>
          <w:lang w:val="en-US"/>
        </w:rPr>
        <w:t xml:space="preserve"> 030-54410/2001 (file of annexes to Merits Report 136/10, tome I, annex 22, folios 105 to 108).</w:t>
      </w:r>
    </w:p>
  </w:footnote>
  <w:footnote w:id="13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decision issued on August 27, 2006, by the Second District Attorney’s Office of Bogotá, Attorney General’s Office, File No. 143-17639/98 (file of annexes to Merits Report 136/10, tome I, annex 34, folios 205-208).</w:t>
      </w:r>
    </w:p>
  </w:footnote>
  <w:footnote w:id="13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case file No. 286969, Prosecutor General’s Office</w:t>
      </w:r>
      <w:r w:rsidRPr="004B75F8">
        <w:rPr>
          <w:bCs/>
          <w:szCs w:val="16"/>
          <w:lang w:val="en-US"/>
        </w:rPr>
        <w:t xml:space="preserve"> and note of November 20, 1996, issued by the 243</w:t>
      </w:r>
      <w:r w:rsidRPr="004B75F8">
        <w:rPr>
          <w:bCs/>
          <w:szCs w:val="16"/>
          <w:vertAlign w:val="superscript"/>
          <w:lang w:val="en-US"/>
        </w:rPr>
        <w:t>rd</w:t>
      </w:r>
      <w:r w:rsidRPr="004B75F8">
        <w:rPr>
          <w:bCs/>
          <w:szCs w:val="16"/>
          <w:lang w:val="en-US"/>
        </w:rPr>
        <w:t xml:space="preserve"> Prosecutor Delegate (file of useful evidence presented by the State, tome IV, folios 1713 and 1724).</w:t>
      </w:r>
    </w:p>
  </w:footnote>
  <w:footnote w:id="13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 made on August 27, 1997, by Luis Gonzalo </w:t>
      </w:r>
      <w:r w:rsidRPr="004B75F8">
        <w:rPr>
          <w:rStyle w:val="Refdenotaalpie"/>
          <w:szCs w:val="16"/>
          <w:vertAlign w:val="baseline"/>
          <w:lang w:val="en-US"/>
        </w:rPr>
        <w:t>Vélez Restrepo</w:t>
      </w:r>
      <w:r w:rsidRPr="004B75F8">
        <w:rPr>
          <w:szCs w:val="16"/>
          <w:lang w:val="en-US"/>
        </w:rPr>
        <w:t xml:space="preserve"> before the 243</w:t>
      </w:r>
      <w:r w:rsidRPr="004B75F8">
        <w:rPr>
          <w:szCs w:val="16"/>
          <w:vertAlign w:val="superscript"/>
          <w:lang w:val="en-US"/>
        </w:rPr>
        <w:t>rd</w:t>
      </w:r>
      <w:r w:rsidRPr="004B75F8">
        <w:rPr>
          <w:szCs w:val="16"/>
          <w:lang w:val="en-US"/>
        </w:rPr>
        <w:t xml:space="preserve"> Bogotá Sectional Prosecutor’s Office, </w:t>
      </w:r>
      <w:r w:rsidRPr="004B75F8">
        <w:rPr>
          <w:i/>
          <w:szCs w:val="16"/>
          <w:lang w:val="en-US"/>
        </w:rPr>
        <w:t>supra</w:t>
      </w:r>
      <w:r w:rsidRPr="004B75F8">
        <w:rPr>
          <w:szCs w:val="16"/>
          <w:lang w:val="en-US"/>
        </w:rPr>
        <w:t xml:space="preserve"> nota 101, folio 64.</w:t>
      </w:r>
    </w:p>
  </w:footnote>
  <w:footnote w:id="14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writ of prohibition issued on September 1, 1999, by the 243rd Prosecutor Delegate </w:t>
      </w:r>
      <w:r w:rsidRPr="004B75F8">
        <w:rPr>
          <w:bCs/>
          <w:szCs w:val="16"/>
          <w:lang w:val="en-US"/>
        </w:rPr>
        <w:t>(file of useful evidence presented by the State, tome IV, folios 1743 to 1745).</w:t>
      </w:r>
    </w:p>
  </w:footnote>
  <w:footnote w:id="14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 xml:space="preserve">case file No. 840718, 253rd Bogotá Sectional Prosecutor’s Office </w:t>
      </w:r>
      <w:r w:rsidRPr="004B75F8">
        <w:rPr>
          <w:bCs/>
          <w:szCs w:val="16"/>
          <w:lang w:val="en-US"/>
        </w:rPr>
        <w:t>(file of useful evidence presented by the State, tome</w:t>
      </w:r>
      <w:r w:rsidRPr="004B75F8">
        <w:rPr>
          <w:szCs w:val="16"/>
          <w:lang w:val="en-US"/>
        </w:rPr>
        <w:t xml:space="preserve"> II, folios 537 to 538, 636, 680, 683, 684, 686, 699 and 700).</w:t>
      </w:r>
    </w:p>
  </w:footnote>
  <w:footnote w:id="142">
    <w:p w:rsidR="008C5C78" w:rsidRPr="004B75F8" w:rsidRDefault="008C5C78" w:rsidP="00722D73">
      <w:pPr>
        <w:pStyle w:val="Textonotapie"/>
        <w:tabs>
          <w:tab w:val="left" w:pos="720"/>
        </w:tabs>
        <w:spacing w:after="100"/>
        <w:rPr>
          <w:szCs w:val="16"/>
          <w:lang w:val="en-US"/>
        </w:rPr>
      </w:pPr>
      <w:r w:rsidRPr="004B75F8">
        <w:rPr>
          <w:szCs w:val="16"/>
          <w:vertAlign w:val="superscript"/>
          <w:lang w:val="en-US"/>
        </w:rPr>
        <w:footnoteRef/>
      </w:r>
      <w:r w:rsidRPr="004B75F8">
        <w:rPr>
          <w:szCs w:val="16"/>
          <w:lang w:val="en-US"/>
        </w:rPr>
        <w:t xml:space="preserve"> </w:t>
      </w:r>
      <w:r w:rsidRPr="004B75F8">
        <w:rPr>
          <w:szCs w:val="16"/>
          <w:lang w:val="en-US"/>
        </w:rPr>
        <w:tab/>
        <w:t>Decision issued on January 25, 2010, by the 253</w:t>
      </w:r>
      <w:r w:rsidRPr="004B75F8">
        <w:rPr>
          <w:szCs w:val="16"/>
          <w:vertAlign w:val="superscript"/>
          <w:lang w:val="en-US"/>
        </w:rPr>
        <w:t>rd</w:t>
      </w:r>
      <w:r w:rsidRPr="004B75F8">
        <w:rPr>
          <w:szCs w:val="16"/>
          <w:lang w:val="en-US"/>
        </w:rPr>
        <w:t xml:space="preserve"> Bogota Sectional Prosecutors’ Office with regard to case file 840718 (file of useful evidence presented by the State, tome III, folios 1159 and 1160).</w:t>
      </w:r>
    </w:p>
  </w:footnote>
  <w:footnote w:id="143">
    <w:p w:rsidR="008C5C78" w:rsidRPr="004B75F8" w:rsidRDefault="008C5C78" w:rsidP="00722D73">
      <w:pPr>
        <w:pStyle w:val="Textonotapie"/>
        <w:spacing w:after="100"/>
        <w:rPr>
          <w:szCs w:val="16"/>
          <w:u w:val="single"/>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brief requesting pre-trial administrative conciliation filed by Raúl Hernández Rodríguez on behalf of Luis Gonzalo Vélez Restrepo and some of his next of kin before the </w:t>
      </w:r>
      <w:r w:rsidR="00334C3C" w:rsidRPr="004B75F8">
        <w:rPr>
          <w:szCs w:val="16"/>
          <w:lang w:val="en-US"/>
        </w:rPr>
        <w:t>Contentious</w:t>
      </w:r>
      <w:r w:rsidRPr="004B75F8">
        <w:rPr>
          <w:szCs w:val="16"/>
          <w:lang w:val="en-US"/>
        </w:rPr>
        <w:t xml:space="preserve"> Administrative Law Court of Cundinamarca (file of annexes to Merits Report 136/10, annex 36, folios 214-227); record of </w:t>
      </w:r>
      <w:r w:rsidR="00334C3C" w:rsidRPr="004B75F8">
        <w:rPr>
          <w:szCs w:val="16"/>
          <w:lang w:val="en-US"/>
        </w:rPr>
        <w:t>conciliation</w:t>
      </w:r>
      <w:r w:rsidRPr="004B75F8">
        <w:rPr>
          <w:szCs w:val="16"/>
          <w:lang w:val="en-US"/>
        </w:rPr>
        <w:t xml:space="preserve"> hearing of November 9, 1998, between Luis Gonzalo Vélez Restrepo and the Ministry of Defense, National Army </w:t>
      </w:r>
      <w:r w:rsidRPr="004B75F8">
        <w:rPr>
          <w:bCs/>
          <w:szCs w:val="16"/>
          <w:lang w:val="en-US"/>
        </w:rPr>
        <w:t>(file of useful evidence presented by the State, tome I, folio 10), and the State’s answering brief (</w:t>
      </w:r>
      <w:r w:rsidRPr="004B75F8">
        <w:rPr>
          <w:szCs w:val="16"/>
          <w:lang w:val="en-US"/>
        </w:rPr>
        <w:t>merits file, tome I, folio 345, para. 91).</w:t>
      </w:r>
    </w:p>
  </w:footnote>
  <w:footnote w:id="14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Record of </w:t>
      </w:r>
      <w:r w:rsidR="00334C3C" w:rsidRPr="004B75F8">
        <w:rPr>
          <w:szCs w:val="16"/>
          <w:lang w:val="en-US"/>
        </w:rPr>
        <w:t>conciliation</w:t>
      </w:r>
      <w:r w:rsidRPr="004B75F8">
        <w:rPr>
          <w:szCs w:val="16"/>
          <w:lang w:val="en-US"/>
        </w:rPr>
        <w:t xml:space="preserve"> hearing of November 9, 1998, between Raúl Hernández Rodríguez and the Ministry of Defense, National Army </w:t>
      </w:r>
      <w:r w:rsidRPr="004B75F8">
        <w:rPr>
          <w:bCs/>
          <w:szCs w:val="16"/>
          <w:lang w:val="en-US"/>
        </w:rPr>
        <w:t>(file of useful evidence presented by the State, tome I, folio 9)</w:t>
      </w:r>
      <w:r w:rsidRPr="004B75F8">
        <w:rPr>
          <w:szCs w:val="16"/>
          <w:lang w:val="en-US"/>
        </w:rPr>
        <w:t>.</w:t>
      </w:r>
    </w:p>
  </w:footnote>
  <w:footnote w:id="14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In an Executive Report of February 13, 2012, the 253rd Prosecutor’s Office stated that the complainant was Raúl Hernández Rodríguez. However, on April 26, 2012, the same Prosecutor’s Office indicated that “[t]he examination of those facts was the result of an article in the magazine </w:t>
      </w:r>
      <w:r w:rsidRPr="004B75F8">
        <w:rPr>
          <w:i/>
          <w:szCs w:val="16"/>
          <w:lang w:val="en-US"/>
        </w:rPr>
        <w:t>Semana</w:t>
      </w:r>
      <w:r w:rsidRPr="004B75F8">
        <w:rPr>
          <w:szCs w:val="16"/>
          <w:lang w:val="en-US"/>
        </w:rPr>
        <w:t xml:space="preserve"> of August 21, 2008” </w:t>
      </w:r>
      <w:r w:rsidRPr="004B75F8">
        <w:rPr>
          <w:bCs/>
          <w:szCs w:val="16"/>
          <w:lang w:val="en-US"/>
        </w:rPr>
        <w:t>(file of useful evidence presented by the State, tome I, folios 15, 162 and 173)</w:t>
      </w:r>
      <w:r w:rsidRPr="004B75F8">
        <w:rPr>
          <w:rFonts w:eastAsia="Calibri" w:cs="Arial"/>
          <w:b/>
          <w:szCs w:val="16"/>
          <w:lang w:val="en-US"/>
        </w:rPr>
        <w:t>.</w:t>
      </w:r>
    </w:p>
  </w:footnote>
  <w:footnote w:id="14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 xml:space="preserve">case file No. 840725, 253rd Bogotá Sectional Prosecutor’s Office </w:t>
      </w:r>
      <w:r w:rsidRPr="004B75F8">
        <w:rPr>
          <w:bCs/>
          <w:szCs w:val="16"/>
          <w:lang w:val="en-US"/>
        </w:rPr>
        <w:t>(file of useful evidence presented by the State, tome I, folios 21 to 23, 173 to 176 and 177).</w:t>
      </w:r>
    </w:p>
  </w:footnote>
  <w:footnote w:id="147">
    <w:p w:rsidR="008C5C78" w:rsidRPr="004B75F8" w:rsidRDefault="008C5C78" w:rsidP="00722D73">
      <w:pPr>
        <w:pStyle w:val="NormalWeb"/>
        <w:tabs>
          <w:tab w:val="left" w:pos="720"/>
        </w:tabs>
        <w:spacing w:before="0" w:beforeAutospacing="0" w:afterAutospacing="0"/>
        <w:jc w:val="both"/>
        <w:rPr>
          <w:rFonts w:ascii="Verdana" w:hAnsi="Verdana" w:cs="Tahoma"/>
          <w:sz w:val="16"/>
          <w:szCs w:val="16"/>
        </w:rPr>
      </w:pPr>
      <w:r w:rsidRPr="004B75F8">
        <w:rPr>
          <w:rStyle w:val="Refdenotaalpie"/>
          <w:rFonts w:ascii="Verdana" w:eastAsia="Times" w:hAnsi="Verdana"/>
          <w:sz w:val="16"/>
          <w:szCs w:val="16"/>
        </w:rPr>
        <w:footnoteRef/>
      </w:r>
      <w:r w:rsidRPr="004B75F8">
        <w:rPr>
          <w:rFonts w:ascii="Verdana" w:hAnsi="Verdana" w:cs="Tahoma"/>
          <w:sz w:val="16"/>
          <w:szCs w:val="16"/>
        </w:rPr>
        <w:tab/>
        <w:t>The relevant part of Article 5 of the American Convention establishes that: “</w:t>
      </w:r>
      <w:r w:rsidRPr="004B75F8">
        <w:rPr>
          <w:rFonts w:ascii="Verdana" w:eastAsia="Calibri" w:hAnsi="Verdana"/>
          <w:color w:val="000000"/>
          <w:sz w:val="16"/>
          <w:szCs w:val="16"/>
        </w:rPr>
        <w:t>1. Every person has the right to have his physical, mental, and moral integrity respected. 2. No one shall be subjected to torture or to cruel, inhuman, or degrading punishment or treatment […].”</w:t>
      </w:r>
    </w:p>
  </w:footnote>
  <w:footnote w:id="148">
    <w:p w:rsidR="008C5C78" w:rsidRPr="004B75F8" w:rsidRDefault="008C5C78" w:rsidP="007B3432">
      <w:pPr>
        <w:tabs>
          <w:tab w:val="left" w:pos="480"/>
          <w:tab w:val="left" w:pos="1080"/>
          <w:tab w:val="left" w:pos="1680"/>
          <w:tab w:val="left" w:pos="5400"/>
        </w:tabs>
        <w:suppressAutoHyphens/>
        <w:spacing w:after="100"/>
        <w:jc w:val="both"/>
        <w:rPr>
          <w:spacing w:val="-3"/>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rFonts w:cs="Times-Roman"/>
          <w:sz w:val="16"/>
          <w:szCs w:val="16"/>
          <w:lang w:val="en-US"/>
        </w:rPr>
        <w:t>The first subparagraph of Article 13 of the American Convention establishes that “[e]veryone</w:t>
      </w:r>
      <w:r w:rsidRPr="004B75F8">
        <w:rPr>
          <w:spacing w:val="-3"/>
          <w:sz w:val="16"/>
          <w:szCs w:val="16"/>
          <w:lang w:val="en-US"/>
        </w:rPr>
        <w:t xml:space="preserve"> has the right to freedom of thought and expression.  This right includes freedom to seek, receive, and impart information and ideas of all kinds, regardless of frontiers, either orally, in writing, in print, in the form of art, or through any other medium of one's choice.”</w:t>
      </w:r>
    </w:p>
  </w:footnote>
  <w:footnote w:id="149">
    <w:p w:rsidR="008C5C78" w:rsidRPr="004B75F8" w:rsidRDefault="008C5C78" w:rsidP="00722D73">
      <w:pPr>
        <w:tabs>
          <w:tab w:val="left" w:pos="720"/>
        </w:tabs>
        <w:autoSpaceDE w:val="0"/>
        <w:autoSpaceDN w:val="0"/>
        <w:adjustRightInd w:val="0"/>
        <w:spacing w:after="100"/>
        <w:jc w:val="both"/>
        <w:rPr>
          <w:rFonts w:cs="Tahoma"/>
          <w:sz w:val="16"/>
          <w:szCs w:val="16"/>
          <w:lang w:val="en-US"/>
        </w:rPr>
      </w:pPr>
      <w:r w:rsidRPr="004B75F8">
        <w:rPr>
          <w:rStyle w:val="Refdenotaalpie"/>
          <w:rFonts w:eastAsia="Times"/>
          <w:sz w:val="16"/>
          <w:szCs w:val="16"/>
          <w:lang w:val="en-US"/>
        </w:rPr>
        <w:footnoteRef/>
      </w:r>
      <w:r w:rsidRPr="004B75F8">
        <w:rPr>
          <w:sz w:val="16"/>
          <w:szCs w:val="16"/>
          <w:lang w:val="en-US"/>
        </w:rPr>
        <w:tab/>
      </w:r>
      <w:r w:rsidRPr="004B75F8">
        <w:rPr>
          <w:rFonts w:cs="Tahoma"/>
          <w:sz w:val="16"/>
          <w:szCs w:val="16"/>
          <w:lang w:val="en-US"/>
        </w:rPr>
        <w:t>Article 1(1) of the American Convention establishes: “</w:t>
      </w:r>
      <w:r w:rsidRPr="004B75F8">
        <w:rPr>
          <w:rFonts w:eastAsia="Calibri"/>
          <w:color w:val="000000"/>
          <w:sz w:val="16"/>
          <w:szCs w:val="16"/>
          <w:lang w:val="en-US"/>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footnote>
  <w:footnote w:id="150">
    <w:p w:rsidR="008C5C78" w:rsidRPr="004B75F8" w:rsidRDefault="008C5C78" w:rsidP="00722D73">
      <w:pPr>
        <w:pStyle w:val="Textonotapie"/>
        <w:spacing w:after="100"/>
        <w:rPr>
          <w:color w:val="000000"/>
          <w:szCs w:val="16"/>
          <w:lang w:val="en-US"/>
        </w:rPr>
      </w:pPr>
      <w:r w:rsidRPr="004B75F8">
        <w:rPr>
          <w:rStyle w:val="Refdenotaalpie"/>
          <w:rFonts w:eastAsia="Times"/>
          <w:szCs w:val="16"/>
          <w:lang w:val="en-US"/>
        </w:rPr>
        <w:footnoteRef/>
      </w:r>
      <w:r w:rsidRPr="009C0529">
        <w:rPr>
          <w:szCs w:val="16"/>
          <w:lang w:val="es-ES"/>
        </w:rPr>
        <w:tab/>
      </w:r>
      <w:r w:rsidRPr="009C0529">
        <w:rPr>
          <w:rFonts w:cs="Times-Roman"/>
          <w:i/>
          <w:szCs w:val="16"/>
          <w:lang w:val="es-ES"/>
        </w:rPr>
        <w:t xml:space="preserve">Cf. </w:t>
      </w:r>
      <w:r w:rsidRPr="009C0529">
        <w:rPr>
          <w:i/>
          <w:szCs w:val="16"/>
          <w:lang w:val="es-ES"/>
        </w:rPr>
        <w:t>Case of Velásquez Rodríguez v. Honduras</w:t>
      </w:r>
      <w:r w:rsidRPr="009C0529">
        <w:rPr>
          <w:szCs w:val="16"/>
          <w:lang w:val="es-ES"/>
        </w:rPr>
        <w:t xml:space="preserve">. </w:t>
      </w:r>
      <w:r w:rsidRPr="004B75F8">
        <w:rPr>
          <w:i/>
          <w:szCs w:val="16"/>
          <w:lang w:val="en-US"/>
        </w:rPr>
        <w:t>Merits</w:t>
      </w:r>
      <w:r w:rsidRPr="004B75F8">
        <w:rPr>
          <w:szCs w:val="16"/>
          <w:lang w:val="en-US"/>
        </w:rPr>
        <w:t xml:space="preserve">, paras. 165 and 166, and </w:t>
      </w:r>
      <w:r w:rsidRPr="004B75F8">
        <w:rPr>
          <w:bCs/>
          <w:i/>
          <w:color w:val="000000"/>
          <w:szCs w:val="16"/>
          <w:lang w:val="en-US"/>
        </w:rPr>
        <w:t>Case of González Medina and family members  v. Dominican Republic</w:t>
      </w:r>
      <w:r w:rsidRPr="004B75F8">
        <w:rPr>
          <w:bCs/>
          <w:color w:val="000000"/>
          <w:szCs w:val="16"/>
          <w:lang w:val="en-US"/>
        </w:rPr>
        <w:t xml:space="preserve">. </w:t>
      </w:r>
      <w:r w:rsidRPr="004B75F8">
        <w:rPr>
          <w:i/>
          <w:color w:val="000000"/>
          <w:szCs w:val="16"/>
          <w:lang w:val="en-US"/>
        </w:rPr>
        <w:t>Preliminary objections, merits, reparations and costs</w:t>
      </w:r>
      <w:r w:rsidRPr="004B75F8">
        <w:rPr>
          <w:color w:val="000000"/>
          <w:szCs w:val="16"/>
          <w:lang w:val="en-US"/>
        </w:rPr>
        <w:t>, para. 126.</w:t>
      </w:r>
    </w:p>
  </w:footnote>
  <w:footnote w:id="151">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color w:val="000000"/>
          <w:sz w:val="16"/>
          <w:szCs w:val="16"/>
          <w:lang w:val="en-US"/>
        </w:rPr>
        <w:t xml:space="preserve">Cf. </w:t>
      </w:r>
      <w:r w:rsidRPr="004B75F8">
        <w:rPr>
          <w:i/>
          <w:sz w:val="16"/>
          <w:szCs w:val="16"/>
          <w:lang w:val="en-US"/>
        </w:rPr>
        <w:t>Case of Godínez Cruz v. Honduras</w:t>
      </w:r>
      <w:r w:rsidRPr="004B75F8">
        <w:rPr>
          <w:sz w:val="16"/>
          <w:szCs w:val="16"/>
          <w:lang w:val="en-US"/>
        </w:rPr>
        <w:t xml:space="preserve">. </w:t>
      </w:r>
      <w:r w:rsidRPr="004B75F8">
        <w:rPr>
          <w:i/>
          <w:sz w:val="16"/>
          <w:szCs w:val="16"/>
          <w:lang w:val="en-US"/>
        </w:rPr>
        <w:t>Merits</w:t>
      </w:r>
      <w:r w:rsidRPr="004B75F8">
        <w:rPr>
          <w:sz w:val="16"/>
          <w:szCs w:val="16"/>
          <w:lang w:val="en-US"/>
        </w:rPr>
        <w:t xml:space="preserve">. Judgment of January 20, 1989. Series C No. 5, para. 173, and </w:t>
      </w:r>
      <w:r w:rsidRPr="004B75F8">
        <w:rPr>
          <w:rFonts w:cs="Verdana-Bold"/>
          <w:bCs/>
          <w:i/>
          <w:sz w:val="16"/>
          <w:szCs w:val="16"/>
          <w:lang w:val="en-US" w:bidi="en-US"/>
        </w:rPr>
        <w:t>Case of the Barrios Family v. Venezuela.</w:t>
      </w:r>
      <w:r w:rsidRPr="004B75F8">
        <w:rPr>
          <w:rFonts w:cs="Verdana-Bold"/>
          <w:bCs/>
          <w:sz w:val="16"/>
          <w:szCs w:val="16"/>
          <w:lang w:val="en-US" w:bidi="en-US"/>
        </w:rPr>
        <w:t xml:space="preserve"> </w:t>
      </w:r>
      <w:r w:rsidRPr="004B75F8">
        <w:rPr>
          <w:rFonts w:cs="Verdana"/>
          <w:i/>
          <w:sz w:val="16"/>
          <w:szCs w:val="16"/>
          <w:lang w:val="en-US" w:bidi="en-US"/>
        </w:rPr>
        <w:t>Merits, reparations and costs</w:t>
      </w:r>
      <w:r w:rsidRPr="004B75F8">
        <w:rPr>
          <w:rFonts w:cs="Verdana"/>
          <w:sz w:val="16"/>
          <w:szCs w:val="16"/>
          <w:lang w:val="en-US" w:bidi="en-US"/>
        </w:rPr>
        <w:t>, para. 45.</w:t>
      </w:r>
    </w:p>
  </w:footnote>
  <w:footnote w:id="15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Calibri" w:cs="Verdana"/>
          <w:i/>
          <w:szCs w:val="16"/>
          <w:lang w:val="en-US"/>
        </w:rPr>
        <w:t xml:space="preserve">Cf. The Word “Laws” in Article 30 of the American Convention on Human Rights. </w:t>
      </w:r>
      <w:r w:rsidRPr="004B75F8">
        <w:rPr>
          <w:szCs w:val="16"/>
          <w:lang w:val="en-US"/>
        </w:rPr>
        <w:t xml:space="preserve">Advisory Opinion OC-6/86 of May 9, 1986. Series A No. 6, para. 21, and </w:t>
      </w:r>
      <w:r w:rsidRPr="004B75F8">
        <w:rPr>
          <w:rFonts w:cs="Verdana-Bold"/>
          <w:bCs/>
          <w:i/>
          <w:szCs w:val="16"/>
          <w:lang w:val="en-US" w:bidi="en-US"/>
        </w:rPr>
        <w:t>Case of the Barrios Family v. Venezuela.</w:t>
      </w:r>
      <w:r w:rsidRPr="004B75F8">
        <w:rPr>
          <w:rFonts w:cs="Verdana-Bold"/>
          <w:bCs/>
          <w:szCs w:val="16"/>
          <w:lang w:val="en-US" w:bidi="en-US"/>
        </w:rPr>
        <w:t xml:space="preserve"> </w:t>
      </w:r>
      <w:r w:rsidRPr="004B75F8">
        <w:rPr>
          <w:rFonts w:cs="Verdana"/>
          <w:i/>
          <w:szCs w:val="16"/>
          <w:lang w:val="en-US" w:bidi="en-US"/>
        </w:rPr>
        <w:t>Merits, reparations and costs</w:t>
      </w:r>
      <w:r w:rsidRPr="004B75F8">
        <w:rPr>
          <w:rFonts w:cs="Verdana"/>
          <w:szCs w:val="16"/>
          <w:lang w:val="en-US" w:bidi="en-US"/>
        </w:rPr>
        <w:t>, para. 46.</w:t>
      </w:r>
    </w:p>
  </w:footnote>
  <w:footnote w:id="15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eastAsia="Calibri" w:cs="Verdana"/>
          <w:i/>
          <w:szCs w:val="16"/>
          <w:lang w:val="en-US"/>
        </w:rPr>
        <w:t xml:space="preserve">Cf. </w:t>
      </w:r>
      <w:r w:rsidRPr="004B75F8">
        <w:rPr>
          <w:i/>
          <w:szCs w:val="16"/>
          <w:lang w:val="en-US"/>
        </w:rPr>
        <w:t>Case of Velásquez Rodríguez v. Honduras</w:t>
      </w:r>
      <w:r w:rsidRPr="004B75F8">
        <w:rPr>
          <w:szCs w:val="16"/>
          <w:lang w:val="en-US"/>
        </w:rPr>
        <w:t xml:space="preserve">. </w:t>
      </w:r>
      <w:r w:rsidRPr="004B75F8">
        <w:rPr>
          <w:i/>
          <w:szCs w:val="16"/>
          <w:lang w:val="en-US"/>
        </w:rPr>
        <w:t>Merits</w:t>
      </w:r>
      <w:r w:rsidRPr="004B75F8">
        <w:rPr>
          <w:szCs w:val="16"/>
          <w:lang w:val="en-US"/>
        </w:rPr>
        <w:t xml:space="preserve">, paras. 165, 166 and 176, and </w:t>
      </w:r>
      <w:r w:rsidRPr="004B75F8">
        <w:rPr>
          <w:bCs/>
          <w:i/>
          <w:color w:val="000000"/>
          <w:szCs w:val="16"/>
          <w:lang w:val="en-US"/>
        </w:rPr>
        <w:t xml:space="preserve">Case of González Medina and family members v. Dominican Republic. Preliminary objections, merits, reparations and costs, </w:t>
      </w:r>
      <w:r w:rsidRPr="004B75F8">
        <w:rPr>
          <w:bCs/>
          <w:color w:val="000000"/>
          <w:szCs w:val="16"/>
          <w:lang w:val="en-US"/>
        </w:rPr>
        <w:t>para. 127</w:t>
      </w:r>
      <w:r w:rsidRPr="004B75F8">
        <w:rPr>
          <w:color w:val="000000"/>
          <w:szCs w:val="16"/>
          <w:lang w:val="en-US"/>
        </w:rPr>
        <w:t>.</w:t>
      </w:r>
    </w:p>
  </w:footnote>
  <w:footnote w:id="15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Velásquez Rodríguez v. Honduras</w:t>
      </w:r>
      <w:r w:rsidRPr="004B75F8">
        <w:rPr>
          <w:szCs w:val="16"/>
          <w:lang w:val="en-US"/>
        </w:rPr>
        <w:t xml:space="preserve">. </w:t>
      </w:r>
      <w:r w:rsidRPr="004B75F8">
        <w:rPr>
          <w:i/>
          <w:szCs w:val="16"/>
          <w:lang w:val="en-US"/>
        </w:rPr>
        <w:t>Merits</w:t>
      </w:r>
      <w:r w:rsidRPr="004B75F8">
        <w:rPr>
          <w:szCs w:val="16"/>
          <w:lang w:val="en-US"/>
        </w:rPr>
        <w:t xml:space="preserve">, paras. 166, and </w:t>
      </w:r>
      <w:r w:rsidRPr="004B75F8">
        <w:rPr>
          <w:rFonts w:cs="Verdana"/>
          <w:bCs/>
          <w:i/>
          <w:szCs w:val="16"/>
          <w:lang w:val="en-US" w:eastAsia="es-ES"/>
        </w:rPr>
        <w:t xml:space="preserve">Case of the Kichwa Indigenous </w:t>
      </w:r>
      <w:r w:rsidR="00334C3C" w:rsidRPr="004B75F8">
        <w:rPr>
          <w:rFonts w:cs="Verdana"/>
          <w:bCs/>
          <w:i/>
          <w:szCs w:val="16"/>
          <w:lang w:val="en-US" w:eastAsia="es-ES"/>
        </w:rPr>
        <w:t>People</w:t>
      </w:r>
      <w:r w:rsidRPr="004B75F8">
        <w:rPr>
          <w:rFonts w:cs="Verdana"/>
          <w:bCs/>
          <w:i/>
          <w:szCs w:val="16"/>
          <w:lang w:val="en-US" w:eastAsia="es-ES"/>
        </w:rPr>
        <w:t xml:space="preserve"> of Sarayaku v. Ecuador. </w:t>
      </w:r>
      <w:r w:rsidRPr="004B75F8">
        <w:rPr>
          <w:rFonts w:cs="Verdana"/>
          <w:i/>
          <w:szCs w:val="16"/>
          <w:lang w:val="en-US" w:eastAsia="es-ES"/>
        </w:rPr>
        <w:t>Merits and reparations</w:t>
      </w:r>
      <w:r w:rsidRPr="004B75F8">
        <w:rPr>
          <w:rFonts w:cs="Verdana"/>
          <w:szCs w:val="16"/>
          <w:lang w:val="en-US" w:eastAsia="es-ES"/>
        </w:rPr>
        <w:t>, para. 16(6).</w:t>
      </w:r>
    </w:p>
  </w:footnote>
  <w:footnote w:id="155">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i/>
          <w:sz w:val="16"/>
          <w:szCs w:val="16"/>
          <w:lang w:val="en-US"/>
        </w:rPr>
        <w:t xml:space="preserve"> </w:t>
      </w:r>
      <w:r w:rsidRPr="004B75F8">
        <w:rPr>
          <w:i/>
          <w:sz w:val="16"/>
          <w:szCs w:val="16"/>
          <w:lang w:val="en-US"/>
        </w:rPr>
        <w:tab/>
        <w:t xml:space="preserve">Cf. Compulsory Membership in an Association prescribed by Law for the Practice of Journalism (Arts. 13 and 29 of the American Convention on Human Rights). </w:t>
      </w:r>
      <w:r w:rsidRPr="004B75F8">
        <w:rPr>
          <w:sz w:val="16"/>
          <w:szCs w:val="16"/>
          <w:lang w:val="en-US"/>
        </w:rPr>
        <w:t xml:space="preserve">Advisory Opinion OC-5/85 of November 13, 1985. Series A No. 5, para. 30, and </w:t>
      </w:r>
      <w:r w:rsidRPr="004B75F8">
        <w:rPr>
          <w:i/>
          <w:sz w:val="16"/>
          <w:szCs w:val="16"/>
          <w:lang w:val="en-US"/>
        </w:rPr>
        <w:t xml:space="preserve">Case of Fontevecchia and D’Amico v. Argentina. Merits, reparations and costs. </w:t>
      </w:r>
      <w:r w:rsidRPr="004B75F8">
        <w:rPr>
          <w:sz w:val="16"/>
          <w:szCs w:val="16"/>
          <w:lang w:val="en-US"/>
        </w:rPr>
        <w:t>Judgment of November 29, 2011. Series C No. 238, para. 42.</w:t>
      </w:r>
    </w:p>
  </w:footnote>
  <w:footnote w:id="15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cs="Verdana"/>
          <w:i/>
          <w:szCs w:val="16"/>
          <w:lang w:val="en-US" w:eastAsia="es-ES"/>
        </w:rPr>
        <w:t xml:space="preserve">Cf. </w:t>
      </w:r>
      <w:r w:rsidRPr="004B75F8">
        <w:rPr>
          <w:i/>
          <w:szCs w:val="16"/>
          <w:lang w:val="en-US"/>
        </w:rPr>
        <w:t>Case of “the Last Temptation of Christ” (Olmedo Bustos et al.) v. Chile. Merits, reparations and costs.</w:t>
      </w:r>
      <w:r w:rsidRPr="004B75F8">
        <w:rPr>
          <w:szCs w:val="16"/>
          <w:lang w:val="en-US"/>
        </w:rPr>
        <w:t xml:space="preserve"> Judgment of February 5, 2001. Series C No. 73, para. 74, and </w:t>
      </w:r>
      <w:r w:rsidRPr="004B75F8">
        <w:rPr>
          <w:i/>
          <w:szCs w:val="16"/>
          <w:lang w:val="en-US"/>
        </w:rPr>
        <w:t>Case of Herrera Ulloa v. Costa Rica. Preliminary objections, merits, reparations and costs</w:t>
      </w:r>
      <w:r w:rsidRPr="004B75F8">
        <w:rPr>
          <w:szCs w:val="16"/>
          <w:lang w:val="en-US"/>
        </w:rPr>
        <w:t xml:space="preserve">. Judgment of July 2, 2004. Series C No. 107, para. 108. </w:t>
      </w:r>
    </w:p>
  </w:footnote>
  <w:footnote w:id="15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Ivcher Bronstein v. Peru. Merits, reparations and costs.</w:t>
      </w:r>
      <w:r w:rsidRPr="004B75F8">
        <w:rPr>
          <w:szCs w:val="16"/>
          <w:lang w:val="en-US"/>
        </w:rPr>
        <w:t xml:space="preserve"> Judgment of February 6, 2001. Series C No. 74, para. 149, and </w:t>
      </w:r>
      <w:r w:rsidRPr="004B75F8">
        <w:rPr>
          <w:i/>
          <w:szCs w:val="16"/>
          <w:lang w:val="en-US"/>
        </w:rPr>
        <w:t>Case of Herrera Ulloa v. Costa Rica. Preliminary objections, merits, reparations and costs</w:t>
      </w:r>
      <w:r w:rsidRPr="004B75F8">
        <w:rPr>
          <w:szCs w:val="16"/>
          <w:lang w:val="en-US"/>
        </w:rPr>
        <w:t>, para. 111.</w:t>
      </w:r>
    </w:p>
  </w:footnote>
  <w:footnote w:id="158">
    <w:p w:rsidR="008C5C78" w:rsidRPr="004B75F8" w:rsidRDefault="008C5C78" w:rsidP="00722D73">
      <w:pPr>
        <w:pStyle w:val="Textonotapie"/>
        <w:tabs>
          <w:tab w:val="left" w:pos="36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szCs w:val="16"/>
          <w:lang w:val="en-US"/>
        </w:rPr>
        <w:tab/>
      </w:r>
      <w:r w:rsidRPr="004B75F8">
        <w:rPr>
          <w:i/>
          <w:szCs w:val="16"/>
          <w:lang w:val="en-US"/>
        </w:rPr>
        <w:t>Cf. Case of Ivcher Bronstein v. Peru. Merits, reparations and costs</w:t>
      </w:r>
      <w:r w:rsidRPr="004B75F8">
        <w:rPr>
          <w:szCs w:val="16"/>
          <w:lang w:val="en-US"/>
        </w:rPr>
        <w:t xml:space="preserve">, para. 147, and </w:t>
      </w:r>
      <w:r w:rsidRPr="004B75F8">
        <w:rPr>
          <w:i/>
          <w:szCs w:val="16"/>
          <w:lang w:val="en-US"/>
        </w:rPr>
        <w:t>Case of Herrera Ulloa v. Costa Rica. Preliminary objections, merits, reparations and costs</w:t>
      </w:r>
      <w:r w:rsidRPr="004B75F8">
        <w:rPr>
          <w:szCs w:val="16"/>
          <w:lang w:val="en-US"/>
        </w:rPr>
        <w:t>, para. 109.</w:t>
      </w:r>
    </w:p>
  </w:footnote>
  <w:footnote w:id="159">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Ivcher Bronstein v. Peru. Merits, reparations and costs</w:t>
      </w:r>
      <w:r w:rsidRPr="004B75F8">
        <w:rPr>
          <w:szCs w:val="16"/>
          <w:lang w:val="en-US"/>
        </w:rPr>
        <w:t xml:space="preserve">, para. 148, and </w:t>
      </w:r>
      <w:r w:rsidRPr="004B75F8">
        <w:rPr>
          <w:i/>
          <w:szCs w:val="16"/>
          <w:lang w:val="en-US"/>
        </w:rPr>
        <w:t>Case of Herrera Ulloa v. Costa Rica. Preliminary objections, merits, reparations and costs</w:t>
      </w:r>
      <w:r w:rsidRPr="004B75F8">
        <w:rPr>
          <w:szCs w:val="16"/>
          <w:lang w:val="en-US"/>
        </w:rPr>
        <w:t>, para. 110.</w:t>
      </w:r>
    </w:p>
  </w:footnote>
  <w:footnote w:id="16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Ivcher Bronstein v. Peru. Merits, reparations and costs</w:t>
      </w:r>
      <w:r w:rsidRPr="004B75F8">
        <w:rPr>
          <w:szCs w:val="16"/>
          <w:lang w:val="en-US"/>
        </w:rPr>
        <w:t xml:space="preserve">, para. 146, and </w:t>
      </w:r>
      <w:r w:rsidRPr="004B75F8">
        <w:rPr>
          <w:i/>
          <w:szCs w:val="16"/>
          <w:lang w:val="en-US"/>
        </w:rPr>
        <w:t>Case of Herrera Ulloa v. Costa Rica. Preliminary objections, merits, reparations and costs</w:t>
      </w:r>
      <w:r w:rsidRPr="004B75F8">
        <w:rPr>
          <w:szCs w:val="16"/>
          <w:lang w:val="en-US"/>
        </w:rPr>
        <w:t>, para. 108.</w:t>
      </w:r>
    </w:p>
  </w:footnote>
  <w:footnote w:id="161">
    <w:p w:rsidR="008C5C78" w:rsidRPr="004B75F8" w:rsidRDefault="008C5C78" w:rsidP="00722D73">
      <w:pPr>
        <w:pStyle w:val="Textonotapie"/>
        <w:tabs>
          <w:tab w:val="left" w:pos="36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szCs w:val="16"/>
          <w:lang w:val="en-US"/>
        </w:rPr>
        <w:tab/>
      </w:r>
      <w:r w:rsidRPr="004B75F8">
        <w:rPr>
          <w:i/>
          <w:szCs w:val="16"/>
          <w:lang w:val="en-US"/>
        </w:rPr>
        <w:t xml:space="preserve">Cf. </w:t>
      </w:r>
      <w:r w:rsidRPr="004B75F8">
        <w:rPr>
          <w:szCs w:val="16"/>
          <w:lang w:val="en-US"/>
        </w:rPr>
        <w:t xml:space="preserve">Advisory Opinion OC-5/85, paras. 53 and 54, and </w:t>
      </w:r>
      <w:r w:rsidRPr="004B75F8">
        <w:rPr>
          <w:i/>
          <w:szCs w:val="16"/>
          <w:lang w:val="en-US"/>
        </w:rPr>
        <w:t>Case of Palamara Iribarne v. Chile. Merits, reparations and costs</w:t>
      </w:r>
      <w:r w:rsidRPr="004B75F8">
        <w:rPr>
          <w:szCs w:val="16"/>
          <w:lang w:val="en-US"/>
        </w:rPr>
        <w:t>. Judgment of November 22, 2005. Series C No. 135, para. 68.</w:t>
      </w:r>
    </w:p>
  </w:footnote>
  <w:footnote w:id="162">
    <w:p w:rsidR="008C5C78" w:rsidRPr="004B75F8" w:rsidRDefault="008C5C78" w:rsidP="00722D73">
      <w:pPr>
        <w:pStyle w:val="Textonotapie"/>
        <w:tabs>
          <w:tab w:val="left" w:pos="36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szCs w:val="16"/>
          <w:lang w:val="en-US"/>
        </w:rPr>
        <w:tab/>
      </w:r>
      <w:r w:rsidRPr="004B75F8">
        <w:rPr>
          <w:i/>
          <w:szCs w:val="16"/>
          <w:lang w:val="en-US"/>
        </w:rPr>
        <w:t xml:space="preserve">Cf. </w:t>
      </w:r>
      <w:r w:rsidRPr="004B75F8">
        <w:rPr>
          <w:szCs w:val="16"/>
          <w:lang w:val="en-US"/>
        </w:rPr>
        <w:t xml:space="preserve">Advisory Opinion OC-5/85, para. 54, and </w:t>
      </w:r>
      <w:r w:rsidRPr="004B75F8">
        <w:rPr>
          <w:i/>
          <w:szCs w:val="16"/>
          <w:lang w:val="en-US"/>
        </w:rPr>
        <w:t>Case of Palamara Iribarne v. Chile. Merits, reparations and costs</w:t>
      </w:r>
      <w:r w:rsidRPr="004B75F8">
        <w:rPr>
          <w:szCs w:val="16"/>
          <w:lang w:val="en-US"/>
        </w:rPr>
        <w:t>, para. 68.</w:t>
      </w:r>
    </w:p>
  </w:footnote>
  <w:footnote w:id="16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 xml:space="preserve">Advisory Opinion OC-5/85, para. 54, and </w:t>
      </w:r>
      <w:r w:rsidRPr="004B75F8">
        <w:rPr>
          <w:i/>
          <w:szCs w:val="16"/>
          <w:lang w:val="en-US"/>
        </w:rPr>
        <w:t>Case of Palamara Iribarne v. Chile. Merits, reparations and costs</w:t>
      </w:r>
      <w:r w:rsidRPr="004B75F8">
        <w:rPr>
          <w:szCs w:val="16"/>
          <w:lang w:val="en-US"/>
        </w:rPr>
        <w:t>, para. 68.</w:t>
      </w:r>
    </w:p>
  </w:footnote>
  <w:footnote w:id="164">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 xml:space="preserve">Cf. </w:t>
      </w:r>
      <w:r w:rsidRPr="004B75F8">
        <w:rPr>
          <w:sz w:val="16"/>
          <w:szCs w:val="16"/>
          <w:lang w:val="en-US"/>
        </w:rPr>
        <w:t xml:space="preserve">Advisory Opinion OC-5/85, paras. 72 to 74, and </w:t>
      </w:r>
      <w:r w:rsidRPr="004B75F8">
        <w:rPr>
          <w:i/>
          <w:sz w:val="16"/>
          <w:szCs w:val="16"/>
          <w:lang w:val="en-US"/>
        </w:rPr>
        <w:t xml:space="preserve">Case of </w:t>
      </w:r>
      <w:r w:rsidRPr="004B75F8">
        <w:rPr>
          <w:rFonts w:cs="Verdana"/>
          <w:bCs/>
          <w:i/>
          <w:sz w:val="16"/>
          <w:szCs w:val="16"/>
          <w:lang w:val="en-US"/>
        </w:rPr>
        <w:t xml:space="preserve">Fontevecchia and D’Amico v. Argentina. </w:t>
      </w:r>
      <w:r w:rsidRPr="004B75F8">
        <w:rPr>
          <w:rFonts w:cs="Verdana"/>
          <w:i/>
          <w:sz w:val="16"/>
          <w:szCs w:val="16"/>
          <w:lang w:val="en-US"/>
        </w:rPr>
        <w:t>Merits, reparations and costs</w:t>
      </w:r>
      <w:r w:rsidRPr="004B75F8">
        <w:rPr>
          <w:rFonts w:cs="Verdana"/>
          <w:sz w:val="16"/>
          <w:szCs w:val="16"/>
          <w:lang w:val="en-US"/>
        </w:rPr>
        <w:t>, para. 46.</w:t>
      </w:r>
    </w:p>
  </w:footnote>
  <w:footnote w:id="165">
    <w:p w:rsidR="008C5C78" w:rsidRPr="004B75F8" w:rsidRDefault="008C5C78" w:rsidP="00722D73">
      <w:pPr>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 xml:space="preserve">Cf. </w:t>
      </w:r>
      <w:r w:rsidRPr="004B75F8">
        <w:rPr>
          <w:sz w:val="16"/>
          <w:szCs w:val="16"/>
          <w:lang w:val="en-US"/>
        </w:rPr>
        <w:t xml:space="preserve">Advisory Opinion OC-5/85, para. 70, and </w:t>
      </w:r>
      <w:r w:rsidRPr="004B75F8">
        <w:rPr>
          <w:i/>
          <w:sz w:val="16"/>
          <w:szCs w:val="16"/>
          <w:lang w:val="en-US"/>
        </w:rPr>
        <w:t>Case of Ríos et al. v. Venezuela. Preliminary objections, merits, reparations and costs</w:t>
      </w:r>
      <w:r w:rsidRPr="004B75F8">
        <w:rPr>
          <w:sz w:val="16"/>
          <w:szCs w:val="16"/>
          <w:lang w:val="en-US"/>
        </w:rPr>
        <w:t>, para. 105.</w:t>
      </w:r>
    </w:p>
  </w:footnote>
  <w:footnote w:id="16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Palamara Iribarne v. Chile. Merits, reparations and costs</w:t>
      </w:r>
      <w:r w:rsidRPr="004B75F8">
        <w:rPr>
          <w:szCs w:val="16"/>
          <w:lang w:val="en-US"/>
        </w:rPr>
        <w:t xml:space="preserve">, para. 83, and </w:t>
      </w:r>
      <w:r w:rsidRPr="004B75F8">
        <w:rPr>
          <w:i/>
          <w:szCs w:val="16"/>
          <w:lang w:val="en-US"/>
        </w:rPr>
        <w:t>Case of Herrera Ulloa v. Costa Rica. Preliminary objections, merits, reparations and costs</w:t>
      </w:r>
      <w:r w:rsidRPr="004B75F8">
        <w:rPr>
          <w:szCs w:val="16"/>
          <w:lang w:val="en-US"/>
        </w:rPr>
        <w:t xml:space="preserve">, para. 127. Similarly, </w:t>
      </w:r>
      <w:r w:rsidRPr="004B75F8">
        <w:rPr>
          <w:i/>
          <w:szCs w:val="16"/>
          <w:lang w:val="en-US"/>
        </w:rPr>
        <w:t xml:space="preserve">Cf. </w:t>
      </w:r>
      <w:r w:rsidRPr="004B75F8">
        <w:rPr>
          <w:szCs w:val="16"/>
          <w:lang w:val="en-US"/>
        </w:rPr>
        <w:t xml:space="preserve">ECHR. </w:t>
      </w:r>
      <w:r w:rsidRPr="004B75F8">
        <w:rPr>
          <w:i/>
          <w:szCs w:val="16"/>
          <w:lang w:val="en-US"/>
        </w:rPr>
        <w:t xml:space="preserve">Surek and Ozdemir v. Turkey, </w:t>
      </w:r>
      <w:r w:rsidRPr="004B75F8">
        <w:rPr>
          <w:szCs w:val="16"/>
          <w:lang w:val="en-US"/>
        </w:rPr>
        <w:t xml:space="preserve">No. 23927/94, July 8, 1999, para. 60, and </w:t>
      </w:r>
      <w:r w:rsidRPr="004B75F8">
        <w:rPr>
          <w:i/>
          <w:szCs w:val="16"/>
          <w:lang w:val="en-US"/>
        </w:rPr>
        <w:t xml:space="preserve">Feldek v. Slovakia, </w:t>
      </w:r>
      <w:r w:rsidRPr="004B75F8">
        <w:rPr>
          <w:szCs w:val="16"/>
          <w:lang w:val="en-US"/>
        </w:rPr>
        <w:t>No. 29032/95),</w:t>
      </w:r>
      <w:r w:rsidRPr="004B75F8">
        <w:rPr>
          <w:i/>
          <w:szCs w:val="16"/>
          <w:lang w:val="en-US"/>
        </w:rPr>
        <w:t xml:space="preserve"> </w:t>
      </w:r>
      <w:r w:rsidRPr="004B75F8">
        <w:rPr>
          <w:szCs w:val="16"/>
          <w:lang w:val="en-US"/>
        </w:rPr>
        <w:t>July 12, 2001, para. 83.</w:t>
      </w:r>
    </w:p>
  </w:footnote>
  <w:footnote w:id="167">
    <w:p w:rsidR="008C5C78" w:rsidRPr="004B75F8" w:rsidRDefault="008C5C78" w:rsidP="00722D73">
      <w:pPr>
        <w:pStyle w:val="Textonotapie"/>
        <w:tabs>
          <w:tab w:val="left" w:pos="36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szCs w:val="16"/>
          <w:lang w:val="en-US"/>
        </w:rPr>
        <w:tab/>
      </w:r>
      <w:r w:rsidRPr="004B75F8">
        <w:rPr>
          <w:i/>
          <w:szCs w:val="16"/>
          <w:lang w:val="en-US"/>
        </w:rPr>
        <w:t>Cf. Case of Ivcher Bronstein v. Peru. Merits, reparations and costs</w:t>
      </w:r>
      <w:r w:rsidRPr="004B75F8">
        <w:rPr>
          <w:szCs w:val="16"/>
          <w:lang w:val="en-US"/>
        </w:rPr>
        <w:t xml:space="preserve">, para. 146, and </w:t>
      </w:r>
      <w:r w:rsidRPr="004B75F8">
        <w:rPr>
          <w:i/>
          <w:szCs w:val="16"/>
          <w:lang w:val="en-US"/>
        </w:rPr>
        <w:t>Case of Palamara Iribarne v. Chile. Merits, reparations and costs</w:t>
      </w:r>
      <w:r w:rsidRPr="004B75F8">
        <w:rPr>
          <w:szCs w:val="16"/>
          <w:lang w:val="en-US"/>
        </w:rPr>
        <w:t>, para. 73.</w:t>
      </w:r>
    </w:p>
  </w:footnote>
  <w:footnote w:id="168">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In its answering brief, Colombia indicated that it reiterated the position it had taken in the proceedings before the </w:t>
      </w:r>
      <w:r w:rsidR="00334C3C" w:rsidRPr="004B75F8">
        <w:rPr>
          <w:szCs w:val="16"/>
          <w:lang w:val="en-US"/>
        </w:rPr>
        <w:t>Commission</w:t>
      </w:r>
      <w:r w:rsidRPr="004B75F8">
        <w:rPr>
          <w:szCs w:val="16"/>
          <w:lang w:val="en-US"/>
        </w:rPr>
        <w:t>. The Court observes that, before the Commission, Colombia affirmed that the probative elements “are not determinant or sufficient to prove the existence of these threats and intimidations and, in particular, to prove the alleged participation of State agents in these acts.”</w:t>
      </w:r>
      <w:r w:rsidRPr="004B75F8">
        <w:rPr>
          <w:b/>
          <w:szCs w:val="16"/>
          <w:lang w:val="en-US"/>
        </w:rPr>
        <w:t xml:space="preserve"> </w:t>
      </w:r>
      <w:r w:rsidRPr="004B75F8">
        <w:rPr>
          <w:szCs w:val="16"/>
          <w:lang w:val="en-US"/>
        </w:rPr>
        <w:t xml:space="preserve">In addition, before the Commission, Colombia affirmed that “the mere statement of Mr. Velez Restrepo is insufficient proof to determine with certainty the existence of the alleged attempted </w:t>
      </w:r>
      <w:r w:rsidR="00334C3C" w:rsidRPr="004B75F8">
        <w:rPr>
          <w:szCs w:val="16"/>
          <w:lang w:val="en-US"/>
        </w:rPr>
        <w:t>kidnapping</w:t>
      </w:r>
      <w:r w:rsidRPr="004B75F8">
        <w:rPr>
          <w:szCs w:val="16"/>
          <w:lang w:val="en-US"/>
        </w:rPr>
        <w:t xml:space="preserve"> and that, if it did happen, the reason was the </w:t>
      </w:r>
      <w:r w:rsidR="00334C3C" w:rsidRPr="004B75F8">
        <w:rPr>
          <w:szCs w:val="16"/>
          <w:lang w:val="en-US"/>
        </w:rPr>
        <w:t>complaints</w:t>
      </w:r>
      <w:r w:rsidRPr="004B75F8">
        <w:rPr>
          <w:szCs w:val="16"/>
          <w:lang w:val="en-US"/>
        </w:rPr>
        <w:t xml:space="preserve"> filed by Mr. Velez or the fact that he was a journalist.“</w:t>
      </w:r>
      <w:r w:rsidRPr="004B75F8">
        <w:rPr>
          <w:b/>
          <w:szCs w:val="16"/>
          <w:lang w:val="en-US"/>
        </w:rPr>
        <w:t xml:space="preserve"> </w:t>
      </w:r>
      <w:r w:rsidRPr="004B75F8">
        <w:rPr>
          <w:szCs w:val="16"/>
          <w:lang w:val="en-US"/>
        </w:rPr>
        <w:t>However, in this answering brief, Colombia also affirmed before the Court that it “is aware that the absence of a serious investigation into the alleged threats does not permit the State to affirm with certainty that these threats did not exist.”</w:t>
      </w:r>
    </w:p>
  </w:footnote>
  <w:footnote w:id="169">
    <w:p w:rsidR="008C5C78" w:rsidRPr="004B75F8" w:rsidRDefault="008C5C78" w:rsidP="00722D73">
      <w:pPr>
        <w:pStyle w:val="Textonotapie"/>
        <w:spacing w:after="100"/>
        <w:rPr>
          <w:color w:val="000000"/>
          <w:szCs w:val="16"/>
          <w:lang w:val="en-US"/>
        </w:rPr>
      </w:pPr>
      <w:r w:rsidRPr="004B75F8">
        <w:rPr>
          <w:rStyle w:val="Refdenotaalpie"/>
          <w:szCs w:val="16"/>
          <w:lang w:val="en-US"/>
        </w:rPr>
        <w:footnoteRef/>
      </w:r>
      <w:r w:rsidRPr="009C0529">
        <w:rPr>
          <w:szCs w:val="16"/>
          <w:lang w:val="es-ES"/>
        </w:rPr>
        <w:t xml:space="preserve"> </w:t>
      </w:r>
      <w:r w:rsidRPr="009C0529">
        <w:rPr>
          <w:szCs w:val="16"/>
          <w:lang w:val="es-ES"/>
        </w:rPr>
        <w:tab/>
      </w:r>
      <w:r w:rsidRPr="009C0529">
        <w:rPr>
          <w:i/>
          <w:szCs w:val="16"/>
          <w:lang w:val="es-ES"/>
        </w:rPr>
        <w:t>Cf.</w:t>
      </w:r>
      <w:r w:rsidRPr="009C0529">
        <w:rPr>
          <w:szCs w:val="16"/>
          <w:lang w:val="es-ES"/>
        </w:rPr>
        <w:t xml:space="preserve"> </w:t>
      </w:r>
      <w:r w:rsidRPr="009C0529">
        <w:rPr>
          <w:i/>
          <w:szCs w:val="16"/>
          <w:lang w:val="es-ES"/>
        </w:rPr>
        <w:t>Case of Velásquez Rodríguez v. Honduras</w:t>
      </w:r>
      <w:r w:rsidRPr="009C0529">
        <w:rPr>
          <w:szCs w:val="16"/>
          <w:lang w:val="es-ES"/>
        </w:rPr>
        <w:t xml:space="preserve">. </w:t>
      </w:r>
      <w:r w:rsidRPr="004B75F8">
        <w:rPr>
          <w:i/>
          <w:szCs w:val="16"/>
          <w:lang w:val="en-US"/>
        </w:rPr>
        <w:t>Merits</w:t>
      </w:r>
      <w:r w:rsidRPr="004B75F8">
        <w:rPr>
          <w:szCs w:val="16"/>
          <w:lang w:val="en-US"/>
        </w:rPr>
        <w:t xml:space="preserve">, para. 130, and </w:t>
      </w:r>
      <w:r w:rsidRPr="004B75F8">
        <w:rPr>
          <w:bCs/>
          <w:i/>
          <w:color w:val="000000"/>
          <w:szCs w:val="16"/>
          <w:lang w:val="en-US"/>
        </w:rPr>
        <w:t>Case of González Medina and family members  v. Dominican Republic</w:t>
      </w:r>
      <w:r w:rsidRPr="004B75F8">
        <w:rPr>
          <w:bCs/>
          <w:color w:val="000000"/>
          <w:szCs w:val="16"/>
          <w:lang w:val="en-US"/>
        </w:rPr>
        <w:t xml:space="preserve">. </w:t>
      </w:r>
      <w:r w:rsidRPr="004B75F8">
        <w:rPr>
          <w:i/>
          <w:color w:val="000000"/>
          <w:szCs w:val="16"/>
          <w:lang w:val="en-US"/>
        </w:rPr>
        <w:t>Preliminary objections, merits, reparations and costs</w:t>
      </w:r>
      <w:r w:rsidRPr="004B75F8">
        <w:rPr>
          <w:color w:val="000000"/>
          <w:szCs w:val="16"/>
          <w:lang w:val="en-US"/>
        </w:rPr>
        <w:t xml:space="preserve">, para. 134. </w:t>
      </w:r>
    </w:p>
  </w:footnote>
  <w:footnote w:id="170">
    <w:p w:rsidR="008C5C78" w:rsidRPr="004B75F8" w:rsidRDefault="008C5C78" w:rsidP="00722D73">
      <w:pPr>
        <w:pStyle w:val="Textonotapie"/>
        <w:spacing w:after="100"/>
        <w:rPr>
          <w:color w:val="000000"/>
          <w:szCs w:val="16"/>
          <w:lang w:val="en-US"/>
        </w:rPr>
      </w:pPr>
      <w:r w:rsidRPr="004B75F8">
        <w:rPr>
          <w:rStyle w:val="Refdenotaalpie"/>
          <w:rFonts w:eastAsia="Times"/>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Case of Velásquez Rodríguez v. Honduras</w:t>
      </w:r>
      <w:r w:rsidRPr="004B75F8">
        <w:rPr>
          <w:szCs w:val="16"/>
          <w:lang w:val="en-US"/>
        </w:rPr>
        <w:t xml:space="preserve">. </w:t>
      </w:r>
      <w:r w:rsidRPr="004B75F8">
        <w:rPr>
          <w:i/>
          <w:szCs w:val="16"/>
          <w:lang w:val="en-US"/>
        </w:rPr>
        <w:t>Merits</w:t>
      </w:r>
      <w:r w:rsidRPr="004B75F8">
        <w:rPr>
          <w:szCs w:val="16"/>
          <w:lang w:val="en-US"/>
        </w:rPr>
        <w:t xml:space="preserve">, paras. 127 to 129, and </w:t>
      </w:r>
      <w:r w:rsidRPr="004B75F8">
        <w:rPr>
          <w:bCs/>
          <w:i/>
          <w:color w:val="000000"/>
          <w:szCs w:val="16"/>
          <w:lang w:val="en-US"/>
        </w:rPr>
        <w:t>Case of González Medina and family members  v. Dominican Republic</w:t>
      </w:r>
      <w:r w:rsidRPr="004B75F8">
        <w:rPr>
          <w:bCs/>
          <w:color w:val="000000"/>
          <w:szCs w:val="16"/>
          <w:lang w:val="en-US"/>
        </w:rPr>
        <w:t xml:space="preserve">. </w:t>
      </w:r>
      <w:r w:rsidRPr="004B75F8">
        <w:rPr>
          <w:i/>
          <w:color w:val="000000"/>
          <w:szCs w:val="16"/>
          <w:lang w:val="en-US"/>
        </w:rPr>
        <w:t>Preliminary objections, merits, reparations and costs</w:t>
      </w:r>
      <w:r w:rsidRPr="004B75F8">
        <w:rPr>
          <w:color w:val="000000"/>
          <w:szCs w:val="16"/>
          <w:lang w:val="en-US"/>
        </w:rPr>
        <w:t>, para. 132.</w:t>
      </w:r>
    </w:p>
  </w:footnote>
  <w:footnote w:id="171">
    <w:p w:rsidR="008C5C78" w:rsidRPr="004B75F8" w:rsidRDefault="008C5C78" w:rsidP="00722D73">
      <w:pPr>
        <w:tabs>
          <w:tab w:val="left" w:pos="709"/>
        </w:tabs>
        <w:autoSpaceDE w:val="0"/>
        <w:autoSpaceDN w:val="0"/>
        <w:adjustRightInd w:val="0"/>
        <w:spacing w:after="100"/>
        <w:jc w:val="both"/>
        <w:rPr>
          <w:sz w:val="16"/>
          <w:szCs w:val="16"/>
          <w:lang w:val="en-US"/>
        </w:rPr>
      </w:pPr>
      <w:r w:rsidRPr="004B75F8">
        <w:rPr>
          <w:sz w:val="16"/>
          <w:szCs w:val="16"/>
          <w:vertAlign w:val="superscript"/>
          <w:lang w:val="en-US"/>
        </w:rPr>
        <w:footnoteRef/>
      </w:r>
      <w:r w:rsidRPr="004B75F8">
        <w:rPr>
          <w:sz w:val="16"/>
          <w:szCs w:val="16"/>
          <w:vertAlign w:val="superscript"/>
          <w:lang w:val="en-US"/>
        </w:rPr>
        <w:t xml:space="preserve"> </w:t>
      </w:r>
      <w:r w:rsidRPr="004B75F8">
        <w:rPr>
          <w:sz w:val="16"/>
          <w:szCs w:val="16"/>
          <w:lang w:val="en-US"/>
        </w:rPr>
        <w:tab/>
      </w:r>
      <w:r w:rsidRPr="004B75F8">
        <w:rPr>
          <w:i/>
          <w:sz w:val="16"/>
          <w:szCs w:val="16"/>
          <w:lang w:val="en-US"/>
        </w:rPr>
        <w:t>Cf.</w:t>
      </w:r>
      <w:r w:rsidRPr="004B75F8">
        <w:rPr>
          <w:sz w:val="16"/>
          <w:szCs w:val="16"/>
          <w:lang w:val="en-US"/>
        </w:rPr>
        <w:t xml:space="preserve"> </w:t>
      </w:r>
      <w:r w:rsidRPr="004B75F8">
        <w:rPr>
          <w:i/>
          <w:sz w:val="16"/>
          <w:szCs w:val="16"/>
          <w:lang w:val="en-US"/>
        </w:rPr>
        <w:t>Case of Velásquez Rodríguez v. Honduras</w:t>
      </w:r>
      <w:r w:rsidRPr="004B75F8">
        <w:rPr>
          <w:sz w:val="16"/>
          <w:szCs w:val="16"/>
          <w:lang w:val="en-US"/>
        </w:rPr>
        <w:t xml:space="preserve">. </w:t>
      </w:r>
      <w:r w:rsidRPr="004B75F8">
        <w:rPr>
          <w:i/>
          <w:sz w:val="16"/>
          <w:szCs w:val="16"/>
          <w:lang w:val="en-US"/>
        </w:rPr>
        <w:t>Merits</w:t>
      </w:r>
      <w:r w:rsidRPr="004B75F8">
        <w:rPr>
          <w:sz w:val="16"/>
          <w:szCs w:val="16"/>
          <w:lang w:val="en-US"/>
        </w:rPr>
        <w:t xml:space="preserve">, paras. 135 and 136, and </w:t>
      </w:r>
      <w:r w:rsidRPr="004B75F8">
        <w:rPr>
          <w:bCs/>
          <w:i/>
          <w:color w:val="000000"/>
          <w:sz w:val="16"/>
          <w:szCs w:val="16"/>
          <w:lang w:val="en-US"/>
        </w:rPr>
        <w:t>Case of González Medina and family members  v. Dominican Republic</w:t>
      </w:r>
      <w:r w:rsidRPr="004B75F8">
        <w:rPr>
          <w:bCs/>
          <w:color w:val="000000"/>
          <w:sz w:val="16"/>
          <w:szCs w:val="16"/>
          <w:lang w:val="en-US"/>
        </w:rPr>
        <w:t xml:space="preserve">. </w:t>
      </w:r>
      <w:r w:rsidRPr="004B75F8">
        <w:rPr>
          <w:i/>
          <w:color w:val="000000"/>
          <w:sz w:val="16"/>
          <w:szCs w:val="16"/>
          <w:lang w:val="en-US"/>
        </w:rPr>
        <w:t>Preliminary objections, merits, reparations and costs</w:t>
      </w:r>
      <w:r w:rsidRPr="004B75F8">
        <w:rPr>
          <w:color w:val="000000"/>
          <w:sz w:val="16"/>
          <w:szCs w:val="16"/>
          <w:lang w:val="en-US"/>
        </w:rPr>
        <w:t>, para. 132.</w:t>
      </w:r>
      <w:r w:rsidRPr="004B75F8">
        <w:rPr>
          <w:sz w:val="16"/>
          <w:szCs w:val="16"/>
          <w:lang w:val="en-US"/>
        </w:rPr>
        <w:t xml:space="preserve"> Similarly, see the decisions of the United Nations Human Rights Committee of the International Covenant on Civil and Political Rights, such as</w:t>
      </w:r>
      <w:r w:rsidRPr="004B75F8">
        <w:rPr>
          <w:i/>
          <w:sz w:val="16"/>
          <w:szCs w:val="16"/>
          <w:lang w:val="en-US"/>
        </w:rPr>
        <w:t>, Eduardo Bleier v. Uruguay</w:t>
      </w:r>
      <w:r w:rsidRPr="004B75F8">
        <w:rPr>
          <w:sz w:val="16"/>
          <w:szCs w:val="16"/>
          <w:lang w:val="en-US"/>
        </w:rPr>
        <w:t xml:space="preserve">, CCPR/C/15/D/30/1978, Communication No. 30/1978, 29 March 1982, para. 13.3, and </w:t>
      </w:r>
      <w:r w:rsidRPr="004B75F8">
        <w:rPr>
          <w:i/>
          <w:sz w:val="16"/>
          <w:szCs w:val="16"/>
          <w:lang w:val="en-US"/>
        </w:rPr>
        <w:t>Héctor Alfredo Romero v. Uruguay</w:t>
      </w:r>
      <w:r w:rsidRPr="004B75F8">
        <w:rPr>
          <w:sz w:val="16"/>
          <w:szCs w:val="16"/>
          <w:lang w:val="en-US"/>
        </w:rPr>
        <w:t xml:space="preserve">, U.N. Doc. Supp. No. 40 (A/39/40) in 159 (1984), Communication No. 85/1981, 22 July 1983, para. 12.3. </w:t>
      </w:r>
    </w:p>
  </w:footnote>
  <w:footnote w:id="17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statement made on November 26, 2009, by Raúl Hernández Rodríguez before the Judicial Police, Prosecutor General’s Office (file of the processing of the case before the Commission, tome II, folios 912-913).</w:t>
      </w:r>
    </w:p>
  </w:footnote>
  <w:footnote w:id="173">
    <w:p w:rsidR="008C5C78" w:rsidRPr="004B75F8" w:rsidRDefault="008C5C78" w:rsidP="00722D73">
      <w:pPr>
        <w:pStyle w:val="Textonotapie"/>
        <w:spacing w:after="100"/>
        <w:rPr>
          <w:color w:val="000000"/>
          <w:szCs w:val="16"/>
          <w:lang w:val="en-US"/>
        </w:rPr>
      </w:pPr>
      <w:r w:rsidRPr="004B75F8">
        <w:rPr>
          <w:rStyle w:val="Refdenotaalpie"/>
          <w:rFonts w:eastAsia="Times"/>
          <w:szCs w:val="16"/>
          <w:lang w:val="en-US"/>
        </w:rPr>
        <w:footnoteRef/>
      </w:r>
      <w:r w:rsidRPr="004B75F8">
        <w:rPr>
          <w:szCs w:val="16"/>
          <w:lang w:val="en-US"/>
        </w:rPr>
        <w:t xml:space="preserve"> </w:t>
      </w:r>
      <w:r w:rsidRPr="004B75F8">
        <w:rPr>
          <w:szCs w:val="16"/>
          <w:lang w:val="en-US"/>
        </w:rPr>
        <w:tab/>
      </w:r>
      <w:r w:rsidRPr="004B75F8">
        <w:rPr>
          <w:i/>
          <w:color w:val="000000"/>
          <w:szCs w:val="16"/>
          <w:lang w:val="en-US"/>
        </w:rPr>
        <w:t xml:space="preserve">Cf. </w:t>
      </w:r>
      <w:r w:rsidRPr="004B75F8">
        <w:rPr>
          <w:i/>
          <w:szCs w:val="16"/>
          <w:lang w:val="en-US"/>
        </w:rPr>
        <w:t>Case of the “White Van” (Paniagua Morales et al.) v. Guatemala</w:t>
      </w:r>
      <w:r w:rsidRPr="004B75F8">
        <w:rPr>
          <w:szCs w:val="16"/>
          <w:lang w:val="en-US"/>
        </w:rPr>
        <w:t xml:space="preserve">. </w:t>
      </w:r>
      <w:r w:rsidRPr="004B75F8">
        <w:rPr>
          <w:i/>
          <w:szCs w:val="16"/>
          <w:lang w:val="en-US"/>
        </w:rPr>
        <w:t>Merits</w:t>
      </w:r>
      <w:r w:rsidRPr="004B75F8">
        <w:rPr>
          <w:szCs w:val="16"/>
          <w:lang w:val="en-US"/>
        </w:rPr>
        <w:t xml:space="preserve">, para. 71, and </w:t>
      </w:r>
      <w:r w:rsidRPr="004B75F8">
        <w:rPr>
          <w:bCs/>
          <w:i/>
          <w:color w:val="000000"/>
          <w:szCs w:val="16"/>
          <w:lang w:val="en-US"/>
        </w:rPr>
        <w:t>Case of González Medina and family members  v. Dominican Republic</w:t>
      </w:r>
      <w:r w:rsidRPr="004B75F8">
        <w:rPr>
          <w:bCs/>
          <w:color w:val="000000"/>
          <w:szCs w:val="16"/>
          <w:lang w:val="en-US"/>
        </w:rPr>
        <w:t xml:space="preserve">. </w:t>
      </w:r>
      <w:r w:rsidRPr="004B75F8">
        <w:rPr>
          <w:i/>
          <w:color w:val="000000"/>
          <w:szCs w:val="16"/>
          <w:lang w:val="en-US"/>
        </w:rPr>
        <w:t>Preliminary objections, merits, reparations and costs</w:t>
      </w:r>
      <w:r w:rsidRPr="004B75F8">
        <w:rPr>
          <w:color w:val="000000"/>
          <w:szCs w:val="16"/>
          <w:lang w:val="en-US"/>
        </w:rPr>
        <w:t xml:space="preserve">, para. 133. </w:t>
      </w:r>
    </w:p>
  </w:footnote>
  <w:footnote w:id="174">
    <w:p w:rsidR="008C5C78" w:rsidRPr="004B75F8" w:rsidRDefault="008C5C78" w:rsidP="00722D73">
      <w:pPr>
        <w:spacing w:after="100"/>
        <w:jc w:val="both"/>
        <w:rPr>
          <w:color w:val="000000"/>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 Case of Zambrano Vélez et al. v. Ecuador. Merits, reparations and costs.</w:t>
      </w:r>
      <w:r w:rsidRPr="004B75F8">
        <w:rPr>
          <w:sz w:val="16"/>
          <w:szCs w:val="16"/>
          <w:lang w:val="en-US"/>
        </w:rPr>
        <w:t xml:space="preserve"> Judgment of July 4, 2007. </w:t>
      </w:r>
      <w:r w:rsidRPr="009C0529">
        <w:rPr>
          <w:sz w:val="16"/>
          <w:szCs w:val="16"/>
          <w:lang w:val="es-ES"/>
        </w:rPr>
        <w:t xml:space="preserve">Series C No. 166, para. 128, and </w:t>
      </w:r>
      <w:r w:rsidRPr="009C0529">
        <w:rPr>
          <w:bCs/>
          <w:i/>
          <w:color w:val="000000"/>
          <w:sz w:val="16"/>
          <w:szCs w:val="16"/>
          <w:lang w:val="es-ES"/>
        </w:rPr>
        <w:t xml:space="preserve">Case of Contreras et al. v. El Salvador. </w:t>
      </w:r>
      <w:r w:rsidRPr="004B75F8">
        <w:rPr>
          <w:i/>
          <w:color w:val="000000"/>
          <w:sz w:val="16"/>
          <w:szCs w:val="16"/>
          <w:lang w:val="en-US"/>
        </w:rPr>
        <w:t>Merits, reparations and costs</w:t>
      </w:r>
      <w:r w:rsidRPr="004B75F8">
        <w:rPr>
          <w:color w:val="000000"/>
          <w:sz w:val="16"/>
          <w:szCs w:val="16"/>
          <w:lang w:val="en-US"/>
        </w:rPr>
        <w:t xml:space="preserve">, para. 135. </w:t>
      </w:r>
    </w:p>
  </w:footnote>
  <w:footnote w:id="17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color w:val="000000"/>
          <w:szCs w:val="16"/>
          <w:lang w:val="en-US"/>
        </w:rPr>
        <w:t xml:space="preserve">Cf. </w:t>
      </w:r>
      <w:r w:rsidRPr="004B75F8">
        <w:rPr>
          <w:color w:val="000000"/>
          <w:szCs w:val="16"/>
          <w:lang w:val="en-US"/>
        </w:rPr>
        <w:t>note DIDH/GOI No. 48794/1892 of July 18, 2012, of the Colombian Ministry of Foreign Affairs (file of useful evidence presented by the State, tome I, folio 2).</w:t>
      </w:r>
    </w:p>
  </w:footnote>
  <w:footnote w:id="176">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When establishing the incident of the attempted deprivation of liberty, the Commission, in the Merits Report, stated that “Mr. Velez also alleges […] that [the] day [of the attempted deprivation of liberty] the escort assigned by the State, did not arrive at his house.” </w:t>
      </w:r>
    </w:p>
  </w:footnote>
  <w:footnote w:id="177">
    <w:p w:rsidR="008C5C78" w:rsidRPr="004B75F8" w:rsidRDefault="008C5C78" w:rsidP="00722D73">
      <w:pPr>
        <w:tabs>
          <w:tab w:val="left" w:pos="720"/>
        </w:tabs>
        <w:spacing w:after="100"/>
        <w:jc w:val="both"/>
        <w:rPr>
          <w:rFonts w:eastAsia="Calibri" w:cs="Arial"/>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 xml:space="preserve"> </w:t>
      </w:r>
      <w:r w:rsidRPr="004B75F8">
        <w:rPr>
          <w:rFonts w:eastAsia="Calibri" w:cs="Arial"/>
          <w:sz w:val="16"/>
          <w:szCs w:val="16"/>
          <w:lang w:val="en-US"/>
        </w:rPr>
        <w:t>When testifying at the public hearing before this Court, Mr. Velez stated that, on October 3, 1997, “three DAS agents again [arrived] at the news office and made another assessment of [his] routine” movements and</w:t>
      </w:r>
      <w:r w:rsidRPr="004B75F8">
        <w:rPr>
          <w:sz w:val="16"/>
          <w:szCs w:val="16"/>
          <w:lang w:val="en-US"/>
        </w:rPr>
        <w:t xml:space="preserve"> “they undertook to escort him from his home to his work on Monday,” but did not appear that Monday, October 6, in the morning, so that he “had to opt to use public transportation to get to work.”</w:t>
      </w:r>
      <w:r w:rsidRPr="004B75F8">
        <w:rPr>
          <w:rFonts w:eastAsia="Calibri" w:cs="Arial"/>
          <w:sz w:val="16"/>
          <w:szCs w:val="16"/>
          <w:lang w:val="en-US"/>
        </w:rPr>
        <w:t xml:space="preserve"> In his statement made by affidavit in 1995, he indicated, similarly, that, on October 6, 1997, he left his home at around 6 a.m. to go to work, and that as soon as he left the house, he noticed that “the two DAS agents had not arrived to escort [him] as was their custom.”</w:t>
      </w:r>
    </w:p>
  </w:footnote>
  <w:footnote w:id="178">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response to the request for helpful evidence, submitted by the State on June 22, 2012, as regards the question “about other possible hypothesis that may have been included in the criminal investigations,” was that both the investigation into the threats and the one into the alleged attempted kidnapping “were at the preliminary inquiry stage […];” that, in “the investigation into the alleged threats […] a writ of prohibition had been </w:t>
      </w:r>
      <w:r w:rsidR="000B54F8">
        <w:rPr>
          <w:szCs w:val="16"/>
          <w:lang w:val="en-US"/>
        </w:rPr>
        <w:t>issued that had resulted in the statute of limitations coming into effect</w:t>
      </w:r>
      <w:r w:rsidRPr="004B75F8">
        <w:rPr>
          <w:szCs w:val="16"/>
          <w:lang w:val="en-US"/>
        </w:rPr>
        <w:t>,” and that “the inquiry into the presumed conduct of attempted kidnapping was at a preliminary stage, without it having been possible to determine, to date, who is or are responsible for this act, or its motive.“</w:t>
      </w:r>
      <w:r w:rsidRPr="004B75F8">
        <w:rPr>
          <w:b/>
          <w:szCs w:val="16"/>
          <w:lang w:val="en-US"/>
        </w:rPr>
        <w:t xml:space="preserve"> </w:t>
      </w:r>
    </w:p>
  </w:footnote>
  <w:footnote w:id="179">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 xml:space="preserve">Recording containing the interview with the journalist Maribel Osorio (presented by expert witness José Francisco Tulande and forwarded by the State with the brief of March 28, 2012, merits file, tome III, folio 1860). </w:t>
      </w:r>
    </w:p>
  </w:footnote>
  <w:footnote w:id="18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The Commission argued that this case is circumscribed to the alleged context according to which the Colombian Armed Forces opposed investigations against their members, sometimes using threats and attacks. The representative alleged the existence of a context of “threats and violence […] against those who tried to use the Colombian judicial system to file complaints of this nature and against those that formed part of that system.”</w:t>
      </w:r>
    </w:p>
  </w:footnote>
  <w:footnote w:id="181">
    <w:p w:rsidR="008C5C78" w:rsidRPr="004B75F8" w:rsidRDefault="008C5C78" w:rsidP="00722D73">
      <w:pPr>
        <w:widowControl w:val="0"/>
        <w:autoSpaceDE w:val="0"/>
        <w:autoSpaceDN w:val="0"/>
        <w:adjustRightInd w:val="0"/>
        <w:spacing w:after="100"/>
        <w:jc w:val="both"/>
        <w:rPr>
          <w:rFonts w:cs="Verdana"/>
          <w:i/>
          <w:sz w:val="16"/>
          <w:szCs w:val="16"/>
          <w:lang w:val="en-US"/>
        </w:rPr>
      </w:pPr>
      <w:r w:rsidRPr="004B75F8">
        <w:rPr>
          <w:rStyle w:val="Refdenotaalpie"/>
          <w:sz w:val="16"/>
          <w:szCs w:val="16"/>
          <w:lang w:val="en-US"/>
        </w:rPr>
        <w:footnoteRef/>
      </w:r>
      <w:r w:rsidRPr="009C0529">
        <w:rPr>
          <w:sz w:val="16"/>
          <w:szCs w:val="16"/>
          <w:lang w:val="es-ES"/>
        </w:rPr>
        <w:t xml:space="preserve"> </w:t>
      </w:r>
      <w:r w:rsidRPr="009C0529">
        <w:rPr>
          <w:sz w:val="16"/>
          <w:szCs w:val="16"/>
          <w:lang w:val="es-ES"/>
        </w:rPr>
        <w:tab/>
      </w:r>
      <w:r w:rsidRPr="009C0529">
        <w:rPr>
          <w:rFonts w:cs="Verdana"/>
          <w:i/>
          <w:sz w:val="16"/>
          <w:szCs w:val="16"/>
          <w:lang w:val="es-ES"/>
        </w:rPr>
        <w:t xml:space="preserve">Cf. </w:t>
      </w:r>
      <w:r w:rsidRPr="009C0529">
        <w:rPr>
          <w:i/>
          <w:sz w:val="16"/>
          <w:szCs w:val="16"/>
          <w:lang w:val="es-ES"/>
        </w:rPr>
        <w:t>Case of Velásquez Rodríguez v. Honduras</w:t>
      </w:r>
      <w:r w:rsidRPr="009C0529">
        <w:rPr>
          <w:sz w:val="16"/>
          <w:szCs w:val="16"/>
          <w:lang w:val="es-ES"/>
        </w:rPr>
        <w:t xml:space="preserve">. </w:t>
      </w:r>
      <w:r w:rsidRPr="004B75F8">
        <w:rPr>
          <w:i/>
          <w:sz w:val="16"/>
          <w:szCs w:val="16"/>
          <w:lang w:val="en-US"/>
        </w:rPr>
        <w:t>Merits</w:t>
      </w:r>
      <w:r w:rsidRPr="004B75F8">
        <w:rPr>
          <w:sz w:val="16"/>
          <w:szCs w:val="16"/>
          <w:lang w:val="en-US"/>
        </w:rPr>
        <w:t xml:space="preserve">, para. 127 and </w:t>
      </w:r>
      <w:r w:rsidRPr="004B75F8">
        <w:rPr>
          <w:i/>
          <w:sz w:val="16"/>
          <w:szCs w:val="16"/>
          <w:lang w:val="en-US"/>
        </w:rPr>
        <w:t>Case of Perozo et al. v. Venezuela. Preliminary objections, merits, reparations and costs</w:t>
      </w:r>
      <w:r w:rsidRPr="004B75F8">
        <w:rPr>
          <w:sz w:val="16"/>
          <w:szCs w:val="16"/>
          <w:lang w:val="en-US"/>
        </w:rPr>
        <w:t>, para. 113.</w:t>
      </w:r>
    </w:p>
  </w:footnote>
  <w:footnote w:id="18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cs="Verdana"/>
          <w:i/>
          <w:szCs w:val="16"/>
          <w:lang w:val="en-US"/>
        </w:rPr>
        <w:t xml:space="preserve">Cf. </w:t>
      </w:r>
      <w:r w:rsidRPr="004B75F8">
        <w:rPr>
          <w:i/>
          <w:szCs w:val="16"/>
          <w:lang w:val="en-US"/>
        </w:rPr>
        <w:t>Case of Loayza Tamayo v. Peru</w:t>
      </w:r>
      <w:r w:rsidRPr="004B75F8">
        <w:rPr>
          <w:szCs w:val="16"/>
          <w:lang w:val="en-US"/>
        </w:rPr>
        <w:t xml:space="preserve">. </w:t>
      </w:r>
      <w:r w:rsidRPr="004B75F8">
        <w:rPr>
          <w:i/>
          <w:szCs w:val="16"/>
          <w:lang w:val="en-US"/>
        </w:rPr>
        <w:t>Merits</w:t>
      </w:r>
      <w:r w:rsidRPr="004B75F8">
        <w:rPr>
          <w:szCs w:val="16"/>
          <w:lang w:val="en-US"/>
        </w:rPr>
        <w:t xml:space="preserve">, para. 57, and </w:t>
      </w:r>
      <w:r w:rsidRPr="004B75F8">
        <w:rPr>
          <w:rFonts w:cs="Verdana-Bold"/>
          <w:bCs/>
          <w:i/>
          <w:szCs w:val="16"/>
          <w:lang w:val="en-US" w:bidi="en-US"/>
        </w:rPr>
        <w:t>Case of the Barrios Family v. Venezuela.</w:t>
      </w:r>
      <w:r w:rsidRPr="004B75F8">
        <w:rPr>
          <w:rFonts w:cs="Verdana-Bold"/>
          <w:bCs/>
          <w:szCs w:val="16"/>
          <w:lang w:val="en-US" w:bidi="en-US"/>
        </w:rPr>
        <w:t xml:space="preserve"> </w:t>
      </w:r>
      <w:r w:rsidRPr="004B75F8">
        <w:rPr>
          <w:rFonts w:cs="Verdana"/>
          <w:i/>
          <w:szCs w:val="16"/>
          <w:lang w:val="en-US" w:bidi="en-US"/>
        </w:rPr>
        <w:t>Merits, reparations and costs</w:t>
      </w:r>
      <w:r w:rsidRPr="004B75F8">
        <w:rPr>
          <w:rFonts w:cs="Verdana"/>
          <w:szCs w:val="16"/>
          <w:lang w:val="en-US" w:bidi="en-US"/>
        </w:rPr>
        <w:t>, para. 52.</w:t>
      </w:r>
    </w:p>
  </w:footnote>
  <w:footnote w:id="183">
    <w:p w:rsidR="008C5C78" w:rsidRPr="004B75F8" w:rsidRDefault="008C5C78" w:rsidP="00722D73">
      <w:pPr>
        <w:pStyle w:val="Textonotapie"/>
        <w:spacing w:after="100"/>
        <w:rPr>
          <w:rFonts w:cs="Verdana"/>
          <w:szCs w:val="16"/>
          <w:lang w:val="en-US" w:bidi="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Ximenes Lopes v. Brazil. Merits, reparations and costs</w:t>
      </w:r>
      <w:r w:rsidRPr="004B75F8">
        <w:rPr>
          <w:szCs w:val="16"/>
          <w:lang w:val="en-US"/>
        </w:rPr>
        <w:t xml:space="preserve">. Judgment of July 4, 2006. Series C No. 149, para. 127, and </w:t>
      </w:r>
      <w:r w:rsidRPr="004B75F8">
        <w:rPr>
          <w:rFonts w:cs="Verdana-Bold"/>
          <w:bCs/>
          <w:i/>
          <w:szCs w:val="16"/>
          <w:lang w:val="en-US" w:bidi="en-US"/>
        </w:rPr>
        <w:t>Case of the Barrios Family v. Venezuela.</w:t>
      </w:r>
      <w:r w:rsidRPr="004B75F8">
        <w:rPr>
          <w:rFonts w:cs="Verdana-Bold"/>
          <w:bCs/>
          <w:szCs w:val="16"/>
          <w:lang w:val="en-US" w:bidi="en-US"/>
        </w:rPr>
        <w:t xml:space="preserve"> </w:t>
      </w:r>
      <w:r w:rsidRPr="004B75F8">
        <w:rPr>
          <w:rFonts w:cs="Verdana"/>
          <w:i/>
          <w:szCs w:val="16"/>
          <w:lang w:val="en-US" w:bidi="en-US"/>
        </w:rPr>
        <w:t>Merits, reparations and costs</w:t>
      </w:r>
      <w:r w:rsidRPr="004B75F8">
        <w:rPr>
          <w:rFonts w:cs="Verdana"/>
          <w:szCs w:val="16"/>
          <w:lang w:val="en-US" w:bidi="en-US"/>
        </w:rPr>
        <w:t>, para. 52.</w:t>
      </w:r>
    </w:p>
  </w:footnote>
  <w:footnote w:id="184">
    <w:p w:rsidR="008C5C78" w:rsidRPr="004B75F8" w:rsidRDefault="008C5C78" w:rsidP="00722D73">
      <w:pPr>
        <w:pStyle w:val="Textonotapie"/>
        <w:spacing w:after="100"/>
        <w:rPr>
          <w:rFonts w:cs="Verdana"/>
          <w:szCs w:val="16"/>
          <w:lang w:val="en-US" w:bidi="en-US"/>
        </w:rPr>
      </w:pPr>
      <w:r w:rsidRPr="004B75F8">
        <w:rPr>
          <w:rStyle w:val="Refdenotaalpie"/>
          <w:szCs w:val="16"/>
          <w:lang w:val="en-US"/>
        </w:rPr>
        <w:footnoteRef/>
      </w:r>
      <w:r w:rsidRPr="004B75F8">
        <w:rPr>
          <w:szCs w:val="16"/>
          <w:lang w:val="en-US"/>
        </w:rPr>
        <w:tab/>
      </w:r>
      <w:r w:rsidRPr="004B75F8">
        <w:rPr>
          <w:i/>
          <w:szCs w:val="16"/>
          <w:lang w:val="en-US"/>
        </w:rPr>
        <w:t>Cf. Case of the “Street Children” (Villagrán Morales et al.) v. Guatemala. Merits.</w:t>
      </w:r>
      <w:r w:rsidRPr="004B75F8">
        <w:rPr>
          <w:szCs w:val="16"/>
          <w:lang w:val="en-US"/>
        </w:rPr>
        <w:t xml:space="preserve"> Judgment of November 19, 1999. Series C No. 63, para. 165, and </w:t>
      </w:r>
      <w:r w:rsidRPr="004B75F8">
        <w:rPr>
          <w:rFonts w:cs="Verdana-Bold"/>
          <w:bCs/>
          <w:i/>
          <w:szCs w:val="16"/>
          <w:lang w:val="en-US" w:bidi="en-US"/>
        </w:rPr>
        <w:t>Case of the Barrios Family v. Venezuela.</w:t>
      </w:r>
      <w:r w:rsidRPr="004B75F8">
        <w:rPr>
          <w:rFonts w:cs="Verdana-Bold"/>
          <w:bCs/>
          <w:szCs w:val="16"/>
          <w:lang w:val="en-US" w:bidi="en-US"/>
        </w:rPr>
        <w:t xml:space="preserve"> </w:t>
      </w:r>
      <w:r w:rsidRPr="004B75F8">
        <w:rPr>
          <w:rFonts w:cs="Verdana"/>
          <w:i/>
          <w:szCs w:val="16"/>
          <w:lang w:val="en-US" w:bidi="en-US"/>
        </w:rPr>
        <w:t>Merits, reparations and costs</w:t>
      </w:r>
      <w:r w:rsidRPr="004B75F8">
        <w:rPr>
          <w:rFonts w:cs="Verdana"/>
          <w:szCs w:val="16"/>
          <w:lang w:val="en-US" w:bidi="en-US"/>
        </w:rPr>
        <w:t xml:space="preserve">, para. 82. </w:t>
      </w:r>
    </w:p>
  </w:footnote>
  <w:footnote w:id="18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Court understands that the elements that constitute torture are as follows: (a) an intentional act; (b) that causes severe physical or mental suffering, and (c) that is committed with a specific objective or purpose. Furthermore, it has indicated that “when assessing the severity of the suffering experienced, the Court must take into account the specific circumstances of each case, bearing in mind endogenous and exogenous factors. The former refer to the characteristics of the treatment, such as the duration, the method used, or the way in which the suffering was inflicted, as well as the physical and mental effects that it tends to cause. The latter refers to the conditions of the person who undergoes the said ordeal, such as age, sex, health, and any other personal circumstance.” </w:t>
      </w:r>
      <w:r w:rsidRPr="004B75F8">
        <w:rPr>
          <w:i/>
          <w:szCs w:val="16"/>
          <w:lang w:val="en-US"/>
        </w:rPr>
        <w:t>Cf. Case of the “Street Children” (Villagrán Morales et al.) v. Guatemala. Merits</w:t>
      </w:r>
      <w:r w:rsidRPr="004B75F8">
        <w:rPr>
          <w:szCs w:val="16"/>
          <w:lang w:val="en-US"/>
        </w:rPr>
        <w:t xml:space="preserve">, para. 74; </w:t>
      </w:r>
      <w:r w:rsidRPr="004B75F8">
        <w:rPr>
          <w:i/>
          <w:szCs w:val="16"/>
          <w:lang w:val="en-US"/>
        </w:rPr>
        <w:t>Case of Bueno Alves v. Argentina. Merits, reparations and costs.</w:t>
      </w:r>
      <w:r w:rsidRPr="004B75F8">
        <w:rPr>
          <w:szCs w:val="16"/>
          <w:lang w:val="en-US"/>
        </w:rPr>
        <w:t xml:space="preserve"> Judgment of May 11, 2007. Series C No. 164, paras. 79 and 83, and </w:t>
      </w:r>
      <w:r w:rsidRPr="004B75F8">
        <w:rPr>
          <w:i/>
          <w:szCs w:val="16"/>
          <w:lang w:val="en-US"/>
        </w:rPr>
        <w:t>Case of</w:t>
      </w:r>
      <w:r w:rsidRPr="004B75F8">
        <w:rPr>
          <w:szCs w:val="16"/>
          <w:lang w:val="en-US"/>
        </w:rPr>
        <w:t xml:space="preserve"> </w:t>
      </w:r>
      <w:r w:rsidRPr="004B75F8">
        <w:rPr>
          <w:i/>
          <w:szCs w:val="16"/>
          <w:lang w:val="en-US"/>
        </w:rPr>
        <w:t xml:space="preserve">Rosendo Cantú et al. v. Mexico. Preliminary objection, merits, reparations and costs. </w:t>
      </w:r>
      <w:r w:rsidRPr="004B75F8">
        <w:rPr>
          <w:szCs w:val="16"/>
          <w:lang w:val="en-US"/>
        </w:rPr>
        <w:t>Judgment of August 31, 2010. Series C No. 216, para. 110.</w:t>
      </w:r>
    </w:p>
  </w:footnote>
  <w:footnote w:id="186">
    <w:p w:rsidR="008C5C78" w:rsidRPr="004B75F8" w:rsidRDefault="008C5C78" w:rsidP="00722D73">
      <w:pPr>
        <w:pStyle w:val="Textonotapie"/>
        <w:tabs>
          <w:tab w:val="left" w:pos="720"/>
        </w:tabs>
        <w:spacing w:after="100"/>
        <w:rPr>
          <w:color w:val="00B050"/>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The representative indicated that the events that took place in Caquetá on August 29, 1996, and “the subsequent campaign of threats and harassment against Richard Vélez and his family, [should be] seen as a plan made with a single objective, [and] constitute a very clear case of torture.”</w:t>
      </w:r>
      <w:r w:rsidRPr="004B75F8">
        <w:rPr>
          <w:b/>
          <w:color w:val="00B050"/>
          <w:szCs w:val="16"/>
          <w:lang w:val="en-US"/>
        </w:rPr>
        <w:t xml:space="preserve"> </w:t>
      </w:r>
      <w:r w:rsidRPr="004B75F8">
        <w:rPr>
          <w:szCs w:val="16"/>
          <w:lang w:val="en-US"/>
        </w:rPr>
        <w:t>According to the representative, in view of the purpose of the threats and harassment and the “severe psychological harm“ that they produced, “the said acts of violence should be assessed as part of a single sequence that cannot be separated or disassociated from the initial torture against Richard in Caquetá.”</w:t>
      </w:r>
    </w:p>
  </w:footnote>
  <w:footnote w:id="187">
    <w:p w:rsidR="008C5C78" w:rsidRPr="004B75F8" w:rsidRDefault="008C5C78" w:rsidP="00722D73">
      <w:pPr>
        <w:tabs>
          <w:tab w:val="left" w:pos="720"/>
        </w:tabs>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 xml:space="preserve">Certification issued on July 4, 1997, by Dr. Constanza Velásquez, in which she </w:t>
      </w:r>
      <w:r w:rsidRPr="004B75F8">
        <w:rPr>
          <w:rFonts w:eastAsia="Calibri"/>
          <w:sz w:val="16"/>
          <w:szCs w:val="16"/>
          <w:lang w:val="en-US"/>
        </w:rPr>
        <w:t>“[…] certifies that, from September 10, 1996, to May 16, 1997, she provided psychological treatment to the VELEZ ROMAN FAMILY […]. During which, [referring to the sessions] an assessment, tests, and management of anxiety, depression and stress, and relaxation were carried out” (</w:t>
      </w:r>
      <w:r w:rsidRPr="004B75F8">
        <w:rPr>
          <w:sz w:val="16"/>
          <w:szCs w:val="16"/>
          <w:lang w:val="en-US"/>
        </w:rPr>
        <w:t>file of annexes to the Merits Report, annex 29, folio 167).</w:t>
      </w:r>
    </w:p>
  </w:footnote>
  <w:footnote w:id="18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expert opinion provided by affidavit by Carol L. Kessler on February 18, 2012 (merits file, tome II, folios 947 to 961).</w:t>
      </w:r>
    </w:p>
  </w:footnote>
  <w:footnote w:id="189">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Article 4(1) of the American Convention establishes that “[</w:t>
      </w:r>
      <w:r w:rsidRPr="004B75F8">
        <w:rPr>
          <w:spacing w:val="-3"/>
          <w:szCs w:val="16"/>
          <w:lang w:val="en-US"/>
        </w:rPr>
        <w:t>E]very person has the right to have his life respected.  This right shall be protected by law and, in general, from the moment of conception.  No one shall be arbitrarily deprived of his life.</w:t>
      </w:r>
      <w:r w:rsidRPr="004B75F8">
        <w:rPr>
          <w:rStyle w:val="apple-style-span"/>
          <w:rFonts w:cs="Tahoma"/>
          <w:szCs w:val="16"/>
          <w:lang w:val="en-US"/>
        </w:rPr>
        <w:t>”</w:t>
      </w:r>
    </w:p>
  </w:footnote>
  <w:footnote w:id="190">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Colombia argued the lack of evidence to affirm that “there was an attempted forced disappearance,”</w:t>
      </w:r>
      <w:r w:rsidRPr="004B75F8">
        <w:rPr>
          <w:rFonts w:cs="Verdana"/>
          <w:b/>
          <w:szCs w:val="16"/>
          <w:lang w:val="en-US"/>
        </w:rPr>
        <w:t xml:space="preserve"> </w:t>
      </w:r>
      <w:r w:rsidRPr="004B75F8">
        <w:rPr>
          <w:szCs w:val="16"/>
          <w:lang w:val="en-US"/>
        </w:rPr>
        <w:t xml:space="preserve">and that “the supposed generalized context of violence against journalists cannot </w:t>
      </w:r>
      <w:r w:rsidRPr="004B75F8">
        <w:rPr>
          <w:i/>
          <w:szCs w:val="16"/>
          <w:lang w:val="en-US"/>
        </w:rPr>
        <w:t>per se</w:t>
      </w:r>
      <w:r w:rsidRPr="004B75F8">
        <w:rPr>
          <w:szCs w:val="16"/>
          <w:lang w:val="en-US"/>
        </w:rPr>
        <w:t xml:space="preserve"> give rise to a violation of the right to life.”</w:t>
      </w:r>
      <w:r w:rsidRPr="004B75F8">
        <w:rPr>
          <w:rFonts w:cs="Verdana"/>
          <w:b/>
          <w:szCs w:val="16"/>
          <w:lang w:val="en-US"/>
        </w:rPr>
        <w:t xml:space="preserve"> </w:t>
      </w:r>
    </w:p>
  </w:footnote>
  <w:footnote w:id="19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the La Rochela Massacre v. Colombia. Merits, reparations and costs</w:t>
      </w:r>
      <w:r w:rsidRPr="004B75F8">
        <w:rPr>
          <w:szCs w:val="16"/>
          <w:lang w:val="en-US"/>
        </w:rPr>
        <w:t xml:space="preserve">, paras. 127 and 128. Similarly, </w:t>
      </w:r>
      <w:r w:rsidRPr="004B75F8">
        <w:rPr>
          <w:i/>
          <w:szCs w:val="16"/>
          <w:lang w:val="en-US"/>
        </w:rPr>
        <w:t xml:space="preserve">cf. </w:t>
      </w:r>
      <w:r w:rsidRPr="004B75F8">
        <w:rPr>
          <w:szCs w:val="16"/>
          <w:lang w:val="en-US"/>
        </w:rPr>
        <w:t>ECHR.</w:t>
      </w:r>
      <w:r w:rsidRPr="004B75F8">
        <w:rPr>
          <w:i/>
          <w:szCs w:val="16"/>
          <w:lang w:val="en-US"/>
        </w:rPr>
        <w:t xml:space="preserve"> Makaratzis v. Greece </w:t>
      </w:r>
      <w:r w:rsidRPr="004B75F8">
        <w:rPr>
          <w:szCs w:val="16"/>
          <w:lang w:val="en-US"/>
        </w:rPr>
        <w:t>[Grand Chamber],</w:t>
      </w:r>
      <w:r w:rsidRPr="004B75F8">
        <w:rPr>
          <w:i/>
          <w:szCs w:val="16"/>
          <w:lang w:val="en-US"/>
        </w:rPr>
        <w:t xml:space="preserve"> </w:t>
      </w:r>
      <w:r w:rsidRPr="004B75F8">
        <w:rPr>
          <w:szCs w:val="16"/>
          <w:lang w:val="en-US"/>
        </w:rPr>
        <w:t>No</w:t>
      </w:r>
      <w:r w:rsidRPr="004B75F8">
        <w:rPr>
          <w:i/>
          <w:szCs w:val="16"/>
          <w:lang w:val="en-US"/>
        </w:rPr>
        <w:t xml:space="preserve">. </w:t>
      </w:r>
      <w:r w:rsidRPr="004B75F8">
        <w:rPr>
          <w:szCs w:val="16"/>
          <w:lang w:val="en-US"/>
        </w:rPr>
        <w:t>50385/99,</w:t>
      </w:r>
      <w:r w:rsidRPr="004B75F8">
        <w:rPr>
          <w:i/>
          <w:szCs w:val="16"/>
          <w:lang w:val="en-US"/>
        </w:rPr>
        <w:t xml:space="preserve"> </w:t>
      </w:r>
      <w:r w:rsidRPr="004B75F8">
        <w:rPr>
          <w:szCs w:val="16"/>
          <w:lang w:val="en-US"/>
        </w:rPr>
        <w:t>December 20, 2004,</w:t>
      </w:r>
      <w:r w:rsidRPr="004B75F8">
        <w:rPr>
          <w:i/>
          <w:szCs w:val="16"/>
          <w:lang w:val="en-US"/>
        </w:rPr>
        <w:t xml:space="preserve"> </w:t>
      </w:r>
      <w:r w:rsidRPr="004B75F8">
        <w:rPr>
          <w:szCs w:val="16"/>
          <w:lang w:val="en-US"/>
        </w:rPr>
        <w:t xml:space="preserve">paras. 51 and 55, and </w:t>
      </w:r>
      <w:r w:rsidRPr="004B75F8">
        <w:rPr>
          <w:i/>
          <w:szCs w:val="16"/>
          <w:lang w:val="en-US"/>
        </w:rPr>
        <w:t xml:space="preserve">Ismail Altun v. Turkey, </w:t>
      </w:r>
      <w:r w:rsidRPr="004B75F8">
        <w:rPr>
          <w:szCs w:val="16"/>
          <w:lang w:val="en-US"/>
        </w:rPr>
        <w:t>No. 22932/02</w:t>
      </w:r>
      <w:r w:rsidRPr="004B75F8">
        <w:rPr>
          <w:i/>
          <w:szCs w:val="16"/>
          <w:lang w:val="en-US"/>
        </w:rPr>
        <w:t>,</w:t>
      </w:r>
      <w:r w:rsidRPr="004B75F8">
        <w:rPr>
          <w:szCs w:val="16"/>
          <w:lang w:val="en-US"/>
        </w:rPr>
        <w:t xml:space="preserve"> September 21, 2004, para. 64.</w:t>
      </w:r>
    </w:p>
  </w:footnote>
  <w:footnote w:id="19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Velásquez Rodríguez v. Honduras</w:t>
      </w:r>
      <w:r w:rsidRPr="004B75F8">
        <w:rPr>
          <w:szCs w:val="16"/>
          <w:lang w:val="en-US"/>
        </w:rPr>
        <w:t xml:space="preserve">. </w:t>
      </w:r>
      <w:r w:rsidRPr="004B75F8">
        <w:rPr>
          <w:i/>
          <w:szCs w:val="16"/>
          <w:lang w:val="en-US"/>
        </w:rPr>
        <w:t>Merits</w:t>
      </w:r>
      <w:r w:rsidRPr="004B75F8">
        <w:rPr>
          <w:szCs w:val="16"/>
          <w:lang w:val="en-US"/>
        </w:rPr>
        <w:t xml:space="preserve">, para. 173, and </w:t>
      </w:r>
      <w:r w:rsidRPr="004B75F8">
        <w:rPr>
          <w:rFonts w:cs="Verdana-Bold"/>
          <w:bCs/>
          <w:i/>
          <w:szCs w:val="16"/>
          <w:lang w:val="en-US" w:bidi="en-US"/>
        </w:rPr>
        <w:t>Case of the Barrios Family v. Venezuela.</w:t>
      </w:r>
      <w:r w:rsidRPr="004B75F8">
        <w:rPr>
          <w:rFonts w:cs="Verdana-Bold"/>
          <w:bCs/>
          <w:szCs w:val="16"/>
          <w:lang w:val="en-US" w:bidi="en-US"/>
        </w:rPr>
        <w:t xml:space="preserve"> </w:t>
      </w:r>
      <w:r w:rsidRPr="004B75F8">
        <w:rPr>
          <w:rFonts w:cs="Verdana"/>
          <w:i/>
          <w:szCs w:val="16"/>
          <w:lang w:val="en-US" w:bidi="en-US"/>
        </w:rPr>
        <w:t>Merits, reparations and costs</w:t>
      </w:r>
      <w:r w:rsidRPr="004B75F8">
        <w:rPr>
          <w:rFonts w:cs="Verdana"/>
          <w:szCs w:val="16"/>
          <w:lang w:val="en-US" w:bidi="en-US"/>
        </w:rPr>
        <w:t>, para. 47.</w:t>
      </w:r>
    </w:p>
  </w:footnote>
  <w:footnote w:id="193">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 Case of Velásquez Rodríguez v. Honduras</w:t>
      </w:r>
      <w:r w:rsidRPr="004B75F8">
        <w:rPr>
          <w:sz w:val="16"/>
          <w:szCs w:val="16"/>
          <w:lang w:val="en-US"/>
        </w:rPr>
        <w:t xml:space="preserve">. </w:t>
      </w:r>
      <w:r w:rsidRPr="004B75F8">
        <w:rPr>
          <w:i/>
          <w:sz w:val="16"/>
          <w:szCs w:val="16"/>
          <w:lang w:val="en-US"/>
        </w:rPr>
        <w:t>Merits</w:t>
      </w:r>
      <w:r w:rsidRPr="004B75F8">
        <w:rPr>
          <w:sz w:val="16"/>
          <w:szCs w:val="16"/>
          <w:lang w:val="en-US"/>
        </w:rPr>
        <w:t xml:space="preserve">, paras. 166 and 167, and </w:t>
      </w:r>
      <w:r w:rsidRPr="004B75F8">
        <w:rPr>
          <w:rFonts w:cs="Verdana-Bold"/>
          <w:bCs/>
          <w:i/>
          <w:sz w:val="16"/>
          <w:szCs w:val="16"/>
          <w:lang w:val="en-US" w:bidi="en-US"/>
        </w:rPr>
        <w:t>Case of the Barrios Family v. Venezuela.</w:t>
      </w:r>
      <w:r w:rsidRPr="004B75F8">
        <w:rPr>
          <w:rFonts w:cs="Verdana-Bold"/>
          <w:bCs/>
          <w:sz w:val="16"/>
          <w:szCs w:val="16"/>
          <w:lang w:val="en-US" w:bidi="en-US"/>
        </w:rPr>
        <w:t xml:space="preserve"> </w:t>
      </w:r>
      <w:r w:rsidRPr="004B75F8">
        <w:rPr>
          <w:rFonts w:cs="Verdana"/>
          <w:i/>
          <w:sz w:val="16"/>
          <w:szCs w:val="16"/>
          <w:lang w:val="en-US" w:bidi="en-US"/>
        </w:rPr>
        <w:t>Merits, reparations and costs</w:t>
      </w:r>
      <w:r w:rsidRPr="004B75F8">
        <w:rPr>
          <w:rFonts w:cs="Verdana"/>
          <w:sz w:val="16"/>
          <w:szCs w:val="16"/>
          <w:lang w:val="en-US" w:bidi="en-US"/>
        </w:rPr>
        <w:t>, para. 116</w:t>
      </w:r>
      <w:r w:rsidRPr="004B75F8">
        <w:rPr>
          <w:sz w:val="16"/>
          <w:szCs w:val="16"/>
          <w:lang w:val="en-US"/>
        </w:rPr>
        <w:t>.</w:t>
      </w:r>
    </w:p>
  </w:footnote>
  <w:footnote w:id="19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cs="Verdana"/>
          <w:i/>
          <w:szCs w:val="16"/>
          <w:lang w:val="en-US" w:bidi="en-US"/>
        </w:rPr>
        <w:t xml:space="preserve">Cf. </w:t>
      </w:r>
      <w:r w:rsidRPr="004B75F8">
        <w:rPr>
          <w:i/>
          <w:szCs w:val="16"/>
          <w:lang w:val="en-US"/>
        </w:rPr>
        <w:t>Case of Velásquez Rodríguez v. Honduras</w:t>
      </w:r>
      <w:r w:rsidRPr="004B75F8">
        <w:rPr>
          <w:szCs w:val="16"/>
          <w:lang w:val="en-US"/>
        </w:rPr>
        <w:t xml:space="preserve">. </w:t>
      </w:r>
      <w:r w:rsidRPr="004B75F8">
        <w:rPr>
          <w:i/>
          <w:szCs w:val="16"/>
          <w:lang w:val="en-US"/>
        </w:rPr>
        <w:t>Merits</w:t>
      </w:r>
      <w:r w:rsidRPr="004B75F8">
        <w:rPr>
          <w:szCs w:val="16"/>
          <w:lang w:val="en-US"/>
        </w:rPr>
        <w:t xml:space="preserve">, paras. 174 and 175, and </w:t>
      </w:r>
      <w:r w:rsidRPr="004B75F8">
        <w:rPr>
          <w:i/>
          <w:szCs w:val="16"/>
          <w:lang w:val="en-US"/>
        </w:rPr>
        <w:t>Case of</w:t>
      </w:r>
      <w:r w:rsidRPr="004B75F8">
        <w:rPr>
          <w:szCs w:val="16"/>
          <w:lang w:val="en-US"/>
        </w:rPr>
        <w:t xml:space="preserve"> </w:t>
      </w:r>
      <w:r w:rsidRPr="004B75F8">
        <w:rPr>
          <w:i/>
          <w:szCs w:val="16"/>
          <w:lang w:val="en-US"/>
        </w:rPr>
        <w:t>Manuel Cepeda Vargas v. Colombia. Preliminary objections, merits, reparations and costs</w:t>
      </w:r>
      <w:r w:rsidRPr="004B75F8">
        <w:rPr>
          <w:szCs w:val="16"/>
          <w:lang w:val="en-US"/>
        </w:rPr>
        <w:t>, para. 101.</w:t>
      </w:r>
    </w:p>
  </w:footnote>
  <w:footnote w:id="195">
    <w:p w:rsidR="008C5C78" w:rsidRPr="004B75F8" w:rsidRDefault="008C5C78" w:rsidP="00722D73">
      <w:pPr>
        <w:spacing w:after="100"/>
        <w:jc w:val="both"/>
        <w:rPr>
          <w:sz w:val="16"/>
          <w:szCs w:val="16"/>
          <w:lang w:val="en-US"/>
        </w:rPr>
      </w:pPr>
      <w:r w:rsidRPr="004B75F8">
        <w:rPr>
          <w:rStyle w:val="Refdenotaalpie"/>
          <w:rFonts w:eastAsia="Times"/>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 Case of Velásquez Rodríguez v. Honduras</w:t>
      </w:r>
      <w:r w:rsidRPr="004B75F8">
        <w:rPr>
          <w:sz w:val="16"/>
          <w:szCs w:val="16"/>
          <w:lang w:val="en-US"/>
        </w:rPr>
        <w:t xml:space="preserve">. </w:t>
      </w:r>
      <w:r w:rsidRPr="004B75F8">
        <w:rPr>
          <w:i/>
          <w:sz w:val="16"/>
          <w:szCs w:val="16"/>
          <w:lang w:val="en-US"/>
        </w:rPr>
        <w:t>Merits</w:t>
      </w:r>
      <w:r w:rsidRPr="004B75F8">
        <w:rPr>
          <w:sz w:val="16"/>
          <w:szCs w:val="16"/>
          <w:lang w:val="en-US"/>
        </w:rPr>
        <w:t xml:space="preserve">, para. 177, and </w:t>
      </w:r>
      <w:r w:rsidRPr="004B75F8">
        <w:rPr>
          <w:bCs/>
          <w:i/>
          <w:color w:val="000000"/>
          <w:sz w:val="16"/>
          <w:szCs w:val="16"/>
          <w:lang w:val="en-US"/>
        </w:rPr>
        <w:t>Case of González Medina and family members  v. Dominican Republic</w:t>
      </w:r>
      <w:r w:rsidRPr="004B75F8">
        <w:rPr>
          <w:bCs/>
          <w:color w:val="000000"/>
          <w:sz w:val="16"/>
          <w:szCs w:val="16"/>
          <w:lang w:val="en-US"/>
        </w:rPr>
        <w:t xml:space="preserve">. </w:t>
      </w:r>
      <w:r w:rsidRPr="004B75F8">
        <w:rPr>
          <w:i/>
          <w:color w:val="000000"/>
          <w:sz w:val="16"/>
          <w:szCs w:val="16"/>
          <w:lang w:val="en-US"/>
        </w:rPr>
        <w:t>Preliminary objections, merits, reparations and costs</w:t>
      </w:r>
      <w:r w:rsidRPr="004B75F8">
        <w:rPr>
          <w:color w:val="000000"/>
          <w:sz w:val="16"/>
          <w:szCs w:val="16"/>
          <w:lang w:val="en-US"/>
        </w:rPr>
        <w:t>, para. 206.</w:t>
      </w:r>
    </w:p>
  </w:footnote>
  <w:footnote w:id="19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color w:val="000000"/>
          <w:szCs w:val="16"/>
          <w:lang w:val="en-US"/>
        </w:rPr>
        <w:t xml:space="preserve">Cf. </w:t>
      </w:r>
      <w:r w:rsidRPr="004B75F8">
        <w:rPr>
          <w:i/>
          <w:szCs w:val="16"/>
          <w:lang w:val="en-US"/>
        </w:rPr>
        <w:t>Case of</w:t>
      </w:r>
      <w:r w:rsidRPr="004B75F8">
        <w:rPr>
          <w:szCs w:val="16"/>
          <w:lang w:val="en-US"/>
        </w:rPr>
        <w:t xml:space="preserve"> </w:t>
      </w:r>
      <w:r w:rsidRPr="004B75F8">
        <w:rPr>
          <w:i/>
          <w:szCs w:val="16"/>
          <w:lang w:val="en-US"/>
        </w:rPr>
        <w:t>the Pueblo Bello Massacre v. Colombia. Merits, reparations and costs</w:t>
      </w:r>
      <w:r w:rsidRPr="004B75F8">
        <w:rPr>
          <w:szCs w:val="16"/>
          <w:lang w:val="en-US"/>
        </w:rPr>
        <w:t xml:space="preserve">. Judgment of </w:t>
      </w:r>
      <w:r w:rsidR="00334C3C" w:rsidRPr="004B75F8">
        <w:rPr>
          <w:szCs w:val="16"/>
          <w:lang w:val="en-US"/>
        </w:rPr>
        <w:t>January</w:t>
      </w:r>
      <w:r w:rsidRPr="004B75F8">
        <w:rPr>
          <w:szCs w:val="16"/>
          <w:lang w:val="en-US"/>
        </w:rPr>
        <w:t xml:space="preserve"> 31, 2006. Series C No. 140, para. 123, and </w:t>
      </w:r>
      <w:r w:rsidRPr="004B75F8">
        <w:rPr>
          <w:rFonts w:cs="Verdana-Bold"/>
          <w:bCs/>
          <w:i/>
          <w:szCs w:val="16"/>
          <w:lang w:val="en-US" w:bidi="en-US"/>
        </w:rPr>
        <w:t>Case of the Barrios Family v. Venezuela.</w:t>
      </w:r>
      <w:r w:rsidRPr="004B75F8">
        <w:rPr>
          <w:rFonts w:cs="Verdana-Bold"/>
          <w:bCs/>
          <w:szCs w:val="16"/>
          <w:lang w:val="en-US" w:bidi="en-US"/>
        </w:rPr>
        <w:t xml:space="preserve"> </w:t>
      </w:r>
      <w:r w:rsidRPr="004B75F8">
        <w:rPr>
          <w:rFonts w:cs="Verdana"/>
          <w:i/>
          <w:szCs w:val="16"/>
          <w:lang w:val="en-US" w:bidi="en-US"/>
        </w:rPr>
        <w:t>Merits, reparations and costs</w:t>
      </w:r>
      <w:r w:rsidRPr="004B75F8">
        <w:rPr>
          <w:rFonts w:cs="Verdana"/>
          <w:szCs w:val="16"/>
          <w:lang w:val="en-US" w:bidi="en-US"/>
        </w:rPr>
        <w:t>, para. 123.</w:t>
      </w:r>
    </w:p>
  </w:footnote>
  <w:footnote w:id="197">
    <w:p w:rsidR="008C5C78" w:rsidRPr="004B75F8" w:rsidRDefault="008C5C78" w:rsidP="00722D73">
      <w:pPr>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rFonts w:cs="Verdana"/>
          <w:i/>
          <w:sz w:val="16"/>
          <w:szCs w:val="16"/>
          <w:lang w:val="en-US" w:bidi="en-US"/>
        </w:rPr>
        <w:t xml:space="preserve">Cf. </w:t>
      </w:r>
      <w:r w:rsidRPr="004B75F8">
        <w:rPr>
          <w:i/>
          <w:sz w:val="16"/>
          <w:szCs w:val="16"/>
          <w:lang w:val="en-US"/>
        </w:rPr>
        <w:t xml:space="preserve">Juridical Status and Rights of Undocumented Migrants. </w:t>
      </w:r>
      <w:r w:rsidRPr="004B75F8">
        <w:rPr>
          <w:sz w:val="16"/>
          <w:szCs w:val="16"/>
          <w:lang w:val="en-US"/>
        </w:rPr>
        <w:t xml:space="preserve">Advisory Opinion OC-18/03 of September 17, 2003. Series A No. 18, paras. 112 to 172, and </w:t>
      </w:r>
      <w:r w:rsidRPr="004B75F8">
        <w:rPr>
          <w:i/>
          <w:sz w:val="16"/>
          <w:szCs w:val="16"/>
          <w:lang w:val="en-US"/>
        </w:rPr>
        <w:t xml:space="preserve">Case of Vélez Loor v. Panamá. Preliminary objections, merits, reparations and costs. </w:t>
      </w:r>
      <w:r w:rsidRPr="004B75F8">
        <w:rPr>
          <w:sz w:val="16"/>
          <w:szCs w:val="16"/>
          <w:lang w:val="en-US"/>
        </w:rPr>
        <w:t xml:space="preserve">Judgment of November 23, 2010. Series C No. 218, para. 207. </w:t>
      </w:r>
      <w:r w:rsidRPr="004B75F8">
        <w:rPr>
          <w:rFonts w:cs="Verdana"/>
          <w:sz w:val="16"/>
          <w:szCs w:val="16"/>
          <w:lang w:val="en-US" w:eastAsia="es-ES"/>
        </w:rPr>
        <w:t xml:space="preserve"> </w:t>
      </w:r>
    </w:p>
  </w:footnote>
  <w:footnote w:id="198">
    <w:p w:rsidR="008C5C78" w:rsidRPr="009C0529" w:rsidRDefault="008C5C78" w:rsidP="00722D73">
      <w:pPr>
        <w:pStyle w:val="Textonotapie"/>
        <w:spacing w:after="100"/>
        <w:rPr>
          <w:szCs w:val="16"/>
          <w:lang w:val="es-E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cs="Verdana"/>
          <w:i/>
          <w:szCs w:val="16"/>
          <w:lang w:val="en-US" w:eastAsia="es-ES"/>
        </w:rPr>
        <w:t xml:space="preserve">Cf. </w:t>
      </w:r>
      <w:r w:rsidRPr="004B75F8">
        <w:rPr>
          <w:i/>
          <w:szCs w:val="16"/>
          <w:lang w:val="en-US"/>
        </w:rPr>
        <w:t>Case of Ríos et al. v. Venezuela. Preliminary objections, merits, reparations and costs</w:t>
      </w:r>
      <w:r w:rsidRPr="004B75F8">
        <w:rPr>
          <w:szCs w:val="16"/>
          <w:lang w:val="en-US"/>
        </w:rPr>
        <w:t xml:space="preserve">, para. 107, and </w:t>
      </w:r>
      <w:r w:rsidRPr="004B75F8">
        <w:rPr>
          <w:i/>
          <w:szCs w:val="16"/>
          <w:lang w:val="en-US"/>
        </w:rPr>
        <w:t>Case of Vélez Loor v. Panamá. Preliminary objections, merits, reparations and costs</w:t>
      </w:r>
      <w:r w:rsidRPr="004B75F8">
        <w:rPr>
          <w:szCs w:val="16"/>
          <w:lang w:val="en-US"/>
        </w:rPr>
        <w:t xml:space="preserve">, para. </w:t>
      </w:r>
      <w:r w:rsidRPr="009C0529">
        <w:rPr>
          <w:szCs w:val="16"/>
          <w:lang w:val="es-ES"/>
        </w:rPr>
        <w:t>207.</w:t>
      </w:r>
    </w:p>
  </w:footnote>
  <w:footnote w:id="199">
    <w:p w:rsidR="008C5C78" w:rsidRPr="004B75F8" w:rsidRDefault="008C5C78" w:rsidP="00722D73">
      <w:pPr>
        <w:pStyle w:val="Textonotapie"/>
        <w:tabs>
          <w:tab w:val="left" w:pos="720"/>
        </w:tabs>
        <w:spacing w:after="100"/>
        <w:rPr>
          <w:szCs w:val="16"/>
          <w:lang w:val="en-US"/>
        </w:rPr>
      </w:pPr>
      <w:r w:rsidRPr="004B75F8">
        <w:rPr>
          <w:rStyle w:val="Refdenotaalpie"/>
          <w:rFonts w:eastAsia="Times"/>
          <w:szCs w:val="16"/>
          <w:lang w:val="en-US"/>
        </w:rPr>
        <w:footnoteRef/>
      </w:r>
      <w:r w:rsidRPr="009C0529">
        <w:rPr>
          <w:szCs w:val="16"/>
          <w:lang w:val="es-ES"/>
        </w:rPr>
        <w:tab/>
      </w:r>
      <w:r w:rsidRPr="009C0529">
        <w:rPr>
          <w:i/>
          <w:szCs w:val="16"/>
          <w:lang w:val="es-ES"/>
        </w:rPr>
        <w:t xml:space="preserve">Cf. </w:t>
      </w:r>
      <w:r w:rsidRPr="009C0529">
        <w:rPr>
          <w:bCs/>
          <w:i/>
          <w:szCs w:val="16"/>
          <w:lang w:val="es-ES"/>
        </w:rPr>
        <w:t xml:space="preserve">Case of Velásquez Rodríguez v. Honduras. </w:t>
      </w:r>
      <w:r w:rsidRPr="009C0529">
        <w:rPr>
          <w:i/>
          <w:szCs w:val="16"/>
          <w:lang w:val="es-ES"/>
        </w:rPr>
        <w:t xml:space="preserve">Merits, supra </w:t>
      </w:r>
      <w:r w:rsidRPr="009C0529">
        <w:rPr>
          <w:szCs w:val="16"/>
          <w:lang w:val="es-ES"/>
        </w:rPr>
        <w:t xml:space="preserve">note 18, paras. </w:t>
      </w:r>
      <w:r w:rsidRPr="004B75F8">
        <w:rPr>
          <w:szCs w:val="16"/>
          <w:lang w:val="en-US"/>
        </w:rPr>
        <w:t xml:space="preserve">162, 166 and 176, and </w:t>
      </w:r>
      <w:r w:rsidRPr="004B75F8">
        <w:rPr>
          <w:bCs/>
          <w:i/>
          <w:szCs w:val="16"/>
          <w:lang w:val="en-US"/>
        </w:rPr>
        <w:t xml:space="preserve">Case of the Barrios Family v. Venezuela, </w:t>
      </w:r>
      <w:r w:rsidRPr="004B75F8">
        <w:rPr>
          <w:i/>
          <w:szCs w:val="16"/>
          <w:lang w:val="en-US"/>
        </w:rPr>
        <w:t xml:space="preserve">supra </w:t>
      </w:r>
      <w:r w:rsidRPr="004B75F8">
        <w:rPr>
          <w:szCs w:val="16"/>
          <w:lang w:val="en-US"/>
        </w:rPr>
        <w:t>note 77, paras. 173 and 174</w:t>
      </w:r>
      <w:r w:rsidRPr="004B75F8">
        <w:rPr>
          <w:i/>
          <w:szCs w:val="16"/>
          <w:lang w:val="en-US"/>
        </w:rPr>
        <w:t>.</w:t>
      </w:r>
    </w:p>
  </w:footnote>
  <w:footnote w:id="20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Expert opinion provided by José Francisco Tulande during the public hearing before the Inter-American Court on February 24, 2012. </w:t>
      </w:r>
    </w:p>
  </w:footnote>
  <w:footnote w:id="201">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ab/>
      </w:r>
      <w:r w:rsidRPr="004B75F8">
        <w:rPr>
          <w:rFonts w:cs="Verdana"/>
          <w:sz w:val="16"/>
          <w:szCs w:val="16"/>
          <w:lang w:val="en-US" w:bidi="en-US"/>
        </w:rPr>
        <w:t xml:space="preserve">Regarding the obligation to implement measures of protection for journalists who are working  in a context of armed conflict or serious </w:t>
      </w:r>
      <w:r w:rsidR="00334C3C" w:rsidRPr="004B75F8">
        <w:rPr>
          <w:rFonts w:cs="Verdana"/>
          <w:sz w:val="16"/>
          <w:szCs w:val="16"/>
          <w:lang w:val="en-US" w:bidi="en-US"/>
        </w:rPr>
        <w:t>disruption</w:t>
      </w:r>
      <w:r w:rsidRPr="004B75F8">
        <w:rPr>
          <w:rFonts w:cs="Verdana"/>
          <w:sz w:val="16"/>
          <w:szCs w:val="16"/>
          <w:lang w:val="en-US" w:bidi="en-US"/>
        </w:rPr>
        <w:t xml:space="preserve"> of public order, </w:t>
      </w:r>
      <w:r w:rsidRPr="004B75F8">
        <w:rPr>
          <w:rFonts w:cs="Verdana"/>
          <w:i/>
          <w:sz w:val="16"/>
          <w:szCs w:val="16"/>
          <w:lang w:val="en-US" w:bidi="en-US"/>
        </w:rPr>
        <w:t xml:space="preserve">Cf. </w:t>
      </w:r>
      <w:r w:rsidRPr="004B75F8">
        <w:rPr>
          <w:rFonts w:cs="Verdana"/>
          <w:sz w:val="16"/>
          <w:szCs w:val="16"/>
          <w:lang w:val="en-US" w:bidi="en-US"/>
        </w:rPr>
        <w:t>Inter-American Commission on Human Rights,</w:t>
      </w:r>
      <w:r w:rsidRPr="004B75F8">
        <w:rPr>
          <w:rFonts w:cs="Verdana"/>
          <w:i/>
          <w:sz w:val="16"/>
          <w:szCs w:val="16"/>
          <w:lang w:val="en-US" w:bidi="en-US"/>
        </w:rPr>
        <w:t xml:space="preserve"> </w:t>
      </w:r>
      <w:r w:rsidRPr="004B75F8">
        <w:rPr>
          <w:rFonts w:cs="Verdana"/>
          <w:sz w:val="16"/>
          <w:szCs w:val="16"/>
          <w:lang w:val="en-US" w:bidi="en-US"/>
        </w:rPr>
        <w:t xml:space="preserve">Office of the Special Rapporteur for Freedom of Expression, </w:t>
      </w:r>
      <w:r w:rsidRPr="004B75F8">
        <w:rPr>
          <w:rFonts w:cs="Verdana"/>
          <w:i/>
          <w:sz w:val="16"/>
          <w:szCs w:val="16"/>
          <w:lang w:val="en-US" w:bidi="en-US"/>
        </w:rPr>
        <w:t xml:space="preserve">The Inter-American Legal Framework regarding the Right to Freedom of Expression, </w:t>
      </w:r>
      <w:r w:rsidRPr="004B75F8">
        <w:rPr>
          <w:rFonts w:cs="Verdana"/>
          <w:sz w:val="16"/>
          <w:szCs w:val="16"/>
          <w:lang w:val="en-US" w:bidi="en-US"/>
        </w:rPr>
        <w:t xml:space="preserve">CIDH/RELE/INF.2/09, December 30, 2009, paras. 195 and 196. Similarly, with regard to human rights defenders, </w:t>
      </w:r>
      <w:r w:rsidRPr="004B75F8">
        <w:rPr>
          <w:rFonts w:cs="Verdana"/>
          <w:i/>
          <w:sz w:val="16"/>
          <w:szCs w:val="16"/>
          <w:lang w:val="en-US" w:bidi="en-US"/>
        </w:rPr>
        <w:t xml:space="preserve">cf. </w:t>
      </w:r>
      <w:r w:rsidRPr="004B75F8">
        <w:rPr>
          <w:i/>
          <w:sz w:val="16"/>
          <w:szCs w:val="16"/>
          <w:lang w:val="en-US"/>
        </w:rPr>
        <w:t>Case of Nogueira de Carvalho et al. v. Brazil. Preliminary objections and Merits.</w:t>
      </w:r>
      <w:r w:rsidRPr="004B75F8">
        <w:rPr>
          <w:sz w:val="16"/>
          <w:szCs w:val="16"/>
          <w:lang w:val="en-US"/>
        </w:rPr>
        <w:t xml:space="preserve"> Judgment of November 28, 2006. Series C No. 161, para. 77, and </w:t>
      </w:r>
      <w:r w:rsidRPr="004B75F8">
        <w:rPr>
          <w:i/>
          <w:sz w:val="16"/>
          <w:szCs w:val="16"/>
          <w:lang w:val="en-US"/>
        </w:rPr>
        <w:t xml:space="preserve">Case of Escher et al. v. Brazil. Preliminary objections, merits, reparations and costs. </w:t>
      </w:r>
      <w:r w:rsidRPr="004B75F8">
        <w:rPr>
          <w:sz w:val="16"/>
          <w:szCs w:val="16"/>
          <w:lang w:val="en-US"/>
        </w:rPr>
        <w:t>Judgment of July 6, 2009. Series C No. 200, para. 172.</w:t>
      </w:r>
    </w:p>
  </w:footnote>
  <w:footnote w:id="202">
    <w:p w:rsidR="008C5C78" w:rsidRPr="004B75F8" w:rsidRDefault="008C5C78" w:rsidP="00722D73">
      <w:pPr>
        <w:pStyle w:val="Textonotapie"/>
        <w:spacing w:after="100"/>
        <w:rPr>
          <w:rFonts w:cs="Verdana"/>
          <w:szCs w:val="16"/>
          <w:lang w:val="en-US" w:bidi="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Similarly, this Court, referring to the exercise of activities in defense of human rights, </w:t>
      </w:r>
      <w:r w:rsidRPr="004B75F8">
        <w:rPr>
          <w:i/>
          <w:szCs w:val="16"/>
          <w:lang w:val="en-US"/>
        </w:rPr>
        <w:t xml:space="preserve">cf. </w:t>
      </w:r>
      <w:r w:rsidRPr="004B75F8">
        <w:rPr>
          <w:rFonts w:cs="Verdana-Bold"/>
          <w:bCs/>
          <w:i/>
          <w:szCs w:val="16"/>
          <w:lang w:val="en-US" w:bidi="en-US"/>
        </w:rPr>
        <w:t>Case of Fleury et al. v. Haiti.</w:t>
      </w:r>
      <w:r w:rsidRPr="004B75F8">
        <w:rPr>
          <w:rFonts w:cs="Verdana-Bold"/>
          <w:bCs/>
          <w:szCs w:val="16"/>
          <w:lang w:val="en-US" w:bidi="en-US"/>
        </w:rPr>
        <w:t xml:space="preserve"> </w:t>
      </w:r>
      <w:r w:rsidRPr="004B75F8">
        <w:rPr>
          <w:rFonts w:cs="Verdana"/>
          <w:i/>
          <w:szCs w:val="16"/>
          <w:lang w:val="en-US" w:bidi="en-US"/>
        </w:rPr>
        <w:t xml:space="preserve">Merits and reparations. </w:t>
      </w:r>
      <w:r w:rsidRPr="004B75F8">
        <w:rPr>
          <w:rFonts w:cs="Verdana"/>
          <w:szCs w:val="16"/>
          <w:lang w:val="en-US" w:bidi="en-US"/>
        </w:rPr>
        <w:t>Judgment of November 23, 2011. Series C No. 236, 81.</w:t>
      </w:r>
      <w:r w:rsidRPr="004B75F8">
        <w:rPr>
          <w:color w:val="000000"/>
          <w:szCs w:val="16"/>
          <w:lang w:val="en-US"/>
        </w:rPr>
        <w:t xml:space="preserve"> </w:t>
      </w:r>
    </w:p>
  </w:footnote>
  <w:footnote w:id="203">
    <w:p w:rsidR="008C5C78" w:rsidRPr="004B75F8" w:rsidRDefault="008C5C78" w:rsidP="00722D73">
      <w:pPr>
        <w:pStyle w:val="Textonotapie"/>
        <w:spacing w:after="100"/>
        <w:rPr>
          <w:rFonts w:cs="Verdana"/>
          <w:szCs w:val="16"/>
          <w:lang w:val="en-US" w:bidi="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cs="Verdana"/>
          <w:szCs w:val="16"/>
          <w:lang w:val="en-US" w:bidi="en-US"/>
        </w:rPr>
        <w:t>Inter-American Commission on Human Rights</w:t>
      </w:r>
      <w:r w:rsidRPr="004B75F8">
        <w:rPr>
          <w:rFonts w:cs="Verdana"/>
          <w:i/>
          <w:szCs w:val="16"/>
          <w:lang w:val="en-US" w:bidi="en-US"/>
        </w:rPr>
        <w:t xml:space="preserve">, </w:t>
      </w:r>
      <w:r w:rsidRPr="004B75F8">
        <w:rPr>
          <w:rFonts w:cs="Verdana"/>
          <w:szCs w:val="16"/>
          <w:lang w:val="en-US" w:bidi="en-US"/>
        </w:rPr>
        <w:t xml:space="preserve">Office of the Special Rapporteur for Freedom of Expression, </w:t>
      </w:r>
      <w:r w:rsidRPr="004B75F8">
        <w:rPr>
          <w:rFonts w:eastAsia="Calibri" w:cs="CaslonBookBE-Regular"/>
          <w:i/>
          <w:szCs w:val="16"/>
          <w:lang w:val="en-US"/>
        </w:rPr>
        <w:t>Impunity, self-censorship and armed internal conflict: an analysis of the state of freedom of expression in Colombia</w:t>
      </w:r>
      <w:r w:rsidRPr="004B75F8">
        <w:rPr>
          <w:rFonts w:cs="Verdana"/>
          <w:i/>
          <w:szCs w:val="16"/>
          <w:lang w:val="en-US" w:bidi="en-US"/>
        </w:rPr>
        <w:t xml:space="preserve">. </w:t>
      </w:r>
      <w:r w:rsidRPr="004B75F8">
        <w:rPr>
          <w:rFonts w:cs="Verdana"/>
          <w:szCs w:val="16"/>
          <w:lang w:val="en-US" w:bidi="en-US"/>
        </w:rPr>
        <w:t>OEA/Ser.L/V/II Doc. 51 of August 31, 2005, para. 102.</w:t>
      </w:r>
    </w:p>
  </w:footnote>
  <w:footnote w:id="20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cs="Verdana"/>
          <w:i/>
          <w:szCs w:val="16"/>
          <w:lang w:val="en-US" w:bidi="en-US"/>
        </w:rPr>
        <w:t xml:space="preserve">Cf. </w:t>
      </w:r>
      <w:r w:rsidRPr="004B75F8">
        <w:rPr>
          <w:szCs w:val="16"/>
          <w:lang w:val="en-US"/>
        </w:rPr>
        <w:t>Advisory Opinion OC-5/85, para. 72.</w:t>
      </w:r>
    </w:p>
  </w:footnote>
  <w:footnote w:id="20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rFonts w:cs="Verdana"/>
          <w:szCs w:val="16"/>
          <w:lang w:val="en-US" w:bidi="en-US"/>
        </w:rPr>
        <w:t>Inter-American Commission on Human Rights</w:t>
      </w:r>
      <w:r w:rsidRPr="004B75F8">
        <w:rPr>
          <w:rFonts w:cs="Verdana"/>
          <w:i/>
          <w:szCs w:val="16"/>
          <w:lang w:val="en-US" w:bidi="en-US"/>
        </w:rPr>
        <w:t xml:space="preserve">, </w:t>
      </w:r>
      <w:r w:rsidRPr="004B75F8">
        <w:rPr>
          <w:rFonts w:cs="Verdana"/>
          <w:szCs w:val="16"/>
          <w:lang w:val="en-US" w:bidi="en-US"/>
        </w:rPr>
        <w:t>Office of the Special Rapporteur for Freedom of Expression,</w:t>
      </w:r>
      <w:r w:rsidRPr="004B75F8">
        <w:rPr>
          <w:i/>
          <w:szCs w:val="16"/>
          <w:lang w:val="en-US"/>
        </w:rPr>
        <w:t xml:space="preserve"> </w:t>
      </w:r>
      <w:r w:rsidRPr="004B75F8">
        <w:rPr>
          <w:rFonts w:eastAsia="Calibri" w:cs="CaslonBookBE-Regular"/>
          <w:i/>
          <w:szCs w:val="16"/>
          <w:lang w:val="en-US"/>
        </w:rPr>
        <w:t>Impunity, self-censorship and armed internal conflict: an analysis of the state of freedom of expression in Colombia</w:t>
      </w:r>
      <w:r w:rsidRPr="004B75F8">
        <w:rPr>
          <w:rFonts w:cs="Verdana"/>
          <w:szCs w:val="16"/>
          <w:lang w:val="en-US" w:bidi="en-US"/>
        </w:rPr>
        <w:t>, OEA/Ser.L/V/II Doc. 51 of August 31, 2005, para. 99.</w:t>
      </w:r>
    </w:p>
  </w:footnote>
  <w:footnote w:id="206">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presumed victims and their representatives may invoke violations of rights other than those established in the Merits Report, based on the same facts (supra para. 47). </w:t>
      </w:r>
    </w:p>
  </w:footnote>
  <w:footnote w:id="207">
    <w:p w:rsidR="008C5C78" w:rsidRPr="004B75F8" w:rsidRDefault="008C5C78" w:rsidP="00F87988">
      <w:pPr>
        <w:suppressAutoHyphens/>
        <w:spacing w:after="100"/>
        <w:jc w:val="both"/>
        <w:rPr>
          <w:spacing w:val="-3"/>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 xml:space="preserve">Article 22(1) of the American Convention establishes that: </w:t>
      </w:r>
      <w:r w:rsidRPr="004B75F8">
        <w:rPr>
          <w:rFonts w:cs="Verdana"/>
          <w:sz w:val="16"/>
          <w:szCs w:val="16"/>
          <w:lang w:val="en-US"/>
        </w:rPr>
        <w:t>“[e]</w:t>
      </w:r>
      <w:r w:rsidRPr="004B75F8">
        <w:rPr>
          <w:spacing w:val="-3"/>
          <w:sz w:val="16"/>
          <w:szCs w:val="16"/>
          <w:lang w:val="en-US"/>
        </w:rPr>
        <w:t>very person lawfully in the territory of a State Party has the right to move about in it, and to reside in it subject to the provisions of the law.”</w:t>
      </w:r>
    </w:p>
  </w:footnote>
  <w:footnote w:id="208">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Fonts w:cs="Verdana"/>
          <w:szCs w:val="16"/>
          <w:lang w:val="en-US"/>
        </w:rPr>
        <w:t xml:space="preserve">Article 17(1) </w:t>
      </w:r>
      <w:r w:rsidRPr="004B75F8">
        <w:rPr>
          <w:szCs w:val="16"/>
          <w:lang w:val="en-US"/>
        </w:rPr>
        <w:t>of the American Convention establishes that</w:t>
      </w:r>
      <w:r w:rsidR="00334C3C" w:rsidRPr="004B75F8">
        <w:rPr>
          <w:rFonts w:cs="Verdana"/>
          <w:szCs w:val="16"/>
          <w:lang w:val="en-US"/>
        </w:rPr>
        <w:t xml:space="preserve"> “[</w:t>
      </w:r>
      <w:r w:rsidRPr="004B75F8">
        <w:rPr>
          <w:spacing w:val="-3"/>
          <w:szCs w:val="16"/>
          <w:lang w:val="en-US"/>
        </w:rPr>
        <w:t>t]he family is the natural and fundamental group unit of society and is entitled to protection by society and the State.</w:t>
      </w:r>
      <w:r w:rsidRPr="004B75F8">
        <w:rPr>
          <w:rFonts w:cs="Verdana"/>
          <w:szCs w:val="16"/>
          <w:lang w:val="en-US"/>
        </w:rPr>
        <w:t>”</w:t>
      </w:r>
    </w:p>
  </w:footnote>
  <w:footnote w:id="209">
    <w:p w:rsidR="008C5C78" w:rsidRPr="004B75F8" w:rsidRDefault="008C5C78" w:rsidP="00F87988">
      <w:pPr>
        <w:tabs>
          <w:tab w:val="left" w:pos="720"/>
          <w:tab w:val="left" w:pos="1080"/>
          <w:tab w:val="left" w:pos="1680"/>
          <w:tab w:val="left" w:pos="5400"/>
        </w:tabs>
        <w:suppressAutoHyphens/>
        <w:spacing w:after="100"/>
        <w:jc w:val="both"/>
        <w:rPr>
          <w:spacing w:val="-3"/>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rFonts w:cs="Verdana"/>
          <w:sz w:val="16"/>
          <w:szCs w:val="16"/>
          <w:lang w:val="en-US"/>
        </w:rPr>
        <w:t xml:space="preserve">Article 19 </w:t>
      </w:r>
      <w:r w:rsidRPr="004B75F8">
        <w:rPr>
          <w:sz w:val="16"/>
          <w:szCs w:val="16"/>
          <w:lang w:val="en-US"/>
        </w:rPr>
        <w:t>of the American Convention establishes that</w:t>
      </w:r>
      <w:r w:rsidRPr="004B75F8">
        <w:rPr>
          <w:rFonts w:cs="Verdana"/>
          <w:sz w:val="16"/>
          <w:szCs w:val="16"/>
          <w:lang w:val="en-US"/>
        </w:rPr>
        <w:t xml:space="preserve"> “[e]</w:t>
      </w:r>
      <w:r w:rsidRPr="004B75F8">
        <w:rPr>
          <w:spacing w:val="-3"/>
          <w:sz w:val="16"/>
          <w:szCs w:val="16"/>
          <w:lang w:val="en-US"/>
        </w:rPr>
        <w:t>very minor child has the right to the measures of protection required by his condition as a minor on the part of his family, society, and the State.”</w:t>
      </w:r>
    </w:p>
  </w:footnote>
  <w:footnote w:id="210">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ab/>
      </w:r>
      <w:r w:rsidRPr="004B75F8">
        <w:rPr>
          <w:i/>
          <w:sz w:val="16"/>
          <w:szCs w:val="16"/>
          <w:lang w:val="en-US"/>
        </w:rPr>
        <w:t>Cf.</w:t>
      </w:r>
      <w:r w:rsidRPr="004B75F8">
        <w:rPr>
          <w:sz w:val="16"/>
          <w:szCs w:val="16"/>
          <w:lang w:val="en-US"/>
        </w:rPr>
        <w:t xml:space="preserve"> </w:t>
      </w:r>
      <w:r w:rsidRPr="004B75F8">
        <w:rPr>
          <w:bCs/>
          <w:i/>
          <w:sz w:val="16"/>
          <w:szCs w:val="16"/>
          <w:lang w:val="en-US"/>
        </w:rPr>
        <w:t>Case of Ricardo Canese v. Paraguay.</w:t>
      </w:r>
      <w:r w:rsidRPr="004B75F8">
        <w:rPr>
          <w:b/>
          <w:bCs/>
          <w:i/>
          <w:sz w:val="16"/>
          <w:szCs w:val="16"/>
          <w:lang w:val="en-US"/>
        </w:rPr>
        <w:t xml:space="preserve"> </w:t>
      </w:r>
      <w:r w:rsidRPr="004B75F8">
        <w:rPr>
          <w:i/>
          <w:sz w:val="16"/>
          <w:szCs w:val="16"/>
          <w:lang w:val="en-US"/>
        </w:rPr>
        <w:t>Merits, reparations and costs</w:t>
      </w:r>
      <w:r w:rsidRPr="004B75F8">
        <w:rPr>
          <w:sz w:val="16"/>
          <w:szCs w:val="16"/>
          <w:lang w:val="en-US"/>
        </w:rPr>
        <w:t xml:space="preserve">. Judgment of August 31, 2004. Series C No. 111, para. 115, and </w:t>
      </w:r>
      <w:r w:rsidRPr="004B75F8">
        <w:rPr>
          <w:bCs/>
          <w:i/>
          <w:sz w:val="16"/>
          <w:szCs w:val="16"/>
          <w:lang w:val="en-US"/>
        </w:rPr>
        <w:t>Case of Manuel Cepeda Vargas v. Colombia.</w:t>
      </w:r>
      <w:r w:rsidRPr="004B75F8">
        <w:rPr>
          <w:b/>
          <w:bCs/>
          <w:i/>
          <w:sz w:val="16"/>
          <w:szCs w:val="16"/>
          <w:lang w:val="en-US"/>
        </w:rPr>
        <w:t xml:space="preserve"> </w:t>
      </w:r>
      <w:r w:rsidRPr="004B75F8">
        <w:rPr>
          <w:i/>
          <w:sz w:val="16"/>
          <w:szCs w:val="16"/>
          <w:lang w:val="en-US"/>
        </w:rPr>
        <w:t>Preliminary objections, merits, reparations and costs</w:t>
      </w:r>
      <w:r w:rsidRPr="004B75F8">
        <w:rPr>
          <w:sz w:val="16"/>
          <w:szCs w:val="16"/>
          <w:lang w:val="en-US"/>
        </w:rPr>
        <w:t>, para. 197.</w:t>
      </w:r>
    </w:p>
  </w:footnote>
  <w:footnote w:id="211">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ab/>
      </w:r>
      <w:r w:rsidRPr="004B75F8">
        <w:rPr>
          <w:i/>
          <w:sz w:val="16"/>
          <w:szCs w:val="16"/>
          <w:lang w:val="en-US"/>
        </w:rPr>
        <w:t>Cf.</w:t>
      </w:r>
      <w:r w:rsidRPr="004B75F8">
        <w:rPr>
          <w:bCs/>
          <w:i/>
          <w:sz w:val="16"/>
          <w:szCs w:val="16"/>
          <w:lang w:val="en-US"/>
        </w:rPr>
        <w:t xml:space="preserve"> Case of Ricardo Canese v. Paraguay.</w:t>
      </w:r>
      <w:r w:rsidRPr="004B75F8">
        <w:rPr>
          <w:b/>
          <w:bCs/>
          <w:i/>
          <w:sz w:val="16"/>
          <w:szCs w:val="16"/>
          <w:lang w:val="en-US"/>
        </w:rPr>
        <w:t xml:space="preserve"> </w:t>
      </w:r>
      <w:r w:rsidRPr="004B75F8">
        <w:rPr>
          <w:i/>
          <w:sz w:val="16"/>
          <w:szCs w:val="16"/>
          <w:lang w:val="en-US"/>
        </w:rPr>
        <w:t>Merits, reparations and costs</w:t>
      </w:r>
      <w:r w:rsidRPr="004B75F8">
        <w:rPr>
          <w:sz w:val="16"/>
          <w:szCs w:val="16"/>
          <w:lang w:val="en-US"/>
        </w:rPr>
        <w:t xml:space="preserve">, para. 115, and </w:t>
      </w:r>
      <w:r w:rsidRPr="004B75F8">
        <w:rPr>
          <w:bCs/>
          <w:i/>
          <w:sz w:val="16"/>
          <w:szCs w:val="16"/>
          <w:lang w:val="en-US"/>
        </w:rPr>
        <w:t>Case of Valle Jaramillo et al. v. Colombia</w:t>
      </w:r>
      <w:r w:rsidRPr="004B75F8">
        <w:rPr>
          <w:b/>
          <w:bCs/>
          <w:i/>
          <w:sz w:val="16"/>
          <w:szCs w:val="16"/>
          <w:lang w:val="en-US"/>
        </w:rPr>
        <w:t xml:space="preserve">. </w:t>
      </w:r>
      <w:r w:rsidRPr="004B75F8">
        <w:rPr>
          <w:i/>
          <w:sz w:val="16"/>
          <w:szCs w:val="16"/>
          <w:lang w:val="en-US"/>
        </w:rPr>
        <w:t>Merits, reparations and costs</w:t>
      </w:r>
      <w:r w:rsidRPr="004B75F8">
        <w:rPr>
          <w:sz w:val="16"/>
          <w:szCs w:val="16"/>
          <w:lang w:val="en-US"/>
        </w:rPr>
        <w:t>, para. 138.</w:t>
      </w:r>
    </w:p>
  </w:footnote>
  <w:footnote w:id="212">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ab/>
      </w:r>
      <w:r w:rsidRPr="004B75F8">
        <w:rPr>
          <w:i/>
          <w:sz w:val="16"/>
          <w:szCs w:val="16"/>
          <w:lang w:val="en-US"/>
        </w:rPr>
        <w:t>Cf.</w:t>
      </w:r>
      <w:r w:rsidRPr="004B75F8">
        <w:rPr>
          <w:bCs/>
          <w:i/>
          <w:sz w:val="16"/>
          <w:szCs w:val="16"/>
          <w:lang w:val="en-US"/>
        </w:rPr>
        <w:t xml:space="preserve"> </w:t>
      </w:r>
      <w:r w:rsidRPr="004B75F8">
        <w:rPr>
          <w:rFonts w:cs="Verdana"/>
          <w:i/>
          <w:iCs/>
          <w:sz w:val="16"/>
          <w:szCs w:val="16"/>
          <w:lang w:val="en-US"/>
        </w:rPr>
        <w:t>Case of the Moiwana Community v. Suriname. Preliminary objections, merits, reparations and costs</w:t>
      </w:r>
      <w:r w:rsidRPr="004B75F8">
        <w:rPr>
          <w:rFonts w:cs="Verdana"/>
          <w:sz w:val="16"/>
          <w:szCs w:val="16"/>
          <w:lang w:val="en-US"/>
        </w:rPr>
        <w:t xml:space="preserve">. Judgment of June 15, 2005. Series C No. 124, paras. 119 and 120, and </w:t>
      </w:r>
      <w:r w:rsidRPr="004B75F8">
        <w:rPr>
          <w:bCs/>
          <w:i/>
          <w:sz w:val="16"/>
          <w:szCs w:val="16"/>
          <w:lang w:val="en-US"/>
        </w:rPr>
        <w:t>Case of Manuel Cepeda Vargas v. Colombia.</w:t>
      </w:r>
      <w:r w:rsidRPr="004B75F8">
        <w:rPr>
          <w:b/>
          <w:bCs/>
          <w:i/>
          <w:sz w:val="16"/>
          <w:szCs w:val="16"/>
          <w:lang w:val="en-US"/>
        </w:rPr>
        <w:t xml:space="preserve"> </w:t>
      </w:r>
      <w:r w:rsidRPr="004B75F8">
        <w:rPr>
          <w:i/>
          <w:sz w:val="16"/>
          <w:szCs w:val="16"/>
          <w:lang w:val="en-US"/>
        </w:rPr>
        <w:t>Preliminary objections, merits, reparations and costs</w:t>
      </w:r>
      <w:r w:rsidRPr="004B75F8">
        <w:rPr>
          <w:sz w:val="16"/>
          <w:szCs w:val="16"/>
          <w:lang w:val="en-US"/>
        </w:rPr>
        <w:t>, para. 197.</w:t>
      </w:r>
    </w:p>
  </w:footnote>
  <w:footnote w:id="213">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w:t>
      </w:r>
      <w:r w:rsidRPr="004B75F8">
        <w:rPr>
          <w:bCs/>
          <w:i/>
          <w:sz w:val="16"/>
          <w:szCs w:val="16"/>
          <w:lang w:val="en-US"/>
        </w:rPr>
        <w:t xml:space="preserve"> Case of Valle Jaramillo et al. v. Colombia</w:t>
      </w:r>
      <w:r w:rsidRPr="004B75F8">
        <w:rPr>
          <w:b/>
          <w:bCs/>
          <w:i/>
          <w:sz w:val="16"/>
          <w:szCs w:val="16"/>
          <w:lang w:val="en-US"/>
        </w:rPr>
        <w:t xml:space="preserve">. </w:t>
      </w:r>
      <w:r w:rsidRPr="004B75F8">
        <w:rPr>
          <w:i/>
          <w:sz w:val="16"/>
          <w:szCs w:val="16"/>
          <w:lang w:val="en-US"/>
        </w:rPr>
        <w:t>Merits, reparations and costs</w:t>
      </w:r>
      <w:r w:rsidRPr="004B75F8">
        <w:rPr>
          <w:sz w:val="16"/>
          <w:szCs w:val="16"/>
          <w:lang w:val="en-US"/>
        </w:rPr>
        <w:t xml:space="preserve">, para. 139, and </w:t>
      </w:r>
      <w:r w:rsidRPr="004B75F8">
        <w:rPr>
          <w:bCs/>
          <w:i/>
          <w:sz w:val="16"/>
          <w:szCs w:val="16"/>
          <w:lang w:val="en-US"/>
        </w:rPr>
        <w:t>Case of Manuel Cepeda Vargas v. Colombia.</w:t>
      </w:r>
      <w:r w:rsidRPr="004B75F8">
        <w:rPr>
          <w:b/>
          <w:bCs/>
          <w:i/>
          <w:sz w:val="16"/>
          <w:szCs w:val="16"/>
          <w:lang w:val="en-US"/>
        </w:rPr>
        <w:t xml:space="preserve"> </w:t>
      </w:r>
      <w:r w:rsidRPr="004B75F8">
        <w:rPr>
          <w:i/>
          <w:sz w:val="16"/>
          <w:szCs w:val="16"/>
          <w:lang w:val="en-US"/>
        </w:rPr>
        <w:t>Preliminary objections, merits, reparations and costs</w:t>
      </w:r>
      <w:r w:rsidRPr="004B75F8">
        <w:rPr>
          <w:sz w:val="16"/>
          <w:szCs w:val="16"/>
          <w:lang w:val="en-US"/>
        </w:rPr>
        <w:t>, para. 197.</w:t>
      </w:r>
    </w:p>
  </w:footnote>
  <w:footnote w:id="21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bCs/>
          <w:i/>
          <w:szCs w:val="16"/>
          <w:lang w:val="en-US"/>
        </w:rPr>
        <w:t xml:space="preserve"> </w:t>
      </w:r>
      <w:r w:rsidRPr="004B75F8">
        <w:rPr>
          <w:rFonts w:cs="Verdana"/>
          <w:i/>
          <w:iCs/>
          <w:szCs w:val="16"/>
          <w:lang w:val="en-US"/>
        </w:rPr>
        <w:t>Case of the Moiwana Community v. Suriname. Preliminary objections, merits, reparations and costs</w:t>
      </w:r>
      <w:r w:rsidRPr="004B75F8">
        <w:rPr>
          <w:rFonts w:cs="Verdana"/>
          <w:szCs w:val="16"/>
          <w:lang w:val="en-US"/>
        </w:rPr>
        <w:t xml:space="preserve">, paras. 119 and 120, and </w:t>
      </w:r>
      <w:r w:rsidRPr="004B75F8">
        <w:rPr>
          <w:bCs/>
          <w:i/>
          <w:szCs w:val="16"/>
          <w:lang w:val="en-US"/>
        </w:rPr>
        <w:t>Case of Manuel Cepeda Vargas v. Colombia.</w:t>
      </w:r>
      <w:r w:rsidRPr="004B75F8">
        <w:rPr>
          <w:b/>
          <w:bCs/>
          <w:i/>
          <w:szCs w:val="16"/>
          <w:lang w:val="en-US"/>
        </w:rPr>
        <w:t xml:space="preserve"> </w:t>
      </w:r>
      <w:r w:rsidRPr="004B75F8">
        <w:rPr>
          <w:i/>
          <w:szCs w:val="16"/>
          <w:lang w:val="en-US"/>
        </w:rPr>
        <w:t>Preliminary objections, merits, reparations and costs</w:t>
      </w:r>
      <w:r w:rsidRPr="004B75F8">
        <w:rPr>
          <w:szCs w:val="16"/>
          <w:lang w:val="en-US"/>
        </w:rPr>
        <w:t>, para. 201.</w:t>
      </w:r>
    </w:p>
  </w:footnote>
  <w:footnote w:id="21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Manuel Cepeda Vargas v. Colombia.</w:t>
      </w:r>
      <w:r w:rsidRPr="004B75F8">
        <w:rPr>
          <w:b/>
          <w:i/>
          <w:szCs w:val="16"/>
          <w:lang w:val="en-US"/>
        </w:rPr>
        <w:t xml:space="preserve"> </w:t>
      </w:r>
      <w:r w:rsidRPr="004B75F8">
        <w:rPr>
          <w:i/>
          <w:szCs w:val="16"/>
          <w:lang w:val="en-US"/>
        </w:rPr>
        <w:t>Preliminary objections, merits, reparations and costs</w:t>
      </w:r>
      <w:r w:rsidRPr="004B75F8">
        <w:rPr>
          <w:szCs w:val="16"/>
          <w:lang w:val="en-US"/>
        </w:rPr>
        <w:t xml:space="preserve">, para. 201, and </w:t>
      </w:r>
      <w:r w:rsidRPr="004B75F8">
        <w:rPr>
          <w:i/>
          <w:szCs w:val="16"/>
          <w:lang w:val="en-US"/>
        </w:rPr>
        <w:t>Case of Fleury et al. v. Haiti. Merits and reparations</w:t>
      </w:r>
      <w:r w:rsidRPr="004B75F8">
        <w:rPr>
          <w:szCs w:val="16"/>
          <w:lang w:val="en-US"/>
        </w:rPr>
        <w:t>, para. 94 and 95.</w:t>
      </w:r>
    </w:p>
  </w:footnote>
  <w:footnote w:id="21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Juridical Status and Human Rights of the Child</w:t>
      </w:r>
      <w:r w:rsidRPr="004B75F8">
        <w:rPr>
          <w:szCs w:val="16"/>
          <w:lang w:val="en-US"/>
        </w:rPr>
        <w:t xml:space="preserve">. Advisory Opinion OC-17/02 of August 28, 2002. Series A No. 17, para. 66, and </w:t>
      </w:r>
      <w:r w:rsidR="00334C3C" w:rsidRPr="004B75F8">
        <w:rPr>
          <w:i/>
          <w:szCs w:val="16"/>
          <w:lang w:val="en-US"/>
        </w:rPr>
        <w:t>Case of Forneró</w:t>
      </w:r>
      <w:r w:rsidRPr="004B75F8">
        <w:rPr>
          <w:i/>
          <w:szCs w:val="16"/>
          <w:lang w:val="en-US"/>
        </w:rPr>
        <w:t>n and daughter v. Argentina. Merits, reparations and costs</w:t>
      </w:r>
      <w:r w:rsidRPr="004B75F8">
        <w:rPr>
          <w:szCs w:val="16"/>
          <w:lang w:val="en-US"/>
        </w:rPr>
        <w:t>, para. 116.</w:t>
      </w:r>
    </w:p>
  </w:footnote>
  <w:footnote w:id="217">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Advisory Opinion OC-17/02, para. 71, and </w:t>
      </w:r>
      <w:r w:rsidRPr="004B75F8">
        <w:rPr>
          <w:i/>
          <w:szCs w:val="16"/>
          <w:lang w:val="en-US"/>
        </w:rPr>
        <w:t>Case of</w:t>
      </w:r>
      <w:r w:rsidRPr="004B75F8">
        <w:rPr>
          <w:bCs/>
          <w:i/>
          <w:szCs w:val="16"/>
          <w:lang w:val="en-US"/>
        </w:rPr>
        <w:t xml:space="preserve"> the Dos Erres Massacre v. Guatemala.</w:t>
      </w:r>
      <w:r w:rsidRPr="004B75F8">
        <w:rPr>
          <w:b/>
          <w:bCs/>
          <w:i/>
          <w:szCs w:val="16"/>
          <w:lang w:val="en-US"/>
        </w:rPr>
        <w:t xml:space="preserve"> </w:t>
      </w:r>
      <w:r w:rsidRPr="004B75F8">
        <w:rPr>
          <w:i/>
          <w:szCs w:val="16"/>
          <w:lang w:val="en-US"/>
        </w:rPr>
        <w:t xml:space="preserve">Preliminary objection, merits, reparations and costs. </w:t>
      </w:r>
      <w:r w:rsidRPr="004B75F8">
        <w:rPr>
          <w:szCs w:val="16"/>
          <w:lang w:val="en-US"/>
        </w:rPr>
        <w:t>Judgment of November 24, 2009. Series C No. 211, para. 189.</w:t>
      </w:r>
    </w:p>
  </w:footnote>
  <w:footnote w:id="218">
    <w:p w:rsidR="008C5C78" w:rsidRPr="004B75F8" w:rsidRDefault="008C5C78" w:rsidP="00722D73">
      <w:pPr>
        <w:pStyle w:val="Textonotapie"/>
        <w:spacing w:after="100"/>
        <w:rPr>
          <w:szCs w:val="16"/>
          <w:lang w:val="en-US"/>
        </w:rPr>
      </w:pPr>
      <w:r w:rsidRPr="004B75F8">
        <w:rPr>
          <w:rStyle w:val="Refdenotaalpie"/>
          <w:rFonts w:cs="Verdana"/>
          <w:szCs w:val="16"/>
          <w:lang w:val="en-US"/>
        </w:rPr>
        <w:footnoteRef/>
      </w:r>
      <w:r w:rsidRPr="004B75F8">
        <w:rPr>
          <w:szCs w:val="16"/>
          <w:lang w:val="en-US"/>
        </w:rPr>
        <w:tab/>
      </w:r>
      <w:r w:rsidRPr="004B75F8">
        <w:rPr>
          <w:i/>
          <w:szCs w:val="16"/>
          <w:lang w:val="en-US"/>
        </w:rPr>
        <w:t>Cf.</w:t>
      </w:r>
      <w:r w:rsidRPr="004B75F8">
        <w:rPr>
          <w:szCs w:val="16"/>
          <w:lang w:val="en-US"/>
        </w:rPr>
        <w:t xml:space="preserve"> </w:t>
      </w:r>
      <w:r w:rsidRPr="004B75F8">
        <w:rPr>
          <w:i/>
          <w:szCs w:val="16"/>
          <w:lang w:val="en-US"/>
        </w:rPr>
        <w:t>Case of the Dos Erres Massacre v. Guatemala. Preliminary objection, merits, reparations and costs</w:t>
      </w:r>
      <w:r w:rsidRPr="004B75F8">
        <w:rPr>
          <w:szCs w:val="16"/>
          <w:lang w:val="en-US"/>
        </w:rPr>
        <w:t xml:space="preserve">, para. 189. Also, </w:t>
      </w:r>
      <w:r w:rsidRPr="004B75F8">
        <w:rPr>
          <w:i/>
          <w:szCs w:val="16"/>
          <w:lang w:val="en-US"/>
        </w:rPr>
        <w:t>cf.</w:t>
      </w:r>
      <w:r w:rsidRPr="004B75F8">
        <w:rPr>
          <w:szCs w:val="16"/>
          <w:lang w:val="en-US"/>
        </w:rPr>
        <w:t xml:space="preserve"> ECHR. </w:t>
      </w:r>
      <w:r w:rsidRPr="004B75F8">
        <w:rPr>
          <w:i/>
          <w:szCs w:val="16"/>
          <w:lang w:val="en-US"/>
        </w:rPr>
        <w:t>Case of Olsson v. Sweden</w:t>
      </w:r>
      <w:r w:rsidRPr="004B75F8">
        <w:rPr>
          <w:szCs w:val="16"/>
          <w:lang w:val="en-US"/>
        </w:rPr>
        <w:t xml:space="preserve"> </w:t>
      </w:r>
      <w:r w:rsidRPr="004B75F8">
        <w:rPr>
          <w:i/>
          <w:szCs w:val="16"/>
          <w:lang w:val="en-US"/>
        </w:rPr>
        <w:t>(No. 1),</w:t>
      </w:r>
      <w:r w:rsidRPr="004B75F8">
        <w:rPr>
          <w:szCs w:val="16"/>
          <w:lang w:val="en-US"/>
        </w:rPr>
        <w:t xml:space="preserve"> March 24, 1988, para. 81, Series A no. 130.</w:t>
      </w:r>
    </w:p>
  </w:footnote>
  <w:footnote w:id="219">
    <w:p w:rsidR="008C5C78" w:rsidRPr="004B75F8" w:rsidRDefault="008C5C78" w:rsidP="00722D73">
      <w:pPr>
        <w:pStyle w:val="Textonotapie"/>
        <w:spacing w:after="100"/>
        <w:rPr>
          <w:szCs w:val="16"/>
          <w:lang w:val="en-US"/>
        </w:rPr>
      </w:pPr>
      <w:r w:rsidRPr="004B75F8">
        <w:rPr>
          <w:rStyle w:val="Refdenotaalpie"/>
          <w:rFonts w:cs="Verdana"/>
          <w:szCs w:val="16"/>
          <w:lang w:val="en-US"/>
        </w:rPr>
        <w:footnoteRef/>
      </w:r>
      <w:r w:rsidRPr="004B75F8">
        <w:rPr>
          <w:szCs w:val="16"/>
          <w:lang w:val="en-US"/>
        </w:rPr>
        <w:tab/>
      </w:r>
      <w:r w:rsidRPr="004B75F8">
        <w:rPr>
          <w:i/>
          <w:szCs w:val="16"/>
          <w:lang w:val="en-US"/>
        </w:rPr>
        <w:t>Cf.</w:t>
      </w:r>
      <w:r w:rsidRPr="004B75F8">
        <w:rPr>
          <w:szCs w:val="16"/>
          <w:lang w:val="en-US"/>
        </w:rPr>
        <w:t xml:space="preserve"> Advisory Opinion OC-17/02, para. 72, and </w:t>
      </w:r>
      <w:r w:rsidR="00334C3C" w:rsidRPr="004B75F8">
        <w:rPr>
          <w:i/>
          <w:szCs w:val="16"/>
          <w:lang w:val="en-US"/>
        </w:rPr>
        <w:t>Case of Forneró</w:t>
      </w:r>
      <w:r w:rsidRPr="004B75F8">
        <w:rPr>
          <w:i/>
          <w:szCs w:val="16"/>
          <w:lang w:val="en-US"/>
        </w:rPr>
        <w:t>n and daughter v. Argentina. Merits, reparations and costs</w:t>
      </w:r>
      <w:r w:rsidRPr="004B75F8">
        <w:rPr>
          <w:szCs w:val="16"/>
          <w:lang w:val="en-US"/>
        </w:rPr>
        <w:t xml:space="preserve">, para. 47. Also </w:t>
      </w:r>
      <w:r w:rsidRPr="004B75F8">
        <w:rPr>
          <w:i/>
          <w:szCs w:val="16"/>
          <w:lang w:val="en-US"/>
        </w:rPr>
        <w:t>cf.</w:t>
      </w:r>
      <w:r w:rsidRPr="004B75F8">
        <w:rPr>
          <w:szCs w:val="16"/>
          <w:lang w:val="en-US"/>
        </w:rPr>
        <w:t xml:space="preserve"> </w:t>
      </w:r>
      <w:r w:rsidRPr="004B75F8">
        <w:rPr>
          <w:rFonts w:cs="Verdana"/>
          <w:szCs w:val="16"/>
          <w:lang w:val="en-US"/>
        </w:rPr>
        <w:t xml:space="preserve">ECHR. </w:t>
      </w:r>
      <w:r w:rsidRPr="004B75F8">
        <w:rPr>
          <w:rFonts w:cs="Verdana"/>
          <w:i/>
          <w:szCs w:val="16"/>
          <w:lang w:val="en-US"/>
        </w:rPr>
        <w:t>Case of</w:t>
      </w:r>
      <w:r w:rsidRPr="004B75F8">
        <w:rPr>
          <w:rFonts w:cs="Verdana"/>
          <w:szCs w:val="16"/>
          <w:lang w:val="en-US"/>
        </w:rPr>
        <w:t xml:space="preserve"> </w:t>
      </w:r>
      <w:r w:rsidRPr="004B75F8">
        <w:rPr>
          <w:rFonts w:cs="Verdana"/>
          <w:i/>
          <w:szCs w:val="16"/>
          <w:lang w:val="en-US"/>
        </w:rPr>
        <w:t>Johansen v. Norway</w:t>
      </w:r>
      <w:r w:rsidRPr="004B75F8">
        <w:rPr>
          <w:rFonts w:cs="Verdana"/>
          <w:szCs w:val="16"/>
          <w:lang w:val="en-US"/>
        </w:rPr>
        <w:t xml:space="preserve">, August 7, 1996, para. 52, </w:t>
      </w:r>
      <w:r w:rsidRPr="004B75F8">
        <w:rPr>
          <w:szCs w:val="16"/>
          <w:lang w:val="en-US"/>
        </w:rPr>
        <w:t xml:space="preserve">1996-III, and ECHR. </w:t>
      </w:r>
      <w:r w:rsidRPr="004B75F8">
        <w:rPr>
          <w:i/>
          <w:szCs w:val="16"/>
          <w:lang w:val="en-US"/>
        </w:rPr>
        <w:t xml:space="preserve">Case of </w:t>
      </w:r>
      <w:r w:rsidRPr="004B75F8">
        <w:rPr>
          <w:rFonts w:cs="Verdana"/>
          <w:i/>
          <w:szCs w:val="16"/>
          <w:lang w:val="en-US"/>
        </w:rPr>
        <w:t>K and T v. Finland</w:t>
      </w:r>
      <w:r w:rsidRPr="004B75F8">
        <w:rPr>
          <w:rFonts w:cs="Verdana"/>
          <w:szCs w:val="16"/>
          <w:lang w:val="en-US"/>
        </w:rPr>
        <w:t xml:space="preserve"> [Grand Chamber], No.</w:t>
      </w:r>
      <w:r w:rsidRPr="004B75F8">
        <w:rPr>
          <w:rStyle w:val="s6b621b36"/>
          <w:color w:val="FF0000"/>
          <w:szCs w:val="16"/>
          <w:lang w:val="en-US"/>
        </w:rPr>
        <w:t xml:space="preserve"> </w:t>
      </w:r>
      <w:r w:rsidRPr="004B75F8">
        <w:rPr>
          <w:rStyle w:val="s6b621b36"/>
          <w:szCs w:val="16"/>
          <w:lang w:val="en-US"/>
        </w:rPr>
        <w:t>25702/94</w:t>
      </w:r>
      <w:r w:rsidRPr="004B75F8">
        <w:rPr>
          <w:rFonts w:cs="Verdana"/>
          <w:szCs w:val="16"/>
          <w:lang w:val="en-US"/>
        </w:rPr>
        <w:t xml:space="preserve">, para. 151, </w:t>
      </w:r>
      <w:r w:rsidRPr="004B75F8">
        <w:rPr>
          <w:szCs w:val="16"/>
          <w:lang w:val="en-US"/>
        </w:rPr>
        <w:t>2001-VII</w:t>
      </w:r>
      <w:r w:rsidRPr="004B75F8">
        <w:rPr>
          <w:rFonts w:cs="Verdana"/>
          <w:szCs w:val="16"/>
          <w:lang w:val="en-US"/>
        </w:rPr>
        <w:t>.</w:t>
      </w:r>
    </w:p>
  </w:footnote>
  <w:footnote w:id="220">
    <w:p w:rsidR="008C5C78" w:rsidRPr="004B75F8" w:rsidRDefault="008C5C78" w:rsidP="00722D73">
      <w:pPr>
        <w:pStyle w:val="Textonotapie"/>
        <w:spacing w:after="100"/>
        <w:rPr>
          <w:rFonts w:cs="Verdana"/>
          <w:bCs/>
          <w:szCs w:val="16"/>
          <w:lang w:val="en-US"/>
        </w:rPr>
      </w:pPr>
      <w:r w:rsidRPr="004B75F8">
        <w:rPr>
          <w:szCs w:val="16"/>
          <w:vertAlign w:val="superscript"/>
          <w:lang w:val="en-US"/>
        </w:rPr>
        <w:footnoteRef/>
      </w:r>
      <w:r w:rsidRPr="004B75F8">
        <w:rPr>
          <w:rFonts w:cs="Verdana"/>
          <w:bCs/>
          <w:szCs w:val="16"/>
          <w:lang w:val="en-US"/>
        </w:rPr>
        <w:tab/>
      </w:r>
      <w:r w:rsidRPr="004B75F8">
        <w:rPr>
          <w:i/>
          <w:szCs w:val="16"/>
          <w:lang w:val="en-US"/>
        </w:rPr>
        <w:t xml:space="preserve">Cf. </w:t>
      </w:r>
      <w:r w:rsidRPr="004B75F8">
        <w:rPr>
          <w:szCs w:val="16"/>
          <w:lang w:val="en-US"/>
        </w:rPr>
        <w:t xml:space="preserve">Advisory Opinion OC-17/02, para. 71, and </w:t>
      </w:r>
      <w:r w:rsidRPr="004B75F8">
        <w:rPr>
          <w:i/>
          <w:szCs w:val="16"/>
          <w:lang w:val="en-US"/>
        </w:rPr>
        <w:t xml:space="preserve">Case of </w:t>
      </w:r>
      <w:r w:rsidR="00334C3C" w:rsidRPr="004B75F8">
        <w:rPr>
          <w:i/>
          <w:szCs w:val="16"/>
          <w:lang w:val="en-US"/>
        </w:rPr>
        <w:t>Fornerón</w:t>
      </w:r>
      <w:r w:rsidRPr="004B75F8">
        <w:rPr>
          <w:i/>
          <w:szCs w:val="16"/>
          <w:lang w:val="en-US"/>
        </w:rPr>
        <w:t xml:space="preserve"> and daughter v. Argentina. Merits, reparations and costs</w:t>
      </w:r>
      <w:r w:rsidRPr="004B75F8">
        <w:rPr>
          <w:szCs w:val="16"/>
          <w:lang w:val="en-US"/>
        </w:rPr>
        <w:t>, para. 116.</w:t>
      </w:r>
    </w:p>
  </w:footnote>
  <w:footnote w:id="221">
    <w:p w:rsidR="008C5C78" w:rsidRPr="004B75F8" w:rsidRDefault="008C5C78" w:rsidP="00722D73">
      <w:pPr>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 xml:space="preserve">Cf. </w:t>
      </w:r>
      <w:r w:rsidRPr="004B75F8">
        <w:rPr>
          <w:sz w:val="16"/>
          <w:szCs w:val="16"/>
          <w:lang w:val="en-US"/>
        </w:rPr>
        <w:t xml:space="preserve">Advisory Opinion OC-17/02, para. </w:t>
      </w:r>
      <w:r w:rsidRPr="009C0529">
        <w:rPr>
          <w:sz w:val="16"/>
          <w:szCs w:val="16"/>
          <w:lang w:val="es-ES"/>
        </w:rPr>
        <w:t xml:space="preserve">60; </w:t>
      </w:r>
      <w:r w:rsidRPr="009C0529">
        <w:rPr>
          <w:i/>
          <w:sz w:val="16"/>
          <w:szCs w:val="16"/>
          <w:lang w:val="es-ES"/>
        </w:rPr>
        <w:t xml:space="preserve">Case of Servellón García et al. v. Honduras. </w:t>
      </w:r>
      <w:r w:rsidRPr="004B75F8">
        <w:rPr>
          <w:i/>
          <w:sz w:val="16"/>
          <w:szCs w:val="16"/>
          <w:lang w:val="en-US"/>
        </w:rPr>
        <w:t>Merits, reparations and costs</w:t>
      </w:r>
      <w:r w:rsidRPr="004B75F8">
        <w:rPr>
          <w:sz w:val="16"/>
          <w:szCs w:val="16"/>
          <w:lang w:val="en-US"/>
        </w:rPr>
        <w:t xml:space="preserve">. Judgment of September 21, 2006. Series C No. 152, para. 116, and </w:t>
      </w:r>
      <w:r w:rsidRPr="004B75F8">
        <w:rPr>
          <w:i/>
          <w:sz w:val="16"/>
          <w:szCs w:val="16"/>
          <w:lang w:val="en-US"/>
        </w:rPr>
        <w:t>Case of the Barrios Family v. Venezuela. Merits, reparations and costs</w:t>
      </w:r>
      <w:r w:rsidRPr="004B75F8">
        <w:rPr>
          <w:sz w:val="16"/>
          <w:szCs w:val="16"/>
          <w:lang w:val="en-US"/>
        </w:rPr>
        <w:t>, para. 55.</w:t>
      </w:r>
    </w:p>
  </w:footnote>
  <w:footnote w:id="22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w:t>
      </w:r>
      <w:r w:rsidRPr="004B75F8">
        <w:rPr>
          <w:szCs w:val="16"/>
          <w:lang w:val="en-US"/>
        </w:rPr>
        <w:t xml:space="preserve"> </w:t>
      </w:r>
      <w:r w:rsidRPr="004B75F8">
        <w:rPr>
          <w:bCs/>
          <w:i/>
          <w:szCs w:val="16"/>
          <w:lang w:val="en-US"/>
        </w:rPr>
        <w:t>Case of the "Children’s Rehabilitation Institute" v. Paraguay.</w:t>
      </w:r>
      <w:r w:rsidRPr="004B75F8">
        <w:rPr>
          <w:b/>
          <w:bCs/>
          <w:i/>
          <w:szCs w:val="16"/>
          <w:lang w:val="en-US"/>
        </w:rPr>
        <w:t xml:space="preserve"> </w:t>
      </w:r>
      <w:r w:rsidRPr="004B75F8">
        <w:rPr>
          <w:i/>
          <w:szCs w:val="16"/>
          <w:lang w:val="en-US"/>
        </w:rPr>
        <w:t>Preliminary objections, merits, reparations and costs.</w:t>
      </w:r>
      <w:r w:rsidRPr="004B75F8">
        <w:rPr>
          <w:szCs w:val="16"/>
          <w:lang w:val="en-US"/>
        </w:rPr>
        <w:t xml:space="preserve"> Judgment of September 2, 2004. Series C No. 112, para. 160, and </w:t>
      </w:r>
      <w:r w:rsidRPr="004B75F8">
        <w:rPr>
          <w:i/>
          <w:szCs w:val="16"/>
          <w:lang w:val="en-US"/>
        </w:rPr>
        <w:t>Case of the Barrios Family v. Venezuela. Merits, reparations and costs</w:t>
      </w:r>
      <w:r w:rsidRPr="004B75F8">
        <w:rPr>
          <w:szCs w:val="16"/>
          <w:lang w:val="en-US"/>
        </w:rPr>
        <w:t>, para. 55.</w:t>
      </w:r>
    </w:p>
  </w:footnote>
  <w:footnote w:id="223">
    <w:p w:rsidR="008C5C78" w:rsidRPr="004B75F8" w:rsidRDefault="008C5C78" w:rsidP="00722D73">
      <w:pPr>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w:t>
      </w:r>
      <w:r w:rsidRPr="004B75F8">
        <w:rPr>
          <w:sz w:val="16"/>
          <w:szCs w:val="16"/>
          <w:lang w:val="en-US"/>
        </w:rPr>
        <w:t xml:space="preserve"> Advisory Opinion OC-17/02, paras. 60, 86, and 93; </w:t>
      </w:r>
      <w:r w:rsidRPr="004B75F8">
        <w:rPr>
          <w:i/>
          <w:sz w:val="16"/>
          <w:szCs w:val="16"/>
          <w:lang w:val="en-US"/>
        </w:rPr>
        <w:t>Case of the Dos Erres Massacre v. Guatemala. Preliminary objection, merits, reparations and costs</w:t>
      </w:r>
      <w:r w:rsidRPr="004B75F8">
        <w:rPr>
          <w:sz w:val="16"/>
          <w:szCs w:val="16"/>
          <w:lang w:val="en-US"/>
        </w:rPr>
        <w:t xml:space="preserve">, para. 184, and </w:t>
      </w:r>
      <w:r w:rsidRPr="004B75F8">
        <w:rPr>
          <w:i/>
          <w:sz w:val="16"/>
          <w:szCs w:val="16"/>
          <w:lang w:val="en-US"/>
        </w:rPr>
        <w:t>Case of the Barrios Family v. Venezuela. Merits, reparations and costs</w:t>
      </w:r>
      <w:r w:rsidRPr="004B75F8">
        <w:rPr>
          <w:sz w:val="16"/>
          <w:szCs w:val="16"/>
          <w:lang w:val="en-US"/>
        </w:rPr>
        <w:t>, para. 55.</w:t>
      </w:r>
    </w:p>
  </w:footnote>
  <w:footnote w:id="224">
    <w:p w:rsidR="008C5C78" w:rsidRPr="004B75F8" w:rsidRDefault="008C5C78" w:rsidP="00722D73">
      <w:pPr>
        <w:pStyle w:val="Textonotapie"/>
        <w:spacing w:after="100"/>
        <w:rPr>
          <w:szCs w:val="16"/>
          <w:lang w:val="en-US"/>
        </w:rPr>
      </w:pPr>
      <w:r w:rsidRPr="004B75F8">
        <w:rPr>
          <w:szCs w:val="16"/>
          <w:vertAlign w:val="superscript"/>
          <w:lang w:val="en-US"/>
        </w:rPr>
        <w:footnoteRef/>
      </w:r>
      <w:r w:rsidRPr="004B75F8">
        <w:rPr>
          <w:szCs w:val="16"/>
          <w:lang w:val="en-US"/>
        </w:rPr>
        <w:tab/>
      </w:r>
      <w:r w:rsidRPr="004B75F8">
        <w:rPr>
          <w:i/>
          <w:szCs w:val="16"/>
          <w:lang w:val="en-US"/>
        </w:rPr>
        <w:t xml:space="preserve">Cf. </w:t>
      </w:r>
      <w:r w:rsidRPr="004B75F8">
        <w:rPr>
          <w:szCs w:val="16"/>
          <w:lang w:val="en-US"/>
        </w:rPr>
        <w:t xml:space="preserve">Advisory Opinion OC-17/02, paras. 53, 54, and 60; </w:t>
      </w:r>
      <w:r w:rsidRPr="004B75F8">
        <w:rPr>
          <w:i/>
          <w:szCs w:val="16"/>
          <w:lang w:val="en-US"/>
        </w:rPr>
        <w:t>Case of Servellón García et al. v. Honduras. Merits, reparations and costs</w:t>
      </w:r>
      <w:r w:rsidRPr="004B75F8">
        <w:rPr>
          <w:szCs w:val="16"/>
          <w:lang w:val="en-US"/>
        </w:rPr>
        <w:t xml:space="preserve">, para. 113, and </w:t>
      </w:r>
      <w:r w:rsidRPr="004B75F8">
        <w:rPr>
          <w:i/>
          <w:szCs w:val="16"/>
          <w:lang w:val="en-US"/>
        </w:rPr>
        <w:t xml:space="preserve">Case of </w:t>
      </w:r>
      <w:r w:rsidR="00334C3C" w:rsidRPr="004B75F8">
        <w:rPr>
          <w:i/>
          <w:szCs w:val="16"/>
          <w:lang w:val="en-US"/>
        </w:rPr>
        <w:t>Fornerón</w:t>
      </w:r>
      <w:r w:rsidRPr="004B75F8">
        <w:rPr>
          <w:i/>
          <w:szCs w:val="16"/>
          <w:lang w:val="en-US"/>
        </w:rPr>
        <w:t xml:space="preserve"> and daughter v. Argentina. Merits, reparations and costs</w:t>
      </w:r>
      <w:r w:rsidRPr="004B75F8">
        <w:rPr>
          <w:szCs w:val="16"/>
          <w:lang w:val="en-US"/>
        </w:rPr>
        <w:t>, para. 45.</w:t>
      </w:r>
    </w:p>
  </w:footnote>
  <w:footnote w:id="22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ab/>
      </w:r>
      <w:r w:rsidRPr="004B75F8">
        <w:rPr>
          <w:i/>
          <w:szCs w:val="16"/>
          <w:lang w:val="en-US"/>
        </w:rPr>
        <w:t xml:space="preserve">Cf. </w:t>
      </w:r>
      <w:r w:rsidRPr="004B75F8">
        <w:rPr>
          <w:szCs w:val="16"/>
          <w:lang w:val="en-US"/>
        </w:rPr>
        <w:t xml:space="preserve">Advisory Opinion OC-17/02, para. 91; </w:t>
      </w:r>
      <w:r w:rsidRPr="004B75F8">
        <w:rPr>
          <w:bCs/>
          <w:i/>
          <w:szCs w:val="16"/>
          <w:lang w:val="en-US"/>
        </w:rPr>
        <w:t>Case of Servellón García et al. v. Honduras.</w:t>
      </w:r>
      <w:r w:rsidRPr="004B75F8">
        <w:rPr>
          <w:b/>
          <w:bCs/>
          <w:i/>
          <w:szCs w:val="16"/>
          <w:lang w:val="en-US"/>
        </w:rPr>
        <w:t xml:space="preserve"> </w:t>
      </w:r>
      <w:r w:rsidRPr="004B75F8">
        <w:rPr>
          <w:i/>
          <w:szCs w:val="16"/>
          <w:lang w:val="en-US"/>
        </w:rPr>
        <w:t>Merits, reparations and costs</w:t>
      </w:r>
      <w:r w:rsidRPr="004B75F8">
        <w:rPr>
          <w:szCs w:val="16"/>
          <w:lang w:val="en-US"/>
        </w:rPr>
        <w:t xml:space="preserve">, para. 114, and </w:t>
      </w:r>
      <w:r w:rsidRPr="004B75F8">
        <w:rPr>
          <w:i/>
          <w:szCs w:val="16"/>
          <w:lang w:val="en-US"/>
        </w:rPr>
        <w:t>Case of the Barrios Family v. Venezuela. Merits, reparations and costs</w:t>
      </w:r>
      <w:r w:rsidRPr="004B75F8">
        <w:rPr>
          <w:szCs w:val="16"/>
          <w:lang w:val="en-US"/>
        </w:rPr>
        <w:t>, para. 55.</w:t>
      </w:r>
    </w:p>
  </w:footnote>
  <w:footnote w:id="22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 xml:space="preserve">Advisory Opinion OC-17/02, para. 71, and </w:t>
      </w:r>
      <w:r w:rsidRPr="004B75F8">
        <w:rPr>
          <w:i/>
          <w:szCs w:val="16"/>
          <w:lang w:val="en-US"/>
        </w:rPr>
        <w:t xml:space="preserve">Case of </w:t>
      </w:r>
      <w:r w:rsidR="00334C3C" w:rsidRPr="004B75F8">
        <w:rPr>
          <w:i/>
          <w:szCs w:val="16"/>
          <w:lang w:val="en-US"/>
        </w:rPr>
        <w:t>Fornerón</w:t>
      </w:r>
      <w:r w:rsidRPr="004B75F8">
        <w:rPr>
          <w:i/>
          <w:szCs w:val="16"/>
          <w:lang w:val="en-US"/>
        </w:rPr>
        <w:t xml:space="preserve"> and daughter v. Argentina. Merits, reparations and costs</w:t>
      </w:r>
      <w:r w:rsidRPr="004B75F8">
        <w:rPr>
          <w:szCs w:val="16"/>
          <w:lang w:val="en-US"/>
        </w:rPr>
        <w:t>, para. 46.</w:t>
      </w:r>
    </w:p>
  </w:footnote>
  <w:footnote w:id="227">
    <w:p w:rsidR="008C5C78" w:rsidRPr="004B75F8" w:rsidRDefault="008C5C78" w:rsidP="00722D73">
      <w:pPr>
        <w:widowControl w:val="0"/>
        <w:tabs>
          <w:tab w:val="left" w:pos="72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Article 8(1) of the American Convention establishes:</w:t>
      </w:r>
    </w:p>
    <w:p w:rsidR="008C5C78" w:rsidRPr="004B75F8" w:rsidRDefault="008C5C78" w:rsidP="00722D73">
      <w:pPr>
        <w:widowControl w:val="0"/>
        <w:tabs>
          <w:tab w:val="left" w:pos="709"/>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jc w:val="both"/>
        <w:rPr>
          <w:sz w:val="16"/>
          <w:szCs w:val="16"/>
          <w:lang w:val="en-US"/>
        </w:rPr>
      </w:pPr>
      <w:r w:rsidRPr="004B75F8">
        <w:rPr>
          <w:sz w:val="16"/>
          <w:szCs w:val="16"/>
          <w:lang w:val="en-US"/>
        </w:rPr>
        <w:tab/>
        <w:t>1. Every person has the right to a hearing, with due guarantees and within a reasonable time, by a competent, independent, and impartial Court, previously established by law, in the substantiation of any accusation of a criminal nature made against him or for the determination of his rights and obligations of a civil, labor, fiscal, or any other nature.</w:t>
      </w:r>
    </w:p>
  </w:footnote>
  <w:footnote w:id="228">
    <w:p w:rsidR="008C5C78" w:rsidRPr="004B75F8" w:rsidRDefault="008C5C78" w:rsidP="00722D73">
      <w:pPr>
        <w:widowControl w:val="0"/>
        <w:tabs>
          <w:tab w:val="left" w:pos="720"/>
          <w:tab w:val="left" w:pos="1080"/>
        </w:tabs>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ab/>
        <w:t>Article 25 of the American Convention stipulates:</w:t>
      </w:r>
    </w:p>
    <w:p w:rsidR="008C5C78" w:rsidRPr="004B75F8" w:rsidRDefault="008C5C78" w:rsidP="00722D73">
      <w:pPr>
        <w:widowControl w:val="0"/>
        <w:tabs>
          <w:tab w:val="left" w:pos="709"/>
          <w:tab w:val="left" w:pos="1080"/>
        </w:tabs>
        <w:autoSpaceDE w:val="0"/>
        <w:autoSpaceDN w:val="0"/>
        <w:adjustRightInd w:val="0"/>
        <w:spacing w:after="100"/>
        <w:jc w:val="both"/>
        <w:rPr>
          <w:sz w:val="16"/>
          <w:szCs w:val="16"/>
          <w:lang w:val="en-US"/>
        </w:rPr>
      </w:pPr>
      <w:r w:rsidRPr="004B75F8">
        <w:rPr>
          <w:sz w:val="16"/>
          <w:szCs w:val="16"/>
          <w:lang w:val="en-US"/>
        </w:rPr>
        <w:tab/>
        <w:t>1. Everyone has the right to simple and prompt recourse, or any other effective recourse, to a competent court or Court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229">
    <w:p w:rsidR="008C5C78" w:rsidRPr="004B75F8" w:rsidRDefault="008C5C78" w:rsidP="00722D73">
      <w:pPr>
        <w:pStyle w:val="Textonotapie"/>
        <w:spacing w:after="100"/>
        <w:rPr>
          <w:szCs w:val="16"/>
          <w:lang w:val="en-US"/>
        </w:rPr>
      </w:pPr>
      <w:r w:rsidRPr="004B75F8">
        <w:rPr>
          <w:rStyle w:val="Refdenotaalpie"/>
          <w:szCs w:val="16"/>
          <w:lang w:val="en-US"/>
        </w:rPr>
        <w:footnoteRef/>
      </w:r>
      <w:r w:rsidRPr="009C0529">
        <w:rPr>
          <w:szCs w:val="16"/>
          <w:lang w:val="es-ES"/>
        </w:rPr>
        <w:t xml:space="preserve"> </w:t>
      </w:r>
      <w:r w:rsidRPr="009C0529">
        <w:rPr>
          <w:szCs w:val="16"/>
          <w:lang w:val="es-ES"/>
        </w:rPr>
        <w:tab/>
      </w:r>
      <w:r w:rsidRPr="009C0529">
        <w:rPr>
          <w:i/>
          <w:szCs w:val="16"/>
          <w:lang w:val="es-ES"/>
        </w:rPr>
        <w:t>Cf. Case of</w:t>
      </w:r>
      <w:r w:rsidRPr="009C0529">
        <w:rPr>
          <w:szCs w:val="16"/>
          <w:lang w:val="es-ES"/>
        </w:rPr>
        <w:t xml:space="preserve"> </w:t>
      </w:r>
      <w:r w:rsidRPr="009C0529">
        <w:rPr>
          <w:i/>
          <w:szCs w:val="16"/>
          <w:lang w:val="es-ES"/>
        </w:rPr>
        <w:t xml:space="preserve">Fernández Ortega et al. v. Mexico. </w:t>
      </w:r>
      <w:r w:rsidRPr="004B75F8">
        <w:rPr>
          <w:i/>
          <w:szCs w:val="16"/>
          <w:lang w:val="en-US"/>
        </w:rPr>
        <w:t xml:space="preserve">Preliminary objection, merits, reparations and costs. </w:t>
      </w:r>
      <w:r w:rsidRPr="004B75F8">
        <w:rPr>
          <w:szCs w:val="16"/>
          <w:lang w:val="en-US"/>
        </w:rPr>
        <w:t xml:space="preserve">Judgment of August 30, 2010. Series C No. 215, para. 177, and </w:t>
      </w:r>
      <w:r w:rsidRPr="004B75F8">
        <w:rPr>
          <w:i/>
          <w:szCs w:val="16"/>
          <w:lang w:val="en-US"/>
        </w:rPr>
        <w:t>Case of Cabrera García and Montiel Flores v. Mexico. Preliminary objection, merits, reparations and costs</w:t>
      </w:r>
      <w:r w:rsidRPr="004B75F8">
        <w:rPr>
          <w:szCs w:val="16"/>
          <w:lang w:val="en-US"/>
        </w:rPr>
        <w:t>, para. 200. Similarly, c</w:t>
      </w:r>
      <w:r w:rsidRPr="004B75F8">
        <w:rPr>
          <w:i/>
          <w:szCs w:val="16"/>
          <w:lang w:val="en-US"/>
        </w:rPr>
        <w:t xml:space="preserve">f. Case of Garibaldi v. Brazil. Preliminary objections, merits, reparations and costs. </w:t>
      </w:r>
      <w:r w:rsidRPr="004B75F8">
        <w:rPr>
          <w:szCs w:val="16"/>
          <w:lang w:val="en-US"/>
        </w:rPr>
        <w:t>Judgment of September 23, 2009. Series C No. 203, para. 120.</w:t>
      </w:r>
    </w:p>
  </w:footnote>
  <w:footnote w:id="230">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 Case of Durand and Ugarte v. Peru. Merits.</w:t>
      </w:r>
      <w:r w:rsidRPr="004B75F8">
        <w:rPr>
          <w:sz w:val="16"/>
          <w:szCs w:val="16"/>
          <w:lang w:val="en-US"/>
        </w:rPr>
        <w:t xml:space="preserve"> Judgment of August 16, 2000. Series C No. 68, paras. 116, 117, 125 and 126; </w:t>
      </w:r>
      <w:r w:rsidRPr="004B75F8">
        <w:rPr>
          <w:i/>
          <w:sz w:val="16"/>
          <w:szCs w:val="16"/>
          <w:lang w:val="en-US"/>
        </w:rPr>
        <w:t>Case of Cantoral Benavides v. Peru. Merits.</w:t>
      </w:r>
      <w:r w:rsidRPr="004B75F8">
        <w:rPr>
          <w:sz w:val="16"/>
          <w:szCs w:val="16"/>
          <w:lang w:val="en-US"/>
        </w:rPr>
        <w:t xml:space="preserve"> Judgment of August 18, 2000. Series C No. 69, paras. 112 to 114; </w:t>
      </w:r>
      <w:r w:rsidRPr="004B75F8">
        <w:rPr>
          <w:i/>
          <w:sz w:val="16"/>
          <w:szCs w:val="16"/>
          <w:lang w:val="en-US"/>
        </w:rPr>
        <w:t>Case of Las Palmeras v. Colombia. Merits.</w:t>
      </w:r>
      <w:r w:rsidRPr="004B75F8">
        <w:rPr>
          <w:sz w:val="16"/>
          <w:szCs w:val="16"/>
          <w:lang w:val="en-US"/>
        </w:rPr>
        <w:t xml:space="preserve"> Judgment of December 6, 2001. Series C No. 90, paras. 51, 52 and 53; </w:t>
      </w:r>
      <w:r w:rsidRPr="004B75F8">
        <w:rPr>
          <w:i/>
          <w:sz w:val="16"/>
          <w:szCs w:val="16"/>
          <w:lang w:val="en-US"/>
        </w:rPr>
        <w:t>Case of the 19 Tradesmen v. Colombia</w:t>
      </w:r>
      <w:r w:rsidRPr="004B75F8">
        <w:rPr>
          <w:sz w:val="16"/>
          <w:szCs w:val="16"/>
          <w:lang w:val="en-US"/>
        </w:rPr>
        <w:t xml:space="preserve">. </w:t>
      </w:r>
      <w:r w:rsidRPr="004B75F8">
        <w:rPr>
          <w:i/>
          <w:sz w:val="16"/>
          <w:szCs w:val="16"/>
          <w:lang w:val="en-US"/>
        </w:rPr>
        <w:t>Merits, reparations and costs</w:t>
      </w:r>
      <w:r w:rsidRPr="004B75F8">
        <w:rPr>
          <w:sz w:val="16"/>
          <w:szCs w:val="16"/>
          <w:lang w:val="en-US"/>
        </w:rPr>
        <w:t xml:space="preserve">. Judgment of July 5, 2004. Series C No. 109, paras. 165, 166, 167, 173 and 174; </w:t>
      </w:r>
      <w:r w:rsidRPr="004B75F8">
        <w:rPr>
          <w:i/>
          <w:sz w:val="16"/>
          <w:szCs w:val="16"/>
          <w:lang w:val="en-US"/>
        </w:rPr>
        <w:t>Case of Lori Berenson Mejía v. Peru. Merits, reparations and costs</w:t>
      </w:r>
      <w:r w:rsidRPr="004B75F8">
        <w:rPr>
          <w:sz w:val="16"/>
          <w:szCs w:val="16"/>
          <w:lang w:val="en-US"/>
        </w:rPr>
        <w:t xml:space="preserve">. Judgment of November 25, 2004. Series C No. 119, paras. 141 to 145; </w:t>
      </w:r>
      <w:r w:rsidRPr="004B75F8">
        <w:rPr>
          <w:i/>
          <w:sz w:val="16"/>
          <w:szCs w:val="16"/>
          <w:lang w:val="en-US"/>
        </w:rPr>
        <w:t>Case of the “Mapiripán Massacre” v. Colombia. Merits, reparations and costs</w:t>
      </w:r>
      <w:r w:rsidRPr="004B75F8">
        <w:rPr>
          <w:sz w:val="16"/>
          <w:szCs w:val="16"/>
          <w:lang w:val="en-US"/>
        </w:rPr>
        <w:t xml:space="preserve">. Judgment of September 15, 2005. Series C No. 134, para. 202; </w:t>
      </w:r>
      <w:r w:rsidRPr="004B75F8">
        <w:rPr>
          <w:i/>
          <w:sz w:val="16"/>
          <w:szCs w:val="16"/>
          <w:lang w:val="en-US"/>
        </w:rPr>
        <w:t>Case of Palamara Iribarne v. Chile. Merits, reparations and costs</w:t>
      </w:r>
      <w:r w:rsidRPr="004B75F8">
        <w:rPr>
          <w:sz w:val="16"/>
          <w:szCs w:val="16"/>
          <w:lang w:val="en-US"/>
        </w:rPr>
        <w:t xml:space="preserve">. Judgment of November 22, 2005. Series C No. 135, paras. 139 and 143; </w:t>
      </w:r>
      <w:r w:rsidRPr="004B75F8">
        <w:rPr>
          <w:i/>
          <w:sz w:val="16"/>
          <w:szCs w:val="16"/>
          <w:lang w:val="en-US"/>
        </w:rPr>
        <w:t>Case of</w:t>
      </w:r>
      <w:r w:rsidRPr="004B75F8">
        <w:rPr>
          <w:sz w:val="16"/>
          <w:szCs w:val="16"/>
          <w:lang w:val="en-US"/>
        </w:rPr>
        <w:t xml:space="preserve"> </w:t>
      </w:r>
      <w:r w:rsidRPr="004B75F8">
        <w:rPr>
          <w:i/>
          <w:sz w:val="16"/>
          <w:szCs w:val="16"/>
          <w:lang w:val="en-US"/>
        </w:rPr>
        <w:t>the Pueblo Bello Massacre v. Colombia. Merits, reparations and costs</w:t>
      </w:r>
      <w:r w:rsidRPr="004B75F8">
        <w:rPr>
          <w:sz w:val="16"/>
          <w:szCs w:val="16"/>
          <w:lang w:val="en-US"/>
        </w:rPr>
        <w:t xml:space="preserve">, paras. 189 and 193; </w:t>
      </w:r>
      <w:r w:rsidRPr="004B75F8">
        <w:rPr>
          <w:i/>
          <w:sz w:val="16"/>
          <w:szCs w:val="16"/>
          <w:lang w:val="en-US"/>
        </w:rPr>
        <w:t>Case of Montero Aranguren et al. (Retén de Catia) v. Venezuela. Merits, reparations and costs</w:t>
      </w:r>
      <w:r w:rsidRPr="004B75F8">
        <w:rPr>
          <w:sz w:val="16"/>
          <w:szCs w:val="16"/>
          <w:lang w:val="en-US"/>
        </w:rPr>
        <w:t xml:space="preserve">. Judgment of July 5, 2006. Series C No. 150, paras. 53, 54 and 108; </w:t>
      </w:r>
      <w:r w:rsidRPr="004B75F8">
        <w:rPr>
          <w:i/>
          <w:sz w:val="16"/>
          <w:szCs w:val="16"/>
          <w:lang w:val="en-US"/>
        </w:rPr>
        <w:t>Case of La Cantuta v. Peru. Merits, reparations and costs.</w:t>
      </w:r>
      <w:r w:rsidRPr="004B75F8">
        <w:rPr>
          <w:sz w:val="16"/>
          <w:szCs w:val="16"/>
          <w:lang w:val="en-US"/>
        </w:rPr>
        <w:t xml:space="preserve"> Judgment of November 29, 2006. Series C No. 162, para. 142; </w:t>
      </w:r>
      <w:r w:rsidRPr="004B75F8">
        <w:rPr>
          <w:i/>
          <w:sz w:val="16"/>
          <w:szCs w:val="16"/>
          <w:lang w:val="en-US"/>
        </w:rPr>
        <w:t>Case of the La Rochela Massacre v. Colombia. Merits, reparations and costs</w:t>
      </w:r>
      <w:r w:rsidRPr="004B75F8">
        <w:rPr>
          <w:sz w:val="16"/>
          <w:szCs w:val="16"/>
          <w:lang w:val="en-US"/>
        </w:rPr>
        <w:t xml:space="preserve">, para. 200; </w:t>
      </w:r>
      <w:r w:rsidRPr="004B75F8">
        <w:rPr>
          <w:i/>
          <w:sz w:val="16"/>
          <w:szCs w:val="16"/>
          <w:lang w:val="en-US"/>
        </w:rPr>
        <w:t>Case of Escué Zapata v. Colombia. Merits, reparations and costs</w:t>
      </w:r>
      <w:r w:rsidRPr="004B75F8">
        <w:rPr>
          <w:sz w:val="16"/>
          <w:szCs w:val="16"/>
          <w:lang w:val="en-US"/>
        </w:rPr>
        <w:t xml:space="preserve">, para. 105; </w:t>
      </w:r>
      <w:r w:rsidRPr="004B75F8">
        <w:rPr>
          <w:i/>
          <w:sz w:val="16"/>
          <w:szCs w:val="16"/>
          <w:lang w:val="en-US"/>
        </w:rPr>
        <w:t>Case of Zambrano Vélez et al. v. Ecuador. Merits, reparations and costs</w:t>
      </w:r>
      <w:r w:rsidRPr="004B75F8">
        <w:rPr>
          <w:sz w:val="16"/>
          <w:szCs w:val="16"/>
          <w:lang w:val="en-US"/>
        </w:rPr>
        <w:t xml:space="preserve">, para. 66; </w:t>
      </w:r>
      <w:r w:rsidRPr="004B75F8">
        <w:rPr>
          <w:i/>
          <w:sz w:val="16"/>
          <w:szCs w:val="16"/>
          <w:lang w:val="en-US"/>
        </w:rPr>
        <w:t>Case of Tiu Tojín v. Guatemala. Merits, reparations and costs</w:t>
      </w:r>
      <w:r w:rsidRPr="004B75F8">
        <w:rPr>
          <w:sz w:val="16"/>
          <w:szCs w:val="16"/>
          <w:lang w:val="en-US"/>
        </w:rPr>
        <w:t xml:space="preserve">, paras. 118 to 120; </w:t>
      </w:r>
      <w:r w:rsidRPr="004B75F8">
        <w:rPr>
          <w:i/>
          <w:sz w:val="16"/>
          <w:szCs w:val="16"/>
          <w:lang w:val="en-US"/>
        </w:rPr>
        <w:t xml:space="preserve">Case of Usón Ramírez v. Venezuela. Preliminary objection, merits, reparations and costs. </w:t>
      </w:r>
      <w:r w:rsidRPr="004B75F8">
        <w:rPr>
          <w:sz w:val="16"/>
          <w:szCs w:val="16"/>
          <w:lang w:val="en-US"/>
        </w:rPr>
        <w:t xml:space="preserve">Judgment of November 20, 2009. Series C No. 207, paras. 108 to 110; </w:t>
      </w:r>
      <w:r w:rsidRPr="004B75F8">
        <w:rPr>
          <w:i/>
          <w:sz w:val="16"/>
          <w:szCs w:val="16"/>
          <w:lang w:val="en-US"/>
        </w:rPr>
        <w:t xml:space="preserve">Case of Radilla Pacheco v. Mexico. Preliminary objections, merits, reparations and costs. </w:t>
      </w:r>
      <w:r w:rsidRPr="004B75F8">
        <w:rPr>
          <w:sz w:val="16"/>
          <w:szCs w:val="16"/>
          <w:lang w:val="en-US"/>
        </w:rPr>
        <w:t xml:space="preserve">Judgment of November 23, 2009. Series C No. 209, paras. 272 and 273; </w:t>
      </w:r>
      <w:r w:rsidRPr="004B75F8">
        <w:rPr>
          <w:i/>
          <w:sz w:val="16"/>
          <w:szCs w:val="16"/>
          <w:lang w:val="en-US"/>
        </w:rPr>
        <w:t>Case of</w:t>
      </w:r>
      <w:r w:rsidRPr="004B75F8">
        <w:rPr>
          <w:sz w:val="16"/>
          <w:szCs w:val="16"/>
          <w:lang w:val="en-US"/>
        </w:rPr>
        <w:t xml:space="preserve"> </w:t>
      </w:r>
      <w:r w:rsidRPr="004B75F8">
        <w:rPr>
          <w:i/>
          <w:sz w:val="16"/>
          <w:szCs w:val="16"/>
          <w:lang w:val="en-US"/>
        </w:rPr>
        <w:t>Fernández Ortega et al. v. Mexico. Preliminary objection, merits, reparations and costs</w:t>
      </w:r>
      <w:r w:rsidRPr="004B75F8">
        <w:rPr>
          <w:sz w:val="16"/>
          <w:szCs w:val="16"/>
          <w:lang w:val="en-US"/>
        </w:rPr>
        <w:t xml:space="preserve">, para. 176; </w:t>
      </w:r>
      <w:r w:rsidRPr="004B75F8">
        <w:rPr>
          <w:i/>
          <w:sz w:val="16"/>
          <w:szCs w:val="16"/>
          <w:lang w:val="en-US"/>
        </w:rPr>
        <w:t>Case of</w:t>
      </w:r>
      <w:r w:rsidRPr="004B75F8">
        <w:rPr>
          <w:sz w:val="16"/>
          <w:szCs w:val="16"/>
          <w:lang w:val="en-US"/>
        </w:rPr>
        <w:t xml:space="preserve"> </w:t>
      </w:r>
      <w:r w:rsidRPr="004B75F8">
        <w:rPr>
          <w:i/>
          <w:sz w:val="16"/>
          <w:szCs w:val="16"/>
          <w:lang w:val="en-US"/>
        </w:rPr>
        <w:t>Rosendo Cantú et al. v. Mexico. Preliminary objection, merits, reparations and costs</w:t>
      </w:r>
      <w:r w:rsidRPr="004B75F8">
        <w:rPr>
          <w:sz w:val="16"/>
          <w:szCs w:val="16"/>
          <w:lang w:val="en-US"/>
        </w:rPr>
        <w:t xml:space="preserve">, para. 160, and </w:t>
      </w:r>
      <w:r w:rsidRPr="004B75F8">
        <w:rPr>
          <w:i/>
          <w:sz w:val="16"/>
          <w:szCs w:val="16"/>
          <w:lang w:val="en-US"/>
        </w:rPr>
        <w:t>Case of Cabrera García and Montiel Flores v. Mexico. Preliminary objection, merits, reparations and costs</w:t>
      </w:r>
      <w:r w:rsidRPr="004B75F8">
        <w:rPr>
          <w:sz w:val="16"/>
          <w:szCs w:val="16"/>
          <w:lang w:val="en-US"/>
        </w:rPr>
        <w:t xml:space="preserve">, paras. 197 to 199. </w:t>
      </w:r>
    </w:p>
  </w:footnote>
  <w:footnote w:id="23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Furthermore, on numerous occasions, the Court has indicated that “[w]hen the military justice system assumes competence on a matter that should be heard by the ordinary justice system, the right to a natural judge is impaired and, </w:t>
      </w:r>
      <w:r w:rsidRPr="004B75F8">
        <w:rPr>
          <w:i/>
          <w:szCs w:val="16"/>
          <w:lang w:val="en-US"/>
        </w:rPr>
        <w:t xml:space="preserve">a fortiori, </w:t>
      </w:r>
      <w:r w:rsidRPr="004B75F8">
        <w:rPr>
          <w:szCs w:val="16"/>
          <w:lang w:val="en-US"/>
        </w:rPr>
        <w:t xml:space="preserve">due process,” which, in turn, is closely tied to the right of access to justice itself; </w:t>
      </w:r>
      <w:r w:rsidRPr="004B75F8">
        <w:rPr>
          <w:i/>
          <w:szCs w:val="16"/>
          <w:lang w:val="en-US"/>
        </w:rPr>
        <w:t>cf.</w:t>
      </w:r>
      <w:r w:rsidRPr="004B75F8">
        <w:rPr>
          <w:szCs w:val="16"/>
          <w:lang w:val="en-US"/>
        </w:rPr>
        <w:t xml:space="preserve"> </w:t>
      </w:r>
      <w:r w:rsidRPr="004B75F8">
        <w:rPr>
          <w:i/>
          <w:szCs w:val="16"/>
          <w:lang w:val="en-US"/>
        </w:rPr>
        <w:t>inter alia</w:t>
      </w:r>
      <w:r w:rsidRPr="004B75F8">
        <w:rPr>
          <w:szCs w:val="16"/>
          <w:lang w:val="en-US"/>
        </w:rPr>
        <w:t xml:space="preserve">, </w:t>
      </w:r>
      <w:r w:rsidRPr="004B75F8">
        <w:rPr>
          <w:i/>
          <w:szCs w:val="16"/>
          <w:lang w:val="en-US"/>
        </w:rPr>
        <w:t>Case of Castillo Petruzzi et al. v. Peru. Merits, reparations and costs.</w:t>
      </w:r>
      <w:r w:rsidRPr="004B75F8">
        <w:rPr>
          <w:szCs w:val="16"/>
          <w:lang w:val="en-US"/>
        </w:rPr>
        <w:t xml:space="preserve"> Judgment of May 30, 1999. Series C No. 52, para. 128, and </w:t>
      </w:r>
      <w:r w:rsidRPr="004B75F8">
        <w:rPr>
          <w:i/>
          <w:szCs w:val="16"/>
          <w:lang w:val="en-US"/>
        </w:rPr>
        <w:t>Case of Cabrera García and Montiel Flores v. Mexico. Preliminary objection, merits, reparations and costs</w:t>
      </w:r>
      <w:r w:rsidRPr="004B75F8">
        <w:rPr>
          <w:szCs w:val="16"/>
          <w:lang w:val="en-US"/>
        </w:rPr>
        <w:t>, para. 197.</w:t>
      </w:r>
    </w:p>
  </w:footnote>
  <w:footnote w:id="23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In 1993, in its Second Report on the Situation of Human Rights in Colombia, the Inter-American Commission stated that it was necessary “to regulate […] very clearly what constitutes a criminal act related to active duty in order to avoid the possibility of human rights violations being classified as acts inherent in active duty.” </w:t>
      </w:r>
      <w:r w:rsidRPr="004B75F8">
        <w:rPr>
          <w:i/>
          <w:szCs w:val="16"/>
          <w:lang w:val="en-US"/>
        </w:rPr>
        <w:t xml:space="preserve">Cf. </w:t>
      </w:r>
      <w:r w:rsidRPr="004B75F8">
        <w:rPr>
          <w:szCs w:val="16"/>
          <w:lang w:val="en-US"/>
        </w:rPr>
        <w:t>Inter-American Commission on Human Rights,</w:t>
      </w:r>
      <w:r w:rsidRPr="004B75F8">
        <w:rPr>
          <w:i/>
          <w:szCs w:val="16"/>
          <w:lang w:val="en-US"/>
        </w:rPr>
        <w:t xml:space="preserve"> Second Report on the Situation of Human Rights in Colombia. </w:t>
      </w:r>
      <w:r w:rsidRPr="004B75F8">
        <w:rPr>
          <w:szCs w:val="16"/>
          <w:lang w:val="en-US"/>
        </w:rPr>
        <w:t xml:space="preserve">OEA/Ser.L/V/II.84 Doc. 39 rev. 14 October 1993 (document </w:t>
      </w:r>
      <w:r w:rsidR="00334C3C" w:rsidRPr="004B75F8">
        <w:rPr>
          <w:szCs w:val="16"/>
          <w:lang w:val="en-US"/>
        </w:rPr>
        <w:t>available</w:t>
      </w:r>
      <w:r w:rsidRPr="004B75F8">
        <w:rPr>
          <w:szCs w:val="16"/>
          <w:lang w:val="en-US"/>
        </w:rPr>
        <w:t xml:space="preserve"> on the webpage of the  Inter-American Commission at: </w:t>
      </w:r>
      <w:hyperlink r:id="rId3" w:history="1">
        <w:r w:rsidRPr="004B75F8">
          <w:rPr>
            <w:rStyle w:val="Hipervnculo"/>
            <w:szCs w:val="16"/>
            <w:lang w:val="en-US"/>
          </w:rPr>
          <w:t>http://www.cidh.oas.org/countryrep/Colombia93sp/indice.htm</w:t>
        </w:r>
      </w:hyperlink>
      <w:r w:rsidRPr="004B75F8">
        <w:rPr>
          <w:szCs w:val="16"/>
          <w:lang w:val="en-US"/>
        </w:rPr>
        <w:t xml:space="preserve">, last consulted on September 3,  2012). For its part, in May 1997, the United Nations Human Right Committee of the International Covenant on Civil and Political Rights issued its concluding observations on the report of Colombia in which it “urge[d Colombia]that all necessary steps be taken to ensure that members of the armed forces and the police accused of human rights abuses are tried by independent civilian courts and suspended from active duty during the period of investigation.” In this regard, the said Committee </w:t>
      </w:r>
      <w:r w:rsidR="00334C3C" w:rsidRPr="004B75F8">
        <w:rPr>
          <w:szCs w:val="16"/>
          <w:lang w:val="en-US"/>
        </w:rPr>
        <w:t>recommended</w:t>
      </w:r>
      <w:r w:rsidRPr="004B75F8">
        <w:rPr>
          <w:szCs w:val="16"/>
          <w:lang w:val="en-US"/>
        </w:rPr>
        <w:t xml:space="preserve"> “that the jurisdiction of the military courts with respect to human rights violations be transferred to civilian courts.” </w:t>
      </w:r>
      <w:r w:rsidRPr="004B75F8">
        <w:rPr>
          <w:i/>
          <w:szCs w:val="16"/>
          <w:lang w:val="en-US"/>
        </w:rPr>
        <w:t xml:space="preserve">Cf. </w:t>
      </w:r>
      <w:r w:rsidRPr="004B75F8">
        <w:rPr>
          <w:szCs w:val="16"/>
          <w:lang w:val="en-US"/>
        </w:rPr>
        <w:t>CCPR/C/79/Add.76 of 5 May 1997 (file of annexes to the pleadings and motions brief, tome I, annex 1).</w:t>
      </w:r>
    </w:p>
  </w:footnote>
  <w:footnote w:id="23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Genie Lacayo v. Nicaragua</w:t>
      </w:r>
      <w:r w:rsidRPr="004B75F8">
        <w:rPr>
          <w:szCs w:val="16"/>
          <w:lang w:val="en-US"/>
        </w:rPr>
        <w:t>. Merits, reparations and costs</w:t>
      </w:r>
      <w:r w:rsidRPr="004B75F8">
        <w:rPr>
          <w:i/>
          <w:szCs w:val="16"/>
          <w:lang w:val="en-US"/>
        </w:rPr>
        <w:t>.</w:t>
      </w:r>
      <w:r w:rsidRPr="004B75F8">
        <w:rPr>
          <w:szCs w:val="16"/>
          <w:lang w:val="en-US"/>
        </w:rPr>
        <w:t xml:space="preserve"> Judgment of January 29, 1997. Series C No. 30.</w:t>
      </w:r>
    </w:p>
  </w:footnote>
  <w:footnote w:id="23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factual situation of the case of </w:t>
      </w:r>
      <w:r w:rsidRPr="004B75F8">
        <w:rPr>
          <w:i/>
          <w:szCs w:val="16"/>
          <w:lang w:val="en-US"/>
        </w:rPr>
        <w:t xml:space="preserve">Durand and Ugarte </w:t>
      </w:r>
      <w:r w:rsidRPr="004B75F8">
        <w:rPr>
          <w:szCs w:val="16"/>
          <w:lang w:val="en-US"/>
        </w:rPr>
        <w:t xml:space="preserve">refers to the suppression of a 1986 prison uprising, in which soldiers “used disproportionate force that was far in excess of the limits of their function, which resulted in the death of a large number of prisoners.” </w:t>
      </w:r>
      <w:r w:rsidRPr="004B75F8">
        <w:rPr>
          <w:i/>
          <w:szCs w:val="16"/>
          <w:lang w:val="en-US"/>
        </w:rPr>
        <w:t>Cf. Case of Durand and Ugarte v. Peru. Merits</w:t>
      </w:r>
      <w:r w:rsidRPr="004B75F8">
        <w:rPr>
          <w:szCs w:val="16"/>
          <w:lang w:val="en-US"/>
        </w:rPr>
        <w:t>, para. 118.</w:t>
      </w:r>
    </w:p>
  </w:footnote>
  <w:footnote w:id="23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the La Rochela Massacre v. Colombia. Merits, reparations and costs</w:t>
      </w:r>
      <w:r w:rsidRPr="004B75F8">
        <w:rPr>
          <w:szCs w:val="16"/>
          <w:lang w:val="en-US"/>
        </w:rPr>
        <w:t xml:space="preserve">, para. 200, the facts of which occurred as of 1989; </w:t>
      </w:r>
      <w:r w:rsidRPr="004B75F8">
        <w:rPr>
          <w:i/>
          <w:szCs w:val="16"/>
          <w:lang w:val="en-US"/>
        </w:rPr>
        <w:t>Case of Escué Zapata v. Colombia. Merits, reparations and costs,</w:t>
      </w:r>
      <w:r w:rsidRPr="004B75F8">
        <w:rPr>
          <w:szCs w:val="16"/>
          <w:lang w:val="en-US"/>
        </w:rPr>
        <w:t xml:space="preserve"> the facts of which </w:t>
      </w:r>
      <w:r w:rsidR="00334C3C" w:rsidRPr="004B75F8">
        <w:rPr>
          <w:szCs w:val="16"/>
          <w:lang w:val="en-US"/>
        </w:rPr>
        <w:t>occurred</w:t>
      </w:r>
      <w:r w:rsidRPr="004B75F8">
        <w:rPr>
          <w:szCs w:val="16"/>
          <w:lang w:val="en-US"/>
        </w:rPr>
        <w:t xml:space="preserve"> as of 1988, and </w:t>
      </w:r>
      <w:r w:rsidRPr="004B75F8">
        <w:rPr>
          <w:i/>
          <w:szCs w:val="16"/>
          <w:lang w:val="en-US"/>
        </w:rPr>
        <w:t>Case of Zambrano Vélez et al. v. Ecuador. Merits, reparations and costs</w:t>
      </w:r>
      <w:r w:rsidRPr="004B75F8">
        <w:rPr>
          <w:szCs w:val="16"/>
          <w:lang w:val="en-US"/>
        </w:rPr>
        <w:t xml:space="preserve">, the facts of </w:t>
      </w:r>
      <w:r w:rsidR="00334C3C" w:rsidRPr="004B75F8">
        <w:rPr>
          <w:szCs w:val="16"/>
          <w:lang w:val="en-US"/>
        </w:rPr>
        <w:t>which</w:t>
      </w:r>
      <w:r w:rsidRPr="004B75F8">
        <w:rPr>
          <w:szCs w:val="16"/>
          <w:lang w:val="en-US"/>
        </w:rPr>
        <w:t xml:space="preserve"> occurred as of 1993.</w:t>
      </w:r>
    </w:p>
  </w:footnote>
  <w:footnote w:id="23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the 19 Tradesmen v. Colombia</w:t>
      </w:r>
      <w:r w:rsidRPr="004B75F8">
        <w:rPr>
          <w:szCs w:val="16"/>
          <w:lang w:val="en-US"/>
        </w:rPr>
        <w:t xml:space="preserve">. </w:t>
      </w:r>
      <w:r w:rsidRPr="004B75F8">
        <w:rPr>
          <w:i/>
          <w:szCs w:val="16"/>
          <w:lang w:val="en-US"/>
        </w:rPr>
        <w:t>Merits, reparations and costs</w:t>
      </w:r>
      <w:r w:rsidRPr="004B75F8">
        <w:rPr>
          <w:szCs w:val="16"/>
          <w:lang w:val="en-US"/>
        </w:rPr>
        <w:t xml:space="preserve">, para. 173, and </w:t>
      </w:r>
      <w:r w:rsidRPr="004B75F8">
        <w:rPr>
          <w:i/>
          <w:szCs w:val="16"/>
          <w:lang w:val="en-US"/>
        </w:rPr>
        <w:t>Case of the La Rochela Massacre v. Colombia. Merits, reparations and costs</w:t>
      </w:r>
      <w:r w:rsidRPr="004B75F8">
        <w:rPr>
          <w:szCs w:val="16"/>
          <w:lang w:val="en-US"/>
        </w:rPr>
        <w:t>, para. 200.</w:t>
      </w:r>
    </w:p>
  </w:footnote>
  <w:footnote w:id="237">
    <w:p w:rsidR="008C5C78" w:rsidRPr="004B75F8" w:rsidRDefault="008C5C78" w:rsidP="00722D73">
      <w:pPr>
        <w:spacing w:after="100"/>
        <w:jc w:val="both"/>
        <w:rPr>
          <w:sz w:val="16"/>
          <w:szCs w:val="16"/>
          <w:lang w:val="en-US"/>
        </w:rPr>
      </w:pPr>
      <w:r w:rsidRPr="004B75F8">
        <w:rPr>
          <w:rStyle w:val="Refdenotaalpie"/>
          <w:rFonts w:eastAsia="Times"/>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 Case of Velásquez Rodríguez v. Honduras</w:t>
      </w:r>
      <w:r w:rsidRPr="004B75F8">
        <w:rPr>
          <w:sz w:val="16"/>
          <w:szCs w:val="16"/>
          <w:lang w:val="en-US"/>
        </w:rPr>
        <w:t xml:space="preserve">. </w:t>
      </w:r>
      <w:r w:rsidRPr="004B75F8">
        <w:rPr>
          <w:i/>
          <w:sz w:val="16"/>
          <w:szCs w:val="16"/>
          <w:lang w:val="en-US"/>
        </w:rPr>
        <w:t>Merits</w:t>
      </w:r>
      <w:r w:rsidRPr="004B75F8">
        <w:rPr>
          <w:sz w:val="16"/>
          <w:szCs w:val="16"/>
          <w:lang w:val="en-US"/>
        </w:rPr>
        <w:t xml:space="preserve">. Judgment of July 29, 1988. Series C No. 4, para. 177, and </w:t>
      </w:r>
      <w:r w:rsidRPr="004B75F8">
        <w:rPr>
          <w:rFonts w:cs="Verdana"/>
          <w:bCs/>
          <w:i/>
          <w:sz w:val="16"/>
          <w:szCs w:val="16"/>
          <w:lang w:val="en-US" w:eastAsia="es-ES"/>
        </w:rPr>
        <w:t xml:space="preserve">Case of the Kichwa Indigenous </w:t>
      </w:r>
      <w:r w:rsidR="00334C3C" w:rsidRPr="004B75F8">
        <w:rPr>
          <w:rFonts w:cs="Verdana"/>
          <w:bCs/>
          <w:i/>
          <w:sz w:val="16"/>
          <w:szCs w:val="16"/>
          <w:lang w:val="en-US" w:eastAsia="es-ES"/>
        </w:rPr>
        <w:t>People</w:t>
      </w:r>
      <w:r w:rsidRPr="004B75F8">
        <w:rPr>
          <w:rFonts w:cs="Verdana"/>
          <w:bCs/>
          <w:i/>
          <w:sz w:val="16"/>
          <w:szCs w:val="16"/>
          <w:lang w:val="en-US" w:eastAsia="es-ES"/>
        </w:rPr>
        <w:t xml:space="preserve"> of Sarayaku v. Ecuador. </w:t>
      </w:r>
      <w:r w:rsidRPr="004B75F8">
        <w:rPr>
          <w:rFonts w:cs="Verdana"/>
          <w:i/>
          <w:sz w:val="16"/>
          <w:szCs w:val="16"/>
          <w:lang w:val="en-US" w:eastAsia="es-ES"/>
        </w:rPr>
        <w:t>Merits and reparations</w:t>
      </w:r>
      <w:r w:rsidRPr="004B75F8">
        <w:rPr>
          <w:rFonts w:cs="Verdana"/>
          <w:sz w:val="16"/>
          <w:szCs w:val="16"/>
          <w:lang w:val="en-US" w:eastAsia="es-ES"/>
        </w:rPr>
        <w:t>. Judgment of June 27, 2012. Series C No. 245, para. 265.</w:t>
      </w:r>
    </w:p>
  </w:footnote>
  <w:footnote w:id="238">
    <w:p w:rsidR="008C5C78" w:rsidRPr="004B75F8" w:rsidRDefault="008C5C78" w:rsidP="00722D73">
      <w:pPr>
        <w:spacing w:after="100"/>
        <w:jc w:val="both"/>
        <w:rPr>
          <w:sz w:val="16"/>
          <w:szCs w:val="16"/>
          <w:lang w:val="en-US"/>
        </w:rPr>
      </w:pPr>
      <w:r w:rsidRPr="004B75F8">
        <w:rPr>
          <w:rStyle w:val="Refdenotaalpie"/>
          <w:rFonts w:eastAsia="Times"/>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 Case of</w:t>
      </w:r>
      <w:r w:rsidRPr="004B75F8">
        <w:rPr>
          <w:sz w:val="16"/>
          <w:szCs w:val="16"/>
          <w:lang w:val="en-US"/>
        </w:rPr>
        <w:t xml:space="preserve"> </w:t>
      </w:r>
      <w:r w:rsidRPr="004B75F8">
        <w:rPr>
          <w:i/>
          <w:sz w:val="16"/>
          <w:szCs w:val="16"/>
          <w:lang w:val="en-US"/>
        </w:rPr>
        <w:t>the Ituango Massacres v. Colombia. Preliminary objection, merits, reparations and costs</w:t>
      </w:r>
      <w:r w:rsidRPr="004B75F8">
        <w:rPr>
          <w:sz w:val="16"/>
          <w:szCs w:val="16"/>
          <w:lang w:val="en-US"/>
        </w:rPr>
        <w:t xml:space="preserve">, para. 319, and </w:t>
      </w:r>
      <w:r w:rsidRPr="004B75F8">
        <w:rPr>
          <w:bCs/>
          <w:i/>
          <w:color w:val="000000"/>
          <w:sz w:val="16"/>
          <w:szCs w:val="16"/>
          <w:lang w:val="en-US"/>
        </w:rPr>
        <w:t>Case of González Medina and family members  v. Dominican Republic</w:t>
      </w:r>
      <w:r w:rsidRPr="004B75F8">
        <w:rPr>
          <w:bCs/>
          <w:color w:val="000000"/>
          <w:sz w:val="16"/>
          <w:szCs w:val="16"/>
          <w:lang w:val="en-US"/>
        </w:rPr>
        <w:t xml:space="preserve">. </w:t>
      </w:r>
      <w:r w:rsidRPr="004B75F8">
        <w:rPr>
          <w:i/>
          <w:color w:val="000000"/>
          <w:sz w:val="16"/>
          <w:szCs w:val="16"/>
          <w:lang w:val="en-US"/>
        </w:rPr>
        <w:t>Preliminary objections, merits, reparations and costs</w:t>
      </w:r>
      <w:r w:rsidRPr="004B75F8">
        <w:rPr>
          <w:color w:val="000000"/>
          <w:sz w:val="16"/>
          <w:szCs w:val="16"/>
          <w:lang w:val="en-US"/>
        </w:rPr>
        <w:t>, para. 203.</w:t>
      </w:r>
    </w:p>
  </w:footnote>
  <w:footnote w:id="239">
    <w:p w:rsidR="008C5C78" w:rsidRPr="004B75F8" w:rsidRDefault="008C5C78" w:rsidP="00722D73">
      <w:pPr>
        <w:spacing w:after="100"/>
        <w:jc w:val="both"/>
        <w:rPr>
          <w:color w:val="000000"/>
          <w:sz w:val="16"/>
          <w:szCs w:val="16"/>
          <w:lang w:val="en-US"/>
        </w:rPr>
      </w:pPr>
      <w:r w:rsidRPr="004B75F8">
        <w:rPr>
          <w:rStyle w:val="Refdenotaalpie"/>
          <w:rFonts w:eastAsia="Times"/>
          <w:sz w:val="16"/>
          <w:szCs w:val="16"/>
          <w:lang w:val="en-US"/>
        </w:rPr>
        <w:footnoteRef/>
      </w:r>
      <w:r w:rsidRPr="004B75F8">
        <w:rPr>
          <w:sz w:val="16"/>
          <w:szCs w:val="16"/>
          <w:lang w:val="en-US"/>
        </w:rPr>
        <w:t xml:space="preserve"> </w:t>
      </w:r>
      <w:r w:rsidRPr="004B75F8">
        <w:rPr>
          <w:sz w:val="16"/>
          <w:szCs w:val="16"/>
          <w:lang w:val="en-US"/>
        </w:rPr>
        <w:tab/>
      </w:r>
      <w:r w:rsidRPr="004B75F8">
        <w:rPr>
          <w:i/>
          <w:sz w:val="16"/>
          <w:szCs w:val="16"/>
          <w:lang w:val="en-US"/>
        </w:rPr>
        <w:t>Cf. Case of</w:t>
      </w:r>
      <w:r w:rsidRPr="004B75F8">
        <w:rPr>
          <w:sz w:val="16"/>
          <w:szCs w:val="16"/>
          <w:lang w:val="en-US"/>
        </w:rPr>
        <w:t xml:space="preserve"> </w:t>
      </w:r>
      <w:r w:rsidRPr="004B75F8">
        <w:rPr>
          <w:i/>
          <w:sz w:val="16"/>
          <w:szCs w:val="16"/>
          <w:lang w:val="en-US"/>
        </w:rPr>
        <w:t>the Pueblo Bello Massacre v. Colombia. Merits, reparations and costs</w:t>
      </w:r>
      <w:r w:rsidRPr="004B75F8">
        <w:rPr>
          <w:sz w:val="16"/>
          <w:szCs w:val="16"/>
          <w:lang w:val="en-US"/>
        </w:rPr>
        <w:t xml:space="preserve">, para. 143, and </w:t>
      </w:r>
      <w:r w:rsidRPr="004B75F8">
        <w:rPr>
          <w:bCs/>
          <w:i/>
          <w:color w:val="000000"/>
          <w:sz w:val="16"/>
          <w:szCs w:val="16"/>
          <w:lang w:val="en-US"/>
        </w:rPr>
        <w:t>Case of González Medina and family members  v. Dominican Republic</w:t>
      </w:r>
      <w:r w:rsidRPr="004B75F8">
        <w:rPr>
          <w:bCs/>
          <w:color w:val="000000"/>
          <w:sz w:val="16"/>
          <w:szCs w:val="16"/>
          <w:lang w:val="en-US"/>
        </w:rPr>
        <w:t xml:space="preserve">. </w:t>
      </w:r>
      <w:r w:rsidRPr="004B75F8">
        <w:rPr>
          <w:i/>
          <w:color w:val="000000"/>
          <w:sz w:val="16"/>
          <w:szCs w:val="16"/>
          <w:lang w:val="en-US"/>
        </w:rPr>
        <w:t>Preliminary objections, merits, reparations and costs</w:t>
      </w:r>
      <w:r w:rsidRPr="004B75F8">
        <w:rPr>
          <w:color w:val="000000"/>
          <w:sz w:val="16"/>
          <w:szCs w:val="16"/>
          <w:lang w:val="en-US"/>
        </w:rPr>
        <w:t>, para. 204.</w:t>
      </w:r>
    </w:p>
  </w:footnote>
  <w:footnote w:id="24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color w:val="000000"/>
          <w:szCs w:val="16"/>
          <w:lang w:val="en-US"/>
        </w:rPr>
        <w:t xml:space="preserve">Cf. </w:t>
      </w:r>
      <w:r w:rsidRPr="004B75F8">
        <w:rPr>
          <w:i/>
          <w:szCs w:val="16"/>
          <w:lang w:val="en-US"/>
        </w:rPr>
        <w:t>Case of the “Mapiripán Massacre” v. Colombia. Merits, reparations and costs</w:t>
      </w:r>
      <w:r w:rsidRPr="004B75F8">
        <w:rPr>
          <w:szCs w:val="16"/>
          <w:lang w:val="en-US"/>
        </w:rPr>
        <w:t xml:space="preserve">, para. 215, and </w:t>
      </w:r>
      <w:r w:rsidRPr="004B75F8">
        <w:rPr>
          <w:i/>
          <w:szCs w:val="16"/>
          <w:lang w:val="en-US"/>
        </w:rPr>
        <w:t>Case of</w:t>
      </w:r>
      <w:r w:rsidRPr="004B75F8">
        <w:rPr>
          <w:szCs w:val="16"/>
          <w:lang w:val="en-US"/>
        </w:rPr>
        <w:t xml:space="preserve"> </w:t>
      </w:r>
      <w:r w:rsidRPr="004B75F8">
        <w:rPr>
          <w:i/>
          <w:szCs w:val="16"/>
          <w:lang w:val="en-US"/>
        </w:rPr>
        <w:t>Manuel Cepeda Vargas v. Colombia. Preliminary objections, merits, reparations and costs</w:t>
      </w:r>
      <w:r w:rsidRPr="004B75F8">
        <w:rPr>
          <w:szCs w:val="16"/>
          <w:lang w:val="en-US"/>
        </w:rPr>
        <w:t xml:space="preserve">, para. 133. </w:t>
      </w:r>
    </w:p>
  </w:footnote>
  <w:footnote w:id="241">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first part of the decision mentions Mr. Vélez Restrepo merely to indicate that he was one of the injured attended at the María Auxiliadora Hospital in Florencia and that he was the only one of the injured who went to the Institute of Legal Medicine and Forensic Sciences for an evaluation. </w:t>
      </w:r>
    </w:p>
  </w:footnote>
  <w:footnote w:id="24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Cf. Case of Genie Lacayo v. Nicaragua</w:t>
      </w:r>
      <w:r w:rsidRPr="004B75F8">
        <w:rPr>
          <w:szCs w:val="16"/>
          <w:lang w:val="en-US"/>
        </w:rPr>
        <w:t xml:space="preserve">. Merits, reparations and costs, para. 77, and </w:t>
      </w:r>
      <w:r w:rsidRPr="004B75F8">
        <w:rPr>
          <w:rFonts w:cs="Verdana"/>
          <w:bCs/>
          <w:i/>
          <w:szCs w:val="16"/>
          <w:lang w:val="en-US"/>
        </w:rPr>
        <w:t>Case of Díaz Peña v. Venezuela</w:t>
      </w:r>
      <w:r w:rsidRPr="004B75F8">
        <w:rPr>
          <w:rFonts w:cs="Verdana"/>
          <w:bCs/>
          <w:szCs w:val="16"/>
          <w:lang w:val="en-US"/>
        </w:rPr>
        <w:t xml:space="preserve">. </w:t>
      </w:r>
      <w:r w:rsidRPr="004B75F8">
        <w:rPr>
          <w:rFonts w:cs="Verdana"/>
          <w:szCs w:val="16"/>
          <w:lang w:val="en-US"/>
        </w:rPr>
        <w:t>Preliminary objection, merits, reparations and costs, para. 49.</w:t>
      </w:r>
    </w:p>
  </w:footnote>
  <w:footnote w:id="243">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Article 63(1) of the Convention establishes that “[i]f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 or situation that constituted the breach of such right or freedom be remedied and that fair compensation be paid to the injured party.”</w:t>
      </w:r>
    </w:p>
  </w:footnote>
  <w:footnote w:id="244">
    <w:p w:rsidR="008C5C78" w:rsidRPr="004B75F8" w:rsidRDefault="008C5C78" w:rsidP="00722D73">
      <w:pPr>
        <w:tabs>
          <w:tab w:val="left" w:pos="720"/>
        </w:tabs>
        <w:spacing w:after="100"/>
        <w:jc w:val="both"/>
        <w:rPr>
          <w:sz w:val="16"/>
          <w:szCs w:val="16"/>
          <w:lang w:val="en-US"/>
        </w:rPr>
      </w:pPr>
      <w:r w:rsidRPr="004B75F8">
        <w:rPr>
          <w:rStyle w:val="Refdenotaalpie"/>
          <w:sz w:val="16"/>
          <w:szCs w:val="16"/>
          <w:lang w:val="en-US"/>
        </w:rPr>
        <w:footnoteRef/>
      </w:r>
      <w:r w:rsidRPr="009C0529">
        <w:rPr>
          <w:sz w:val="16"/>
          <w:szCs w:val="16"/>
          <w:lang w:val="es-ES"/>
        </w:rPr>
        <w:tab/>
      </w:r>
      <w:r w:rsidRPr="009C0529">
        <w:rPr>
          <w:rStyle w:val="TextonotapieCar"/>
          <w:i/>
          <w:szCs w:val="16"/>
          <w:lang w:val="es-ES"/>
        </w:rPr>
        <w:t>Cf.</w:t>
      </w:r>
      <w:r w:rsidRPr="009C0529">
        <w:rPr>
          <w:rStyle w:val="TextonotapieCar"/>
          <w:szCs w:val="16"/>
          <w:lang w:val="es-ES"/>
        </w:rPr>
        <w:t xml:space="preserve"> </w:t>
      </w:r>
      <w:r w:rsidRPr="009C0529">
        <w:rPr>
          <w:rStyle w:val="TextonotapieCar"/>
          <w:i/>
          <w:szCs w:val="16"/>
          <w:lang w:val="es-ES"/>
        </w:rPr>
        <w:t>Case of</w:t>
      </w:r>
      <w:r w:rsidRPr="009C0529">
        <w:rPr>
          <w:rStyle w:val="TextonotapieCar"/>
          <w:szCs w:val="16"/>
          <w:lang w:val="es-ES"/>
        </w:rPr>
        <w:t xml:space="preserve"> </w:t>
      </w:r>
      <w:r w:rsidRPr="009C0529">
        <w:rPr>
          <w:rStyle w:val="TextonotapieCar"/>
          <w:i/>
          <w:szCs w:val="16"/>
          <w:lang w:val="es-ES"/>
        </w:rPr>
        <w:t xml:space="preserve">Velásquez Rodríguez v. Honduras. </w:t>
      </w:r>
      <w:r w:rsidRPr="004B75F8">
        <w:rPr>
          <w:rStyle w:val="TextonotapieCar"/>
          <w:i/>
          <w:szCs w:val="16"/>
          <w:lang w:val="en-US"/>
        </w:rPr>
        <w:t>Reparations and costs</w:t>
      </w:r>
      <w:r w:rsidRPr="004B75F8">
        <w:rPr>
          <w:rStyle w:val="TextonotapieCar"/>
          <w:szCs w:val="16"/>
          <w:lang w:val="en-US"/>
        </w:rPr>
        <w:t xml:space="preserve">. Judgment of July 21, 1989. Series C No. 7, para. 25, and </w:t>
      </w:r>
      <w:r w:rsidRPr="004B75F8">
        <w:rPr>
          <w:bCs/>
          <w:i/>
          <w:sz w:val="16"/>
          <w:szCs w:val="16"/>
          <w:lang w:val="en-US"/>
        </w:rPr>
        <w:t xml:space="preserve">Case of the Kichwa Indigenous </w:t>
      </w:r>
      <w:r w:rsidR="00334C3C" w:rsidRPr="004B75F8">
        <w:rPr>
          <w:bCs/>
          <w:i/>
          <w:sz w:val="16"/>
          <w:szCs w:val="16"/>
          <w:lang w:val="en-US"/>
        </w:rPr>
        <w:t>People</w:t>
      </w:r>
      <w:r w:rsidRPr="004B75F8">
        <w:rPr>
          <w:bCs/>
          <w:i/>
          <w:sz w:val="16"/>
          <w:szCs w:val="16"/>
          <w:lang w:val="en-US"/>
        </w:rPr>
        <w:t xml:space="preserve"> of Sarayaku v. Ecuador.</w:t>
      </w:r>
      <w:r w:rsidRPr="004B75F8">
        <w:rPr>
          <w:b/>
          <w:bCs/>
          <w:i/>
          <w:sz w:val="16"/>
          <w:szCs w:val="16"/>
          <w:lang w:val="en-US"/>
        </w:rPr>
        <w:t xml:space="preserve"> </w:t>
      </w:r>
      <w:r w:rsidRPr="004B75F8">
        <w:rPr>
          <w:i/>
          <w:sz w:val="16"/>
          <w:szCs w:val="16"/>
          <w:lang w:val="en-US"/>
        </w:rPr>
        <w:t>Merits and reparations</w:t>
      </w:r>
      <w:r w:rsidRPr="004B75F8">
        <w:rPr>
          <w:sz w:val="16"/>
          <w:szCs w:val="16"/>
          <w:lang w:val="en-US"/>
        </w:rPr>
        <w:t>, para. 279.</w:t>
      </w:r>
    </w:p>
  </w:footnote>
  <w:footnote w:id="24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Cf.</w:t>
      </w:r>
      <w:r w:rsidRPr="004B75F8">
        <w:rPr>
          <w:b/>
          <w:bCs/>
          <w:color w:val="000000"/>
          <w:szCs w:val="16"/>
          <w:lang w:val="en-US"/>
        </w:rPr>
        <w:t xml:space="preserve"> </w:t>
      </w:r>
      <w:r w:rsidRPr="004B75F8">
        <w:rPr>
          <w:bCs/>
          <w:i/>
          <w:color w:val="000000"/>
          <w:szCs w:val="16"/>
          <w:lang w:val="en-US"/>
        </w:rPr>
        <w:t xml:space="preserve">Case of Garrido and Baigorria v. Argentina. </w:t>
      </w:r>
      <w:r w:rsidRPr="004B75F8">
        <w:rPr>
          <w:i/>
          <w:color w:val="000000"/>
          <w:szCs w:val="16"/>
          <w:lang w:val="en-US"/>
        </w:rPr>
        <w:t xml:space="preserve">Reparations and costs. </w:t>
      </w:r>
      <w:r w:rsidRPr="004B75F8">
        <w:rPr>
          <w:color w:val="000000"/>
          <w:szCs w:val="16"/>
          <w:lang w:val="en-US"/>
        </w:rPr>
        <w:t>Judgment of August 27, 1998. Series C No. 39</w:t>
      </w:r>
      <w:r w:rsidRPr="004B75F8">
        <w:rPr>
          <w:szCs w:val="16"/>
          <w:lang w:val="en-US"/>
        </w:rPr>
        <w:t xml:space="preserve">, para. 40, and </w:t>
      </w:r>
      <w:r w:rsidRPr="004B75F8">
        <w:rPr>
          <w:bCs/>
          <w:i/>
          <w:szCs w:val="16"/>
          <w:lang w:val="en-US"/>
        </w:rPr>
        <w:t xml:space="preserve">Case of the Kichwa Indigenous </w:t>
      </w:r>
      <w:r w:rsidR="00334C3C" w:rsidRPr="004B75F8">
        <w:rPr>
          <w:bCs/>
          <w:i/>
          <w:szCs w:val="16"/>
          <w:lang w:val="en-US"/>
        </w:rPr>
        <w:t>People</w:t>
      </w:r>
      <w:r w:rsidRPr="004B75F8">
        <w:rPr>
          <w:bCs/>
          <w:i/>
          <w:szCs w:val="16"/>
          <w:lang w:val="en-US"/>
        </w:rPr>
        <w:t xml:space="preserve"> of Sarayaku v. Ecuador.</w:t>
      </w:r>
      <w:r w:rsidRPr="004B75F8">
        <w:rPr>
          <w:b/>
          <w:bCs/>
          <w:i/>
          <w:szCs w:val="16"/>
          <w:lang w:val="en-US"/>
        </w:rPr>
        <w:t xml:space="preserve"> </w:t>
      </w:r>
      <w:r w:rsidRPr="004B75F8">
        <w:rPr>
          <w:i/>
          <w:szCs w:val="16"/>
          <w:lang w:val="en-US"/>
        </w:rPr>
        <w:t>Merits and reparations.</w:t>
      </w:r>
      <w:r w:rsidRPr="004B75F8">
        <w:rPr>
          <w:szCs w:val="16"/>
          <w:lang w:val="en-US"/>
        </w:rPr>
        <w:t xml:space="preserve"> Judgment of June 27, 2012. Series C No. 245, para. 279.</w:t>
      </w:r>
    </w:p>
  </w:footnote>
  <w:footnote w:id="246">
    <w:p w:rsidR="008C5C78" w:rsidRPr="004B75F8" w:rsidRDefault="008C5C78" w:rsidP="00722D73">
      <w:pPr>
        <w:spacing w:after="100"/>
        <w:jc w:val="both"/>
        <w:rPr>
          <w:sz w:val="16"/>
          <w:szCs w:val="16"/>
          <w:lang w:val="en-US"/>
        </w:rPr>
      </w:pPr>
      <w:r w:rsidRPr="004B75F8">
        <w:rPr>
          <w:rStyle w:val="Refdenotaalpie"/>
          <w:rFonts w:eastAsia="MS Mincho"/>
          <w:sz w:val="16"/>
          <w:szCs w:val="16"/>
          <w:lang w:val="en-US"/>
        </w:rPr>
        <w:footnoteRef/>
      </w:r>
      <w:r w:rsidRPr="004B75F8">
        <w:rPr>
          <w:sz w:val="16"/>
          <w:szCs w:val="16"/>
          <w:lang w:val="en-US"/>
        </w:rPr>
        <w:t xml:space="preserve"> </w:t>
      </w:r>
      <w:r w:rsidRPr="004B75F8">
        <w:rPr>
          <w:sz w:val="16"/>
          <w:szCs w:val="16"/>
          <w:lang w:val="en-US"/>
        </w:rPr>
        <w:tab/>
      </w:r>
      <w:r w:rsidRPr="004B75F8">
        <w:rPr>
          <w:rStyle w:val="TextonotapieCar"/>
          <w:i/>
          <w:szCs w:val="16"/>
          <w:lang w:val="en-US"/>
        </w:rPr>
        <w:t>Cf.</w:t>
      </w:r>
      <w:r w:rsidRPr="004B75F8">
        <w:rPr>
          <w:rStyle w:val="TextonotapieCar"/>
          <w:szCs w:val="16"/>
          <w:lang w:val="en-US"/>
        </w:rPr>
        <w:t xml:space="preserve"> </w:t>
      </w:r>
      <w:r w:rsidRPr="004B75F8">
        <w:rPr>
          <w:rStyle w:val="TextonotapieCar"/>
          <w:i/>
          <w:szCs w:val="16"/>
          <w:lang w:val="en-US"/>
        </w:rPr>
        <w:t>Case of</w:t>
      </w:r>
      <w:r w:rsidRPr="004B75F8">
        <w:rPr>
          <w:rStyle w:val="TextonotapieCar"/>
          <w:szCs w:val="16"/>
          <w:lang w:val="en-US"/>
        </w:rPr>
        <w:t xml:space="preserve"> </w:t>
      </w:r>
      <w:r w:rsidRPr="004B75F8">
        <w:rPr>
          <w:rStyle w:val="TextonotapieCar"/>
          <w:i/>
          <w:szCs w:val="16"/>
          <w:lang w:val="en-US"/>
        </w:rPr>
        <w:t>Velásquez Rodríguez v. Honduras. Reparations and costs</w:t>
      </w:r>
      <w:r w:rsidRPr="004B75F8">
        <w:rPr>
          <w:rStyle w:val="TextonotapieCar"/>
          <w:szCs w:val="16"/>
          <w:lang w:val="en-US"/>
        </w:rPr>
        <w:t xml:space="preserve">, para. 26, and </w:t>
      </w:r>
      <w:r w:rsidRPr="004B75F8">
        <w:rPr>
          <w:bCs/>
          <w:i/>
          <w:sz w:val="16"/>
          <w:szCs w:val="16"/>
          <w:lang w:val="en-US"/>
        </w:rPr>
        <w:t xml:space="preserve">Case of the Kichwa Indigenous </w:t>
      </w:r>
      <w:r w:rsidR="00334C3C" w:rsidRPr="004B75F8">
        <w:rPr>
          <w:bCs/>
          <w:i/>
          <w:sz w:val="16"/>
          <w:szCs w:val="16"/>
          <w:lang w:val="en-US"/>
        </w:rPr>
        <w:t>People</w:t>
      </w:r>
      <w:r w:rsidRPr="004B75F8">
        <w:rPr>
          <w:bCs/>
          <w:i/>
          <w:sz w:val="16"/>
          <w:szCs w:val="16"/>
          <w:lang w:val="en-US"/>
        </w:rPr>
        <w:t xml:space="preserve"> of Sarayaku v. Ecuador.</w:t>
      </w:r>
      <w:r w:rsidRPr="004B75F8">
        <w:rPr>
          <w:b/>
          <w:bCs/>
          <w:i/>
          <w:sz w:val="16"/>
          <w:szCs w:val="16"/>
          <w:lang w:val="en-US"/>
        </w:rPr>
        <w:t xml:space="preserve"> </w:t>
      </w:r>
      <w:r w:rsidRPr="004B75F8">
        <w:rPr>
          <w:i/>
          <w:sz w:val="16"/>
          <w:szCs w:val="16"/>
          <w:lang w:val="en-US"/>
        </w:rPr>
        <w:t>Merits and reparations</w:t>
      </w:r>
      <w:r w:rsidRPr="004B75F8">
        <w:rPr>
          <w:sz w:val="16"/>
          <w:szCs w:val="16"/>
          <w:lang w:val="en-US"/>
        </w:rPr>
        <w:t>, para. 280.</w:t>
      </w:r>
    </w:p>
  </w:footnote>
  <w:footnote w:id="247">
    <w:p w:rsidR="008C5C78" w:rsidRPr="004B75F8" w:rsidRDefault="008C5C78" w:rsidP="00722D73">
      <w:pPr>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rStyle w:val="TextonotapieCar"/>
          <w:i/>
          <w:szCs w:val="16"/>
          <w:lang w:val="en-US"/>
        </w:rPr>
        <w:t>Cf.</w:t>
      </w:r>
      <w:r w:rsidRPr="004B75F8">
        <w:rPr>
          <w:rStyle w:val="TextonotapieCar"/>
          <w:szCs w:val="16"/>
          <w:lang w:val="en-US"/>
        </w:rPr>
        <w:t xml:space="preserve"> </w:t>
      </w:r>
      <w:r w:rsidRPr="004B75F8">
        <w:rPr>
          <w:rStyle w:val="TextonotapieCar"/>
          <w:i/>
          <w:szCs w:val="16"/>
          <w:lang w:val="en-US"/>
        </w:rPr>
        <w:t>Case of</w:t>
      </w:r>
      <w:r w:rsidRPr="004B75F8">
        <w:rPr>
          <w:rStyle w:val="TextonotapieCar"/>
          <w:szCs w:val="16"/>
          <w:lang w:val="en-US"/>
        </w:rPr>
        <w:t xml:space="preserve"> </w:t>
      </w:r>
      <w:r w:rsidRPr="004B75F8">
        <w:rPr>
          <w:rStyle w:val="TextonotapieCar"/>
          <w:i/>
          <w:szCs w:val="16"/>
          <w:lang w:val="en-US"/>
        </w:rPr>
        <w:t>Cantoral Benavides v. Peru. Reparations and costs.</w:t>
      </w:r>
      <w:r w:rsidRPr="004B75F8">
        <w:rPr>
          <w:rStyle w:val="TextonotapieCar"/>
          <w:szCs w:val="16"/>
          <w:lang w:val="en-US"/>
        </w:rPr>
        <w:t xml:space="preserve"> Judgment of December 3, 2001. Series C No. 88, paras. 79 to 81,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280.</w:t>
      </w:r>
    </w:p>
  </w:footnote>
  <w:footnote w:id="248">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rFonts w:cs="Verdana"/>
          <w:bCs/>
          <w:i/>
          <w:sz w:val="16"/>
          <w:szCs w:val="16"/>
          <w:lang w:val="en-US"/>
        </w:rPr>
        <w:tab/>
      </w:r>
      <w:r w:rsidRPr="004B75F8">
        <w:rPr>
          <w:rStyle w:val="TextonotapieCar"/>
          <w:i/>
          <w:szCs w:val="16"/>
          <w:lang w:val="en-US"/>
        </w:rPr>
        <w:t>Cf.</w:t>
      </w:r>
      <w:r w:rsidRPr="004B75F8">
        <w:rPr>
          <w:rStyle w:val="TextonotapieCar"/>
          <w:szCs w:val="16"/>
          <w:lang w:val="en-US"/>
        </w:rPr>
        <w:t xml:space="preserve"> </w:t>
      </w:r>
      <w:r w:rsidRPr="004B75F8">
        <w:rPr>
          <w:rStyle w:val="TextonotapieCar"/>
          <w:i/>
          <w:szCs w:val="16"/>
          <w:lang w:val="en-US"/>
        </w:rPr>
        <w:t>Case of Ticona Estrada et al. v. Bolivia. Merits, reparations and costs.</w:t>
      </w:r>
      <w:r w:rsidRPr="004B75F8">
        <w:rPr>
          <w:rStyle w:val="TextonotapieCar"/>
          <w:szCs w:val="16"/>
          <w:lang w:val="en-US"/>
        </w:rPr>
        <w:t xml:space="preserve"> Judgment of November 27, 2008. Series C No. 191, para. 110,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281.</w:t>
      </w:r>
    </w:p>
  </w:footnote>
  <w:footnote w:id="24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Cf.</w:t>
      </w:r>
      <w:r w:rsidRPr="004B75F8">
        <w:rPr>
          <w:rStyle w:val="TextonotapieCar"/>
          <w:szCs w:val="16"/>
          <w:lang w:val="en-US"/>
        </w:rPr>
        <w:t xml:space="preserve"> </w:t>
      </w:r>
      <w:r w:rsidRPr="004B75F8">
        <w:rPr>
          <w:rStyle w:val="TextonotapieCar"/>
          <w:i/>
          <w:szCs w:val="16"/>
          <w:lang w:val="en-US"/>
        </w:rPr>
        <w:t>Case of</w:t>
      </w:r>
      <w:r w:rsidRPr="004B75F8">
        <w:rPr>
          <w:rStyle w:val="TextonotapieCar"/>
          <w:szCs w:val="16"/>
          <w:lang w:val="en-US"/>
        </w:rPr>
        <w:t xml:space="preserve"> </w:t>
      </w:r>
      <w:r w:rsidRPr="004B75F8">
        <w:rPr>
          <w:rStyle w:val="TextonotapieCar"/>
          <w:i/>
          <w:szCs w:val="16"/>
          <w:lang w:val="en-US"/>
        </w:rPr>
        <w:t>Velásquez Rodríguez v. Honduras. Reparations and costs</w:t>
      </w:r>
      <w:r w:rsidRPr="004B75F8">
        <w:rPr>
          <w:rStyle w:val="TextonotapieCar"/>
          <w:szCs w:val="16"/>
          <w:lang w:val="en-US"/>
        </w:rPr>
        <w:t xml:space="preserve">, paras. 25 and 26,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283.</w:t>
      </w:r>
    </w:p>
  </w:footnote>
  <w:footnote w:id="250">
    <w:p w:rsidR="008C5C78" w:rsidRPr="004B75F8" w:rsidRDefault="008C5C78" w:rsidP="00722D73">
      <w:pPr>
        <w:pStyle w:val="Footnotes"/>
        <w:spacing w:after="100"/>
        <w:rPr>
          <w:lang w:val="en-US"/>
        </w:rPr>
      </w:pPr>
      <w:r w:rsidRPr="004B75F8">
        <w:rPr>
          <w:rStyle w:val="Refdenotaalpie"/>
          <w:lang w:val="en-US"/>
        </w:rPr>
        <w:footnoteRef/>
      </w:r>
      <w:r w:rsidRPr="004B75F8">
        <w:rPr>
          <w:lang w:val="en-US"/>
        </w:rPr>
        <w:t xml:space="preserve"> </w:t>
      </w:r>
      <w:r w:rsidRPr="004B75F8">
        <w:rPr>
          <w:lang w:val="en-US"/>
        </w:rPr>
        <w:tab/>
      </w:r>
      <w:r w:rsidRPr="004B75F8">
        <w:rPr>
          <w:rStyle w:val="TextonotapieCar"/>
          <w:i/>
          <w:szCs w:val="16"/>
          <w:lang w:val="en-US"/>
        </w:rPr>
        <w:t>Cf. Case of the “Street Children” (Villagrán Morales et al.) v. Guatemala. Reparations and costs</w:t>
      </w:r>
      <w:r w:rsidRPr="004B75F8">
        <w:rPr>
          <w:rStyle w:val="TextonotapieCar"/>
          <w:szCs w:val="16"/>
          <w:lang w:val="en-US"/>
        </w:rPr>
        <w:t xml:space="preserve">. Judgment of May 26, 2001. Series C No. 77, para. 84,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285.</w:t>
      </w:r>
    </w:p>
  </w:footnote>
  <w:footnote w:id="251">
    <w:p w:rsidR="008C5C78" w:rsidRPr="004B75F8" w:rsidRDefault="008C5C78" w:rsidP="00722D73">
      <w:pPr>
        <w:pStyle w:val="Footnotes"/>
        <w:spacing w:after="100"/>
        <w:rPr>
          <w:lang w:val="en-US"/>
        </w:rPr>
      </w:pPr>
      <w:r w:rsidRPr="004B75F8">
        <w:rPr>
          <w:rStyle w:val="Refdenotaalpie"/>
          <w:lang w:val="en-US"/>
        </w:rPr>
        <w:footnoteRef/>
      </w:r>
      <w:r w:rsidRPr="004B75F8">
        <w:rPr>
          <w:lang w:val="en-US"/>
        </w:rPr>
        <w:t xml:space="preserve"> </w:t>
      </w:r>
      <w:r w:rsidRPr="004B75F8">
        <w:rPr>
          <w:lang w:val="en-US"/>
        </w:rPr>
        <w:tab/>
      </w:r>
      <w:r w:rsidRPr="004B75F8">
        <w:rPr>
          <w:rStyle w:val="TextonotapieCar"/>
          <w:i/>
          <w:szCs w:val="16"/>
          <w:lang w:val="en-US"/>
        </w:rPr>
        <w:t>Cf.</w:t>
      </w:r>
      <w:r w:rsidRPr="004B75F8">
        <w:rPr>
          <w:i/>
          <w:lang w:val="en-US"/>
        </w:rPr>
        <w:t xml:space="preserve"> Case of Neira Alegría et al. v. Peru. Reparations and costs.</w:t>
      </w:r>
      <w:r w:rsidRPr="004B75F8">
        <w:rPr>
          <w:lang w:val="en-US"/>
        </w:rPr>
        <w:t xml:space="preserve"> Judgment of September 19, 1996. Series C No. 29, para. 56</w:t>
      </w:r>
      <w:r w:rsidRPr="004B75F8">
        <w:rPr>
          <w:rStyle w:val="TextonotapieCar"/>
          <w:szCs w:val="16"/>
          <w:lang w:val="en-US"/>
        </w:rPr>
        <w:t xml:space="preserve">,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285.</w:t>
      </w:r>
    </w:p>
  </w:footnote>
  <w:footnote w:id="252">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 xml:space="preserve">Cf. </w:t>
      </w:r>
      <w:r w:rsidRPr="004B75F8">
        <w:rPr>
          <w:bCs/>
          <w:i/>
          <w:szCs w:val="16"/>
          <w:lang w:val="en-US"/>
        </w:rPr>
        <w:t xml:space="preserve">Case of the Moiwana Community v. Suriname. </w:t>
      </w:r>
      <w:r w:rsidRPr="004B75F8">
        <w:rPr>
          <w:i/>
          <w:szCs w:val="16"/>
          <w:lang w:val="en-US"/>
        </w:rPr>
        <w:t>Preliminary objections, merits, reparations and costs</w:t>
      </w:r>
      <w:r w:rsidRPr="004B75F8">
        <w:rPr>
          <w:szCs w:val="16"/>
          <w:lang w:val="en-US"/>
        </w:rPr>
        <w:t xml:space="preserve">, para. 120, and </w:t>
      </w:r>
      <w:r w:rsidRPr="004B75F8">
        <w:rPr>
          <w:bCs/>
          <w:i/>
          <w:szCs w:val="16"/>
          <w:lang w:val="en-US"/>
        </w:rPr>
        <w:t xml:space="preserve">Case of Chitay Nech et al. v. Guatemala. </w:t>
      </w:r>
      <w:r w:rsidRPr="004B75F8">
        <w:rPr>
          <w:i/>
          <w:szCs w:val="16"/>
          <w:lang w:val="en-US"/>
        </w:rPr>
        <w:t>Preliminary objections, merits, reparations and costs.</w:t>
      </w:r>
      <w:r w:rsidRPr="004B75F8">
        <w:rPr>
          <w:szCs w:val="16"/>
          <w:lang w:val="en-US"/>
        </w:rPr>
        <w:t xml:space="preserve"> Judgment of May 25, 2010. Series C No. 212, para. 150.</w:t>
      </w:r>
    </w:p>
  </w:footnote>
  <w:footnote w:id="25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 xml:space="preserve">Cf. </w:t>
      </w:r>
      <w:r w:rsidRPr="004B75F8">
        <w:rPr>
          <w:bCs/>
          <w:i/>
          <w:szCs w:val="16"/>
          <w:lang w:val="en-US"/>
        </w:rPr>
        <w:t>Case of Contreras et al. v. El Salvador.</w:t>
      </w:r>
      <w:r w:rsidRPr="004B75F8">
        <w:rPr>
          <w:b/>
          <w:bCs/>
          <w:i/>
          <w:szCs w:val="16"/>
          <w:lang w:val="en-US"/>
        </w:rPr>
        <w:t xml:space="preserve"> </w:t>
      </w:r>
      <w:r w:rsidRPr="004B75F8">
        <w:rPr>
          <w:i/>
          <w:szCs w:val="16"/>
          <w:lang w:val="en-US"/>
        </w:rPr>
        <w:t>Merits, reparations and costs</w:t>
      </w:r>
      <w:r w:rsidRPr="004B75F8">
        <w:rPr>
          <w:szCs w:val="16"/>
          <w:lang w:val="en-US"/>
        </w:rPr>
        <w:t>, para. 197.</w:t>
      </w:r>
    </w:p>
    <w:p w:rsidR="008C5C78" w:rsidRPr="004B75F8" w:rsidRDefault="008C5C78" w:rsidP="00722D73">
      <w:pPr>
        <w:pStyle w:val="Textonotapie"/>
        <w:spacing w:after="100"/>
        <w:rPr>
          <w:szCs w:val="16"/>
          <w:lang w:val="en-US"/>
        </w:rPr>
      </w:pPr>
    </w:p>
  </w:footnote>
  <w:footnote w:id="25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Cf.</w:t>
      </w:r>
      <w:r w:rsidRPr="004B75F8">
        <w:rPr>
          <w:rStyle w:val="TextonotapieCar"/>
          <w:szCs w:val="16"/>
          <w:lang w:val="en-US"/>
        </w:rPr>
        <w:t xml:space="preserve"> </w:t>
      </w:r>
      <w:r w:rsidRPr="004B75F8">
        <w:rPr>
          <w:bCs/>
          <w:i/>
          <w:szCs w:val="16"/>
          <w:lang w:val="en-US"/>
        </w:rPr>
        <w:t xml:space="preserve">Case of Cantoral Benavides v. Peru. </w:t>
      </w:r>
      <w:r w:rsidRPr="004B75F8">
        <w:rPr>
          <w:i/>
          <w:szCs w:val="16"/>
          <w:lang w:val="en-US"/>
        </w:rPr>
        <w:t>Reparations and costs</w:t>
      </w:r>
      <w:r w:rsidRPr="004B75F8">
        <w:rPr>
          <w:szCs w:val="16"/>
          <w:lang w:val="en-US"/>
        </w:rPr>
        <w:t xml:space="preserve">, paras. 51(d) to 51(f), 61(a) and 61(c), eighth operative paragraph, and </w:t>
      </w:r>
      <w:r w:rsidRPr="004B75F8">
        <w:rPr>
          <w:rStyle w:val="TextonotapieCar"/>
          <w:i/>
          <w:szCs w:val="16"/>
          <w:lang w:val="en-US"/>
        </w:rPr>
        <w:t>Case of Contreras et al. v. El Salvador. Merits, reparations and costs</w:t>
      </w:r>
      <w:r w:rsidRPr="004B75F8">
        <w:rPr>
          <w:rStyle w:val="TextonotapieCar"/>
          <w:szCs w:val="16"/>
          <w:lang w:val="en-US"/>
        </w:rPr>
        <w:t>, para. 200.</w:t>
      </w:r>
    </w:p>
  </w:footnote>
  <w:footnote w:id="25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Cf. Case of the 19 Tradesmen v. Colombia. Merits, reparations and costs</w:t>
      </w:r>
      <w:r w:rsidRPr="004B75F8">
        <w:rPr>
          <w:rStyle w:val="TextonotapieCar"/>
          <w:szCs w:val="16"/>
          <w:lang w:val="en-US"/>
        </w:rPr>
        <w:t xml:space="preserve">, para. 278, and </w:t>
      </w:r>
      <w:r w:rsidRPr="004B75F8">
        <w:rPr>
          <w:rStyle w:val="TextonotapieCar"/>
          <w:i/>
          <w:szCs w:val="16"/>
          <w:lang w:val="en-US"/>
        </w:rPr>
        <w:t>Case of Pacheco Teruel et al. v. Honduras. Merits, reparations and costs.</w:t>
      </w:r>
      <w:r w:rsidRPr="004B75F8">
        <w:rPr>
          <w:rStyle w:val="TextonotapieCar"/>
          <w:szCs w:val="16"/>
          <w:lang w:val="en-US"/>
        </w:rPr>
        <w:t xml:space="preserve"> Judgment of April 27, 2012 Series C No. 241, para. 116.</w:t>
      </w:r>
    </w:p>
  </w:footnote>
  <w:footnote w:id="25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Cf.</w:t>
      </w:r>
      <w:r w:rsidRPr="004B75F8">
        <w:rPr>
          <w:bCs/>
          <w:szCs w:val="16"/>
          <w:lang w:val="en-US"/>
        </w:rPr>
        <w:t xml:space="preserve"> </w:t>
      </w:r>
      <w:r w:rsidRPr="004B75F8">
        <w:rPr>
          <w:rStyle w:val="TextonotapieCar"/>
          <w:i/>
          <w:szCs w:val="16"/>
          <w:lang w:val="en-US"/>
        </w:rPr>
        <w:t>Case of the 19 Tradesmen v. Colombia. Merits, reparations and costs</w:t>
      </w:r>
      <w:r w:rsidRPr="004B75F8">
        <w:rPr>
          <w:rStyle w:val="TextonotapieCar"/>
          <w:szCs w:val="16"/>
          <w:lang w:val="en-US"/>
        </w:rPr>
        <w:t xml:space="preserve">, para. 278, and </w:t>
      </w:r>
      <w:r w:rsidRPr="004B75F8">
        <w:rPr>
          <w:rStyle w:val="TextonotapieCar"/>
          <w:i/>
          <w:szCs w:val="16"/>
          <w:lang w:val="en-US"/>
        </w:rPr>
        <w:t>Case of Pacheco Teruel et al. v. Honduras. Merits, reparations and costs</w:t>
      </w:r>
      <w:r w:rsidRPr="004B75F8">
        <w:rPr>
          <w:rStyle w:val="TextonotapieCar"/>
          <w:szCs w:val="16"/>
          <w:lang w:val="en-US"/>
        </w:rPr>
        <w:t>, para. 116.</w:t>
      </w:r>
    </w:p>
  </w:footnote>
  <w:footnote w:id="257">
    <w:p w:rsidR="008C5C78" w:rsidRPr="004B75F8" w:rsidRDefault="008C5C78" w:rsidP="00722D73">
      <w:pPr>
        <w:pStyle w:val="Default"/>
        <w:spacing w:after="100"/>
        <w:jc w:val="both"/>
        <w:rPr>
          <w:rFonts w:ascii="Verdana" w:hAnsi="Verdana" w:cs="Times New Roman"/>
          <w:sz w:val="16"/>
          <w:szCs w:val="16"/>
        </w:rPr>
      </w:pPr>
      <w:r w:rsidRPr="004B75F8">
        <w:rPr>
          <w:rStyle w:val="Refdenotaalpie"/>
          <w:rFonts w:ascii="Verdana" w:hAnsi="Verdana"/>
          <w:sz w:val="16"/>
          <w:szCs w:val="16"/>
        </w:rPr>
        <w:footnoteRef/>
      </w:r>
      <w:r w:rsidRPr="004B75F8">
        <w:rPr>
          <w:rFonts w:ascii="Verdana" w:hAnsi="Verdana"/>
          <w:sz w:val="16"/>
          <w:szCs w:val="16"/>
        </w:rPr>
        <w:t xml:space="preserve"> </w:t>
      </w:r>
      <w:r w:rsidRPr="004B75F8">
        <w:rPr>
          <w:rFonts w:ascii="Verdana" w:hAnsi="Verdana"/>
          <w:sz w:val="16"/>
          <w:szCs w:val="16"/>
        </w:rPr>
        <w:tab/>
      </w:r>
      <w:r w:rsidRPr="004B75F8">
        <w:rPr>
          <w:rStyle w:val="TextonotapieCar"/>
          <w:rFonts w:eastAsia="Calibri"/>
          <w:i/>
          <w:szCs w:val="16"/>
          <w:lang w:val="en-US"/>
        </w:rPr>
        <w:t>Cf.</w:t>
      </w:r>
      <w:r w:rsidRPr="004B75F8">
        <w:rPr>
          <w:rStyle w:val="TextonotapieCar"/>
          <w:rFonts w:eastAsia="Calibri"/>
          <w:szCs w:val="16"/>
          <w:lang w:val="en-US"/>
        </w:rPr>
        <w:t xml:space="preserve"> Case of </w:t>
      </w:r>
      <w:r w:rsidRPr="004B75F8">
        <w:rPr>
          <w:rStyle w:val="TextonotapieCar"/>
          <w:rFonts w:eastAsia="Calibri"/>
          <w:i/>
          <w:szCs w:val="16"/>
          <w:lang w:val="en-US"/>
        </w:rPr>
        <w:t>Fernández Ortega et al. v. Mexico. Preliminary objection, merits, reparations and costs</w:t>
      </w:r>
      <w:r w:rsidRPr="004B75F8">
        <w:rPr>
          <w:rStyle w:val="TextonotapieCar"/>
          <w:rFonts w:eastAsia="Calibri"/>
          <w:szCs w:val="16"/>
          <w:lang w:val="en-US"/>
        </w:rPr>
        <w:t xml:space="preserve">, para. 252, and </w:t>
      </w:r>
      <w:r w:rsidRPr="004B75F8">
        <w:rPr>
          <w:rStyle w:val="TextonotapieCar"/>
          <w:rFonts w:eastAsia="Calibri"/>
          <w:i/>
          <w:szCs w:val="16"/>
          <w:lang w:val="en-US"/>
        </w:rPr>
        <w:t>Case of Pacheco Teruel et al. v. Honduras. Merits, reparations and costs</w:t>
      </w:r>
      <w:r w:rsidRPr="004B75F8">
        <w:rPr>
          <w:rStyle w:val="TextonotapieCar"/>
          <w:rFonts w:eastAsia="Calibri"/>
          <w:szCs w:val="16"/>
          <w:lang w:val="en-US"/>
        </w:rPr>
        <w:t>, para. 117.</w:t>
      </w:r>
    </w:p>
  </w:footnote>
  <w:footnote w:id="258">
    <w:p w:rsidR="008C5C78" w:rsidRPr="009C0529" w:rsidRDefault="008C5C78" w:rsidP="00722D73">
      <w:pPr>
        <w:pStyle w:val="Textonotapie"/>
        <w:spacing w:after="100"/>
        <w:rPr>
          <w:szCs w:val="16"/>
          <w:lang w:val="es-E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Cf.</w:t>
      </w:r>
      <w:r w:rsidRPr="004B75F8">
        <w:rPr>
          <w:rStyle w:val="TextonotapieCar"/>
          <w:szCs w:val="16"/>
          <w:lang w:val="en-US"/>
        </w:rPr>
        <w:t xml:space="preserve"> </w:t>
      </w:r>
      <w:r w:rsidRPr="004B75F8">
        <w:rPr>
          <w:rStyle w:val="TextonotapieCar"/>
          <w:i/>
          <w:szCs w:val="16"/>
          <w:lang w:val="en-US"/>
        </w:rPr>
        <w:t>Case of Cantoral Benavides v. Peru. Reparations and costs</w:t>
      </w:r>
      <w:r w:rsidRPr="004B75F8">
        <w:rPr>
          <w:rStyle w:val="TextonotapieCar"/>
          <w:szCs w:val="16"/>
          <w:lang w:val="en-US"/>
        </w:rPr>
        <w:t xml:space="preserve">, para. 79,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w:t>
      </w:r>
      <w:r w:rsidRPr="009C0529">
        <w:rPr>
          <w:rStyle w:val="TextonotapieCar"/>
          <w:i/>
          <w:szCs w:val="16"/>
          <w:lang w:val="es-ES"/>
        </w:rPr>
        <w:t>Merits and reparations</w:t>
      </w:r>
      <w:r w:rsidRPr="009C0529">
        <w:rPr>
          <w:rStyle w:val="TextonotapieCar"/>
          <w:szCs w:val="16"/>
          <w:lang w:val="es-ES"/>
        </w:rPr>
        <w:t>, para. 307.</w:t>
      </w:r>
    </w:p>
  </w:footnote>
  <w:footnote w:id="25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9C0529">
        <w:rPr>
          <w:szCs w:val="16"/>
          <w:lang w:val="es-ES"/>
        </w:rPr>
        <w:t xml:space="preserve"> </w:t>
      </w:r>
      <w:r w:rsidRPr="009C0529">
        <w:rPr>
          <w:szCs w:val="16"/>
          <w:lang w:val="es-ES"/>
        </w:rPr>
        <w:tab/>
      </w:r>
      <w:r w:rsidRPr="009C0529">
        <w:rPr>
          <w:i/>
          <w:szCs w:val="16"/>
          <w:lang w:val="es-ES"/>
        </w:rPr>
        <w:t>Cf.</w:t>
      </w:r>
      <w:r w:rsidRPr="009C0529">
        <w:rPr>
          <w:szCs w:val="16"/>
          <w:lang w:val="es-ES"/>
        </w:rPr>
        <w:t xml:space="preserve"> Leaflet “</w:t>
      </w:r>
      <w:r w:rsidRPr="009C0529">
        <w:rPr>
          <w:rStyle w:val="TextonotapieCar"/>
          <w:i/>
          <w:szCs w:val="16"/>
          <w:lang w:val="es-ES"/>
        </w:rPr>
        <w:t xml:space="preserve">Respeto, atención, reconocimiento, protección, prevención, promoción, aplicación and difusión de los </w:t>
      </w:r>
      <w:r w:rsidR="00334C3C" w:rsidRPr="009C0529">
        <w:rPr>
          <w:rStyle w:val="TextonotapieCar"/>
          <w:i/>
          <w:szCs w:val="16"/>
          <w:lang w:val="es-ES"/>
        </w:rPr>
        <w:t>derechos humanos y</w:t>
      </w:r>
      <w:r w:rsidRPr="009C0529">
        <w:rPr>
          <w:rStyle w:val="TextonotapieCar"/>
          <w:i/>
          <w:szCs w:val="16"/>
          <w:lang w:val="es-ES"/>
        </w:rPr>
        <w:t xml:space="preserve"> DIH de los grupos especiales.</w:t>
      </w:r>
      <w:r w:rsidRPr="009C0529">
        <w:rPr>
          <w:rStyle w:val="TextonotapieCar"/>
          <w:szCs w:val="16"/>
          <w:lang w:val="es-ES"/>
        </w:rPr>
        <w:t xml:space="preserve">” </w:t>
      </w:r>
      <w:r w:rsidRPr="004B75F8">
        <w:rPr>
          <w:rStyle w:val="TextonotapieCar"/>
          <w:szCs w:val="16"/>
          <w:lang w:val="en-US"/>
        </w:rPr>
        <w:t xml:space="preserve">Permanent Directive No. 19/2010 of the </w:t>
      </w:r>
      <w:r w:rsidRPr="004B75F8">
        <w:rPr>
          <w:szCs w:val="16"/>
          <w:lang w:val="en-US"/>
        </w:rPr>
        <w:t xml:space="preserve">Office of Human Rights and International Humanitarian Law of the National Army (annexes to the answering brief, </w:t>
      </w:r>
      <w:r w:rsidR="00334C3C" w:rsidRPr="004B75F8">
        <w:rPr>
          <w:szCs w:val="16"/>
          <w:lang w:val="en-US"/>
        </w:rPr>
        <w:t>annex</w:t>
      </w:r>
      <w:r w:rsidRPr="004B75F8">
        <w:rPr>
          <w:szCs w:val="16"/>
          <w:lang w:val="en-US"/>
        </w:rPr>
        <w:t xml:space="preserve"> 2, merits file, tome I, folios 455 to 463).</w:t>
      </w:r>
    </w:p>
  </w:footnote>
  <w:footnote w:id="260">
    <w:p w:rsidR="008C5C78" w:rsidRPr="004B75F8" w:rsidRDefault="008C5C78" w:rsidP="00722D73">
      <w:pPr>
        <w:pStyle w:val="Textonotapie"/>
        <w:spacing w:after="100"/>
        <w:rPr>
          <w:szCs w:val="16"/>
          <w:lang w:val="en-US"/>
        </w:rPr>
      </w:pPr>
      <w:r w:rsidRPr="004B75F8">
        <w:rPr>
          <w:rStyle w:val="Refdenotaalpie"/>
          <w:szCs w:val="16"/>
          <w:lang w:val="en-US"/>
        </w:rPr>
        <w:footnoteRef/>
      </w:r>
      <w:r w:rsidRPr="009C0529">
        <w:rPr>
          <w:szCs w:val="16"/>
          <w:lang w:val="es-ES"/>
        </w:rPr>
        <w:t xml:space="preserve"> </w:t>
      </w:r>
      <w:r w:rsidRPr="009C0529">
        <w:rPr>
          <w:szCs w:val="16"/>
          <w:lang w:val="es-ES"/>
        </w:rPr>
        <w:tab/>
      </w:r>
      <w:r w:rsidRPr="009C0529">
        <w:rPr>
          <w:rStyle w:val="TextonotapieCar"/>
          <w:i/>
          <w:szCs w:val="16"/>
          <w:lang w:val="es-ES"/>
        </w:rPr>
        <w:t>Cf.</w:t>
      </w:r>
      <w:r w:rsidRPr="009C0529">
        <w:rPr>
          <w:rStyle w:val="TextonotapieCar"/>
          <w:szCs w:val="16"/>
          <w:lang w:val="es-ES"/>
        </w:rPr>
        <w:t xml:space="preserve"> </w:t>
      </w:r>
      <w:r w:rsidRPr="009C0529">
        <w:rPr>
          <w:bCs/>
          <w:i/>
          <w:szCs w:val="16"/>
          <w:lang w:val="es-ES"/>
        </w:rPr>
        <w:t xml:space="preserve">Case of Vera Vera et al. v. Ecuador. </w:t>
      </w:r>
      <w:r w:rsidRPr="004B75F8">
        <w:rPr>
          <w:i/>
          <w:szCs w:val="16"/>
          <w:lang w:val="en-US"/>
        </w:rPr>
        <w:t>Preliminary objection, merits, reparations and costs.</w:t>
      </w:r>
      <w:r w:rsidRPr="004B75F8">
        <w:rPr>
          <w:szCs w:val="16"/>
          <w:lang w:val="en-US"/>
        </w:rPr>
        <w:t xml:space="preserve"> Judgment of May 19, 2011. Series C No. 226, paras. 117 and 118.</w:t>
      </w:r>
    </w:p>
  </w:footnote>
  <w:footnote w:id="261">
    <w:p w:rsidR="008C5C78" w:rsidRPr="004B75F8" w:rsidRDefault="008C5C78" w:rsidP="00722D73">
      <w:pPr>
        <w:pStyle w:val="Textonotapie"/>
        <w:spacing w:after="100"/>
        <w:rPr>
          <w:rFonts w:eastAsia="Calibri"/>
          <w:szCs w:val="16"/>
          <w:lang w:val="en-US"/>
        </w:rPr>
      </w:pPr>
      <w:r w:rsidRPr="004B75F8">
        <w:rPr>
          <w:rStyle w:val="Refdenotaalpie"/>
          <w:rFonts w:eastAsia="Calibri"/>
          <w:szCs w:val="16"/>
          <w:lang w:val="en-US"/>
        </w:rPr>
        <w:footnoteRef/>
      </w:r>
      <w:r w:rsidRPr="004B75F8">
        <w:rPr>
          <w:rFonts w:eastAsia="Calibri"/>
          <w:szCs w:val="16"/>
          <w:lang w:val="en-US"/>
        </w:rPr>
        <w:t xml:space="preserve"> </w:t>
      </w:r>
      <w:r w:rsidRPr="004B75F8">
        <w:rPr>
          <w:rFonts w:eastAsia="Calibri"/>
          <w:szCs w:val="16"/>
          <w:lang w:val="en-US"/>
        </w:rPr>
        <w:tab/>
      </w:r>
      <w:r w:rsidRPr="004B75F8">
        <w:rPr>
          <w:rStyle w:val="TextonotapieCar"/>
          <w:i/>
          <w:szCs w:val="16"/>
          <w:lang w:val="en-US"/>
        </w:rPr>
        <w:t>Cf.</w:t>
      </w:r>
      <w:r w:rsidRPr="004B75F8">
        <w:rPr>
          <w:rStyle w:val="TextonotapieCar"/>
          <w:szCs w:val="16"/>
          <w:lang w:val="en-US"/>
        </w:rPr>
        <w:t xml:space="preserve"> </w:t>
      </w:r>
      <w:r w:rsidRPr="004B75F8">
        <w:rPr>
          <w:rStyle w:val="TextonotapieCar"/>
          <w:i/>
          <w:szCs w:val="16"/>
          <w:lang w:val="en-US"/>
        </w:rPr>
        <w:t>Case of</w:t>
      </w:r>
      <w:r w:rsidRPr="004B75F8">
        <w:rPr>
          <w:rStyle w:val="TextonotapieCar"/>
          <w:szCs w:val="16"/>
          <w:lang w:val="en-US"/>
        </w:rPr>
        <w:t xml:space="preserve"> </w:t>
      </w:r>
      <w:r w:rsidRPr="004B75F8">
        <w:rPr>
          <w:rStyle w:val="TextonotapieCar"/>
          <w:i/>
          <w:szCs w:val="16"/>
          <w:lang w:val="en-US"/>
        </w:rPr>
        <w:t>Albán Cornejo et al. v. Ecuador. Merits Reparations and costs</w:t>
      </w:r>
      <w:r w:rsidRPr="004B75F8">
        <w:rPr>
          <w:rStyle w:val="TextonotapieCar"/>
          <w:szCs w:val="16"/>
          <w:lang w:val="en-US"/>
        </w:rPr>
        <w:t xml:space="preserve">. Judgment of November 22, 2007. Series C No. 171, para. 111, and </w:t>
      </w:r>
      <w:r w:rsidRPr="004B75F8">
        <w:rPr>
          <w:rStyle w:val="TextonotapieCar"/>
          <w:i/>
          <w:szCs w:val="16"/>
          <w:lang w:val="en-US"/>
        </w:rPr>
        <w:t>Case of Vera Vera et al. v. Ecuador. Preliminary objection, merits, reparations and costs</w:t>
      </w:r>
      <w:r w:rsidRPr="004B75F8">
        <w:rPr>
          <w:rStyle w:val="TextonotapieCar"/>
          <w:szCs w:val="16"/>
          <w:lang w:val="en-US"/>
        </w:rPr>
        <w:t>, para. 117</w:t>
      </w:r>
      <w:r w:rsidRPr="004B75F8">
        <w:rPr>
          <w:rFonts w:eastAsia="Calibri"/>
          <w:szCs w:val="16"/>
          <w:lang w:val="en-US"/>
        </w:rPr>
        <w:t>.</w:t>
      </w:r>
    </w:p>
  </w:footnote>
  <w:footnote w:id="262">
    <w:p w:rsidR="008C5C78" w:rsidRPr="004B75F8" w:rsidRDefault="008C5C78" w:rsidP="00722D73">
      <w:pPr>
        <w:autoSpaceDE w:val="0"/>
        <w:autoSpaceDN w:val="0"/>
        <w:adjustRightInd w:val="0"/>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rStyle w:val="TextonotapieCar"/>
          <w:i/>
          <w:szCs w:val="16"/>
          <w:lang w:val="en-US"/>
        </w:rPr>
        <w:t>Cf.</w:t>
      </w:r>
      <w:r w:rsidRPr="004B75F8">
        <w:rPr>
          <w:i/>
          <w:iCs/>
          <w:sz w:val="16"/>
          <w:szCs w:val="16"/>
          <w:lang w:val="en-US"/>
        </w:rPr>
        <w:t xml:space="preserve"> inter alia, </w:t>
      </w:r>
      <w:r w:rsidRPr="004B75F8">
        <w:rPr>
          <w:rStyle w:val="TextonotapieCar"/>
          <w:i/>
          <w:szCs w:val="16"/>
          <w:lang w:val="en-US"/>
        </w:rPr>
        <w:t>Case of Barrios Altos v. Peru. Merits.</w:t>
      </w:r>
      <w:r w:rsidRPr="004B75F8">
        <w:rPr>
          <w:rStyle w:val="TextonotapieCar"/>
          <w:szCs w:val="16"/>
          <w:lang w:val="en-US"/>
        </w:rPr>
        <w:t xml:space="preserve"> Judgment of March 14, 2001. </w:t>
      </w:r>
      <w:r w:rsidRPr="009C0529">
        <w:rPr>
          <w:rStyle w:val="TextonotapieCar"/>
          <w:szCs w:val="16"/>
          <w:lang w:val="es-ES"/>
        </w:rPr>
        <w:t xml:space="preserve">Series C No. 75, para. 41; </w:t>
      </w:r>
      <w:r w:rsidRPr="009C0529">
        <w:rPr>
          <w:rStyle w:val="TextonotapieCar"/>
          <w:i/>
          <w:szCs w:val="16"/>
          <w:lang w:val="es-ES"/>
        </w:rPr>
        <w:t xml:space="preserve">Case of Barrios Altos v. Peru. </w:t>
      </w:r>
      <w:r w:rsidRPr="004B75F8">
        <w:rPr>
          <w:rStyle w:val="TextonotapieCar"/>
          <w:i/>
          <w:szCs w:val="16"/>
          <w:lang w:val="en-US"/>
        </w:rPr>
        <w:t>Interpretation of the judgment on merits</w:t>
      </w:r>
      <w:r w:rsidRPr="004B75F8">
        <w:rPr>
          <w:rStyle w:val="TextonotapieCar"/>
          <w:szCs w:val="16"/>
          <w:lang w:val="en-US"/>
        </w:rPr>
        <w:t xml:space="preserve">. Judgment of September 3, 2001. Series C No. 83, para. 15; </w:t>
      </w:r>
      <w:r w:rsidRPr="004B75F8">
        <w:rPr>
          <w:rStyle w:val="TextonotapieCar"/>
          <w:i/>
          <w:szCs w:val="16"/>
          <w:lang w:val="en-US"/>
        </w:rPr>
        <w:t>Case of Trujillo Oroza v. Bolivia. Reparations and costs</w:t>
      </w:r>
      <w:r w:rsidRPr="004B75F8">
        <w:rPr>
          <w:rStyle w:val="TextonotapieCar"/>
          <w:szCs w:val="16"/>
          <w:lang w:val="en-US"/>
        </w:rPr>
        <w:t xml:space="preserve">. Judgment of February 27, 2002. </w:t>
      </w:r>
      <w:r w:rsidRPr="009C0529">
        <w:rPr>
          <w:rStyle w:val="TextonotapieCar"/>
          <w:szCs w:val="16"/>
          <w:lang w:val="es-ES"/>
        </w:rPr>
        <w:t xml:space="preserve">Series C No. 92, para. 106; </w:t>
      </w:r>
      <w:r w:rsidRPr="009C0529">
        <w:rPr>
          <w:rStyle w:val="TextonotapieCar"/>
          <w:i/>
          <w:szCs w:val="16"/>
          <w:lang w:val="es-ES"/>
        </w:rPr>
        <w:t xml:space="preserve">Case of El Caracazo v. Venezuela. </w:t>
      </w:r>
      <w:r w:rsidRPr="004B75F8">
        <w:rPr>
          <w:rStyle w:val="TextonotapieCar"/>
          <w:i/>
          <w:szCs w:val="16"/>
          <w:lang w:val="en-US"/>
        </w:rPr>
        <w:t>Reparations and costs</w:t>
      </w:r>
      <w:r w:rsidRPr="004B75F8">
        <w:rPr>
          <w:rStyle w:val="TextonotapieCar"/>
          <w:szCs w:val="16"/>
          <w:lang w:val="en-US"/>
        </w:rPr>
        <w:t>. Judgment of August 29, 2002. Series C No. 95, para. 119</w:t>
      </w:r>
      <w:r w:rsidRPr="004B75F8">
        <w:rPr>
          <w:rStyle w:val="TextonotapieCar"/>
          <w:i/>
          <w:szCs w:val="16"/>
          <w:lang w:val="en-US"/>
        </w:rPr>
        <w:t>; Case of Bulacio v. Argentina. Merits, reparations and costs</w:t>
      </w:r>
      <w:r w:rsidRPr="004B75F8">
        <w:rPr>
          <w:rStyle w:val="TextonotapieCar"/>
          <w:szCs w:val="16"/>
          <w:lang w:val="en-US"/>
        </w:rPr>
        <w:t xml:space="preserve">. Judgment of September 18, 2003. Series C No. 100, para. 116; </w:t>
      </w:r>
      <w:r w:rsidRPr="004B75F8">
        <w:rPr>
          <w:rStyle w:val="TextonotapieCar"/>
          <w:i/>
          <w:szCs w:val="16"/>
          <w:lang w:val="en-US"/>
        </w:rPr>
        <w:t>Case of Myrna Mack Chang v. Guatemala. Merits, reparations and costs.</w:t>
      </w:r>
      <w:r w:rsidRPr="004B75F8">
        <w:rPr>
          <w:rStyle w:val="TextonotapieCar"/>
          <w:szCs w:val="16"/>
          <w:lang w:val="en-US"/>
        </w:rPr>
        <w:t xml:space="preserve"> Judgment of November 25, 2003. Series C No. 101, para. 276; </w:t>
      </w:r>
      <w:r w:rsidRPr="004B75F8">
        <w:rPr>
          <w:rStyle w:val="TextonotapieCar"/>
          <w:i/>
          <w:szCs w:val="16"/>
          <w:lang w:val="en-US"/>
        </w:rPr>
        <w:t>Case of Molina Theissen v. Guatemala. Reparations and costs.</w:t>
      </w:r>
      <w:r w:rsidRPr="004B75F8">
        <w:rPr>
          <w:rStyle w:val="TextonotapieCar"/>
          <w:szCs w:val="16"/>
          <w:lang w:val="en-US"/>
        </w:rPr>
        <w:t xml:space="preserve"> Judgment of July 3, 2004. Series C No. 108, para. 84; </w:t>
      </w:r>
      <w:r w:rsidRPr="004B75F8">
        <w:rPr>
          <w:rStyle w:val="TextonotapieCar"/>
          <w:i/>
          <w:szCs w:val="16"/>
          <w:lang w:val="en-US"/>
        </w:rPr>
        <w:t>Case of the Gómez Paquiyauri Brothers v. Peru. Merits, reparations and costs</w:t>
      </w:r>
      <w:r w:rsidRPr="004B75F8">
        <w:rPr>
          <w:rStyle w:val="TextonotapieCar"/>
          <w:szCs w:val="16"/>
          <w:lang w:val="en-US"/>
        </w:rPr>
        <w:t xml:space="preserve">. Judgment of July 8, 2004. Series C No. 110, para. 150; </w:t>
      </w:r>
      <w:r w:rsidRPr="004B75F8">
        <w:rPr>
          <w:rStyle w:val="TextonotapieCar"/>
          <w:i/>
          <w:szCs w:val="16"/>
          <w:lang w:val="en-US"/>
        </w:rPr>
        <w:t>Case of Tibi v. Ecuador. Preliminary objections, merits, reparations and costs</w:t>
      </w:r>
      <w:r w:rsidRPr="004B75F8">
        <w:rPr>
          <w:rStyle w:val="TextonotapieCar"/>
          <w:szCs w:val="16"/>
          <w:lang w:val="en-US"/>
        </w:rPr>
        <w:t xml:space="preserve">. Judgment of September 7, 2004. Series C No. 114, para. 259; </w:t>
      </w:r>
      <w:r w:rsidRPr="004B75F8">
        <w:rPr>
          <w:rStyle w:val="TextonotapieCar"/>
          <w:i/>
          <w:szCs w:val="16"/>
          <w:lang w:val="en-US"/>
        </w:rPr>
        <w:t>Case of the Plan de Sánchez Massacre v. Guatemala. Reparations and costs</w:t>
      </w:r>
      <w:r w:rsidRPr="004B75F8">
        <w:rPr>
          <w:rStyle w:val="TextonotapieCar"/>
          <w:szCs w:val="16"/>
          <w:lang w:val="en-US"/>
        </w:rPr>
        <w:t xml:space="preserve">. Judgment of November 19, 2004. Series C No. 116, para. 99; </w:t>
      </w:r>
      <w:r w:rsidRPr="004B75F8">
        <w:rPr>
          <w:rStyle w:val="TextonotapieCar"/>
          <w:i/>
          <w:szCs w:val="16"/>
          <w:lang w:val="en-US"/>
        </w:rPr>
        <w:t xml:space="preserve">Case of Carpio Nicolle et al. v. Guatemala. Merits, reparations and costs. </w:t>
      </w:r>
      <w:r w:rsidRPr="004B75F8">
        <w:rPr>
          <w:rStyle w:val="TextonotapieCar"/>
          <w:szCs w:val="16"/>
          <w:lang w:val="en-US"/>
        </w:rPr>
        <w:t xml:space="preserve">Judgment of November 22, 2004. Series C No. 117, para. 130; </w:t>
      </w:r>
      <w:r w:rsidRPr="004B75F8">
        <w:rPr>
          <w:rStyle w:val="TextonotapieCar"/>
          <w:i/>
          <w:szCs w:val="16"/>
          <w:lang w:val="en-US"/>
        </w:rPr>
        <w:t>Case of the Serrano Cruz Sisters v. El Salvador. Merits, reparations and costs.</w:t>
      </w:r>
      <w:r w:rsidRPr="004B75F8">
        <w:rPr>
          <w:rStyle w:val="TextonotapieCar"/>
          <w:szCs w:val="16"/>
          <w:lang w:val="en-US"/>
        </w:rPr>
        <w:t xml:space="preserve"> Judgment of March 1, 2005. Series </w:t>
      </w:r>
      <w:r w:rsidRPr="004B75F8">
        <w:rPr>
          <w:rStyle w:val="TextonotapieCar"/>
          <w:i/>
          <w:szCs w:val="16"/>
          <w:lang w:val="en-US"/>
        </w:rPr>
        <w:t>Case of Gelman v. Uruguay. Merits and reparations</w:t>
      </w:r>
      <w:r w:rsidRPr="004B75F8">
        <w:rPr>
          <w:rStyle w:val="TextonotapieCar"/>
          <w:szCs w:val="16"/>
          <w:lang w:val="en-US"/>
        </w:rPr>
        <w:t xml:space="preserve">. Judgment of February 24, 2011 Series C No. 221, para. 225, and </w:t>
      </w:r>
      <w:r w:rsidRPr="004B75F8">
        <w:rPr>
          <w:rStyle w:val="TextonotapieCar"/>
          <w:i/>
          <w:szCs w:val="16"/>
          <w:lang w:val="en-US"/>
        </w:rPr>
        <w:t>Case of Vera Vera et al. v. Ecuador. Preliminary objection, merits, reparations and costs</w:t>
      </w:r>
      <w:r w:rsidRPr="004B75F8">
        <w:rPr>
          <w:rStyle w:val="TextonotapieCar"/>
          <w:szCs w:val="16"/>
          <w:lang w:val="en-US"/>
        </w:rPr>
        <w:t xml:space="preserve">, para. 117. </w:t>
      </w:r>
    </w:p>
  </w:footnote>
  <w:footnote w:id="26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On April 26, 2012, by a writ of prohibition, the prosecutor for the investigation abstained from opening preliminary proceedings (file of useful evidence presented by the State, tome II, folios 518 to 520). However, in its final arguments the State did not submit any consideration in this regard.</w:t>
      </w:r>
    </w:p>
  </w:footnote>
  <w:footnote w:id="26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rStyle w:val="TextonotapieCar"/>
          <w:i/>
          <w:szCs w:val="16"/>
          <w:lang w:val="en-US"/>
        </w:rPr>
        <w:t>Cf. Case of Radilla Pacheco v. Mexico. Preliminary objections, merits, reparations and costs</w:t>
      </w:r>
      <w:r w:rsidRPr="004B75F8">
        <w:rPr>
          <w:rStyle w:val="TextonotapieCar"/>
          <w:szCs w:val="16"/>
          <w:lang w:val="en-US"/>
        </w:rPr>
        <w:t xml:space="preserve">, para. 359, and </w:t>
      </w:r>
      <w:r w:rsidRPr="004B75F8">
        <w:rPr>
          <w:rStyle w:val="TextonotapieCar"/>
          <w:i/>
          <w:szCs w:val="16"/>
          <w:lang w:val="en-US"/>
        </w:rPr>
        <w:t>Case of Díaz Peña v. Venezuela. Preliminary objection, merits, reparations and costs</w:t>
      </w:r>
      <w:r w:rsidRPr="004B75F8">
        <w:rPr>
          <w:rStyle w:val="TextonotapieCar"/>
          <w:szCs w:val="16"/>
          <w:lang w:val="en-US"/>
        </w:rPr>
        <w:t>, para. 156.</w:t>
      </w:r>
    </w:p>
  </w:footnote>
  <w:footnote w:id="265">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They indicated that they wished “to take intensive English courses,” and “to </w:t>
      </w:r>
      <w:r w:rsidR="00334C3C" w:rsidRPr="004B75F8">
        <w:rPr>
          <w:szCs w:val="16"/>
          <w:lang w:val="en-US"/>
        </w:rPr>
        <w:t>enroll</w:t>
      </w:r>
      <w:r w:rsidRPr="004B75F8">
        <w:rPr>
          <w:szCs w:val="16"/>
          <w:lang w:val="en-US"/>
        </w:rPr>
        <w:t xml:space="preserve"> in </w:t>
      </w:r>
      <w:r w:rsidR="00334C3C" w:rsidRPr="004B75F8">
        <w:rPr>
          <w:szCs w:val="16"/>
          <w:lang w:val="en-US"/>
        </w:rPr>
        <w:t>professional</w:t>
      </w:r>
      <w:r w:rsidRPr="004B75F8">
        <w:rPr>
          <w:szCs w:val="16"/>
          <w:lang w:val="en-US"/>
        </w:rPr>
        <w:t xml:space="preserve"> training </w:t>
      </w:r>
      <w:r w:rsidR="00334C3C" w:rsidRPr="004B75F8">
        <w:rPr>
          <w:szCs w:val="16"/>
          <w:lang w:val="en-US"/>
        </w:rPr>
        <w:t>classes</w:t>
      </w:r>
      <w:r w:rsidRPr="004B75F8">
        <w:rPr>
          <w:szCs w:val="16"/>
          <w:lang w:val="en-US"/>
        </w:rPr>
        <w:t xml:space="preserve">” of “film camerography” and “computer systems and technology,” respectively. The representative requested the sum of US$20,000 to cover the cost of these courses. </w:t>
      </w:r>
    </w:p>
  </w:footnote>
  <w:footnote w:id="266">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The State provided information on: (i) the existence of an “broad legal framework designed to guarantee […] freedom of opinion and expression” in Colombia; (ii) the creation, in 1997, of a program to protect the rights of groups that were vulnerable owing to the exercise of their political, public, social and humanitarian activities or functions; (iii) the creation, in 2000, of the Protection Program that includes journalists and social communicators in its target population, and through which specific measures of prevention and protection have been implemented;</w:t>
      </w:r>
      <w:r w:rsidRPr="004B75F8">
        <w:rPr>
          <w:b/>
          <w:szCs w:val="16"/>
          <w:lang w:val="en-US"/>
        </w:rPr>
        <w:t xml:space="preserve"> </w:t>
      </w:r>
      <w:r w:rsidRPr="004B75F8">
        <w:rPr>
          <w:szCs w:val="16"/>
          <w:lang w:val="en-US"/>
        </w:rPr>
        <w:t xml:space="preserve">(iv) the benefits and progress reported by this program in the protection and safety conditions of journalists, which is revealed by the increase in the number of beneficiaries of the said program and a decrease in the crimes of murder against them, and (v) the progress in the fight against impunity in relation to crimes against journalists and communicators, such as “the aggravation of the conduct and the increase in the punishment when attacks are made against individuals belonging to special groups, such as journalists,“ and that “attached to the Human Rights Unit of the Prosecutor General’s Office is a working group in charge of conducting the investigations into crimes against journalists composed of 19 special prosecutors.” </w:t>
      </w:r>
      <w:r w:rsidRPr="004B75F8">
        <w:rPr>
          <w:i/>
          <w:szCs w:val="16"/>
          <w:lang w:val="en-US"/>
        </w:rPr>
        <w:t>Cf.</w:t>
      </w:r>
      <w:r w:rsidRPr="004B75F8">
        <w:rPr>
          <w:szCs w:val="16"/>
          <w:lang w:val="en-US"/>
        </w:rPr>
        <w:t xml:space="preserve"> Note DIDHD/GOI No.10500/0485 of February 22, 2011 from the Ministry of Foreign Affairs of Colombia (annexes to the answering brief, annex 1, merits file, tome I, folios 432 to 454).</w:t>
      </w:r>
    </w:p>
  </w:footnote>
  <w:footnote w:id="267">
    <w:p w:rsidR="008C5C78" w:rsidRPr="004B75F8" w:rsidRDefault="008C5C78" w:rsidP="00722D73">
      <w:pPr>
        <w:tabs>
          <w:tab w:val="left" w:pos="720"/>
        </w:tabs>
        <w:spacing w:after="100"/>
        <w:jc w:val="both"/>
        <w:rPr>
          <w:bCs/>
          <w:i/>
          <w:sz w:val="16"/>
          <w:szCs w:val="16"/>
          <w:lang w:val="en-US"/>
        </w:rPr>
      </w:pPr>
      <w:r w:rsidRPr="004B75F8">
        <w:rPr>
          <w:rStyle w:val="Refdenotaalpie"/>
          <w:sz w:val="16"/>
          <w:szCs w:val="16"/>
          <w:lang w:val="en-US"/>
        </w:rPr>
        <w:footnoteRef/>
      </w:r>
      <w:r w:rsidRPr="004B75F8">
        <w:rPr>
          <w:bCs/>
          <w:i/>
          <w:sz w:val="16"/>
          <w:szCs w:val="16"/>
          <w:lang w:val="en-US"/>
        </w:rPr>
        <w:t xml:space="preserve"> </w:t>
      </w:r>
      <w:r w:rsidRPr="004B75F8">
        <w:rPr>
          <w:bCs/>
          <w:i/>
          <w:sz w:val="16"/>
          <w:szCs w:val="16"/>
          <w:lang w:val="en-US"/>
        </w:rPr>
        <w:tab/>
      </w:r>
      <w:r w:rsidRPr="004B75F8">
        <w:rPr>
          <w:rStyle w:val="TextonotapieCar"/>
          <w:i/>
          <w:szCs w:val="16"/>
          <w:lang w:val="en-US"/>
        </w:rPr>
        <w:t>Cf.</w:t>
      </w:r>
      <w:r w:rsidRPr="004B75F8">
        <w:rPr>
          <w:rStyle w:val="TextonotapieCar"/>
          <w:szCs w:val="16"/>
          <w:lang w:val="en-US"/>
        </w:rPr>
        <w:t xml:space="preserve"> </w:t>
      </w:r>
      <w:r w:rsidRPr="004B75F8">
        <w:rPr>
          <w:rFonts w:eastAsia="Calibri" w:cs="Verdana"/>
          <w:i/>
          <w:iCs/>
          <w:sz w:val="16"/>
          <w:szCs w:val="16"/>
          <w:lang w:val="en-US"/>
        </w:rPr>
        <w:t>Case of Bámaca Velásquez v. Guatemala. Reparations and costs</w:t>
      </w:r>
      <w:r w:rsidRPr="004B75F8">
        <w:rPr>
          <w:rFonts w:eastAsia="Calibri" w:cs="Verdana"/>
          <w:sz w:val="16"/>
          <w:szCs w:val="16"/>
          <w:lang w:val="en-US"/>
        </w:rPr>
        <w:t>. Judgment of February 22, 2002. Series C No. 91, para. 43</w:t>
      </w:r>
      <w:r w:rsidRPr="004B75F8">
        <w:rPr>
          <w:rStyle w:val="TextonotapieCar"/>
          <w:szCs w:val="16"/>
          <w:lang w:val="en-US"/>
        </w:rPr>
        <w:t xml:space="preserve">,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309.</w:t>
      </w:r>
      <w:r w:rsidRPr="004B75F8">
        <w:rPr>
          <w:sz w:val="16"/>
          <w:szCs w:val="16"/>
          <w:lang w:val="en-US"/>
        </w:rPr>
        <w:tab/>
      </w:r>
    </w:p>
  </w:footnote>
  <w:footnote w:id="268">
    <w:p w:rsidR="008C5C78" w:rsidRPr="004B75F8" w:rsidRDefault="008C5C78" w:rsidP="00722D73">
      <w:pPr>
        <w:pStyle w:val="Prrafodelista2"/>
        <w:tabs>
          <w:tab w:val="left" w:pos="720"/>
        </w:tabs>
        <w:spacing w:after="100"/>
        <w:ind w:left="0"/>
        <w:contextualSpacing/>
        <w:jc w:val="both"/>
        <w:rPr>
          <w:b/>
          <w:sz w:val="16"/>
          <w:szCs w:val="16"/>
          <w:lang w:val="en-US" w:eastAsia="es-E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t>The representative asked that, when ordering payment of the loss of earnings of Mr. Vélez, the Court take into consideration that</w:t>
      </w:r>
      <w:r w:rsidRPr="004B75F8">
        <w:rPr>
          <w:sz w:val="16"/>
          <w:szCs w:val="16"/>
          <w:lang w:val="en-US" w:eastAsia="es-ES"/>
        </w:rPr>
        <w:t xml:space="preserve">: (i) at the time of the facts “he worked as a [cameraman for news on law and order] with a work contract [with] </w:t>
      </w:r>
      <w:r w:rsidRPr="004B75F8">
        <w:rPr>
          <w:i/>
          <w:sz w:val="16"/>
          <w:szCs w:val="16"/>
          <w:lang w:val="en-US" w:eastAsia="es-ES"/>
        </w:rPr>
        <w:t>Noticiero Colombia 12:30</w:t>
      </w:r>
      <w:r w:rsidRPr="004B75F8">
        <w:rPr>
          <w:sz w:val="16"/>
          <w:szCs w:val="16"/>
          <w:lang w:val="en-US" w:eastAsia="es-ES"/>
        </w:rPr>
        <w:t xml:space="preserve">;” (ii) his monthly income, [which] included [his] salary, benefits, travel expenses, and additional filming he did on the weekends, was $1,068,000 Colombian pesos a month; (iii) that the amount that Mr. Vélez received as his monthly earnings must be updated, corresponding to $3,325,605.65 Colombian pesos a month; (iv) the period to be compensated: “between the month of October 1997, the date on which he lost his job as a cameraman, and [June 2011]”; thus the </w:t>
      </w:r>
      <w:r w:rsidR="00334C3C" w:rsidRPr="004B75F8">
        <w:rPr>
          <w:sz w:val="16"/>
          <w:szCs w:val="16"/>
          <w:lang w:val="en-US" w:eastAsia="es-ES"/>
        </w:rPr>
        <w:t>loss</w:t>
      </w:r>
      <w:r w:rsidRPr="004B75F8">
        <w:rPr>
          <w:sz w:val="16"/>
          <w:szCs w:val="16"/>
          <w:lang w:val="en-US" w:eastAsia="es-ES"/>
        </w:rPr>
        <w:t xml:space="preserve"> of earnings amounts to $626,366,541.77 Colombian pesos </w:t>
      </w:r>
      <w:r w:rsidRPr="004B75F8">
        <w:rPr>
          <w:rStyle w:val="TextonotapieCar"/>
          <w:rFonts w:eastAsia="MS Mincho"/>
          <w:szCs w:val="16"/>
          <w:lang w:val="en-US"/>
        </w:rPr>
        <w:t>(file of annexes to the pleadings and motions brief, tome II, annex 20(a) and 20(b), folios 668 to 672)</w:t>
      </w:r>
      <w:r w:rsidRPr="004B75F8">
        <w:rPr>
          <w:sz w:val="16"/>
          <w:szCs w:val="16"/>
          <w:lang w:val="en-US" w:eastAsia="es-ES"/>
        </w:rPr>
        <w:t>.</w:t>
      </w:r>
    </w:p>
  </w:footnote>
  <w:footnote w:id="26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According to the representative, these expenses and losses relate to: (i) “the repeated efforts to denounce the violations and demand justice before the Colombian authorities in September 1996 and October 1997;” (ii) “the period of medical leave that followed the attack on Mr. Vélez in Caquetá; “(iii) “the psychological treatment received by the Vélez Román as a family and individually between September 1996 and May 1997,” estimated at US$2,153.87;</w:t>
      </w:r>
      <w:r w:rsidRPr="004B75F8">
        <w:rPr>
          <w:b/>
          <w:szCs w:val="16"/>
          <w:lang w:val="en-US" w:eastAsia="es-ES"/>
        </w:rPr>
        <w:t xml:space="preserve"> </w:t>
      </w:r>
      <w:r w:rsidRPr="004B75F8">
        <w:rPr>
          <w:rFonts w:cs="Arial"/>
          <w:szCs w:val="16"/>
          <w:lang w:val="en-US"/>
        </w:rPr>
        <w:t>(</w:t>
      </w:r>
      <w:r w:rsidRPr="004B75F8">
        <w:rPr>
          <w:szCs w:val="16"/>
          <w:lang w:val="en-US"/>
        </w:rPr>
        <w:t xml:space="preserve">iv) “moving house twice, in October 1996 and early 1997”; (v) “the loss of property and belongings owing to the separation and forced exile in 1997-1998, including the furniture, electrical appliances, […] clothes, bicycles, etc.;” (vi) “the year Mrs. Román, Mateo, and Juliana lived in Medellín separated from Mr. Vélez”; (vii) “the move and relocation to the United States of the family of Mr. Vélez as of September 1998”; (viii) “the right of  inheritance of Mr. Vélez left to him by his mother Rosa Restrepo, which he was never able to exercise due to his absence”; (ix) “the private medical insurance they paid for six months in 2001 so as not to lose its coverage during Mrs. Román’s illness and operation”; (x) “the move and installation of the [Vélez Román] family in Greenville, South Carolina”; (xi) “the medical expenses incurred by Mr. Vélez in Greenville for the tests and treatment not covered by the medical insurance, estimated at US$1,200”; (xii) “the return and relocation of the family in New York in 2008”; (xiii) “the trips to Medellín of Mateo and Juliana Vélez Román in 2010, with an approximate cost of [US]$5,000”; (xiv) “the constant telephone communications with relatives in Colombia for almost 15 years,” and (xv) “any other financial cost that, in fairness, should be recognized between August 1996 and 2011.” </w:t>
      </w:r>
    </w:p>
  </w:footnote>
  <w:footnote w:id="270">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The estimate presented by the representative indicated that the updated amount for the concept of individual psychological treatment for each member of the Vélez Restrepo family and for the couple amounted to $3,840,347.20 Colombian pesos. </w:t>
      </w:r>
    </w:p>
  </w:footnote>
  <w:footnote w:id="271">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rStyle w:val="Refdenotaalpie"/>
          <w:szCs w:val="16"/>
          <w:lang w:val="en-US"/>
        </w:rPr>
        <w:t xml:space="preserve"> </w:t>
      </w:r>
      <w:r w:rsidRPr="004B75F8">
        <w:rPr>
          <w:szCs w:val="16"/>
          <w:lang w:val="en-US"/>
        </w:rPr>
        <w:tab/>
      </w:r>
      <w:r w:rsidRPr="004B75F8">
        <w:rPr>
          <w:rStyle w:val="TextonotapieCar"/>
          <w:i/>
          <w:szCs w:val="16"/>
          <w:lang w:val="en-US"/>
        </w:rPr>
        <w:t>Cf. Case of the “Street Children” (Villagrán Morales et al.) v. Guatemala. Reparations and costs</w:t>
      </w:r>
      <w:r w:rsidRPr="004B75F8">
        <w:rPr>
          <w:rStyle w:val="TextonotapieCar"/>
          <w:szCs w:val="16"/>
          <w:lang w:val="en-US"/>
        </w:rPr>
        <w:t xml:space="preserve">, para. 84,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318.</w:t>
      </w:r>
    </w:p>
  </w:footnote>
  <w:footnote w:id="272">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 xml:space="preserve">In the pleadings and motions brief the representative asked the Court to order the payment of US$150,000 to Mr. Vélez Restrepo as a measure of reparation for the non-pecuniary damage. </w:t>
      </w:r>
      <w:r w:rsidRPr="004B75F8">
        <w:rPr>
          <w:szCs w:val="16"/>
          <w:lang w:val="en-US" w:eastAsia="es-ES"/>
        </w:rPr>
        <w:t>However, in his final written arguments he stated that “in light of the testimony given [by Mr. Vélez] during the public hearing […], the amount for the concept of non-pecuniary damage sh[ould] be reduced to US$140,000.</w:t>
      </w:r>
    </w:p>
  </w:footnote>
  <w:footnote w:id="273">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Regarding Mr. Vélez Restrepo, the representative argued that the moral and mental damage suffered result from: (i) the violation of his rights to physical integrity and life that caused him “intense physical, mental and moral suffering,“ the physical and psychological effects of which remain, 15 years after the events; (ii) the violation to his rights to freedom of thought and expression, and to dignity and honor, because the events “had an intimidating effect […] that had a negative impact on his professional work”; (iii) the forced separation he suffered from his immediate family from October 1997 to September 1998; (iv) the financial, family, and professional crises he has experienced in the United States; (v) the separation from his parents, siblings, nieces and nephews, and other relatives in Medellín; (vi) the death of his mother, without being able to see or be with her during her final days; (vii) the impunity in which the facts remain, and (viii) the irreparable damage to his life project, because the facts culminated with exile in the United States and this has prevented him from “following a professional and personal trajectory under normal conditions.”</w:t>
      </w:r>
    </w:p>
  </w:footnote>
  <w:footnote w:id="274">
    <w:p w:rsidR="008C5C78" w:rsidRPr="004B75F8" w:rsidRDefault="008C5C78" w:rsidP="00722D73">
      <w:pPr>
        <w:pStyle w:val="Textonotapie"/>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Regarding Mrs. Román Amariles, the representative argued that the non-pecuniary damage suffered results from: (i) the threats and harassments of which she was a victim in Colombia as of September 1997; (ii) the temporary family separation from October 1997 to September 1998; (iii) the exile and separation from her family in Colombia; (iv) the sacrifice and concern for the safety and well-being of her family; (v) the impunity in which the facts remain, and (vi) the harm to her life project since “the violations suffered and their consequences have put an end to her personal and professional projects.”</w:t>
      </w:r>
    </w:p>
  </w:footnote>
  <w:footnote w:id="275">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Regarding Mateo Vélez Román, the representative argued that the non-pecuniary damage suffered results from: (i) his status as a “direct and indirect victim of the threats, surveillance and harassment in Colombia”; (ii) the difficult family experience in Bogotá and the separation from his father in October 1997; (iii) the separation from his mother and his sister in Medellín; (iv) the exile and the situation he has had to undergo in the United States as an immigrant, where he has even had “to work while he was studying in order to provide financial support to his family”; (v) the “fight to define his identity because he feels that he has lost much of his Colombian roots and culture” and the “loss of his family ties with his grandparents, uncles, aunts and cousins,” and (vi) the “stress and physical signs of frailty” owing to “the psychological impact of all he has experienced.”</w:t>
      </w:r>
    </w:p>
  </w:footnote>
  <w:footnote w:id="276">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t>Regarding Juliana Vélez Román, the representative argued that the non-pecuniary damage suffered relates to: (i) the “abnormal turn” to her life “because of the grave violations suffered by her family in Colombia”; (ii) the separation from her father “at a very early age”; (iii) the exile in a country other than her own, with different socio-economic conditions and the separation from her family in Colombia, and (iv) having to share “the suffering of her parents and brother.”</w:t>
      </w:r>
    </w:p>
  </w:footnote>
  <w:footnote w:id="277">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bCs/>
          <w:i/>
          <w:szCs w:val="16"/>
          <w:lang w:val="en-US"/>
        </w:rPr>
        <w:t>Cf. Case of Garrido and Baigorria v. Argentina. Reparations and costs</w:t>
      </w:r>
      <w:r w:rsidRPr="004B75F8">
        <w:rPr>
          <w:bCs/>
          <w:szCs w:val="16"/>
          <w:lang w:val="en-US"/>
        </w:rPr>
        <w:t xml:space="preserve">, para. 79, and </w:t>
      </w:r>
      <w:r w:rsidRPr="004B75F8">
        <w:rPr>
          <w:bCs/>
          <w:i/>
          <w:szCs w:val="16"/>
          <w:lang w:val="en-US"/>
        </w:rPr>
        <w:t xml:space="preserve">Case of Fontevecchia and D’Amico v. Argentina. </w:t>
      </w:r>
      <w:r w:rsidRPr="004B75F8">
        <w:rPr>
          <w:color w:val="000000"/>
          <w:szCs w:val="16"/>
          <w:lang w:val="en-US"/>
        </w:rPr>
        <w:t>Merits, reparations and costs</w:t>
      </w:r>
      <w:r w:rsidRPr="004B75F8">
        <w:rPr>
          <w:bCs/>
          <w:szCs w:val="16"/>
          <w:lang w:val="en-US"/>
        </w:rPr>
        <w:t>, para. 124.</w:t>
      </w:r>
    </w:p>
  </w:footnote>
  <w:footnote w:id="278">
    <w:p w:rsidR="008C5C78" w:rsidRPr="004B75F8" w:rsidRDefault="008C5C78" w:rsidP="00722D73">
      <w:pPr>
        <w:spacing w:after="100"/>
        <w:jc w:val="both"/>
        <w:rPr>
          <w:sz w:val="16"/>
          <w:szCs w:val="16"/>
          <w:lang w:val="en-US"/>
        </w:rPr>
      </w:pPr>
      <w:r w:rsidRPr="004B75F8">
        <w:rPr>
          <w:rStyle w:val="Refdenotaalpie"/>
          <w:sz w:val="16"/>
          <w:szCs w:val="16"/>
          <w:lang w:val="en-US"/>
        </w:rPr>
        <w:footnoteRef/>
      </w:r>
      <w:r w:rsidRPr="004B75F8">
        <w:rPr>
          <w:sz w:val="16"/>
          <w:szCs w:val="16"/>
          <w:lang w:val="en-US"/>
        </w:rPr>
        <w:t xml:space="preserve"> </w:t>
      </w:r>
      <w:r w:rsidRPr="004B75F8">
        <w:rPr>
          <w:sz w:val="16"/>
          <w:szCs w:val="16"/>
          <w:lang w:val="en-US"/>
        </w:rPr>
        <w:tab/>
      </w:r>
      <w:r w:rsidRPr="004B75F8">
        <w:rPr>
          <w:rStyle w:val="TextonotapieCar"/>
          <w:i/>
          <w:szCs w:val="16"/>
          <w:lang w:val="en-US"/>
        </w:rPr>
        <w:t>Cf.</w:t>
      </w:r>
      <w:r w:rsidRPr="004B75F8">
        <w:rPr>
          <w:rStyle w:val="TextonotapieCar"/>
          <w:szCs w:val="16"/>
          <w:lang w:val="en-US"/>
        </w:rPr>
        <w:t xml:space="preserve"> </w:t>
      </w:r>
      <w:r w:rsidRPr="004B75F8">
        <w:rPr>
          <w:bCs/>
          <w:i/>
          <w:sz w:val="16"/>
          <w:szCs w:val="16"/>
          <w:lang w:val="en-US"/>
        </w:rPr>
        <w:t xml:space="preserve">Case of Garrido and Baigorria v. Argentina. </w:t>
      </w:r>
      <w:r w:rsidRPr="004B75F8">
        <w:rPr>
          <w:i/>
          <w:sz w:val="16"/>
          <w:szCs w:val="16"/>
          <w:lang w:val="en-US"/>
        </w:rPr>
        <w:t>Reparations and costs</w:t>
      </w:r>
      <w:r w:rsidRPr="004B75F8">
        <w:rPr>
          <w:sz w:val="16"/>
          <w:szCs w:val="16"/>
          <w:lang w:val="en-US"/>
        </w:rPr>
        <w:t xml:space="preserve">, para. 82,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328.</w:t>
      </w:r>
    </w:p>
  </w:footnote>
  <w:footnote w:id="279">
    <w:p w:rsidR="008C5C78" w:rsidRPr="004B75F8"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ab/>
      </w:r>
      <w:r w:rsidRPr="004B75F8">
        <w:rPr>
          <w:rStyle w:val="TextonotapieCar"/>
          <w:i/>
          <w:szCs w:val="16"/>
          <w:lang w:val="en-US"/>
        </w:rPr>
        <w:t xml:space="preserve">Cf. </w:t>
      </w:r>
      <w:r w:rsidRPr="004B75F8">
        <w:rPr>
          <w:i/>
          <w:szCs w:val="16"/>
          <w:lang w:val="en-US"/>
        </w:rPr>
        <w:t>Case of Molina Theissen v. Guatemala. Reparations and costs</w:t>
      </w:r>
      <w:r w:rsidRPr="004B75F8">
        <w:rPr>
          <w:szCs w:val="16"/>
          <w:lang w:val="en-US"/>
        </w:rPr>
        <w:t xml:space="preserve">, para. 22,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329</w:t>
      </w:r>
      <w:r w:rsidRPr="004B75F8">
        <w:rPr>
          <w:szCs w:val="16"/>
          <w:lang w:val="en-US"/>
        </w:rPr>
        <w:t>.</w:t>
      </w:r>
    </w:p>
  </w:footnote>
  <w:footnote w:id="280">
    <w:p w:rsidR="008C5C78" w:rsidRPr="004B75F8" w:rsidRDefault="008C5C78" w:rsidP="00722D73">
      <w:pPr>
        <w:pStyle w:val="Textonotapie"/>
        <w:tabs>
          <w:tab w:val="left" w:pos="720"/>
        </w:tabs>
        <w:spacing w:after="100"/>
        <w:rPr>
          <w:rFonts w:cs="Verdana"/>
          <w:bCs/>
          <w:i/>
          <w:szCs w:val="16"/>
          <w:lang w:val="en-US"/>
        </w:rPr>
      </w:pPr>
      <w:r w:rsidRPr="004B75F8">
        <w:rPr>
          <w:rStyle w:val="Refdenotaalpie"/>
          <w:szCs w:val="16"/>
          <w:lang w:val="en-US"/>
        </w:rPr>
        <w:footnoteRef/>
      </w:r>
      <w:r w:rsidRPr="004B75F8">
        <w:rPr>
          <w:rFonts w:cs="Verdana"/>
          <w:bCs/>
          <w:i/>
          <w:szCs w:val="16"/>
          <w:lang w:val="en-US"/>
        </w:rPr>
        <w:t xml:space="preserve"> </w:t>
      </w:r>
      <w:r w:rsidRPr="004B75F8">
        <w:rPr>
          <w:rFonts w:cs="Verdana"/>
          <w:bCs/>
          <w:i/>
          <w:szCs w:val="16"/>
          <w:lang w:val="en-US"/>
        </w:rPr>
        <w:tab/>
      </w:r>
      <w:r w:rsidRPr="004B75F8">
        <w:rPr>
          <w:rStyle w:val="TextonotapieCar"/>
          <w:i/>
          <w:szCs w:val="16"/>
          <w:lang w:val="en-US"/>
        </w:rPr>
        <w:t>Cf.</w:t>
      </w:r>
      <w:r w:rsidRPr="004B75F8">
        <w:rPr>
          <w:rStyle w:val="TextonotapieCar"/>
          <w:szCs w:val="16"/>
          <w:lang w:val="en-US"/>
        </w:rPr>
        <w:t xml:space="preserve"> </w:t>
      </w:r>
      <w:r w:rsidRPr="004B75F8">
        <w:rPr>
          <w:i/>
          <w:szCs w:val="16"/>
          <w:lang w:val="en-US"/>
        </w:rPr>
        <w:t>Case of Chaparro Álvarez and Lapo Íñiguez. v. Ecuador. Preliminary objections, merits, reparations and costs</w:t>
      </w:r>
      <w:r w:rsidRPr="004B75F8">
        <w:rPr>
          <w:szCs w:val="16"/>
          <w:lang w:val="en-US"/>
        </w:rPr>
        <w:t xml:space="preserve">. Judgment of </w:t>
      </w:r>
      <w:r w:rsidR="00334C3C" w:rsidRPr="004B75F8">
        <w:rPr>
          <w:szCs w:val="16"/>
          <w:lang w:val="en-US"/>
        </w:rPr>
        <w:t xml:space="preserve">November 21, </w:t>
      </w:r>
      <w:r w:rsidRPr="004B75F8">
        <w:rPr>
          <w:szCs w:val="16"/>
          <w:lang w:val="en-US"/>
        </w:rPr>
        <w:t xml:space="preserve">2007. Series C No. 170, para. 277, and </w:t>
      </w:r>
      <w:r w:rsidRPr="004B75F8">
        <w:rPr>
          <w:rStyle w:val="TextonotapieCar"/>
          <w:i/>
          <w:szCs w:val="16"/>
          <w:lang w:val="en-US"/>
        </w:rPr>
        <w:t xml:space="preserve">Case of the Kichwa Indigenous </w:t>
      </w:r>
      <w:r w:rsidR="00334C3C" w:rsidRPr="004B75F8">
        <w:rPr>
          <w:rStyle w:val="TextonotapieCar"/>
          <w:i/>
          <w:szCs w:val="16"/>
          <w:lang w:val="en-US"/>
        </w:rPr>
        <w:t>People</w:t>
      </w:r>
      <w:r w:rsidRPr="004B75F8">
        <w:rPr>
          <w:rStyle w:val="TextonotapieCar"/>
          <w:i/>
          <w:szCs w:val="16"/>
          <w:lang w:val="en-US"/>
        </w:rPr>
        <w:t xml:space="preserve"> of Sarayaku v. Ecuador. Merits and reparations</w:t>
      </w:r>
      <w:r w:rsidRPr="004B75F8">
        <w:rPr>
          <w:rStyle w:val="TextonotapieCar"/>
          <w:szCs w:val="16"/>
          <w:lang w:val="en-US"/>
        </w:rPr>
        <w:t>, para. 329.</w:t>
      </w:r>
    </w:p>
  </w:footnote>
  <w:footnote w:id="281">
    <w:p w:rsidR="008C5C78" w:rsidRPr="00334C3C" w:rsidRDefault="008C5C78" w:rsidP="00722D73">
      <w:pPr>
        <w:pStyle w:val="Textonotapie"/>
        <w:tabs>
          <w:tab w:val="left" w:pos="720"/>
        </w:tabs>
        <w:spacing w:after="100"/>
        <w:rPr>
          <w:szCs w:val="16"/>
          <w:lang w:val="en-US"/>
        </w:rPr>
      </w:pPr>
      <w:r w:rsidRPr="004B75F8">
        <w:rPr>
          <w:rStyle w:val="Refdenotaalpie"/>
          <w:szCs w:val="16"/>
          <w:lang w:val="en-US"/>
        </w:rPr>
        <w:footnoteRef/>
      </w:r>
      <w:r w:rsidRPr="004B75F8">
        <w:rPr>
          <w:szCs w:val="16"/>
          <w:lang w:val="en-US"/>
        </w:rPr>
        <w:t xml:space="preserve"> </w:t>
      </w:r>
      <w:r w:rsidRPr="004B75F8">
        <w:rPr>
          <w:szCs w:val="16"/>
          <w:lang w:val="en-US"/>
        </w:rPr>
        <w:tab/>
      </w:r>
      <w:r w:rsidRPr="004B75F8">
        <w:rPr>
          <w:i/>
          <w:szCs w:val="16"/>
          <w:lang w:val="en-US"/>
        </w:rPr>
        <w:t xml:space="preserve">Cf. </w:t>
      </w:r>
      <w:r w:rsidRPr="004B75F8">
        <w:rPr>
          <w:szCs w:val="16"/>
          <w:lang w:val="en-US"/>
        </w:rPr>
        <w:t>Vouchers for expenses of the George Washington University International Human Rights Clinic, from February 18 to 21, 2011 (file of annexes to the pleadings and motions brief, tome II, folios 668 to 683).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C78" w:rsidRDefault="008C5C78">
    <w:pPr>
      <w:pStyle w:val="Encabezado"/>
      <w:jc w:val="center"/>
    </w:pPr>
  </w:p>
  <w:p w:rsidR="008C5C78" w:rsidRDefault="008C5C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1"/>
      <w:numFmt w:val="decimal"/>
      <w:lvlText w:val="%1."/>
      <w:lvlJc w:val="left"/>
      <w:pPr>
        <w:tabs>
          <w:tab w:val="num" w:pos="0"/>
        </w:tabs>
        <w:ind w:left="795" w:hanging="795"/>
      </w:pPr>
      <w:rPr>
        <w:rFonts w:ascii="Verdana" w:hAnsi="Verdana" w:cs="Times New Roman"/>
        <w:b w:val="0"/>
        <w:i w:val="0"/>
        <w:strike w:val="0"/>
        <w:dstrike w:val="0"/>
        <w:color w:val="auto"/>
        <w:sz w:val="20"/>
        <w:szCs w:val="20"/>
        <w:lang w:val="es-ES"/>
      </w:rPr>
    </w:lvl>
  </w:abstractNum>
  <w:abstractNum w:abstractNumId="1">
    <w:nsid w:val="00641FE3"/>
    <w:multiLevelType w:val="hybridMultilevel"/>
    <w:tmpl w:val="DFAECFB4"/>
    <w:lvl w:ilvl="0" w:tplc="967A2AB6">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D90297"/>
    <w:multiLevelType w:val="hybridMultilevel"/>
    <w:tmpl w:val="7714C4DE"/>
    <w:lvl w:ilvl="0" w:tplc="EC6456D2">
      <w:start w:val="1"/>
      <w:numFmt w:val="decimal"/>
      <w:lvlText w:val="%1."/>
      <w:lvlJc w:val="left"/>
      <w:pPr>
        <w:tabs>
          <w:tab w:val="num" w:pos="720"/>
        </w:tabs>
        <w:ind w:left="720" w:hanging="360"/>
      </w:pPr>
      <w:rPr>
        <w:rFonts w:cs="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972BC0"/>
    <w:multiLevelType w:val="hybridMultilevel"/>
    <w:tmpl w:val="3BB634C2"/>
    <w:lvl w:ilvl="0" w:tplc="5B9621B4">
      <w:start w:val="2"/>
      <w:numFmt w:val="upperLetter"/>
      <w:lvlText w:val="%1)"/>
      <w:lvlJc w:val="left"/>
      <w:pPr>
        <w:ind w:left="1134" w:firstLine="0"/>
      </w:pPr>
      <w:rPr>
        <w:rFonts w:hint="default"/>
      </w:rPr>
    </w:lvl>
    <w:lvl w:ilvl="1" w:tplc="240A0019" w:tentative="1">
      <w:start w:val="1"/>
      <w:numFmt w:val="lowerLetter"/>
      <w:lvlText w:val="%2."/>
      <w:lvlJc w:val="left"/>
      <w:pPr>
        <w:ind w:left="3915" w:hanging="360"/>
      </w:pPr>
    </w:lvl>
    <w:lvl w:ilvl="2" w:tplc="240A001B" w:tentative="1">
      <w:start w:val="1"/>
      <w:numFmt w:val="lowerRoman"/>
      <w:lvlText w:val="%3."/>
      <w:lvlJc w:val="right"/>
      <w:pPr>
        <w:ind w:left="4635" w:hanging="180"/>
      </w:pPr>
    </w:lvl>
    <w:lvl w:ilvl="3" w:tplc="240A000F" w:tentative="1">
      <w:start w:val="1"/>
      <w:numFmt w:val="decimal"/>
      <w:lvlText w:val="%4."/>
      <w:lvlJc w:val="left"/>
      <w:pPr>
        <w:ind w:left="5355" w:hanging="360"/>
      </w:pPr>
    </w:lvl>
    <w:lvl w:ilvl="4" w:tplc="240A0019" w:tentative="1">
      <w:start w:val="1"/>
      <w:numFmt w:val="lowerLetter"/>
      <w:lvlText w:val="%5."/>
      <w:lvlJc w:val="left"/>
      <w:pPr>
        <w:ind w:left="6075" w:hanging="360"/>
      </w:pPr>
    </w:lvl>
    <w:lvl w:ilvl="5" w:tplc="240A001B" w:tentative="1">
      <w:start w:val="1"/>
      <w:numFmt w:val="lowerRoman"/>
      <w:lvlText w:val="%6."/>
      <w:lvlJc w:val="right"/>
      <w:pPr>
        <w:ind w:left="6795" w:hanging="180"/>
      </w:pPr>
    </w:lvl>
    <w:lvl w:ilvl="6" w:tplc="240A000F" w:tentative="1">
      <w:start w:val="1"/>
      <w:numFmt w:val="decimal"/>
      <w:lvlText w:val="%7."/>
      <w:lvlJc w:val="left"/>
      <w:pPr>
        <w:ind w:left="7515" w:hanging="360"/>
      </w:pPr>
    </w:lvl>
    <w:lvl w:ilvl="7" w:tplc="240A0019" w:tentative="1">
      <w:start w:val="1"/>
      <w:numFmt w:val="lowerLetter"/>
      <w:lvlText w:val="%8."/>
      <w:lvlJc w:val="left"/>
      <w:pPr>
        <w:ind w:left="8235" w:hanging="360"/>
      </w:pPr>
    </w:lvl>
    <w:lvl w:ilvl="8" w:tplc="240A001B" w:tentative="1">
      <w:start w:val="1"/>
      <w:numFmt w:val="lowerRoman"/>
      <w:lvlText w:val="%9."/>
      <w:lvlJc w:val="right"/>
      <w:pPr>
        <w:ind w:left="8955" w:hanging="180"/>
      </w:pPr>
    </w:lvl>
  </w:abstractNum>
  <w:abstractNum w:abstractNumId="4">
    <w:nsid w:val="173E6C52"/>
    <w:multiLevelType w:val="hybridMultilevel"/>
    <w:tmpl w:val="96AE1644"/>
    <w:lvl w:ilvl="0" w:tplc="A07ADF04">
      <w:start w:val="1"/>
      <w:numFmt w:val="decimal"/>
      <w:lvlText w:val="%1."/>
      <w:lvlJc w:val="left"/>
      <w:pPr>
        <w:tabs>
          <w:tab w:val="num" w:pos="720"/>
        </w:tabs>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A3772"/>
    <w:multiLevelType w:val="hybridMultilevel"/>
    <w:tmpl w:val="A7E4565A"/>
    <w:lvl w:ilvl="0" w:tplc="32C2C8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D6A82"/>
    <w:multiLevelType w:val="hybridMultilevel"/>
    <w:tmpl w:val="3AE0344C"/>
    <w:lvl w:ilvl="0" w:tplc="91C0E966">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9B6CE7"/>
    <w:multiLevelType w:val="multilevel"/>
    <w:tmpl w:val="DE02ADDE"/>
    <w:lvl w:ilvl="0">
      <w:start w:val="1"/>
      <w:numFmt w:val="decimal"/>
      <w:lvlText w:val="%1."/>
      <w:lvlJc w:val="left"/>
      <w:pPr>
        <w:tabs>
          <w:tab w:val="num" w:pos="680"/>
        </w:tabs>
        <w:ind w:left="0" w:firstLine="0"/>
      </w:pPr>
      <w:rPr>
        <w:rFonts w:hint="default"/>
        <w:b w:val="0"/>
        <w:i w:val="0"/>
        <w:strike w:val="0"/>
        <w:color w:val="auto"/>
        <w:sz w:val="20"/>
      </w:rPr>
    </w:lvl>
    <w:lvl w:ilvl="1">
      <w:start w:val="1"/>
      <w:numFmt w:val="bullet"/>
      <w:lvlText w:val=""/>
      <w:lvlJc w:val="left"/>
      <w:pPr>
        <w:tabs>
          <w:tab w:val="num" w:pos="1247"/>
        </w:tabs>
        <w:ind w:left="567" w:firstLine="0"/>
      </w:pPr>
      <w:rPr>
        <w:rFonts w:ascii="Symbol" w:hAnsi="Symbol" w:hint="default"/>
        <w:b w:val="0"/>
        <w:i w:val="0"/>
        <w:strike w:val="0"/>
        <w:sz w:val="20"/>
      </w:rPr>
    </w:lvl>
    <w:lvl w:ilvl="2">
      <w:start w:val="1"/>
      <w:numFmt w:val="bullet"/>
      <w:lvlText w:val="-"/>
      <w:lvlJc w:val="left"/>
      <w:pPr>
        <w:tabs>
          <w:tab w:val="num" w:pos="1814"/>
        </w:tabs>
        <w:ind w:left="1134" w:firstLine="0"/>
      </w:pPr>
      <w:rPr>
        <w:rFonts w:ascii="Verdana" w:hAnsi="Verdana" w:hint="default"/>
      </w:rPr>
    </w:lvl>
    <w:lvl w:ilvl="3">
      <w:start w:val="1"/>
      <w:numFmt w:val="decimal"/>
      <w:lvlText w:val="%4."/>
      <w:lvlJc w:val="left"/>
      <w:pPr>
        <w:tabs>
          <w:tab w:val="num" w:pos="2381"/>
        </w:tabs>
        <w:ind w:left="1701" w:firstLine="0"/>
      </w:pPr>
      <w:rPr>
        <w:rFonts w:hint="default"/>
      </w:rPr>
    </w:lvl>
    <w:lvl w:ilvl="4">
      <w:start w:val="1"/>
      <w:numFmt w:val="lowerLetter"/>
      <w:lvlText w:val="%5)"/>
      <w:lvlJc w:val="left"/>
      <w:pPr>
        <w:tabs>
          <w:tab w:val="num" w:pos="2948"/>
        </w:tabs>
        <w:ind w:left="2268" w:firstLine="0"/>
      </w:pPr>
      <w:rPr>
        <w:rFonts w:hint="default"/>
      </w:rPr>
    </w:lvl>
    <w:lvl w:ilvl="5">
      <w:start w:val="1"/>
      <w:numFmt w:val="upperLetter"/>
      <w:lvlText w:val="%6)"/>
      <w:lvlJc w:val="left"/>
      <w:pPr>
        <w:tabs>
          <w:tab w:val="num" w:pos="3515"/>
        </w:tabs>
        <w:ind w:left="2835" w:firstLine="0"/>
      </w:pPr>
      <w:rPr>
        <w:rFonts w:hint="default"/>
        <w:sz w:val="20"/>
      </w:rPr>
    </w:lvl>
    <w:lvl w:ilvl="6">
      <w:start w:val="1"/>
      <w:numFmt w:val="decimal"/>
      <w:lvlText w:val="%7."/>
      <w:lvlJc w:val="left"/>
      <w:pPr>
        <w:tabs>
          <w:tab w:val="num" w:pos="4082"/>
        </w:tabs>
        <w:ind w:left="3402" w:firstLine="0"/>
      </w:pPr>
      <w:rPr>
        <w:rFonts w:hint="default"/>
      </w:rPr>
    </w:lvl>
    <w:lvl w:ilvl="7">
      <w:start w:val="1"/>
      <w:numFmt w:val="lowerLetter"/>
      <w:lvlText w:val="%8."/>
      <w:lvlJc w:val="left"/>
      <w:pPr>
        <w:tabs>
          <w:tab w:val="num" w:pos="4649"/>
        </w:tabs>
        <w:ind w:left="3969" w:firstLine="0"/>
      </w:pPr>
      <w:rPr>
        <w:rFonts w:hint="default"/>
      </w:rPr>
    </w:lvl>
    <w:lvl w:ilvl="8">
      <w:start w:val="1"/>
      <w:numFmt w:val="lowerRoman"/>
      <w:lvlText w:val="%9."/>
      <w:lvlJc w:val="right"/>
      <w:pPr>
        <w:tabs>
          <w:tab w:val="num" w:pos="5216"/>
        </w:tabs>
        <w:ind w:left="4536" w:firstLine="0"/>
      </w:pPr>
      <w:rPr>
        <w:rFonts w:hint="default"/>
      </w:rPr>
    </w:lvl>
  </w:abstractNum>
  <w:abstractNum w:abstractNumId="8">
    <w:nsid w:val="1ACD596F"/>
    <w:multiLevelType w:val="hybridMultilevel"/>
    <w:tmpl w:val="65386CE0"/>
    <w:lvl w:ilvl="0" w:tplc="7932F0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11E05"/>
    <w:multiLevelType w:val="hybridMultilevel"/>
    <w:tmpl w:val="0B02B32A"/>
    <w:lvl w:ilvl="0" w:tplc="95E01C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F7AB8"/>
    <w:multiLevelType w:val="hybridMultilevel"/>
    <w:tmpl w:val="14BA8C82"/>
    <w:lvl w:ilvl="0" w:tplc="864CB18E">
      <w:start w:val="1"/>
      <w:numFmt w:val="upperLetter"/>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11">
    <w:nsid w:val="25B54F0B"/>
    <w:multiLevelType w:val="hybridMultilevel"/>
    <w:tmpl w:val="E45E8348"/>
    <w:lvl w:ilvl="0" w:tplc="128AAE80">
      <w:start w:val="1"/>
      <w:numFmt w:val="upperLetter"/>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2">
    <w:nsid w:val="263320B5"/>
    <w:multiLevelType w:val="hybridMultilevel"/>
    <w:tmpl w:val="62F0F40C"/>
    <w:lvl w:ilvl="0" w:tplc="2FA085FA">
      <w:start w:val="1"/>
      <w:numFmt w:val="lowerRoman"/>
      <w:lvlText w:val="%1)"/>
      <w:lvlJc w:val="left"/>
      <w:pPr>
        <w:ind w:left="2160" w:hanging="72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6E00F38"/>
    <w:multiLevelType w:val="hybridMultilevel"/>
    <w:tmpl w:val="7B165850"/>
    <w:lvl w:ilvl="0" w:tplc="D9260E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D5C591A"/>
    <w:multiLevelType w:val="hybridMultilevel"/>
    <w:tmpl w:val="FD4023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CB364F"/>
    <w:multiLevelType w:val="multilevel"/>
    <w:tmpl w:val="DE02ADDE"/>
    <w:lvl w:ilvl="0">
      <w:start w:val="1"/>
      <w:numFmt w:val="decimal"/>
      <w:lvlText w:val="%1."/>
      <w:lvlJc w:val="left"/>
      <w:pPr>
        <w:tabs>
          <w:tab w:val="num" w:pos="680"/>
        </w:tabs>
        <w:ind w:left="0" w:firstLine="0"/>
      </w:pPr>
      <w:rPr>
        <w:rFonts w:hint="default"/>
        <w:b w:val="0"/>
        <w:i w:val="0"/>
        <w:strike w:val="0"/>
        <w:color w:val="auto"/>
        <w:sz w:val="20"/>
      </w:rPr>
    </w:lvl>
    <w:lvl w:ilvl="1">
      <w:start w:val="1"/>
      <w:numFmt w:val="bullet"/>
      <w:lvlText w:val=""/>
      <w:lvlJc w:val="left"/>
      <w:pPr>
        <w:tabs>
          <w:tab w:val="num" w:pos="1247"/>
        </w:tabs>
        <w:ind w:left="567" w:firstLine="0"/>
      </w:pPr>
      <w:rPr>
        <w:rFonts w:ascii="Symbol" w:hAnsi="Symbol" w:hint="default"/>
        <w:b w:val="0"/>
        <w:i w:val="0"/>
        <w:strike w:val="0"/>
        <w:sz w:val="20"/>
      </w:rPr>
    </w:lvl>
    <w:lvl w:ilvl="2">
      <w:start w:val="1"/>
      <w:numFmt w:val="bullet"/>
      <w:lvlText w:val="-"/>
      <w:lvlJc w:val="left"/>
      <w:pPr>
        <w:tabs>
          <w:tab w:val="num" w:pos="1814"/>
        </w:tabs>
        <w:ind w:left="1134" w:firstLine="0"/>
      </w:pPr>
      <w:rPr>
        <w:rFonts w:ascii="Verdana" w:hAnsi="Verdana" w:hint="default"/>
      </w:rPr>
    </w:lvl>
    <w:lvl w:ilvl="3">
      <w:start w:val="1"/>
      <w:numFmt w:val="decimal"/>
      <w:lvlText w:val="%4."/>
      <w:lvlJc w:val="left"/>
      <w:pPr>
        <w:tabs>
          <w:tab w:val="num" w:pos="2381"/>
        </w:tabs>
        <w:ind w:left="1701" w:firstLine="0"/>
      </w:pPr>
      <w:rPr>
        <w:rFonts w:hint="default"/>
      </w:rPr>
    </w:lvl>
    <w:lvl w:ilvl="4">
      <w:start w:val="1"/>
      <w:numFmt w:val="lowerLetter"/>
      <w:lvlText w:val="%5)"/>
      <w:lvlJc w:val="left"/>
      <w:pPr>
        <w:tabs>
          <w:tab w:val="num" w:pos="2948"/>
        </w:tabs>
        <w:ind w:left="2268" w:firstLine="0"/>
      </w:pPr>
      <w:rPr>
        <w:rFonts w:hint="default"/>
      </w:rPr>
    </w:lvl>
    <w:lvl w:ilvl="5">
      <w:start w:val="1"/>
      <w:numFmt w:val="upperLetter"/>
      <w:lvlText w:val="%6)"/>
      <w:lvlJc w:val="left"/>
      <w:pPr>
        <w:tabs>
          <w:tab w:val="num" w:pos="3515"/>
        </w:tabs>
        <w:ind w:left="2835" w:firstLine="0"/>
      </w:pPr>
      <w:rPr>
        <w:rFonts w:hint="default"/>
        <w:sz w:val="20"/>
      </w:rPr>
    </w:lvl>
    <w:lvl w:ilvl="6">
      <w:start w:val="1"/>
      <w:numFmt w:val="decimal"/>
      <w:lvlText w:val="%7."/>
      <w:lvlJc w:val="left"/>
      <w:pPr>
        <w:tabs>
          <w:tab w:val="num" w:pos="4082"/>
        </w:tabs>
        <w:ind w:left="3402" w:firstLine="0"/>
      </w:pPr>
      <w:rPr>
        <w:rFonts w:hint="default"/>
      </w:rPr>
    </w:lvl>
    <w:lvl w:ilvl="7">
      <w:start w:val="1"/>
      <w:numFmt w:val="lowerLetter"/>
      <w:lvlText w:val="%8."/>
      <w:lvlJc w:val="left"/>
      <w:pPr>
        <w:tabs>
          <w:tab w:val="num" w:pos="4649"/>
        </w:tabs>
        <w:ind w:left="3969" w:firstLine="0"/>
      </w:pPr>
      <w:rPr>
        <w:rFonts w:hint="default"/>
      </w:rPr>
    </w:lvl>
    <w:lvl w:ilvl="8">
      <w:start w:val="1"/>
      <w:numFmt w:val="lowerRoman"/>
      <w:lvlText w:val="%9."/>
      <w:lvlJc w:val="right"/>
      <w:pPr>
        <w:tabs>
          <w:tab w:val="num" w:pos="5216"/>
        </w:tabs>
        <w:ind w:left="4536" w:firstLine="0"/>
      </w:pPr>
      <w:rPr>
        <w:rFonts w:hint="default"/>
      </w:rPr>
    </w:lvl>
  </w:abstractNum>
  <w:abstractNum w:abstractNumId="16">
    <w:nsid w:val="34ED1AF9"/>
    <w:multiLevelType w:val="hybridMultilevel"/>
    <w:tmpl w:val="2DC06688"/>
    <w:lvl w:ilvl="0" w:tplc="09F4492E">
      <w:start w:val="1"/>
      <w:numFmt w:val="upperLetter"/>
      <w:lvlText w:val="%1."/>
      <w:lvlJc w:val="left"/>
      <w:pPr>
        <w:ind w:left="1080" w:hanging="360"/>
      </w:pPr>
      <w:rPr>
        <w:rFonts w:ascii="Verdana" w:eastAsia="Times New Roman" w:hAnsi="Verdana" w:cs="Wingdings"/>
      </w:rPr>
    </w:lvl>
    <w:lvl w:ilvl="1" w:tplc="DA50B75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3F342A"/>
    <w:multiLevelType w:val="hybridMultilevel"/>
    <w:tmpl w:val="9D4A8DFE"/>
    <w:lvl w:ilvl="0" w:tplc="2C42408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3A6040BB"/>
    <w:multiLevelType w:val="hybridMultilevel"/>
    <w:tmpl w:val="943E8FD0"/>
    <w:lvl w:ilvl="0" w:tplc="04090015">
      <w:start w:val="1"/>
      <w:numFmt w:val="decimal"/>
      <w:lvlText w:val="%1."/>
      <w:lvlJc w:val="left"/>
      <w:pPr>
        <w:tabs>
          <w:tab w:val="num" w:pos="1427"/>
        </w:tabs>
      </w:pPr>
      <w:rPr>
        <w:rFonts w:ascii="Verdana" w:eastAsia="Times New Roman" w:hAnsi="Verdana" w:cs="Times New Roman"/>
        <w:b w:val="0"/>
        <w:i w:val="0"/>
        <w:color w:val="auto"/>
        <w:sz w:val="20"/>
        <w:lang w:val="es-CR"/>
      </w:rPr>
    </w:lvl>
    <w:lvl w:ilvl="1" w:tplc="04090019">
      <w:start w:val="1"/>
      <w:numFmt w:val="lowerLetter"/>
      <w:lvlText w:val="%2)"/>
      <w:lvlJc w:val="left"/>
      <w:pPr>
        <w:tabs>
          <w:tab w:val="num" w:pos="1080"/>
        </w:tabs>
        <w:ind w:left="1080" w:hanging="360"/>
      </w:pPr>
      <w:rPr>
        <w:rFont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3BC93EBB"/>
    <w:multiLevelType w:val="multilevel"/>
    <w:tmpl w:val="F97ED8AA"/>
    <w:lvl w:ilvl="0">
      <w:start w:val="252"/>
      <w:numFmt w:val="decimal"/>
      <w:lvlText w:val="%1."/>
      <w:lvlJc w:val="left"/>
      <w:pPr>
        <w:tabs>
          <w:tab w:val="num" w:pos="680"/>
        </w:tabs>
        <w:ind w:left="0" w:firstLine="0"/>
      </w:pPr>
      <w:rPr>
        <w:rFonts w:hint="default"/>
        <w:b w:val="0"/>
        <w:i w:val="0"/>
        <w:strike w:val="0"/>
        <w:color w:val="auto"/>
        <w:sz w:val="20"/>
      </w:rPr>
    </w:lvl>
    <w:lvl w:ilvl="1">
      <w:start w:val="1"/>
      <w:numFmt w:val="bullet"/>
      <w:lvlText w:val=""/>
      <w:lvlJc w:val="left"/>
      <w:pPr>
        <w:tabs>
          <w:tab w:val="num" w:pos="1247"/>
        </w:tabs>
        <w:ind w:left="567" w:firstLine="0"/>
      </w:pPr>
      <w:rPr>
        <w:rFonts w:ascii="Symbol" w:hAnsi="Symbol" w:hint="default"/>
        <w:b w:val="0"/>
        <w:i w:val="0"/>
        <w:strike w:val="0"/>
        <w:sz w:val="20"/>
      </w:rPr>
    </w:lvl>
    <w:lvl w:ilvl="2">
      <w:start w:val="1"/>
      <w:numFmt w:val="bullet"/>
      <w:lvlText w:val="-"/>
      <w:lvlJc w:val="left"/>
      <w:pPr>
        <w:tabs>
          <w:tab w:val="num" w:pos="1814"/>
        </w:tabs>
        <w:ind w:left="1134" w:firstLine="0"/>
      </w:pPr>
      <w:rPr>
        <w:rFonts w:ascii="Verdana" w:hAnsi="Verdana" w:hint="default"/>
      </w:rPr>
    </w:lvl>
    <w:lvl w:ilvl="3">
      <w:start w:val="1"/>
      <w:numFmt w:val="decimal"/>
      <w:lvlText w:val="%4."/>
      <w:lvlJc w:val="left"/>
      <w:pPr>
        <w:tabs>
          <w:tab w:val="num" w:pos="2381"/>
        </w:tabs>
        <w:ind w:left="1701" w:firstLine="0"/>
      </w:pPr>
      <w:rPr>
        <w:rFonts w:hint="default"/>
      </w:rPr>
    </w:lvl>
    <w:lvl w:ilvl="4">
      <w:start w:val="1"/>
      <w:numFmt w:val="lowerLetter"/>
      <w:lvlText w:val="%5)"/>
      <w:lvlJc w:val="left"/>
      <w:pPr>
        <w:tabs>
          <w:tab w:val="num" w:pos="2948"/>
        </w:tabs>
        <w:ind w:left="2268" w:firstLine="0"/>
      </w:pPr>
      <w:rPr>
        <w:rFonts w:hint="default"/>
      </w:rPr>
    </w:lvl>
    <w:lvl w:ilvl="5">
      <w:start w:val="1"/>
      <w:numFmt w:val="upperLetter"/>
      <w:lvlText w:val="%6)"/>
      <w:lvlJc w:val="left"/>
      <w:pPr>
        <w:tabs>
          <w:tab w:val="num" w:pos="3515"/>
        </w:tabs>
        <w:ind w:left="2835" w:firstLine="0"/>
      </w:pPr>
      <w:rPr>
        <w:rFonts w:hint="default"/>
        <w:sz w:val="20"/>
      </w:rPr>
    </w:lvl>
    <w:lvl w:ilvl="6">
      <w:start w:val="1"/>
      <w:numFmt w:val="decimal"/>
      <w:lvlText w:val="%7."/>
      <w:lvlJc w:val="left"/>
      <w:pPr>
        <w:tabs>
          <w:tab w:val="num" w:pos="4082"/>
        </w:tabs>
        <w:ind w:left="3402" w:firstLine="0"/>
      </w:pPr>
      <w:rPr>
        <w:rFonts w:hint="default"/>
      </w:rPr>
    </w:lvl>
    <w:lvl w:ilvl="7">
      <w:start w:val="1"/>
      <w:numFmt w:val="lowerLetter"/>
      <w:lvlText w:val="%8."/>
      <w:lvlJc w:val="left"/>
      <w:pPr>
        <w:tabs>
          <w:tab w:val="num" w:pos="4649"/>
        </w:tabs>
        <w:ind w:left="3969" w:firstLine="0"/>
      </w:pPr>
      <w:rPr>
        <w:rFonts w:hint="default"/>
      </w:rPr>
    </w:lvl>
    <w:lvl w:ilvl="8">
      <w:start w:val="1"/>
      <w:numFmt w:val="lowerRoman"/>
      <w:lvlText w:val="%9."/>
      <w:lvlJc w:val="right"/>
      <w:pPr>
        <w:tabs>
          <w:tab w:val="num" w:pos="5216"/>
        </w:tabs>
        <w:ind w:left="4536" w:firstLine="0"/>
      </w:pPr>
      <w:rPr>
        <w:rFonts w:hint="default"/>
      </w:rPr>
    </w:lvl>
  </w:abstractNum>
  <w:abstractNum w:abstractNumId="20">
    <w:nsid w:val="3BF4433C"/>
    <w:multiLevelType w:val="hybridMultilevel"/>
    <w:tmpl w:val="4FA4E13E"/>
    <w:lvl w:ilvl="0" w:tplc="61126D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3C4DEB"/>
    <w:multiLevelType w:val="hybridMultilevel"/>
    <w:tmpl w:val="DD3855D4"/>
    <w:lvl w:ilvl="0" w:tplc="28EEAB36">
      <w:start w:val="1"/>
      <w:numFmt w:val="upperLetter"/>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2">
    <w:nsid w:val="4EDD293E"/>
    <w:multiLevelType w:val="hybridMultilevel"/>
    <w:tmpl w:val="943E8FD0"/>
    <w:lvl w:ilvl="0" w:tplc="04090015">
      <w:start w:val="1"/>
      <w:numFmt w:val="decimal"/>
      <w:lvlText w:val="%1."/>
      <w:lvlJc w:val="left"/>
      <w:pPr>
        <w:tabs>
          <w:tab w:val="num" w:pos="2147"/>
        </w:tabs>
      </w:pPr>
      <w:rPr>
        <w:rFonts w:ascii="Verdana" w:eastAsia="Times New Roman" w:hAnsi="Verdana" w:cs="Times New Roman"/>
        <w:b w:val="0"/>
        <w:i w:val="0"/>
        <w:color w:val="auto"/>
        <w:sz w:val="20"/>
        <w:lang w:val="es-CR"/>
      </w:rPr>
    </w:lvl>
    <w:lvl w:ilvl="1" w:tplc="04090019">
      <w:start w:val="1"/>
      <w:numFmt w:val="lowerLetter"/>
      <w:lvlText w:val="%2)"/>
      <w:lvlJc w:val="left"/>
      <w:pPr>
        <w:tabs>
          <w:tab w:val="num" w:pos="1800"/>
        </w:tabs>
        <w:ind w:left="1800" w:hanging="360"/>
      </w:pPr>
      <w:rPr>
        <w:rFonts w:cs="Times New Roman" w:hint="default"/>
        <w:b w:val="0"/>
        <w:i w:val="0"/>
        <w:sz w:val="20"/>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3">
    <w:nsid w:val="52F3018E"/>
    <w:multiLevelType w:val="hybridMultilevel"/>
    <w:tmpl w:val="DCE83D78"/>
    <w:lvl w:ilvl="0" w:tplc="AAC61070">
      <w:start w:val="1"/>
      <w:numFmt w:val="upperLetter"/>
      <w:lvlText w:val="%1."/>
      <w:lvlJc w:val="left"/>
      <w:pPr>
        <w:ind w:left="1080" w:hanging="360"/>
      </w:pPr>
      <w:rPr>
        <w:rFonts w:hint="default"/>
      </w:rPr>
    </w:lvl>
    <w:lvl w:ilvl="1" w:tplc="91ECB87E"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24">
    <w:nsid w:val="5D2A6B5C"/>
    <w:multiLevelType w:val="hybridMultilevel"/>
    <w:tmpl w:val="7B165850"/>
    <w:lvl w:ilvl="0" w:tplc="D9260E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4D87182"/>
    <w:multiLevelType w:val="hybridMultilevel"/>
    <w:tmpl w:val="2F147AB4"/>
    <w:lvl w:ilvl="0" w:tplc="21BCB454">
      <w:start w:val="1"/>
      <w:numFmt w:val="upperRoman"/>
      <w:lvlText w:val="%1."/>
      <w:lvlJc w:val="left"/>
      <w:pPr>
        <w:ind w:left="1080" w:hanging="720"/>
      </w:pPr>
      <w:rPr>
        <w:rFonts w:cs="Times New Roman" w:hint="default"/>
        <w:b/>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674B794D"/>
    <w:multiLevelType w:val="hybridMultilevel"/>
    <w:tmpl w:val="DD1AE0FC"/>
    <w:lvl w:ilvl="0" w:tplc="8DDEE286">
      <w:start w:val="1"/>
      <w:numFmt w:val="upp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7">
    <w:nsid w:val="6998481C"/>
    <w:multiLevelType w:val="hybridMultilevel"/>
    <w:tmpl w:val="8550E8EA"/>
    <w:lvl w:ilvl="0" w:tplc="E8CEC910">
      <w:start w:val="1"/>
      <w:numFmt w:val="decimal"/>
      <w:lvlText w:val="%1."/>
      <w:lvlJc w:val="left"/>
      <w:pPr>
        <w:ind w:left="1080" w:hanging="720"/>
      </w:pPr>
      <w:rPr>
        <w:rFonts w:hint="default"/>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1A6B37"/>
    <w:multiLevelType w:val="hybridMultilevel"/>
    <w:tmpl w:val="F6642478"/>
    <w:lvl w:ilvl="0" w:tplc="7AD845D8">
      <w:start w:val="219"/>
      <w:numFmt w:val="decimal"/>
      <w:lvlText w:val="%1."/>
      <w:lvlJc w:val="left"/>
      <w:pPr>
        <w:ind w:left="1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4C7063"/>
    <w:multiLevelType w:val="hybridMultilevel"/>
    <w:tmpl w:val="C83E8960"/>
    <w:lvl w:ilvl="0" w:tplc="174E599E">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741777F8"/>
    <w:multiLevelType w:val="hybridMultilevel"/>
    <w:tmpl w:val="6C929058"/>
    <w:lvl w:ilvl="0" w:tplc="04090015">
      <w:start w:val="1"/>
      <w:numFmt w:val="bullet"/>
      <w:lvlText w:val="o"/>
      <w:lvlJc w:val="left"/>
      <w:pPr>
        <w:ind w:left="1440" w:hanging="360"/>
      </w:pPr>
      <w:rPr>
        <w:rFonts w:ascii="Courier New" w:hAnsi="Courier New" w:cs="Wingdings" w:hint="default"/>
      </w:rPr>
    </w:lvl>
    <w:lvl w:ilvl="1" w:tplc="04090019" w:tentative="1">
      <w:start w:val="1"/>
      <w:numFmt w:val="bullet"/>
      <w:lvlText w:val="o"/>
      <w:lvlJc w:val="left"/>
      <w:pPr>
        <w:ind w:left="2160" w:hanging="360"/>
      </w:pPr>
      <w:rPr>
        <w:rFonts w:ascii="Courier New" w:hAnsi="Courier New" w:cs="Wingdings"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Wingdings"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Wingdings" w:hint="default"/>
      </w:rPr>
    </w:lvl>
    <w:lvl w:ilvl="8" w:tplc="0409001B" w:tentative="1">
      <w:start w:val="1"/>
      <w:numFmt w:val="bullet"/>
      <w:lvlText w:val=""/>
      <w:lvlJc w:val="left"/>
      <w:pPr>
        <w:ind w:left="7200" w:hanging="360"/>
      </w:pPr>
      <w:rPr>
        <w:rFonts w:ascii="Wingdings" w:hAnsi="Wingdings" w:hint="default"/>
      </w:rPr>
    </w:lvl>
  </w:abstractNum>
  <w:abstractNum w:abstractNumId="31">
    <w:nsid w:val="7CC324F6"/>
    <w:multiLevelType w:val="hybridMultilevel"/>
    <w:tmpl w:val="423A11B8"/>
    <w:lvl w:ilvl="0" w:tplc="04090001">
      <w:start w:val="1"/>
      <w:numFmt w:val="upperLetter"/>
      <w:lvlText w:val="%1."/>
      <w:lvlJc w:val="left"/>
      <w:pPr>
        <w:ind w:left="720" w:hanging="360"/>
      </w:pPr>
      <w:rPr>
        <w:rFonts w:cs="Times New Roman"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nsid w:val="7CE64D32"/>
    <w:multiLevelType w:val="hybridMultilevel"/>
    <w:tmpl w:val="EBD85F3A"/>
    <w:lvl w:ilvl="0" w:tplc="04090015">
      <w:start w:val="1"/>
      <w:numFmt w:val="decimal"/>
      <w:lvlText w:val="%1."/>
      <w:lvlJc w:val="left"/>
      <w:pPr>
        <w:tabs>
          <w:tab w:val="num" w:pos="1427"/>
        </w:tabs>
      </w:pPr>
      <w:rPr>
        <w:rFonts w:ascii="Verdana" w:eastAsia="Times New Roman" w:hAnsi="Verdana" w:cs="Times New Roman"/>
        <w:b w:val="0"/>
        <w:i w:val="0"/>
        <w:color w:val="auto"/>
        <w:sz w:val="20"/>
        <w:lang w:val="es-CR"/>
      </w:rPr>
    </w:lvl>
    <w:lvl w:ilvl="1" w:tplc="04090019">
      <w:start w:val="1"/>
      <w:numFmt w:val="lowerLetter"/>
      <w:lvlText w:val="%2)"/>
      <w:lvlJc w:val="left"/>
      <w:pPr>
        <w:tabs>
          <w:tab w:val="num" w:pos="1080"/>
        </w:tabs>
        <w:ind w:left="1080" w:hanging="360"/>
      </w:pPr>
      <w:rPr>
        <w:rFont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2"/>
  </w:num>
  <w:num w:numId="2">
    <w:abstractNumId w:val="29"/>
  </w:num>
  <w:num w:numId="3">
    <w:abstractNumId w:val="25"/>
  </w:num>
  <w:num w:numId="4">
    <w:abstractNumId w:val="16"/>
  </w:num>
  <w:num w:numId="5">
    <w:abstractNumId w:val="23"/>
  </w:num>
  <w:num w:numId="6">
    <w:abstractNumId w:val="31"/>
  </w:num>
  <w:num w:numId="7">
    <w:abstractNumId w:val="20"/>
  </w:num>
  <w:num w:numId="8">
    <w:abstractNumId w:val="7"/>
  </w:num>
  <w:num w:numId="9">
    <w:abstractNumId w:val="30"/>
  </w:num>
  <w:num w:numId="10">
    <w:abstractNumId w:val="3"/>
  </w:num>
  <w:num w:numId="11">
    <w:abstractNumId w:val="14"/>
  </w:num>
  <w:num w:numId="12">
    <w:abstractNumId w:val="15"/>
  </w:num>
  <w:num w:numId="13">
    <w:abstractNumId w:val="13"/>
  </w:num>
  <w:num w:numId="14">
    <w:abstractNumId w:val="9"/>
  </w:num>
  <w:num w:numId="15">
    <w:abstractNumId w:val="12"/>
  </w:num>
  <w:num w:numId="16">
    <w:abstractNumId w:val="17"/>
  </w:num>
  <w:num w:numId="17">
    <w:abstractNumId w:val="11"/>
  </w:num>
  <w:num w:numId="18">
    <w:abstractNumId w:val="28"/>
  </w:num>
  <w:num w:numId="19">
    <w:abstractNumId w:val="19"/>
  </w:num>
  <w:num w:numId="20">
    <w:abstractNumId w:val="21"/>
  </w:num>
  <w:num w:numId="21">
    <w:abstractNumId w:val="10"/>
  </w:num>
  <w:num w:numId="22">
    <w:abstractNumId w:val="26"/>
  </w:num>
  <w:num w:numId="23">
    <w:abstractNumId w:val="5"/>
  </w:num>
  <w:num w:numId="24">
    <w:abstractNumId w:val="27"/>
  </w:num>
  <w:num w:numId="25">
    <w:abstractNumId w:val="2"/>
  </w:num>
  <w:num w:numId="26">
    <w:abstractNumId w:val="4"/>
  </w:num>
  <w:num w:numId="27">
    <w:abstractNumId w:val="1"/>
  </w:num>
  <w:num w:numId="28">
    <w:abstractNumId w:val="22"/>
  </w:num>
  <w:num w:numId="29">
    <w:abstractNumId w:val="18"/>
  </w:num>
  <w:num w:numId="30">
    <w:abstractNumId w:val="24"/>
  </w:num>
  <w:num w:numId="31">
    <w:abstractNumId w:val="6"/>
  </w:num>
  <w:num w:numId="3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79E0"/>
    <w:rsid w:val="00000304"/>
    <w:rsid w:val="00003902"/>
    <w:rsid w:val="00003F53"/>
    <w:rsid w:val="00015D61"/>
    <w:rsid w:val="000260F4"/>
    <w:rsid w:val="00033898"/>
    <w:rsid w:val="00034A17"/>
    <w:rsid w:val="00036FC4"/>
    <w:rsid w:val="00042DEB"/>
    <w:rsid w:val="000455E8"/>
    <w:rsid w:val="0004795A"/>
    <w:rsid w:val="00052924"/>
    <w:rsid w:val="0006086C"/>
    <w:rsid w:val="000613B3"/>
    <w:rsid w:val="00063633"/>
    <w:rsid w:val="00063AB7"/>
    <w:rsid w:val="00064FEC"/>
    <w:rsid w:val="00073521"/>
    <w:rsid w:val="00073AEB"/>
    <w:rsid w:val="00076C49"/>
    <w:rsid w:val="00080246"/>
    <w:rsid w:val="00081775"/>
    <w:rsid w:val="00085B41"/>
    <w:rsid w:val="00087093"/>
    <w:rsid w:val="00094ABD"/>
    <w:rsid w:val="000B54F8"/>
    <w:rsid w:val="000B7E89"/>
    <w:rsid w:val="000C296C"/>
    <w:rsid w:val="000C7779"/>
    <w:rsid w:val="000D107B"/>
    <w:rsid w:val="000D194E"/>
    <w:rsid w:val="000D39EE"/>
    <w:rsid w:val="000D6AA8"/>
    <w:rsid w:val="000D6B42"/>
    <w:rsid w:val="000D76B9"/>
    <w:rsid w:val="000E41FB"/>
    <w:rsid w:val="000E46DA"/>
    <w:rsid w:val="000F2110"/>
    <w:rsid w:val="000F2A7B"/>
    <w:rsid w:val="000F3982"/>
    <w:rsid w:val="00101907"/>
    <w:rsid w:val="0011005B"/>
    <w:rsid w:val="0011177E"/>
    <w:rsid w:val="00112527"/>
    <w:rsid w:val="0011589E"/>
    <w:rsid w:val="001204FE"/>
    <w:rsid w:val="00122AE4"/>
    <w:rsid w:val="00122F24"/>
    <w:rsid w:val="001232FF"/>
    <w:rsid w:val="00130C9E"/>
    <w:rsid w:val="00132FFB"/>
    <w:rsid w:val="00146542"/>
    <w:rsid w:val="001466BD"/>
    <w:rsid w:val="0014678F"/>
    <w:rsid w:val="00147A96"/>
    <w:rsid w:val="0015470F"/>
    <w:rsid w:val="00156A4B"/>
    <w:rsid w:val="001610C1"/>
    <w:rsid w:val="00167FB8"/>
    <w:rsid w:val="001739B3"/>
    <w:rsid w:val="00174AEA"/>
    <w:rsid w:val="001809D2"/>
    <w:rsid w:val="00182C83"/>
    <w:rsid w:val="00182EF1"/>
    <w:rsid w:val="00185F95"/>
    <w:rsid w:val="00186786"/>
    <w:rsid w:val="0019266A"/>
    <w:rsid w:val="00196620"/>
    <w:rsid w:val="001A6950"/>
    <w:rsid w:val="001B211F"/>
    <w:rsid w:val="001B647C"/>
    <w:rsid w:val="001B7AF4"/>
    <w:rsid w:val="001C3370"/>
    <w:rsid w:val="001C6529"/>
    <w:rsid w:val="001C67C1"/>
    <w:rsid w:val="001C795C"/>
    <w:rsid w:val="001C7978"/>
    <w:rsid w:val="001C7FBF"/>
    <w:rsid w:val="001D1480"/>
    <w:rsid w:val="001D55A8"/>
    <w:rsid w:val="001D7962"/>
    <w:rsid w:val="001E0CBF"/>
    <w:rsid w:val="001E4007"/>
    <w:rsid w:val="001E57DA"/>
    <w:rsid w:val="001E7807"/>
    <w:rsid w:val="001F0CE7"/>
    <w:rsid w:val="00203307"/>
    <w:rsid w:val="0020379E"/>
    <w:rsid w:val="00203937"/>
    <w:rsid w:val="00210833"/>
    <w:rsid w:val="002124CA"/>
    <w:rsid w:val="00213080"/>
    <w:rsid w:val="00215A8B"/>
    <w:rsid w:val="00225E3A"/>
    <w:rsid w:val="00226238"/>
    <w:rsid w:val="002333E5"/>
    <w:rsid w:val="00240C71"/>
    <w:rsid w:val="00245426"/>
    <w:rsid w:val="00245B6D"/>
    <w:rsid w:val="00246327"/>
    <w:rsid w:val="00247345"/>
    <w:rsid w:val="00257B74"/>
    <w:rsid w:val="002606C4"/>
    <w:rsid w:val="00260DED"/>
    <w:rsid w:val="00261BCF"/>
    <w:rsid w:val="002677C9"/>
    <w:rsid w:val="002704D3"/>
    <w:rsid w:val="00270632"/>
    <w:rsid w:val="002711CF"/>
    <w:rsid w:val="00275218"/>
    <w:rsid w:val="00276E39"/>
    <w:rsid w:val="00277832"/>
    <w:rsid w:val="00282AFC"/>
    <w:rsid w:val="002844EC"/>
    <w:rsid w:val="00285C1E"/>
    <w:rsid w:val="00295F15"/>
    <w:rsid w:val="002A1CC8"/>
    <w:rsid w:val="002A2097"/>
    <w:rsid w:val="002B0F6C"/>
    <w:rsid w:val="002B488A"/>
    <w:rsid w:val="002C32DA"/>
    <w:rsid w:val="002D29BD"/>
    <w:rsid w:val="002D2C61"/>
    <w:rsid w:val="002E3C4B"/>
    <w:rsid w:val="002E60EB"/>
    <w:rsid w:val="002F3CA5"/>
    <w:rsid w:val="002F4877"/>
    <w:rsid w:val="002F4E50"/>
    <w:rsid w:val="003000EC"/>
    <w:rsid w:val="003024C9"/>
    <w:rsid w:val="003040F2"/>
    <w:rsid w:val="00310343"/>
    <w:rsid w:val="00312231"/>
    <w:rsid w:val="003146FF"/>
    <w:rsid w:val="00317748"/>
    <w:rsid w:val="00320B47"/>
    <w:rsid w:val="0032285A"/>
    <w:rsid w:val="003327F6"/>
    <w:rsid w:val="00333FE7"/>
    <w:rsid w:val="00334C3C"/>
    <w:rsid w:val="00342C51"/>
    <w:rsid w:val="00343246"/>
    <w:rsid w:val="00351D83"/>
    <w:rsid w:val="003529B0"/>
    <w:rsid w:val="00353F8D"/>
    <w:rsid w:val="003549F6"/>
    <w:rsid w:val="003562AE"/>
    <w:rsid w:val="00356C99"/>
    <w:rsid w:val="003570FE"/>
    <w:rsid w:val="00357C5E"/>
    <w:rsid w:val="0036087C"/>
    <w:rsid w:val="00360DB8"/>
    <w:rsid w:val="00362A4F"/>
    <w:rsid w:val="00370453"/>
    <w:rsid w:val="0037073B"/>
    <w:rsid w:val="00374811"/>
    <w:rsid w:val="00381DFE"/>
    <w:rsid w:val="0039243A"/>
    <w:rsid w:val="00394102"/>
    <w:rsid w:val="00394DAE"/>
    <w:rsid w:val="00396D31"/>
    <w:rsid w:val="0039750F"/>
    <w:rsid w:val="00397C57"/>
    <w:rsid w:val="003A3DE6"/>
    <w:rsid w:val="003A64C5"/>
    <w:rsid w:val="003A7FA1"/>
    <w:rsid w:val="003B32E0"/>
    <w:rsid w:val="003B38CF"/>
    <w:rsid w:val="003B4903"/>
    <w:rsid w:val="003B5287"/>
    <w:rsid w:val="003C7188"/>
    <w:rsid w:val="003D3080"/>
    <w:rsid w:val="003D6271"/>
    <w:rsid w:val="003D6E4E"/>
    <w:rsid w:val="003D7F5F"/>
    <w:rsid w:val="003E759F"/>
    <w:rsid w:val="003E7D76"/>
    <w:rsid w:val="003F184C"/>
    <w:rsid w:val="003F3607"/>
    <w:rsid w:val="003F5544"/>
    <w:rsid w:val="003F6166"/>
    <w:rsid w:val="003F67B3"/>
    <w:rsid w:val="00401908"/>
    <w:rsid w:val="004067C4"/>
    <w:rsid w:val="00406E7C"/>
    <w:rsid w:val="004248E1"/>
    <w:rsid w:val="00424ED8"/>
    <w:rsid w:val="00426DAC"/>
    <w:rsid w:val="00434216"/>
    <w:rsid w:val="00441C91"/>
    <w:rsid w:val="0044358E"/>
    <w:rsid w:val="00445C40"/>
    <w:rsid w:val="004535FF"/>
    <w:rsid w:val="00455435"/>
    <w:rsid w:val="004569FF"/>
    <w:rsid w:val="00460637"/>
    <w:rsid w:val="0046223D"/>
    <w:rsid w:val="004677D1"/>
    <w:rsid w:val="0047585D"/>
    <w:rsid w:val="00476F1E"/>
    <w:rsid w:val="0048360E"/>
    <w:rsid w:val="00484F43"/>
    <w:rsid w:val="004864BA"/>
    <w:rsid w:val="00486D0A"/>
    <w:rsid w:val="00490ABA"/>
    <w:rsid w:val="00495B40"/>
    <w:rsid w:val="004A031E"/>
    <w:rsid w:val="004A3D8F"/>
    <w:rsid w:val="004B1ABB"/>
    <w:rsid w:val="004B2737"/>
    <w:rsid w:val="004B600D"/>
    <w:rsid w:val="004B75F8"/>
    <w:rsid w:val="004D6200"/>
    <w:rsid w:val="004D6A36"/>
    <w:rsid w:val="004E0B91"/>
    <w:rsid w:val="004E4F77"/>
    <w:rsid w:val="004E51D0"/>
    <w:rsid w:val="004E6CD6"/>
    <w:rsid w:val="004E7E70"/>
    <w:rsid w:val="004F01CA"/>
    <w:rsid w:val="004F07CD"/>
    <w:rsid w:val="004F1152"/>
    <w:rsid w:val="004F3232"/>
    <w:rsid w:val="00521082"/>
    <w:rsid w:val="00522BAD"/>
    <w:rsid w:val="00527FD2"/>
    <w:rsid w:val="0054449C"/>
    <w:rsid w:val="0054768C"/>
    <w:rsid w:val="005516A1"/>
    <w:rsid w:val="00553D53"/>
    <w:rsid w:val="0055480F"/>
    <w:rsid w:val="00554903"/>
    <w:rsid w:val="00574CC2"/>
    <w:rsid w:val="0058103A"/>
    <w:rsid w:val="005820B4"/>
    <w:rsid w:val="005850CC"/>
    <w:rsid w:val="005870C4"/>
    <w:rsid w:val="005955CD"/>
    <w:rsid w:val="00595BA2"/>
    <w:rsid w:val="00597D81"/>
    <w:rsid w:val="005A43A4"/>
    <w:rsid w:val="005B3BB2"/>
    <w:rsid w:val="005C02C0"/>
    <w:rsid w:val="005C3428"/>
    <w:rsid w:val="005C737C"/>
    <w:rsid w:val="005D00B0"/>
    <w:rsid w:val="005D2A1D"/>
    <w:rsid w:val="006045A9"/>
    <w:rsid w:val="00606F2E"/>
    <w:rsid w:val="00611E85"/>
    <w:rsid w:val="0061267A"/>
    <w:rsid w:val="00615245"/>
    <w:rsid w:val="00615D3A"/>
    <w:rsid w:val="00620E7A"/>
    <w:rsid w:val="00621EE1"/>
    <w:rsid w:val="00623103"/>
    <w:rsid w:val="00624C19"/>
    <w:rsid w:val="00627B28"/>
    <w:rsid w:val="006334C6"/>
    <w:rsid w:val="006365F7"/>
    <w:rsid w:val="00636A6D"/>
    <w:rsid w:val="00640FFC"/>
    <w:rsid w:val="006418AC"/>
    <w:rsid w:val="00647F0F"/>
    <w:rsid w:val="00651317"/>
    <w:rsid w:val="00653381"/>
    <w:rsid w:val="00660ED9"/>
    <w:rsid w:val="00666074"/>
    <w:rsid w:val="00670BB7"/>
    <w:rsid w:val="00675B0A"/>
    <w:rsid w:val="00680790"/>
    <w:rsid w:val="0068128C"/>
    <w:rsid w:val="0068356A"/>
    <w:rsid w:val="0069260C"/>
    <w:rsid w:val="0069541D"/>
    <w:rsid w:val="006960B4"/>
    <w:rsid w:val="006979E0"/>
    <w:rsid w:val="006A1135"/>
    <w:rsid w:val="006A1E83"/>
    <w:rsid w:val="006B0DA5"/>
    <w:rsid w:val="006B70FE"/>
    <w:rsid w:val="006C1744"/>
    <w:rsid w:val="006C66CD"/>
    <w:rsid w:val="006D0095"/>
    <w:rsid w:val="006D0473"/>
    <w:rsid w:val="006D5405"/>
    <w:rsid w:val="006D5CE3"/>
    <w:rsid w:val="006E01B0"/>
    <w:rsid w:val="006E4142"/>
    <w:rsid w:val="006F10AD"/>
    <w:rsid w:val="006F72C3"/>
    <w:rsid w:val="00707EEF"/>
    <w:rsid w:val="007120ED"/>
    <w:rsid w:val="00714A48"/>
    <w:rsid w:val="00716625"/>
    <w:rsid w:val="0072085F"/>
    <w:rsid w:val="00722D73"/>
    <w:rsid w:val="007351C4"/>
    <w:rsid w:val="00740159"/>
    <w:rsid w:val="00741E21"/>
    <w:rsid w:val="007476A0"/>
    <w:rsid w:val="0075180A"/>
    <w:rsid w:val="00757D2C"/>
    <w:rsid w:val="00761A66"/>
    <w:rsid w:val="00762F05"/>
    <w:rsid w:val="00764367"/>
    <w:rsid w:val="00770293"/>
    <w:rsid w:val="00770EA6"/>
    <w:rsid w:val="00774274"/>
    <w:rsid w:val="007813CC"/>
    <w:rsid w:val="00783D5C"/>
    <w:rsid w:val="00787076"/>
    <w:rsid w:val="00787A9E"/>
    <w:rsid w:val="0079465F"/>
    <w:rsid w:val="0079750B"/>
    <w:rsid w:val="007A6F32"/>
    <w:rsid w:val="007B1366"/>
    <w:rsid w:val="007B13EF"/>
    <w:rsid w:val="007B141B"/>
    <w:rsid w:val="007B3432"/>
    <w:rsid w:val="007B46DC"/>
    <w:rsid w:val="007C2AC2"/>
    <w:rsid w:val="007C2C97"/>
    <w:rsid w:val="007C3581"/>
    <w:rsid w:val="007C3AA6"/>
    <w:rsid w:val="007C5329"/>
    <w:rsid w:val="007D185A"/>
    <w:rsid w:val="007D7FA2"/>
    <w:rsid w:val="007E779A"/>
    <w:rsid w:val="007F4E0C"/>
    <w:rsid w:val="007F5045"/>
    <w:rsid w:val="007F68FE"/>
    <w:rsid w:val="007F78CB"/>
    <w:rsid w:val="0080487C"/>
    <w:rsid w:val="00810826"/>
    <w:rsid w:val="0082506C"/>
    <w:rsid w:val="008360F7"/>
    <w:rsid w:val="0084095E"/>
    <w:rsid w:val="00841B4F"/>
    <w:rsid w:val="0084489E"/>
    <w:rsid w:val="00847495"/>
    <w:rsid w:val="00847CA5"/>
    <w:rsid w:val="00847CA9"/>
    <w:rsid w:val="00847F95"/>
    <w:rsid w:val="008518A9"/>
    <w:rsid w:val="008555CB"/>
    <w:rsid w:val="00856D1D"/>
    <w:rsid w:val="008574EA"/>
    <w:rsid w:val="0086077C"/>
    <w:rsid w:val="00864302"/>
    <w:rsid w:val="00872E85"/>
    <w:rsid w:val="00875A3A"/>
    <w:rsid w:val="0087694F"/>
    <w:rsid w:val="008813EA"/>
    <w:rsid w:val="00891A65"/>
    <w:rsid w:val="00892438"/>
    <w:rsid w:val="00892FBF"/>
    <w:rsid w:val="008A4175"/>
    <w:rsid w:val="008B09C7"/>
    <w:rsid w:val="008B1E53"/>
    <w:rsid w:val="008B5E05"/>
    <w:rsid w:val="008B711F"/>
    <w:rsid w:val="008B76AD"/>
    <w:rsid w:val="008C509D"/>
    <w:rsid w:val="008C52AE"/>
    <w:rsid w:val="008C5C78"/>
    <w:rsid w:val="008D209A"/>
    <w:rsid w:val="008D20D4"/>
    <w:rsid w:val="008D3170"/>
    <w:rsid w:val="008D78E8"/>
    <w:rsid w:val="008E381C"/>
    <w:rsid w:val="008E515E"/>
    <w:rsid w:val="008E6E5F"/>
    <w:rsid w:val="008F3FDA"/>
    <w:rsid w:val="00902875"/>
    <w:rsid w:val="00906478"/>
    <w:rsid w:val="00911918"/>
    <w:rsid w:val="00914A4C"/>
    <w:rsid w:val="00914CDE"/>
    <w:rsid w:val="00920874"/>
    <w:rsid w:val="00923BA7"/>
    <w:rsid w:val="00933CFC"/>
    <w:rsid w:val="009427EC"/>
    <w:rsid w:val="009439AF"/>
    <w:rsid w:val="00943F2A"/>
    <w:rsid w:val="00951FEC"/>
    <w:rsid w:val="0095565F"/>
    <w:rsid w:val="009708BF"/>
    <w:rsid w:val="009713A4"/>
    <w:rsid w:val="00977D12"/>
    <w:rsid w:val="00977E63"/>
    <w:rsid w:val="009810FD"/>
    <w:rsid w:val="00983F03"/>
    <w:rsid w:val="00987407"/>
    <w:rsid w:val="00987A10"/>
    <w:rsid w:val="00991DB1"/>
    <w:rsid w:val="00992737"/>
    <w:rsid w:val="009A75EB"/>
    <w:rsid w:val="009A77CE"/>
    <w:rsid w:val="009B1D5A"/>
    <w:rsid w:val="009C030F"/>
    <w:rsid w:val="009C0529"/>
    <w:rsid w:val="009C4A0E"/>
    <w:rsid w:val="009C746C"/>
    <w:rsid w:val="009D5788"/>
    <w:rsid w:val="009D62C8"/>
    <w:rsid w:val="009D76A1"/>
    <w:rsid w:val="009E6ABC"/>
    <w:rsid w:val="009F2486"/>
    <w:rsid w:val="009F52DE"/>
    <w:rsid w:val="009F696E"/>
    <w:rsid w:val="00A002C7"/>
    <w:rsid w:val="00A070C9"/>
    <w:rsid w:val="00A11D2C"/>
    <w:rsid w:val="00A13B86"/>
    <w:rsid w:val="00A13D41"/>
    <w:rsid w:val="00A15303"/>
    <w:rsid w:val="00A16F6B"/>
    <w:rsid w:val="00A2386A"/>
    <w:rsid w:val="00A321ED"/>
    <w:rsid w:val="00A328EA"/>
    <w:rsid w:val="00A37574"/>
    <w:rsid w:val="00A406D3"/>
    <w:rsid w:val="00A422FC"/>
    <w:rsid w:val="00A428D7"/>
    <w:rsid w:val="00A626BD"/>
    <w:rsid w:val="00A64B19"/>
    <w:rsid w:val="00A65A54"/>
    <w:rsid w:val="00A664DA"/>
    <w:rsid w:val="00A73612"/>
    <w:rsid w:val="00A737DF"/>
    <w:rsid w:val="00A74E56"/>
    <w:rsid w:val="00A870F2"/>
    <w:rsid w:val="00A87620"/>
    <w:rsid w:val="00A9005A"/>
    <w:rsid w:val="00A944B3"/>
    <w:rsid w:val="00A96985"/>
    <w:rsid w:val="00AA4B53"/>
    <w:rsid w:val="00AA4B65"/>
    <w:rsid w:val="00AA5305"/>
    <w:rsid w:val="00AA6B37"/>
    <w:rsid w:val="00AA7AB8"/>
    <w:rsid w:val="00AC1940"/>
    <w:rsid w:val="00AD333B"/>
    <w:rsid w:val="00AD625A"/>
    <w:rsid w:val="00AE0274"/>
    <w:rsid w:val="00AE5BA1"/>
    <w:rsid w:val="00AE5EB5"/>
    <w:rsid w:val="00AE655E"/>
    <w:rsid w:val="00AF1549"/>
    <w:rsid w:val="00AF279D"/>
    <w:rsid w:val="00AF3534"/>
    <w:rsid w:val="00AF4934"/>
    <w:rsid w:val="00AF5372"/>
    <w:rsid w:val="00AF5ADF"/>
    <w:rsid w:val="00AF65BC"/>
    <w:rsid w:val="00B00022"/>
    <w:rsid w:val="00B00F36"/>
    <w:rsid w:val="00B013B5"/>
    <w:rsid w:val="00B02293"/>
    <w:rsid w:val="00B055A1"/>
    <w:rsid w:val="00B136DD"/>
    <w:rsid w:val="00B25831"/>
    <w:rsid w:val="00B40533"/>
    <w:rsid w:val="00B41DBB"/>
    <w:rsid w:val="00B43191"/>
    <w:rsid w:val="00B44E76"/>
    <w:rsid w:val="00B46938"/>
    <w:rsid w:val="00B5134F"/>
    <w:rsid w:val="00B51422"/>
    <w:rsid w:val="00B53552"/>
    <w:rsid w:val="00B567C6"/>
    <w:rsid w:val="00B61398"/>
    <w:rsid w:val="00B61A58"/>
    <w:rsid w:val="00B91548"/>
    <w:rsid w:val="00BA0536"/>
    <w:rsid w:val="00BA7355"/>
    <w:rsid w:val="00BB0BA5"/>
    <w:rsid w:val="00BB2CB5"/>
    <w:rsid w:val="00BB5A1A"/>
    <w:rsid w:val="00BC4EBF"/>
    <w:rsid w:val="00BD0B61"/>
    <w:rsid w:val="00BD1A63"/>
    <w:rsid w:val="00BE16A5"/>
    <w:rsid w:val="00BE5AAE"/>
    <w:rsid w:val="00BE70F8"/>
    <w:rsid w:val="00BF2428"/>
    <w:rsid w:val="00BF4A0E"/>
    <w:rsid w:val="00BF4DE1"/>
    <w:rsid w:val="00BF6EA2"/>
    <w:rsid w:val="00C024E1"/>
    <w:rsid w:val="00C053C6"/>
    <w:rsid w:val="00C06AFA"/>
    <w:rsid w:val="00C105C2"/>
    <w:rsid w:val="00C15538"/>
    <w:rsid w:val="00C27065"/>
    <w:rsid w:val="00C2740B"/>
    <w:rsid w:val="00C35687"/>
    <w:rsid w:val="00C373B1"/>
    <w:rsid w:val="00C40BF5"/>
    <w:rsid w:val="00C46DA0"/>
    <w:rsid w:val="00C47757"/>
    <w:rsid w:val="00C47CD4"/>
    <w:rsid w:val="00C51F46"/>
    <w:rsid w:val="00C56F3B"/>
    <w:rsid w:val="00C6149A"/>
    <w:rsid w:val="00C62D9A"/>
    <w:rsid w:val="00C64977"/>
    <w:rsid w:val="00C6532B"/>
    <w:rsid w:val="00C73E73"/>
    <w:rsid w:val="00C760E6"/>
    <w:rsid w:val="00C823C2"/>
    <w:rsid w:val="00C863B6"/>
    <w:rsid w:val="00CA1D5B"/>
    <w:rsid w:val="00CB52D7"/>
    <w:rsid w:val="00CB7A1F"/>
    <w:rsid w:val="00CC0695"/>
    <w:rsid w:val="00CD6809"/>
    <w:rsid w:val="00CD73DE"/>
    <w:rsid w:val="00CE1F5A"/>
    <w:rsid w:val="00CF09A5"/>
    <w:rsid w:val="00CF448A"/>
    <w:rsid w:val="00CF783C"/>
    <w:rsid w:val="00CF7F35"/>
    <w:rsid w:val="00D00C5F"/>
    <w:rsid w:val="00D02BA4"/>
    <w:rsid w:val="00D02E35"/>
    <w:rsid w:val="00D03677"/>
    <w:rsid w:val="00D047D4"/>
    <w:rsid w:val="00D06234"/>
    <w:rsid w:val="00D06D1F"/>
    <w:rsid w:val="00D10587"/>
    <w:rsid w:val="00D126A6"/>
    <w:rsid w:val="00D24E03"/>
    <w:rsid w:val="00D269D3"/>
    <w:rsid w:val="00D31E65"/>
    <w:rsid w:val="00D3349A"/>
    <w:rsid w:val="00D4616E"/>
    <w:rsid w:val="00D50A8A"/>
    <w:rsid w:val="00D52331"/>
    <w:rsid w:val="00D52C16"/>
    <w:rsid w:val="00D60E84"/>
    <w:rsid w:val="00D614F4"/>
    <w:rsid w:val="00D66771"/>
    <w:rsid w:val="00D70343"/>
    <w:rsid w:val="00D7198E"/>
    <w:rsid w:val="00D746D8"/>
    <w:rsid w:val="00D811CC"/>
    <w:rsid w:val="00D82797"/>
    <w:rsid w:val="00D85EC2"/>
    <w:rsid w:val="00D86FE1"/>
    <w:rsid w:val="00D979B0"/>
    <w:rsid w:val="00DA2A6D"/>
    <w:rsid w:val="00DA433B"/>
    <w:rsid w:val="00DB45F8"/>
    <w:rsid w:val="00DC20D2"/>
    <w:rsid w:val="00DC21EF"/>
    <w:rsid w:val="00DC329F"/>
    <w:rsid w:val="00DC799E"/>
    <w:rsid w:val="00DC7BF9"/>
    <w:rsid w:val="00DD1166"/>
    <w:rsid w:val="00DD3160"/>
    <w:rsid w:val="00DD7AC3"/>
    <w:rsid w:val="00DE0D35"/>
    <w:rsid w:val="00DF04D1"/>
    <w:rsid w:val="00DF5B0C"/>
    <w:rsid w:val="00DF646D"/>
    <w:rsid w:val="00E00146"/>
    <w:rsid w:val="00E01E76"/>
    <w:rsid w:val="00E02747"/>
    <w:rsid w:val="00E07CEF"/>
    <w:rsid w:val="00E136C9"/>
    <w:rsid w:val="00E15BBF"/>
    <w:rsid w:val="00E17E46"/>
    <w:rsid w:val="00E24722"/>
    <w:rsid w:val="00E26750"/>
    <w:rsid w:val="00E26E4C"/>
    <w:rsid w:val="00E332D8"/>
    <w:rsid w:val="00E347F4"/>
    <w:rsid w:val="00E34EA3"/>
    <w:rsid w:val="00E37456"/>
    <w:rsid w:val="00E4076C"/>
    <w:rsid w:val="00E42499"/>
    <w:rsid w:val="00E5377F"/>
    <w:rsid w:val="00E6151D"/>
    <w:rsid w:val="00E67ACE"/>
    <w:rsid w:val="00E7159A"/>
    <w:rsid w:val="00E72A04"/>
    <w:rsid w:val="00E753DA"/>
    <w:rsid w:val="00E77520"/>
    <w:rsid w:val="00E7795B"/>
    <w:rsid w:val="00E86E59"/>
    <w:rsid w:val="00E91076"/>
    <w:rsid w:val="00E964BF"/>
    <w:rsid w:val="00EA0CA2"/>
    <w:rsid w:val="00EA38A2"/>
    <w:rsid w:val="00EA65DD"/>
    <w:rsid w:val="00EB117E"/>
    <w:rsid w:val="00EB65C8"/>
    <w:rsid w:val="00EB7796"/>
    <w:rsid w:val="00EC2835"/>
    <w:rsid w:val="00EC709D"/>
    <w:rsid w:val="00ED54BA"/>
    <w:rsid w:val="00ED62CD"/>
    <w:rsid w:val="00EE0563"/>
    <w:rsid w:val="00EE0AC0"/>
    <w:rsid w:val="00EE0D2E"/>
    <w:rsid w:val="00EE1C6D"/>
    <w:rsid w:val="00EE3F1D"/>
    <w:rsid w:val="00EE4A02"/>
    <w:rsid w:val="00EF2223"/>
    <w:rsid w:val="00EF2C2F"/>
    <w:rsid w:val="00EF2DC1"/>
    <w:rsid w:val="00EF60B9"/>
    <w:rsid w:val="00EF694B"/>
    <w:rsid w:val="00EF7D5D"/>
    <w:rsid w:val="00F06B27"/>
    <w:rsid w:val="00F13469"/>
    <w:rsid w:val="00F15425"/>
    <w:rsid w:val="00F15F48"/>
    <w:rsid w:val="00F41CE9"/>
    <w:rsid w:val="00F429E6"/>
    <w:rsid w:val="00F45688"/>
    <w:rsid w:val="00F456CC"/>
    <w:rsid w:val="00F45C95"/>
    <w:rsid w:val="00F56099"/>
    <w:rsid w:val="00F5740E"/>
    <w:rsid w:val="00F75881"/>
    <w:rsid w:val="00F80823"/>
    <w:rsid w:val="00F81C52"/>
    <w:rsid w:val="00F87988"/>
    <w:rsid w:val="00F92A45"/>
    <w:rsid w:val="00F96C37"/>
    <w:rsid w:val="00FA1B86"/>
    <w:rsid w:val="00FB514F"/>
    <w:rsid w:val="00FC31D8"/>
    <w:rsid w:val="00FC54F7"/>
    <w:rsid w:val="00FC6B35"/>
    <w:rsid w:val="00FD1CFC"/>
    <w:rsid w:val="00FD2149"/>
    <w:rsid w:val="00FD2B73"/>
    <w:rsid w:val="00FD5062"/>
    <w:rsid w:val="00FD58F3"/>
    <w:rsid w:val="00FE246F"/>
    <w:rsid w:val="00FF2CC7"/>
    <w:rsid w:val="00FF53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No Spacing" w:qFormat="1"/>
    <w:lsdException w:name="Medium Grid 2" w:qFormat="1"/>
    <w:lsdException w:name="List Paragraph" w:uiPriority="34"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979E0"/>
    <w:rPr>
      <w:rFonts w:ascii="Verdana" w:eastAsia="Times New Roman" w:hAnsi="Verdana"/>
      <w:lang w:val="es-ES_tradnl" w:eastAsia="en-US"/>
    </w:rPr>
  </w:style>
  <w:style w:type="paragraph" w:styleId="Ttulo1">
    <w:name w:val="heading 1"/>
    <w:aliases w:val="Título Verdana"/>
    <w:basedOn w:val="Normal"/>
    <w:next w:val="Normal"/>
    <w:link w:val="Ttulo1Car"/>
    <w:uiPriority w:val="9"/>
    <w:qFormat/>
    <w:rsid w:val="00B24523"/>
    <w:pPr>
      <w:keepNext/>
      <w:keepLines/>
      <w:spacing w:before="480"/>
      <w:outlineLvl w:val="0"/>
    </w:pPr>
    <w:rPr>
      <w:rFonts w:ascii="Cambria" w:hAnsi="Cambria"/>
      <w:b/>
      <w:bCs/>
      <w:color w:val="365F91"/>
      <w:sz w:val="28"/>
      <w:szCs w:val="28"/>
      <w:lang w:eastAsia="x-none"/>
    </w:rPr>
  </w:style>
  <w:style w:type="paragraph" w:styleId="Ttulo2">
    <w:name w:val="heading 2"/>
    <w:basedOn w:val="Normal"/>
    <w:next w:val="Normal"/>
    <w:link w:val="Ttulo2Car"/>
    <w:qFormat/>
    <w:rsid w:val="006979E0"/>
    <w:pPr>
      <w:keepNext/>
      <w:spacing w:before="240" w:after="60"/>
      <w:outlineLvl w:val="1"/>
    </w:pPr>
    <w:rPr>
      <w:rFonts w:ascii="Arial" w:hAnsi="Arial"/>
      <w:b/>
      <w:bCs/>
      <w:i/>
      <w:iCs/>
      <w:sz w:val="28"/>
      <w:szCs w:val="28"/>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979E0"/>
    <w:rPr>
      <w:rFonts w:ascii="Arial" w:eastAsia="Times New Roman" w:hAnsi="Arial" w:cs="Times New Roman"/>
      <w:b/>
      <w:bCs/>
      <w:i/>
      <w:iCs/>
      <w:sz w:val="28"/>
      <w:szCs w:val="28"/>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6979E0"/>
    <w:pPr>
      <w:jc w:val="both"/>
    </w:pPr>
    <w:rPr>
      <w:sz w:val="16"/>
      <w:lang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link w:val="Textonotapie"/>
    <w:rsid w:val="006979E0"/>
    <w:rPr>
      <w:rFonts w:ascii="Verdana" w:eastAsia="Times New Roman" w:hAnsi="Verdana" w:cs="Times New Roman"/>
      <w:sz w:val="16"/>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rsid w:val="006979E0"/>
    <w:rPr>
      <w:vertAlign w:val="superscript"/>
    </w:rPr>
  </w:style>
  <w:style w:type="paragraph" w:customStyle="1" w:styleId="ListParagraph1">
    <w:name w:val="List Paragraph1"/>
    <w:basedOn w:val="Normal"/>
    <w:uiPriority w:val="34"/>
    <w:qFormat/>
    <w:rsid w:val="006979E0"/>
    <w:pPr>
      <w:spacing w:after="200" w:line="276" w:lineRule="auto"/>
      <w:ind w:left="720"/>
    </w:pPr>
    <w:rPr>
      <w:rFonts w:ascii="Times New Roman" w:hAnsi="Times New Roman"/>
      <w:sz w:val="24"/>
      <w:szCs w:val="22"/>
      <w:lang w:val="en-US"/>
    </w:rPr>
  </w:style>
  <w:style w:type="paragraph" w:customStyle="1" w:styleId="NoSpacing1">
    <w:name w:val="No Spacing1"/>
    <w:qFormat/>
    <w:rsid w:val="006979E0"/>
    <w:rPr>
      <w:rFonts w:ascii="Verdana" w:eastAsia="Times New Roman" w:hAnsi="Verdana"/>
      <w:lang w:val="es-ES_tradnl" w:eastAsia="en-US"/>
    </w:rPr>
  </w:style>
  <w:style w:type="character" w:customStyle="1" w:styleId="FootnoteTextChar1">
    <w:name w:val="Footnote Text Char1"/>
    <w:aliases w:val="Footnote reference Char1,FA Fu Char1,Footnote Text Char Char Char Char Char Char1,Footnote Text Char Char Char Char Char2,Footnote Text Char Char Char Char2,Footnote Text Cha Char1,FA Fußnotentext Char1,FA Fuﬂnotentext Char1,Ca Char1"/>
    <w:uiPriority w:val="99"/>
    <w:locked/>
    <w:rsid w:val="006979E0"/>
    <w:rPr>
      <w:rFonts w:ascii="Times New Roman" w:eastAsia="Times New Roman" w:hAnsi="Times New Roman" w:cs="Times New Roman"/>
      <w:sz w:val="24"/>
      <w:szCs w:val="24"/>
      <w:lang w:val="es-ES" w:eastAsia="es-ES"/>
    </w:rPr>
  </w:style>
  <w:style w:type="paragraph" w:customStyle="1" w:styleId="MediumGrid1-Accent21">
    <w:name w:val="Medium Grid 1 - Accent 21"/>
    <w:aliases w:val="Footnote"/>
    <w:basedOn w:val="Normal"/>
    <w:uiPriority w:val="34"/>
    <w:qFormat/>
    <w:rsid w:val="006979E0"/>
    <w:pPr>
      <w:ind w:left="720"/>
    </w:pPr>
  </w:style>
  <w:style w:type="paragraph" w:styleId="Encabezado">
    <w:name w:val="header"/>
    <w:basedOn w:val="Normal"/>
    <w:link w:val="EncabezadoCar"/>
    <w:uiPriority w:val="99"/>
    <w:rsid w:val="00D94425"/>
    <w:pPr>
      <w:tabs>
        <w:tab w:val="center" w:pos="4320"/>
        <w:tab w:val="right" w:pos="8640"/>
      </w:tabs>
      <w:ind w:left="2880" w:hanging="2880"/>
      <w:jc w:val="both"/>
    </w:pPr>
    <w:rPr>
      <w:lang w:eastAsia="x-none"/>
    </w:rPr>
  </w:style>
  <w:style w:type="character" w:customStyle="1" w:styleId="EncabezadoCar">
    <w:name w:val="Encabezado Car"/>
    <w:link w:val="Encabezado"/>
    <w:uiPriority w:val="99"/>
    <w:rsid w:val="00D94425"/>
    <w:rPr>
      <w:rFonts w:ascii="Verdana" w:eastAsia="Times New Roman" w:hAnsi="Verdana" w:cs="Times New Roman"/>
      <w:sz w:val="20"/>
      <w:szCs w:val="20"/>
      <w:lang w:val="es-ES_tradnl"/>
    </w:rPr>
  </w:style>
  <w:style w:type="paragraph" w:styleId="Piedepgina">
    <w:name w:val="footer"/>
    <w:basedOn w:val="Normal"/>
    <w:link w:val="PiedepginaCar"/>
    <w:uiPriority w:val="99"/>
    <w:unhideWhenUsed/>
    <w:rsid w:val="00DE6AFD"/>
    <w:pPr>
      <w:tabs>
        <w:tab w:val="center" w:pos="4680"/>
        <w:tab w:val="right" w:pos="9360"/>
      </w:tabs>
    </w:pPr>
    <w:rPr>
      <w:lang w:eastAsia="x-none"/>
    </w:rPr>
  </w:style>
  <w:style w:type="character" w:customStyle="1" w:styleId="PiedepginaCar">
    <w:name w:val="Pie de página Car"/>
    <w:link w:val="Piedepgina"/>
    <w:uiPriority w:val="99"/>
    <w:rsid w:val="00DE6AFD"/>
    <w:rPr>
      <w:rFonts w:ascii="Verdana" w:eastAsia="Times New Roman" w:hAnsi="Verdana" w:cs="Times New Roman"/>
      <w:sz w:val="20"/>
      <w:szCs w:val="20"/>
      <w:lang w:val="es-ES_tradnl"/>
    </w:rPr>
  </w:style>
  <w:style w:type="paragraph" w:styleId="Ttulo">
    <w:name w:val="Title"/>
    <w:basedOn w:val="Normal"/>
    <w:link w:val="TtuloCar"/>
    <w:qFormat/>
    <w:rsid w:val="00B648AC"/>
    <w:pPr>
      <w:jc w:val="center"/>
    </w:pPr>
    <w:rPr>
      <w:rFonts w:ascii="Garamond" w:eastAsia="Times" w:hAnsi="Garamond"/>
      <w:b/>
      <w:sz w:val="24"/>
      <w:lang w:eastAsia="es-ES"/>
    </w:rPr>
  </w:style>
  <w:style w:type="character" w:customStyle="1" w:styleId="TtuloCar">
    <w:name w:val="Título Car"/>
    <w:link w:val="Ttulo"/>
    <w:rsid w:val="00B648AC"/>
    <w:rPr>
      <w:rFonts w:ascii="Garamond" w:eastAsia="Times" w:hAnsi="Garamond" w:cs="Times New Roman"/>
      <w:b/>
      <w:sz w:val="24"/>
      <w:szCs w:val="20"/>
      <w:lang w:val="es-ES_tradnl" w:eastAsia="es-ES"/>
    </w:rPr>
  </w:style>
  <w:style w:type="paragraph" w:customStyle="1" w:styleId="EstiloTtulo2Verdana10ptAntes6ptoDespus6pto">
    <w:name w:val="Estilo Título 2 + Verdana 10 pt Antes:  6 pto Después:  6 pto"/>
    <w:basedOn w:val="Ttulo2"/>
    <w:rsid w:val="006251EE"/>
    <w:pPr>
      <w:spacing w:before="0" w:after="0"/>
      <w:jc w:val="center"/>
    </w:pPr>
    <w:rPr>
      <w:rFonts w:ascii="Verdana" w:hAnsi="Verdana"/>
      <w:i w:val="0"/>
      <w:iCs w:val="0"/>
      <w:smallCaps/>
      <w:sz w:val="20"/>
      <w:szCs w:val="20"/>
    </w:rPr>
  </w:style>
  <w:style w:type="character" w:customStyle="1" w:styleId="Ttulo1Car">
    <w:name w:val="Título 1 Car"/>
    <w:aliases w:val="Título Verdana Car"/>
    <w:link w:val="Ttulo1"/>
    <w:uiPriority w:val="9"/>
    <w:rsid w:val="00B24523"/>
    <w:rPr>
      <w:rFonts w:ascii="Cambria" w:eastAsia="Times New Roman" w:hAnsi="Cambria" w:cs="Times New Roman"/>
      <w:b/>
      <w:bCs/>
      <w:color w:val="365F91"/>
      <w:sz w:val="28"/>
      <w:szCs w:val="28"/>
      <w:lang w:val="es-ES_tradnl"/>
    </w:rPr>
  </w:style>
  <w:style w:type="paragraph" w:styleId="NormalWeb">
    <w:name w:val="Normal (Web)"/>
    <w:aliases w:val="Normal (Web) Char1,Normal (Web) Char Char,Normal (Web) Char1 Char,Normal (Web) Char Char Char"/>
    <w:basedOn w:val="Normal"/>
    <w:uiPriority w:val="99"/>
    <w:unhideWhenUsed/>
    <w:rsid w:val="00B24523"/>
    <w:pPr>
      <w:spacing w:before="100" w:beforeAutospacing="1" w:after="100" w:afterAutospacing="1"/>
    </w:pPr>
    <w:rPr>
      <w:rFonts w:ascii="Times New Roman" w:hAnsi="Times New Roman"/>
      <w:sz w:val="24"/>
      <w:szCs w:val="24"/>
      <w:lang w:val="en-US"/>
    </w:rPr>
  </w:style>
  <w:style w:type="character" w:customStyle="1" w:styleId="apple-style-span">
    <w:name w:val="apple-style-span"/>
    <w:rsid w:val="00B24523"/>
    <w:rPr>
      <w:rFonts w:cs="Times New Roman"/>
    </w:rPr>
  </w:style>
  <w:style w:type="paragraph" w:styleId="Sangradetextonormal">
    <w:name w:val="Body Text Indent"/>
    <w:basedOn w:val="Normal"/>
    <w:link w:val="SangradetextonormalCar"/>
    <w:rsid w:val="00B24523"/>
    <w:pPr>
      <w:ind w:right="40"/>
      <w:jc w:val="both"/>
    </w:pPr>
    <w:rPr>
      <w:rFonts w:ascii="Garamond" w:hAnsi="Garamond"/>
      <w:sz w:val="24"/>
      <w:lang w:eastAsia="x-none"/>
    </w:rPr>
  </w:style>
  <w:style w:type="character" w:customStyle="1" w:styleId="SangradetextonormalCar">
    <w:name w:val="Sangría de texto normal Car"/>
    <w:link w:val="Sangradetextonormal"/>
    <w:rsid w:val="00B24523"/>
    <w:rPr>
      <w:rFonts w:ascii="Garamond" w:eastAsia="Times New Roman" w:hAnsi="Garamond" w:cs="Times New Roman"/>
      <w:sz w:val="24"/>
      <w:szCs w:val="20"/>
      <w:lang w:val="es-ES_tradnl"/>
    </w:rPr>
  </w:style>
  <w:style w:type="paragraph" w:customStyle="1" w:styleId="Prrafodelista2">
    <w:name w:val="Párrafo de lista2"/>
    <w:basedOn w:val="Normal"/>
    <w:uiPriority w:val="99"/>
    <w:rsid w:val="00B24523"/>
    <w:pPr>
      <w:ind w:left="720"/>
    </w:pPr>
    <w:rPr>
      <w:rFonts w:eastAsia="MS Mincho"/>
    </w:rPr>
  </w:style>
  <w:style w:type="character" w:styleId="Refdecomentario">
    <w:name w:val="annotation reference"/>
    <w:uiPriority w:val="99"/>
    <w:unhideWhenUsed/>
    <w:rsid w:val="00B24523"/>
    <w:rPr>
      <w:sz w:val="16"/>
      <w:szCs w:val="16"/>
    </w:rPr>
  </w:style>
  <w:style w:type="paragraph" w:styleId="Textocomentario">
    <w:name w:val="annotation text"/>
    <w:basedOn w:val="Normal"/>
    <w:link w:val="TextocomentarioCar"/>
    <w:uiPriority w:val="99"/>
    <w:unhideWhenUsed/>
    <w:rsid w:val="00B24523"/>
    <w:pPr>
      <w:spacing w:after="200"/>
    </w:pPr>
    <w:rPr>
      <w:rFonts w:ascii="Calibri" w:eastAsia="Calibri" w:hAnsi="Calibri"/>
      <w:lang w:val="x-none" w:eastAsia="x-none"/>
    </w:rPr>
  </w:style>
  <w:style w:type="character" w:customStyle="1" w:styleId="TextocomentarioCar">
    <w:name w:val="Texto comentario Car"/>
    <w:link w:val="Textocomentario"/>
    <w:uiPriority w:val="99"/>
    <w:rsid w:val="00B24523"/>
    <w:rPr>
      <w:sz w:val="20"/>
      <w:szCs w:val="20"/>
    </w:rPr>
  </w:style>
  <w:style w:type="character" w:styleId="Hipervnculo">
    <w:name w:val="Hyperlink"/>
    <w:uiPriority w:val="99"/>
    <w:unhideWhenUsed/>
    <w:rsid w:val="00B24523"/>
    <w:rPr>
      <w:color w:val="3333CC"/>
      <w:u w:val="single"/>
    </w:rPr>
  </w:style>
  <w:style w:type="character" w:customStyle="1" w:styleId="Refdenotaalpie1">
    <w:name w:val="Ref. de nota al pie1"/>
    <w:rsid w:val="00597F80"/>
    <w:rPr>
      <w:color w:val="000000"/>
      <w:sz w:val="22"/>
      <w:vertAlign w:val="superscript"/>
    </w:rPr>
  </w:style>
  <w:style w:type="paragraph" w:customStyle="1" w:styleId="Footnotes">
    <w:name w:val="**. Footnotes"/>
    <w:basedOn w:val="Textonotapie"/>
    <w:link w:val="FootnotesChar"/>
    <w:autoRedefine/>
    <w:qFormat/>
    <w:rsid w:val="001E7982"/>
    <w:pPr>
      <w:spacing w:after="120"/>
    </w:pPr>
    <w:rPr>
      <w:bCs/>
      <w:iCs/>
      <w:szCs w:val="16"/>
      <w:lang w:val="es-ES" w:eastAsia="es-CO"/>
    </w:rPr>
  </w:style>
  <w:style w:type="character" w:customStyle="1" w:styleId="FootnotesChar">
    <w:name w:val="**. Footnotes Char"/>
    <w:link w:val="Footnotes"/>
    <w:rsid w:val="001E7982"/>
    <w:rPr>
      <w:rFonts w:ascii="Verdana" w:eastAsia="Times New Roman" w:hAnsi="Verdana" w:cs="Times New Roman"/>
      <w:bCs/>
      <w:iCs/>
      <w:sz w:val="16"/>
      <w:szCs w:val="16"/>
      <w:lang w:val="es-ES" w:eastAsia="es-CO"/>
    </w:rPr>
  </w:style>
  <w:style w:type="paragraph" w:styleId="Textodeglobo">
    <w:name w:val="Balloon Text"/>
    <w:basedOn w:val="Normal"/>
    <w:link w:val="TextodegloboCar"/>
    <w:uiPriority w:val="99"/>
    <w:semiHidden/>
    <w:unhideWhenUsed/>
    <w:rsid w:val="00F2777B"/>
    <w:rPr>
      <w:rFonts w:ascii="Tahoma" w:hAnsi="Tahoma"/>
      <w:sz w:val="16"/>
      <w:szCs w:val="16"/>
      <w:lang w:eastAsia="x-none"/>
    </w:rPr>
  </w:style>
  <w:style w:type="character" w:customStyle="1" w:styleId="TextodegloboCar">
    <w:name w:val="Texto de globo Car"/>
    <w:link w:val="Textodeglobo"/>
    <w:uiPriority w:val="99"/>
    <w:semiHidden/>
    <w:rsid w:val="00F2777B"/>
    <w:rPr>
      <w:rFonts w:ascii="Tahoma" w:eastAsia="Times New Roman" w:hAnsi="Tahoma" w:cs="Tahoma"/>
      <w:sz w:val="16"/>
      <w:szCs w:val="16"/>
      <w:lang w:val="es-ES_tradnl"/>
    </w:rPr>
  </w:style>
  <w:style w:type="character" w:customStyle="1" w:styleId="apple-converted-space">
    <w:name w:val="apple-converted-space"/>
    <w:basedOn w:val="Fuentedeprrafopredeter"/>
    <w:rsid w:val="00B31EBB"/>
  </w:style>
  <w:style w:type="paragraph" w:customStyle="1" w:styleId="PrrafodeSentencia">
    <w:name w:val="*. Párrafo de Sentencia"/>
    <w:basedOn w:val="MediumGrid1-Accent21"/>
    <w:link w:val="PrrafodeSentenciaChar"/>
    <w:autoRedefine/>
    <w:qFormat/>
    <w:rsid w:val="007C72CC"/>
    <w:pPr>
      <w:tabs>
        <w:tab w:val="num" w:pos="860"/>
      </w:tabs>
      <w:spacing w:before="120" w:after="120"/>
      <w:ind w:left="0"/>
      <w:jc w:val="both"/>
    </w:pPr>
    <w:rPr>
      <w:rFonts w:eastAsia="Batang"/>
      <w:lang w:val="es-ES" w:eastAsia="es-MX"/>
    </w:rPr>
  </w:style>
  <w:style w:type="character" w:customStyle="1" w:styleId="PrrafodeSentenciaChar">
    <w:name w:val="*. Párrafo de Sentencia Char"/>
    <w:link w:val="PrrafodeSentencia"/>
    <w:rsid w:val="007C72CC"/>
    <w:rPr>
      <w:rFonts w:ascii="Verdana" w:eastAsia="Batang" w:hAnsi="Verdana" w:cs="Arial"/>
      <w:sz w:val="20"/>
      <w:szCs w:val="20"/>
      <w:lang w:val="es-ES" w:eastAsia="es-MX"/>
    </w:rPr>
  </w:style>
  <w:style w:type="paragraph" w:styleId="Textoindependiente">
    <w:name w:val="Body Text"/>
    <w:basedOn w:val="Normal"/>
    <w:link w:val="TextoindependienteCar"/>
    <w:uiPriority w:val="99"/>
    <w:unhideWhenUsed/>
    <w:rsid w:val="004D1E53"/>
    <w:pPr>
      <w:spacing w:after="120"/>
    </w:pPr>
    <w:rPr>
      <w:lang w:eastAsia="x-none"/>
    </w:rPr>
  </w:style>
  <w:style w:type="character" w:customStyle="1" w:styleId="TextoindependienteCar">
    <w:name w:val="Texto independiente Car"/>
    <w:link w:val="Textoindependiente"/>
    <w:uiPriority w:val="99"/>
    <w:rsid w:val="004D1E53"/>
    <w:rPr>
      <w:rFonts w:ascii="Verdana" w:eastAsia="Times New Roman" w:hAnsi="Verdana" w:cs="Times New Roman"/>
      <w:sz w:val="20"/>
      <w:szCs w:val="20"/>
      <w:lang w:val="es-ES_tradnl"/>
    </w:rPr>
  </w:style>
  <w:style w:type="character" w:customStyle="1" w:styleId="Smbolodenotaalpie">
    <w:name w:val="Símbolo de nota al pie"/>
    <w:rsid w:val="007E44A5"/>
    <w:rPr>
      <w:vertAlign w:val="superscript"/>
    </w:rPr>
  </w:style>
  <w:style w:type="paragraph" w:customStyle="1" w:styleId="NormalNumbered">
    <w:name w:val="Normal Numbered"/>
    <w:basedOn w:val="Normal"/>
    <w:link w:val="NormalNumberedChar"/>
    <w:qFormat/>
    <w:rsid w:val="00114A7E"/>
    <w:pPr>
      <w:jc w:val="both"/>
    </w:pPr>
    <w:rPr>
      <w:lang w:val="x-none" w:eastAsia="x-none"/>
    </w:rPr>
  </w:style>
  <w:style w:type="character" w:customStyle="1" w:styleId="NormalNumberedChar">
    <w:name w:val="Normal Numbered Char"/>
    <w:link w:val="NormalNumbered"/>
    <w:rsid w:val="00114A7E"/>
    <w:rPr>
      <w:rFonts w:ascii="Verdana" w:eastAsia="Times New Roman" w:hAnsi="Verdana"/>
    </w:rPr>
  </w:style>
  <w:style w:type="paragraph" w:customStyle="1" w:styleId="ColorfulList-Accent11">
    <w:name w:val="Colorful List - Accent 11"/>
    <w:basedOn w:val="Normal"/>
    <w:uiPriority w:val="34"/>
    <w:qFormat/>
    <w:rsid w:val="007B4609"/>
    <w:pPr>
      <w:ind w:left="720"/>
    </w:pPr>
  </w:style>
  <w:style w:type="paragraph" w:customStyle="1" w:styleId="FootnoteText1">
    <w:name w:val="Footnote Text1"/>
    <w:rsid w:val="00282B59"/>
    <w:rPr>
      <w:rFonts w:ascii="Lucida Grande" w:eastAsia="ヒラギノ角ゴ Pro W3" w:hAnsi="Lucida Grande"/>
      <w:color w:val="000000"/>
      <w:lang w:val="en-US" w:eastAsia="en-US"/>
    </w:rPr>
  </w:style>
  <w:style w:type="character" w:customStyle="1" w:styleId="FootnoteReference1">
    <w:name w:val="Footnote Reference1"/>
    <w:rsid w:val="00282B59"/>
    <w:rPr>
      <w:color w:val="000000"/>
      <w:sz w:val="22"/>
      <w:vertAlign w:val="superscript"/>
    </w:rPr>
  </w:style>
  <w:style w:type="paragraph" w:styleId="Prrafodelista">
    <w:name w:val="List Paragraph"/>
    <w:basedOn w:val="Normal"/>
    <w:uiPriority w:val="34"/>
    <w:qFormat/>
    <w:rsid w:val="0084095E"/>
    <w:pPr>
      <w:ind w:left="720"/>
      <w:contextualSpacing/>
    </w:pPr>
    <w:rPr>
      <w:rFonts w:eastAsia="Batang"/>
      <w:sz w:val="24"/>
      <w:szCs w:val="24"/>
    </w:rPr>
  </w:style>
  <w:style w:type="paragraph" w:customStyle="1" w:styleId="Prrafodelista1">
    <w:name w:val="Párrafo de lista1"/>
    <w:basedOn w:val="Normal"/>
    <w:qFormat/>
    <w:rsid w:val="0004795A"/>
    <w:pPr>
      <w:ind w:left="720"/>
    </w:pPr>
    <w:rPr>
      <w:rFonts w:ascii="Times" w:hAnsi="Times"/>
      <w:sz w:val="24"/>
    </w:rPr>
  </w:style>
  <w:style w:type="paragraph" w:styleId="Textonotaalfinal">
    <w:name w:val="endnote text"/>
    <w:basedOn w:val="Normal"/>
    <w:link w:val="TextonotaalfinalCar"/>
    <w:rsid w:val="00A65A54"/>
  </w:style>
  <w:style w:type="character" w:customStyle="1" w:styleId="TextonotaalfinalCar">
    <w:name w:val="Texto nota al final Car"/>
    <w:link w:val="Textonotaalfinal"/>
    <w:rsid w:val="00A65A54"/>
    <w:rPr>
      <w:rFonts w:ascii="Verdana" w:eastAsia="Times New Roman" w:hAnsi="Verdana"/>
      <w:lang w:val="es-ES_tradnl"/>
    </w:rPr>
  </w:style>
  <w:style w:type="character" w:styleId="Refdenotaalfinal">
    <w:name w:val="endnote reference"/>
    <w:rsid w:val="00A65A54"/>
    <w:rPr>
      <w:vertAlign w:val="superscript"/>
    </w:rPr>
  </w:style>
  <w:style w:type="paragraph" w:customStyle="1" w:styleId="FootnoteText2">
    <w:name w:val="Footnote Text2"/>
    <w:rsid w:val="000E41FB"/>
    <w:pPr>
      <w:widowControl w:val="0"/>
    </w:pPr>
    <w:rPr>
      <w:rFonts w:ascii="Times New Roman" w:eastAsia="ヒラギノ角ゴ Pro W3" w:hAnsi="Times New Roman"/>
      <w:color w:val="000000"/>
      <w:lang w:val="es-ES_tradnl" w:eastAsia="en-US"/>
    </w:rPr>
  </w:style>
  <w:style w:type="paragraph" w:customStyle="1" w:styleId="Default">
    <w:name w:val="Default"/>
    <w:rsid w:val="00D10587"/>
    <w:pPr>
      <w:autoSpaceDE w:val="0"/>
      <w:autoSpaceDN w:val="0"/>
      <w:adjustRightInd w:val="0"/>
    </w:pPr>
    <w:rPr>
      <w:rFonts w:ascii="Univers" w:hAnsi="Univers" w:cs="Univers"/>
      <w:color w:val="000000"/>
      <w:sz w:val="24"/>
      <w:szCs w:val="24"/>
      <w:lang w:val="en-US" w:eastAsia="en-US"/>
    </w:rPr>
  </w:style>
  <w:style w:type="character" w:customStyle="1" w:styleId="s6b621b36">
    <w:name w:val="s6b621b36"/>
    <w:basedOn w:val="Fuentedeprrafopredeter"/>
    <w:rsid w:val="00003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95244">
      <w:bodyDiv w:val="1"/>
      <w:marLeft w:val="0"/>
      <w:marRight w:val="0"/>
      <w:marTop w:val="0"/>
      <w:marBottom w:val="0"/>
      <w:divBdr>
        <w:top w:val="none" w:sz="0" w:space="0" w:color="auto"/>
        <w:left w:val="none" w:sz="0" w:space="0" w:color="auto"/>
        <w:bottom w:val="none" w:sz="0" w:space="0" w:color="auto"/>
        <w:right w:val="none" w:sz="0" w:space="0" w:color="auto"/>
      </w:divBdr>
    </w:div>
    <w:div w:id="536160963">
      <w:bodyDiv w:val="1"/>
      <w:marLeft w:val="0"/>
      <w:marRight w:val="0"/>
      <w:marTop w:val="0"/>
      <w:marBottom w:val="0"/>
      <w:divBdr>
        <w:top w:val="none" w:sz="0" w:space="0" w:color="auto"/>
        <w:left w:val="none" w:sz="0" w:space="0" w:color="auto"/>
        <w:bottom w:val="none" w:sz="0" w:space="0" w:color="auto"/>
        <w:right w:val="none" w:sz="0" w:space="0" w:color="auto"/>
      </w:divBdr>
    </w:div>
    <w:div w:id="1134057738">
      <w:bodyDiv w:val="1"/>
      <w:marLeft w:val="0"/>
      <w:marRight w:val="0"/>
      <w:marTop w:val="0"/>
      <w:marBottom w:val="0"/>
      <w:divBdr>
        <w:top w:val="none" w:sz="0" w:space="0" w:color="auto"/>
        <w:left w:val="none" w:sz="0" w:space="0" w:color="auto"/>
        <w:bottom w:val="none" w:sz="0" w:space="0" w:color="auto"/>
        <w:right w:val="none" w:sz="0" w:space="0" w:color="auto"/>
      </w:divBdr>
      <w:divsChild>
        <w:div w:id="1933195139">
          <w:marLeft w:val="0"/>
          <w:marRight w:val="0"/>
          <w:marTop w:val="0"/>
          <w:marBottom w:val="0"/>
          <w:divBdr>
            <w:top w:val="none" w:sz="0" w:space="0" w:color="auto"/>
            <w:left w:val="none" w:sz="0" w:space="0" w:color="auto"/>
            <w:bottom w:val="none" w:sz="0" w:space="0" w:color="auto"/>
            <w:right w:val="none" w:sz="0" w:space="0" w:color="auto"/>
          </w:divBdr>
          <w:divsChild>
            <w:div w:id="115955170">
              <w:marLeft w:val="0"/>
              <w:marRight w:val="0"/>
              <w:marTop w:val="0"/>
              <w:marBottom w:val="0"/>
              <w:divBdr>
                <w:top w:val="none" w:sz="0" w:space="0" w:color="auto"/>
                <w:left w:val="none" w:sz="0" w:space="0" w:color="auto"/>
                <w:bottom w:val="none" w:sz="0" w:space="0" w:color="auto"/>
                <w:right w:val="none" w:sz="0" w:space="0" w:color="auto"/>
              </w:divBdr>
              <w:divsChild>
                <w:div w:id="1944724870">
                  <w:marLeft w:val="0"/>
                  <w:marRight w:val="0"/>
                  <w:marTop w:val="0"/>
                  <w:marBottom w:val="0"/>
                  <w:divBdr>
                    <w:top w:val="none" w:sz="0" w:space="0" w:color="auto"/>
                    <w:left w:val="none" w:sz="0" w:space="0" w:color="auto"/>
                    <w:bottom w:val="none" w:sz="0" w:space="0" w:color="auto"/>
                    <w:right w:val="none" w:sz="0" w:space="0" w:color="auto"/>
                  </w:divBdr>
                  <w:divsChild>
                    <w:div w:id="831994200">
                      <w:marLeft w:val="0"/>
                      <w:marRight w:val="0"/>
                      <w:marTop w:val="0"/>
                      <w:marBottom w:val="0"/>
                      <w:divBdr>
                        <w:top w:val="none" w:sz="0" w:space="0" w:color="auto"/>
                        <w:left w:val="none" w:sz="0" w:space="0" w:color="auto"/>
                        <w:bottom w:val="none" w:sz="0" w:space="0" w:color="auto"/>
                        <w:right w:val="none" w:sz="0" w:space="0" w:color="auto"/>
                      </w:divBdr>
                      <w:divsChild>
                        <w:div w:id="606356613">
                          <w:marLeft w:val="0"/>
                          <w:marRight w:val="0"/>
                          <w:marTop w:val="0"/>
                          <w:marBottom w:val="0"/>
                          <w:divBdr>
                            <w:top w:val="none" w:sz="0" w:space="0" w:color="auto"/>
                            <w:left w:val="none" w:sz="0" w:space="0" w:color="auto"/>
                            <w:bottom w:val="none" w:sz="0" w:space="0" w:color="auto"/>
                            <w:right w:val="none" w:sz="0" w:space="0" w:color="auto"/>
                          </w:divBdr>
                          <w:divsChild>
                            <w:div w:id="410781757">
                              <w:marLeft w:val="0"/>
                              <w:marRight w:val="0"/>
                              <w:marTop w:val="0"/>
                              <w:marBottom w:val="0"/>
                              <w:divBdr>
                                <w:top w:val="none" w:sz="0" w:space="0" w:color="auto"/>
                                <w:left w:val="none" w:sz="0" w:space="0" w:color="auto"/>
                                <w:bottom w:val="none" w:sz="0" w:space="0" w:color="auto"/>
                                <w:right w:val="none" w:sz="0" w:space="0" w:color="auto"/>
                              </w:divBdr>
                              <w:divsChild>
                                <w:div w:id="342587211">
                                  <w:marLeft w:val="0"/>
                                  <w:marRight w:val="0"/>
                                  <w:marTop w:val="0"/>
                                  <w:marBottom w:val="0"/>
                                  <w:divBdr>
                                    <w:top w:val="none" w:sz="0" w:space="0" w:color="auto"/>
                                    <w:left w:val="none" w:sz="0" w:space="0" w:color="auto"/>
                                    <w:bottom w:val="none" w:sz="0" w:space="0" w:color="auto"/>
                                    <w:right w:val="none" w:sz="0" w:space="0" w:color="auto"/>
                                  </w:divBdr>
                                  <w:divsChild>
                                    <w:div w:id="104275830">
                                      <w:marLeft w:val="0"/>
                                      <w:marRight w:val="0"/>
                                      <w:marTop w:val="0"/>
                                      <w:marBottom w:val="0"/>
                                      <w:divBdr>
                                        <w:top w:val="none" w:sz="0" w:space="0" w:color="auto"/>
                                        <w:left w:val="none" w:sz="0" w:space="0" w:color="auto"/>
                                        <w:bottom w:val="none" w:sz="0" w:space="0" w:color="auto"/>
                                        <w:right w:val="none" w:sz="0" w:space="0" w:color="auto"/>
                                      </w:divBdr>
                                      <w:divsChild>
                                        <w:div w:id="655064720">
                                          <w:marLeft w:val="0"/>
                                          <w:marRight w:val="0"/>
                                          <w:marTop w:val="0"/>
                                          <w:marBottom w:val="0"/>
                                          <w:divBdr>
                                            <w:top w:val="none" w:sz="0" w:space="0" w:color="auto"/>
                                            <w:left w:val="none" w:sz="0" w:space="0" w:color="auto"/>
                                            <w:bottom w:val="none" w:sz="0" w:space="0" w:color="auto"/>
                                            <w:right w:val="none" w:sz="0" w:space="0" w:color="auto"/>
                                          </w:divBdr>
                                          <w:divsChild>
                                            <w:div w:id="1234510321">
                                              <w:marLeft w:val="0"/>
                                              <w:marRight w:val="0"/>
                                              <w:marTop w:val="0"/>
                                              <w:marBottom w:val="0"/>
                                              <w:divBdr>
                                                <w:top w:val="none" w:sz="0" w:space="0" w:color="auto"/>
                                                <w:left w:val="none" w:sz="0" w:space="0" w:color="auto"/>
                                                <w:bottom w:val="none" w:sz="0" w:space="0" w:color="auto"/>
                                                <w:right w:val="none" w:sz="0" w:space="0" w:color="auto"/>
                                              </w:divBdr>
                                              <w:divsChild>
                                                <w:div w:id="1491602855">
                                                  <w:marLeft w:val="0"/>
                                                  <w:marRight w:val="0"/>
                                                  <w:marTop w:val="0"/>
                                                  <w:marBottom w:val="0"/>
                                                  <w:divBdr>
                                                    <w:top w:val="none" w:sz="0" w:space="0" w:color="auto"/>
                                                    <w:left w:val="none" w:sz="0" w:space="0" w:color="auto"/>
                                                    <w:bottom w:val="none" w:sz="0" w:space="0" w:color="auto"/>
                                                    <w:right w:val="none" w:sz="0" w:space="0" w:color="auto"/>
                                                  </w:divBdr>
                                                  <w:divsChild>
                                                    <w:div w:id="409426155">
                                                      <w:marLeft w:val="0"/>
                                                      <w:marRight w:val="0"/>
                                                      <w:marTop w:val="0"/>
                                                      <w:marBottom w:val="0"/>
                                                      <w:divBdr>
                                                        <w:top w:val="none" w:sz="0" w:space="0" w:color="auto"/>
                                                        <w:left w:val="none" w:sz="0" w:space="0" w:color="auto"/>
                                                        <w:bottom w:val="none" w:sz="0" w:space="0" w:color="auto"/>
                                                        <w:right w:val="none" w:sz="0" w:space="0" w:color="auto"/>
                                                      </w:divBdr>
                                                      <w:divsChild>
                                                        <w:div w:id="1183477788">
                                                          <w:marLeft w:val="0"/>
                                                          <w:marRight w:val="0"/>
                                                          <w:marTop w:val="0"/>
                                                          <w:marBottom w:val="0"/>
                                                          <w:divBdr>
                                                            <w:top w:val="none" w:sz="0" w:space="0" w:color="auto"/>
                                                            <w:left w:val="none" w:sz="0" w:space="0" w:color="auto"/>
                                                            <w:bottom w:val="none" w:sz="0" w:space="0" w:color="auto"/>
                                                            <w:right w:val="none" w:sz="0" w:space="0" w:color="auto"/>
                                                          </w:divBdr>
                                                          <w:divsChild>
                                                            <w:div w:id="1945647140">
                                                              <w:marLeft w:val="0"/>
                                                              <w:marRight w:val="0"/>
                                                              <w:marTop w:val="0"/>
                                                              <w:marBottom w:val="0"/>
                                                              <w:divBdr>
                                                                <w:top w:val="none" w:sz="0" w:space="0" w:color="auto"/>
                                                                <w:left w:val="none" w:sz="0" w:space="0" w:color="auto"/>
                                                                <w:bottom w:val="none" w:sz="0" w:space="0" w:color="auto"/>
                                                                <w:right w:val="none" w:sz="0" w:space="0" w:color="auto"/>
                                                              </w:divBdr>
                                                              <w:divsChild>
                                                                <w:div w:id="609747708">
                                                                  <w:marLeft w:val="0"/>
                                                                  <w:marRight w:val="0"/>
                                                                  <w:marTop w:val="0"/>
                                                                  <w:marBottom w:val="0"/>
                                                                  <w:divBdr>
                                                                    <w:top w:val="none" w:sz="0" w:space="0" w:color="auto"/>
                                                                    <w:left w:val="none" w:sz="0" w:space="0" w:color="auto"/>
                                                                    <w:bottom w:val="none" w:sz="0" w:space="0" w:color="auto"/>
                                                                    <w:right w:val="none" w:sz="0" w:space="0" w:color="auto"/>
                                                                  </w:divBdr>
                                                                  <w:divsChild>
                                                                    <w:div w:id="2061124597">
                                                                      <w:marLeft w:val="0"/>
                                                                      <w:marRight w:val="0"/>
                                                                      <w:marTop w:val="0"/>
                                                                      <w:marBottom w:val="0"/>
                                                                      <w:divBdr>
                                                                        <w:top w:val="none" w:sz="0" w:space="0" w:color="auto"/>
                                                                        <w:left w:val="none" w:sz="0" w:space="0" w:color="auto"/>
                                                                        <w:bottom w:val="none" w:sz="0" w:space="0" w:color="auto"/>
                                                                        <w:right w:val="none" w:sz="0" w:space="0" w:color="auto"/>
                                                                      </w:divBdr>
                                                                      <w:divsChild>
                                                                        <w:div w:id="1149982302">
                                                                          <w:marLeft w:val="0"/>
                                                                          <w:marRight w:val="0"/>
                                                                          <w:marTop w:val="0"/>
                                                                          <w:marBottom w:val="0"/>
                                                                          <w:divBdr>
                                                                            <w:top w:val="none" w:sz="0" w:space="0" w:color="auto"/>
                                                                            <w:left w:val="none" w:sz="0" w:space="0" w:color="auto"/>
                                                                            <w:bottom w:val="none" w:sz="0" w:space="0" w:color="auto"/>
                                                                            <w:right w:val="none" w:sz="0" w:space="0" w:color="auto"/>
                                                                          </w:divBdr>
                                                                          <w:divsChild>
                                                                            <w:div w:id="1858040148">
                                                                              <w:marLeft w:val="0"/>
                                                                              <w:marRight w:val="0"/>
                                                                              <w:marTop w:val="0"/>
                                                                              <w:marBottom w:val="0"/>
                                                                              <w:divBdr>
                                                                                <w:top w:val="none" w:sz="0" w:space="0" w:color="auto"/>
                                                                                <w:left w:val="none" w:sz="0" w:space="0" w:color="auto"/>
                                                                                <w:bottom w:val="none" w:sz="0" w:space="0" w:color="auto"/>
                                                                                <w:right w:val="none" w:sz="0" w:space="0" w:color="auto"/>
                                                                              </w:divBdr>
                                                                              <w:divsChild>
                                                                                <w:div w:id="648872412">
                                                                                  <w:marLeft w:val="0"/>
                                                                                  <w:marRight w:val="0"/>
                                                                                  <w:marTop w:val="0"/>
                                                                                  <w:marBottom w:val="200"/>
                                                                                  <w:divBdr>
                                                                                    <w:top w:val="none" w:sz="0" w:space="0" w:color="auto"/>
                                                                                    <w:left w:val="none" w:sz="0" w:space="0" w:color="auto"/>
                                                                                    <w:bottom w:val="none" w:sz="0" w:space="0" w:color="auto"/>
                                                                                    <w:right w:val="none" w:sz="0" w:space="0" w:color="auto"/>
                                                                                  </w:divBdr>
                                                                                </w:div>
                                                                                <w:div w:id="1491486776">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9171647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idh.oas.org/countryrep/Colombia93sp/indice.htm" TargetMode="External"/><Relationship Id="rId2" Type="http://schemas.openxmlformats.org/officeDocument/2006/relationships/hyperlink" Target="http://www.eltiempo.com/" TargetMode="External"/><Relationship Id="rId1" Type="http://schemas.openxmlformats.org/officeDocument/2006/relationships/hyperlink" Target="http://www.corteidh.or.cr/docs/asuntos/Velez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39632</Words>
  <Characters>217982</Characters>
  <Application>Microsoft Office Word</Application>
  <DocSecurity>0</DocSecurity>
  <Lines>1816</Lines>
  <Paragraphs>514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257100</CharactersWithSpaces>
  <SharedDoc>false</SharedDoc>
  <HLinks>
    <vt:vector size="18" baseType="variant">
      <vt:variant>
        <vt:i4>6815840</vt:i4>
      </vt:variant>
      <vt:variant>
        <vt:i4>6</vt:i4>
      </vt:variant>
      <vt:variant>
        <vt:i4>0</vt:i4>
      </vt:variant>
      <vt:variant>
        <vt:i4>5</vt:i4>
      </vt:variant>
      <vt:variant>
        <vt:lpwstr>http://www.cidh.oas.org/countryrep/Colombia93sp/indice.htm</vt:lpwstr>
      </vt:variant>
      <vt:variant>
        <vt:lpwstr/>
      </vt:variant>
      <vt:variant>
        <vt:i4>4259929</vt:i4>
      </vt:variant>
      <vt:variant>
        <vt:i4>3</vt:i4>
      </vt:variant>
      <vt:variant>
        <vt:i4>0</vt:i4>
      </vt:variant>
      <vt:variant>
        <vt:i4>5</vt:i4>
      </vt:variant>
      <vt:variant>
        <vt:lpwstr>http://www.eltiempo.com/</vt:lpwstr>
      </vt:variant>
      <vt:variant>
        <vt:lpwstr/>
      </vt:variant>
      <vt:variant>
        <vt:i4>917581</vt:i4>
      </vt:variant>
      <vt:variant>
        <vt:i4>0</vt:i4>
      </vt:variant>
      <vt:variant>
        <vt:i4>0</vt:i4>
      </vt:variant>
      <vt:variant>
        <vt:i4>5</vt:i4>
      </vt:variant>
      <vt:variant>
        <vt:lpwstr>http://www.corteidh.or.cr/docs/asuntos/Velez1.pdf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2017-09-01T17:54:00Z</cp:lastPrinted>
  <dcterms:created xsi:type="dcterms:W3CDTF">2017-09-01T17:54:00Z</dcterms:created>
  <dcterms:modified xsi:type="dcterms:W3CDTF">2017-09-01T17:55:00Z</dcterms:modified>
</cp:coreProperties>
</file>