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C22" w:rsidRDefault="00351C22" w:rsidP="00351C22">
      <w:pPr>
        <w:jc w:val="center"/>
        <w:rPr>
          <w:rFonts w:ascii="Times New Roman" w:hAnsi="Times New Roman"/>
          <w:color w:val="000000"/>
          <w:sz w:val="27"/>
          <w:szCs w:val="27"/>
          <w:lang w:eastAsia="es-AR"/>
        </w:rPr>
      </w:pPr>
      <w:r>
        <w:rPr>
          <w:b/>
          <w:bCs/>
          <w:color w:val="000000"/>
          <w:szCs w:val="20"/>
          <w:lang w:val="es-ES_tradnl"/>
        </w:rPr>
        <w:t>INFORME Nº 4/07</w:t>
      </w:r>
    </w:p>
    <w:p w:rsidR="00351C22" w:rsidRDefault="00351C22" w:rsidP="00351C22">
      <w:pPr>
        <w:jc w:val="center"/>
        <w:rPr>
          <w:color w:val="000000"/>
          <w:sz w:val="27"/>
          <w:szCs w:val="27"/>
        </w:rPr>
      </w:pPr>
      <w:r>
        <w:rPr>
          <w:color w:val="000000"/>
          <w:szCs w:val="20"/>
          <w:lang w:val="es-ES_tradnl"/>
        </w:rPr>
        <w:t>PETICIÓN 1147-04</w:t>
      </w:r>
    </w:p>
    <w:p w:rsidR="00351C22" w:rsidRDefault="00351C22" w:rsidP="00351C22">
      <w:pPr>
        <w:jc w:val="center"/>
        <w:rPr>
          <w:color w:val="000000"/>
          <w:sz w:val="27"/>
          <w:szCs w:val="27"/>
        </w:rPr>
      </w:pPr>
      <w:r>
        <w:rPr>
          <w:color w:val="000000"/>
          <w:szCs w:val="20"/>
          <w:lang w:val="es-ES_tradnl"/>
        </w:rPr>
        <w:t>ADMISIBILIDAD</w:t>
      </w:r>
    </w:p>
    <w:p w:rsidR="00351C22" w:rsidRDefault="00351C22" w:rsidP="00351C22">
      <w:pPr>
        <w:jc w:val="center"/>
        <w:rPr>
          <w:color w:val="000000"/>
          <w:sz w:val="27"/>
          <w:szCs w:val="27"/>
        </w:rPr>
      </w:pPr>
      <w:r>
        <w:rPr>
          <w:color w:val="000000"/>
          <w:szCs w:val="20"/>
          <w:lang w:val="es-ES_tradnl"/>
        </w:rPr>
        <w:t>LUZ DARY OSPINA BASTIDAS Y OTROS (COMUNA 13)</w:t>
      </w:r>
    </w:p>
    <w:p w:rsidR="00351C22" w:rsidRDefault="00351C22" w:rsidP="00351C22">
      <w:pPr>
        <w:jc w:val="center"/>
        <w:rPr>
          <w:color w:val="000000"/>
          <w:sz w:val="27"/>
          <w:szCs w:val="27"/>
        </w:rPr>
      </w:pPr>
      <w:r>
        <w:rPr>
          <w:color w:val="000000"/>
          <w:szCs w:val="20"/>
          <w:lang w:val="es-ES_tradnl"/>
        </w:rPr>
        <w:t>COLOMBIA</w:t>
      </w:r>
    </w:p>
    <w:p w:rsidR="00351C22" w:rsidRDefault="00351C22" w:rsidP="00351C22">
      <w:pPr>
        <w:jc w:val="center"/>
        <w:rPr>
          <w:color w:val="000000"/>
          <w:sz w:val="27"/>
          <w:szCs w:val="27"/>
        </w:rPr>
      </w:pPr>
      <w:r>
        <w:rPr>
          <w:color w:val="000000"/>
          <w:szCs w:val="20"/>
          <w:lang w:val="es-ES_tradnl"/>
        </w:rPr>
        <w:t>27 de febrero de 2007</w:t>
      </w:r>
    </w:p>
    <w:p w:rsidR="00351C22" w:rsidRDefault="00351C22" w:rsidP="00351C22">
      <w:pPr>
        <w:pStyle w:val="Heading3"/>
        <w:spacing w:before="0" w:beforeAutospacing="0" w:after="0" w:afterAutospacing="0"/>
        <w:jc w:val="both"/>
        <w:rPr>
          <w:rFonts w:ascii="Arial Unicode MS" w:eastAsia="Arial Unicode MS" w:hAnsi="Arial Unicode MS" w:cs="Arial Unicode MS"/>
          <w:color w:val="000000"/>
        </w:rPr>
      </w:pPr>
    </w:p>
    <w:p w:rsidR="00351C22" w:rsidRDefault="00351C22" w:rsidP="00351C22">
      <w:pPr>
        <w:pStyle w:val="Heading3"/>
        <w:spacing w:before="0" w:beforeAutospacing="0" w:after="0" w:afterAutospacing="0"/>
        <w:jc w:val="both"/>
        <w:rPr>
          <w:rFonts w:ascii="Arial Unicode MS" w:eastAsia="Arial Unicode MS" w:hAnsi="Arial Unicode MS" w:cs="Arial Unicode MS" w:hint="eastAsia"/>
          <w:color w:val="000000"/>
        </w:rPr>
      </w:pPr>
    </w:p>
    <w:p w:rsidR="00351C22" w:rsidRDefault="00351C22" w:rsidP="00351C22">
      <w:pPr>
        <w:pStyle w:val="Heading1"/>
        <w:spacing w:before="0" w:beforeAutospacing="0" w:after="0" w:afterAutospacing="0"/>
        <w:rPr>
          <w:rFonts w:ascii="Arial" w:hAnsi="Arial" w:cs="Arial" w:hint="eastAsia"/>
          <w:color w:val="000000"/>
          <w:sz w:val="32"/>
          <w:szCs w:val="32"/>
        </w:rPr>
      </w:pPr>
      <w:r>
        <w:rPr>
          <w:rFonts w:cs="Arial"/>
          <w:color w:val="000000"/>
          <w:szCs w:val="20"/>
        </w:rPr>
        <w:t>I.</w:t>
      </w:r>
      <w:r>
        <w:rPr>
          <w:rFonts w:cs="Arial"/>
          <w:color w:val="000000"/>
          <w:szCs w:val="20"/>
        </w:rPr>
        <w:tab/>
        <w:t>RESUMEN</w:t>
      </w:r>
    </w:p>
    <w:p w:rsidR="00351C22" w:rsidRDefault="00351C22" w:rsidP="00351C22">
      <w:pPr>
        <w:pStyle w:val="Heading3"/>
        <w:spacing w:before="0" w:beforeAutospacing="0" w:after="0" w:afterAutospacing="0"/>
        <w:jc w:val="both"/>
        <w:rPr>
          <w:rFonts w:ascii="Arial Unicode MS" w:eastAsia="Arial Unicode MS" w:hAnsi="Arial Unicode MS" w:cs="Arial Unicode MS"/>
          <w:color w:val="000000"/>
        </w:rPr>
      </w:pPr>
    </w:p>
    <w:p w:rsidR="00351C22" w:rsidRDefault="00351C22" w:rsidP="00351C22">
      <w:pPr>
        <w:pStyle w:val="BodyText"/>
        <w:spacing w:before="0" w:beforeAutospacing="0" w:after="0" w:afterAutospacing="0"/>
        <w:jc w:val="both"/>
        <w:rPr>
          <w:rFonts w:hint="eastAsia"/>
          <w:color w:val="000000"/>
          <w:sz w:val="27"/>
          <w:szCs w:val="27"/>
        </w:rPr>
      </w:pPr>
      <w:r>
        <w:rPr>
          <w:rFonts w:ascii="Verdana" w:hAnsi="Verdana"/>
          <w:color w:val="000000"/>
          <w:sz w:val="20"/>
          <w:szCs w:val="20"/>
        </w:rPr>
        <w:t>1. El 25 de octubre de 2004 la Comisión Interamericana de Derechos Humanos (en adelante "la Comisión") recibió una petición presentada por el Grupo Interdisciplinario por los Derechos Humanos ("los peticionarios"), en la cual se alega que miembros de grupos paramilitares con la aquiescencia y participación de agentes de la República de Colombia (en adelante "el Estado", "el Estado colombiano" o "Colombia"), hostigaron, amenazaron y usurparon la propiedad de Luz Dary Ospina Bastidas y su familia forzando su desplazamiento entre noviembre de 2002 y junio de 2003 en la Comuna 13 de la ciudad de Medellín, departamento de Antioquia.</w:t>
      </w:r>
    </w:p>
    <w:p w:rsidR="00351C22" w:rsidRDefault="00351C22" w:rsidP="00351C22">
      <w:pPr>
        <w:pStyle w:val="BodyText"/>
        <w:spacing w:before="0" w:beforeAutospacing="0" w:after="0" w:afterAutospacing="0"/>
        <w:ind w:firstLine="72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 Los </w:t>
      </w:r>
      <w:r>
        <w:rPr>
          <w:rFonts w:ascii="Verdana" w:hAnsi="Verdana"/>
          <w:color w:val="000000"/>
          <w:sz w:val="20"/>
          <w:szCs w:val="20"/>
          <w:lang w:val="es-ES_tradnl"/>
        </w:rPr>
        <w:t>peticionarios</w:t>
      </w:r>
      <w:r>
        <w:rPr>
          <w:rFonts w:ascii="Verdana" w:hAnsi="Verdana"/>
          <w:color w:val="000000"/>
          <w:sz w:val="20"/>
          <w:szCs w:val="20"/>
        </w:rPr>
        <w:t xml:space="preserve"> alegan que el Estado es responsable por la violación del derecho a la integridad personal, a la libertad de asociación, a la circulación y la residencia, a la propiedad privada, a los derechos políticos, a las garantías judiciales y a la protección judicial, así como de la prohibición de suspensión de garantías establecidos en la Convención Americana sobre Derechos Humanos (en adelante la "Convención" o la "Convención Americana"). El Estado solicitó a la Comisión que declarara el caso inadmisible sobre la base del incumplimiento con el requisito del previo agotamiento de los recursos internos previsto en el artículo 46.1.a de la Convención Americana. Por su parte, el peticionario invocó la aplicación de las excepciones al requisito del previo agotamiento de los recursos internos, previstas en el artículo 46.2 de la Convención Americana.</w:t>
      </w:r>
    </w:p>
    <w:p w:rsidR="00351C22" w:rsidRDefault="00351C22" w:rsidP="00351C22">
      <w:pPr>
        <w:pStyle w:val="BodyText"/>
        <w:spacing w:before="0" w:beforeAutospacing="0" w:after="0" w:afterAutospacing="0"/>
        <w:ind w:firstLine="72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3. Tras analizar las posiciones de las partes y el cumplimiento con los requisitos previstos en los artículos 46 y 47 de la Convención Americana, la Comisión decidió declarar el caso admisible respecto de los artículos 5.1, 8.1, 16, 21.1, 21.2, 22.1 y 25 en concordancia con los artículos 1.1 y 27.1 de la Convención Americana, notificar a las partes y ordenar su publicación.</w:t>
      </w:r>
    </w:p>
    <w:p w:rsidR="00351C22" w:rsidRDefault="00351C22" w:rsidP="00351C22">
      <w:pPr>
        <w:rPr>
          <w:color w:val="000000"/>
          <w:sz w:val="27"/>
          <w:szCs w:val="27"/>
        </w:rPr>
      </w:pPr>
    </w:p>
    <w:p w:rsidR="00351C22" w:rsidRDefault="00351C22" w:rsidP="00351C22">
      <w:pPr>
        <w:pStyle w:val="Heading1"/>
        <w:spacing w:before="0" w:beforeAutospacing="0" w:after="0" w:afterAutospacing="0"/>
        <w:rPr>
          <w:rFonts w:ascii="Arial" w:hAnsi="Arial" w:cs="Arial"/>
          <w:color w:val="000000"/>
          <w:sz w:val="32"/>
          <w:szCs w:val="32"/>
        </w:rPr>
      </w:pPr>
      <w:r>
        <w:rPr>
          <w:rFonts w:cs="Arial"/>
          <w:color w:val="000000"/>
          <w:szCs w:val="20"/>
        </w:rPr>
        <w:t>II.</w:t>
      </w:r>
      <w:r>
        <w:rPr>
          <w:rFonts w:cs="Arial"/>
          <w:color w:val="000000"/>
          <w:szCs w:val="20"/>
        </w:rPr>
        <w:tab/>
        <w:t>TRÁMITE ANTE LA COMISIÓN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4. La CIDH registró la petición bajo el número P1147-04 y tras realizar un análisis preliminar de su contenido, el 23 de noviembre de 2004 procedió a transmitir copia de las partes pertinentes al Estado, con un plazo de dos meses para presentar información de conformidad con el artículo 30.2 del Reglamento. El Estado presentó sus observaciones el 12 de diciembre de 2006.</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1"/>
        <w:spacing w:before="0" w:beforeAutospacing="0" w:after="0" w:afterAutospacing="0"/>
        <w:rPr>
          <w:rFonts w:ascii="Arial" w:hAnsi="Arial" w:cs="Arial"/>
          <w:color w:val="000000"/>
          <w:sz w:val="32"/>
          <w:szCs w:val="32"/>
        </w:rPr>
      </w:pPr>
      <w:r>
        <w:rPr>
          <w:rFonts w:cs="Arial"/>
          <w:color w:val="000000"/>
          <w:szCs w:val="20"/>
        </w:rPr>
        <w:t>III.</w:t>
      </w:r>
      <w:r>
        <w:rPr>
          <w:rFonts w:cs="Arial"/>
          <w:color w:val="000000"/>
          <w:szCs w:val="20"/>
        </w:rPr>
        <w:tab/>
        <w:t>POSICIONES DE LAS PARTES</w:t>
      </w:r>
    </w:p>
    <w:p w:rsidR="00351C22" w:rsidRPr="00351C22" w:rsidRDefault="00351C22" w:rsidP="00351C22">
      <w:pPr>
        <w:rPr>
          <w:rFonts w:ascii="Times New Roman" w:hAnsi="Times New Roman"/>
          <w:color w:val="000000"/>
          <w:sz w:val="27"/>
          <w:szCs w:val="27"/>
          <w:lang w:val="x-none"/>
        </w:rPr>
      </w:pPr>
    </w:p>
    <w:p w:rsidR="00351C22" w:rsidRDefault="00351C22" w:rsidP="00351C22">
      <w:pPr>
        <w:pStyle w:val="Heading2"/>
        <w:spacing w:before="0" w:beforeAutospacing="0" w:after="0" w:afterAutospacing="0"/>
        <w:rPr>
          <w:rFonts w:ascii="Arial" w:hAnsi="Arial" w:cs="Arial"/>
          <w:i/>
          <w:iCs/>
          <w:color w:val="000000"/>
          <w:sz w:val="28"/>
          <w:szCs w:val="28"/>
        </w:rPr>
      </w:pPr>
      <w:r>
        <w:rPr>
          <w:rFonts w:ascii="Verdana" w:hAnsi="Verdana" w:cs="Arial"/>
          <w:color w:val="000000"/>
          <w:sz w:val="20"/>
          <w:szCs w:val="20"/>
        </w:rPr>
        <w:t>A.</w:t>
      </w:r>
      <w:r>
        <w:rPr>
          <w:rFonts w:ascii="Verdana" w:hAnsi="Verdana" w:cs="Arial"/>
          <w:color w:val="000000"/>
          <w:sz w:val="20"/>
          <w:szCs w:val="20"/>
        </w:rPr>
        <w:tab/>
        <w:t>Posición del peticionario</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5. Los peticionarios indican que la Comuna 13 de la ciudad de Medellín está conformada por 22 barrios que albergan 130,000 familias, la mayoría de los cuales sobrevive con ingresos por debajo del salario mínimo. Indican que las condiciones propiciaron la aparición de formas organizativas ilegales, por lo que las operaciones militares se hicieron cada vez más frecuentes y agresivas contra la población.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lastRenderedPageBreak/>
        <w:t xml:space="preserve">6. </w:t>
      </w:r>
      <w:r>
        <w:rPr>
          <w:rFonts w:ascii="Verdana" w:hAnsi="Verdana"/>
          <w:color w:val="000000"/>
          <w:sz w:val="20"/>
          <w:szCs w:val="20"/>
        </w:rPr>
        <w:t xml:space="preserve">La petición indica que durante el año 2002 se llevaron a cabo varias operaciones militares en la Comuna 13 de la ciudad de Medellín. En octubre de 2002 se desarrolló la denominada la "operación Orión", en la que participaron de manera conjunta miembros de la Cuarta Brigada del Ejercito Nacional y de la Policía Nacional adscritos al Comando de la Policía de Antioquia, del Departamento Administrativo de Seguridad, la Fuerza Aérea, el Cuerpo Técnico de Investigaciones (CTI) y la Fiscalía General de la Nación. </w:t>
      </w:r>
      <w:r>
        <w:rPr>
          <w:rFonts w:ascii="Verdana" w:hAnsi="Verdana"/>
          <w:color w:val="000000"/>
          <w:sz w:val="20"/>
          <w:szCs w:val="20"/>
          <w:lang w:val="es-MX"/>
        </w:rPr>
        <w:t>Los peticionarios señalan que entre el 16 y el 18 de octubre, se detuvieron más de 350 personas de las cuáles cerca de 170 fueron puestas a disposición de la autoridad judicial. Alegan que debido a las amenazas y persecución producto de la operación, muchas organizaciones cívicas populares fueron desintegradas, entre ellas la Asociación de Mujeres de las Independencias (AMI)</w:t>
      </w:r>
      <w:r>
        <w:rPr>
          <w:rStyle w:val="FootnoteReference"/>
          <w:color w:val="000000"/>
          <w:szCs w:val="20"/>
          <w:lang w:val="es-MX"/>
        </w:rPr>
        <w:footnoteReference w:id="1"/>
      </w:r>
      <w:r>
        <w:rPr>
          <w:rFonts w:ascii="Verdana" w:hAnsi="Verdana"/>
          <w:color w:val="000000"/>
          <w:sz w:val="20"/>
          <w:szCs w:val="20"/>
          <w:lang w:val="es-MX"/>
        </w:rPr>
        <w:t>, cuya Directora Ejecutiva era Luz Dary Ospina Bastidas.</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7. Alegan que el 12 de noviembre de 2002 tras una acción conjunta por parte de miembros de las Fuerza Pública se dio a conocer entre los habitantes del barrio Independencia II que los grupos paramilitares intentaban acabar con la AMI. Los peticionarios señalan que la señora Ospina tomó conocimiento de que su nombre se encontraba en una lista de personas que los paramilitares pretendían asesinar. Consecuentemente, abandonó el barrio junto a su familia</w:t>
      </w:r>
      <w:r>
        <w:rPr>
          <w:rStyle w:val="FootnoteReference"/>
          <w:color w:val="000000"/>
          <w:szCs w:val="20"/>
          <w:lang w:val="es-MX"/>
        </w:rPr>
        <w:footnoteReference w:id="2"/>
      </w:r>
      <w:r>
        <w:rPr>
          <w:rFonts w:ascii="Verdana" w:hAnsi="Verdana"/>
          <w:color w:val="000000"/>
          <w:sz w:val="20"/>
          <w:szCs w:val="20"/>
          <w:lang w:val="es-MX"/>
        </w:rPr>
        <w:t xml:space="preserve"> de manera inmediata, a fin de resguardar su integridad personal. Sin embargo, alegan que dado que los paramilitares estaban invadiendo las casas desocupadas por las personas que habían abandonado la comuna bajo amenaza, su esposo y sus dos hijos regresaron para proteger la vivienda.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8. Los peticionarios indican que el 3 de marzo de 2003 miembros de la Fuerza Pública, cinco civiles sin identificación que alegaron ser de la Fiscalía y tres encapuchados allanaron la casa de la familia Hoyos Ospina, sin orden de allanamiento. Alegan que ellos requisaron la casa y ataron al señor Hoyos, esposo de Luz Dary Ospina, amenazándolo con detenerlo por tres años. Luego de un rato lo soltaron, lo obligaron a cavar un hoyo en el piso, en busca de armas; tras lo cual se retiraron al no encontrar nada.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9. Indican que el 6 de marzo de 2003 un grupo de civiles armados cavaron hoyos en la parte posterior del solar de la vivienda y que el 11 de marzo de 2003 otro grupo de hombres armados, que portaban brazaletes del Comando Especial Antiterrorista de la Policía Nacional repitieron la operación en busca de armas. Los peticionarios señalan que ante esta situación, el señor Hoyos y sus hijos decidieron abandonar también la casa y dejarla alquilada.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10. Los peticionarios afirman que el 26 de junio de 2003 un grupo de hombres armados llegaron a la casa y amenazaron a la inquilina con derribar la puerta si no los dejaba entrar. Se alega que una vez allí indagaron por la señora Ospina y su familia y procedieron a llevarse los muebles. Al día siguiente habrían regresado para terminar con el saqueo. Asimismo, los hombres armados habrían amenazado a la inquilina diciendo que si formulaba una denuncia ante la Fiscalía le "mocharían" la cabeza. Le indicaron que necesitaban la casa desocupada y le mandaron razón a la señora Ospina y a su esposo que necesitaban hablar con ellos y "que acudieran a la Fiscalía para que así supieran lo que les iba a pasar".</w:t>
      </w:r>
      <w:r>
        <w:rPr>
          <w:rStyle w:val="FootnoteReference"/>
          <w:color w:val="000000"/>
          <w:szCs w:val="20"/>
          <w:lang w:val="es-MX"/>
        </w:rPr>
        <w:footnoteReference w:id="3"/>
      </w:r>
      <w:r>
        <w:rPr>
          <w:rFonts w:ascii="Verdana" w:hAnsi="Verdana"/>
          <w:color w:val="000000"/>
          <w:sz w:val="20"/>
          <w:szCs w:val="20"/>
          <w:lang w:val="es-MX"/>
        </w:rPr>
        <w:t xml:space="preserve"> Los peticionarios alegan que en consecuencia, la inquilina desocupó el inmueble y el 8 de julio de 2003 los paramilitares se instalaron en él. Alegan que el inmueble fue virtualmente desmantelado: las ventanas, puertas, sanitarios, cocina y los ladrillos fueron retirados del terreno.</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 xml:space="preserve">11. Indican que en agosto de 2003 Luz Dary Ospina y su familia se trasladaron a la ciudad de Bogotá. En octubre de 2003 solicitaron a la Red de Solidaridad su inscripción en el Registro Único de Desplazados, solicitud que les fue denegada el 2 de diciembre de 2003. Esta decisión </w:t>
      </w:r>
      <w:r>
        <w:rPr>
          <w:rFonts w:ascii="Verdana" w:hAnsi="Verdana"/>
          <w:color w:val="000000"/>
          <w:sz w:val="20"/>
          <w:szCs w:val="20"/>
          <w:lang w:val="es-MX"/>
        </w:rPr>
        <w:lastRenderedPageBreak/>
        <w:t>fue posteriormente revocada mediante orden de inscripción en el Registro de Desplazados del 13 de febrero de 2004.</w:t>
      </w:r>
      <w:r>
        <w:rPr>
          <w:rStyle w:val="FootnoteReference"/>
          <w:color w:val="000000"/>
          <w:szCs w:val="20"/>
          <w:lang w:val="es-MX"/>
        </w:rPr>
        <w:footnoteReference w:id="4"/>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12. Los peticionarios indican que la señora Ospina denunció los hechos ante la Procuraduría Departamental de Antioquia y ante la Defensoría del Pueblo</w:t>
      </w:r>
      <w:r>
        <w:rPr>
          <w:rStyle w:val="FootnoteReference"/>
          <w:color w:val="000000"/>
          <w:szCs w:val="20"/>
          <w:lang w:val="es-MX"/>
        </w:rPr>
        <w:footnoteReference w:id="5"/>
      </w:r>
      <w:r>
        <w:rPr>
          <w:rFonts w:ascii="Verdana" w:hAnsi="Verdana"/>
          <w:color w:val="000000"/>
          <w:sz w:val="20"/>
          <w:szCs w:val="20"/>
          <w:lang w:val="es-MX"/>
        </w:rPr>
        <w:t>, así como ante el Gobierno Nacional.</w:t>
      </w:r>
      <w:r>
        <w:rPr>
          <w:rStyle w:val="FootnoteReference"/>
          <w:color w:val="000000"/>
          <w:szCs w:val="20"/>
          <w:lang w:val="es-MX"/>
        </w:rPr>
        <w:footnoteReference w:id="6"/>
      </w:r>
      <w:r>
        <w:rPr>
          <w:rFonts w:ascii="Verdana" w:hAnsi="Verdana"/>
          <w:color w:val="000000"/>
          <w:sz w:val="20"/>
          <w:szCs w:val="20"/>
          <w:lang w:val="es-MX"/>
        </w:rPr>
        <w:t xml:space="preserve"> Señalan que la Procuraduría Departamental de Antioquia inició investigación al respecto y remitió la denuncia a la Procuraduría Delegada para los Derechos Humanos en Bogotá. Afirman que de esa investigación no se conoce ningún resultado sancionatorio para algún funcionario público. Los peticionarios alegan que la señora Ospina y su familia sintieron temor de acudir directamente a la Fiscalía a denunciar los hechos y la Procuraduría Departamental omitió ponerlos en conocimiento de la Fiscalía, en la medida en que involucraban a miembros de la Fuerza Pública, lo cual redundó en la ineficacia de estos recursos.</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 xml:space="preserve">13. Los peticionarios alegan que estos hechos constituyen violaciones a los derechos a la integridad personal, la asociación, la propiedad, la circulación y el derecho a no ser desplazado, los derechos políticos, las garantías judiciales y las restricciones a la suspensión de garantías, </w:t>
      </w:r>
      <w:r>
        <w:rPr>
          <w:rFonts w:ascii="Verdana" w:hAnsi="Verdana"/>
          <w:color w:val="000000"/>
          <w:sz w:val="20"/>
          <w:szCs w:val="20"/>
        </w:rPr>
        <w:t>establecidos en los artículos 5, 8, 16, 21, 22, 23, 25 y 27 de la Convención Americana, en perjuicio de Luz Dary Ospina Bastidas y su familia.</w:t>
      </w:r>
      <w:r>
        <w:rPr>
          <w:rFonts w:ascii="Verdana" w:hAnsi="Verdana"/>
          <w:color w:val="000000"/>
          <w:sz w:val="20"/>
          <w:szCs w:val="20"/>
          <w:lang w:val="es-MX"/>
        </w:rPr>
        <w:t xml:space="preserve"> </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14. Concretamente, alegan que a la fecha de los hechos, Luz Dary Ospina era una respetada y reconocida líder de la AMI y que la persecución y amenaza de la que fueron objeto ella y su familia tuvieron por objeto desarticular esa organización, por lo que se vulneró su derecho de asociación. Señalan también que se habrían violado sus derechos políticos sin especificar los fundamentos de esta alegación. Asimismo, se alega que la señora Ospina perdió sus bienes muebles y su casa, la cual fue derrumbada y no puede pensar en reconstruirla ni hacer uso del lote vacío, por el peligro que implica regresar a la comunidad. Es así, que consideran que el despojo arbitrario de su vivienda y el desplazamiento menoscabó gravemente la integridad psíquica y moral de la familia Ospina Hoyos, y su derecho a la propiedad y a la circulación y residencia. Asimismo alegan que los recursos en el orden jurídico interno no han resultado efectivos para esclarecer los hechos denunciados y reparar a la señora Ospina y su familia.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15. Los peticionarios alegan también que con las operaciones realizadas en la Comuna 13 el Estado violó su obligación de protección y garantía del derecho a la vida y a la integridad personal, así como los principios de proporcionalidad y distinción del derecho internacional humanitario, toda vez que la lucha contra la delincuencia organizada no justificaría los medios utilizados.</w:t>
      </w:r>
      <w:r>
        <w:rPr>
          <w:rStyle w:val="FootnoteReference"/>
          <w:color w:val="000000"/>
          <w:szCs w:val="20"/>
          <w:lang w:val="es-MX"/>
        </w:rPr>
        <w:footnoteReference w:id="7"/>
      </w:r>
      <w:r>
        <w:rPr>
          <w:rFonts w:ascii="Verdana" w:hAnsi="Verdana"/>
          <w:color w:val="000000"/>
          <w:sz w:val="20"/>
          <w:szCs w:val="20"/>
          <w:lang w:val="es-MX"/>
        </w:rPr>
        <w:t xml:space="preserve"> Señalan además que para la fecha en que ocurrieron los hechos el territorio colombiano se encontraba bajo estado de conmoción, interior decretado el 11 de agosto de 2002 por el Presidente de la República que la situación no fue atendida respetándose los parámetros mínimos de legalidad y que se permitió que el Ejército y la Policía ejercieran funciones de policía judicial no reguladas por la ley que llevaron a una práctica sistemática de </w:t>
      </w:r>
      <w:r>
        <w:rPr>
          <w:rFonts w:ascii="Verdana" w:hAnsi="Verdana"/>
          <w:color w:val="000000"/>
          <w:sz w:val="20"/>
          <w:szCs w:val="20"/>
          <w:lang w:val="es-MX"/>
        </w:rPr>
        <w:lastRenderedPageBreak/>
        <w:t>allanamientos ilegales, asesinatos, desapariciones y desplazamientos forzados, en una zona con presencia de las Fuerza Pública.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16. En cuanto al agotamiento de los recursos internos, los peticionarios alegan que se aplican las excepciones previstas en el artículo 46.2 en vista de que la señora Ospina y su familia sintieron temor de acudir directamente a la Fiscalía a denunciar los hechos y la Procuraduría Departamental omitió ponerlos en conocimiento de la Fiscalía, en la medida en que involucraban a miembros de la Fuerza Pública: miembros del Ejército, la Policía, la Fiscalía y el CTI, quienes amenazaron con detenerla, a pesar de no haber orden de captura en su contra.</w:t>
      </w:r>
      <w:r>
        <w:rPr>
          <w:rStyle w:val="FootnoteReference"/>
          <w:color w:val="000000"/>
          <w:szCs w:val="20"/>
          <w:lang w:val="es-MX"/>
        </w:rPr>
        <w:footnoteReference w:id="8"/>
      </w:r>
      <w:r>
        <w:rPr>
          <w:rFonts w:ascii="Verdana" w:hAnsi="Verdana"/>
          <w:color w:val="000000"/>
          <w:sz w:val="20"/>
          <w:szCs w:val="20"/>
          <w:lang w:val="es-MX"/>
        </w:rPr>
        <w:t xml:space="preserve"> Señalan que la Procuraduría Departamental de Antioquia inició investigación al respecto y remitió la denuncia a la Procuraduría Delegada para los Derechos Humanos en Bogotá. Afirman que de esa investigación no se conoce de la imposición de sanciones a algún funcionario público. Asimismo, señalan que transcurridos dos años desde la ocurrencia de los hechos, no se han adelantado investigaciones en el ámbito penal.</w:t>
      </w:r>
      <w:r>
        <w:rPr>
          <w:rStyle w:val="FootnoteReference"/>
          <w:color w:val="000000"/>
          <w:szCs w:val="20"/>
          <w:lang w:val="es-MX"/>
        </w:rPr>
        <w:footnoteReference w:id="9"/>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2"/>
        <w:spacing w:before="0" w:beforeAutospacing="0" w:after="0" w:afterAutospacing="0"/>
        <w:rPr>
          <w:rFonts w:ascii="Arial" w:hAnsi="Arial" w:cs="Arial"/>
          <w:i/>
          <w:iCs/>
          <w:color w:val="000000"/>
          <w:sz w:val="28"/>
          <w:szCs w:val="28"/>
        </w:rPr>
      </w:pPr>
      <w:r>
        <w:rPr>
          <w:rFonts w:ascii="Verdana" w:hAnsi="Verdana" w:cs="Arial"/>
          <w:color w:val="000000"/>
          <w:sz w:val="20"/>
          <w:szCs w:val="20"/>
        </w:rPr>
        <w:t>B.</w:t>
      </w:r>
      <w:r>
        <w:rPr>
          <w:rFonts w:ascii="Verdana" w:hAnsi="Verdana" w:cs="Arial"/>
          <w:color w:val="000000"/>
          <w:sz w:val="20"/>
          <w:szCs w:val="20"/>
        </w:rPr>
        <w:tab/>
        <w:t>Posición del Estado</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17. El Estado considera que no es responsable por las violaciones alegadas y que está cumpliendo con su deber de investigar los hechos y ha adoptado medidas de prevención de la vulneración de los derechos humanos de los habitantes de la Comuna 13, en cumplimiento de sus deberes de protección y garantía.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18. El Estado alega que el reclamo de los peticionarios incumple el requisito del previo agotamiento de los recursos internos, por lo que debe ser declarado inadmisible. El Estado informa que la investigación penal por las presuntas amenazas y desplazamiento de la señora Ospina ante la Fiscalía 107 Especializada de Medellín, bajo radicado 7155209 se encuentra en etapa preliminar, en práctica de pruebas tendientes al esclarecimiento de los hechos y a la identificación e individualización de los autores de los supuestos delitos. Informa que entre las pruebas practicadas constan diligencias de inspección judicial, desplazamiento al lugar de los hechos, labores de inteligencia en el sector, ubicación de la víctima, diligencia de ampliación de denuncia de la señora Ospina, diligencias de declaración juramentada y asignación de misiones de trabajo al CTI. Asimismo, indica que la Procuraduría Delegada para los Derechos Humanos remitió copias al competente disciplinario para que si lo consideraba pertinente, iniciara investigaciones. En este sentido, considera que la responsabilidad por el supuesto desplazamiento de Luz Dary Ospina podrá ser establecida una vez terminen las investigaciones. En cuanto al delito de amenaza, el Estado señala que la investigación correspondiente es de gran complejidad por el anonimato con que actúan los delincuentes y dado que la señora Ospina se enteró por rumores, es difícil encontrar pistas que lleven a la individualización de los autores.</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19. El Estado alega que la excepción por retardo injustificado no es aplicable en base a los criterios de razonabilidad del plazo que se refieren a la complejidad del caso y la actuación de las autoridades judiciales. Agrega que las autoridades judiciales han adelantado de forma diligente los procesos a pesar de la dificultad y que las actuaciones judiciales han sido coherentes, consecutivas, ajustadas y adecuadas a la investigación.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t>20. Resalta la complejidad de la situación de la Comuna 13 y los esfuerzos realizados por el Estado para la recuperación de la normalidad y la plena vigencia de su autoridad. Reconoce que los delitos de mayor impacto en la zona son homicidios</w:t>
      </w:r>
      <w:r>
        <w:rPr>
          <w:rStyle w:val="FootnoteReference"/>
          <w:color w:val="000000"/>
          <w:szCs w:val="20"/>
          <w:lang w:val="es-MX"/>
        </w:rPr>
        <w:footnoteReference w:id="10"/>
      </w:r>
      <w:r>
        <w:rPr>
          <w:rFonts w:ascii="Verdana" w:hAnsi="Verdana"/>
          <w:color w:val="000000"/>
          <w:sz w:val="20"/>
          <w:szCs w:val="20"/>
          <w:lang w:val="es-MX"/>
        </w:rPr>
        <w:t>, terrorismo, secuestro, extorsión y despojo de propiedades. Alega que fue por esta situación que intensificó la actuación de la Fuerza Pública a fin de recuperar el orden en la Comuna 13 mediante operaciones especiales las que se habrían adelantado en estricto cumplimiento del deber de seguridad y protección.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MX"/>
        </w:rPr>
        <w:lastRenderedPageBreak/>
        <w:t>21. Por lo expuesto, el Estado solicita a la CIDH que concluya que no proceden las excepciones contempladas en el artículo 46(2) y declare la inadmisibilidad de la petición.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1"/>
        <w:spacing w:before="0" w:beforeAutospacing="0" w:after="0" w:afterAutospacing="0"/>
        <w:rPr>
          <w:rFonts w:ascii="Arial" w:hAnsi="Arial" w:cs="Arial"/>
          <w:color w:val="000000"/>
          <w:sz w:val="32"/>
          <w:szCs w:val="32"/>
        </w:rPr>
      </w:pPr>
      <w:r>
        <w:rPr>
          <w:rFonts w:cs="Arial"/>
          <w:color w:val="000000"/>
          <w:szCs w:val="20"/>
        </w:rPr>
        <w:t>IV.</w:t>
      </w:r>
      <w:r>
        <w:rPr>
          <w:rFonts w:cs="Arial"/>
          <w:color w:val="000000"/>
          <w:szCs w:val="20"/>
        </w:rPr>
        <w:tab/>
        <w:t>ANÁLISIS SOBRE COMPETENCIA Y ADMISIBILIDAD</w:t>
      </w:r>
    </w:p>
    <w:p w:rsidR="00351C22" w:rsidRDefault="00351C22" w:rsidP="00351C22">
      <w:pPr>
        <w:pStyle w:val="Heading2"/>
        <w:spacing w:before="0" w:beforeAutospacing="0" w:after="0" w:afterAutospacing="0"/>
        <w:rPr>
          <w:rFonts w:ascii="Arial" w:hAnsi="Arial" w:cs="Arial"/>
          <w:i/>
          <w:iCs/>
          <w:color w:val="000000"/>
          <w:sz w:val="28"/>
          <w:szCs w:val="28"/>
        </w:rPr>
      </w:pPr>
    </w:p>
    <w:p w:rsidR="00351C22" w:rsidRDefault="00351C22" w:rsidP="00351C22">
      <w:pPr>
        <w:pStyle w:val="Heading2"/>
        <w:spacing w:before="0" w:beforeAutospacing="0" w:after="0" w:afterAutospacing="0"/>
        <w:rPr>
          <w:rFonts w:ascii="Arial" w:hAnsi="Arial" w:cs="Arial"/>
          <w:i/>
          <w:iCs/>
          <w:color w:val="000000"/>
          <w:sz w:val="28"/>
          <w:szCs w:val="28"/>
        </w:rPr>
      </w:pPr>
      <w:r>
        <w:rPr>
          <w:rFonts w:ascii="Verdana" w:hAnsi="Verdana" w:cs="Arial"/>
          <w:color w:val="000000"/>
          <w:sz w:val="20"/>
          <w:szCs w:val="20"/>
        </w:rPr>
        <w:t>A.</w:t>
      </w:r>
      <w:r>
        <w:rPr>
          <w:rFonts w:ascii="Verdana" w:hAnsi="Verdana" w:cs="Arial"/>
          <w:color w:val="000000"/>
          <w:sz w:val="20"/>
          <w:szCs w:val="20"/>
        </w:rPr>
        <w:tab/>
        <w:t>Competencia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22. El peticionario se encuentra facultado, en principio, por el artículo 44 de la Convención Americana para presentar peticiones ante la Comisión. La </w:t>
      </w:r>
      <w:r>
        <w:rPr>
          <w:rFonts w:ascii="Verdana" w:hAnsi="Verdana"/>
          <w:color w:val="000000"/>
          <w:sz w:val="20"/>
          <w:szCs w:val="20"/>
          <w:lang w:val="es-MX"/>
        </w:rPr>
        <w:t>petición</w:t>
      </w:r>
      <w:r>
        <w:rPr>
          <w:rFonts w:ascii="Verdana" w:hAnsi="Verdana"/>
          <w:color w:val="000000"/>
          <w:sz w:val="20"/>
          <w:szCs w:val="20"/>
        </w:rPr>
        <w:t xml:space="preserve"> señala como presuntas víctimas a personas individuales, respecto a quienes el Estado colombiano se comprometió a respetar y garantizar los derechos consagrados en la Convención Americana. En lo concerniente al Estado, la Comisión señala que Colombia es un Estado parte en la Convención Americana desde 31 de julio de 1973, fecha en que depositó su instrumento de ratificación. Por lo tanto la Comisión tiene competencia </w:t>
      </w:r>
      <w:r>
        <w:rPr>
          <w:rFonts w:ascii="Verdana" w:hAnsi="Verdana"/>
          <w:i/>
          <w:iCs/>
          <w:color w:val="000000"/>
          <w:sz w:val="20"/>
          <w:szCs w:val="20"/>
        </w:rPr>
        <w:t>ratione personae</w:t>
      </w:r>
      <w:r>
        <w:rPr>
          <w:rFonts w:ascii="Verdana" w:hAnsi="Verdana"/>
          <w:color w:val="000000"/>
          <w:sz w:val="20"/>
          <w:szCs w:val="20"/>
        </w:rPr>
        <w:t xml:space="preserve"> para examinar la petición.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23. Asimismo, la Comisión tiene competencia </w:t>
      </w:r>
      <w:r>
        <w:rPr>
          <w:rFonts w:ascii="Verdana" w:hAnsi="Verdana"/>
          <w:i/>
          <w:iCs/>
          <w:color w:val="000000"/>
          <w:sz w:val="20"/>
          <w:szCs w:val="20"/>
        </w:rPr>
        <w:t>ratione loci</w:t>
      </w:r>
      <w:r>
        <w:rPr>
          <w:rFonts w:ascii="Verdana" w:hAnsi="Verdana"/>
          <w:color w:val="000000"/>
          <w:sz w:val="20"/>
          <w:szCs w:val="20"/>
        </w:rPr>
        <w:t xml:space="preserve"> para conocer la petición, por cuanto en ella se alegan violaciones de derechos protegidos en la Convención Americana que habrían tenido lugar dentro del territorio de Colombia, Estado Parte en dicho tratado. La Comisión tiene competencia </w:t>
      </w:r>
      <w:r>
        <w:rPr>
          <w:rFonts w:ascii="Verdana" w:hAnsi="Verdana"/>
          <w:i/>
          <w:iCs/>
          <w:color w:val="000000"/>
          <w:sz w:val="20"/>
          <w:szCs w:val="20"/>
        </w:rPr>
        <w:t>ratione temporis</w:t>
      </w:r>
      <w:r>
        <w:rPr>
          <w:rFonts w:ascii="Verdana" w:hAnsi="Verdana"/>
          <w:color w:val="000000"/>
          <w:sz w:val="20"/>
          <w:szCs w:val="20"/>
        </w:rPr>
        <w:t xml:space="preserve"> por cuanto la obligación de respetar y garantizar los derechos protegidos en la Convención Americana ya se encontraba en vigor para el Estado en la fecha en que habrían ocurrido los hechos alegados en la petición. Finalmente, la Comisión tiene competencia </w:t>
      </w:r>
      <w:r>
        <w:rPr>
          <w:rFonts w:ascii="Verdana" w:hAnsi="Verdana"/>
          <w:i/>
          <w:iCs/>
          <w:color w:val="000000"/>
          <w:sz w:val="20"/>
          <w:szCs w:val="20"/>
        </w:rPr>
        <w:t>ratione materiae</w:t>
      </w:r>
      <w:r>
        <w:rPr>
          <w:rFonts w:ascii="Verdana" w:hAnsi="Verdana"/>
          <w:color w:val="000000"/>
          <w:sz w:val="20"/>
          <w:szCs w:val="20"/>
        </w:rPr>
        <w:t>, porque en la petición se denuncian posibles violaciones a derechos humanos protegidos por la Convención Americana.</w:t>
      </w:r>
    </w:p>
    <w:p w:rsidR="00351C22" w:rsidRDefault="00351C22" w:rsidP="00351C22">
      <w:pPr>
        <w:pStyle w:val="Heading2"/>
        <w:spacing w:before="0" w:beforeAutospacing="0" w:after="0" w:afterAutospacing="0"/>
        <w:rPr>
          <w:rFonts w:ascii="Arial" w:hAnsi="Arial" w:cs="Arial"/>
          <w:i/>
          <w:iCs/>
          <w:color w:val="000000"/>
          <w:sz w:val="28"/>
          <w:szCs w:val="28"/>
        </w:rPr>
      </w:pPr>
    </w:p>
    <w:p w:rsidR="00351C22" w:rsidRDefault="00351C22" w:rsidP="00351C22">
      <w:pPr>
        <w:pStyle w:val="Heading2"/>
        <w:spacing w:before="0" w:beforeAutospacing="0" w:after="0" w:afterAutospacing="0"/>
        <w:rPr>
          <w:rFonts w:ascii="Arial" w:hAnsi="Arial" w:cs="Arial"/>
          <w:i/>
          <w:iCs/>
          <w:color w:val="000000"/>
          <w:sz w:val="28"/>
          <w:szCs w:val="28"/>
        </w:rPr>
      </w:pPr>
      <w:r>
        <w:rPr>
          <w:rFonts w:ascii="Verdana" w:hAnsi="Verdana" w:cs="Arial"/>
          <w:color w:val="000000"/>
          <w:sz w:val="20"/>
          <w:szCs w:val="20"/>
        </w:rPr>
        <w:t>B.</w:t>
      </w:r>
      <w:r>
        <w:rPr>
          <w:rFonts w:ascii="Verdana" w:hAnsi="Verdana" w:cs="Arial"/>
          <w:color w:val="000000"/>
          <w:sz w:val="20"/>
          <w:szCs w:val="20"/>
        </w:rPr>
        <w:tab/>
        <w:t>Requisitos de admisibilidad</w:t>
      </w:r>
    </w:p>
    <w:p w:rsidR="00351C22" w:rsidRDefault="00351C22" w:rsidP="00351C22">
      <w:pPr>
        <w:pStyle w:val="Heading3"/>
        <w:spacing w:before="0" w:beforeAutospacing="0" w:after="0" w:afterAutospacing="0"/>
        <w:rPr>
          <w:rFonts w:ascii="Arial Unicode MS" w:eastAsia="Arial Unicode MS" w:hAnsi="Arial Unicode MS" w:cs="Arial Unicode MS"/>
          <w:color w:val="000000"/>
        </w:rPr>
      </w:pPr>
    </w:p>
    <w:p w:rsidR="00351C22" w:rsidRDefault="00351C22" w:rsidP="00351C22">
      <w:pPr>
        <w:pStyle w:val="Heading3"/>
        <w:spacing w:before="0" w:beforeAutospacing="0" w:after="0" w:afterAutospacing="0"/>
        <w:rPr>
          <w:rFonts w:ascii="Arial Unicode MS" w:eastAsia="Arial Unicode MS" w:hAnsi="Arial Unicode MS" w:cs="Arial Unicode MS" w:hint="eastAsia"/>
          <w:color w:val="000000"/>
        </w:rPr>
      </w:pPr>
      <w:r>
        <w:rPr>
          <w:rFonts w:ascii="Verdana" w:eastAsia="Arial Unicode MS" w:hAnsi="Verdana" w:cs="Arial Unicode MS"/>
          <w:color w:val="000000"/>
          <w:sz w:val="20"/>
          <w:szCs w:val="20"/>
          <w:lang w:val="es-ES_tradnl"/>
        </w:rPr>
        <w:t>1.</w:t>
      </w:r>
      <w:r>
        <w:rPr>
          <w:rFonts w:ascii="Verdana" w:eastAsia="Arial Unicode MS" w:hAnsi="Verdana" w:cs="Arial Unicode MS"/>
          <w:color w:val="000000"/>
          <w:sz w:val="20"/>
          <w:szCs w:val="20"/>
          <w:lang w:val="es-ES_tradnl"/>
        </w:rPr>
        <w:tab/>
        <w:t>Agotamiento de los recursos internos y plazo de presentación de la petición</w:t>
      </w:r>
    </w:p>
    <w:p w:rsidR="00351C22" w:rsidRDefault="00351C22" w:rsidP="00351C22">
      <w:pPr>
        <w:pStyle w:val="Heading3"/>
        <w:spacing w:before="0" w:beforeAutospacing="0" w:after="0" w:afterAutospacing="0"/>
        <w:rPr>
          <w:rFonts w:ascii="Arial Unicode MS" w:eastAsia="Arial Unicode MS" w:hAnsi="Arial Unicode MS" w:cs="Arial Unicode MS" w:hint="eastAsia"/>
          <w:color w:val="000000"/>
        </w:rPr>
      </w:pPr>
    </w:p>
    <w:p w:rsidR="00351C22" w:rsidRDefault="00351C22" w:rsidP="00351C22">
      <w:pPr>
        <w:pStyle w:val="BodyText"/>
        <w:spacing w:before="0" w:beforeAutospacing="0" w:after="0" w:afterAutospacing="0"/>
        <w:jc w:val="both"/>
        <w:rPr>
          <w:rFonts w:hint="eastAsia"/>
          <w:color w:val="000000"/>
          <w:sz w:val="27"/>
          <w:szCs w:val="27"/>
        </w:rPr>
      </w:pPr>
      <w:r>
        <w:rPr>
          <w:rFonts w:ascii="Verdana" w:hAnsi="Verdana"/>
          <w:color w:val="000000"/>
          <w:sz w:val="20"/>
          <w:szCs w:val="20"/>
        </w:rPr>
        <w:t>24. El artículo 46.1.a de la Convención Americana exige el previo agotamiento de los recursos disponibles en la jurisdicción interna conforme a los principios de derecho internacional generalmente reconocidos, como requisito para la admisión de reclamos sobre la presunta violación de la Convención Americana.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25. </w:t>
      </w:r>
      <w:r>
        <w:rPr>
          <w:rFonts w:ascii="Verdana" w:hAnsi="Verdana"/>
          <w:color w:val="000000"/>
          <w:sz w:val="20"/>
          <w:szCs w:val="20"/>
          <w:lang w:val="es-ES"/>
        </w:rPr>
        <w:t xml:space="preserve">El artículo 46.2 de la Convención prevé que el requisito de previo agotamiento de los </w:t>
      </w:r>
      <w:r>
        <w:rPr>
          <w:rFonts w:ascii="Verdana" w:hAnsi="Verdana"/>
          <w:color w:val="000000"/>
          <w:sz w:val="20"/>
          <w:szCs w:val="20"/>
        </w:rPr>
        <w:t>recursos</w:t>
      </w:r>
      <w:r>
        <w:rPr>
          <w:rFonts w:ascii="Verdana" w:hAnsi="Verdana"/>
          <w:color w:val="000000"/>
          <w:sz w:val="20"/>
          <w:szCs w:val="20"/>
          <w:lang w:val="es-ES"/>
        </w:rPr>
        <w:t xml:space="preserve"> internos no resulta aplicable cuando:</w:t>
      </w:r>
    </w:p>
    <w:p w:rsidR="00351C22" w:rsidRDefault="00351C22" w:rsidP="00351C22">
      <w:pPr>
        <w:ind w:left="720" w:right="720"/>
        <w:rPr>
          <w:color w:val="000000"/>
          <w:sz w:val="27"/>
          <w:szCs w:val="27"/>
        </w:rPr>
      </w:pPr>
    </w:p>
    <w:p w:rsidR="00351C22" w:rsidRDefault="00351C22" w:rsidP="00351C22">
      <w:pPr>
        <w:pStyle w:val="BlockText"/>
        <w:spacing w:before="0" w:beforeAutospacing="0" w:after="0" w:afterAutospacing="0"/>
        <w:ind w:left="720" w:right="720"/>
        <w:rPr>
          <w:color w:val="000000"/>
          <w:sz w:val="27"/>
          <w:szCs w:val="27"/>
        </w:rPr>
      </w:pPr>
      <w:r>
        <w:rPr>
          <w:rFonts w:ascii="Verdana" w:hAnsi="Verdana"/>
          <w:color w:val="000000"/>
          <w:sz w:val="20"/>
          <w:szCs w:val="20"/>
        </w:rPr>
        <w:t xml:space="preserve">a) </w:t>
      </w:r>
      <w:r>
        <w:rPr>
          <w:rFonts w:ascii="Verdana" w:hAnsi="Verdana"/>
          <w:color w:val="000000"/>
          <w:sz w:val="20"/>
          <w:szCs w:val="20"/>
          <w:lang w:val="es-ES"/>
        </w:rPr>
        <w:t>no exista en la legislación interna del Estado de que se trata el debido proceso legal para la protección del derecho o derechos que se alega han sido violados;</w:t>
      </w:r>
    </w:p>
    <w:p w:rsidR="00351C22" w:rsidRDefault="00351C22" w:rsidP="00351C22">
      <w:pPr>
        <w:ind w:left="720" w:right="720"/>
        <w:rPr>
          <w:color w:val="000000"/>
          <w:sz w:val="27"/>
          <w:szCs w:val="27"/>
        </w:rPr>
      </w:pPr>
      <w:r>
        <w:rPr>
          <w:color w:val="000000"/>
          <w:szCs w:val="20"/>
          <w:lang w:val="es-ES_tradnl"/>
        </w:rPr>
        <w:t xml:space="preserve">b) </w:t>
      </w:r>
      <w:r>
        <w:rPr>
          <w:color w:val="000000"/>
          <w:szCs w:val="20"/>
          <w:lang w:val="es-ES"/>
        </w:rPr>
        <w:t>no se haya permitido al presunto lesionado en sus derechos el acceso a los recursos a la jurisdicción interna, o haya sido impedido de agotarlos, y</w:t>
      </w:r>
    </w:p>
    <w:p w:rsidR="00351C22" w:rsidRDefault="00351C22" w:rsidP="00351C22">
      <w:pPr>
        <w:ind w:left="1440" w:right="720" w:hanging="720"/>
        <w:rPr>
          <w:color w:val="000000"/>
          <w:sz w:val="27"/>
          <w:szCs w:val="27"/>
        </w:rPr>
      </w:pPr>
      <w:r>
        <w:rPr>
          <w:color w:val="000000"/>
          <w:szCs w:val="20"/>
          <w:lang w:val="es-ES_tradnl"/>
        </w:rPr>
        <w:t xml:space="preserve">c) </w:t>
      </w:r>
      <w:r>
        <w:rPr>
          <w:color w:val="000000"/>
          <w:szCs w:val="20"/>
          <w:lang w:val="es-ES"/>
        </w:rPr>
        <w:t>haya retardo injustificado en la decisión sobre los mencionados recursos.</w:t>
      </w:r>
    </w:p>
    <w:p w:rsidR="00351C22" w:rsidRDefault="00351C22" w:rsidP="00351C22">
      <w:pPr>
        <w:pStyle w:val="BodyTextIndent3"/>
        <w:spacing w:after="0"/>
        <w:rPr>
          <w:color w:val="000000"/>
          <w:sz w:val="27"/>
          <w:szCs w:val="27"/>
        </w:rPr>
      </w:pPr>
    </w:p>
    <w:p w:rsidR="00351C22" w:rsidRDefault="00351C22" w:rsidP="00351C22">
      <w:pPr>
        <w:rPr>
          <w:color w:val="000000"/>
          <w:szCs w:val="20"/>
          <w:lang w:val="es-ES"/>
        </w:rPr>
      </w:pPr>
      <w:r>
        <w:rPr>
          <w:color w:val="000000"/>
          <w:szCs w:val="20"/>
          <w:lang w:val="es-ES"/>
        </w:rPr>
        <w:t xml:space="preserve">Según ha establecido la Corte Interamericana, toda vez que un Estado alega la falta de agotamiento de los recursos internos por parte del peticionario, tiene la carga de demostrar que los recursos que no han sido agotados resultan </w:t>
      </w:r>
      <w:r>
        <w:rPr>
          <w:color w:val="000000"/>
          <w:szCs w:val="20"/>
        </w:rPr>
        <w:t>"</w:t>
      </w:r>
      <w:r>
        <w:rPr>
          <w:color w:val="000000"/>
          <w:szCs w:val="20"/>
          <w:lang w:val="es-ES"/>
        </w:rPr>
        <w:t>adecuados</w:t>
      </w:r>
      <w:r>
        <w:rPr>
          <w:color w:val="000000"/>
          <w:szCs w:val="20"/>
        </w:rPr>
        <w:t xml:space="preserve">" </w:t>
      </w:r>
      <w:r>
        <w:rPr>
          <w:color w:val="000000"/>
          <w:szCs w:val="20"/>
          <w:lang w:val="es-ES"/>
        </w:rPr>
        <w:t xml:space="preserve">para subsanar la violación alegada, vale decir que la función de esos recursos dentro del sistema del derecho interno es idónea para proteger la situación jurídica infringida. </w:t>
      </w:r>
      <w:r w:rsidR="008E608A">
        <w:rPr>
          <w:rStyle w:val="FootnoteReference"/>
          <w:color w:val="000000"/>
          <w:szCs w:val="20"/>
          <w:lang w:val="es-ES"/>
        </w:rPr>
        <w:footnoteReference w:id="11"/>
      </w:r>
    </w:p>
    <w:p w:rsidR="008E608A" w:rsidRDefault="008E608A" w:rsidP="00351C22">
      <w:pPr>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26. En el presente caso el Estado alega que la petición no satisface el requisito sobre previo agotamiento de los recursos de la jurisdicción interna previsto en el artículo 46.1.a de la Convención Americana dado que existe un proceso penal pendiente sobre los hechos materia </w:t>
      </w:r>
      <w:r>
        <w:rPr>
          <w:rFonts w:ascii="Verdana" w:hAnsi="Verdana"/>
          <w:color w:val="000000"/>
          <w:sz w:val="20"/>
          <w:szCs w:val="20"/>
        </w:rPr>
        <w:lastRenderedPageBreak/>
        <w:t>del reclamo.</w:t>
      </w:r>
      <w:r w:rsidR="008E608A">
        <w:rPr>
          <w:rStyle w:val="FootnoteReference"/>
          <w:color w:val="000000"/>
          <w:szCs w:val="20"/>
        </w:rPr>
        <w:footnoteReference w:id="12"/>
      </w:r>
      <w:r>
        <w:rPr>
          <w:rFonts w:ascii="Verdana" w:hAnsi="Verdana"/>
          <w:color w:val="000000"/>
          <w:sz w:val="20"/>
          <w:szCs w:val="20"/>
        </w:rPr>
        <w:t xml:space="preserve"> Por su parte, los peticionarios alegan que resultan aplicables al caso las excepciones al previo agotamiento de los recursos internos previstas en el artículo 46.2.c debido al retardo e ineficacia de la </w:t>
      </w:r>
      <w:r>
        <w:rPr>
          <w:rFonts w:ascii="Verdana" w:hAnsi="Verdana"/>
          <w:color w:val="000000"/>
          <w:sz w:val="20"/>
          <w:szCs w:val="20"/>
          <w:lang w:val="es-MX"/>
        </w:rPr>
        <w:t>investigación penal adelantada a nivel nacional.</w:t>
      </w:r>
    </w:p>
    <w:p w:rsidR="00351C22" w:rsidRDefault="00351C22" w:rsidP="00351C22">
      <w:pPr>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lang w:val="es-ES_tradnl"/>
        </w:rPr>
        <w:t>27. La Comisión nota que habiendo transcurrido aproximadamente cuatro años de ocurridos los hechos materia del reclamo, la investigación iniciada por la Fiscalía por los delitos de desplazamiento forzado y amenazas aun se encuentra en etapa preliminar y que no se ha identificado ni individualizado a los autores de los hechos. Al respecto, la Comisión observa que como regla general, una investigación penal debe realizarse prontamente para proteger los intereses de las víctimas, preservar la prueba e incluso salvaguardar los derechos de toda persona que en el contexto de la investigación sea considerada sospechosa. Según ha señalado la Corte Interamericana, si bien toda investigación penal debe cumplir con una serie de requisitos legales, la regla del previo agotamiento de los recursos internos no debe conducir a que la actuación internacional en auxilio de las víctimas se detenga o se demore hasta la inutilidad.</w:t>
      </w:r>
      <w:r w:rsidR="008E608A">
        <w:rPr>
          <w:rStyle w:val="FootnoteReference"/>
          <w:color w:val="000000"/>
          <w:szCs w:val="20"/>
          <w:lang w:val="es-ES_tradnl"/>
        </w:rPr>
        <w:footnoteReference w:id="13"/>
      </w:r>
      <w:r>
        <w:rPr>
          <w:rFonts w:ascii="Verdana" w:hAnsi="Verdana"/>
          <w:color w:val="000000"/>
          <w:sz w:val="20"/>
          <w:szCs w:val="20"/>
          <w:lang w:val="es-ES_tradnl"/>
        </w:rPr>
        <w:t xml:space="preserve"> Por otro lado, la información remitida por el Estado no precisa si se han iniciado investigaciones por las alegadas invasión y destrucción de propiedad denunciados.</w:t>
      </w:r>
    </w:p>
    <w:p w:rsidR="00351C22" w:rsidRDefault="00351C22" w:rsidP="00351C22">
      <w:pPr>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28. </w:t>
      </w:r>
      <w:r>
        <w:rPr>
          <w:rFonts w:ascii="Verdana" w:hAnsi="Verdana"/>
          <w:color w:val="000000"/>
          <w:sz w:val="20"/>
          <w:szCs w:val="20"/>
          <w:lang w:val="es-ES"/>
        </w:rPr>
        <w:t>Por lo tanto, dadas las características del presente caso y el lapso transcurrido desde los hechos materia de la petición, la Comisión considera que resultan aplicables las excepciones previstas en el artículo 46.2.c de la Convención Americana respecto del retardo en el desarrollo de los procesos judiciales internos, por lo cual el requisito previsto en materia de agotamiento de recursos internos no resulta exigible.</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29. La invocación de las excepciones a la regla de agotamiento de los recursos internos previstas en el artículo 46.2 de la Convención se encuentra estrechamente ligada a la determinación de posibles violaciones a ciertos derechos en ella consagrados, tales como las garantías de acceso a la justicia. Sin embargo el artículo 46.2, por su naturaleza y objeto, es una norma con contenido autónomo </w:t>
      </w:r>
      <w:r>
        <w:rPr>
          <w:rFonts w:ascii="Verdana" w:hAnsi="Verdana"/>
          <w:i/>
          <w:iCs/>
          <w:color w:val="000000"/>
          <w:sz w:val="20"/>
          <w:szCs w:val="20"/>
        </w:rPr>
        <w:t>vis á vis</w:t>
      </w:r>
      <w:r>
        <w:rPr>
          <w:rFonts w:ascii="Verdana" w:hAnsi="Verdana"/>
          <w:color w:val="000000"/>
          <w:sz w:val="20"/>
          <w:szCs w:val="20"/>
        </w:rPr>
        <w:t xml:space="preserve"> las normas sustantivas de la Convención. Por lo tanto, la determinación de si las excepciones a la regla de agotamiento de los recursos internos resultan aplicables al caso en cuestión debe llevarse a cabo de manera previa y separada del análisis del fondo del asunto, ya que depende de un estándar de apreciación distinto de aquél utilizado para determinar la posible violación de los artículos 8 y 25 de la Convención. Cabe aclarar que las causas y los efectos que impidieron el agotamiento de los recursos internos serán analizados en el informe que adopte la Comisión sobre el fondo de la controversia, a fin de constatar si configuran violaciones a la Convención Americana.</w:t>
      </w:r>
    </w:p>
    <w:p w:rsidR="00351C22" w:rsidRDefault="00351C22" w:rsidP="00351C22">
      <w:pPr>
        <w:pStyle w:val="Heading3"/>
        <w:spacing w:before="0" w:beforeAutospacing="0" w:after="0" w:afterAutospacing="0"/>
        <w:ind w:left="1440" w:hanging="720"/>
        <w:rPr>
          <w:rFonts w:ascii="Arial Unicode MS" w:eastAsia="Arial Unicode MS" w:hAnsi="Arial Unicode MS" w:cs="Arial Unicode MS"/>
          <w:color w:val="000000"/>
        </w:rPr>
      </w:pPr>
    </w:p>
    <w:p w:rsidR="00351C22" w:rsidRDefault="00351C22" w:rsidP="00351C22">
      <w:pPr>
        <w:pStyle w:val="Heading3"/>
        <w:spacing w:before="0" w:beforeAutospacing="0" w:after="0" w:afterAutospacing="0"/>
        <w:rPr>
          <w:rFonts w:ascii="Arial Unicode MS" w:eastAsia="Arial Unicode MS" w:hAnsi="Arial Unicode MS" w:cs="Arial Unicode MS" w:hint="eastAsia"/>
          <w:color w:val="000000"/>
        </w:rPr>
      </w:pPr>
      <w:r>
        <w:rPr>
          <w:rFonts w:ascii="Verdana" w:eastAsia="Arial Unicode MS" w:hAnsi="Verdana" w:cs="Arial Unicode MS"/>
          <w:color w:val="000000"/>
          <w:sz w:val="20"/>
          <w:szCs w:val="20"/>
          <w:lang w:val="es-ES_tradnl"/>
        </w:rPr>
        <w:t>2.</w:t>
      </w:r>
      <w:r>
        <w:rPr>
          <w:rFonts w:ascii="Verdana" w:eastAsia="Arial Unicode MS" w:hAnsi="Verdana" w:cs="Arial Unicode MS"/>
          <w:color w:val="000000"/>
          <w:sz w:val="20"/>
          <w:szCs w:val="20"/>
          <w:lang w:val="es-ES_tradnl"/>
        </w:rPr>
        <w:tab/>
        <w:t>Plazo de presentación de la petición</w:t>
      </w:r>
    </w:p>
    <w:p w:rsidR="00351C22" w:rsidRDefault="00351C22" w:rsidP="00351C22">
      <w:pPr>
        <w:pStyle w:val="Heading3"/>
        <w:spacing w:before="0" w:beforeAutospacing="0" w:after="0" w:afterAutospacing="0"/>
        <w:rPr>
          <w:rFonts w:ascii="Arial Unicode MS" w:eastAsia="Arial Unicode MS" w:hAnsi="Arial Unicode MS" w:cs="Arial Unicode MS" w:hint="eastAsia"/>
          <w:color w:val="000000"/>
        </w:rPr>
      </w:pPr>
    </w:p>
    <w:p w:rsidR="00351C22" w:rsidRDefault="00351C22" w:rsidP="00351C22">
      <w:pPr>
        <w:pStyle w:val="BodyText"/>
        <w:spacing w:before="0" w:beforeAutospacing="0" w:after="0" w:afterAutospacing="0"/>
        <w:jc w:val="both"/>
        <w:rPr>
          <w:rFonts w:hint="eastAsia"/>
          <w:color w:val="000000"/>
          <w:sz w:val="27"/>
          <w:szCs w:val="27"/>
        </w:rPr>
      </w:pPr>
      <w:r>
        <w:rPr>
          <w:rFonts w:ascii="Verdana" w:hAnsi="Verdana"/>
          <w:color w:val="000000"/>
          <w:sz w:val="20"/>
          <w:szCs w:val="20"/>
        </w:rPr>
        <w:t>30. La Convención Americana establece que para que una petición resulte admisible por la Comisión se requerirá que sea presentada dentro del plazo de seis meses a partir de la fecha en que el presunto lesionado haya sido notificado de la decisión definitiva. En el reclamo bajo análisis, la CIDH ha establecido la aplicación de las excepciones al agotamiento de los recursos internos conforme al 46.2.c de la Convención Americana. Al respecto, el artículo 32 del Reglamento de la Comisión establece que en los casos en los cuales resulten aplicables las excepciones al previo agotamiento de los recursos internos, la petición deberá presentarse dentro de un plazo razonable, a criterio de la Comisión. A tal efecto, la Comisión debe considerar la fecha en que haya ocurrido la presunta violación de los derechos y las circunstancias de cada caso.</w:t>
      </w:r>
    </w:p>
    <w:p w:rsidR="00351C22" w:rsidRDefault="00351C22" w:rsidP="00351C22">
      <w:pPr>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 xml:space="preserve">31. En el presente caso, la petición fue presentada el 27 de octubre de 2004 y los hechos materia del reclamo se habrían llevado a cabo entre noviembre de 2002 y junio de 2003. Es así, que tomado en cuenta el contexto y las características del presente caso, así como el hecho de que la investigación aun se encuentra pendiente, la Comisión considera que la </w:t>
      </w:r>
      <w:r>
        <w:rPr>
          <w:rFonts w:ascii="Verdana" w:hAnsi="Verdana"/>
          <w:color w:val="000000"/>
          <w:sz w:val="20"/>
          <w:szCs w:val="20"/>
        </w:rPr>
        <w:lastRenderedPageBreak/>
        <w:t>petición fue presentada dentro de un plazo razonable y que debe darse por satisfecho el requisito de admisibilidad referente al plazo de presentación.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3"/>
        <w:spacing w:before="0" w:beforeAutospacing="0" w:after="0" w:afterAutospacing="0"/>
        <w:jc w:val="both"/>
        <w:rPr>
          <w:rFonts w:ascii="Arial Unicode MS" w:eastAsia="Arial Unicode MS" w:hAnsi="Arial Unicode MS" w:cs="Arial Unicode MS"/>
          <w:color w:val="000000"/>
        </w:rPr>
      </w:pPr>
      <w:r>
        <w:rPr>
          <w:rFonts w:ascii="Verdana" w:eastAsia="Arial Unicode MS" w:hAnsi="Verdana" w:cs="Arial Unicode MS"/>
          <w:color w:val="000000"/>
          <w:sz w:val="20"/>
          <w:szCs w:val="20"/>
        </w:rPr>
        <w:t>3.</w:t>
      </w:r>
      <w:r>
        <w:rPr>
          <w:rFonts w:ascii="Verdana" w:eastAsia="Arial Unicode MS" w:hAnsi="Verdana" w:cs="Arial Unicode MS"/>
          <w:b w:val="0"/>
          <w:bCs w:val="0"/>
          <w:color w:val="000000"/>
          <w:sz w:val="20"/>
          <w:szCs w:val="20"/>
        </w:rPr>
        <w:tab/>
      </w:r>
      <w:r>
        <w:rPr>
          <w:rFonts w:ascii="Verdana" w:eastAsia="Arial Unicode MS" w:hAnsi="Verdana" w:cs="Arial Unicode MS"/>
          <w:color w:val="000000"/>
          <w:sz w:val="20"/>
          <w:szCs w:val="20"/>
        </w:rPr>
        <w:t>Duplicación de procedimientos y cosa juzgada</w:t>
      </w:r>
    </w:p>
    <w:p w:rsidR="00351C22" w:rsidRDefault="00351C22" w:rsidP="00351C22">
      <w:pPr>
        <w:pStyle w:val="Heading3"/>
        <w:spacing w:before="0" w:beforeAutospacing="0" w:after="0" w:afterAutospacing="0"/>
        <w:jc w:val="both"/>
        <w:rPr>
          <w:rFonts w:ascii="Arial Unicode MS" w:eastAsia="Arial Unicode MS" w:hAnsi="Arial Unicode MS" w:cs="Arial Unicode MS" w:hint="eastAsia"/>
          <w:color w:val="000000"/>
        </w:rPr>
      </w:pPr>
    </w:p>
    <w:p w:rsidR="00351C22" w:rsidRDefault="00351C22" w:rsidP="00351C22">
      <w:pPr>
        <w:pStyle w:val="BodyText"/>
        <w:spacing w:before="0" w:beforeAutospacing="0" w:after="0" w:afterAutospacing="0"/>
        <w:jc w:val="both"/>
        <w:rPr>
          <w:rFonts w:hint="eastAsia"/>
          <w:color w:val="000000"/>
          <w:sz w:val="27"/>
          <w:szCs w:val="27"/>
        </w:rPr>
      </w:pPr>
      <w:r>
        <w:rPr>
          <w:rFonts w:ascii="Verdana" w:hAnsi="Verdana"/>
          <w:color w:val="000000"/>
          <w:sz w:val="20"/>
          <w:szCs w:val="20"/>
        </w:rPr>
        <w:t>32. No surge del expediente que la materia de la petición se encuentre pendiente de otro procedimiento de arreglo internacional, ni que reproduzca una petición ya examinada por éste u otro órgano internacional. Por lo tanto, corresponde dar por cumplidos los requisitos establecidos en los artículos 46.1.c y 47.d de la Convención.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3"/>
        <w:spacing w:before="0" w:beforeAutospacing="0" w:after="0" w:afterAutospacing="0"/>
        <w:jc w:val="both"/>
        <w:rPr>
          <w:rFonts w:ascii="Arial Unicode MS" w:eastAsia="Arial Unicode MS" w:hAnsi="Arial Unicode MS" w:cs="Arial Unicode MS"/>
          <w:color w:val="000000"/>
        </w:rPr>
      </w:pPr>
      <w:r>
        <w:rPr>
          <w:rFonts w:ascii="Verdana" w:eastAsia="Arial Unicode MS" w:hAnsi="Verdana" w:cs="Arial Unicode MS"/>
          <w:color w:val="000000"/>
          <w:sz w:val="20"/>
          <w:szCs w:val="20"/>
        </w:rPr>
        <w:t>4.</w:t>
      </w:r>
      <w:r>
        <w:rPr>
          <w:rFonts w:ascii="Verdana" w:eastAsia="Arial Unicode MS" w:hAnsi="Verdana" w:cs="Arial Unicode MS"/>
          <w:color w:val="000000"/>
          <w:sz w:val="20"/>
          <w:szCs w:val="20"/>
        </w:rPr>
        <w:tab/>
        <w:t>Caracterización de los hechos alegados</w:t>
      </w:r>
    </w:p>
    <w:p w:rsidR="00351C22" w:rsidRDefault="00351C22" w:rsidP="00351C22">
      <w:pPr>
        <w:pStyle w:val="Heading3"/>
        <w:spacing w:before="0" w:beforeAutospacing="0" w:after="0" w:afterAutospacing="0"/>
        <w:jc w:val="both"/>
        <w:rPr>
          <w:rFonts w:ascii="Arial Unicode MS" w:eastAsia="Arial Unicode MS" w:hAnsi="Arial Unicode MS" w:cs="Arial Unicode MS" w:hint="eastAsia"/>
          <w:color w:val="000000"/>
        </w:rPr>
      </w:pPr>
    </w:p>
    <w:p w:rsidR="00351C22" w:rsidRDefault="00351C22" w:rsidP="00351C22">
      <w:pPr>
        <w:pStyle w:val="BodyText"/>
        <w:spacing w:before="0" w:beforeAutospacing="0" w:after="0" w:afterAutospacing="0"/>
        <w:jc w:val="both"/>
        <w:rPr>
          <w:rFonts w:hint="eastAsia"/>
          <w:color w:val="000000"/>
          <w:sz w:val="27"/>
          <w:szCs w:val="27"/>
        </w:rPr>
      </w:pPr>
      <w:r>
        <w:rPr>
          <w:rFonts w:ascii="Verdana" w:hAnsi="Verdana"/>
          <w:color w:val="000000"/>
          <w:sz w:val="20"/>
          <w:szCs w:val="20"/>
        </w:rPr>
        <w:t>33. La Comisión considera que las alegaciones de los peticionarios relativas a la presunta violación del derecho a la integridad personal, a la libertad de asociación, a la circulación y la residencia, a la propiedad privada, a las garantías judiciales y la protección judicial, podrían caracterizar violaciones a los derechos protegidos en los artículos 5.1, 8.1, 16, 21.1, 21.2, 22.1, y 25 en concordancia con el artículo 1.1 de la Convención Americana a la luz del deber de garantía del Estado, y los actos y omisiones de sus agentes respecto del accionar de terceros. Por cuanto la falta de fundamento o la improcedencia de estos aspectos del reclamo no resultan evidentes, la Comisión considera satisfechos los requisitos establecidos en los artículos 47.b y c de la Convención Americana.</w:t>
      </w:r>
    </w:p>
    <w:p w:rsidR="00351C22" w:rsidRDefault="00351C22" w:rsidP="00351C22">
      <w:pPr>
        <w:rPr>
          <w:color w:val="000000"/>
          <w:sz w:val="27"/>
          <w:szCs w:val="27"/>
        </w:rPr>
      </w:pPr>
    </w:p>
    <w:p w:rsidR="00351C22" w:rsidRDefault="00351C22" w:rsidP="00351C22">
      <w:pPr>
        <w:rPr>
          <w:color w:val="000000"/>
          <w:sz w:val="27"/>
          <w:szCs w:val="27"/>
        </w:rPr>
      </w:pPr>
      <w:r>
        <w:rPr>
          <w:color w:val="000000"/>
          <w:szCs w:val="20"/>
          <w:lang w:val="es-ES_tradnl"/>
        </w:rPr>
        <w:t xml:space="preserve">34. </w:t>
      </w:r>
      <w:r>
        <w:rPr>
          <w:color w:val="000000"/>
          <w:szCs w:val="20"/>
        </w:rPr>
        <w:t xml:space="preserve">En cuanto a los alegatos sobre la presunta violación del artículo 27 de la Convención Americana, los peticionarios hacen referencia al Estado de conmoción decretado por el Presidente de la República para la fecha en que ocurrieron los hechos, alegando la violación de las restricciones a la suspensión de garantías establecidas en el. La CIDH </w:t>
      </w:r>
      <w:r>
        <w:rPr>
          <w:color w:val="000000"/>
          <w:szCs w:val="20"/>
          <w:lang w:val="es-ES"/>
        </w:rPr>
        <w:t>determinará en la etapa de fondo si corresponde examinar las obligaciones internacionales del Estado con relación a esta norma.</w:t>
      </w:r>
    </w:p>
    <w:p w:rsidR="00351C22" w:rsidRDefault="00351C22" w:rsidP="00351C22">
      <w:pPr>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35. En cuanto a los alegatos sobre la presunta violación del artículo 23 de la Convención Americana, los alegatos de los peticionarios sobre la presunta violación de los derechos políticos de Luz Dary Ospina Bastidas no han sido debidamente sustanciados en la petición, por lo que no corresponde declarar dicha pretensión como admisible.</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Heading1"/>
        <w:spacing w:before="0" w:beforeAutospacing="0" w:after="0" w:afterAutospacing="0"/>
        <w:rPr>
          <w:rFonts w:ascii="Arial" w:hAnsi="Arial" w:cs="Arial"/>
          <w:color w:val="000000"/>
          <w:sz w:val="32"/>
          <w:szCs w:val="32"/>
        </w:rPr>
      </w:pPr>
      <w:r>
        <w:rPr>
          <w:rFonts w:cs="Arial"/>
          <w:color w:val="000000"/>
          <w:szCs w:val="20"/>
        </w:rPr>
        <w:t>V.</w:t>
      </w:r>
      <w:r>
        <w:rPr>
          <w:rFonts w:cs="Arial"/>
          <w:color w:val="000000"/>
          <w:szCs w:val="20"/>
        </w:rPr>
        <w:tab/>
        <w:t>CONCLUSIONES</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36. La Comisión concluye que es competente para examinar los reclamos presentados por el peticionario sobre la presunta violación de los artículos 5.1, 8.1, 16, 21.1, 21.2, 22.1 y 25 en concordancia con el 1.1 de la Convención Americana y que éstos son admisibles, conforme a los requisitos establecidos en los artículos 46 y 47 de la Convención Americana.</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37. Con fundamento en los argumentos de hecho y de derecho antes expuestos y sin que ello signifique prejuzgar sobre el fondo del asunto,</w:t>
      </w:r>
    </w:p>
    <w:p w:rsidR="00351C22" w:rsidRDefault="00351C22" w:rsidP="00351C22">
      <w:pPr>
        <w:pStyle w:val="BodyText"/>
        <w:spacing w:before="0" w:beforeAutospacing="0" w:after="0" w:afterAutospacing="0"/>
        <w:jc w:val="both"/>
        <w:rPr>
          <w:color w:val="000000"/>
          <w:sz w:val="27"/>
          <w:szCs w:val="27"/>
        </w:rPr>
      </w:pPr>
    </w:p>
    <w:p w:rsidR="00A173C7" w:rsidRDefault="00A173C7" w:rsidP="00351C22">
      <w:pPr>
        <w:pStyle w:val="BodyText"/>
        <w:spacing w:before="0" w:beforeAutospacing="0" w:after="0" w:afterAutospacing="0"/>
        <w:jc w:val="both"/>
        <w:rPr>
          <w:color w:val="000000"/>
          <w:sz w:val="27"/>
          <w:szCs w:val="27"/>
        </w:rPr>
      </w:pPr>
      <w:bookmarkStart w:id="0" w:name="_GoBack"/>
      <w:bookmarkEnd w:id="0"/>
    </w:p>
    <w:p w:rsidR="00351C22" w:rsidRDefault="00351C22" w:rsidP="00351C22">
      <w:pPr>
        <w:pStyle w:val="BodyText"/>
        <w:spacing w:before="0" w:beforeAutospacing="0" w:after="0" w:afterAutospacing="0"/>
        <w:jc w:val="center"/>
        <w:rPr>
          <w:color w:val="000000"/>
          <w:sz w:val="27"/>
          <w:szCs w:val="27"/>
        </w:rPr>
      </w:pPr>
      <w:r>
        <w:rPr>
          <w:rFonts w:ascii="Verdana" w:hAnsi="Verdana"/>
          <w:b/>
          <w:bCs/>
          <w:color w:val="000000"/>
          <w:sz w:val="20"/>
          <w:szCs w:val="20"/>
        </w:rPr>
        <w:t>LA COMISIÓN INTERAMERICANA DE DERECHOS HUMANOS,</w:t>
      </w:r>
    </w:p>
    <w:p w:rsidR="00351C22" w:rsidRDefault="00351C22" w:rsidP="00351C22">
      <w:pPr>
        <w:pStyle w:val="BodyText"/>
        <w:spacing w:before="0" w:beforeAutospacing="0" w:after="0" w:afterAutospacing="0"/>
        <w:ind w:left="4248" w:firstLine="708"/>
        <w:jc w:val="both"/>
        <w:rPr>
          <w:color w:val="000000"/>
          <w:sz w:val="27"/>
          <w:szCs w:val="27"/>
        </w:rPr>
      </w:pPr>
      <w:r>
        <w:rPr>
          <w:rFonts w:ascii="Verdana" w:hAnsi="Verdana"/>
          <w:b/>
          <w:bCs/>
          <w:color w:val="000000"/>
          <w:sz w:val="20"/>
          <w:szCs w:val="20"/>
        </w:rPr>
        <w:t>DECIDE:</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1. Declarar admisible el presente caso con relación a los artículos 5.1, 8.1, 16, 21.1, 21.2, 22.1 y 25 en concordancia con los artículos 1.1 y 27 de la Convención Americana.</w:t>
      </w:r>
    </w:p>
    <w:p w:rsidR="00351C22" w:rsidRDefault="00351C22" w:rsidP="00351C22">
      <w:pPr>
        <w:pStyle w:val="BodyText"/>
        <w:spacing w:before="0" w:beforeAutospacing="0" w:after="0" w:afterAutospacing="0"/>
        <w:ind w:firstLine="72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2. Declarar inadmisible el presente caso con relación al artículo 23 de la Convención Americana</w:t>
      </w:r>
    </w:p>
    <w:p w:rsidR="00351C22" w:rsidRDefault="00351C22" w:rsidP="00351C22">
      <w:pPr>
        <w:pStyle w:val="BodyText"/>
        <w:spacing w:before="0" w:beforeAutospacing="0" w:after="0" w:afterAutospacing="0"/>
        <w:ind w:firstLine="72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3. Notificar esta decisión al Estado colombiano y al peticionario.</w:t>
      </w:r>
    </w:p>
    <w:p w:rsidR="00351C22" w:rsidRDefault="00351C22" w:rsidP="00351C22">
      <w:pPr>
        <w:pStyle w:val="BodyText"/>
        <w:spacing w:before="0" w:beforeAutospacing="0" w:after="0" w:afterAutospacing="0"/>
        <w:ind w:firstLine="72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4. Continuar con el análisis del fondo de la cuestión.</w:t>
      </w:r>
    </w:p>
    <w:p w:rsidR="00351C22" w:rsidRDefault="00351C22" w:rsidP="00351C22">
      <w:pPr>
        <w:pStyle w:val="BodyText"/>
        <w:spacing w:before="0" w:beforeAutospacing="0" w:after="0" w:afterAutospacing="0"/>
        <w:jc w:val="both"/>
        <w:rPr>
          <w:color w:val="000000"/>
          <w:sz w:val="27"/>
          <w:szCs w:val="27"/>
        </w:rPr>
      </w:pPr>
    </w:p>
    <w:p w:rsidR="00351C22" w:rsidRDefault="00351C22" w:rsidP="00351C22">
      <w:pPr>
        <w:pStyle w:val="BodyText"/>
        <w:spacing w:before="0" w:beforeAutospacing="0" w:after="0" w:afterAutospacing="0"/>
        <w:jc w:val="both"/>
        <w:rPr>
          <w:color w:val="000000"/>
          <w:sz w:val="27"/>
          <w:szCs w:val="27"/>
        </w:rPr>
      </w:pPr>
      <w:r>
        <w:rPr>
          <w:rFonts w:ascii="Verdana" w:hAnsi="Verdana"/>
          <w:color w:val="000000"/>
          <w:sz w:val="20"/>
          <w:szCs w:val="20"/>
        </w:rPr>
        <w:t>5. Publicar esta decisión e incluirla en su Informe Anual a la Asamblea General de la OEA.</w:t>
      </w:r>
    </w:p>
    <w:p w:rsidR="00351C22" w:rsidRPr="00351C22" w:rsidRDefault="00351C22" w:rsidP="00351C22">
      <w:pPr>
        <w:ind w:firstLine="720"/>
        <w:rPr>
          <w:color w:val="000000"/>
          <w:sz w:val="27"/>
          <w:szCs w:val="27"/>
          <w:lang w:val="x-none"/>
        </w:rPr>
      </w:pPr>
    </w:p>
    <w:p w:rsidR="00351C22" w:rsidRDefault="00351C22" w:rsidP="00910BA4">
      <w:r>
        <w:rPr>
          <w:color w:val="000000"/>
          <w:spacing w:val="-2"/>
          <w:szCs w:val="20"/>
          <w:lang w:val="es-CL"/>
        </w:rPr>
        <w:t>Dado y firmado en la ciudad de Washington, D.C., a los 27 días del mes de febrero de 2007. (Firmado: Florentín Meléndez</w:t>
      </w:r>
      <w:r>
        <w:rPr>
          <w:color w:val="000000"/>
          <w:szCs w:val="20"/>
          <w:lang w:val="es-CL"/>
        </w:rPr>
        <w:t>,,</w:t>
      </w:r>
      <w:r>
        <w:rPr>
          <w:color w:val="000000"/>
          <w:spacing w:val="-2"/>
          <w:szCs w:val="20"/>
          <w:lang w:val="es-CL"/>
        </w:rPr>
        <w:t xml:space="preserve"> Presidente; Paolo G. Carozza, Primer Vicepresidente; Víctor E. Abramovich, Segundo Vicepresidente;</w:t>
      </w:r>
      <w:r>
        <w:rPr>
          <w:color w:val="000000"/>
          <w:szCs w:val="20"/>
          <w:lang w:val="es-CL"/>
        </w:rPr>
        <w:t xml:space="preserve"> </w:t>
      </w:r>
      <w:r>
        <w:rPr>
          <w:color w:val="000000"/>
          <w:spacing w:val="-2"/>
          <w:szCs w:val="20"/>
          <w:lang w:val="es-CL"/>
        </w:rPr>
        <w:t xml:space="preserve">Evelio Fernández Arévalos, Clare K. Roberts, </w:t>
      </w:r>
      <w:r>
        <w:rPr>
          <w:color w:val="000000"/>
          <w:szCs w:val="20"/>
          <w:lang w:val="es-CL"/>
        </w:rPr>
        <w:t>Paulo Sérgio Pinheiro</w:t>
      </w:r>
      <w:r>
        <w:rPr>
          <w:color w:val="000000"/>
          <w:spacing w:val="-2"/>
          <w:szCs w:val="20"/>
          <w:lang w:val="es-CL"/>
        </w:rPr>
        <w:t xml:space="preserve"> y Freddy Gutiérrez Miembros de la Comisión).</w:t>
      </w:r>
    </w:p>
    <w:sectPr w:rsidR="00351C22" w:rsidSect="00662A67">
      <w:footerReference w:type="default" r:id="rId8"/>
      <w:pgSz w:w="11907" w:h="16839" w:code="9"/>
      <w:pgMar w:top="1134" w:right="1134" w:bottom="1134"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275" w:rsidRDefault="00906275" w:rsidP="007B2999">
      <w:r>
        <w:separator/>
      </w:r>
    </w:p>
  </w:endnote>
  <w:endnote w:type="continuationSeparator" w:id="0">
    <w:p w:rsidR="00906275" w:rsidRDefault="00906275" w:rsidP="007B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BA4" w:rsidRDefault="00910BA4" w:rsidP="00351C22">
    <w:pPr>
      <w:pStyle w:val="Footer"/>
      <w:jc w:val="center"/>
    </w:pPr>
    <w:r>
      <w:fldChar w:fldCharType="begin"/>
    </w:r>
    <w:r>
      <w:instrText xml:space="preserve"> PAGE   \* MERGEFORMAT </w:instrText>
    </w:r>
    <w:r>
      <w:fldChar w:fldCharType="separate"/>
    </w:r>
    <w:r w:rsidR="00A173C7">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275" w:rsidRDefault="00906275" w:rsidP="007B2999">
      <w:r>
        <w:separator/>
      </w:r>
    </w:p>
  </w:footnote>
  <w:footnote w:type="continuationSeparator" w:id="0">
    <w:p w:rsidR="00906275" w:rsidRDefault="00906275" w:rsidP="007B2999">
      <w:r>
        <w:continuationSeparator/>
      </w:r>
    </w:p>
  </w:footnote>
  <w:footnote w:id="1">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 xml:space="preserve">La AMI </w:t>
      </w:r>
      <w:r w:rsidRPr="00914BE5">
        <w:rPr>
          <w:rFonts w:ascii="Verdana" w:hAnsi="Verdana"/>
          <w:sz w:val="16"/>
          <w:szCs w:val="16"/>
          <w:lang w:val="es-MX"/>
        </w:rPr>
        <w:t>agrupa a mujeres cabeza de hogar con el propósito de obtener reconocimiento social de la mujer y que hace parte de la red de organizaciones de mujeres en Colombia “Ruta Pacífica de las Mujeres”.</w:t>
      </w:r>
    </w:p>
  </w:footnote>
  <w:footnote w:id="2">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Su familia está conformada por su esposo, Oscar Tulio Hoyos Oquendo, sus hijos Edid Yazmín, Oscar Darío y Migdalia Andrea Hoyos Ospina y su yerno Fabio Alberto Rodríguez Buriticá. Petición original recibida por la CIDH el 27 de octubre de 2004, pág. 3.</w:t>
      </w:r>
    </w:p>
  </w:footnote>
  <w:footnote w:id="3">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Los peticionarios alegan que quienes han aceptado “hablar” con los comandantes paramilitares, nunca regresen con vida. Petición original recibida por la CIDH el 27 de octubre de 2004, pág. 4.</w:t>
      </w:r>
    </w:p>
  </w:footnote>
  <w:footnote w:id="4">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Resolución N° 11001-12791R del 13 de febrero de 2004. Anexo de la petición original recibida por la CIDH el 27 de octubre de 2004.</w:t>
      </w:r>
    </w:p>
  </w:footnote>
  <w:footnote w:id="5">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Denuncia ante la Defensoría del Pueblo del 18 de julio de 2003 por desplazamiento intraurbano y seguridad de Luz Dary Ospina B. y su familia (Barrio Independencia II, Comuna 13). Anexo de la petición original recibida por la CIDH el 27 de octubre de 2004.</w:t>
      </w:r>
    </w:p>
  </w:footnote>
  <w:footnote w:id="6">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 xml:space="preserve">Las denuncias ante el Gobierno Nacional se realizaron en las reuniones con los Directores de Derechos Humanos de la Cancillería, la Policía Nacional, la Vicepresidencia y el ministro del Interior. Los peticionarios señalan que Luz Dary Ospina manifestó: </w:t>
      </w:r>
      <w:r w:rsidRPr="00914BE5">
        <w:rPr>
          <w:rFonts w:ascii="Verdana" w:hAnsi="Verdana"/>
          <w:sz w:val="16"/>
          <w:szCs w:val="16"/>
          <w:lang w:val="es-MX"/>
        </w:rPr>
        <w:t xml:space="preserve">“La comunidad tiene temor de denunciar, porque ha visto claramente la connivencia entre paramilitares, Ejército y Policía, lo que ha sido denunciado reiteradamente, sin ningún resultado </w:t>
      </w:r>
      <w:r w:rsidRPr="00914BE5">
        <w:rPr>
          <w:rFonts w:ascii="Verdana" w:hAnsi="Verdana"/>
          <w:sz w:val="16"/>
          <w:szCs w:val="16"/>
          <w:lang w:val="es-ES_tradnl"/>
        </w:rPr>
        <w:t>[…] Ante esta situación de riesgo e inseguridad que afronta toda nuestra familia y el riesgo de perder nuestra vivienda, legalmente construida, acudimos a ustedes, para que tomen las medidas pertinentes de protección, que tiene que ver con la vida, honra y bienes de todos los ciudadanos, como lo manifiesta nuestra Constitución Política”. Petición original recibida por la CIDH el 27 de octubre de 2004, pág. 5.</w:t>
      </w:r>
    </w:p>
  </w:footnote>
  <w:footnote w:id="7">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Los peticionarios señalan que durante el primer semestre del año 2002 las muertes en los barrios de la Comuna 13 se incrementaron en más de un 120% con relación al año 2001 durante el que no se realizó operaciones militares similares. En el año 2001 hubo 123 muertos y en 2002 fueron 269 entre el 1 de enero y el 30 de junio. Estadísticas de la Unidad de Convivencia ciudadana de la Secretaría del Gobierno Municipal de Medellín y de la Unidad de Reacción Inmediata de la Fiscalía General de la Nación. Petición original recibida por la CIDH el 27 de octubre de 2004, pág. 7.</w:t>
      </w:r>
    </w:p>
  </w:footnote>
  <w:footnote w:id="8">
    <w:p w:rsidR="00351C22" w:rsidRPr="00351C22" w:rsidRDefault="00351C22" w:rsidP="008E608A">
      <w:pPr>
        <w:pStyle w:val="FootnoteText"/>
        <w:spacing w:before="0" w:beforeAutospacing="0" w:after="0" w:afterAutospacing="0"/>
        <w:jc w:val="both"/>
      </w:pPr>
      <w:r>
        <w:rPr>
          <w:rStyle w:val="FootnoteReference"/>
        </w:rPr>
        <w:footnoteRef/>
      </w:r>
      <w:r>
        <w:t xml:space="preserve"> </w:t>
      </w:r>
      <w:r w:rsidRPr="00914BE5">
        <w:rPr>
          <w:rFonts w:ascii="Verdana" w:hAnsi="Verdana"/>
          <w:sz w:val="16"/>
          <w:szCs w:val="16"/>
          <w:lang w:val="es-ES_tradnl"/>
        </w:rPr>
        <w:t>Petición original recibida por la CIDH el 27 de octubre de 2004, pág. 5.</w:t>
      </w:r>
    </w:p>
  </w:footnote>
  <w:footnote w:id="9">
    <w:p w:rsidR="00351C22" w:rsidRPr="00351C22" w:rsidRDefault="00351C22" w:rsidP="008E608A">
      <w:pPr>
        <w:pStyle w:val="FootnoteText"/>
        <w:spacing w:before="0" w:beforeAutospacing="0" w:after="0" w:afterAutospacing="0"/>
        <w:jc w:val="both"/>
      </w:pPr>
      <w:r>
        <w:rPr>
          <w:rStyle w:val="FootnoteReference"/>
        </w:rPr>
        <w:footnoteRef/>
      </w:r>
      <w:r>
        <w:t xml:space="preserve"> </w:t>
      </w:r>
      <w:r w:rsidRPr="00914BE5">
        <w:rPr>
          <w:rFonts w:ascii="Verdana" w:hAnsi="Verdana"/>
          <w:sz w:val="16"/>
          <w:szCs w:val="16"/>
          <w:lang w:val="es-ES_tradnl"/>
        </w:rPr>
        <w:t>Petición original recibida por la CIDH el 27 de octubre de 2004, pág. 8.</w:t>
      </w:r>
    </w:p>
  </w:footnote>
  <w:footnote w:id="10">
    <w:p w:rsidR="00351C22" w:rsidRPr="00351C22" w:rsidRDefault="00351C22"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Durante enero y mediados de 2002 se registraron 437 homicidios en la Comuna 13. Escrito de observaciones del Estado DDH.GOI/60162/2802 recibida en la CIDH el 12 de diciembre de 2006.</w:t>
      </w:r>
    </w:p>
  </w:footnote>
  <w:footnote w:id="11">
    <w:p w:rsidR="008E608A" w:rsidRPr="008E608A" w:rsidRDefault="008E608A"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
        </w:rPr>
        <w:t xml:space="preserve">Corte I.D.H., </w:t>
      </w:r>
      <w:r w:rsidRPr="00914BE5">
        <w:rPr>
          <w:rFonts w:ascii="Verdana" w:hAnsi="Verdana"/>
          <w:i/>
          <w:iCs/>
          <w:sz w:val="16"/>
          <w:szCs w:val="16"/>
          <w:lang w:val="es-ES"/>
        </w:rPr>
        <w:t>Caso Velásquez Rodríguez, Sentencia del 29 de julio de 1988, párrafo 64.</w:t>
      </w:r>
    </w:p>
  </w:footnote>
  <w:footnote w:id="12">
    <w:p w:rsidR="008E608A" w:rsidRPr="008E608A" w:rsidRDefault="008E608A" w:rsidP="008E608A">
      <w:pPr>
        <w:pStyle w:val="FootnoteText"/>
        <w:spacing w:before="0" w:beforeAutospacing="0" w:after="0" w:afterAutospacing="0"/>
        <w:jc w:val="both"/>
        <w:rPr>
          <w:lang w:val="es-AR"/>
        </w:rPr>
      </w:pPr>
      <w:r>
        <w:rPr>
          <w:rStyle w:val="FootnoteReference"/>
        </w:rPr>
        <w:footnoteRef/>
      </w:r>
      <w:r>
        <w:t xml:space="preserve"> </w:t>
      </w:r>
      <w:r w:rsidRPr="00914BE5">
        <w:rPr>
          <w:rFonts w:ascii="Verdana" w:hAnsi="Verdana"/>
          <w:sz w:val="16"/>
          <w:szCs w:val="16"/>
          <w:lang w:val="es-ES_tradnl"/>
        </w:rPr>
        <w:t>Escrito de observaciones del Estado DDH.GOI/60162/2802 recibida en la CIDH el 12 de diciembre de 2006.</w:t>
      </w:r>
    </w:p>
  </w:footnote>
  <w:footnote w:id="13">
    <w:p w:rsidR="008E608A" w:rsidRPr="008E608A" w:rsidRDefault="008E608A" w:rsidP="008E608A">
      <w:pPr>
        <w:pStyle w:val="FootnoteText"/>
        <w:spacing w:before="0" w:beforeAutospacing="0" w:after="0" w:afterAutospacing="0"/>
        <w:jc w:val="both"/>
        <w:rPr>
          <w:lang w:val="es-AR"/>
        </w:rPr>
      </w:pPr>
      <w:r>
        <w:rPr>
          <w:rStyle w:val="FootnoteReference"/>
        </w:rPr>
        <w:footnoteRef/>
      </w:r>
      <w:r>
        <w:t xml:space="preserve"> </w:t>
      </w:r>
      <w:r w:rsidRPr="008E608A">
        <w:rPr>
          <w:rStyle w:val="EndnoteReference"/>
          <w:rFonts w:ascii="Verdana" w:hAnsi="Verdana"/>
          <w:sz w:val="16"/>
          <w:szCs w:val="16"/>
          <w:lang w:val="es-ES_tradnl"/>
        </w:rPr>
        <w:t>Corte I</w:t>
      </w:r>
      <w:r w:rsidRPr="008E608A">
        <w:rPr>
          <w:rFonts w:ascii="Verdana" w:hAnsi="Verdana"/>
          <w:sz w:val="16"/>
          <w:szCs w:val="16"/>
          <w:lang w:val="es-ES_tradnl"/>
        </w:rPr>
        <w:t>.</w:t>
      </w:r>
      <w:r w:rsidRPr="008E608A">
        <w:rPr>
          <w:rStyle w:val="EndnoteReference"/>
          <w:rFonts w:ascii="Verdana" w:hAnsi="Verdana"/>
          <w:sz w:val="16"/>
          <w:szCs w:val="16"/>
          <w:lang w:val="es-ES_tradnl"/>
        </w:rPr>
        <w:t>D</w:t>
      </w:r>
      <w:r w:rsidRPr="008E608A">
        <w:rPr>
          <w:rFonts w:ascii="Verdana" w:hAnsi="Verdana"/>
          <w:sz w:val="16"/>
          <w:szCs w:val="16"/>
          <w:lang w:val="es-ES_tradnl"/>
        </w:rPr>
        <w:t>.</w:t>
      </w:r>
      <w:r w:rsidRPr="008E608A">
        <w:rPr>
          <w:rStyle w:val="EndnoteReference"/>
          <w:rFonts w:ascii="Verdana" w:hAnsi="Verdana"/>
          <w:sz w:val="16"/>
          <w:szCs w:val="16"/>
          <w:lang w:val="es-ES_tradnl"/>
        </w:rPr>
        <w:t>H</w:t>
      </w:r>
      <w:r w:rsidRPr="008E608A">
        <w:rPr>
          <w:rFonts w:ascii="Verdana" w:hAnsi="Verdana"/>
          <w:sz w:val="16"/>
          <w:szCs w:val="16"/>
          <w:lang w:val="es-ES_tradnl"/>
        </w:rPr>
        <w:t>.</w:t>
      </w:r>
      <w:r w:rsidRPr="008E608A">
        <w:rPr>
          <w:rStyle w:val="EndnoteReference"/>
          <w:rFonts w:ascii="Verdana" w:hAnsi="Verdana"/>
          <w:sz w:val="16"/>
          <w:szCs w:val="16"/>
          <w:lang w:val="es-ES_tradnl"/>
        </w:rPr>
        <w:t xml:space="preserve">, </w:t>
      </w:r>
      <w:r w:rsidRPr="008E608A">
        <w:rPr>
          <w:rStyle w:val="EndnoteReference"/>
          <w:rFonts w:ascii="Verdana" w:hAnsi="Verdana"/>
          <w:i/>
          <w:iCs/>
          <w:sz w:val="16"/>
          <w:szCs w:val="16"/>
          <w:lang w:val="es-ES_tradnl"/>
        </w:rPr>
        <w:t>Caso Velásquez Rodríguez, Excepciones Preliminares, Sentencia del 26 de junio de 1987, párrafo 93.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20D82"/>
    <w:multiLevelType w:val="hybridMultilevel"/>
    <w:tmpl w:val="044ACF98"/>
    <w:lvl w:ilvl="0" w:tplc="2C0A0015">
      <w:start w:val="1"/>
      <w:numFmt w:val="upperLetter"/>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ECB1AA7"/>
    <w:multiLevelType w:val="hybridMultilevel"/>
    <w:tmpl w:val="C45A578A"/>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7904F7"/>
    <w:multiLevelType w:val="hybridMultilevel"/>
    <w:tmpl w:val="5F1C1E04"/>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9015559"/>
    <w:multiLevelType w:val="hybridMultilevel"/>
    <w:tmpl w:val="39F6144E"/>
    <w:lvl w:ilvl="0" w:tplc="1CB822B8">
      <w:start w:val="1"/>
      <w:numFmt w:val="upp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1B80BF5"/>
    <w:multiLevelType w:val="hybridMultilevel"/>
    <w:tmpl w:val="B6C2E9B8"/>
    <w:lvl w:ilvl="0" w:tplc="F56024E4">
      <w:start w:val="1"/>
      <w:numFmt w:val="upp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3A713669"/>
    <w:multiLevelType w:val="hybridMultilevel"/>
    <w:tmpl w:val="7ED41F3A"/>
    <w:lvl w:ilvl="0" w:tplc="0DF84D0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491C0BD1"/>
    <w:multiLevelType w:val="hybridMultilevel"/>
    <w:tmpl w:val="495E2472"/>
    <w:lvl w:ilvl="0" w:tplc="8F62339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6A953554"/>
    <w:multiLevelType w:val="hybridMultilevel"/>
    <w:tmpl w:val="02DACE56"/>
    <w:lvl w:ilvl="0" w:tplc="0C7419C6">
      <w:start w:val="1"/>
      <w:numFmt w:val="upperRoman"/>
      <w:lvlText w:val="%1."/>
      <w:lvlJc w:val="left"/>
      <w:pPr>
        <w:ind w:left="1080" w:hanging="72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6EB5659B"/>
    <w:multiLevelType w:val="hybridMultilevel"/>
    <w:tmpl w:val="7124D24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7216778B"/>
    <w:multiLevelType w:val="hybridMultilevel"/>
    <w:tmpl w:val="198C9682"/>
    <w:lvl w:ilvl="0" w:tplc="E7D6BFF2">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8"/>
  </w:num>
  <w:num w:numId="5">
    <w:abstractNumId w:val="3"/>
  </w:num>
  <w:num w:numId="6">
    <w:abstractNumId w:val="1"/>
  </w:num>
  <w:num w:numId="7">
    <w:abstractNumId w:val="9"/>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activeWritingStyle w:appName="MSWord" w:lang="pt-BR" w:vendorID="64" w:dllVersion="131078" w:nlCheck="1" w:checkStyle="0"/>
  <w:activeWritingStyle w:appName="MSWord" w:lang="es-ES"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es-CL" w:vendorID="64" w:dllVersion="131078" w:nlCheck="1" w:checkStyle="1"/>
  <w:activeWritingStyle w:appName="MSWord" w:lang="es-EC" w:vendorID="64" w:dllVersion="131078" w:nlCheck="1" w:checkStyle="1"/>
  <w:activeWritingStyle w:appName="MSWord" w:lang="es-UY" w:vendorID="64" w:dllVersion="131078" w:nlCheck="1" w:checkStyle="1"/>
  <w:activeWritingStyle w:appName="MSWord" w:lang="es-VE"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PY" w:vendorID="64" w:dllVersion="131078" w:nlCheck="1" w:checkStyle="1"/>
  <w:activeWritingStyle w:appName="MSWord" w:lang="es-CO" w:vendorID="64" w:dllVersion="131078" w:nlCheck="1" w:checkStyle="1"/>
  <w:activeWritingStyle w:appName="MSWord" w:lang="es-CR" w:vendorID="64" w:dllVersion="131078" w:nlCheck="1" w:checkStyle="1"/>
  <w:activeWritingStyle w:appName="MSWord" w:lang="es-SV" w:vendorID="64" w:dllVersion="131078" w:nlCheck="1" w:checkStyle="1"/>
  <w:activeWritingStyle w:appName="MSWord" w:lang="es-DO" w:vendorID="64" w:dllVersion="131078" w:nlCheck="1" w:checkStyle="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D8D"/>
    <w:rsid w:val="00000B5D"/>
    <w:rsid w:val="00001240"/>
    <w:rsid w:val="00001862"/>
    <w:rsid w:val="00002581"/>
    <w:rsid w:val="00002F8F"/>
    <w:rsid w:val="00002FD8"/>
    <w:rsid w:val="0000328A"/>
    <w:rsid w:val="00003383"/>
    <w:rsid w:val="000041CB"/>
    <w:rsid w:val="00004788"/>
    <w:rsid w:val="000049C0"/>
    <w:rsid w:val="00004DC4"/>
    <w:rsid w:val="00004EC8"/>
    <w:rsid w:val="00004FB8"/>
    <w:rsid w:val="0000557B"/>
    <w:rsid w:val="000057E2"/>
    <w:rsid w:val="00006795"/>
    <w:rsid w:val="00006E32"/>
    <w:rsid w:val="00007431"/>
    <w:rsid w:val="0000751C"/>
    <w:rsid w:val="000075EB"/>
    <w:rsid w:val="00007705"/>
    <w:rsid w:val="00007CA9"/>
    <w:rsid w:val="00007CB6"/>
    <w:rsid w:val="0001091E"/>
    <w:rsid w:val="0001103F"/>
    <w:rsid w:val="00011559"/>
    <w:rsid w:val="000115EA"/>
    <w:rsid w:val="00011824"/>
    <w:rsid w:val="00013031"/>
    <w:rsid w:val="000133E4"/>
    <w:rsid w:val="00013635"/>
    <w:rsid w:val="00013834"/>
    <w:rsid w:val="00014272"/>
    <w:rsid w:val="00014434"/>
    <w:rsid w:val="000144BC"/>
    <w:rsid w:val="0001461D"/>
    <w:rsid w:val="00014F21"/>
    <w:rsid w:val="000153D2"/>
    <w:rsid w:val="00015934"/>
    <w:rsid w:val="00016031"/>
    <w:rsid w:val="00016220"/>
    <w:rsid w:val="0001670C"/>
    <w:rsid w:val="00016C8B"/>
    <w:rsid w:val="0002009F"/>
    <w:rsid w:val="000207A9"/>
    <w:rsid w:val="000209C9"/>
    <w:rsid w:val="00020AE6"/>
    <w:rsid w:val="00021236"/>
    <w:rsid w:val="00021425"/>
    <w:rsid w:val="00022054"/>
    <w:rsid w:val="0002339E"/>
    <w:rsid w:val="00023829"/>
    <w:rsid w:val="00023904"/>
    <w:rsid w:val="00024344"/>
    <w:rsid w:val="000244BC"/>
    <w:rsid w:val="000244D6"/>
    <w:rsid w:val="00024F7C"/>
    <w:rsid w:val="00025302"/>
    <w:rsid w:val="00025826"/>
    <w:rsid w:val="0002585F"/>
    <w:rsid w:val="00025AC6"/>
    <w:rsid w:val="0002613E"/>
    <w:rsid w:val="00027055"/>
    <w:rsid w:val="00030B45"/>
    <w:rsid w:val="0003180E"/>
    <w:rsid w:val="00031C94"/>
    <w:rsid w:val="00031F37"/>
    <w:rsid w:val="00033510"/>
    <w:rsid w:val="00033B4F"/>
    <w:rsid w:val="000345E4"/>
    <w:rsid w:val="00034CBA"/>
    <w:rsid w:val="00034D08"/>
    <w:rsid w:val="000356D0"/>
    <w:rsid w:val="00035BBE"/>
    <w:rsid w:val="00035EBC"/>
    <w:rsid w:val="0003612A"/>
    <w:rsid w:val="0003632F"/>
    <w:rsid w:val="0003633E"/>
    <w:rsid w:val="00037E4D"/>
    <w:rsid w:val="00037E4E"/>
    <w:rsid w:val="00040272"/>
    <w:rsid w:val="00040FAC"/>
    <w:rsid w:val="0004134C"/>
    <w:rsid w:val="00041DBE"/>
    <w:rsid w:val="00043521"/>
    <w:rsid w:val="0004380A"/>
    <w:rsid w:val="00043D24"/>
    <w:rsid w:val="00045639"/>
    <w:rsid w:val="00045891"/>
    <w:rsid w:val="00045985"/>
    <w:rsid w:val="00045A29"/>
    <w:rsid w:val="00046AB5"/>
    <w:rsid w:val="00046B14"/>
    <w:rsid w:val="000477E8"/>
    <w:rsid w:val="0004793B"/>
    <w:rsid w:val="00047975"/>
    <w:rsid w:val="00047F42"/>
    <w:rsid w:val="000506DC"/>
    <w:rsid w:val="00050D64"/>
    <w:rsid w:val="00051997"/>
    <w:rsid w:val="00051EB0"/>
    <w:rsid w:val="00052C31"/>
    <w:rsid w:val="00052EDC"/>
    <w:rsid w:val="00053AE8"/>
    <w:rsid w:val="00053C58"/>
    <w:rsid w:val="00054E26"/>
    <w:rsid w:val="00054E3E"/>
    <w:rsid w:val="000553F9"/>
    <w:rsid w:val="00055715"/>
    <w:rsid w:val="00055D3E"/>
    <w:rsid w:val="00055DD5"/>
    <w:rsid w:val="000566B4"/>
    <w:rsid w:val="000568E4"/>
    <w:rsid w:val="00056C86"/>
    <w:rsid w:val="00056CE9"/>
    <w:rsid w:val="00056FC6"/>
    <w:rsid w:val="000578BD"/>
    <w:rsid w:val="00057CFB"/>
    <w:rsid w:val="00060A53"/>
    <w:rsid w:val="00060F20"/>
    <w:rsid w:val="00061346"/>
    <w:rsid w:val="000617C1"/>
    <w:rsid w:val="00061E80"/>
    <w:rsid w:val="00062AC8"/>
    <w:rsid w:val="00062BDB"/>
    <w:rsid w:val="00063B24"/>
    <w:rsid w:val="00063E10"/>
    <w:rsid w:val="000647B4"/>
    <w:rsid w:val="00065875"/>
    <w:rsid w:val="00065DEA"/>
    <w:rsid w:val="0006679C"/>
    <w:rsid w:val="000673F7"/>
    <w:rsid w:val="0007049B"/>
    <w:rsid w:val="00070A78"/>
    <w:rsid w:val="00070BF4"/>
    <w:rsid w:val="00070CD6"/>
    <w:rsid w:val="000721A7"/>
    <w:rsid w:val="000721AC"/>
    <w:rsid w:val="000725CC"/>
    <w:rsid w:val="00072F87"/>
    <w:rsid w:val="00072FC5"/>
    <w:rsid w:val="000733ED"/>
    <w:rsid w:val="00073BE3"/>
    <w:rsid w:val="000753A0"/>
    <w:rsid w:val="00077363"/>
    <w:rsid w:val="0007742E"/>
    <w:rsid w:val="000775AA"/>
    <w:rsid w:val="000776AA"/>
    <w:rsid w:val="000778A8"/>
    <w:rsid w:val="000778F3"/>
    <w:rsid w:val="00080394"/>
    <w:rsid w:val="00080611"/>
    <w:rsid w:val="0008085F"/>
    <w:rsid w:val="00080903"/>
    <w:rsid w:val="00080E01"/>
    <w:rsid w:val="0008256C"/>
    <w:rsid w:val="000825DB"/>
    <w:rsid w:val="00082681"/>
    <w:rsid w:val="00082B5B"/>
    <w:rsid w:val="00082C24"/>
    <w:rsid w:val="0008380D"/>
    <w:rsid w:val="00083D47"/>
    <w:rsid w:val="00084088"/>
    <w:rsid w:val="000846AD"/>
    <w:rsid w:val="000853DE"/>
    <w:rsid w:val="00085420"/>
    <w:rsid w:val="00086167"/>
    <w:rsid w:val="00086827"/>
    <w:rsid w:val="00087173"/>
    <w:rsid w:val="00087206"/>
    <w:rsid w:val="00087AA8"/>
    <w:rsid w:val="00090012"/>
    <w:rsid w:val="00090086"/>
    <w:rsid w:val="000905E6"/>
    <w:rsid w:val="000911CC"/>
    <w:rsid w:val="000917D6"/>
    <w:rsid w:val="00091D25"/>
    <w:rsid w:val="00091D5F"/>
    <w:rsid w:val="000925A3"/>
    <w:rsid w:val="00093086"/>
    <w:rsid w:val="0009311D"/>
    <w:rsid w:val="00093C14"/>
    <w:rsid w:val="000941B3"/>
    <w:rsid w:val="0009438A"/>
    <w:rsid w:val="00094D23"/>
    <w:rsid w:val="00095D29"/>
    <w:rsid w:val="00096BB3"/>
    <w:rsid w:val="00097580"/>
    <w:rsid w:val="0009760E"/>
    <w:rsid w:val="00097688"/>
    <w:rsid w:val="0009778F"/>
    <w:rsid w:val="000A03CF"/>
    <w:rsid w:val="000A04F6"/>
    <w:rsid w:val="000A0E8F"/>
    <w:rsid w:val="000A11F1"/>
    <w:rsid w:val="000A1431"/>
    <w:rsid w:val="000A194E"/>
    <w:rsid w:val="000A1F21"/>
    <w:rsid w:val="000A27F3"/>
    <w:rsid w:val="000A2847"/>
    <w:rsid w:val="000A3FD8"/>
    <w:rsid w:val="000A43CC"/>
    <w:rsid w:val="000A440B"/>
    <w:rsid w:val="000A4BA7"/>
    <w:rsid w:val="000A5339"/>
    <w:rsid w:val="000A584C"/>
    <w:rsid w:val="000A5C20"/>
    <w:rsid w:val="000A5D57"/>
    <w:rsid w:val="000A5E61"/>
    <w:rsid w:val="000A6F85"/>
    <w:rsid w:val="000A71BA"/>
    <w:rsid w:val="000A76FC"/>
    <w:rsid w:val="000A7BB4"/>
    <w:rsid w:val="000A7BC6"/>
    <w:rsid w:val="000A7CEC"/>
    <w:rsid w:val="000A7E93"/>
    <w:rsid w:val="000A7F54"/>
    <w:rsid w:val="000B0058"/>
    <w:rsid w:val="000B03DB"/>
    <w:rsid w:val="000B16E5"/>
    <w:rsid w:val="000B1752"/>
    <w:rsid w:val="000B17CE"/>
    <w:rsid w:val="000B1EC7"/>
    <w:rsid w:val="000B25B5"/>
    <w:rsid w:val="000B435A"/>
    <w:rsid w:val="000B53D3"/>
    <w:rsid w:val="000B5AE7"/>
    <w:rsid w:val="000B6209"/>
    <w:rsid w:val="000B63D6"/>
    <w:rsid w:val="000B68C9"/>
    <w:rsid w:val="000B7B19"/>
    <w:rsid w:val="000C049F"/>
    <w:rsid w:val="000C0FEF"/>
    <w:rsid w:val="000C14A5"/>
    <w:rsid w:val="000C214E"/>
    <w:rsid w:val="000C283D"/>
    <w:rsid w:val="000C2A63"/>
    <w:rsid w:val="000C380D"/>
    <w:rsid w:val="000C38F6"/>
    <w:rsid w:val="000C3A3D"/>
    <w:rsid w:val="000C4048"/>
    <w:rsid w:val="000C4DF4"/>
    <w:rsid w:val="000C51F8"/>
    <w:rsid w:val="000C5F1F"/>
    <w:rsid w:val="000C6122"/>
    <w:rsid w:val="000C70AC"/>
    <w:rsid w:val="000D1A00"/>
    <w:rsid w:val="000D1DD3"/>
    <w:rsid w:val="000D3166"/>
    <w:rsid w:val="000D36DF"/>
    <w:rsid w:val="000D3A27"/>
    <w:rsid w:val="000D4C71"/>
    <w:rsid w:val="000D578D"/>
    <w:rsid w:val="000D5A00"/>
    <w:rsid w:val="000E09A5"/>
    <w:rsid w:val="000E16A1"/>
    <w:rsid w:val="000E2A08"/>
    <w:rsid w:val="000E389D"/>
    <w:rsid w:val="000E3EFB"/>
    <w:rsid w:val="000E4B10"/>
    <w:rsid w:val="000E5054"/>
    <w:rsid w:val="000E5166"/>
    <w:rsid w:val="000E51A7"/>
    <w:rsid w:val="000E5D47"/>
    <w:rsid w:val="000E6CF7"/>
    <w:rsid w:val="000E782E"/>
    <w:rsid w:val="000E7BF1"/>
    <w:rsid w:val="000F03FD"/>
    <w:rsid w:val="000F0450"/>
    <w:rsid w:val="000F0757"/>
    <w:rsid w:val="000F089B"/>
    <w:rsid w:val="000F09EB"/>
    <w:rsid w:val="000F108E"/>
    <w:rsid w:val="000F1B8D"/>
    <w:rsid w:val="000F1F0A"/>
    <w:rsid w:val="000F1FC6"/>
    <w:rsid w:val="000F2604"/>
    <w:rsid w:val="000F27CF"/>
    <w:rsid w:val="000F3453"/>
    <w:rsid w:val="000F3879"/>
    <w:rsid w:val="000F3928"/>
    <w:rsid w:val="000F3D22"/>
    <w:rsid w:val="000F461B"/>
    <w:rsid w:val="000F49E5"/>
    <w:rsid w:val="000F4A8F"/>
    <w:rsid w:val="000F52E5"/>
    <w:rsid w:val="000F5769"/>
    <w:rsid w:val="000F5D49"/>
    <w:rsid w:val="000F5DA0"/>
    <w:rsid w:val="000F6561"/>
    <w:rsid w:val="000F66EF"/>
    <w:rsid w:val="000F710D"/>
    <w:rsid w:val="000F7685"/>
    <w:rsid w:val="000F7BFB"/>
    <w:rsid w:val="000F7CC1"/>
    <w:rsid w:val="00100ACC"/>
    <w:rsid w:val="0010129C"/>
    <w:rsid w:val="00101566"/>
    <w:rsid w:val="00102EB9"/>
    <w:rsid w:val="00102F94"/>
    <w:rsid w:val="0010328D"/>
    <w:rsid w:val="00103323"/>
    <w:rsid w:val="00103EC2"/>
    <w:rsid w:val="001049E2"/>
    <w:rsid w:val="0010503E"/>
    <w:rsid w:val="001055B6"/>
    <w:rsid w:val="0010623D"/>
    <w:rsid w:val="00106FD6"/>
    <w:rsid w:val="00107148"/>
    <w:rsid w:val="001078C6"/>
    <w:rsid w:val="00110E69"/>
    <w:rsid w:val="00111E40"/>
    <w:rsid w:val="00112A19"/>
    <w:rsid w:val="00113DCC"/>
    <w:rsid w:val="00114961"/>
    <w:rsid w:val="001150CC"/>
    <w:rsid w:val="001154A8"/>
    <w:rsid w:val="001155EB"/>
    <w:rsid w:val="001156C4"/>
    <w:rsid w:val="001158AB"/>
    <w:rsid w:val="00116AFE"/>
    <w:rsid w:val="00116E2A"/>
    <w:rsid w:val="00120187"/>
    <w:rsid w:val="00120332"/>
    <w:rsid w:val="00120379"/>
    <w:rsid w:val="00120721"/>
    <w:rsid w:val="001213B5"/>
    <w:rsid w:val="00122260"/>
    <w:rsid w:val="00122403"/>
    <w:rsid w:val="00122A55"/>
    <w:rsid w:val="00122E17"/>
    <w:rsid w:val="00123498"/>
    <w:rsid w:val="00123CF9"/>
    <w:rsid w:val="00123F63"/>
    <w:rsid w:val="001240AA"/>
    <w:rsid w:val="001245F0"/>
    <w:rsid w:val="00125F69"/>
    <w:rsid w:val="00126395"/>
    <w:rsid w:val="001274D1"/>
    <w:rsid w:val="00127776"/>
    <w:rsid w:val="00131911"/>
    <w:rsid w:val="00132140"/>
    <w:rsid w:val="001321E3"/>
    <w:rsid w:val="001324AE"/>
    <w:rsid w:val="00132999"/>
    <w:rsid w:val="00132E81"/>
    <w:rsid w:val="00133318"/>
    <w:rsid w:val="00133EED"/>
    <w:rsid w:val="00135358"/>
    <w:rsid w:val="0013653F"/>
    <w:rsid w:val="00136CDA"/>
    <w:rsid w:val="0013724B"/>
    <w:rsid w:val="0013730D"/>
    <w:rsid w:val="0013755E"/>
    <w:rsid w:val="001377C6"/>
    <w:rsid w:val="00137888"/>
    <w:rsid w:val="0014095D"/>
    <w:rsid w:val="0014099E"/>
    <w:rsid w:val="00140CFC"/>
    <w:rsid w:val="0014122B"/>
    <w:rsid w:val="00141974"/>
    <w:rsid w:val="001428B9"/>
    <w:rsid w:val="00142F8A"/>
    <w:rsid w:val="00144314"/>
    <w:rsid w:val="00144710"/>
    <w:rsid w:val="00144939"/>
    <w:rsid w:val="00144E92"/>
    <w:rsid w:val="00144EBD"/>
    <w:rsid w:val="0014504E"/>
    <w:rsid w:val="00145093"/>
    <w:rsid w:val="00145890"/>
    <w:rsid w:val="00145923"/>
    <w:rsid w:val="00145ECC"/>
    <w:rsid w:val="0014645C"/>
    <w:rsid w:val="001465D3"/>
    <w:rsid w:val="001469C8"/>
    <w:rsid w:val="00146BF5"/>
    <w:rsid w:val="00146F02"/>
    <w:rsid w:val="00147138"/>
    <w:rsid w:val="00147536"/>
    <w:rsid w:val="00147D40"/>
    <w:rsid w:val="00150345"/>
    <w:rsid w:val="0015041A"/>
    <w:rsid w:val="001504C8"/>
    <w:rsid w:val="00150721"/>
    <w:rsid w:val="001521D0"/>
    <w:rsid w:val="00152619"/>
    <w:rsid w:val="00152C35"/>
    <w:rsid w:val="00152DCF"/>
    <w:rsid w:val="00153658"/>
    <w:rsid w:val="00153D82"/>
    <w:rsid w:val="0015409C"/>
    <w:rsid w:val="001554BE"/>
    <w:rsid w:val="00155D63"/>
    <w:rsid w:val="001560C5"/>
    <w:rsid w:val="00156381"/>
    <w:rsid w:val="00157035"/>
    <w:rsid w:val="0015753B"/>
    <w:rsid w:val="001576FD"/>
    <w:rsid w:val="0016035A"/>
    <w:rsid w:val="00160418"/>
    <w:rsid w:val="00160529"/>
    <w:rsid w:val="00160975"/>
    <w:rsid w:val="001612C7"/>
    <w:rsid w:val="001616E2"/>
    <w:rsid w:val="00161872"/>
    <w:rsid w:val="00161F08"/>
    <w:rsid w:val="0016220C"/>
    <w:rsid w:val="00162408"/>
    <w:rsid w:val="00162B28"/>
    <w:rsid w:val="00164408"/>
    <w:rsid w:val="00164A51"/>
    <w:rsid w:val="00165EF9"/>
    <w:rsid w:val="00165F59"/>
    <w:rsid w:val="001667F7"/>
    <w:rsid w:val="001668A3"/>
    <w:rsid w:val="00167385"/>
    <w:rsid w:val="00170015"/>
    <w:rsid w:val="001701DB"/>
    <w:rsid w:val="00170297"/>
    <w:rsid w:val="001702B1"/>
    <w:rsid w:val="0017052E"/>
    <w:rsid w:val="00170B03"/>
    <w:rsid w:val="00170EF8"/>
    <w:rsid w:val="001719BC"/>
    <w:rsid w:val="0017205F"/>
    <w:rsid w:val="001729A8"/>
    <w:rsid w:val="001729E2"/>
    <w:rsid w:val="00172ACB"/>
    <w:rsid w:val="00174008"/>
    <w:rsid w:val="0017440D"/>
    <w:rsid w:val="001745BD"/>
    <w:rsid w:val="00174808"/>
    <w:rsid w:val="001749E1"/>
    <w:rsid w:val="001753B0"/>
    <w:rsid w:val="00175E00"/>
    <w:rsid w:val="001760E7"/>
    <w:rsid w:val="00176625"/>
    <w:rsid w:val="001767D6"/>
    <w:rsid w:val="00176DFF"/>
    <w:rsid w:val="00177493"/>
    <w:rsid w:val="00177EB5"/>
    <w:rsid w:val="00180959"/>
    <w:rsid w:val="00180BD2"/>
    <w:rsid w:val="00180CBD"/>
    <w:rsid w:val="00180FAD"/>
    <w:rsid w:val="00182721"/>
    <w:rsid w:val="0018292F"/>
    <w:rsid w:val="00183A48"/>
    <w:rsid w:val="00183BA8"/>
    <w:rsid w:val="00183D25"/>
    <w:rsid w:val="00183DE2"/>
    <w:rsid w:val="0018409B"/>
    <w:rsid w:val="0018474E"/>
    <w:rsid w:val="001848E6"/>
    <w:rsid w:val="00184C34"/>
    <w:rsid w:val="0018553E"/>
    <w:rsid w:val="0018607D"/>
    <w:rsid w:val="001861CE"/>
    <w:rsid w:val="00186BDF"/>
    <w:rsid w:val="00187196"/>
    <w:rsid w:val="00187419"/>
    <w:rsid w:val="0019009F"/>
    <w:rsid w:val="00190156"/>
    <w:rsid w:val="001909E6"/>
    <w:rsid w:val="00190BAD"/>
    <w:rsid w:val="001910D6"/>
    <w:rsid w:val="00191D77"/>
    <w:rsid w:val="00192502"/>
    <w:rsid w:val="00192711"/>
    <w:rsid w:val="00192918"/>
    <w:rsid w:val="00192D36"/>
    <w:rsid w:val="00193F90"/>
    <w:rsid w:val="001945A7"/>
    <w:rsid w:val="00194D22"/>
    <w:rsid w:val="00195108"/>
    <w:rsid w:val="00195A17"/>
    <w:rsid w:val="00195F5D"/>
    <w:rsid w:val="001962E9"/>
    <w:rsid w:val="00196F52"/>
    <w:rsid w:val="00197FD8"/>
    <w:rsid w:val="001A1E60"/>
    <w:rsid w:val="001A33FF"/>
    <w:rsid w:val="001A3E74"/>
    <w:rsid w:val="001A444C"/>
    <w:rsid w:val="001A5BA6"/>
    <w:rsid w:val="001A6272"/>
    <w:rsid w:val="001A6C0B"/>
    <w:rsid w:val="001A6EBA"/>
    <w:rsid w:val="001A7044"/>
    <w:rsid w:val="001A79E5"/>
    <w:rsid w:val="001A7B55"/>
    <w:rsid w:val="001A7BCB"/>
    <w:rsid w:val="001A7CF6"/>
    <w:rsid w:val="001B003A"/>
    <w:rsid w:val="001B03EA"/>
    <w:rsid w:val="001B0729"/>
    <w:rsid w:val="001B15F1"/>
    <w:rsid w:val="001B1950"/>
    <w:rsid w:val="001B264F"/>
    <w:rsid w:val="001B26A1"/>
    <w:rsid w:val="001B26CF"/>
    <w:rsid w:val="001B2761"/>
    <w:rsid w:val="001B2CFE"/>
    <w:rsid w:val="001B2F80"/>
    <w:rsid w:val="001B4AC1"/>
    <w:rsid w:val="001B4DA9"/>
    <w:rsid w:val="001B56A0"/>
    <w:rsid w:val="001B60CA"/>
    <w:rsid w:val="001B6190"/>
    <w:rsid w:val="001B6324"/>
    <w:rsid w:val="001B646C"/>
    <w:rsid w:val="001B6538"/>
    <w:rsid w:val="001B7329"/>
    <w:rsid w:val="001B7425"/>
    <w:rsid w:val="001C02B2"/>
    <w:rsid w:val="001C0DBF"/>
    <w:rsid w:val="001C1026"/>
    <w:rsid w:val="001C10FF"/>
    <w:rsid w:val="001C14DD"/>
    <w:rsid w:val="001C1E41"/>
    <w:rsid w:val="001C253A"/>
    <w:rsid w:val="001C25DC"/>
    <w:rsid w:val="001C2DAC"/>
    <w:rsid w:val="001C421D"/>
    <w:rsid w:val="001C4556"/>
    <w:rsid w:val="001C49D7"/>
    <w:rsid w:val="001C5683"/>
    <w:rsid w:val="001C666B"/>
    <w:rsid w:val="001C6BB5"/>
    <w:rsid w:val="001C6E73"/>
    <w:rsid w:val="001C7658"/>
    <w:rsid w:val="001C7BA3"/>
    <w:rsid w:val="001C7E18"/>
    <w:rsid w:val="001C7F83"/>
    <w:rsid w:val="001D009E"/>
    <w:rsid w:val="001D00A3"/>
    <w:rsid w:val="001D0867"/>
    <w:rsid w:val="001D0AFD"/>
    <w:rsid w:val="001D1056"/>
    <w:rsid w:val="001D159E"/>
    <w:rsid w:val="001D1D4C"/>
    <w:rsid w:val="001D1F57"/>
    <w:rsid w:val="001D29C4"/>
    <w:rsid w:val="001D2F61"/>
    <w:rsid w:val="001D30BC"/>
    <w:rsid w:val="001D4816"/>
    <w:rsid w:val="001D4FE9"/>
    <w:rsid w:val="001D52FE"/>
    <w:rsid w:val="001D55AD"/>
    <w:rsid w:val="001D572C"/>
    <w:rsid w:val="001D5CAA"/>
    <w:rsid w:val="001D5DDE"/>
    <w:rsid w:val="001D67ED"/>
    <w:rsid w:val="001D67F5"/>
    <w:rsid w:val="001D6942"/>
    <w:rsid w:val="001D7185"/>
    <w:rsid w:val="001E0AC7"/>
    <w:rsid w:val="001E0EBE"/>
    <w:rsid w:val="001E12EB"/>
    <w:rsid w:val="001E1835"/>
    <w:rsid w:val="001E1D44"/>
    <w:rsid w:val="001E26B1"/>
    <w:rsid w:val="001E40C5"/>
    <w:rsid w:val="001E433E"/>
    <w:rsid w:val="001E497C"/>
    <w:rsid w:val="001E4B20"/>
    <w:rsid w:val="001E51A4"/>
    <w:rsid w:val="001E606B"/>
    <w:rsid w:val="001E7E89"/>
    <w:rsid w:val="001F0A0E"/>
    <w:rsid w:val="001F0C31"/>
    <w:rsid w:val="001F0E05"/>
    <w:rsid w:val="001F0E67"/>
    <w:rsid w:val="001F1923"/>
    <w:rsid w:val="001F1B9B"/>
    <w:rsid w:val="001F229B"/>
    <w:rsid w:val="001F2368"/>
    <w:rsid w:val="001F28F6"/>
    <w:rsid w:val="001F2996"/>
    <w:rsid w:val="001F2D9E"/>
    <w:rsid w:val="001F3082"/>
    <w:rsid w:val="001F38CB"/>
    <w:rsid w:val="001F3B32"/>
    <w:rsid w:val="001F3D4A"/>
    <w:rsid w:val="001F3E02"/>
    <w:rsid w:val="001F3EE8"/>
    <w:rsid w:val="001F4AF2"/>
    <w:rsid w:val="001F4E98"/>
    <w:rsid w:val="001F5800"/>
    <w:rsid w:val="001F5B3F"/>
    <w:rsid w:val="001F5DAE"/>
    <w:rsid w:val="001F6B7D"/>
    <w:rsid w:val="001F6FED"/>
    <w:rsid w:val="001F770D"/>
    <w:rsid w:val="001F7DF8"/>
    <w:rsid w:val="002006CE"/>
    <w:rsid w:val="00200833"/>
    <w:rsid w:val="00200A45"/>
    <w:rsid w:val="00200D2B"/>
    <w:rsid w:val="00201089"/>
    <w:rsid w:val="00201682"/>
    <w:rsid w:val="00201690"/>
    <w:rsid w:val="002019AD"/>
    <w:rsid w:val="002020A9"/>
    <w:rsid w:val="00202998"/>
    <w:rsid w:val="002030C4"/>
    <w:rsid w:val="00203358"/>
    <w:rsid w:val="00203A79"/>
    <w:rsid w:val="00203FAA"/>
    <w:rsid w:val="00204537"/>
    <w:rsid w:val="00204A55"/>
    <w:rsid w:val="00204C2A"/>
    <w:rsid w:val="00204EF9"/>
    <w:rsid w:val="00205875"/>
    <w:rsid w:val="00206DD1"/>
    <w:rsid w:val="0020769E"/>
    <w:rsid w:val="002101E7"/>
    <w:rsid w:val="00210299"/>
    <w:rsid w:val="00210814"/>
    <w:rsid w:val="00211334"/>
    <w:rsid w:val="00211519"/>
    <w:rsid w:val="002118A2"/>
    <w:rsid w:val="00212060"/>
    <w:rsid w:val="0021298E"/>
    <w:rsid w:val="00212B2F"/>
    <w:rsid w:val="00212B46"/>
    <w:rsid w:val="00213E1D"/>
    <w:rsid w:val="002142BC"/>
    <w:rsid w:val="00214E87"/>
    <w:rsid w:val="00215178"/>
    <w:rsid w:val="0021572B"/>
    <w:rsid w:val="0021607A"/>
    <w:rsid w:val="002160AA"/>
    <w:rsid w:val="002160ED"/>
    <w:rsid w:val="002161EF"/>
    <w:rsid w:val="002165EE"/>
    <w:rsid w:val="002167ED"/>
    <w:rsid w:val="00217BC7"/>
    <w:rsid w:val="00220492"/>
    <w:rsid w:val="00220ACE"/>
    <w:rsid w:val="00220C57"/>
    <w:rsid w:val="00221381"/>
    <w:rsid w:val="00221E6C"/>
    <w:rsid w:val="00221E7C"/>
    <w:rsid w:val="002220A6"/>
    <w:rsid w:val="002221CE"/>
    <w:rsid w:val="0022260E"/>
    <w:rsid w:val="002229A6"/>
    <w:rsid w:val="00223669"/>
    <w:rsid w:val="002236B2"/>
    <w:rsid w:val="002244E6"/>
    <w:rsid w:val="0022495D"/>
    <w:rsid w:val="00224AB2"/>
    <w:rsid w:val="002255FD"/>
    <w:rsid w:val="00225963"/>
    <w:rsid w:val="002259FC"/>
    <w:rsid w:val="00225FF0"/>
    <w:rsid w:val="002263FF"/>
    <w:rsid w:val="00226AD4"/>
    <w:rsid w:val="00227140"/>
    <w:rsid w:val="002273C7"/>
    <w:rsid w:val="00227CC9"/>
    <w:rsid w:val="0023029C"/>
    <w:rsid w:val="00230400"/>
    <w:rsid w:val="00230BFC"/>
    <w:rsid w:val="0023149E"/>
    <w:rsid w:val="00232ECC"/>
    <w:rsid w:val="002332B4"/>
    <w:rsid w:val="00233C42"/>
    <w:rsid w:val="00233FBB"/>
    <w:rsid w:val="00234218"/>
    <w:rsid w:val="00235001"/>
    <w:rsid w:val="00235276"/>
    <w:rsid w:val="0023565D"/>
    <w:rsid w:val="00235744"/>
    <w:rsid w:val="0023589A"/>
    <w:rsid w:val="00236017"/>
    <w:rsid w:val="00236084"/>
    <w:rsid w:val="0023634B"/>
    <w:rsid w:val="00236719"/>
    <w:rsid w:val="00236C5C"/>
    <w:rsid w:val="002403A5"/>
    <w:rsid w:val="0024046E"/>
    <w:rsid w:val="00240563"/>
    <w:rsid w:val="00240E84"/>
    <w:rsid w:val="002411B7"/>
    <w:rsid w:val="00241882"/>
    <w:rsid w:val="0024202D"/>
    <w:rsid w:val="002421B8"/>
    <w:rsid w:val="00242F7D"/>
    <w:rsid w:val="002433F4"/>
    <w:rsid w:val="00243CAB"/>
    <w:rsid w:val="002441FF"/>
    <w:rsid w:val="00244441"/>
    <w:rsid w:val="00244DC6"/>
    <w:rsid w:val="002453D3"/>
    <w:rsid w:val="0024569F"/>
    <w:rsid w:val="0024579F"/>
    <w:rsid w:val="0024585B"/>
    <w:rsid w:val="00246184"/>
    <w:rsid w:val="002465B2"/>
    <w:rsid w:val="00246AC7"/>
    <w:rsid w:val="00246B7F"/>
    <w:rsid w:val="0024709C"/>
    <w:rsid w:val="0024769D"/>
    <w:rsid w:val="00247EE5"/>
    <w:rsid w:val="00250230"/>
    <w:rsid w:val="0025028F"/>
    <w:rsid w:val="00250949"/>
    <w:rsid w:val="00250CDB"/>
    <w:rsid w:val="00251154"/>
    <w:rsid w:val="0025295C"/>
    <w:rsid w:val="00253924"/>
    <w:rsid w:val="00254741"/>
    <w:rsid w:val="00255495"/>
    <w:rsid w:val="00255945"/>
    <w:rsid w:val="00255F73"/>
    <w:rsid w:val="002566FD"/>
    <w:rsid w:val="00256856"/>
    <w:rsid w:val="00256CEE"/>
    <w:rsid w:val="00256FC0"/>
    <w:rsid w:val="002571DB"/>
    <w:rsid w:val="00257C9F"/>
    <w:rsid w:val="00257D7F"/>
    <w:rsid w:val="002604AB"/>
    <w:rsid w:val="0026062A"/>
    <w:rsid w:val="002609B7"/>
    <w:rsid w:val="00260F6C"/>
    <w:rsid w:val="002619A6"/>
    <w:rsid w:val="00261DA3"/>
    <w:rsid w:val="0026218F"/>
    <w:rsid w:val="00262944"/>
    <w:rsid w:val="00262C80"/>
    <w:rsid w:val="00263290"/>
    <w:rsid w:val="002637E4"/>
    <w:rsid w:val="00263B6B"/>
    <w:rsid w:val="002642E5"/>
    <w:rsid w:val="00264459"/>
    <w:rsid w:val="0026492F"/>
    <w:rsid w:val="00265085"/>
    <w:rsid w:val="00265601"/>
    <w:rsid w:val="002658E6"/>
    <w:rsid w:val="00265D83"/>
    <w:rsid w:val="00265E23"/>
    <w:rsid w:val="0026609C"/>
    <w:rsid w:val="00266410"/>
    <w:rsid w:val="00267C55"/>
    <w:rsid w:val="00267DE9"/>
    <w:rsid w:val="00267E51"/>
    <w:rsid w:val="00267EEE"/>
    <w:rsid w:val="00271390"/>
    <w:rsid w:val="00272928"/>
    <w:rsid w:val="00272965"/>
    <w:rsid w:val="00272ADE"/>
    <w:rsid w:val="00272CEC"/>
    <w:rsid w:val="0027353A"/>
    <w:rsid w:val="00273CDC"/>
    <w:rsid w:val="002740D4"/>
    <w:rsid w:val="002741AA"/>
    <w:rsid w:val="0027427F"/>
    <w:rsid w:val="00274855"/>
    <w:rsid w:val="00275033"/>
    <w:rsid w:val="002751D3"/>
    <w:rsid w:val="0027536C"/>
    <w:rsid w:val="002760D3"/>
    <w:rsid w:val="002761FE"/>
    <w:rsid w:val="00276299"/>
    <w:rsid w:val="00276637"/>
    <w:rsid w:val="0027718A"/>
    <w:rsid w:val="002771A0"/>
    <w:rsid w:val="002778DF"/>
    <w:rsid w:val="002805BA"/>
    <w:rsid w:val="002813FC"/>
    <w:rsid w:val="002818CC"/>
    <w:rsid w:val="00281B2A"/>
    <w:rsid w:val="00281B4E"/>
    <w:rsid w:val="00281C10"/>
    <w:rsid w:val="00281EAC"/>
    <w:rsid w:val="00282087"/>
    <w:rsid w:val="0028228C"/>
    <w:rsid w:val="0028239E"/>
    <w:rsid w:val="00282669"/>
    <w:rsid w:val="002826C7"/>
    <w:rsid w:val="0028302E"/>
    <w:rsid w:val="002835C8"/>
    <w:rsid w:val="0028363D"/>
    <w:rsid w:val="0028366C"/>
    <w:rsid w:val="00283A2C"/>
    <w:rsid w:val="00283D5E"/>
    <w:rsid w:val="002849D4"/>
    <w:rsid w:val="00285020"/>
    <w:rsid w:val="0028534F"/>
    <w:rsid w:val="00285458"/>
    <w:rsid w:val="00286798"/>
    <w:rsid w:val="00286941"/>
    <w:rsid w:val="00286E18"/>
    <w:rsid w:val="00290C44"/>
    <w:rsid w:val="00290F24"/>
    <w:rsid w:val="0029105C"/>
    <w:rsid w:val="002917BB"/>
    <w:rsid w:val="0029189A"/>
    <w:rsid w:val="00291FCA"/>
    <w:rsid w:val="002922D1"/>
    <w:rsid w:val="00292579"/>
    <w:rsid w:val="00292C9F"/>
    <w:rsid w:val="0029320B"/>
    <w:rsid w:val="00294D8C"/>
    <w:rsid w:val="00294E75"/>
    <w:rsid w:val="00295553"/>
    <w:rsid w:val="00296BE0"/>
    <w:rsid w:val="002977AD"/>
    <w:rsid w:val="00297D09"/>
    <w:rsid w:val="00297F0A"/>
    <w:rsid w:val="00297F24"/>
    <w:rsid w:val="002A069C"/>
    <w:rsid w:val="002A0B26"/>
    <w:rsid w:val="002A10EE"/>
    <w:rsid w:val="002A240B"/>
    <w:rsid w:val="002A2A46"/>
    <w:rsid w:val="002A2B8F"/>
    <w:rsid w:val="002A2F2C"/>
    <w:rsid w:val="002A3F33"/>
    <w:rsid w:val="002A49BD"/>
    <w:rsid w:val="002A4E58"/>
    <w:rsid w:val="002A6281"/>
    <w:rsid w:val="002A64BE"/>
    <w:rsid w:val="002A66A8"/>
    <w:rsid w:val="002A66DC"/>
    <w:rsid w:val="002A6750"/>
    <w:rsid w:val="002A6CED"/>
    <w:rsid w:val="002A6D8C"/>
    <w:rsid w:val="002A6E78"/>
    <w:rsid w:val="002A6F95"/>
    <w:rsid w:val="002A7164"/>
    <w:rsid w:val="002A744B"/>
    <w:rsid w:val="002A749A"/>
    <w:rsid w:val="002A7567"/>
    <w:rsid w:val="002A7900"/>
    <w:rsid w:val="002A7B52"/>
    <w:rsid w:val="002B0030"/>
    <w:rsid w:val="002B039F"/>
    <w:rsid w:val="002B0FE4"/>
    <w:rsid w:val="002B1208"/>
    <w:rsid w:val="002B137F"/>
    <w:rsid w:val="002B237B"/>
    <w:rsid w:val="002B252A"/>
    <w:rsid w:val="002B2ACF"/>
    <w:rsid w:val="002B36CF"/>
    <w:rsid w:val="002B3FC4"/>
    <w:rsid w:val="002B40F5"/>
    <w:rsid w:val="002B4211"/>
    <w:rsid w:val="002B56CD"/>
    <w:rsid w:val="002B5AB3"/>
    <w:rsid w:val="002B5B55"/>
    <w:rsid w:val="002B665C"/>
    <w:rsid w:val="002B6C13"/>
    <w:rsid w:val="002B7EEB"/>
    <w:rsid w:val="002C00D5"/>
    <w:rsid w:val="002C032C"/>
    <w:rsid w:val="002C04A1"/>
    <w:rsid w:val="002C0989"/>
    <w:rsid w:val="002C143C"/>
    <w:rsid w:val="002C1627"/>
    <w:rsid w:val="002C1C78"/>
    <w:rsid w:val="002C1F67"/>
    <w:rsid w:val="002C30A5"/>
    <w:rsid w:val="002C3C66"/>
    <w:rsid w:val="002C3F07"/>
    <w:rsid w:val="002C4644"/>
    <w:rsid w:val="002C46E3"/>
    <w:rsid w:val="002C4E4E"/>
    <w:rsid w:val="002C5023"/>
    <w:rsid w:val="002C558F"/>
    <w:rsid w:val="002C5B97"/>
    <w:rsid w:val="002C5FDF"/>
    <w:rsid w:val="002C6907"/>
    <w:rsid w:val="002D044D"/>
    <w:rsid w:val="002D09C8"/>
    <w:rsid w:val="002D0BF7"/>
    <w:rsid w:val="002D0F29"/>
    <w:rsid w:val="002D13B3"/>
    <w:rsid w:val="002D18FF"/>
    <w:rsid w:val="002D1A2C"/>
    <w:rsid w:val="002D2ED8"/>
    <w:rsid w:val="002D2FF8"/>
    <w:rsid w:val="002D31FF"/>
    <w:rsid w:val="002D3B05"/>
    <w:rsid w:val="002D3F73"/>
    <w:rsid w:val="002D44C5"/>
    <w:rsid w:val="002D45D6"/>
    <w:rsid w:val="002D4D24"/>
    <w:rsid w:val="002D6690"/>
    <w:rsid w:val="002D67B3"/>
    <w:rsid w:val="002D68EC"/>
    <w:rsid w:val="002D6C6B"/>
    <w:rsid w:val="002D7010"/>
    <w:rsid w:val="002D70E2"/>
    <w:rsid w:val="002D73BA"/>
    <w:rsid w:val="002E009E"/>
    <w:rsid w:val="002E0A20"/>
    <w:rsid w:val="002E182D"/>
    <w:rsid w:val="002E25CD"/>
    <w:rsid w:val="002E2723"/>
    <w:rsid w:val="002E2844"/>
    <w:rsid w:val="002E3DB3"/>
    <w:rsid w:val="002E459D"/>
    <w:rsid w:val="002E4B29"/>
    <w:rsid w:val="002E4EB4"/>
    <w:rsid w:val="002E6AF0"/>
    <w:rsid w:val="002E6B7F"/>
    <w:rsid w:val="002E7563"/>
    <w:rsid w:val="002E7BDF"/>
    <w:rsid w:val="002E7CFD"/>
    <w:rsid w:val="002F1514"/>
    <w:rsid w:val="002F253D"/>
    <w:rsid w:val="002F3002"/>
    <w:rsid w:val="002F35E9"/>
    <w:rsid w:val="002F3B78"/>
    <w:rsid w:val="002F3D6A"/>
    <w:rsid w:val="002F4B2C"/>
    <w:rsid w:val="002F4B95"/>
    <w:rsid w:val="002F573F"/>
    <w:rsid w:val="002F58F0"/>
    <w:rsid w:val="002F5ACD"/>
    <w:rsid w:val="002F6238"/>
    <w:rsid w:val="002F6887"/>
    <w:rsid w:val="002F6ACD"/>
    <w:rsid w:val="002F6D85"/>
    <w:rsid w:val="002F72B7"/>
    <w:rsid w:val="002F734B"/>
    <w:rsid w:val="002F78CB"/>
    <w:rsid w:val="002F7AA7"/>
    <w:rsid w:val="002F7D09"/>
    <w:rsid w:val="0030009C"/>
    <w:rsid w:val="00300311"/>
    <w:rsid w:val="0030047A"/>
    <w:rsid w:val="003007EE"/>
    <w:rsid w:val="00300A58"/>
    <w:rsid w:val="003017C6"/>
    <w:rsid w:val="003019D8"/>
    <w:rsid w:val="0030230A"/>
    <w:rsid w:val="003026E6"/>
    <w:rsid w:val="00302BBE"/>
    <w:rsid w:val="00302C20"/>
    <w:rsid w:val="00304824"/>
    <w:rsid w:val="00304EE8"/>
    <w:rsid w:val="00304F4F"/>
    <w:rsid w:val="00304F9E"/>
    <w:rsid w:val="003053C6"/>
    <w:rsid w:val="003063EE"/>
    <w:rsid w:val="003065C5"/>
    <w:rsid w:val="00306CCF"/>
    <w:rsid w:val="00306DB4"/>
    <w:rsid w:val="0030721E"/>
    <w:rsid w:val="0030754E"/>
    <w:rsid w:val="0031008D"/>
    <w:rsid w:val="003101DB"/>
    <w:rsid w:val="0031051C"/>
    <w:rsid w:val="00310CDA"/>
    <w:rsid w:val="00311121"/>
    <w:rsid w:val="003112C9"/>
    <w:rsid w:val="003112DF"/>
    <w:rsid w:val="0031170F"/>
    <w:rsid w:val="00312B6A"/>
    <w:rsid w:val="00313112"/>
    <w:rsid w:val="00313F57"/>
    <w:rsid w:val="00314C0D"/>
    <w:rsid w:val="003154EB"/>
    <w:rsid w:val="0031550A"/>
    <w:rsid w:val="00315592"/>
    <w:rsid w:val="00315769"/>
    <w:rsid w:val="00315870"/>
    <w:rsid w:val="00315BA6"/>
    <w:rsid w:val="00315BD1"/>
    <w:rsid w:val="00315C93"/>
    <w:rsid w:val="003160D3"/>
    <w:rsid w:val="003164C5"/>
    <w:rsid w:val="00316CB2"/>
    <w:rsid w:val="00317A37"/>
    <w:rsid w:val="00317A68"/>
    <w:rsid w:val="00317C55"/>
    <w:rsid w:val="00317D59"/>
    <w:rsid w:val="00320F08"/>
    <w:rsid w:val="00322114"/>
    <w:rsid w:val="003221D6"/>
    <w:rsid w:val="00322741"/>
    <w:rsid w:val="0032284F"/>
    <w:rsid w:val="00322E80"/>
    <w:rsid w:val="00324057"/>
    <w:rsid w:val="003242BA"/>
    <w:rsid w:val="003243AA"/>
    <w:rsid w:val="003247D0"/>
    <w:rsid w:val="00324ADF"/>
    <w:rsid w:val="00325F55"/>
    <w:rsid w:val="00326CCF"/>
    <w:rsid w:val="00326F5E"/>
    <w:rsid w:val="0032719F"/>
    <w:rsid w:val="00327304"/>
    <w:rsid w:val="0032751B"/>
    <w:rsid w:val="00330494"/>
    <w:rsid w:val="00331948"/>
    <w:rsid w:val="003319CC"/>
    <w:rsid w:val="0033242F"/>
    <w:rsid w:val="003327D0"/>
    <w:rsid w:val="00332800"/>
    <w:rsid w:val="003328C2"/>
    <w:rsid w:val="00332EAD"/>
    <w:rsid w:val="00332EC4"/>
    <w:rsid w:val="00332F7B"/>
    <w:rsid w:val="00333004"/>
    <w:rsid w:val="0033404C"/>
    <w:rsid w:val="0033411C"/>
    <w:rsid w:val="0033488B"/>
    <w:rsid w:val="003349D2"/>
    <w:rsid w:val="00334B30"/>
    <w:rsid w:val="00334FFF"/>
    <w:rsid w:val="003359D1"/>
    <w:rsid w:val="00335D86"/>
    <w:rsid w:val="00336024"/>
    <w:rsid w:val="003368DB"/>
    <w:rsid w:val="00336A7E"/>
    <w:rsid w:val="00336C32"/>
    <w:rsid w:val="00336CF4"/>
    <w:rsid w:val="00336E1F"/>
    <w:rsid w:val="00337294"/>
    <w:rsid w:val="00337C2A"/>
    <w:rsid w:val="00340048"/>
    <w:rsid w:val="003404EB"/>
    <w:rsid w:val="003406F5"/>
    <w:rsid w:val="00340987"/>
    <w:rsid w:val="003409C8"/>
    <w:rsid w:val="00340A17"/>
    <w:rsid w:val="00340DC1"/>
    <w:rsid w:val="00341748"/>
    <w:rsid w:val="00341992"/>
    <w:rsid w:val="00341E83"/>
    <w:rsid w:val="0034243F"/>
    <w:rsid w:val="0034295B"/>
    <w:rsid w:val="003440BA"/>
    <w:rsid w:val="003446CC"/>
    <w:rsid w:val="00345031"/>
    <w:rsid w:val="00345B16"/>
    <w:rsid w:val="00347195"/>
    <w:rsid w:val="00347439"/>
    <w:rsid w:val="00347976"/>
    <w:rsid w:val="0035026C"/>
    <w:rsid w:val="00350713"/>
    <w:rsid w:val="00350F38"/>
    <w:rsid w:val="00350FEF"/>
    <w:rsid w:val="0035120B"/>
    <w:rsid w:val="00351C22"/>
    <w:rsid w:val="0035250C"/>
    <w:rsid w:val="00352637"/>
    <w:rsid w:val="00352862"/>
    <w:rsid w:val="00352E09"/>
    <w:rsid w:val="003530AF"/>
    <w:rsid w:val="0035361C"/>
    <w:rsid w:val="00353F1C"/>
    <w:rsid w:val="003541BE"/>
    <w:rsid w:val="00354334"/>
    <w:rsid w:val="00354814"/>
    <w:rsid w:val="00354830"/>
    <w:rsid w:val="00354E35"/>
    <w:rsid w:val="00354F49"/>
    <w:rsid w:val="00354FFD"/>
    <w:rsid w:val="00355B08"/>
    <w:rsid w:val="003568E6"/>
    <w:rsid w:val="0035756B"/>
    <w:rsid w:val="0035784A"/>
    <w:rsid w:val="00360026"/>
    <w:rsid w:val="0036090A"/>
    <w:rsid w:val="003609A6"/>
    <w:rsid w:val="00360B43"/>
    <w:rsid w:val="00360F3A"/>
    <w:rsid w:val="003614BA"/>
    <w:rsid w:val="0036164C"/>
    <w:rsid w:val="00361A9A"/>
    <w:rsid w:val="00361DBF"/>
    <w:rsid w:val="00362024"/>
    <w:rsid w:val="0036215F"/>
    <w:rsid w:val="003622EE"/>
    <w:rsid w:val="0036249A"/>
    <w:rsid w:val="0036297C"/>
    <w:rsid w:val="003637E4"/>
    <w:rsid w:val="0036393A"/>
    <w:rsid w:val="00363A6B"/>
    <w:rsid w:val="00363DEB"/>
    <w:rsid w:val="003647FD"/>
    <w:rsid w:val="003660ED"/>
    <w:rsid w:val="0036663D"/>
    <w:rsid w:val="003669C7"/>
    <w:rsid w:val="003672EF"/>
    <w:rsid w:val="00367746"/>
    <w:rsid w:val="003677D2"/>
    <w:rsid w:val="00367DA2"/>
    <w:rsid w:val="003703A1"/>
    <w:rsid w:val="003705AF"/>
    <w:rsid w:val="003708FE"/>
    <w:rsid w:val="0037221E"/>
    <w:rsid w:val="003723D1"/>
    <w:rsid w:val="00372649"/>
    <w:rsid w:val="0037279E"/>
    <w:rsid w:val="00372C99"/>
    <w:rsid w:val="0037326B"/>
    <w:rsid w:val="00373DBC"/>
    <w:rsid w:val="003742DF"/>
    <w:rsid w:val="0037558F"/>
    <w:rsid w:val="00376285"/>
    <w:rsid w:val="0037733C"/>
    <w:rsid w:val="003773E0"/>
    <w:rsid w:val="00377BC5"/>
    <w:rsid w:val="00377FAE"/>
    <w:rsid w:val="0038024C"/>
    <w:rsid w:val="00380485"/>
    <w:rsid w:val="003808F4"/>
    <w:rsid w:val="0038158D"/>
    <w:rsid w:val="00381BFD"/>
    <w:rsid w:val="003821A1"/>
    <w:rsid w:val="0038227C"/>
    <w:rsid w:val="00382977"/>
    <w:rsid w:val="003834D8"/>
    <w:rsid w:val="003834F7"/>
    <w:rsid w:val="003836D8"/>
    <w:rsid w:val="00383AF3"/>
    <w:rsid w:val="00384104"/>
    <w:rsid w:val="00384465"/>
    <w:rsid w:val="00384725"/>
    <w:rsid w:val="003849CF"/>
    <w:rsid w:val="00384C38"/>
    <w:rsid w:val="00384E26"/>
    <w:rsid w:val="00384F21"/>
    <w:rsid w:val="0038505F"/>
    <w:rsid w:val="003859D9"/>
    <w:rsid w:val="00385E16"/>
    <w:rsid w:val="0038641D"/>
    <w:rsid w:val="0038657A"/>
    <w:rsid w:val="00386DE3"/>
    <w:rsid w:val="00386F3F"/>
    <w:rsid w:val="003876FE"/>
    <w:rsid w:val="00387EA2"/>
    <w:rsid w:val="0039054B"/>
    <w:rsid w:val="0039149A"/>
    <w:rsid w:val="003916A1"/>
    <w:rsid w:val="003922CF"/>
    <w:rsid w:val="0039285C"/>
    <w:rsid w:val="00392EC2"/>
    <w:rsid w:val="003935C5"/>
    <w:rsid w:val="00393B56"/>
    <w:rsid w:val="00393B8A"/>
    <w:rsid w:val="00394CF0"/>
    <w:rsid w:val="00394D0A"/>
    <w:rsid w:val="00394F1E"/>
    <w:rsid w:val="00395AD1"/>
    <w:rsid w:val="0039661E"/>
    <w:rsid w:val="00396648"/>
    <w:rsid w:val="003967B2"/>
    <w:rsid w:val="0039687B"/>
    <w:rsid w:val="003968A3"/>
    <w:rsid w:val="00396A0F"/>
    <w:rsid w:val="00396CD3"/>
    <w:rsid w:val="003972BF"/>
    <w:rsid w:val="003973CB"/>
    <w:rsid w:val="003A0319"/>
    <w:rsid w:val="003A0399"/>
    <w:rsid w:val="003A0C10"/>
    <w:rsid w:val="003A0DAF"/>
    <w:rsid w:val="003A107E"/>
    <w:rsid w:val="003A1188"/>
    <w:rsid w:val="003A1703"/>
    <w:rsid w:val="003A1D99"/>
    <w:rsid w:val="003A2A90"/>
    <w:rsid w:val="003A2E15"/>
    <w:rsid w:val="003A2EAE"/>
    <w:rsid w:val="003A3718"/>
    <w:rsid w:val="003A42F2"/>
    <w:rsid w:val="003A4650"/>
    <w:rsid w:val="003A53E6"/>
    <w:rsid w:val="003A59C9"/>
    <w:rsid w:val="003A61EF"/>
    <w:rsid w:val="003A6B4D"/>
    <w:rsid w:val="003A6F40"/>
    <w:rsid w:val="003B0295"/>
    <w:rsid w:val="003B0498"/>
    <w:rsid w:val="003B0AFE"/>
    <w:rsid w:val="003B14CD"/>
    <w:rsid w:val="003B1F28"/>
    <w:rsid w:val="003B229B"/>
    <w:rsid w:val="003B2683"/>
    <w:rsid w:val="003B26C6"/>
    <w:rsid w:val="003B29F4"/>
    <w:rsid w:val="003B2CC8"/>
    <w:rsid w:val="003B385C"/>
    <w:rsid w:val="003B4D42"/>
    <w:rsid w:val="003B4F33"/>
    <w:rsid w:val="003B525F"/>
    <w:rsid w:val="003B54D8"/>
    <w:rsid w:val="003B5C93"/>
    <w:rsid w:val="003B6B43"/>
    <w:rsid w:val="003B754F"/>
    <w:rsid w:val="003B7AFB"/>
    <w:rsid w:val="003C0065"/>
    <w:rsid w:val="003C01BA"/>
    <w:rsid w:val="003C03E5"/>
    <w:rsid w:val="003C0BCA"/>
    <w:rsid w:val="003C10E4"/>
    <w:rsid w:val="003C373D"/>
    <w:rsid w:val="003C37DC"/>
    <w:rsid w:val="003C3B4A"/>
    <w:rsid w:val="003C48D8"/>
    <w:rsid w:val="003C4A63"/>
    <w:rsid w:val="003C4C08"/>
    <w:rsid w:val="003C4C34"/>
    <w:rsid w:val="003C5320"/>
    <w:rsid w:val="003C6366"/>
    <w:rsid w:val="003C6A07"/>
    <w:rsid w:val="003D0211"/>
    <w:rsid w:val="003D0324"/>
    <w:rsid w:val="003D0656"/>
    <w:rsid w:val="003D107E"/>
    <w:rsid w:val="003D177C"/>
    <w:rsid w:val="003D363B"/>
    <w:rsid w:val="003D394D"/>
    <w:rsid w:val="003D3C64"/>
    <w:rsid w:val="003D3F6D"/>
    <w:rsid w:val="003D42A3"/>
    <w:rsid w:val="003D4995"/>
    <w:rsid w:val="003D4CD7"/>
    <w:rsid w:val="003D4CFB"/>
    <w:rsid w:val="003D5B3E"/>
    <w:rsid w:val="003D6405"/>
    <w:rsid w:val="003D7444"/>
    <w:rsid w:val="003E004C"/>
    <w:rsid w:val="003E0285"/>
    <w:rsid w:val="003E0380"/>
    <w:rsid w:val="003E03C1"/>
    <w:rsid w:val="003E1765"/>
    <w:rsid w:val="003E20F9"/>
    <w:rsid w:val="003E25A6"/>
    <w:rsid w:val="003E2B2F"/>
    <w:rsid w:val="003E2B3E"/>
    <w:rsid w:val="003E445A"/>
    <w:rsid w:val="003E46B1"/>
    <w:rsid w:val="003E4836"/>
    <w:rsid w:val="003E49C9"/>
    <w:rsid w:val="003E4D83"/>
    <w:rsid w:val="003E51CC"/>
    <w:rsid w:val="003E52EF"/>
    <w:rsid w:val="003E7588"/>
    <w:rsid w:val="003E7A72"/>
    <w:rsid w:val="003E7FA8"/>
    <w:rsid w:val="003F02EC"/>
    <w:rsid w:val="003F1794"/>
    <w:rsid w:val="003F1D4A"/>
    <w:rsid w:val="003F228C"/>
    <w:rsid w:val="003F2769"/>
    <w:rsid w:val="003F3668"/>
    <w:rsid w:val="003F39BC"/>
    <w:rsid w:val="003F5812"/>
    <w:rsid w:val="003F592B"/>
    <w:rsid w:val="003F610B"/>
    <w:rsid w:val="003F6CAB"/>
    <w:rsid w:val="00400369"/>
    <w:rsid w:val="004006B5"/>
    <w:rsid w:val="00400F27"/>
    <w:rsid w:val="0040180E"/>
    <w:rsid w:val="00401BAE"/>
    <w:rsid w:val="00402216"/>
    <w:rsid w:val="00402D21"/>
    <w:rsid w:val="00402E75"/>
    <w:rsid w:val="00403164"/>
    <w:rsid w:val="004038BC"/>
    <w:rsid w:val="004047A1"/>
    <w:rsid w:val="004047EB"/>
    <w:rsid w:val="004049D0"/>
    <w:rsid w:val="00404CB1"/>
    <w:rsid w:val="00404F27"/>
    <w:rsid w:val="004050B9"/>
    <w:rsid w:val="0040547C"/>
    <w:rsid w:val="00406BF8"/>
    <w:rsid w:val="00406C58"/>
    <w:rsid w:val="00406E20"/>
    <w:rsid w:val="00410418"/>
    <w:rsid w:val="0041046A"/>
    <w:rsid w:val="004122C5"/>
    <w:rsid w:val="0041260D"/>
    <w:rsid w:val="0041318D"/>
    <w:rsid w:val="004131E7"/>
    <w:rsid w:val="0041354C"/>
    <w:rsid w:val="00413591"/>
    <w:rsid w:val="004137AA"/>
    <w:rsid w:val="00413992"/>
    <w:rsid w:val="00413B43"/>
    <w:rsid w:val="0041405B"/>
    <w:rsid w:val="0041435E"/>
    <w:rsid w:val="00415346"/>
    <w:rsid w:val="004153BE"/>
    <w:rsid w:val="0041670A"/>
    <w:rsid w:val="004217B3"/>
    <w:rsid w:val="0042194D"/>
    <w:rsid w:val="00421FB4"/>
    <w:rsid w:val="004220EE"/>
    <w:rsid w:val="004224C4"/>
    <w:rsid w:val="004225FC"/>
    <w:rsid w:val="004227CB"/>
    <w:rsid w:val="00423FB3"/>
    <w:rsid w:val="0042427B"/>
    <w:rsid w:val="0042454F"/>
    <w:rsid w:val="0042489A"/>
    <w:rsid w:val="00424AF3"/>
    <w:rsid w:val="004258BE"/>
    <w:rsid w:val="00425BB9"/>
    <w:rsid w:val="00425E81"/>
    <w:rsid w:val="004263E8"/>
    <w:rsid w:val="004265F8"/>
    <w:rsid w:val="004266D2"/>
    <w:rsid w:val="004268E6"/>
    <w:rsid w:val="004274EB"/>
    <w:rsid w:val="00427CDE"/>
    <w:rsid w:val="004300DC"/>
    <w:rsid w:val="00430445"/>
    <w:rsid w:val="00431577"/>
    <w:rsid w:val="004324EF"/>
    <w:rsid w:val="004335EB"/>
    <w:rsid w:val="004339F8"/>
    <w:rsid w:val="004355B1"/>
    <w:rsid w:val="00435B24"/>
    <w:rsid w:val="00436D0E"/>
    <w:rsid w:val="0043740F"/>
    <w:rsid w:val="0044073F"/>
    <w:rsid w:val="00440E9D"/>
    <w:rsid w:val="00441098"/>
    <w:rsid w:val="00441303"/>
    <w:rsid w:val="00441F5D"/>
    <w:rsid w:val="004422DC"/>
    <w:rsid w:val="00442324"/>
    <w:rsid w:val="0044282D"/>
    <w:rsid w:val="00442925"/>
    <w:rsid w:val="00443097"/>
    <w:rsid w:val="00443812"/>
    <w:rsid w:val="00443908"/>
    <w:rsid w:val="00443AE9"/>
    <w:rsid w:val="004441E9"/>
    <w:rsid w:val="0044420C"/>
    <w:rsid w:val="00444215"/>
    <w:rsid w:val="004443C9"/>
    <w:rsid w:val="0044462A"/>
    <w:rsid w:val="00444819"/>
    <w:rsid w:val="0044489D"/>
    <w:rsid w:val="00445521"/>
    <w:rsid w:val="0044582C"/>
    <w:rsid w:val="00445FE3"/>
    <w:rsid w:val="0044690A"/>
    <w:rsid w:val="00446F96"/>
    <w:rsid w:val="0044766C"/>
    <w:rsid w:val="00447B6C"/>
    <w:rsid w:val="00450230"/>
    <w:rsid w:val="0045064F"/>
    <w:rsid w:val="00451127"/>
    <w:rsid w:val="0045117A"/>
    <w:rsid w:val="00451276"/>
    <w:rsid w:val="00451700"/>
    <w:rsid w:val="00451C50"/>
    <w:rsid w:val="00451E36"/>
    <w:rsid w:val="0045236A"/>
    <w:rsid w:val="0045284B"/>
    <w:rsid w:val="00452D5C"/>
    <w:rsid w:val="00454509"/>
    <w:rsid w:val="00454967"/>
    <w:rsid w:val="00454D8C"/>
    <w:rsid w:val="004551ED"/>
    <w:rsid w:val="004556E4"/>
    <w:rsid w:val="00455DA7"/>
    <w:rsid w:val="00456E45"/>
    <w:rsid w:val="00457331"/>
    <w:rsid w:val="00457415"/>
    <w:rsid w:val="00457C37"/>
    <w:rsid w:val="00457E26"/>
    <w:rsid w:val="00460675"/>
    <w:rsid w:val="004607A3"/>
    <w:rsid w:val="00460947"/>
    <w:rsid w:val="0046097B"/>
    <w:rsid w:val="00460A40"/>
    <w:rsid w:val="00460E78"/>
    <w:rsid w:val="0046111E"/>
    <w:rsid w:val="00462BAF"/>
    <w:rsid w:val="00462C39"/>
    <w:rsid w:val="00463100"/>
    <w:rsid w:val="00463B42"/>
    <w:rsid w:val="00464689"/>
    <w:rsid w:val="00464DDF"/>
    <w:rsid w:val="00464EBF"/>
    <w:rsid w:val="00466D1C"/>
    <w:rsid w:val="00466DAF"/>
    <w:rsid w:val="00467BD0"/>
    <w:rsid w:val="00470B05"/>
    <w:rsid w:val="00470F70"/>
    <w:rsid w:val="00471D4B"/>
    <w:rsid w:val="00472531"/>
    <w:rsid w:val="00472E4A"/>
    <w:rsid w:val="004735A9"/>
    <w:rsid w:val="00473C44"/>
    <w:rsid w:val="00473D90"/>
    <w:rsid w:val="00473DD1"/>
    <w:rsid w:val="00474DF9"/>
    <w:rsid w:val="00474EC9"/>
    <w:rsid w:val="00475356"/>
    <w:rsid w:val="00475699"/>
    <w:rsid w:val="0047573B"/>
    <w:rsid w:val="004758C9"/>
    <w:rsid w:val="00476CCF"/>
    <w:rsid w:val="00477CE2"/>
    <w:rsid w:val="00477EF6"/>
    <w:rsid w:val="00480140"/>
    <w:rsid w:val="00480DA5"/>
    <w:rsid w:val="004811D8"/>
    <w:rsid w:val="0048131A"/>
    <w:rsid w:val="004814EC"/>
    <w:rsid w:val="004818E1"/>
    <w:rsid w:val="0048212E"/>
    <w:rsid w:val="00482A27"/>
    <w:rsid w:val="00483C0C"/>
    <w:rsid w:val="00484030"/>
    <w:rsid w:val="00485180"/>
    <w:rsid w:val="004866B9"/>
    <w:rsid w:val="00490491"/>
    <w:rsid w:val="004906F4"/>
    <w:rsid w:val="0049120E"/>
    <w:rsid w:val="0049135F"/>
    <w:rsid w:val="004915B0"/>
    <w:rsid w:val="00491736"/>
    <w:rsid w:val="00491879"/>
    <w:rsid w:val="00491C6E"/>
    <w:rsid w:val="00492364"/>
    <w:rsid w:val="004929F4"/>
    <w:rsid w:val="00492E98"/>
    <w:rsid w:val="00493392"/>
    <w:rsid w:val="00493660"/>
    <w:rsid w:val="004938DE"/>
    <w:rsid w:val="00493D29"/>
    <w:rsid w:val="00494276"/>
    <w:rsid w:val="0049493D"/>
    <w:rsid w:val="00494C20"/>
    <w:rsid w:val="00494C62"/>
    <w:rsid w:val="00494F53"/>
    <w:rsid w:val="00496E4C"/>
    <w:rsid w:val="00497A3D"/>
    <w:rsid w:val="004A01D4"/>
    <w:rsid w:val="004A05BC"/>
    <w:rsid w:val="004A1032"/>
    <w:rsid w:val="004A1A0F"/>
    <w:rsid w:val="004A21AA"/>
    <w:rsid w:val="004A23CF"/>
    <w:rsid w:val="004A2AD0"/>
    <w:rsid w:val="004A2B6F"/>
    <w:rsid w:val="004A31D3"/>
    <w:rsid w:val="004A394C"/>
    <w:rsid w:val="004A3D87"/>
    <w:rsid w:val="004A43D2"/>
    <w:rsid w:val="004A4654"/>
    <w:rsid w:val="004A47C5"/>
    <w:rsid w:val="004A4964"/>
    <w:rsid w:val="004A498B"/>
    <w:rsid w:val="004A5250"/>
    <w:rsid w:val="004A5A1C"/>
    <w:rsid w:val="004A5BE8"/>
    <w:rsid w:val="004A6C13"/>
    <w:rsid w:val="004A6F87"/>
    <w:rsid w:val="004A7096"/>
    <w:rsid w:val="004A7C17"/>
    <w:rsid w:val="004A7D80"/>
    <w:rsid w:val="004B0028"/>
    <w:rsid w:val="004B01C2"/>
    <w:rsid w:val="004B067D"/>
    <w:rsid w:val="004B1273"/>
    <w:rsid w:val="004B16BB"/>
    <w:rsid w:val="004B18A5"/>
    <w:rsid w:val="004B19B8"/>
    <w:rsid w:val="004B19BF"/>
    <w:rsid w:val="004B1E79"/>
    <w:rsid w:val="004B2493"/>
    <w:rsid w:val="004B4310"/>
    <w:rsid w:val="004B435A"/>
    <w:rsid w:val="004B4680"/>
    <w:rsid w:val="004B52CC"/>
    <w:rsid w:val="004B583A"/>
    <w:rsid w:val="004B5BAA"/>
    <w:rsid w:val="004B5FD5"/>
    <w:rsid w:val="004B6835"/>
    <w:rsid w:val="004B6FEF"/>
    <w:rsid w:val="004B7159"/>
    <w:rsid w:val="004B7F55"/>
    <w:rsid w:val="004C08AC"/>
    <w:rsid w:val="004C0FAE"/>
    <w:rsid w:val="004C137E"/>
    <w:rsid w:val="004C1595"/>
    <w:rsid w:val="004C1706"/>
    <w:rsid w:val="004C1F34"/>
    <w:rsid w:val="004C3D99"/>
    <w:rsid w:val="004C4146"/>
    <w:rsid w:val="004C4E67"/>
    <w:rsid w:val="004C5057"/>
    <w:rsid w:val="004C533A"/>
    <w:rsid w:val="004C695B"/>
    <w:rsid w:val="004C7A96"/>
    <w:rsid w:val="004C7EDA"/>
    <w:rsid w:val="004D14E1"/>
    <w:rsid w:val="004D1B97"/>
    <w:rsid w:val="004D1FC0"/>
    <w:rsid w:val="004D2AAD"/>
    <w:rsid w:val="004D32FC"/>
    <w:rsid w:val="004D3911"/>
    <w:rsid w:val="004D3E6F"/>
    <w:rsid w:val="004D4140"/>
    <w:rsid w:val="004D4652"/>
    <w:rsid w:val="004D4B91"/>
    <w:rsid w:val="004D4D6A"/>
    <w:rsid w:val="004D51B2"/>
    <w:rsid w:val="004D51E5"/>
    <w:rsid w:val="004D5CAF"/>
    <w:rsid w:val="004D5E00"/>
    <w:rsid w:val="004D606C"/>
    <w:rsid w:val="004D615D"/>
    <w:rsid w:val="004D632D"/>
    <w:rsid w:val="004D6849"/>
    <w:rsid w:val="004D6B8F"/>
    <w:rsid w:val="004D6C39"/>
    <w:rsid w:val="004D7143"/>
    <w:rsid w:val="004D73E8"/>
    <w:rsid w:val="004E0479"/>
    <w:rsid w:val="004E07AD"/>
    <w:rsid w:val="004E0CD5"/>
    <w:rsid w:val="004E1121"/>
    <w:rsid w:val="004E16C0"/>
    <w:rsid w:val="004E178F"/>
    <w:rsid w:val="004E2A13"/>
    <w:rsid w:val="004E3040"/>
    <w:rsid w:val="004E3143"/>
    <w:rsid w:val="004E33D3"/>
    <w:rsid w:val="004E3584"/>
    <w:rsid w:val="004E3BC6"/>
    <w:rsid w:val="004E3CDD"/>
    <w:rsid w:val="004E3FDE"/>
    <w:rsid w:val="004E4CDE"/>
    <w:rsid w:val="004E4FE7"/>
    <w:rsid w:val="004E51BE"/>
    <w:rsid w:val="004E558A"/>
    <w:rsid w:val="004E5A70"/>
    <w:rsid w:val="004E6FCF"/>
    <w:rsid w:val="004E792F"/>
    <w:rsid w:val="004E79E1"/>
    <w:rsid w:val="004F06CE"/>
    <w:rsid w:val="004F133A"/>
    <w:rsid w:val="004F14D3"/>
    <w:rsid w:val="004F14F3"/>
    <w:rsid w:val="004F16C4"/>
    <w:rsid w:val="004F1C72"/>
    <w:rsid w:val="004F2383"/>
    <w:rsid w:val="004F293D"/>
    <w:rsid w:val="004F2AB1"/>
    <w:rsid w:val="004F2ED7"/>
    <w:rsid w:val="004F2F57"/>
    <w:rsid w:val="004F347B"/>
    <w:rsid w:val="004F3BA2"/>
    <w:rsid w:val="004F443E"/>
    <w:rsid w:val="004F49F4"/>
    <w:rsid w:val="004F5AC2"/>
    <w:rsid w:val="004F5EA5"/>
    <w:rsid w:val="004F5FCC"/>
    <w:rsid w:val="004F700D"/>
    <w:rsid w:val="004F706B"/>
    <w:rsid w:val="00500A9D"/>
    <w:rsid w:val="00500D80"/>
    <w:rsid w:val="00500F0A"/>
    <w:rsid w:val="00500F17"/>
    <w:rsid w:val="005012EB"/>
    <w:rsid w:val="0050145E"/>
    <w:rsid w:val="005014EF"/>
    <w:rsid w:val="005017B5"/>
    <w:rsid w:val="00501934"/>
    <w:rsid w:val="00501E21"/>
    <w:rsid w:val="00502480"/>
    <w:rsid w:val="005027FD"/>
    <w:rsid w:val="00502CB5"/>
    <w:rsid w:val="00502D56"/>
    <w:rsid w:val="00503773"/>
    <w:rsid w:val="005038F4"/>
    <w:rsid w:val="00504620"/>
    <w:rsid w:val="005049BF"/>
    <w:rsid w:val="00504B5F"/>
    <w:rsid w:val="00504D37"/>
    <w:rsid w:val="00504FA6"/>
    <w:rsid w:val="005052D5"/>
    <w:rsid w:val="00506237"/>
    <w:rsid w:val="005067E7"/>
    <w:rsid w:val="00506A2B"/>
    <w:rsid w:val="0050787B"/>
    <w:rsid w:val="0050794D"/>
    <w:rsid w:val="0051012B"/>
    <w:rsid w:val="0051017D"/>
    <w:rsid w:val="00510B89"/>
    <w:rsid w:val="00511AB3"/>
    <w:rsid w:val="0051201A"/>
    <w:rsid w:val="00512B64"/>
    <w:rsid w:val="00512D87"/>
    <w:rsid w:val="00512FC8"/>
    <w:rsid w:val="00513745"/>
    <w:rsid w:val="005137B7"/>
    <w:rsid w:val="00513886"/>
    <w:rsid w:val="00513B90"/>
    <w:rsid w:val="00513DEA"/>
    <w:rsid w:val="00513F6A"/>
    <w:rsid w:val="0051488B"/>
    <w:rsid w:val="00514FBF"/>
    <w:rsid w:val="005157A9"/>
    <w:rsid w:val="005165DF"/>
    <w:rsid w:val="0051676C"/>
    <w:rsid w:val="00517171"/>
    <w:rsid w:val="00517178"/>
    <w:rsid w:val="00517A98"/>
    <w:rsid w:val="00517CF6"/>
    <w:rsid w:val="0052032B"/>
    <w:rsid w:val="005203A2"/>
    <w:rsid w:val="00520ABB"/>
    <w:rsid w:val="00520B79"/>
    <w:rsid w:val="00520E63"/>
    <w:rsid w:val="00521598"/>
    <w:rsid w:val="00521F0A"/>
    <w:rsid w:val="0052218C"/>
    <w:rsid w:val="00522C6F"/>
    <w:rsid w:val="005230DA"/>
    <w:rsid w:val="0052314A"/>
    <w:rsid w:val="00523829"/>
    <w:rsid w:val="00523C7F"/>
    <w:rsid w:val="00523D38"/>
    <w:rsid w:val="00523D3B"/>
    <w:rsid w:val="00523DF1"/>
    <w:rsid w:val="00524137"/>
    <w:rsid w:val="00524212"/>
    <w:rsid w:val="005245B4"/>
    <w:rsid w:val="00524CB0"/>
    <w:rsid w:val="00524DF9"/>
    <w:rsid w:val="00524F32"/>
    <w:rsid w:val="00525D7A"/>
    <w:rsid w:val="00526003"/>
    <w:rsid w:val="005260DB"/>
    <w:rsid w:val="005261E3"/>
    <w:rsid w:val="005276A0"/>
    <w:rsid w:val="00527DC8"/>
    <w:rsid w:val="00530345"/>
    <w:rsid w:val="00530BEC"/>
    <w:rsid w:val="00530C5E"/>
    <w:rsid w:val="00530F7D"/>
    <w:rsid w:val="005310E9"/>
    <w:rsid w:val="00531EBB"/>
    <w:rsid w:val="005325B0"/>
    <w:rsid w:val="00532A71"/>
    <w:rsid w:val="00532C0E"/>
    <w:rsid w:val="0053306C"/>
    <w:rsid w:val="00533609"/>
    <w:rsid w:val="005336C7"/>
    <w:rsid w:val="00533A72"/>
    <w:rsid w:val="00533FE9"/>
    <w:rsid w:val="00534794"/>
    <w:rsid w:val="00534EE4"/>
    <w:rsid w:val="00535176"/>
    <w:rsid w:val="00535BD2"/>
    <w:rsid w:val="00535E7B"/>
    <w:rsid w:val="00536582"/>
    <w:rsid w:val="005373DA"/>
    <w:rsid w:val="005379A4"/>
    <w:rsid w:val="00537C5F"/>
    <w:rsid w:val="00540248"/>
    <w:rsid w:val="005403FC"/>
    <w:rsid w:val="0054137C"/>
    <w:rsid w:val="00541675"/>
    <w:rsid w:val="00541DAE"/>
    <w:rsid w:val="00541DC6"/>
    <w:rsid w:val="00542C07"/>
    <w:rsid w:val="00542D92"/>
    <w:rsid w:val="00544674"/>
    <w:rsid w:val="00544ACA"/>
    <w:rsid w:val="00544B31"/>
    <w:rsid w:val="00545BD2"/>
    <w:rsid w:val="00545E83"/>
    <w:rsid w:val="00546C3B"/>
    <w:rsid w:val="00546C8A"/>
    <w:rsid w:val="00546E9B"/>
    <w:rsid w:val="005474F9"/>
    <w:rsid w:val="0055059D"/>
    <w:rsid w:val="0055097D"/>
    <w:rsid w:val="00550EC6"/>
    <w:rsid w:val="00551354"/>
    <w:rsid w:val="0055180D"/>
    <w:rsid w:val="00552379"/>
    <w:rsid w:val="00552A95"/>
    <w:rsid w:val="00552E16"/>
    <w:rsid w:val="00553156"/>
    <w:rsid w:val="00553385"/>
    <w:rsid w:val="0055339A"/>
    <w:rsid w:val="0055403C"/>
    <w:rsid w:val="00554FB1"/>
    <w:rsid w:val="00555721"/>
    <w:rsid w:val="0055672B"/>
    <w:rsid w:val="00557472"/>
    <w:rsid w:val="00557896"/>
    <w:rsid w:val="00557D64"/>
    <w:rsid w:val="005606FA"/>
    <w:rsid w:val="00560F89"/>
    <w:rsid w:val="005610D7"/>
    <w:rsid w:val="005613C3"/>
    <w:rsid w:val="00561F0E"/>
    <w:rsid w:val="0056200C"/>
    <w:rsid w:val="00562C3B"/>
    <w:rsid w:val="00562C82"/>
    <w:rsid w:val="005637E9"/>
    <w:rsid w:val="00563A2D"/>
    <w:rsid w:val="00563D45"/>
    <w:rsid w:val="005646E9"/>
    <w:rsid w:val="00564AFC"/>
    <w:rsid w:val="00564B32"/>
    <w:rsid w:val="00564C7D"/>
    <w:rsid w:val="0056541B"/>
    <w:rsid w:val="0056556E"/>
    <w:rsid w:val="00565FAF"/>
    <w:rsid w:val="0056753A"/>
    <w:rsid w:val="00567641"/>
    <w:rsid w:val="005679B6"/>
    <w:rsid w:val="0057043E"/>
    <w:rsid w:val="00570574"/>
    <w:rsid w:val="005719EA"/>
    <w:rsid w:val="005723C6"/>
    <w:rsid w:val="0057279D"/>
    <w:rsid w:val="005749A6"/>
    <w:rsid w:val="00574B34"/>
    <w:rsid w:val="00575D22"/>
    <w:rsid w:val="00576423"/>
    <w:rsid w:val="005767BF"/>
    <w:rsid w:val="00576902"/>
    <w:rsid w:val="00576B6F"/>
    <w:rsid w:val="0058095B"/>
    <w:rsid w:val="00582392"/>
    <w:rsid w:val="005825CA"/>
    <w:rsid w:val="00582851"/>
    <w:rsid w:val="00583191"/>
    <w:rsid w:val="005834B2"/>
    <w:rsid w:val="005841A2"/>
    <w:rsid w:val="00584F60"/>
    <w:rsid w:val="00585520"/>
    <w:rsid w:val="00585BAE"/>
    <w:rsid w:val="005864A8"/>
    <w:rsid w:val="00587188"/>
    <w:rsid w:val="005876E5"/>
    <w:rsid w:val="0059135E"/>
    <w:rsid w:val="00591527"/>
    <w:rsid w:val="005915BA"/>
    <w:rsid w:val="00591783"/>
    <w:rsid w:val="00591A34"/>
    <w:rsid w:val="00591D19"/>
    <w:rsid w:val="00592794"/>
    <w:rsid w:val="00592AD6"/>
    <w:rsid w:val="0059401A"/>
    <w:rsid w:val="0059465E"/>
    <w:rsid w:val="00595B07"/>
    <w:rsid w:val="00595F18"/>
    <w:rsid w:val="0059604A"/>
    <w:rsid w:val="005962E9"/>
    <w:rsid w:val="00596D39"/>
    <w:rsid w:val="005972CB"/>
    <w:rsid w:val="005973DF"/>
    <w:rsid w:val="00597F28"/>
    <w:rsid w:val="005A12D7"/>
    <w:rsid w:val="005A16A6"/>
    <w:rsid w:val="005A17C5"/>
    <w:rsid w:val="005A1914"/>
    <w:rsid w:val="005A2A71"/>
    <w:rsid w:val="005A33A1"/>
    <w:rsid w:val="005A5068"/>
    <w:rsid w:val="005A51A9"/>
    <w:rsid w:val="005A5789"/>
    <w:rsid w:val="005A59F7"/>
    <w:rsid w:val="005A5DFB"/>
    <w:rsid w:val="005A5F95"/>
    <w:rsid w:val="005A6DB9"/>
    <w:rsid w:val="005A714D"/>
    <w:rsid w:val="005A7719"/>
    <w:rsid w:val="005A7E8C"/>
    <w:rsid w:val="005B0362"/>
    <w:rsid w:val="005B0ED9"/>
    <w:rsid w:val="005B1280"/>
    <w:rsid w:val="005B1470"/>
    <w:rsid w:val="005B19E1"/>
    <w:rsid w:val="005B1B84"/>
    <w:rsid w:val="005B1D5A"/>
    <w:rsid w:val="005B1E22"/>
    <w:rsid w:val="005B27A4"/>
    <w:rsid w:val="005B309B"/>
    <w:rsid w:val="005B3897"/>
    <w:rsid w:val="005B3EDF"/>
    <w:rsid w:val="005B467E"/>
    <w:rsid w:val="005B46D9"/>
    <w:rsid w:val="005B4D2F"/>
    <w:rsid w:val="005B5A8C"/>
    <w:rsid w:val="005B5CBF"/>
    <w:rsid w:val="005B5D6B"/>
    <w:rsid w:val="005C01B9"/>
    <w:rsid w:val="005C0DB9"/>
    <w:rsid w:val="005C151A"/>
    <w:rsid w:val="005C177C"/>
    <w:rsid w:val="005C19B1"/>
    <w:rsid w:val="005C1EC7"/>
    <w:rsid w:val="005C21F8"/>
    <w:rsid w:val="005C2687"/>
    <w:rsid w:val="005C2B07"/>
    <w:rsid w:val="005C2FB3"/>
    <w:rsid w:val="005C3029"/>
    <w:rsid w:val="005C3216"/>
    <w:rsid w:val="005C3DEC"/>
    <w:rsid w:val="005C4505"/>
    <w:rsid w:val="005C464A"/>
    <w:rsid w:val="005C4D61"/>
    <w:rsid w:val="005C4DFC"/>
    <w:rsid w:val="005C52CE"/>
    <w:rsid w:val="005C573C"/>
    <w:rsid w:val="005C57AF"/>
    <w:rsid w:val="005C5C65"/>
    <w:rsid w:val="005C5F79"/>
    <w:rsid w:val="005C616B"/>
    <w:rsid w:val="005C63E8"/>
    <w:rsid w:val="005C7C6A"/>
    <w:rsid w:val="005D0359"/>
    <w:rsid w:val="005D0FB5"/>
    <w:rsid w:val="005D10C0"/>
    <w:rsid w:val="005D1FC8"/>
    <w:rsid w:val="005D3798"/>
    <w:rsid w:val="005D40CE"/>
    <w:rsid w:val="005D4508"/>
    <w:rsid w:val="005D49C8"/>
    <w:rsid w:val="005D5201"/>
    <w:rsid w:val="005D5447"/>
    <w:rsid w:val="005D578C"/>
    <w:rsid w:val="005D5BAA"/>
    <w:rsid w:val="005D6E98"/>
    <w:rsid w:val="005D7CBA"/>
    <w:rsid w:val="005D7F3D"/>
    <w:rsid w:val="005E02F3"/>
    <w:rsid w:val="005E0763"/>
    <w:rsid w:val="005E0974"/>
    <w:rsid w:val="005E0CD6"/>
    <w:rsid w:val="005E1195"/>
    <w:rsid w:val="005E1C21"/>
    <w:rsid w:val="005E1EED"/>
    <w:rsid w:val="005E2AFF"/>
    <w:rsid w:val="005E345C"/>
    <w:rsid w:val="005E3973"/>
    <w:rsid w:val="005E3B1E"/>
    <w:rsid w:val="005E4CC9"/>
    <w:rsid w:val="005E4DFF"/>
    <w:rsid w:val="005E5077"/>
    <w:rsid w:val="005E5093"/>
    <w:rsid w:val="005E56F1"/>
    <w:rsid w:val="005E6C34"/>
    <w:rsid w:val="005F00F2"/>
    <w:rsid w:val="005F0B1D"/>
    <w:rsid w:val="005F0E9B"/>
    <w:rsid w:val="005F1655"/>
    <w:rsid w:val="005F2317"/>
    <w:rsid w:val="005F3141"/>
    <w:rsid w:val="005F32E6"/>
    <w:rsid w:val="005F4161"/>
    <w:rsid w:val="005F43F7"/>
    <w:rsid w:val="005F4485"/>
    <w:rsid w:val="005F48E6"/>
    <w:rsid w:val="005F49C5"/>
    <w:rsid w:val="005F4B9F"/>
    <w:rsid w:val="005F4D78"/>
    <w:rsid w:val="005F5018"/>
    <w:rsid w:val="005F51C1"/>
    <w:rsid w:val="005F53A0"/>
    <w:rsid w:val="005F5D5A"/>
    <w:rsid w:val="005F5FF3"/>
    <w:rsid w:val="005F68F9"/>
    <w:rsid w:val="0060000F"/>
    <w:rsid w:val="006005E6"/>
    <w:rsid w:val="00600BA1"/>
    <w:rsid w:val="00600CD4"/>
    <w:rsid w:val="006011A4"/>
    <w:rsid w:val="00601595"/>
    <w:rsid w:val="00601B01"/>
    <w:rsid w:val="00601B94"/>
    <w:rsid w:val="006024F0"/>
    <w:rsid w:val="00602C03"/>
    <w:rsid w:val="0060311E"/>
    <w:rsid w:val="006031A7"/>
    <w:rsid w:val="0060441A"/>
    <w:rsid w:val="00604507"/>
    <w:rsid w:val="0060457A"/>
    <w:rsid w:val="006047E6"/>
    <w:rsid w:val="006047F6"/>
    <w:rsid w:val="00605300"/>
    <w:rsid w:val="006074BD"/>
    <w:rsid w:val="00607570"/>
    <w:rsid w:val="00607B72"/>
    <w:rsid w:val="006102EF"/>
    <w:rsid w:val="00611148"/>
    <w:rsid w:val="006116F4"/>
    <w:rsid w:val="00612023"/>
    <w:rsid w:val="00612952"/>
    <w:rsid w:val="0061299C"/>
    <w:rsid w:val="00612E31"/>
    <w:rsid w:val="00612E36"/>
    <w:rsid w:val="00613815"/>
    <w:rsid w:val="006138A2"/>
    <w:rsid w:val="00613C69"/>
    <w:rsid w:val="00614089"/>
    <w:rsid w:val="00614ABB"/>
    <w:rsid w:val="00615552"/>
    <w:rsid w:val="0061586A"/>
    <w:rsid w:val="006173CE"/>
    <w:rsid w:val="00617F70"/>
    <w:rsid w:val="00620674"/>
    <w:rsid w:val="006207F6"/>
    <w:rsid w:val="006210B1"/>
    <w:rsid w:val="006211FB"/>
    <w:rsid w:val="00621B6D"/>
    <w:rsid w:val="00621DC3"/>
    <w:rsid w:val="00622759"/>
    <w:rsid w:val="00622D63"/>
    <w:rsid w:val="00623750"/>
    <w:rsid w:val="006240BB"/>
    <w:rsid w:val="00624355"/>
    <w:rsid w:val="006243D1"/>
    <w:rsid w:val="00624564"/>
    <w:rsid w:val="006258A8"/>
    <w:rsid w:val="00625AD1"/>
    <w:rsid w:val="00625C5A"/>
    <w:rsid w:val="0062766B"/>
    <w:rsid w:val="00627986"/>
    <w:rsid w:val="00627ACF"/>
    <w:rsid w:val="006301C2"/>
    <w:rsid w:val="006304C6"/>
    <w:rsid w:val="00630614"/>
    <w:rsid w:val="00630ED3"/>
    <w:rsid w:val="00631713"/>
    <w:rsid w:val="00631CB1"/>
    <w:rsid w:val="006323C1"/>
    <w:rsid w:val="00632917"/>
    <w:rsid w:val="00633E3F"/>
    <w:rsid w:val="00633FA7"/>
    <w:rsid w:val="006341A5"/>
    <w:rsid w:val="006342B5"/>
    <w:rsid w:val="00634882"/>
    <w:rsid w:val="00634A84"/>
    <w:rsid w:val="00635131"/>
    <w:rsid w:val="00636157"/>
    <w:rsid w:val="006362D7"/>
    <w:rsid w:val="0063686F"/>
    <w:rsid w:val="00636C75"/>
    <w:rsid w:val="00636F36"/>
    <w:rsid w:val="00636FCF"/>
    <w:rsid w:val="0063705A"/>
    <w:rsid w:val="00637127"/>
    <w:rsid w:val="0063756B"/>
    <w:rsid w:val="00637AAD"/>
    <w:rsid w:val="00637DE0"/>
    <w:rsid w:val="0064017A"/>
    <w:rsid w:val="006401C0"/>
    <w:rsid w:val="00640465"/>
    <w:rsid w:val="0064092F"/>
    <w:rsid w:val="00640BB1"/>
    <w:rsid w:val="0064101E"/>
    <w:rsid w:val="0064126A"/>
    <w:rsid w:val="0064206F"/>
    <w:rsid w:val="006430B6"/>
    <w:rsid w:val="00643346"/>
    <w:rsid w:val="006433BF"/>
    <w:rsid w:val="00643401"/>
    <w:rsid w:val="00643B60"/>
    <w:rsid w:val="00644D66"/>
    <w:rsid w:val="006458F6"/>
    <w:rsid w:val="006467B2"/>
    <w:rsid w:val="0064691B"/>
    <w:rsid w:val="006479B9"/>
    <w:rsid w:val="006479D6"/>
    <w:rsid w:val="00647F4C"/>
    <w:rsid w:val="00647FD0"/>
    <w:rsid w:val="00650607"/>
    <w:rsid w:val="006525FA"/>
    <w:rsid w:val="00652DC4"/>
    <w:rsid w:val="00652E37"/>
    <w:rsid w:val="00653608"/>
    <w:rsid w:val="00653840"/>
    <w:rsid w:val="006541D3"/>
    <w:rsid w:val="0065443F"/>
    <w:rsid w:val="00655044"/>
    <w:rsid w:val="0065569A"/>
    <w:rsid w:val="006557BA"/>
    <w:rsid w:val="00656E22"/>
    <w:rsid w:val="0065717E"/>
    <w:rsid w:val="006576E3"/>
    <w:rsid w:val="00657D70"/>
    <w:rsid w:val="006605FC"/>
    <w:rsid w:val="0066098F"/>
    <w:rsid w:val="006609AF"/>
    <w:rsid w:val="00660E5C"/>
    <w:rsid w:val="0066171E"/>
    <w:rsid w:val="00661967"/>
    <w:rsid w:val="006623A7"/>
    <w:rsid w:val="0066263C"/>
    <w:rsid w:val="0066288D"/>
    <w:rsid w:val="00662A67"/>
    <w:rsid w:val="00662A72"/>
    <w:rsid w:val="00663678"/>
    <w:rsid w:val="00663CDE"/>
    <w:rsid w:val="00664A9E"/>
    <w:rsid w:val="006651E2"/>
    <w:rsid w:val="006659D9"/>
    <w:rsid w:val="00666923"/>
    <w:rsid w:val="00666BB2"/>
    <w:rsid w:val="006672A3"/>
    <w:rsid w:val="006672F7"/>
    <w:rsid w:val="006677AA"/>
    <w:rsid w:val="0067046D"/>
    <w:rsid w:val="0067060A"/>
    <w:rsid w:val="006719B7"/>
    <w:rsid w:val="00671B36"/>
    <w:rsid w:val="00673231"/>
    <w:rsid w:val="00673895"/>
    <w:rsid w:val="00673A04"/>
    <w:rsid w:val="00673E3D"/>
    <w:rsid w:val="006742A3"/>
    <w:rsid w:val="006747A7"/>
    <w:rsid w:val="00675144"/>
    <w:rsid w:val="00675D9C"/>
    <w:rsid w:val="00676D2B"/>
    <w:rsid w:val="00676F06"/>
    <w:rsid w:val="006800D0"/>
    <w:rsid w:val="00680FE9"/>
    <w:rsid w:val="006814B9"/>
    <w:rsid w:val="00681562"/>
    <w:rsid w:val="00681EC6"/>
    <w:rsid w:val="00681F66"/>
    <w:rsid w:val="006839A2"/>
    <w:rsid w:val="00683DCE"/>
    <w:rsid w:val="00684C93"/>
    <w:rsid w:val="00684D27"/>
    <w:rsid w:val="006850F6"/>
    <w:rsid w:val="006859E9"/>
    <w:rsid w:val="006860AD"/>
    <w:rsid w:val="006863EB"/>
    <w:rsid w:val="006868FA"/>
    <w:rsid w:val="00687BEF"/>
    <w:rsid w:val="00690563"/>
    <w:rsid w:val="006908B8"/>
    <w:rsid w:val="00691563"/>
    <w:rsid w:val="006918BA"/>
    <w:rsid w:val="00692D9C"/>
    <w:rsid w:val="00694796"/>
    <w:rsid w:val="00694B6B"/>
    <w:rsid w:val="00694D02"/>
    <w:rsid w:val="00695AF6"/>
    <w:rsid w:val="00695FBD"/>
    <w:rsid w:val="0069649A"/>
    <w:rsid w:val="00697000"/>
    <w:rsid w:val="00697250"/>
    <w:rsid w:val="0069733B"/>
    <w:rsid w:val="0069769F"/>
    <w:rsid w:val="00697D03"/>
    <w:rsid w:val="00697D8E"/>
    <w:rsid w:val="006A05F8"/>
    <w:rsid w:val="006A087A"/>
    <w:rsid w:val="006A0FFA"/>
    <w:rsid w:val="006A1B3D"/>
    <w:rsid w:val="006A2B76"/>
    <w:rsid w:val="006A2E93"/>
    <w:rsid w:val="006A31C4"/>
    <w:rsid w:val="006A35DC"/>
    <w:rsid w:val="006A37FA"/>
    <w:rsid w:val="006A39F2"/>
    <w:rsid w:val="006A3B8F"/>
    <w:rsid w:val="006A3F64"/>
    <w:rsid w:val="006A4179"/>
    <w:rsid w:val="006A4576"/>
    <w:rsid w:val="006A4980"/>
    <w:rsid w:val="006A4D82"/>
    <w:rsid w:val="006A502B"/>
    <w:rsid w:val="006A564B"/>
    <w:rsid w:val="006A688C"/>
    <w:rsid w:val="006A69D7"/>
    <w:rsid w:val="006A7C11"/>
    <w:rsid w:val="006B01EC"/>
    <w:rsid w:val="006B0628"/>
    <w:rsid w:val="006B096C"/>
    <w:rsid w:val="006B0C5F"/>
    <w:rsid w:val="006B11FA"/>
    <w:rsid w:val="006B1657"/>
    <w:rsid w:val="006B1EA1"/>
    <w:rsid w:val="006B1EAD"/>
    <w:rsid w:val="006B300E"/>
    <w:rsid w:val="006B35C5"/>
    <w:rsid w:val="006B3886"/>
    <w:rsid w:val="006B47FA"/>
    <w:rsid w:val="006B5217"/>
    <w:rsid w:val="006B52D1"/>
    <w:rsid w:val="006B5392"/>
    <w:rsid w:val="006B5584"/>
    <w:rsid w:val="006B65FD"/>
    <w:rsid w:val="006B6C44"/>
    <w:rsid w:val="006B719C"/>
    <w:rsid w:val="006C0350"/>
    <w:rsid w:val="006C0809"/>
    <w:rsid w:val="006C1C23"/>
    <w:rsid w:val="006C1CFF"/>
    <w:rsid w:val="006C2009"/>
    <w:rsid w:val="006C2059"/>
    <w:rsid w:val="006C2C43"/>
    <w:rsid w:val="006C2D84"/>
    <w:rsid w:val="006C2EA2"/>
    <w:rsid w:val="006C3236"/>
    <w:rsid w:val="006C3567"/>
    <w:rsid w:val="006C3F03"/>
    <w:rsid w:val="006C4B15"/>
    <w:rsid w:val="006C4E7F"/>
    <w:rsid w:val="006C50D3"/>
    <w:rsid w:val="006C51FF"/>
    <w:rsid w:val="006C5A35"/>
    <w:rsid w:val="006C6336"/>
    <w:rsid w:val="006C633B"/>
    <w:rsid w:val="006C6B0C"/>
    <w:rsid w:val="006C7236"/>
    <w:rsid w:val="006C741D"/>
    <w:rsid w:val="006C76C2"/>
    <w:rsid w:val="006D0326"/>
    <w:rsid w:val="006D0C34"/>
    <w:rsid w:val="006D152A"/>
    <w:rsid w:val="006D27DB"/>
    <w:rsid w:val="006D2E37"/>
    <w:rsid w:val="006D325C"/>
    <w:rsid w:val="006D3370"/>
    <w:rsid w:val="006D4D4F"/>
    <w:rsid w:val="006D51C8"/>
    <w:rsid w:val="006D529B"/>
    <w:rsid w:val="006D5394"/>
    <w:rsid w:val="006D5A68"/>
    <w:rsid w:val="006D5AD1"/>
    <w:rsid w:val="006D5B26"/>
    <w:rsid w:val="006D6186"/>
    <w:rsid w:val="006D64D0"/>
    <w:rsid w:val="006D76B6"/>
    <w:rsid w:val="006D7DF7"/>
    <w:rsid w:val="006D7FAD"/>
    <w:rsid w:val="006E06CB"/>
    <w:rsid w:val="006E1395"/>
    <w:rsid w:val="006E1E68"/>
    <w:rsid w:val="006E1FFF"/>
    <w:rsid w:val="006E27F8"/>
    <w:rsid w:val="006E2C0F"/>
    <w:rsid w:val="006E32DF"/>
    <w:rsid w:val="006E34F8"/>
    <w:rsid w:val="006E39D7"/>
    <w:rsid w:val="006E3AD7"/>
    <w:rsid w:val="006E467A"/>
    <w:rsid w:val="006E4FDB"/>
    <w:rsid w:val="006E555C"/>
    <w:rsid w:val="006E5634"/>
    <w:rsid w:val="006E56DE"/>
    <w:rsid w:val="006E648E"/>
    <w:rsid w:val="006E666F"/>
    <w:rsid w:val="006E67F9"/>
    <w:rsid w:val="006E699D"/>
    <w:rsid w:val="006E69DF"/>
    <w:rsid w:val="006E6A0D"/>
    <w:rsid w:val="006E6EF2"/>
    <w:rsid w:val="006E798D"/>
    <w:rsid w:val="006E7D69"/>
    <w:rsid w:val="006F0456"/>
    <w:rsid w:val="006F052A"/>
    <w:rsid w:val="006F0B3C"/>
    <w:rsid w:val="006F0DA2"/>
    <w:rsid w:val="006F0E3E"/>
    <w:rsid w:val="006F19AF"/>
    <w:rsid w:val="006F232A"/>
    <w:rsid w:val="006F24C6"/>
    <w:rsid w:val="006F3CD9"/>
    <w:rsid w:val="006F4163"/>
    <w:rsid w:val="006F4274"/>
    <w:rsid w:val="006F4479"/>
    <w:rsid w:val="006F4793"/>
    <w:rsid w:val="006F4991"/>
    <w:rsid w:val="006F49D5"/>
    <w:rsid w:val="006F50D7"/>
    <w:rsid w:val="006F5242"/>
    <w:rsid w:val="006F5CDD"/>
    <w:rsid w:val="006F7A8E"/>
    <w:rsid w:val="006F7AEF"/>
    <w:rsid w:val="00700DFB"/>
    <w:rsid w:val="007010C3"/>
    <w:rsid w:val="007010FB"/>
    <w:rsid w:val="00701733"/>
    <w:rsid w:val="00701E06"/>
    <w:rsid w:val="00701EB1"/>
    <w:rsid w:val="007029F5"/>
    <w:rsid w:val="0070353D"/>
    <w:rsid w:val="00703D38"/>
    <w:rsid w:val="0070461A"/>
    <w:rsid w:val="00704923"/>
    <w:rsid w:val="007055D6"/>
    <w:rsid w:val="0070568A"/>
    <w:rsid w:val="00706840"/>
    <w:rsid w:val="0070684F"/>
    <w:rsid w:val="007071EE"/>
    <w:rsid w:val="007073E4"/>
    <w:rsid w:val="007076C9"/>
    <w:rsid w:val="0071013D"/>
    <w:rsid w:val="00710753"/>
    <w:rsid w:val="0071090E"/>
    <w:rsid w:val="007118B6"/>
    <w:rsid w:val="00712882"/>
    <w:rsid w:val="00712895"/>
    <w:rsid w:val="00712986"/>
    <w:rsid w:val="0071298D"/>
    <w:rsid w:val="00712F97"/>
    <w:rsid w:val="00712FCD"/>
    <w:rsid w:val="00713047"/>
    <w:rsid w:val="00714288"/>
    <w:rsid w:val="007142AD"/>
    <w:rsid w:val="00714938"/>
    <w:rsid w:val="00714E3D"/>
    <w:rsid w:val="00715505"/>
    <w:rsid w:val="00715F4B"/>
    <w:rsid w:val="0071610E"/>
    <w:rsid w:val="00716BA5"/>
    <w:rsid w:val="007176E1"/>
    <w:rsid w:val="00717880"/>
    <w:rsid w:val="00717DCF"/>
    <w:rsid w:val="00717F47"/>
    <w:rsid w:val="0072194B"/>
    <w:rsid w:val="00722043"/>
    <w:rsid w:val="0072294C"/>
    <w:rsid w:val="00722A2E"/>
    <w:rsid w:val="0072398A"/>
    <w:rsid w:val="00723B1A"/>
    <w:rsid w:val="007244BC"/>
    <w:rsid w:val="00725B3E"/>
    <w:rsid w:val="00725C17"/>
    <w:rsid w:val="0072641A"/>
    <w:rsid w:val="00726686"/>
    <w:rsid w:val="00727349"/>
    <w:rsid w:val="0072742A"/>
    <w:rsid w:val="00727934"/>
    <w:rsid w:val="00727B7A"/>
    <w:rsid w:val="00727E98"/>
    <w:rsid w:val="00727FFB"/>
    <w:rsid w:val="00730397"/>
    <w:rsid w:val="0073045F"/>
    <w:rsid w:val="00731431"/>
    <w:rsid w:val="00731789"/>
    <w:rsid w:val="007317D9"/>
    <w:rsid w:val="00731A0B"/>
    <w:rsid w:val="007320B7"/>
    <w:rsid w:val="007320F1"/>
    <w:rsid w:val="0073236A"/>
    <w:rsid w:val="0073249A"/>
    <w:rsid w:val="007329E1"/>
    <w:rsid w:val="007345DF"/>
    <w:rsid w:val="00734856"/>
    <w:rsid w:val="00734F19"/>
    <w:rsid w:val="00734F61"/>
    <w:rsid w:val="007363CF"/>
    <w:rsid w:val="00736BA0"/>
    <w:rsid w:val="00736D3C"/>
    <w:rsid w:val="00737105"/>
    <w:rsid w:val="00737826"/>
    <w:rsid w:val="00737BDE"/>
    <w:rsid w:val="00737E9B"/>
    <w:rsid w:val="00737EAC"/>
    <w:rsid w:val="00737FB6"/>
    <w:rsid w:val="0074026B"/>
    <w:rsid w:val="0074097E"/>
    <w:rsid w:val="00741045"/>
    <w:rsid w:val="007412DF"/>
    <w:rsid w:val="0074175F"/>
    <w:rsid w:val="007418D3"/>
    <w:rsid w:val="007423CF"/>
    <w:rsid w:val="00742536"/>
    <w:rsid w:val="007428CB"/>
    <w:rsid w:val="007437DA"/>
    <w:rsid w:val="00743D1A"/>
    <w:rsid w:val="007445D0"/>
    <w:rsid w:val="0074497A"/>
    <w:rsid w:val="00744E45"/>
    <w:rsid w:val="00745295"/>
    <w:rsid w:val="007455CA"/>
    <w:rsid w:val="00745718"/>
    <w:rsid w:val="0074643B"/>
    <w:rsid w:val="00747F05"/>
    <w:rsid w:val="00750CB9"/>
    <w:rsid w:val="00751291"/>
    <w:rsid w:val="00751296"/>
    <w:rsid w:val="007517CE"/>
    <w:rsid w:val="00751A6E"/>
    <w:rsid w:val="007520E3"/>
    <w:rsid w:val="00752AD3"/>
    <w:rsid w:val="00752EB3"/>
    <w:rsid w:val="00753DB4"/>
    <w:rsid w:val="00753EAB"/>
    <w:rsid w:val="00754DDB"/>
    <w:rsid w:val="007551CF"/>
    <w:rsid w:val="00755246"/>
    <w:rsid w:val="0075583B"/>
    <w:rsid w:val="00755B28"/>
    <w:rsid w:val="00755D69"/>
    <w:rsid w:val="0075778B"/>
    <w:rsid w:val="00757A5B"/>
    <w:rsid w:val="00757F9A"/>
    <w:rsid w:val="00757FAD"/>
    <w:rsid w:val="00760384"/>
    <w:rsid w:val="00760DF5"/>
    <w:rsid w:val="00761FA1"/>
    <w:rsid w:val="0076294A"/>
    <w:rsid w:val="00762EF9"/>
    <w:rsid w:val="00762F73"/>
    <w:rsid w:val="00763242"/>
    <w:rsid w:val="00763379"/>
    <w:rsid w:val="00763FA7"/>
    <w:rsid w:val="0076468D"/>
    <w:rsid w:val="00764859"/>
    <w:rsid w:val="00764A23"/>
    <w:rsid w:val="007651A2"/>
    <w:rsid w:val="007658E8"/>
    <w:rsid w:val="00765DFE"/>
    <w:rsid w:val="00765F9B"/>
    <w:rsid w:val="0076627F"/>
    <w:rsid w:val="00766950"/>
    <w:rsid w:val="00766B58"/>
    <w:rsid w:val="00767915"/>
    <w:rsid w:val="00767AC9"/>
    <w:rsid w:val="00770BD4"/>
    <w:rsid w:val="007714E0"/>
    <w:rsid w:val="00771CAB"/>
    <w:rsid w:val="00772216"/>
    <w:rsid w:val="00772254"/>
    <w:rsid w:val="007729CE"/>
    <w:rsid w:val="00772BBD"/>
    <w:rsid w:val="00773FEE"/>
    <w:rsid w:val="007743BF"/>
    <w:rsid w:val="00774BE7"/>
    <w:rsid w:val="00774DC4"/>
    <w:rsid w:val="00775919"/>
    <w:rsid w:val="00775AA7"/>
    <w:rsid w:val="00775CCC"/>
    <w:rsid w:val="00776CAC"/>
    <w:rsid w:val="007776AD"/>
    <w:rsid w:val="00777787"/>
    <w:rsid w:val="00780420"/>
    <w:rsid w:val="0078106C"/>
    <w:rsid w:val="00781137"/>
    <w:rsid w:val="00781E14"/>
    <w:rsid w:val="007820D3"/>
    <w:rsid w:val="0078237F"/>
    <w:rsid w:val="007826CD"/>
    <w:rsid w:val="00782737"/>
    <w:rsid w:val="0078303C"/>
    <w:rsid w:val="007830FD"/>
    <w:rsid w:val="0078344B"/>
    <w:rsid w:val="00783FE6"/>
    <w:rsid w:val="00784877"/>
    <w:rsid w:val="007849FB"/>
    <w:rsid w:val="00785057"/>
    <w:rsid w:val="0078513A"/>
    <w:rsid w:val="007853DC"/>
    <w:rsid w:val="00785BCC"/>
    <w:rsid w:val="00785BE2"/>
    <w:rsid w:val="007865B2"/>
    <w:rsid w:val="007865E8"/>
    <w:rsid w:val="00786879"/>
    <w:rsid w:val="007868CF"/>
    <w:rsid w:val="00786949"/>
    <w:rsid w:val="00786E10"/>
    <w:rsid w:val="00787409"/>
    <w:rsid w:val="00787446"/>
    <w:rsid w:val="00787A66"/>
    <w:rsid w:val="00790192"/>
    <w:rsid w:val="00790621"/>
    <w:rsid w:val="0079081B"/>
    <w:rsid w:val="00791285"/>
    <w:rsid w:val="00791C2C"/>
    <w:rsid w:val="00794376"/>
    <w:rsid w:val="0079483B"/>
    <w:rsid w:val="00794D83"/>
    <w:rsid w:val="00794EEB"/>
    <w:rsid w:val="00794F8C"/>
    <w:rsid w:val="007954DE"/>
    <w:rsid w:val="007959A9"/>
    <w:rsid w:val="007963C9"/>
    <w:rsid w:val="007965FB"/>
    <w:rsid w:val="007974D1"/>
    <w:rsid w:val="007A079D"/>
    <w:rsid w:val="007A0AB3"/>
    <w:rsid w:val="007A1BB8"/>
    <w:rsid w:val="007A1C56"/>
    <w:rsid w:val="007A1F06"/>
    <w:rsid w:val="007A1F7A"/>
    <w:rsid w:val="007A2973"/>
    <w:rsid w:val="007A39C4"/>
    <w:rsid w:val="007A3A12"/>
    <w:rsid w:val="007A4A8C"/>
    <w:rsid w:val="007A5788"/>
    <w:rsid w:val="007A61CD"/>
    <w:rsid w:val="007A6E4D"/>
    <w:rsid w:val="007A710E"/>
    <w:rsid w:val="007A74FB"/>
    <w:rsid w:val="007A75F2"/>
    <w:rsid w:val="007A76FA"/>
    <w:rsid w:val="007A7B70"/>
    <w:rsid w:val="007A7BF3"/>
    <w:rsid w:val="007B04F2"/>
    <w:rsid w:val="007B0D3B"/>
    <w:rsid w:val="007B17CF"/>
    <w:rsid w:val="007B1DB3"/>
    <w:rsid w:val="007B1E27"/>
    <w:rsid w:val="007B212D"/>
    <w:rsid w:val="007B2568"/>
    <w:rsid w:val="007B275D"/>
    <w:rsid w:val="007B2999"/>
    <w:rsid w:val="007B2B77"/>
    <w:rsid w:val="007B2CF8"/>
    <w:rsid w:val="007B40A9"/>
    <w:rsid w:val="007B4484"/>
    <w:rsid w:val="007B4B5A"/>
    <w:rsid w:val="007B4DD7"/>
    <w:rsid w:val="007B4DE0"/>
    <w:rsid w:val="007B540F"/>
    <w:rsid w:val="007B57FA"/>
    <w:rsid w:val="007B6AD2"/>
    <w:rsid w:val="007B6B32"/>
    <w:rsid w:val="007B715B"/>
    <w:rsid w:val="007B7E5E"/>
    <w:rsid w:val="007B7F30"/>
    <w:rsid w:val="007C0DEE"/>
    <w:rsid w:val="007C0FEA"/>
    <w:rsid w:val="007C1DBE"/>
    <w:rsid w:val="007C1E0E"/>
    <w:rsid w:val="007C2697"/>
    <w:rsid w:val="007C3482"/>
    <w:rsid w:val="007C45C5"/>
    <w:rsid w:val="007C4D16"/>
    <w:rsid w:val="007C5A91"/>
    <w:rsid w:val="007C5D3E"/>
    <w:rsid w:val="007C5E9F"/>
    <w:rsid w:val="007C6063"/>
    <w:rsid w:val="007C6069"/>
    <w:rsid w:val="007C623B"/>
    <w:rsid w:val="007C6C26"/>
    <w:rsid w:val="007C70D7"/>
    <w:rsid w:val="007C7DE0"/>
    <w:rsid w:val="007D082B"/>
    <w:rsid w:val="007D0B56"/>
    <w:rsid w:val="007D127D"/>
    <w:rsid w:val="007D2728"/>
    <w:rsid w:val="007D28C2"/>
    <w:rsid w:val="007D29D7"/>
    <w:rsid w:val="007D2BD6"/>
    <w:rsid w:val="007D3827"/>
    <w:rsid w:val="007D3A20"/>
    <w:rsid w:val="007D4064"/>
    <w:rsid w:val="007D5992"/>
    <w:rsid w:val="007D5C7A"/>
    <w:rsid w:val="007D6B80"/>
    <w:rsid w:val="007D7412"/>
    <w:rsid w:val="007D77E6"/>
    <w:rsid w:val="007E0337"/>
    <w:rsid w:val="007E1530"/>
    <w:rsid w:val="007E15EC"/>
    <w:rsid w:val="007E172A"/>
    <w:rsid w:val="007E1A8B"/>
    <w:rsid w:val="007E1F5D"/>
    <w:rsid w:val="007E323E"/>
    <w:rsid w:val="007E3867"/>
    <w:rsid w:val="007E4CAA"/>
    <w:rsid w:val="007E4D81"/>
    <w:rsid w:val="007E4DC9"/>
    <w:rsid w:val="007E4E5D"/>
    <w:rsid w:val="007E58C8"/>
    <w:rsid w:val="007E5AB0"/>
    <w:rsid w:val="007E5F08"/>
    <w:rsid w:val="007E6A05"/>
    <w:rsid w:val="007E6E93"/>
    <w:rsid w:val="007E6F8D"/>
    <w:rsid w:val="007E799D"/>
    <w:rsid w:val="007E7FAA"/>
    <w:rsid w:val="007F04DF"/>
    <w:rsid w:val="007F123E"/>
    <w:rsid w:val="007F150E"/>
    <w:rsid w:val="007F1A45"/>
    <w:rsid w:val="007F21FB"/>
    <w:rsid w:val="007F27C1"/>
    <w:rsid w:val="007F2936"/>
    <w:rsid w:val="007F295C"/>
    <w:rsid w:val="007F3B5C"/>
    <w:rsid w:val="007F47DF"/>
    <w:rsid w:val="007F48F1"/>
    <w:rsid w:val="007F5065"/>
    <w:rsid w:val="007F5120"/>
    <w:rsid w:val="007F51BB"/>
    <w:rsid w:val="007F55C0"/>
    <w:rsid w:val="007F6627"/>
    <w:rsid w:val="007F6B7B"/>
    <w:rsid w:val="007F6BED"/>
    <w:rsid w:val="007F7A17"/>
    <w:rsid w:val="008000E0"/>
    <w:rsid w:val="00800BD8"/>
    <w:rsid w:val="00800C53"/>
    <w:rsid w:val="00801117"/>
    <w:rsid w:val="0080134E"/>
    <w:rsid w:val="0080236E"/>
    <w:rsid w:val="00803A7D"/>
    <w:rsid w:val="008040A6"/>
    <w:rsid w:val="00804257"/>
    <w:rsid w:val="008042E3"/>
    <w:rsid w:val="008044CB"/>
    <w:rsid w:val="00804AD0"/>
    <w:rsid w:val="008052C1"/>
    <w:rsid w:val="00805735"/>
    <w:rsid w:val="00805A96"/>
    <w:rsid w:val="00805B52"/>
    <w:rsid w:val="00806599"/>
    <w:rsid w:val="00807099"/>
    <w:rsid w:val="00807214"/>
    <w:rsid w:val="00807848"/>
    <w:rsid w:val="00807F1B"/>
    <w:rsid w:val="0081027C"/>
    <w:rsid w:val="00810577"/>
    <w:rsid w:val="00810D84"/>
    <w:rsid w:val="008118DC"/>
    <w:rsid w:val="00811A69"/>
    <w:rsid w:val="00812EEA"/>
    <w:rsid w:val="008134FF"/>
    <w:rsid w:val="008148EF"/>
    <w:rsid w:val="00814DE7"/>
    <w:rsid w:val="00814E39"/>
    <w:rsid w:val="00815B58"/>
    <w:rsid w:val="00815EE4"/>
    <w:rsid w:val="00815FA5"/>
    <w:rsid w:val="00816D26"/>
    <w:rsid w:val="00816DEB"/>
    <w:rsid w:val="00816FEB"/>
    <w:rsid w:val="00817464"/>
    <w:rsid w:val="0081773C"/>
    <w:rsid w:val="00817B23"/>
    <w:rsid w:val="00817CEB"/>
    <w:rsid w:val="00820275"/>
    <w:rsid w:val="008225ED"/>
    <w:rsid w:val="00822761"/>
    <w:rsid w:val="00822B02"/>
    <w:rsid w:val="00822FCB"/>
    <w:rsid w:val="0082343C"/>
    <w:rsid w:val="008235F0"/>
    <w:rsid w:val="00823E6B"/>
    <w:rsid w:val="00823E78"/>
    <w:rsid w:val="008243C8"/>
    <w:rsid w:val="00824D9E"/>
    <w:rsid w:val="00825771"/>
    <w:rsid w:val="00825B96"/>
    <w:rsid w:val="00826AAD"/>
    <w:rsid w:val="00826E13"/>
    <w:rsid w:val="008270F2"/>
    <w:rsid w:val="008275BF"/>
    <w:rsid w:val="00827F1C"/>
    <w:rsid w:val="00827FB9"/>
    <w:rsid w:val="008305A3"/>
    <w:rsid w:val="00830891"/>
    <w:rsid w:val="00831000"/>
    <w:rsid w:val="00831817"/>
    <w:rsid w:val="00832208"/>
    <w:rsid w:val="008324E9"/>
    <w:rsid w:val="00832964"/>
    <w:rsid w:val="00832D3F"/>
    <w:rsid w:val="008330C7"/>
    <w:rsid w:val="00834B56"/>
    <w:rsid w:val="00834FE7"/>
    <w:rsid w:val="00835457"/>
    <w:rsid w:val="008356C7"/>
    <w:rsid w:val="008359C2"/>
    <w:rsid w:val="00835AF2"/>
    <w:rsid w:val="00835E5D"/>
    <w:rsid w:val="00835EA9"/>
    <w:rsid w:val="008360E2"/>
    <w:rsid w:val="008360E9"/>
    <w:rsid w:val="00836577"/>
    <w:rsid w:val="00837576"/>
    <w:rsid w:val="00837DD0"/>
    <w:rsid w:val="00837E4D"/>
    <w:rsid w:val="00840E00"/>
    <w:rsid w:val="00841029"/>
    <w:rsid w:val="008410C2"/>
    <w:rsid w:val="008411FB"/>
    <w:rsid w:val="0084167C"/>
    <w:rsid w:val="00841943"/>
    <w:rsid w:val="00842BF1"/>
    <w:rsid w:val="00843C01"/>
    <w:rsid w:val="00845246"/>
    <w:rsid w:val="00845304"/>
    <w:rsid w:val="00845339"/>
    <w:rsid w:val="0084580F"/>
    <w:rsid w:val="00845D30"/>
    <w:rsid w:val="008463F5"/>
    <w:rsid w:val="00846BA9"/>
    <w:rsid w:val="00846F9D"/>
    <w:rsid w:val="008477C4"/>
    <w:rsid w:val="008507C1"/>
    <w:rsid w:val="00850B00"/>
    <w:rsid w:val="00850D5C"/>
    <w:rsid w:val="0085149A"/>
    <w:rsid w:val="00851B6A"/>
    <w:rsid w:val="00851F67"/>
    <w:rsid w:val="00852D25"/>
    <w:rsid w:val="00853C09"/>
    <w:rsid w:val="00853ED8"/>
    <w:rsid w:val="008550A5"/>
    <w:rsid w:val="008553C5"/>
    <w:rsid w:val="00855BB5"/>
    <w:rsid w:val="0085638E"/>
    <w:rsid w:val="0085655B"/>
    <w:rsid w:val="00856683"/>
    <w:rsid w:val="008571AE"/>
    <w:rsid w:val="00857698"/>
    <w:rsid w:val="0085784B"/>
    <w:rsid w:val="00857989"/>
    <w:rsid w:val="008611CC"/>
    <w:rsid w:val="00861561"/>
    <w:rsid w:val="00861874"/>
    <w:rsid w:val="00862487"/>
    <w:rsid w:val="00862AFA"/>
    <w:rsid w:val="00862D4E"/>
    <w:rsid w:val="00863070"/>
    <w:rsid w:val="0086331E"/>
    <w:rsid w:val="00863B76"/>
    <w:rsid w:val="00863E16"/>
    <w:rsid w:val="00863E20"/>
    <w:rsid w:val="00863E9C"/>
    <w:rsid w:val="00863F62"/>
    <w:rsid w:val="0086452E"/>
    <w:rsid w:val="00865B84"/>
    <w:rsid w:val="008662BA"/>
    <w:rsid w:val="00866945"/>
    <w:rsid w:val="00867291"/>
    <w:rsid w:val="00867DEC"/>
    <w:rsid w:val="00870284"/>
    <w:rsid w:val="0087170E"/>
    <w:rsid w:val="00871B9B"/>
    <w:rsid w:val="008724AE"/>
    <w:rsid w:val="00872843"/>
    <w:rsid w:val="008735D9"/>
    <w:rsid w:val="0087377B"/>
    <w:rsid w:val="00873A51"/>
    <w:rsid w:val="00873DD8"/>
    <w:rsid w:val="0087489A"/>
    <w:rsid w:val="00874B36"/>
    <w:rsid w:val="00874D3F"/>
    <w:rsid w:val="00874E45"/>
    <w:rsid w:val="008751E5"/>
    <w:rsid w:val="00875568"/>
    <w:rsid w:val="00875A71"/>
    <w:rsid w:val="00875DCD"/>
    <w:rsid w:val="00875F3F"/>
    <w:rsid w:val="00876119"/>
    <w:rsid w:val="00876950"/>
    <w:rsid w:val="00876AFB"/>
    <w:rsid w:val="00876FED"/>
    <w:rsid w:val="00877211"/>
    <w:rsid w:val="00877718"/>
    <w:rsid w:val="00877CA3"/>
    <w:rsid w:val="008801A2"/>
    <w:rsid w:val="008819F3"/>
    <w:rsid w:val="00881D4A"/>
    <w:rsid w:val="00881FE8"/>
    <w:rsid w:val="00882208"/>
    <w:rsid w:val="008828A0"/>
    <w:rsid w:val="00882FEA"/>
    <w:rsid w:val="008843FB"/>
    <w:rsid w:val="00884864"/>
    <w:rsid w:val="00884A92"/>
    <w:rsid w:val="00884B46"/>
    <w:rsid w:val="0088524C"/>
    <w:rsid w:val="00885513"/>
    <w:rsid w:val="00885A68"/>
    <w:rsid w:val="00885BFF"/>
    <w:rsid w:val="00885E6F"/>
    <w:rsid w:val="00886092"/>
    <w:rsid w:val="00886D24"/>
    <w:rsid w:val="0088750E"/>
    <w:rsid w:val="008876A2"/>
    <w:rsid w:val="00887AC6"/>
    <w:rsid w:val="00887C23"/>
    <w:rsid w:val="008909C5"/>
    <w:rsid w:val="008914FF"/>
    <w:rsid w:val="00891875"/>
    <w:rsid w:val="00891B2D"/>
    <w:rsid w:val="00891BC1"/>
    <w:rsid w:val="00891DF2"/>
    <w:rsid w:val="00891E4E"/>
    <w:rsid w:val="008920BE"/>
    <w:rsid w:val="008922CA"/>
    <w:rsid w:val="00892439"/>
    <w:rsid w:val="0089256A"/>
    <w:rsid w:val="008926B2"/>
    <w:rsid w:val="00892858"/>
    <w:rsid w:val="008937E2"/>
    <w:rsid w:val="00893F80"/>
    <w:rsid w:val="008940EA"/>
    <w:rsid w:val="008949EF"/>
    <w:rsid w:val="00894DEF"/>
    <w:rsid w:val="00894F2B"/>
    <w:rsid w:val="00895315"/>
    <w:rsid w:val="008957EC"/>
    <w:rsid w:val="008968DE"/>
    <w:rsid w:val="008974D5"/>
    <w:rsid w:val="00897B9A"/>
    <w:rsid w:val="008A0E91"/>
    <w:rsid w:val="008A1109"/>
    <w:rsid w:val="008A165E"/>
    <w:rsid w:val="008A1C82"/>
    <w:rsid w:val="008A1F2F"/>
    <w:rsid w:val="008A1F5F"/>
    <w:rsid w:val="008A24C5"/>
    <w:rsid w:val="008A259A"/>
    <w:rsid w:val="008A268B"/>
    <w:rsid w:val="008A2B75"/>
    <w:rsid w:val="008A2E18"/>
    <w:rsid w:val="008A31A5"/>
    <w:rsid w:val="008A3A62"/>
    <w:rsid w:val="008A3B38"/>
    <w:rsid w:val="008A3BEF"/>
    <w:rsid w:val="008A4535"/>
    <w:rsid w:val="008A4799"/>
    <w:rsid w:val="008A49AF"/>
    <w:rsid w:val="008A4A62"/>
    <w:rsid w:val="008A4EBF"/>
    <w:rsid w:val="008A51BE"/>
    <w:rsid w:val="008A5CE7"/>
    <w:rsid w:val="008A5E3E"/>
    <w:rsid w:val="008A6C77"/>
    <w:rsid w:val="008A6CCD"/>
    <w:rsid w:val="008A6F79"/>
    <w:rsid w:val="008A704E"/>
    <w:rsid w:val="008B0099"/>
    <w:rsid w:val="008B01F1"/>
    <w:rsid w:val="008B0E5C"/>
    <w:rsid w:val="008B0FE0"/>
    <w:rsid w:val="008B10A0"/>
    <w:rsid w:val="008B1AC5"/>
    <w:rsid w:val="008B1ACB"/>
    <w:rsid w:val="008B1D45"/>
    <w:rsid w:val="008B2265"/>
    <w:rsid w:val="008B22E9"/>
    <w:rsid w:val="008B252E"/>
    <w:rsid w:val="008B2689"/>
    <w:rsid w:val="008B3028"/>
    <w:rsid w:val="008B3AFD"/>
    <w:rsid w:val="008B4BD2"/>
    <w:rsid w:val="008B5019"/>
    <w:rsid w:val="008B5176"/>
    <w:rsid w:val="008B652E"/>
    <w:rsid w:val="008B66F6"/>
    <w:rsid w:val="008B7199"/>
    <w:rsid w:val="008B7A2E"/>
    <w:rsid w:val="008B7D65"/>
    <w:rsid w:val="008C046F"/>
    <w:rsid w:val="008C0FFE"/>
    <w:rsid w:val="008C15D6"/>
    <w:rsid w:val="008C1960"/>
    <w:rsid w:val="008C1A93"/>
    <w:rsid w:val="008C2004"/>
    <w:rsid w:val="008C254C"/>
    <w:rsid w:val="008C2B0B"/>
    <w:rsid w:val="008C2C7D"/>
    <w:rsid w:val="008C3187"/>
    <w:rsid w:val="008C3B80"/>
    <w:rsid w:val="008C3C63"/>
    <w:rsid w:val="008C3E2E"/>
    <w:rsid w:val="008C4658"/>
    <w:rsid w:val="008C5C16"/>
    <w:rsid w:val="008C6379"/>
    <w:rsid w:val="008C6959"/>
    <w:rsid w:val="008C7121"/>
    <w:rsid w:val="008C7CC3"/>
    <w:rsid w:val="008C7D84"/>
    <w:rsid w:val="008D03BA"/>
    <w:rsid w:val="008D1005"/>
    <w:rsid w:val="008D1583"/>
    <w:rsid w:val="008D2411"/>
    <w:rsid w:val="008D25C3"/>
    <w:rsid w:val="008D2876"/>
    <w:rsid w:val="008D2D23"/>
    <w:rsid w:val="008D30CA"/>
    <w:rsid w:val="008D3154"/>
    <w:rsid w:val="008D3247"/>
    <w:rsid w:val="008D3CDE"/>
    <w:rsid w:val="008D4564"/>
    <w:rsid w:val="008D4997"/>
    <w:rsid w:val="008D5637"/>
    <w:rsid w:val="008D58EF"/>
    <w:rsid w:val="008D5E08"/>
    <w:rsid w:val="008D6775"/>
    <w:rsid w:val="008D6C92"/>
    <w:rsid w:val="008D7578"/>
    <w:rsid w:val="008D7801"/>
    <w:rsid w:val="008D7A8D"/>
    <w:rsid w:val="008D7C74"/>
    <w:rsid w:val="008E018C"/>
    <w:rsid w:val="008E0D93"/>
    <w:rsid w:val="008E2267"/>
    <w:rsid w:val="008E229E"/>
    <w:rsid w:val="008E2BAF"/>
    <w:rsid w:val="008E37D1"/>
    <w:rsid w:val="008E3D1D"/>
    <w:rsid w:val="008E3E05"/>
    <w:rsid w:val="008E41A1"/>
    <w:rsid w:val="008E464D"/>
    <w:rsid w:val="008E4825"/>
    <w:rsid w:val="008E53D0"/>
    <w:rsid w:val="008E5420"/>
    <w:rsid w:val="008E5605"/>
    <w:rsid w:val="008E58B7"/>
    <w:rsid w:val="008E590C"/>
    <w:rsid w:val="008E59DD"/>
    <w:rsid w:val="008E5BCE"/>
    <w:rsid w:val="008E5C21"/>
    <w:rsid w:val="008E608A"/>
    <w:rsid w:val="008E654A"/>
    <w:rsid w:val="008E6575"/>
    <w:rsid w:val="008E68B1"/>
    <w:rsid w:val="008E763A"/>
    <w:rsid w:val="008E787A"/>
    <w:rsid w:val="008E7E59"/>
    <w:rsid w:val="008F033B"/>
    <w:rsid w:val="008F0F33"/>
    <w:rsid w:val="008F0F81"/>
    <w:rsid w:val="008F1A30"/>
    <w:rsid w:val="008F1A93"/>
    <w:rsid w:val="008F208E"/>
    <w:rsid w:val="008F243B"/>
    <w:rsid w:val="008F2633"/>
    <w:rsid w:val="008F2B71"/>
    <w:rsid w:val="008F327F"/>
    <w:rsid w:val="008F34CD"/>
    <w:rsid w:val="008F45CE"/>
    <w:rsid w:val="008F4E52"/>
    <w:rsid w:val="008F4EF0"/>
    <w:rsid w:val="008F5156"/>
    <w:rsid w:val="008F58E9"/>
    <w:rsid w:val="008F669C"/>
    <w:rsid w:val="008F6BEB"/>
    <w:rsid w:val="008F72E9"/>
    <w:rsid w:val="009003DF"/>
    <w:rsid w:val="00900B53"/>
    <w:rsid w:val="00900C4F"/>
    <w:rsid w:val="00900D60"/>
    <w:rsid w:val="009010EC"/>
    <w:rsid w:val="00901527"/>
    <w:rsid w:val="00901630"/>
    <w:rsid w:val="00902709"/>
    <w:rsid w:val="00902BD6"/>
    <w:rsid w:val="00902C1F"/>
    <w:rsid w:val="00902D5D"/>
    <w:rsid w:val="0090317B"/>
    <w:rsid w:val="00903398"/>
    <w:rsid w:val="00903669"/>
    <w:rsid w:val="00903801"/>
    <w:rsid w:val="00903946"/>
    <w:rsid w:val="00903DAD"/>
    <w:rsid w:val="00903EEB"/>
    <w:rsid w:val="00904C85"/>
    <w:rsid w:val="009057F1"/>
    <w:rsid w:val="00905E1E"/>
    <w:rsid w:val="00906275"/>
    <w:rsid w:val="009063FF"/>
    <w:rsid w:val="0090687A"/>
    <w:rsid w:val="0090724B"/>
    <w:rsid w:val="009078D2"/>
    <w:rsid w:val="00907A82"/>
    <w:rsid w:val="009101CD"/>
    <w:rsid w:val="00910596"/>
    <w:rsid w:val="0091064F"/>
    <w:rsid w:val="00910AFC"/>
    <w:rsid w:val="00910BA4"/>
    <w:rsid w:val="00910E97"/>
    <w:rsid w:val="00910F25"/>
    <w:rsid w:val="009111A4"/>
    <w:rsid w:val="009117CB"/>
    <w:rsid w:val="009124DE"/>
    <w:rsid w:val="0091286E"/>
    <w:rsid w:val="00912B4D"/>
    <w:rsid w:val="00912C17"/>
    <w:rsid w:val="00913200"/>
    <w:rsid w:val="009148CA"/>
    <w:rsid w:val="0091493D"/>
    <w:rsid w:val="00914C89"/>
    <w:rsid w:val="009152C5"/>
    <w:rsid w:val="009154E3"/>
    <w:rsid w:val="00915753"/>
    <w:rsid w:val="00915B77"/>
    <w:rsid w:val="00915BB8"/>
    <w:rsid w:val="00916015"/>
    <w:rsid w:val="00916148"/>
    <w:rsid w:val="00916D77"/>
    <w:rsid w:val="0091781F"/>
    <w:rsid w:val="0091789A"/>
    <w:rsid w:val="009201CF"/>
    <w:rsid w:val="009201E5"/>
    <w:rsid w:val="0092054E"/>
    <w:rsid w:val="00920C14"/>
    <w:rsid w:val="00920ECE"/>
    <w:rsid w:val="00921CA5"/>
    <w:rsid w:val="009246A9"/>
    <w:rsid w:val="00924C47"/>
    <w:rsid w:val="00924E42"/>
    <w:rsid w:val="0092585B"/>
    <w:rsid w:val="00925DBA"/>
    <w:rsid w:val="00925F20"/>
    <w:rsid w:val="00925F9F"/>
    <w:rsid w:val="00926146"/>
    <w:rsid w:val="00926E80"/>
    <w:rsid w:val="009273BD"/>
    <w:rsid w:val="00927B33"/>
    <w:rsid w:val="00927B5F"/>
    <w:rsid w:val="00927B8C"/>
    <w:rsid w:val="00927CFA"/>
    <w:rsid w:val="00930009"/>
    <w:rsid w:val="00930571"/>
    <w:rsid w:val="00930970"/>
    <w:rsid w:val="00930BBC"/>
    <w:rsid w:val="009310D8"/>
    <w:rsid w:val="00931519"/>
    <w:rsid w:val="0093172D"/>
    <w:rsid w:val="0093183A"/>
    <w:rsid w:val="00931E04"/>
    <w:rsid w:val="00932BF2"/>
    <w:rsid w:val="00933867"/>
    <w:rsid w:val="009339B2"/>
    <w:rsid w:val="00933AB4"/>
    <w:rsid w:val="00933C84"/>
    <w:rsid w:val="00933F60"/>
    <w:rsid w:val="009352C2"/>
    <w:rsid w:val="0093545E"/>
    <w:rsid w:val="0093563D"/>
    <w:rsid w:val="00936984"/>
    <w:rsid w:val="00936E8B"/>
    <w:rsid w:val="009370BE"/>
    <w:rsid w:val="00940582"/>
    <w:rsid w:val="00940645"/>
    <w:rsid w:val="0094069B"/>
    <w:rsid w:val="0094087B"/>
    <w:rsid w:val="00941F2D"/>
    <w:rsid w:val="00942204"/>
    <w:rsid w:val="0094255F"/>
    <w:rsid w:val="00943111"/>
    <w:rsid w:val="009431D4"/>
    <w:rsid w:val="00944A06"/>
    <w:rsid w:val="00944A4F"/>
    <w:rsid w:val="00946349"/>
    <w:rsid w:val="00946448"/>
    <w:rsid w:val="00946453"/>
    <w:rsid w:val="00946C6C"/>
    <w:rsid w:val="00946DE2"/>
    <w:rsid w:val="00947046"/>
    <w:rsid w:val="009479E8"/>
    <w:rsid w:val="00950587"/>
    <w:rsid w:val="009509DE"/>
    <w:rsid w:val="00952115"/>
    <w:rsid w:val="00952225"/>
    <w:rsid w:val="00952459"/>
    <w:rsid w:val="009524AE"/>
    <w:rsid w:val="0095250A"/>
    <w:rsid w:val="00952956"/>
    <w:rsid w:val="00952C89"/>
    <w:rsid w:val="00954574"/>
    <w:rsid w:val="0095465B"/>
    <w:rsid w:val="00954745"/>
    <w:rsid w:val="00954E8D"/>
    <w:rsid w:val="0095507F"/>
    <w:rsid w:val="00955356"/>
    <w:rsid w:val="009556D2"/>
    <w:rsid w:val="00956163"/>
    <w:rsid w:val="00956268"/>
    <w:rsid w:val="0095675A"/>
    <w:rsid w:val="00956A20"/>
    <w:rsid w:val="00957474"/>
    <w:rsid w:val="00957BC2"/>
    <w:rsid w:val="009616EB"/>
    <w:rsid w:val="00961913"/>
    <w:rsid w:val="00961B0E"/>
    <w:rsid w:val="00961D3F"/>
    <w:rsid w:val="00961EEC"/>
    <w:rsid w:val="00962159"/>
    <w:rsid w:val="00962496"/>
    <w:rsid w:val="00962633"/>
    <w:rsid w:val="00962B8C"/>
    <w:rsid w:val="00963E3F"/>
    <w:rsid w:val="0096428C"/>
    <w:rsid w:val="0096451B"/>
    <w:rsid w:val="009647EF"/>
    <w:rsid w:val="00965733"/>
    <w:rsid w:val="00966037"/>
    <w:rsid w:val="00967100"/>
    <w:rsid w:val="0096719D"/>
    <w:rsid w:val="00967AE5"/>
    <w:rsid w:val="00967AE7"/>
    <w:rsid w:val="00970008"/>
    <w:rsid w:val="009701F1"/>
    <w:rsid w:val="00971631"/>
    <w:rsid w:val="00971BE4"/>
    <w:rsid w:val="00971C49"/>
    <w:rsid w:val="00971D63"/>
    <w:rsid w:val="00971FDE"/>
    <w:rsid w:val="0097229C"/>
    <w:rsid w:val="00972CA3"/>
    <w:rsid w:val="009732BA"/>
    <w:rsid w:val="009735E3"/>
    <w:rsid w:val="0097372C"/>
    <w:rsid w:val="00973851"/>
    <w:rsid w:val="009746DC"/>
    <w:rsid w:val="00974C64"/>
    <w:rsid w:val="009750A9"/>
    <w:rsid w:val="0097592D"/>
    <w:rsid w:val="00975BD0"/>
    <w:rsid w:val="00976118"/>
    <w:rsid w:val="009765C2"/>
    <w:rsid w:val="009765EC"/>
    <w:rsid w:val="00977E52"/>
    <w:rsid w:val="0098053D"/>
    <w:rsid w:val="009806B3"/>
    <w:rsid w:val="0098117B"/>
    <w:rsid w:val="009818A0"/>
    <w:rsid w:val="0098209C"/>
    <w:rsid w:val="00982544"/>
    <w:rsid w:val="0098266C"/>
    <w:rsid w:val="00982753"/>
    <w:rsid w:val="00983D1F"/>
    <w:rsid w:val="00983FDE"/>
    <w:rsid w:val="0098409F"/>
    <w:rsid w:val="0098473D"/>
    <w:rsid w:val="00984B0D"/>
    <w:rsid w:val="00984DF1"/>
    <w:rsid w:val="00984E75"/>
    <w:rsid w:val="009851D2"/>
    <w:rsid w:val="00985A77"/>
    <w:rsid w:val="00985FC7"/>
    <w:rsid w:val="00986214"/>
    <w:rsid w:val="00986352"/>
    <w:rsid w:val="00986984"/>
    <w:rsid w:val="00987476"/>
    <w:rsid w:val="0098765E"/>
    <w:rsid w:val="00987976"/>
    <w:rsid w:val="00987A4C"/>
    <w:rsid w:val="00987D37"/>
    <w:rsid w:val="00987F74"/>
    <w:rsid w:val="009910AC"/>
    <w:rsid w:val="009913B1"/>
    <w:rsid w:val="00991768"/>
    <w:rsid w:val="00991966"/>
    <w:rsid w:val="009919C0"/>
    <w:rsid w:val="0099260C"/>
    <w:rsid w:val="00992EC7"/>
    <w:rsid w:val="009938C4"/>
    <w:rsid w:val="00994427"/>
    <w:rsid w:val="0099469B"/>
    <w:rsid w:val="009948B7"/>
    <w:rsid w:val="0099517A"/>
    <w:rsid w:val="009951BE"/>
    <w:rsid w:val="0099532E"/>
    <w:rsid w:val="00995693"/>
    <w:rsid w:val="009957B2"/>
    <w:rsid w:val="00995A7A"/>
    <w:rsid w:val="00996023"/>
    <w:rsid w:val="00996DE2"/>
    <w:rsid w:val="009A00D1"/>
    <w:rsid w:val="009A0474"/>
    <w:rsid w:val="009A0486"/>
    <w:rsid w:val="009A04DE"/>
    <w:rsid w:val="009A09FE"/>
    <w:rsid w:val="009A12ED"/>
    <w:rsid w:val="009A1465"/>
    <w:rsid w:val="009A19FF"/>
    <w:rsid w:val="009A3230"/>
    <w:rsid w:val="009A38B0"/>
    <w:rsid w:val="009A4155"/>
    <w:rsid w:val="009A5D8C"/>
    <w:rsid w:val="009A64A8"/>
    <w:rsid w:val="009A691A"/>
    <w:rsid w:val="009A6D4E"/>
    <w:rsid w:val="009A6EFB"/>
    <w:rsid w:val="009B00BA"/>
    <w:rsid w:val="009B01B5"/>
    <w:rsid w:val="009B09E8"/>
    <w:rsid w:val="009B2671"/>
    <w:rsid w:val="009B274F"/>
    <w:rsid w:val="009B364C"/>
    <w:rsid w:val="009B410A"/>
    <w:rsid w:val="009B4572"/>
    <w:rsid w:val="009B51D8"/>
    <w:rsid w:val="009B5D39"/>
    <w:rsid w:val="009B60D2"/>
    <w:rsid w:val="009B63FF"/>
    <w:rsid w:val="009B6571"/>
    <w:rsid w:val="009B6833"/>
    <w:rsid w:val="009C020E"/>
    <w:rsid w:val="009C034A"/>
    <w:rsid w:val="009C07F3"/>
    <w:rsid w:val="009C120E"/>
    <w:rsid w:val="009C147B"/>
    <w:rsid w:val="009C185D"/>
    <w:rsid w:val="009C1EB7"/>
    <w:rsid w:val="009C1F49"/>
    <w:rsid w:val="009C3099"/>
    <w:rsid w:val="009C337F"/>
    <w:rsid w:val="009C5468"/>
    <w:rsid w:val="009C5996"/>
    <w:rsid w:val="009C5AFA"/>
    <w:rsid w:val="009C6244"/>
    <w:rsid w:val="009C68E0"/>
    <w:rsid w:val="009C6AE6"/>
    <w:rsid w:val="009C7F63"/>
    <w:rsid w:val="009C7FA3"/>
    <w:rsid w:val="009D0070"/>
    <w:rsid w:val="009D0505"/>
    <w:rsid w:val="009D0B38"/>
    <w:rsid w:val="009D0CBA"/>
    <w:rsid w:val="009D15B8"/>
    <w:rsid w:val="009D1978"/>
    <w:rsid w:val="009D20DC"/>
    <w:rsid w:val="009D21F5"/>
    <w:rsid w:val="009D26A4"/>
    <w:rsid w:val="009D2F4E"/>
    <w:rsid w:val="009D3D33"/>
    <w:rsid w:val="009D43A3"/>
    <w:rsid w:val="009D4993"/>
    <w:rsid w:val="009D5341"/>
    <w:rsid w:val="009D5CDD"/>
    <w:rsid w:val="009D6973"/>
    <w:rsid w:val="009D6E79"/>
    <w:rsid w:val="009D7006"/>
    <w:rsid w:val="009D7337"/>
    <w:rsid w:val="009D73B1"/>
    <w:rsid w:val="009D75D5"/>
    <w:rsid w:val="009D7A73"/>
    <w:rsid w:val="009D7D00"/>
    <w:rsid w:val="009E0111"/>
    <w:rsid w:val="009E0D53"/>
    <w:rsid w:val="009E156C"/>
    <w:rsid w:val="009E17F5"/>
    <w:rsid w:val="009E183D"/>
    <w:rsid w:val="009E201D"/>
    <w:rsid w:val="009E2894"/>
    <w:rsid w:val="009E3C7D"/>
    <w:rsid w:val="009E4149"/>
    <w:rsid w:val="009E43E5"/>
    <w:rsid w:val="009E4435"/>
    <w:rsid w:val="009E45D2"/>
    <w:rsid w:val="009E4B6E"/>
    <w:rsid w:val="009E52DB"/>
    <w:rsid w:val="009E5437"/>
    <w:rsid w:val="009E5881"/>
    <w:rsid w:val="009E5F8B"/>
    <w:rsid w:val="009E61EA"/>
    <w:rsid w:val="009E61EB"/>
    <w:rsid w:val="009E6EDE"/>
    <w:rsid w:val="009E7049"/>
    <w:rsid w:val="009F020E"/>
    <w:rsid w:val="009F09BE"/>
    <w:rsid w:val="009F09EC"/>
    <w:rsid w:val="009F1448"/>
    <w:rsid w:val="009F15DD"/>
    <w:rsid w:val="009F1E31"/>
    <w:rsid w:val="009F21D0"/>
    <w:rsid w:val="009F23DD"/>
    <w:rsid w:val="009F2BFC"/>
    <w:rsid w:val="009F3212"/>
    <w:rsid w:val="009F37ED"/>
    <w:rsid w:val="009F3AA7"/>
    <w:rsid w:val="009F3BB2"/>
    <w:rsid w:val="009F3FB3"/>
    <w:rsid w:val="009F400F"/>
    <w:rsid w:val="009F47D5"/>
    <w:rsid w:val="009F4A8A"/>
    <w:rsid w:val="009F50C9"/>
    <w:rsid w:val="009F59CE"/>
    <w:rsid w:val="009F6B1C"/>
    <w:rsid w:val="009F779A"/>
    <w:rsid w:val="00A0006F"/>
    <w:rsid w:val="00A00391"/>
    <w:rsid w:val="00A01763"/>
    <w:rsid w:val="00A01F1A"/>
    <w:rsid w:val="00A0222B"/>
    <w:rsid w:val="00A04176"/>
    <w:rsid w:val="00A04C95"/>
    <w:rsid w:val="00A04E6D"/>
    <w:rsid w:val="00A05351"/>
    <w:rsid w:val="00A0541C"/>
    <w:rsid w:val="00A05564"/>
    <w:rsid w:val="00A055A3"/>
    <w:rsid w:val="00A05F69"/>
    <w:rsid w:val="00A06134"/>
    <w:rsid w:val="00A0692F"/>
    <w:rsid w:val="00A06D4D"/>
    <w:rsid w:val="00A07159"/>
    <w:rsid w:val="00A075DF"/>
    <w:rsid w:val="00A0784C"/>
    <w:rsid w:val="00A07DD7"/>
    <w:rsid w:val="00A104BB"/>
    <w:rsid w:val="00A10D95"/>
    <w:rsid w:val="00A117E7"/>
    <w:rsid w:val="00A11966"/>
    <w:rsid w:val="00A11BCB"/>
    <w:rsid w:val="00A11D3E"/>
    <w:rsid w:val="00A127A9"/>
    <w:rsid w:val="00A1365F"/>
    <w:rsid w:val="00A13C1D"/>
    <w:rsid w:val="00A140A0"/>
    <w:rsid w:val="00A1437A"/>
    <w:rsid w:val="00A14E62"/>
    <w:rsid w:val="00A15CC4"/>
    <w:rsid w:val="00A15D39"/>
    <w:rsid w:val="00A15F00"/>
    <w:rsid w:val="00A160FB"/>
    <w:rsid w:val="00A173C7"/>
    <w:rsid w:val="00A1758B"/>
    <w:rsid w:val="00A17CF2"/>
    <w:rsid w:val="00A204E2"/>
    <w:rsid w:val="00A20795"/>
    <w:rsid w:val="00A20891"/>
    <w:rsid w:val="00A20C49"/>
    <w:rsid w:val="00A20FB3"/>
    <w:rsid w:val="00A21855"/>
    <w:rsid w:val="00A21941"/>
    <w:rsid w:val="00A21BB4"/>
    <w:rsid w:val="00A21C2C"/>
    <w:rsid w:val="00A21C37"/>
    <w:rsid w:val="00A21E61"/>
    <w:rsid w:val="00A22078"/>
    <w:rsid w:val="00A22451"/>
    <w:rsid w:val="00A2252F"/>
    <w:rsid w:val="00A22576"/>
    <w:rsid w:val="00A225A4"/>
    <w:rsid w:val="00A22D8D"/>
    <w:rsid w:val="00A234C1"/>
    <w:rsid w:val="00A23AC9"/>
    <w:rsid w:val="00A2438D"/>
    <w:rsid w:val="00A24BDF"/>
    <w:rsid w:val="00A25682"/>
    <w:rsid w:val="00A25856"/>
    <w:rsid w:val="00A25CF4"/>
    <w:rsid w:val="00A25E2E"/>
    <w:rsid w:val="00A26193"/>
    <w:rsid w:val="00A268A9"/>
    <w:rsid w:val="00A26A41"/>
    <w:rsid w:val="00A27E80"/>
    <w:rsid w:val="00A301FC"/>
    <w:rsid w:val="00A3023B"/>
    <w:rsid w:val="00A30AE0"/>
    <w:rsid w:val="00A31BB5"/>
    <w:rsid w:val="00A32451"/>
    <w:rsid w:val="00A32BC7"/>
    <w:rsid w:val="00A3351C"/>
    <w:rsid w:val="00A33C81"/>
    <w:rsid w:val="00A3412E"/>
    <w:rsid w:val="00A34C05"/>
    <w:rsid w:val="00A34C7C"/>
    <w:rsid w:val="00A34F0F"/>
    <w:rsid w:val="00A3520D"/>
    <w:rsid w:val="00A3532F"/>
    <w:rsid w:val="00A35ED6"/>
    <w:rsid w:val="00A372AB"/>
    <w:rsid w:val="00A37471"/>
    <w:rsid w:val="00A40145"/>
    <w:rsid w:val="00A40604"/>
    <w:rsid w:val="00A40889"/>
    <w:rsid w:val="00A41524"/>
    <w:rsid w:val="00A41BF9"/>
    <w:rsid w:val="00A41FDC"/>
    <w:rsid w:val="00A42809"/>
    <w:rsid w:val="00A42C60"/>
    <w:rsid w:val="00A42CB5"/>
    <w:rsid w:val="00A430C3"/>
    <w:rsid w:val="00A437FD"/>
    <w:rsid w:val="00A44364"/>
    <w:rsid w:val="00A4528C"/>
    <w:rsid w:val="00A45758"/>
    <w:rsid w:val="00A45F8C"/>
    <w:rsid w:val="00A46D7B"/>
    <w:rsid w:val="00A4745A"/>
    <w:rsid w:val="00A47C2A"/>
    <w:rsid w:val="00A505B8"/>
    <w:rsid w:val="00A50D6A"/>
    <w:rsid w:val="00A52E11"/>
    <w:rsid w:val="00A5399E"/>
    <w:rsid w:val="00A53FF4"/>
    <w:rsid w:val="00A541EB"/>
    <w:rsid w:val="00A5460C"/>
    <w:rsid w:val="00A54D0D"/>
    <w:rsid w:val="00A54DC9"/>
    <w:rsid w:val="00A55B9E"/>
    <w:rsid w:val="00A56152"/>
    <w:rsid w:val="00A566C3"/>
    <w:rsid w:val="00A56AEE"/>
    <w:rsid w:val="00A56C52"/>
    <w:rsid w:val="00A56D09"/>
    <w:rsid w:val="00A57073"/>
    <w:rsid w:val="00A575A5"/>
    <w:rsid w:val="00A57A77"/>
    <w:rsid w:val="00A57D5C"/>
    <w:rsid w:val="00A57ED1"/>
    <w:rsid w:val="00A60220"/>
    <w:rsid w:val="00A60321"/>
    <w:rsid w:val="00A6051C"/>
    <w:rsid w:val="00A60706"/>
    <w:rsid w:val="00A6138C"/>
    <w:rsid w:val="00A614B5"/>
    <w:rsid w:val="00A617F3"/>
    <w:rsid w:val="00A61853"/>
    <w:rsid w:val="00A6194B"/>
    <w:rsid w:val="00A61F65"/>
    <w:rsid w:val="00A62E9C"/>
    <w:rsid w:val="00A63326"/>
    <w:rsid w:val="00A6338D"/>
    <w:rsid w:val="00A64D32"/>
    <w:rsid w:val="00A64D9D"/>
    <w:rsid w:val="00A6587D"/>
    <w:rsid w:val="00A66C7F"/>
    <w:rsid w:val="00A67128"/>
    <w:rsid w:val="00A672E1"/>
    <w:rsid w:val="00A67AF5"/>
    <w:rsid w:val="00A700FF"/>
    <w:rsid w:val="00A70A5E"/>
    <w:rsid w:val="00A71CF0"/>
    <w:rsid w:val="00A7203B"/>
    <w:rsid w:val="00A724CA"/>
    <w:rsid w:val="00A726EE"/>
    <w:rsid w:val="00A72DCA"/>
    <w:rsid w:val="00A73848"/>
    <w:rsid w:val="00A74277"/>
    <w:rsid w:val="00A743D5"/>
    <w:rsid w:val="00A745DB"/>
    <w:rsid w:val="00A74B60"/>
    <w:rsid w:val="00A75002"/>
    <w:rsid w:val="00A751F5"/>
    <w:rsid w:val="00A75FB8"/>
    <w:rsid w:val="00A76554"/>
    <w:rsid w:val="00A76667"/>
    <w:rsid w:val="00A7786E"/>
    <w:rsid w:val="00A805B4"/>
    <w:rsid w:val="00A8072D"/>
    <w:rsid w:val="00A8095E"/>
    <w:rsid w:val="00A8162F"/>
    <w:rsid w:val="00A8243C"/>
    <w:rsid w:val="00A82B00"/>
    <w:rsid w:val="00A837A4"/>
    <w:rsid w:val="00A8461F"/>
    <w:rsid w:val="00A8499A"/>
    <w:rsid w:val="00A86260"/>
    <w:rsid w:val="00A86886"/>
    <w:rsid w:val="00A86B29"/>
    <w:rsid w:val="00A87138"/>
    <w:rsid w:val="00A8793B"/>
    <w:rsid w:val="00A879DA"/>
    <w:rsid w:val="00A9028B"/>
    <w:rsid w:val="00A904A0"/>
    <w:rsid w:val="00A905F6"/>
    <w:rsid w:val="00A91597"/>
    <w:rsid w:val="00A91A76"/>
    <w:rsid w:val="00A92C8D"/>
    <w:rsid w:val="00A92E72"/>
    <w:rsid w:val="00A938FC"/>
    <w:rsid w:val="00A94294"/>
    <w:rsid w:val="00A947FA"/>
    <w:rsid w:val="00A94833"/>
    <w:rsid w:val="00A94973"/>
    <w:rsid w:val="00A94A13"/>
    <w:rsid w:val="00A94A4F"/>
    <w:rsid w:val="00A9537B"/>
    <w:rsid w:val="00A9543D"/>
    <w:rsid w:val="00A96351"/>
    <w:rsid w:val="00A96993"/>
    <w:rsid w:val="00A96CFC"/>
    <w:rsid w:val="00A97BA8"/>
    <w:rsid w:val="00AA0741"/>
    <w:rsid w:val="00AA0766"/>
    <w:rsid w:val="00AA0996"/>
    <w:rsid w:val="00AA16ED"/>
    <w:rsid w:val="00AA1923"/>
    <w:rsid w:val="00AA3106"/>
    <w:rsid w:val="00AA3398"/>
    <w:rsid w:val="00AA3641"/>
    <w:rsid w:val="00AA4D7F"/>
    <w:rsid w:val="00AA6459"/>
    <w:rsid w:val="00AA6505"/>
    <w:rsid w:val="00AA65E5"/>
    <w:rsid w:val="00AA6641"/>
    <w:rsid w:val="00AA6C8F"/>
    <w:rsid w:val="00AA7206"/>
    <w:rsid w:val="00AA7574"/>
    <w:rsid w:val="00AA7F52"/>
    <w:rsid w:val="00AB09ED"/>
    <w:rsid w:val="00AB1140"/>
    <w:rsid w:val="00AB1597"/>
    <w:rsid w:val="00AB15F9"/>
    <w:rsid w:val="00AB1704"/>
    <w:rsid w:val="00AB201D"/>
    <w:rsid w:val="00AB239B"/>
    <w:rsid w:val="00AB304D"/>
    <w:rsid w:val="00AB3147"/>
    <w:rsid w:val="00AB3C4E"/>
    <w:rsid w:val="00AB3CB8"/>
    <w:rsid w:val="00AB3F28"/>
    <w:rsid w:val="00AB4CA4"/>
    <w:rsid w:val="00AB4DF2"/>
    <w:rsid w:val="00AB502E"/>
    <w:rsid w:val="00AB51FF"/>
    <w:rsid w:val="00AB582E"/>
    <w:rsid w:val="00AB68E5"/>
    <w:rsid w:val="00AC0EC6"/>
    <w:rsid w:val="00AC119D"/>
    <w:rsid w:val="00AC11F8"/>
    <w:rsid w:val="00AC28AA"/>
    <w:rsid w:val="00AC2B80"/>
    <w:rsid w:val="00AC3B7E"/>
    <w:rsid w:val="00AC4193"/>
    <w:rsid w:val="00AC4512"/>
    <w:rsid w:val="00AC57D4"/>
    <w:rsid w:val="00AC5E60"/>
    <w:rsid w:val="00AC604B"/>
    <w:rsid w:val="00AC60B5"/>
    <w:rsid w:val="00AC6A06"/>
    <w:rsid w:val="00AC6CE3"/>
    <w:rsid w:val="00AC72CE"/>
    <w:rsid w:val="00AC7322"/>
    <w:rsid w:val="00AC745D"/>
    <w:rsid w:val="00AC7D2C"/>
    <w:rsid w:val="00AC7EC9"/>
    <w:rsid w:val="00AD0265"/>
    <w:rsid w:val="00AD1A1B"/>
    <w:rsid w:val="00AD29E0"/>
    <w:rsid w:val="00AD331C"/>
    <w:rsid w:val="00AD3933"/>
    <w:rsid w:val="00AD4081"/>
    <w:rsid w:val="00AD4817"/>
    <w:rsid w:val="00AD4F46"/>
    <w:rsid w:val="00AD55B4"/>
    <w:rsid w:val="00AD57DD"/>
    <w:rsid w:val="00AD7AE6"/>
    <w:rsid w:val="00AD7F15"/>
    <w:rsid w:val="00AE03A8"/>
    <w:rsid w:val="00AE0AF8"/>
    <w:rsid w:val="00AE1B4B"/>
    <w:rsid w:val="00AE1E96"/>
    <w:rsid w:val="00AE246F"/>
    <w:rsid w:val="00AE2A13"/>
    <w:rsid w:val="00AE2F03"/>
    <w:rsid w:val="00AE35B7"/>
    <w:rsid w:val="00AE3A92"/>
    <w:rsid w:val="00AE4254"/>
    <w:rsid w:val="00AE460B"/>
    <w:rsid w:val="00AE50BC"/>
    <w:rsid w:val="00AE5643"/>
    <w:rsid w:val="00AE5670"/>
    <w:rsid w:val="00AE676C"/>
    <w:rsid w:val="00AE68B7"/>
    <w:rsid w:val="00AE6919"/>
    <w:rsid w:val="00AE6BE1"/>
    <w:rsid w:val="00AE78BF"/>
    <w:rsid w:val="00AF040F"/>
    <w:rsid w:val="00AF06DC"/>
    <w:rsid w:val="00AF08B4"/>
    <w:rsid w:val="00AF1869"/>
    <w:rsid w:val="00AF1BA9"/>
    <w:rsid w:val="00AF2854"/>
    <w:rsid w:val="00AF3664"/>
    <w:rsid w:val="00AF395F"/>
    <w:rsid w:val="00AF3CD7"/>
    <w:rsid w:val="00AF40DE"/>
    <w:rsid w:val="00AF423A"/>
    <w:rsid w:val="00AF439E"/>
    <w:rsid w:val="00AF4475"/>
    <w:rsid w:val="00AF45A9"/>
    <w:rsid w:val="00AF4639"/>
    <w:rsid w:val="00AF5195"/>
    <w:rsid w:val="00AF6960"/>
    <w:rsid w:val="00AF6BD6"/>
    <w:rsid w:val="00AF6FC5"/>
    <w:rsid w:val="00B0049F"/>
    <w:rsid w:val="00B0063A"/>
    <w:rsid w:val="00B01133"/>
    <w:rsid w:val="00B01275"/>
    <w:rsid w:val="00B01B34"/>
    <w:rsid w:val="00B01FC3"/>
    <w:rsid w:val="00B02E9D"/>
    <w:rsid w:val="00B030B0"/>
    <w:rsid w:val="00B03C96"/>
    <w:rsid w:val="00B04822"/>
    <w:rsid w:val="00B0563D"/>
    <w:rsid w:val="00B05C70"/>
    <w:rsid w:val="00B05F90"/>
    <w:rsid w:val="00B06418"/>
    <w:rsid w:val="00B06C62"/>
    <w:rsid w:val="00B07248"/>
    <w:rsid w:val="00B07281"/>
    <w:rsid w:val="00B073E4"/>
    <w:rsid w:val="00B07E4A"/>
    <w:rsid w:val="00B10BD5"/>
    <w:rsid w:val="00B119BE"/>
    <w:rsid w:val="00B12107"/>
    <w:rsid w:val="00B129DC"/>
    <w:rsid w:val="00B14B2E"/>
    <w:rsid w:val="00B158B7"/>
    <w:rsid w:val="00B15E95"/>
    <w:rsid w:val="00B16879"/>
    <w:rsid w:val="00B16C60"/>
    <w:rsid w:val="00B1714E"/>
    <w:rsid w:val="00B173AF"/>
    <w:rsid w:val="00B2037F"/>
    <w:rsid w:val="00B20945"/>
    <w:rsid w:val="00B20ACE"/>
    <w:rsid w:val="00B212F9"/>
    <w:rsid w:val="00B22700"/>
    <w:rsid w:val="00B22CB7"/>
    <w:rsid w:val="00B22FD9"/>
    <w:rsid w:val="00B245C2"/>
    <w:rsid w:val="00B24DD9"/>
    <w:rsid w:val="00B24E4F"/>
    <w:rsid w:val="00B2571C"/>
    <w:rsid w:val="00B261D1"/>
    <w:rsid w:val="00B26592"/>
    <w:rsid w:val="00B26786"/>
    <w:rsid w:val="00B26C75"/>
    <w:rsid w:val="00B279F5"/>
    <w:rsid w:val="00B3017A"/>
    <w:rsid w:val="00B316F7"/>
    <w:rsid w:val="00B31BD4"/>
    <w:rsid w:val="00B31FA8"/>
    <w:rsid w:val="00B32125"/>
    <w:rsid w:val="00B34A12"/>
    <w:rsid w:val="00B35505"/>
    <w:rsid w:val="00B35D9A"/>
    <w:rsid w:val="00B362BC"/>
    <w:rsid w:val="00B36791"/>
    <w:rsid w:val="00B36F04"/>
    <w:rsid w:val="00B372A9"/>
    <w:rsid w:val="00B376DD"/>
    <w:rsid w:val="00B4004D"/>
    <w:rsid w:val="00B41645"/>
    <w:rsid w:val="00B4246C"/>
    <w:rsid w:val="00B42DDF"/>
    <w:rsid w:val="00B431B4"/>
    <w:rsid w:val="00B43FE4"/>
    <w:rsid w:val="00B4445C"/>
    <w:rsid w:val="00B4450C"/>
    <w:rsid w:val="00B446D3"/>
    <w:rsid w:val="00B44903"/>
    <w:rsid w:val="00B44BA8"/>
    <w:rsid w:val="00B453C3"/>
    <w:rsid w:val="00B455AF"/>
    <w:rsid w:val="00B45B3A"/>
    <w:rsid w:val="00B461DC"/>
    <w:rsid w:val="00B46809"/>
    <w:rsid w:val="00B46D91"/>
    <w:rsid w:val="00B476D0"/>
    <w:rsid w:val="00B47A32"/>
    <w:rsid w:val="00B47BEB"/>
    <w:rsid w:val="00B47C45"/>
    <w:rsid w:val="00B5051F"/>
    <w:rsid w:val="00B50E2D"/>
    <w:rsid w:val="00B50E4D"/>
    <w:rsid w:val="00B50FB1"/>
    <w:rsid w:val="00B512AF"/>
    <w:rsid w:val="00B51731"/>
    <w:rsid w:val="00B5211E"/>
    <w:rsid w:val="00B5212E"/>
    <w:rsid w:val="00B52271"/>
    <w:rsid w:val="00B52912"/>
    <w:rsid w:val="00B531F2"/>
    <w:rsid w:val="00B53CEF"/>
    <w:rsid w:val="00B53EC3"/>
    <w:rsid w:val="00B54031"/>
    <w:rsid w:val="00B544F2"/>
    <w:rsid w:val="00B54BCE"/>
    <w:rsid w:val="00B54D58"/>
    <w:rsid w:val="00B55D8A"/>
    <w:rsid w:val="00B55EEB"/>
    <w:rsid w:val="00B55F33"/>
    <w:rsid w:val="00B573B3"/>
    <w:rsid w:val="00B577C5"/>
    <w:rsid w:val="00B57BFC"/>
    <w:rsid w:val="00B6006D"/>
    <w:rsid w:val="00B600D6"/>
    <w:rsid w:val="00B60CE9"/>
    <w:rsid w:val="00B6109E"/>
    <w:rsid w:val="00B61B46"/>
    <w:rsid w:val="00B62BF3"/>
    <w:rsid w:val="00B63244"/>
    <w:rsid w:val="00B64534"/>
    <w:rsid w:val="00B64645"/>
    <w:rsid w:val="00B649FA"/>
    <w:rsid w:val="00B6562E"/>
    <w:rsid w:val="00B66280"/>
    <w:rsid w:val="00B66363"/>
    <w:rsid w:val="00B665F4"/>
    <w:rsid w:val="00B666FF"/>
    <w:rsid w:val="00B66968"/>
    <w:rsid w:val="00B669D9"/>
    <w:rsid w:val="00B66B8F"/>
    <w:rsid w:val="00B66BB9"/>
    <w:rsid w:val="00B670C8"/>
    <w:rsid w:val="00B676DF"/>
    <w:rsid w:val="00B714F6"/>
    <w:rsid w:val="00B72D05"/>
    <w:rsid w:val="00B7320E"/>
    <w:rsid w:val="00B73570"/>
    <w:rsid w:val="00B738A4"/>
    <w:rsid w:val="00B73BAA"/>
    <w:rsid w:val="00B73E33"/>
    <w:rsid w:val="00B74B70"/>
    <w:rsid w:val="00B74EF2"/>
    <w:rsid w:val="00B752FE"/>
    <w:rsid w:val="00B7562E"/>
    <w:rsid w:val="00B75851"/>
    <w:rsid w:val="00B76742"/>
    <w:rsid w:val="00B76765"/>
    <w:rsid w:val="00B767FE"/>
    <w:rsid w:val="00B7681A"/>
    <w:rsid w:val="00B80530"/>
    <w:rsid w:val="00B80B1E"/>
    <w:rsid w:val="00B81225"/>
    <w:rsid w:val="00B81AEE"/>
    <w:rsid w:val="00B822DE"/>
    <w:rsid w:val="00B82B1B"/>
    <w:rsid w:val="00B832BF"/>
    <w:rsid w:val="00B83315"/>
    <w:rsid w:val="00B835A6"/>
    <w:rsid w:val="00B836EF"/>
    <w:rsid w:val="00B839A5"/>
    <w:rsid w:val="00B83D84"/>
    <w:rsid w:val="00B8494C"/>
    <w:rsid w:val="00B84A48"/>
    <w:rsid w:val="00B84AE6"/>
    <w:rsid w:val="00B84CA0"/>
    <w:rsid w:val="00B84D58"/>
    <w:rsid w:val="00B8544C"/>
    <w:rsid w:val="00B85A1C"/>
    <w:rsid w:val="00B85D22"/>
    <w:rsid w:val="00B85DEF"/>
    <w:rsid w:val="00B85E64"/>
    <w:rsid w:val="00B86946"/>
    <w:rsid w:val="00B87EB1"/>
    <w:rsid w:val="00B90278"/>
    <w:rsid w:val="00B90F15"/>
    <w:rsid w:val="00B91055"/>
    <w:rsid w:val="00B9206E"/>
    <w:rsid w:val="00B920B5"/>
    <w:rsid w:val="00B929C3"/>
    <w:rsid w:val="00B94B20"/>
    <w:rsid w:val="00B95713"/>
    <w:rsid w:val="00B96A2E"/>
    <w:rsid w:val="00B96BDD"/>
    <w:rsid w:val="00B96ED8"/>
    <w:rsid w:val="00B96FEE"/>
    <w:rsid w:val="00B97414"/>
    <w:rsid w:val="00BA0523"/>
    <w:rsid w:val="00BA0CCE"/>
    <w:rsid w:val="00BA0F9B"/>
    <w:rsid w:val="00BA13A6"/>
    <w:rsid w:val="00BA13E4"/>
    <w:rsid w:val="00BA14F1"/>
    <w:rsid w:val="00BA1C5B"/>
    <w:rsid w:val="00BA26E2"/>
    <w:rsid w:val="00BA3B8E"/>
    <w:rsid w:val="00BA4695"/>
    <w:rsid w:val="00BA4D27"/>
    <w:rsid w:val="00BA4E5C"/>
    <w:rsid w:val="00BA51B1"/>
    <w:rsid w:val="00BA5E26"/>
    <w:rsid w:val="00BA60E2"/>
    <w:rsid w:val="00BA62C3"/>
    <w:rsid w:val="00BA69D3"/>
    <w:rsid w:val="00BA69FC"/>
    <w:rsid w:val="00BA6CDD"/>
    <w:rsid w:val="00BA774C"/>
    <w:rsid w:val="00BB0174"/>
    <w:rsid w:val="00BB03F3"/>
    <w:rsid w:val="00BB08F5"/>
    <w:rsid w:val="00BB0CD5"/>
    <w:rsid w:val="00BB1F99"/>
    <w:rsid w:val="00BB2461"/>
    <w:rsid w:val="00BB3270"/>
    <w:rsid w:val="00BB43D0"/>
    <w:rsid w:val="00BB5ACD"/>
    <w:rsid w:val="00BB5B95"/>
    <w:rsid w:val="00BB5BEB"/>
    <w:rsid w:val="00BB5DEE"/>
    <w:rsid w:val="00BB619E"/>
    <w:rsid w:val="00BB62E8"/>
    <w:rsid w:val="00BB6C8A"/>
    <w:rsid w:val="00BB70CA"/>
    <w:rsid w:val="00BB7660"/>
    <w:rsid w:val="00BC095D"/>
    <w:rsid w:val="00BC0BB0"/>
    <w:rsid w:val="00BC0EB5"/>
    <w:rsid w:val="00BC1CA4"/>
    <w:rsid w:val="00BC3061"/>
    <w:rsid w:val="00BC353B"/>
    <w:rsid w:val="00BC3E33"/>
    <w:rsid w:val="00BC4664"/>
    <w:rsid w:val="00BC4984"/>
    <w:rsid w:val="00BC4E52"/>
    <w:rsid w:val="00BC59DC"/>
    <w:rsid w:val="00BC5C93"/>
    <w:rsid w:val="00BC5DBE"/>
    <w:rsid w:val="00BC62B4"/>
    <w:rsid w:val="00BC678E"/>
    <w:rsid w:val="00BC67BF"/>
    <w:rsid w:val="00BC6AB8"/>
    <w:rsid w:val="00BC75F2"/>
    <w:rsid w:val="00BC7741"/>
    <w:rsid w:val="00BC7BD6"/>
    <w:rsid w:val="00BC7DA1"/>
    <w:rsid w:val="00BD0378"/>
    <w:rsid w:val="00BD04FC"/>
    <w:rsid w:val="00BD084D"/>
    <w:rsid w:val="00BD120E"/>
    <w:rsid w:val="00BD16B7"/>
    <w:rsid w:val="00BD1E99"/>
    <w:rsid w:val="00BD230B"/>
    <w:rsid w:val="00BD383E"/>
    <w:rsid w:val="00BD3B49"/>
    <w:rsid w:val="00BD4464"/>
    <w:rsid w:val="00BD4C68"/>
    <w:rsid w:val="00BD4D3F"/>
    <w:rsid w:val="00BD5284"/>
    <w:rsid w:val="00BD633C"/>
    <w:rsid w:val="00BD6413"/>
    <w:rsid w:val="00BD65E9"/>
    <w:rsid w:val="00BD68F0"/>
    <w:rsid w:val="00BD7058"/>
    <w:rsid w:val="00BD7606"/>
    <w:rsid w:val="00BD7AA5"/>
    <w:rsid w:val="00BD7B3D"/>
    <w:rsid w:val="00BD7B5B"/>
    <w:rsid w:val="00BD7B9D"/>
    <w:rsid w:val="00BE0752"/>
    <w:rsid w:val="00BE1288"/>
    <w:rsid w:val="00BE2042"/>
    <w:rsid w:val="00BE243B"/>
    <w:rsid w:val="00BE29A7"/>
    <w:rsid w:val="00BE2D37"/>
    <w:rsid w:val="00BE31AB"/>
    <w:rsid w:val="00BE3224"/>
    <w:rsid w:val="00BE3E20"/>
    <w:rsid w:val="00BE4212"/>
    <w:rsid w:val="00BE42BC"/>
    <w:rsid w:val="00BE470C"/>
    <w:rsid w:val="00BE48BC"/>
    <w:rsid w:val="00BE4C13"/>
    <w:rsid w:val="00BE52E9"/>
    <w:rsid w:val="00BE5323"/>
    <w:rsid w:val="00BE5735"/>
    <w:rsid w:val="00BE5BC0"/>
    <w:rsid w:val="00BE5E82"/>
    <w:rsid w:val="00BE6748"/>
    <w:rsid w:val="00BE7CA4"/>
    <w:rsid w:val="00BE7D64"/>
    <w:rsid w:val="00BF0206"/>
    <w:rsid w:val="00BF0501"/>
    <w:rsid w:val="00BF0853"/>
    <w:rsid w:val="00BF087A"/>
    <w:rsid w:val="00BF0A3E"/>
    <w:rsid w:val="00BF0AF8"/>
    <w:rsid w:val="00BF16F3"/>
    <w:rsid w:val="00BF19C0"/>
    <w:rsid w:val="00BF1BFE"/>
    <w:rsid w:val="00BF1C95"/>
    <w:rsid w:val="00BF2331"/>
    <w:rsid w:val="00BF2ACE"/>
    <w:rsid w:val="00BF3D8D"/>
    <w:rsid w:val="00BF42F9"/>
    <w:rsid w:val="00BF53F6"/>
    <w:rsid w:val="00BF572D"/>
    <w:rsid w:val="00BF5DC9"/>
    <w:rsid w:val="00BF6F9E"/>
    <w:rsid w:val="00BF7E24"/>
    <w:rsid w:val="00C011CA"/>
    <w:rsid w:val="00C01338"/>
    <w:rsid w:val="00C013B1"/>
    <w:rsid w:val="00C01502"/>
    <w:rsid w:val="00C01DFE"/>
    <w:rsid w:val="00C022D3"/>
    <w:rsid w:val="00C026C9"/>
    <w:rsid w:val="00C0287E"/>
    <w:rsid w:val="00C02C66"/>
    <w:rsid w:val="00C02DE0"/>
    <w:rsid w:val="00C03129"/>
    <w:rsid w:val="00C032ED"/>
    <w:rsid w:val="00C0382D"/>
    <w:rsid w:val="00C03966"/>
    <w:rsid w:val="00C0410A"/>
    <w:rsid w:val="00C0467A"/>
    <w:rsid w:val="00C04AAC"/>
    <w:rsid w:val="00C04CF7"/>
    <w:rsid w:val="00C04FF7"/>
    <w:rsid w:val="00C0773B"/>
    <w:rsid w:val="00C078F1"/>
    <w:rsid w:val="00C07B74"/>
    <w:rsid w:val="00C10A5E"/>
    <w:rsid w:val="00C11239"/>
    <w:rsid w:val="00C1162C"/>
    <w:rsid w:val="00C11951"/>
    <w:rsid w:val="00C11B62"/>
    <w:rsid w:val="00C131BD"/>
    <w:rsid w:val="00C13A2F"/>
    <w:rsid w:val="00C13F26"/>
    <w:rsid w:val="00C13FE1"/>
    <w:rsid w:val="00C140EC"/>
    <w:rsid w:val="00C14828"/>
    <w:rsid w:val="00C15443"/>
    <w:rsid w:val="00C15BD5"/>
    <w:rsid w:val="00C15FC6"/>
    <w:rsid w:val="00C169B1"/>
    <w:rsid w:val="00C17417"/>
    <w:rsid w:val="00C17CAB"/>
    <w:rsid w:val="00C20249"/>
    <w:rsid w:val="00C2072E"/>
    <w:rsid w:val="00C2075D"/>
    <w:rsid w:val="00C20889"/>
    <w:rsid w:val="00C208DD"/>
    <w:rsid w:val="00C20FBA"/>
    <w:rsid w:val="00C214CD"/>
    <w:rsid w:val="00C21EA2"/>
    <w:rsid w:val="00C23734"/>
    <w:rsid w:val="00C240D1"/>
    <w:rsid w:val="00C24521"/>
    <w:rsid w:val="00C24A6D"/>
    <w:rsid w:val="00C24AC2"/>
    <w:rsid w:val="00C24B76"/>
    <w:rsid w:val="00C24C5D"/>
    <w:rsid w:val="00C26812"/>
    <w:rsid w:val="00C26C7A"/>
    <w:rsid w:val="00C30431"/>
    <w:rsid w:val="00C3099B"/>
    <w:rsid w:val="00C30BCF"/>
    <w:rsid w:val="00C30C63"/>
    <w:rsid w:val="00C312AD"/>
    <w:rsid w:val="00C31C29"/>
    <w:rsid w:val="00C321CA"/>
    <w:rsid w:val="00C32533"/>
    <w:rsid w:val="00C33CB8"/>
    <w:rsid w:val="00C34705"/>
    <w:rsid w:val="00C352BB"/>
    <w:rsid w:val="00C352DE"/>
    <w:rsid w:val="00C3533A"/>
    <w:rsid w:val="00C35403"/>
    <w:rsid w:val="00C35F43"/>
    <w:rsid w:val="00C36E61"/>
    <w:rsid w:val="00C374E6"/>
    <w:rsid w:val="00C378A1"/>
    <w:rsid w:val="00C37FFC"/>
    <w:rsid w:val="00C401AB"/>
    <w:rsid w:val="00C40DA0"/>
    <w:rsid w:val="00C4181F"/>
    <w:rsid w:val="00C42330"/>
    <w:rsid w:val="00C42697"/>
    <w:rsid w:val="00C436A2"/>
    <w:rsid w:val="00C437D1"/>
    <w:rsid w:val="00C43A69"/>
    <w:rsid w:val="00C4415B"/>
    <w:rsid w:val="00C4477F"/>
    <w:rsid w:val="00C448EB"/>
    <w:rsid w:val="00C44CF4"/>
    <w:rsid w:val="00C44D4F"/>
    <w:rsid w:val="00C45698"/>
    <w:rsid w:val="00C4583F"/>
    <w:rsid w:val="00C4586F"/>
    <w:rsid w:val="00C45EAB"/>
    <w:rsid w:val="00C472F1"/>
    <w:rsid w:val="00C4765D"/>
    <w:rsid w:val="00C4766D"/>
    <w:rsid w:val="00C47878"/>
    <w:rsid w:val="00C505CD"/>
    <w:rsid w:val="00C507B8"/>
    <w:rsid w:val="00C50BE4"/>
    <w:rsid w:val="00C51D34"/>
    <w:rsid w:val="00C51E49"/>
    <w:rsid w:val="00C52196"/>
    <w:rsid w:val="00C5222A"/>
    <w:rsid w:val="00C52B4A"/>
    <w:rsid w:val="00C53064"/>
    <w:rsid w:val="00C536B9"/>
    <w:rsid w:val="00C538FE"/>
    <w:rsid w:val="00C5496F"/>
    <w:rsid w:val="00C54D63"/>
    <w:rsid w:val="00C55198"/>
    <w:rsid w:val="00C5538E"/>
    <w:rsid w:val="00C5546F"/>
    <w:rsid w:val="00C55831"/>
    <w:rsid w:val="00C55979"/>
    <w:rsid w:val="00C55D2B"/>
    <w:rsid w:val="00C56070"/>
    <w:rsid w:val="00C56DA0"/>
    <w:rsid w:val="00C60340"/>
    <w:rsid w:val="00C603E9"/>
    <w:rsid w:val="00C606E1"/>
    <w:rsid w:val="00C61AD0"/>
    <w:rsid w:val="00C61FAC"/>
    <w:rsid w:val="00C620F4"/>
    <w:rsid w:val="00C62DA1"/>
    <w:rsid w:val="00C632A7"/>
    <w:rsid w:val="00C64194"/>
    <w:rsid w:val="00C646D9"/>
    <w:rsid w:val="00C648B2"/>
    <w:rsid w:val="00C6652A"/>
    <w:rsid w:val="00C66860"/>
    <w:rsid w:val="00C66A42"/>
    <w:rsid w:val="00C67027"/>
    <w:rsid w:val="00C674C2"/>
    <w:rsid w:val="00C67C92"/>
    <w:rsid w:val="00C7024D"/>
    <w:rsid w:val="00C702D0"/>
    <w:rsid w:val="00C70368"/>
    <w:rsid w:val="00C71157"/>
    <w:rsid w:val="00C724A0"/>
    <w:rsid w:val="00C72B4E"/>
    <w:rsid w:val="00C72C73"/>
    <w:rsid w:val="00C73052"/>
    <w:rsid w:val="00C7323D"/>
    <w:rsid w:val="00C7334C"/>
    <w:rsid w:val="00C7340F"/>
    <w:rsid w:val="00C74008"/>
    <w:rsid w:val="00C741C5"/>
    <w:rsid w:val="00C75092"/>
    <w:rsid w:val="00C75F51"/>
    <w:rsid w:val="00C76E89"/>
    <w:rsid w:val="00C772D7"/>
    <w:rsid w:val="00C77554"/>
    <w:rsid w:val="00C775B8"/>
    <w:rsid w:val="00C804B2"/>
    <w:rsid w:val="00C80CA0"/>
    <w:rsid w:val="00C80FA9"/>
    <w:rsid w:val="00C811B2"/>
    <w:rsid w:val="00C81B8C"/>
    <w:rsid w:val="00C8249B"/>
    <w:rsid w:val="00C82983"/>
    <w:rsid w:val="00C83972"/>
    <w:rsid w:val="00C83E07"/>
    <w:rsid w:val="00C84033"/>
    <w:rsid w:val="00C84D46"/>
    <w:rsid w:val="00C85302"/>
    <w:rsid w:val="00C85A75"/>
    <w:rsid w:val="00C85CF8"/>
    <w:rsid w:val="00C86106"/>
    <w:rsid w:val="00C86BF5"/>
    <w:rsid w:val="00C86E4D"/>
    <w:rsid w:val="00C86FE6"/>
    <w:rsid w:val="00C87C00"/>
    <w:rsid w:val="00C91664"/>
    <w:rsid w:val="00C919EB"/>
    <w:rsid w:val="00C91A7A"/>
    <w:rsid w:val="00C91E95"/>
    <w:rsid w:val="00C91FBB"/>
    <w:rsid w:val="00C92A4A"/>
    <w:rsid w:val="00C932CA"/>
    <w:rsid w:val="00C9332A"/>
    <w:rsid w:val="00C936B4"/>
    <w:rsid w:val="00C937B2"/>
    <w:rsid w:val="00C94089"/>
    <w:rsid w:val="00C94522"/>
    <w:rsid w:val="00C94668"/>
    <w:rsid w:val="00C94F55"/>
    <w:rsid w:val="00C95523"/>
    <w:rsid w:val="00C9590D"/>
    <w:rsid w:val="00C95BDC"/>
    <w:rsid w:val="00C95E14"/>
    <w:rsid w:val="00C9618E"/>
    <w:rsid w:val="00C967DF"/>
    <w:rsid w:val="00C96CAE"/>
    <w:rsid w:val="00C96DAC"/>
    <w:rsid w:val="00C973BA"/>
    <w:rsid w:val="00C97EB1"/>
    <w:rsid w:val="00CA0673"/>
    <w:rsid w:val="00CA06CC"/>
    <w:rsid w:val="00CA0EC9"/>
    <w:rsid w:val="00CA0FB4"/>
    <w:rsid w:val="00CA12FA"/>
    <w:rsid w:val="00CA1A07"/>
    <w:rsid w:val="00CA21CF"/>
    <w:rsid w:val="00CA26E3"/>
    <w:rsid w:val="00CA388B"/>
    <w:rsid w:val="00CA38BB"/>
    <w:rsid w:val="00CA38CB"/>
    <w:rsid w:val="00CA3ED8"/>
    <w:rsid w:val="00CA417E"/>
    <w:rsid w:val="00CA47A5"/>
    <w:rsid w:val="00CA5938"/>
    <w:rsid w:val="00CA5B53"/>
    <w:rsid w:val="00CA5B7B"/>
    <w:rsid w:val="00CA66B4"/>
    <w:rsid w:val="00CA7490"/>
    <w:rsid w:val="00CB061E"/>
    <w:rsid w:val="00CB1028"/>
    <w:rsid w:val="00CB10EA"/>
    <w:rsid w:val="00CB1750"/>
    <w:rsid w:val="00CB17A2"/>
    <w:rsid w:val="00CB1F10"/>
    <w:rsid w:val="00CB204F"/>
    <w:rsid w:val="00CB20FC"/>
    <w:rsid w:val="00CB3A1C"/>
    <w:rsid w:val="00CB3E28"/>
    <w:rsid w:val="00CB4579"/>
    <w:rsid w:val="00CB4702"/>
    <w:rsid w:val="00CB531C"/>
    <w:rsid w:val="00CB6112"/>
    <w:rsid w:val="00CB6277"/>
    <w:rsid w:val="00CB6ED7"/>
    <w:rsid w:val="00CB7022"/>
    <w:rsid w:val="00CB7370"/>
    <w:rsid w:val="00CB7517"/>
    <w:rsid w:val="00CB78AD"/>
    <w:rsid w:val="00CC0008"/>
    <w:rsid w:val="00CC0523"/>
    <w:rsid w:val="00CC080B"/>
    <w:rsid w:val="00CC0A5E"/>
    <w:rsid w:val="00CC0C20"/>
    <w:rsid w:val="00CC2513"/>
    <w:rsid w:val="00CC3B45"/>
    <w:rsid w:val="00CC3D52"/>
    <w:rsid w:val="00CC42A0"/>
    <w:rsid w:val="00CC4CA1"/>
    <w:rsid w:val="00CC575A"/>
    <w:rsid w:val="00CC5C12"/>
    <w:rsid w:val="00CC5FE2"/>
    <w:rsid w:val="00CC68F0"/>
    <w:rsid w:val="00CC6D8D"/>
    <w:rsid w:val="00CC7952"/>
    <w:rsid w:val="00CC7BCC"/>
    <w:rsid w:val="00CD0033"/>
    <w:rsid w:val="00CD01DC"/>
    <w:rsid w:val="00CD026E"/>
    <w:rsid w:val="00CD064C"/>
    <w:rsid w:val="00CD06C8"/>
    <w:rsid w:val="00CD06F8"/>
    <w:rsid w:val="00CD0804"/>
    <w:rsid w:val="00CD0A04"/>
    <w:rsid w:val="00CD1EA0"/>
    <w:rsid w:val="00CD2866"/>
    <w:rsid w:val="00CD2A14"/>
    <w:rsid w:val="00CD3491"/>
    <w:rsid w:val="00CD3C43"/>
    <w:rsid w:val="00CD400C"/>
    <w:rsid w:val="00CD41A5"/>
    <w:rsid w:val="00CD4895"/>
    <w:rsid w:val="00CD4AB7"/>
    <w:rsid w:val="00CD4C42"/>
    <w:rsid w:val="00CD51ED"/>
    <w:rsid w:val="00CD57D7"/>
    <w:rsid w:val="00CD593D"/>
    <w:rsid w:val="00CE0036"/>
    <w:rsid w:val="00CE0329"/>
    <w:rsid w:val="00CE0521"/>
    <w:rsid w:val="00CE1C7D"/>
    <w:rsid w:val="00CE256A"/>
    <w:rsid w:val="00CE3F30"/>
    <w:rsid w:val="00CE3F4B"/>
    <w:rsid w:val="00CE4C79"/>
    <w:rsid w:val="00CE595A"/>
    <w:rsid w:val="00CE67BB"/>
    <w:rsid w:val="00CE70C1"/>
    <w:rsid w:val="00CE710B"/>
    <w:rsid w:val="00CE710E"/>
    <w:rsid w:val="00CE7813"/>
    <w:rsid w:val="00CE7B98"/>
    <w:rsid w:val="00CF02CB"/>
    <w:rsid w:val="00CF034F"/>
    <w:rsid w:val="00CF03C3"/>
    <w:rsid w:val="00CF0D20"/>
    <w:rsid w:val="00CF18CB"/>
    <w:rsid w:val="00CF1EC9"/>
    <w:rsid w:val="00CF204B"/>
    <w:rsid w:val="00CF2224"/>
    <w:rsid w:val="00CF2E30"/>
    <w:rsid w:val="00CF2FB3"/>
    <w:rsid w:val="00CF3012"/>
    <w:rsid w:val="00CF3429"/>
    <w:rsid w:val="00CF34E6"/>
    <w:rsid w:val="00CF3B88"/>
    <w:rsid w:val="00CF3B90"/>
    <w:rsid w:val="00CF4A9C"/>
    <w:rsid w:val="00CF502B"/>
    <w:rsid w:val="00CF530E"/>
    <w:rsid w:val="00CF53CF"/>
    <w:rsid w:val="00CF5985"/>
    <w:rsid w:val="00CF5F50"/>
    <w:rsid w:val="00CF6452"/>
    <w:rsid w:val="00CF664B"/>
    <w:rsid w:val="00CF66A2"/>
    <w:rsid w:val="00CF6D72"/>
    <w:rsid w:val="00D00468"/>
    <w:rsid w:val="00D019EC"/>
    <w:rsid w:val="00D01AB1"/>
    <w:rsid w:val="00D023FF"/>
    <w:rsid w:val="00D02A2B"/>
    <w:rsid w:val="00D03A48"/>
    <w:rsid w:val="00D04638"/>
    <w:rsid w:val="00D059BE"/>
    <w:rsid w:val="00D05C25"/>
    <w:rsid w:val="00D06352"/>
    <w:rsid w:val="00D063B6"/>
    <w:rsid w:val="00D06685"/>
    <w:rsid w:val="00D07778"/>
    <w:rsid w:val="00D07C34"/>
    <w:rsid w:val="00D10015"/>
    <w:rsid w:val="00D1089A"/>
    <w:rsid w:val="00D10986"/>
    <w:rsid w:val="00D12096"/>
    <w:rsid w:val="00D12B69"/>
    <w:rsid w:val="00D1381C"/>
    <w:rsid w:val="00D14393"/>
    <w:rsid w:val="00D145EE"/>
    <w:rsid w:val="00D14D3C"/>
    <w:rsid w:val="00D15045"/>
    <w:rsid w:val="00D15A88"/>
    <w:rsid w:val="00D15F31"/>
    <w:rsid w:val="00D160BE"/>
    <w:rsid w:val="00D1664F"/>
    <w:rsid w:val="00D16C32"/>
    <w:rsid w:val="00D16D4A"/>
    <w:rsid w:val="00D17B63"/>
    <w:rsid w:val="00D20CE6"/>
    <w:rsid w:val="00D20F0D"/>
    <w:rsid w:val="00D21C38"/>
    <w:rsid w:val="00D225CB"/>
    <w:rsid w:val="00D227CA"/>
    <w:rsid w:val="00D22CCA"/>
    <w:rsid w:val="00D23334"/>
    <w:rsid w:val="00D236EC"/>
    <w:rsid w:val="00D23E1C"/>
    <w:rsid w:val="00D23E7C"/>
    <w:rsid w:val="00D24A24"/>
    <w:rsid w:val="00D25101"/>
    <w:rsid w:val="00D252D3"/>
    <w:rsid w:val="00D257C0"/>
    <w:rsid w:val="00D25CD6"/>
    <w:rsid w:val="00D25EC9"/>
    <w:rsid w:val="00D26030"/>
    <w:rsid w:val="00D263DF"/>
    <w:rsid w:val="00D270AC"/>
    <w:rsid w:val="00D272B0"/>
    <w:rsid w:val="00D278BF"/>
    <w:rsid w:val="00D279F5"/>
    <w:rsid w:val="00D27B29"/>
    <w:rsid w:val="00D27F6B"/>
    <w:rsid w:val="00D30546"/>
    <w:rsid w:val="00D31F68"/>
    <w:rsid w:val="00D3250C"/>
    <w:rsid w:val="00D330E0"/>
    <w:rsid w:val="00D337F2"/>
    <w:rsid w:val="00D339C7"/>
    <w:rsid w:val="00D33D62"/>
    <w:rsid w:val="00D34576"/>
    <w:rsid w:val="00D34D8C"/>
    <w:rsid w:val="00D35743"/>
    <w:rsid w:val="00D35A7D"/>
    <w:rsid w:val="00D35BA7"/>
    <w:rsid w:val="00D35E93"/>
    <w:rsid w:val="00D35F66"/>
    <w:rsid w:val="00D3651A"/>
    <w:rsid w:val="00D36589"/>
    <w:rsid w:val="00D36D99"/>
    <w:rsid w:val="00D404A7"/>
    <w:rsid w:val="00D40729"/>
    <w:rsid w:val="00D408AD"/>
    <w:rsid w:val="00D40D70"/>
    <w:rsid w:val="00D40D76"/>
    <w:rsid w:val="00D40F2B"/>
    <w:rsid w:val="00D41050"/>
    <w:rsid w:val="00D417C9"/>
    <w:rsid w:val="00D41DAD"/>
    <w:rsid w:val="00D428DF"/>
    <w:rsid w:val="00D42F09"/>
    <w:rsid w:val="00D43156"/>
    <w:rsid w:val="00D432A1"/>
    <w:rsid w:val="00D43732"/>
    <w:rsid w:val="00D43EB6"/>
    <w:rsid w:val="00D43EFA"/>
    <w:rsid w:val="00D44369"/>
    <w:rsid w:val="00D45529"/>
    <w:rsid w:val="00D45FF8"/>
    <w:rsid w:val="00D47146"/>
    <w:rsid w:val="00D5044E"/>
    <w:rsid w:val="00D5056E"/>
    <w:rsid w:val="00D50698"/>
    <w:rsid w:val="00D50702"/>
    <w:rsid w:val="00D511BA"/>
    <w:rsid w:val="00D512A9"/>
    <w:rsid w:val="00D512ED"/>
    <w:rsid w:val="00D51651"/>
    <w:rsid w:val="00D51F95"/>
    <w:rsid w:val="00D53EB5"/>
    <w:rsid w:val="00D54753"/>
    <w:rsid w:val="00D54FFE"/>
    <w:rsid w:val="00D56A8E"/>
    <w:rsid w:val="00D56C32"/>
    <w:rsid w:val="00D56C66"/>
    <w:rsid w:val="00D575BB"/>
    <w:rsid w:val="00D5795C"/>
    <w:rsid w:val="00D6045C"/>
    <w:rsid w:val="00D610F1"/>
    <w:rsid w:val="00D613F4"/>
    <w:rsid w:val="00D62031"/>
    <w:rsid w:val="00D622EE"/>
    <w:rsid w:val="00D62B1E"/>
    <w:rsid w:val="00D62B66"/>
    <w:rsid w:val="00D6302D"/>
    <w:rsid w:val="00D63371"/>
    <w:rsid w:val="00D63ECF"/>
    <w:rsid w:val="00D64099"/>
    <w:rsid w:val="00D640EC"/>
    <w:rsid w:val="00D6435F"/>
    <w:rsid w:val="00D66AB4"/>
    <w:rsid w:val="00D66DD9"/>
    <w:rsid w:val="00D66E4D"/>
    <w:rsid w:val="00D67445"/>
    <w:rsid w:val="00D67968"/>
    <w:rsid w:val="00D70BAE"/>
    <w:rsid w:val="00D71091"/>
    <w:rsid w:val="00D71481"/>
    <w:rsid w:val="00D714F4"/>
    <w:rsid w:val="00D720BD"/>
    <w:rsid w:val="00D728A9"/>
    <w:rsid w:val="00D73038"/>
    <w:rsid w:val="00D7376F"/>
    <w:rsid w:val="00D73FD6"/>
    <w:rsid w:val="00D75274"/>
    <w:rsid w:val="00D76A01"/>
    <w:rsid w:val="00D76A21"/>
    <w:rsid w:val="00D772BF"/>
    <w:rsid w:val="00D77545"/>
    <w:rsid w:val="00D77576"/>
    <w:rsid w:val="00D77687"/>
    <w:rsid w:val="00D800BD"/>
    <w:rsid w:val="00D8032F"/>
    <w:rsid w:val="00D80568"/>
    <w:rsid w:val="00D809B9"/>
    <w:rsid w:val="00D80CEA"/>
    <w:rsid w:val="00D80F10"/>
    <w:rsid w:val="00D81323"/>
    <w:rsid w:val="00D81C2D"/>
    <w:rsid w:val="00D82AC2"/>
    <w:rsid w:val="00D82D9B"/>
    <w:rsid w:val="00D82FAA"/>
    <w:rsid w:val="00D83067"/>
    <w:rsid w:val="00D8314A"/>
    <w:rsid w:val="00D841F6"/>
    <w:rsid w:val="00D848CD"/>
    <w:rsid w:val="00D84C71"/>
    <w:rsid w:val="00D84E98"/>
    <w:rsid w:val="00D8515B"/>
    <w:rsid w:val="00D85925"/>
    <w:rsid w:val="00D859B0"/>
    <w:rsid w:val="00D85CF9"/>
    <w:rsid w:val="00D85D49"/>
    <w:rsid w:val="00D85D6D"/>
    <w:rsid w:val="00D85E8A"/>
    <w:rsid w:val="00D87BE7"/>
    <w:rsid w:val="00D87FA4"/>
    <w:rsid w:val="00D902E2"/>
    <w:rsid w:val="00D9119D"/>
    <w:rsid w:val="00D91F43"/>
    <w:rsid w:val="00D92C20"/>
    <w:rsid w:val="00D93197"/>
    <w:rsid w:val="00D93462"/>
    <w:rsid w:val="00D93722"/>
    <w:rsid w:val="00D9390B"/>
    <w:rsid w:val="00D93C86"/>
    <w:rsid w:val="00D95608"/>
    <w:rsid w:val="00D9690E"/>
    <w:rsid w:val="00D96E55"/>
    <w:rsid w:val="00D9719B"/>
    <w:rsid w:val="00D97D10"/>
    <w:rsid w:val="00DA04A2"/>
    <w:rsid w:val="00DA04A4"/>
    <w:rsid w:val="00DA074F"/>
    <w:rsid w:val="00DA1147"/>
    <w:rsid w:val="00DA11A0"/>
    <w:rsid w:val="00DA16E6"/>
    <w:rsid w:val="00DA19AA"/>
    <w:rsid w:val="00DA1E97"/>
    <w:rsid w:val="00DA215C"/>
    <w:rsid w:val="00DA242A"/>
    <w:rsid w:val="00DA254F"/>
    <w:rsid w:val="00DA25E5"/>
    <w:rsid w:val="00DA2E9B"/>
    <w:rsid w:val="00DA3F21"/>
    <w:rsid w:val="00DA4042"/>
    <w:rsid w:val="00DA4735"/>
    <w:rsid w:val="00DA4BA7"/>
    <w:rsid w:val="00DA4BF1"/>
    <w:rsid w:val="00DA4EEA"/>
    <w:rsid w:val="00DA5109"/>
    <w:rsid w:val="00DA55A7"/>
    <w:rsid w:val="00DA5744"/>
    <w:rsid w:val="00DA5A64"/>
    <w:rsid w:val="00DA5ABF"/>
    <w:rsid w:val="00DA6533"/>
    <w:rsid w:val="00DA65DF"/>
    <w:rsid w:val="00DA79D4"/>
    <w:rsid w:val="00DA7AA8"/>
    <w:rsid w:val="00DA7EE8"/>
    <w:rsid w:val="00DB0061"/>
    <w:rsid w:val="00DB031D"/>
    <w:rsid w:val="00DB03A9"/>
    <w:rsid w:val="00DB123C"/>
    <w:rsid w:val="00DB16CA"/>
    <w:rsid w:val="00DB185E"/>
    <w:rsid w:val="00DB29F7"/>
    <w:rsid w:val="00DB2ABD"/>
    <w:rsid w:val="00DB2F70"/>
    <w:rsid w:val="00DB33F6"/>
    <w:rsid w:val="00DB40DD"/>
    <w:rsid w:val="00DB487F"/>
    <w:rsid w:val="00DB4942"/>
    <w:rsid w:val="00DB505B"/>
    <w:rsid w:val="00DB57EF"/>
    <w:rsid w:val="00DB61DC"/>
    <w:rsid w:val="00DB6E90"/>
    <w:rsid w:val="00DB6F90"/>
    <w:rsid w:val="00DB7898"/>
    <w:rsid w:val="00DB7A36"/>
    <w:rsid w:val="00DC00A1"/>
    <w:rsid w:val="00DC0968"/>
    <w:rsid w:val="00DC1956"/>
    <w:rsid w:val="00DC1B12"/>
    <w:rsid w:val="00DC1DBD"/>
    <w:rsid w:val="00DC333A"/>
    <w:rsid w:val="00DC3544"/>
    <w:rsid w:val="00DC3E48"/>
    <w:rsid w:val="00DC51C0"/>
    <w:rsid w:val="00DC5C81"/>
    <w:rsid w:val="00DC61C4"/>
    <w:rsid w:val="00DC621F"/>
    <w:rsid w:val="00DC644F"/>
    <w:rsid w:val="00DC656E"/>
    <w:rsid w:val="00DC6691"/>
    <w:rsid w:val="00DC6A6C"/>
    <w:rsid w:val="00DC6B12"/>
    <w:rsid w:val="00DC74EF"/>
    <w:rsid w:val="00DC7C62"/>
    <w:rsid w:val="00DC7E4D"/>
    <w:rsid w:val="00DD06CF"/>
    <w:rsid w:val="00DD1925"/>
    <w:rsid w:val="00DD19EE"/>
    <w:rsid w:val="00DD2C0A"/>
    <w:rsid w:val="00DD34B5"/>
    <w:rsid w:val="00DD419B"/>
    <w:rsid w:val="00DD4654"/>
    <w:rsid w:val="00DD7D14"/>
    <w:rsid w:val="00DD7EA1"/>
    <w:rsid w:val="00DE0CB1"/>
    <w:rsid w:val="00DE12A8"/>
    <w:rsid w:val="00DE1360"/>
    <w:rsid w:val="00DE15A8"/>
    <w:rsid w:val="00DE1871"/>
    <w:rsid w:val="00DE1AB4"/>
    <w:rsid w:val="00DE2433"/>
    <w:rsid w:val="00DE2759"/>
    <w:rsid w:val="00DE2CC2"/>
    <w:rsid w:val="00DE2CC6"/>
    <w:rsid w:val="00DE35BB"/>
    <w:rsid w:val="00DE37A7"/>
    <w:rsid w:val="00DE529F"/>
    <w:rsid w:val="00DE56C1"/>
    <w:rsid w:val="00DE5DC3"/>
    <w:rsid w:val="00DE5E7E"/>
    <w:rsid w:val="00DE5FCA"/>
    <w:rsid w:val="00DE698B"/>
    <w:rsid w:val="00DE7BCF"/>
    <w:rsid w:val="00DE7C48"/>
    <w:rsid w:val="00DE7DC2"/>
    <w:rsid w:val="00DF0B39"/>
    <w:rsid w:val="00DF13AE"/>
    <w:rsid w:val="00DF14B9"/>
    <w:rsid w:val="00DF2B8F"/>
    <w:rsid w:val="00DF3128"/>
    <w:rsid w:val="00DF34EE"/>
    <w:rsid w:val="00DF40C3"/>
    <w:rsid w:val="00DF49A1"/>
    <w:rsid w:val="00DF4CE7"/>
    <w:rsid w:val="00DF545B"/>
    <w:rsid w:val="00DF5761"/>
    <w:rsid w:val="00DF59FD"/>
    <w:rsid w:val="00DF62DB"/>
    <w:rsid w:val="00DF6752"/>
    <w:rsid w:val="00DF755E"/>
    <w:rsid w:val="00DF7DD3"/>
    <w:rsid w:val="00E000A7"/>
    <w:rsid w:val="00E003AF"/>
    <w:rsid w:val="00E005C0"/>
    <w:rsid w:val="00E00B84"/>
    <w:rsid w:val="00E0135D"/>
    <w:rsid w:val="00E01DBB"/>
    <w:rsid w:val="00E0228D"/>
    <w:rsid w:val="00E02406"/>
    <w:rsid w:val="00E0367A"/>
    <w:rsid w:val="00E04353"/>
    <w:rsid w:val="00E049C3"/>
    <w:rsid w:val="00E05A08"/>
    <w:rsid w:val="00E05A5D"/>
    <w:rsid w:val="00E05DAC"/>
    <w:rsid w:val="00E05F76"/>
    <w:rsid w:val="00E0712E"/>
    <w:rsid w:val="00E0728C"/>
    <w:rsid w:val="00E077E8"/>
    <w:rsid w:val="00E10AE9"/>
    <w:rsid w:val="00E10D8E"/>
    <w:rsid w:val="00E110A5"/>
    <w:rsid w:val="00E11280"/>
    <w:rsid w:val="00E11631"/>
    <w:rsid w:val="00E11E6C"/>
    <w:rsid w:val="00E12175"/>
    <w:rsid w:val="00E12DB5"/>
    <w:rsid w:val="00E133AC"/>
    <w:rsid w:val="00E14B50"/>
    <w:rsid w:val="00E1504A"/>
    <w:rsid w:val="00E15B39"/>
    <w:rsid w:val="00E15B3B"/>
    <w:rsid w:val="00E160BF"/>
    <w:rsid w:val="00E1646D"/>
    <w:rsid w:val="00E16DEC"/>
    <w:rsid w:val="00E16FED"/>
    <w:rsid w:val="00E17062"/>
    <w:rsid w:val="00E20037"/>
    <w:rsid w:val="00E20249"/>
    <w:rsid w:val="00E20367"/>
    <w:rsid w:val="00E207AD"/>
    <w:rsid w:val="00E213B0"/>
    <w:rsid w:val="00E223AF"/>
    <w:rsid w:val="00E2297E"/>
    <w:rsid w:val="00E2370E"/>
    <w:rsid w:val="00E238C4"/>
    <w:rsid w:val="00E23B0D"/>
    <w:rsid w:val="00E23D64"/>
    <w:rsid w:val="00E23FE0"/>
    <w:rsid w:val="00E2413A"/>
    <w:rsid w:val="00E24897"/>
    <w:rsid w:val="00E24DB0"/>
    <w:rsid w:val="00E2598B"/>
    <w:rsid w:val="00E26385"/>
    <w:rsid w:val="00E2670B"/>
    <w:rsid w:val="00E26AD6"/>
    <w:rsid w:val="00E26B0B"/>
    <w:rsid w:val="00E27D6A"/>
    <w:rsid w:val="00E27DC0"/>
    <w:rsid w:val="00E30191"/>
    <w:rsid w:val="00E304E9"/>
    <w:rsid w:val="00E3076C"/>
    <w:rsid w:val="00E30DAE"/>
    <w:rsid w:val="00E31156"/>
    <w:rsid w:val="00E31B21"/>
    <w:rsid w:val="00E31B4C"/>
    <w:rsid w:val="00E31F13"/>
    <w:rsid w:val="00E32840"/>
    <w:rsid w:val="00E32C5E"/>
    <w:rsid w:val="00E32CE0"/>
    <w:rsid w:val="00E335FC"/>
    <w:rsid w:val="00E33BB3"/>
    <w:rsid w:val="00E355F7"/>
    <w:rsid w:val="00E364E8"/>
    <w:rsid w:val="00E36535"/>
    <w:rsid w:val="00E368D1"/>
    <w:rsid w:val="00E36B51"/>
    <w:rsid w:val="00E37223"/>
    <w:rsid w:val="00E37E0B"/>
    <w:rsid w:val="00E4223E"/>
    <w:rsid w:val="00E4396A"/>
    <w:rsid w:val="00E43B69"/>
    <w:rsid w:val="00E4454E"/>
    <w:rsid w:val="00E44DF6"/>
    <w:rsid w:val="00E450CD"/>
    <w:rsid w:val="00E4578B"/>
    <w:rsid w:val="00E45AAD"/>
    <w:rsid w:val="00E465F8"/>
    <w:rsid w:val="00E47BFE"/>
    <w:rsid w:val="00E5022D"/>
    <w:rsid w:val="00E505B7"/>
    <w:rsid w:val="00E507E6"/>
    <w:rsid w:val="00E50A93"/>
    <w:rsid w:val="00E50B77"/>
    <w:rsid w:val="00E5191E"/>
    <w:rsid w:val="00E51C7A"/>
    <w:rsid w:val="00E51D75"/>
    <w:rsid w:val="00E5236F"/>
    <w:rsid w:val="00E52414"/>
    <w:rsid w:val="00E53276"/>
    <w:rsid w:val="00E53973"/>
    <w:rsid w:val="00E53A3F"/>
    <w:rsid w:val="00E54606"/>
    <w:rsid w:val="00E5511D"/>
    <w:rsid w:val="00E553E8"/>
    <w:rsid w:val="00E5628A"/>
    <w:rsid w:val="00E565C5"/>
    <w:rsid w:val="00E56EFE"/>
    <w:rsid w:val="00E57752"/>
    <w:rsid w:val="00E5776C"/>
    <w:rsid w:val="00E57E50"/>
    <w:rsid w:val="00E610A3"/>
    <w:rsid w:val="00E61BAE"/>
    <w:rsid w:val="00E62C85"/>
    <w:rsid w:val="00E63A2B"/>
    <w:rsid w:val="00E63FBD"/>
    <w:rsid w:val="00E64954"/>
    <w:rsid w:val="00E64F60"/>
    <w:rsid w:val="00E6561A"/>
    <w:rsid w:val="00E65936"/>
    <w:rsid w:val="00E6645B"/>
    <w:rsid w:val="00E67CA2"/>
    <w:rsid w:val="00E70105"/>
    <w:rsid w:val="00E70227"/>
    <w:rsid w:val="00E708C2"/>
    <w:rsid w:val="00E70917"/>
    <w:rsid w:val="00E71167"/>
    <w:rsid w:val="00E71781"/>
    <w:rsid w:val="00E71A49"/>
    <w:rsid w:val="00E71F2B"/>
    <w:rsid w:val="00E7216C"/>
    <w:rsid w:val="00E721C1"/>
    <w:rsid w:val="00E7277D"/>
    <w:rsid w:val="00E728CB"/>
    <w:rsid w:val="00E731BF"/>
    <w:rsid w:val="00E734D8"/>
    <w:rsid w:val="00E74087"/>
    <w:rsid w:val="00E740CD"/>
    <w:rsid w:val="00E741F3"/>
    <w:rsid w:val="00E745BE"/>
    <w:rsid w:val="00E74A78"/>
    <w:rsid w:val="00E750EA"/>
    <w:rsid w:val="00E75382"/>
    <w:rsid w:val="00E75880"/>
    <w:rsid w:val="00E764DE"/>
    <w:rsid w:val="00E76B41"/>
    <w:rsid w:val="00E77214"/>
    <w:rsid w:val="00E77A6F"/>
    <w:rsid w:val="00E77B55"/>
    <w:rsid w:val="00E77E72"/>
    <w:rsid w:val="00E77F9C"/>
    <w:rsid w:val="00E80348"/>
    <w:rsid w:val="00E80B78"/>
    <w:rsid w:val="00E80BD4"/>
    <w:rsid w:val="00E8253C"/>
    <w:rsid w:val="00E82F4C"/>
    <w:rsid w:val="00E83848"/>
    <w:rsid w:val="00E83CD1"/>
    <w:rsid w:val="00E84D61"/>
    <w:rsid w:val="00E856E4"/>
    <w:rsid w:val="00E86A05"/>
    <w:rsid w:val="00E875C8"/>
    <w:rsid w:val="00E878C3"/>
    <w:rsid w:val="00E87FE7"/>
    <w:rsid w:val="00E9006D"/>
    <w:rsid w:val="00E90590"/>
    <w:rsid w:val="00E9080F"/>
    <w:rsid w:val="00E91043"/>
    <w:rsid w:val="00E9122A"/>
    <w:rsid w:val="00E91FD5"/>
    <w:rsid w:val="00E91FF4"/>
    <w:rsid w:val="00E931A5"/>
    <w:rsid w:val="00E93438"/>
    <w:rsid w:val="00E9392A"/>
    <w:rsid w:val="00E94F1D"/>
    <w:rsid w:val="00E954E2"/>
    <w:rsid w:val="00E95930"/>
    <w:rsid w:val="00E9643A"/>
    <w:rsid w:val="00E96D24"/>
    <w:rsid w:val="00E97335"/>
    <w:rsid w:val="00EA048E"/>
    <w:rsid w:val="00EA0DB7"/>
    <w:rsid w:val="00EA0E50"/>
    <w:rsid w:val="00EA12DC"/>
    <w:rsid w:val="00EA151B"/>
    <w:rsid w:val="00EA1867"/>
    <w:rsid w:val="00EA2CEB"/>
    <w:rsid w:val="00EA4137"/>
    <w:rsid w:val="00EA4476"/>
    <w:rsid w:val="00EA49E9"/>
    <w:rsid w:val="00EA5230"/>
    <w:rsid w:val="00EA53A8"/>
    <w:rsid w:val="00EA5458"/>
    <w:rsid w:val="00EA5638"/>
    <w:rsid w:val="00EA5647"/>
    <w:rsid w:val="00EA5759"/>
    <w:rsid w:val="00EA581E"/>
    <w:rsid w:val="00EA6699"/>
    <w:rsid w:val="00EA77C7"/>
    <w:rsid w:val="00EA7985"/>
    <w:rsid w:val="00EA7AA6"/>
    <w:rsid w:val="00EA7CD8"/>
    <w:rsid w:val="00EA7CF5"/>
    <w:rsid w:val="00EB02AC"/>
    <w:rsid w:val="00EB0B95"/>
    <w:rsid w:val="00EB12C0"/>
    <w:rsid w:val="00EB16A2"/>
    <w:rsid w:val="00EB16C6"/>
    <w:rsid w:val="00EB1995"/>
    <w:rsid w:val="00EB1A33"/>
    <w:rsid w:val="00EB1F44"/>
    <w:rsid w:val="00EB2047"/>
    <w:rsid w:val="00EB2615"/>
    <w:rsid w:val="00EB26ED"/>
    <w:rsid w:val="00EB27D3"/>
    <w:rsid w:val="00EB2F99"/>
    <w:rsid w:val="00EB2FD0"/>
    <w:rsid w:val="00EB37CE"/>
    <w:rsid w:val="00EB39A8"/>
    <w:rsid w:val="00EB3C71"/>
    <w:rsid w:val="00EB3E6A"/>
    <w:rsid w:val="00EB402A"/>
    <w:rsid w:val="00EB5300"/>
    <w:rsid w:val="00EB6B0B"/>
    <w:rsid w:val="00EB72C4"/>
    <w:rsid w:val="00EB73BD"/>
    <w:rsid w:val="00EB7758"/>
    <w:rsid w:val="00EB778F"/>
    <w:rsid w:val="00EB7A0C"/>
    <w:rsid w:val="00EB7C98"/>
    <w:rsid w:val="00EC10C8"/>
    <w:rsid w:val="00EC1542"/>
    <w:rsid w:val="00EC250C"/>
    <w:rsid w:val="00EC2567"/>
    <w:rsid w:val="00EC2745"/>
    <w:rsid w:val="00EC34F6"/>
    <w:rsid w:val="00EC38FF"/>
    <w:rsid w:val="00EC3CF0"/>
    <w:rsid w:val="00EC4685"/>
    <w:rsid w:val="00EC53F1"/>
    <w:rsid w:val="00EC55CA"/>
    <w:rsid w:val="00EC55D0"/>
    <w:rsid w:val="00EC5688"/>
    <w:rsid w:val="00EC5BB6"/>
    <w:rsid w:val="00EC5EC6"/>
    <w:rsid w:val="00EC6CD5"/>
    <w:rsid w:val="00EC6D59"/>
    <w:rsid w:val="00EC7FA7"/>
    <w:rsid w:val="00ED01BC"/>
    <w:rsid w:val="00ED0A62"/>
    <w:rsid w:val="00ED0B04"/>
    <w:rsid w:val="00ED0B2B"/>
    <w:rsid w:val="00ED1083"/>
    <w:rsid w:val="00ED15A7"/>
    <w:rsid w:val="00ED1F44"/>
    <w:rsid w:val="00ED1F73"/>
    <w:rsid w:val="00ED25E5"/>
    <w:rsid w:val="00ED2DF3"/>
    <w:rsid w:val="00ED2F4B"/>
    <w:rsid w:val="00ED309C"/>
    <w:rsid w:val="00ED3730"/>
    <w:rsid w:val="00ED3B57"/>
    <w:rsid w:val="00ED3CD5"/>
    <w:rsid w:val="00ED46EE"/>
    <w:rsid w:val="00ED4868"/>
    <w:rsid w:val="00ED53FF"/>
    <w:rsid w:val="00ED585B"/>
    <w:rsid w:val="00ED5946"/>
    <w:rsid w:val="00ED5C4A"/>
    <w:rsid w:val="00ED66CD"/>
    <w:rsid w:val="00ED6CC4"/>
    <w:rsid w:val="00ED7230"/>
    <w:rsid w:val="00EE012B"/>
    <w:rsid w:val="00EE02FA"/>
    <w:rsid w:val="00EE103D"/>
    <w:rsid w:val="00EE1188"/>
    <w:rsid w:val="00EE15E6"/>
    <w:rsid w:val="00EE24FC"/>
    <w:rsid w:val="00EE2D06"/>
    <w:rsid w:val="00EE3226"/>
    <w:rsid w:val="00EE4334"/>
    <w:rsid w:val="00EE453F"/>
    <w:rsid w:val="00EE50CB"/>
    <w:rsid w:val="00EE568D"/>
    <w:rsid w:val="00EE5C6C"/>
    <w:rsid w:val="00EE65A8"/>
    <w:rsid w:val="00EE6835"/>
    <w:rsid w:val="00EE69B0"/>
    <w:rsid w:val="00EE6AE3"/>
    <w:rsid w:val="00EE762E"/>
    <w:rsid w:val="00EE7632"/>
    <w:rsid w:val="00EE77F8"/>
    <w:rsid w:val="00EE7997"/>
    <w:rsid w:val="00EE7BBF"/>
    <w:rsid w:val="00EE7D73"/>
    <w:rsid w:val="00EE7D94"/>
    <w:rsid w:val="00EF15C1"/>
    <w:rsid w:val="00EF214C"/>
    <w:rsid w:val="00EF22B2"/>
    <w:rsid w:val="00EF2BA7"/>
    <w:rsid w:val="00EF2E40"/>
    <w:rsid w:val="00EF329F"/>
    <w:rsid w:val="00EF32D1"/>
    <w:rsid w:val="00EF3565"/>
    <w:rsid w:val="00EF394F"/>
    <w:rsid w:val="00EF3B4F"/>
    <w:rsid w:val="00EF4755"/>
    <w:rsid w:val="00EF475C"/>
    <w:rsid w:val="00EF4EC8"/>
    <w:rsid w:val="00EF4F41"/>
    <w:rsid w:val="00EF59B5"/>
    <w:rsid w:val="00EF5A86"/>
    <w:rsid w:val="00EF6263"/>
    <w:rsid w:val="00EF75E0"/>
    <w:rsid w:val="00EF75FC"/>
    <w:rsid w:val="00EF78F5"/>
    <w:rsid w:val="00EF7A3F"/>
    <w:rsid w:val="00EF7EE9"/>
    <w:rsid w:val="00F00C61"/>
    <w:rsid w:val="00F015AC"/>
    <w:rsid w:val="00F01DE9"/>
    <w:rsid w:val="00F028FA"/>
    <w:rsid w:val="00F02F86"/>
    <w:rsid w:val="00F02FF8"/>
    <w:rsid w:val="00F03CB4"/>
    <w:rsid w:val="00F04C96"/>
    <w:rsid w:val="00F04DB2"/>
    <w:rsid w:val="00F0535C"/>
    <w:rsid w:val="00F06007"/>
    <w:rsid w:val="00F060A6"/>
    <w:rsid w:val="00F0616C"/>
    <w:rsid w:val="00F06733"/>
    <w:rsid w:val="00F06F1B"/>
    <w:rsid w:val="00F071EB"/>
    <w:rsid w:val="00F077F0"/>
    <w:rsid w:val="00F078F3"/>
    <w:rsid w:val="00F07A71"/>
    <w:rsid w:val="00F10039"/>
    <w:rsid w:val="00F10E2C"/>
    <w:rsid w:val="00F10F48"/>
    <w:rsid w:val="00F121A4"/>
    <w:rsid w:val="00F12903"/>
    <w:rsid w:val="00F13344"/>
    <w:rsid w:val="00F13C5E"/>
    <w:rsid w:val="00F13D64"/>
    <w:rsid w:val="00F145DC"/>
    <w:rsid w:val="00F15800"/>
    <w:rsid w:val="00F15E90"/>
    <w:rsid w:val="00F1613E"/>
    <w:rsid w:val="00F16413"/>
    <w:rsid w:val="00F165F7"/>
    <w:rsid w:val="00F168C7"/>
    <w:rsid w:val="00F1711E"/>
    <w:rsid w:val="00F1715E"/>
    <w:rsid w:val="00F171FE"/>
    <w:rsid w:val="00F2022B"/>
    <w:rsid w:val="00F20F68"/>
    <w:rsid w:val="00F210E5"/>
    <w:rsid w:val="00F21AA1"/>
    <w:rsid w:val="00F21B29"/>
    <w:rsid w:val="00F21BC8"/>
    <w:rsid w:val="00F22055"/>
    <w:rsid w:val="00F22C6B"/>
    <w:rsid w:val="00F2360C"/>
    <w:rsid w:val="00F23D09"/>
    <w:rsid w:val="00F24815"/>
    <w:rsid w:val="00F2487A"/>
    <w:rsid w:val="00F2590B"/>
    <w:rsid w:val="00F259DF"/>
    <w:rsid w:val="00F25B9C"/>
    <w:rsid w:val="00F261A9"/>
    <w:rsid w:val="00F26317"/>
    <w:rsid w:val="00F265DB"/>
    <w:rsid w:val="00F2664B"/>
    <w:rsid w:val="00F2679E"/>
    <w:rsid w:val="00F268D9"/>
    <w:rsid w:val="00F27224"/>
    <w:rsid w:val="00F27A22"/>
    <w:rsid w:val="00F305F6"/>
    <w:rsid w:val="00F30D2B"/>
    <w:rsid w:val="00F31016"/>
    <w:rsid w:val="00F32021"/>
    <w:rsid w:val="00F32234"/>
    <w:rsid w:val="00F3278D"/>
    <w:rsid w:val="00F329D1"/>
    <w:rsid w:val="00F32F3E"/>
    <w:rsid w:val="00F333C9"/>
    <w:rsid w:val="00F333D0"/>
    <w:rsid w:val="00F33477"/>
    <w:rsid w:val="00F33842"/>
    <w:rsid w:val="00F34969"/>
    <w:rsid w:val="00F34ED0"/>
    <w:rsid w:val="00F35133"/>
    <w:rsid w:val="00F357C7"/>
    <w:rsid w:val="00F3604F"/>
    <w:rsid w:val="00F37650"/>
    <w:rsid w:val="00F37660"/>
    <w:rsid w:val="00F378C8"/>
    <w:rsid w:val="00F37D47"/>
    <w:rsid w:val="00F37DAB"/>
    <w:rsid w:val="00F37EB7"/>
    <w:rsid w:val="00F417E7"/>
    <w:rsid w:val="00F41B82"/>
    <w:rsid w:val="00F41DB5"/>
    <w:rsid w:val="00F41E39"/>
    <w:rsid w:val="00F4221F"/>
    <w:rsid w:val="00F42253"/>
    <w:rsid w:val="00F4338C"/>
    <w:rsid w:val="00F4368E"/>
    <w:rsid w:val="00F436C3"/>
    <w:rsid w:val="00F43C1E"/>
    <w:rsid w:val="00F43C84"/>
    <w:rsid w:val="00F443BD"/>
    <w:rsid w:val="00F44B19"/>
    <w:rsid w:val="00F44B54"/>
    <w:rsid w:val="00F44C0A"/>
    <w:rsid w:val="00F454D9"/>
    <w:rsid w:val="00F4564F"/>
    <w:rsid w:val="00F47A87"/>
    <w:rsid w:val="00F5027A"/>
    <w:rsid w:val="00F50403"/>
    <w:rsid w:val="00F5040B"/>
    <w:rsid w:val="00F50A74"/>
    <w:rsid w:val="00F52544"/>
    <w:rsid w:val="00F5278B"/>
    <w:rsid w:val="00F5296D"/>
    <w:rsid w:val="00F52ABE"/>
    <w:rsid w:val="00F53963"/>
    <w:rsid w:val="00F53C8F"/>
    <w:rsid w:val="00F53FE3"/>
    <w:rsid w:val="00F53FF4"/>
    <w:rsid w:val="00F54074"/>
    <w:rsid w:val="00F543CA"/>
    <w:rsid w:val="00F5473D"/>
    <w:rsid w:val="00F54D56"/>
    <w:rsid w:val="00F558C2"/>
    <w:rsid w:val="00F55D68"/>
    <w:rsid w:val="00F55F76"/>
    <w:rsid w:val="00F568CB"/>
    <w:rsid w:val="00F570FA"/>
    <w:rsid w:val="00F60C31"/>
    <w:rsid w:val="00F61288"/>
    <w:rsid w:val="00F6136F"/>
    <w:rsid w:val="00F61A64"/>
    <w:rsid w:val="00F61AE3"/>
    <w:rsid w:val="00F61B5A"/>
    <w:rsid w:val="00F6241E"/>
    <w:rsid w:val="00F63211"/>
    <w:rsid w:val="00F634D6"/>
    <w:rsid w:val="00F63D31"/>
    <w:rsid w:val="00F650B2"/>
    <w:rsid w:val="00F65286"/>
    <w:rsid w:val="00F6564E"/>
    <w:rsid w:val="00F660E8"/>
    <w:rsid w:val="00F67538"/>
    <w:rsid w:val="00F675FC"/>
    <w:rsid w:val="00F701BC"/>
    <w:rsid w:val="00F70624"/>
    <w:rsid w:val="00F70755"/>
    <w:rsid w:val="00F7088E"/>
    <w:rsid w:val="00F710BB"/>
    <w:rsid w:val="00F71960"/>
    <w:rsid w:val="00F71AD3"/>
    <w:rsid w:val="00F724F7"/>
    <w:rsid w:val="00F72C92"/>
    <w:rsid w:val="00F735C5"/>
    <w:rsid w:val="00F73A6F"/>
    <w:rsid w:val="00F74475"/>
    <w:rsid w:val="00F74496"/>
    <w:rsid w:val="00F7459E"/>
    <w:rsid w:val="00F74E13"/>
    <w:rsid w:val="00F76630"/>
    <w:rsid w:val="00F767F1"/>
    <w:rsid w:val="00F77593"/>
    <w:rsid w:val="00F7789B"/>
    <w:rsid w:val="00F77EAB"/>
    <w:rsid w:val="00F803B7"/>
    <w:rsid w:val="00F806E9"/>
    <w:rsid w:val="00F82BE4"/>
    <w:rsid w:val="00F831F8"/>
    <w:rsid w:val="00F84520"/>
    <w:rsid w:val="00F84AC5"/>
    <w:rsid w:val="00F84B59"/>
    <w:rsid w:val="00F84C83"/>
    <w:rsid w:val="00F854A9"/>
    <w:rsid w:val="00F85508"/>
    <w:rsid w:val="00F856EC"/>
    <w:rsid w:val="00F86862"/>
    <w:rsid w:val="00F87335"/>
    <w:rsid w:val="00F87399"/>
    <w:rsid w:val="00F9022A"/>
    <w:rsid w:val="00F90B09"/>
    <w:rsid w:val="00F90FBD"/>
    <w:rsid w:val="00F91402"/>
    <w:rsid w:val="00F91F1B"/>
    <w:rsid w:val="00F91F63"/>
    <w:rsid w:val="00F92FCE"/>
    <w:rsid w:val="00F939FD"/>
    <w:rsid w:val="00F93C98"/>
    <w:rsid w:val="00F94D2F"/>
    <w:rsid w:val="00F94DB1"/>
    <w:rsid w:val="00F95897"/>
    <w:rsid w:val="00F95AF6"/>
    <w:rsid w:val="00F95DD0"/>
    <w:rsid w:val="00F9758D"/>
    <w:rsid w:val="00F97DCE"/>
    <w:rsid w:val="00FA0935"/>
    <w:rsid w:val="00FA0FFA"/>
    <w:rsid w:val="00FA1309"/>
    <w:rsid w:val="00FA15A2"/>
    <w:rsid w:val="00FA1F4B"/>
    <w:rsid w:val="00FA225F"/>
    <w:rsid w:val="00FA2483"/>
    <w:rsid w:val="00FA391C"/>
    <w:rsid w:val="00FA3A14"/>
    <w:rsid w:val="00FA3AFD"/>
    <w:rsid w:val="00FA3B3E"/>
    <w:rsid w:val="00FA4A47"/>
    <w:rsid w:val="00FA4AF3"/>
    <w:rsid w:val="00FA4B3F"/>
    <w:rsid w:val="00FA5720"/>
    <w:rsid w:val="00FA64E9"/>
    <w:rsid w:val="00FA653E"/>
    <w:rsid w:val="00FA6A03"/>
    <w:rsid w:val="00FA70B7"/>
    <w:rsid w:val="00FA74DC"/>
    <w:rsid w:val="00FA7E47"/>
    <w:rsid w:val="00FB00B1"/>
    <w:rsid w:val="00FB057C"/>
    <w:rsid w:val="00FB0A96"/>
    <w:rsid w:val="00FB2620"/>
    <w:rsid w:val="00FB291C"/>
    <w:rsid w:val="00FB2ECE"/>
    <w:rsid w:val="00FB3013"/>
    <w:rsid w:val="00FB315B"/>
    <w:rsid w:val="00FB335C"/>
    <w:rsid w:val="00FB5024"/>
    <w:rsid w:val="00FB5128"/>
    <w:rsid w:val="00FB5F25"/>
    <w:rsid w:val="00FB62F4"/>
    <w:rsid w:val="00FB652C"/>
    <w:rsid w:val="00FB6748"/>
    <w:rsid w:val="00FB6C2D"/>
    <w:rsid w:val="00FC0845"/>
    <w:rsid w:val="00FC154E"/>
    <w:rsid w:val="00FC1ADC"/>
    <w:rsid w:val="00FC1EFE"/>
    <w:rsid w:val="00FC291C"/>
    <w:rsid w:val="00FC2C5E"/>
    <w:rsid w:val="00FC3440"/>
    <w:rsid w:val="00FC3453"/>
    <w:rsid w:val="00FC3AAF"/>
    <w:rsid w:val="00FC3B5D"/>
    <w:rsid w:val="00FC4DE6"/>
    <w:rsid w:val="00FC4F84"/>
    <w:rsid w:val="00FC50EA"/>
    <w:rsid w:val="00FC5162"/>
    <w:rsid w:val="00FC5266"/>
    <w:rsid w:val="00FC5285"/>
    <w:rsid w:val="00FC59F6"/>
    <w:rsid w:val="00FC5CB0"/>
    <w:rsid w:val="00FC5F08"/>
    <w:rsid w:val="00FC64EA"/>
    <w:rsid w:val="00FC6EA6"/>
    <w:rsid w:val="00FC6F5D"/>
    <w:rsid w:val="00FD0ABF"/>
    <w:rsid w:val="00FD1026"/>
    <w:rsid w:val="00FD1B89"/>
    <w:rsid w:val="00FD1BB7"/>
    <w:rsid w:val="00FD1BD3"/>
    <w:rsid w:val="00FD24A0"/>
    <w:rsid w:val="00FD322A"/>
    <w:rsid w:val="00FD3700"/>
    <w:rsid w:val="00FD3F0A"/>
    <w:rsid w:val="00FD4D93"/>
    <w:rsid w:val="00FD5372"/>
    <w:rsid w:val="00FD55E3"/>
    <w:rsid w:val="00FD5FC6"/>
    <w:rsid w:val="00FD649E"/>
    <w:rsid w:val="00FD6726"/>
    <w:rsid w:val="00FD67FD"/>
    <w:rsid w:val="00FD6A46"/>
    <w:rsid w:val="00FD6FBF"/>
    <w:rsid w:val="00FD7937"/>
    <w:rsid w:val="00FD7AB7"/>
    <w:rsid w:val="00FE011B"/>
    <w:rsid w:val="00FE0915"/>
    <w:rsid w:val="00FE0ACD"/>
    <w:rsid w:val="00FE16E4"/>
    <w:rsid w:val="00FE1711"/>
    <w:rsid w:val="00FE2065"/>
    <w:rsid w:val="00FE275E"/>
    <w:rsid w:val="00FE29F0"/>
    <w:rsid w:val="00FE3135"/>
    <w:rsid w:val="00FE3320"/>
    <w:rsid w:val="00FE3434"/>
    <w:rsid w:val="00FE3914"/>
    <w:rsid w:val="00FE3DAB"/>
    <w:rsid w:val="00FE3EAC"/>
    <w:rsid w:val="00FE4EB6"/>
    <w:rsid w:val="00FE5154"/>
    <w:rsid w:val="00FE536E"/>
    <w:rsid w:val="00FE53A2"/>
    <w:rsid w:val="00FE704A"/>
    <w:rsid w:val="00FE740C"/>
    <w:rsid w:val="00FE7DB2"/>
    <w:rsid w:val="00FE7FD3"/>
    <w:rsid w:val="00FF0111"/>
    <w:rsid w:val="00FF01DD"/>
    <w:rsid w:val="00FF02D0"/>
    <w:rsid w:val="00FF04AA"/>
    <w:rsid w:val="00FF0CB9"/>
    <w:rsid w:val="00FF0EE9"/>
    <w:rsid w:val="00FF1142"/>
    <w:rsid w:val="00FF18EE"/>
    <w:rsid w:val="00FF1C0E"/>
    <w:rsid w:val="00FF247A"/>
    <w:rsid w:val="00FF3B97"/>
    <w:rsid w:val="00FF4D6E"/>
    <w:rsid w:val="00FF50A4"/>
    <w:rsid w:val="00FF570E"/>
    <w:rsid w:val="00FF58B6"/>
    <w:rsid w:val="00FF611B"/>
    <w:rsid w:val="00FF61C1"/>
    <w:rsid w:val="00FF6CCC"/>
    <w:rsid w:val="00FF7207"/>
    <w:rsid w:val="00FF756E"/>
    <w:rsid w:val="00FF7C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EADA13-BC7B-4A4E-84FE-E719C957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860"/>
    <w:pPr>
      <w:jc w:val="both"/>
    </w:pPr>
    <w:rPr>
      <w:rFonts w:ascii="Verdana" w:hAnsi="Verdana"/>
      <w:szCs w:val="22"/>
      <w:lang w:eastAsia="en-US"/>
    </w:rPr>
  </w:style>
  <w:style w:type="paragraph" w:styleId="Heading1">
    <w:name w:val="heading 1"/>
    <w:basedOn w:val="Normal"/>
    <w:next w:val="Normal"/>
    <w:link w:val="Heading1Ch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Heading2">
    <w:name w:val="heading 2"/>
    <w:basedOn w:val="Normal"/>
    <w:link w:val="Heading2Ch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Heading3">
    <w:name w:val="heading 3"/>
    <w:basedOn w:val="Normal"/>
    <w:link w:val="Heading3Ch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Heading4">
    <w:name w:val="heading 4"/>
    <w:basedOn w:val="Normal"/>
    <w:next w:val="Normal"/>
    <w:link w:val="Heading4Ch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Heading5">
    <w:name w:val="heading 5"/>
    <w:basedOn w:val="Normal"/>
    <w:next w:val="Normal"/>
    <w:link w:val="Heading5Ch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unhideWhenUsed/>
    <w:qFormat/>
    <w:rsid w:val="00662A67"/>
    <w:pPr>
      <w:spacing w:before="240" w:after="60"/>
      <w:outlineLvl w:val="5"/>
    </w:pPr>
    <w:rPr>
      <w:rFonts w:ascii="Calibri" w:eastAsia="Times New Roman" w:hAnsi="Calibri"/>
      <w:b/>
      <w:bCs/>
      <w:sz w:val="22"/>
      <w:lang w:val="x-none"/>
    </w:rPr>
  </w:style>
  <w:style w:type="paragraph" w:styleId="Heading7">
    <w:name w:val="heading 7"/>
    <w:basedOn w:val="Normal"/>
    <w:next w:val="Normal"/>
    <w:link w:val="Heading7Char"/>
    <w:uiPriority w:val="9"/>
    <w:unhideWhenUsed/>
    <w:qFormat/>
    <w:rsid w:val="00AE03A8"/>
    <w:pPr>
      <w:spacing w:before="240" w:after="60"/>
      <w:outlineLvl w:val="6"/>
    </w:pPr>
    <w:rPr>
      <w:rFonts w:ascii="Calibri" w:eastAsia="Times New Roman" w:hAnsi="Calibri"/>
      <w:sz w:val="24"/>
      <w:szCs w:val="24"/>
      <w:lang w:val="x-none"/>
    </w:rPr>
  </w:style>
  <w:style w:type="paragraph" w:styleId="Heading8">
    <w:name w:val="heading 8"/>
    <w:basedOn w:val="Normal"/>
    <w:next w:val="Normal"/>
    <w:link w:val="Heading8Char"/>
    <w:uiPriority w:val="9"/>
    <w:unhideWhenUsed/>
    <w:qFormat/>
    <w:rsid w:val="00AE03A8"/>
    <w:pPr>
      <w:spacing w:before="240" w:after="60"/>
      <w:outlineLvl w:val="7"/>
    </w:pPr>
    <w:rPr>
      <w:rFonts w:ascii="Calibri" w:eastAsia="Times New Roman" w:hAnsi="Calibri"/>
      <w:i/>
      <w:iCs/>
      <w:sz w:val="24"/>
      <w:szCs w:val="24"/>
      <w:lang w:val="x-none"/>
    </w:rPr>
  </w:style>
  <w:style w:type="paragraph" w:styleId="Heading9">
    <w:name w:val="heading 9"/>
    <w:basedOn w:val="Normal"/>
    <w:next w:val="Normal"/>
    <w:link w:val="Heading9Char"/>
    <w:uiPriority w:val="9"/>
    <w:unhideWhenUsed/>
    <w:qFormat/>
    <w:rsid w:val="00AE03A8"/>
    <w:pPr>
      <w:spacing w:before="240" w:after="60"/>
      <w:outlineLvl w:val="8"/>
    </w:pPr>
    <w:rPr>
      <w:rFonts w:ascii="Calibri Light" w:eastAsia="Times New Roman" w:hAnsi="Calibri Light"/>
      <w:sz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2B75"/>
    <w:rPr>
      <w:rFonts w:ascii="Verdana" w:eastAsia="Times New Roman" w:hAnsi="Verdana"/>
      <w:b/>
      <w:bCs/>
      <w:kern w:val="36"/>
      <w:szCs w:val="48"/>
    </w:rPr>
  </w:style>
  <w:style w:type="character" w:customStyle="1" w:styleId="Heading2Char">
    <w:name w:val="Heading 2 Char"/>
    <w:link w:val="Heading2"/>
    <w:uiPriority w:val="9"/>
    <w:rsid w:val="00A22D8D"/>
    <w:rPr>
      <w:rFonts w:ascii="Times New Roman" w:eastAsia="Times New Roman" w:hAnsi="Times New Roman" w:cs="Times New Roman"/>
      <w:b/>
      <w:bCs/>
      <w:sz w:val="36"/>
      <w:szCs w:val="36"/>
      <w:lang w:eastAsia="es-AR"/>
    </w:rPr>
  </w:style>
  <w:style w:type="character" w:customStyle="1" w:styleId="Heading3Char">
    <w:name w:val="Heading 3 Char"/>
    <w:link w:val="Heading3"/>
    <w:uiPriority w:val="9"/>
    <w:rsid w:val="00A22D8D"/>
    <w:rPr>
      <w:rFonts w:ascii="Times New Roman" w:eastAsia="Times New Roman" w:hAnsi="Times New Roman" w:cs="Times New Roman"/>
      <w:b/>
      <w:bCs/>
      <w:sz w:val="27"/>
      <w:szCs w:val="27"/>
      <w:lang w:eastAsia="es-AR"/>
    </w:rPr>
  </w:style>
  <w:style w:type="character" w:customStyle="1" w:styleId="Heading4Char">
    <w:name w:val="Heading 4 Char"/>
    <w:link w:val="Heading4"/>
    <w:uiPriority w:val="9"/>
    <w:semiHidden/>
    <w:rsid w:val="00662A67"/>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A204E2"/>
    <w:rPr>
      <w:rFonts w:eastAsia="Times New Roman"/>
      <w:b/>
      <w:bCs/>
      <w:i/>
      <w:iCs/>
      <w:sz w:val="26"/>
      <w:szCs w:val="26"/>
      <w:lang w:eastAsia="en-US"/>
    </w:rPr>
  </w:style>
  <w:style w:type="character" w:customStyle="1" w:styleId="Heading6Char">
    <w:name w:val="Heading 6 Char"/>
    <w:link w:val="Heading6"/>
    <w:uiPriority w:val="9"/>
    <w:rsid w:val="00662A67"/>
    <w:rPr>
      <w:rFonts w:ascii="Calibri" w:eastAsia="Times New Roman" w:hAnsi="Calibri" w:cs="Times New Roman"/>
      <w:b/>
      <w:bCs/>
      <w:sz w:val="22"/>
      <w:szCs w:val="22"/>
      <w:lang w:eastAsia="en-US"/>
    </w:rPr>
  </w:style>
  <w:style w:type="character" w:customStyle="1" w:styleId="Heading7Char">
    <w:name w:val="Heading 7 Char"/>
    <w:link w:val="Heading7"/>
    <w:uiPriority w:val="9"/>
    <w:rsid w:val="00AE03A8"/>
    <w:rPr>
      <w:rFonts w:ascii="Calibri" w:eastAsia="Times New Roman" w:hAnsi="Calibri" w:cs="Times New Roman"/>
      <w:sz w:val="24"/>
      <w:szCs w:val="24"/>
      <w:lang w:eastAsia="en-US"/>
    </w:rPr>
  </w:style>
  <w:style w:type="character" w:customStyle="1" w:styleId="Heading8Char">
    <w:name w:val="Heading 8 Char"/>
    <w:link w:val="Heading8"/>
    <w:uiPriority w:val="9"/>
    <w:rsid w:val="00AE03A8"/>
    <w:rPr>
      <w:rFonts w:ascii="Calibri" w:eastAsia="Times New Roman" w:hAnsi="Calibri" w:cs="Times New Roman"/>
      <w:i/>
      <w:iCs/>
      <w:sz w:val="24"/>
      <w:szCs w:val="24"/>
      <w:lang w:eastAsia="en-US"/>
    </w:rPr>
  </w:style>
  <w:style w:type="character" w:customStyle="1" w:styleId="Heading9Char">
    <w:name w:val="Heading 9 Char"/>
    <w:link w:val="Heading9"/>
    <w:uiPriority w:val="9"/>
    <w:rsid w:val="00AE03A8"/>
    <w:rPr>
      <w:rFonts w:ascii="Calibri Light" w:eastAsia="Times New Roman" w:hAnsi="Calibri Light" w:cs="Times New Roman"/>
      <w:sz w:val="22"/>
      <w:szCs w:val="22"/>
      <w:lang w:eastAsia="en-US"/>
    </w:rPr>
  </w:style>
  <w:style w:type="character" w:styleId="Hyperlink">
    <w:name w:val="Hyperlink"/>
    <w:uiPriority w:val="99"/>
    <w:semiHidden/>
    <w:unhideWhenUsed/>
    <w:rsid w:val="00A22D8D"/>
    <w:rPr>
      <w:color w:val="0000FF"/>
      <w:u w:val="single"/>
    </w:rPr>
  </w:style>
  <w:style w:type="character" w:styleId="FootnoteReference">
    <w:name w:val="footnote reference"/>
    <w:uiPriority w:val="99"/>
    <w:semiHidden/>
    <w:unhideWhenUsed/>
    <w:rsid w:val="00C66860"/>
    <w:rPr>
      <w:rFonts w:ascii="Verdana" w:hAnsi="Verdana"/>
      <w:sz w:val="20"/>
      <w:vertAlign w:val="superscript"/>
    </w:rPr>
  </w:style>
  <w:style w:type="paragraph" w:styleId="BodyText">
    <w:name w:val="Body Text"/>
    <w:basedOn w:val="Normal"/>
    <w:link w:val="BodyTextCh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BodyTextChar">
    <w:name w:val="Body Text Char"/>
    <w:link w:val="BodyText"/>
    <w:uiPriority w:val="99"/>
    <w:semiHidden/>
    <w:rsid w:val="00A22D8D"/>
    <w:rPr>
      <w:rFonts w:ascii="Times New Roman" w:eastAsia="Times New Roman" w:hAnsi="Times New Roman" w:cs="Times New Roman"/>
      <w:sz w:val="24"/>
      <w:szCs w:val="24"/>
      <w:lang w:eastAsia="es-AR"/>
    </w:rPr>
  </w:style>
  <w:style w:type="paragraph" w:styleId="BodyTextIndent">
    <w:name w:val="Body Text Indent"/>
    <w:basedOn w:val="Normal"/>
    <w:link w:val="BodyTextIndentCh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BodyTextIndentChar">
    <w:name w:val="Body Text Indent Char"/>
    <w:link w:val="BodyTextIndent"/>
    <w:uiPriority w:val="99"/>
    <w:semiHidden/>
    <w:rsid w:val="00A22D8D"/>
    <w:rPr>
      <w:rFonts w:ascii="Times New Roman" w:eastAsia="Times New Roman" w:hAnsi="Times New Roman" w:cs="Times New Roman"/>
      <w:sz w:val="24"/>
      <w:szCs w:val="24"/>
      <w:lang w:eastAsia="es-AR"/>
    </w:rPr>
  </w:style>
  <w:style w:type="paragraph" w:styleId="FootnoteText">
    <w:name w:val="footnote text"/>
    <w:basedOn w:val="Normal"/>
    <w:link w:val="FootnoteTextCh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FootnoteTextChar">
    <w:name w:val="Footnote Text Char"/>
    <w:link w:val="FootnoteText"/>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Header">
    <w:name w:val="header"/>
    <w:basedOn w:val="Normal"/>
    <w:link w:val="HeaderChar"/>
    <w:uiPriority w:val="99"/>
    <w:unhideWhenUsed/>
    <w:rsid w:val="007B2999"/>
    <w:pPr>
      <w:tabs>
        <w:tab w:val="center" w:pos="4419"/>
        <w:tab w:val="right" w:pos="8838"/>
      </w:tabs>
    </w:pPr>
    <w:rPr>
      <w:rFonts w:ascii="Calibri" w:hAnsi="Calibri"/>
      <w:sz w:val="22"/>
      <w:lang w:val="x-none"/>
    </w:rPr>
  </w:style>
  <w:style w:type="character" w:customStyle="1" w:styleId="HeaderChar">
    <w:name w:val="Header Char"/>
    <w:link w:val="Header"/>
    <w:uiPriority w:val="99"/>
    <w:rsid w:val="007B2999"/>
    <w:rPr>
      <w:sz w:val="22"/>
      <w:szCs w:val="22"/>
      <w:lang w:eastAsia="en-US"/>
    </w:rPr>
  </w:style>
  <w:style w:type="paragraph" w:styleId="Footer">
    <w:name w:val="footer"/>
    <w:basedOn w:val="Normal"/>
    <w:link w:val="FooterChar"/>
    <w:autoRedefine/>
    <w:uiPriority w:val="99"/>
    <w:unhideWhenUsed/>
    <w:qFormat/>
    <w:rsid w:val="0021298E"/>
    <w:pPr>
      <w:tabs>
        <w:tab w:val="center" w:pos="4419"/>
        <w:tab w:val="right" w:pos="8838"/>
      </w:tabs>
    </w:pPr>
    <w:rPr>
      <w:vertAlign w:val="superscript"/>
      <w:lang w:val="x-none"/>
    </w:rPr>
  </w:style>
  <w:style w:type="character" w:customStyle="1" w:styleId="FooterChar">
    <w:name w:val="Footer Char"/>
    <w:link w:val="Footer"/>
    <w:uiPriority w:val="99"/>
    <w:rsid w:val="0021298E"/>
    <w:rPr>
      <w:rFonts w:ascii="Verdana" w:hAnsi="Verdana"/>
      <w:szCs w:val="22"/>
      <w:vertAlign w:val="superscript"/>
      <w:lang w:eastAsia="en-US"/>
    </w:rPr>
  </w:style>
  <w:style w:type="character" w:styleId="SubtleReference">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NoSpacing">
    <w:name w:val="No Spacing"/>
    <w:uiPriority w:val="1"/>
    <w:qFormat/>
    <w:rsid w:val="0071610E"/>
    <w:pPr>
      <w:jc w:val="both"/>
    </w:pPr>
    <w:rPr>
      <w:rFonts w:ascii="Verdana" w:hAnsi="Verdana"/>
      <w:szCs w:val="22"/>
      <w:lang w:eastAsia="en-US"/>
    </w:rPr>
  </w:style>
  <w:style w:type="paragraph" w:styleId="BodyTextIndent2">
    <w:name w:val="Body Text Indent 2"/>
    <w:basedOn w:val="Normal"/>
    <w:link w:val="BodyTextIndent2Char"/>
    <w:uiPriority w:val="99"/>
    <w:semiHidden/>
    <w:unhideWhenUsed/>
    <w:rsid w:val="00662A67"/>
    <w:pPr>
      <w:spacing w:after="120" w:line="480" w:lineRule="auto"/>
      <w:ind w:left="283"/>
    </w:pPr>
    <w:rPr>
      <w:lang w:val="x-none"/>
    </w:rPr>
  </w:style>
  <w:style w:type="character" w:customStyle="1" w:styleId="BodyTextIndent2Char">
    <w:name w:val="Body Text Indent 2 Char"/>
    <w:link w:val="BodyTextIndent2"/>
    <w:uiPriority w:val="99"/>
    <w:semiHidden/>
    <w:rsid w:val="00662A67"/>
    <w:rPr>
      <w:rFonts w:ascii="Verdana" w:hAnsi="Verdana"/>
      <w:szCs w:val="22"/>
      <w:lang w:eastAsia="en-US"/>
    </w:rPr>
  </w:style>
  <w:style w:type="paragraph" w:styleId="BodyTextIndent3">
    <w:name w:val="Body Text Indent 3"/>
    <w:basedOn w:val="Normal"/>
    <w:link w:val="BodyTextIndent3Char"/>
    <w:uiPriority w:val="99"/>
    <w:semiHidden/>
    <w:unhideWhenUsed/>
    <w:rsid w:val="00662A67"/>
    <w:pPr>
      <w:spacing w:after="120"/>
      <w:ind w:left="283"/>
    </w:pPr>
    <w:rPr>
      <w:sz w:val="16"/>
      <w:szCs w:val="16"/>
      <w:lang w:val="x-none"/>
    </w:rPr>
  </w:style>
  <w:style w:type="character" w:customStyle="1" w:styleId="BodyTextIndent3Char">
    <w:name w:val="Body Text Indent 3 Char"/>
    <w:link w:val="BodyTextIndent3"/>
    <w:uiPriority w:val="99"/>
    <w:semiHidden/>
    <w:rsid w:val="00662A67"/>
    <w:rPr>
      <w:rFonts w:ascii="Verdana" w:hAnsi="Verdana"/>
      <w:sz w:val="16"/>
      <w:szCs w:val="16"/>
      <w:lang w:eastAsia="en-US"/>
    </w:rPr>
  </w:style>
  <w:style w:type="paragraph" w:styleId="Title">
    <w:name w:val="Title"/>
    <w:basedOn w:val="Normal"/>
    <w:link w:val="TitleCh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TitleChar">
    <w:name w:val="Title Char"/>
    <w:link w:val="Title"/>
    <w:uiPriority w:val="10"/>
    <w:rsid w:val="00662A67"/>
    <w:rPr>
      <w:rFonts w:ascii="Times New Roman" w:eastAsia="Times New Roman" w:hAnsi="Times New Roman"/>
      <w:sz w:val="24"/>
      <w:szCs w:val="24"/>
    </w:rPr>
  </w:style>
  <w:style w:type="paragraph" w:styleId="Subtitle">
    <w:name w:val="Subtitle"/>
    <w:basedOn w:val="Normal"/>
    <w:link w:val="SubtitleCh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itleChar">
    <w:name w:val="Subtitle Char"/>
    <w:link w:val="Subtitle"/>
    <w:uiPriority w:val="11"/>
    <w:rsid w:val="00662A67"/>
    <w:rPr>
      <w:rFonts w:ascii="Times New Roman" w:eastAsia="Times New Roman" w:hAnsi="Times New Roman"/>
      <w:sz w:val="24"/>
      <w:szCs w:val="24"/>
    </w:rPr>
  </w:style>
  <w:style w:type="paragraph" w:styleId="BlockText">
    <w:name w:val="Block Text"/>
    <w:basedOn w:val="Normal"/>
    <w:uiPriority w:val="99"/>
    <w:semiHidden/>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BodyText3">
    <w:name w:val="Body Text 3"/>
    <w:basedOn w:val="Normal"/>
    <w:link w:val="BodyText3Char"/>
    <w:uiPriority w:val="99"/>
    <w:semiHidden/>
    <w:unhideWhenUsed/>
    <w:rsid w:val="00AE03A8"/>
    <w:pPr>
      <w:spacing w:after="120"/>
    </w:pPr>
    <w:rPr>
      <w:sz w:val="16"/>
      <w:szCs w:val="16"/>
      <w:lang w:val="x-none"/>
    </w:rPr>
  </w:style>
  <w:style w:type="character" w:customStyle="1" w:styleId="BodyText3Char">
    <w:name w:val="Body Text 3 Char"/>
    <w:link w:val="BodyText3"/>
    <w:uiPriority w:val="99"/>
    <w:semiHidden/>
    <w:rsid w:val="00AE03A8"/>
    <w:rPr>
      <w:rFonts w:ascii="Verdana" w:hAnsi="Verdana"/>
      <w:sz w:val="16"/>
      <w:szCs w:val="16"/>
      <w:lang w:eastAsia="en-US"/>
    </w:rPr>
  </w:style>
  <w:style w:type="character" w:styleId="FollowedHyperlink">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NoSpacing"/>
    <w:autoRedefine/>
    <w:qFormat/>
    <w:rsid w:val="00EF5A86"/>
    <w:rPr>
      <w:sz w:val="16"/>
      <w:lang w:val="es-ES_tradnl"/>
    </w:rPr>
  </w:style>
  <w:style w:type="paragraph" w:styleId="Quote">
    <w:name w:val="Quote"/>
    <w:basedOn w:val="Normal"/>
    <w:next w:val="Normal"/>
    <w:link w:val="QuoteChar"/>
    <w:uiPriority w:val="29"/>
    <w:qFormat/>
    <w:rsid w:val="0021298E"/>
    <w:pPr>
      <w:spacing w:before="200" w:after="160"/>
      <w:ind w:left="864" w:right="864"/>
    </w:pPr>
    <w:rPr>
      <w:iCs/>
      <w:vertAlign w:val="superscript"/>
      <w:lang w:val="x-none"/>
    </w:rPr>
  </w:style>
  <w:style w:type="character" w:customStyle="1" w:styleId="QuoteChar">
    <w:name w:val="Quote Char"/>
    <w:link w:val="Quote"/>
    <w:uiPriority w:val="29"/>
    <w:rsid w:val="0021298E"/>
    <w:rPr>
      <w:rFonts w:ascii="Verdana" w:hAnsi="Verdana"/>
      <w:iCs/>
      <w:szCs w:val="22"/>
      <w:vertAlign w:val="superscript"/>
      <w:lang w:eastAsia="en-US"/>
    </w:rPr>
  </w:style>
  <w:style w:type="character" w:styleId="Strong">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EndnoteText">
    <w:name w:val="endnote text"/>
    <w:basedOn w:val="Normal"/>
    <w:link w:val="EndnoteTextCh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EndnoteTextChar">
    <w:name w:val="Endnote Text Char"/>
    <w:link w:val="EndnoteText"/>
    <w:uiPriority w:val="99"/>
    <w:rsid w:val="00E32C5E"/>
    <w:rPr>
      <w:rFonts w:ascii="Times New Roman" w:eastAsia="Times New Roman" w:hAnsi="Times New Roman"/>
      <w:sz w:val="24"/>
      <w:szCs w:val="24"/>
    </w:rPr>
  </w:style>
  <w:style w:type="character" w:customStyle="1" w:styleId="BodyText2Char">
    <w:name w:val="Body Text 2 Char"/>
    <w:link w:val="BodyText2"/>
    <w:uiPriority w:val="99"/>
    <w:semiHidden/>
    <w:rsid w:val="00A204E2"/>
    <w:rPr>
      <w:rFonts w:ascii="Verdana" w:hAnsi="Verdana"/>
      <w:szCs w:val="22"/>
      <w:lang w:eastAsia="en-US"/>
    </w:rPr>
  </w:style>
  <w:style w:type="paragraph" w:styleId="BodyText2">
    <w:name w:val="Body Text 2"/>
    <w:basedOn w:val="Normal"/>
    <w:link w:val="BodyText2Char"/>
    <w:uiPriority w:val="99"/>
    <w:semiHidden/>
    <w:unhideWhenUsed/>
    <w:rsid w:val="00A204E2"/>
    <w:pPr>
      <w:spacing w:after="120" w:line="480" w:lineRule="auto"/>
    </w:pPr>
  </w:style>
  <w:style w:type="character" w:styleId="Emph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Paragraph">
    <w:name w:val="List Paragraph"/>
    <w:basedOn w:val="Normal"/>
    <w:uiPriority w:val="34"/>
    <w:qFormat/>
    <w:rsid w:val="00CB78AD"/>
    <w:pPr>
      <w:ind w:left="720"/>
      <w:contextualSpacing/>
    </w:pPr>
  </w:style>
  <w:style w:type="character" w:styleId="EndnoteReference">
    <w:name w:val="endnote reference"/>
    <w:uiPriority w:val="99"/>
    <w:semiHidden/>
    <w:unhideWhenUsed/>
    <w:rsid w:val="00351C22"/>
  </w:style>
  <w:style w:type="character" w:customStyle="1" w:styleId="charchar">
    <w:name w:val="charchar"/>
    <w:rsid w:val="00351C22"/>
  </w:style>
  <w:style w:type="character" w:customStyle="1" w:styleId="heading2charcharchar">
    <w:name w:val="heading2charcharchar"/>
    <w:rsid w:val="00351C22"/>
  </w:style>
  <w:style w:type="paragraph" w:styleId="PlainText">
    <w:name w:val="Plain Text"/>
    <w:basedOn w:val="Normal"/>
    <w:link w:val="PlainTextChar"/>
    <w:uiPriority w:val="99"/>
    <w:semiHidden/>
    <w:unhideWhenUsed/>
    <w:rsid w:val="00351C22"/>
    <w:pPr>
      <w:spacing w:before="100" w:beforeAutospacing="1" w:after="100" w:afterAutospacing="1"/>
      <w:jc w:val="left"/>
    </w:pPr>
    <w:rPr>
      <w:rFonts w:ascii="Times New Roman" w:eastAsia="Times New Roman" w:hAnsi="Times New Roman"/>
      <w:sz w:val="24"/>
      <w:szCs w:val="24"/>
      <w:lang w:eastAsia="es-AR"/>
    </w:rPr>
  </w:style>
  <w:style w:type="character" w:customStyle="1" w:styleId="PlainTextChar">
    <w:name w:val="Plain Text Char"/>
    <w:link w:val="PlainText"/>
    <w:uiPriority w:val="99"/>
    <w:semiHidden/>
    <w:rsid w:val="00351C22"/>
    <w:rPr>
      <w:rFonts w:ascii="Times New Roman" w:eastAsia="Times New Roman" w:hAnsi="Times New Roman"/>
      <w:sz w:val="24"/>
      <w:szCs w:val="24"/>
    </w:rPr>
  </w:style>
  <w:style w:type="paragraph" w:customStyle="1" w:styleId="blockquote">
    <w:name w:val="blockquote"/>
    <w:basedOn w:val="Normal"/>
    <w:rsid w:val="00351C22"/>
    <w:pPr>
      <w:spacing w:before="100" w:beforeAutospacing="1" w:after="100" w:afterAutospacing="1"/>
      <w:jc w:val="left"/>
    </w:pPr>
    <w:rPr>
      <w:rFonts w:ascii="Times New Roman" w:eastAsia="Times New Roman" w:hAnsi="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942">
      <w:bodyDiv w:val="1"/>
      <w:marLeft w:val="0"/>
      <w:marRight w:val="0"/>
      <w:marTop w:val="0"/>
      <w:marBottom w:val="0"/>
      <w:divBdr>
        <w:top w:val="none" w:sz="0" w:space="0" w:color="auto"/>
        <w:left w:val="none" w:sz="0" w:space="0" w:color="auto"/>
        <w:bottom w:val="none" w:sz="0" w:space="0" w:color="auto"/>
        <w:right w:val="none" w:sz="0" w:space="0" w:color="auto"/>
      </w:divBdr>
      <w:divsChild>
        <w:div w:id="127626912">
          <w:marLeft w:val="0"/>
          <w:marRight w:val="0"/>
          <w:marTop w:val="0"/>
          <w:marBottom w:val="0"/>
          <w:divBdr>
            <w:top w:val="none" w:sz="0" w:space="0" w:color="auto"/>
            <w:left w:val="none" w:sz="0" w:space="0" w:color="auto"/>
            <w:bottom w:val="none" w:sz="0" w:space="0" w:color="auto"/>
            <w:right w:val="none" w:sz="0" w:space="0" w:color="auto"/>
          </w:divBdr>
        </w:div>
        <w:div w:id="621496328">
          <w:marLeft w:val="0"/>
          <w:marRight w:val="0"/>
          <w:marTop w:val="0"/>
          <w:marBottom w:val="0"/>
          <w:divBdr>
            <w:top w:val="none" w:sz="0" w:space="0" w:color="auto"/>
            <w:left w:val="none" w:sz="0" w:space="0" w:color="auto"/>
            <w:bottom w:val="none" w:sz="0" w:space="0" w:color="auto"/>
            <w:right w:val="none" w:sz="0" w:space="0" w:color="auto"/>
          </w:divBdr>
        </w:div>
        <w:div w:id="1799298404">
          <w:marLeft w:val="0"/>
          <w:marRight w:val="0"/>
          <w:marTop w:val="0"/>
          <w:marBottom w:val="0"/>
          <w:divBdr>
            <w:top w:val="none" w:sz="0" w:space="0" w:color="auto"/>
            <w:left w:val="none" w:sz="0" w:space="0" w:color="auto"/>
            <w:bottom w:val="none" w:sz="0" w:space="0" w:color="auto"/>
            <w:right w:val="none" w:sz="0" w:space="0" w:color="auto"/>
          </w:divBdr>
        </w:div>
        <w:div w:id="1840777310">
          <w:marLeft w:val="0"/>
          <w:marRight w:val="0"/>
          <w:marTop w:val="0"/>
          <w:marBottom w:val="0"/>
          <w:divBdr>
            <w:top w:val="none" w:sz="0" w:space="0" w:color="auto"/>
            <w:left w:val="none" w:sz="0" w:space="0" w:color="auto"/>
            <w:bottom w:val="none" w:sz="0" w:space="0" w:color="auto"/>
            <w:right w:val="none" w:sz="0" w:space="0" w:color="auto"/>
          </w:divBdr>
        </w:div>
        <w:div w:id="2003390262">
          <w:marLeft w:val="0"/>
          <w:marRight w:val="0"/>
          <w:marTop w:val="0"/>
          <w:marBottom w:val="0"/>
          <w:divBdr>
            <w:top w:val="none" w:sz="0" w:space="0" w:color="auto"/>
            <w:left w:val="none" w:sz="0" w:space="0" w:color="auto"/>
            <w:bottom w:val="none" w:sz="0" w:space="0" w:color="auto"/>
            <w:right w:val="none" w:sz="0" w:space="0" w:color="auto"/>
          </w:divBdr>
        </w:div>
      </w:divsChild>
    </w:div>
    <w:div w:id="315304871">
      <w:bodyDiv w:val="1"/>
      <w:marLeft w:val="0"/>
      <w:marRight w:val="0"/>
      <w:marTop w:val="0"/>
      <w:marBottom w:val="0"/>
      <w:divBdr>
        <w:top w:val="none" w:sz="0" w:space="0" w:color="auto"/>
        <w:left w:val="none" w:sz="0" w:space="0" w:color="auto"/>
        <w:bottom w:val="none" w:sz="0" w:space="0" w:color="auto"/>
        <w:right w:val="none" w:sz="0" w:space="0" w:color="auto"/>
      </w:divBdr>
    </w:div>
    <w:div w:id="365373266">
      <w:bodyDiv w:val="1"/>
      <w:marLeft w:val="0"/>
      <w:marRight w:val="0"/>
      <w:marTop w:val="0"/>
      <w:marBottom w:val="0"/>
      <w:divBdr>
        <w:top w:val="none" w:sz="0" w:space="0" w:color="auto"/>
        <w:left w:val="none" w:sz="0" w:space="0" w:color="auto"/>
        <w:bottom w:val="none" w:sz="0" w:space="0" w:color="auto"/>
        <w:right w:val="none" w:sz="0" w:space="0" w:color="auto"/>
      </w:divBdr>
      <w:divsChild>
        <w:div w:id="175773740">
          <w:marLeft w:val="0"/>
          <w:marRight w:val="0"/>
          <w:marTop w:val="0"/>
          <w:marBottom w:val="0"/>
          <w:divBdr>
            <w:top w:val="none" w:sz="0" w:space="0" w:color="auto"/>
            <w:left w:val="none" w:sz="0" w:space="0" w:color="auto"/>
            <w:bottom w:val="none" w:sz="0" w:space="0" w:color="auto"/>
            <w:right w:val="none" w:sz="0" w:space="0" w:color="auto"/>
          </w:divBdr>
        </w:div>
        <w:div w:id="961306778">
          <w:marLeft w:val="0"/>
          <w:marRight w:val="0"/>
          <w:marTop w:val="0"/>
          <w:marBottom w:val="0"/>
          <w:divBdr>
            <w:top w:val="none" w:sz="0" w:space="0" w:color="auto"/>
            <w:left w:val="none" w:sz="0" w:space="0" w:color="auto"/>
            <w:bottom w:val="none" w:sz="0" w:space="0" w:color="auto"/>
            <w:right w:val="none" w:sz="0" w:space="0" w:color="auto"/>
          </w:divBdr>
        </w:div>
        <w:div w:id="1324117489">
          <w:marLeft w:val="0"/>
          <w:marRight w:val="0"/>
          <w:marTop w:val="0"/>
          <w:marBottom w:val="0"/>
          <w:divBdr>
            <w:top w:val="none" w:sz="0" w:space="0" w:color="auto"/>
            <w:left w:val="none" w:sz="0" w:space="0" w:color="auto"/>
            <w:bottom w:val="none" w:sz="0" w:space="0" w:color="auto"/>
            <w:right w:val="none" w:sz="0" w:space="0" w:color="auto"/>
          </w:divBdr>
        </w:div>
        <w:div w:id="1343048103">
          <w:marLeft w:val="0"/>
          <w:marRight w:val="0"/>
          <w:marTop w:val="0"/>
          <w:marBottom w:val="0"/>
          <w:divBdr>
            <w:top w:val="none" w:sz="0" w:space="0" w:color="auto"/>
            <w:left w:val="none" w:sz="0" w:space="0" w:color="auto"/>
            <w:bottom w:val="none" w:sz="0" w:space="0" w:color="auto"/>
            <w:right w:val="none" w:sz="0" w:space="0" w:color="auto"/>
          </w:divBdr>
        </w:div>
        <w:div w:id="1550262007">
          <w:marLeft w:val="0"/>
          <w:marRight w:val="0"/>
          <w:marTop w:val="0"/>
          <w:marBottom w:val="0"/>
          <w:divBdr>
            <w:top w:val="none" w:sz="0" w:space="0" w:color="auto"/>
            <w:left w:val="none" w:sz="0" w:space="0" w:color="auto"/>
            <w:bottom w:val="none" w:sz="0" w:space="0" w:color="auto"/>
            <w:right w:val="none" w:sz="0" w:space="0" w:color="auto"/>
          </w:divBdr>
        </w:div>
      </w:divsChild>
    </w:div>
    <w:div w:id="459223630">
      <w:bodyDiv w:val="1"/>
      <w:marLeft w:val="0"/>
      <w:marRight w:val="0"/>
      <w:marTop w:val="0"/>
      <w:marBottom w:val="0"/>
      <w:divBdr>
        <w:top w:val="none" w:sz="0" w:space="0" w:color="auto"/>
        <w:left w:val="none" w:sz="0" w:space="0" w:color="auto"/>
        <w:bottom w:val="none" w:sz="0" w:space="0" w:color="auto"/>
        <w:right w:val="none" w:sz="0" w:space="0" w:color="auto"/>
      </w:divBdr>
      <w:divsChild>
        <w:div w:id="2087800618">
          <w:marLeft w:val="0"/>
          <w:marRight w:val="0"/>
          <w:marTop w:val="0"/>
          <w:marBottom w:val="0"/>
          <w:divBdr>
            <w:top w:val="none" w:sz="0" w:space="0" w:color="auto"/>
            <w:left w:val="none" w:sz="0" w:space="0" w:color="auto"/>
            <w:bottom w:val="none" w:sz="0" w:space="0" w:color="auto"/>
            <w:right w:val="none" w:sz="0" w:space="0" w:color="auto"/>
          </w:divBdr>
          <w:divsChild>
            <w:div w:id="6948899">
              <w:marLeft w:val="0"/>
              <w:marRight w:val="0"/>
              <w:marTop w:val="0"/>
              <w:marBottom w:val="0"/>
              <w:divBdr>
                <w:top w:val="none" w:sz="0" w:space="0" w:color="auto"/>
                <w:left w:val="none" w:sz="0" w:space="0" w:color="auto"/>
                <w:bottom w:val="none" w:sz="0" w:space="0" w:color="auto"/>
                <w:right w:val="none" w:sz="0" w:space="0" w:color="auto"/>
              </w:divBdr>
            </w:div>
            <w:div w:id="418910548">
              <w:marLeft w:val="0"/>
              <w:marRight w:val="0"/>
              <w:marTop w:val="0"/>
              <w:marBottom w:val="0"/>
              <w:divBdr>
                <w:top w:val="none" w:sz="0" w:space="0" w:color="auto"/>
                <w:left w:val="none" w:sz="0" w:space="0" w:color="auto"/>
                <w:bottom w:val="none" w:sz="0" w:space="0" w:color="auto"/>
                <w:right w:val="none" w:sz="0" w:space="0" w:color="auto"/>
              </w:divBdr>
            </w:div>
            <w:div w:id="618029159">
              <w:marLeft w:val="0"/>
              <w:marRight w:val="0"/>
              <w:marTop w:val="0"/>
              <w:marBottom w:val="0"/>
              <w:divBdr>
                <w:top w:val="none" w:sz="0" w:space="0" w:color="auto"/>
                <w:left w:val="none" w:sz="0" w:space="0" w:color="auto"/>
                <w:bottom w:val="none" w:sz="0" w:space="0" w:color="auto"/>
                <w:right w:val="none" w:sz="0" w:space="0" w:color="auto"/>
              </w:divBdr>
            </w:div>
            <w:div w:id="621031874">
              <w:marLeft w:val="0"/>
              <w:marRight w:val="0"/>
              <w:marTop w:val="0"/>
              <w:marBottom w:val="0"/>
              <w:divBdr>
                <w:top w:val="none" w:sz="0" w:space="0" w:color="auto"/>
                <w:left w:val="none" w:sz="0" w:space="0" w:color="auto"/>
                <w:bottom w:val="none" w:sz="0" w:space="0" w:color="auto"/>
                <w:right w:val="none" w:sz="0" w:space="0" w:color="auto"/>
              </w:divBdr>
            </w:div>
            <w:div w:id="821502439">
              <w:marLeft w:val="0"/>
              <w:marRight w:val="0"/>
              <w:marTop w:val="0"/>
              <w:marBottom w:val="0"/>
              <w:divBdr>
                <w:top w:val="none" w:sz="0" w:space="0" w:color="auto"/>
                <w:left w:val="none" w:sz="0" w:space="0" w:color="auto"/>
                <w:bottom w:val="none" w:sz="0" w:space="0" w:color="auto"/>
                <w:right w:val="none" w:sz="0" w:space="0" w:color="auto"/>
              </w:divBdr>
            </w:div>
            <w:div w:id="1238321624">
              <w:marLeft w:val="0"/>
              <w:marRight w:val="0"/>
              <w:marTop w:val="0"/>
              <w:marBottom w:val="0"/>
              <w:divBdr>
                <w:top w:val="none" w:sz="0" w:space="0" w:color="auto"/>
                <w:left w:val="none" w:sz="0" w:space="0" w:color="auto"/>
                <w:bottom w:val="none" w:sz="0" w:space="0" w:color="auto"/>
                <w:right w:val="none" w:sz="0" w:space="0" w:color="auto"/>
              </w:divBdr>
            </w:div>
            <w:div w:id="1297372450">
              <w:marLeft w:val="0"/>
              <w:marRight w:val="0"/>
              <w:marTop w:val="0"/>
              <w:marBottom w:val="0"/>
              <w:divBdr>
                <w:top w:val="none" w:sz="0" w:space="0" w:color="auto"/>
                <w:left w:val="none" w:sz="0" w:space="0" w:color="auto"/>
                <w:bottom w:val="none" w:sz="0" w:space="0" w:color="auto"/>
                <w:right w:val="none" w:sz="0" w:space="0" w:color="auto"/>
              </w:divBdr>
            </w:div>
            <w:div w:id="1890073728">
              <w:marLeft w:val="0"/>
              <w:marRight w:val="0"/>
              <w:marTop w:val="0"/>
              <w:marBottom w:val="0"/>
              <w:divBdr>
                <w:top w:val="none" w:sz="0" w:space="0" w:color="auto"/>
                <w:left w:val="none" w:sz="0" w:space="0" w:color="auto"/>
                <w:bottom w:val="none" w:sz="0" w:space="0" w:color="auto"/>
                <w:right w:val="none" w:sz="0" w:space="0" w:color="auto"/>
              </w:divBdr>
            </w:div>
            <w:div w:id="19009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64307">
      <w:bodyDiv w:val="1"/>
      <w:marLeft w:val="0"/>
      <w:marRight w:val="0"/>
      <w:marTop w:val="0"/>
      <w:marBottom w:val="0"/>
      <w:divBdr>
        <w:top w:val="none" w:sz="0" w:space="0" w:color="auto"/>
        <w:left w:val="none" w:sz="0" w:space="0" w:color="auto"/>
        <w:bottom w:val="none" w:sz="0" w:space="0" w:color="auto"/>
        <w:right w:val="none" w:sz="0" w:space="0" w:color="auto"/>
      </w:divBdr>
      <w:divsChild>
        <w:div w:id="26218038">
          <w:marLeft w:val="0"/>
          <w:marRight w:val="0"/>
          <w:marTop w:val="0"/>
          <w:marBottom w:val="0"/>
          <w:divBdr>
            <w:top w:val="none" w:sz="0" w:space="0" w:color="auto"/>
            <w:left w:val="none" w:sz="0" w:space="0" w:color="auto"/>
            <w:bottom w:val="none" w:sz="0" w:space="0" w:color="auto"/>
            <w:right w:val="none" w:sz="0" w:space="0" w:color="auto"/>
          </w:divBdr>
          <w:divsChild>
            <w:div w:id="603225987">
              <w:marLeft w:val="0"/>
              <w:marRight w:val="0"/>
              <w:marTop w:val="0"/>
              <w:marBottom w:val="0"/>
              <w:divBdr>
                <w:top w:val="none" w:sz="0" w:space="0" w:color="auto"/>
                <w:left w:val="none" w:sz="0" w:space="0" w:color="auto"/>
                <w:bottom w:val="none" w:sz="0" w:space="0" w:color="auto"/>
                <w:right w:val="none" w:sz="0" w:space="0" w:color="auto"/>
              </w:divBdr>
            </w:div>
            <w:div w:id="701903941">
              <w:marLeft w:val="0"/>
              <w:marRight w:val="0"/>
              <w:marTop w:val="0"/>
              <w:marBottom w:val="0"/>
              <w:divBdr>
                <w:top w:val="none" w:sz="0" w:space="0" w:color="auto"/>
                <w:left w:val="none" w:sz="0" w:space="0" w:color="auto"/>
                <w:bottom w:val="none" w:sz="0" w:space="0" w:color="auto"/>
                <w:right w:val="none" w:sz="0" w:space="0" w:color="auto"/>
              </w:divBdr>
            </w:div>
            <w:div w:id="1260330967">
              <w:marLeft w:val="0"/>
              <w:marRight w:val="0"/>
              <w:marTop w:val="0"/>
              <w:marBottom w:val="0"/>
              <w:divBdr>
                <w:top w:val="none" w:sz="0" w:space="0" w:color="auto"/>
                <w:left w:val="none" w:sz="0" w:space="0" w:color="auto"/>
                <w:bottom w:val="none" w:sz="0" w:space="0" w:color="auto"/>
                <w:right w:val="none" w:sz="0" w:space="0" w:color="auto"/>
              </w:divBdr>
            </w:div>
            <w:div w:id="1336542191">
              <w:marLeft w:val="0"/>
              <w:marRight w:val="0"/>
              <w:marTop w:val="0"/>
              <w:marBottom w:val="0"/>
              <w:divBdr>
                <w:top w:val="none" w:sz="0" w:space="0" w:color="auto"/>
                <w:left w:val="none" w:sz="0" w:space="0" w:color="auto"/>
                <w:bottom w:val="none" w:sz="0" w:space="0" w:color="auto"/>
                <w:right w:val="none" w:sz="0" w:space="0" w:color="auto"/>
              </w:divBdr>
            </w:div>
            <w:div w:id="1841191804">
              <w:marLeft w:val="0"/>
              <w:marRight w:val="0"/>
              <w:marTop w:val="0"/>
              <w:marBottom w:val="0"/>
              <w:divBdr>
                <w:top w:val="none" w:sz="0" w:space="0" w:color="auto"/>
                <w:left w:val="none" w:sz="0" w:space="0" w:color="auto"/>
                <w:bottom w:val="none" w:sz="0" w:space="0" w:color="auto"/>
                <w:right w:val="none" w:sz="0" w:space="0" w:color="auto"/>
              </w:divBdr>
            </w:div>
            <w:div w:id="2010130088">
              <w:marLeft w:val="0"/>
              <w:marRight w:val="0"/>
              <w:marTop w:val="0"/>
              <w:marBottom w:val="0"/>
              <w:divBdr>
                <w:top w:val="none" w:sz="0" w:space="0" w:color="auto"/>
                <w:left w:val="none" w:sz="0" w:space="0" w:color="auto"/>
                <w:bottom w:val="none" w:sz="0" w:space="0" w:color="auto"/>
                <w:right w:val="none" w:sz="0" w:space="0" w:color="auto"/>
              </w:divBdr>
            </w:div>
            <w:div w:id="208556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3121">
      <w:bodyDiv w:val="1"/>
      <w:marLeft w:val="0"/>
      <w:marRight w:val="0"/>
      <w:marTop w:val="0"/>
      <w:marBottom w:val="0"/>
      <w:divBdr>
        <w:top w:val="none" w:sz="0" w:space="0" w:color="auto"/>
        <w:left w:val="none" w:sz="0" w:space="0" w:color="auto"/>
        <w:bottom w:val="none" w:sz="0" w:space="0" w:color="auto"/>
        <w:right w:val="none" w:sz="0" w:space="0" w:color="auto"/>
      </w:divBdr>
      <w:divsChild>
        <w:div w:id="641082331">
          <w:marLeft w:val="0"/>
          <w:marRight w:val="0"/>
          <w:marTop w:val="0"/>
          <w:marBottom w:val="0"/>
          <w:divBdr>
            <w:top w:val="none" w:sz="0" w:space="0" w:color="auto"/>
            <w:left w:val="none" w:sz="0" w:space="0" w:color="auto"/>
            <w:bottom w:val="none" w:sz="0" w:space="0" w:color="auto"/>
            <w:right w:val="none" w:sz="0" w:space="0" w:color="auto"/>
          </w:divBdr>
          <w:divsChild>
            <w:div w:id="688264281">
              <w:marLeft w:val="0"/>
              <w:marRight w:val="0"/>
              <w:marTop w:val="0"/>
              <w:marBottom w:val="0"/>
              <w:divBdr>
                <w:top w:val="none" w:sz="0" w:space="0" w:color="auto"/>
                <w:left w:val="none" w:sz="0" w:space="0" w:color="auto"/>
                <w:bottom w:val="none" w:sz="0" w:space="0" w:color="auto"/>
                <w:right w:val="none" w:sz="0" w:space="0" w:color="auto"/>
              </w:divBdr>
            </w:div>
            <w:div w:id="983511495">
              <w:marLeft w:val="0"/>
              <w:marRight w:val="0"/>
              <w:marTop w:val="0"/>
              <w:marBottom w:val="0"/>
              <w:divBdr>
                <w:top w:val="none" w:sz="0" w:space="0" w:color="auto"/>
                <w:left w:val="none" w:sz="0" w:space="0" w:color="auto"/>
                <w:bottom w:val="none" w:sz="0" w:space="0" w:color="auto"/>
                <w:right w:val="none" w:sz="0" w:space="0" w:color="auto"/>
              </w:divBdr>
            </w:div>
            <w:div w:id="12269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08542">
      <w:bodyDiv w:val="1"/>
      <w:marLeft w:val="0"/>
      <w:marRight w:val="0"/>
      <w:marTop w:val="0"/>
      <w:marBottom w:val="0"/>
      <w:divBdr>
        <w:top w:val="none" w:sz="0" w:space="0" w:color="auto"/>
        <w:left w:val="none" w:sz="0" w:space="0" w:color="auto"/>
        <w:bottom w:val="none" w:sz="0" w:space="0" w:color="auto"/>
        <w:right w:val="none" w:sz="0" w:space="0" w:color="auto"/>
      </w:divBdr>
      <w:divsChild>
        <w:div w:id="11082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11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529877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19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21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297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30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41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1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960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6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22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68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25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948042">
      <w:bodyDiv w:val="1"/>
      <w:marLeft w:val="0"/>
      <w:marRight w:val="0"/>
      <w:marTop w:val="0"/>
      <w:marBottom w:val="0"/>
      <w:divBdr>
        <w:top w:val="none" w:sz="0" w:space="0" w:color="auto"/>
        <w:left w:val="none" w:sz="0" w:space="0" w:color="auto"/>
        <w:bottom w:val="none" w:sz="0" w:space="0" w:color="auto"/>
        <w:right w:val="none" w:sz="0" w:space="0" w:color="auto"/>
      </w:divBdr>
      <w:divsChild>
        <w:div w:id="1364938308">
          <w:marLeft w:val="0"/>
          <w:marRight w:val="0"/>
          <w:marTop w:val="0"/>
          <w:marBottom w:val="0"/>
          <w:divBdr>
            <w:top w:val="none" w:sz="0" w:space="0" w:color="auto"/>
            <w:left w:val="none" w:sz="0" w:space="0" w:color="auto"/>
            <w:bottom w:val="none" w:sz="0" w:space="0" w:color="auto"/>
            <w:right w:val="none" w:sz="0" w:space="0" w:color="auto"/>
          </w:divBdr>
          <w:divsChild>
            <w:div w:id="57559058">
              <w:marLeft w:val="0"/>
              <w:marRight w:val="0"/>
              <w:marTop w:val="0"/>
              <w:marBottom w:val="0"/>
              <w:divBdr>
                <w:top w:val="none" w:sz="0" w:space="0" w:color="auto"/>
                <w:left w:val="none" w:sz="0" w:space="0" w:color="auto"/>
                <w:bottom w:val="none" w:sz="0" w:space="0" w:color="auto"/>
                <w:right w:val="none" w:sz="0" w:space="0" w:color="auto"/>
              </w:divBdr>
            </w:div>
            <w:div w:id="92211870">
              <w:marLeft w:val="0"/>
              <w:marRight w:val="0"/>
              <w:marTop w:val="0"/>
              <w:marBottom w:val="0"/>
              <w:divBdr>
                <w:top w:val="none" w:sz="0" w:space="0" w:color="auto"/>
                <w:left w:val="none" w:sz="0" w:space="0" w:color="auto"/>
                <w:bottom w:val="none" w:sz="0" w:space="0" w:color="auto"/>
                <w:right w:val="none" w:sz="0" w:space="0" w:color="auto"/>
              </w:divBdr>
            </w:div>
            <w:div w:id="93329784">
              <w:marLeft w:val="0"/>
              <w:marRight w:val="0"/>
              <w:marTop w:val="0"/>
              <w:marBottom w:val="0"/>
              <w:divBdr>
                <w:top w:val="none" w:sz="0" w:space="0" w:color="auto"/>
                <w:left w:val="none" w:sz="0" w:space="0" w:color="auto"/>
                <w:bottom w:val="none" w:sz="0" w:space="0" w:color="auto"/>
                <w:right w:val="none" w:sz="0" w:space="0" w:color="auto"/>
              </w:divBdr>
            </w:div>
            <w:div w:id="660499912">
              <w:marLeft w:val="0"/>
              <w:marRight w:val="0"/>
              <w:marTop w:val="0"/>
              <w:marBottom w:val="0"/>
              <w:divBdr>
                <w:top w:val="none" w:sz="0" w:space="0" w:color="auto"/>
                <w:left w:val="none" w:sz="0" w:space="0" w:color="auto"/>
                <w:bottom w:val="none" w:sz="0" w:space="0" w:color="auto"/>
                <w:right w:val="none" w:sz="0" w:space="0" w:color="auto"/>
              </w:divBdr>
            </w:div>
            <w:div w:id="1095369468">
              <w:marLeft w:val="0"/>
              <w:marRight w:val="0"/>
              <w:marTop w:val="0"/>
              <w:marBottom w:val="0"/>
              <w:divBdr>
                <w:top w:val="none" w:sz="0" w:space="0" w:color="auto"/>
                <w:left w:val="none" w:sz="0" w:space="0" w:color="auto"/>
                <w:bottom w:val="none" w:sz="0" w:space="0" w:color="auto"/>
                <w:right w:val="none" w:sz="0" w:space="0" w:color="auto"/>
              </w:divBdr>
            </w:div>
            <w:div w:id="18669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10647">
      <w:bodyDiv w:val="1"/>
      <w:marLeft w:val="0"/>
      <w:marRight w:val="0"/>
      <w:marTop w:val="0"/>
      <w:marBottom w:val="0"/>
      <w:divBdr>
        <w:top w:val="none" w:sz="0" w:space="0" w:color="auto"/>
        <w:left w:val="none" w:sz="0" w:space="0" w:color="auto"/>
        <w:bottom w:val="none" w:sz="0" w:space="0" w:color="auto"/>
        <w:right w:val="none" w:sz="0" w:space="0" w:color="auto"/>
      </w:divBdr>
      <w:divsChild>
        <w:div w:id="1470786122">
          <w:marLeft w:val="0"/>
          <w:marRight w:val="0"/>
          <w:marTop w:val="0"/>
          <w:marBottom w:val="0"/>
          <w:divBdr>
            <w:top w:val="none" w:sz="0" w:space="0" w:color="auto"/>
            <w:left w:val="none" w:sz="0" w:space="0" w:color="auto"/>
            <w:bottom w:val="none" w:sz="0" w:space="0" w:color="auto"/>
            <w:right w:val="none" w:sz="0" w:space="0" w:color="auto"/>
          </w:divBdr>
          <w:divsChild>
            <w:div w:id="59211299">
              <w:marLeft w:val="0"/>
              <w:marRight w:val="0"/>
              <w:marTop w:val="0"/>
              <w:marBottom w:val="0"/>
              <w:divBdr>
                <w:top w:val="none" w:sz="0" w:space="0" w:color="auto"/>
                <w:left w:val="none" w:sz="0" w:space="0" w:color="auto"/>
                <w:bottom w:val="none" w:sz="0" w:space="0" w:color="auto"/>
                <w:right w:val="none" w:sz="0" w:space="0" w:color="auto"/>
              </w:divBdr>
            </w:div>
            <w:div w:id="103431050">
              <w:marLeft w:val="0"/>
              <w:marRight w:val="0"/>
              <w:marTop w:val="0"/>
              <w:marBottom w:val="0"/>
              <w:divBdr>
                <w:top w:val="none" w:sz="0" w:space="0" w:color="auto"/>
                <w:left w:val="none" w:sz="0" w:space="0" w:color="auto"/>
                <w:bottom w:val="none" w:sz="0" w:space="0" w:color="auto"/>
                <w:right w:val="none" w:sz="0" w:space="0" w:color="auto"/>
              </w:divBdr>
            </w:div>
            <w:div w:id="496194445">
              <w:marLeft w:val="0"/>
              <w:marRight w:val="0"/>
              <w:marTop w:val="0"/>
              <w:marBottom w:val="0"/>
              <w:divBdr>
                <w:top w:val="none" w:sz="0" w:space="0" w:color="auto"/>
                <w:left w:val="none" w:sz="0" w:space="0" w:color="auto"/>
                <w:bottom w:val="none" w:sz="0" w:space="0" w:color="auto"/>
                <w:right w:val="none" w:sz="0" w:space="0" w:color="auto"/>
              </w:divBdr>
            </w:div>
            <w:div w:id="695692404">
              <w:marLeft w:val="0"/>
              <w:marRight w:val="0"/>
              <w:marTop w:val="0"/>
              <w:marBottom w:val="0"/>
              <w:divBdr>
                <w:top w:val="none" w:sz="0" w:space="0" w:color="auto"/>
                <w:left w:val="none" w:sz="0" w:space="0" w:color="auto"/>
                <w:bottom w:val="none" w:sz="0" w:space="0" w:color="auto"/>
                <w:right w:val="none" w:sz="0" w:space="0" w:color="auto"/>
              </w:divBdr>
            </w:div>
            <w:div w:id="790829318">
              <w:marLeft w:val="0"/>
              <w:marRight w:val="0"/>
              <w:marTop w:val="0"/>
              <w:marBottom w:val="0"/>
              <w:divBdr>
                <w:top w:val="none" w:sz="0" w:space="0" w:color="auto"/>
                <w:left w:val="none" w:sz="0" w:space="0" w:color="auto"/>
                <w:bottom w:val="none" w:sz="0" w:space="0" w:color="auto"/>
                <w:right w:val="none" w:sz="0" w:space="0" w:color="auto"/>
              </w:divBdr>
            </w:div>
            <w:div w:id="916281864">
              <w:marLeft w:val="0"/>
              <w:marRight w:val="0"/>
              <w:marTop w:val="0"/>
              <w:marBottom w:val="0"/>
              <w:divBdr>
                <w:top w:val="none" w:sz="0" w:space="0" w:color="auto"/>
                <w:left w:val="none" w:sz="0" w:space="0" w:color="auto"/>
                <w:bottom w:val="none" w:sz="0" w:space="0" w:color="auto"/>
                <w:right w:val="none" w:sz="0" w:space="0" w:color="auto"/>
              </w:divBdr>
            </w:div>
            <w:div w:id="1117600795">
              <w:marLeft w:val="0"/>
              <w:marRight w:val="0"/>
              <w:marTop w:val="0"/>
              <w:marBottom w:val="0"/>
              <w:divBdr>
                <w:top w:val="none" w:sz="0" w:space="0" w:color="auto"/>
                <w:left w:val="none" w:sz="0" w:space="0" w:color="auto"/>
                <w:bottom w:val="none" w:sz="0" w:space="0" w:color="auto"/>
                <w:right w:val="none" w:sz="0" w:space="0" w:color="auto"/>
              </w:divBdr>
            </w:div>
            <w:div w:id="1336419064">
              <w:marLeft w:val="0"/>
              <w:marRight w:val="0"/>
              <w:marTop w:val="0"/>
              <w:marBottom w:val="0"/>
              <w:divBdr>
                <w:top w:val="none" w:sz="0" w:space="0" w:color="auto"/>
                <w:left w:val="none" w:sz="0" w:space="0" w:color="auto"/>
                <w:bottom w:val="none" w:sz="0" w:space="0" w:color="auto"/>
                <w:right w:val="none" w:sz="0" w:space="0" w:color="auto"/>
              </w:divBdr>
            </w:div>
            <w:div w:id="1526477539">
              <w:marLeft w:val="0"/>
              <w:marRight w:val="0"/>
              <w:marTop w:val="0"/>
              <w:marBottom w:val="0"/>
              <w:divBdr>
                <w:top w:val="none" w:sz="0" w:space="0" w:color="auto"/>
                <w:left w:val="none" w:sz="0" w:space="0" w:color="auto"/>
                <w:bottom w:val="none" w:sz="0" w:space="0" w:color="auto"/>
                <w:right w:val="none" w:sz="0" w:space="0" w:color="auto"/>
              </w:divBdr>
            </w:div>
            <w:div w:id="1892576237">
              <w:marLeft w:val="0"/>
              <w:marRight w:val="0"/>
              <w:marTop w:val="0"/>
              <w:marBottom w:val="0"/>
              <w:divBdr>
                <w:top w:val="none" w:sz="0" w:space="0" w:color="auto"/>
                <w:left w:val="none" w:sz="0" w:space="0" w:color="auto"/>
                <w:bottom w:val="none" w:sz="0" w:space="0" w:color="auto"/>
                <w:right w:val="none" w:sz="0" w:space="0" w:color="auto"/>
              </w:divBdr>
            </w:div>
            <w:div w:id="20088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7324">
      <w:bodyDiv w:val="1"/>
      <w:marLeft w:val="0"/>
      <w:marRight w:val="0"/>
      <w:marTop w:val="0"/>
      <w:marBottom w:val="0"/>
      <w:divBdr>
        <w:top w:val="none" w:sz="0" w:space="0" w:color="auto"/>
        <w:left w:val="none" w:sz="0" w:space="0" w:color="auto"/>
        <w:bottom w:val="none" w:sz="0" w:space="0" w:color="auto"/>
        <w:right w:val="none" w:sz="0" w:space="0" w:color="auto"/>
      </w:divBdr>
      <w:divsChild>
        <w:div w:id="1972251803">
          <w:marLeft w:val="0"/>
          <w:marRight w:val="0"/>
          <w:marTop w:val="0"/>
          <w:marBottom w:val="0"/>
          <w:divBdr>
            <w:top w:val="none" w:sz="0" w:space="0" w:color="auto"/>
            <w:left w:val="none" w:sz="0" w:space="0" w:color="auto"/>
            <w:bottom w:val="none" w:sz="0" w:space="0" w:color="auto"/>
            <w:right w:val="none" w:sz="0" w:space="0" w:color="auto"/>
          </w:divBdr>
          <w:divsChild>
            <w:div w:id="260455696">
              <w:marLeft w:val="0"/>
              <w:marRight w:val="0"/>
              <w:marTop w:val="0"/>
              <w:marBottom w:val="0"/>
              <w:divBdr>
                <w:top w:val="none" w:sz="0" w:space="0" w:color="auto"/>
                <w:left w:val="none" w:sz="0" w:space="0" w:color="auto"/>
                <w:bottom w:val="none" w:sz="0" w:space="0" w:color="auto"/>
                <w:right w:val="none" w:sz="0" w:space="0" w:color="auto"/>
              </w:divBdr>
            </w:div>
            <w:div w:id="290868042">
              <w:marLeft w:val="0"/>
              <w:marRight w:val="0"/>
              <w:marTop w:val="0"/>
              <w:marBottom w:val="0"/>
              <w:divBdr>
                <w:top w:val="none" w:sz="0" w:space="0" w:color="auto"/>
                <w:left w:val="none" w:sz="0" w:space="0" w:color="auto"/>
                <w:bottom w:val="none" w:sz="0" w:space="0" w:color="auto"/>
                <w:right w:val="none" w:sz="0" w:space="0" w:color="auto"/>
              </w:divBdr>
            </w:div>
            <w:div w:id="526872784">
              <w:marLeft w:val="0"/>
              <w:marRight w:val="0"/>
              <w:marTop w:val="0"/>
              <w:marBottom w:val="0"/>
              <w:divBdr>
                <w:top w:val="none" w:sz="0" w:space="0" w:color="auto"/>
                <w:left w:val="none" w:sz="0" w:space="0" w:color="auto"/>
                <w:bottom w:val="none" w:sz="0" w:space="0" w:color="auto"/>
                <w:right w:val="none" w:sz="0" w:space="0" w:color="auto"/>
              </w:divBdr>
            </w:div>
            <w:div w:id="784613600">
              <w:marLeft w:val="0"/>
              <w:marRight w:val="0"/>
              <w:marTop w:val="0"/>
              <w:marBottom w:val="0"/>
              <w:divBdr>
                <w:top w:val="none" w:sz="0" w:space="0" w:color="auto"/>
                <w:left w:val="none" w:sz="0" w:space="0" w:color="auto"/>
                <w:bottom w:val="none" w:sz="0" w:space="0" w:color="auto"/>
                <w:right w:val="none" w:sz="0" w:space="0" w:color="auto"/>
              </w:divBdr>
            </w:div>
            <w:div w:id="947926399">
              <w:marLeft w:val="0"/>
              <w:marRight w:val="0"/>
              <w:marTop w:val="0"/>
              <w:marBottom w:val="0"/>
              <w:divBdr>
                <w:top w:val="none" w:sz="0" w:space="0" w:color="auto"/>
                <w:left w:val="none" w:sz="0" w:space="0" w:color="auto"/>
                <w:bottom w:val="none" w:sz="0" w:space="0" w:color="auto"/>
                <w:right w:val="none" w:sz="0" w:space="0" w:color="auto"/>
              </w:divBdr>
            </w:div>
            <w:div w:id="1197427218">
              <w:marLeft w:val="0"/>
              <w:marRight w:val="0"/>
              <w:marTop w:val="0"/>
              <w:marBottom w:val="0"/>
              <w:divBdr>
                <w:top w:val="none" w:sz="0" w:space="0" w:color="auto"/>
                <w:left w:val="none" w:sz="0" w:space="0" w:color="auto"/>
                <w:bottom w:val="none" w:sz="0" w:space="0" w:color="auto"/>
                <w:right w:val="none" w:sz="0" w:space="0" w:color="auto"/>
              </w:divBdr>
            </w:div>
            <w:div w:id="1382317423">
              <w:marLeft w:val="0"/>
              <w:marRight w:val="0"/>
              <w:marTop w:val="0"/>
              <w:marBottom w:val="0"/>
              <w:divBdr>
                <w:top w:val="none" w:sz="0" w:space="0" w:color="auto"/>
                <w:left w:val="none" w:sz="0" w:space="0" w:color="auto"/>
                <w:bottom w:val="none" w:sz="0" w:space="0" w:color="auto"/>
                <w:right w:val="none" w:sz="0" w:space="0" w:color="auto"/>
              </w:divBdr>
            </w:div>
            <w:div w:id="19316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77652">
      <w:bodyDiv w:val="1"/>
      <w:marLeft w:val="0"/>
      <w:marRight w:val="0"/>
      <w:marTop w:val="0"/>
      <w:marBottom w:val="0"/>
      <w:divBdr>
        <w:top w:val="none" w:sz="0" w:space="0" w:color="auto"/>
        <w:left w:val="none" w:sz="0" w:space="0" w:color="auto"/>
        <w:bottom w:val="none" w:sz="0" w:space="0" w:color="auto"/>
        <w:right w:val="none" w:sz="0" w:space="0" w:color="auto"/>
      </w:divBdr>
      <w:divsChild>
        <w:div w:id="1869053766">
          <w:marLeft w:val="0"/>
          <w:marRight w:val="0"/>
          <w:marTop w:val="0"/>
          <w:marBottom w:val="0"/>
          <w:divBdr>
            <w:top w:val="none" w:sz="0" w:space="0" w:color="auto"/>
            <w:left w:val="none" w:sz="0" w:space="0" w:color="auto"/>
            <w:bottom w:val="none" w:sz="0" w:space="0" w:color="auto"/>
            <w:right w:val="none" w:sz="0" w:space="0" w:color="auto"/>
          </w:divBdr>
          <w:divsChild>
            <w:div w:id="68888494">
              <w:marLeft w:val="0"/>
              <w:marRight w:val="0"/>
              <w:marTop w:val="0"/>
              <w:marBottom w:val="0"/>
              <w:divBdr>
                <w:top w:val="none" w:sz="0" w:space="0" w:color="auto"/>
                <w:left w:val="none" w:sz="0" w:space="0" w:color="auto"/>
                <w:bottom w:val="none" w:sz="0" w:space="0" w:color="auto"/>
                <w:right w:val="none" w:sz="0" w:space="0" w:color="auto"/>
              </w:divBdr>
            </w:div>
            <w:div w:id="309599549">
              <w:marLeft w:val="0"/>
              <w:marRight w:val="0"/>
              <w:marTop w:val="0"/>
              <w:marBottom w:val="0"/>
              <w:divBdr>
                <w:top w:val="none" w:sz="0" w:space="0" w:color="auto"/>
                <w:left w:val="none" w:sz="0" w:space="0" w:color="auto"/>
                <w:bottom w:val="none" w:sz="0" w:space="0" w:color="auto"/>
                <w:right w:val="none" w:sz="0" w:space="0" w:color="auto"/>
              </w:divBdr>
            </w:div>
            <w:div w:id="314114755">
              <w:marLeft w:val="0"/>
              <w:marRight w:val="0"/>
              <w:marTop w:val="0"/>
              <w:marBottom w:val="0"/>
              <w:divBdr>
                <w:top w:val="none" w:sz="0" w:space="0" w:color="auto"/>
                <w:left w:val="none" w:sz="0" w:space="0" w:color="auto"/>
                <w:bottom w:val="none" w:sz="0" w:space="0" w:color="auto"/>
                <w:right w:val="none" w:sz="0" w:space="0" w:color="auto"/>
              </w:divBdr>
            </w:div>
            <w:div w:id="644045872">
              <w:marLeft w:val="0"/>
              <w:marRight w:val="0"/>
              <w:marTop w:val="0"/>
              <w:marBottom w:val="0"/>
              <w:divBdr>
                <w:top w:val="none" w:sz="0" w:space="0" w:color="auto"/>
                <w:left w:val="none" w:sz="0" w:space="0" w:color="auto"/>
                <w:bottom w:val="none" w:sz="0" w:space="0" w:color="auto"/>
                <w:right w:val="none" w:sz="0" w:space="0" w:color="auto"/>
              </w:divBdr>
            </w:div>
            <w:div w:id="1010449666">
              <w:marLeft w:val="0"/>
              <w:marRight w:val="0"/>
              <w:marTop w:val="0"/>
              <w:marBottom w:val="0"/>
              <w:divBdr>
                <w:top w:val="none" w:sz="0" w:space="0" w:color="auto"/>
                <w:left w:val="none" w:sz="0" w:space="0" w:color="auto"/>
                <w:bottom w:val="none" w:sz="0" w:space="0" w:color="auto"/>
                <w:right w:val="none" w:sz="0" w:space="0" w:color="auto"/>
              </w:divBdr>
            </w:div>
            <w:div w:id="1056393334">
              <w:marLeft w:val="0"/>
              <w:marRight w:val="0"/>
              <w:marTop w:val="0"/>
              <w:marBottom w:val="0"/>
              <w:divBdr>
                <w:top w:val="none" w:sz="0" w:space="0" w:color="auto"/>
                <w:left w:val="none" w:sz="0" w:space="0" w:color="auto"/>
                <w:bottom w:val="none" w:sz="0" w:space="0" w:color="auto"/>
                <w:right w:val="none" w:sz="0" w:space="0" w:color="auto"/>
              </w:divBdr>
            </w:div>
            <w:div w:id="1293250167">
              <w:marLeft w:val="0"/>
              <w:marRight w:val="0"/>
              <w:marTop w:val="0"/>
              <w:marBottom w:val="0"/>
              <w:divBdr>
                <w:top w:val="none" w:sz="0" w:space="0" w:color="auto"/>
                <w:left w:val="none" w:sz="0" w:space="0" w:color="auto"/>
                <w:bottom w:val="none" w:sz="0" w:space="0" w:color="auto"/>
                <w:right w:val="none" w:sz="0" w:space="0" w:color="auto"/>
              </w:divBdr>
            </w:div>
            <w:div w:id="1331103438">
              <w:marLeft w:val="0"/>
              <w:marRight w:val="0"/>
              <w:marTop w:val="0"/>
              <w:marBottom w:val="0"/>
              <w:divBdr>
                <w:top w:val="none" w:sz="0" w:space="0" w:color="auto"/>
                <w:left w:val="none" w:sz="0" w:space="0" w:color="auto"/>
                <w:bottom w:val="none" w:sz="0" w:space="0" w:color="auto"/>
                <w:right w:val="none" w:sz="0" w:space="0" w:color="auto"/>
              </w:divBdr>
            </w:div>
            <w:div w:id="1596090015">
              <w:marLeft w:val="0"/>
              <w:marRight w:val="0"/>
              <w:marTop w:val="0"/>
              <w:marBottom w:val="0"/>
              <w:divBdr>
                <w:top w:val="none" w:sz="0" w:space="0" w:color="auto"/>
                <w:left w:val="none" w:sz="0" w:space="0" w:color="auto"/>
                <w:bottom w:val="none" w:sz="0" w:space="0" w:color="auto"/>
                <w:right w:val="none" w:sz="0" w:space="0" w:color="auto"/>
              </w:divBdr>
            </w:div>
            <w:div w:id="1746104816">
              <w:marLeft w:val="0"/>
              <w:marRight w:val="0"/>
              <w:marTop w:val="0"/>
              <w:marBottom w:val="0"/>
              <w:divBdr>
                <w:top w:val="none" w:sz="0" w:space="0" w:color="auto"/>
                <w:left w:val="none" w:sz="0" w:space="0" w:color="auto"/>
                <w:bottom w:val="none" w:sz="0" w:space="0" w:color="auto"/>
                <w:right w:val="none" w:sz="0" w:space="0" w:color="auto"/>
              </w:divBdr>
            </w:div>
            <w:div w:id="1769040786">
              <w:marLeft w:val="0"/>
              <w:marRight w:val="0"/>
              <w:marTop w:val="0"/>
              <w:marBottom w:val="0"/>
              <w:divBdr>
                <w:top w:val="none" w:sz="0" w:space="0" w:color="auto"/>
                <w:left w:val="none" w:sz="0" w:space="0" w:color="auto"/>
                <w:bottom w:val="none" w:sz="0" w:space="0" w:color="auto"/>
                <w:right w:val="none" w:sz="0" w:space="0" w:color="auto"/>
              </w:divBdr>
            </w:div>
            <w:div w:id="1975021600">
              <w:marLeft w:val="0"/>
              <w:marRight w:val="0"/>
              <w:marTop w:val="0"/>
              <w:marBottom w:val="0"/>
              <w:divBdr>
                <w:top w:val="none" w:sz="0" w:space="0" w:color="auto"/>
                <w:left w:val="none" w:sz="0" w:space="0" w:color="auto"/>
                <w:bottom w:val="none" w:sz="0" w:space="0" w:color="auto"/>
                <w:right w:val="none" w:sz="0" w:space="0" w:color="auto"/>
              </w:divBdr>
            </w:div>
            <w:div w:id="21084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660">
      <w:bodyDiv w:val="1"/>
      <w:marLeft w:val="0"/>
      <w:marRight w:val="0"/>
      <w:marTop w:val="0"/>
      <w:marBottom w:val="0"/>
      <w:divBdr>
        <w:top w:val="none" w:sz="0" w:space="0" w:color="auto"/>
        <w:left w:val="none" w:sz="0" w:space="0" w:color="auto"/>
        <w:bottom w:val="none" w:sz="0" w:space="0" w:color="auto"/>
        <w:right w:val="none" w:sz="0" w:space="0" w:color="auto"/>
      </w:divBdr>
      <w:divsChild>
        <w:div w:id="910196574">
          <w:marLeft w:val="0"/>
          <w:marRight w:val="0"/>
          <w:marTop w:val="0"/>
          <w:marBottom w:val="0"/>
          <w:divBdr>
            <w:top w:val="none" w:sz="0" w:space="0" w:color="auto"/>
            <w:left w:val="none" w:sz="0" w:space="0" w:color="auto"/>
            <w:bottom w:val="none" w:sz="0" w:space="0" w:color="auto"/>
            <w:right w:val="none" w:sz="0" w:space="0" w:color="auto"/>
          </w:divBdr>
          <w:divsChild>
            <w:div w:id="55399956">
              <w:marLeft w:val="0"/>
              <w:marRight w:val="0"/>
              <w:marTop w:val="0"/>
              <w:marBottom w:val="0"/>
              <w:divBdr>
                <w:top w:val="none" w:sz="0" w:space="0" w:color="auto"/>
                <w:left w:val="none" w:sz="0" w:space="0" w:color="auto"/>
                <w:bottom w:val="none" w:sz="0" w:space="0" w:color="auto"/>
                <w:right w:val="none" w:sz="0" w:space="0" w:color="auto"/>
              </w:divBdr>
            </w:div>
            <w:div w:id="92670162">
              <w:marLeft w:val="0"/>
              <w:marRight w:val="0"/>
              <w:marTop w:val="0"/>
              <w:marBottom w:val="0"/>
              <w:divBdr>
                <w:top w:val="none" w:sz="0" w:space="0" w:color="auto"/>
                <w:left w:val="none" w:sz="0" w:space="0" w:color="auto"/>
                <w:bottom w:val="none" w:sz="0" w:space="0" w:color="auto"/>
                <w:right w:val="none" w:sz="0" w:space="0" w:color="auto"/>
              </w:divBdr>
            </w:div>
            <w:div w:id="97526305">
              <w:marLeft w:val="0"/>
              <w:marRight w:val="0"/>
              <w:marTop w:val="0"/>
              <w:marBottom w:val="0"/>
              <w:divBdr>
                <w:top w:val="none" w:sz="0" w:space="0" w:color="auto"/>
                <w:left w:val="none" w:sz="0" w:space="0" w:color="auto"/>
                <w:bottom w:val="none" w:sz="0" w:space="0" w:color="auto"/>
                <w:right w:val="none" w:sz="0" w:space="0" w:color="auto"/>
              </w:divBdr>
            </w:div>
            <w:div w:id="141585231">
              <w:marLeft w:val="0"/>
              <w:marRight w:val="0"/>
              <w:marTop w:val="0"/>
              <w:marBottom w:val="0"/>
              <w:divBdr>
                <w:top w:val="none" w:sz="0" w:space="0" w:color="auto"/>
                <w:left w:val="none" w:sz="0" w:space="0" w:color="auto"/>
                <w:bottom w:val="none" w:sz="0" w:space="0" w:color="auto"/>
                <w:right w:val="none" w:sz="0" w:space="0" w:color="auto"/>
              </w:divBdr>
            </w:div>
            <w:div w:id="228224623">
              <w:marLeft w:val="0"/>
              <w:marRight w:val="0"/>
              <w:marTop w:val="0"/>
              <w:marBottom w:val="0"/>
              <w:divBdr>
                <w:top w:val="none" w:sz="0" w:space="0" w:color="auto"/>
                <w:left w:val="none" w:sz="0" w:space="0" w:color="auto"/>
                <w:bottom w:val="none" w:sz="0" w:space="0" w:color="auto"/>
                <w:right w:val="none" w:sz="0" w:space="0" w:color="auto"/>
              </w:divBdr>
            </w:div>
            <w:div w:id="242297972">
              <w:marLeft w:val="0"/>
              <w:marRight w:val="0"/>
              <w:marTop w:val="0"/>
              <w:marBottom w:val="0"/>
              <w:divBdr>
                <w:top w:val="none" w:sz="0" w:space="0" w:color="auto"/>
                <w:left w:val="none" w:sz="0" w:space="0" w:color="auto"/>
                <w:bottom w:val="none" w:sz="0" w:space="0" w:color="auto"/>
                <w:right w:val="none" w:sz="0" w:space="0" w:color="auto"/>
              </w:divBdr>
            </w:div>
            <w:div w:id="271671447">
              <w:marLeft w:val="0"/>
              <w:marRight w:val="0"/>
              <w:marTop w:val="0"/>
              <w:marBottom w:val="0"/>
              <w:divBdr>
                <w:top w:val="none" w:sz="0" w:space="0" w:color="auto"/>
                <w:left w:val="none" w:sz="0" w:space="0" w:color="auto"/>
                <w:bottom w:val="none" w:sz="0" w:space="0" w:color="auto"/>
                <w:right w:val="none" w:sz="0" w:space="0" w:color="auto"/>
              </w:divBdr>
            </w:div>
            <w:div w:id="292059900">
              <w:marLeft w:val="0"/>
              <w:marRight w:val="0"/>
              <w:marTop w:val="0"/>
              <w:marBottom w:val="0"/>
              <w:divBdr>
                <w:top w:val="none" w:sz="0" w:space="0" w:color="auto"/>
                <w:left w:val="none" w:sz="0" w:space="0" w:color="auto"/>
                <w:bottom w:val="none" w:sz="0" w:space="0" w:color="auto"/>
                <w:right w:val="none" w:sz="0" w:space="0" w:color="auto"/>
              </w:divBdr>
            </w:div>
            <w:div w:id="303046355">
              <w:marLeft w:val="0"/>
              <w:marRight w:val="0"/>
              <w:marTop w:val="0"/>
              <w:marBottom w:val="0"/>
              <w:divBdr>
                <w:top w:val="none" w:sz="0" w:space="0" w:color="auto"/>
                <w:left w:val="none" w:sz="0" w:space="0" w:color="auto"/>
                <w:bottom w:val="none" w:sz="0" w:space="0" w:color="auto"/>
                <w:right w:val="none" w:sz="0" w:space="0" w:color="auto"/>
              </w:divBdr>
            </w:div>
            <w:div w:id="323432973">
              <w:marLeft w:val="0"/>
              <w:marRight w:val="0"/>
              <w:marTop w:val="0"/>
              <w:marBottom w:val="0"/>
              <w:divBdr>
                <w:top w:val="none" w:sz="0" w:space="0" w:color="auto"/>
                <w:left w:val="none" w:sz="0" w:space="0" w:color="auto"/>
                <w:bottom w:val="none" w:sz="0" w:space="0" w:color="auto"/>
                <w:right w:val="none" w:sz="0" w:space="0" w:color="auto"/>
              </w:divBdr>
            </w:div>
            <w:div w:id="331959078">
              <w:marLeft w:val="0"/>
              <w:marRight w:val="0"/>
              <w:marTop w:val="0"/>
              <w:marBottom w:val="0"/>
              <w:divBdr>
                <w:top w:val="none" w:sz="0" w:space="0" w:color="auto"/>
                <w:left w:val="none" w:sz="0" w:space="0" w:color="auto"/>
                <w:bottom w:val="none" w:sz="0" w:space="0" w:color="auto"/>
                <w:right w:val="none" w:sz="0" w:space="0" w:color="auto"/>
              </w:divBdr>
            </w:div>
            <w:div w:id="348873358">
              <w:marLeft w:val="0"/>
              <w:marRight w:val="0"/>
              <w:marTop w:val="0"/>
              <w:marBottom w:val="0"/>
              <w:divBdr>
                <w:top w:val="none" w:sz="0" w:space="0" w:color="auto"/>
                <w:left w:val="none" w:sz="0" w:space="0" w:color="auto"/>
                <w:bottom w:val="none" w:sz="0" w:space="0" w:color="auto"/>
                <w:right w:val="none" w:sz="0" w:space="0" w:color="auto"/>
              </w:divBdr>
            </w:div>
            <w:div w:id="431903132">
              <w:marLeft w:val="0"/>
              <w:marRight w:val="0"/>
              <w:marTop w:val="0"/>
              <w:marBottom w:val="0"/>
              <w:divBdr>
                <w:top w:val="none" w:sz="0" w:space="0" w:color="auto"/>
                <w:left w:val="none" w:sz="0" w:space="0" w:color="auto"/>
                <w:bottom w:val="none" w:sz="0" w:space="0" w:color="auto"/>
                <w:right w:val="none" w:sz="0" w:space="0" w:color="auto"/>
              </w:divBdr>
            </w:div>
            <w:div w:id="508716814">
              <w:marLeft w:val="0"/>
              <w:marRight w:val="0"/>
              <w:marTop w:val="0"/>
              <w:marBottom w:val="0"/>
              <w:divBdr>
                <w:top w:val="none" w:sz="0" w:space="0" w:color="auto"/>
                <w:left w:val="none" w:sz="0" w:space="0" w:color="auto"/>
                <w:bottom w:val="none" w:sz="0" w:space="0" w:color="auto"/>
                <w:right w:val="none" w:sz="0" w:space="0" w:color="auto"/>
              </w:divBdr>
            </w:div>
            <w:div w:id="563297475">
              <w:marLeft w:val="0"/>
              <w:marRight w:val="0"/>
              <w:marTop w:val="0"/>
              <w:marBottom w:val="0"/>
              <w:divBdr>
                <w:top w:val="none" w:sz="0" w:space="0" w:color="auto"/>
                <w:left w:val="none" w:sz="0" w:space="0" w:color="auto"/>
                <w:bottom w:val="none" w:sz="0" w:space="0" w:color="auto"/>
                <w:right w:val="none" w:sz="0" w:space="0" w:color="auto"/>
              </w:divBdr>
            </w:div>
            <w:div w:id="615868610">
              <w:marLeft w:val="0"/>
              <w:marRight w:val="0"/>
              <w:marTop w:val="0"/>
              <w:marBottom w:val="0"/>
              <w:divBdr>
                <w:top w:val="none" w:sz="0" w:space="0" w:color="auto"/>
                <w:left w:val="none" w:sz="0" w:space="0" w:color="auto"/>
                <w:bottom w:val="none" w:sz="0" w:space="0" w:color="auto"/>
                <w:right w:val="none" w:sz="0" w:space="0" w:color="auto"/>
              </w:divBdr>
            </w:div>
            <w:div w:id="618535523">
              <w:marLeft w:val="0"/>
              <w:marRight w:val="0"/>
              <w:marTop w:val="0"/>
              <w:marBottom w:val="0"/>
              <w:divBdr>
                <w:top w:val="none" w:sz="0" w:space="0" w:color="auto"/>
                <w:left w:val="none" w:sz="0" w:space="0" w:color="auto"/>
                <w:bottom w:val="none" w:sz="0" w:space="0" w:color="auto"/>
                <w:right w:val="none" w:sz="0" w:space="0" w:color="auto"/>
              </w:divBdr>
            </w:div>
            <w:div w:id="651720108">
              <w:marLeft w:val="0"/>
              <w:marRight w:val="0"/>
              <w:marTop w:val="0"/>
              <w:marBottom w:val="0"/>
              <w:divBdr>
                <w:top w:val="none" w:sz="0" w:space="0" w:color="auto"/>
                <w:left w:val="none" w:sz="0" w:space="0" w:color="auto"/>
                <w:bottom w:val="none" w:sz="0" w:space="0" w:color="auto"/>
                <w:right w:val="none" w:sz="0" w:space="0" w:color="auto"/>
              </w:divBdr>
            </w:div>
            <w:div w:id="672798418">
              <w:marLeft w:val="0"/>
              <w:marRight w:val="0"/>
              <w:marTop w:val="0"/>
              <w:marBottom w:val="0"/>
              <w:divBdr>
                <w:top w:val="none" w:sz="0" w:space="0" w:color="auto"/>
                <w:left w:val="none" w:sz="0" w:space="0" w:color="auto"/>
                <w:bottom w:val="none" w:sz="0" w:space="0" w:color="auto"/>
                <w:right w:val="none" w:sz="0" w:space="0" w:color="auto"/>
              </w:divBdr>
            </w:div>
            <w:div w:id="688525235">
              <w:marLeft w:val="0"/>
              <w:marRight w:val="0"/>
              <w:marTop w:val="0"/>
              <w:marBottom w:val="0"/>
              <w:divBdr>
                <w:top w:val="none" w:sz="0" w:space="0" w:color="auto"/>
                <w:left w:val="none" w:sz="0" w:space="0" w:color="auto"/>
                <w:bottom w:val="none" w:sz="0" w:space="0" w:color="auto"/>
                <w:right w:val="none" w:sz="0" w:space="0" w:color="auto"/>
              </w:divBdr>
            </w:div>
            <w:div w:id="708385137">
              <w:marLeft w:val="0"/>
              <w:marRight w:val="0"/>
              <w:marTop w:val="0"/>
              <w:marBottom w:val="0"/>
              <w:divBdr>
                <w:top w:val="none" w:sz="0" w:space="0" w:color="auto"/>
                <w:left w:val="none" w:sz="0" w:space="0" w:color="auto"/>
                <w:bottom w:val="none" w:sz="0" w:space="0" w:color="auto"/>
                <w:right w:val="none" w:sz="0" w:space="0" w:color="auto"/>
              </w:divBdr>
            </w:div>
            <w:div w:id="739133760">
              <w:marLeft w:val="0"/>
              <w:marRight w:val="0"/>
              <w:marTop w:val="0"/>
              <w:marBottom w:val="0"/>
              <w:divBdr>
                <w:top w:val="none" w:sz="0" w:space="0" w:color="auto"/>
                <w:left w:val="none" w:sz="0" w:space="0" w:color="auto"/>
                <w:bottom w:val="none" w:sz="0" w:space="0" w:color="auto"/>
                <w:right w:val="none" w:sz="0" w:space="0" w:color="auto"/>
              </w:divBdr>
            </w:div>
            <w:div w:id="778138961">
              <w:marLeft w:val="0"/>
              <w:marRight w:val="0"/>
              <w:marTop w:val="0"/>
              <w:marBottom w:val="0"/>
              <w:divBdr>
                <w:top w:val="none" w:sz="0" w:space="0" w:color="auto"/>
                <w:left w:val="none" w:sz="0" w:space="0" w:color="auto"/>
                <w:bottom w:val="none" w:sz="0" w:space="0" w:color="auto"/>
                <w:right w:val="none" w:sz="0" w:space="0" w:color="auto"/>
              </w:divBdr>
            </w:div>
            <w:div w:id="785930040">
              <w:marLeft w:val="0"/>
              <w:marRight w:val="0"/>
              <w:marTop w:val="0"/>
              <w:marBottom w:val="0"/>
              <w:divBdr>
                <w:top w:val="none" w:sz="0" w:space="0" w:color="auto"/>
                <w:left w:val="none" w:sz="0" w:space="0" w:color="auto"/>
                <w:bottom w:val="none" w:sz="0" w:space="0" w:color="auto"/>
                <w:right w:val="none" w:sz="0" w:space="0" w:color="auto"/>
              </w:divBdr>
            </w:div>
            <w:div w:id="798451422">
              <w:marLeft w:val="0"/>
              <w:marRight w:val="0"/>
              <w:marTop w:val="0"/>
              <w:marBottom w:val="0"/>
              <w:divBdr>
                <w:top w:val="none" w:sz="0" w:space="0" w:color="auto"/>
                <w:left w:val="none" w:sz="0" w:space="0" w:color="auto"/>
                <w:bottom w:val="none" w:sz="0" w:space="0" w:color="auto"/>
                <w:right w:val="none" w:sz="0" w:space="0" w:color="auto"/>
              </w:divBdr>
            </w:div>
            <w:div w:id="810946161">
              <w:marLeft w:val="0"/>
              <w:marRight w:val="0"/>
              <w:marTop w:val="0"/>
              <w:marBottom w:val="0"/>
              <w:divBdr>
                <w:top w:val="none" w:sz="0" w:space="0" w:color="auto"/>
                <w:left w:val="none" w:sz="0" w:space="0" w:color="auto"/>
                <w:bottom w:val="none" w:sz="0" w:space="0" w:color="auto"/>
                <w:right w:val="none" w:sz="0" w:space="0" w:color="auto"/>
              </w:divBdr>
            </w:div>
            <w:div w:id="864028180">
              <w:marLeft w:val="0"/>
              <w:marRight w:val="0"/>
              <w:marTop w:val="0"/>
              <w:marBottom w:val="0"/>
              <w:divBdr>
                <w:top w:val="none" w:sz="0" w:space="0" w:color="auto"/>
                <w:left w:val="none" w:sz="0" w:space="0" w:color="auto"/>
                <w:bottom w:val="none" w:sz="0" w:space="0" w:color="auto"/>
                <w:right w:val="none" w:sz="0" w:space="0" w:color="auto"/>
              </w:divBdr>
            </w:div>
            <w:div w:id="874123390">
              <w:marLeft w:val="0"/>
              <w:marRight w:val="0"/>
              <w:marTop w:val="0"/>
              <w:marBottom w:val="0"/>
              <w:divBdr>
                <w:top w:val="none" w:sz="0" w:space="0" w:color="auto"/>
                <w:left w:val="none" w:sz="0" w:space="0" w:color="auto"/>
                <w:bottom w:val="none" w:sz="0" w:space="0" w:color="auto"/>
                <w:right w:val="none" w:sz="0" w:space="0" w:color="auto"/>
              </w:divBdr>
            </w:div>
            <w:div w:id="889465409">
              <w:marLeft w:val="0"/>
              <w:marRight w:val="0"/>
              <w:marTop w:val="0"/>
              <w:marBottom w:val="0"/>
              <w:divBdr>
                <w:top w:val="none" w:sz="0" w:space="0" w:color="auto"/>
                <w:left w:val="none" w:sz="0" w:space="0" w:color="auto"/>
                <w:bottom w:val="none" w:sz="0" w:space="0" w:color="auto"/>
                <w:right w:val="none" w:sz="0" w:space="0" w:color="auto"/>
              </w:divBdr>
            </w:div>
            <w:div w:id="915671268">
              <w:marLeft w:val="0"/>
              <w:marRight w:val="0"/>
              <w:marTop w:val="0"/>
              <w:marBottom w:val="0"/>
              <w:divBdr>
                <w:top w:val="none" w:sz="0" w:space="0" w:color="auto"/>
                <w:left w:val="none" w:sz="0" w:space="0" w:color="auto"/>
                <w:bottom w:val="none" w:sz="0" w:space="0" w:color="auto"/>
                <w:right w:val="none" w:sz="0" w:space="0" w:color="auto"/>
              </w:divBdr>
            </w:div>
            <w:div w:id="1011179167">
              <w:marLeft w:val="0"/>
              <w:marRight w:val="0"/>
              <w:marTop w:val="0"/>
              <w:marBottom w:val="0"/>
              <w:divBdr>
                <w:top w:val="none" w:sz="0" w:space="0" w:color="auto"/>
                <w:left w:val="none" w:sz="0" w:space="0" w:color="auto"/>
                <w:bottom w:val="none" w:sz="0" w:space="0" w:color="auto"/>
                <w:right w:val="none" w:sz="0" w:space="0" w:color="auto"/>
              </w:divBdr>
            </w:div>
            <w:div w:id="1040401178">
              <w:marLeft w:val="0"/>
              <w:marRight w:val="0"/>
              <w:marTop w:val="0"/>
              <w:marBottom w:val="0"/>
              <w:divBdr>
                <w:top w:val="none" w:sz="0" w:space="0" w:color="auto"/>
                <w:left w:val="none" w:sz="0" w:space="0" w:color="auto"/>
                <w:bottom w:val="none" w:sz="0" w:space="0" w:color="auto"/>
                <w:right w:val="none" w:sz="0" w:space="0" w:color="auto"/>
              </w:divBdr>
            </w:div>
            <w:div w:id="1056516774">
              <w:marLeft w:val="0"/>
              <w:marRight w:val="0"/>
              <w:marTop w:val="0"/>
              <w:marBottom w:val="0"/>
              <w:divBdr>
                <w:top w:val="none" w:sz="0" w:space="0" w:color="auto"/>
                <w:left w:val="none" w:sz="0" w:space="0" w:color="auto"/>
                <w:bottom w:val="none" w:sz="0" w:space="0" w:color="auto"/>
                <w:right w:val="none" w:sz="0" w:space="0" w:color="auto"/>
              </w:divBdr>
            </w:div>
            <w:div w:id="1085418010">
              <w:marLeft w:val="0"/>
              <w:marRight w:val="0"/>
              <w:marTop w:val="0"/>
              <w:marBottom w:val="0"/>
              <w:divBdr>
                <w:top w:val="none" w:sz="0" w:space="0" w:color="auto"/>
                <w:left w:val="none" w:sz="0" w:space="0" w:color="auto"/>
                <w:bottom w:val="none" w:sz="0" w:space="0" w:color="auto"/>
                <w:right w:val="none" w:sz="0" w:space="0" w:color="auto"/>
              </w:divBdr>
            </w:div>
            <w:div w:id="1093861797">
              <w:marLeft w:val="0"/>
              <w:marRight w:val="0"/>
              <w:marTop w:val="0"/>
              <w:marBottom w:val="0"/>
              <w:divBdr>
                <w:top w:val="none" w:sz="0" w:space="0" w:color="auto"/>
                <w:left w:val="none" w:sz="0" w:space="0" w:color="auto"/>
                <w:bottom w:val="none" w:sz="0" w:space="0" w:color="auto"/>
                <w:right w:val="none" w:sz="0" w:space="0" w:color="auto"/>
              </w:divBdr>
            </w:div>
            <w:div w:id="1110930262">
              <w:marLeft w:val="0"/>
              <w:marRight w:val="0"/>
              <w:marTop w:val="0"/>
              <w:marBottom w:val="0"/>
              <w:divBdr>
                <w:top w:val="none" w:sz="0" w:space="0" w:color="auto"/>
                <w:left w:val="none" w:sz="0" w:space="0" w:color="auto"/>
                <w:bottom w:val="none" w:sz="0" w:space="0" w:color="auto"/>
                <w:right w:val="none" w:sz="0" w:space="0" w:color="auto"/>
              </w:divBdr>
            </w:div>
            <w:div w:id="1140730521">
              <w:marLeft w:val="0"/>
              <w:marRight w:val="0"/>
              <w:marTop w:val="0"/>
              <w:marBottom w:val="0"/>
              <w:divBdr>
                <w:top w:val="none" w:sz="0" w:space="0" w:color="auto"/>
                <w:left w:val="none" w:sz="0" w:space="0" w:color="auto"/>
                <w:bottom w:val="none" w:sz="0" w:space="0" w:color="auto"/>
                <w:right w:val="none" w:sz="0" w:space="0" w:color="auto"/>
              </w:divBdr>
            </w:div>
            <w:div w:id="1149126570">
              <w:marLeft w:val="0"/>
              <w:marRight w:val="0"/>
              <w:marTop w:val="0"/>
              <w:marBottom w:val="0"/>
              <w:divBdr>
                <w:top w:val="none" w:sz="0" w:space="0" w:color="auto"/>
                <w:left w:val="none" w:sz="0" w:space="0" w:color="auto"/>
                <w:bottom w:val="none" w:sz="0" w:space="0" w:color="auto"/>
                <w:right w:val="none" w:sz="0" w:space="0" w:color="auto"/>
              </w:divBdr>
            </w:div>
            <w:div w:id="1184436677">
              <w:marLeft w:val="0"/>
              <w:marRight w:val="0"/>
              <w:marTop w:val="0"/>
              <w:marBottom w:val="0"/>
              <w:divBdr>
                <w:top w:val="none" w:sz="0" w:space="0" w:color="auto"/>
                <w:left w:val="none" w:sz="0" w:space="0" w:color="auto"/>
                <w:bottom w:val="none" w:sz="0" w:space="0" w:color="auto"/>
                <w:right w:val="none" w:sz="0" w:space="0" w:color="auto"/>
              </w:divBdr>
            </w:div>
            <w:div w:id="1198784663">
              <w:marLeft w:val="0"/>
              <w:marRight w:val="0"/>
              <w:marTop w:val="0"/>
              <w:marBottom w:val="0"/>
              <w:divBdr>
                <w:top w:val="none" w:sz="0" w:space="0" w:color="auto"/>
                <w:left w:val="none" w:sz="0" w:space="0" w:color="auto"/>
                <w:bottom w:val="none" w:sz="0" w:space="0" w:color="auto"/>
                <w:right w:val="none" w:sz="0" w:space="0" w:color="auto"/>
              </w:divBdr>
            </w:div>
            <w:div w:id="1252396434">
              <w:marLeft w:val="0"/>
              <w:marRight w:val="0"/>
              <w:marTop w:val="0"/>
              <w:marBottom w:val="0"/>
              <w:divBdr>
                <w:top w:val="none" w:sz="0" w:space="0" w:color="auto"/>
                <w:left w:val="none" w:sz="0" w:space="0" w:color="auto"/>
                <w:bottom w:val="none" w:sz="0" w:space="0" w:color="auto"/>
                <w:right w:val="none" w:sz="0" w:space="0" w:color="auto"/>
              </w:divBdr>
            </w:div>
            <w:div w:id="1272472117">
              <w:marLeft w:val="0"/>
              <w:marRight w:val="0"/>
              <w:marTop w:val="0"/>
              <w:marBottom w:val="0"/>
              <w:divBdr>
                <w:top w:val="none" w:sz="0" w:space="0" w:color="auto"/>
                <w:left w:val="none" w:sz="0" w:space="0" w:color="auto"/>
                <w:bottom w:val="none" w:sz="0" w:space="0" w:color="auto"/>
                <w:right w:val="none" w:sz="0" w:space="0" w:color="auto"/>
              </w:divBdr>
            </w:div>
            <w:div w:id="1359627170">
              <w:marLeft w:val="0"/>
              <w:marRight w:val="0"/>
              <w:marTop w:val="0"/>
              <w:marBottom w:val="0"/>
              <w:divBdr>
                <w:top w:val="none" w:sz="0" w:space="0" w:color="auto"/>
                <w:left w:val="none" w:sz="0" w:space="0" w:color="auto"/>
                <w:bottom w:val="none" w:sz="0" w:space="0" w:color="auto"/>
                <w:right w:val="none" w:sz="0" w:space="0" w:color="auto"/>
              </w:divBdr>
            </w:div>
            <w:div w:id="1448962043">
              <w:marLeft w:val="0"/>
              <w:marRight w:val="0"/>
              <w:marTop w:val="0"/>
              <w:marBottom w:val="0"/>
              <w:divBdr>
                <w:top w:val="none" w:sz="0" w:space="0" w:color="auto"/>
                <w:left w:val="none" w:sz="0" w:space="0" w:color="auto"/>
                <w:bottom w:val="none" w:sz="0" w:space="0" w:color="auto"/>
                <w:right w:val="none" w:sz="0" w:space="0" w:color="auto"/>
              </w:divBdr>
            </w:div>
            <w:div w:id="1571307365">
              <w:marLeft w:val="0"/>
              <w:marRight w:val="0"/>
              <w:marTop w:val="0"/>
              <w:marBottom w:val="0"/>
              <w:divBdr>
                <w:top w:val="none" w:sz="0" w:space="0" w:color="auto"/>
                <w:left w:val="none" w:sz="0" w:space="0" w:color="auto"/>
                <w:bottom w:val="none" w:sz="0" w:space="0" w:color="auto"/>
                <w:right w:val="none" w:sz="0" w:space="0" w:color="auto"/>
              </w:divBdr>
            </w:div>
            <w:div w:id="1664745525">
              <w:marLeft w:val="0"/>
              <w:marRight w:val="0"/>
              <w:marTop w:val="0"/>
              <w:marBottom w:val="0"/>
              <w:divBdr>
                <w:top w:val="none" w:sz="0" w:space="0" w:color="auto"/>
                <w:left w:val="none" w:sz="0" w:space="0" w:color="auto"/>
                <w:bottom w:val="none" w:sz="0" w:space="0" w:color="auto"/>
                <w:right w:val="none" w:sz="0" w:space="0" w:color="auto"/>
              </w:divBdr>
            </w:div>
            <w:div w:id="176183400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 w:id="1848323973">
              <w:marLeft w:val="0"/>
              <w:marRight w:val="0"/>
              <w:marTop w:val="0"/>
              <w:marBottom w:val="0"/>
              <w:divBdr>
                <w:top w:val="none" w:sz="0" w:space="0" w:color="auto"/>
                <w:left w:val="none" w:sz="0" w:space="0" w:color="auto"/>
                <w:bottom w:val="none" w:sz="0" w:space="0" w:color="auto"/>
                <w:right w:val="none" w:sz="0" w:space="0" w:color="auto"/>
              </w:divBdr>
            </w:div>
            <w:div w:id="1944609363">
              <w:marLeft w:val="0"/>
              <w:marRight w:val="0"/>
              <w:marTop w:val="0"/>
              <w:marBottom w:val="0"/>
              <w:divBdr>
                <w:top w:val="none" w:sz="0" w:space="0" w:color="auto"/>
                <w:left w:val="none" w:sz="0" w:space="0" w:color="auto"/>
                <w:bottom w:val="none" w:sz="0" w:space="0" w:color="auto"/>
                <w:right w:val="none" w:sz="0" w:space="0" w:color="auto"/>
              </w:divBdr>
            </w:div>
            <w:div w:id="2031106804">
              <w:marLeft w:val="0"/>
              <w:marRight w:val="0"/>
              <w:marTop w:val="0"/>
              <w:marBottom w:val="0"/>
              <w:divBdr>
                <w:top w:val="none" w:sz="0" w:space="0" w:color="auto"/>
                <w:left w:val="none" w:sz="0" w:space="0" w:color="auto"/>
                <w:bottom w:val="none" w:sz="0" w:space="0" w:color="auto"/>
                <w:right w:val="none" w:sz="0" w:space="0" w:color="auto"/>
              </w:divBdr>
            </w:div>
            <w:div w:id="2051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6509">
      <w:bodyDiv w:val="1"/>
      <w:marLeft w:val="0"/>
      <w:marRight w:val="0"/>
      <w:marTop w:val="0"/>
      <w:marBottom w:val="0"/>
      <w:divBdr>
        <w:top w:val="none" w:sz="0" w:space="0" w:color="auto"/>
        <w:left w:val="none" w:sz="0" w:space="0" w:color="auto"/>
        <w:bottom w:val="none" w:sz="0" w:space="0" w:color="auto"/>
        <w:right w:val="none" w:sz="0" w:space="0" w:color="auto"/>
      </w:divBdr>
      <w:divsChild>
        <w:div w:id="819493262">
          <w:marLeft w:val="0"/>
          <w:marRight w:val="0"/>
          <w:marTop w:val="0"/>
          <w:marBottom w:val="0"/>
          <w:divBdr>
            <w:top w:val="none" w:sz="0" w:space="0" w:color="auto"/>
            <w:left w:val="none" w:sz="0" w:space="0" w:color="auto"/>
            <w:bottom w:val="none" w:sz="0" w:space="0" w:color="auto"/>
            <w:right w:val="none" w:sz="0" w:space="0" w:color="auto"/>
          </w:divBdr>
        </w:div>
        <w:div w:id="836724434">
          <w:marLeft w:val="0"/>
          <w:marRight w:val="0"/>
          <w:marTop w:val="0"/>
          <w:marBottom w:val="0"/>
          <w:divBdr>
            <w:top w:val="none" w:sz="0" w:space="0" w:color="auto"/>
            <w:left w:val="none" w:sz="0" w:space="0" w:color="auto"/>
            <w:bottom w:val="none" w:sz="0" w:space="0" w:color="auto"/>
            <w:right w:val="none" w:sz="0" w:space="0" w:color="auto"/>
          </w:divBdr>
        </w:div>
        <w:div w:id="855078956">
          <w:marLeft w:val="0"/>
          <w:marRight w:val="0"/>
          <w:marTop w:val="0"/>
          <w:marBottom w:val="0"/>
          <w:divBdr>
            <w:top w:val="none" w:sz="0" w:space="0" w:color="auto"/>
            <w:left w:val="none" w:sz="0" w:space="0" w:color="auto"/>
            <w:bottom w:val="none" w:sz="0" w:space="0" w:color="auto"/>
            <w:right w:val="none" w:sz="0" w:space="0" w:color="auto"/>
          </w:divBdr>
        </w:div>
        <w:div w:id="1847554099">
          <w:marLeft w:val="0"/>
          <w:marRight w:val="0"/>
          <w:marTop w:val="0"/>
          <w:marBottom w:val="0"/>
          <w:divBdr>
            <w:top w:val="none" w:sz="0" w:space="0" w:color="auto"/>
            <w:left w:val="none" w:sz="0" w:space="0" w:color="auto"/>
            <w:bottom w:val="none" w:sz="0" w:space="0" w:color="auto"/>
            <w:right w:val="none" w:sz="0" w:space="0" w:color="auto"/>
          </w:divBdr>
        </w:div>
        <w:div w:id="1867787969">
          <w:marLeft w:val="0"/>
          <w:marRight w:val="0"/>
          <w:marTop w:val="0"/>
          <w:marBottom w:val="0"/>
          <w:divBdr>
            <w:top w:val="none" w:sz="0" w:space="0" w:color="auto"/>
            <w:left w:val="none" w:sz="0" w:space="0" w:color="auto"/>
            <w:bottom w:val="none" w:sz="0" w:space="0" w:color="auto"/>
            <w:right w:val="none" w:sz="0" w:space="0" w:color="auto"/>
          </w:divBdr>
        </w:div>
      </w:divsChild>
    </w:div>
    <w:div w:id="1607343005">
      <w:bodyDiv w:val="1"/>
      <w:marLeft w:val="0"/>
      <w:marRight w:val="0"/>
      <w:marTop w:val="0"/>
      <w:marBottom w:val="0"/>
      <w:divBdr>
        <w:top w:val="none" w:sz="0" w:space="0" w:color="auto"/>
        <w:left w:val="none" w:sz="0" w:space="0" w:color="auto"/>
        <w:bottom w:val="none" w:sz="0" w:space="0" w:color="auto"/>
        <w:right w:val="none" w:sz="0" w:space="0" w:color="auto"/>
      </w:divBdr>
      <w:divsChild>
        <w:div w:id="1888955784">
          <w:marLeft w:val="0"/>
          <w:marRight w:val="0"/>
          <w:marTop w:val="0"/>
          <w:marBottom w:val="0"/>
          <w:divBdr>
            <w:top w:val="none" w:sz="0" w:space="0" w:color="auto"/>
            <w:left w:val="none" w:sz="0" w:space="0" w:color="auto"/>
            <w:bottom w:val="none" w:sz="0" w:space="0" w:color="auto"/>
            <w:right w:val="none" w:sz="0" w:space="0" w:color="auto"/>
          </w:divBdr>
          <w:divsChild>
            <w:div w:id="85463151">
              <w:marLeft w:val="0"/>
              <w:marRight w:val="0"/>
              <w:marTop w:val="0"/>
              <w:marBottom w:val="0"/>
              <w:divBdr>
                <w:top w:val="none" w:sz="0" w:space="0" w:color="auto"/>
                <w:left w:val="none" w:sz="0" w:space="0" w:color="auto"/>
                <w:bottom w:val="none" w:sz="0" w:space="0" w:color="auto"/>
                <w:right w:val="none" w:sz="0" w:space="0" w:color="auto"/>
              </w:divBdr>
            </w:div>
            <w:div w:id="92747625">
              <w:marLeft w:val="0"/>
              <w:marRight w:val="0"/>
              <w:marTop w:val="0"/>
              <w:marBottom w:val="0"/>
              <w:divBdr>
                <w:top w:val="none" w:sz="0" w:space="0" w:color="auto"/>
                <w:left w:val="none" w:sz="0" w:space="0" w:color="auto"/>
                <w:bottom w:val="none" w:sz="0" w:space="0" w:color="auto"/>
                <w:right w:val="none" w:sz="0" w:space="0" w:color="auto"/>
              </w:divBdr>
            </w:div>
            <w:div w:id="320500210">
              <w:marLeft w:val="0"/>
              <w:marRight w:val="0"/>
              <w:marTop w:val="0"/>
              <w:marBottom w:val="0"/>
              <w:divBdr>
                <w:top w:val="none" w:sz="0" w:space="0" w:color="auto"/>
                <w:left w:val="none" w:sz="0" w:space="0" w:color="auto"/>
                <w:bottom w:val="none" w:sz="0" w:space="0" w:color="auto"/>
                <w:right w:val="none" w:sz="0" w:space="0" w:color="auto"/>
              </w:divBdr>
            </w:div>
            <w:div w:id="767386444">
              <w:marLeft w:val="0"/>
              <w:marRight w:val="0"/>
              <w:marTop w:val="0"/>
              <w:marBottom w:val="0"/>
              <w:divBdr>
                <w:top w:val="none" w:sz="0" w:space="0" w:color="auto"/>
                <w:left w:val="none" w:sz="0" w:space="0" w:color="auto"/>
                <w:bottom w:val="none" w:sz="0" w:space="0" w:color="auto"/>
                <w:right w:val="none" w:sz="0" w:space="0" w:color="auto"/>
              </w:divBdr>
            </w:div>
            <w:div w:id="1115757869">
              <w:marLeft w:val="0"/>
              <w:marRight w:val="0"/>
              <w:marTop w:val="0"/>
              <w:marBottom w:val="0"/>
              <w:divBdr>
                <w:top w:val="none" w:sz="0" w:space="0" w:color="auto"/>
                <w:left w:val="none" w:sz="0" w:space="0" w:color="auto"/>
                <w:bottom w:val="none" w:sz="0" w:space="0" w:color="auto"/>
                <w:right w:val="none" w:sz="0" w:space="0" w:color="auto"/>
              </w:divBdr>
            </w:div>
            <w:div w:id="1492985146">
              <w:marLeft w:val="0"/>
              <w:marRight w:val="0"/>
              <w:marTop w:val="0"/>
              <w:marBottom w:val="0"/>
              <w:divBdr>
                <w:top w:val="none" w:sz="0" w:space="0" w:color="auto"/>
                <w:left w:val="none" w:sz="0" w:space="0" w:color="auto"/>
                <w:bottom w:val="none" w:sz="0" w:space="0" w:color="auto"/>
                <w:right w:val="none" w:sz="0" w:space="0" w:color="auto"/>
              </w:divBdr>
            </w:div>
            <w:div w:id="192329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3EA33-5890-4755-BE89-F9CB61713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3824</Words>
  <Characters>21032</Characters>
  <Application>Microsoft Office Word</Application>
  <DocSecurity>0</DocSecurity>
  <Lines>175</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dc:creator>
  <cp:keywords/>
  <cp:lastModifiedBy>Javier Alberto Melgar Molina</cp:lastModifiedBy>
  <cp:revision>2</cp:revision>
  <dcterms:created xsi:type="dcterms:W3CDTF">2017-09-11T02:24:00Z</dcterms:created>
  <dcterms:modified xsi:type="dcterms:W3CDTF">2017-09-11T02:24:00Z</dcterms:modified>
</cp:coreProperties>
</file>