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6EFC" w:rsidRPr="00336B4D" w:rsidRDefault="00D46EFC" w:rsidP="00D46EFC">
      <w:pPr>
        <w:pStyle w:val="NormalWeb"/>
        <w:spacing w:before="0" w:beforeAutospacing="0" w:after="0" w:afterAutospacing="0"/>
        <w:jc w:val="center"/>
        <w:rPr>
          <w:rFonts w:ascii="Verdana" w:hAnsi="Verdana"/>
          <w:b/>
          <w:bCs/>
          <w:color w:val="000000"/>
          <w:sz w:val="20"/>
          <w:szCs w:val="20"/>
        </w:rPr>
      </w:pPr>
      <w:bookmarkStart w:id="0" w:name="_GoBack"/>
      <w:bookmarkEnd w:id="0"/>
      <w:r w:rsidRPr="00336B4D">
        <w:rPr>
          <w:rFonts w:ascii="Verdana" w:hAnsi="Verdana"/>
          <w:b/>
          <w:bCs/>
          <w:color w:val="000000"/>
          <w:sz w:val="20"/>
          <w:szCs w:val="20"/>
          <w:lang w:val="es-ES_tradnl"/>
        </w:rPr>
        <w:t>INFORME Nº 36/01</w:t>
      </w:r>
      <w:hyperlink r:id="rId8" w:anchor="_ftn1" w:history="1">
        <w:r w:rsidRPr="00336B4D">
          <w:rPr>
            <w:rStyle w:val="Hyperlink"/>
            <w:rFonts w:ascii="Verdana" w:hAnsi="Verdana"/>
            <w:b/>
            <w:bCs/>
            <w:color w:val="008B8B"/>
            <w:sz w:val="20"/>
            <w:szCs w:val="20"/>
            <w:lang w:val="es-ES_tradnl"/>
          </w:rPr>
          <w:t>*</w:t>
        </w:r>
      </w:hyperlink>
    </w:p>
    <w:p w:rsidR="00D46EFC" w:rsidRPr="00336B4D" w:rsidRDefault="00D46EFC" w:rsidP="00D46EFC">
      <w:pPr>
        <w:pStyle w:val="NormalWeb"/>
        <w:spacing w:before="0" w:beforeAutospacing="0" w:after="0" w:afterAutospacing="0"/>
        <w:jc w:val="center"/>
        <w:rPr>
          <w:rFonts w:ascii="Verdana" w:hAnsi="Verdana"/>
          <w:color w:val="000000"/>
          <w:sz w:val="20"/>
          <w:szCs w:val="20"/>
          <w:lang w:val="es-ES_tradnl"/>
        </w:rPr>
      </w:pPr>
      <w:r w:rsidRPr="00336B4D">
        <w:rPr>
          <w:rFonts w:ascii="Verdana" w:hAnsi="Verdana"/>
          <w:color w:val="000000"/>
          <w:sz w:val="20"/>
          <w:szCs w:val="20"/>
          <w:lang w:val="es-ES_tradnl"/>
        </w:rPr>
        <w:t>CASO 11.694</w:t>
      </w:r>
    </w:p>
    <w:p w:rsidR="00D46EFC" w:rsidRPr="00336B4D" w:rsidRDefault="00D46EFC" w:rsidP="00D46EFC">
      <w:pPr>
        <w:pStyle w:val="NormalWeb"/>
        <w:spacing w:before="0" w:beforeAutospacing="0" w:after="0" w:afterAutospacing="0"/>
        <w:jc w:val="center"/>
        <w:rPr>
          <w:rFonts w:ascii="Verdana" w:hAnsi="Verdana"/>
          <w:color w:val="000000"/>
          <w:sz w:val="20"/>
          <w:szCs w:val="20"/>
          <w:lang w:val="es-ES_tradnl"/>
        </w:rPr>
      </w:pPr>
      <w:r w:rsidRPr="00336B4D">
        <w:rPr>
          <w:rFonts w:ascii="Verdana" w:hAnsi="Verdana"/>
          <w:color w:val="000000"/>
          <w:sz w:val="20"/>
          <w:szCs w:val="20"/>
          <w:lang w:val="es-ES_tradnl"/>
        </w:rPr>
        <w:t>EVANDRO DE OLIVEIRA Y OTROS</w:t>
      </w:r>
    </w:p>
    <w:p w:rsidR="00D46EFC" w:rsidRPr="00336B4D" w:rsidRDefault="00D46EFC" w:rsidP="00D46EFC">
      <w:pPr>
        <w:pStyle w:val="NormalWeb"/>
        <w:spacing w:before="0" w:beforeAutospacing="0" w:after="0" w:afterAutospacing="0"/>
        <w:jc w:val="center"/>
        <w:rPr>
          <w:rFonts w:ascii="Verdana" w:hAnsi="Verdana"/>
          <w:color w:val="000000"/>
          <w:sz w:val="20"/>
          <w:szCs w:val="20"/>
          <w:lang w:val="es-ES_tradnl"/>
        </w:rPr>
      </w:pPr>
      <w:r w:rsidRPr="00336B4D">
        <w:rPr>
          <w:rFonts w:ascii="Verdana" w:hAnsi="Verdana"/>
          <w:color w:val="000000"/>
          <w:sz w:val="20"/>
          <w:szCs w:val="20"/>
          <w:lang w:val="es-ES_tradnl"/>
        </w:rPr>
        <w:t>BRASIL</w:t>
      </w:r>
    </w:p>
    <w:p w:rsidR="00D46EFC" w:rsidRPr="00336B4D" w:rsidRDefault="00D46EFC" w:rsidP="00D46EFC">
      <w:pPr>
        <w:pStyle w:val="NormalWeb"/>
        <w:spacing w:before="0" w:beforeAutospacing="0" w:after="0" w:afterAutospacing="0"/>
        <w:jc w:val="center"/>
        <w:rPr>
          <w:rFonts w:ascii="Verdana" w:hAnsi="Verdana"/>
          <w:color w:val="000000"/>
          <w:sz w:val="20"/>
          <w:szCs w:val="20"/>
        </w:rPr>
      </w:pPr>
      <w:r w:rsidRPr="00336B4D">
        <w:rPr>
          <w:rFonts w:ascii="Verdana" w:hAnsi="Verdana"/>
          <w:color w:val="000000"/>
          <w:sz w:val="20"/>
          <w:szCs w:val="20"/>
          <w:lang w:val="es-ES_tradnl"/>
        </w:rPr>
        <w:t xml:space="preserve">22 de febrero de 2001 </w:t>
      </w:r>
    </w:p>
    <w:p w:rsidR="00D46EFC" w:rsidRDefault="00D46EFC" w:rsidP="00D46EFC">
      <w:pPr>
        <w:rPr>
          <w:color w:val="000000"/>
          <w:szCs w:val="20"/>
          <w:lang w:val="es-ES_tradnl"/>
        </w:rPr>
      </w:pPr>
    </w:p>
    <w:p w:rsidR="00D46EFC" w:rsidRPr="00336B4D" w:rsidRDefault="00D46EFC" w:rsidP="00D46EFC">
      <w:pPr>
        <w:rPr>
          <w:color w:val="000000"/>
          <w:szCs w:val="20"/>
        </w:rPr>
      </w:pPr>
    </w:p>
    <w:p w:rsidR="00D46EFC" w:rsidRPr="00336B4D" w:rsidRDefault="00D46EFC" w:rsidP="00D46EFC">
      <w:pPr>
        <w:rPr>
          <w:color w:val="000000"/>
          <w:szCs w:val="20"/>
        </w:rPr>
      </w:pPr>
      <w:r w:rsidRPr="00336B4D">
        <w:rPr>
          <w:b/>
          <w:bCs/>
          <w:color w:val="000000"/>
          <w:szCs w:val="20"/>
          <w:lang w:val="es-ES_tradnl"/>
        </w:rPr>
        <w:t>I.</w:t>
      </w:r>
      <w:r w:rsidRPr="00336B4D">
        <w:rPr>
          <w:b/>
          <w:bCs/>
          <w:color w:val="000000"/>
          <w:szCs w:val="20"/>
          <w:lang w:val="es-ES_tradnl"/>
        </w:rPr>
        <w:tab/>
        <w:t xml:space="preserve"> RESUMEN </w:t>
      </w:r>
    </w:p>
    <w:p w:rsidR="00D46EFC" w:rsidRDefault="00D46EFC" w:rsidP="00D46EFC">
      <w:pPr>
        <w:rPr>
          <w:color w:val="000000"/>
          <w:szCs w:val="20"/>
        </w:rPr>
      </w:pPr>
    </w:p>
    <w:p w:rsidR="00D46EFC" w:rsidRPr="00336B4D" w:rsidRDefault="00D46EFC" w:rsidP="00D46EFC">
      <w:pPr>
        <w:rPr>
          <w:color w:val="000000"/>
          <w:szCs w:val="20"/>
        </w:rPr>
      </w:pPr>
      <w:r w:rsidRPr="00336B4D">
        <w:rPr>
          <w:color w:val="000000"/>
          <w:szCs w:val="20"/>
          <w:lang w:val="es-ES_tradnl"/>
        </w:rPr>
        <w:t xml:space="preserve">1. El 24 de julio de 1996, la Comisión Interamericana de Derechos Humanos (en adelante, la “Comisión” o la “CIDH”) recibió una denuncia del Centro para la Justicia y el Derecho Internacional (CEJIL) y de </w:t>
      </w:r>
      <w:r w:rsidRPr="00336B4D">
        <w:rPr>
          <w:i/>
          <w:iCs/>
          <w:color w:val="000000"/>
          <w:szCs w:val="20"/>
          <w:lang w:val="es-ES_tradnl"/>
        </w:rPr>
        <w:t>Human Rights Watch/Americas</w:t>
      </w:r>
      <w:r w:rsidRPr="00336B4D">
        <w:rPr>
          <w:color w:val="000000"/>
          <w:szCs w:val="20"/>
          <w:lang w:val="es-ES_tradnl"/>
        </w:rPr>
        <w:t xml:space="preserve"> (en adelante, los “peticionarios”) contra la República Federativa del Brasil (en adelante, “Estado” o “Brasil”) por la presunta ejecución extrajudicial de Evandro de Oliveira, Andre Luis Neri da Silva, Alberto dos Santos Ramos, Macmillea Faria Neves, Adriano Silva Donato, Alex Viana dos Santos, Alexandre Batista de Souza, Alan Kardec Silva de Oliveira, Sergio Mendes de Oliveira, Clemilson dos Santos Moura, Robson Genuino dos Santos, Fabio Henrique Fernandes Vieria y Ramilson Jose de Souza, aparte del presunto abuso sexual contra </w:t>
      </w:r>
      <w:r w:rsidRPr="00336B4D">
        <w:rPr>
          <w:color w:val="000000"/>
          <w:szCs w:val="20"/>
        </w:rPr>
        <w:t>J.F.C.</w:t>
      </w:r>
      <w:r w:rsidRPr="00336B4D">
        <w:rPr>
          <w:color w:val="000000"/>
          <w:szCs w:val="20"/>
          <w:lang w:val="es-ES_tradnl"/>
        </w:rPr>
        <w:t>, C</w:t>
      </w:r>
      <w:r w:rsidRPr="00336B4D">
        <w:rPr>
          <w:color w:val="000000"/>
          <w:szCs w:val="20"/>
        </w:rPr>
        <w:t>.S.S.</w:t>
      </w:r>
      <w:r w:rsidRPr="00336B4D">
        <w:rPr>
          <w:color w:val="000000"/>
          <w:szCs w:val="20"/>
          <w:lang w:val="es-ES_tradnl"/>
        </w:rPr>
        <w:t xml:space="preserve"> y </w:t>
      </w:r>
      <w:r w:rsidRPr="00336B4D">
        <w:rPr>
          <w:color w:val="000000"/>
          <w:szCs w:val="20"/>
        </w:rPr>
        <w:t>L.R.J.</w:t>
      </w:r>
      <w:r w:rsidRPr="00336B4D">
        <w:rPr>
          <w:color w:val="000000"/>
          <w:szCs w:val="20"/>
          <w:lang w:val="es-ES_tradnl"/>
        </w:rPr>
        <w:t xml:space="preserve"> en el curso de un operativo de la policía civil en la </w:t>
      </w:r>
      <w:r w:rsidRPr="00336B4D">
        <w:rPr>
          <w:i/>
          <w:iCs/>
          <w:color w:val="000000"/>
          <w:szCs w:val="20"/>
          <w:lang w:val="es-ES_tradnl"/>
        </w:rPr>
        <w:t>favela</w:t>
      </w:r>
      <w:r w:rsidRPr="00336B4D">
        <w:rPr>
          <w:color w:val="000000"/>
          <w:szCs w:val="20"/>
          <w:lang w:val="es-ES_tradnl"/>
        </w:rPr>
        <w:t xml:space="preserve"> Nova Brasilia, en Río de Janeiro en la fecha de 18 de octubre de 1994. Los peticionarios alegan la responsabilidad del Estado por la violación de los artículos referentes a los derechos a la vida (artículo 4), a la integridad personal (artículo 5), a las garantías judiciales (artículo 8), a la privacidad (artículo 11(1)) y a la inviolabilidad del hogar (artículo 11(2) y 11(3)) de la Convención Americana sobre Derechos Humanos (en adelante, la “Convención Americana” o la “Convención”). </w:t>
      </w:r>
    </w:p>
    <w:p w:rsidR="00D46EFC" w:rsidRDefault="00D46EFC" w:rsidP="00D46EFC">
      <w:pPr>
        <w:rPr>
          <w:color w:val="000000"/>
          <w:szCs w:val="20"/>
          <w:lang w:val="es-ES_tradnl"/>
        </w:rPr>
      </w:pPr>
    </w:p>
    <w:p w:rsidR="00D46EFC" w:rsidRPr="00336B4D" w:rsidRDefault="00D46EFC" w:rsidP="00D46EFC">
      <w:pPr>
        <w:rPr>
          <w:color w:val="000000"/>
          <w:szCs w:val="20"/>
        </w:rPr>
      </w:pPr>
      <w:r w:rsidRPr="00336B4D">
        <w:rPr>
          <w:color w:val="000000"/>
          <w:szCs w:val="20"/>
          <w:lang w:val="es-ES_tradnl"/>
        </w:rPr>
        <w:t xml:space="preserve">2. El Estado aportó información sobre las providencias tomadas en el ámbito interno para determinar las circunstancias en que se cometieron los delitos, aunque no cuestionó expresamente el cumplimiento del requisito del agotamiento de los recursos internos. </w:t>
      </w:r>
    </w:p>
    <w:p w:rsidR="00D46EFC" w:rsidRDefault="00D46EFC" w:rsidP="00D46EFC">
      <w:pPr>
        <w:rPr>
          <w:color w:val="000000"/>
          <w:szCs w:val="20"/>
          <w:lang w:val="es-ES_tradnl"/>
        </w:rPr>
      </w:pPr>
    </w:p>
    <w:p w:rsidR="00D46EFC" w:rsidRPr="00336B4D" w:rsidRDefault="00D46EFC" w:rsidP="00D46EFC">
      <w:pPr>
        <w:rPr>
          <w:color w:val="000000"/>
          <w:szCs w:val="20"/>
        </w:rPr>
      </w:pPr>
      <w:r w:rsidRPr="00336B4D">
        <w:rPr>
          <w:color w:val="000000"/>
          <w:szCs w:val="20"/>
          <w:lang w:val="es-ES_tradnl"/>
        </w:rPr>
        <w:t xml:space="preserve">3. Al analizar las alegaciones de las partes, la Comisión decidió declarar admisible el caso. </w:t>
      </w:r>
    </w:p>
    <w:p w:rsidR="00D46EFC" w:rsidRDefault="00D46EFC" w:rsidP="00D46EFC">
      <w:pPr>
        <w:rPr>
          <w:b/>
          <w:bCs/>
          <w:color w:val="000000"/>
          <w:szCs w:val="20"/>
          <w:lang w:val="es-ES_tradnl"/>
        </w:rPr>
      </w:pPr>
    </w:p>
    <w:p w:rsidR="00D46EFC" w:rsidRPr="00336B4D" w:rsidRDefault="00D46EFC" w:rsidP="00D46EFC">
      <w:pPr>
        <w:rPr>
          <w:color w:val="000000"/>
          <w:szCs w:val="20"/>
        </w:rPr>
      </w:pPr>
      <w:r w:rsidRPr="00336B4D">
        <w:rPr>
          <w:b/>
          <w:bCs/>
          <w:color w:val="000000"/>
          <w:szCs w:val="20"/>
          <w:lang w:val="es-ES_tradnl"/>
        </w:rPr>
        <w:t>II.</w:t>
      </w:r>
      <w:r>
        <w:rPr>
          <w:b/>
          <w:bCs/>
          <w:color w:val="000000"/>
          <w:szCs w:val="20"/>
          <w:lang w:val="es-ES_tradnl"/>
        </w:rPr>
        <w:tab/>
      </w:r>
      <w:r w:rsidRPr="00336B4D">
        <w:rPr>
          <w:b/>
          <w:bCs/>
          <w:color w:val="000000"/>
          <w:szCs w:val="20"/>
          <w:lang w:val="es-ES_tradnl"/>
        </w:rPr>
        <w:t xml:space="preserve"> TRÁMITE ANTE LA COMISIÓN </w:t>
      </w:r>
    </w:p>
    <w:p w:rsidR="00D46EFC" w:rsidRDefault="00D46EFC" w:rsidP="00D46EFC">
      <w:pPr>
        <w:pStyle w:val="BodyTextIndent2"/>
        <w:spacing w:after="0" w:line="240" w:lineRule="auto"/>
        <w:ind w:left="0"/>
        <w:rPr>
          <w:color w:val="000000"/>
          <w:szCs w:val="20"/>
          <w:lang w:val="es-ES_tradnl"/>
        </w:rPr>
      </w:pPr>
    </w:p>
    <w:p w:rsidR="00D46EFC" w:rsidRPr="00336B4D" w:rsidRDefault="00D46EFC" w:rsidP="00D46EFC">
      <w:pPr>
        <w:pStyle w:val="BodyTextIndent2"/>
        <w:spacing w:after="0" w:line="240" w:lineRule="auto"/>
        <w:ind w:left="0"/>
        <w:rPr>
          <w:color w:val="000000"/>
          <w:szCs w:val="20"/>
        </w:rPr>
      </w:pPr>
      <w:r w:rsidRPr="00336B4D">
        <w:rPr>
          <w:color w:val="000000"/>
          <w:szCs w:val="20"/>
          <w:lang w:val="es-ES_tradnl"/>
        </w:rPr>
        <w:t xml:space="preserve">4. La Comisión solicitó información al Estado respecto de los hechos alegados en la denuncia el 19 de noviembre de 1996. El Estado pidió prórroga del plazo para su contestación por otros 30 días el 19 de febrero de 1997 y, nuevamente, el 31 de marzo de 1997, habiendo respondido afirmativamente la Comisión a ambos pedidos. Ante la falta de respuesta del Estado, el 7 de julio de 1998, la Comisión le envió una carta solicitando la información necesaria y advirtiéndole de la aplicación del artículo 42 del Reglamento. El Estado presentó su respuesta el 7 de agosto de 1998. El 1º de septiembre de 1998, la Comisión remitió la información del Estado a los peticionarios, quienes aportaron información adicional el 17 de noviembre de 1998. La Comisión pidió al Estado que presentase sus observaciones finales el 25 de noviembre de 1998 y, nuevamente, el 1º de mayo de 2000, sin que el Estado haya respondido a estas solicitudes. </w:t>
      </w:r>
    </w:p>
    <w:p w:rsidR="00D46EFC" w:rsidRDefault="00D46EFC" w:rsidP="00D46EFC">
      <w:pPr>
        <w:rPr>
          <w:b/>
          <w:bCs/>
          <w:color w:val="000000"/>
          <w:szCs w:val="20"/>
          <w:lang w:val="es-ES_tradnl"/>
        </w:rPr>
      </w:pPr>
    </w:p>
    <w:p w:rsidR="00D46EFC" w:rsidRPr="00336B4D" w:rsidRDefault="00D46EFC" w:rsidP="00D46EFC">
      <w:pPr>
        <w:rPr>
          <w:color w:val="000000"/>
          <w:szCs w:val="20"/>
        </w:rPr>
      </w:pPr>
      <w:r w:rsidRPr="00336B4D">
        <w:rPr>
          <w:b/>
          <w:bCs/>
          <w:color w:val="000000"/>
          <w:szCs w:val="20"/>
          <w:lang w:val="es-ES_tradnl"/>
        </w:rPr>
        <w:t xml:space="preserve">III. </w:t>
      </w:r>
      <w:r w:rsidRPr="00336B4D">
        <w:rPr>
          <w:b/>
          <w:bCs/>
          <w:color w:val="000000"/>
          <w:szCs w:val="20"/>
          <w:lang w:val="es-ES_tradnl"/>
        </w:rPr>
        <w:tab/>
        <w:t>POSICIÓN DE LAS PARTES</w:t>
      </w:r>
      <w:r w:rsidRPr="00336B4D">
        <w:rPr>
          <w:color w:val="000000"/>
          <w:szCs w:val="20"/>
          <w:lang w:val="es-ES_tradnl"/>
        </w:rPr>
        <w:t xml:space="preserve"> </w:t>
      </w:r>
    </w:p>
    <w:p w:rsidR="00D46EFC" w:rsidRDefault="00D46EFC" w:rsidP="00D46EFC">
      <w:pPr>
        <w:rPr>
          <w:b/>
          <w:bCs/>
          <w:color w:val="000000"/>
          <w:szCs w:val="20"/>
          <w:lang w:val="es-ES_tradnl"/>
        </w:rPr>
      </w:pPr>
    </w:p>
    <w:p w:rsidR="00D46EFC" w:rsidRPr="00336B4D" w:rsidRDefault="00D46EFC" w:rsidP="00D46EFC">
      <w:pPr>
        <w:rPr>
          <w:color w:val="000000"/>
          <w:szCs w:val="20"/>
        </w:rPr>
      </w:pPr>
      <w:r w:rsidRPr="00336B4D">
        <w:rPr>
          <w:b/>
          <w:bCs/>
          <w:color w:val="000000"/>
          <w:szCs w:val="20"/>
          <w:lang w:val="es-ES_tradnl"/>
        </w:rPr>
        <w:t>A.</w:t>
      </w:r>
      <w:r>
        <w:rPr>
          <w:b/>
          <w:bCs/>
          <w:color w:val="000000"/>
          <w:szCs w:val="20"/>
          <w:lang w:val="es-ES_tradnl"/>
        </w:rPr>
        <w:tab/>
      </w:r>
      <w:r w:rsidRPr="00336B4D">
        <w:rPr>
          <w:b/>
          <w:bCs/>
          <w:color w:val="000000"/>
          <w:szCs w:val="20"/>
          <w:lang w:val="es-ES_tradnl"/>
        </w:rPr>
        <w:t xml:space="preserve"> Posición de los peticionarios</w:t>
      </w:r>
      <w:r w:rsidRPr="00336B4D">
        <w:rPr>
          <w:color w:val="000000"/>
          <w:szCs w:val="20"/>
          <w:lang w:val="es-ES_tradnl"/>
        </w:rPr>
        <w:t xml:space="preserve"> </w:t>
      </w:r>
    </w:p>
    <w:p w:rsidR="00D46EFC" w:rsidRDefault="00D46EFC" w:rsidP="00D46EFC">
      <w:pPr>
        <w:rPr>
          <w:color w:val="000000"/>
          <w:szCs w:val="20"/>
          <w:lang w:val="es-ES_tradnl"/>
        </w:rPr>
      </w:pPr>
    </w:p>
    <w:p w:rsidR="00D46EFC" w:rsidRPr="00336B4D" w:rsidRDefault="00D46EFC" w:rsidP="00D46EFC">
      <w:pPr>
        <w:rPr>
          <w:color w:val="000000"/>
          <w:szCs w:val="20"/>
        </w:rPr>
      </w:pPr>
      <w:r w:rsidRPr="00336B4D">
        <w:rPr>
          <w:color w:val="000000"/>
          <w:szCs w:val="20"/>
          <w:lang w:val="es-ES_tradnl"/>
        </w:rPr>
        <w:t>5. Los peticionarios informan que un grupo policial compuesto por 110 agentes de la policía civil de la División de Represión de la Droga (DRE) del estado de R</w:t>
      </w:r>
      <w:r w:rsidRPr="00336B4D">
        <w:rPr>
          <w:color w:val="000000"/>
          <w:szCs w:val="20"/>
          <w:lang w:val="es-ES"/>
        </w:rPr>
        <w:t>í</w:t>
      </w:r>
      <w:r w:rsidRPr="00336B4D">
        <w:rPr>
          <w:color w:val="000000"/>
          <w:szCs w:val="20"/>
          <w:lang w:val="es-ES_tradnl"/>
        </w:rPr>
        <w:t xml:space="preserve">o de Janeiro invadieron la favela Nova Brasilia en la ciudad de Río de Janeiro el 18 de octubre de 1994 a las 5:00 horas, con el pretexto de cumplir 104 mandatos de prisión preventiva. Agregan que se produjo un enfrentamiento armado entre traficantes y agentes y alegan que las presuntas violaciones de derechos humanos fueron cometidas de varias maneras, conforme se describe a continuación. </w:t>
      </w:r>
    </w:p>
    <w:p w:rsidR="00D46EFC" w:rsidRDefault="00D46EFC" w:rsidP="00D46EFC">
      <w:pPr>
        <w:rPr>
          <w:color w:val="000000"/>
          <w:szCs w:val="20"/>
          <w:lang w:val="es-ES_tradnl"/>
        </w:rPr>
      </w:pPr>
    </w:p>
    <w:p w:rsidR="00D46EFC" w:rsidRPr="00336B4D" w:rsidRDefault="00D46EFC" w:rsidP="00D46EFC">
      <w:pPr>
        <w:rPr>
          <w:color w:val="000000"/>
          <w:szCs w:val="20"/>
        </w:rPr>
      </w:pPr>
      <w:r w:rsidRPr="00336B4D">
        <w:rPr>
          <w:color w:val="000000"/>
          <w:szCs w:val="20"/>
          <w:lang w:val="es-ES_tradnl"/>
        </w:rPr>
        <w:t xml:space="preserve">6. Según los peticionarios, un primer grupo de agentes invadió la casa de </w:t>
      </w:r>
      <w:r w:rsidRPr="00336B4D">
        <w:rPr>
          <w:color w:val="000000"/>
          <w:szCs w:val="20"/>
        </w:rPr>
        <w:t>J.F.C.</w:t>
      </w:r>
      <w:r w:rsidRPr="00336B4D">
        <w:rPr>
          <w:color w:val="000000"/>
          <w:szCs w:val="20"/>
          <w:lang w:val="es-ES_tradnl"/>
        </w:rPr>
        <w:t xml:space="preserve"> y de su compañero “Paizinho”, ordenándoles que se rindieran. Después de esposar a Paizinho, los agentes lo golpearon en la cabeza con el propósito de saber el paradero de uno de los </w:t>
      </w:r>
      <w:r w:rsidRPr="00336B4D">
        <w:rPr>
          <w:color w:val="000000"/>
          <w:szCs w:val="20"/>
          <w:lang w:val="es-ES_tradnl"/>
        </w:rPr>
        <w:lastRenderedPageBreak/>
        <w:t xml:space="preserve">cabecillas del narcotráfico local, y finalmente lo detuvieron y amenazaron con matarlo. Los agentes también agredieron a </w:t>
      </w:r>
      <w:r w:rsidRPr="00336B4D">
        <w:rPr>
          <w:color w:val="000000"/>
          <w:szCs w:val="20"/>
        </w:rPr>
        <w:t>J.F.C.</w:t>
      </w:r>
      <w:r w:rsidRPr="00336B4D">
        <w:rPr>
          <w:color w:val="000000"/>
          <w:szCs w:val="20"/>
          <w:lang w:val="es-ES_tradnl"/>
        </w:rPr>
        <w:t xml:space="preserve"> con golpes en las piernas y en el vientre. </w:t>
      </w:r>
    </w:p>
    <w:p w:rsidR="00D46EFC" w:rsidRDefault="00D46EFC" w:rsidP="00D46EFC">
      <w:pPr>
        <w:rPr>
          <w:color w:val="000000"/>
          <w:szCs w:val="20"/>
          <w:lang w:val="es-ES_tradnl"/>
        </w:rPr>
      </w:pPr>
    </w:p>
    <w:p w:rsidR="00D46EFC" w:rsidRPr="00336B4D" w:rsidRDefault="00D46EFC" w:rsidP="00D46EFC">
      <w:pPr>
        <w:rPr>
          <w:color w:val="000000"/>
          <w:szCs w:val="20"/>
        </w:rPr>
      </w:pPr>
      <w:r w:rsidRPr="00336B4D">
        <w:rPr>
          <w:color w:val="000000"/>
          <w:szCs w:val="20"/>
          <w:lang w:val="es-ES_tradnl"/>
        </w:rPr>
        <w:t xml:space="preserve">7. Los peticionarios también alegan que los mismos agentes ingresaron a otra casa de traficantes, y al entrar disparando, dieron muerte a Adriano Silva Donato y Alan Kardec de Oliveira, cuyos cuerpos fueron arrastrados fuera de la casa y trasladados a la plaza principal. Luego, Clemilson dos Santos fue arrastrado fuera de su casa por los agentes policiales y presuntamente ejecutado sumariamente en la misma plaza. </w:t>
      </w:r>
    </w:p>
    <w:p w:rsidR="00D46EFC" w:rsidRDefault="00D46EFC" w:rsidP="00D46EFC">
      <w:pPr>
        <w:rPr>
          <w:color w:val="000000"/>
          <w:szCs w:val="20"/>
          <w:lang w:val="es-ES_tradnl"/>
        </w:rPr>
      </w:pPr>
    </w:p>
    <w:p w:rsidR="00D46EFC" w:rsidRPr="00336B4D" w:rsidRDefault="00D46EFC" w:rsidP="00D46EFC">
      <w:pPr>
        <w:rPr>
          <w:color w:val="000000"/>
          <w:szCs w:val="20"/>
        </w:rPr>
      </w:pPr>
      <w:r w:rsidRPr="00336B4D">
        <w:rPr>
          <w:color w:val="000000"/>
          <w:szCs w:val="20"/>
          <w:lang w:val="es-ES_tradnl"/>
        </w:rPr>
        <w:t xml:space="preserve">8. Conforme al relato de los peticionarios, un segundo grupo de agentes invadió una vivienda y supuestamente ejecutaron sumariamente a Sergio Mendes Oliveria, Fabio Herique Vieira y Evandro de Oliveira, a este último, presuntamente de dos disparos, uno en cada ojo. Luego, invadieron otra casa y también ejecutaron a Robson Genuino dos Santos, Ranílson José de Souza y Alberto dos Santos Ramos. </w:t>
      </w:r>
    </w:p>
    <w:p w:rsidR="00D46EFC" w:rsidRDefault="00D46EFC" w:rsidP="00D46EFC">
      <w:pPr>
        <w:rPr>
          <w:color w:val="000000"/>
          <w:szCs w:val="20"/>
          <w:lang w:val="es-ES_tradnl"/>
        </w:rPr>
      </w:pPr>
    </w:p>
    <w:p w:rsidR="00D46EFC" w:rsidRPr="00336B4D" w:rsidRDefault="00D46EFC" w:rsidP="00D46EFC">
      <w:pPr>
        <w:rPr>
          <w:color w:val="000000"/>
          <w:szCs w:val="20"/>
        </w:rPr>
      </w:pPr>
      <w:r w:rsidRPr="00336B4D">
        <w:rPr>
          <w:color w:val="000000"/>
          <w:szCs w:val="20"/>
          <w:lang w:val="es-ES_tradnl"/>
        </w:rPr>
        <w:t>9. Los peticionarios alegan que también un grupo de diez agentes ingresó en otra casa donde se encontraban C</w:t>
      </w:r>
      <w:r w:rsidRPr="00336B4D">
        <w:rPr>
          <w:color w:val="000000"/>
          <w:szCs w:val="20"/>
        </w:rPr>
        <w:t>.S.S.</w:t>
      </w:r>
      <w:r w:rsidRPr="00336B4D">
        <w:rPr>
          <w:color w:val="000000"/>
          <w:szCs w:val="20"/>
          <w:lang w:val="es-ES_tradnl"/>
        </w:rPr>
        <w:t xml:space="preserve">, </w:t>
      </w:r>
      <w:r w:rsidRPr="00336B4D">
        <w:rPr>
          <w:color w:val="000000"/>
          <w:szCs w:val="20"/>
        </w:rPr>
        <w:t>L.R.J.</w:t>
      </w:r>
      <w:r w:rsidRPr="00336B4D">
        <w:rPr>
          <w:color w:val="000000"/>
          <w:szCs w:val="20"/>
          <w:lang w:val="es-ES_tradnl"/>
        </w:rPr>
        <w:t xml:space="preserve"> y André Luiz Neri Silva y que algunos de los agentes atacaron sexualmente a </w:t>
      </w:r>
      <w:r w:rsidRPr="00336B4D">
        <w:rPr>
          <w:color w:val="000000"/>
          <w:szCs w:val="20"/>
        </w:rPr>
        <w:t>C.S.S.</w:t>
      </w:r>
      <w:r w:rsidRPr="00336B4D">
        <w:rPr>
          <w:color w:val="000000"/>
          <w:szCs w:val="20"/>
          <w:lang w:val="es-ES_tradnl"/>
        </w:rPr>
        <w:t xml:space="preserve"> y a </w:t>
      </w:r>
      <w:r w:rsidRPr="00336B4D">
        <w:rPr>
          <w:color w:val="000000"/>
          <w:szCs w:val="20"/>
        </w:rPr>
        <w:t>L.R.J.</w:t>
      </w:r>
      <w:r w:rsidRPr="00336B4D">
        <w:rPr>
          <w:color w:val="000000"/>
          <w:szCs w:val="20"/>
          <w:lang w:val="es-ES_tradnl"/>
        </w:rPr>
        <w:t xml:space="preserve"> A su vez, los agentes golpearon a </w:t>
      </w:r>
      <w:r w:rsidRPr="00336B4D">
        <w:rPr>
          <w:color w:val="000000"/>
          <w:szCs w:val="20"/>
        </w:rPr>
        <w:t>L.R.J.</w:t>
      </w:r>
      <w:r w:rsidRPr="00336B4D">
        <w:rPr>
          <w:color w:val="000000"/>
          <w:szCs w:val="20"/>
          <w:lang w:val="es-ES_tradnl"/>
        </w:rPr>
        <w:t xml:space="preserve"> y a André procurando obtener información sobre el paradero de uno de los cabecillas del tráfico local. Inmediatamente después, los agentes prendieron a André, y su cuerpo fue posteriormente localizado en la plaza central, junto a los demás cadáveres. </w:t>
      </w:r>
    </w:p>
    <w:p w:rsidR="00D46EFC" w:rsidRDefault="00D46EFC" w:rsidP="00D46EFC">
      <w:pPr>
        <w:rPr>
          <w:color w:val="000000"/>
          <w:szCs w:val="20"/>
          <w:lang w:val="es-ES_tradnl"/>
        </w:rPr>
      </w:pPr>
    </w:p>
    <w:p w:rsidR="00D46EFC" w:rsidRPr="00336B4D" w:rsidRDefault="00D46EFC" w:rsidP="00D46EFC">
      <w:pPr>
        <w:rPr>
          <w:color w:val="000000"/>
          <w:szCs w:val="20"/>
        </w:rPr>
      </w:pPr>
      <w:r w:rsidRPr="00336B4D">
        <w:rPr>
          <w:color w:val="000000"/>
          <w:szCs w:val="20"/>
          <w:lang w:val="es-ES_tradnl"/>
        </w:rPr>
        <w:t xml:space="preserve">10. Los peticionarios informan que el operativo terminó a las 9:30 hs., con un saldo de catorce muertes entre el grupo de presuntos traficantes y ningún herido mortal entre los agentes que participaron. </w:t>
      </w:r>
    </w:p>
    <w:p w:rsidR="00D46EFC" w:rsidRDefault="00D46EFC" w:rsidP="00D46EFC">
      <w:pPr>
        <w:rPr>
          <w:color w:val="000000"/>
          <w:szCs w:val="20"/>
          <w:lang w:val="es-ES_tradnl"/>
        </w:rPr>
      </w:pPr>
    </w:p>
    <w:p w:rsidR="00D46EFC" w:rsidRPr="00336B4D" w:rsidRDefault="00D46EFC" w:rsidP="00D46EFC">
      <w:pPr>
        <w:rPr>
          <w:color w:val="000000"/>
          <w:szCs w:val="20"/>
        </w:rPr>
      </w:pPr>
      <w:r w:rsidRPr="00336B4D">
        <w:rPr>
          <w:color w:val="000000"/>
          <w:szCs w:val="20"/>
          <w:lang w:val="es-ES_tradnl"/>
        </w:rPr>
        <w:t xml:space="preserve">11. Señalan los peticionarios que la indagatoria policial Nº 184/94 fue iniciada el 18 de octubre, a cargo de la División de Represión de la Droga (DRE) para determinar las irregularidades de la acción policial. Paralelamente, el gobierno de Río de Janeiro creó una comisión especial para supervisar las investigaciones (investigación Nº 52/94), las que fueron conducidas por la Dirección General de la Policía Civil y la Comisaría Especial contra la Tortura y el Abuso de Autoridad (DETAA). En cuanto a la investigación Nº 52/94 realizada por la DETAA, los peticionarios aducen que en la misma se llegó a la conclusión de que los agentes habían practicado la ejecución sumaria y otros abusos, pero que, en el curso de las investigaciones, ninguno de los agresores identificados prestó declaración ni fue preso. </w:t>
      </w:r>
    </w:p>
    <w:p w:rsidR="00D46EFC" w:rsidRDefault="00D46EFC" w:rsidP="00D46EFC">
      <w:pPr>
        <w:rPr>
          <w:color w:val="000000"/>
          <w:szCs w:val="20"/>
          <w:lang w:val="es-ES_tradnl"/>
        </w:rPr>
      </w:pPr>
    </w:p>
    <w:p w:rsidR="00D46EFC" w:rsidRPr="00336B4D" w:rsidRDefault="00D46EFC" w:rsidP="00D46EFC">
      <w:pPr>
        <w:rPr>
          <w:color w:val="000000"/>
          <w:szCs w:val="20"/>
        </w:rPr>
      </w:pPr>
      <w:r w:rsidRPr="00336B4D">
        <w:rPr>
          <w:color w:val="000000"/>
          <w:szCs w:val="20"/>
          <w:lang w:val="es-ES_tradnl"/>
        </w:rPr>
        <w:t xml:space="preserve">12. Los peticionarios informan que la Promotora María Inês Pimentel, responsable de la conducción de las investigaciones Nº 184/94 y 52/94, se negó sistemáticamente a brindar todo tipo de información sobre los mismos. </w:t>
      </w:r>
    </w:p>
    <w:p w:rsidR="00D46EFC" w:rsidRDefault="00D46EFC" w:rsidP="00D46EFC">
      <w:pPr>
        <w:rPr>
          <w:color w:val="000000"/>
          <w:szCs w:val="20"/>
          <w:lang w:val="es-ES_tradnl"/>
        </w:rPr>
      </w:pPr>
    </w:p>
    <w:p w:rsidR="00D46EFC" w:rsidRPr="00336B4D" w:rsidRDefault="00D46EFC" w:rsidP="00D46EFC">
      <w:pPr>
        <w:rPr>
          <w:color w:val="000000"/>
          <w:szCs w:val="20"/>
        </w:rPr>
      </w:pPr>
      <w:r w:rsidRPr="00336B4D">
        <w:rPr>
          <w:color w:val="000000"/>
          <w:szCs w:val="20"/>
          <w:lang w:val="es-ES_tradnl"/>
        </w:rPr>
        <w:t xml:space="preserve">13. Señalan los peticionarios que, de acuerdo con el Artículo 10 del Código del Proceso Penal brasileño, el plazo para el cierre de la indagatoria policial es de treinta días, pudiendo ser prorrogado por otros treinta días por autorización judicial. En el caso actual, los peticionarios sostuvieron en noviembre de 1998 que cuatro años después de iniciadas las investigaciones instruidas para determinar los hechos ocurridos en la Favela Nova Brasilia no habían concluido hasta noviembre de 1998. </w:t>
      </w:r>
    </w:p>
    <w:p w:rsidR="00D46EFC" w:rsidRDefault="00D46EFC" w:rsidP="00D46EFC">
      <w:pPr>
        <w:rPr>
          <w:color w:val="000000"/>
          <w:szCs w:val="20"/>
          <w:lang w:val="es-ES_tradnl"/>
        </w:rPr>
      </w:pPr>
    </w:p>
    <w:p w:rsidR="00D46EFC" w:rsidRPr="00336B4D" w:rsidRDefault="00D46EFC" w:rsidP="00D46EFC">
      <w:pPr>
        <w:rPr>
          <w:color w:val="000000"/>
          <w:szCs w:val="20"/>
        </w:rPr>
      </w:pPr>
      <w:r w:rsidRPr="00336B4D">
        <w:rPr>
          <w:color w:val="000000"/>
          <w:szCs w:val="20"/>
          <w:lang w:val="es-ES_tradnl"/>
        </w:rPr>
        <w:t xml:space="preserve">14. En relación con el agotamiento de los recursos internos, los peticionarios defienden la admisibilidad de la petición sobre la base del atraso injustificado de los recursos internos, artículo 46(2)(c). Agregan los peticionarios que la demora de cuatro años en la conducción de la indagatoria policial, sin que haya sido interpuesta una acción penal competente contra los responsables, demuestra que los recursos internos son ineficaces para la reparación de las violaciones de los derechos humanos en el caso presente. </w:t>
      </w:r>
    </w:p>
    <w:p w:rsidR="00D46EFC" w:rsidRDefault="00D46EFC" w:rsidP="00D46EFC">
      <w:pPr>
        <w:rPr>
          <w:b/>
          <w:bCs/>
          <w:color w:val="000000"/>
          <w:szCs w:val="20"/>
          <w:lang w:val="es-ES_tradnl"/>
        </w:rPr>
      </w:pPr>
    </w:p>
    <w:p w:rsidR="00D46EFC" w:rsidRPr="00336B4D" w:rsidRDefault="00D46EFC" w:rsidP="00D46EFC">
      <w:pPr>
        <w:rPr>
          <w:color w:val="000000"/>
          <w:szCs w:val="20"/>
        </w:rPr>
      </w:pPr>
      <w:r w:rsidRPr="00336B4D">
        <w:rPr>
          <w:b/>
          <w:bCs/>
          <w:color w:val="000000"/>
          <w:szCs w:val="20"/>
          <w:lang w:val="es-ES_tradnl"/>
        </w:rPr>
        <w:t>B.</w:t>
      </w:r>
      <w:r w:rsidRPr="00336B4D">
        <w:rPr>
          <w:b/>
          <w:bCs/>
          <w:color w:val="000000"/>
          <w:szCs w:val="20"/>
          <w:lang w:val="es-ES_tradnl"/>
        </w:rPr>
        <w:tab/>
        <w:t xml:space="preserve"> Posición del Estado </w:t>
      </w:r>
    </w:p>
    <w:p w:rsidR="00D46EFC" w:rsidRDefault="00D46EFC" w:rsidP="00D46EFC">
      <w:pPr>
        <w:rPr>
          <w:color w:val="000000"/>
          <w:szCs w:val="20"/>
          <w:lang w:val="es-ES_tradnl"/>
        </w:rPr>
      </w:pPr>
    </w:p>
    <w:p w:rsidR="00D46EFC" w:rsidRPr="00336B4D" w:rsidRDefault="00D46EFC" w:rsidP="00D46EFC">
      <w:pPr>
        <w:rPr>
          <w:color w:val="000000"/>
          <w:szCs w:val="20"/>
        </w:rPr>
      </w:pPr>
      <w:r w:rsidRPr="00336B4D">
        <w:rPr>
          <w:color w:val="000000"/>
          <w:szCs w:val="20"/>
          <w:lang w:val="es-ES_tradnl"/>
        </w:rPr>
        <w:t xml:space="preserve">15. El Estado respondió a las denuncias de los peticionarios en los siguientes términos: </w:t>
      </w:r>
    </w:p>
    <w:p w:rsidR="00D46EFC" w:rsidRDefault="00D46EFC" w:rsidP="00D46EFC">
      <w:pPr>
        <w:ind w:left="720" w:right="720"/>
        <w:rPr>
          <w:color w:val="000000"/>
          <w:szCs w:val="20"/>
          <w:lang w:val="es-ES_tradnl"/>
        </w:rPr>
      </w:pPr>
    </w:p>
    <w:p w:rsidR="00D46EFC" w:rsidRPr="00336B4D" w:rsidRDefault="00D46EFC" w:rsidP="00D46EFC">
      <w:pPr>
        <w:ind w:left="720" w:right="720"/>
        <w:rPr>
          <w:color w:val="000000"/>
          <w:szCs w:val="20"/>
        </w:rPr>
      </w:pPr>
      <w:r w:rsidRPr="00336B4D">
        <w:rPr>
          <w:color w:val="000000"/>
          <w:szCs w:val="20"/>
          <w:lang w:val="es-ES_tradnl"/>
        </w:rPr>
        <w:lastRenderedPageBreak/>
        <w:t>2. De hecho, la versión derivada de la información recogida por el Ministerio Público del Estado de Río de Janeiro coincide en que los asesinatos fueron producto de una acción represiva --una verdadera acción de guerra, que involucró a 110 agentes policiales de la División de la Represión de Drogas de la 21a Comisaría de Policía y otras unidades de la Policía Civil de Río de Janeiro-- para desbaratar una banda de narcotraficantes que se refugiaba en la Favela Nova Brasilia y disponía de armamento pesado: rifles, ametralladoras, granadas, etc.</w:t>
      </w:r>
    </w:p>
    <w:p w:rsidR="00D46EFC" w:rsidRPr="00336B4D" w:rsidRDefault="00D46EFC" w:rsidP="00D46EFC">
      <w:pPr>
        <w:ind w:left="720" w:right="720"/>
        <w:rPr>
          <w:color w:val="000000"/>
          <w:szCs w:val="20"/>
        </w:rPr>
      </w:pPr>
      <w:r w:rsidRPr="00336B4D">
        <w:rPr>
          <w:color w:val="000000"/>
          <w:szCs w:val="20"/>
          <w:lang w:val="es-ES_tradnl"/>
        </w:rPr>
        <w:t xml:space="preserve"> </w:t>
      </w:r>
    </w:p>
    <w:p w:rsidR="00D46EFC" w:rsidRPr="00336B4D" w:rsidRDefault="00D46EFC" w:rsidP="00D46EFC">
      <w:pPr>
        <w:ind w:left="720" w:right="720"/>
        <w:rPr>
          <w:color w:val="000000"/>
          <w:szCs w:val="20"/>
        </w:rPr>
      </w:pPr>
      <w:r w:rsidRPr="00336B4D">
        <w:rPr>
          <w:color w:val="000000"/>
          <w:szCs w:val="20"/>
          <w:lang w:val="es-ES_tradnl"/>
        </w:rPr>
        <w:t>3. También quedó probado que hubo una reacción violenta de los traficantes, y que tres agentes resultaron heridos como consecuencia de esa reacción.</w:t>
      </w:r>
    </w:p>
    <w:p w:rsidR="00D46EFC" w:rsidRPr="00336B4D" w:rsidRDefault="00D46EFC" w:rsidP="00D46EFC">
      <w:pPr>
        <w:ind w:left="720" w:right="720"/>
        <w:rPr>
          <w:color w:val="000000"/>
          <w:szCs w:val="20"/>
        </w:rPr>
      </w:pPr>
      <w:r w:rsidRPr="00336B4D">
        <w:rPr>
          <w:color w:val="000000"/>
          <w:szCs w:val="20"/>
          <w:lang w:val="es-ES_tradnl"/>
        </w:rPr>
        <w:t xml:space="preserve"> </w:t>
      </w:r>
    </w:p>
    <w:p w:rsidR="00D46EFC" w:rsidRPr="00336B4D" w:rsidRDefault="00D46EFC" w:rsidP="00D46EFC">
      <w:pPr>
        <w:ind w:left="720" w:right="720"/>
        <w:rPr>
          <w:color w:val="000000"/>
          <w:szCs w:val="20"/>
        </w:rPr>
      </w:pPr>
      <w:r w:rsidRPr="00336B4D">
        <w:rPr>
          <w:color w:val="000000"/>
          <w:szCs w:val="20"/>
          <w:lang w:val="es-ES_tradnl"/>
        </w:rPr>
        <w:t xml:space="preserve">4. Después del incidente se instruyó la investigación pertinente. </w:t>
      </w:r>
    </w:p>
    <w:p w:rsidR="00D46EFC" w:rsidRDefault="00D46EFC" w:rsidP="00D46EFC">
      <w:pPr>
        <w:pStyle w:val="BlockText"/>
        <w:spacing w:before="0" w:beforeAutospacing="0" w:after="0" w:afterAutospacing="0"/>
        <w:rPr>
          <w:rFonts w:ascii="Verdana" w:hAnsi="Verdana"/>
          <w:color w:val="000000"/>
          <w:sz w:val="20"/>
          <w:szCs w:val="20"/>
          <w:lang w:val="es-ES_tradnl"/>
        </w:rPr>
      </w:pPr>
    </w:p>
    <w:p w:rsidR="00D46EFC" w:rsidRPr="00336B4D" w:rsidRDefault="00D46EFC" w:rsidP="00D46EFC">
      <w:pPr>
        <w:pStyle w:val="BlockText"/>
        <w:spacing w:before="0" w:beforeAutospacing="0" w:after="0" w:afterAutospacing="0"/>
        <w:rPr>
          <w:rFonts w:ascii="Verdana" w:hAnsi="Verdana"/>
          <w:color w:val="000000"/>
          <w:sz w:val="20"/>
          <w:szCs w:val="20"/>
        </w:rPr>
      </w:pPr>
      <w:r w:rsidRPr="00336B4D">
        <w:rPr>
          <w:rFonts w:ascii="Verdana" w:hAnsi="Verdana"/>
          <w:color w:val="000000"/>
          <w:sz w:val="20"/>
          <w:szCs w:val="20"/>
          <w:lang w:val="es-ES_tradnl"/>
        </w:rPr>
        <w:t xml:space="preserve">De manera que la indagatoria policial promovida por la División de Represión de las Drogas procuraba determinar si en la acción represiva policial se habían cometido excesos o actos dolosos. </w:t>
      </w:r>
    </w:p>
    <w:p w:rsidR="00D46EFC" w:rsidRDefault="00D46EFC" w:rsidP="00D46EFC">
      <w:pPr>
        <w:pStyle w:val="BlockText"/>
        <w:spacing w:before="0" w:beforeAutospacing="0" w:after="0" w:afterAutospacing="0"/>
        <w:rPr>
          <w:rFonts w:ascii="Verdana" w:hAnsi="Verdana"/>
          <w:color w:val="000000"/>
          <w:sz w:val="20"/>
          <w:szCs w:val="20"/>
          <w:lang w:val="es-ES_tradnl"/>
        </w:rPr>
      </w:pPr>
    </w:p>
    <w:p w:rsidR="00D46EFC" w:rsidRPr="00336B4D" w:rsidRDefault="00D46EFC" w:rsidP="00D46EFC">
      <w:pPr>
        <w:pStyle w:val="BlockText"/>
        <w:spacing w:before="0" w:beforeAutospacing="0" w:after="0" w:afterAutospacing="0"/>
        <w:rPr>
          <w:rFonts w:ascii="Verdana" w:hAnsi="Verdana"/>
          <w:color w:val="000000"/>
          <w:sz w:val="20"/>
          <w:szCs w:val="20"/>
        </w:rPr>
      </w:pPr>
      <w:r w:rsidRPr="00336B4D">
        <w:rPr>
          <w:rFonts w:ascii="Verdana" w:hAnsi="Verdana"/>
          <w:color w:val="000000"/>
          <w:sz w:val="20"/>
          <w:szCs w:val="20"/>
          <w:lang w:val="es-ES_tradnl"/>
        </w:rPr>
        <w:t xml:space="preserve">La otra indagatoria policial, promovida por la Comisaría Especial de Tortura y Abuso de Autoridad procuró investigar la denuncia de que se habían cometido ejecuciones sumarias y otros actos de violencia por parte de los agentes de la policía civil. </w:t>
      </w:r>
    </w:p>
    <w:p w:rsidR="00D46EFC" w:rsidRDefault="00D46EFC" w:rsidP="00D46EFC">
      <w:pPr>
        <w:ind w:left="720" w:right="720"/>
        <w:rPr>
          <w:color w:val="000000"/>
          <w:szCs w:val="20"/>
          <w:lang w:val="es-ES_tradnl"/>
        </w:rPr>
      </w:pPr>
    </w:p>
    <w:p w:rsidR="00D46EFC" w:rsidRPr="00336B4D" w:rsidRDefault="00D46EFC" w:rsidP="00D46EFC">
      <w:pPr>
        <w:ind w:left="720" w:right="720"/>
        <w:rPr>
          <w:color w:val="000000"/>
          <w:szCs w:val="20"/>
        </w:rPr>
      </w:pPr>
      <w:r w:rsidRPr="00336B4D">
        <w:rPr>
          <w:color w:val="000000"/>
          <w:szCs w:val="20"/>
          <w:lang w:val="es-ES_tradnl"/>
        </w:rPr>
        <w:t xml:space="preserve">Las dos investigaciones contaron con la participación de representantes del Ministerio Público. </w:t>
      </w:r>
    </w:p>
    <w:p w:rsidR="00D46EFC" w:rsidRDefault="00D46EFC" w:rsidP="00D46EFC">
      <w:pPr>
        <w:pStyle w:val="BodyTextIndent2"/>
        <w:spacing w:after="0" w:line="240" w:lineRule="auto"/>
        <w:ind w:left="0"/>
        <w:rPr>
          <w:color w:val="000000"/>
          <w:szCs w:val="20"/>
          <w:lang w:val="es-ES_tradnl"/>
        </w:rPr>
      </w:pPr>
    </w:p>
    <w:p w:rsidR="00D46EFC" w:rsidRPr="00336B4D" w:rsidRDefault="00D46EFC" w:rsidP="00D46EFC">
      <w:pPr>
        <w:pStyle w:val="BodyTextIndent2"/>
        <w:spacing w:after="0" w:line="240" w:lineRule="auto"/>
        <w:ind w:left="0"/>
        <w:rPr>
          <w:color w:val="000000"/>
          <w:szCs w:val="20"/>
        </w:rPr>
      </w:pPr>
      <w:r w:rsidRPr="00336B4D">
        <w:rPr>
          <w:color w:val="000000"/>
          <w:szCs w:val="20"/>
          <w:lang w:val="es-ES_tradnl"/>
        </w:rPr>
        <w:t xml:space="preserve">16. Con respecto al trámite de las investigaciones, el Estado transcribió la información suministrada por los representantes del Ministerio Público, en los siguientes términos: </w:t>
      </w:r>
    </w:p>
    <w:p w:rsidR="00D46EFC" w:rsidRDefault="00D46EFC" w:rsidP="00D46EFC">
      <w:pPr>
        <w:pStyle w:val="BodyTextIndent"/>
        <w:spacing w:before="0" w:beforeAutospacing="0" w:after="0" w:afterAutospacing="0"/>
        <w:ind w:left="720" w:right="720"/>
        <w:rPr>
          <w:rFonts w:ascii="Verdana" w:hAnsi="Verdana"/>
          <w:color w:val="000000"/>
          <w:sz w:val="20"/>
          <w:szCs w:val="20"/>
          <w:lang w:val="es-ES_tradnl"/>
        </w:rPr>
      </w:pPr>
    </w:p>
    <w:p w:rsidR="00D46EFC" w:rsidRPr="00336B4D" w:rsidRDefault="00D46EFC" w:rsidP="00D46EFC">
      <w:pPr>
        <w:pStyle w:val="BodyTextIndent"/>
        <w:spacing w:before="0" w:beforeAutospacing="0" w:after="0" w:afterAutospacing="0"/>
        <w:ind w:left="720" w:right="720"/>
        <w:rPr>
          <w:rFonts w:ascii="Verdana" w:hAnsi="Verdana"/>
          <w:color w:val="000000"/>
          <w:sz w:val="20"/>
          <w:szCs w:val="20"/>
        </w:rPr>
      </w:pPr>
      <w:r w:rsidRPr="00336B4D">
        <w:rPr>
          <w:rFonts w:ascii="Verdana" w:hAnsi="Verdana"/>
          <w:color w:val="000000"/>
          <w:sz w:val="20"/>
          <w:szCs w:val="20"/>
          <w:lang w:val="es-ES_tradnl"/>
        </w:rPr>
        <w:t xml:space="preserve">Corresponde aclarar que la primera investigación en curso en la DRE procura determinar si hubo exceso doloso o culposo en la acción policial, habiéndose ya anexado a la misma algunos elementos técnicos, como los autos de examen forense, en los que efectivamente el promotor de la justicia comprobó que algunos cadáveres presentaban orificios de bala en ambos ojos, lo que exige una investigación más minuciosa, según características de la mencionada antes, con intimación de personas, faltando para ello sólo el tiempo hábil. </w:t>
      </w:r>
    </w:p>
    <w:p w:rsidR="00D46EFC" w:rsidRDefault="00D46EFC" w:rsidP="00D46EFC">
      <w:pPr>
        <w:pStyle w:val="BlockText"/>
        <w:spacing w:before="0" w:beforeAutospacing="0" w:after="0" w:afterAutospacing="0"/>
        <w:rPr>
          <w:rFonts w:ascii="Verdana" w:hAnsi="Verdana"/>
          <w:color w:val="000000"/>
          <w:sz w:val="20"/>
          <w:szCs w:val="20"/>
          <w:lang w:val="es-ES_tradnl"/>
        </w:rPr>
      </w:pPr>
    </w:p>
    <w:p w:rsidR="00D46EFC" w:rsidRPr="00336B4D" w:rsidRDefault="00D46EFC" w:rsidP="00D46EFC">
      <w:pPr>
        <w:pStyle w:val="BlockText"/>
        <w:spacing w:before="0" w:beforeAutospacing="0" w:after="0" w:afterAutospacing="0"/>
        <w:ind w:left="708"/>
        <w:rPr>
          <w:rFonts w:ascii="Verdana" w:hAnsi="Verdana"/>
          <w:color w:val="000000"/>
          <w:sz w:val="20"/>
          <w:szCs w:val="20"/>
        </w:rPr>
      </w:pPr>
      <w:r w:rsidRPr="00336B4D">
        <w:rPr>
          <w:rFonts w:ascii="Verdana" w:hAnsi="Verdana"/>
          <w:color w:val="000000"/>
          <w:sz w:val="20"/>
          <w:szCs w:val="20"/>
          <w:lang w:val="es-ES_tradnl"/>
        </w:rPr>
        <w:t>Como derivación de dicha investigación, se instruyó otra en la Comisaría Especial de tortura y Abuso de Autoridad, habida cuenta de las declaraciones de algunos de los involucrados en el enfrentamiento de que se habrían cometido ejecuciones sumarias e inclusive abuso sexual por parte de los agentes policiales.</w:t>
      </w:r>
    </w:p>
    <w:p w:rsidR="00D46EFC" w:rsidRPr="00336B4D" w:rsidRDefault="00D46EFC" w:rsidP="00D46EFC">
      <w:pPr>
        <w:ind w:left="720" w:right="720"/>
        <w:rPr>
          <w:color w:val="000000"/>
          <w:szCs w:val="20"/>
        </w:rPr>
      </w:pPr>
      <w:r w:rsidRPr="00336B4D">
        <w:rPr>
          <w:color w:val="000000"/>
          <w:szCs w:val="20"/>
          <w:lang w:val="es-ES_tradnl"/>
        </w:rPr>
        <w:t xml:space="preserve"> </w:t>
      </w:r>
    </w:p>
    <w:p w:rsidR="00D46EFC" w:rsidRPr="00336B4D" w:rsidRDefault="00D46EFC" w:rsidP="00D46EFC">
      <w:pPr>
        <w:ind w:left="720" w:right="720"/>
        <w:rPr>
          <w:color w:val="000000"/>
          <w:szCs w:val="20"/>
        </w:rPr>
      </w:pPr>
      <w:r w:rsidRPr="00336B4D">
        <w:rPr>
          <w:color w:val="000000"/>
          <w:szCs w:val="20"/>
          <w:lang w:val="es-ES_tradnl"/>
        </w:rPr>
        <w:t xml:space="preserve">Ocurre que tales declaraciones también exigen una investigación más pormenorizada, puesto que los denunciados tienen relación con los muertos, sabiéndose que en el lugar reina la ley del silencio, existiendo un consenso para desmoralizar a la policía, inclusive con ofrecimientos de recompensas por parte de los traficantes para quien así actúe. </w:t>
      </w:r>
    </w:p>
    <w:p w:rsidR="00D46EFC" w:rsidRDefault="00D46EFC" w:rsidP="00D46EFC">
      <w:pPr>
        <w:rPr>
          <w:b/>
          <w:bCs/>
          <w:color w:val="000000"/>
          <w:szCs w:val="20"/>
          <w:lang w:val="es-ES_tradnl"/>
        </w:rPr>
      </w:pPr>
    </w:p>
    <w:p w:rsidR="00D46EFC" w:rsidRPr="00336B4D" w:rsidRDefault="00D46EFC" w:rsidP="00D46EFC">
      <w:pPr>
        <w:rPr>
          <w:color w:val="000000"/>
          <w:szCs w:val="20"/>
        </w:rPr>
      </w:pPr>
      <w:r w:rsidRPr="00336B4D">
        <w:rPr>
          <w:b/>
          <w:bCs/>
          <w:color w:val="000000"/>
          <w:szCs w:val="20"/>
          <w:lang w:val="es-ES_tradnl"/>
        </w:rPr>
        <w:t>IV.</w:t>
      </w:r>
      <w:r w:rsidRPr="00336B4D">
        <w:rPr>
          <w:b/>
          <w:bCs/>
          <w:color w:val="000000"/>
          <w:szCs w:val="20"/>
          <w:lang w:val="es-ES_tradnl"/>
        </w:rPr>
        <w:tab/>
        <w:t xml:space="preserve"> ANÁLISIS SOBRE LA ADMISIBILIDAD </w:t>
      </w:r>
    </w:p>
    <w:p w:rsidR="00D46EFC" w:rsidRDefault="00D46EFC" w:rsidP="00D46EFC">
      <w:pPr>
        <w:rPr>
          <w:b/>
          <w:bCs/>
          <w:color w:val="000000"/>
          <w:szCs w:val="20"/>
          <w:lang w:val="es-ES_tradnl"/>
        </w:rPr>
      </w:pPr>
    </w:p>
    <w:p w:rsidR="00D46EFC" w:rsidRPr="00336B4D" w:rsidRDefault="00D46EFC" w:rsidP="00D46EFC">
      <w:pPr>
        <w:rPr>
          <w:color w:val="000000"/>
          <w:szCs w:val="20"/>
        </w:rPr>
      </w:pPr>
      <w:r w:rsidRPr="00336B4D">
        <w:rPr>
          <w:b/>
          <w:bCs/>
          <w:color w:val="000000"/>
          <w:szCs w:val="20"/>
          <w:lang w:val="es-ES_tradnl"/>
        </w:rPr>
        <w:t>A.</w:t>
      </w:r>
      <w:r w:rsidRPr="00336B4D">
        <w:rPr>
          <w:b/>
          <w:bCs/>
          <w:color w:val="000000"/>
          <w:szCs w:val="20"/>
          <w:lang w:val="es-ES_tradnl"/>
        </w:rPr>
        <w:tab/>
        <w:t xml:space="preserve"> Competencia </w:t>
      </w:r>
      <w:r w:rsidRPr="00336B4D">
        <w:rPr>
          <w:b/>
          <w:bCs/>
          <w:i/>
          <w:iCs/>
          <w:color w:val="000000"/>
          <w:szCs w:val="20"/>
          <w:lang w:val="es-ES_tradnl"/>
        </w:rPr>
        <w:t>ratione materiae, personae, temporis y loci</w:t>
      </w:r>
      <w:r w:rsidRPr="00336B4D">
        <w:rPr>
          <w:b/>
          <w:bCs/>
          <w:color w:val="000000"/>
          <w:szCs w:val="20"/>
          <w:lang w:val="es-ES_tradnl"/>
        </w:rPr>
        <w:t xml:space="preserve"> </w:t>
      </w:r>
    </w:p>
    <w:p w:rsidR="00D46EFC" w:rsidRDefault="00D46EFC" w:rsidP="00D46EFC">
      <w:pPr>
        <w:rPr>
          <w:color w:val="000000"/>
          <w:szCs w:val="20"/>
          <w:lang w:val="es-ES_tradnl"/>
        </w:rPr>
      </w:pPr>
    </w:p>
    <w:p w:rsidR="00D46EFC" w:rsidRPr="00336B4D" w:rsidRDefault="00D46EFC" w:rsidP="00D46EFC">
      <w:pPr>
        <w:rPr>
          <w:color w:val="000000"/>
          <w:szCs w:val="20"/>
        </w:rPr>
      </w:pPr>
      <w:r w:rsidRPr="00336B4D">
        <w:rPr>
          <w:color w:val="000000"/>
          <w:szCs w:val="20"/>
          <w:lang w:val="es-ES_tradnl"/>
        </w:rPr>
        <w:t xml:space="preserve">17. La Comisión tiene competencia </w:t>
      </w:r>
      <w:r w:rsidRPr="00336B4D">
        <w:rPr>
          <w:i/>
          <w:iCs/>
          <w:color w:val="000000"/>
          <w:szCs w:val="20"/>
          <w:lang w:val="es-ES_tradnl"/>
        </w:rPr>
        <w:t xml:space="preserve">ratione personae </w:t>
      </w:r>
      <w:r w:rsidRPr="00336B4D">
        <w:rPr>
          <w:color w:val="000000"/>
          <w:szCs w:val="20"/>
          <w:lang w:val="es-ES_tradnl"/>
        </w:rPr>
        <w:t xml:space="preserve">(en razón de la persona) para examinar la denuncia porque la petición señala como presunta víctima a un individuo respecto del cual el Estado se comprometió a respetar y garantizar los derechos consagrados en la Convención. Además, los hechos alegados están vinculados a la actuación de agentes del estado de Rio de Janeiro y, teniendo en cuenta el artículo 28 de la Convención, cuando se trata de un Estado Federativo como Brasil, el Gobierno nacional responde en la esfera internacional por los actos cometidos por agentes de los Estados miembros de la Federación. </w:t>
      </w:r>
    </w:p>
    <w:p w:rsidR="00D46EFC" w:rsidRDefault="00D46EFC" w:rsidP="00D46EFC">
      <w:pPr>
        <w:rPr>
          <w:color w:val="000000"/>
          <w:szCs w:val="20"/>
          <w:lang w:val="es-ES_tradnl"/>
        </w:rPr>
      </w:pPr>
    </w:p>
    <w:p w:rsidR="00D46EFC" w:rsidRPr="00336B4D" w:rsidRDefault="00D46EFC" w:rsidP="00D46EFC">
      <w:pPr>
        <w:rPr>
          <w:color w:val="000000"/>
          <w:szCs w:val="20"/>
        </w:rPr>
      </w:pPr>
      <w:r w:rsidRPr="00336B4D">
        <w:rPr>
          <w:color w:val="000000"/>
          <w:szCs w:val="20"/>
          <w:lang w:val="es-ES_tradnl"/>
        </w:rPr>
        <w:lastRenderedPageBreak/>
        <w:t xml:space="preserve">18. La Comisión tiene competencia ratione </w:t>
      </w:r>
      <w:r w:rsidRPr="00336B4D">
        <w:rPr>
          <w:i/>
          <w:iCs/>
          <w:color w:val="000000"/>
          <w:szCs w:val="20"/>
          <w:lang w:val="es-ES_tradnl"/>
        </w:rPr>
        <w:t xml:space="preserve">materiae </w:t>
      </w:r>
      <w:r w:rsidRPr="00336B4D">
        <w:rPr>
          <w:color w:val="000000"/>
          <w:szCs w:val="20"/>
          <w:lang w:val="es-ES_tradnl"/>
        </w:rPr>
        <w:t xml:space="preserve">(en razón de la materia) por tratarse de alegaciones de violación de derechos reconocidos en la Convención, a saber: el derecho a la vida (artículo 4), el derecho a la integridad personal (artículo 5), el derecho a las garantías judiciales (artículo 8), el derecho a la privacidad (artículo 11(1)) y el derecho a la inviolabilidad del hogar (artículo 11(2) e 11(3)) de la Convención. </w:t>
      </w:r>
    </w:p>
    <w:p w:rsidR="00D46EFC" w:rsidRDefault="00D46EFC" w:rsidP="00D46EFC">
      <w:pPr>
        <w:rPr>
          <w:color w:val="000000"/>
          <w:szCs w:val="20"/>
          <w:lang w:val="es-ES_tradnl"/>
        </w:rPr>
      </w:pPr>
    </w:p>
    <w:p w:rsidR="00D46EFC" w:rsidRPr="00336B4D" w:rsidRDefault="00D46EFC" w:rsidP="00D46EFC">
      <w:pPr>
        <w:rPr>
          <w:color w:val="000000"/>
          <w:szCs w:val="20"/>
        </w:rPr>
      </w:pPr>
      <w:r w:rsidRPr="00336B4D">
        <w:rPr>
          <w:color w:val="000000"/>
          <w:szCs w:val="20"/>
          <w:lang w:val="es-ES_tradnl"/>
        </w:rPr>
        <w:t xml:space="preserve">19. La Comisión tiene competencia </w:t>
      </w:r>
      <w:r w:rsidRPr="00336B4D">
        <w:rPr>
          <w:i/>
          <w:iCs/>
          <w:color w:val="000000"/>
          <w:szCs w:val="20"/>
          <w:lang w:val="es-ES_tradnl"/>
        </w:rPr>
        <w:t xml:space="preserve">ratione temporis </w:t>
      </w:r>
      <w:r w:rsidRPr="00336B4D">
        <w:rPr>
          <w:color w:val="000000"/>
          <w:szCs w:val="20"/>
          <w:lang w:val="es-ES_tradnl"/>
        </w:rPr>
        <w:t>(en razón del plazo)</w:t>
      </w:r>
      <w:r w:rsidRPr="00336B4D">
        <w:rPr>
          <w:i/>
          <w:iCs/>
          <w:color w:val="000000"/>
          <w:szCs w:val="20"/>
          <w:lang w:val="es-ES_tradnl"/>
        </w:rPr>
        <w:t xml:space="preserve"> </w:t>
      </w:r>
      <w:r w:rsidRPr="00336B4D">
        <w:rPr>
          <w:color w:val="000000"/>
          <w:szCs w:val="20"/>
          <w:lang w:val="es-ES_tradnl"/>
        </w:rPr>
        <w:t xml:space="preserve">teniendo en cuenta que los hechos alegados datan del 18 de octubre de 1994, fecha en que la obligación de respetar y garantizar los derechos consagrados en la Convención estaba vigente para el Brasil, que ratificó dicho instrumento el 25 de noviembre de 1992. </w:t>
      </w:r>
    </w:p>
    <w:p w:rsidR="00D46EFC" w:rsidRDefault="00D46EFC" w:rsidP="00D46EFC">
      <w:pPr>
        <w:rPr>
          <w:color w:val="000000"/>
          <w:szCs w:val="20"/>
          <w:lang w:val="es-ES_tradnl"/>
        </w:rPr>
      </w:pPr>
    </w:p>
    <w:p w:rsidR="00D46EFC" w:rsidRPr="00336B4D" w:rsidRDefault="00D46EFC" w:rsidP="00D46EFC">
      <w:pPr>
        <w:rPr>
          <w:color w:val="000000"/>
          <w:szCs w:val="20"/>
        </w:rPr>
      </w:pPr>
      <w:r w:rsidRPr="00336B4D">
        <w:rPr>
          <w:color w:val="000000"/>
          <w:szCs w:val="20"/>
          <w:lang w:val="es-ES_tradnl"/>
        </w:rPr>
        <w:t xml:space="preserve">20. La Comisión tiene competencia </w:t>
      </w:r>
      <w:r w:rsidRPr="00336B4D">
        <w:rPr>
          <w:i/>
          <w:iCs/>
          <w:color w:val="000000"/>
          <w:szCs w:val="20"/>
          <w:lang w:val="es-ES_tradnl"/>
        </w:rPr>
        <w:t xml:space="preserve">ratione loci </w:t>
      </w:r>
      <w:r w:rsidRPr="00336B4D">
        <w:rPr>
          <w:color w:val="000000"/>
          <w:szCs w:val="20"/>
          <w:lang w:val="es-ES_tradnl"/>
        </w:rPr>
        <w:t xml:space="preserve">(en razón del lugar) porque los hechos alegados ocurrieron en la ciudad del Rio de Janeiro, es decir, en el territorio sujeto a la jurisdicción del Estado brasileño. </w:t>
      </w:r>
    </w:p>
    <w:p w:rsidR="00D46EFC" w:rsidRDefault="00D46EFC" w:rsidP="00D46EFC">
      <w:pPr>
        <w:rPr>
          <w:b/>
          <w:bCs/>
          <w:color w:val="000000"/>
          <w:szCs w:val="20"/>
          <w:lang w:val="es-ES_tradnl"/>
        </w:rPr>
      </w:pPr>
    </w:p>
    <w:p w:rsidR="00D46EFC" w:rsidRPr="00336B4D" w:rsidRDefault="00D46EFC" w:rsidP="00D46EFC">
      <w:pPr>
        <w:rPr>
          <w:color w:val="000000"/>
          <w:szCs w:val="20"/>
        </w:rPr>
      </w:pPr>
      <w:r w:rsidRPr="00336B4D">
        <w:rPr>
          <w:b/>
          <w:bCs/>
          <w:color w:val="000000"/>
          <w:szCs w:val="20"/>
          <w:lang w:val="es-ES_tradnl"/>
        </w:rPr>
        <w:t>B.</w:t>
      </w:r>
      <w:r w:rsidRPr="00336B4D">
        <w:rPr>
          <w:b/>
          <w:bCs/>
          <w:color w:val="000000"/>
          <w:szCs w:val="20"/>
          <w:lang w:val="es-ES_tradnl"/>
        </w:rPr>
        <w:tab/>
        <w:t xml:space="preserve"> Agotamiento de los recursos internos </w:t>
      </w:r>
    </w:p>
    <w:p w:rsidR="00D46EFC" w:rsidRDefault="00D46EFC" w:rsidP="00D46EFC">
      <w:pPr>
        <w:rPr>
          <w:color w:val="000000"/>
          <w:szCs w:val="20"/>
          <w:lang w:val="es-ES_tradnl"/>
        </w:rPr>
      </w:pPr>
    </w:p>
    <w:p w:rsidR="00D46EFC" w:rsidRPr="00336B4D" w:rsidRDefault="00D46EFC" w:rsidP="00D46EFC">
      <w:pPr>
        <w:rPr>
          <w:color w:val="000000"/>
          <w:szCs w:val="20"/>
        </w:rPr>
      </w:pPr>
      <w:r w:rsidRPr="00336B4D">
        <w:rPr>
          <w:color w:val="000000"/>
          <w:szCs w:val="20"/>
          <w:lang w:val="es-ES_tradnl"/>
        </w:rPr>
        <w:t xml:space="preserve">21. De acuerdo con el artículo 46(1)(a) de la Convención, para que una petición sea admisible por la Comisión es necesario agotar previamente los recursos de jurisdicción interna, conforme a los principios del derecho internacional. No obstante, el artículo 46(2) de la Convención establece que las mencionadas disposiciones no se aplican en la hipótesis de que: </w:t>
      </w:r>
    </w:p>
    <w:p w:rsidR="00D46EFC" w:rsidRDefault="00D46EFC" w:rsidP="00D46EFC">
      <w:pPr>
        <w:pStyle w:val="blockquote"/>
        <w:spacing w:before="0" w:beforeAutospacing="0" w:after="0" w:afterAutospacing="0"/>
        <w:ind w:left="720" w:right="720"/>
        <w:jc w:val="both"/>
        <w:rPr>
          <w:rFonts w:ascii="Verdana" w:hAnsi="Verdana"/>
          <w:color w:val="000000"/>
          <w:sz w:val="20"/>
          <w:szCs w:val="20"/>
          <w:lang w:val="es-ES_tradnl"/>
        </w:rPr>
      </w:pPr>
    </w:p>
    <w:p w:rsidR="00D46EFC" w:rsidRPr="00336B4D" w:rsidRDefault="00D46EFC" w:rsidP="00D46EFC">
      <w:pPr>
        <w:pStyle w:val="blockquote"/>
        <w:spacing w:before="0" w:beforeAutospacing="0" w:after="0" w:afterAutospacing="0"/>
        <w:ind w:left="720" w:right="720"/>
        <w:jc w:val="both"/>
        <w:rPr>
          <w:rFonts w:ascii="Verdana" w:hAnsi="Verdana"/>
          <w:color w:val="000000"/>
          <w:sz w:val="20"/>
          <w:szCs w:val="20"/>
        </w:rPr>
      </w:pPr>
      <w:r w:rsidRPr="00336B4D">
        <w:rPr>
          <w:rFonts w:ascii="Verdana" w:hAnsi="Verdana"/>
          <w:color w:val="000000"/>
          <w:sz w:val="20"/>
          <w:szCs w:val="20"/>
          <w:lang w:val="es-ES_tradnl"/>
        </w:rPr>
        <w:t>a) no exista en la legislación interna del Estado de que se trata el debido proceso legal para la protección del derecho o derechos que se alega han sido violados;</w:t>
      </w:r>
    </w:p>
    <w:p w:rsidR="00D46EFC" w:rsidRDefault="00D46EFC" w:rsidP="00D46EFC">
      <w:pPr>
        <w:pStyle w:val="blockquote"/>
        <w:spacing w:before="0" w:beforeAutospacing="0" w:after="0" w:afterAutospacing="0"/>
        <w:ind w:left="720" w:right="720"/>
        <w:jc w:val="both"/>
        <w:rPr>
          <w:rFonts w:ascii="Verdana" w:hAnsi="Verdana"/>
          <w:color w:val="000000"/>
          <w:sz w:val="20"/>
          <w:szCs w:val="20"/>
          <w:lang w:val="es-ES_tradnl"/>
        </w:rPr>
      </w:pPr>
    </w:p>
    <w:p w:rsidR="00D46EFC" w:rsidRPr="00336B4D" w:rsidRDefault="00D46EFC" w:rsidP="00D46EFC">
      <w:pPr>
        <w:pStyle w:val="blockquote"/>
        <w:spacing w:before="0" w:beforeAutospacing="0" w:after="0" w:afterAutospacing="0"/>
        <w:ind w:left="720" w:right="720"/>
        <w:jc w:val="both"/>
        <w:rPr>
          <w:rFonts w:ascii="Verdana" w:hAnsi="Verdana"/>
          <w:color w:val="000000"/>
          <w:sz w:val="20"/>
          <w:szCs w:val="20"/>
        </w:rPr>
      </w:pPr>
      <w:r w:rsidRPr="00336B4D">
        <w:rPr>
          <w:rFonts w:ascii="Verdana" w:hAnsi="Verdana"/>
          <w:color w:val="000000"/>
          <w:sz w:val="20"/>
          <w:szCs w:val="20"/>
          <w:lang w:val="es-ES_tradnl"/>
        </w:rPr>
        <w:t>b) no se haya permitido al presunto lesionado en sus derechos el acceso a los recursos de la jurisdicción interna, o haya sido impedido de agotarlos, y;</w:t>
      </w:r>
    </w:p>
    <w:p w:rsidR="00D46EFC" w:rsidRDefault="00D46EFC" w:rsidP="00D46EFC">
      <w:pPr>
        <w:pStyle w:val="blockquote"/>
        <w:spacing w:before="0" w:beforeAutospacing="0" w:after="0" w:afterAutospacing="0"/>
        <w:ind w:left="720" w:right="720"/>
        <w:jc w:val="both"/>
        <w:rPr>
          <w:rFonts w:ascii="Verdana" w:hAnsi="Verdana"/>
          <w:color w:val="000000"/>
          <w:sz w:val="20"/>
          <w:szCs w:val="20"/>
          <w:lang w:val="es-ES_tradnl"/>
        </w:rPr>
      </w:pPr>
    </w:p>
    <w:p w:rsidR="00D46EFC" w:rsidRPr="00336B4D" w:rsidRDefault="00D46EFC" w:rsidP="00D46EFC">
      <w:pPr>
        <w:pStyle w:val="blockquote"/>
        <w:spacing w:before="0" w:beforeAutospacing="0" w:after="0" w:afterAutospacing="0"/>
        <w:ind w:left="720" w:right="720"/>
        <w:jc w:val="both"/>
        <w:rPr>
          <w:rFonts w:ascii="Verdana" w:hAnsi="Verdana"/>
          <w:color w:val="000000"/>
          <w:sz w:val="20"/>
          <w:szCs w:val="20"/>
        </w:rPr>
      </w:pPr>
      <w:r w:rsidRPr="00336B4D">
        <w:rPr>
          <w:rFonts w:ascii="Verdana" w:hAnsi="Verdana"/>
          <w:color w:val="000000"/>
          <w:sz w:val="20"/>
          <w:szCs w:val="20"/>
          <w:lang w:val="es-ES_tradnl"/>
        </w:rPr>
        <w:t xml:space="preserve">c) haya retardo injustificado en la decisión sobre los mencionados recursos. </w:t>
      </w:r>
    </w:p>
    <w:p w:rsidR="00D46EFC" w:rsidRDefault="00D46EFC" w:rsidP="00D46EFC">
      <w:pPr>
        <w:rPr>
          <w:color w:val="000000"/>
          <w:szCs w:val="20"/>
        </w:rPr>
      </w:pPr>
    </w:p>
    <w:p w:rsidR="00D46EFC" w:rsidRPr="00336B4D" w:rsidRDefault="00D46EFC" w:rsidP="00D46EFC">
      <w:pPr>
        <w:rPr>
          <w:color w:val="000000"/>
          <w:szCs w:val="20"/>
        </w:rPr>
      </w:pPr>
      <w:r w:rsidRPr="00336B4D">
        <w:rPr>
          <w:color w:val="000000"/>
          <w:szCs w:val="20"/>
          <w:lang w:val="es-ES_tradnl"/>
        </w:rPr>
        <w:t xml:space="preserve">22. En el presente caso, según la información aportada por los peticionarios y confirmada por el Estado, se instruyeron dos investigaciones policiales para determinar los hechos ocurridos en la Favela Nova Brasilia: a) la investigación Nº 184/94, conducida por la Comisaría de Represión de Drogas, que se inició el 18 de octubre de 1994; b) la investigación Nº 52/94, conducida por la Comisaría Especial de Tortura y Abuso de Autoridad, aunque no se dispone de información sobre la fecha en que ésta fue iniciada. </w:t>
      </w:r>
    </w:p>
    <w:p w:rsidR="00D46EFC" w:rsidRDefault="00D46EFC" w:rsidP="00D46EFC">
      <w:pPr>
        <w:rPr>
          <w:color w:val="000000"/>
          <w:szCs w:val="20"/>
          <w:lang w:val="es-ES_tradnl"/>
        </w:rPr>
      </w:pPr>
    </w:p>
    <w:p w:rsidR="00D46EFC" w:rsidRPr="00336B4D" w:rsidRDefault="00D46EFC" w:rsidP="00D46EFC">
      <w:pPr>
        <w:rPr>
          <w:color w:val="000000"/>
          <w:szCs w:val="20"/>
        </w:rPr>
      </w:pPr>
      <w:r w:rsidRPr="00336B4D">
        <w:rPr>
          <w:color w:val="000000"/>
          <w:szCs w:val="20"/>
          <w:lang w:val="es-ES_tradnl"/>
        </w:rPr>
        <w:t xml:space="preserve">23. Conforme a la información disponible, la Comisión observa que la legislación brasileña determina que el plazo para la conclusión de la investigación policial es de treinta días, pudiéndose prorrogar este plazo por otros treinta días, mediante autorización judicial. Por su parte, la Comisión no ha recibido información que indique que las investigaciones han concluido, a pesar de haber transcurrido seis años. </w:t>
      </w:r>
    </w:p>
    <w:p w:rsidR="00D46EFC" w:rsidRDefault="00D46EFC" w:rsidP="00D46EFC">
      <w:pPr>
        <w:rPr>
          <w:color w:val="000000"/>
          <w:szCs w:val="20"/>
          <w:lang w:val="es-ES_tradnl"/>
        </w:rPr>
      </w:pPr>
    </w:p>
    <w:p w:rsidR="00D46EFC" w:rsidRPr="00336B4D" w:rsidRDefault="00D46EFC" w:rsidP="00D46EFC">
      <w:pPr>
        <w:rPr>
          <w:color w:val="000000"/>
          <w:szCs w:val="20"/>
        </w:rPr>
      </w:pPr>
      <w:r w:rsidRPr="00336B4D">
        <w:rPr>
          <w:color w:val="000000"/>
          <w:szCs w:val="20"/>
          <w:lang w:val="es-ES_tradnl"/>
        </w:rPr>
        <w:t>24. El Estado no cuestionó expresamente el cumplimiento del requisito de agotamiento de los recursos internos, limitándose a informar que se habían instruido dos indagatorias policiales para determinar las presuntas violaciones durante el operativo policial en la favela Nova Brasilia y que los procedimientos indagatorios contaban con la supervisión del Ministerio Público. La Comisión señala que el Estado tiene el deber de invocar de manera expresa y oportuna la regla del no agotamiento de los recursos de jurisdicción interna para que pueda oponerse a la admisibilidad de la denuncia. En el presente caso, el Estado no ejerció tal prerrogativa, revistiendo este silencio el carácter de una renuncia tácita.</w:t>
      </w:r>
      <w:r>
        <w:rPr>
          <w:rStyle w:val="FootnoteReference"/>
          <w:color w:val="000000"/>
          <w:szCs w:val="20"/>
          <w:lang w:val="es-ES_tradnl"/>
        </w:rPr>
        <w:footnoteReference w:id="1"/>
      </w:r>
    </w:p>
    <w:p w:rsidR="00D46EFC" w:rsidRDefault="00D46EFC" w:rsidP="00D46EFC">
      <w:pPr>
        <w:rPr>
          <w:color w:val="000000"/>
          <w:szCs w:val="20"/>
          <w:lang w:val="es-ES_tradnl"/>
        </w:rPr>
      </w:pPr>
    </w:p>
    <w:p w:rsidR="00D46EFC" w:rsidRPr="00336B4D" w:rsidRDefault="00D46EFC" w:rsidP="00D46EFC">
      <w:pPr>
        <w:rPr>
          <w:color w:val="000000"/>
          <w:szCs w:val="20"/>
        </w:rPr>
      </w:pPr>
      <w:r w:rsidRPr="00336B4D">
        <w:rPr>
          <w:color w:val="000000"/>
          <w:szCs w:val="20"/>
          <w:lang w:val="es-ES_tradnl"/>
        </w:rPr>
        <w:t xml:space="preserve">25. Sobre la base de lo que antecede, la Comisión observa que el transcurso de seis años desde el inicio de las investigaciones de 1994 sin que se hayan completado las indagatorias policiales implica una demora injustificada, de acuerdo con lo dispuesto en el artículo 46(2)(c) </w:t>
      </w:r>
      <w:r w:rsidRPr="00336B4D">
        <w:rPr>
          <w:color w:val="000000"/>
          <w:szCs w:val="20"/>
          <w:lang w:val="es-ES_tradnl"/>
        </w:rPr>
        <w:lastRenderedPageBreak/>
        <w:t xml:space="preserve">de la Convención. La demora en la conducción de las referidas investigaciones impide la consecución de la acción penal y la posibilidad de sancionar a los responsables. Por lo expuesto, la Comisión considera que está cumplido el requisito de agotamiento de los recursos internos. </w:t>
      </w:r>
    </w:p>
    <w:p w:rsidR="00D46EFC" w:rsidRDefault="00D46EFC" w:rsidP="00D46EFC">
      <w:pPr>
        <w:rPr>
          <w:b/>
          <w:bCs/>
          <w:color w:val="000000"/>
          <w:szCs w:val="20"/>
          <w:lang w:val="es-ES_tradnl"/>
        </w:rPr>
      </w:pPr>
    </w:p>
    <w:p w:rsidR="00D46EFC" w:rsidRPr="00336B4D" w:rsidRDefault="00D46EFC" w:rsidP="00D46EFC">
      <w:pPr>
        <w:rPr>
          <w:color w:val="000000"/>
          <w:szCs w:val="20"/>
        </w:rPr>
      </w:pPr>
      <w:r w:rsidRPr="00336B4D">
        <w:rPr>
          <w:b/>
          <w:bCs/>
          <w:color w:val="000000"/>
          <w:szCs w:val="20"/>
          <w:lang w:val="es-ES_tradnl"/>
        </w:rPr>
        <w:t xml:space="preserve">C. </w:t>
      </w:r>
      <w:r w:rsidRPr="00336B4D">
        <w:rPr>
          <w:b/>
          <w:bCs/>
          <w:color w:val="000000"/>
          <w:szCs w:val="20"/>
          <w:lang w:val="es-ES_tradnl"/>
        </w:rPr>
        <w:tab/>
        <w:t xml:space="preserve">Plazo de presentación de la petición </w:t>
      </w:r>
    </w:p>
    <w:p w:rsidR="00D46EFC" w:rsidRDefault="00D46EFC" w:rsidP="00D46EFC">
      <w:pPr>
        <w:rPr>
          <w:color w:val="000000"/>
          <w:szCs w:val="20"/>
        </w:rPr>
      </w:pPr>
    </w:p>
    <w:p w:rsidR="00D46EFC" w:rsidRPr="00336B4D" w:rsidRDefault="00D46EFC" w:rsidP="00D46EFC">
      <w:pPr>
        <w:rPr>
          <w:color w:val="000000"/>
          <w:szCs w:val="20"/>
        </w:rPr>
      </w:pPr>
      <w:r w:rsidRPr="00336B4D">
        <w:rPr>
          <w:color w:val="000000"/>
          <w:szCs w:val="20"/>
          <w:lang w:val="es-ES_tradnl"/>
        </w:rPr>
        <w:t xml:space="preserve">26. Ante el atraso injustificado en la conducción de los recursos internos y en la correspondiente aplicación del artículo 46(2)(c) de la Convención y del artículo 37(2)(c) del Reglamento, la Comisión considera que, de conformidad con el artículo 46(2) de la Convención, rige también la excepción del aludido requisito referente al plazo en que debe ser presentada la petición. La Comisión considera que la petición fue presentada dentro de un plazo razonable. </w:t>
      </w:r>
    </w:p>
    <w:p w:rsidR="00D46EFC" w:rsidRDefault="00D46EFC" w:rsidP="00D46EFC">
      <w:pPr>
        <w:rPr>
          <w:b/>
          <w:bCs/>
          <w:color w:val="000000"/>
          <w:szCs w:val="20"/>
          <w:lang w:val="es-ES_tradnl"/>
        </w:rPr>
      </w:pPr>
    </w:p>
    <w:p w:rsidR="00D46EFC" w:rsidRPr="00336B4D" w:rsidRDefault="00D46EFC" w:rsidP="00D46EFC">
      <w:pPr>
        <w:rPr>
          <w:color w:val="000000"/>
          <w:szCs w:val="20"/>
        </w:rPr>
      </w:pPr>
      <w:r w:rsidRPr="00336B4D">
        <w:rPr>
          <w:b/>
          <w:bCs/>
          <w:color w:val="000000"/>
          <w:szCs w:val="20"/>
          <w:lang w:val="es-ES_tradnl"/>
        </w:rPr>
        <w:t>D.</w:t>
      </w:r>
      <w:r w:rsidRPr="00336B4D">
        <w:rPr>
          <w:b/>
          <w:bCs/>
          <w:color w:val="000000"/>
          <w:szCs w:val="20"/>
          <w:lang w:val="es-ES_tradnl"/>
        </w:rPr>
        <w:tab/>
        <w:t xml:space="preserve"> Litigios pendientes o juzgados en otras instancias internacionales </w:t>
      </w:r>
    </w:p>
    <w:p w:rsidR="00D46EFC" w:rsidRDefault="00D46EFC" w:rsidP="00D46EFC">
      <w:pPr>
        <w:rPr>
          <w:color w:val="000000"/>
          <w:szCs w:val="20"/>
          <w:lang w:val="es-ES_tradnl"/>
        </w:rPr>
      </w:pPr>
    </w:p>
    <w:p w:rsidR="00D46EFC" w:rsidRPr="00336B4D" w:rsidRDefault="00D46EFC" w:rsidP="00D46EFC">
      <w:pPr>
        <w:rPr>
          <w:color w:val="000000"/>
          <w:szCs w:val="20"/>
        </w:rPr>
      </w:pPr>
      <w:r w:rsidRPr="00336B4D">
        <w:rPr>
          <w:color w:val="000000"/>
          <w:szCs w:val="20"/>
          <w:lang w:val="es-ES_tradnl"/>
        </w:rPr>
        <w:t xml:space="preserve">27. La Comisión no tiene conocimiento de que la materia de la petición se encuentre pendiente en otra instancia internacional ni de que la misma reproduzca una petición examinada por éste o por otro órgano internacional. Por lo tanto, la Comisión decide que se han satisfecho los requisitos de los artículos 46(1)(c) y 47(d). </w:t>
      </w:r>
    </w:p>
    <w:p w:rsidR="00D46EFC" w:rsidRDefault="00D46EFC" w:rsidP="00D46EFC">
      <w:pPr>
        <w:rPr>
          <w:b/>
          <w:bCs/>
          <w:color w:val="000000"/>
          <w:szCs w:val="20"/>
          <w:lang w:val="es-ES_tradnl"/>
        </w:rPr>
      </w:pPr>
    </w:p>
    <w:p w:rsidR="00D46EFC" w:rsidRPr="00336B4D" w:rsidRDefault="00D46EFC" w:rsidP="00D46EFC">
      <w:pPr>
        <w:rPr>
          <w:color w:val="000000"/>
          <w:szCs w:val="20"/>
        </w:rPr>
      </w:pPr>
      <w:r w:rsidRPr="00336B4D">
        <w:rPr>
          <w:b/>
          <w:bCs/>
          <w:color w:val="000000"/>
          <w:szCs w:val="20"/>
          <w:lang w:val="es-ES_tradnl"/>
        </w:rPr>
        <w:t xml:space="preserve">E. </w:t>
      </w:r>
      <w:r w:rsidRPr="00336B4D">
        <w:rPr>
          <w:b/>
          <w:bCs/>
          <w:color w:val="000000"/>
          <w:szCs w:val="20"/>
          <w:lang w:val="es-ES_tradnl"/>
        </w:rPr>
        <w:tab/>
        <w:t xml:space="preserve">Caracterización de los hechos </w:t>
      </w:r>
    </w:p>
    <w:p w:rsidR="00D46EFC" w:rsidRDefault="00D46EFC" w:rsidP="00D46EFC">
      <w:pPr>
        <w:rPr>
          <w:color w:val="000000"/>
          <w:szCs w:val="20"/>
          <w:lang w:val="es-ES_tradnl"/>
        </w:rPr>
      </w:pPr>
    </w:p>
    <w:p w:rsidR="00D46EFC" w:rsidRPr="00336B4D" w:rsidRDefault="00D46EFC" w:rsidP="00D46EFC">
      <w:pPr>
        <w:rPr>
          <w:color w:val="000000"/>
          <w:szCs w:val="20"/>
        </w:rPr>
      </w:pPr>
      <w:r w:rsidRPr="00336B4D">
        <w:rPr>
          <w:color w:val="000000"/>
          <w:szCs w:val="20"/>
          <w:lang w:val="es-ES_tradnl"/>
        </w:rPr>
        <w:t>28.</w:t>
      </w:r>
      <w:r w:rsidRPr="00336B4D">
        <w:rPr>
          <w:b/>
          <w:bCs/>
          <w:color w:val="000000"/>
          <w:szCs w:val="20"/>
          <w:lang w:val="es-ES_tradnl"/>
        </w:rPr>
        <w:t xml:space="preserve"> </w:t>
      </w:r>
      <w:r w:rsidRPr="00336B4D">
        <w:rPr>
          <w:color w:val="000000"/>
          <w:szCs w:val="20"/>
          <w:lang w:val="es-ES_tradnl"/>
        </w:rPr>
        <w:t xml:space="preserve">La Comisión considera que la exposición de los peticionarios se refiere a hechos que de ser ciertos podrían caracterizar violaciones de derechos humanos consagrados por la Convención Americana. </w:t>
      </w:r>
    </w:p>
    <w:p w:rsidR="00D46EFC" w:rsidRDefault="00D46EFC" w:rsidP="00D46EFC">
      <w:pPr>
        <w:rPr>
          <w:b/>
          <w:bCs/>
          <w:color w:val="000000"/>
          <w:szCs w:val="20"/>
          <w:lang w:val="es-ES_tradnl"/>
        </w:rPr>
      </w:pPr>
    </w:p>
    <w:p w:rsidR="00D46EFC" w:rsidRPr="00336B4D" w:rsidRDefault="00D46EFC" w:rsidP="00D46EFC">
      <w:pPr>
        <w:rPr>
          <w:color w:val="000000"/>
          <w:szCs w:val="20"/>
        </w:rPr>
      </w:pPr>
      <w:r w:rsidRPr="00336B4D">
        <w:rPr>
          <w:b/>
          <w:bCs/>
          <w:color w:val="000000"/>
          <w:szCs w:val="20"/>
          <w:lang w:val="es-ES_tradnl"/>
        </w:rPr>
        <w:t>V.</w:t>
      </w:r>
      <w:r w:rsidRPr="00336B4D">
        <w:rPr>
          <w:b/>
          <w:bCs/>
          <w:color w:val="000000"/>
          <w:szCs w:val="20"/>
          <w:lang w:val="es-ES_tradnl"/>
        </w:rPr>
        <w:tab/>
        <w:t>CONCLUSIONES</w:t>
      </w:r>
      <w:r w:rsidRPr="00336B4D">
        <w:rPr>
          <w:color w:val="000000"/>
          <w:szCs w:val="20"/>
          <w:lang w:val="es-ES_tradnl"/>
        </w:rPr>
        <w:t xml:space="preserve"> </w:t>
      </w:r>
    </w:p>
    <w:p w:rsidR="00D46EFC" w:rsidRDefault="00D46EFC" w:rsidP="00D46EFC">
      <w:pPr>
        <w:rPr>
          <w:color w:val="000000"/>
          <w:szCs w:val="20"/>
          <w:lang w:val="es-ES_tradnl"/>
        </w:rPr>
      </w:pPr>
    </w:p>
    <w:p w:rsidR="00D46EFC" w:rsidRPr="00336B4D" w:rsidRDefault="00D46EFC" w:rsidP="00D46EFC">
      <w:pPr>
        <w:rPr>
          <w:color w:val="000000"/>
          <w:szCs w:val="20"/>
        </w:rPr>
      </w:pPr>
      <w:r w:rsidRPr="00336B4D">
        <w:rPr>
          <w:color w:val="000000"/>
          <w:szCs w:val="20"/>
          <w:lang w:val="es-ES_tradnl"/>
        </w:rPr>
        <w:t xml:space="preserve">29. </w:t>
      </w:r>
      <w:r w:rsidRPr="00336B4D">
        <w:rPr>
          <w:color w:val="000000"/>
          <w:szCs w:val="20"/>
          <w:lang w:val="es-ES"/>
        </w:rPr>
        <w:t xml:space="preserve">La Comisión concluye que tiene competencia para conocer de este caso y que la petición es admisible, de conformidad con los artículos 46 y 47 de la Convención Americana. </w:t>
      </w:r>
    </w:p>
    <w:p w:rsidR="00D46EFC" w:rsidRDefault="00D46EFC" w:rsidP="00D46EFC">
      <w:pPr>
        <w:rPr>
          <w:color w:val="000000"/>
          <w:szCs w:val="20"/>
          <w:lang w:val="es-ES"/>
        </w:rPr>
      </w:pPr>
    </w:p>
    <w:p w:rsidR="00D46EFC" w:rsidRPr="00336B4D" w:rsidRDefault="00D46EFC" w:rsidP="00D46EFC">
      <w:pPr>
        <w:rPr>
          <w:color w:val="000000"/>
          <w:szCs w:val="20"/>
        </w:rPr>
      </w:pPr>
      <w:r w:rsidRPr="00336B4D">
        <w:rPr>
          <w:color w:val="000000"/>
          <w:szCs w:val="20"/>
          <w:lang w:val="es-ES"/>
        </w:rPr>
        <w:t>30. Con fundamento en los argumentos de hecho y de derecho antes expuestos, y sin prejuzgar sobre el fondo de la cuestión,</w:t>
      </w:r>
      <w:r w:rsidRPr="00336B4D">
        <w:rPr>
          <w:color w:val="000000"/>
          <w:szCs w:val="20"/>
          <w:lang w:val="es-ES_tradnl"/>
        </w:rPr>
        <w:t xml:space="preserve"> </w:t>
      </w:r>
    </w:p>
    <w:p w:rsidR="00D46EFC" w:rsidRDefault="00D46EFC" w:rsidP="00D46EFC">
      <w:pPr>
        <w:jc w:val="center"/>
        <w:rPr>
          <w:b/>
          <w:bCs/>
          <w:color w:val="000000"/>
          <w:szCs w:val="20"/>
          <w:lang w:val="es-ES_tradnl"/>
        </w:rPr>
      </w:pPr>
    </w:p>
    <w:p w:rsidR="007952CE" w:rsidRDefault="007952CE" w:rsidP="00D46EFC">
      <w:pPr>
        <w:jc w:val="center"/>
        <w:rPr>
          <w:b/>
          <w:bCs/>
          <w:color w:val="000000"/>
          <w:szCs w:val="20"/>
          <w:lang w:val="es-ES_tradnl"/>
        </w:rPr>
      </w:pPr>
    </w:p>
    <w:p w:rsidR="00D46EFC" w:rsidRPr="00336B4D" w:rsidRDefault="00D46EFC" w:rsidP="00D46EFC">
      <w:pPr>
        <w:jc w:val="center"/>
        <w:rPr>
          <w:color w:val="000000"/>
          <w:szCs w:val="20"/>
        </w:rPr>
      </w:pPr>
      <w:r w:rsidRPr="00336B4D">
        <w:rPr>
          <w:b/>
          <w:bCs/>
          <w:color w:val="000000"/>
          <w:szCs w:val="20"/>
          <w:lang w:val="es-ES_tradnl"/>
        </w:rPr>
        <w:t xml:space="preserve">LA COMISIÓN INTERAMERICANA DE DERECHOS HUMANOS, </w:t>
      </w:r>
    </w:p>
    <w:p w:rsidR="00D46EFC" w:rsidRDefault="00D46EFC" w:rsidP="00D46EFC">
      <w:pPr>
        <w:ind w:left="3540" w:firstLine="708"/>
        <w:rPr>
          <w:b/>
          <w:bCs/>
          <w:color w:val="000000"/>
          <w:szCs w:val="20"/>
          <w:lang w:val="es-ES_tradnl"/>
        </w:rPr>
      </w:pPr>
      <w:r w:rsidRPr="00336B4D">
        <w:rPr>
          <w:b/>
          <w:bCs/>
          <w:color w:val="000000"/>
          <w:szCs w:val="20"/>
          <w:lang w:val="es-ES_tradnl"/>
        </w:rPr>
        <w:t>DECIDE:</w:t>
      </w:r>
    </w:p>
    <w:p w:rsidR="00D46EFC" w:rsidRPr="00336B4D" w:rsidRDefault="00D46EFC" w:rsidP="00D46EFC">
      <w:pPr>
        <w:ind w:left="3540" w:firstLine="708"/>
        <w:rPr>
          <w:color w:val="000000"/>
          <w:szCs w:val="20"/>
        </w:rPr>
      </w:pPr>
    </w:p>
    <w:p w:rsidR="00D46EFC" w:rsidRPr="00336B4D" w:rsidRDefault="00D46EFC" w:rsidP="00D46EFC">
      <w:pPr>
        <w:rPr>
          <w:color w:val="000000"/>
          <w:szCs w:val="20"/>
        </w:rPr>
      </w:pPr>
      <w:r w:rsidRPr="00336B4D">
        <w:rPr>
          <w:color w:val="000000"/>
          <w:szCs w:val="20"/>
          <w:lang w:val="es-ES_tradnl"/>
        </w:rPr>
        <w:t xml:space="preserve">1. Declarar admisible el presente caso en tanto los hechos denunciados de ser verdaderos, podrían constituir violaciones a los artículos 4, 5, 11(1),12(2),12(3) y 25 de la Convención Americana. </w:t>
      </w:r>
    </w:p>
    <w:p w:rsidR="00D46EFC" w:rsidRDefault="00D46EFC" w:rsidP="00D46EFC">
      <w:pPr>
        <w:rPr>
          <w:color w:val="000000"/>
          <w:szCs w:val="20"/>
          <w:lang w:val="es-ES_tradnl"/>
        </w:rPr>
      </w:pPr>
    </w:p>
    <w:p w:rsidR="00D46EFC" w:rsidRDefault="00D46EFC" w:rsidP="00D46EFC">
      <w:pPr>
        <w:rPr>
          <w:color w:val="000000"/>
          <w:szCs w:val="20"/>
          <w:lang w:val="es-ES_tradnl"/>
        </w:rPr>
      </w:pPr>
      <w:r w:rsidRPr="00336B4D">
        <w:rPr>
          <w:color w:val="000000"/>
          <w:szCs w:val="20"/>
          <w:lang w:val="es-ES_tradnl"/>
        </w:rPr>
        <w:t>2. Notificar al Estado y a los peticionarios de esta decisión.</w:t>
      </w:r>
    </w:p>
    <w:p w:rsidR="00D46EFC" w:rsidRDefault="00D46EFC" w:rsidP="00D46EFC">
      <w:pPr>
        <w:rPr>
          <w:color w:val="000000"/>
          <w:szCs w:val="20"/>
          <w:lang w:val="es-ES_tradnl"/>
        </w:rPr>
      </w:pPr>
    </w:p>
    <w:p w:rsidR="00D46EFC" w:rsidRPr="00336B4D" w:rsidRDefault="00D46EFC" w:rsidP="00D46EFC">
      <w:pPr>
        <w:rPr>
          <w:color w:val="000000"/>
          <w:szCs w:val="20"/>
        </w:rPr>
      </w:pPr>
      <w:r w:rsidRPr="00336B4D">
        <w:rPr>
          <w:color w:val="000000"/>
          <w:szCs w:val="20"/>
          <w:lang w:val="es-ES_tradnl"/>
        </w:rPr>
        <w:t xml:space="preserve">3. Continuar el análisis de los méritos del caso. </w:t>
      </w:r>
    </w:p>
    <w:p w:rsidR="00D46EFC" w:rsidRDefault="00D46EFC" w:rsidP="00D46EFC">
      <w:pPr>
        <w:rPr>
          <w:color w:val="000000"/>
          <w:szCs w:val="20"/>
          <w:lang w:val="es-ES_tradnl"/>
        </w:rPr>
      </w:pPr>
    </w:p>
    <w:p w:rsidR="00D46EFC" w:rsidRPr="00336B4D" w:rsidRDefault="00D46EFC" w:rsidP="00D46EFC">
      <w:pPr>
        <w:rPr>
          <w:color w:val="000000"/>
          <w:szCs w:val="20"/>
        </w:rPr>
      </w:pPr>
      <w:r w:rsidRPr="00336B4D">
        <w:rPr>
          <w:color w:val="000000"/>
          <w:szCs w:val="20"/>
          <w:lang w:val="es-ES_tradnl"/>
        </w:rPr>
        <w:t xml:space="preserve">4. Publicar esta decisión e incluirla en el Informe Anual de la CIDH a la Asamblea General de la OEA. </w:t>
      </w:r>
    </w:p>
    <w:p w:rsidR="00D46EFC" w:rsidRDefault="00D46EFC" w:rsidP="00D46EFC">
      <w:pPr>
        <w:rPr>
          <w:color w:val="000000"/>
          <w:szCs w:val="20"/>
          <w:lang w:val="es-ES_tradnl"/>
        </w:rPr>
      </w:pPr>
    </w:p>
    <w:p w:rsidR="00D46EFC" w:rsidRDefault="00D46EFC" w:rsidP="00D46EFC">
      <w:pPr>
        <w:rPr>
          <w:color w:val="000000"/>
          <w:szCs w:val="20"/>
          <w:lang w:val="es-ES_tradnl"/>
        </w:rPr>
      </w:pPr>
      <w:r w:rsidRPr="00336B4D">
        <w:rPr>
          <w:color w:val="000000"/>
          <w:szCs w:val="20"/>
          <w:lang w:val="es-ES_tradnl"/>
        </w:rPr>
        <w:t>Dado y firmado en la sede de la Comisión Interamericana de Derechos Humanos, en la ciudad de Washington, D.C., a los 22 días del mes de febrero de 2001. (Firmado): Claudio Grossman, Presidente; Juan Méndez, Primer Vicepresidente; Marta Altolaguirre, Segunda Vicepresidenta; Comisionados, Robert K. Goldman, Peter Laurie y Julio Prado Vallejo.</w:t>
      </w:r>
    </w:p>
    <w:p w:rsidR="00D46EFC" w:rsidRDefault="00D46EFC" w:rsidP="00D46EFC">
      <w:pPr>
        <w:rPr>
          <w:color w:val="000000"/>
          <w:szCs w:val="20"/>
          <w:lang w:val="es-ES_tradnl"/>
        </w:rPr>
      </w:pPr>
    </w:p>
    <w:p w:rsidR="007952CE" w:rsidRPr="00336B4D" w:rsidRDefault="007952CE" w:rsidP="00D46EFC">
      <w:pPr>
        <w:rPr>
          <w:color w:val="000000"/>
          <w:szCs w:val="20"/>
        </w:rPr>
      </w:pPr>
    </w:p>
    <w:p w:rsidR="00D46EFC" w:rsidRPr="00D46EFC" w:rsidRDefault="003A7DB3" w:rsidP="00634C7A">
      <w:pPr>
        <w:rPr>
          <w:rFonts w:eastAsia="Times New Roman"/>
          <w:color w:val="000000"/>
          <w:szCs w:val="20"/>
          <w:lang w:eastAsia="es-AR"/>
        </w:rPr>
      </w:pPr>
      <w:hyperlink r:id="rId9" w:anchor="_ftnref1" w:history="1">
        <w:r w:rsidR="00D46EFC" w:rsidRPr="00336B4D">
          <w:rPr>
            <w:rFonts w:eastAsia="Times New Roman"/>
            <w:color w:val="008B8B"/>
            <w:szCs w:val="20"/>
            <w:lang w:val="es-ES_tradnl" w:eastAsia="es-AR"/>
          </w:rPr>
          <w:t>*</w:t>
        </w:r>
      </w:hyperlink>
      <w:r w:rsidR="00D46EFC" w:rsidRPr="00336B4D">
        <w:rPr>
          <w:rFonts w:eastAsia="Times New Roman"/>
          <w:color w:val="000000"/>
          <w:szCs w:val="20"/>
          <w:lang w:val="es-ES_tradnl" w:eastAsia="es-AR"/>
        </w:rPr>
        <w:t xml:space="preserve"> El miembro de la Comisión, Hélio Bicudo, de nacionalidad brasileña, no participó en el debate ni en la votación de este caso en cumplimiento del artículo 19(2)(a) del Reglamento de la Comisión.</w:t>
      </w:r>
    </w:p>
    <w:sectPr w:rsidR="00D46EFC" w:rsidRPr="00D46EFC" w:rsidSect="00662A67">
      <w:footerReference w:type="default" r:id="rId10"/>
      <w:pgSz w:w="11907" w:h="16839" w:code="9"/>
      <w:pgMar w:top="1134" w:right="1134" w:bottom="1134" w:left="1134" w:header="708"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7DB3" w:rsidRDefault="003A7DB3" w:rsidP="007B2999">
      <w:r>
        <w:separator/>
      </w:r>
    </w:p>
  </w:endnote>
  <w:endnote w:type="continuationSeparator" w:id="0">
    <w:p w:rsidR="003A7DB3" w:rsidRDefault="003A7DB3" w:rsidP="007B2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3DB4" w:rsidRDefault="00753DB4" w:rsidP="00E21BB2">
    <w:pPr>
      <w:pStyle w:val="Footer"/>
      <w:jc w:val="center"/>
    </w:pPr>
    <w:r>
      <w:fldChar w:fldCharType="begin"/>
    </w:r>
    <w:r>
      <w:instrText xml:space="preserve"> PAGE   \* MERGEFORMAT </w:instrText>
    </w:r>
    <w:r>
      <w:fldChar w:fldCharType="separate"/>
    </w:r>
    <w:r w:rsidR="0092063E">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7DB3" w:rsidRDefault="003A7DB3" w:rsidP="007B2999">
      <w:r>
        <w:separator/>
      </w:r>
    </w:p>
  </w:footnote>
  <w:footnote w:type="continuationSeparator" w:id="0">
    <w:p w:rsidR="003A7DB3" w:rsidRDefault="003A7DB3" w:rsidP="007B2999">
      <w:r>
        <w:continuationSeparator/>
      </w:r>
    </w:p>
  </w:footnote>
  <w:footnote w:id="1">
    <w:p w:rsidR="00D46EFC" w:rsidRPr="00D46EFC" w:rsidRDefault="00D46EFC" w:rsidP="00D46EFC">
      <w:pPr>
        <w:pStyle w:val="FootnoteText"/>
        <w:spacing w:before="0" w:beforeAutospacing="0" w:after="0" w:afterAutospacing="0"/>
        <w:jc w:val="both"/>
        <w:rPr>
          <w:lang w:val="es-AR"/>
        </w:rPr>
      </w:pPr>
      <w:r>
        <w:rPr>
          <w:rStyle w:val="FootnoteReference"/>
        </w:rPr>
        <w:footnoteRef/>
      </w:r>
      <w:r>
        <w:t xml:space="preserve"> </w:t>
      </w:r>
      <w:r w:rsidRPr="00D46EFC">
        <w:rPr>
          <w:rFonts w:ascii="Verdana" w:hAnsi="Verdana"/>
          <w:color w:val="000000"/>
          <w:sz w:val="16"/>
          <w:szCs w:val="16"/>
          <w:lang w:val="es-ES_tradnl"/>
        </w:rPr>
        <w:t>Corte I.D.H., Caso Velásquez Rodríguez, Excepciones Preliminares, Sentencia de 26 de junio de 1987, Serie C Nº 1, pár. 88 y Corte I.D.H., Caso Loayza Tamayo, Excepciones Preliminares, Sentencia de 31 de enero de 1996, Serie C Nº 25, pár. 40.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74558"/>
    <w:multiLevelType w:val="hybridMultilevel"/>
    <w:tmpl w:val="3102A0AE"/>
    <w:lvl w:ilvl="0" w:tplc="FE1400F6">
      <w:start w:val="27"/>
      <w:numFmt w:val="decimal"/>
      <w:lvlText w:val="%1"/>
      <w:lvlJc w:val="left"/>
      <w:pPr>
        <w:ind w:left="1440" w:hanging="360"/>
      </w:pPr>
      <w:rPr>
        <w:rFonts w:hint="default"/>
        <w:sz w:val="20"/>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
    <w:nsid w:val="1BD20D82"/>
    <w:multiLevelType w:val="hybridMultilevel"/>
    <w:tmpl w:val="044ACF98"/>
    <w:lvl w:ilvl="0" w:tplc="2C0A0015">
      <w:start w:val="1"/>
      <w:numFmt w:val="upperLetter"/>
      <w:lvlText w:val="%1."/>
      <w:lvlJc w:val="left"/>
      <w:pPr>
        <w:ind w:left="720" w:hanging="360"/>
      </w:pPr>
      <w:rPr>
        <w:rFonts w:hint="default"/>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1ECB1AA7"/>
    <w:multiLevelType w:val="hybridMultilevel"/>
    <w:tmpl w:val="C45A578A"/>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207904F7"/>
    <w:multiLevelType w:val="hybridMultilevel"/>
    <w:tmpl w:val="5F1C1E04"/>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244E0C32"/>
    <w:multiLevelType w:val="hybridMultilevel"/>
    <w:tmpl w:val="33FA7058"/>
    <w:lvl w:ilvl="0" w:tplc="51B6176E">
      <w:start w:val="27"/>
      <w:numFmt w:val="decimal"/>
      <w:lvlText w:val="%1"/>
      <w:lvlJc w:val="left"/>
      <w:pPr>
        <w:ind w:left="1080" w:hanging="360"/>
      </w:pPr>
      <w:rPr>
        <w:rFonts w:hint="default"/>
        <w:sz w:val="20"/>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5">
    <w:nsid w:val="259A4B1B"/>
    <w:multiLevelType w:val="hybridMultilevel"/>
    <w:tmpl w:val="4AF27E94"/>
    <w:lvl w:ilvl="0" w:tplc="9D3A60F6">
      <w:start w:val="1"/>
      <w:numFmt w:val="upperRoman"/>
      <w:lvlText w:val="%1."/>
      <w:lvlJc w:val="left"/>
      <w:pPr>
        <w:ind w:left="1440" w:hanging="720"/>
      </w:pPr>
      <w:rPr>
        <w:rFonts w:ascii="Verdana" w:hAnsi="Verdana" w:hint="default"/>
        <w:sz w:val="20"/>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6">
    <w:nsid w:val="29015559"/>
    <w:multiLevelType w:val="hybridMultilevel"/>
    <w:tmpl w:val="39F6144E"/>
    <w:lvl w:ilvl="0" w:tplc="1CB822B8">
      <w:start w:val="1"/>
      <w:numFmt w:val="upperLetter"/>
      <w:lvlText w:val="%1."/>
      <w:lvlJc w:val="left"/>
      <w:pPr>
        <w:ind w:left="1065" w:hanging="70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29F55715"/>
    <w:multiLevelType w:val="hybridMultilevel"/>
    <w:tmpl w:val="76D89806"/>
    <w:lvl w:ilvl="0" w:tplc="6EB8E944">
      <w:start w:val="2"/>
      <w:numFmt w:val="upperRoman"/>
      <w:lvlText w:val="%1."/>
      <w:lvlJc w:val="left"/>
      <w:pPr>
        <w:ind w:left="1080" w:hanging="720"/>
      </w:pPr>
      <w:rPr>
        <w:rFonts w:ascii="Verdana" w:hAnsi="Verdana" w:hint="default"/>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nsid w:val="31B80BF5"/>
    <w:multiLevelType w:val="hybridMultilevel"/>
    <w:tmpl w:val="B6C2E9B8"/>
    <w:lvl w:ilvl="0" w:tplc="F56024E4">
      <w:start w:val="1"/>
      <w:numFmt w:val="upperLetter"/>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355C492C"/>
    <w:multiLevelType w:val="hybridMultilevel"/>
    <w:tmpl w:val="5F60727C"/>
    <w:lvl w:ilvl="0" w:tplc="3A0C30EE">
      <w:start w:val="1"/>
      <w:numFmt w:val="upperRoman"/>
      <w:lvlText w:val="%1."/>
      <w:lvlJc w:val="left"/>
      <w:pPr>
        <w:ind w:left="1440" w:hanging="720"/>
      </w:pPr>
      <w:rPr>
        <w:rFonts w:ascii="Verdana" w:hAnsi="Verdana" w:hint="default"/>
        <w:sz w:val="20"/>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0">
    <w:nsid w:val="3A713669"/>
    <w:multiLevelType w:val="hybridMultilevel"/>
    <w:tmpl w:val="7ED41F3A"/>
    <w:lvl w:ilvl="0" w:tplc="0DF84D0E">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nsid w:val="3AF32D0F"/>
    <w:multiLevelType w:val="hybridMultilevel"/>
    <w:tmpl w:val="E6B66214"/>
    <w:lvl w:ilvl="0" w:tplc="76869094">
      <w:start w:val="1"/>
      <w:numFmt w:val="upperRoman"/>
      <w:lvlText w:val="%1."/>
      <w:lvlJc w:val="left"/>
      <w:pPr>
        <w:ind w:left="1080" w:hanging="720"/>
      </w:pPr>
      <w:rPr>
        <w:rFonts w:hint="default"/>
        <w:b/>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437D59AD"/>
    <w:multiLevelType w:val="hybridMultilevel"/>
    <w:tmpl w:val="69123ABE"/>
    <w:lvl w:ilvl="0" w:tplc="A46EAA86">
      <w:start w:val="27"/>
      <w:numFmt w:val="decimal"/>
      <w:lvlText w:val="%1"/>
      <w:lvlJc w:val="left"/>
      <w:pPr>
        <w:ind w:left="720" w:hanging="360"/>
      </w:pPr>
      <w:rPr>
        <w:rFonts w:hint="default"/>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nsid w:val="491C0BD1"/>
    <w:multiLevelType w:val="hybridMultilevel"/>
    <w:tmpl w:val="495E2472"/>
    <w:lvl w:ilvl="0" w:tplc="8F623396">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4D225BB7"/>
    <w:multiLevelType w:val="hybridMultilevel"/>
    <w:tmpl w:val="F45AD5D0"/>
    <w:lvl w:ilvl="0" w:tplc="DAC8B3D8">
      <w:start w:val="27"/>
      <w:numFmt w:val="decimal"/>
      <w:lvlText w:val="%1"/>
      <w:lvlJc w:val="left"/>
      <w:pPr>
        <w:ind w:left="720" w:hanging="360"/>
      </w:pPr>
      <w:rPr>
        <w:rFonts w:hint="default"/>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nsid w:val="593058C3"/>
    <w:multiLevelType w:val="hybridMultilevel"/>
    <w:tmpl w:val="8F8ED102"/>
    <w:lvl w:ilvl="0" w:tplc="C31805FA">
      <w:start w:val="1"/>
      <w:numFmt w:val="upperLetter"/>
      <w:lvlText w:val="%1."/>
      <w:lvlJc w:val="left"/>
      <w:pPr>
        <w:ind w:left="1080" w:hanging="360"/>
      </w:pPr>
      <w:rPr>
        <w:rFonts w:ascii="Verdana" w:hAnsi="Verdana" w:hint="default"/>
        <w:i w:val="0"/>
        <w:sz w:val="20"/>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6">
    <w:nsid w:val="6A953554"/>
    <w:multiLevelType w:val="hybridMultilevel"/>
    <w:tmpl w:val="02DACE56"/>
    <w:lvl w:ilvl="0" w:tplc="0C7419C6">
      <w:start w:val="1"/>
      <w:numFmt w:val="upperRoman"/>
      <w:lvlText w:val="%1."/>
      <w:lvlJc w:val="left"/>
      <w:pPr>
        <w:ind w:left="1080" w:hanging="72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nsid w:val="6EB5659B"/>
    <w:multiLevelType w:val="hybridMultilevel"/>
    <w:tmpl w:val="7124D24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nsid w:val="7216778B"/>
    <w:multiLevelType w:val="hybridMultilevel"/>
    <w:tmpl w:val="198C9682"/>
    <w:lvl w:ilvl="0" w:tplc="E7D6BFF2">
      <w:start w:val="1"/>
      <w:numFmt w:val="decimal"/>
      <w:lvlText w:val="%1."/>
      <w:lvlJc w:val="left"/>
      <w:pPr>
        <w:ind w:left="1065" w:hanging="70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nsid w:val="78B757A5"/>
    <w:multiLevelType w:val="hybridMultilevel"/>
    <w:tmpl w:val="5B10D562"/>
    <w:lvl w:ilvl="0" w:tplc="1C624020">
      <w:start w:val="27"/>
      <w:numFmt w:val="decimal"/>
      <w:lvlText w:val="%1"/>
      <w:lvlJc w:val="left"/>
      <w:pPr>
        <w:ind w:left="1080" w:hanging="360"/>
      </w:pPr>
      <w:rPr>
        <w:rFonts w:hint="default"/>
        <w:sz w:val="20"/>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num w:numId="1">
    <w:abstractNumId w:val="10"/>
  </w:num>
  <w:num w:numId="2">
    <w:abstractNumId w:val="16"/>
  </w:num>
  <w:num w:numId="3">
    <w:abstractNumId w:val="3"/>
  </w:num>
  <w:num w:numId="4">
    <w:abstractNumId w:val="17"/>
  </w:num>
  <w:num w:numId="5">
    <w:abstractNumId w:val="6"/>
  </w:num>
  <w:num w:numId="6">
    <w:abstractNumId w:val="2"/>
  </w:num>
  <w:num w:numId="7">
    <w:abstractNumId w:val="18"/>
  </w:num>
  <w:num w:numId="8">
    <w:abstractNumId w:val="13"/>
  </w:num>
  <w:num w:numId="9">
    <w:abstractNumId w:val="1"/>
  </w:num>
  <w:num w:numId="10">
    <w:abstractNumId w:val="8"/>
  </w:num>
  <w:num w:numId="11">
    <w:abstractNumId w:val="9"/>
  </w:num>
  <w:num w:numId="12">
    <w:abstractNumId w:val="15"/>
  </w:num>
  <w:num w:numId="13">
    <w:abstractNumId w:val="5"/>
  </w:num>
  <w:num w:numId="14">
    <w:abstractNumId w:val="12"/>
  </w:num>
  <w:num w:numId="15">
    <w:abstractNumId w:val="19"/>
  </w:num>
  <w:num w:numId="16">
    <w:abstractNumId w:val="0"/>
  </w:num>
  <w:num w:numId="17">
    <w:abstractNumId w:val="14"/>
  </w:num>
  <w:num w:numId="18">
    <w:abstractNumId w:val="4"/>
  </w:num>
  <w:num w:numId="19">
    <w:abstractNumId w:val="7"/>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AR" w:vendorID="64" w:dllVersion="131078" w:nlCheck="1" w:checkStyle="1"/>
  <w:activeWritingStyle w:appName="MSWord" w:lang="es-ES_tradnl" w:vendorID="64" w:dllVersion="131078" w:nlCheck="1" w:checkStyle="1"/>
  <w:activeWritingStyle w:appName="MSWord" w:lang="es-CL" w:vendorID="64" w:dllVersion="131078" w:nlCheck="1" w:checkStyle="1"/>
  <w:activeWritingStyle w:appName="MSWord" w:lang="es-EC" w:vendorID="64" w:dllVersion="131078" w:nlCheck="1" w:checkStyle="1"/>
  <w:activeWritingStyle w:appName="MSWord" w:lang="es-UY" w:vendorID="64" w:dllVersion="131078" w:nlCheck="1" w:checkStyle="1"/>
  <w:activeWritingStyle w:appName="MSWord" w:lang="es-VE" w:vendorID="64" w:dllVersion="131078" w:nlCheck="1" w:checkStyle="1"/>
  <w:activeWritingStyle w:appName="MSWord" w:lang="es-PE" w:vendorID="64" w:dllVersion="131078" w:nlCheck="1" w:checkStyle="1"/>
  <w:activeWritingStyle w:appName="MSWord" w:lang="es-MX" w:vendorID="64" w:dllVersion="131078" w:nlCheck="1" w:checkStyle="1"/>
  <w:activeWritingStyle w:appName="MSWord" w:lang="es-PY" w:vendorID="64" w:dllVersion="131078" w:nlCheck="1" w:checkStyle="1"/>
  <w:activeWritingStyle w:appName="MSWord" w:lang="es-CO" w:vendorID="64" w:dllVersion="131078" w:nlCheck="1" w:checkStyle="1"/>
  <w:activeWritingStyle w:appName="MSWord" w:lang="en-US" w:vendorID="64" w:dllVersion="131078" w:nlCheck="1" w:checkStyle="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D8D"/>
    <w:rsid w:val="00000B5D"/>
    <w:rsid w:val="00001240"/>
    <w:rsid w:val="00001862"/>
    <w:rsid w:val="00002F8F"/>
    <w:rsid w:val="00002FD8"/>
    <w:rsid w:val="0000328A"/>
    <w:rsid w:val="00003383"/>
    <w:rsid w:val="000041CB"/>
    <w:rsid w:val="00004788"/>
    <w:rsid w:val="000049C0"/>
    <w:rsid w:val="00004DC4"/>
    <w:rsid w:val="00004EC8"/>
    <w:rsid w:val="00004FB8"/>
    <w:rsid w:val="0000557B"/>
    <w:rsid w:val="000057E2"/>
    <w:rsid w:val="00006795"/>
    <w:rsid w:val="00006E32"/>
    <w:rsid w:val="00007431"/>
    <w:rsid w:val="0000751C"/>
    <w:rsid w:val="000075EB"/>
    <w:rsid w:val="00007705"/>
    <w:rsid w:val="00007CA9"/>
    <w:rsid w:val="00007CB6"/>
    <w:rsid w:val="0001091E"/>
    <w:rsid w:val="0001103F"/>
    <w:rsid w:val="00011559"/>
    <w:rsid w:val="000115EA"/>
    <w:rsid w:val="00011824"/>
    <w:rsid w:val="00013031"/>
    <w:rsid w:val="000133E4"/>
    <w:rsid w:val="00013635"/>
    <w:rsid w:val="00013834"/>
    <w:rsid w:val="00014272"/>
    <w:rsid w:val="00014434"/>
    <w:rsid w:val="000144BC"/>
    <w:rsid w:val="0001461D"/>
    <w:rsid w:val="00014F21"/>
    <w:rsid w:val="000153D2"/>
    <w:rsid w:val="00015934"/>
    <w:rsid w:val="00016031"/>
    <w:rsid w:val="00016220"/>
    <w:rsid w:val="0001670C"/>
    <w:rsid w:val="00016C8B"/>
    <w:rsid w:val="0002009F"/>
    <w:rsid w:val="000207A9"/>
    <w:rsid w:val="000209C9"/>
    <w:rsid w:val="00020AE6"/>
    <w:rsid w:val="00021236"/>
    <w:rsid w:val="00021425"/>
    <w:rsid w:val="00022054"/>
    <w:rsid w:val="0002339E"/>
    <w:rsid w:val="00023829"/>
    <w:rsid w:val="00023904"/>
    <w:rsid w:val="00024344"/>
    <w:rsid w:val="000244BC"/>
    <w:rsid w:val="000244D6"/>
    <w:rsid w:val="00024F7C"/>
    <w:rsid w:val="00025302"/>
    <w:rsid w:val="00025826"/>
    <w:rsid w:val="0002585F"/>
    <w:rsid w:val="00025AC6"/>
    <w:rsid w:val="0002613E"/>
    <w:rsid w:val="00027055"/>
    <w:rsid w:val="00030B45"/>
    <w:rsid w:val="0003180E"/>
    <w:rsid w:val="00031C94"/>
    <w:rsid w:val="00031F37"/>
    <w:rsid w:val="00033510"/>
    <w:rsid w:val="00033B4F"/>
    <w:rsid w:val="000345E4"/>
    <w:rsid w:val="00034CBA"/>
    <w:rsid w:val="00034D08"/>
    <w:rsid w:val="000356D0"/>
    <w:rsid w:val="00035BBE"/>
    <w:rsid w:val="00035EBC"/>
    <w:rsid w:val="0003612A"/>
    <w:rsid w:val="0003632F"/>
    <w:rsid w:val="0003633E"/>
    <w:rsid w:val="00037E4D"/>
    <w:rsid w:val="00037E4E"/>
    <w:rsid w:val="00040272"/>
    <w:rsid w:val="00040FAC"/>
    <w:rsid w:val="0004134C"/>
    <w:rsid w:val="00041DBE"/>
    <w:rsid w:val="00043521"/>
    <w:rsid w:val="0004380A"/>
    <w:rsid w:val="00043D24"/>
    <w:rsid w:val="00045639"/>
    <w:rsid w:val="00045891"/>
    <w:rsid w:val="00045985"/>
    <w:rsid w:val="00045A29"/>
    <w:rsid w:val="00046AB5"/>
    <w:rsid w:val="00046B14"/>
    <w:rsid w:val="000477E8"/>
    <w:rsid w:val="0004793B"/>
    <w:rsid w:val="00047975"/>
    <w:rsid w:val="00047F42"/>
    <w:rsid w:val="000506DC"/>
    <w:rsid w:val="00050D64"/>
    <w:rsid w:val="00051997"/>
    <w:rsid w:val="00051EB0"/>
    <w:rsid w:val="00052C31"/>
    <w:rsid w:val="00052EDC"/>
    <w:rsid w:val="00053AE8"/>
    <w:rsid w:val="00053C58"/>
    <w:rsid w:val="00054E26"/>
    <w:rsid w:val="00054E3E"/>
    <w:rsid w:val="000553F9"/>
    <w:rsid w:val="00055715"/>
    <w:rsid w:val="00055D3E"/>
    <w:rsid w:val="00055DD5"/>
    <w:rsid w:val="000566B4"/>
    <w:rsid w:val="000568E4"/>
    <w:rsid w:val="00056C86"/>
    <w:rsid w:val="00056CE9"/>
    <w:rsid w:val="00056FC6"/>
    <w:rsid w:val="000578BD"/>
    <w:rsid w:val="00057CFB"/>
    <w:rsid w:val="00060A53"/>
    <w:rsid w:val="00060F20"/>
    <w:rsid w:val="00061346"/>
    <w:rsid w:val="000617C1"/>
    <w:rsid w:val="00061E80"/>
    <w:rsid w:val="00062AC8"/>
    <w:rsid w:val="00062BDB"/>
    <w:rsid w:val="00063B24"/>
    <w:rsid w:val="00063E10"/>
    <w:rsid w:val="000647B4"/>
    <w:rsid w:val="00065875"/>
    <w:rsid w:val="00065DEA"/>
    <w:rsid w:val="0006679C"/>
    <w:rsid w:val="000673F7"/>
    <w:rsid w:val="0007049B"/>
    <w:rsid w:val="00070A78"/>
    <w:rsid w:val="00070BF4"/>
    <w:rsid w:val="00070CD6"/>
    <w:rsid w:val="000721A7"/>
    <w:rsid w:val="000721AC"/>
    <w:rsid w:val="000725CC"/>
    <w:rsid w:val="00072F87"/>
    <w:rsid w:val="00072FC5"/>
    <w:rsid w:val="000733ED"/>
    <w:rsid w:val="00073BE3"/>
    <w:rsid w:val="000753A0"/>
    <w:rsid w:val="00077363"/>
    <w:rsid w:val="0007742E"/>
    <w:rsid w:val="000775AA"/>
    <w:rsid w:val="000776AA"/>
    <w:rsid w:val="000778A8"/>
    <w:rsid w:val="000778F3"/>
    <w:rsid w:val="00080394"/>
    <w:rsid w:val="00080611"/>
    <w:rsid w:val="0008085F"/>
    <w:rsid w:val="00080903"/>
    <w:rsid w:val="00080E01"/>
    <w:rsid w:val="0008256C"/>
    <w:rsid w:val="000825DB"/>
    <w:rsid w:val="00082681"/>
    <w:rsid w:val="00082B5B"/>
    <w:rsid w:val="00082C24"/>
    <w:rsid w:val="0008380D"/>
    <w:rsid w:val="00083D47"/>
    <w:rsid w:val="00084088"/>
    <w:rsid w:val="000846AD"/>
    <w:rsid w:val="000853DE"/>
    <w:rsid w:val="00085420"/>
    <w:rsid w:val="00086167"/>
    <w:rsid w:val="00086827"/>
    <w:rsid w:val="00087173"/>
    <w:rsid w:val="00087206"/>
    <w:rsid w:val="00087AA8"/>
    <w:rsid w:val="00090012"/>
    <w:rsid w:val="00090086"/>
    <w:rsid w:val="000905E6"/>
    <w:rsid w:val="000911CC"/>
    <w:rsid w:val="000917D6"/>
    <w:rsid w:val="00091D25"/>
    <w:rsid w:val="00091D5F"/>
    <w:rsid w:val="000925A3"/>
    <w:rsid w:val="00093086"/>
    <w:rsid w:val="0009311D"/>
    <w:rsid w:val="00093C14"/>
    <w:rsid w:val="000941B3"/>
    <w:rsid w:val="0009438A"/>
    <w:rsid w:val="00094D23"/>
    <w:rsid w:val="00095D29"/>
    <w:rsid w:val="00096BB3"/>
    <w:rsid w:val="00097580"/>
    <w:rsid w:val="0009760E"/>
    <w:rsid w:val="00097688"/>
    <w:rsid w:val="0009778F"/>
    <w:rsid w:val="000A03CF"/>
    <w:rsid w:val="000A04F6"/>
    <w:rsid w:val="000A0E8F"/>
    <w:rsid w:val="000A11F1"/>
    <w:rsid w:val="000A1431"/>
    <w:rsid w:val="000A194E"/>
    <w:rsid w:val="000A1F21"/>
    <w:rsid w:val="000A27F3"/>
    <w:rsid w:val="000A2847"/>
    <w:rsid w:val="000A3FD8"/>
    <w:rsid w:val="000A43CC"/>
    <w:rsid w:val="000A440B"/>
    <w:rsid w:val="000A4BA7"/>
    <w:rsid w:val="000A5339"/>
    <w:rsid w:val="000A584C"/>
    <w:rsid w:val="000A5C20"/>
    <w:rsid w:val="000A5D57"/>
    <w:rsid w:val="000A5E61"/>
    <w:rsid w:val="000A6F85"/>
    <w:rsid w:val="000A71BA"/>
    <w:rsid w:val="000A76FC"/>
    <w:rsid w:val="000A7BB4"/>
    <w:rsid w:val="000A7BC6"/>
    <w:rsid w:val="000A7CEC"/>
    <w:rsid w:val="000A7E93"/>
    <w:rsid w:val="000A7F54"/>
    <w:rsid w:val="000B0058"/>
    <w:rsid w:val="000B03DB"/>
    <w:rsid w:val="000B16E5"/>
    <w:rsid w:val="000B1752"/>
    <w:rsid w:val="000B17CE"/>
    <w:rsid w:val="000B1EC7"/>
    <w:rsid w:val="000B25B5"/>
    <w:rsid w:val="000B435A"/>
    <w:rsid w:val="000B53D3"/>
    <w:rsid w:val="000B5AE7"/>
    <w:rsid w:val="000B6209"/>
    <w:rsid w:val="000B63D6"/>
    <w:rsid w:val="000B68C9"/>
    <w:rsid w:val="000B7B19"/>
    <w:rsid w:val="000C049F"/>
    <w:rsid w:val="000C0FEF"/>
    <w:rsid w:val="000C14A5"/>
    <w:rsid w:val="000C214E"/>
    <w:rsid w:val="000C283D"/>
    <w:rsid w:val="000C2A63"/>
    <w:rsid w:val="000C380D"/>
    <w:rsid w:val="000C38F6"/>
    <w:rsid w:val="000C3A3D"/>
    <w:rsid w:val="000C4048"/>
    <w:rsid w:val="000C4DF4"/>
    <w:rsid w:val="000C51F8"/>
    <w:rsid w:val="000C5F1F"/>
    <w:rsid w:val="000C6122"/>
    <w:rsid w:val="000C70AC"/>
    <w:rsid w:val="000D1A00"/>
    <w:rsid w:val="000D1DD3"/>
    <w:rsid w:val="000D3166"/>
    <w:rsid w:val="000D36DF"/>
    <w:rsid w:val="000D3A27"/>
    <w:rsid w:val="000D4C71"/>
    <w:rsid w:val="000D578D"/>
    <w:rsid w:val="000D5A00"/>
    <w:rsid w:val="000E09A5"/>
    <w:rsid w:val="000E16A1"/>
    <w:rsid w:val="000E2A08"/>
    <w:rsid w:val="000E389D"/>
    <w:rsid w:val="000E3EFB"/>
    <w:rsid w:val="000E4B10"/>
    <w:rsid w:val="000E5054"/>
    <w:rsid w:val="000E50BE"/>
    <w:rsid w:val="000E5166"/>
    <w:rsid w:val="000E51A7"/>
    <w:rsid w:val="000E5D47"/>
    <w:rsid w:val="000E6CF7"/>
    <w:rsid w:val="000E782E"/>
    <w:rsid w:val="000E7BF1"/>
    <w:rsid w:val="000F03FD"/>
    <w:rsid w:val="000F0450"/>
    <w:rsid w:val="000F0757"/>
    <w:rsid w:val="000F089B"/>
    <w:rsid w:val="000F09EB"/>
    <w:rsid w:val="000F108E"/>
    <w:rsid w:val="000F1B8D"/>
    <w:rsid w:val="000F1F0A"/>
    <w:rsid w:val="000F1FC6"/>
    <w:rsid w:val="000F2604"/>
    <w:rsid w:val="000F27CF"/>
    <w:rsid w:val="000F3453"/>
    <w:rsid w:val="000F3879"/>
    <w:rsid w:val="000F3928"/>
    <w:rsid w:val="000F3D22"/>
    <w:rsid w:val="000F461B"/>
    <w:rsid w:val="000F49E5"/>
    <w:rsid w:val="000F4A8F"/>
    <w:rsid w:val="000F52E5"/>
    <w:rsid w:val="000F5769"/>
    <w:rsid w:val="000F5D49"/>
    <w:rsid w:val="000F5DA0"/>
    <w:rsid w:val="000F6561"/>
    <w:rsid w:val="000F66EF"/>
    <w:rsid w:val="000F710D"/>
    <w:rsid w:val="000F7685"/>
    <w:rsid w:val="000F7BFB"/>
    <w:rsid w:val="000F7CC1"/>
    <w:rsid w:val="00100ACC"/>
    <w:rsid w:val="0010129C"/>
    <w:rsid w:val="00101566"/>
    <w:rsid w:val="00102038"/>
    <w:rsid w:val="00102EB9"/>
    <w:rsid w:val="00102F94"/>
    <w:rsid w:val="0010328D"/>
    <w:rsid w:val="00103323"/>
    <w:rsid w:val="00103EC2"/>
    <w:rsid w:val="001049E2"/>
    <w:rsid w:val="0010503E"/>
    <w:rsid w:val="001055B6"/>
    <w:rsid w:val="0010623D"/>
    <w:rsid w:val="00106FD6"/>
    <w:rsid w:val="00107148"/>
    <w:rsid w:val="001078C6"/>
    <w:rsid w:val="00110E69"/>
    <w:rsid w:val="00111E40"/>
    <w:rsid w:val="00112A19"/>
    <w:rsid w:val="00113DCC"/>
    <w:rsid w:val="00114961"/>
    <w:rsid w:val="001150CC"/>
    <w:rsid w:val="001154A8"/>
    <w:rsid w:val="001155EB"/>
    <w:rsid w:val="001156C4"/>
    <w:rsid w:val="001158AB"/>
    <w:rsid w:val="00116AFE"/>
    <w:rsid w:val="00116E2A"/>
    <w:rsid w:val="00120187"/>
    <w:rsid w:val="00120332"/>
    <w:rsid w:val="00120379"/>
    <w:rsid w:val="00120721"/>
    <w:rsid w:val="001213B5"/>
    <w:rsid w:val="00122260"/>
    <w:rsid w:val="00122403"/>
    <w:rsid w:val="00122A55"/>
    <w:rsid w:val="00122E17"/>
    <w:rsid w:val="00123498"/>
    <w:rsid w:val="00123CF9"/>
    <w:rsid w:val="00123F63"/>
    <w:rsid w:val="001240AA"/>
    <w:rsid w:val="001245F0"/>
    <w:rsid w:val="00125F69"/>
    <w:rsid w:val="00126395"/>
    <w:rsid w:val="001274D1"/>
    <w:rsid w:val="00127776"/>
    <w:rsid w:val="00131911"/>
    <w:rsid w:val="00132140"/>
    <w:rsid w:val="001321E3"/>
    <w:rsid w:val="001324AE"/>
    <w:rsid w:val="00132999"/>
    <w:rsid w:val="00132E81"/>
    <w:rsid w:val="00133318"/>
    <w:rsid w:val="00133EED"/>
    <w:rsid w:val="00135358"/>
    <w:rsid w:val="0013653F"/>
    <w:rsid w:val="00136CDA"/>
    <w:rsid w:val="0013724B"/>
    <w:rsid w:val="0013730D"/>
    <w:rsid w:val="0013755E"/>
    <w:rsid w:val="001377C6"/>
    <w:rsid w:val="00137888"/>
    <w:rsid w:val="0014095D"/>
    <w:rsid w:val="0014099E"/>
    <w:rsid w:val="00140CFC"/>
    <w:rsid w:val="0014122B"/>
    <w:rsid w:val="00141974"/>
    <w:rsid w:val="001428B9"/>
    <w:rsid w:val="00142F8A"/>
    <w:rsid w:val="00144314"/>
    <w:rsid w:val="00144710"/>
    <w:rsid w:val="00144939"/>
    <w:rsid w:val="00144E92"/>
    <w:rsid w:val="00144EBD"/>
    <w:rsid w:val="0014504E"/>
    <w:rsid w:val="00145093"/>
    <w:rsid w:val="00145890"/>
    <w:rsid w:val="00145923"/>
    <w:rsid w:val="00145ECC"/>
    <w:rsid w:val="0014645C"/>
    <w:rsid w:val="001465D3"/>
    <w:rsid w:val="001469C8"/>
    <w:rsid w:val="00146BF5"/>
    <w:rsid w:val="00146F02"/>
    <w:rsid w:val="00147138"/>
    <w:rsid w:val="00147536"/>
    <w:rsid w:val="00147D40"/>
    <w:rsid w:val="00150345"/>
    <w:rsid w:val="0015041A"/>
    <w:rsid w:val="001504C8"/>
    <w:rsid w:val="00150721"/>
    <w:rsid w:val="001521D0"/>
    <w:rsid w:val="00152619"/>
    <w:rsid w:val="00152C35"/>
    <w:rsid w:val="00152DCF"/>
    <w:rsid w:val="00153658"/>
    <w:rsid w:val="00153D82"/>
    <w:rsid w:val="0015409C"/>
    <w:rsid w:val="001554BE"/>
    <w:rsid w:val="00155D63"/>
    <w:rsid w:val="001560C5"/>
    <w:rsid w:val="00156381"/>
    <w:rsid w:val="00157035"/>
    <w:rsid w:val="0015753B"/>
    <w:rsid w:val="001576FD"/>
    <w:rsid w:val="0016035A"/>
    <w:rsid w:val="00160418"/>
    <w:rsid w:val="00160529"/>
    <w:rsid w:val="00160975"/>
    <w:rsid w:val="001612C7"/>
    <w:rsid w:val="001616E2"/>
    <w:rsid w:val="00161872"/>
    <w:rsid w:val="00161F08"/>
    <w:rsid w:val="0016220C"/>
    <w:rsid w:val="00162408"/>
    <w:rsid w:val="00162B28"/>
    <w:rsid w:val="00164408"/>
    <w:rsid w:val="00164A51"/>
    <w:rsid w:val="00165EF9"/>
    <w:rsid w:val="00165F59"/>
    <w:rsid w:val="001667F7"/>
    <w:rsid w:val="001668A3"/>
    <w:rsid w:val="00167385"/>
    <w:rsid w:val="00170015"/>
    <w:rsid w:val="001701DB"/>
    <w:rsid w:val="00170297"/>
    <w:rsid w:val="001702B1"/>
    <w:rsid w:val="0017052E"/>
    <w:rsid w:val="00170B03"/>
    <w:rsid w:val="00170EF8"/>
    <w:rsid w:val="001719BC"/>
    <w:rsid w:val="0017205F"/>
    <w:rsid w:val="001729A8"/>
    <w:rsid w:val="001729E2"/>
    <w:rsid w:val="00172ACB"/>
    <w:rsid w:val="00174008"/>
    <w:rsid w:val="0017440D"/>
    <w:rsid w:val="001745BD"/>
    <w:rsid w:val="00174808"/>
    <w:rsid w:val="001749E1"/>
    <w:rsid w:val="001753B0"/>
    <w:rsid w:val="00175E00"/>
    <w:rsid w:val="001760E7"/>
    <w:rsid w:val="00176625"/>
    <w:rsid w:val="001767D6"/>
    <w:rsid w:val="00176DFF"/>
    <w:rsid w:val="00177493"/>
    <w:rsid w:val="00177EB5"/>
    <w:rsid w:val="00180959"/>
    <w:rsid w:val="00180BD2"/>
    <w:rsid w:val="00180CBD"/>
    <w:rsid w:val="00180FAD"/>
    <w:rsid w:val="00182721"/>
    <w:rsid w:val="0018292F"/>
    <w:rsid w:val="00183A48"/>
    <w:rsid w:val="00183BA8"/>
    <w:rsid w:val="00183D25"/>
    <w:rsid w:val="00183DE2"/>
    <w:rsid w:val="0018409B"/>
    <w:rsid w:val="0018474E"/>
    <w:rsid w:val="001848E6"/>
    <w:rsid w:val="00184C34"/>
    <w:rsid w:val="0018553E"/>
    <w:rsid w:val="0018607D"/>
    <w:rsid w:val="001861CE"/>
    <w:rsid w:val="00186BDF"/>
    <w:rsid w:val="00187196"/>
    <w:rsid w:val="00187419"/>
    <w:rsid w:val="0019009F"/>
    <w:rsid w:val="00190156"/>
    <w:rsid w:val="001909E6"/>
    <w:rsid w:val="00190BAD"/>
    <w:rsid w:val="001910D6"/>
    <w:rsid w:val="00191D77"/>
    <w:rsid w:val="00192502"/>
    <w:rsid w:val="00192711"/>
    <w:rsid w:val="00192918"/>
    <w:rsid w:val="00192D36"/>
    <w:rsid w:val="00193F90"/>
    <w:rsid w:val="001945A7"/>
    <w:rsid w:val="00194D22"/>
    <w:rsid w:val="00195108"/>
    <w:rsid w:val="00195A17"/>
    <w:rsid w:val="00195F5D"/>
    <w:rsid w:val="001962E9"/>
    <w:rsid w:val="00196F52"/>
    <w:rsid w:val="00197FD8"/>
    <w:rsid w:val="001A1E60"/>
    <w:rsid w:val="001A33FF"/>
    <w:rsid w:val="001A3E74"/>
    <w:rsid w:val="001A444C"/>
    <w:rsid w:val="001A5BA6"/>
    <w:rsid w:val="001A6272"/>
    <w:rsid w:val="001A6C0B"/>
    <w:rsid w:val="001A6EBA"/>
    <w:rsid w:val="001A7044"/>
    <w:rsid w:val="001A79E5"/>
    <w:rsid w:val="001A7B55"/>
    <w:rsid w:val="001A7BCB"/>
    <w:rsid w:val="001A7CF6"/>
    <w:rsid w:val="001B003A"/>
    <w:rsid w:val="001B03EA"/>
    <w:rsid w:val="001B0729"/>
    <w:rsid w:val="001B15F1"/>
    <w:rsid w:val="001B1950"/>
    <w:rsid w:val="001B264F"/>
    <w:rsid w:val="001B26A1"/>
    <w:rsid w:val="001B26CF"/>
    <w:rsid w:val="001B2761"/>
    <w:rsid w:val="001B2CFE"/>
    <w:rsid w:val="001B2F80"/>
    <w:rsid w:val="001B4AC1"/>
    <w:rsid w:val="001B4DA9"/>
    <w:rsid w:val="001B56A0"/>
    <w:rsid w:val="001B60CA"/>
    <w:rsid w:val="001B6190"/>
    <w:rsid w:val="001B6324"/>
    <w:rsid w:val="001B646C"/>
    <w:rsid w:val="001B6538"/>
    <w:rsid w:val="001B7329"/>
    <w:rsid w:val="001B7425"/>
    <w:rsid w:val="001C02B2"/>
    <w:rsid w:val="001C0DBF"/>
    <w:rsid w:val="001C1026"/>
    <w:rsid w:val="001C10FF"/>
    <w:rsid w:val="001C14DD"/>
    <w:rsid w:val="001C1E41"/>
    <w:rsid w:val="001C253A"/>
    <w:rsid w:val="001C25DC"/>
    <w:rsid w:val="001C2DAC"/>
    <w:rsid w:val="001C421D"/>
    <w:rsid w:val="001C4556"/>
    <w:rsid w:val="001C49D7"/>
    <w:rsid w:val="001C5683"/>
    <w:rsid w:val="001C666B"/>
    <w:rsid w:val="001C6BB5"/>
    <w:rsid w:val="001C6E73"/>
    <w:rsid w:val="001C7658"/>
    <w:rsid w:val="001C7BA3"/>
    <w:rsid w:val="001C7E18"/>
    <w:rsid w:val="001C7F83"/>
    <w:rsid w:val="001D009E"/>
    <w:rsid w:val="001D00A3"/>
    <w:rsid w:val="001D0867"/>
    <w:rsid w:val="001D0AFD"/>
    <w:rsid w:val="001D1056"/>
    <w:rsid w:val="001D159E"/>
    <w:rsid w:val="001D1D4C"/>
    <w:rsid w:val="001D1F57"/>
    <w:rsid w:val="001D29C4"/>
    <w:rsid w:val="001D2F61"/>
    <w:rsid w:val="001D30BC"/>
    <w:rsid w:val="001D4816"/>
    <w:rsid w:val="001D4FE9"/>
    <w:rsid w:val="001D52FE"/>
    <w:rsid w:val="001D55AD"/>
    <w:rsid w:val="001D572C"/>
    <w:rsid w:val="001D5CAA"/>
    <w:rsid w:val="001D5DDE"/>
    <w:rsid w:val="001D67ED"/>
    <w:rsid w:val="001D67F5"/>
    <w:rsid w:val="001D6942"/>
    <w:rsid w:val="001D7185"/>
    <w:rsid w:val="001E0AC7"/>
    <w:rsid w:val="001E0EBE"/>
    <w:rsid w:val="001E12EB"/>
    <w:rsid w:val="001E1835"/>
    <w:rsid w:val="001E1D44"/>
    <w:rsid w:val="001E26B1"/>
    <w:rsid w:val="001E40C5"/>
    <w:rsid w:val="001E433E"/>
    <w:rsid w:val="001E497C"/>
    <w:rsid w:val="001E4B20"/>
    <w:rsid w:val="001E51A4"/>
    <w:rsid w:val="001E606B"/>
    <w:rsid w:val="001E7E89"/>
    <w:rsid w:val="001F0A0E"/>
    <w:rsid w:val="001F0C31"/>
    <w:rsid w:val="001F0E05"/>
    <w:rsid w:val="001F0E67"/>
    <w:rsid w:val="001F1923"/>
    <w:rsid w:val="001F1B9B"/>
    <w:rsid w:val="001F229B"/>
    <w:rsid w:val="001F2368"/>
    <w:rsid w:val="001F28F6"/>
    <w:rsid w:val="001F2996"/>
    <w:rsid w:val="001F2D9E"/>
    <w:rsid w:val="001F3082"/>
    <w:rsid w:val="001F38CB"/>
    <w:rsid w:val="001F3B32"/>
    <w:rsid w:val="001F3D4A"/>
    <w:rsid w:val="001F3E02"/>
    <w:rsid w:val="001F3EE8"/>
    <w:rsid w:val="001F4AF2"/>
    <w:rsid w:val="001F4E98"/>
    <w:rsid w:val="001F5800"/>
    <w:rsid w:val="001F5B3F"/>
    <w:rsid w:val="001F5DAE"/>
    <w:rsid w:val="001F6B7D"/>
    <w:rsid w:val="001F6FED"/>
    <w:rsid w:val="001F770D"/>
    <w:rsid w:val="001F7DF8"/>
    <w:rsid w:val="002006CE"/>
    <w:rsid w:val="00200833"/>
    <w:rsid w:val="00200A45"/>
    <w:rsid w:val="00201089"/>
    <w:rsid w:val="00201682"/>
    <w:rsid w:val="00201690"/>
    <w:rsid w:val="002019AD"/>
    <w:rsid w:val="002020A9"/>
    <w:rsid w:val="00202998"/>
    <w:rsid w:val="002030C4"/>
    <w:rsid w:val="00203358"/>
    <w:rsid w:val="00203A79"/>
    <w:rsid w:val="00203FAA"/>
    <w:rsid w:val="00204537"/>
    <w:rsid w:val="00204A55"/>
    <w:rsid w:val="00204C2A"/>
    <w:rsid w:val="00204EF9"/>
    <w:rsid w:val="00205875"/>
    <w:rsid w:val="00206DD1"/>
    <w:rsid w:val="0020769E"/>
    <w:rsid w:val="002101E7"/>
    <w:rsid w:val="00210299"/>
    <w:rsid w:val="00210814"/>
    <w:rsid w:val="00211334"/>
    <w:rsid w:val="00211519"/>
    <w:rsid w:val="002118A2"/>
    <w:rsid w:val="00212060"/>
    <w:rsid w:val="0021298E"/>
    <w:rsid w:val="00212B2F"/>
    <w:rsid w:val="00212B46"/>
    <w:rsid w:val="00213E1D"/>
    <w:rsid w:val="002142BC"/>
    <w:rsid w:val="00214E87"/>
    <w:rsid w:val="00215178"/>
    <w:rsid w:val="0021572B"/>
    <w:rsid w:val="0021607A"/>
    <w:rsid w:val="002160AA"/>
    <w:rsid w:val="002160ED"/>
    <w:rsid w:val="002161EF"/>
    <w:rsid w:val="002165EE"/>
    <w:rsid w:val="002167ED"/>
    <w:rsid w:val="00217BC7"/>
    <w:rsid w:val="00220492"/>
    <w:rsid w:val="00220ACE"/>
    <w:rsid w:val="00220C57"/>
    <w:rsid w:val="00221381"/>
    <w:rsid w:val="00221E6C"/>
    <w:rsid w:val="00221E7C"/>
    <w:rsid w:val="002220A6"/>
    <w:rsid w:val="002221CE"/>
    <w:rsid w:val="0022260E"/>
    <w:rsid w:val="002229A6"/>
    <w:rsid w:val="00223669"/>
    <w:rsid w:val="002236B2"/>
    <w:rsid w:val="002244E6"/>
    <w:rsid w:val="0022495D"/>
    <w:rsid w:val="00224AB2"/>
    <w:rsid w:val="002255FD"/>
    <w:rsid w:val="00225963"/>
    <w:rsid w:val="002259FC"/>
    <w:rsid w:val="00225FF0"/>
    <w:rsid w:val="002263FF"/>
    <w:rsid w:val="00226AD4"/>
    <w:rsid w:val="00227140"/>
    <w:rsid w:val="002273C7"/>
    <w:rsid w:val="00227CC9"/>
    <w:rsid w:val="0023029C"/>
    <w:rsid w:val="00230400"/>
    <w:rsid w:val="00230BFC"/>
    <w:rsid w:val="0023149E"/>
    <w:rsid w:val="00232ECC"/>
    <w:rsid w:val="002332B4"/>
    <w:rsid w:val="00233C42"/>
    <w:rsid w:val="00233FBB"/>
    <w:rsid w:val="00234218"/>
    <w:rsid w:val="00235001"/>
    <w:rsid w:val="00235276"/>
    <w:rsid w:val="0023565D"/>
    <w:rsid w:val="00235744"/>
    <w:rsid w:val="0023589A"/>
    <w:rsid w:val="00236017"/>
    <w:rsid w:val="00236084"/>
    <w:rsid w:val="0023634B"/>
    <w:rsid w:val="00236719"/>
    <w:rsid w:val="00236C5C"/>
    <w:rsid w:val="002403A5"/>
    <w:rsid w:val="0024046E"/>
    <w:rsid w:val="00240563"/>
    <w:rsid w:val="00240E84"/>
    <w:rsid w:val="002411B7"/>
    <w:rsid w:val="00241882"/>
    <w:rsid w:val="0024202D"/>
    <w:rsid w:val="002421B8"/>
    <w:rsid w:val="00242F7D"/>
    <w:rsid w:val="002433F4"/>
    <w:rsid w:val="00243CAB"/>
    <w:rsid w:val="002441FF"/>
    <w:rsid w:val="00244441"/>
    <w:rsid w:val="00244DC6"/>
    <w:rsid w:val="002453D3"/>
    <w:rsid w:val="0024569F"/>
    <w:rsid w:val="0024579F"/>
    <w:rsid w:val="0024585B"/>
    <w:rsid w:val="00246184"/>
    <w:rsid w:val="002465B2"/>
    <w:rsid w:val="00246AC7"/>
    <w:rsid w:val="00246B7F"/>
    <w:rsid w:val="0024709C"/>
    <w:rsid w:val="0024769D"/>
    <w:rsid w:val="00247EE5"/>
    <w:rsid w:val="00250230"/>
    <w:rsid w:val="0025028F"/>
    <w:rsid w:val="00250949"/>
    <w:rsid w:val="00250CDB"/>
    <w:rsid w:val="00251154"/>
    <w:rsid w:val="0025295C"/>
    <w:rsid w:val="00253924"/>
    <w:rsid w:val="00254741"/>
    <w:rsid w:val="00255495"/>
    <w:rsid w:val="00255945"/>
    <w:rsid w:val="00255F73"/>
    <w:rsid w:val="002566FD"/>
    <w:rsid w:val="00256856"/>
    <w:rsid w:val="00256CEE"/>
    <w:rsid w:val="00256FC0"/>
    <w:rsid w:val="002571DB"/>
    <w:rsid w:val="00257C9F"/>
    <w:rsid w:val="00257D7F"/>
    <w:rsid w:val="002604AB"/>
    <w:rsid w:val="0026062A"/>
    <w:rsid w:val="002609B7"/>
    <w:rsid w:val="00260F6C"/>
    <w:rsid w:val="002619A6"/>
    <w:rsid w:val="00261DA3"/>
    <w:rsid w:val="0026218F"/>
    <w:rsid w:val="00262944"/>
    <w:rsid w:val="00262C80"/>
    <w:rsid w:val="00263290"/>
    <w:rsid w:val="002637E4"/>
    <w:rsid w:val="00263B6B"/>
    <w:rsid w:val="002642E5"/>
    <w:rsid w:val="00264459"/>
    <w:rsid w:val="0026492F"/>
    <w:rsid w:val="00265085"/>
    <w:rsid w:val="00265601"/>
    <w:rsid w:val="002658E6"/>
    <w:rsid w:val="00265D83"/>
    <w:rsid w:val="00265E23"/>
    <w:rsid w:val="0026609C"/>
    <w:rsid w:val="00266410"/>
    <w:rsid w:val="00267C55"/>
    <w:rsid w:val="00267DE9"/>
    <w:rsid w:val="00267E51"/>
    <w:rsid w:val="00267EEE"/>
    <w:rsid w:val="00271390"/>
    <w:rsid w:val="00272928"/>
    <w:rsid w:val="00272965"/>
    <w:rsid w:val="00272ADE"/>
    <w:rsid w:val="00272CEC"/>
    <w:rsid w:val="0027353A"/>
    <w:rsid w:val="00273CDC"/>
    <w:rsid w:val="002740D4"/>
    <w:rsid w:val="002741AA"/>
    <w:rsid w:val="0027427F"/>
    <w:rsid w:val="00274855"/>
    <w:rsid w:val="00275033"/>
    <w:rsid w:val="002751D3"/>
    <w:rsid w:val="0027536C"/>
    <w:rsid w:val="002760D3"/>
    <w:rsid w:val="002761FE"/>
    <w:rsid w:val="00276299"/>
    <w:rsid w:val="00276637"/>
    <w:rsid w:val="0027718A"/>
    <w:rsid w:val="002771A0"/>
    <w:rsid w:val="002778DF"/>
    <w:rsid w:val="002805BA"/>
    <w:rsid w:val="002813FC"/>
    <w:rsid w:val="002818CC"/>
    <w:rsid w:val="00281B2A"/>
    <w:rsid w:val="00281B4E"/>
    <w:rsid w:val="00281C10"/>
    <w:rsid w:val="00281EAC"/>
    <w:rsid w:val="00282087"/>
    <w:rsid w:val="0028228C"/>
    <w:rsid w:val="0028239E"/>
    <w:rsid w:val="00282669"/>
    <w:rsid w:val="002826C7"/>
    <w:rsid w:val="0028302E"/>
    <w:rsid w:val="002835C8"/>
    <w:rsid w:val="0028363D"/>
    <w:rsid w:val="0028366C"/>
    <w:rsid w:val="00283A2C"/>
    <w:rsid w:val="00283D5E"/>
    <w:rsid w:val="002849D4"/>
    <w:rsid w:val="00285020"/>
    <w:rsid w:val="0028534F"/>
    <w:rsid w:val="00285458"/>
    <w:rsid w:val="00286798"/>
    <w:rsid w:val="00286941"/>
    <w:rsid w:val="00286E18"/>
    <w:rsid w:val="00290C44"/>
    <w:rsid w:val="00290F24"/>
    <w:rsid w:val="0029105C"/>
    <w:rsid w:val="0029189A"/>
    <w:rsid w:val="00291FCA"/>
    <w:rsid w:val="002922D1"/>
    <w:rsid w:val="00292579"/>
    <w:rsid w:val="00292C9F"/>
    <w:rsid w:val="0029320B"/>
    <w:rsid w:val="00294D8C"/>
    <w:rsid w:val="00294E75"/>
    <w:rsid w:val="00295553"/>
    <w:rsid w:val="00296BE0"/>
    <w:rsid w:val="002977AD"/>
    <w:rsid w:val="00297D09"/>
    <w:rsid w:val="00297F0A"/>
    <w:rsid w:val="00297F24"/>
    <w:rsid w:val="002A069C"/>
    <w:rsid w:val="002A0B26"/>
    <w:rsid w:val="002A10EE"/>
    <w:rsid w:val="002A240B"/>
    <w:rsid w:val="002A2A46"/>
    <w:rsid w:val="002A2B8F"/>
    <w:rsid w:val="002A2F2C"/>
    <w:rsid w:val="002A3F33"/>
    <w:rsid w:val="002A49BD"/>
    <w:rsid w:val="002A4E58"/>
    <w:rsid w:val="002A6281"/>
    <w:rsid w:val="002A64BE"/>
    <w:rsid w:val="002A66A8"/>
    <w:rsid w:val="002A66DC"/>
    <w:rsid w:val="002A6750"/>
    <w:rsid w:val="002A6CED"/>
    <w:rsid w:val="002A6D8C"/>
    <w:rsid w:val="002A6E78"/>
    <w:rsid w:val="002A6F95"/>
    <w:rsid w:val="002A7164"/>
    <w:rsid w:val="002A744B"/>
    <w:rsid w:val="002A749A"/>
    <w:rsid w:val="002A7567"/>
    <w:rsid w:val="002A7900"/>
    <w:rsid w:val="002A7B52"/>
    <w:rsid w:val="002B0030"/>
    <w:rsid w:val="002B039F"/>
    <w:rsid w:val="002B0FE4"/>
    <w:rsid w:val="002B1208"/>
    <w:rsid w:val="002B137F"/>
    <w:rsid w:val="002B237B"/>
    <w:rsid w:val="002B252A"/>
    <w:rsid w:val="002B2ACF"/>
    <w:rsid w:val="002B36CF"/>
    <w:rsid w:val="002B3FC4"/>
    <w:rsid w:val="002B40F5"/>
    <w:rsid w:val="002B4211"/>
    <w:rsid w:val="002B56CD"/>
    <w:rsid w:val="002B5AB3"/>
    <w:rsid w:val="002B5B55"/>
    <w:rsid w:val="002B665C"/>
    <w:rsid w:val="002B6C13"/>
    <w:rsid w:val="002B7EEB"/>
    <w:rsid w:val="002C00D5"/>
    <w:rsid w:val="002C032C"/>
    <w:rsid w:val="002C04A1"/>
    <w:rsid w:val="002C0989"/>
    <w:rsid w:val="002C143C"/>
    <w:rsid w:val="002C1627"/>
    <w:rsid w:val="002C1C78"/>
    <w:rsid w:val="002C1F67"/>
    <w:rsid w:val="002C30A5"/>
    <w:rsid w:val="002C3C66"/>
    <w:rsid w:val="002C3F07"/>
    <w:rsid w:val="002C4644"/>
    <w:rsid w:val="002C46E3"/>
    <w:rsid w:val="002C4E4E"/>
    <w:rsid w:val="002C5023"/>
    <w:rsid w:val="002C558F"/>
    <w:rsid w:val="002C5B97"/>
    <w:rsid w:val="002C5FDF"/>
    <w:rsid w:val="002C6907"/>
    <w:rsid w:val="002D044D"/>
    <w:rsid w:val="002D09C8"/>
    <w:rsid w:val="002D0BF7"/>
    <w:rsid w:val="002D0F29"/>
    <w:rsid w:val="002D13B3"/>
    <w:rsid w:val="002D18FF"/>
    <w:rsid w:val="002D1A2C"/>
    <w:rsid w:val="002D2ED8"/>
    <w:rsid w:val="002D2FF8"/>
    <w:rsid w:val="002D31FF"/>
    <w:rsid w:val="002D3B05"/>
    <w:rsid w:val="002D3F73"/>
    <w:rsid w:val="002D44C5"/>
    <w:rsid w:val="002D45D6"/>
    <w:rsid w:val="002D4D24"/>
    <w:rsid w:val="002D6690"/>
    <w:rsid w:val="002D67B3"/>
    <w:rsid w:val="002D68EC"/>
    <w:rsid w:val="002D6C6B"/>
    <w:rsid w:val="002D7010"/>
    <w:rsid w:val="002D70E2"/>
    <w:rsid w:val="002D73BA"/>
    <w:rsid w:val="002E009E"/>
    <w:rsid w:val="002E0A20"/>
    <w:rsid w:val="002E182D"/>
    <w:rsid w:val="002E25CD"/>
    <w:rsid w:val="002E2723"/>
    <w:rsid w:val="002E2844"/>
    <w:rsid w:val="002E3DB3"/>
    <w:rsid w:val="002E459D"/>
    <w:rsid w:val="002E4B29"/>
    <w:rsid w:val="002E4EB4"/>
    <w:rsid w:val="002E6AF0"/>
    <w:rsid w:val="002E6B7F"/>
    <w:rsid w:val="002E7563"/>
    <w:rsid w:val="002E7BDF"/>
    <w:rsid w:val="002E7CFD"/>
    <w:rsid w:val="002F1514"/>
    <w:rsid w:val="002F253D"/>
    <w:rsid w:val="002F3002"/>
    <w:rsid w:val="002F35E9"/>
    <w:rsid w:val="002F3B78"/>
    <w:rsid w:val="002F3D6A"/>
    <w:rsid w:val="002F4B2C"/>
    <w:rsid w:val="002F4B95"/>
    <w:rsid w:val="002F573F"/>
    <w:rsid w:val="002F58F0"/>
    <w:rsid w:val="002F5ACD"/>
    <w:rsid w:val="002F6238"/>
    <w:rsid w:val="002F6887"/>
    <w:rsid w:val="002F6ACD"/>
    <w:rsid w:val="002F6D85"/>
    <w:rsid w:val="002F72B7"/>
    <w:rsid w:val="002F734B"/>
    <w:rsid w:val="002F78CB"/>
    <w:rsid w:val="002F7AA7"/>
    <w:rsid w:val="002F7D09"/>
    <w:rsid w:val="0030009C"/>
    <w:rsid w:val="00300311"/>
    <w:rsid w:val="0030047A"/>
    <w:rsid w:val="003007EE"/>
    <w:rsid w:val="00300A58"/>
    <w:rsid w:val="003017C6"/>
    <w:rsid w:val="003019D8"/>
    <w:rsid w:val="0030230A"/>
    <w:rsid w:val="003026E6"/>
    <w:rsid w:val="00302BBE"/>
    <w:rsid w:val="00302C20"/>
    <w:rsid w:val="00304824"/>
    <w:rsid w:val="00304EE8"/>
    <w:rsid w:val="00304F4F"/>
    <w:rsid w:val="00304F9E"/>
    <w:rsid w:val="003053C6"/>
    <w:rsid w:val="003063EE"/>
    <w:rsid w:val="003065C5"/>
    <w:rsid w:val="00306CCF"/>
    <w:rsid w:val="00306DB4"/>
    <w:rsid w:val="0030721E"/>
    <w:rsid w:val="0030754E"/>
    <w:rsid w:val="0031008D"/>
    <w:rsid w:val="003101DB"/>
    <w:rsid w:val="0031051C"/>
    <w:rsid w:val="00310CDA"/>
    <w:rsid w:val="00311121"/>
    <w:rsid w:val="003112C9"/>
    <w:rsid w:val="003112DF"/>
    <w:rsid w:val="0031170F"/>
    <w:rsid w:val="00312B6A"/>
    <w:rsid w:val="00313112"/>
    <w:rsid w:val="00313F57"/>
    <w:rsid w:val="00314C0D"/>
    <w:rsid w:val="003154EB"/>
    <w:rsid w:val="0031550A"/>
    <w:rsid w:val="00315592"/>
    <w:rsid w:val="00315769"/>
    <w:rsid w:val="00315870"/>
    <w:rsid w:val="00315BA6"/>
    <w:rsid w:val="00315BD1"/>
    <w:rsid w:val="00315C93"/>
    <w:rsid w:val="003160D3"/>
    <w:rsid w:val="003164C5"/>
    <w:rsid w:val="00316CB2"/>
    <w:rsid w:val="00317A37"/>
    <w:rsid w:val="00317A68"/>
    <w:rsid w:val="00317C55"/>
    <w:rsid w:val="00317D59"/>
    <w:rsid w:val="00320F08"/>
    <w:rsid w:val="00322114"/>
    <w:rsid w:val="003221D6"/>
    <w:rsid w:val="00322741"/>
    <w:rsid w:val="0032284F"/>
    <w:rsid w:val="00322E80"/>
    <w:rsid w:val="00324057"/>
    <w:rsid w:val="003242BA"/>
    <w:rsid w:val="003243AA"/>
    <w:rsid w:val="003247D0"/>
    <w:rsid w:val="00324ADF"/>
    <w:rsid w:val="00325F55"/>
    <w:rsid w:val="00326CCF"/>
    <w:rsid w:val="00326F5E"/>
    <w:rsid w:val="0032719F"/>
    <w:rsid w:val="00327304"/>
    <w:rsid w:val="0032751B"/>
    <w:rsid w:val="00330494"/>
    <w:rsid w:val="00331948"/>
    <w:rsid w:val="003319CC"/>
    <w:rsid w:val="0033242F"/>
    <w:rsid w:val="003327D0"/>
    <w:rsid w:val="00332800"/>
    <w:rsid w:val="003328C2"/>
    <w:rsid w:val="00332EAD"/>
    <w:rsid w:val="00332EC4"/>
    <w:rsid w:val="00332F7B"/>
    <w:rsid w:val="00333004"/>
    <w:rsid w:val="0033404C"/>
    <w:rsid w:val="0033411C"/>
    <w:rsid w:val="0033488B"/>
    <w:rsid w:val="003349D2"/>
    <w:rsid w:val="00334B30"/>
    <w:rsid w:val="00334FFF"/>
    <w:rsid w:val="003359D1"/>
    <w:rsid w:val="00335D86"/>
    <w:rsid w:val="00336024"/>
    <w:rsid w:val="003368DB"/>
    <w:rsid w:val="00336A7E"/>
    <w:rsid w:val="00336C32"/>
    <w:rsid w:val="00336CF4"/>
    <w:rsid w:val="00336E1F"/>
    <w:rsid w:val="00337294"/>
    <w:rsid w:val="00337C2A"/>
    <w:rsid w:val="00340048"/>
    <w:rsid w:val="003404EB"/>
    <w:rsid w:val="003406F5"/>
    <w:rsid w:val="00340987"/>
    <w:rsid w:val="003409C8"/>
    <w:rsid w:val="00340A17"/>
    <w:rsid w:val="00340DC1"/>
    <w:rsid w:val="00341748"/>
    <w:rsid w:val="00341992"/>
    <w:rsid w:val="00341E83"/>
    <w:rsid w:val="0034243F"/>
    <w:rsid w:val="0034295B"/>
    <w:rsid w:val="003440BA"/>
    <w:rsid w:val="003446CC"/>
    <w:rsid w:val="00345031"/>
    <w:rsid w:val="00345B16"/>
    <w:rsid w:val="00347195"/>
    <w:rsid w:val="00347439"/>
    <w:rsid w:val="00347976"/>
    <w:rsid w:val="0035026C"/>
    <w:rsid w:val="00350713"/>
    <w:rsid w:val="00350F38"/>
    <w:rsid w:val="00350FEF"/>
    <w:rsid w:val="0035120B"/>
    <w:rsid w:val="0035250C"/>
    <w:rsid w:val="00352637"/>
    <w:rsid w:val="00352862"/>
    <w:rsid w:val="00352E09"/>
    <w:rsid w:val="003530AF"/>
    <w:rsid w:val="0035361C"/>
    <w:rsid w:val="00353F1C"/>
    <w:rsid w:val="003541BE"/>
    <w:rsid w:val="00354334"/>
    <w:rsid w:val="00354814"/>
    <w:rsid w:val="00354830"/>
    <w:rsid w:val="00354E35"/>
    <w:rsid w:val="00354F49"/>
    <w:rsid w:val="00354FFD"/>
    <w:rsid w:val="00355B08"/>
    <w:rsid w:val="003568E6"/>
    <w:rsid w:val="0035756B"/>
    <w:rsid w:val="0035784A"/>
    <w:rsid w:val="00360026"/>
    <w:rsid w:val="0036090A"/>
    <w:rsid w:val="003609A6"/>
    <w:rsid w:val="00360B43"/>
    <w:rsid w:val="00360F3A"/>
    <w:rsid w:val="003614BA"/>
    <w:rsid w:val="0036164C"/>
    <w:rsid w:val="00361A9A"/>
    <w:rsid w:val="00361DBF"/>
    <w:rsid w:val="00362024"/>
    <w:rsid w:val="0036215F"/>
    <w:rsid w:val="003622EE"/>
    <w:rsid w:val="0036249A"/>
    <w:rsid w:val="0036297C"/>
    <w:rsid w:val="003637E4"/>
    <w:rsid w:val="0036393A"/>
    <w:rsid w:val="00363A6B"/>
    <w:rsid w:val="00363DEB"/>
    <w:rsid w:val="003647FD"/>
    <w:rsid w:val="003660ED"/>
    <w:rsid w:val="0036663D"/>
    <w:rsid w:val="003669C7"/>
    <w:rsid w:val="003672EF"/>
    <w:rsid w:val="00367746"/>
    <w:rsid w:val="003677D2"/>
    <w:rsid w:val="00367DA2"/>
    <w:rsid w:val="003703A1"/>
    <w:rsid w:val="003705AF"/>
    <w:rsid w:val="003708FE"/>
    <w:rsid w:val="0037221E"/>
    <w:rsid w:val="003723D1"/>
    <w:rsid w:val="00372649"/>
    <w:rsid w:val="0037279E"/>
    <w:rsid w:val="00372C99"/>
    <w:rsid w:val="0037326B"/>
    <w:rsid w:val="00373DBC"/>
    <w:rsid w:val="003742DF"/>
    <w:rsid w:val="0037558F"/>
    <w:rsid w:val="00376285"/>
    <w:rsid w:val="0037733C"/>
    <w:rsid w:val="003773E0"/>
    <w:rsid w:val="00377BC5"/>
    <w:rsid w:val="00377FAE"/>
    <w:rsid w:val="0038024C"/>
    <w:rsid w:val="00380485"/>
    <w:rsid w:val="003808F4"/>
    <w:rsid w:val="0038158D"/>
    <w:rsid w:val="00381BFD"/>
    <w:rsid w:val="003821A1"/>
    <w:rsid w:val="0038227C"/>
    <w:rsid w:val="00382977"/>
    <w:rsid w:val="00382E5C"/>
    <w:rsid w:val="003834D8"/>
    <w:rsid w:val="003834F7"/>
    <w:rsid w:val="003836D8"/>
    <w:rsid w:val="00383AF3"/>
    <w:rsid w:val="00384104"/>
    <w:rsid w:val="00384465"/>
    <w:rsid w:val="00384725"/>
    <w:rsid w:val="003849CF"/>
    <w:rsid w:val="00384C38"/>
    <w:rsid w:val="00384E26"/>
    <w:rsid w:val="00384F21"/>
    <w:rsid w:val="0038505F"/>
    <w:rsid w:val="003859D9"/>
    <w:rsid w:val="00385E16"/>
    <w:rsid w:val="0038641D"/>
    <w:rsid w:val="0038657A"/>
    <w:rsid w:val="00386DE3"/>
    <w:rsid w:val="00386F3F"/>
    <w:rsid w:val="003876FE"/>
    <w:rsid w:val="00387EA2"/>
    <w:rsid w:val="0039054B"/>
    <w:rsid w:val="0039149A"/>
    <w:rsid w:val="003916A1"/>
    <w:rsid w:val="003922CF"/>
    <w:rsid w:val="0039285C"/>
    <w:rsid w:val="00392EC2"/>
    <w:rsid w:val="003935C5"/>
    <w:rsid w:val="00393B56"/>
    <w:rsid w:val="00393B8A"/>
    <w:rsid w:val="00394CF0"/>
    <w:rsid w:val="00394D0A"/>
    <w:rsid w:val="00394F1E"/>
    <w:rsid w:val="00395AD1"/>
    <w:rsid w:val="00395C99"/>
    <w:rsid w:val="0039661E"/>
    <w:rsid w:val="00396648"/>
    <w:rsid w:val="003967B2"/>
    <w:rsid w:val="0039687B"/>
    <w:rsid w:val="003968A3"/>
    <w:rsid w:val="00396A0F"/>
    <w:rsid w:val="00396CD3"/>
    <w:rsid w:val="003972BF"/>
    <w:rsid w:val="003973CB"/>
    <w:rsid w:val="003A0319"/>
    <w:rsid w:val="003A0399"/>
    <w:rsid w:val="003A0C10"/>
    <w:rsid w:val="003A0DAF"/>
    <w:rsid w:val="003A107E"/>
    <w:rsid w:val="003A1188"/>
    <w:rsid w:val="003A1703"/>
    <w:rsid w:val="003A1D99"/>
    <w:rsid w:val="003A2A90"/>
    <w:rsid w:val="003A2E15"/>
    <w:rsid w:val="003A2EAE"/>
    <w:rsid w:val="003A2F67"/>
    <w:rsid w:val="003A3718"/>
    <w:rsid w:val="003A42F2"/>
    <w:rsid w:val="003A43D4"/>
    <w:rsid w:val="003A4650"/>
    <w:rsid w:val="003A53E6"/>
    <w:rsid w:val="003A59C9"/>
    <w:rsid w:val="003A61EF"/>
    <w:rsid w:val="003A6B4D"/>
    <w:rsid w:val="003A6F40"/>
    <w:rsid w:val="003A7DB3"/>
    <w:rsid w:val="003B0295"/>
    <w:rsid w:val="003B0498"/>
    <w:rsid w:val="003B0AFE"/>
    <w:rsid w:val="003B14CD"/>
    <w:rsid w:val="003B1F28"/>
    <w:rsid w:val="003B229B"/>
    <w:rsid w:val="003B2683"/>
    <w:rsid w:val="003B26C6"/>
    <w:rsid w:val="003B29F4"/>
    <w:rsid w:val="003B2CC8"/>
    <w:rsid w:val="003B385C"/>
    <w:rsid w:val="003B4D42"/>
    <w:rsid w:val="003B4F33"/>
    <w:rsid w:val="003B525F"/>
    <w:rsid w:val="003B54D8"/>
    <w:rsid w:val="003B5C93"/>
    <w:rsid w:val="003B6B43"/>
    <w:rsid w:val="003B754F"/>
    <w:rsid w:val="003B7AFB"/>
    <w:rsid w:val="003C0065"/>
    <w:rsid w:val="003C01BA"/>
    <w:rsid w:val="003C03E5"/>
    <w:rsid w:val="003C0BCA"/>
    <w:rsid w:val="003C10E4"/>
    <w:rsid w:val="003C373D"/>
    <w:rsid w:val="003C37DC"/>
    <w:rsid w:val="003C3B4A"/>
    <w:rsid w:val="003C48D8"/>
    <w:rsid w:val="003C4A63"/>
    <w:rsid w:val="003C4C08"/>
    <w:rsid w:val="003C4C34"/>
    <w:rsid w:val="003C5320"/>
    <w:rsid w:val="003C6366"/>
    <w:rsid w:val="003C6A07"/>
    <w:rsid w:val="003D0211"/>
    <w:rsid w:val="003D0324"/>
    <w:rsid w:val="003D0656"/>
    <w:rsid w:val="003D107E"/>
    <w:rsid w:val="003D177C"/>
    <w:rsid w:val="003D363B"/>
    <w:rsid w:val="003D394D"/>
    <w:rsid w:val="003D3C64"/>
    <w:rsid w:val="003D3F6D"/>
    <w:rsid w:val="003D4995"/>
    <w:rsid w:val="003D4CD7"/>
    <w:rsid w:val="003D4CFB"/>
    <w:rsid w:val="003D5B3E"/>
    <w:rsid w:val="003D6405"/>
    <w:rsid w:val="003D7444"/>
    <w:rsid w:val="003E004C"/>
    <w:rsid w:val="003E0285"/>
    <w:rsid w:val="003E0380"/>
    <w:rsid w:val="003E03C1"/>
    <w:rsid w:val="003E1765"/>
    <w:rsid w:val="003E20F9"/>
    <w:rsid w:val="003E25A6"/>
    <w:rsid w:val="003E2B2F"/>
    <w:rsid w:val="003E2B3E"/>
    <w:rsid w:val="003E445A"/>
    <w:rsid w:val="003E46B1"/>
    <w:rsid w:val="003E4836"/>
    <w:rsid w:val="003E4D83"/>
    <w:rsid w:val="003E51CC"/>
    <w:rsid w:val="003E52EF"/>
    <w:rsid w:val="003E7588"/>
    <w:rsid w:val="003E7A72"/>
    <w:rsid w:val="003E7FA8"/>
    <w:rsid w:val="003F02EC"/>
    <w:rsid w:val="003F1794"/>
    <w:rsid w:val="003F1D4A"/>
    <w:rsid w:val="003F228C"/>
    <w:rsid w:val="003F2769"/>
    <w:rsid w:val="003F3668"/>
    <w:rsid w:val="003F39BC"/>
    <w:rsid w:val="003F5812"/>
    <w:rsid w:val="003F592B"/>
    <w:rsid w:val="003F610B"/>
    <w:rsid w:val="003F6CAB"/>
    <w:rsid w:val="00400369"/>
    <w:rsid w:val="004006B5"/>
    <w:rsid w:val="00400F27"/>
    <w:rsid w:val="0040180E"/>
    <w:rsid w:val="00401BAE"/>
    <w:rsid w:val="00402216"/>
    <w:rsid w:val="00402D21"/>
    <w:rsid w:val="00402E75"/>
    <w:rsid w:val="00403164"/>
    <w:rsid w:val="004038BC"/>
    <w:rsid w:val="004047A1"/>
    <w:rsid w:val="004047EB"/>
    <w:rsid w:val="004049D0"/>
    <w:rsid w:val="00404CB1"/>
    <w:rsid w:val="00404F27"/>
    <w:rsid w:val="004050B9"/>
    <w:rsid w:val="0040547C"/>
    <w:rsid w:val="00406BF8"/>
    <w:rsid w:val="00406C58"/>
    <w:rsid w:val="00406E20"/>
    <w:rsid w:val="00410418"/>
    <w:rsid w:val="0041046A"/>
    <w:rsid w:val="004122C5"/>
    <w:rsid w:val="0041260D"/>
    <w:rsid w:val="0041318D"/>
    <w:rsid w:val="004131E7"/>
    <w:rsid w:val="0041354C"/>
    <w:rsid w:val="00413591"/>
    <w:rsid w:val="004137AA"/>
    <w:rsid w:val="00413992"/>
    <w:rsid w:val="00413B43"/>
    <w:rsid w:val="0041405B"/>
    <w:rsid w:val="0041435E"/>
    <w:rsid w:val="00415346"/>
    <w:rsid w:val="004153BE"/>
    <w:rsid w:val="0041670A"/>
    <w:rsid w:val="004217B3"/>
    <w:rsid w:val="0042194D"/>
    <w:rsid w:val="00421FB4"/>
    <w:rsid w:val="004220EE"/>
    <w:rsid w:val="004224C4"/>
    <w:rsid w:val="004225FC"/>
    <w:rsid w:val="004227CB"/>
    <w:rsid w:val="00423895"/>
    <w:rsid w:val="00423FB3"/>
    <w:rsid w:val="0042427B"/>
    <w:rsid w:val="0042454F"/>
    <w:rsid w:val="0042489A"/>
    <w:rsid w:val="00424AF3"/>
    <w:rsid w:val="004258BE"/>
    <w:rsid w:val="00425BB9"/>
    <w:rsid w:val="00425E81"/>
    <w:rsid w:val="004263E8"/>
    <w:rsid w:val="004265F8"/>
    <w:rsid w:val="004266D2"/>
    <w:rsid w:val="004268E6"/>
    <w:rsid w:val="004274EB"/>
    <w:rsid w:val="00427CDE"/>
    <w:rsid w:val="004300DC"/>
    <w:rsid w:val="00430445"/>
    <w:rsid w:val="00431577"/>
    <w:rsid w:val="004324EF"/>
    <w:rsid w:val="004335EB"/>
    <w:rsid w:val="004339F8"/>
    <w:rsid w:val="004355B1"/>
    <w:rsid w:val="00435B24"/>
    <w:rsid w:val="00436D0E"/>
    <w:rsid w:val="0043740F"/>
    <w:rsid w:val="0044073F"/>
    <w:rsid w:val="00440E9D"/>
    <w:rsid w:val="00441098"/>
    <w:rsid w:val="00441303"/>
    <w:rsid w:val="00441F5D"/>
    <w:rsid w:val="004422DC"/>
    <w:rsid w:val="00442324"/>
    <w:rsid w:val="0044282D"/>
    <w:rsid w:val="00442925"/>
    <w:rsid w:val="00443097"/>
    <w:rsid w:val="00443812"/>
    <w:rsid w:val="00443908"/>
    <w:rsid w:val="00443AE9"/>
    <w:rsid w:val="004441E9"/>
    <w:rsid w:val="0044420C"/>
    <w:rsid w:val="00444215"/>
    <w:rsid w:val="004443C9"/>
    <w:rsid w:val="0044462A"/>
    <w:rsid w:val="00444819"/>
    <w:rsid w:val="0044489D"/>
    <w:rsid w:val="00445521"/>
    <w:rsid w:val="0044582C"/>
    <w:rsid w:val="00445FE3"/>
    <w:rsid w:val="0044690A"/>
    <w:rsid w:val="00446F96"/>
    <w:rsid w:val="0044766C"/>
    <w:rsid w:val="00447B6C"/>
    <w:rsid w:val="00450230"/>
    <w:rsid w:val="0045064F"/>
    <w:rsid w:val="00451127"/>
    <w:rsid w:val="0045117A"/>
    <w:rsid w:val="00451276"/>
    <w:rsid w:val="00451700"/>
    <w:rsid w:val="00451C50"/>
    <w:rsid w:val="00451E36"/>
    <w:rsid w:val="0045236A"/>
    <w:rsid w:val="0045284B"/>
    <w:rsid w:val="00452D5C"/>
    <w:rsid w:val="00453298"/>
    <w:rsid w:val="00454509"/>
    <w:rsid w:val="00454967"/>
    <w:rsid w:val="00454D8C"/>
    <w:rsid w:val="004551ED"/>
    <w:rsid w:val="004556E4"/>
    <w:rsid w:val="00455DA7"/>
    <w:rsid w:val="00456E45"/>
    <w:rsid w:val="00457331"/>
    <w:rsid w:val="00457415"/>
    <w:rsid w:val="00457C37"/>
    <w:rsid w:val="00457E26"/>
    <w:rsid w:val="00460675"/>
    <w:rsid w:val="004607A3"/>
    <w:rsid w:val="00460947"/>
    <w:rsid w:val="0046097B"/>
    <w:rsid w:val="00460A40"/>
    <w:rsid w:val="00460E78"/>
    <w:rsid w:val="0046111E"/>
    <w:rsid w:val="00462BAF"/>
    <w:rsid w:val="00462C39"/>
    <w:rsid w:val="00463100"/>
    <w:rsid w:val="00463B42"/>
    <w:rsid w:val="00464689"/>
    <w:rsid w:val="00464DDF"/>
    <w:rsid w:val="00464EBF"/>
    <w:rsid w:val="00466D1C"/>
    <w:rsid w:val="00466DAF"/>
    <w:rsid w:val="00467BD0"/>
    <w:rsid w:val="00470B05"/>
    <w:rsid w:val="00470F70"/>
    <w:rsid w:val="00471D4B"/>
    <w:rsid w:val="00472531"/>
    <w:rsid w:val="00472E4A"/>
    <w:rsid w:val="004735A9"/>
    <w:rsid w:val="00473C44"/>
    <w:rsid w:val="00473D90"/>
    <w:rsid w:val="00473DD1"/>
    <w:rsid w:val="00474DF9"/>
    <w:rsid w:val="00474EC9"/>
    <w:rsid w:val="00475356"/>
    <w:rsid w:val="00475699"/>
    <w:rsid w:val="0047573B"/>
    <w:rsid w:val="004758C9"/>
    <w:rsid w:val="00476CCF"/>
    <w:rsid w:val="00477CE2"/>
    <w:rsid w:val="00477EF6"/>
    <w:rsid w:val="00480140"/>
    <w:rsid w:val="00480DA5"/>
    <w:rsid w:val="004811D8"/>
    <w:rsid w:val="0048131A"/>
    <w:rsid w:val="004814EC"/>
    <w:rsid w:val="004818E1"/>
    <w:rsid w:val="0048212E"/>
    <w:rsid w:val="00482A27"/>
    <w:rsid w:val="00483C0C"/>
    <w:rsid w:val="00484030"/>
    <w:rsid w:val="00485180"/>
    <w:rsid w:val="004866B9"/>
    <w:rsid w:val="00490491"/>
    <w:rsid w:val="004906F4"/>
    <w:rsid w:val="0049120E"/>
    <w:rsid w:val="0049135F"/>
    <w:rsid w:val="004915B0"/>
    <w:rsid w:val="00491736"/>
    <w:rsid w:val="00491879"/>
    <w:rsid w:val="00491C6E"/>
    <w:rsid w:val="00492364"/>
    <w:rsid w:val="004929F4"/>
    <w:rsid w:val="00492E98"/>
    <w:rsid w:val="00493392"/>
    <w:rsid w:val="00493660"/>
    <w:rsid w:val="004938DE"/>
    <w:rsid w:val="00493D29"/>
    <w:rsid w:val="00494276"/>
    <w:rsid w:val="0049493D"/>
    <w:rsid w:val="00494C20"/>
    <w:rsid w:val="00494C62"/>
    <w:rsid w:val="00494F53"/>
    <w:rsid w:val="00496E4C"/>
    <w:rsid w:val="00497A3D"/>
    <w:rsid w:val="004A01D4"/>
    <w:rsid w:val="004A05BC"/>
    <w:rsid w:val="004A1032"/>
    <w:rsid w:val="004A1A0F"/>
    <w:rsid w:val="004A21AA"/>
    <w:rsid w:val="004A23CF"/>
    <w:rsid w:val="004A2AD0"/>
    <w:rsid w:val="004A2B6F"/>
    <w:rsid w:val="004A31D3"/>
    <w:rsid w:val="004A394C"/>
    <w:rsid w:val="004A3D87"/>
    <w:rsid w:val="004A43D2"/>
    <w:rsid w:val="004A4654"/>
    <w:rsid w:val="004A47C5"/>
    <w:rsid w:val="004A4964"/>
    <w:rsid w:val="004A498B"/>
    <w:rsid w:val="004A5250"/>
    <w:rsid w:val="004A5A1C"/>
    <w:rsid w:val="004A5BE8"/>
    <w:rsid w:val="004A6C13"/>
    <w:rsid w:val="004A6F87"/>
    <w:rsid w:val="004A7096"/>
    <w:rsid w:val="004A7C17"/>
    <w:rsid w:val="004A7D80"/>
    <w:rsid w:val="004B0028"/>
    <w:rsid w:val="004B01C2"/>
    <w:rsid w:val="004B067D"/>
    <w:rsid w:val="004B1273"/>
    <w:rsid w:val="004B16BB"/>
    <w:rsid w:val="004B18A5"/>
    <w:rsid w:val="004B19B8"/>
    <w:rsid w:val="004B19BF"/>
    <w:rsid w:val="004B1E79"/>
    <w:rsid w:val="004B2493"/>
    <w:rsid w:val="004B4310"/>
    <w:rsid w:val="004B435A"/>
    <w:rsid w:val="004B4680"/>
    <w:rsid w:val="004B52CC"/>
    <w:rsid w:val="004B583A"/>
    <w:rsid w:val="004B5BAA"/>
    <w:rsid w:val="004B5FD5"/>
    <w:rsid w:val="004B6835"/>
    <w:rsid w:val="004B6FEF"/>
    <w:rsid w:val="004B7159"/>
    <w:rsid w:val="004B7F55"/>
    <w:rsid w:val="004C08AC"/>
    <w:rsid w:val="004C0FAE"/>
    <w:rsid w:val="004C137E"/>
    <w:rsid w:val="004C1595"/>
    <w:rsid w:val="004C1706"/>
    <w:rsid w:val="004C1F34"/>
    <w:rsid w:val="004C3D99"/>
    <w:rsid w:val="004C4146"/>
    <w:rsid w:val="004C4E67"/>
    <w:rsid w:val="004C5057"/>
    <w:rsid w:val="004C533A"/>
    <w:rsid w:val="004C695B"/>
    <w:rsid w:val="004C7A96"/>
    <w:rsid w:val="004C7EDA"/>
    <w:rsid w:val="004D14E1"/>
    <w:rsid w:val="004D1B97"/>
    <w:rsid w:val="004D1FC0"/>
    <w:rsid w:val="004D2AAD"/>
    <w:rsid w:val="004D32FC"/>
    <w:rsid w:val="004D3911"/>
    <w:rsid w:val="004D3E6F"/>
    <w:rsid w:val="004D4140"/>
    <w:rsid w:val="004D4652"/>
    <w:rsid w:val="004D4B91"/>
    <w:rsid w:val="004D4D6A"/>
    <w:rsid w:val="004D51B2"/>
    <w:rsid w:val="004D51E5"/>
    <w:rsid w:val="004D5CAF"/>
    <w:rsid w:val="004D5E00"/>
    <w:rsid w:val="004D606C"/>
    <w:rsid w:val="004D615D"/>
    <w:rsid w:val="004D632D"/>
    <w:rsid w:val="004D6849"/>
    <w:rsid w:val="004D6B8F"/>
    <w:rsid w:val="004D6C39"/>
    <w:rsid w:val="004D7143"/>
    <w:rsid w:val="004D73E8"/>
    <w:rsid w:val="004E0479"/>
    <w:rsid w:val="004E07AD"/>
    <w:rsid w:val="004E0CD5"/>
    <w:rsid w:val="004E1121"/>
    <w:rsid w:val="004E16C0"/>
    <w:rsid w:val="004E178F"/>
    <w:rsid w:val="004E2A13"/>
    <w:rsid w:val="004E3040"/>
    <w:rsid w:val="004E3143"/>
    <w:rsid w:val="004E33D3"/>
    <w:rsid w:val="004E3584"/>
    <w:rsid w:val="004E3BC6"/>
    <w:rsid w:val="004E3CDD"/>
    <w:rsid w:val="004E3FDE"/>
    <w:rsid w:val="004E4CDE"/>
    <w:rsid w:val="004E4FE7"/>
    <w:rsid w:val="004E51BE"/>
    <w:rsid w:val="004E558A"/>
    <w:rsid w:val="004E5A70"/>
    <w:rsid w:val="004E6FCF"/>
    <w:rsid w:val="004E792F"/>
    <w:rsid w:val="004E79E1"/>
    <w:rsid w:val="004F06CE"/>
    <w:rsid w:val="004F133A"/>
    <w:rsid w:val="004F14D3"/>
    <w:rsid w:val="004F14F3"/>
    <w:rsid w:val="004F16C4"/>
    <w:rsid w:val="004F1C72"/>
    <w:rsid w:val="004F2383"/>
    <w:rsid w:val="004F293D"/>
    <w:rsid w:val="004F2AB1"/>
    <w:rsid w:val="004F2ED7"/>
    <w:rsid w:val="004F2F57"/>
    <w:rsid w:val="004F347B"/>
    <w:rsid w:val="004F3BA2"/>
    <w:rsid w:val="004F443E"/>
    <w:rsid w:val="004F49F4"/>
    <w:rsid w:val="004F5AC2"/>
    <w:rsid w:val="004F5EA5"/>
    <w:rsid w:val="004F5FCC"/>
    <w:rsid w:val="004F700D"/>
    <w:rsid w:val="004F706B"/>
    <w:rsid w:val="00500A9D"/>
    <w:rsid w:val="00500D80"/>
    <w:rsid w:val="00500F0A"/>
    <w:rsid w:val="00500F17"/>
    <w:rsid w:val="005012EB"/>
    <w:rsid w:val="0050145E"/>
    <w:rsid w:val="005014EF"/>
    <w:rsid w:val="005017B5"/>
    <w:rsid w:val="00501934"/>
    <w:rsid w:val="00501E21"/>
    <w:rsid w:val="00502480"/>
    <w:rsid w:val="005027FD"/>
    <w:rsid w:val="00502CB5"/>
    <w:rsid w:val="00502D56"/>
    <w:rsid w:val="00503773"/>
    <w:rsid w:val="005038F4"/>
    <w:rsid w:val="00504620"/>
    <w:rsid w:val="005049BF"/>
    <w:rsid w:val="00504B5F"/>
    <w:rsid w:val="00504D37"/>
    <w:rsid w:val="00504FA6"/>
    <w:rsid w:val="005052D5"/>
    <w:rsid w:val="00506237"/>
    <w:rsid w:val="005067E7"/>
    <w:rsid w:val="00506A2B"/>
    <w:rsid w:val="0050787B"/>
    <w:rsid w:val="0050794D"/>
    <w:rsid w:val="0051012B"/>
    <w:rsid w:val="0051017D"/>
    <w:rsid w:val="00510B89"/>
    <w:rsid w:val="00511AB3"/>
    <w:rsid w:val="0051201A"/>
    <w:rsid w:val="00512B64"/>
    <w:rsid w:val="00512D87"/>
    <w:rsid w:val="00512FC8"/>
    <w:rsid w:val="00513745"/>
    <w:rsid w:val="005137B7"/>
    <w:rsid w:val="00513886"/>
    <w:rsid w:val="00513B90"/>
    <w:rsid w:val="00513DEA"/>
    <w:rsid w:val="00513F6A"/>
    <w:rsid w:val="0051488B"/>
    <w:rsid w:val="00514FBF"/>
    <w:rsid w:val="005157A9"/>
    <w:rsid w:val="005165DF"/>
    <w:rsid w:val="0051676C"/>
    <w:rsid w:val="00517171"/>
    <w:rsid w:val="00517178"/>
    <w:rsid w:val="00517A98"/>
    <w:rsid w:val="00517CF6"/>
    <w:rsid w:val="0052032B"/>
    <w:rsid w:val="005203A2"/>
    <w:rsid w:val="00520ABB"/>
    <w:rsid w:val="00520B79"/>
    <w:rsid w:val="00520E63"/>
    <w:rsid w:val="00521598"/>
    <w:rsid w:val="00521F0A"/>
    <w:rsid w:val="0052218C"/>
    <w:rsid w:val="00522C6F"/>
    <w:rsid w:val="005230DA"/>
    <w:rsid w:val="0052314A"/>
    <w:rsid w:val="00523829"/>
    <w:rsid w:val="00523C7F"/>
    <w:rsid w:val="00523D38"/>
    <w:rsid w:val="00523D3B"/>
    <w:rsid w:val="00523DF1"/>
    <w:rsid w:val="00524137"/>
    <w:rsid w:val="00524212"/>
    <w:rsid w:val="005245B4"/>
    <w:rsid w:val="00524CB0"/>
    <w:rsid w:val="00524DF9"/>
    <w:rsid w:val="00524F32"/>
    <w:rsid w:val="00525D7A"/>
    <w:rsid w:val="00526003"/>
    <w:rsid w:val="005260DB"/>
    <w:rsid w:val="005261E3"/>
    <w:rsid w:val="005276A0"/>
    <w:rsid w:val="00527DC8"/>
    <w:rsid w:val="00530345"/>
    <w:rsid w:val="00530BEC"/>
    <w:rsid w:val="00530C5E"/>
    <w:rsid w:val="00530F7D"/>
    <w:rsid w:val="005310E9"/>
    <w:rsid w:val="00531EBB"/>
    <w:rsid w:val="005325B0"/>
    <w:rsid w:val="00532A71"/>
    <w:rsid w:val="00532C0E"/>
    <w:rsid w:val="0053306C"/>
    <w:rsid w:val="00533609"/>
    <w:rsid w:val="005336C7"/>
    <w:rsid w:val="00533A72"/>
    <w:rsid w:val="00533FE9"/>
    <w:rsid w:val="00534794"/>
    <w:rsid w:val="00534EE4"/>
    <w:rsid w:val="00535176"/>
    <w:rsid w:val="00535BD2"/>
    <w:rsid w:val="00535E7B"/>
    <w:rsid w:val="00536582"/>
    <w:rsid w:val="005373DA"/>
    <w:rsid w:val="005379A4"/>
    <w:rsid w:val="00537C5F"/>
    <w:rsid w:val="00540248"/>
    <w:rsid w:val="005403FC"/>
    <w:rsid w:val="0054137C"/>
    <w:rsid w:val="00541675"/>
    <w:rsid w:val="00541DAE"/>
    <w:rsid w:val="00541DC6"/>
    <w:rsid w:val="00542C07"/>
    <w:rsid w:val="00542D92"/>
    <w:rsid w:val="00544674"/>
    <w:rsid w:val="00544ACA"/>
    <w:rsid w:val="00544B31"/>
    <w:rsid w:val="00545BD2"/>
    <w:rsid w:val="00545E83"/>
    <w:rsid w:val="00546C3B"/>
    <w:rsid w:val="00546C8A"/>
    <w:rsid w:val="00546E9B"/>
    <w:rsid w:val="005474F9"/>
    <w:rsid w:val="0055059D"/>
    <w:rsid w:val="0055097D"/>
    <w:rsid w:val="00550EC6"/>
    <w:rsid w:val="00551354"/>
    <w:rsid w:val="0055180D"/>
    <w:rsid w:val="00552379"/>
    <w:rsid w:val="00552A95"/>
    <w:rsid w:val="00552E16"/>
    <w:rsid w:val="00553156"/>
    <w:rsid w:val="00553385"/>
    <w:rsid w:val="0055339A"/>
    <w:rsid w:val="0055403C"/>
    <w:rsid w:val="00554FB1"/>
    <w:rsid w:val="00555721"/>
    <w:rsid w:val="0055672B"/>
    <w:rsid w:val="00557472"/>
    <w:rsid w:val="00557896"/>
    <w:rsid w:val="00557D64"/>
    <w:rsid w:val="005606FA"/>
    <w:rsid w:val="00560F89"/>
    <w:rsid w:val="005610D7"/>
    <w:rsid w:val="005613C3"/>
    <w:rsid w:val="00561F0E"/>
    <w:rsid w:val="0056200C"/>
    <w:rsid w:val="00562C3B"/>
    <w:rsid w:val="00562C82"/>
    <w:rsid w:val="005637E9"/>
    <w:rsid w:val="00563852"/>
    <w:rsid w:val="00563A2D"/>
    <w:rsid w:val="00563D45"/>
    <w:rsid w:val="005646E9"/>
    <w:rsid w:val="00564AFC"/>
    <w:rsid w:val="00564B32"/>
    <w:rsid w:val="00564C7D"/>
    <w:rsid w:val="0056541B"/>
    <w:rsid w:val="0056556E"/>
    <w:rsid w:val="00565FAF"/>
    <w:rsid w:val="0056753A"/>
    <w:rsid w:val="00567641"/>
    <w:rsid w:val="005679B6"/>
    <w:rsid w:val="0057043E"/>
    <w:rsid w:val="00570574"/>
    <w:rsid w:val="005719EA"/>
    <w:rsid w:val="005723C6"/>
    <w:rsid w:val="0057279D"/>
    <w:rsid w:val="005749A6"/>
    <w:rsid w:val="00574B34"/>
    <w:rsid w:val="00575D22"/>
    <w:rsid w:val="00576423"/>
    <w:rsid w:val="005767BF"/>
    <w:rsid w:val="00576902"/>
    <w:rsid w:val="00576B6F"/>
    <w:rsid w:val="0058095B"/>
    <w:rsid w:val="00582392"/>
    <w:rsid w:val="005825CA"/>
    <w:rsid w:val="00582851"/>
    <w:rsid w:val="00583191"/>
    <w:rsid w:val="005834B2"/>
    <w:rsid w:val="005841A2"/>
    <w:rsid w:val="00584F60"/>
    <w:rsid w:val="00585520"/>
    <w:rsid w:val="00585BAE"/>
    <w:rsid w:val="005864A8"/>
    <w:rsid w:val="00587188"/>
    <w:rsid w:val="005876E5"/>
    <w:rsid w:val="0059135E"/>
    <w:rsid w:val="00591527"/>
    <w:rsid w:val="005915BA"/>
    <w:rsid w:val="00591783"/>
    <w:rsid w:val="00591A34"/>
    <w:rsid w:val="00591D19"/>
    <w:rsid w:val="00592794"/>
    <w:rsid w:val="00592AD6"/>
    <w:rsid w:val="0059401A"/>
    <w:rsid w:val="0059465E"/>
    <w:rsid w:val="00595B07"/>
    <w:rsid w:val="00595CAC"/>
    <w:rsid w:val="00595F18"/>
    <w:rsid w:val="0059604A"/>
    <w:rsid w:val="005962E9"/>
    <w:rsid w:val="00596D39"/>
    <w:rsid w:val="005972CB"/>
    <w:rsid w:val="005973DF"/>
    <w:rsid w:val="00597F28"/>
    <w:rsid w:val="005A12D7"/>
    <w:rsid w:val="005A16A6"/>
    <w:rsid w:val="005A17C5"/>
    <w:rsid w:val="005A1914"/>
    <w:rsid w:val="005A2A71"/>
    <w:rsid w:val="005A33A1"/>
    <w:rsid w:val="005A5068"/>
    <w:rsid w:val="005A51A9"/>
    <w:rsid w:val="005A5789"/>
    <w:rsid w:val="005A59F7"/>
    <w:rsid w:val="005A5DFB"/>
    <w:rsid w:val="005A5F95"/>
    <w:rsid w:val="005A6DB9"/>
    <w:rsid w:val="005A714D"/>
    <w:rsid w:val="005A7719"/>
    <w:rsid w:val="005A7E8C"/>
    <w:rsid w:val="005B0362"/>
    <w:rsid w:val="005B0ED9"/>
    <w:rsid w:val="005B1280"/>
    <w:rsid w:val="005B1470"/>
    <w:rsid w:val="005B19E1"/>
    <w:rsid w:val="005B1B84"/>
    <w:rsid w:val="005B1D5A"/>
    <w:rsid w:val="005B1E22"/>
    <w:rsid w:val="005B27A4"/>
    <w:rsid w:val="005B309B"/>
    <w:rsid w:val="005B3897"/>
    <w:rsid w:val="005B3EDF"/>
    <w:rsid w:val="005B467E"/>
    <w:rsid w:val="005B46D9"/>
    <w:rsid w:val="005B4D2F"/>
    <w:rsid w:val="005B5A8C"/>
    <w:rsid w:val="005B5CBF"/>
    <w:rsid w:val="005B5D6B"/>
    <w:rsid w:val="005C01B9"/>
    <w:rsid w:val="005C0DB9"/>
    <w:rsid w:val="005C151A"/>
    <w:rsid w:val="005C177C"/>
    <w:rsid w:val="005C19B1"/>
    <w:rsid w:val="005C1EC7"/>
    <w:rsid w:val="005C21F8"/>
    <w:rsid w:val="005C2687"/>
    <w:rsid w:val="005C2B07"/>
    <w:rsid w:val="005C2FB3"/>
    <w:rsid w:val="005C3029"/>
    <w:rsid w:val="005C3216"/>
    <w:rsid w:val="005C3DEC"/>
    <w:rsid w:val="005C4505"/>
    <w:rsid w:val="005C464A"/>
    <w:rsid w:val="005C4D61"/>
    <w:rsid w:val="005C4DFC"/>
    <w:rsid w:val="005C52CE"/>
    <w:rsid w:val="005C573C"/>
    <w:rsid w:val="005C57AF"/>
    <w:rsid w:val="005C5C65"/>
    <w:rsid w:val="005C5F79"/>
    <w:rsid w:val="005C616B"/>
    <w:rsid w:val="005C63E8"/>
    <w:rsid w:val="005C7C6A"/>
    <w:rsid w:val="005D0359"/>
    <w:rsid w:val="005D0FB5"/>
    <w:rsid w:val="005D10C0"/>
    <w:rsid w:val="005D1FC8"/>
    <w:rsid w:val="005D3798"/>
    <w:rsid w:val="005D40CE"/>
    <w:rsid w:val="005D4508"/>
    <w:rsid w:val="005D49C8"/>
    <w:rsid w:val="005D5201"/>
    <w:rsid w:val="005D5447"/>
    <w:rsid w:val="005D578C"/>
    <w:rsid w:val="005D5BAA"/>
    <w:rsid w:val="005D6E98"/>
    <w:rsid w:val="005D7CBA"/>
    <w:rsid w:val="005D7F3D"/>
    <w:rsid w:val="005E02F3"/>
    <w:rsid w:val="005E0763"/>
    <w:rsid w:val="005E0974"/>
    <w:rsid w:val="005E0CD6"/>
    <w:rsid w:val="005E1195"/>
    <w:rsid w:val="005E1C21"/>
    <w:rsid w:val="005E1EED"/>
    <w:rsid w:val="005E2AFF"/>
    <w:rsid w:val="005E345C"/>
    <w:rsid w:val="005E3973"/>
    <w:rsid w:val="005E3B1E"/>
    <w:rsid w:val="005E4CC9"/>
    <w:rsid w:val="005E4DFF"/>
    <w:rsid w:val="005E5077"/>
    <w:rsid w:val="005E5093"/>
    <w:rsid w:val="005E56F1"/>
    <w:rsid w:val="005E6C34"/>
    <w:rsid w:val="005F00F2"/>
    <w:rsid w:val="005F0B1D"/>
    <w:rsid w:val="005F0E9B"/>
    <w:rsid w:val="005F1655"/>
    <w:rsid w:val="005F2317"/>
    <w:rsid w:val="005F3141"/>
    <w:rsid w:val="005F32E6"/>
    <w:rsid w:val="005F4161"/>
    <w:rsid w:val="005F43F7"/>
    <w:rsid w:val="005F4485"/>
    <w:rsid w:val="005F48E6"/>
    <w:rsid w:val="005F49C5"/>
    <w:rsid w:val="005F4B9F"/>
    <w:rsid w:val="005F4D78"/>
    <w:rsid w:val="005F5018"/>
    <w:rsid w:val="005F51C1"/>
    <w:rsid w:val="005F53A0"/>
    <w:rsid w:val="005F5D5A"/>
    <w:rsid w:val="005F5FF3"/>
    <w:rsid w:val="005F68F9"/>
    <w:rsid w:val="0060000F"/>
    <w:rsid w:val="006005E6"/>
    <w:rsid w:val="00600BA1"/>
    <w:rsid w:val="00600CD4"/>
    <w:rsid w:val="006011A4"/>
    <w:rsid w:val="00601595"/>
    <w:rsid w:val="00601B01"/>
    <w:rsid w:val="00601B94"/>
    <w:rsid w:val="006024F0"/>
    <w:rsid w:val="00602C03"/>
    <w:rsid w:val="0060311E"/>
    <w:rsid w:val="006031A7"/>
    <w:rsid w:val="0060441A"/>
    <w:rsid w:val="00604507"/>
    <w:rsid w:val="0060457A"/>
    <w:rsid w:val="006047E6"/>
    <w:rsid w:val="006047F6"/>
    <w:rsid w:val="00605300"/>
    <w:rsid w:val="006074BD"/>
    <w:rsid w:val="00607570"/>
    <w:rsid w:val="00607B72"/>
    <w:rsid w:val="006102EF"/>
    <w:rsid w:val="00611148"/>
    <w:rsid w:val="006116F4"/>
    <w:rsid w:val="00612023"/>
    <w:rsid w:val="00612952"/>
    <w:rsid w:val="0061299C"/>
    <w:rsid w:val="00612E31"/>
    <w:rsid w:val="00612E36"/>
    <w:rsid w:val="00613815"/>
    <w:rsid w:val="006138A2"/>
    <w:rsid w:val="00613C69"/>
    <w:rsid w:val="00614089"/>
    <w:rsid w:val="00614ABB"/>
    <w:rsid w:val="00615552"/>
    <w:rsid w:val="0061586A"/>
    <w:rsid w:val="006173CE"/>
    <w:rsid w:val="00617F70"/>
    <w:rsid w:val="00620674"/>
    <w:rsid w:val="006207F6"/>
    <w:rsid w:val="006210B1"/>
    <w:rsid w:val="006211FB"/>
    <w:rsid w:val="00621B6D"/>
    <w:rsid w:val="00621DC3"/>
    <w:rsid w:val="00622759"/>
    <w:rsid w:val="00622D63"/>
    <w:rsid w:val="00623750"/>
    <w:rsid w:val="006240BB"/>
    <w:rsid w:val="00624355"/>
    <w:rsid w:val="006243D1"/>
    <w:rsid w:val="00624564"/>
    <w:rsid w:val="006258A8"/>
    <w:rsid w:val="00625AD1"/>
    <w:rsid w:val="00625C5A"/>
    <w:rsid w:val="0062766B"/>
    <w:rsid w:val="00627986"/>
    <w:rsid w:val="00627ACF"/>
    <w:rsid w:val="006301C2"/>
    <w:rsid w:val="006304C6"/>
    <w:rsid w:val="00630614"/>
    <w:rsid w:val="00630ED3"/>
    <w:rsid w:val="00631713"/>
    <w:rsid w:val="00631CB1"/>
    <w:rsid w:val="006323C1"/>
    <w:rsid w:val="00632917"/>
    <w:rsid w:val="00633E3F"/>
    <w:rsid w:val="00633FA7"/>
    <w:rsid w:val="006341A5"/>
    <w:rsid w:val="006342B5"/>
    <w:rsid w:val="00634882"/>
    <w:rsid w:val="00634A84"/>
    <w:rsid w:val="00634C7A"/>
    <w:rsid w:val="00635131"/>
    <w:rsid w:val="00636157"/>
    <w:rsid w:val="006362D7"/>
    <w:rsid w:val="0063686F"/>
    <w:rsid w:val="00636C75"/>
    <w:rsid w:val="00636F36"/>
    <w:rsid w:val="00636FCF"/>
    <w:rsid w:val="0063705A"/>
    <w:rsid w:val="00637127"/>
    <w:rsid w:val="0063756B"/>
    <w:rsid w:val="00637AAD"/>
    <w:rsid w:val="00637DE0"/>
    <w:rsid w:val="0064017A"/>
    <w:rsid w:val="006401C0"/>
    <w:rsid w:val="00640465"/>
    <w:rsid w:val="0064092F"/>
    <w:rsid w:val="00640BB1"/>
    <w:rsid w:val="0064101E"/>
    <w:rsid w:val="0064126A"/>
    <w:rsid w:val="0064206F"/>
    <w:rsid w:val="006430B6"/>
    <w:rsid w:val="00643346"/>
    <w:rsid w:val="006433BF"/>
    <w:rsid w:val="00643401"/>
    <w:rsid w:val="00643B60"/>
    <w:rsid w:val="00644D66"/>
    <w:rsid w:val="006458F6"/>
    <w:rsid w:val="006467B2"/>
    <w:rsid w:val="0064691B"/>
    <w:rsid w:val="006479B9"/>
    <w:rsid w:val="006479D6"/>
    <w:rsid w:val="00647F4C"/>
    <w:rsid w:val="00647FD0"/>
    <w:rsid w:val="00650607"/>
    <w:rsid w:val="006525FA"/>
    <w:rsid w:val="00652DC4"/>
    <w:rsid w:val="00652E37"/>
    <w:rsid w:val="00653608"/>
    <w:rsid w:val="00653840"/>
    <w:rsid w:val="006541D3"/>
    <w:rsid w:val="0065443F"/>
    <w:rsid w:val="00655044"/>
    <w:rsid w:val="0065569A"/>
    <w:rsid w:val="006557BA"/>
    <w:rsid w:val="00656E22"/>
    <w:rsid w:val="0065717E"/>
    <w:rsid w:val="006576E3"/>
    <w:rsid w:val="00657D70"/>
    <w:rsid w:val="006605FC"/>
    <w:rsid w:val="0066098F"/>
    <w:rsid w:val="006609AF"/>
    <w:rsid w:val="00660E5C"/>
    <w:rsid w:val="0066171E"/>
    <w:rsid w:val="00661967"/>
    <w:rsid w:val="006623A7"/>
    <w:rsid w:val="0066263C"/>
    <w:rsid w:val="0066288D"/>
    <w:rsid w:val="00662A67"/>
    <w:rsid w:val="00662A72"/>
    <w:rsid w:val="00663678"/>
    <w:rsid w:val="00663CDE"/>
    <w:rsid w:val="00664A9E"/>
    <w:rsid w:val="006651E2"/>
    <w:rsid w:val="006659D9"/>
    <w:rsid w:val="00666923"/>
    <w:rsid w:val="00666BB2"/>
    <w:rsid w:val="006672A3"/>
    <w:rsid w:val="006672F7"/>
    <w:rsid w:val="006677AA"/>
    <w:rsid w:val="0067046D"/>
    <w:rsid w:val="0067060A"/>
    <w:rsid w:val="006719B7"/>
    <w:rsid w:val="00671B36"/>
    <w:rsid w:val="00673231"/>
    <w:rsid w:val="00673895"/>
    <w:rsid w:val="00673A04"/>
    <w:rsid w:val="00673E3D"/>
    <w:rsid w:val="006742A3"/>
    <w:rsid w:val="006747A7"/>
    <w:rsid w:val="00675144"/>
    <w:rsid w:val="00675D9C"/>
    <w:rsid w:val="00676D2B"/>
    <w:rsid w:val="00676F06"/>
    <w:rsid w:val="006800D0"/>
    <w:rsid w:val="00680FE9"/>
    <w:rsid w:val="006814B9"/>
    <w:rsid w:val="00681562"/>
    <w:rsid w:val="00681EC6"/>
    <w:rsid w:val="00681F66"/>
    <w:rsid w:val="006839A2"/>
    <w:rsid w:val="00683DCE"/>
    <w:rsid w:val="00684C93"/>
    <w:rsid w:val="00684D27"/>
    <w:rsid w:val="006850F6"/>
    <w:rsid w:val="006859E9"/>
    <w:rsid w:val="006860AD"/>
    <w:rsid w:val="006863EB"/>
    <w:rsid w:val="006868FA"/>
    <w:rsid w:val="00687BEF"/>
    <w:rsid w:val="00690563"/>
    <w:rsid w:val="006908B8"/>
    <w:rsid w:val="00691563"/>
    <w:rsid w:val="006918BA"/>
    <w:rsid w:val="00692D9C"/>
    <w:rsid w:val="00694796"/>
    <w:rsid w:val="00694B6B"/>
    <w:rsid w:val="00694D02"/>
    <w:rsid w:val="00695AF6"/>
    <w:rsid w:val="00695FBD"/>
    <w:rsid w:val="0069649A"/>
    <w:rsid w:val="00697000"/>
    <w:rsid w:val="00697250"/>
    <w:rsid w:val="0069733B"/>
    <w:rsid w:val="0069769F"/>
    <w:rsid w:val="00697D03"/>
    <w:rsid w:val="00697D8E"/>
    <w:rsid w:val="006A05F8"/>
    <w:rsid w:val="006A087A"/>
    <w:rsid w:val="006A0FFA"/>
    <w:rsid w:val="006A1B3D"/>
    <w:rsid w:val="006A2B76"/>
    <w:rsid w:val="006A2E93"/>
    <w:rsid w:val="006A31C4"/>
    <w:rsid w:val="006A35DC"/>
    <w:rsid w:val="006A37FA"/>
    <w:rsid w:val="006A39F2"/>
    <w:rsid w:val="006A3B8F"/>
    <w:rsid w:val="006A3F64"/>
    <w:rsid w:val="006A4179"/>
    <w:rsid w:val="006A4576"/>
    <w:rsid w:val="006A4980"/>
    <w:rsid w:val="006A4D82"/>
    <w:rsid w:val="006A502B"/>
    <w:rsid w:val="006A564B"/>
    <w:rsid w:val="006A688C"/>
    <w:rsid w:val="006A69D7"/>
    <w:rsid w:val="006A7C11"/>
    <w:rsid w:val="006B01EC"/>
    <w:rsid w:val="006B0628"/>
    <w:rsid w:val="006B096C"/>
    <w:rsid w:val="006B0C5F"/>
    <w:rsid w:val="006B11FA"/>
    <w:rsid w:val="006B1657"/>
    <w:rsid w:val="006B1EA1"/>
    <w:rsid w:val="006B1EAD"/>
    <w:rsid w:val="006B300E"/>
    <w:rsid w:val="006B35C5"/>
    <w:rsid w:val="006B3886"/>
    <w:rsid w:val="006B47FA"/>
    <w:rsid w:val="006B5217"/>
    <w:rsid w:val="006B52D1"/>
    <w:rsid w:val="006B5392"/>
    <w:rsid w:val="006B5584"/>
    <w:rsid w:val="006B65FD"/>
    <w:rsid w:val="006B6C44"/>
    <w:rsid w:val="006B719C"/>
    <w:rsid w:val="006C0350"/>
    <w:rsid w:val="006C0809"/>
    <w:rsid w:val="006C1C23"/>
    <w:rsid w:val="006C1CFF"/>
    <w:rsid w:val="006C2009"/>
    <w:rsid w:val="006C2059"/>
    <w:rsid w:val="006C2C43"/>
    <w:rsid w:val="006C2D84"/>
    <w:rsid w:val="006C2EA2"/>
    <w:rsid w:val="006C3236"/>
    <w:rsid w:val="006C3567"/>
    <w:rsid w:val="006C3F03"/>
    <w:rsid w:val="006C4B15"/>
    <w:rsid w:val="006C4E7F"/>
    <w:rsid w:val="006C50D3"/>
    <w:rsid w:val="006C51FF"/>
    <w:rsid w:val="006C5A35"/>
    <w:rsid w:val="006C6336"/>
    <w:rsid w:val="006C633B"/>
    <w:rsid w:val="006C6B0C"/>
    <w:rsid w:val="006C7236"/>
    <w:rsid w:val="006C741D"/>
    <w:rsid w:val="006C76C2"/>
    <w:rsid w:val="006D0326"/>
    <w:rsid w:val="006D0C34"/>
    <w:rsid w:val="006D152A"/>
    <w:rsid w:val="006D27DB"/>
    <w:rsid w:val="006D2E37"/>
    <w:rsid w:val="006D325C"/>
    <w:rsid w:val="006D3370"/>
    <w:rsid w:val="006D4D4F"/>
    <w:rsid w:val="006D51C8"/>
    <w:rsid w:val="006D529B"/>
    <w:rsid w:val="006D5394"/>
    <w:rsid w:val="006D5A68"/>
    <w:rsid w:val="006D5AD1"/>
    <w:rsid w:val="006D5B26"/>
    <w:rsid w:val="006D6186"/>
    <w:rsid w:val="006D64D0"/>
    <w:rsid w:val="006D76B6"/>
    <w:rsid w:val="006D7DF7"/>
    <w:rsid w:val="006D7FAD"/>
    <w:rsid w:val="006E06CB"/>
    <w:rsid w:val="006E1395"/>
    <w:rsid w:val="006E1E68"/>
    <w:rsid w:val="006E1FFF"/>
    <w:rsid w:val="006E27F8"/>
    <w:rsid w:val="006E2C0F"/>
    <w:rsid w:val="006E32DF"/>
    <w:rsid w:val="006E34F8"/>
    <w:rsid w:val="006E39D7"/>
    <w:rsid w:val="006E3AD7"/>
    <w:rsid w:val="006E467A"/>
    <w:rsid w:val="006E4FDB"/>
    <w:rsid w:val="006E555C"/>
    <w:rsid w:val="006E5634"/>
    <w:rsid w:val="006E56DE"/>
    <w:rsid w:val="006E648E"/>
    <w:rsid w:val="006E666F"/>
    <w:rsid w:val="006E67F9"/>
    <w:rsid w:val="006E699D"/>
    <w:rsid w:val="006E69DF"/>
    <w:rsid w:val="006E6A0D"/>
    <w:rsid w:val="006E6EF2"/>
    <w:rsid w:val="006E798D"/>
    <w:rsid w:val="006E7D69"/>
    <w:rsid w:val="006F0456"/>
    <w:rsid w:val="006F052A"/>
    <w:rsid w:val="006F0B3C"/>
    <w:rsid w:val="006F0DA2"/>
    <w:rsid w:val="006F0E3E"/>
    <w:rsid w:val="006F19AF"/>
    <w:rsid w:val="006F232A"/>
    <w:rsid w:val="006F24C6"/>
    <w:rsid w:val="006F3CD9"/>
    <w:rsid w:val="006F4163"/>
    <w:rsid w:val="006F4274"/>
    <w:rsid w:val="006F4479"/>
    <w:rsid w:val="006F4793"/>
    <w:rsid w:val="006F4991"/>
    <w:rsid w:val="006F49D5"/>
    <w:rsid w:val="006F50D7"/>
    <w:rsid w:val="006F5242"/>
    <w:rsid w:val="006F5CDD"/>
    <w:rsid w:val="006F7A8E"/>
    <w:rsid w:val="006F7AEF"/>
    <w:rsid w:val="00700DFB"/>
    <w:rsid w:val="007010C3"/>
    <w:rsid w:val="007010FB"/>
    <w:rsid w:val="00701733"/>
    <w:rsid w:val="00701E06"/>
    <w:rsid w:val="00701EB1"/>
    <w:rsid w:val="007029F5"/>
    <w:rsid w:val="0070353D"/>
    <w:rsid w:val="00703D38"/>
    <w:rsid w:val="0070461A"/>
    <w:rsid w:val="00704923"/>
    <w:rsid w:val="007055D6"/>
    <w:rsid w:val="0070568A"/>
    <w:rsid w:val="00706840"/>
    <w:rsid w:val="0070684F"/>
    <w:rsid w:val="007071EE"/>
    <w:rsid w:val="007073E4"/>
    <w:rsid w:val="007076C9"/>
    <w:rsid w:val="0071013D"/>
    <w:rsid w:val="00710753"/>
    <w:rsid w:val="0071090E"/>
    <w:rsid w:val="007118B6"/>
    <w:rsid w:val="00712882"/>
    <w:rsid w:val="00712895"/>
    <w:rsid w:val="00712986"/>
    <w:rsid w:val="0071298D"/>
    <w:rsid w:val="00712F97"/>
    <w:rsid w:val="00712FCD"/>
    <w:rsid w:val="00713047"/>
    <w:rsid w:val="00714288"/>
    <w:rsid w:val="007142AD"/>
    <w:rsid w:val="00714938"/>
    <w:rsid w:val="00714E3D"/>
    <w:rsid w:val="00715505"/>
    <w:rsid w:val="00715F4B"/>
    <w:rsid w:val="0071610E"/>
    <w:rsid w:val="00716BA5"/>
    <w:rsid w:val="007176E1"/>
    <w:rsid w:val="00717880"/>
    <w:rsid w:val="00717DCF"/>
    <w:rsid w:val="00717F47"/>
    <w:rsid w:val="0072194B"/>
    <w:rsid w:val="00722043"/>
    <w:rsid w:val="0072294C"/>
    <w:rsid w:val="00722A2E"/>
    <w:rsid w:val="0072398A"/>
    <w:rsid w:val="00723B1A"/>
    <w:rsid w:val="007244BC"/>
    <w:rsid w:val="00725B3E"/>
    <w:rsid w:val="00725C17"/>
    <w:rsid w:val="0072641A"/>
    <w:rsid w:val="00726686"/>
    <w:rsid w:val="00727349"/>
    <w:rsid w:val="0072742A"/>
    <w:rsid w:val="00727934"/>
    <w:rsid w:val="00727B7A"/>
    <w:rsid w:val="00727E98"/>
    <w:rsid w:val="00727FFB"/>
    <w:rsid w:val="00730397"/>
    <w:rsid w:val="0073045F"/>
    <w:rsid w:val="007307CD"/>
    <w:rsid w:val="007312FD"/>
    <w:rsid w:val="00731431"/>
    <w:rsid w:val="00731789"/>
    <w:rsid w:val="007317D9"/>
    <w:rsid w:val="00731A0B"/>
    <w:rsid w:val="007320B7"/>
    <w:rsid w:val="007320F1"/>
    <w:rsid w:val="0073236A"/>
    <w:rsid w:val="0073249A"/>
    <w:rsid w:val="007329E1"/>
    <w:rsid w:val="007345DF"/>
    <w:rsid w:val="00734856"/>
    <w:rsid w:val="00734F19"/>
    <w:rsid w:val="00734F61"/>
    <w:rsid w:val="007363CF"/>
    <w:rsid w:val="00736BA0"/>
    <w:rsid w:val="00736D3C"/>
    <w:rsid w:val="00737105"/>
    <w:rsid w:val="00737826"/>
    <w:rsid w:val="00737BDE"/>
    <w:rsid w:val="00737E9B"/>
    <w:rsid w:val="00737EAC"/>
    <w:rsid w:val="00737FB6"/>
    <w:rsid w:val="0074026B"/>
    <w:rsid w:val="0074097E"/>
    <w:rsid w:val="00741045"/>
    <w:rsid w:val="007412DF"/>
    <w:rsid w:val="0074175F"/>
    <w:rsid w:val="007418D3"/>
    <w:rsid w:val="007423CF"/>
    <w:rsid w:val="00742536"/>
    <w:rsid w:val="007428CB"/>
    <w:rsid w:val="007437DA"/>
    <w:rsid w:val="00743D1A"/>
    <w:rsid w:val="007445D0"/>
    <w:rsid w:val="0074497A"/>
    <w:rsid w:val="00744E45"/>
    <w:rsid w:val="00745295"/>
    <w:rsid w:val="007455CA"/>
    <w:rsid w:val="00745718"/>
    <w:rsid w:val="0074643B"/>
    <w:rsid w:val="00747F05"/>
    <w:rsid w:val="00750CB9"/>
    <w:rsid w:val="00751291"/>
    <w:rsid w:val="00751296"/>
    <w:rsid w:val="007517CE"/>
    <w:rsid w:val="00751A6E"/>
    <w:rsid w:val="007520E3"/>
    <w:rsid w:val="00752AD3"/>
    <w:rsid w:val="00752DD8"/>
    <w:rsid w:val="00752EB3"/>
    <w:rsid w:val="00753DB4"/>
    <w:rsid w:val="00753EAB"/>
    <w:rsid w:val="00754DDB"/>
    <w:rsid w:val="007551CF"/>
    <w:rsid w:val="00755246"/>
    <w:rsid w:val="0075583B"/>
    <w:rsid w:val="00755B28"/>
    <w:rsid w:val="00755D69"/>
    <w:rsid w:val="0075778B"/>
    <w:rsid w:val="00757A5B"/>
    <w:rsid w:val="00757F9A"/>
    <w:rsid w:val="00757FAD"/>
    <w:rsid w:val="00760384"/>
    <w:rsid w:val="00760DF5"/>
    <w:rsid w:val="00761FA1"/>
    <w:rsid w:val="0076294A"/>
    <w:rsid w:val="00762EF9"/>
    <w:rsid w:val="00762F73"/>
    <w:rsid w:val="00763242"/>
    <w:rsid w:val="00763379"/>
    <w:rsid w:val="00763FA7"/>
    <w:rsid w:val="0076468D"/>
    <w:rsid w:val="00764859"/>
    <w:rsid w:val="00764A23"/>
    <w:rsid w:val="007651A2"/>
    <w:rsid w:val="007658E8"/>
    <w:rsid w:val="00765DFE"/>
    <w:rsid w:val="00765F9B"/>
    <w:rsid w:val="0076627F"/>
    <w:rsid w:val="00766950"/>
    <w:rsid w:val="00766B58"/>
    <w:rsid w:val="00767915"/>
    <w:rsid w:val="00767AC9"/>
    <w:rsid w:val="00770BD4"/>
    <w:rsid w:val="007714E0"/>
    <w:rsid w:val="00771CAB"/>
    <w:rsid w:val="00772216"/>
    <w:rsid w:val="00772254"/>
    <w:rsid w:val="007729CE"/>
    <w:rsid w:val="00772BBD"/>
    <w:rsid w:val="00773FEE"/>
    <w:rsid w:val="007743BF"/>
    <w:rsid w:val="00774BE7"/>
    <w:rsid w:val="00774DC4"/>
    <w:rsid w:val="00775919"/>
    <w:rsid w:val="00775AA7"/>
    <w:rsid w:val="00775C50"/>
    <w:rsid w:val="00775CCC"/>
    <w:rsid w:val="00776CAC"/>
    <w:rsid w:val="007776AD"/>
    <w:rsid w:val="00777787"/>
    <w:rsid w:val="00780420"/>
    <w:rsid w:val="0078106C"/>
    <w:rsid w:val="00781137"/>
    <w:rsid w:val="00781E14"/>
    <w:rsid w:val="007820D3"/>
    <w:rsid w:val="0078237F"/>
    <w:rsid w:val="007826CD"/>
    <w:rsid w:val="00782737"/>
    <w:rsid w:val="0078303C"/>
    <w:rsid w:val="007830FD"/>
    <w:rsid w:val="0078344B"/>
    <w:rsid w:val="00783FE6"/>
    <w:rsid w:val="00784877"/>
    <w:rsid w:val="007849FB"/>
    <w:rsid w:val="00785057"/>
    <w:rsid w:val="0078513A"/>
    <w:rsid w:val="007853DC"/>
    <w:rsid w:val="00785BCC"/>
    <w:rsid w:val="00785BE2"/>
    <w:rsid w:val="007865B2"/>
    <w:rsid w:val="007865E8"/>
    <w:rsid w:val="00786879"/>
    <w:rsid w:val="007868CF"/>
    <w:rsid w:val="00786949"/>
    <w:rsid w:val="00786E10"/>
    <w:rsid w:val="00787409"/>
    <w:rsid w:val="00787446"/>
    <w:rsid w:val="00787A66"/>
    <w:rsid w:val="00790192"/>
    <w:rsid w:val="00790621"/>
    <w:rsid w:val="0079081B"/>
    <w:rsid w:val="00791285"/>
    <w:rsid w:val="00791C2C"/>
    <w:rsid w:val="00794376"/>
    <w:rsid w:val="0079483B"/>
    <w:rsid w:val="00794D83"/>
    <w:rsid w:val="00794EEB"/>
    <w:rsid w:val="00794F8C"/>
    <w:rsid w:val="007952CE"/>
    <w:rsid w:val="007954DE"/>
    <w:rsid w:val="007959A9"/>
    <w:rsid w:val="007963C9"/>
    <w:rsid w:val="007965FB"/>
    <w:rsid w:val="007974D1"/>
    <w:rsid w:val="007A079D"/>
    <w:rsid w:val="007A0AB3"/>
    <w:rsid w:val="007A1BB8"/>
    <w:rsid w:val="007A1C56"/>
    <w:rsid w:val="007A1F06"/>
    <w:rsid w:val="007A1F7A"/>
    <w:rsid w:val="007A2973"/>
    <w:rsid w:val="007A39C4"/>
    <w:rsid w:val="007A3A12"/>
    <w:rsid w:val="007A4A8C"/>
    <w:rsid w:val="007A5788"/>
    <w:rsid w:val="007A61CD"/>
    <w:rsid w:val="007A6E4D"/>
    <w:rsid w:val="007A710E"/>
    <w:rsid w:val="007A74FB"/>
    <w:rsid w:val="007A75F2"/>
    <w:rsid w:val="007A76FA"/>
    <w:rsid w:val="007A7B70"/>
    <w:rsid w:val="007A7BF3"/>
    <w:rsid w:val="007B04F2"/>
    <w:rsid w:val="007B0D3B"/>
    <w:rsid w:val="007B17CF"/>
    <w:rsid w:val="007B1DB3"/>
    <w:rsid w:val="007B1E27"/>
    <w:rsid w:val="007B212D"/>
    <w:rsid w:val="007B2568"/>
    <w:rsid w:val="007B275D"/>
    <w:rsid w:val="007B2999"/>
    <w:rsid w:val="007B2B77"/>
    <w:rsid w:val="007B2CF8"/>
    <w:rsid w:val="007B40A9"/>
    <w:rsid w:val="007B4484"/>
    <w:rsid w:val="007B4B5A"/>
    <w:rsid w:val="007B4DD7"/>
    <w:rsid w:val="007B4DE0"/>
    <w:rsid w:val="007B540F"/>
    <w:rsid w:val="007B57FA"/>
    <w:rsid w:val="007B6AD2"/>
    <w:rsid w:val="007B6B32"/>
    <w:rsid w:val="007B715B"/>
    <w:rsid w:val="007B7E5E"/>
    <w:rsid w:val="007B7F30"/>
    <w:rsid w:val="007C0DEE"/>
    <w:rsid w:val="007C0FEA"/>
    <w:rsid w:val="007C1DBE"/>
    <w:rsid w:val="007C1E0E"/>
    <w:rsid w:val="007C2697"/>
    <w:rsid w:val="007C3482"/>
    <w:rsid w:val="007C45C5"/>
    <w:rsid w:val="007C4D16"/>
    <w:rsid w:val="007C5A91"/>
    <w:rsid w:val="007C5D3E"/>
    <w:rsid w:val="007C5E9F"/>
    <w:rsid w:val="007C6063"/>
    <w:rsid w:val="007C6069"/>
    <w:rsid w:val="007C623B"/>
    <w:rsid w:val="007C6C26"/>
    <w:rsid w:val="007C70D7"/>
    <w:rsid w:val="007C7DE0"/>
    <w:rsid w:val="007D082B"/>
    <w:rsid w:val="007D0B56"/>
    <w:rsid w:val="007D127D"/>
    <w:rsid w:val="007D2728"/>
    <w:rsid w:val="007D28C2"/>
    <w:rsid w:val="007D29D7"/>
    <w:rsid w:val="007D2BD6"/>
    <w:rsid w:val="007D3827"/>
    <w:rsid w:val="007D3A20"/>
    <w:rsid w:val="007D4064"/>
    <w:rsid w:val="007D5992"/>
    <w:rsid w:val="007D5C7A"/>
    <w:rsid w:val="007D6B80"/>
    <w:rsid w:val="007D7412"/>
    <w:rsid w:val="007D77E6"/>
    <w:rsid w:val="007E0337"/>
    <w:rsid w:val="007E1530"/>
    <w:rsid w:val="007E15EC"/>
    <w:rsid w:val="007E172A"/>
    <w:rsid w:val="007E1A8B"/>
    <w:rsid w:val="007E1F5D"/>
    <w:rsid w:val="007E323E"/>
    <w:rsid w:val="007E3867"/>
    <w:rsid w:val="007E4CAA"/>
    <w:rsid w:val="007E4D81"/>
    <w:rsid w:val="007E4DC9"/>
    <w:rsid w:val="007E4E5D"/>
    <w:rsid w:val="007E58C8"/>
    <w:rsid w:val="007E5AB0"/>
    <w:rsid w:val="007E5F08"/>
    <w:rsid w:val="007E6A05"/>
    <w:rsid w:val="007E6E93"/>
    <w:rsid w:val="007E6F8D"/>
    <w:rsid w:val="007E799D"/>
    <w:rsid w:val="007E7FAA"/>
    <w:rsid w:val="007F04DF"/>
    <w:rsid w:val="007F123E"/>
    <w:rsid w:val="007F150E"/>
    <w:rsid w:val="007F1A45"/>
    <w:rsid w:val="007F21FB"/>
    <w:rsid w:val="007F27C1"/>
    <w:rsid w:val="007F2936"/>
    <w:rsid w:val="007F295C"/>
    <w:rsid w:val="007F3B5C"/>
    <w:rsid w:val="007F47DF"/>
    <w:rsid w:val="007F48F1"/>
    <w:rsid w:val="007F5065"/>
    <w:rsid w:val="007F5120"/>
    <w:rsid w:val="007F51BB"/>
    <w:rsid w:val="007F55C0"/>
    <w:rsid w:val="007F6627"/>
    <w:rsid w:val="007F6B7B"/>
    <w:rsid w:val="007F6BED"/>
    <w:rsid w:val="007F7A17"/>
    <w:rsid w:val="008000E0"/>
    <w:rsid w:val="00800BD8"/>
    <w:rsid w:val="00800C53"/>
    <w:rsid w:val="00801117"/>
    <w:rsid w:val="0080134E"/>
    <w:rsid w:val="0080236E"/>
    <w:rsid w:val="00803A7D"/>
    <w:rsid w:val="008040A6"/>
    <w:rsid w:val="00804257"/>
    <w:rsid w:val="008042E3"/>
    <w:rsid w:val="008044CB"/>
    <w:rsid w:val="00804AD0"/>
    <w:rsid w:val="008052C1"/>
    <w:rsid w:val="00805735"/>
    <w:rsid w:val="00805A96"/>
    <w:rsid w:val="00805B52"/>
    <w:rsid w:val="00806599"/>
    <w:rsid w:val="00807099"/>
    <w:rsid w:val="00807214"/>
    <w:rsid w:val="00807848"/>
    <w:rsid w:val="00807F1B"/>
    <w:rsid w:val="0081027C"/>
    <w:rsid w:val="00810577"/>
    <w:rsid w:val="00810D84"/>
    <w:rsid w:val="008118DC"/>
    <w:rsid w:val="00811A69"/>
    <w:rsid w:val="00812EEA"/>
    <w:rsid w:val="008134FF"/>
    <w:rsid w:val="008148EF"/>
    <w:rsid w:val="00814DE7"/>
    <w:rsid w:val="00814E39"/>
    <w:rsid w:val="00815B58"/>
    <w:rsid w:val="00815EE4"/>
    <w:rsid w:val="00815FA5"/>
    <w:rsid w:val="00816D26"/>
    <w:rsid w:val="00816DEB"/>
    <w:rsid w:val="00816FEB"/>
    <w:rsid w:val="00817464"/>
    <w:rsid w:val="0081773C"/>
    <w:rsid w:val="00817B23"/>
    <w:rsid w:val="00817CEB"/>
    <w:rsid w:val="00820275"/>
    <w:rsid w:val="008225ED"/>
    <w:rsid w:val="00822761"/>
    <w:rsid w:val="00822B02"/>
    <w:rsid w:val="00822FCB"/>
    <w:rsid w:val="0082343C"/>
    <w:rsid w:val="008235F0"/>
    <w:rsid w:val="00823E6B"/>
    <w:rsid w:val="00823E78"/>
    <w:rsid w:val="008243C8"/>
    <w:rsid w:val="00824D9E"/>
    <w:rsid w:val="00825771"/>
    <w:rsid w:val="00825B96"/>
    <w:rsid w:val="00826AAD"/>
    <w:rsid w:val="00826E13"/>
    <w:rsid w:val="008270F2"/>
    <w:rsid w:val="008275BF"/>
    <w:rsid w:val="00827F1C"/>
    <w:rsid w:val="00827FB9"/>
    <w:rsid w:val="008305A3"/>
    <w:rsid w:val="00830891"/>
    <w:rsid w:val="00831000"/>
    <w:rsid w:val="00831817"/>
    <w:rsid w:val="00832208"/>
    <w:rsid w:val="008324E9"/>
    <w:rsid w:val="00832964"/>
    <w:rsid w:val="00832D3F"/>
    <w:rsid w:val="008330C7"/>
    <w:rsid w:val="00834B56"/>
    <w:rsid w:val="00834FE7"/>
    <w:rsid w:val="00835457"/>
    <w:rsid w:val="008356C7"/>
    <w:rsid w:val="008359C2"/>
    <w:rsid w:val="00835AF2"/>
    <w:rsid w:val="00835E5D"/>
    <w:rsid w:val="00835EA9"/>
    <w:rsid w:val="008360E2"/>
    <w:rsid w:val="008360E9"/>
    <w:rsid w:val="00836577"/>
    <w:rsid w:val="00837576"/>
    <w:rsid w:val="00837DD0"/>
    <w:rsid w:val="00837E4D"/>
    <w:rsid w:val="00840E00"/>
    <w:rsid w:val="00841029"/>
    <w:rsid w:val="008410C2"/>
    <w:rsid w:val="008411FB"/>
    <w:rsid w:val="0084167C"/>
    <w:rsid w:val="00841943"/>
    <w:rsid w:val="00842BF1"/>
    <w:rsid w:val="00843C01"/>
    <w:rsid w:val="00845246"/>
    <w:rsid w:val="00845304"/>
    <w:rsid w:val="00845339"/>
    <w:rsid w:val="0084580F"/>
    <w:rsid w:val="00845D30"/>
    <w:rsid w:val="008463F5"/>
    <w:rsid w:val="00846BA9"/>
    <w:rsid w:val="00846F9D"/>
    <w:rsid w:val="008477C4"/>
    <w:rsid w:val="008507C1"/>
    <w:rsid w:val="00850B00"/>
    <w:rsid w:val="00850D5C"/>
    <w:rsid w:val="0085149A"/>
    <w:rsid w:val="00851B6A"/>
    <w:rsid w:val="00851F67"/>
    <w:rsid w:val="00852D25"/>
    <w:rsid w:val="00853C09"/>
    <w:rsid w:val="00853ED8"/>
    <w:rsid w:val="008550A5"/>
    <w:rsid w:val="008553C5"/>
    <w:rsid w:val="00855BB5"/>
    <w:rsid w:val="0085638E"/>
    <w:rsid w:val="0085655B"/>
    <w:rsid w:val="00856683"/>
    <w:rsid w:val="008571AE"/>
    <w:rsid w:val="00857698"/>
    <w:rsid w:val="0085784B"/>
    <w:rsid w:val="00857989"/>
    <w:rsid w:val="008611CC"/>
    <w:rsid w:val="00861561"/>
    <w:rsid w:val="00861874"/>
    <w:rsid w:val="00862487"/>
    <w:rsid w:val="00862AFA"/>
    <w:rsid w:val="00862D4E"/>
    <w:rsid w:val="00863070"/>
    <w:rsid w:val="0086331E"/>
    <w:rsid w:val="00863B76"/>
    <w:rsid w:val="00863E16"/>
    <w:rsid w:val="00863E20"/>
    <w:rsid w:val="00863E9C"/>
    <w:rsid w:val="00863F62"/>
    <w:rsid w:val="0086452E"/>
    <w:rsid w:val="00865B84"/>
    <w:rsid w:val="008662BA"/>
    <w:rsid w:val="00866945"/>
    <w:rsid w:val="00867291"/>
    <w:rsid w:val="00867DEC"/>
    <w:rsid w:val="00870284"/>
    <w:rsid w:val="0087170E"/>
    <w:rsid w:val="00871B9B"/>
    <w:rsid w:val="008724AE"/>
    <w:rsid w:val="00872843"/>
    <w:rsid w:val="008735D9"/>
    <w:rsid w:val="0087377B"/>
    <w:rsid w:val="00873A51"/>
    <w:rsid w:val="00873DD8"/>
    <w:rsid w:val="0087489A"/>
    <w:rsid w:val="00874B36"/>
    <w:rsid w:val="00874D3F"/>
    <w:rsid w:val="00874E45"/>
    <w:rsid w:val="008751E5"/>
    <w:rsid w:val="00875568"/>
    <w:rsid w:val="00875A71"/>
    <w:rsid w:val="00875DCD"/>
    <w:rsid w:val="00875F3F"/>
    <w:rsid w:val="00876119"/>
    <w:rsid w:val="00876950"/>
    <w:rsid w:val="00876AFB"/>
    <w:rsid w:val="00876FED"/>
    <w:rsid w:val="00877211"/>
    <w:rsid w:val="00877718"/>
    <w:rsid w:val="00877CA3"/>
    <w:rsid w:val="008801A2"/>
    <w:rsid w:val="008819F3"/>
    <w:rsid w:val="00881D4A"/>
    <w:rsid w:val="00881FE8"/>
    <w:rsid w:val="00882208"/>
    <w:rsid w:val="008828A0"/>
    <w:rsid w:val="00882FEA"/>
    <w:rsid w:val="008843FB"/>
    <w:rsid w:val="00884864"/>
    <w:rsid w:val="00884A92"/>
    <w:rsid w:val="00884B46"/>
    <w:rsid w:val="0088524C"/>
    <w:rsid w:val="00885513"/>
    <w:rsid w:val="00885A68"/>
    <w:rsid w:val="00885BFF"/>
    <w:rsid w:val="00885E6F"/>
    <w:rsid w:val="00886092"/>
    <w:rsid w:val="00886D24"/>
    <w:rsid w:val="0088750E"/>
    <w:rsid w:val="008876A2"/>
    <w:rsid w:val="00887AC6"/>
    <w:rsid w:val="00887C23"/>
    <w:rsid w:val="008909C5"/>
    <w:rsid w:val="008914FF"/>
    <w:rsid w:val="00891875"/>
    <w:rsid w:val="00891B2D"/>
    <w:rsid w:val="00891BC1"/>
    <w:rsid w:val="00891DF2"/>
    <w:rsid w:val="00891E4E"/>
    <w:rsid w:val="008920BE"/>
    <w:rsid w:val="008922CA"/>
    <w:rsid w:val="00892439"/>
    <w:rsid w:val="0089256A"/>
    <w:rsid w:val="008926B2"/>
    <w:rsid w:val="00892858"/>
    <w:rsid w:val="008937E2"/>
    <w:rsid w:val="00893F80"/>
    <w:rsid w:val="008940EA"/>
    <w:rsid w:val="008949EF"/>
    <w:rsid w:val="00894DEF"/>
    <w:rsid w:val="00894F2B"/>
    <w:rsid w:val="00895315"/>
    <w:rsid w:val="008957EC"/>
    <w:rsid w:val="0089587D"/>
    <w:rsid w:val="008968DE"/>
    <w:rsid w:val="008974D5"/>
    <w:rsid w:val="00897B9A"/>
    <w:rsid w:val="008A0E91"/>
    <w:rsid w:val="008A1109"/>
    <w:rsid w:val="008A165E"/>
    <w:rsid w:val="008A1C82"/>
    <w:rsid w:val="008A1F2F"/>
    <w:rsid w:val="008A1F5F"/>
    <w:rsid w:val="008A24C5"/>
    <w:rsid w:val="008A259A"/>
    <w:rsid w:val="008A268B"/>
    <w:rsid w:val="008A2B75"/>
    <w:rsid w:val="008A2E18"/>
    <w:rsid w:val="008A31A5"/>
    <w:rsid w:val="008A3A62"/>
    <w:rsid w:val="008A3B38"/>
    <w:rsid w:val="008A3BEF"/>
    <w:rsid w:val="008A4535"/>
    <w:rsid w:val="008A4799"/>
    <w:rsid w:val="008A49AF"/>
    <w:rsid w:val="008A4A62"/>
    <w:rsid w:val="008A4EBF"/>
    <w:rsid w:val="008A51BE"/>
    <w:rsid w:val="008A5CE7"/>
    <w:rsid w:val="008A5E3E"/>
    <w:rsid w:val="008A6C77"/>
    <w:rsid w:val="008A6CCD"/>
    <w:rsid w:val="008A6F79"/>
    <w:rsid w:val="008A704E"/>
    <w:rsid w:val="008B0099"/>
    <w:rsid w:val="008B01F1"/>
    <w:rsid w:val="008B0E5C"/>
    <w:rsid w:val="008B0FE0"/>
    <w:rsid w:val="008B10A0"/>
    <w:rsid w:val="008B1AC5"/>
    <w:rsid w:val="008B1ACB"/>
    <w:rsid w:val="008B1D45"/>
    <w:rsid w:val="008B2265"/>
    <w:rsid w:val="008B22E9"/>
    <w:rsid w:val="008B252E"/>
    <w:rsid w:val="008B2689"/>
    <w:rsid w:val="008B3028"/>
    <w:rsid w:val="008B3AFD"/>
    <w:rsid w:val="008B4BD2"/>
    <w:rsid w:val="008B5019"/>
    <w:rsid w:val="008B5176"/>
    <w:rsid w:val="008B652E"/>
    <w:rsid w:val="008B66F6"/>
    <w:rsid w:val="008B7199"/>
    <w:rsid w:val="008B7A2E"/>
    <w:rsid w:val="008B7D65"/>
    <w:rsid w:val="008C046F"/>
    <w:rsid w:val="008C0FFE"/>
    <w:rsid w:val="008C15D6"/>
    <w:rsid w:val="008C1960"/>
    <w:rsid w:val="008C1A93"/>
    <w:rsid w:val="008C2004"/>
    <w:rsid w:val="008C254C"/>
    <w:rsid w:val="008C2B0B"/>
    <w:rsid w:val="008C2C7D"/>
    <w:rsid w:val="008C3187"/>
    <w:rsid w:val="008C3B80"/>
    <w:rsid w:val="008C3C63"/>
    <w:rsid w:val="008C3E2E"/>
    <w:rsid w:val="008C4658"/>
    <w:rsid w:val="008C5C16"/>
    <w:rsid w:val="008C6379"/>
    <w:rsid w:val="008C6959"/>
    <w:rsid w:val="008C7121"/>
    <w:rsid w:val="008C7CC3"/>
    <w:rsid w:val="008C7D84"/>
    <w:rsid w:val="008D03BA"/>
    <w:rsid w:val="008D1005"/>
    <w:rsid w:val="008D1583"/>
    <w:rsid w:val="008D2411"/>
    <w:rsid w:val="008D25C3"/>
    <w:rsid w:val="008D2876"/>
    <w:rsid w:val="008D2D23"/>
    <w:rsid w:val="008D30CA"/>
    <w:rsid w:val="008D3154"/>
    <w:rsid w:val="008D3247"/>
    <w:rsid w:val="008D3CDE"/>
    <w:rsid w:val="008D4564"/>
    <w:rsid w:val="008D4997"/>
    <w:rsid w:val="008D5637"/>
    <w:rsid w:val="008D58EF"/>
    <w:rsid w:val="008D5E08"/>
    <w:rsid w:val="008D6775"/>
    <w:rsid w:val="008D6C92"/>
    <w:rsid w:val="008D7578"/>
    <w:rsid w:val="008D7801"/>
    <w:rsid w:val="008D7A8D"/>
    <w:rsid w:val="008D7C74"/>
    <w:rsid w:val="008E018C"/>
    <w:rsid w:val="008E0D93"/>
    <w:rsid w:val="008E2267"/>
    <w:rsid w:val="008E229E"/>
    <w:rsid w:val="008E2BAF"/>
    <w:rsid w:val="008E37D1"/>
    <w:rsid w:val="008E3D1D"/>
    <w:rsid w:val="008E3E05"/>
    <w:rsid w:val="008E41A1"/>
    <w:rsid w:val="008E464D"/>
    <w:rsid w:val="008E4825"/>
    <w:rsid w:val="008E53D0"/>
    <w:rsid w:val="008E5420"/>
    <w:rsid w:val="008E5605"/>
    <w:rsid w:val="008E58B7"/>
    <w:rsid w:val="008E590C"/>
    <w:rsid w:val="008E59DD"/>
    <w:rsid w:val="008E5BCE"/>
    <w:rsid w:val="008E5C21"/>
    <w:rsid w:val="008E654A"/>
    <w:rsid w:val="008E6575"/>
    <w:rsid w:val="008E68B1"/>
    <w:rsid w:val="008E763A"/>
    <w:rsid w:val="008E787A"/>
    <w:rsid w:val="008E7E59"/>
    <w:rsid w:val="008F033B"/>
    <w:rsid w:val="008F0F33"/>
    <w:rsid w:val="008F0F81"/>
    <w:rsid w:val="008F1A30"/>
    <w:rsid w:val="008F1A93"/>
    <w:rsid w:val="008F208E"/>
    <w:rsid w:val="008F243B"/>
    <w:rsid w:val="008F2633"/>
    <w:rsid w:val="008F2B71"/>
    <w:rsid w:val="008F327F"/>
    <w:rsid w:val="008F34CD"/>
    <w:rsid w:val="008F45CE"/>
    <w:rsid w:val="008F4E52"/>
    <w:rsid w:val="008F4EF0"/>
    <w:rsid w:val="008F5156"/>
    <w:rsid w:val="008F58E9"/>
    <w:rsid w:val="008F669C"/>
    <w:rsid w:val="008F6BEB"/>
    <w:rsid w:val="008F72E9"/>
    <w:rsid w:val="009003DF"/>
    <w:rsid w:val="00900B53"/>
    <w:rsid w:val="00900C4F"/>
    <w:rsid w:val="00900D60"/>
    <w:rsid w:val="009010EC"/>
    <w:rsid w:val="00901527"/>
    <w:rsid w:val="00901630"/>
    <w:rsid w:val="00902709"/>
    <w:rsid w:val="00902BD6"/>
    <w:rsid w:val="00902C1F"/>
    <w:rsid w:val="00902D5D"/>
    <w:rsid w:val="0090317B"/>
    <w:rsid w:val="00903398"/>
    <w:rsid w:val="00903669"/>
    <w:rsid w:val="00903801"/>
    <w:rsid w:val="00903946"/>
    <w:rsid w:val="00903DAD"/>
    <w:rsid w:val="00903EEB"/>
    <w:rsid w:val="00904C85"/>
    <w:rsid w:val="009057F1"/>
    <w:rsid w:val="00905E1E"/>
    <w:rsid w:val="009063FF"/>
    <w:rsid w:val="0090687A"/>
    <w:rsid w:val="0090724B"/>
    <w:rsid w:val="009078D2"/>
    <w:rsid w:val="00907A82"/>
    <w:rsid w:val="009101CD"/>
    <w:rsid w:val="00910596"/>
    <w:rsid w:val="0091064F"/>
    <w:rsid w:val="00910AFC"/>
    <w:rsid w:val="00910E97"/>
    <w:rsid w:val="00910F25"/>
    <w:rsid w:val="009111A4"/>
    <w:rsid w:val="009117CB"/>
    <w:rsid w:val="009124DE"/>
    <w:rsid w:val="0091286E"/>
    <w:rsid w:val="00912B4D"/>
    <w:rsid w:val="00912C17"/>
    <w:rsid w:val="00913200"/>
    <w:rsid w:val="009148CA"/>
    <w:rsid w:val="0091493D"/>
    <w:rsid w:val="00914C89"/>
    <w:rsid w:val="009152C5"/>
    <w:rsid w:val="009154E3"/>
    <w:rsid w:val="00915753"/>
    <w:rsid w:val="00915B77"/>
    <w:rsid w:val="00915BB8"/>
    <w:rsid w:val="00916015"/>
    <w:rsid w:val="00916148"/>
    <w:rsid w:val="00916D77"/>
    <w:rsid w:val="0091781F"/>
    <w:rsid w:val="0091789A"/>
    <w:rsid w:val="009201CF"/>
    <w:rsid w:val="009201E5"/>
    <w:rsid w:val="0092054E"/>
    <w:rsid w:val="0092063E"/>
    <w:rsid w:val="00920C14"/>
    <w:rsid w:val="00920ECE"/>
    <w:rsid w:val="00921CA5"/>
    <w:rsid w:val="009246A9"/>
    <w:rsid w:val="00924C47"/>
    <w:rsid w:val="00924E42"/>
    <w:rsid w:val="0092585B"/>
    <w:rsid w:val="00925DBA"/>
    <w:rsid w:val="00925F20"/>
    <w:rsid w:val="00925F9F"/>
    <w:rsid w:val="00926146"/>
    <w:rsid w:val="00926E80"/>
    <w:rsid w:val="009273BD"/>
    <w:rsid w:val="00927B33"/>
    <w:rsid w:val="00927B5F"/>
    <w:rsid w:val="00927B8C"/>
    <w:rsid w:val="00927CFA"/>
    <w:rsid w:val="00930009"/>
    <w:rsid w:val="00930571"/>
    <w:rsid w:val="00930970"/>
    <w:rsid w:val="00930BBC"/>
    <w:rsid w:val="009310D8"/>
    <w:rsid w:val="00931519"/>
    <w:rsid w:val="0093172D"/>
    <w:rsid w:val="0093183A"/>
    <w:rsid w:val="00931E04"/>
    <w:rsid w:val="00932BF2"/>
    <w:rsid w:val="00933867"/>
    <w:rsid w:val="009339B2"/>
    <w:rsid w:val="00933AB4"/>
    <w:rsid w:val="00933C84"/>
    <w:rsid w:val="00933F60"/>
    <w:rsid w:val="009352C2"/>
    <w:rsid w:val="0093545E"/>
    <w:rsid w:val="0093563D"/>
    <w:rsid w:val="00936984"/>
    <w:rsid w:val="00936E8B"/>
    <w:rsid w:val="009370BE"/>
    <w:rsid w:val="00940582"/>
    <w:rsid w:val="00940645"/>
    <w:rsid w:val="0094069B"/>
    <w:rsid w:val="0094087B"/>
    <w:rsid w:val="00941F2D"/>
    <w:rsid w:val="00942204"/>
    <w:rsid w:val="0094255F"/>
    <w:rsid w:val="00943111"/>
    <w:rsid w:val="009431D4"/>
    <w:rsid w:val="00944A06"/>
    <w:rsid w:val="00944A4F"/>
    <w:rsid w:val="00946349"/>
    <w:rsid w:val="00946448"/>
    <w:rsid w:val="00946453"/>
    <w:rsid w:val="00946C6C"/>
    <w:rsid w:val="00946DE2"/>
    <w:rsid w:val="00947046"/>
    <w:rsid w:val="009479E8"/>
    <w:rsid w:val="00950587"/>
    <w:rsid w:val="009509DE"/>
    <w:rsid w:val="00952115"/>
    <w:rsid w:val="00952225"/>
    <w:rsid w:val="00952459"/>
    <w:rsid w:val="009524AE"/>
    <w:rsid w:val="0095250A"/>
    <w:rsid w:val="00952956"/>
    <w:rsid w:val="00952C89"/>
    <w:rsid w:val="00954574"/>
    <w:rsid w:val="0095465B"/>
    <w:rsid w:val="00954745"/>
    <w:rsid w:val="00954E8D"/>
    <w:rsid w:val="0095507F"/>
    <w:rsid w:val="00955356"/>
    <w:rsid w:val="009556D2"/>
    <w:rsid w:val="00956163"/>
    <w:rsid w:val="00956268"/>
    <w:rsid w:val="0095675A"/>
    <w:rsid w:val="00956A20"/>
    <w:rsid w:val="00957474"/>
    <w:rsid w:val="00957BC2"/>
    <w:rsid w:val="009616EB"/>
    <w:rsid w:val="00961913"/>
    <w:rsid w:val="00961B0E"/>
    <w:rsid w:val="00961D3F"/>
    <w:rsid w:val="00961EEC"/>
    <w:rsid w:val="00962159"/>
    <w:rsid w:val="00962496"/>
    <w:rsid w:val="00962633"/>
    <w:rsid w:val="00962B8C"/>
    <w:rsid w:val="00963E3F"/>
    <w:rsid w:val="0096428C"/>
    <w:rsid w:val="0096451B"/>
    <w:rsid w:val="009647EF"/>
    <w:rsid w:val="00965733"/>
    <w:rsid w:val="00966037"/>
    <w:rsid w:val="00967100"/>
    <w:rsid w:val="0096719D"/>
    <w:rsid w:val="00967AE5"/>
    <w:rsid w:val="00967AE7"/>
    <w:rsid w:val="00970008"/>
    <w:rsid w:val="009701F1"/>
    <w:rsid w:val="00971631"/>
    <w:rsid w:val="00971BE4"/>
    <w:rsid w:val="00971C49"/>
    <w:rsid w:val="00971D63"/>
    <w:rsid w:val="00971FDE"/>
    <w:rsid w:val="0097229C"/>
    <w:rsid w:val="00972CA3"/>
    <w:rsid w:val="009732BA"/>
    <w:rsid w:val="009735E3"/>
    <w:rsid w:val="0097372C"/>
    <w:rsid w:val="00973851"/>
    <w:rsid w:val="009746DC"/>
    <w:rsid w:val="00974C64"/>
    <w:rsid w:val="009750A9"/>
    <w:rsid w:val="0097592D"/>
    <w:rsid w:val="00975BD0"/>
    <w:rsid w:val="00976118"/>
    <w:rsid w:val="009765EC"/>
    <w:rsid w:val="00977E52"/>
    <w:rsid w:val="0098053D"/>
    <w:rsid w:val="009806B3"/>
    <w:rsid w:val="0098117B"/>
    <w:rsid w:val="009818A0"/>
    <w:rsid w:val="0098209C"/>
    <w:rsid w:val="00982544"/>
    <w:rsid w:val="0098266C"/>
    <w:rsid w:val="00982753"/>
    <w:rsid w:val="00983D1F"/>
    <w:rsid w:val="00983FDE"/>
    <w:rsid w:val="0098409F"/>
    <w:rsid w:val="0098473D"/>
    <w:rsid w:val="00984B0D"/>
    <w:rsid w:val="00984DF1"/>
    <w:rsid w:val="00984E75"/>
    <w:rsid w:val="009851D2"/>
    <w:rsid w:val="00985A77"/>
    <w:rsid w:val="00985FC7"/>
    <w:rsid w:val="00986214"/>
    <w:rsid w:val="00986352"/>
    <w:rsid w:val="00986984"/>
    <w:rsid w:val="00987476"/>
    <w:rsid w:val="0098765E"/>
    <w:rsid w:val="00987976"/>
    <w:rsid w:val="00987A4C"/>
    <w:rsid w:val="00987D37"/>
    <w:rsid w:val="00987F74"/>
    <w:rsid w:val="009910AC"/>
    <w:rsid w:val="009913B1"/>
    <w:rsid w:val="00991768"/>
    <w:rsid w:val="00991966"/>
    <w:rsid w:val="009919C0"/>
    <w:rsid w:val="0099260C"/>
    <w:rsid w:val="00992EC7"/>
    <w:rsid w:val="009938C4"/>
    <w:rsid w:val="00994427"/>
    <w:rsid w:val="0099469B"/>
    <w:rsid w:val="009948B7"/>
    <w:rsid w:val="0099517A"/>
    <w:rsid w:val="009951BE"/>
    <w:rsid w:val="0099532E"/>
    <w:rsid w:val="00995693"/>
    <w:rsid w:val="009957B2"/>
    <w:rsid w:val="00995A7A"/>
    <w:rsid w:val="00996023"/>
    <w:rsid w:val="00996DE2"/>
    <w:rsid w:val="009A00D1"/>
    <w:rsid w:val="009A0474"/>
    <w:rsid w:val="009A0486"/>
    <w:rsid w:val="009A04DE"/>
    <w:rsid w:val="009A09FE"/>
    <w:rsid w:val="009A12ED"/>
    <w:rsid w:val="009A1465"/>
    <w:rsid w:val="009A19FF"/>
    <w:rsid w:val="009A3230"/>
    <w:rsid w:val="009A38B0"/>
    <w:rsid w:val="009A4155"/>
    <w:rsid w:val="009A5D8C"/>
    <w:rsid w:val="009A64A8"/>
    <w:rsid w:val="009A691A"/>
    <w:rsid w:val="009A6D4E"/>
    <w:rsid w:val="009A6EFB"/>
    <w:rsid w:val="009B00BA"/>
    <w:rsid w:val="009B01B5"/>
    <w:rsid w:val="009B09E8"/>
    <w:rsid w:val="009B2671"/>
    <w:rsid w:val="009B274F"/>
    <w:rsid w:val="009B364C"/>
    <w:rsid w:val="009B410A"/>
    <w:rsid w:val="009B4572"/>
    <w:rsid w:val="009B51D8"/>
    <w:rsid w:val="009B5D39"/>
    <w:rsid w:val="009B60D2"/>
    <w:rsid w:val="009B63FF"/>
    <w:rsid w:val="009B6571"/>
    <w:rsid w:val="009B6833"/>
    <w:rsid w:val="009C020E"/>
    <w:rsid w:val="009C034A"/>
    <w:rsid w:val="009C07F3"/>
    <w:rsid w:val="009C120E"/>
    <w:rsid w:val="009C147B"/>
    <w:rsid w:val="009C185D"/>
    <w:rsid w:val="009C1EB7"/>
    <w:rsid w:val="009C1F49"/>
    <w:rsid w:val="009C3099"/>
    <w:rsid w:val="009C337F"/>
    <w:rsid w:val="009C5468"/>
    <w:rsid w:val="009C5996"/>
    <w:rsid w:val="009C5AFA"/>
    <w:rsid w:val="009C6244"/>
    <w:rsid w:val="009C68E0"/>
    <w:rsid w:val="009C6AE6"/>
    <w:rsid w:val="009C7F63"/>
    <w:rsid w:val="009C7FA3"/>
    <w:rsid w:val="009D0070"/>
    <w:rsid w:val="009D0505"/>
    <w:rsid w:val="009D0B38"/>
    <w:rsid w:val="009D0CBA"/>
    <w:rsid w:val="009D15B8"/>
    <w:rsid w:val="009D1978"/>
    <w:rsid w:val="009D20DC"/>
    <w:rsid w:val="009D21F5"/>
    <w:rsid w:val="009D26A4"/>
    <w:rsid w:val="009D2F4E"/>
    <w:rsid w:val="009D3D33"/>
    <w:rsid w:val="009D43A3"/>
    <w:rsid w:val="009D4993"/>
    <w:rsid w:val="009D5341"/>
    <w:rsid w:val="009D5CDD"/>
    <w:rsid w:val="009D6973"/>
    <w:rsid w:val="009D6E79"/>
    <w:rsid w:val="009D7006"/>
    <w:rsid w:val="009D7337"/>
    <w:rsid w:val="009D73B1"/>
    <w:rsid w:val="009D75D5"/>
    <w:rsid w:val="009D7A73"/>
    <w:rsid w:val="009D7D00"/>
    <w:rsid w:val="009E0111"/>
    <w:rsid w:val="009E0D53"/>
    <w:rsid w:val="009E156C"/>
    <w:rsid w:val="009E17F5"/>
    <w:rsid w:val="009E183D"/>
    <w:rsid w:val="009E201D"/>
    <w:rsid w:val="009E2894"/>
    <w:rsid w:val="009E3C7D"/>
    <w:rsid w:val="009E4149"/>
    <w:rsid w:val="009E43E5"/>
    <w:rsid w:val="009E4435"/>
    <w:rsid w:val="009E45D2"/>
    <w:rsid w:val="009E4B6E"/>
    <w:rsid w:val="009E52DB"/>
    <w:rsid w:val="009E5437"/>
    <w:rsid w:val="009E5881"/>
    <w:rsid w:val="009E5F8B"/>
    <w:rsid w:val="009E61EA"/>
    <w:rsid w:val="009E61EB"/>
    <w:rsid w:val="009E6EDE"/>
    <w:rsid w:val="009E7049"/>
    <w:rsid w:val="009F020E"/>
    <w:rsid w:val="009F09BE"/>
    <w:rsid w:val="009F09EC"/>
    <w:rsid w:val="009F1448"/>
    <w:rsid w:val="009F15DD"/>
    <w:rsid w:val="009F1E31"/>
    <w:rsid w:val="009F21D0"/>
    <w:rsid w:val="009F23DD"/>
    <w:rsid w:val="009F2BFC"/>
    <w:rsid w:val="009F3212"/>
    <w:rsid w:val="009F37ED"/>
    <w:rsid w:val="009F3AA7"/>
    <w:rsid w:val="009F3BB2"/>
    <w:rsid w:val="009F3FB3"/>
    <w:rsid w:val="009F400F"/>
    <w:rsid w:val="009F47D5"/>
    <w:rsid w:val="009F4A8A"/>
    <w:rsid w:val="009F50C9"/>
    <w:rsid w:val="009F59CE"/>
    <w:rsid w:val="009F6B1C"/>
    <w:rsid w:val="009F779A"/>
    <w:rsid w:val="00A0006F"/>
    <w:rsid w:val="00A00391"/>
    <w:rsid w:val="00A01763"/>
    <w:rsid w:val="00A01F1A"/>
    <w:rsid w:val="00A0222B"/>
    <w:rsid w:val="00A04176"/>
    <w:rsid w:val="00A04C95"/>
    <w:rsid w:val="00A04E6D"/>
    <w:rsid w:val="00A05351"/>
    <w:rsid w:val="00A0541C"/>
    <w:rsid w:val="00A05564"/>
    <w:rsid w:val="00A055A3"/>
    <w:rsid w:val="00A05F69"/>
    <w:rsid w:val="00A06134"/>
    <w:rsid w:val="00A0692F"/>
    <w:rsid w:val="00A06D4D"/>
    <w:rsid w:val="00A07159"/>
    <w:rsid w:val="00A075DF"/>
    <w:rsid w:val="00A0784C"/>
    <w:rsid w:val="00A07DD7"/>
    <w:rsid w:val="00A104BB"/>
    <w:rsid w:val="00A10D95"/>
    <w:rsid w:val="00A117E7"/>
    <w:rsid w:val="00A11966"/>
    <w:rsid w:val="00A11BCB"/>
    <w:rsid w:val="00A11D3E"/>
    <w:rsid w:val="00A127A9"/>
    <w:rsid w:val="00A1365F"/>
    <w:rsid w:val="00A13C1D"/>
    <w:rsid w:val="00A140A0"/>
    <w:rsid w:val="00A1437A"/>
    <w:rsid w:val="00A14E62"/>
    <w:rsid w:val="00A15CC4"/>
    <w:rsid w:val="00A15D39"/>
    <w:rsid w:val="00A15F00"/>
    <w:rsid w:val="00A160FB"/>
    <w:rsid w:val="00A1758B"/>
    <w:rsid w:val="00A17CF2"/>
    <w:rsid w:val="00A204E2"/>
    <w:rsid w:val="00A20795"/>
    <w:rsid w:val="00A20891"/>
    <w:rsid w:val="00A20C49"/>
    <w:rsid w:val="00A20FB3"/>
    <w:rsid w:val="00A21855"/>
    <w:rsid w:val="00A21941"/>
    <w:rsid w:val="00A21BB4"/>
    <w:rsid w:val="00A21C2C"/>
    <w:rsid w:val="00A21C37"/>
    <w:rsid w:val="00A21E61"/>
    <w:rsid w:val="00A22078"/>
    <w:rsid w:val="00A22451"/>
    <w:rsid w:val="00A2252F"/>
    <w:rsid w:val="00A22576"/>
    <w:rsid w:val="00A225A4"/>
    <w:rsid w:val="00A22D8D"/>
    <w:rsid w:val="00A234C1"/>
    <w:rsid w:val="00A23AC9"/>
    <w:rsid w:val="00A2438D"/>
    <w:rsid w:val="00A24BDF"/>
    <w:rsid w:val="00A25682"/>
    <w:rsid w:val="00A25856"/>
    <w:rsid w:val="00A25CF4"/>
    <w:rsid w:val="00A25E2E"/>
    <w:rsid w:val="00A26193"/>
    <w:rsid w:val="00A268A9"/>
    <w:rsid w:val="00A26A41"/>
    <w:rsid w:val="00A27E80"/>
    <w:rsid w:val="00A301FC"/>
    <w:rsid w:val="00A3023B"/>
    <w:rsid w:val="00A30AE0"/>
    <w:rsid w:val="00A31BB5"/>
    <w:rsid w:val="00A31C64"/>
    <w:rsid w:val="00A32451"/>
    <w:rsid w:val="00A32BC7"/>
    <w:rsid w:val="00A3351C"/>
    <w:rsid w:val="00A33C81"/>
    <w:rsid w:val="00A3412E"/>
    <w:rsid w:val="00A34C05"/>
    <w:rsid w:val="00A34C7C"/>
    <w:rsid w:val="00A34F0F"/>
    <w:rsid w:val="00A3520D"/>
    <w:rsid w:val="00A3532F"/>
    <w:rsid w:val="00A35ED6"/>
    <w:rsid w:val="00A372AB"/>
    <w:rsid w:val="00A37471"/>
    <w:rsid w:val="00A40145"/>
    <w:rsid w:val="00A40604"/>
    <w:rsid w:val="00A40889"/>
    <w:rsid w:val="00A41524"/>
    <w:rsid w:val="00A41BF9"/>
    <w:rsid w:val="00A41FDC"/>
    <w:rsid w:val="00A4215E"/>
    <w:rsid w:val="00A42809"/>
    <w:rsid w:val="00A42C60"/>
    <w:rsid w:val="00A42CB5"/>
    <w:rsid w:val="00A430C3"/>
    <w:rsid w:val="00A437FD"/>
    <w:rsid w:val="00A44364"/>
    <w:rsid w:val="00A4528C"/>
    <w:rsid w:val="00A45758"/>
    <w:rsid w:val="00A45F8C"/>
    <w:rsid w:val="00A46D7B"/>
    <w:rsid w:val="00A4745A"/>
    <w:rsid w:val="00A47C2A"/>
    <w:rsid w:val="00A505B8"/>
    <w:rsid w:val="00A50D6A"/>
    <w:rsid w:val="00A52E11"/>
    <w:rsid w:val="00A5399E"/>
    <w:rsid w:val="00A53FF4"/>
    <w:rsid w:val="00A541EB"/>
    <w:rsid w:val="00A5460C"/>
    <w:rsid w:val="00A54D0D"/>
    <w:rsid w:val="00A54DC9"/>
    <w:rsid w:val="00A55B9E"/>
    <w:rsid w:val="00A56152"/>
    <w:rsid w:val="00A566C3"/>
    <w:rsid w:val="00A56AEE"/>
    <w:rsid w:val="00A56C52"/>
    <w:rsid w:val="00A56D09"/>
    <w:rsid w:val="00A57073"/>
    <w:rsid w:val="00A575A5"/>
    <w:rsid w:val="00A57A77"/>
    <w:rsid w:val="00A57D5C"/>
    <w:rsid w:val="00A57ED1"/>
    <w:rsid w:val="00A60220"/>
    <w:rsid w:val="00A60321"/>
    <w:rsid w:val="00A6051C"/>
    <w:rsid w:val="00A60706"/>
    <w:rsid w:val="00A6138C"/>
    <w:rsid w:val="00A614B5"/>
    <w:rsid w:val="00A617F3"/>
    <w:rsid w:val="00A61853"/>
    <w:rsid w:val="00A6194B"/>
    <w:rsid w:val="00A61F65"/>
    <w:rsid w:val="00A62E9C"/>
    <w:rsid w:val="00A63326"/>
    <w:rsid w:val="00A6338D"/>
    <w:rsid w:val="00A64D32"/>
    <w:rsid w:val="00A64D9D"/>
    <w:rsid w:val="00A6587D"/>
    <w:rsid w:val="00A66C7F"/>
    <w:rsid w:val="00A67128"/>
    <w:rsid w:val="00A672E1"/>
    <w:rsid w:val="00A67AF5"/>
    <w:rsid w:val="00A700FF"/>
    <w:rsid w:val="00A70A5E"/>
    <w:rsid w:val="00A71CF0"/>
    <w:rsid w:val="00A7203B"/>
    <w:rsid w:val="00A724CA"/>
    <w:rsid w:val="00A726EE"/>
    <w:rsid w:val="00A72DCA"/>
    <w:rsid w:val="00A73848"/>
    <w:rsid w:val="00A74277"/>
    <w:rsid w:val="00A743D5"/>
    <w:rsid w:val="00A745DB"/>
    <w:rsid w:val="00A74B60"/>
    <w:rsid w:val="00A75002"/>
    <w:rsid w:val="00A751F5"/>
    <w:rsid w:val="00A75FB8"/>
    <w:rsid w:val="00A76554"/>
    <w:rsid w:val="00A76667"/>
    <w:rsid w:val="00A7786E"/>
    <w:rsid w:val="00A805B4"/>
    <w:rsid w:val="00A8072D"/>
    <w:rsid w:val="00A8095E"/>
    <w:rsid w:val="00A8162F"/>
    <w:rsid w:val="00A8243C"/>
    <w:rsid w:val="00A82B00"/>
    <w:rsid w:val="00A837A4"/>
    <w:rsid w:val="00A8461F"/>
    <w:rsid w:val="00A8499A"/>
    <w:rsid w:val="00A86260"/>
    <w:rsid w:val="00A86886"/>
    <w:rsid w:val="00A86B29"/>
    <w:rsid w:val="00A87138"/>
    <w:rsid w:val="00A8793B"/>
    <w:rsid w:val="00A879DA"/>
    <w:rsid w:val="00A9028B"/>
    <w:rsid w:val="00A904A0"/>
    <w:rsid w:val="00A905F6"/>
    <w:rsid w:val="00A91597"/>
    <w:rsid w:val="00A91A76"/>
    <w:rsid w:val="00A92C8D"/>
    <w:rsid w:val="00A92E72"/>
    <w:rsid w:val="00A938FC"/>
    <w:rsid w:val="00A94294"/>
    <w:rsid w:val="00A947FA"/>
    <w:rsid w:val="00A94833"/>
    <w:rsid w:val="00A94973"/>
    <w:rsid w:val="00A94A13"/>
    <w:rsid w:val="00A94A4F"/>
    <w:rsid w:val="00A9537B"/>
    <w:rsid w:val="00A9543D"/>
    <w:rsid w:val="00A96351"/>
    <w:rsid w:val="00A96993"/>
    <w:rsid w:val="00A96CFC"/>
    <w:rsid w:val="00A97BA8"/>
    <w:rsid w:val="00AA0741"/>
    <w:rsid w:val="00AA0766"/>
    <w:rsid w:val="00AA0996"/>
    <w:rsid w:val="00AA16ED"/>
    <w:rsid w:val="00AA1923"/>
    <w:rsid w:val="00AA3106"/>
    <w:rsid w:val="00AA3398"/>
    <w:rsid w:val="00AA3641"/>
    <w:rsid w:val="00AA4D7F"/>
    <w:rsid w:val="00AA6505"/>
    <w:rsid w:val="00AA65E5"/>
    <w:rsid w:val="00AA6641"/>
    <w:rsid w:val="00AA6C8F"/>
    <w:rsid w:val="00AA7206"/>
    <w:rsid w:val="00AA7574"/>
    <w:rsid w:val="00AA7F52"/>
    <w:rsid w:val="00AB09ED"/>
    <w:rsid w:val="00AB1140"/>
    <w:rsid w:val="00AB1597"/>
    <w:rsid w:val="00AB15F9"/>
    <w:rsid w:val="00AB1704"/>
    <w:rsid w:val="00AB201D"/>
    <w:rsid w:val="00AB239B"/>
    <w:rsid w:val="00AB304D"/>
    <w:rsid w:val="00AB3147"/>
    <w:rsid w:val="00AB3C4E"/>
    <w:rsid w:val="00AB3CB8"/>
    <w:rsid w:val="00AB3F28"/>
    <w:rsid w:val="00AB4CA4"/>
    <w:rsid w:val="00AB4DF2"/>
    <w:rsid w:val="00AB502E"/>
    <w:rsid w:val="00AB51FF"/>
    <w:rsid w:val="00AB582E"/>
    <w:rsid w:val="00AB68E5"/>
    <w:rsid w:val="00AC0EC6"/>
    <w:rsid w:val="00AC119D"/>
    <w:rsid w:val="00AC11F8"/>
    <w:rsid w:val="00AC28AA"/>
    <w:rsid w:val="00AC2B80"/>
    <w:rsid w:val="00AC3B7E"/>
    <w:rsid w:val="00AC4193"/>
    <w:rsid w:val="00AC4512"/>
    <w:rsid w:val="00AC57D4"/>
    <w:rsid w:val="00AC5E60"/>
    <w:rsid w:val="00AC604B"/>
    <w:rsid w:val="00AC60B5"/>
    <w:rsid w:val="00AC6A06"/>
    <w:rsid w:val="00AC6CE3"/>
    <w:rsid w:val="00AC72CE"/>
    <w:rsid w:val="00AC7322"/>
    <w:rsid w:val="00AC745D"/>
    <w:rsid w:val="00AC7D2C"/>
    <w:rsid w:val="00AC7EC9"/>
    <w:rsid w:val="00AD0265"/>
    <w:rsid w:val="00AD1A1B"/>
    <w:rsid w:val="00AD29E0"/>
    <w:rsid w:val="00AD331C"/>
    <w:rsid w:val="00AD3933"/>
    <w:rsid w:val="00AD4081"/>
    <w:rsid w:val="00AD4817"/>
    <w:rsid w:val="00AD4F46"/>
    <w:rsid w:val="00AD55B4"/>
    <w:rsid w:val="00AD57DD"/>
    <w:rsid w:val="00AD7AE6"/>
    <w:rsid w:val="00AD7F15"/>
    <w:rsid w:val="00AE03A8"/>
    <w:rsid w:val="00AE0AF8"/>
    <w:rsid w:val="00AE1B4B"/>
    <w:rsid w:val="00AE1E96"/>
    <w:rsid w:val="00AE246F"/>
    <w:rsid w:val="00AE2A13"/>
    <w:rsid w:val="00AE2F03"/>
    <w:rsid w:val="00AE35B7"/>
    <w:rsid w:val="00AE3A92"/>
    <w:rsid w:val="00AE4254"/>
    <w:rsid w:val="00AE460B"/>
    <w:rsid w:val="00AE50BC"/>
    <w:rsid w:val="00AE5643"/>
    <w:rsid w:val="00AE5670"/>
    <w:rsid w:val="00AE676C"/>
    <w:rsid w:val="00AE68B7"/>
    <w:rsid w:val="00AE6919"/>
    <w:rsid w:val="00AE6BE1"/>
    <w:rsid w:val="00AE78BF"/>
    <w:rsid w:val="00AF040F"/>
    <w:rsid w:val="00AF06DC"/>
    <w:rsid w:val="00AF08B4"/>
    <w:rsid w:val="00AF1869"/>
    <w:rsid w:val="00AF1BA9"/>
    <w:rsid w:val="00AF2854"/>
    <w:rsid w:val="00AF3664"/>
    <w:rsid w:val="00AF395F"/>
    <w:rsid w:val="00AF3CD7"/>
    <w:rsid w:val="00AF40DE"/>
    <w:rsid w:val="00AF423A"/>
    <w:rsid w:val="00AF439E"/>
    <w:rsid w:val="00AF4475"/>
    <w:rsid w:val="00AF45A9"/>
    <w:rsid w:val="00AF4639"/>
    <w:rsid w:val="00AF5195"/>
    <w:rsid w:val="00AF6960"/>
    <w:rsid w:val="00AF6BD6"/>
    <w:rsid w:val="00AF6FC5"/>
    <w:rsid w:val="00B0049F"/>
    <w:rsid w:val="00B0063A"/>
    <w:rsid w:val="00B01133"/>
    <w:rsid w:val="00B01275"/>
    <w:rsid w:val="00B01B34"/>
    <w:rsid w:val="00B01FC3"/>
    <w:rsid w:val="00B02E9D"/>
    <w:rsid w:val="00B030B0"/>
    <w:rsid w:val="00B03C96"/>
    <w:rsid w:val="00B04822"/>
    <w:rsid w:val="00B0563D"/>
    <w:rsid w:val="00B05C70"/>
    <w:rsid w:val="00B05F90"/>
    <w:rsid w:val="00B06418"/>
    <w:rsid w:val="00B06C62"/>
    <w:rsid w:val="00B07248"/>
    <w:rsid w:val="00B07281"/>
    <w:rsid w:val="00B073E4"/>
    <w:rsid w:val="00B07E4A"/>
    <w:rsid w:val="00B10BD5"/>
    <w:rsid w:val="00B119BE"/>
    <w:rsid w:val="00B12107"/>
    <w:rsid w:val="00B129DC"/>
    <w:rsid w:val="00B14B2E"/>
    <w:rsid w:val="00B158B7"/>
    <w:rsid w:val="00B15E95"/>
    <w:rsid w:val="00B16879"/>
    <w:rsid w:val="00B16C60"/>
    <w:rsid w:val="00B1714E"/>
    <w:rsid w:val="00B173AF"/>
    <w:rsid w:val="00B17E47"/>
    <w:rsid w:val="00B2037F"/>
    <w:rsid w:val="00B20945"/>
    <w:rsid w:val="00B20ACE"/>
    <w:rsid w:val="00B212F9"/>
    <w:rsid w:val="00B22700"/>
    <w:rsid w:val="00B22CB7"/>
    <w:rsid w:val="00B22FD9"/>
    <w:rsid w:val="00B245C2"/>
    <w:rsid w:val="00B24DD9"/>
    <w:rsid w:val="00B24E4F"/>
    <w:rsid w:val="00B2571C"/>
    <w:rsid w:val="00B261D1"/>
    <w:rsid w:val="00B26592"/>
    <w:rsid w:val="00B26786"/>
    <w:rsid w:val="00B26C75"/>
    <w:rsid w:val="00B279F5"/>
    <w:rsid w:val="00B3017A"/>
    <w:rsid w:val="00B316F7"/>
    <w:rsid w:val="00B31BD4"/>
    <w:rsid w:val="00B31FA8"/>
    <w:rsid w:val="00B32125"/>
    <w:rsid w:val="00B34A12"/>
    <w:rsid w:val="00B35505"/>
    <w:rsid w:val="00B35D9A"/>
    <w:rsid w:val="00B362BC"/>
    <w:rsid w:val="00B36791"/>
    <w:rsid w:val="00B36F04"/>
    <w:rsid w:val="00B372A9"/>
    <w:rsid w:val="00B376DD"/>
    <w:rsid w:val="00B4004D"/>
    <w:rsid w:val="00B41645"/>
    <w:rsid w:val="00B4246C"/>
    <w:rsid w:val="00B42DDF"/>
    <w:rsid w:val="00B431B4"/>
    <w:rsid w:val="00B43FE4"/>
    <w:rsid w:val="00B4445C"/>
    <w:rsid w:val="00B4450C"/>
    <w:rsid w:val="00B446D3"/>
    <w:rsid w:val="00B44903"/>
    <w:rsid w:val="00B44BA8"/>
    <w:rsid w:val="00B453C3"/>
    <w:rsid w:val="00B455AF"/>
    <w:rsid w:val="00B45B3A"/>
    <w:rsid w:val="00B461DC"/>
    <w:rsid w:val="00B46809"/>
    <w:rsid w:val="00B46D91"/>
    <w:rsid w:val="00B476D0"/>
    <w:rsid w:val="00B47A32"/>
    <w:rsid w:val="00B47BEB"/>
    <w:rsid w:val="00B47C45"/>
    <w:rsid w:val="00B5051F"/>
    <w:rsid w:val="00B50E2D"/>
    <w:rsid w:val="00B50E4D"/>
    <w:rsid w:val="00B50FB1"/>
    <w:rsid w:val="00B512AF"/>
    <w:rsid w:val="00B51731"/>
    <w:rsid w:val="00B5211E"/>
    <w:rsid w:val="00B5212E"/>
    <w:rsid w:val="00B52271"/>
    <w:rsid w:val="00B52912"/>
    <w:rsid w:val="00B531F2"/>
    <w:rsid w:val="00B53CEF"/>
    <w:rsid w:val="00B53EC3"/>
    <w:rsid w:val="00B54031"/>
    <w:rsid w:val="00B544F2"/>
    <w:rsid w:val="00B54BCE"/>
    <w:rsid w:val="00B54D58"/>
    <w:rsid w:val="00B556F3"/>
    <w:rsid w:val="00B55D8A"/>
    <w:rsid w:val="00B55EEB"/>
    <w:rsid w:val="00B55F33"/>
    <w:rsid w:val="00B573B3"/>
    <w:rsid w:val="00B577C5"/>
    <w:rsid w:val="00B57BFC"/>
    <w:rsid w:val="00B6006D"/>
    <w:rsid w:val="00B600D6"/>
    <w:rsid w:val="00B60CE9"/>
    <w:rsid w:val="00B6109E"/>
    <w:rsid w:val="00B61B46"/>
    <w:rsid w:val="00B62BF3"/>
    <w:rsid w:val="00B63244"/>
    <w:rsid w:val="00B64534"/>
    <w:rsid w:val="00B64645"/>
    <w:rsid w:val="00B649FA"/>
    <w:rsid w:val="00B6562E"/>
    <w:rsid w:val="00B66280"/>
    <w:rsid w:val="00B66363"/>
    <w:rsid w:val="00B665F4"/>
    <w:rsid w:val="00B666FF"/>
    <w:rsid w:val="00B66968"/>
    <w:rsid w:val="00B669D9"/>
    <w:rsid w:val="00B66B8F"/>
    <w:rsid w:val="00B66BB9"/>
    <w:rsid w:val="00B670C8"/>
    <w:rsid w:val="00B676DF"/>
    <w:rsid w:val="00B714F6"/>
    <w:rsid w:val="00B72D05"/>
    <w:rsid w:val="00B7320E"/>
    <w:rsid w:val="00B73570"/>
    <w:rsid w:val="00B738A4"/>
    <w:rsid w:val="00B73BAA"/>
    <w:rsid w:val="00B73E33"/>
    <w:rsid w:val="00B74B70"/>
    <w:rsid w:val="00B74EF2"/>
    <w:rsid w:val="00B752FE"/>
    <w:rsid w:val="00B7562E"/>
    <w:rsid w:val="00B75851"/>
    <w:rsid w:val="00B76742"/>
    <w:rsid w:val="00B76765"/>
    <w:rsid w:val="00B767FE"/>
    <w:rsid w:val="00B7681A"/>
    <w:rsid w:val="00B80530"/>
    <w:rsid w:val="00B80B1E"/>
    <w:rsid w:val="00B81225"/>
    <w:rsid w:val="00B81AEE"/>
    <w:rsid w:val="00B822DE"/>
    <w:rsid w:val="00B82B1B"/>
    <w:rsid w:val="00B832BF"/>
    <w:rsid w:val="00B83315"/>
    <w:rsid w:val="00B835A6"/>
    <w:rsid w:val="00B836EF"/>
    <w:rsid w:val="00B839A5"/>
    <w:rsid w:val="00B83D84"/>
    <w:rsid w:val="00B8494C"/>
    <w:rsid w:val="00B84A48"/>
    <w:rsid w:val="00B84AE6"/>
    <w:rsid w:val="00B84CA0"/>
    <w:rsid w:val="00B84D58"/>
    <w:rsid w:val="00B8544C"/>
    <w:rsid w:val="00B85A1C"/>
    <w:rsid w:val="00B85D22"/>
    <w:rsid w:val="00B85DEF"/>
    <w:rsid w:val="00B85E64"/>
    <w:rsid w:val="00B86946"/>
    <w:rsid w:val="00B87EB1"/>
    <w:rsid w:val="00B90278"/>
    <w:rsid w:val="00B90F15"/>
    <w:rsid w:val="00B91055"/>
    <w:rsid w:val="00B9206E"/>
    <w:rsid w:val="00B920B5"/>
    <w:rsid w:val="00B929C3"/>
    <w:rsid w:val="00B94B20"/>
    <w:rsid w:val="00B95713"/>
    <w:rsid w:val="00B96A2E"/>
    <w:rsid w:val="00B96BDD"/>
    <w:rsid w:val="00B96ED8"/>
    <w:rsid w:val="00B96FEE"/>
    <w:rsid w:val="00B97414"/>
    <w:rsid w:val="00BA0523"/>
    <w:rsid w:val="00BA0CCE"/>
    <w:rsid w:val="00BA0F9B"/>
    <w:rsid w:val="00BA13A6"/>
    <w:rsid w:val="00BA13E4"/>
    <w:rsid w:val="00BA14F1"/>
    <w:rsid w:val="00BA1C5B"/>
    <w:rsid w:val="00BA26E2"/>
    <w:rsid w:val="00BA3B8E"/>
    <w:rsid w:val="00BA4695"/>
    <w:rsid w:val="00BA4D27"/>
    <w:rsid w:val="00BA4E5C"/>
    <w:rsid w:val="00BA51B1"/>
    <w:rsid w:val="00BA5E26"/>
    <w:rsid w:val="00BA60E2"/>
    <w:rsid w:val="00BA62C3"/>
    <w:rsid w:val="00BA69D3"/>
    <w:rsid w:val="00BA69FC"/>
    <w:rsid w:val="00BA6CDD"/>
    <w:rsid w:val="00BA774C"/>
    <w:rsid w:val="00BB0174"/>
    <w:rsid w:val="00BB03F3"/>
    <w:rsid w:val="00BB08F5"/>
    <w:rsid w:val="00BB0CD5"/>
    <w:rsid w:val="00BB1F99"/>
    <w:rsid w:val="00BB2461"/>
    <w:rsid w:val="00BB3270"/>
    <w:rsid w:val="00BB43D0"/>
    <w:rsid w:val="00BB5ACD"/>
    <w:rsid w:val="00BB5B95"/>
    <w:rsid w:val="00BB5BEB"/>
    <w:rsid w:val="00BB5DEE"/>
    <w:rsid w:val="00BB619E"/>
    <w:rsid w:val="00BB62E8"/>
    <w:rsid w:val="00BB6C8A"/>
    <w:rsid w:val="00BB70CA"/>
    <w:rsid w:val="00BB7660"/>
    <w:rsid w:val="00BC095D"/>
    <w:rsid w:val="00BC0BB0"/>
    <w:rsid w:val="00BC0EB5"/>
    <w:rsid w:val="00BC1CA4"/>
    <w:rsid w:val="00BC3061"/>
    <w:rsid w:val="00BC353B"/>
    <w:rsid w:val="00BC3E33"/>
    <w:rsid w:val="00BC4664"/>
    <w:rsid w:val="00BC4984"/>
    <w:rsid w:val="00BC4E52"/>
    <w:rsid w:val="00BC59DC"/>
    <w:rsid w:val="00BC5C93"/>
    <w:rsid w:val="00BC5DBE"/>
    <w:rsid w:val="00BC62B4"/>
    <w:rsid w:val="00BC678E"/>
    <w:rsid w:val="00BC67BF"/>
    <w:rsid w:val="00BC6AB8"/>
    <w:rsid w:val="00BC75F2"/>
    <w:rsid w:val="00BC7741"/>
    <w:rsid w:val="00BC7BD6"/>
    <w:rsid w:val="00BC7DA1"/>
    <w:rsid w:val="00BD0378"/>
    <w:rsid w:val="00BD04FC"/>
    <w:rsid w:val="00BD084D"/>
    <w:rsid w:val="00BD120E"/>
    <w:rsid w:val="00BD16B7"/>
    <w:rsid w:val="00BD1E99"/>
    <w:rsid w:val="00BD230B"/>
    <w:rsid w:val="00BD383E"/>
    <w:rsid w:val="00BD3B49"/>
    <w:rsid w:val="00BD4464"/>
    <w:rsid w:val="00BD4C68"/>
    <w:rsid w:val="00BD4D3F"/>
    <w:rsid w:val="00BD5284"/>
    <w:rsid w:val="00BD633C"/>
    <w:rsid w:val="00BD6413"/>
    <w:rsid w:val="00BD65E9"/>
    <w:rsid w:val="00BD68F0"/>
    <w:rsid w:val="00BD7058"/>
    <w:rsid w:val="00BD7606"/>
    <w:rsid w:val="00BD7AA5"/>
    <w:rsid w:val="00BD7B3D"/>
    <w:rsid w:val="00BD7B5B"/>
    <w:rsid w:val="00BD7B9D"/>
    <w:rsid w:val="00BE0752"/>
    <w:rsid w:val="00BE1288"/>
    <w:rsid w:val="00BE2042"/>
    <w:rsid w:val="00BE243B"/>
    <w:rsid w:val="00BE29A7"/>
    <w:rsid w:val="00BE2D37"/>
    <w:rsid w:val="00BE31AB"/>
    <w:rsid w:val="00BE3224"/>
    <w:rsid w:val="00BE3E20"/>
    <w:rsid w:val="00BE4212"/>
    <w:rsid w:val="00BE42BC"/>
    <w:rsid w:val="00BE470C"/>
    <w:rsid w:val="00BE48BC"/>
    <w:rsid w:val="00BE4C13"/>
    <w:rsid w:val="00BE52E9"/>
    <w:rsid w:val="00BE5323"/>
    <w:rsid w:val="00BE5735"/>
    <w:rsid w:val="00BE5BC0"/>
    <w:rsid w:val="00BE5E82"/>
    <w:rsid w:val="00BE6748"/>
    <w:rsid w:val="00BE7CA4"/>
    <w:rsid w:val="00BE7D64"/>
    <w:rsid w:val="00BF0206"/>
    <w:rsid w:val="00BF0501"/>
    <w:rsid w:val="00BF0853"/>
    <w:rsid w:val="00BF087A"/>
    <w:rsid w:val="00BF0A3E"/>
    <w:rsid w:val="00BF0AF8"/>
    <w:rsid w:val="00BF16F3"/>
    <w:rsid w:val="00BF19C0"/>
    <w:rsid w:val="00BF1BFE"/>
    <w:rsid w:val="00BF1C95"/>
    <w:rsid w:val="00BF2331"/>
    <w:rsid w:val="00BF2ACE"/>
    <w:rsid w:val="00BF3D8D"/>
    <w:rsid w:val="00BF42F9"/>
    <w:rsid w:val="00BF53F6"/>
    <w:rsid w:val="00BF572D"/>
    <w:rsid w:val="00BF5DC9"/>
    <w:rsid w:val="00BF6F9E"/>
    <w:rsid w:val="00BF7E24"/>
    <w:rsid w:val="00C011CA"/>
    <w:rsid w:val="00C01338"/>
    <w:rsid w:val="00C013B1"/>
    <w:rsid w:val="00C01502"/>
    <w:rsid w:val="00C01DFE"/>
    <w:rsid w:val="00C022D3"/>
    <w:rsid w:val="00C026C9"/>
    <w:rsid w:val="00C0287E"/>
    <w:rsid w:val="00C02C66"/>
    <w:rsid w:val="00C02DE0"/>
    <w:rsid w:val="00C03129"/>
    <w:rsid w:val="00C032ED"/>
    <w:rsid w:val="00C0382D"/>
    <w:rsid w:val="00C03966"/>
    <w:rsid w:val="00C0410A"/>
    <w:rsid w:val="00C0467A"/>
    <w:rsid w:val="00C04AAC"/>
    <w:rsid w:val="00C04CF7"/>
    <w:rsid w:val="00C04FF7"/>
    <w:rsid w:val="00C0773B"/>
    <w:rsid w:val="00C078F1"/>
    <w:rsid w:val="00C07B74"/>
    <w:rsid w:val="00C10A5E"/>
    <w:rsid w:val="00C11239"/>
    <w:rsid w:val="00C1162C"/>
    <w:rsid w:val="00C11951"/>
    <w:rsid w:val="00C11B62"/>
    <w:rsid w:val="00C131BD"/>
    <w:rsid w:val="00C13A2F"/>
    <w:rsid w:val="00C13F26"/>
    <w:rsid w:val="00C13FE1"/>
    <w:rsid w:val="00C140EC"/>
    <w:rsid w:val="00C14828"/>
    <w:rsid w:val="00C15443"/>
    <w:rsid w:val="00C15BD5"/>
    <w:rsid w:val="00C15FC6"/>
    <w:rsid w:val="00C169B1"/>
    <w:rsid w:val="00C17417"/>
    <w:rsid w:val="00C17CAB"/>
    <w:rsid w:val="00C20249"/>
    <w:rsid w:val="00C2072E"/>
    <w:rsid w:val="00C2075D"/>
    <w:rsid w:val="00C20889"/>
    <w:rsid w:val="00C208DD"/>
    <w:rsid w:val="00C20FBA"/>
    <w:rsid w:val="00C214CD"/>
    <w:rsid w:val="00C21EA2"/>
    <w:rsid w:val="00C23734"/>
    <w:rsid w:val="00C240D1"/>
    <w:rsid w:val="00C24521"/>
    <w:rsid w:val="00C24A6D"/>
    <w:rsid w:val="00C24AC2"/>
    <w:rsid w:val="00C24B76"/>
    <w:rsid w:val="00C24C5D"/>
    <w:rsid w:val="00C26812"/>
    <w:rsid w:val="00C26C7A"/>
    <w:rsid w:val="00C30431"/>
    <w:rsid w:val="00C3099B"/>
    <w:rsid w:val="00C30BCF"/>
    <w:rsid w:val="00C30C63"/>
    <w:rsid w:val="00C312AD"/>
    <w:rsid w:val="00C31C29"/>
    <w:rsid w:val="00C321CA"/>
    <w:rsid w:val="00C32533"/>
    <w:rsid w:val="00C33CB8"/>
    <w:rsid w:val="00C34705"/>
    <w:rsid w:val="00C352BB"/>
    <w:rsid w:val="00C352DE"/>
    <w:rsid w:val="00C35403"/>
    <w:rsid w:val="00C35F43"/>
    <w:rsid w:val="00C36E61"/>
    <w:rsid w:val="00C374E6"/>
    <w:rsid w:val="00C378A1"/>
    <w:rsid w:val="00C37FFC"/>
    <w:rsid w:val="00C401AB"/>
    <w:rsid w:val="00C40DA0"/>
    <w:rsid w:val="00C4181F"/>
    <w:rsid w:val="00C42330"/>
    <w:rsid w:val="00C42697"/>
    <w:rsid w:val="00C436A2"/>
    <w:rsid w:val="00C437D1"/>
    <w:rsid w:val="00C43A69"/>
    <w:rsid w:val="00C4415B"/>
    <w:rsid w:val="00C4477F"/>
    <w:rsid w:val="00C448EB"/>
    <w:rsid w:val="00C44CF4"/>
    <w:rsid w:val="00C44D4F"/>
    <w:rsid w:val="00C45698"/>
    <w:rsid w:val="00C4583F"/>
    <w:rsid w:val="00C4586F"/>
    <w:rsid w:val="00C45EAB"/>
    <w:rsid w:val="00C472F1"/>
    <w:rsid w:val="00C4765D"/>
    <w:rsid w:val="00C4766D"/>
    <w:rsid w:val="00C47878"/>
    <w:rsid w:val="00C505CD"/>
    <w:rsid w:val="00C507B8"/>
    <w:rsid w:val="00C50BE4"/>
    <w:rsid w:val="00C51D34"/>
    <w:rsid w:val="00C51E49"/>
    <w:rsid w:val="00C52196"/>
    <w:rsid w:val="00C5222A"/>
    <w:rsid w:val="00C52B4A"/>
    <w:rsid w:val="00C53064"/>
    <w:rsid w:val="00C536B9"/>
    <w:rsid w:val="00C538FE"/>
    <w:rsid w:val="00C5496F"/>
    <w:rsid w:val="00C54D63"/>
    <w:rsid w:val="00C55198"/>
    <w:rsid w:val="00C5538E"/>
    <w:rsid w:val="00C5546F"/>
    <w:rsid w:val="00C55831"/>
    <w:rsid w:val="00C55979"/>
    <w:rsid w:val="00C55D2B"/>
    <w:rsid w:val="00C56070"/>
    <w:rsid w:val="00C56DA0"/>
    <w:rsid w:val="00C60340"/>
    <w:rsid w:val="00C603E9"/>
    <w:rsid w:val="00C606E1"/>
    <w:rsid w:val="00C61AD0"/>
    <w:rsid w:val="00C61FAC"/>
    <w:rsid w:val="00C620F4"/>
    <w:rsid w:val="00C62DA1"/>
    <w:rsid w:val="00C632A7"/>
    <w:rsid w:val="00C64194"/>
    <w:rsid w:val="00C646D9"/>
    <w:rsid w:val="00C648B2"/>
    <w:rsid w:val="00C6652A"/>
    <w:rsid w:val="00C66860"/>
    <w:rsid w:val="00C66A42"/>
    <w:rsid w:val="00C67027"/>
    <w:rsid w:val="00C674C2"/>
    <w:rsid w:val="00C67C92"/>
    <w:rsid w:val="00C7024D"/>
    <w:rsid w:val="00C702D0"/>
    <w:rsid w:val="00C70368"/>
    <w:rsid w:val="00C71157"/>
    <w:rsid w:val="00C724A0"/>
    <w:rsid w:val="00C72B4E"/>
    <w:rsid w:val="00C72C73"/>
    <w:rsid w:val="00C73052"/>
    <w:rsid w:val="00C7323D"/>
    <w:rsid w:val="00C7334C"/>
    <w:rsid w:val="00C7340F"/>
    <w:rsid w:val="00C74008"/>
    <w:rsid w:val="00C741C5"/>
    <w:rsid w:val="00C75092"/>
    <w:rsid w:val="00C75F51"/>
    <w:rsid w:val="00C76E89"/>
    <w:rsid w:val="00C772D7"/>
    <w:rsid w:val="00C77554"/>
    <w:rsid w:val="00C775B8"/>
    <w:rsid w:val="00C804B2"/>
    <w:rsid w:val="00C80CA0"/>
    <w:rsid w:val="00C80FA9"/>
    <w:rsid w:val="00C811B2"/>
    <w:rsid w:val="00C81B8C"/>
    <w:rsid w:val="00C8249B"/>
    <w:rsid w:val="00C82983"/>
    <w:rsid w:val="00C83972"/>
    <w:rsid w:val="00C83E07"/>
    <w:rsid w:val="00C84033"/>
    <w:rsid w:val="00C84D46"/>
    <w:rsid w:val="00C85302"/>
    <w:rsid w:val="00C85A75"/>
    <w:rsid w:val="00C85CF8"/>
    <w:rsid w:val="00C86106"/>
    <w:rsid w:val="00C86BF5"/>
    <w:rsid w:val="00C86E4D"/>
    <w:rsid w:val="00C86FE6"/>
    <w:rsid w:val="00C87C00"/>
    <w:rsid w:val="00C91664"/>
    <w:rsid w:val="00C919EB"/>
    <w:rsid w:val="00C91A7A"/>
    <w:rsid w:val="00C91E95"/>
    <w:rsid w:val="00C91FBB"/>
    <w:rsid w:val="00C92A4A"/>
    <w:rsid w:val="00C932CA"/>
    <w:rsid w:val="00C9332A"/>
    <w:rsid w:val="00C936B4"/>
    <w:rsid w:val="00C937B2"/>
    <w:rsid w:val="00C94089"/>
    <w:rsid w:val="00C94522"/>
    <w:rsid w:val="00C94668"/>
    <w:rsid w:val="00C94F55"/>
    <w:rsid w:val="00C95523"/>
    <w:rsid w:val="00C9590D"/>
    <w:rsid w:val="00C95BDC"/>
    <w:rsid w:val="00C95E14"/>
    <w:rsid w:val="00C9618E"/>
    <w:rsid w:val="00C967DF"/>
    <w:rsid w:val="00C96CAE"/>
    <w:rsid w:val="00C96DAC"/>
    <w:rsid w:val="00C973BA"/>
    <w:rsid w:val="00C97EB1"/>
    <w:rsid w:val="00CA0673"/>
    <w:rsid w:val="00CA06CC"/>
    <w:rsid w:val="00CA0EC9"/>
    <w:rsid w:val="00CA0FB4"/>
    <w:rsid w:val="00CA12FA"/>
    <w:rsid w:val="00CA1A07"/>
    <w:rsid w:val="00CA21CF"/>
    <w:rsid w:val="00CA26E3"/>
    <w:rsid w:val="00CA388B"/>
    <w:rsid w:val="00CA38BB"/>
    <w:rsid w:val="00CA38CB"/>
    <w:rsid w:val="00CA3ED8"/>
    <w:rsid w:val="00CA417E"/>
    <w:rsid w:val="00CA47A5"/>
    <w:rsid w:val="00CA5938"/>
    <w:rsid w:val="00CA5B53"/>
    <w:rsid w:val="00CA5B7B"/>
    <w:rsid w:val="00CA66B4"/>
    <w:rsid w:val="00CA7490"/>
    <w:rsid w:val="00CB061E"/>
    <w:rsid w:val="00CB1028"/>
    <w:rsid w:val="00CB10EA"/>
    <w:rsid w:val="00CB1750"/>
    <w:rsid w:val="00CB17A2"/>
    <w:rsid w:val="00CB1F10"/>
    <w:rsid w:val="00CB204F"/>
    <w:rsid w:val="00CB20FC"/>
    <w:rsid w:val="00CB3A1C"/>
    <w:rsid w:val="00CB3E28"/>
    <w:rsid w:val="00CB4579"/>
    <w:rsid w:val="00CB4702"/>
    <w:rsid w:val="00CB531C"/>
    <w:rsid w:val="00CB6112"/>
    <w:rsid w:val="00CB6277"/>
    <w:rsid w:val="00CB6ED7"/>
    <w:rsid w:val="00CB7022"/>
    <w:rsid w:val="00CB7370"/>
    <w:rsid w:val="00CB7517"/>
    <w:rsid w:val="00CC0008"/>
    <w:rsid w:val="00CC0523"/>
    <w:rsid w:val="00CC080B"/>
    <w:rsid w:val="00CC0A5E"/>
    <w:rsid w:val="00CC0C20"/>
    <w:rsid w:val="00CC2513"/>
    <w:rsid w:val="00CC3B45"/>
    <w:rsid w:val="00CC3D52"/>
    <w:rsid w:val="00CC42A0"/>
    <w:rsid w:val="00CC4CA1"/>
    <w:rsid w:val="00CC575A"/>
    <w:rsid w:val="00CC5C12"/>
    <w:rsid w:val="00CC5FE2"/>
    <w:rsid w:val="00CC68F0"/>
    <w:rsid w:val="00CC6D8D"/>
    <w:rsid w:val="00CC7952"/>
    <w:rsid w:val="00CC7BCC"/>
    <w:rsid w:val="00CD0033"/>
    <w:rsid w:val="00CD01DC"/>
    <w:rsid w:val="00CD026E"/>
    <w:rsid w:val="00CD064C"/>
    <w:rsid w:val="00CD06C8"/>
    <w:rsid w:val="00CD06F8"/>
    <w:rsid w:val="00CD0804"/>
    <w:rsid w:val="00CD0A04"/>
    <w:rsid w:val="00CD1EA0"/>
    <w:rsid w:val="00CD2866"/>
    <w:rsid w:val="00CD2A14"/>
    <w:rsid w:val="00CD3491"/>
    <w:rsid w:val="00CD3C43"/>
    <w:rsid w:val="00CD400C"/>
    <w:rsid w:val="00CD41A5"/>
    <w:rsid w:val="00CD4895"/>
    <w:rsid w:val="00CD4AB7"/>
    <w:rsid w:val="00CD4C42"/>
    <w:rsid w:val="00CD51ED"/>
    <w:rsid w:val="00CD57D7"/>
    <w:rsid w:val="00CD593D"/>
    <w:rsid w:val="00CE0036"/>
    <w:rsid w:val="00CE0329"/>
    <w:rsid w:val="00CE0521"/>
    <w:rsid w:val="00CE1C7D"/>
    <w:rsid w:val="00CE256A"/>
    <w:rsid w:val="00CE3F30"/>
    <w:rsid w:val="00CE3F4B"/>
    <w:rsid w:val="00CE4C79"/>
    <w:rsid w:val="00CE595A"/>
    <w:rsid w:val="00CE67BB"/>
    <w:rsid w:val="00CE70C1"/>
    <w:rsid w:val="00CE710B"/>
    <w:rsid w:val="00CE710E"/>
    <w:rsid w:val="00CE7813"/>
    <w:rsid w:val="00CE7B98"/>
    <w:rsid w:val="00CF02CB"/>
    <w:rsid w:val="00CF034F"/>
    <w:rsid w:val="00CF03C3"/>
    <w:rsid w:val="00CF0D20"/>
    <w:rsid w:val="00CF18CB"/>
    <w:rsid w:val="00CF1EC9"/>
    <w:rsid w:val="00CF204B"/>
    <w:rsid w:val="00CF2224"/>
    <w:rsid w:val="00CF2E30"/>
    <w:rsid w:val="00CF2FB3"/>
    <w:rsid w:val="00CF3012"/>
    <w:rsid w:val="00CF3429"/>
    <w:rsid w:val="00CF34E6"/>
    <w:rsid w:val="00CF3B88"/>
    <w:rsid w:val="00CF3B90"/>
    <w:rsid w:val="00CF4A9C"/>
    <w:rsid w:val="00CF502B"/>
    <w:rsid w:val="00CF530E"/>
    <w:rsid w:val="00CF53CF"/>
    <w:rsid w:val="00CF5985"/>
    <w:rsid w:val="00CF5F50"/>
    <w:rsid w:val="00CF6452"/>
    <w:rsid w:val="00CF664B"/>
    <w:rsid w:val="00CF66A2"/>
    <w:rsid w:val="00CF6D72"/>
    <w:rsid w:val="00D00468"/>
    <w:rsid w:val="00D019EC"/>
    <w:rsid w:val="00D01AB1"/>
    <w:rsid w:val="00D023FF"/>
    <w:rsid w:val="00D02A2B"/>
    <w:rsid w:val="00D03A48"/>
    <w:rsid w:val="00D04638"/>
    <w:rsid w:val="00D059BE"/>
    <w:rsid w:val="00D05C25"/>
    <w:rsid w:val="00D06352"/>
    <w:rsid w:val="00D063B6"/>
    <w:rsid w:val="00D06685"/>
    <w:rsid w:val="00D07778"/>
    <w:rsid w:val="00D07C34"/>
    <w:rsid w:val="00D10015"/>
    <w:rsid w:val="00D1089A"/>
    <w:rsid w:val="00D10986"/>
    <w:rsid w:val="00D12096"/>
    <w:rsid w:val="00D12B69"/>
    <w:rsid w:val="00D1381C"/>
    <w:rsid w:val="00D14393"/>
    <w:rsid w:val="00D145EE"/>
    <w:rsid w:val="00D14D3C"/>
    <w:rsid w:val="00D15045"/>
    <w:rsid w:val="00D15A88"/>
    <w:rsid w:val="00D15F31"/>
    <w:rsid w:val="00D160BE"/>
    <w:rsid w:val="00D1664F"/>
    <w:rsid w:val="00D16C32"/>
    <w:rsid w:val="00D16D4A"/>
    <w:rsid w:val="00D17B63"/>
    <w:rsid w:val="00D20CE6"/>
    <w:rsid w:val="00D20F0D"/>
    <w:rsid w:val="00D21C38"/>
    <w:rsid w:val="00D225CB"/>
    <w:rsid w:val="00D227CA"/>
    <w:rsid w:val="00D22CCA"/>
    <w:rsid w:val="00D23334"/>
    <w:rsid w:val="00D236EC"/>
    <w:rsid w:val="00D23E1C"/>
    <w:rsid w:val="00D23E7C"/>
    <w:rsid w:val="00D24A24"/>
    <w:rsid w:val="00D25101"/>
    <w:rsid w:val="00D252D3"/>
    <w:rsid w:val="00D257C0"/>
    <w:rsid w:val="00D25CD6"/>
    <w:rsid w:val="00D25EC9"/>
    <w:rsid w:val="00D26030"/>
    <w:rsid w:val="00D263DF"/>
    <w:rsid w:val="00D270AC"/>
    <w:rsid w:val="00D272B0"/>
    <w:rsid w:val="00D278BF"/>
    <w:rsid w:val="00D279F5"/>
    <w:rsid w:val="00D27B29"/>
    <w:rsid w:val="00D27F6B"/>
    <w:rsid w:val="00D30546"/>
    <w:rsid w:val="00D31F68"/>
    <w:rsid w:val="00D3250C"/>
    <w:rsid w:val="00D330E0"/>
    <w:rsid w:val="00D337F2"/>
    <w:rsid w:val="00D339C7"/>
    <w:rsid w:val="00D33D62"/>
    <w:rsid w:val="00D34576"/>
    <w:rsid w:val="00D34D8C"/>
    <w:rsid w:val="00D35743"/>
    <w:rsid w:val="00D35A7D"/>
    <w:rsid w:val="00D35BA7"/>
    <w:rsid w:val="00D35E93"/>
    <w:rsid w:val="00D35F66"/>
    <w:rsid w:val="00D3651A"/>
    <w:rsid w:val="00D36589"/>
    <w:rsid w:val="00D36D99"/>
    <w:rsid w:val="00D404A7"/>
    <w:rsid w:val="00D40729"/>
    <w:rsid w:val="00D408AD"/>
    <w:rsid w:val="00D40D70"/>
    <w:rsid w:val="00D40D76"/>
    <w:rsid w:val="00D40F2B"/>
    <w:rsid w:val="00D41050"/>
    <w:rsid w:val="00D417C9"/>
    <w:rsid w:val="00D41DAD"/>
    <w:rsid w:val="00D428DF"/>
    <w:rsid w:val="00D42F09"/>
    <w:rsid w:val="00D43156"/>
    <w:rsid w:val="00D432A1"/>
    <w:rsid w:val="00D43732"/>
    <w:rsid w:val="00D43EB6"/>
    <w:rsid w:val="00D43EFA"/>
    <w:rsid w:val="00D44369"/>
    <w:rsid w:val="00D45529"/>
    <w:rsid w:val="00D45FF8"/>
    <w:rsid w:val="00D46EFC"/>
    <w:rsid w:val="00D47146"/>
    <w:rsid w:val="00D5044E"/>
    <w:rsid w:val="00D5056E"/>
    <w:rsid w:val="00D50698"/>
    <w:rsid w:val="00D50702"/>
    <w:rsid w:val="00D511BA"/>
    <w:rsid w:val="00D512A9"/>
    <w:rsid w:val="00D512ED"/>
    <w:rsid w:val="00D51651"/>
    <w:rsid w:val="00D51F95"/>
    <w:rsid w:val="00D53EB5"/>
    <w:rsid w:val="00D54753"/>
    <w:rsid w:val="00D54FFE"/>
    <w:rsid w:val="00D56A8E"/>
    <w:rsid w:val="00D56C32"/>
    <w:rsid w:val="00D56C66"/>
    <w:rsid w:val="00D575BB"/>
    <w:rsid w:val="00D5795C"/>
    <w:rsid w:val="00D6045C"/>
    <w:rsid w:val="00D610F1"/>
    <w:rsid w:val="00D613F4"/>
    <w:rsid w:val="00D62031"/>
    <w:rsid w:val="00D622EE"/>
    <w:rsid w:val="00D62B1E"/>
    <w:rsid w:val="00D62B66"/>
    <w:rsid w:val="00D6302D"/>
    <w:rsid w:val="00D63371"/>
    <w:rsid w:val="00D63ECF"/>
    <w:rsid w:val="00D64099"/>
    <w:rsid w:val="00D640EC"/>
    <w:rsid w:val="00D6435F"/>
    <w:rsid w:val="00D66AB4"/>
    <w:rsid w:val="00D66DD9"/>
    <w:rsid w:val="00D66E4D"/>
    <w:rsid w:val="00D67445"/>
    <w:rsid w:val="00D67968"/>
    <w:rsid w:val="00D70BAE"/>
    <w:rsid w:val="00D71091"/>
    <w:rsid w:val="00D71481"/>
    <w:rsid w:val="00D714F4"/>
    <w:rsid w:val="00D720BD"/>
    <w:rsid w:val="00D728A9"/>
    <w:rsid w:val="00D73038"/>
    <w:rsid w:val="00D7376F"/>
    <w:rsid w:val="00D73FD6"/>
    <w:rsid w:val="00D75274"/>
    <w:rsid w:val="00D76A01"/>
    <w:rsid w:val="00D76A21"/>
    <w:rsid w:val="00D772BF"/>
    <w:rsid w:val="00D77545"/>
    <w:rsid w:val="00D77576"/>
    <w:rsid w:val="00D77687"/>
    <w:rsid w:val="00D800BD"/>
    <w:rsid w:val="00D8032F"/>
    <w:rsid w:val="00D80568"/>
    <w:rsid w:val="00D809B9"/>
    <w:rsid w:val="00D80CEA"/>
    <w:rsid w:val="00D80F10"/>
    <w:rsid w:val="00D81323"/>
    <w:rsid w:val="00D81C2D"/>
    <w:rsid w:val="00D82AC2"/>
    <w:rsid w:val="00D82D9B"/>
    <w:rsid w:val="00D82FAA"/>
    <w:rsid w:val="00D83067"/>
    <w:rsid w:val="00D8314A"/>
    <w:rsid w:val="00D841F6"/>
    <w:rsid w:val="00D848CD"/>
    <w:rsid w:val="00D84C71"/>
    <w:rsid w:val="00D84E98"/>
    <w:rsid w:val="00D8515B"/>
    <w:rsid w:val="00D85925"/>
    <w:rsid w:val="00D859B0"/>
    <w:rsid w:val="00D85CF9"/>
    <w:rsid w:val="00D85D49"/>
    <w:rsid w:val="00D85D6D"/>
    <w:rsid w:val="00D85E8A"/>
    <w:rsid w:val="00D87BE7"/>
    <w:rsid w:val="00D87FA4"/>
    <w:rsid w:val="00D902E2"/>
    <w:rsid w:val="00D9119D"/>
    <w:rsid w:val="00D91F43"/>
    <w:rsid w:val="00D92580"/>
    <w:rsid w:val="00D92C20"/>
    <w:rsid w:val="00D93197"/>
    <w:rsid w:val="00D93462"/>
    <w:rsid w:val="00D93722"/>
    <w:rsid w:val="00D9390B"/>
    <w:rsid w:val="00D93C86"/>
    <w:rsid w:val="00D95608"/>
    <w:rsid w:val="00D9690E"/>
    <w:rsid w:val="00D96E55"/>
    <w:rsid w:val="00D9719B"/>
    <w:rsid w:val="00D97D10"/>
    <w:rsid w:val="00DA04A2"/>
    <w:rsid w:val="00DA04A4"/>
    <w:rsid w:val="00DA074F"/>
    <w:rsid w:val="00DA1147"/>
    <w:rsid w:val="00DA11A0"/>
    <w:rsid w:val="00DA16E6"/>
    <w:rsid w:val="00DA19AA"/>
    <w:rsid w:val="00DA1E97"/>
    <w:rsid w:val="00DA215C"/>
    <w:rsid w:val="00DA242A"/>
    <w:rsid w:val="00DA254F"/>
    <w:rsid w:val="00DA25E5"/>
    <w:rsid w:val="00DA2E9B"/>
    <w:rsid w:val="00DA3F21"/>
    <w:rsid w:val="00DA4042"/>
    <w:rsid w:val="00DA4735"/>
    <w:rsid w:val="00DA4BA7"/>
    <w:rsid w:val="00DA4BF1"/>
    <w:rsid w:val="00DA4EEA"/>
    <w:rsid w:val="00DA5109"/>
    <w:rsid w:val="00DA55A7"/>
    <w:rsid w:val="00DA5744"/>
    <w:rsid w:val="00DA5A64"/>
    <w:rsid w:val="00DA5ABF"/>
    <w:rsid w:val="00DA6533"/>
    <w:rsid w:val="00DA65DF"/>
    <w:rsid w:val="00DA79D4"/>
    <w:rsid w:val="00DA7AA8"/>
    <w:rsid w:val="00DA7EE8"/>
    <w:rsid w:val="00DB0061"/>
    <w:rsid w:val="00DB031D"/>
    <w:rsid w:val="00DB03A9"/>
    <w:rsid w:val="00DB123C"/>
    <w:rsid w:val="00DB16CA"/>
    <w:rsid w:val="00DB185E"/>
    <w:rsid w:val="00DB1DB9"/>
    <w:rsid w:val="00DB29F7"/>
    <w:rsid w:val="00DB2ABD"/>
    <w:rsid w:val="00DB2F70"/>
    <w:rsid w:val="00DB33F6"/>
    <w:rsid w:val="00DB40DD"/>
    <w:rsid w:val="00DB487F"/>
    <w:rsid w:val="00DB4942"/>
    <w:rsid w:val="00DB505B"/>
    <w:rsid w:val="00DB57EF"/>
    <w:rsid w:val="00DB61DC"/>
    <w:rsid w:val="00DB6E90"/>
    <w:rsid w:val="00DB6F90"/>
    <w:rsid w:val="00DB7898"/>
    <w:rsid w:val="00DB7A36"/>
    <w:rsid w:val="00DC00A1"/>
    <w:rsid w:val="00DC0968"/>
    <w:rsid w:val="00DC1956"/>
    <w:rsid w:val="00DC1B12"/>
    <w:rsid w:val="00DC1DBD"/>
    <w:rsid w:val="00DC333A"/>
    <w:rsid w:val="00DC3544"/>
    <w:rsid w:val="00DC3E48"/>
    <w:rsid w:val="00DC51C0"/>
    <w:rsid w:val="00DC5C81"/>
    <w:rsid w:val="00DC61C4"/>
    <w:rsid w:val="00DC621F"/>
    <w:rsid w:val="00DC644F"/>
    <w:rsid w:val="00DC656E"/>
    <w:rsid w:val="00DC6691"/>
    <w:rsid w:val="00DC6A6C"/>
    <w:rsid w:val="00DC6B12"/>
    <w:rsid w:val="00DC74EF"/>
    <w:rsid w:val="00DC7C62"/>
    <w:rsid w:val="00DC7E4D"/>
    <w:rsid w:val="00DD06CF"/>
    <w:rsid w:val="00DD1925"/>
    <w:rsid w:val="00DD19EE"/>
    <w:rsid w:val="00DD2C0A"/>
    <w:rsid w:val="00DD34B5"/>
    <w:rsid w:val="00DD419B"/>
    <w:rsid w:val="00DD4654"/>
    <w:rsid w:val="00DD7D14"/>
    <w:rsid w:val="00DD7EA1"/>
    <w:rsid w:val="00DE0CB1"/>
    <w:rsid w:val="00DE12A8"/>
    <w:rsid w:val="00DE1360"/>
    <w:rsid w:val="00DE15A8"/>
    <w:rsid w:val="00DE1871"/>
    <w:rsid w:val="00DE1AB4"/>
    <w:rsid w:val="00DE2433"/>
    <w:rsid w:val="00DE2759"/>
    <w:rsid w:val="00DE2CC2"/>
    <w:rsid w:val="00DE2CC6"/>
    <w:rsid w:val="00DE35BB"/>
    <w:rsid w:val="00DE37A7"/>
    <w:rsid w:val="00DE529F"/>
    <w:rsid w:val="00DE56C1"/>
    <w:rsid w:val="00DE5DC3"/>
    <w:rsid w:val="00DE5E7E"/>
    <w:rsid w:val="00DE5FCA"/>
    <w:rsid w:val="00DE698B"/>
    <w:rsid w:val="00DE7BCF"/>
    <w:rsid w:val="00DE7C48"/>
    <w:rsid w:val="00DE7DC2"/>
    <w:rsid w:val="00DF0B39"/>
    <w:rsid w:val="00DF13AE"/>
    <w:rsid w:val="00DF14B9"/>
    <w:rsid w:val="00DF2B8F"/>
    <w:rsid w:val="00DF3128"/>
    <w:rsid w:val="00DF34EE"/>
    <w:rsid w:val="00DF40C3"/>
    <w:rsid w:val="00DF49A1"/>
    <w:rsid w:val="00DF4CE7"/>
    <w:rsid w:val="00DF545B"/>
    <w:rsid w:val="00DF5761"/>
    <w:rsid w:val="00DF59FD"/>
    <w:rsid w:val="00DF62DB"/>
    <w:rsid w:val="00DF6752"/>
    <w:rsid w:val="00DF755E"/>
    <w:rsid w:val="00DF7DD3"/>
    <w:rsid w:val="00E000A7"/>
    <w:rsid w:val="00E003AF"/>
    <w:rsid w:val="00E005C0"/>
    <w:rsid w:val="00E00B84"/>
    <w:rsid w:val="00E0135D"/>
    <w:rsid w:val="00E01DBB"/>
    <w:rsid w:val="00E0228D"/>
    <w:rsid w:val="00E02406"/>
    <w:rsid w:val="00E0299C"/>
    <w:rsid w:val="00E0367A"/>
    <w:rsid w:val="00E04353"/>
    <w:rsid w:val="00E049C3"/>
    <w:rsid w:val="00E05A08"/>
    <w:rsid w:val="00E05A5D"/>
    <w:rsid w:val="00E05DAC"/>
    <w:rsid w:val="00E05F76"/>
    <w:rsid w:val="00E0712E"/>
    <w:rsid w:val="00E0728C"/>
    <w:rsid w:val="00E077E8"/>
    <w:rsid w:val="00E10AE9"/>
    <w:rsid w:val="00E10D8E"/>
    <w:rsid w:val="00E110A5"/>
    <w:rsid w:val="00E11280"/>
    <w:rsid w:val="00E11631"/>
    <w:rsid w:val="00E11E6C"/>
    <w:rsid w:val="00E12175"/>
    <w:rsid w:val="00E12DB5"/>
    <w:rsid w:val="00E133AC"/>
    <w:rsid w:val="00E14B50"/>
    <w:rsid w:val="00E1504A"/>
    <w:rsid w:val="00E15B39"/>
    <w:rsid w:val="00E15B3B"/>
    <w:rsid w:val="00E160BF"/>
    <w:rsid w:val="00E1646D"/>
    <w:rsid w:val="00E16DEC"/>
    <w:rsid w:val="00E16FED"/>
    <w:rsid w:val="00E17062"/>
    <w:rsid w:val="00E20037"/>
    <w:rsid w:val="00E20249"/>
    <w:rsid w:val="00E20367"/>
    <w:rsid w:val="00E207AD"/>
    <w:rsid w:val="00E213B0"/>
    <w:rsid w:val="00E21BB2"/>
    <w:rsid w:val="00E223AF"/>
    <w:rsid w:val="00E2297E"/>
    <w:rsid w:val="00E2370E"/>
    <w:rsid w:val="00E238C4"/>
    <w:rsid w:val="00E23B0D"/>
    <w:rsid w:val="00E23D64"/>
    <w:rsid w:val="00E23FE0"/>
    <w:rsid w:val="00E2413A"/>
    <w:rsid w:val="00E24897"/>
    <w:rsid w:val="00E24DB0"/>
    <w:rsid w:val="00E2598B"/>
    <w:rsid w:val="00E26385"/>
    <w:rsid w:val="00E2670B"/>
    <w:rsid w:val="00E26AD6"/>
    <w:rsid w:val="00E26B0B"/>
    <w:rsid w:val="00E27D6A"/>
    <w:rsid w:val="00E27DC0"/>
    <w:rsid w:val="00E30191"/>
    <w:rsid w:val="00E304E9"/>
    <w:rsid w:val="00E3076C"/>
    <w:rsid w:val="00E30DAE"/>
    <w:rsid w:val="00E31156"/>
    <w:rsid w:val="00E31B21"/>
    <w:rsid w:val="00E31B4C"/>
    <w:rsid w:val="00E31F13"/>
    <w:rsid w:val="00E32840"/>
    <w:rsid w:val="00E32C5E"/>
    <w:rsid w:val="00E32CE0"/>
    <w:rsid w:val="00E335FC"/>
    <w:rsid w:val="00E33BB3"/>
    <w:rsid w:val="00E355F7"/>
    <w:rsid w:val="00E364E8"/>
    <w:rsid w:val="00E36535"/>
    <w:rsid w:val="00E368D1"/>
    <w:rsid w:val="00E36B51"/>
    <w:rsid w:val="00E37223"/>
    <w:rsid w:val="00E37E0B"/>
    <w:rsid w:val="00E4223E"/>
    <w:rsid w:val="00E4396A"/>
    <w:rsid w:val="00E43B69"/>
    <w:rsid w:val="00E4454E"/>
    <w:rsid w:val="00E44DF6"/>
    <w:rsid w:val="00E450CD"/>
    <w:rsid w:val="00E4578B"/>
    <w:rsid w:val="00E45AAD"/>
    <w:rsid w:val="00E465F8"/>
    <w:rsid w:val="00E47BFE"/>
    <w:rsid w:val="00E5022D"/>
    <w:rsid w:val="00E505B7"/>
    <w:rsid w:val="00E507E6"/>
    <w:rsid w:val="00E50A93"/>
    <w:rsid w:val="00E50B77"/>
    <w:rsid w:val="00E5191E"/>
    <w:rsid w:val="00E51C7A"/>
    <w:rsid w:val="00E51D75"/>
    <w:rsid w:val="00E5236F"/>
    <w:rsid w:val="00E52414"/>
    <w:rsid w:val="00E53276"/>
    <w:rsid w:val="00E53973"/>
    <w:rsid w:val="00E53A3F"/>
    <w:rsid w:val="00E54606"/>
    <w:rsid w:val="00E5511D"/>
    <w:rsid w:val="00E553E8"/>
    <w:rsid w:val="00E5628A"/>
    <w:rsid w:val="00E565C5"/>
    <w:rsid w:val="00E56EFE"/>
    <w:rsid w:val="00E57752"/>
    <w:rsid w:val="00E5776C"/>
    <w:rsid w:val="00E57E50"/>
    <w:rsid w:val="00E610A3"/>
    <w:rsid w:val="00E61BAE"/>
    <w:rsid w:val="00E62C85"/>
    <w:rsid w:val="00E63A2B"/>
    <w:rsid w:val="00E63FBD"/>
    <w:rsid w:val="00E64954"/>
    <w:rsid w:val="00E64F60"/>
    <w:rsid w:val="00E6561A"/>
    <w:rsid w:val="00E65936"/>
    <w:rsid w:val="00E6645B"/>
    <w:rsid w:val="00E67CA2"/>
    <w:rsid w:val="00E70105"/>
    <w:rsid w:val="00E70227"/>
    <w:rsid w:val="00E708C2"/>
    <w:rsid w:val="00E70917"/>
    <w:rsid w:val="00E71167"/>
    <w:rsid w:val="00E71781"/>
    <w:rsid w:val="00E71A49"/>
    <w:rsid w:val="00E71F2B"/>
    <w:rsid w:val="00E7216C"/>
    <w:rsid w:val="00E721C1"/>
    <w:rsid w:val="00E7277D"/>
    <w:rsid w:val="00E728CB"/>
    <w:rsid w:val="00E731BF"/>
    <w:rsid w:val="00E734D8"/>
    <w:rsid w:val="00E74087"/>
    <w:rsid w:val="00E740CD"/>
    <w:rsid w:val="00E741F3"/>
    <w:rsid w:val="00E745BE"/>
    <w:rsid w:val="00E74A78"/>
    <w:rsid w:val="00E750EA"/>
    <w:rsid w:val="00E75382"/>
    <w:rsid w:val="00E75880"/>
    <w:rsid w:val="00E764DE"/>
    <w:rsid w:val="00E76B41"/>
    <w:rsid w:val="00E77214"/>
    <w:rsid w:val="00E77A6F"/>
    <w:rsid w:val="00E77B55"/>
    <w:rsid w:val="00E77E72"/>
    <w:rsid w:val="00E77F9C"/>
    <w:rsid w:val="00E80348"/>
    <w:rsid w:val="00E80B78"/>
    <w:rsid w:val="00E80BD4"/>
    <w:rsid w:val="00E8253C"/>
    <w:rsid w:val="00E82F4C"/>
    <w:rsid w:val="00E83848"/>
    <w:rsid w:val="00E83CD1"/>
    <w:rsid w:val="00E84D61"/>
    <w:rsid w:val="00E856E4"/>
    <w:rsid w:val="00E86A05"/>
    <w:rsid w:val="00E875C8"/>
    <w:rsid w:val="00E878C3"/>
    <w:rsid w:val="00E87FE7"/>
    <w:rsid w:val="00E9006D"/>
    <w:rsid w:val="00E90590"/>
    <w:rsid w:val="00E9080F"/>
    <w:rsid w:val="00E91043"/>
    <w:rsid w:val="00E9122A"/>
    <w:rsid w:val="00E91FD5"/>
    <w:rsid w:val="00E91FF4"/>
    <w:rsid w:val="00E931A5"/>
    <w:rsid w:val="00E93438"/>
    <w:rsid w:val="00E9392A"/>
    <w:rsid w:val="00E94F1D"/>
    <w:rsid w:val="00E954E2"/>
    <w:rsid w:val="00E95930"/>
    <w:rsid w:val="00E9643A"/>
    <w:rsid w:val="00E96D24"/>
    <w:rsid w:val="00E97335"/>
    <w:rsid w:val="00EA048E"/>
    <w:rsid w:val="00EA0DB7"/>
    <w:rsid w:val="00EA0E50"/>
    <w:rsid w:val="00EA12DC"/>
    <w:rsid w:val="00EA151B"/>
    <w:rsid w:val="00EA1867"/>
    <w:rsid w:val="00EA2CEB"/>
    <w:rsid w:val="00EA4137"/>
    <w:rsid w:val="00EA4476"/>
    <w:rsid w:val="00EA49E9"/>
    <w:rsid w:val="00EA5230"/>
    <w:rsid w:val="00EA53A8"/>
    <w:rsid w:val="00EA5458"/>
    <w:rsid w:val="00EA5638"/>
    <w:rsid w:val="00EA5647"/>
    <w:rsid w:val="00EA5759"/>
    <w:rsid w:val="00EA581E"/>
    <w:rsid w:val="00EA6699"/>
    <w:rsid w:val="00EA77C7"/>
    <w:rsid w:val="00EA7985"/>
    <w:rsid w:val="00EA7AA6"/>
    <w:rsid w:val="00EA7CD8"/>
    <w:rsid w:val="00EA7CF5"/>
    <w:rsid w:val="00EB02AC"/>
    <w:rsid w:val="00EB0B95"/>
    <w:rsid w:val="00EB12C0"/>
    <w:rsid w:val="00EB16A2"/>
    <w:rsid w:val="00EB16C6"/>
    <w:rsid w:val="00EB1995"/>
    <w:rsid w:val="00EB1A33"/>
    <w:rsid w:val="00EB1F44"/>
    <w:rsid w:val="00EB2047"/>
    <w:rsid w:val="00EB2615"/>
    <w:rsid w:val="00EB26ED"/>
    <w:rsid w:val="00EB27D3"/>
    <w:rsid w:val="00EB2F99"/>
    <w:rsid w:val="00EB2FD0"/>
    <w:rsid w:val="00EB37CE"/>
    <w:rsid w:val="00EB39A8"/>
    <w:rsid w:val="00EB3C71"/>
    <w:rsid w:val="00EB3E6A"/>
    <w:rsid w:val="00EB402A"/>
    <w:rsid w:val="00EB5300"/>
    <w:rsid w:val="00EB6B0B"/>
    <w:rsid w:val="00EB72C4"/>
    <w:rsid w:val="00EB73BD"/>
    <w:rsid w:val="00EB7758"/>
    <w:rsid w:val="00EB778F"/>
    <w:rsid w:val="00EB7A0C"/>
    <w:rsid w:val="00EB7C98"/>
    <w:rsid w:val="00EC10C8"/>
    <w:rsid w:val="00EC1542"/>
    <w:rsid w:val="00EC250C"/>
    <w:rsid w:val="00EC2567"/>
    <w:rsid w:val="00EC2745"/>
    <w:rsid w:val="00EC34F6"/>
    <w:rsid w:val="00EC38FF"/>
    <w:rsid w:val="00EC3CF0"/>
    <w:rsid w:val="00EC4685"/>
    <w:rsid w:val="00EC53F1"/>
    <w:rsid w:val="00EC55CA"/>
    <w:rsid w:val="00EC55D0"/>
    <w:rsid w:val="00EC5688"/>
    <w:rsid w:val="00EC5BB6"/>
    <w:rsid w:val="00EC5EC6"/>
    <w:rsid w:val="00EC6CD5"/>
    <w:rsid w:val="00EC6D59"/>
    <w:rsid w:val="00EC7FA7"/>
    <w:rsid w:val="00ED01BC"/>
    <w:rsid w:val="00ED0A62"/>
    <w:rsid w:val="00ED0B04"/>
    <w:rsid w:val="00ED0B2B"/>
    <w:rsid w:val="00ED1083"/>
    <w:rsid w:val="00ED15A7"/>
    <w:rsid w:val="00ED1F44"/>
    <w:rsid w:val="00ED1F73"/>
    <w:rsid w:val="00ED25E5"/>
    <w:rsid w:val="00ED2DF3"/>
    <w:rsid w:val="00ED2F4B"/>
    <w:rsid w:val="00ED309C"/>
    <w:rsid w:val="00ED3730"/>
    <w:rsid w:val="00ED3B57"/>
    <w:rsid w:val="00ED3CD5"/>
    <w:rsid w:val="00ED46EE"/>
    <w:rsid w:val="00ED4868"/>
    <w:rsid w:val="00ED53FF"/>
    <w:rsid w:val="00ED585B"/>
    <w:rsid w:val="00ED5946"/>
    <w:rsid w:val="00ED5C4A"/>
    <w:rsid w:val="00ED66CD"/>
    <w:rsid w:val="00ED6CC4"/>
    <w:rsid w:val="00ED7230"/>
    <w:rsid w:val="00EE012B"/>
    <w:rsid w:val="00EE02FA"/>
    <w:rsid w:val="00EE103D"/>
    <w:rsid w:val="00EE1188"/>
    <w:rsid w:val="00EE15E6"/>
    <w:rsid w:val="00EE24FC"/>
    <w:rsid w:val="00EE2D06"/>
    <w:rsid w:val="00EE3226"/>
    <w:rsid w:val="00EE4334"/>
    <w:rsid w:val="00EE453F"/>
    <w:rsid w:val="00EE50CB"/>
    <w:rsid w:val="00EE568D"/>
    <w:rsid w:val="00EE5C6C"/>
    <w:rsid w:val="00EE65A8"/>
    <w:rsid w:val="00EE6835"/>
    <w:rsid w:val="00EE69B0"/>
    <w:rsid w:val="00EE6AE3"/>
    <w:rsid w:val="00EE762E"/>
    <w:rsid w:val="00EE7632"/>
    <w:rsid w:val="00EE77F8"/>
    <w:rsid w:val="00EE7997"/>
    <w:rsid w:val="00EE7BBF"/>
    <w:rsid w:val="00EE7D73"/>
    <w:rsid w:val="00EE7D94"/>
    <w:rsid w:val="00EF15C1"/>
    <w:rsid w:val="00EF214C"/>
    <w:rsid w:val="00EF22B2"/>
    <w:rsid w:val="00EF2BA7"/>
    <w:rsid w:val="00EF2E40"/>
    <w:rsid w:val="00EF329F"/>
    <w:rsid w:val="00EF32D1"/>
    <w:rsid w:val="00EF3565"/>
    <w:rsid w:val="00EF394F"/>
    <w:rsid w:val="00EF3B4F"/>
    <w:rsid w:val="00EF4755"/>
    <w:rsid w:val="00EF475C"/>
    <w:rsid w:val="00EF4EC8"/>
    <w:rsid w:val="00EF4F41"/>
    <w:rsid w:val="00EF59B5"/>
    <w:rsid w:val="00EF5A86"/>
    <w:rsid w:val="00EF6263"/>
    <w:rsid w:val="00EF75E0"/>
    <w:rsid w:val="00EF75FC"/>
    <w:rsid w:val="00EF78F5"/>
    <w:rsid w:val="00EF7A3F"/>
    <w:rsid w:val="00EF7EE9"/>
    <w:rsid w:val="00F00C61"/>
    <w:rsid w:val="00F015AC"/>
    <w:rsid w:val="00F01DE9"/>
    <w:rsid w:val="00F028FA"/>
    <w:rsid w:val="00F02F86"/>
    <w:rsid w:val="00F02FF8"/>
    <w:rsid w:val="00F03CB4"/>
    <w:rsid w:val="00F04C96"/>
    <w:rsid w:val="00F04DB2"/>
    <w:rsid w:val="00F0535C"/>
    <w:rsid w:val="00F06007"/>
    <w:rsid w:val="00F060A6"/>
    <w:rsid w:val="00F0616C"/>
    <w:rsid w:val="00F06733"/>
    <w:rsid w:val="00F06F1B"/>
    <w:rsid w:val="00F071EB"/>
    <w:rsid w:val="00F077F0"/>
    <w:rsid w:val="00F078F3"/>
    <w:rsid w:val="00F07A71"/>
    <w:rsid w:val="00F10039"/>
    <w:rsid w:val="00F10E2C"/>
    <w:rsid w:val="00F10F48"/>
    <w:rsid w:val="00F121A4"/>
    <w:rsid w:val="00F12903"/>
    <w:rsid w:val="00F13344"/>
    <w:rsid w:val="00F13C5E"/>
    <w:rsid w:val="00F13D64"/>
    <w:rsid w:val="00F145DC"/>
    <w:rsid w:val="00F15800"/>
    <w:rsid w:val="00F15E90"/>
    <w:rsid w:val="00F1613E"/>
    <w:rsid w:val="00F16413"/>
    <w:rsid w:val="00F165F7"/>
    <w:rsid w:val="00F168C7"/>
    <w:rsid w:val="00F1711E"/>
    <w:rsid w:val="00F1715E"/>
    <w:rsid w:val="00F171FE"/>
    <w:rsid w:val="00F2022B"/>
    <w:rsid w:val="00F20F68"/>
    <w:rsid w:val="00F210E5"/>
    <w:rsid w:val="00F21AA1"/>
    <w:rsid w:val="00F21B29"/>
    <w:rsid w:val="00F21BC8"/>
    <w:rsid w:val="00F22055"/>
    <w:rsid w:val="00F22C6B"/>
    <w:rsid w:val="00F22F88"/>
    <w:rsid w:val="00F2360C"/>
    <w:rsid w:val="00F23D09"/>
    <w:rsid w:val="00F24815"/>
    <w:rsid w:val="00F2487A"/>
    <w:rsid w:val="00F2590B"/>
    <w:rsid w:val="00F259DF"/>
    <w:rsid w:val="00F25B9C"/>
    <w:rsid w:val="00F261A9"/>
    <w:rsid w:val="00F26317"/>
    <w:rsid w:val="00F265DB"/>
    <w:rsid w:val="00F2664B"/>
    <w:rsid w:val="00F2679E"/>
    <w:rsid w:val="00F268D9"/>
    <w:rsid w:val="00F27224"/>
    <w:rsid w:val="00F27A22"/>
    <w:rsid w:val="00F305F6"/>
    <w:rsid w:val="00F30D2B"/>
    <w:rsid w:val="00F31016"/>
    <w:rsid w:val="00F32021"/>
    <w:rsid w:val="00F32234"/>
    <w:rsid w:val="00F3278D"/>
    <w:rsid w:val="00F329D1"/>
    <w:rsid w:val="00F32F3E"/>
    <w:rsid w:val="00F333C9"/>
    <w:rsid w:val="00F333D0"/>
    <w:rsid w:val="00F33477"/>
    <w:rsid w:val="00F33842"/>
    <w:rsid w:val="00F34969"/>
    <w:rsid w:val="00F34ED0"/>
    <w:rsid w:val="00F35133"/>
    <w:rsid w:val="00F357C7"/>
    <w:rsid w:val="00F3604F"/>
    <w:rsid w:val="00F37650"/>
    <w:rsid w:val="00F37660"/>
    <w:rsid w:val="00F378C8"/>
    <w:rsid w:val="00F37D47"/>
    <w:rsid w:val="00F37DAB"/>
    <w:rsid w:val="00F37EB7"/>
    <w:rsid w:val="00F417E7"/>
    <w:rsid w:val="00F41B82"/>
    <w:rsid w:val="00F41DB5"/>
    <w:rsid w:val="00F41E39"/>
    <w:rsid w:val="00F4221F"/>
    <w:rsid w:val="00F42253"/>
    <w:rsid w:val="00F4338C"/>
    <w:rsid w:val="00F4368E"/>
    <w:rsid w:val="00F436C3"/>
    <w:rsid w:val="00F43C1E"/>
    <w:rsid w:val="00F43C84"/>
    <w:rsid w:val="00F443BD"/>
    <w:rsid w:val="00F44B19"/>
    <w:rsid w:val="00F44B54"/>
    <w:rsid w:val="00F44C0A"/>
    <w:rsid w:val="00F454D9"/>
    <w:rsid w:val="00F4564F"/>
    <w:rsid w:val="00F47A87"/>
    <w:rsid w:val="00F5027A"/>
    <w:rsid w:val="00F50403"/>
    <w:rsid w:val="00F5040B"/>
    <w:rsid w:val="00F50A74"/>
    <w:rsid w:val="00F52544"/>
    <w:rsid w:val="00F5278B"/>
    <w:rsid w:val="00F5296D"/>
    <w:rsid w:val="00F52ABE"/>
    <w:rsid w:val="00F53963"/>
    <w:rsid w:val="00F53C8F"/>
    <w:rsid w:val="00F53FE3"/>
    <w:rsid w:val="00F53FF4"/>
    <w:rsid w:val="00F54074"/>
    <w:rsid w:val="00F543CA"/>
    <w:rsid w:val="00F5473D"/>
    <w:rsid w:val="00F54D56"/>
    <w:rsid w:val="00F558C2"/>
    <w:rsid w:val="00F55D68"/>
    <w:rsid w:val="00F55F76"/>
    <w:rsid w:val="00F568CB"/>
    <w:rsid w:val="00F570FA"/>
    <w:rsid w:val="00F60C31"/>
    <w:rsid w:val="00F61288"/>
    <w:rsid w:val="00F6136F"/>
    <w:rsid w:val="00F61A64"/>
    <w:rsid w:val="00F61AE3"/>
    <w:rsid w:val="00F61B5A"/>
    <w:rsid w:val="00F6241E"/>
    <w:rsid w:val="00F63211"/>
    <w:rsid w:val="00F634D6"/>
    <w:rsid w:val="00F63D31"/>
    <w:rsid w:val="00F650B2"/>
    <w:rsid w:val="00F65286"/>
    <w:rsid w:val="00F6564E"/>
    <w:rsid w:val="00F660E8"/>
    <w:rsid w:val="00F67538"/>
    <w:rsid w:val="00F675FC"/>
    <w:rsid w:val="00F701BC"/>
    <w:rsid w:val="00F70624"/>
    <w:rsid w:val="00F70755"/>
    <w:rsid w:val="00F7088E"/>
    <w:rsid w:val="00F710BB"/>
    <w:rsid w:val="00F71960"/>
    <w:rsid w:val="00F71AD3"/>
    <w:rsid w:val="00F724F7"/>
    <w:rsid w:val="00F72C92"/>
    <w:rsid w:val="00F73A6F"/>
    <w:rsid w:val="00F74475"/>
    <w:rsid w:val="00F74496"/>
    <w:rsid w:val="00F7459E"/>
    <w:rsid w:val="00F74E13"/>
    <w:rsid w:val="00F76630"/>
    <w:rsid w:val="00F767F1"/>
    <w:rsid w:val="00F77593"/>
    <w:rsid w:val="00F7789B"/>
    <w:rsid w:val="00F77EAB"/>
    <w:rsid w:val="00F803B7"/>
    <w:rsid w:val="00F806E9"/>
    <w:rsid w:val="00F82BE4"/>
    <w:rsid w:val="00F831F8"/>
    <w:rsid w:val="00F84520"/>
    <w:rsid w:val="00F84AC5"/>
    <w:rsid w:val="00F84B59"/>
    <w:rsid w:val="00F84C83"/>
    <w:rsid w:val="00F854A9"/>
    <w:rsid w:val="00F85508"/>
    <w:rsid w:val="00F856EC"/>
    <w:rsid w:val="00F86862"/>
    <w:rsid w:val="00F87335"/>
    <w:rsid w:val="00F87399"/>
    <w:rsid w:val="00F9022A"/>
    <w:rsid w:val="00F90B09"/>
    <w:rsid w:val="00F90FBD"/>
    <w:rsid w:val="00F91402"/>
    <w:rsid w:val="00F91F1B"/>
    <w:rsid w:val="00F92FCE"/>
    <w:rsid w:val="00F939FD"/>
    <w:rsid w:val="00F93C98"/>
    <w:rsid w:val="00F94D2F"/>
    <w:rsid w:val="00F94DB1"/>
    <w:rsid w:val="00F95897"/>
    <w:rsid w:val="00F95AF6"/>
    <w:rsid w:val="00F95DD0"/>
    <w:rsid w:val="00F9758D"/>
    <w:rsid w:val="00F97DCE"/>
    <w:rsid w:val="00FA0935"/>
    <w:rsid w:val="00FA0FFA"/>
    <w:rsid w:val="00FA1309"/>
    <w:rsid w:val="00FA15A2"/>
    <w:rsid w:val="00FA1F4B"/>
    <w:rsid w:val="00FA225F"/>
    <w:rsid w:val="00FA2483"/>
    <w:rsid w:val="00FA391C"/>
    <w:rsid w:val="00FA3A14"/>
    <w:rsid w:val="00FA3AFD"/>
    <w:rsid w:val="00FA3B3E"/>
    <w:rsid w:val="00FA4A47"/>
    <w:rsid w:val="00FA4AF3"/>
    <w:rsid w:val="00FA4B3F"/>
    <w:rsid w:val="00FA5720"/>
    <w:rsid w:val="00FA64E9"/>
    <w:rsid w:val="00FA653E"/>
    <w:rsid w:val="00FA6A03"/>
    <w:rsid w:val="00FA70B7"/>
    <w:rsid w:val="00FA74DC"/>
    <w:rsid w:val="00FA7E47"/>
    <w:rsid w:val="00FB00B1"/>
    <w:rsid w:val="00FB057C"/>
    <w:rsid w:val="00FB0A96"/>
    <w:rsid w:val="00FB2620"/>
    <w:rsid w:val="00FB291C"/>
    <w:rsid w:val="00FB2ECE"/>
    <w:rsid w:val="00FB3013"/>
    <w:rsid w:val="00FB315B"/>
    <w:rsid w:val="00FB335C"/>
    <w:rsid w:val="00FB5024"/>
    <w:rsid w:val="00FB5128"/>
    <w:rsid w:val="00FB5F25"/>
    <w:rsid w:val="00FB62F4"/>
    <w:rsid w:val="00FB652C"/>
    <w:rsid w:val="00FB6748"/>
    <w:rsid w:val="00FB6C2D"/>
    <w:rsid w:val="00FC0845"/>
    <w:rsid w:val="00FC154E"/>
    <w:rsid w:val="00FC1ADC"/>
    <w:rsid w:val="00FC1EFE"/>
    <w:rsid w:val="00FC291C"/>
    <w:rsid w:val="00FC2C5E"/>
    <w:rsid w:val="00FC3440"/>
    <w:rsid w:val="00FC3453"/>
    <w:rsid w:val="00FC3AAF"/>
    <w:rsid w:val="00FC3B5D"/>
    <w:rsid w:val="00FC4DE6"/>
    <w:rsid w:val="00FC4F84"/>
    <w:rsid w:val="00FC50EA"/>
    <w:rsid w:val="00FC5162"/>
    <w:rsid w:val="00FC5266"/>
    <w:rsid w:val="00FC5285"/>
    <w:rsid w:val="00FC59F6"/>
    <w:rsid w:val="00FC5CB0"/>
    <w:rsid w:val="00FC5F08"/>
    <w:rsid w:val="00FC64EA"/>
    <w:rsid w:val="00FC6EA6"/>
    <w:rsid w:val="00FC6F5D"/>
    <w:rsid w:val="00FD0ABF"/>
    <w:rsid w:val="00FD1026"/>
    <w:rsid w:val="00FD1B89"/>
    <w:rsid w:val="00FD1BB7"/>
    <w:rsid w:val="00FD1BD3"/>
    <w:rsid w:val="00FD24A0"/>
    <w:rsid w:val="00FD322A"/>
    <w:rsid w:val="00FD3700"/>
    <w:rsid w:val="00FD3F0A"/>
    <w:rsid w:val="00FD4D93"/>
    <w:rsid w:val="00FD5372"/>
    <w:rsid w:val="00FD55E3"/>
    <w:rsid w:val="00FD5FC6"/>
    <w:rsid w:val="00FD649E"/>
    <w:rsid w:val="00FD6726"/>
    <w:rsid w:val="00FD67FD"/>
    <w:rsid w:val="00FD6A46"/>
    <w:rsid w:val="00FD6FBF"/>
    <w:rsid w:val="00FD7937"/>
    <w:rsid w:val="00FD7AB7"/>
    <w:rsid w:val="00FE011B"/>
    <w:rsid w:val="00FE0915"/>
    <w:rsid w:val="00FE0ACD"/>
    <w:rsid w:val="00FE16E4"/>
    <w:rsid w:val="00FE1711"/>
    <w:rsid w:val="00FE2065"/>
    <w:rsid w:val="00FE275E"/>
    <w:rsid w:val="00FE29F0"/>
    <w:rsid w:val="00FE3135"/>
    <w:rsid w:val="00FE3320"/>
    <w:rsid w:val="00FE3434"/>
    <w:rsid w:val="00FE3914"/>
    <w:rsid w:val="00FE3DAB"/>
    <w:rsid w:val="00FE3EAC"/>
    <w:rsid w:val="00FE4EB6"/>
    <w:rsid w:val="00FE5154"/>
    <w:rsid w:val="00FE536E"/>
    <w:rsid w:val="00FE53A2"/>
    <w:rsid w:val="00FE560D"/>
    <w:rsid w:val="00FE704A"/>
    <w:rsid w:val="00FE740C"/>
    <w:rsid w:val="00FE765F"/>
    <w:rsid w:val="00FE7DB2"/>
    <w:rsid w:val="00FE7FD3"/>
    <w:rsid w:val="00FF0111"/>
    <w:rsid w:val="00FF01DD"/>
    <w:rsid w:val="00FF02D0"/>
    <w:rsid w:val="00FF04AA"/>
    <w:rsid w:val="00FF0CB9"/>
    <w:rsid w:val="00FF0EE9"/>
    <w:rsid w:val="00FF1142"/>
    <w:rsid w:val="00FF18EE"/>
    <w:rsid w:val="00FF1C0E"/>
    <w:rsid w:val="00FF247A"/>
    <w:rsid w:val="00FF3B97"/>
    <w:rsid w:val="00FF4D6E"/>
    <w:rsid w:val="00FF50A4"/>
    <w:rsid w:val="00FF570E"/>
    <w:rsid w:val="00FF58B6"/>
    <w:rsid w:val="00FF611B"/>
    <w:rsid w:val="00FF61C1"/>
    <w:rsid w:val="00FF6CCC"/>
    <w:rsid w:val="00FF7207"/>
    <w:rsid w:val="00FF756E"/>
    <w:rsid w:val="00FF7CF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946F85-5457-4364-B463-68931417F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6860"/>
    <w:pPr>
      <w:jc w:val="both"/>
    </w:pPr>
    <w:rPr>
      <w:rFonts w:ascii="Verdana" w:hAnsi="Verdana"/>
      <w:szCs w:val="22"/>
      <w:lang w:eastAsia="en-US"/>
    </w:rPr>
  </w:style>
  <w:style w:type="paragraph" w:styleId="Heading1">
    <w:name w:val="heading 1"/>
    <w:basedOn w:val="Normal"/>
    <w:next w:val="Normal"/>
    <w:link w:val="Heading1Char"/>
    <w:autoRedefine/>
    <w:uiPriority w:val="9"/>
    <w:qFormat/>
    <w:rsid w:val="008A2B75"/>
    <w:pPr>
      <w:spacing w:before="100" w:beforeAutospacing="1" w:after="100" w:afterAutospacing="1"/>
      <w:jc w:val="left"/>
      <w:outlineLvl w:val="0"/>
    </w:pPr>
    <w:rPr>
      <w:rFonts w:eastAsia="Times New Roman"/>
      <w:b/>
      <w:bCs/>
      <w:kern w:val="36"/>
      <w:szCs w:val="48"/>
      <w:lang w:val="x-none" w:eastAsia="x-none"/>
    </w:rPr>
  </w:style>
  <w:style w:type="paragraph" w:styleId="Heading2">
    <w:name w:val="heading 2"/>
    <w:basedOn w:val="Normal"/>
    <w:link w:val="Heading2Char"/>
    <w:uiPriority w:val="9"/>
    <w:qFormat/>
    <w:rsid w:val="00A22D8D"/>
    <w:pPr>
      <w:spacing w:before="100" w:beforeAutospacing="1" w:after="100" w:afterAutospacing="1"/>
      <w:jc w:val="left"/>
      <w:outlineLvl w:val="1"/>
    </w:pPr>
    <w:rPr>
      <w:rFonts w:ascii="Times New Roman" w:eastAsia="Times New Roman" w:hAnsi="Times New Roman"/>
      <w:b/>
      <w:bCs/>
      <w:sz w:val="36"/>
      <w:szCs w:val="36"/>
      <w:lang w:val="x-none" w:eastAsia="es-AR"/>
    </w:rPr>
  </w:style>
  <w:style w:type="paragraph" w:styleId="Heading3">
    <w:name w:val="heading 3"/>
    <w:basedOn w:val="Normal"/>
    <w:link w:val="Heading3Char"/>
    <w:uiPriority w:val="9"/>
    <w:qFormat/>
    <w:rsid w:val="00A22D8D"/>
    <w:pPr>
      <w:spacing w:before="100" w:beforeAutospacing="1" w:after="100" w:afterAutospacing="1"/>
      <w:jc w:val="left"/>
      <w:outlineLvl w:val="2"/>
    </w:pPr>
    <w:rPr>
      <w:rFonts w:ascii="Times New Roman" w:eastAsia="Times New Roman" w:hAnsi="Times New Roman"/>
      <w:b/>
      <w:bCs/>
      <w:sz w:val="27"/>
      <w:szCs w:val="27"/>
      <w:lang w:val="x-none" w:eastAsia="es-AR"/>
    </w:rPr>
  </w:style>
  <w:style w:type="paragraph" w:styleId="Heading4">
    <w:name w:val="heading 4"/>
    <w:basedOn w:val="Normal"/>
    <w:next w:val="Normal"/>
    <w:link w:val="Heading4Char"/>
    <w:uiPriority w:val="9"/>
    <w:semiHidden/>
    <w:unhideWhenUsed/>
    <w:qFormat/>
    <w:rsid w:val="00662A67"/>
    <w:pPr>
      <w:keepNext/>
      <w:spacing w:before="240" w:after="60"/>
      <w:outlineLvl w:val="3"/>
    </w:pPr>
    <w:rPr>
      <w:rFonts w:ascii="Calibri" w:eastAsia="Times New Roman" w:hAnsi="Calibri"/>
      <w:b/>
      <w:bCs/>
      <w:sz w:val="28"/>
      <w:szCs w:val="28"/>
      <w:lang w:val="x-none"/>
    </w:rPr>
  </w:style>
  <w:style w:type="paragraph" w:styleId="Heading5">
    <w:name w:val="heading 5"/>
    <w:basedOn w:val="Normal"/>
    <w:next w:val="Normal"/>
    <w:link w:val="Heading5Char"/>
    <w:uiPriority w:val="9"/>
    <w:semiHidden/>
    <w:unhideWhenUsed/>
    <w:qFormat/>
    <w:rsid w:val="00A204E2"/>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unhideWhenUsed/>
    <w:qFormat/>
    <w:rsid w:val="00662A67"/>
    <w:pPr>
      <w:spacing w:before="240" w:after="60"/>
      <w:outlineLvl w:val="5"/>
    </w:pPr>
    <w:rPr>
      <w:rFonts w:ascii="Calibri" w:eastAsia="Times New Roman" w:hAnsi="Calibri"/>
      <w:b/>
      <w:bCs/>
      <w:sz w:val="22"/>
      <w:lang w:val="x-none"/>
    </w:rPr>
  </w:style>
  <w:style w:type="paragraph" w:styleId="Heading7">
    <w:name w:val="heading 7"/>
    <w:basedOn w:val="Normal"/>
    <w:next w:val="Normal"/>
    <w:link w:val="Heading7Char"/>
    <w:uiPriority w:val="9"/>
    <w:unhideWhenUsed/>
    <w:qFormat/>
    <w:rsid w:val="00AE03A8"/>
    <w:pPr>
      <w:spacing w:before="240" w:after="60"/>
      <w:outlineLvl w:val="6"/>
    </w:pPr>
    <w:rPr>
      <w:rFonts w:ascii="Calibri" w:eastAsia="Times New Roman" w:hAnsi="Calibri"/>
      <w:sz w:val="24"/>
      <w:szCs w:val="24"/>
      <w:lang w:val="x-none"/>
    </w:rPr>
  </w:style>
  <w:style w:type="paragraph" w:styleId="Heading8">
    <w:name w:val="heading 8"/>
    <w:basedOn w:val="Normal"/>
    <w:next w:val="Normal"/>
    <w:link w:val="Heading8Char"/>
    <w:uiPriority w:val="9"/>
    <w:unhideWhenUsed/>
    <w:qFormat/>
    <w:rsid w:val="00AE03A8"/>
    <w:pPr>
      <w:spacing w:before="240" w:after="60"/>
      <w:outlineLvl w:val="7"/>
    </w:pPr>
    <w:rPr>
      <w:rFonts w:ascii="Calibri" w:eastAsia="Times New Roman" w:hAnsi="Calibri"/>
      <w:i/>
      <w:iCs/>
      <w:sz w:val="24"/>
      <w:szCs w:val="24"/>
      <w:lang w:val="x-none"/>
    </w:rPr>
  </w:style>
  <w:style w:type="paragraph" w:styleId="Heading9">
    <w:name w:val="heading 9"/>
    <w:basedOn w:val="Normal"/>
    <w:next w:val="Normal"/>
    <w:link w:val="Heading9Char"/>
    <w:uiPriority w:val="9"/>
    <w:unhideWhenUsed/>
    <w:qFormat/>
    <w:rsid w:val="00AE03A8"/>
    <w:pPr>
      <w:spacing w:before="240" w:after="60"/>
      <w:outlineLvl w:val="8"/>
    </w:pPr>
    <w:rPr>
      <w:rFonts w:ascii="Calibri Light" w:eastAsia="Times New Roman" w:hAnsi="Calibri Light"/>
      <w:sz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A2B75"/>
    <w:rPr>
      <w:rFonts w:ascii="Verdana" w:eastAsia="Times New Roman" w:hAnsi="Verdana"/>
      <w:b/>
      <w:bCs/>
      <w:kern w:val="36"/>
      <w:szCs w:val="48"/>
    </w:rPr>
  </w:style>
  <w:style w:type="character" w:customStyle="1" w:styleId="Heading2Char">
    <w:name w:val="Heading 2 Char"/>
    <w:link w:val="Heading2"/>
    <w:uiPriority w:val="9"/>
    <w:rsid w:val="00A22D8D"/>
    <w:rPr>
      <w:rFonts w:ascii="Times New Roman" w:eastAsia="Times New Roman" w:hAnsi="Times New Roman" w:cs="Times New Roman"/>
      <w:b/>
      <w:bCs/>
      <w:sz w:val="36"/>
      <w:szCs w:val="36"/>
      <w:lang w:eastAsia="es-AR"/>
    </w:rPr>
  </w:style>
  <w:style w:type="character" w:customStyle="1" w:styleId="Heading3Char">
    <w:name w:val="Heading 3 Char"/>
    <w:link w:val="Heading3"/>
    <w:uiPriority w:val="9"/>
    <w:rsid w:val="00A22D8D"/>
    <w:rPr>
      <w:rFonts w:ascii="Times New Roman" w:eastAsia="Times New Roman" w:hAnsi="Times New Roman" w:cs="Times New Roman"/>
      <w:b/>
      <w:bCs/>
      <w:sz w:val="27"/>
      <w:szCs w:val="27"/>
      <w:lang w:eastAsia="es-AR"/>
    </w:rPr>
  </w:style>
  <w:style w:type="character" w:customStyle="1" w:styleId="Heading4Char">
    <w:name w:val="Heading 4 Char"/>
    <w:link w:val="Heading4"/>
    <w:uiPriority w:val="9"/>
    <w:semiHidden/>
    <w:rsid w:val="00662A67"/>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sid w:val="00A204E2"/>
    <w:rPr>
      <w:rFonts w:eastAsia="Times New Roman"/>
      <w:b/>
      <w:bCs/>
      <w:i/>
      <w:iCs/>
      <w:sz w:val="26"/>
      <w:szCs w:val="26"/>
      <w:lang w:eastAsia="en-US"/>
    </w:rPr>
  </w:style>
  <w:style w:type="character" w:customStyle="1" w:styleId="Heading6Char">
    <w:name w:val="Heading 6 Char"/>
    <w:link w:val="Heading6"/>
    <w:uiPriority w:val="9"/>
    <w:rsid w:val="00662A67"/>
    <w:rPr>
      <w:rFonts w:ascii="Calibri" w:eastAsia="Times New Roman" w:hAnsi="Calibri" w:cs="Times New Roman"/>
      <w:b/>
      <w:bCs/>
      <w:sz w:val="22"/>
      <w:szCs w:val="22"/>
      <w:lang w:eastAsia="en-US"/>
    </w:rPr>
  </w:style>
  <w:style w:type="character" w:customStyle="1" w:styleId="Heading7Char">
    <w:name w:val="Heading 7 Char"/>
    <w:link w:val="Heading7"/>
    <w:uiPriority w:val="9"/>
    <w:rsid w:val="00AE03A8"/>
    <w:rPr>
      <w:rFonts w:ascii="Calibri" w:eastAsia="Times New Roman" w:hAnsi="Calibri" w:cs="Times New Roman"/>
      <w:sz w:val="24"/>
      <w:szCs w:val="24"/>
      <w:lang w:eastAsia="en-US"/>
    </w:rPr>
  </w:style>
  <w:style w:type="character" w:customStyle="1" w:styleId="Heading8Char">
    <w:name w:val="Heading 8 Char"/>
    <w:link w:val="Heading8"/>
    <w:uiPriority w:val="9"/>
    <w:rsid w:val="00AE03A8"/>
    <w:rPr>
      <w:rFonts w:ascii="Calibri" w:eastAsia="Times New Roman" w:hAnsi="Calibri" w:cs="Times New Roman"/>
      <w:i/>
      <w:iCs/>
      <w:sz w:val="24"/>
      <w:szCs w:val="24"/>
      <w:lang w:eastAsia="en-US"/>
    </w:rPr>
  </w:style>
  <w:style w:type="character" w:customStyle="1" w:styleId="Heading9Char">
    <w:name w:val="Heading 9 Char"/>
    <w:link w:val="Heading9"/>
    <w:uiPriority w:val="9"/>
    <w:rsid w:val="00AE03A8"/>
    <w:rPr>
      <w:rFonts w:ascii="Calibri Light" w:eastAsia="Times New Roman" w:hAnsi="Calibri Light" w:cs="Times New Roman"/>
      <w:sz w:val="22"/>
      <w:szCs w:val="22"/>
      <w:lang w:eastAsia="en-US"/>
    </w:rPr>
  </w:style>
  <w:style w:type="character" w:styleId="Hyperlink">
    <w:name w:val="Hyperlink"/>
    <w:uiPriority w:val="99"/>
    <w:semiHidden/>
    <w:unhideWhenUsed/>
    <w:rsid w:val="00A22D8D"/>
    <w:rPr>
      <w:color w:val="0000FF"/>
      <w:u w:val="single"/>
    </w:rPr>
  </w:style>
  <w:style w:type="character" w:styleId="FootnoteReference">
    <w:name w:val="footnote reference"/>
    <w:uiPriority w:val="99"/>
    <w:semiHidden/>
    <w:unhideWhenUsed/>
    <w:rsid w:val="00C66860"/>
    <w:rPr>
      <w:rFonts w:ascii="Verdana" w:hAnsi="Verdana"/>
      <w:sz w:val="20"/>
      <w:vertAlign w:val="superscript"/>
    </w:rPr>
  </w:style>
  <w:style w:type="paragraph" w:styleId="BodyText">
    <w:name w:val="Body Text"/>
    <w:basedOn w:val="Normal"/>
    <w:link w:val="BodyTextChar"/>
    <w:uiPriority w:val="99"/>
    <w:semiHidden/>
    <w:unhideWhenUsed/>
    <w:rsid w:val="00A22D8D"/>
    <w:pPr>
      <w:spacing w:before="100" w:beforeAutospacing="1" w:after="100" w:afterAutospacing="1"/>
      <w:jc w:val="left"/>
    </w:pPr>
    <w:rPr>
      <w:rFonts w:ascii="Times New Roman" w:eastAsia="Times New Roman" w:hAnsi="Times New Roman"/>
      <w:sz w:val="24"/>
      <w:szCs w:val="24"/>
      <w:lang w:val="x-none" w:eastAsia="es-AR"/>
    </w:rPr>
  </w:style>
  <w:style w:type="character" w:customStyle="1" w:styleId="BodyTextChar">
    <w:name w:val="Body Text Char"/>
    <w:link w:val="BodyText"/>
    <w:uiPriority w:val="99"/>
    <w:semiHidden/>
    <w:rsid w:val="00A22D8D"/>
    <w:rPr>
      <w:rFonts w:ascii="Times New Roman" w:eastAsia="Times New Roman" w:hAnsi="Times New Roman" w:cs="Times New Roman"/>
      <w:sz w:val="24"/>
      <w:szCs w:val="24"/>
      <w:lang w:eastAsia="es-AR"/>
    </w:rPr>
  </w:style>
  <w:style w:type="paragraph" w:styleId="BodyTextIndent">
    <w:name w:val="Body Text Indent"/>
    <w:basedOn w:val="Normal"/>
    <w:link w:val="BodyTextIndentChar"/>
    <w:uiPriority w:val="99"/>
    <w:semiHidden/>
    <w:unhideWhenUsed/>
    <w:rsid w:val="00A22D8D"/>
    <w:pPr>
      <w:spacing w:before="100" w:beforeAutospacing="1" w:after="100" w:afterAutospacing="1"/>
      <w:jc w:val="left"/>
    </w:pPr>
    <w:rPr>
      <w:rFonts w:ascii="Times New Roman" w:eastAsia="Times New Roman" w:hAnsi="Times New Roman"/>
      <w:sz w:val="24"/>
      <w:szCs w:val="24"/>
      <w:lang w:val="x-none" w:eastAsia="es-AR"/>
    </w:rPr>
  </w:style>
  <w:style w:type="character" w:customStyle="1" w:styleId="BodyTextIndentChar">
    <w:name w:val="Body Text Indent Char"/>
    <w:link w:val="BodyTextIndent"/>
    <w:uiPriority w:val="99"/>
    <w:semiHidden/>
    <w:rsid w:val="00A22D8D"/>
    <w:rPr>
      <w:rFonts w:ascii="Times New Roman" w:eastAsia="Times New Roman" w:hAnsi="Times New Roman" w:cs="Times New Roman"/>
      <w:sz w:val="24"/>
      <w:szCs w:val="24"/>
      <w:lang w:eastAsia="es-AR"/>
    </w:rPr>
  </w:style>
  <w:style w:type="paragraph" w:styleId="FootnoteText">
    <w:name w:val="footnote text"/>
    <w:basedOn w:val="Normal"/>
    <w:link w:val="FootnoteTextChar"/>
    <w:uiPriority w:val="99"/>
    <w:unhideWhenUsed/>
    <w:rsid w:val="00A22D8D"/>
    <w:pPr>
      <w:spacing w:before="100" w:beforeAutospacing="1" w:after="100" w:afterAutospacing="1"/>
      <w:jc w:val="left"/>
    </w:pPr>
    <w:rPr>
      <w:rFonts w:ascii="Times New Roman" w:eastAsia="Times New Roman" w:hAnsi="Times New Roman"/>
      <w:sz w:val="24"/>
      <w:szCs w:val="24"/>
      <w:lang w:val="x-none" w:eastAsia="es-AR"/>
    </w:rPr>
  </w:style>
  <w:style w:type="character" w:customStyle="1" w:styleId="FootnoteTextChar">
    <w:name w:val="Footnote Text Char"/>
    <w:link w:val="FootnoteText"/>
    <w:uiPriority w:val="99"/>
    <w:rsid w:val="00A22D8D"/>
    <w:rPr>
      <w:rFonts w:ascii="Times New Roman" w:eastAsia="Times New Roman" w:hAnsi="Times New Roman" w:cs="Times New Roman"/>
      <w:sz w:val="24"/>
      <w:szCs w:val="24"/>
      <w:lang w:eastAsia="es-AR"/>
    </w:rPr>
  </w:style>
  <w:style w:type="paragraph" w:styleId="NormalWeb">
    <w:name w:val="Normal (Web)"/>
    <w:basedOn w:val="Normal"/>
    <w:uiPriority w:val="99"/>
    <w:semiHidden/>
    <w:unhideWhenUsed/>
    <w:rsid w:val="00A22D8D"/>
    <w:pPr>
      <w:spacing w:before="100" w:beforeAutospacing="1" w:after="100" w:afterAutospacing="1"/>
      <w:jc w:val="left"/>
    </w:pPr>
    <w:rPr>
      <w:rFonts w:ascii="Times New Roman" w:eastAsia="Times New Roman" w:hAnsi="Times New Roman"/>
      <w:sz w:val="24"/>
      <w:szCs w:val="24"/>
      <w:lang w:eastAsia="es-AR"/>
    </w:rPr>
  </w:style>
  <w:style w:type="paragraph" w:styleId="Header">
    <w:name w:val="header"/>
    <w:basedOn w:val="Normal"/>
    <w:link w:val="HeaderChar"/>
    <w:uiPriority w:val="99"/>
    <w:unhideWhenUsed/>
    <w:rsid w:val="007B2999"/>
    <w:pPr>
      <w:tabs>
        <w:tab w:val="center" w:pos="4419"/>
        <w:tab w:val="right" w:pos="8838"/>
      </w:tabs>
    </w:pPr>
    <w:rPr>
      <w:rFonts w:ascii="Calibri" w:hAnsi="Calibri"/>
      <w:sz w:val="22"/>
      <w:lang w:val="x-none"/>
    </w:rPr>
  </w:style>
  <w:style w:type="character" w:customStyle="1" w:styleId="HeaderChar">
    <w:name w:val="Header Char"/>
    <w:link w:val="Header"/>
    <w:uiPriority w:val="99"/>
    <w:rsid w:val="007B2999"/>
    <w:rPr>
      <w:sz w:val="22"/>
      <w:szCs w:val="22"/>
      <w:lang w:eastAsia="en-US"/>
    </w:rPr>
  </w:style>
  <w:style w:type="paragraph" w:styleId="Footer">
    <w:name w:val="footer"/>
    <w:basedOn w:val="Normal"/>
    <w:link w:val="FooterChar"/>
    <w:autoRedefine/>
    <w:uiPriority w:val="99"/>
    <w:unhideWhenUsed/>
    <w:qFormat/>
    <w:rsid w:val="0021298E"/>
    <w:pPr>
      <w:tabs>
        <w:tab w:val="center" w:pos="4419"/>
        <w:tab w:val="right" w:pos="8838"/>
      </w:tabs>
    </w:pPr>
    <w:rPr>
      <w:vertAlign w:val="superscript"/>
      <w:lang w:val="x-none"/>
    </w:rPr>
  </w:style>
  <w:style w:type="character" w:customStyle="1" w:styleId="FooterChar">
    <w:name w:val="Footer Char"/>
    <w:link w:val="Footer"/>
    <w:uiPriority w:val="99"/>
    <w:rsid w:val="0021298E"/>
    <w:rPr>
      <w:rFonts w:ascii="Verdana" w:hAnsi="Verdana"/>
      <w:szCs w:val="22"/>
      <w:vertAlign w:val="superscript"/>
      <w:lang w:eastAsia="en-US"/>
    </w:rPr>
  </w:style>
  <w:style w:type="character" w:styleId="SubtleReference">
    <w:name w:val="Subtle Reference"/>
    <w:uiPriority w:val="31"/>
    <w:qFormat/>
    <w:rsid w:val="007B2999"/>
    <w:rPr>
      <w:rFonts w:ascii="Verdana" w:hAnsi="Verdana"/>
      <w:dstrike w:val="0"/>
      <w:color w:val="auto"/>
      <w:spacing w:val="0"/>
      <w:position w:val="0"/>
      <w:sz w:val="16"/>
      <w:u w:val="none"/>
      <w:bdr w:val="none" w:sz="0" w:space="0" w:color="auto"/>
    </w:rPr>
  </w:style>
  <w:style w:type="character" w:customStyle="1" w:styleId="apple-converted-space">
    <w:name w:val="apple-converted-space"/>
    <w:rsid w:val="0071610E"/>
  </w:style>
  <w:style w:type="paragraph" w:styleId="NoSpacing">
    <w:name w:val="No Spacing"/>
    <w:uiPriority w:val="1"/>
    <w:qFormat/>
    <w:rsid w:val="0071610E"/>
    <w:pPr>
      <w:jc w:val="both"/>
    </w:pPr>
    <w:rPr>
      <w:rFonts w:ascii="Verdana" w:hAnsi="Verdana"/>
      <w:szCs w:val="22"/>
      <w:lang w:eastAsia="en-US"/>
    </w:rPr>
  </w:style>
  <w:style w:type="paragraph" w:styleId="BodyTextIndent2">
    <w:name w:val="Body Text Indent 2"/>
    <w:basedOn w:val="Normal"/>
    <w:link w:val="BodyTextIndent2Char"/>
    <w:uiPriority w:val="99"/>
    <w:semiHidden/>
    <w:unhideWhenUsed/>
    <w:rsid w:val="00662A67"/>
    <w:pPr>
      <w:spacing w:after="120" w:line="480" w:lineRule="auto"/>
      <w:ind w:left="283"/>
    </w:pPr>
    <w:rPr>
      <w:lang w:val="x-none"/>
    </w:rPr>
  </w:style>
  <w:style w:type="character" w:customStyle="1" w:styleId="BodyTextIndent2Char">
    <w:name w:val="Body Text Indent 2 Char"/>
    <w:link w:val="BodyTextIndent2"/>
    <w:uiPriority w:val="99"/>
    <w:semiHidden/>
    <w:rsid w:val="00662A67"/>
    <w:rPr>
      <w:rFonts w:ascii="Verdana" w:hAnsi="Verdana"/>
      <w:szCs w:val="22"/>
      <w:lang w:eastAsia="en-US"/>
    </w:rPr>
  </w:style>
  <w:style w:type="paragraph" w:styleId="BodyTextIndent3">
    <w:name w:val="Body Text Indent 3"/>
    <w:basedOn w:val="Normal"/>
    <w:link w:val="BodyTextIndent3Char"/>
    <w:uiPriority w:val="99"/>
    <w:semiHidden/>
    <w:unhideWhenUsed/>
    <w:rsid w:val="00662A67"/>
    <w:pPr>
      <w:spacing w:after="120"/>
      <w:ind w:left="283"/>
    </w:pPr>
    <w:rPr>
      <w:sz w:val="16"/>
      <w:szCs w:val="16"/>
      <w:lang w:val="x-none"/>
    </w:rPr>
  </w:style>
  <w:style w:type="character" w:customStyle="1" w:styleId="BodyTextIndent3Char">
    <w:name w:val="Body Text Indent 3 Char"/>
    <w:link w:val="BodyTextIndent3"/>
    <w:uiPriority w:val="99"/>
    <w:semiHidden/>
    <w:rsid w:val="00662A67"/>
    <w:rPr>
      <w:rFonts w:ascii="Verdana" w:hAnsi="Verdana"/>
      <w:sz w:val="16"/>
      <w:szCs w:val="16"/>
      <w:lang w:eastAsia="en-US"/>
    </w:rPr>
  </w:style>
  <w:style w:type="paragraph" w:customStyle="1" w:styleId="Puesto">
    <w:name w:val="Puesto"/>
    <w:basedOn w:val="Normal"/>
    <w:link w:val="PuestoCar"/>
    <w:uiPriority w:val="10"/>
    <w:qFormat/>
    <w:rsid w:val="00662A67"/>
    <w:pPr>
      <w:spacing w:before="100" w:beforeAutospacing="1" w:after="100" w:afterAutospacing="1"/>
      <w:jc w:val="left"/>
    </w:pPr>
    <w:rPr>
      <w:rFonts w:ascii="Times New Roman" w:eastAsia="Times New Roman" w:hAnsi="Times New Roman"/>
      <w:sz w:val="24"/>
      <w:szCs w:val="24"/>
      <w:lang w:val="x-none" w:eastAsia="x-none"/>
    </w:rPr>
  </w:style>
  <w:style w:type="character" w:customStyle="1" w:styleId="PuestoCar">
    <w:name w:val="Puesto Car"/>
    <w:link w:val="Puesto"/>
    <w:uiPriority w:val="10"/>
    <w:rsid w:val="00662A67"/>
    <w:rPr>
      <w:rFonts w:ascii="Times New Roman" w:eastAsia="Times New Roman" w:hAnsi="Times New Roman"/>
      <w:sz w:val="24"/>
      <w:szCs w:val="24"/>
    </w:rPr>
  </w:style>
  <w:style w:type="paragraph" w:styleId="Subtitle">
    <w:name w:val="Subtitle"/>
    <w:basedOn w:val="Normal"/>
    <w:link w:val="SubtitleChar"/>
    <w:uiPriority w:val="11"/>
    <w:qFormat/>
    <w:rsid w:val="00662A67"/>
    <w:pPr>
      <w:spacing w:before="100" w:beforeAutospacing="1" w:after="100" w:afterAutospacing="1"/>
      <w:jc w:val="left"/>
    </w:pPr>
    <w:rPr>
      <w:rFonts w:ascii="Times New Roman" w:eastAsia="Times New Roman" w:hAnsi="Times New Roman"/>
      <w:sz w:val="24"/>
      <w:szCs w:val="24"/>
      <w:lang w:val="x-none" w:eastAsia="x-none"/>
    </w:rPr>
  </w:style>
  <w:style w:type="character" w:customStyle="1" w:styleId="SubtitleChar">
    <w:name w:val="Subtitle Char"/>
    <w:link w:val="Subtitle"/>
    <w:uiPriority w:val="11"/>
    <w:rsid w:val="00662A67"/>
    <w:rPr>
      <w:rFonts w:ascii="Times New Roman" w:eastAsia="Times New Roman" w:hAnsi="Times New Roman"/>
      <w:sz w:val="24"/>
      <w:szCs w:val="24"/>
    </w:rPr>
  </w:style>
  <w:style w:type="paragraph" w:styleId="BlockText">
    <w:name w:val="Block Text"/>
    <w:basedOn w:val="Normal"/>
    <w:uiPriority w:val="99"/>
    <w:unhideWhenUsed/>
    <w:rsid w:val="00662A67"/>
    <w:pPr>
      <w:spacing w:before="100" w:beforeAutospacing="1" w:after="100" w:afterAutospacing="1"/>
      <w:jc w:val="left"/>
    </w:pPr>
    <w:rPr>
      <w:rFonts w:ascii="Times New Roman" w:eastAsia="Times New Roman" w:hAnsi="Times New Roman"/>
      <w:sz w:val="24"/>
      <w:szCs w:val="24"/>
      <w:lang w:eastAsia="es-AR"/>
    </w:rPr>
  </w:style>
  <w:style w:type="paragraph" w:styleId="BodyText3">
    <w:name w:val="Body Text 3"/>
    <w:basedOn w:val="Normal"/>
    <w:link w:val="BodyText3Char"/>
    <w:uiPriority w:val="99"/>
    <w:semiHidden/>
    <w:unhideWhenUsed/>
    <w:rsid w:val="00AE03A8"/>
    <w:pPr>
      <w:spacing w:after="120"/>
    </w:pPr>
    <w:rPr>
      <w:sz w:val="16"/>
      <w:szCs w:val="16"/>
      <w:lang w:val="x-none"/>
    </w:rPr>
  </w:style>
  <w:style w:type="character" w:customStyle="1" w:styleId="BodyText3Char">
    <w:name w:val="Body Text 3 Char"/>
    <w:link w:val="BodyText3"/>
    <w:uiPriority w:val="99"/>
    <w:semiHidden/>
    <w:rsid w:val="00AE03A8"/>
    <w:rPr>
      <w:rFonts w:ascii="Verdana" w:hAnsi="Verdana"/>
      <w:sz w:val="16"/>
      <w:szCs w:val="16"/>
      <w:lang w:eastAsia="en-US"/>
    </w:rPr>
  </w:style>
  <w:style w:type="character" w:styleId="FollowedHyperlink">
    <w:name w:val="FollowedHyperlink"/>
    <w:uiPriority w:val="99"/>
    <w:semiHidden/>
    <w:unhideWhenUsed/>
    <w:rsid w:val="00AE03A8"/>
    <w:rPr>
      <w:color w:val="800080"/>
      <w:u w:val="single"/>
    </w:rPr>
  </w:style>
  <w:style w:type="paragraph" w:customStyle="1" w:styleId="Citalarga">
    <w:name w:val="Cita larga"/>
    <w:basedOn w:val="Normal"/>
    <w:next w:val="Normal"/>
    <w:qFormat/>
    <w:rsid w:val="004B19B8"/>
    <w:pPr>
      <w:ind w:left="708"/>
    </w:pPr>
    <w:rPr>
      <w:lang w:val="es-ES_tradnl"/>
    </w:rPr>
  </w:style>
  <w:style w:type="paragraph" w:customStyle="1" w:styleId="PIEdePAG">
    <w:name w:val="PIE de PAG"/>
    <w:basedOn w:val="NoSpacing"/>
    <w:autoRedefine/>
    <w:qFormat/>
    <w:rsid w:val="00EF5A86"/>
    <w:rPr>
      <w:sz w:val="16"/>
      <w:lang w:val="es-ES_tradnl"/>
    </w:rPr>
  </w:style>
  <w:style w:type="paragraph" w:styleId="Quote">
    <w:name w:val="Quote"/>
    <w:basedOn w:val="Normal"/>
    <w:next w:val="Normal"/>
    <w:link w:val="QuoteChar"/>
    <w:uiPriority w:val="29"/>
    <w:qFormat/>
    <w:rsid w:val="0021298E"/>
    <w:pPr>
      <w:spacing w:before="200" w:after="160"/>
      <w:ind w:left="864" w:right="864"/>
    </w:pPr>
    <w:rPr>
      <w:iCs/>
      <w:vertAlign w:val="superscript"/>
      <w:lang w:val="x-none"/>
    </w:rPr>
  </w:style>
  <w:style w:type="character" w:customStyle="1" w:styleId="QuoteChar">
    <w:name w:val="Quote Char"/>
    <w:link w:val="Quote"/>
    <w:uiPriority w:val="29"/>
    <w:rsid w:val="0021298E"/>
    <w:rPr>
      <w:rFonts w:ascii="Verdana" w:hAnsi="Verdana"/>
      <w:iCs/>
      <w:szCs w:val="22"/>
      <w:vertAlign w:val="superscript"/>
      <w:lang w:eastAsia="en-US"/>
    </w:rPr>
  </w:style>
  <w:style w:type="character" w:styleId="Strong">
    <w:name w:val="Strong"/>
    <w:uiPriority w:val="22"/>
    <w:qFormat/>
    <w:rsid w:val="00BC5DBE"/>
    <w:rPr>
      <w:b/>
      <w:bCs/>
    </w:rPr>
  </w:style>
  <w:style w:type="character" w:customStyle="1" w:styleId="TtuloCar">
    <w:name w:val="Título Car"/>
    <w:uiPriority w:val="10"/>
    <w:rsid w:val="00E32C5E"/>
    <w:rPr>
      <w:rFonts w:ascii="Times New Roman" w:eastAsia="Times New Roman" w:hAnsi="Times New Roman"/>
      <w:sz w:val="24"/>
      <w:szCs w:val="24"/>
    </w:rPr>
  </w:style>
  <w:style w:type="paragraph" w:styleId="EndnoteText">
    <w:name w:val="endnote text"/>
    <w:basedOn w:val="Normal"/>
    <w:link w:val="EndnoteTextChar"/>
    <w:uiPriority w:val="99"/>
    <w:unhideWhenUsed/>
    <w:rsid w:val="00E32C5E"/>
    <w:pPr>
      <w:spacing w:before="100" w:beforeAutospacing="1" w:after="100" w:afterAutospacing="1"/>
      <w:jc w:val="left"/>
    </w:pPr>
    <w:rPr>
      <w:rFonts w:ascii="Times New Roman" w:eastAsia="Times New Roman" w:hAnsi="Times New Roman"/>
      <w:sz w:val="24"/>
      <w:szCs w:val="24"/>
      <w:lang w:eastAsia="es-AR"/>
    </w:rPr>
  </w:style>
  <w:style w:type="character" w:customStyle="1" w:styleId="EndnoteTextChar">
    <w:name w:val="Endnote Text Char"/>
    <w:link w:val="EndnoteText"/>
    <w:uiPriority w:val="99"/>
    <w:rsid w:val="00E32C5E"/>
    <w:rPr>
      <w:rFonts w:ascii="Times New Roman" w:eastAsia="Times New Roman" w:hAnsi="Times New Roman"/>
      <w:sz w:val="24"/>
      <w:szCs w:val="24"/>
    </w:rPr>
  </w:style>
  <w:style w:type="character" w:customStyle="1" w:styleId="BodyText2Char">
    <w:name w:val="Body Text 2 Char"/>
    <w:link w:val="BodyText2"/>
    <w:uiPriority w:val="99"/>
    <w:semiHidden/>
    <w:rsid w:val="00A204E2"/>
    <w:rPr>
      <w:rFonts w:ascii="Verdana" w:hAnsi="Verdana"/>
      <w:szCs w:val="22"/>
      <w:lang w:eastAsia="en-US"/>
    </w:rPr>
  </w:style>
  <w:style w:type="paragraph" w:styleId="BodyText2">
    <w:name w:val="Body Text 2"/>
    <w:basedOn w:val="Normal"/>
    <w:link w:val="BodyText2Char"/>
    <w:uiPriority w:val="99"/>
    <w:semiHidden/>
    <w:unhideWhenUsed/>
    <w:rsid w:val="00A204E2"/>
    <w:pPr>
      <w:spacing w:after="120" w:line="480" w:lineRule="auto"/>
    </w:pPr>
  </w:style>
  <w:style w:type="character" w:styleId="Emphasis">
    <w:name w:val="Emphasis"/>
    <w:uiPriority w:val="20"/>
    <w:qFormat/>
    <w:rsid w:val="00A204E2"/>
    <w:rPr>
      <w:i/>
      <w:iCs/>
    </w:rPr>
  </w:style>
  <w:style w:type="paragraph" w:customStyle="1" w:styleId="h3">
    <w:name w:val="h3"/>
    <w:basedOn w:val="Normal"/>
    <w:rsid w:val="00A204E2"/>
    <w:pPr>
      <w:spacing w:before="100" w:beforeAutospacing="1" w:after="100" w:afterAutospacing="1"/>
      <w:jc w:val="left"/>
    </w:pPr>
    <w:rPr>
      <w:rFonts w:ascii="Times New Roman" w:eastAsia="Times New Roman" w:hAnsi="Times New Roman"/>
      <w:sz w:val="24"/>
      <w:szCs w:val="24"/>
      <w:lang w:eastAsia="es-AR"/>
    </w:rPr>
  </w:style>
  <w:style w:type="paragraph" w:styleId="List2">
    <w:name w:val="List 2"/>
    <w:basedOn w:val="Normal"/>
    <w:uiPriority w:val="99"/>
    <w:semiHidden/>
    <w:unhideWhenUsed/>
    <w:rsid w:val="00775C50"/>
    <w:pPr>
      <w:spacing w:before="100" w:beforeAutospacing="1" w:after="100" w:afterAutospacing="1"/>
      <w:jc w:val="left"/>
    </w:pPr>
    <w:rPr>
      <w:rFonts w:ascii="Times New Roman" w:eastAsia="Times New Roman" w:hAnsi="Times New Roman"/>
      <w:sz w:val="24"/>
      <w:szCs w:val="24"/>
      <w:lang w:eastAsia="es-AR"/>
    </w:rPr>
  </w:style>
  <w:style w:type="character" w:customStyle="1" w:styleId="TitleChar">
    <w:name w:val="Title Char"/>
    <w:link w:val="Title"/>
    <w:uiPriority w:val="10"/>
    <w:rsid w:val="00FE560D"/>
    <w:rPr>
      <w:rFonts w:ascii="Times New Roman" w:eastAsia="Times New Roman" w:hAnsi="Times New Roman"/>
      <w:sz w:val="24"/>
      <w:szCs w:val="24"/>
    </w:rPr>
  </w:style>
  <w:style w:type="paragraph" w:styleId="ListParagraph">
    <w:name w:val="List Paragraph"/>
    <w:basedOn w:val="Normal"/>
    <w:uiPriority w:val="34"/>
    <w:qFormat/>
    <w:rsid w:val="00FE560D"/>
    <w:pPr>
      <w:ind w:left="720"/>
      <w:contextualSpacing/>
    </w:pPr>
  </w:style>
  <w:style w:type="character" w:styleId="EndnoteReference">
    <w:name w:val="endnote reference"/>
    <w:uiPriority w:val="99"/>
    <w:semiHidden/>
    <w:unhideWhenUsed/>
    <w:rsid w:val="00FE560D"/>
  </w:style>
  <w:style w:type="character" w:customStyle="1" w:styleId="charchar">
    <w:name w:val="charchar"/>
    <w:rsid w:val="00FE560D"/>
  </w:style>
  <w:style w:type="character" w:customStyle="1" w:styleId="heading2charcharchar">
    <w:name w:val="heading2charcharchar"/>
    <w:rsid w:val="00FE560D"/>
  </w:style>
  <w:style w:type="paragraph" w:styleId="PlainText">
    <w:name w:val="Plain Text"/>
    <w:basedOn w:val="Normal"/>
    <w:link w:val="PlainTextChar"/>
    <w:uiPriority w:val="99"/>
    <w:semiHidden/>
    <w:unhideWhenUsed/>
    <w:rsid w:val="00FE560D"/>
    <w:pPr>
      <w:spacing w:before="100" w:beforeAutospacing="1" w:after="100" w:afterAutospacing="1"/>
      <w:jc w:val="left"/>
    </w:pPr>
    <w:rPr>
      <w:rFonts w:ascii="Times New Roman" w:eastAsia="Times New Roman" w:hAnsi="Times New Roman"/>
      <w:sz w:val="24"/>
      <w:szCs w:val="24"/>
      <w:lang w:eastAsia="es-AR"/>
    </w:rPr>
  </w:style>
  <w:style w:type="character" w:customStyle="1" w:styleId="PlainTextChar">
    <w:name w:val="Plain Text Char"/>
    <w:link w:val="PlainText"/>
    <w:uiPriority w:val="99"/>
    <w:semiHidden/>
    <w:rsid w:val="00FE560D"/>
    <w:rPr>
      <w:rFonts w:ascii="Times New Roman" w:eastAsia="Times New Roman" w:hAnsi="Times New Roman"/>
      <w:sz w:val="24"/>
      <w:szCs w:val="24"/>
    </w:rPr>
  </w:style>
  <w:style w:type="paragraph" w:customStyle="1" w:styleId="blockquote">
    <w:name w:val="blockquote"/>
    <w:basedOn w:val="Normal"/>
    <w:rsid w:val="00FE560D"/>
    <w:pPr>
      <w:spacing w:before="100" w:beforeAutospacing="1" w:after="100" w:afterAutospacing="1"/>
      <w:jc w:val="left"/>
    </w:pPr>
    <w:rPr>
      <w:rFonts w:ascii="Times New Roman" w:eastAsia="Times New Roman" w:hAnsi="Times New Roman"/>
      <w:sz w:val="24"/>
      <w:szCs w:val="24"/>
      <w:lang w:eastAsia="es-AR"/>
    </w:rPr>
  </w:style>
  <w:style w:type="paragraph" w:styleId="Title">
    <w:name w:val="Title"/>
    <w:basedOn w:val="Normal"/>
    <w:link w:val="TitleChar"/>
    <w:uiPriority w:val="10"/>
    <w:qFormat/>
    <w:rsid w:val="00634C7A"/>
    <w:pPr>
      <w:spacing w:before="100" w:beforeAutospacing="1" w:after="100" w:afterAutospacing="1"/>
      <w:jc w:val="left"/>
    </w:pPr>
    <w:rPr>
      <w:rFonts w:ascii="Times New Roman" w:eastAsia="Times New Roman" w:hAnsi="Times New Roman"/>
      <w:sz w:val="24"/>
      <w:szCs w:val="24"/>
      <w:lang w:eastAsia="es-AR"/>
    </w:rPr>
  </w:style>
  <w:style w:type="character" w:customStyle="1" w:styleId="TtuloCar2">
    <w:name w:val="Título Car2"/>
    <w:basedOn w:val="DefaultParagraphFont"/>
    <w:uiPriority w:val="10"/>
    <w:rsid w:val="00634C7A"/>
    <w:rPr>
      <w:rFonts w:asciiTheme="majorHAnsi" w:eastAsiaTheme="majorEastAsia" w:hAnsiTheme="majorHAnsi" w:cstheme="majorBidi"/>
      <w:color w:val="17365D" w:themeColor="text2" w:themeShade="BF"/>
      <w:spacing w:val="5"/>
      <w:kern w:val="28"/>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3942">
      <w:bodyDiv w:val="1"/>
      <w:marLeft w:val="0"/>
      <w:marRight w:val="0"/>
      <w:marTop w:val="0"/>
      <w:marBottom w:val="0"/>
      <w:divBdr>
        <w:top w:val="none" w:sz="0" w:space="0" w:color="auto"/>
        <w:left w:val="none" w:sz="0" w:space="0" w:color="auto"/>
        <w:bottom w:val="none" w:sz="0" w:space="0" w:color="auto"/>
        <w:right w:val="none" w:sz="0" w:space="0" w:color="auto"/>
      </w:divBdr>
      <w:divsChild>
        <w:div w:id="127626912">
          <w:marLeft w:val="0"/>
          <w:marRight w:val="0"/>
          <w:marTop w:val="0"/>
          <w:marBottom w:val="0"/>
          <w:divBdr>
            <w:top w:val="none" w:sz="0" w:space="0" w:color="auto"/>
            <w:left w:val="none" w:sz="0" w:space="0" w:color="auto"/>
            <w:bottom w:val="none" w:sz="0" w:space="0" w:color="auto"/>
            <w:right w:val="none" w:sz="0" w:space="0" w:color="auto"/>
          </w:divBdr>
        </w:div>
        <w:div w:id="621496328">
          <w:marLeft w:val="0"/>
          <w:marRight w:val="0"/>
          <w:marTop w:val="0"/>
          <w:marBottom w:val="0"/>
          <w:divBdr>
            <w:top w:val="none" w:sz="0" w:space="0" w:color="auto"/>
            <w:left w:val="none" w:sz="0" w:space="0" w:color="auto"/>
            <w:bottom w:val="none" w:sz="0" w:space="0" w:color="auto"/>
            <w:right w:val="none" w:sz="0" w:space="0" w:color="auto"/>
          </w:divBdr>
        </w:div>
        <w:div w:id="1799298404">
          <w:marLeft w:val="0"/>
          <w:marRight w:val="0"/>
          <w:marTop w:val="0"/>
          <w:marBottom w:val="0"/>
          <w:divBdr>
            <w:top w:val="none" w:sz="0" w:space="0" w:color="auto"/>
            <w:left w:val="none" w:sz="0" w:space="0" w:color="auto"/>
            <w:bottom w:val="none" w:sz="0" w:space="0" w:color="auto"/>
            <w:right w:val="none" w:sz="0" w:space="0" w:color="auto"/>
          </w:divBdr>
        </w:div>
        <w:div w:id="1840777310">
          <w:marLeft w:val="0"/>
          <w:marRight w:val="0"/>
          <w:marTop w:val="0"/>
          <w:marBottom w:val="0"/>
          <w:divBdr>
            <w:top w:val="none" w:sz="0" w:space="0" w:color="auto"/>
            <w:left w:val="none" w:sz="0" w:space="0" w:color="auto"/>
            <w:bottom w:val="none" w:sz="0" w:space="0" w:color="auto"/>
            <w:right w:val="none" w:sz="0" w:space="0" w:color="auto"/>
          </w:divBdr>
        </w:div>
        <w:div w:id="2003390262">
          <w:marLeft w:val="0"/>
          <w:marRight w:val="0"/>
          <w:marTop w:val="0"/>
          <w:marBottom w:val="0"/>
          <w:divBdr>
            <w:top w:val="none" w:sz="0" w:space="0" w:color="auto"/>
            <w:left w:val="none" w:sz="0" w:space="0" w:color="auto"/>
            <w:bottom w:val="none" w:sz="0" w:space="0" w:color="auto"/>
            <w:right w:val="none" w:sz="0" w:space="0" w:color="auto"/>
          </w:divBdr>
        </w:div>
      </w:divsChild>
    </w:div>
    <w:div w:id="315304871">
      <w:bodyDiv w:val="1"/>
      <w:marLeft w:val="0"/>
      <w:marRight w:val="0"/>
      <w:marTop w:val="0"/>
      <w:marBottom w:val="0"/>
      <w:divBdr>
        <w:top w:val="none" w:sz="0" w:space="0" w:color="auto"/>
        <w:left w:val="none" w:sz="0" w:space="0" w:color="auto"/>
        <w:bottom w:val="none" w:sz="0" w:space="0" w:color="auto"/>
        <w:right w:val="none" w:sz="0" w:space="0" w:color="auto"/>
      </w:divBdr>
    </w:div>
    <w:div w:id="365373266">
      <w:bodyDiv w:val="1"/>
      <w:marLeft w:val="0"/>
      <w:marRight w:val="0"/>
      <w:marTop w:val="0"/>
      <w:marBottom w:val="0"/>
      <w:divBdr>
        <w:top w:val="none" w:sz="0" w:space="0" w:color="auto"/>
        <w:left w:val="none" w:sz="0" w:space="0" w:color="auto"/>
        <w:bottom w:val="none" w:sz="0" w:space="0" w:color="auto"/>
        <w:right w:val="none" w:sz="0" w:space="0" w:color="auto"/>
      </w:divBdr>
      <w:divsChild>
        <w:div w:id="175773740">
          <w:marLeft w:val="0"/>
          <w:marRight w:val="0"/>
          <w:marTop w:val="0"/>
          <w:marBottom w:val="0"/>
          <w:divBdr>
            <w:top w:val="none" w:sz="0" w:space="0" w:color="auto"/>
            <w:left w:val="none" w:sz="0" w:space="0" w:color="auto"/>
            <w:bottom w:val="none" w:sz="0" w:space="0" w:color="auto"/>
            <w:right w:val="none" w:sz="0" w:space="0" w:color="auto"/>
          </w:divBdr>
        </w:div>
        <w:div w:id="961306778">
          <w:marLeft w:val="0"/>
          <w:marRight w:val="0"/>
          <w:marTop w:val="0"/>
          <w:marBottom w:val="0"/>
          <w:divBdr>
            <w:top w:val="none" w:sz="0" w:space="0" w:color="auto"/>
            <w:left w:val="none" w:sz="0" w:space="0" w:color="auto"/>
            <w:bottom w:val="none" w:sz="0" w:space="0" w:color="auto"/>
            <w:right w:val="none" w:sz="0" w:space="0" w:color="auto"/>
          </w:divBdr>
        </w:div>
        <w:div w:id="1324117489">
          <w:marLeft w:val="0"/>
          <w:marRight w:val="0"/>
          <w:marTop w:val="0"/>
          <w:marBottom w:val="0"/>
          <w:divBdr>
            <w:top w:val="none" w:sz="0" w:space="0" w:color="auto"/>
            <w:left w:val="none" w:sz="0" w:space="0" w:color="auto"/>
            <w:bottom w:val="none" w:sz="0" w:space="0" w:color="auto"/>
            <w:right w:val="none" w:sz="0" w:space="0" w:color="auto"/>
          </w:divBdr>
        </w:div>
        <w:div w:id="1343048103">
          <w:marLeft w:val="0"/>
          <w:marRight w:val="0"/>
          <w:marTop w:val="0"/>
          <w:marBottom w:val="0"/>
          <w:divBdr>
            <w:top w:val="none" w:sz="0" w:space="0" w:color="auto"/>
            <w:left w:val="none" w:sz="0" w:space="0" w:color="auto"/>
            <w:bottom w:val="none" w:sz="0" w:space="0" w:color="auto"/>
            <w:right w:val="none" w:sz="0" w:space="0" w:color="auto"/>
          </w:divBdr>
        </w:div>
        <w:div w:id="1550262007">
          <w:marLeft w:val="0"/>
          <w:marRight w:val="0"/>
          <w:marTop w:val="0"/>
          <w:marBottom w:val="0"/>
          <w:divBdr>
            <w:top w:val="none" w:sz="0" w:space="0" w:color="auto"/>
            <w:left w:val="none" w:sz="0" w:space="0" w:color="auto"/>
            <w:bottom w:val="none" w:sz="0" w:space="0" w:color="auto"/>
            <w:right w:val="none" w:sz="0" w:space="0" w:color="auto"/>
          </w:divBdr>
        </w:div>
      </w:divsChild>
    </w:div>
    <w:div w:id="459223630">
      <w:bodyDiv w:val="1"/>
      <w:marLeft w:val="0"/>
      <w:marRight w:val="0"/>
      <w:marTop w:val="0"/>
      <w:marBottom w:val="0"/>
      <w:divBdr>
        <w:top w:val="none" w:sz="0" w:space="0" w:color="auto"/>
        <w:left w:val="none" w:sz="0" w:space="0" w:color="auto"/>
        <w:bottom w:val="none" w:sz="0" w:space="0" w:color="auto"/>
        <w:right w:val="none" w:sz="0" w:space="0" w:color="auto"/>
      </w:divBdr>
      <w:divsChild>
        <w:div w:id="2087800618">
          <w:marLeft w:val="0"/>
          <w:marRight w:val="0"/>
          <w:marTop w:val="0"/>
          <w:marBottom w:val="0"/>
          <w:divBdr>
            <w:top w:val="none" w:sz="0" w:space="0" w:color="auto"/>
            <w:left w:val="none" w:sz="0" w:space="0" w:color="auto"/>
            <w:bottom w:val="none" w:sz="0" w:space="0" w:color="auto"/>
            <w:right w:val="none" w:sz="0" w:space="0" w:color="auto"/>
          </w:divBdr>
          <w:divsChild>
            <w:div w:id="6948899">
              <w:marLeft w:val="0"/>
              <w:marRight w:val="0"/>
              <w:marTop w:val="0"/>
              <w:marBottom w:val="0"/>
              <w:divBdr>
                <w:top w:val="none" w:sz="0" w:space="0" w:color="auto"/>
                <w:left w:val="none" w:sz="0" w:space="0" w:color="auto"/>
                <w:bottom w:val="none" w:sz="0" w:space="0" w:color="auto"/>
                <w:right w:val="none" w:sz="0" w:space="0" w:color="auto"/>
              </w:divBdr>
            </w:div>
            <w:div w:id="418910548">
              <w:marLeft w:val="0"/>
              <w:marRight w:val="0"/>
              <w:marTop w:val="0"/>
              <w:marBottom w:val="0"/>
              <w:divBdr>
                <w:top w:val="none" w:sz="0" w:space="0" w:color="auto"/>
                <w:left w:val="none" w:sz="0" w:space="0" w:color="auto"/>
                <w:bottom w:val="none" w:sz="0" w:space="0" w:color="auto"/>
                <w:right w:val="none" w:sz="0" w:space="0" w:color="auto"/>
              </w:divBdr>
            </w:div>
            <w:div w:id="618029159">
              <w:marLeft w:val="0"/>
              <w:marRight w:val="0"/>
              <w:marTop w:val="0"/>
              <w:marBottom w:val="0"/>
              <w:divBdr>
                <w:top w:val="none" w:sz="0" w:space="0" w:color="auto"/>
                <w:left w:val="none" w:sz="0" w:space="0" w:color="auto"/>
                <w:bottom w:val="none" w:sz="0" w:space="0" w:color="auto"/>
                <w:right w:val="none" w:sz="0" w:space="0" w:color="auto"/>
              </w:divBdr>
            </w:div>
            <w:div w:id="621031874">
              <w:marLeft w:val="0"/>
              <w:marRight w:val="0"/>
              <w:marTop w:val="0"/>
              <w:marBottom w:val="0"/>
              <w:divBdr>
                <w:top w:val="none" w:sz="0" w:space="0" w:color="auto"/>
                <w:left w:val="none" w:sz="0" w:space="0" w:color="auto"/>
                <w:bottom w:val="none" w:sz="0" w:space="0" w:color="auto"/>
                <w:right w:val="none" w:sz="0" w:space="0" w:color="auto"/>
              </w:divBdr>
            </w:div>
            <w:div w:id="821502439">
              <w:marLeft w:val="0"/>
              <w:marRight w:val="0"/>
              <w:marTop w:val="0"/>
              <w:marBottom w:val="0"/>
              <w:divBdr>
                <w:top w:val="none" w:sz="0" w:space="0" w:color="auto"/>
                <w:left w:val="none" w:sz="0" w:space="0" w:color="auto"/>
                <w:bottom w:val="none" w:sz="0" w:space="0" w:color="auto"/>
                <w:right w:val="none" w:sz="0" w:space="0" w:color="auto"/>
              </w:divBdr>
            </w:div>
            <w:div w:id="1238321624">
              <w:marLeft w:val="0"/>
              <w:marRight w:val="0"/>
              <w:marTop w:val="0"/>
              <w:marBottom w:val="0"/>
              <w:divBdr>
                <w:top w:val="none" w:sz="0" w:space="0" w:color="auto"/>
                <w:left w:val="none" w:sz="0" w:space="0" w:color="auto"/>
                <w:bottom w:val="none" w:sz="0" w:space="0" w:color="auto"/>
                <w:right w:val="none" w:sz="0" w:space="0" w:color="auto"/>
              </w:divBdr>
            </w:div>
            <w:div w:id="1297372450">
              <w:marLeft w:val="0"/>
              <w:marRight w:val="0"/>
              <w:marTop w:val="0"/>
              <w:marBottom w:val="0"/>
              <w:divBdr>
                <w:top w:val="none" w:sz="0" w:space="0" w:color="auto"/>
                <w:left w:val="none" w:sz="0" w:space="0" w:color="auto"/>
                <w:bottom w:val="none" w:sz="0" w:space="0" w:color="auto"/>
                <w:right w:val="none" w:sz="0" w:space="0" w:color="auto"/>
              </w:divBdr>
            </w:div>
            <w:div w:id="1890073728">
              <w:marLeft w:val="0"/>
              <w:marRight w:val="0"/>
              <w:marTop w:val="0"/>
              <w:marBottom w:val="0"/>
              <w:divBdr>
                <w:top w:val="none" w:sz="0" w:space="0" w:color="auto"/>
                <w:left w:val="none" w:sz="0" w:space="0" w:color="auto"/>
                <w:bottom w:val="none" w:sz="0" w:space="0" w:color="auto"/>
                <w:right w:val="none" w:sz="0" w:space="0" w:color="auto"/>
              </w:divBdr>
            </w:div>
            <w:div w:id="190094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203121">
      <w:bodyDiv w:val="1"/>
      <w:marLeft w:val="0"/>
      <w:marRight w:val="0"/>
      <w:marTop w:val="0"/>
      <w:marBottom w:val="0"/>
      <w:divBdr>
        <w:top w:val="none" w:sz="0" w:space="0" w:color="auto"/>
        <w:left w:val="none" w:sz="0" w:space="0" w:color="auto"/>
        <w:bottom w:val="none" w:sz="0" w:space="0" w:color="auto"/>
        <w:right w:val="none" w:sz="0" w:space="0" w:color="auto"/>
      </w:divBdr>
      <w:divsChild>
        <w:div w:id="641082331">
          <w:marLeft w:val="0"/>
          <w:marRight w:val="0"/>
          <w:marTop w:val="0"/>
          <w:marBottom w:val="0"/>
          <w:divBdr>
            <w:top w:val="none" w:sz="0" w:space="0" w:color="auto"/>
            <w:left w:val="none" w:sz="0" w:space="0" w:color="auto"/>
            <w:bottom w:val="none" w:sz="0" w:space="0" w:color="auto"/>
            <w:right w:val="none" w:sz="0" w:space="0" w:color="auto"/>
          </w:divBdr>
          <w:divsChild>
            <w:div w:id="688264281">
              <w:marLeft w:val="0"/>
              <w:marRight w:val="0"/>
              <w:marTop w:val="0"/>
              <w:marBottom w:val="0"/>
              <w:divBdr>
                <w:top w:val="none" w:sz="0" w:space="0" w:color="auto"/>
                <w:left w:val="none" w:sz="0" w:space="0" w:color="auto"/>
                <w:bottom w:val="none" w:sz="0" w:space="0" w:color="auto"/>
                <w:right w:val="none" w:sz="0" w:space="0" w:color="auto"/>
              </w:divBdr>
            </w:div>
            <w:div w:id="983511495">
              <w:marLeft w:val="0"/>
              <w:marRight w:val="0"/>
              <w:marTop w:val="0"/>
              <w:marBottom w:val="0"/>
              <w:divBdr>
                <w:top w:val="none" w:sz="0" w:space="0" w:color="auto"/>
                <w:left w:val="none" w:sz="0" w:space="0" w:color="auto"/>
                <w:bottom w:val="none" w:sz="0" w:space="0" w:color="auto"/>
                <w:right w:val="none" w:sz="0" w:space="0" w:color="auto"/>
              </w:divBdr>
            </w:div>
            <w:div w:id="122699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808542">
      <w:bodyDiv w:val="1"/>
      <w:marLeft w:val="0"/>
      <w:marRight w:val="0"/>
      <w:marTop w:val="0"/>
      <w:marBottom w:val="0"/>
      <w:divBdr>
        <w:top w:val="none" w:sz="0" w:space="0" w:color="auto"/>
        <w:left w:val="none" w:sz="0" w:space="0" w:color="auto"/>
        <w:bottom w:val="none" w:sz="0" w:space="0" w:color="auto"/>
        <w:right w:val="none" w:sz="0" w:space="0" w:color="auto"/>
      </w:divBdr>
      <w:divsChild>
        <w:div w:id="1108263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0511831">
          <w:blockQuote w:val="1"/>
          <w:marLeft w:val="720"/>
          <w:marRight w:val="720"/>
          <w:marTop w:val="100"/>
          <w:marBottom w:val="100"/>
          <w:divBdr>
            <w:top w:val="none" w:sz="0" w:space="0" w:color="auto"/>
            <w:left w:val="none" w:sz="0" w:space="0" w:color="auto"/>
            <w:bottom w:val="none" w:sz="0" w:space="0" w:color="auto"/>
            <w:right w:val="none" w:sz="0" w:space="0" w:color="auto"/>
          </w:divBdr>
        </w:div>
        <w:div w:id="205533759">
          <w:blockQuote w:val="1"/>
          <w:marLeft w:val="720"/>
          <w:marRight w:val="720"/>
          <w:marTop w:val="100"/>
          <w:marBottom w:val="100"/>
          <w:divBdr>
            <w:top w:val="none" w:sz="0" w:space="0" w:color="auto"/>
            <w:left w:val="none" w:sz="0" w:space="0" w:color="auto"/>
            <w:bottom w:val="none" w:sz="0" w:space="0" w:color="auto"/>
            <w:right w:val="none" w:sz="0" w:space="0" w:color="auto"/>
          </w:divBdr>
        </w:div>
        <w:div w:id="529877639">
          <w:blockQuote w:val="1"/>
          <w:marLeft w:val="720"/>
          <w:marRight w:val="720"/>
          <w:marTop w:val="100"/>
          <w:marBottom w:val="100"/>
          <w:divBdr>
            <w:top w:val="none" w:sz="0" w:space="0" w:color="auto"/>
            <w:left w:val="none" w:sz="0" w:space="0" w:color="auto"/>
            <w:bottom w:val="none" w:sz="0" w:space="0" w:color="auto"/>
            <w:right w:val="none" w:sz="0" w:space="0" w:color="auto"/>
          </w:divBdr>
        </w:div>
        <w:div w:id="855191105">
          <w:blockQuote w:val="1"/>
          <w:marLeft w:val="720"/>
          <w:marRight w:val="720"/>
          <w:marTop w:val="100"/>
          <w:marBottom w:val="100"/>
          <w:divBdr>
            <w:top w:val="none" w:sz="0" w:space="0" w:color="auto"/>
            <w:left w:val="none" w:sz="0" w:space="0" w:color="auto"/>
            <w:bottom w:val="none" w:sz="0" w:space="0" w:color="auto"/>
            <w:right w:val="none" w:sz="0" w:space="0" w:color="auto"/>
          </w:divBdr>
        </w:div>
        <w:div w:id="863521142">
          <w:blockQuote w:val="1"/>
          <w:marLeft w:val="720"/>
          <w:marRight w:val="720"/>
          <w:marTop w:val="100"/>
          <w:marBottom w:val="100"/>
          <w:divBdr>
            <w:top w:val="none" w:sz="0" w:space="0" w:color="auto"/>
            <w:left w:val="none" w:sz="0" w:space="0" w:color="auto"/>
            <w:bottom w:val="none" w:sz="0" w:space="0" w:color="auto"/>
            <w:right w:val="none" w:sz="0" w:space="0" w:color="auto"/>
          </w:divBdr>
        </w:div>
        <w:div w:id="1030297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2306494">
          <w:blockQuote w:val="1"/>
          <w:marLeft w:val="720"/>
          <w:marRight w:val="720"/>
          <w:marTop w:val="100"/>
          <w:marBottom w:val="100"/>
          <w:divBdr>
            <w:top w:val="none" w:sz="0" w:space="0" w:color="auto"/>
            <w:left w:val="none" w:sz="0" w:space="0" w:color="auto"/>
            <w:bottom w:val="none" w:sz="0" w:space="0" w:color="auto"/>
            <w:right w:val="none" w:sz="0" w:space="0" w:color="auto"/>
          </w:divBdr>
        </w:div>
        <w:div w:id="1159418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9911425">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9607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460700">
          <w:blockQuote w:val="1"/>
          <w:marLeft w:val="720"/>
          <w:marRight w:val="720"/>
          <w:marTop w:val="100"/>
          <w:marBottom w:val="100"/>
          <w:divBdr>
            <w:top w:val="none" w:sz="0" w:space="0" w:color="auto"/>
            <w:left w:val="none" w:sz="0" w:space="0" w:color="auto"/>
            <w:bottom w:val="none" w:sz="0" w:space="0" w:color="auto"/>
            <w:right w:val="none" w:sz="0" w:space="0" w:color="auto"/>
          </w:divBdr>
        </w:div>
        <w:div w:id="1869222520">
          <w:blockQuote w:val="1"/>
          <w:marLeft w:val="720"/>
          <w:marRight w:val="720"/>
          <w:marTop w:val="100"/>
          <w:marBottom w:val="100"/>
          <w:divBdr>
            <w:top w:val="none" w:sz="0" w:space="0" w:color="auto"/>
            <w:left w:val="none" w:sz="0" w:space="0" w:color="auto"/>
            <w:bottom w:val="none" w:sz="0" w:space="0" w:color="auto"/>
            <w:right w:val="none" w:sz="0" w:space="0" w:color="auto"/>
          </w:divBdr>
        </w:div>
        <w:div w:id="199368093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8254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5948042">
      <w:bodyDiv w:val="1"/>
      <w:marLeft w:val="0"/>
      <w:marRight w:val="0"/>
      <w:marTop w:val="0"/>
      <w:marBottom w:val="0"/>
      <w:divBdr>
        <w:top w:val="none" w:sz="0" w:space="0" w:color="auto"/>
        <w:left w:val="none" w:sz="0" w:space="0" w:color="auto"/>
        <w:bottom w:val="none" w:sz="0" w:space="0" w:color="auto"/>
        <w:right w:val="none" w:sz="0" w:space="0" w:color="auto"/>
      </w:divBdr>
      <w:divsChild>
        <w:div w:id="1364938308">
          <w:marLeft w:val="0"/>
          <w:marRight w:val="0"/>
          <w:marTop w:val="0"/>
          <w:marBottom w:val="0"/>
          <w:divBdr>
            <w:top w:val="none" w:sz="0" w:space="0" w:color="auto"/>
            <w:left w:val="none" w:sz="0" w:space="0" w:color="auto"/>
            <w:bottom w:val="none" w:sz="0" w:space="0" w:color="auto"/>
            <w:right w:val="none" w:sz="0" w:space="0" w:color="auto"/>
          </w:divBdr>
          <w:divsChild>
            <w:div w:id="57559058">
              <w:marLeft w:val="0"/>
              <w:marRight w:val="0"/>
              <w:marTop w:val="0"/>
              <w:marBottom w:val="0"/>
              <w:divBdr>
                <w:top w:val="none" w:sz="0" w:space="0" w:color="auto"/>
                <w:left w:val="none" w:sz="0" w:space="0" w:color="auto"/>
                <w:bottom w:val="none" w:sz="0" w:space="0" w:color="auto"/>
                <w:right w:val="none" w:sz="0" w:space="0" w:color="auto"/>
              </w:divBdr>
            </w:div>
            <w:div w:id="92211870">
              <w:marLeft w:val="0"/>
              <w:marRight w:val="0"/>
              <w:marTop w:val="0"/>
              <w:marBottom w:val="0"/>
              <w:divBdr>
                <w:top w:val="none" w:sz="0" w:space="0" w:color="auto"/>
                <w:left w:val="none" w:sz="0" w:space="0" w:color="auto"/>
                <w:bottom w:val="none" w:sz="0" w:space="0" w:color="auto"/>
                <w:right w:val="none" w:sz="0" w:space="0" w:color="auto"/>
              </w:divBdr>
            </w:div>
            <w:div w:id="93329784">
              <w:marLeft w:val="0"/>
              <w:marRight w:val="0"/>
              <w:marTop w:val="0"/>
              <w:marBottom w:val="0"/>
              <w:divBdr>
                <w:top w:val="none" w:sz="0" w:space="0" w:color="auto"/>
                <w:left w:val="none" w:sz="0" w:space="0" w:color="auto"/>
                <w:bottom w:val="none" w:sz="0" w:space="0" w:color="auto"/>
                <w:right w:val="none" w:sz="0" w:space="0" w:color="auto"/>
              </w:divBdr>
            </w:div>
            <w:div w:id="660499912">
              <w:marLeft w:val="0"/>
              <w:marRight w:val="0"/>
              <w:marTop w:val="0"/>
              <w:marBottom w:val="0"/>
              <w:divBdr>
                <w:top w:val="none" w:sz="0" w:space="0" w:color="auto"/>
                <w:left w:val="none" w:sz="0" w:space="0" w:color="auto"/>
                <w:bottom w:val="none" w:sz="0" w:space="0" w:color="auto"/>
                <w:right w:val="none" w:sz="0" w:space="0" w:color="auto"/>
              </w:divBdr>
            </w:div>
            <w:div w:id="1095369468">
              <w:marLeft w:val="0"/>
              <w:marRight w:val="0"/>
              <w:marTop w:val="0"/>
              <w:marBottom w:val="0"/>
              <w:divBdr>
                <w:top w:val="none" w:sz="0" w:space="0" w:color="auto"/>
                <w:left w:val="none" w:sz="0" w:space="0" w:color="auto"/>
                <w:bottom w:val="none" w:sz="0" w:space="0" w:color="auto"/>
                <w:right w:val="none" w:sz="0" w:space="0" w:color="auto"/>
              </w:divBdr>
            </w:div>
            <w:div w:id="186694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10647">
      <w:bodyDiv w:val="1"/>
      <w:marLeft w:val="0"/>
      <w:marRight w:val="0"/>
      <w:marTop w:val="0"/>
      <w:marBottom w:val="0"/>
      <w:divBdr>
        <w:top w:val="none" w:sz="0" w:space="0" w:color="auto"/>
        <w:left w:val="none" w:sz="0" w:space="0" w:color="auto"/>
        <w:bottom w:val="none" w:sz="0" w:space="0" w:color="auto"/>
        <w:right w:val="none" w:sz="0" w:space="0" w:color="auto"/>
      </w:divBdr>
      <w:divsChild>
        <w:div w:id="1470786122">
          <w:marLeft w:val="0"/>
          <w:marRight w:val="0"/>
          <w:marTop w:val="0"/>
          <w:marBottom w:val="0"/>
          <w:divBdr>
            <w:top w:val="none" w:sz="0" w:space="0" w:color="auto"/>
            <w:left w:val="none" w:sz="0" w:space="0" w:color="auto"/>
            <w:bottom w:val="none" w:sz="0" w:space="0" w:color="auto"/>
            <w:right w:val="none" w:sz="0" w:space="0" w:color="auto"/>
          </w:divBdr>
          <w:divsChild>
            <w:div w:id="59211299">
              <w:marLeft w:val="0"/>
              <w:marRight w:val="0"/>
              <w:marTop w:val="0"/>
              <w:marBottom w:val="0"/>
              <w:divBdr>
                <w:top w:val="none" w:sz="0" w:space="0" w:color="auto"/>
                <w:left w:val="none" w:sz="0" w:space="0" w:color="auto"/>
                <w:bottom w:val="none" w:sz="0" w:space="0" w:color="auto"/>
                <w:right w:val="none" w:sz="0" w:space="0" w:color="auto"/>
              </w:divBdr>
            </w:div>
            <w:div w:id="103431050">
              <w:marLeft w:val="0"/>
              <w:marRight w:val="0"/>
              <w:marTop w:val="0"/>
              <w:marBottom w:val="0"/>
              <w:divBdr>
                <w:top w:val="none" w:sz="0" w:space="0" w:color="auto"/>
                <w:left w:val="none" w:sz="0" w:space="0" w:color="auto"/>
                <w:bottom w:val="none" w:sz="0" w:space="0" w:color="auto"/>
                <w:right w:val="none" w:sz="0" w:space="0" w:color="auto"/>
              </w:divBdr>
            </w:div>
            <w:div w:id="496194445">
              <w:marLeft w:val="0"/>
              <w:marRight w:val="0"/>
              <w:marTop w:val="0"/>
              <w:marBottom w:val="0"/>
              <w:divBdr>
                <w:top w:val="none" w:sz="0" w:space="0" w:color="auto"/>
                <w:left w:val="none" w:sz="0" w:space="0" w:color="auto"/>
                <w:bottom w:val="none" w:sz="0" w:space="0" w:color="auto"/>
                <w:right w:val="none" w:sz="0" w:space="0" w:color="auto"/>
              </w:divBdr>
            </w:div>
            <w:div w:id="695692404">
              <w:marLeft w:val="0"/>
              <w:marRight w:val="0"/>
              <w:marTop w:val="0"/>
              <w:marBottom w:val="0"/>
              <w:divBdr>
                <w:top w:val="none" w:sz="0" w:space="0" w:color="auto"/>
                <w:left w:val="none" w:sz="0" w:space="0" w:color="auto"/>
                <w:bottom w:val="none" w:sz="0" w:space="0" w:color="auto"/>
                <w:right w:val="none" w:sz="0" w:space="0" w:color="auto"/>
              </w:divBdr>
            </w:div>
            <w:div w:id="790829318">
              <w:marLeft w:val="0"/>
              <w:marRight w:val="0"/>
              <w:marTop w:val="0"/>
              <w:marBottom w:val="0"/>
              <w:divBdr>
                <w:top w:val="none" w:sz="0" w:space="0" w:color="auto"/>
                <w:left w:val="none" w:sz="0" w:space="0" w:color="auto"/>
                <w:bottom w:val="none" w:sz="0" w:space="0" w:color="auto"/>
                <w:right w:val="none" w:sz="0" w:space="0" w:color="auto"/>
              </w:divBdr>
            </w:div>
            <w:div w:id="916281864">
              <w:marLeft w:val="0"/>
              <w:marRight w:val="0"/>
              <w:marTop w:val="0"/>
              <w:marBottom w:val="0"/>
              <w:divBdr>
                <w:top w:val="none" w:sz="0" w:space="0" w:color="auto"/>
                <w:left w:val="none" w:sz="0" w:space="0" w:color="auto"/>
                <w:bottom w:val="none" w:sz="0" w:space="0" w:color="auto"/>
                <w:right w:val="none" w:sz="0" w:space="0" w:color="auto"/>
              </w:divBdr>
            </w:div>
            <w:div w:id="1117600795">
              <w:marLeft w:val="0"/>
              <w:marRight w:val="0"/>
              <w:marTop w:val="0"/>
              <w:marBottom w:val="0"/>
              <w:divBdr>
                <w:top w:val="none" w:sz="0" w:space="0" w:color="auto"/>
                <w:left w:val="none" w:sz="0" w:space="0" w:color="auto"/>
                <w:bottom w:val="none" w:sz="0" w:space="0" w:color="auto"/>
                <w:right w:val="none" w:sz="0" w:space="0" w:color="auto"/>
              </w:divBdr>
            </w:div>
            <w:div w:id="1336419064">
              <w:marLeft w:val="0"/>
              <w:marRight w:val="0"/>
              <w:marTop w:val="0"/>
              <w:marBottom w:val="0"/>
              <w:divBdr>
                <w:top w:val="none" w:sz="0" w:space="0" w:color="auto"/>
                <w:left w:val="none" w:sz="0" w:space="0" w:color="auto"/>
                <w:bottom w:val="none" w:sz="0" w:space="0" w:color="auto"/>
                <w:right w:val="none" w:sz="0" w:space="0" w:color="auto"/>
              </w:divBdr>
            </w:div>
            <w:div w:id="1526477539">
              <w:marLeft w:val="0"/>
              <w:marRight w:val="0"/>
              <w:marTop w:val="0"/>
              <w:marBottom w:val="0"/>
              <w:divBdr>
                <w:top w:val="none" w:sz="0" w:space="0" w:color="auto"/>
                <w:left w:val="none" w:sz="0" w:space="0" w:color="auto"/>
                <w:bottom w:val="none" w:sz="0" w:space="0" w:color="auto"/>
                <w:right w:val="none" w:sz="0" w:space="0" w:color="auto"/>
              </w:divBdr>
            </w:div>
            <w:div w:id="1892576237">
              <w:marLeft w:val="0"/>
              <w:marRight w:val="0"/>
              <w:marTop w:val="0"/>
              <w:marBottom w:val="0"/>
              <w:divBdr>
                <w:top w:val="none" w:sz="0" w:space="0" w:color="auto"/>
                <w:left w:val="none" w:sz="0" w:space="0" w:color="auto"/>
                <w:bottom w:val="none" w:sz="0" w:space="0" w:color="auto"/>
                <w:right w:val="none" w:sz="0" w:space="0" w:color="auto"/>
              </w:divBdr>
            </w:div>
            <w:div w:id="200889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567324">
      <w:bodyDiv w:val="1"/>
      <w:marLeft w:val="0"/>
      <w:marRight w:val="0"/>
      <w:marTop w:val="0"/>
      <w:marBottom w:val="0"/>
      <w:divBdr>
        <w:top w:val="none" w:sz="0" w:space="0" w:color="auto"/>
        <w:left w:val="none" w:sz="0" w:space="0" w:color="auto"/>
        <w:bottom w:val="none" w:sz="0" w:space="0" w:color="auto"/>
        <w:right w:val="none" w:sz="0" w:space="0" w:color="auto"/>
      </w:divBdr>
      <w:divsChild>
        <w:div w:id="1972251803">
          <w:marLeft w:val="0"/>
          <w:marRight w:val="0"/>
          <w:marTop w:val="0"/>
          <w:marBottom w:val="0"/>
          <w:divBdr>
            <w:top w:val="none" w:sz="0" w:space="0" w:color="auto"/>
            <w:left w:val="none" w:sz="0" w:space="0" w:color="auto"/>
            <w:bottom w:val="none" w:sz="0" w:space="0" w:color="auto"/>
            <w:right w:val="none" w:sz="0" w:space="0" w:color="auto"/>
          </w:divBdr>
          <w:divsChild>
            <w:div w:id="260455696">
              <w:marLeft w:val="0"/>
              <w:marRight w:val="0"/>
              <w:marTop w:val="0"/>
              <w:marBottom w:val="0"/>
              <w:divBdr>
                <w:top w:val="none" w:sz="0" w:space="0" w:color="auto"/>
                <w:left w:val="none" w:sz="0" w:space="0" w:color="auto"/>
                <w:bottom w:val="none" w:sz="0" w:space="0" w:color="auto"/>
                <w:right w:val="none" w:sz="0" w:space="0" w:color="auto"/>
              </w:divBdr>
            </w:div>
            <w:div w:id="290868042">
              <w:marLeft w:val="0"/>
              <w:marRight w:val="0"/>
              <w:marTop w:val="0"/>
              <w:marBottom w:val="0"/>
              <w:divBdr>
                <w:top w:val="none" w:sz="0" w:space="0" w:color="auto"/>
                <w:left w:val="none" w:sz="0" w:space="0" w:color="auto"/>
                <w:bottom w:val="none" w:sz="0" w:space="0" w:color="auto"/>
                <w:right w:val="none" w:sz="0" w:space="0" w:color="auto"/>
              </w:divBdr>
            </w:div>
            <w:div w:id="526872784">
              <w:marLeft w:val="0"/>
              <w:marRight w:val="0"/>
              <w:marTop w:val="0"/>
              <w:marBottom w:val="0"/>
              <w:divBdr>
                <w:top w:val="none" w:sz="0" w:space="0" w:color="auto"/>
                <w:left w:val="none" w:sz="0" w:space="0" w:color="auto"/>
                <w:bottom w:val="none" w:sz="0" w:space="0" w:color="auto"/>
                <w:right w:val="none" w:sz="0" w:space="0" w:color="auto"/>
              </w:divBdr>
            </w:div>
            <w:div w:id="784613600">
              <w:marLeft w:val="0"/>
              <w:marRight w:val="0"/>
              <w:marTop w:val="0"/>
              <w:marBottom w:val="0"/>
              <w:divBdr>
                <w:top w:val="none" w:sz="0" w:space="0" w:color="auto"/>
                <w:left w:val="none" w:sz="0" w:space="0" w:color="auto"/>
                <w:bottom w:val="none" w:sz="0" w:space="0" w:color="auto"/>
                <w:right w:val="none" w:sz="0" w:space="0" w:color="auto"/>
              </w:divBdr>
            </w:div>
            <w:div w:id="947926399">
              <w:marLeft w:val="0"/>
              <w:marRight w:val="0"/>
              <w:marTop w:val="0"/>
              <w:marBottom w:val="0"/>
              <w:divBdr>
                <w:top w:val="none" w:sz="0" w:space="0" w:color="auto"/>
                <w:left w:val="none" w:sz="0" w:space="0" w:color="auto"/>
                <w:bottom w:val="none" w:sz="0" w:space="0" w:color="auto"/>
                <w:right w:val="none" w:sz="0" w:space="0" w:color="auto"/>
              </w:divBdr>
            </w:div>
            <w:div w:id="1197427218">
              <w:marLeft w:val="0"/>
              <w:marRight w:val="0"/>
              <w:marTop w:val="0"/>
              <w:marBottom w:val="0"/>
              <w:divBdr>
                <w:top w:val="none" w:sz="0" w:space="0" w:color="auto"/>
                <w:left w:val="none" w:sz="0" w:space="0" w:color="auto"/>
                <w:bottom w:val="none" w:sz="0" w:space="0" w:color="auto"/>
                <w:right w:val="none" w:sz="0" w:space="0" w:color="auto"/>
              </w:divBdr>
            </w:div>
            <w:div w:id="1382317423">
              <w:marLeft w:val="0"/>
              <w:marRight w:val="0"/>
              <w:marTop w:val="0"/>
              <w:marBottom w:val="0"/>
              <w:divBdr>
                <w:top w:val="none" w:sz="0" w:space="0" w:color="auto"/>
                <w:left w:val="none" w:sz="0" w:space="0" w:color="auto"/>
                <w:bottom w:val="none" w:sz="0" w:space="0" w:color="auto"/>
                <w:right w:val="none" w:sz="0" w:space="0" w:color="auto"/>
              </w:divBdr>
            </w:div>
            <w:div w:id="193169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877652">
      <w:bodyDiv w:val="1"/>
      <w:marLeft w:val="0"/>
      <w:marRight w:val="0"/>
      <w:marTop w:val="0"/>
      <w:marBottom w:val="0"/>
      <w:divBdr>
        <w:top w:val="none" w:sz="0" w:space="0" w:color="auto"/>
        <w:left w:val="none" w:sz="0" w:space="0" w:color="auto"/>
        <w:bottom w:val="none" w:sz="0" w:space="0" w:color="auto"/>
        <w:right w:val="none" w:sz="0" w:space="0" w:color="auto"/>
      </w:divBdr>
      <w:divsChild>
        <w:div w:id="1869053766">
          <w:marLeft w:val="0"/>
          <w:marRight w:val="0"/>
          <w:marTop w:val="0"/>
          <w:marBottom w:val="0"/>
          <w:divBdr>
            <w:top w:val="none" w:sz="0" w:space="0" w:color="auto"/>
            <w:left w:val="none" w:sz="0" w:space="0" w:color="auto"/>
            <w:bottom w:val="none" w:sz="0" w:space="0" w:color="auto"/>
            <w:right w:val="none" w:sz="0" w:space="0" w:color="auto"/>
          </w:divBdr>
          <w:divsChild>
            <w:div w:id="68888494">
              <w:marLeft w:val="0"/>
              <w:marRight w:val="0"/>
              <w:marTop w:val="0"/>
              <w:marBottom w:val="0"/>
              <w:divBdr>
                <w:top w:val="none" w:sz="0" w:space="0" w:color="auto"/>
                <w:left w:val="none" w:sz="0" w:space="0" w:color="auto"/>
                <w:bottom w:val="none" w:sz="0" w:space="0" w:color="auto"/>
                <w:right w:val="none" w:sz="0" w:space="0" w:color="auto"/>
              </w:divBdr>
            </w:div>
            <w:div w:id="309599549">
              <w:marLeft w:val="0"/>
              <w:marRight w:val="0"/>
              <w:marTop w:val="0"/>
              <w:marBottom w:val="0"/>
              <w:divBdr>
                <w:top w:val="none" w:sz="0" w:space="0" w:color="auto"/>
                <w:left w:val="none" w:sz="0" w:space="0" w:color="auto"/>
                <w:bottom w:val="none" w:sz="0" w:space="0" w:color="auto"/>
                <w:right w:val="none" w:sz="0" w:space="0" w:color="auto"/>
              </w:divBdr>
            </w:div>
            <w:div w:id="314114755">
              <w:marLeft w:val="0"/>
              <w:marRight w:val="0"/>
              <w:marTop w:val="0"/>
              <w:marBottom w:val="0"/>
              <w:divBdr>
                <w:top w:val="none" w:sz="0" w:space="0" w:color="auto"/>
                <w:left w:val="none" w:sz="0" w:space="0" w:color="auto"/>
                <w:bottom w:val="none" w:sz="0" w:space="0" w:color="auto"/>
                <w:right w:val="none" w:sz="0" w:space="0" w:color="auto"/>
              </w:divBdr>
            </w:div>
            <w:div w:id="644045872">
              <w:marLeft w:val="0"/>
              <w:marRight w:val="0"/>
              <w:marTop w:val="0"/>
              <w:marBottom w:val="0"/>
              <w:divBdr>
                <w:top w:val="none" w:sz="0" w:space="0" w:color="auto"/>
                <w:left w:val="none" w:sz="0" w:space="0" w:color="auto"/>
                <w:bottom w:val="none" w:sz="0" w:space="0" w:color="auto"/>
                <w:right w:val="none" w:sz="0" w:space="0" w:color="auto"/>
              </w:divBdr>
            </w:div>
            <w:div w:id="1010449666">
              <w:marLeft w:val="0"/>
              <w:marRight w:val="0"/>
              <w:marTop w:val="0"/>
              <w:marBottom w:val="0"/>
              <w:divBdr>
                <w:top w:val="none" w:sz="0" w:space="0" w:color="auto"/>
                <w:left w:val="none" w:sz="0" w:space="0" w:color="auto"/>
                <w:bottom w:val="none" w:sz="0" w:space="0" w:color="auto"/>
                <w:right w:val="none" w:sz="0" w:space="0" w:color="auto"/>
              </w:divBdr>
            </w:div>
            <w:div w:id="1056393334">
              <w:marLeft w:val="0"/>
              <w:marRight w:val="0"/>
              <w:marTop w:val="0"/>
              <w:marBottom w:val="0"/>
              <w:divBdr>
                <w:top w:val="none" w:sz="0" w:space="0" w:color="auto"/>
                <w:left w:val="none" w:sz="0" w:space="0" w:color="auto"/>
                <w:bottom w:val="none" w:sz="0" w:space="0" w:color="auto"/>
                <w:right w:val="none" w:sz="0" w:space="0" w:color="auto"/>
              </w:divBdr>
            </w:div>
            <w:div w:id="1293250167">
              <w:marLeft w:val="0"/>
              <w:marRight w:val="0"/>
              <w:marTop w:val="0"/>
              <w:marBottom w:val="0"/>
              <w:divBdr>
                <w:top w:val="none" w:sz="0" w:space="0" w:color="auto"/>
                <w:left w:val="none" w:sz="0" w:space="0" w:color="auto"/>
                <w:bottom w:val="none" w:sz="0" w:space="0" w:color="auto"/>
                <w:right w:val="none" w:sz="0" w:space="0" w:color="auto"/>
              </w:divBdr>
            </w:div>
            <w:div w:id="1331103438">
              <w:marLeft w:val="0"/>
              <w:marRight w:val="0"/>
              <w:marTop w:val="0"/>
              <w:marBottom w:val="0"/>
              <w:divBdr>
                <w:top w:val="none" w:sz="0" w:space="0" w:color="auto"/>
                <w:left w:val="none" w:sz="0" w:space="0" w:color="auto"/>
                <w:bottom w:val="none" w:sz="0" w:space="0" w:color="auto"/>
                <w:right w:val="none" w:sz="0" w:space="0" w:color="auto"/>
              </w:divBdr>
            </w:div>
            <w:div w:id="1596090015">
              <w:marLeft w:val="0"/>
              <w:marRight w:val="0"/>
              <w:marTop w:val="0"/>
              <w:marBottom w:val="0"/>
              <w:divBdr>
                <w:top w:val="none" w:sz="0" w:space="0" w:color="auto"/>
                <w:left w:val="none" w:sz="0" w:space="0" w:color="auto"/>
                <w:bottom w:val="none" w:sz="0" w:space="0" w:color="auto"/>
                <w:right w:val="none" w:sz="0" w:space="0" w:color="auto"/>
              </w:divBdr>
            </w:div>
            <w:div w:id="1746104816">
              <w:marLeft w:val="0"/>
              <w:marRight w:val="0"/>
              <w:marTop w:val="0"/>
              <w:marBottom w:val="0"/>
              <w:divBdr>
                <w:top w:val="none" w:sz="0" w:space="0" w:color="auto"/>
                <w:left w:val="none" w:sz="0" w:space="0" w:color="auto"/>
                <w:bottom w:val="none" w:sz="0" w:space="0" w:color="auto"/>
                <w:right w:val="none" w:sz="0" w:space="0" w:color="auto"/>
              </w:divBdr>
            </w:div>
            <w:div w:id="1769040786">
              <w:marLeft w:val="0"/>
              <w:marRight w:val="0"/>
              <w:marTop w:val="0"/>
              <w:marBottom w:val="0"/>
              <w:divBdr>
                <w:top w:val="none" w:sz="0" w:space="0" w:color="auto"/>
                <w:left w:val="none" w:sz="0" w:space="0" w:color="auto"/>
                <w:bottom w:val="none" w:sz="0" w:space="0" w:color="auto"/>
                <w:right w:val="none" w:sz="0" w:space="0" w:color="auto"/>
              </w:divBdr>
            </w:div>
            <w:div w:id="1975021600">
              <w:marLeft w:val="0"/>
              <w:marRight w:val="0"/>
              <w:marTop w:val="0"/>
              <w:marBottom w:val="0"/>
              <w:divBdr>
                <w:top w:val="none" w:sz="0" w:space="0" w:color="auto"/>
                <w:left w:val="none" w:sz="0" w:space="0" w:color="auto"/>
                <w:bottom w:val="none" w:sz="0" w:space="0" w:color="auto"/>
                <w:right w:val="none" w:sz="0" w:space="0" w:color="auto"/>
              </w:divBdr>
            </w:div>
            <w:div w:id="210845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975660">
      <w:bodyDiv w:val="1"/>
      <w:marLeft w:val="0"/>
      <w:marRight w:val="0"/>
      <w:marTop w:val="0"/>
      <w:marBottom w:val="0"/>
      <w:divBdr>
        <w:top w:val="none" w:sz="0" w:space="0" w:color="auto"/>
        <w:left w:val="none" w:sz="0" w:space="0" w:color="auto"/>
        <w:bottom w:val="none" w:sz="0" w:space="0" w:color="auto"/>
        <w:right w:val="none" w:sz="0" w:space="0" w:color="auto"/>
      </w:divBdr>
      <w:divsChild>
        <w:div w:id="910196574">
          <w:marLeft w:val="0"/>
          <w:marRight w:val="0"/>
          <w:marTop w:val="0"/>
          <w:marBottom w:val="0"/>
          <w:divBdr>
            <w:top w:val="none" w:sz="0" w:space="0" w:color="auto"/>
            <w:left w:val="none" w:sz="0" w:space="0" w:color="auto"/>
            <w:bottom w:val="none" w:sz="0" w:space="0" w:color="auto"/>
            <w:right w:val="none" w:sz="0" w:space="0" w:color="auto"/>
          </w:divBdr>
          <w:divsChild>
            <w:div w:id="55399956">
              <w:marLeft w:val="0"/>
              <w:marRight w:val="0"/>
              <w:marTop w:val="0"/>
              <w:marBottom w:val="0"/>
              <w:divBdr>
                <w:top w:val="none" w:sz="0" w:space="0" w:color="auto"/>
                <w:left w:val="none" w:sz="0" w:space="0" w:color="auto"/>
                <w:bottom w:val="none" w:sz="0" w:space="0" w:color="auto"/>
                <w:right w:val="none" w:sz="0" w:space="0" w:color="auto"/>
              </w:divBdr>
            </w:div>
            <w:div w:id="92670162">
              <w:marLeft w:val="0"/>
              <w:marRight w:val="0"/>
              <w:marTop w:val="0"/>
              <w:marBottom w:val="0"/>
              <w:divBdr>
                <w:top w:val="none" w:sz="0" w:space="0" w:color="auto"/>
                <w:left w:val="none" w:sz="0" w:space="0" w:color="auto"/>
                <w:bottom w:val="none" w:sz="0" w:space="0" w:color="auto"/>
                <w:right w:val="none" w:sz="0" w:space="0" w:color="auto"/>
              </w:divBdr>
            </w:div>
            <w:div w:id="97526305">
              <w:marLeft w:val="0"/>
              <w:marRight w:val="0"/>
              <w:marTop w:val="0"/>
              <w:marBottom w:val="0"/>
              <w:divBdr>
                <w:top w:val="none" w:sz="0" w:space="0" w:color="auto"/>
                <w:left w:val="none" w:sz="0" w:space="0" w:color="auto"/>
                <w:bottom w:val="none" w:sz="0" w:space="0" w:color="auto"/>
                <w:right w:val="none" w:sz="0" w:space="0" w:color="auto"/>
              </w:divBdr>
            </w:div>
            <w:div w:id="141585231">
              <w:marLeft w:val="0"/>
              <w:marRight w:val="0"/>
              <w:marTop w:val="0"/>
              <w:marBottom w:val="0"/>
              <w:divBdr>
                <w:top w:val="none" w:sz="0" w:space="0" w:color="auto"/>
                <w:left w:val="none" w:sz="0" w:space="0" w:color="auto"/>
                <w:bottom w:val="none" w:sz="0" w:space="0" w:color="auto"/>
                <w:right w:val="none" w:sz="0" w:space="0" w:color="auto"/>
              </w:divBdr>
            </w:div>
            <w:div w:id="228224623">
              <w:marLeft w:val="0"/>
              <w:marRight w:val="0"/>
              <w:marTop w:val="0"/>
              <w:marBottom w:val="0"/>
              <w:divBdr>
                <w:top w:val="none" w:sz="0" w:space="0" w:color="auto"/>
                <w:left w:val="none" w:sz="0" w:space="0" w:color="auto"/>
                <w:bottom w:val="none" w:sz="0" w:space="0" w:color="auto"/>
                <w:right w:val="none" w:sz="0" w:space="0" w:color="auto"/>
              </w:divBdr>
            </w:div>
            <w:div w:id="242297972">
              <w:marLeft w:val="0"/>
              <w:marRight w:val="0"/>
              <w:marTop w:val="0"/>
              <w:marBottom w:val="0"/>
              <w:divBdr>
                <w:top w:val="none" w:sz="0" w:space="0" w:color="auto"/>
                <w:left w:val="none" w:sz="0" w:space="0" w:color="auto"/>
                <w:bottom w:val="none" w:sz="0" w:space="0" w:color="auto"/>
                <w:right w:val="none" w:sz="0" w:space="0" w:color="auto"/>
              </w:divBdr>
            </w:div>
            <w:div w:id="271671447">
              <w:marLeft w:val="0"/>
              <w:marRight w:val="0"/>
              <w:marTop w:val="0"/>
              <w:marBottom w:val="0"/>
              <w:divBdr>
                <w:top w:val="none" w:sz="0" w:space="0" w:color="auto"/>
                <w:left w:val="none" w:sz="0" w:space="0" w:color="auto"/>
                <w:bottom w:val="none" w:sz="0" w:space="0" w:color="auto"/>
                <w:right w:val="none" w:sz="0" w:space="0" w:color="auto"/>
              </w:divBdr>
            </w:div>
            <w:div w:id="292059900">
              <w:marLeft w:val="0"/>
              <w:marRight w:val="0"/>
              <w:marTop w:val="0"/>
              <w:marBottom w:val="0"/>
              <w:divBdr>
                <w:top w:val="none" w:sz="0" w:space="0" w:color="auto"/>
                <w:left w:val="none" w:sz="0" w:space="0" w:color="auto"/>
                <w:bottom w:val="none" w:sz="0" w:space="0" w:color="auto"/>
                <w:right w:val="none" w:sz="0" w:space="0" w:color="auto"/>
              </w:divBdr>
            </w:div>
            <w:div w:id="303046355">
              <w:marLeft w:val="0"/>
              <w:marRight w:val="0"/>
              <w:marTop w:val="0"/>
              <w:marBottom w:val="0"/>
              <w:divBdr>
                <w:top w:val="none" w:sz="0" w:space="0" w:color="auto"/>
                <w:left w:val="none" w:sz="0" w:space="0" w:color="auto"/>
                <w:bottom w:val="none" w:sz="0" w:space="0" w:color="auto"/>
                <w:right w:val="none" w:sz="0" w:space="0" w:color="auto"/>
              </w:divBdr>
            </w:div>
            <w:div w:id="323432973">
              <w:marLeft w:val="0"/>
              <w:marRight w:val="0"/>
              <w:marTop w:val="0"/>
              <w:marBottom w:val="0"/>
              <w:divBdr>
                <w:top w:val="none" w:sz="0" w:space="0" w:color="auto"/>
                <w:left w:val="none" w:sz="0" w:space="0" w:color="auto"/>
                <w:bottom w:val="none" w:sz="0" w:space="0" w:color="auto"/>
                <w:right w:val="none" w:sz="0" w:space="0" w:color="auto"/>
              </w:divBdr>
            </w:div>
            <w:div w:id="331959078">
              <w:marLeft w:val="0"/>
              <w:marRight w:val="0"/>
              <w:marTop w:val="0"/>
              <w:marBottom w:val="0"/>
              <w:divBdr>
                <w:top w:val="none" w:sz="0" w:space="0" w:color="auto"/>
                <w:left w:val="none" w:sz="0" w:space="0" w:color="auto"/>
                <w:bottom w:val="none" w:sz="0" w:space="0" w:color="auto"/>
                <w:right w:val="none" w:sz="0" w:space="0" w:color="auto"/>
              </w:divBdr>
            </w:div>
            <w:div w:id="348873358">
              <w:marLeft w:val="0"/>
              <w:marRight w:val="0"/>
              <w:marTop w:val="0"/>
              <w:marBottom w:val="0"/>
              <w:divBdr>
                <w:top w:val="none" w:sz="0" w:space="0" w:color="auto"/>
                <w:left w:val="none" w:sz="0" w:space="0" w:color="auto"/>
                <w:bottom w:val="none" w:sz="0" w:space="0" w:color="auto"/>
                <w:right w:val="none" w:sz="0" w:space="0" w:color="auto"/>
              </w:divBdr>
            </w:div>
            <w:div w:id="431903132">
              <w:marLeft w:val="0"/>
              <w:marRight w:val="0"/>
              <w:marTop w:val="0"/>
              <w:marBottom w:val="0"/>
              <w:divBdr>
                <w:top w:val="none" w:sz="0" w:space="0" w:color="auto"/>
                <w:left w:val="none" w:sz="0" w:space="0" w:color="auto"/>
                <w:bottom w:val="none" w:sz="0" w:space="0" w:color="auto"/>
                <w:right w:val="none" w:sz="0" w:space="0" w:color="auto"/>
              </w:divBdr>
            </w:div>
            <w:div w:id="508716814">
              <w:marLeft w:val="0"/>
              <w:marRight w:val="0"/>
              <w:marTop w:val="0"/>
              <w:marBottom w:val="0"/>
              <w:divBdr>
                <w:top w:val="none" w:sz="0" w:space="0" w:color="auto"/>
                <w:left w:val="none" w:sz="0" w:space="0" w:color="auto"/>
                <w:bottom w:val="none" w:sz="0" w:space="0" w:color="auto"/>
                <w:right w:val="none" w:sz="0" w:space="0" w:color="auto"/>
              </w:divBdr>
            </w:div>
            <w:div w:id="563297475">
              <w:marLeft w:val="0"/>
              <w:marRight w:val="0"/>
              <w:marTop w:val="0"/>
              <w:marBottom w:val="0"/>
              <w:divBdr>
                <w:top w:val="none" w:sz="0" w:space="0" w:color="auto"/>
                <w:left w:val="none" w:sz="0" w:space="0" w:color="auto"/>
                <w:bottom w:val="none" w:sz="0" w:space="0" w:color="auto"/>
                <w:right w:val="none" w:sz="0" w:space="0" w:color="auto"/>
              </w:divBdr>
            </w:div>
            <w:div w:id="615868610">
              <w:marLeft w:val="0"/>
              <w:marRight w:val="0"/>
              <w:marTop w:val="0"/>
              <w:marBottom w:val="0"/>
              <w:divBdr>
                <w:top w:val="none" w:sz="0" w:space="0" w:color="auto"/>
                <w:left w:val="none" w:sz="0" w:space="0" w:color="auto"/>
                <w:bottom w:val="none" w:sz="0" w:space="0" w:color="auto"/>
                <w:right w:val="none" w:sz="0" w:space="0" w:color="auto"/>
              </w:divBdr>
            </w:div>
            <w:div w:id="618535523">
              <w:marLeft w:val="0"/>
              <w:marRight w:val="0"/>
              <w:marTop w:val="0"/>
              <w:marBottom w:val="0"/>
              <w:divBdr>
                <w:top w:val="none" w:sz="0" w:space="0" w:color="auto"/>
                <w:left w:val="none" w:sz="0" w:space="0" w:color="auto"/>
                <w:bottom w:val="none" w:sz="0" w:space="0" w:color="auto"/>
                <w:right w:val="none" w:sz="0" w:space="0" w:color="auto"/>
              </w:divBdr>
            </w:div>
            <w:div w:id="651720108">
              <w:marLeft w:val="0"/>
              <w:marRight w:val="0"/>
              <w:marTop w:val="0"/>
              <w:marBottom w:val="0"/>
              <w:divBdr>
                <w:top w:val="none" w:sz="0" w:space="0" w:color="auto"/>
                <w:left w:val="none" w:sz="0" w:space="0" w:color="auto"/>
                <w:bottom w:val="none" w:sz="0" w:space="0" w:color="auto"/>
                <w:right w:val="none" w:sz="0" w:space="0" w:color="auto"/>
              </w:divBdr>
            </w:div>
            <w:div w:id="672798418">
              <w:marLeft w:val="0"/>
              <w:marRight w:val="0"/>
              <w:marTop w:val="0"/>
              <w:marBottom w:val="0"/>
              <w:divBdr>
                <w:top w:val="none" w:sz="0" w:space="0" w:color="auto"/>
                <w:left w:val="none" w:sz="0" w:space="0" w:color="auto"/>
                <w:bottom w:val="none" w:sz="0" w:space="0" w:color="auto"/>
                <w:right w:val="none" w:sz="0" w:space="0" w:color="auto"/>
              </w:divBdr>
            </w:div>
            <w:div w:id="688525235">
              <w:marLeft w:val="0"/>
              <w:marRight w:val="0"/>
              <w:marTop w:val="0"/>
              <w:marBottom w:val="0"/>
              <w:divBdr>
                <w:top w:val="none" w:sz="0" w:space="0" w:color="auto"/>
                <w:left w:val="none" w:sz="0" w:space="0" w:color="auto"/>
                <w:bottom w:val="none" w:sz="0" w:space="0" w:color="auto"/>
                <w:right w:val="none" w:sz="0" w:space="0" w:color="auto"/>
              </w:divBdr>
            </w:div>
            <w:div w:id="708385137">
              <w:marLeft w:val="0"/>
              <w:marRight w:val="0"/>
              <w:marTop w:val="0"/>
              <w:marBottom w:val="0"/>
              <w:divBdr>
                <w:top w:val="none" w:sz="0" w:space="0" w:color="auto"/>
                <w:left w:val="none" w:sz="0" w:space="0" w:color="auto"/>
                <w:bottom w:val="none" w:sz="0" w:space="0" w:color="auto"/>
                <w:right w:val="none" w:sz="0" w:space="0" w:color="auto"/>
              </w:divBdr>
            </w:div>
            <w:div w:id="739133760">
              <w:marLeft w:val="0"/>
              <w:marRight w:val="0"/>
              <w:marTop w:val="0"/>
              <w:marBottom w:val="0"/>
              <w:divBdr>
                <w:top w:val="none" w:sz="0" w:space="0" w:color="auto"/>
                <w:left w:val="none" w:sz="0" w:space="0" w:color="auto"/>
                <w:bottom w:val="none" w:sz="0" w:space="0" w:color="auto"/>
                <w:right w:val="none" w:sz="0" w:space="0" w:color="auto"/>
              </w:divBdr>
            </w:div>
            <w:div w:id="778138961">
              <w:marLeft w:val="0"/>
              <w:marRight w:val="0"/>
              <w:marTop w:val="0"/>
              <w:marBottom w:val="0"/>
              <w:divBdr>
                <w:top w:val="none" w:sz="0" w:space="0" w:color="auto"/>
                <w:left w:val="none" w:sz="0" w:space="0" w:color="auto"/>
                <w:bottom w:val="none" w:sz="0" w:space="0" w:color="auto"/>
                <w:right w:val="none" w:sz="0" w:space="0" w:color="auto"/>
              </w:divBdr>
            </w:div>
            <w:div w:id="785930040">
              <w:marLeft w:val="0"/>
              <w:marRight w:val="0"/>
              <w:marTop w:val="0"/>
              <w:marBottom w:val="0"/>
              <w:divBdr>
                <w:top w:val="none" w:sz="0" w:space="0" w:color="auto"/>
                <w:left w:val="none" w:sz="0" w:space="0" w:color="auto"/>
                <w:bottom w:val="none" w:sz="0" w:space="0" w:color="auto"/>
                <w:right w:val="none" w:sz="0" w:space="0" w:color="auto"/>
              </w:divBdr>
            </w:div>
            <w:div w:id="798451422">
              <w:marLeft w:val="0"/>
              <w:marRight w:val="0"/>
              <w:marTop w:val="0"/>
              <w:marBottom w:val="0"/>
              <w:divBdr>
                <w:top w:val="none" w:sz="0" w:space="0" w:color="auto"/>
                <w:left w:val="none" w:sz="0" w:space="0" w:color="auto"/>
                <w:bottom w:val="none" w:sz="0" w:space="0" w:color="auto"/>
                <w:right w:val="none" w:sz="0" w:space="0" w:color="auto"/>
              </w:divBdr>
            </w:div>
            <w:div w:id="810946161">
              <w:marLeft w:val="0"/>
              <w:marRight w:val="0"/>
              <w:marTop w:val="0"/>
              <w:marBottom w:val="0"/>
              <w:divBdr>
                <w:top w:val="none" w:sz="0" w:space="0" w:color="auto"/>
                <w:left w:val="none" w:sz="0" w:space="0" w:color="auto"/>
                <w:bottom w:val="none" w:sz="0" w:space="0" w:color="auto"/>
                <w:right w:val="none" w:sz="0" w:space="0" w:color="auto"/>
              </w:divBdr>
            </w:div>
            <w:div w:id="864028180">
              <w:marLeft w:val="0"/>
              <w:marRight w:val="0"/>
              <w:marTop w:val="0"/>
              <w:marBottom w:val="0"/>
              <w:divBdr>
                <w:top w:val="none" w:sz="0" w:space="0" w:color="auto"/>
                <w:left w:val="none" w:sz="0" w:space="0" w:color="auto"/>
                <w:bottom w:val="none" w:sz="0" w:space="0" w:color="auto"/>
                <w:right w:val="none" w:sz="0" w:space="0" w:color="auto"/>
              </w:divBdr>
            </w:div>
            <w:div w:id="874123390">
              <w:marLeft w:val="0"/>
              <w:marRight w:val="0"/>
              <w:marTop w:val="0"/>
              <w:marBottom w:val="0"/>
              <w:divBdr>
                <w:top w:val="none" w:sz="0" w:space="0" w:color="auto"/>
                <w:left w:val="none" w:sz="0" w:space="0" w:color="auto"/>
                <w:bottom w:val="none" w:sz="0" w:space="0" w:color="auto"/>
                <w:right w:val="none" w:sz="0" w:space="0" w:color="auto"/>
              </w:divBdr>
            </w:div>
            <w:div w:id="889465409">
              <w:marLeft w:val="0"/>
              <w:marRight w:val="0"/>
              <w:marTop w:val="0"/>
              <w:marBottom w:val="0"/>
              <w:divBdr>
                <w:top w:val="none" w:sz="0" w:space="0" w:color="auto"/>
                <w:left w:val="none" w:sz="0" w:space="0" w:color="auto"/>
                <w:bottom w:val="none" w:sz="0" w:space="0" w:color="auto"/>
                <w:right w:val="none" w:sz="0" w:space="0" w:color="auto"/>
              </w:divBdr>
            </w:div>
            <w:div w:id="915671268">
              <w:marLeft w:val="0"/>
              <w:marRight w:val="0"/>
              <w:marTop w:val="0"/>
              <w:marBottom w:val="0"/>
              <w:divBdr>
                <w:top w:val="none" w:sz="0" w:space="0" w:color="auto"/>
                <w:left w:val="none" w:sz="0" w:space="0" w:color="auto"/>
                <w:bottom w:val="none" w:sz="0" w:space="0" w:color="auto"/>
                <w:right w:val="none" w:sz="0" w:space="0" w:color="auto"/>
              </w:divBdr>
            </w:div>
            <w:div w:id="1011179167">
              <w:marLeft w:val="0"/>
              <w:marRight w:val="0"/>
              <w:marTop w:val="0"/>
              <w:marBottom w:val="0"/>
              <w:divBdr>
                <w:top w:val="none" w:sz="0" w:space="0" w:color="auto"/>
                <w:left w:val="none" w:sz="0" w:space="0" w:color="auto"/>
                <w:bottom w:val="none" w:sz="0" w:space="0" w:color="auto"/>
                <w:right w:val="none" w:sz="0" w:space="0" w:color="auto"/>
              </w:divBdr>
            </w:div>
            <w:div w:id="1040401178">
              <w:marLeft w:val="0"/>
              <w:marRight w:val="0"/>
              <w:marTop w:val="0"/>
              <w:marBottom w:val="0"/>
              <w:divBdr>
                <w:top w:val="none" w:sz="0" w:space="0" w:color="auto"/>
                <w:left w:val="none" w:sz="0" w:space="0" w:color="auto"/>
                <w:bottom w:val="none" w:sz="0" w:space="0" w:color="auto"/>
                <w:right w:val="none" w:sz="0" w:space="0" w:color="auto"/>
              </w:divBdr>
            </w:div>
            <w:div w:id="1056516774">
              <w:marLeft w:val="0"/>
              <w:marRight w:val="0"/>
              <w:marTop w:val="0"/>
              <w:marBottom w:val="0"/>
              <w:divBdr>
                <w:top w:val="none" w:sz="0" w:space="0" w:color="auto"/>
                <w:left w:val="none" w:sz="0" w:space="0" w:color="auto"/>
                <w:bottom w:val="none" w:sz="0" w:space="0" w:color="auto"/>
                <w:right w:val="none" w:sz="0" w:space="0" w:color="auto"/>
              </w:divBdr>
            </w:div>
            <w:div w:id="1085418010">
              <w:marLeft w:val="0"/>
              <w:marRight w:val="0"/>
              <w:marTop w:val="0"/>
              <w:marBottom w:val="0"/>
              <w:divBdr>
                <w:top w:val="none" w:sz="0" w:space="0" w:color="auto"/>
                <w:left w:val="none" w:sz="0" w:space="0" w:color="auto"/>
                <w:bottom w:val="none" w:sz="0" w:space="0" w:color="auto"/>
                <w:right w:val="none" w:sz="0" w:space="0" w:color="auto"/>
              </w:divBdr>
            </w:div>
            <w:div w:id="1093861797">
              <w:marLeft w:val="0"/>
              <w:marRight w:val="0"/>
              <w:marTop w:val="0"/>
              <w:marBottom w:val="0"/>
              <w:divBdr>
                <w:top w:val="none" w:sz="0" w:space="0" w:color="auto"/>
                <w:left w:val="none" w:sz="0" w:space="0" w:color="auto"/>
                <w:bottom w:val="none" w:sz="0" w:space="0" w:color="auto"/>
                <w:right w:val="none" w:sz="0" w:space="0" w:color="auto"/>
              </w:divBdr>
            </w:div>
            <w:div w:id="1110930262">
              <w:marLeft w:val="0"/>
              <w:marRight w:val="0"/>
              <w:marTop w:val="0"/>
              <w:marBottom w:val="0"/>
              <w:divBdr>
                <w:top w:val="none" w:sz="0" w:space="0" w:color="auto"/>
                <w:left w:val="none" w:sz="0" w:space="0" w:color="auto"/>
                <w:bottom w:val="none" w:sz="0" w:space="0" w:color="auto"/>
                <w:right w:val="none" w:sz="0" w:space="0" w:color="auto"/>
              </w:divBdr>
            </w:div>
            <w:div w:id="1140730521">
              <w:marLeft w:val="0"/>
              <w:marRight w:val="0"/>
              <w:marTop w:val="0"/>
              <w:marBottom w:val="0"/>
              <w:divBdr>
                <w:top w:val="none" w:sz="0" w:space="0" w:color="auto"/>
                <w:left w:val="none" w:sz="0" w:space="0" w:color="auto"/>
                <w:bottom w:val="none" w:sz="0" w:space="0" w:color="auto"/>
                <w:right w:val="none" w:sz="0" w:space="0" w:color="auto"/>
              </w:divBdr>
            </w:div>
            <w:div w:id="1149126570">
              <w:marLeft w:val="0"/>
              <w:marRight w:val="0"/>
              <w:marTop w:val="0"/>
              <w:marBottom w:val="0"/>
              <w:divBdr>
                <w:top w:val="none" w:sz="0" w:space="0" w:color="auto"/>
                <w:left w:val="none" w:sz="0" w:space="0" w:color="auto"/>
                <w:bottom w:val="none" w:sz="0" w:space="0" w:color="auto"/>
                <w:right w:val="none" w:sz="0" w:space="0" w:color="auto"/>
              </w:divBdr>
            </w:div>
            <w:div w:id="1184436677">
              <w:marLeft w:val="0"/>
              <w:marRight w:val="0"/>
              <w:marTop w:val="0"/>
              <w:marBottom w:val="0"/>
              <w:divBdr>
                <w:top w:val="none" w:sz="0" w:space="0" w:color="auto"/>
                <w:left w:val="none" w:sz="0" w:space="0" w:color="auto"/>
                <w:bottom w:val="none" w:sz="0" w:space="0" w:color="auto"/>
                <w:right w:val="none" w:sz="0" w:space="0" w:color="auto"/>
              </w:divBdr>
            </w:div>
            <w:div w:id="1198784663">
              <w:marLeft w:val="0"/>
              <w:marRight w:val="0"/>
              <w:marTop w:val="0"/>
              <w:marBottom w:val="0"/>
              <w:divBdr>
                <w:top w:val="none" w:sz="0" w:space="0" w:color="auto"/>
                <w:left w:val="none" w:sz="0" w:space="0" w:color="auto"/>
                <w:bottom w:val="none" w:sz="0" w:space="0" w:color="auto"/>
                <w:right w:val="none" w:sz="0" w:space="0" w:color="auto"/>
              </w:divBdr>
            </w:div>
            <w:div w:id="1252396434">
              <w:marLeft w:val="0"/>
              <w:marRight w:val="0"/>
              <w:marTop w:val="0"/>
              <w:marBottom w:val="0"/>
              <w:divBdr>
                <w:top w:val="none" w:sz="0" w:space="0" w:color="auto"/>
                <w:left w:val="none" w:sz="0" w:space="0" w:color="auto"/>
                <w:bottom w:val="none" w:sz="0" w:space="0" w:color="auto"/>
                <w:right w:val="none" w:sz="0" w:space="0" w:color="auto"/>
              </w:divBdr>
            </w:div>
            <w:div w:id="1272472117">
              <w:marLeft w:val="0"/>
              <w:marRight w:val="0"/>
              <w:marTop w:val="0"/>
              <w:marBottom w:val="0"/>
              <w:divBdr>
                <w:top w:val="none" w:sz="0" w:space="0" w:color="auto"/>
                <w:left w:val="none" w:sz="0" w:space="0" w:color="auto"/>
                <w:bottom w:val="none" w:sz="0" w:space="0" w:color="auto"/>
                <w:right w:val="none" w:sz="0" w:space="0" w:color="auto"/>
              </w:divBdr>
            </w:div>
            <w:div w:id="1359627170">
              <w:marLeft w:val="0"/>
              <w:marRight w:val="0"/>
              <w:marTop w:val="0"/>
              <w:marBottom w:val="0"/>
              <w:divBdr>
                <w:top w:val="none" w:sz="0" w:space="0" w:color="auto"/>
                <w:left w:val="none" w:sz="0" w:space="0" w:color="auto"/>
                <w:bottom w:val="none" w:sz="0" w:space="0" w:color="auto"/>
                <w:right w:val="none" w:sz="0" w:space="0" w:color="auto"/>
              </w:divBdr>
            </w:div>
            <w:div w:id="1448962043">
              <w:marLeft w:val="0"/>
              <w:marRight w:val="0"/>
              <w:marTop w:val="0"/>
              <w:marBottom w:val="0"/>
              <w:divBdr>
                <w:top w:val="none" w:sz="0" w:space="0" w:color="auto"/>
                <w:left w:val="none" w:sz="0" w:space="0" w:color="auto"/>
                <w:bottom w:val="none" w:sz="0" w:space="0" w:color="auto"/>
                <w:right w:val="none" w:sz="0" w:space="0" w:color="auto"/>
              </w:divBdr>
            </w:div>
            <w:div w:id="1571307365">
              <w:marLeft w:val="0"/>
              <w:marRight w:val="0"/>
              <w:marTop w:val="0"/>
              <w:marBottom w:val="0"/>
              <w:divBdr>
                <w:top w:val="none" w:sz="0" w:space="0" w:color="auto"/>
                <w:left w:val="none" w:sz="0" w:space="0" w:color="auto"/>
                <w:bottom w:val="none" w:sz="0" w:space="0" w:color="auto"/>
                <w:right w:val="none" w:sz="0" w:space="0" w:color="auto"/>
              </w:divBdr>
            </w:div>
            <w:div w:id="1664745525">
              <w:marLeft w:val="0"/>
              <w:marRight w:val="0"/>
              <w:marTop w:val="0"/>
              <w:marBottom w:val="0"/>
              <w:divBdr>
                <w:top w:val="none" w:sz="0" w:space="0" w:color="auto"/>
                <w:left w:val="none" w:sz="0" w:space="0" w:color="auto"/>
                <w:bottom w:val="none" w:sz="0" w:space="0" w:color="auto"/>
                <w:right w:val="none" w:sz="0" w:space="0" w:color="auto"/>
              </w:divBdr>
            </w:div>
            <w:div w:id="176183400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 w:id="1848323973">
              <w:marLeft w:val="0"/>
              <w:marRight w:val="0"/>
              <w:marTop w:val="0"/>
              <w:marBottom w:val="0"/>
              <w:divBdr>
                <w:top w:val="none" w:sz="0" w:space="0" w:color="auto"/>
                <w:left w:val="none" w:sz="0" w:space="0" w:color="auto"/>
                <w:bottom w:val="none" w:sz="0" w:space="0" w:color="auto"/>
                <w:right w:val="none" w:sz="0" w:space="0" w:color="auto"/>
              </w:divBdr>
            </w:div>
            <w:div w:id="1944609363">
              <w:marLeft w:val="0"/>
              <w:marRight w:val="0"/>
              <w:marTop w:val="0"/>
              <w:marBottom w:val="0"/>
              <w:divBdr>
                <w:top w:val="none" w:sz="0" w:space="0" w:color="auto"/>
                <w:left w:val="none" w:sz="0" w:space="0" w:color="auto"/>
                <w:bottom w:val="none" w:sz="0" w:space="0" w:color="auto"/>
                <w:right w:val="none" w:sz="0" w:space="0" w:color="auto"/>
              </w:divBdr>
            </w:div>
            <w:div w:id="2031106804">
              <w:marLeft w:val="0"/>
              <w:marRight w:val="0"/>
              <w:marTop w:val="0"/>
              <w:marBottom w:val="0"/>
              <w:divBdr>
                <w:top w:val="none" w:sz="0" w:space="0" w:color="auto"/>
                <w:left w:val="none" w:sz="0" w:space="0" w:color="auto"/>
                <w:bottom w:val="none" w:sz="0" w:space="0" w:color="auto"/>
                <w:right w:val="none" w:sz="0" w:space="0" w:color="auto"/>
              </w:divBdr>
            </w:div>
            <w:div w:id="205103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496509">
      <w:bodyDiv w:val="1"/>
      <w:marLeft w:val="0"/>
      <w:marRight w:val="0"/>
      <w:marTop w:val="0"/>
      <w:marBottom w:val="0"/>
      <w:divBdr>
        <w:top w:val="none" w:sz="0" w:space="0" w:color="auto"/>
        <w:left w:val="none" w:sz="0" w:space="0" w:color="auto"/>
        <w:bottom w:val="none" w:sz="0" w:space="0" w:color="auto"/>
        <w:right w:val="none" w:sz="0" w:space="0" w:color="auto"/>
      </w:divBdr>
      <w:divsChild>
        <w:div w:id="819493262">
          <w:marLeft w:val="0"/>
          <w:marRight w:val="0"/>
          <w:marTop w:val="0"/>
          <w:marBottom w:val="0"/>
          <w:divBdr>
            <w:top w:val="none" w:sz="0" w:space="0" w:color="auto"/>
            <w:left w:val="none" w:sz="0" w:space="0" w:color="auto"/>
            <w:bottom w:val="none" w:sz="0" w:space="0" w:color="auto"/>
            <w:right w:val="none" w:sz="0" w:space="0" w:color="auto"/>
          </w:divBdr>
        </w:div>
        <w:div w:id="836724434">
          <w:marLeft w:val="0"/>
          <w:marRight w:val="0"/>
          <w:marTop w:val="0"/>
          <w:marBottom w:val="0"/>
          <w:divBdr>
            <w:top w:val="none" w:sz="0" w:space="0" w:color="auto"/>
            <w:left w:val="none" w:sz="0" w:space="0" w:color="auto"/>
            <w:bottom w:val="none" w:sz="0" w:space="0" w:color="auto"/>
            <w:right w:val="none" w:sz="0" w:space="0" w:color="auto"/>
          </w:divBdr>
        </w:div>
        <w:div w:id="855078956">
          <w:marLeft w:val="0"/>
          <w:marRight w:val="0"/>
          <w:marTop w:val="0"/>
          <w:marBottom w:val="0"/>
          <w:divBdr>
            <w:top w:val="none" w:sz="0" w:space="0" w:color="auto"/>
            <w:left w:val="none" w:sz="0" w:space="0" w:color="auto"/>
            <w:bottom w:val="none" w:sz="0" w:space="0" w:color="auto"/>
            <w:right w:val="none" w:sz="0" w:space="0" w:color="auto"/>
          </w:divBdr>
        </w:div>
        <w:div w:id="1847554099">
          <w:marLeft w:val="0"/>
          <w:marRight w:val="0"/>
          <w:marTop w:val="0"/>
          <w:marBottom w:val="0"/>
          <w:divBdr>
            <w:top w:val="none" w:sz="0" w:space="0" w:color="auto"/>
            <w:left w:val="none" w:sz="0" w:space="0" w:color="auto"/>
            <w:bottom w:val="none" w:sz="0" w:space="0" w:color="auto"/>
            <w:right w:val="none" w:sz="0" w:space="0" w:color="auto"/>
          </w:divBdr>
        </w:div>
        <w:div w:id="1867787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idh.oas.org/annualrep/2000sp/CapituloIII/Admisible/Brasil11.694.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idh.oas.org/annualrep/2000sp/CapituloIII/Admisible/Brasil11.694.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FCDF1-A95E-469C-B2C7-5FBC13374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2711</Words>
  <Characters>14914</Characters>
  <Application>Microsoft Office Word</Application>
  <DocSecurity>0</DocSecurity>
  <Lines>124</Lines>
  <Paragraphs>35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17590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Javier Alberto Melgar Molina</cp:lastModifiedBy>
  <cp:revision>2</cp:revision>
  <dcterms:created xsi:type="dcterms:W3CDTF">2017-09-11T22:33:00Z</dcterms:created>
  <dcterms:modified xsi:type="dcterms:W3CDTF">2017-09-11T22:33:00Z</dcterms:modified>
</cp:coreProperties>
</file>