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8A2" w:rsidRPr="0036342D" w:rsidRDefault="00AC5DD3" w:rsidP="005E265D">
      <w:pPr>
        <w:jc w:val="center"/>
        <w:rPr>
          <w:rFonts w:ascii="Verdana" w:hAnsi="Verdana"/>
          <w:b/>
          <w:sz w:val="20"/>
          <w:szCs w:val="20"/>
        </w:rPr>
      </w:pPr>
      <w:bookmarkStart w:id="0" w:name="_GoBack"/>
      <w:bookmarkEnd w:id="0"/>
      <w:r w:rsidRPr="0036342D">
        <w:rPr>
          <w:rFonts w:ascii="Verdana" w:hAnsi="Verdana"/>
          <w:b/>
          <w:sz w:val="20"/>
          <w:szCs w:val="20"/>
        </w:rPr>
        <w:t>INFORME No. 1</w:t>
      </w:r>
      <w:r w:rsidR="003168A2" w:rsidRPr="0036342D">
        <w:rPr>
          <w:rFonts w:ascii="Verdana" w:hAnsi="Verdana"/>
          <w:b/>
          <w:sz w:val="20"/>
          <w:szCs w:val="20"/>
        </w:rPr>
        <w:t>/10</w:t>
      </w:r>
    </w:p>
    <w:p w:rsidR="003168A2" w:rsidRPr="0036342D" w:rsidRDefault="003168A2" w:rsidP="005E265D">
      <w:pPr>
        <w:jc w:val="center"/>
        <w:rPr>
          <w:rFonts w:ascii="Verdana" w:hAnsi="Verdana"/>
          <w:sz w:val="20"/>
          <w:szCs w:val="20"/>
        </w:rPr>
      </w:pPr>
      <w:r w:rsidRPr="0036342D">
        <w:rPr>
          <w:rFonts w:ascii="Verdana" w:hAnsi="Verdana"/>
          <w:sz w:val="20"/>
          <w:szCs w:val="20"/>
        </w:rPr>
        <w:t>PETICIÓN 2723-02</w:t>
      </w:r>
    </w:p>
    <w:p w:rsidR="003168A2" w:rsidRPr="0036342D" w:rsidRDefault="003168A2" w:rsidP="005E265D">
      <w:pPr>
        <w:jc w:val="center"/>
        <w:rPr>
          <w:rFonts w:ascii="Verdana" w:hAnsi="Verdana"/>
          <w:sz w:val="20"/>
          <w:szCs w:val="20"/>
        </w:rPr>
      </w:pPr>
      <w:r w:rsidRPr="0036342D">
        <w:rPr>
          <w:rFonts w:ascii="Verdana" w:hAnsi="Verdana"/>
          <w:sz w:val="20"/>
          <w:szCs w:val="20"/>
        </w:rPr>
        <w:t>ADMISIBILIDAD</w:t>
      </w:r>
    </w:p>
    <w:p w:rsidR="003168A2" w:rsidRPr="0036342D" w:rsidRDefault="0098002D" w:rsidP="005E265D">
      <w:pPr>
        <w:jc w:val="center"/>
        <w:rPr>
          <w:rFonts w:ascii="Verdana" w:hAnsi="Verdana"/>
          <w:sz w:val="20"/>
          <w:szCs w:val="20"/>
        </w:rPr>
      </w:pPr>
      <w:r w:rsidRPr="0036342D">
        <w:rPr>
          <w:rFonts w:ascii="Verdana" w:hAnsi="Verdana"/>
          <w:sz w:val="20"/>
          <w:szCs w:val="20"/>
        </w:rPr>
        <w:t>HOMERO FLOR FREIRE</w:t>
      </w:r>
    </w:p>
    <w:p w:rsidR="003168A2" w:rsidRPr="0036342D" w:rsidRDefault="003168A2" w:rsidP="005E265D">
      <w:pPr>
        <w:jc w:val="center"/>
        <w:rPr>
          <w:rFonts w:ascii="Verdana" w:hAnsi="Verdana"/>
          <w:sz w:val="20"/>
          <w:szCs w:val="20"/>
        </w:rPr>
      </w:pPr>
      <w:r w:rsidRPr="0036342D">
        <w:rPr>
          <w:rFonts w:ascii="Verdana" w:hAnsi="Verdana"/>
          <w:sz w:val="20"/>
          <w:szCs w:val="20"/>
        </w:rPr>
        <w:t>ECUADOR</w:t>
      </w:r>
    </w:p>
    <w:p w:rsidR="0036342D" w:rsidRDefault="00A13494" w:rsidP="005E265D">
      <w:pPr>
        <w:jc w:val="center"/>
        <w:rPr>
          <w:rFonts w:ascii="Verdana" w:hAnsi="Verdana"/>
          <w:sz w:val="20"/>
          <w:szCs w:val="20"/>
        </w:rPr>
      </w:pPr>
      <w:r w:rsidRPr="0036342D">
        <w:rPr>
          <w:rFonts w:ascii="Verdana" w:hAnsi="Verdana"/>
          <w:sz w:val="20"/>
          <w:szCs w:val="20"/>
        </w:rPr>
        <w:t>15</w:t>
      </w:r>
      <w:r w:rsidR="003168A2" w:rsidRPr="0036342D">
        <w:rPr>
          <w:rFonts w:ascii="Verdana" w:hAnsi="Verdana"/>
          <w:sz w:val="20"/>
          <w:szCs w:val="20"/>
        </w:rPr>
        <w:t xml:space="preserve"> de </w:t>
      </w:r>
      <w:r w:rsidR="004846EE" w:rsidRPr="0036342D">
        <w:rPr>
          <w:rFonts w:ascii="Verdana" w:hAnsi="Verdana"/>
          <w:sz w:val="20"/>
          <w:szCs w:val="20"/>
        </w:rPr>
        <w:t>marzo</w:t>
      </w:r>
      <w:r w:rsidR="003168A2" w:rsidRPr="0036342D">
        <w:rPr>
          <w:rFonts w:ascii="Verdana" w:hAnsi="Verdana"/>
          <w:sz w:val="20"/>
          <w:szCs w:val="20"/>
        </w:rPr>
        <w:t xml:space="preserve"> de 2010</w:t>
      </w:r>
    </w:p>
    <w:p w:rsidR="0036342D" w:rsidRDefault="0036342D" w:rsidP="005E265D">
      <w:pPr>
        <w:rPr>
          <w:rFonts w:ascii="Verdana" w:hAnsi="Verdana"/>
          <w:sz w:val="20"/>
          <w:szCs w:val="20"/>
        </w:rPr>
      </w:pPr>
    </w:p>
    <w:p w:rsidR="0036342D" w:rsidRDefault="0036342D" w:rsidP="005E265D">
      <w:pPr>
        <w:rPr>
          <w:rFonts w:ascii="Verdana" w:hAnsi="Verdana"/>
          <w:sz w:val="20"/>
          <w:szCs w:val="20"/>
        </w:rPr>
      </w:pPr>
    </w:p>
    <w:p w:rsidR="003168A2" w:rsidRPr="0036342D" w:rsidRDefault="003168A2" w:rsidP="005E265D">
      <w:pPr>
        <w:rPr>
          <w:rFonts w:ascii="Verdana" w:hAnsi="Verdana"/>
          <w:b/>
          <w:sz w:val="20"/>
          <w:szCs w:val="20"/>
        </w:rPr>
      </w:pPr>
      <w:r w:rsidRPr="0036342D">
        <w:rPr>
          <w:rFonts w:ascii="Verdana" w:hAnsi="Verdana"/>
          <w:b/>
          <w:sz w:val="20"/>
          <w:szCs w:val="20"/>
        </w:rPr>
        <w:t>I.</w:t>
      </w:r>
      <w:r w:rsidRPr="0036342D">
        <w:rPr>
          <w:rFonts w:ascii="Verdana" w:hAnsi="Verdana"/>
          <w:b/>
          <w:sz w:val="20"/>
          <w:szCs w:val="20"/>
        </w:rPr>
        <w:tab/>
        <w:t>RESUMEN</w:t>
      </w:r>
    </w:p>
    <w:p w:rsidR="003168A2" w:rsidRPr="0036342D" w:rsidRDefault="003168A2" w:rsidP="005E265D">
      <w:pPr>
        <w:pStyle w:val="Heading3"/>
        <w:spacing w:before="0" w:beforeAutospacing="0" w:after="0" w:afterAutospacing="0"/>
        <w:ind w:firstLine="72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El 30 de agosto de 2002 la Comisión Interamericana de Derechos Humanos (en adelante “la Comisión”) recibió una petición presentada por Alejandro Ponce Villacís y Juan Manuel Marchán (en adelante “los peticionarios”) en la cual se alega la responsabilidad de la República del Ecuador por la baja de Homero Flor Freire, Oficial de Policía Militar de la Fuerza Terrestre Ecuatoriana (en adelante “Ejército”) en virtud de la presunta comisión de una falta disciplinaria.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Los peticionarios alegaron que el Estado era responsable por la violación de los derechos a las garantías judiciales, el principio de legalidad y de retroactividad, la protección de la honra y de la dignidad, la igualdad ante la ley, y la protección judicial establecidos en los artículos 8(1), 9, 11, 24 y 25 de la Convención Americana sobre Derechos Humanos (en adelante la “Convención” o la “Convención Americana”) en concordancia con los artículos 1(1) y 2 del mismo Tratado y el artículo XIV de la Declaración Americana de los Derechos y Deberes del Hombre (en adelante la “Declaración Americana”).  Por su parte, el Estado alegó que los reclamos de los peticionarios eran inadmisibles por falta de agotamiento de los recursos internos.</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6342D" w:rsidRDefault="003168A2" w:rsidP="005E265D">
      <w:pPr>
        <w:pStyle w:val="BodyText"/>
        <w:numPr>
          <w:ilvl w:val="0"/>
          <w:numId w:val="5"/>
        </w:numPr>
        <w:tabs>
          <w:tab w:val="clear" w:pos="720"/>
        </w:tabs>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Tras analizar las posiciones de las partes y el cumplimiento con los requisitos previstos en los artículos 46 y 47 de la Convención Americana, la Comisión decidió declarar el reclamo admisible a efectos del examen sobre la presunta violación de los artículos 8(1)</w:t>
      </w:r>
      <w:r w:rsidR="00AF4111" w:rsidRPr="0036342D">
        <w:rPr>
          <w:rFonts w:ascii="Verdana" w:hAnsi="Verdana"/>
          <w:sz w:val="20"/>
          <w:szCs w:val="20"/>
          <w:lang w:val="es-ES_tradnl"/>
        </w:rPr>
        <w:t>, 24</w:t>
      </w:r>
      <w:r w:rsidRPr="0036342D">
        <w:rPr>
          <w:rFonts w:ascii="Verdana" w:hAnsi="Verdana"/>
          <w:sz w:val="20"/>
          <w:szCs w:val="20"/>
          <w:lang w:val="es-ES_tradnl"/>
        </w:rPr>
        <w:t xml:space="preserve"> y 25 en concordancia con</w:t>
      </w:r>
      <w:r w:rsidR="00EF4688" w:rsidRPr="0036342D">
        <w:rPr>
          <w:rFonts w:ascii="Verdana" w:hAnsi="Verdana"/>
          <w:sz w:val="20"/>
          <w:szCs w:val="20"/>
          <w:lang w:val="es-ES_tradnl"/>
        </w:rPr>
        <w:t xml:space="preserve"> los</w:t>
      </w:r>
      <w:r w:rsidRPr="0036342D">
        <w:rPr>
          <w:rFonts w:ascii="Verdana" w:hAnsi="Verdana"/>
          <w:sz w:val="20"/>
          <w:szCs w:val="20"/>
          <w:lang w:val="es-ES_tradnl"/>
        </w:rPr>
        <w:t xml:space="preserve"> artículo</w:t>
      </w:r>
      <w:r w:rsidR="00EF4688" w:rsidRPr="0036342D">
        <w:rPr>
          <w:rFonts w:ascii="Verdana" w:hAnsi="Verdana"/>
          <w:sz w:val="20"/>
          <w:szCs w:val="20"/>
          <w:lang w:val="es-ES_tradnl"/>
        </w:rPr>
        <w:t>s</w:t>
      </w:r>
      <w:r w:rsidRPr="0036342D">
        <w:rPr>
          <w:rFonts w:ascii="Verdana" w:hAnsi="Verdana"/>
          <w:sz w:val="20"/>
          <w:szCs w:val="20"/>
          <w:lang w:val="es-ES_tradnl"/>
        </w:rPr>
        <w:t xml:space="preserve"> 1(1)</w:t>
      </w:r>
      <w:r w:rsidR="00EF4688" w:rsidRPr="0036342D">
        <w:rPr>
          <w:rFonts w:ascii="Verdana" w:hAnsi="Verdana"/>
          <w:sz w:val="20"/>
          <w:szCs w:val="20"/>
          <w:lang w:val="es-ES_tradnl"/>
        </w:rPr>
        <w:t xml:space="preserve"> y 2</w:t>
      </w:r>
      <w:r w:rsidRPr="0036342D">
        <w:rPr>
          <w:rFonts w:ascii="Verdana" w:hAnsi="Verdana"/>
          <w:sz w:val="20"/>
          <w:szCs w:val="20"/>
          <w:lang w:val="es-ES_tradnl"/>
        </w:rPr>
        <w:t xml:space="preserve"> de la Convención Americana, y decidió declar</w:t>
      </w:r>
      <w:r w:rsidR="00AF4111" w:rsidRPr="0036342D">
        <w:rPr>
          <w:rFonts w:ascii="Verdana" w:hAnsi="Verdana"/>
          <w:sz w:val="20"/>
          <w:szCs w:val="20"/>
          <w:lang w:val="es-ES_tradnl"/>
        </w:rPr>
        <w:t>ar inadmisibles los artículos 9 y</w:t>
      </w:r>
      <w:r w:rsidRPr="0036342D">
        <w:rPr>
          <w:rFonts w:ascii="Verdana" w:hAnsi="Verdana"/>
          <w:sz w:val="20"/>
          <w:szCs w:val="20"/>
          <w:lang w:val="es-ES_tradnl"/>
        </w:rPr>
        <w:t xml:space="preserve"> 11</w:t>
      </w:r>
      <w:r w:rsidR="002C0731" w:rsidRPr="0036342D">
        <w:rPr>
          <w:rFonts w:ascii="Verdana" w:hAnsi="Verdana"/>
          <w:sz w:val="20"/>
          <w:szCs w:val="20"/>
          <w:lang w:val="es-ES_tradnl"/>
        </w:rPr>
        <w:t>,</w:t>
      </w:r>
      <w:r w:rsidRPr="0036342D">
        <w:rPr>
          <w:rFonts w:ascii="Verdana" w:hAnsi="Verdana"/>
          <w:sz w:val="20"/>
          <w:szCs w:val="20"/>
          <w:lang w:val="es-ES_tradnl"/>
        </w:rPr>
        <w:t xml:space="preserve"> notificar el informe a las partes, ordenar su publicación e incluirlo en su Informe Anual a la Asamblea General de la OEA.</w:t>
      </w:r>
    </w:p>
    <w:p w:rsidR="0036342D" w:rsidRPr="0036342D" w:rsidRDefault="0036342D" w:rsidP="005E265D">
      <w:pPr>
        <w:pStyle w:val="ListParagraph"/>
        <w:rPr>
          <w:rFonts w:ascii="Verdana" w:hAnsi="Verdana"/>
          <w:b/>
          <w:sz w:val="20"/>
          <w:szCs w:val="20"/>
        </w:rPr>
      </w:pPr>
    </w:p>
    <w:p w:rsidR="003168A2" w:rsidRPr="0036342D" w:rsidRDefault="003168A2" w:rsidP="005E265D">
      <w:pPr>
        <w:pStyle w:val="BodyText"/>
        <w:spacing w:before="0" w:beforeAutospacing="0" w:after="0" w:afterAutospacing="0"/>
        <w:jc w:val="both"/>
        <w:rPr>
          <w:rFonts w:ascii="Verdana" w:hAnsi="Verdana"/>
          <w:b/>
          <w:sz w:val="20"/>
          <w:szCs w:val="20"/>
          <w:lang w:val="es-ES_tradnl"/>
        </w:rPr>
      </w:pPr>
      <w:r w:rsidRPr="0036342D">
        <w:rPr>
          <w:rFonts w:ascii="Verdana" w:hAnsi="Verdana"/>
          <w:b/>
          <w:sz w:val="20"/>
          <w:szCs w:val="20"/>
          <w:lang w:val="es-AR"/>
        </w:rPr>
        <w:t>II.</w:t>
      </w:r>
      <w:r w:rsidRPr="0036342D">
        <w:rPr>
          <w:rFonts w:ascii="Verdana" w:hAnsi="Verdana"/>
          <w:b/>
          <w:sz w:val="20"/>
          <w:szCs w:val="20"/>
          <w:lang w:val="es-AR"/>
        </w:rPr>
        <w:tab/>
        <w:t>TRÁMITE ANTE LA COMISIÓN</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La Comisión registró la petición bajo el número P2723-02 y el 20 de marzo de 2003 procedió a transmitir copia de las partes pertinentes al Estado, con un plazo de dos meses para presentar información, de conformidad con el artículo 30(2) del Reglamento.  El 27 de agosto de 2003 el Estado remitió su respuesta, la cual fue traslada</w:t>
      </w:r>
      <w:r w:rsidR="002C0731" w:rsidRPr="0036342D">
        <w:rPr>
          <w:rFonts w:ascii="Verdana" w:hAnsi="Verdana"/>
          <w:sz w:val="20"/>
          <w:szCs w:val="20"/>
          <w:lang w:val="es-ES_tradnl"/>
        </w:rPr>
        <w:t>da</w:t>
      </w:r>
      <w:r w:rsidRPr="0036342D">
        <w:rPr>
          <w:rFonts w:ascii="Verdana" w:hAnsi="Verdana"/>
          <w:sz w:val="20"/>
          <w:szCs w:val="20"/>
          <w:lang w:val="es-ES_tradnl"/>
        </w:rPr>
        <w:t xml:space="preserve"> al peticionario con un plazo de un mes para presentar sus observaciones.  El 12 de abril de 2004 se recibió en la Comisión un escrito de los peticionarios, el cual fue trasladado al Estado para sus observaciones.  El 8 de agosto de 2007 se reiteró al Estado la solicitud de observaciones.</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El 30 de noviembre de 2007 la Comisión solicitó información adicional a los peticionarios, la cual fue recibida el 17 de marzo de 2008.  El 8 de junio de 2008 se recibió un escrito de los peticionarios conteniendo información adicional, el cual fue trasladado al Estado para sus observaciones.  El 10 de diciembre de 2008 el Estado presentó sus observaciones finales.  El 9 de noviembre de 2009 se recibió en la Comisión un escrito de información adicional del peticionario, el cual fue trasladado al Estado para su conocimiento.</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6342D" w:rsidRDefault="00D60DE6" w:rsidP="005E265D">
      <w:pPr>
        <w:pStyle w:val="Heading1"/>
        <w:spacing w:before="0" w:after="0"/>
        <w:jc w:val="both"/>
        <w:rPr>
          <w:rFonts w:ascii="Verdana" w:hAnsi="Verdana"/>
          <w:sz w:val="20"/>
          <w:szCs w:val="20"/>
        </w:rPr>
      </w:pPr>
      <w:r w:rsidRPr="0036342D">
        <w:rPr>
          <w:rFonts w:ascii="Verdana" w:hAnsi="Verdana"/>
          <w:sz w:val="20"/>
          <w:szCs w:val="20"/>
        </w:rPr>
        <w:br w:type="page"/>
      </w:r>
      <w:r w:rsidR="003168A2" w:rsidRPr="0036342D">
        <w:rPr>
          <w:rFonts w:ascii="Verdana" w:hAnsi="Verdana"/>
          <w:sz w:val="20"/>
          <w:szCs w:val="20"/>
        </w:rPr>
        <w:lastRenderedPageBreak/>
        <w:t>III.</w:t>
      </w:r>
      <w:r w:rsidR="003168A2" w:rsidRPr="0036342D">
        <w:rPr>
          <w:rFonts w:ascii="Verdana" w:hAnsi="Verdana"/>
          <w:sz w:val="20"/>
          <w:szCs w:val="20"/>
        </w:rPr>
        <w:tab/>
        <w:t>POSICIONES DE LAS PARTES</w:t>
      </w:r>
    </w:p>
    <w:p w:rsidR="0036342D" w:rsidRDefault="0036342D" w:rsidP="005E265D">
      <w:pPr>
        <w:pStyle w:val="Heading1"/>
        <w:spacing w:before="0" w:after="0"/>
        <w:jc w:val="both"/>
        <w:rPr>
          <w:rFonts w:ascii="Verdana" w:hAnsi="Verdana"/>
          <w:sz w:val="20"/>
          <w:szCs w:val="20"/>
        </w:rPr>
      </w:pPr>
    </w:p>
    <w:p w:rsidR="003168A2" w:rsidRPr="0036342D" w:rsidRDefault="003168A2" w:rsidP="005E265D">
      <w:pPr>
        <w:pStyle w:val="Heading1"/>
        <w:spacing w:before="0" w:after="0"/>
        <w:jc w:val="both"/>
        <w:rPr>
          <w:rFonts w:ascii="Verdana" w:hAnsi="Verdana"/>
          <w:sz w:val="20"/>
          <w:szCs w:val="20"/>
        </w:rPr>
      </w:pPr>
      <w:r w:rsidRPr="0036342D">
        <w:rPr>
          <w:rFonts w:ascii="Verdana" w:hAnsi="Verdana"/>
          <w:i/>
          <w:sz w:val="20"/>
          <w:szCs w:val="20"/>
        </w:rPr>
        <w:t>A.</w:t>
      </w:r>
      <w:r w:rsidRPr="0036342D">
        <w:rPr>
          <w:rFonts w:ascii="Verdana" w:hAnsi="Verdana"/>
          <w:i/>
          <w:sz w:val="20"/>
          <w:szCs w:val="20"/>
        </w:rPr>
        <w:tab/>
        <w:t>Posición de los peticionarios</w:t>
      </w:r>
    </w:p>
    <w:p w:rsidR="003168A2" w:rsidRPr="0036342D" w:rsidRDefault="003168A2" w:rsidP="005E265D">
      <w:pPr>
        <w:jc w:val="both"/>
        <w:rPr>
          <w:rFonts w:ascii="Verdana" w:hAnsi="Verdana"/>
          <w:sz w:val="20"/>
          <w:szCs w:val="20"/>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Los peticionarios alegan que en noviembre de 2000 las autoridades iniciaron un procedimiento administrativo de información sumaria de investigación</w:t>
      </w:r>
      <w:r w:rsidRPr="0036342D">
        <w:rPr>
          <w:rStyle w:val="FootnoteReference"/>
          <w:rFonts w:ascii="Verdana" w:hAnsi="Verdana"/>
          <w:sz w:val="20"/>
          <w:szCs w:val="20"/>
          <w:lang w:val="es-ES_tradnl"/>
        </w:rPr>
        <w:footnoteReference w:id="2"/>
      </w:r>
      <w:r w:rsidRPr="0036342D">
        <w:rPr>
          <w:rFonts w:ascii="Verdana" w:hAnsi="Verdana"/>
          <w:sz w:val="20"/>
          <w:szCs w:val="20"/>
          <w:lang w:val="es-ES_tradnl"/>
        </w:rPr>
        <w:t xml:space="preserve"> contra el Oficial de Policía Militar Homero Flor Freire por la presunta comisión de la falta disciplinaria de “mala conducta profesional”, basado en el testimonio de varias personas que alegaron haberlo visto en </w:t>
      </w:r>
      <w:r w:rsidR="00E3064D" w:rsidRPr="0036342D">
        <w:rPr>
          <w:rFonts w:ascii="Verdana" w:hAnsi="Verdana"/>
          <w:sz w:val="20"/>
          <w:szCs w:val="20"/>
          <w:lang w:val="es-ES_tradnl"/>
        </w:rPr>
        <w:t>conducta</w:t>
      </w:r>
      <w:r w:rsidRPr="0036342D">
        <w:rPr>
          <w:rFonts w:ascii="Verdana" w:hAnsi="Verdana"/>
          <w:sz w:val="20"/>
          <w:szCs w:val="20"/>
          <w:lang w:val="es-ES_tradnl"/>
        </w:rPr>
        <w:t xml:space="preserve"> homosexual en los dormitorios del Fuerte Militar Amazonas.  Alegan que el señor Homero Flor niega haber participado de las conductas que dieron pie al proceso.  Alegan también que en la sustanciación del procedimiento de información sumaria, Homero Flor no habría contado con oportunidad de presenciar las declaraciones de los testigos en su contra ni de interrogarlos.</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Los peticionarios alegan que mediante resolución del 17 de enero de 2001 el Juzgado de Derecho de la Cuarta Zona Militar concluyó que “[…] existe responsabilidad disciplinaria en contra del Sr. Tnte. Homero Fabián Flor Freire […] por lo que previa calificación de su mala conducta por parte de los Consejos de Oficiales Subalternos y Tropa, respectivamente, [debe] ser [sancionado] con lo que establece el Art. 117 del Reglamento de Disciplina Militar, […] debe ser […] puesto en DISPONIBILIDAD previo a la baja […] por mala conducta de conformidad con lo dispuesto en el Art. 87 letra i)</w:t>
      </w:r>
      <w:r w:rsidRPr="0036342D">
        <w:rPr>
          <w:rStyle w:val="FootnoteReference"/>
          <w:rFonts w:ascii="Verdana" w:hAnsi="Verdana"/>
          <w:sz w:val="20"/>
          <w:szCs w:val="20"/>
          <w:lang w:val="es-ES_tradnl"/>
        </w:rPr>
        <w:footnoteReference w:id="3"/>
      </w:r>
      <w:r w:rsidRPr="0036342D">
        <w:rPr>
          <w:rFonts w:ascii="Verdana" w:hAnsi="Verdana"/>
          <w:sz w:val="20"/>
          <w:szCs w:val="20"/>
          <w:lang w:val="es-ES_tradnl"/>
        </w:rPr>
        <w:t>; y Art. 76 letra j) de la Ley de Personal de las Fuerzas Armadas”.  Alegan que el 7 de mayo de 2001 el Consejo de Oficiales Subalternos de la Fuerza Terrestre resolvió aceptar la solicitud del Juzgado de Derecho de la Cuarta Zona Militar y colocó a Homero Flor en disponibilidad previo a su baja del servicio activo de la Fuerza Terrestre.  Alegan que ante esta decisión se interpuso una solicitud de reconsideración, la cual fue denegada el 5 de junio de 2001 y un recurso de apelación, el cual fue desestimado por el Consejo de Oficiales Superiores de la Fuerza Terrestre el 18 de junio de 2001.</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Los peticionarios alegan que interpusieron un recurso de amparo contra el proceso y la resolución judicial dictada por el Juez de Derecho de la Cuarta Zona Militar y se solicitó se suspendiera la información sumaria de investigación.  Mediante providencia del 18 de julio de 2001 el Juzgado Sexto de lo Civil de Pichincha determinó que la información sumaria de investigación no es un “simple acto administrativo, sino todo un proceso investigativo […] [d]e consiguiente […] la acción de amparo, es totalmente inepta como ilegalmente propuesta; pues de existir el acto ilegítimo, no se conocería cual es el acto y de donde proviene”.  Asimismo determinó que la resolución del 17 de enero de 2001 del Juzgado de Derecho de la Cuarta Zona Militar es una decisión “de carácter judicial” que aún no es definitiva; y “siendo la acción de amparo de carácter residual; esto es, que se acude a ella cuando todas las instancias han sido agotadas, la presentada es totalmente improcedente”.</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 xml:space="preserve">Los peticionarios indican que se interpuso un recurso de apelación contra la providencia del Juzgado Sexto y que el 4 de febrero de 2002 el Tribunal Constitucional </w:t>
      </w:r>
      <w:r w:rsidRPr="0036342D">
        <w:rPr>
          <w:rFonts w:ascii="Verdana" w:hAnsi="Verdana"/>
          <w:sz w:val="20"/>
          <w:szCs w:val="20"/>
          <w:lang w:val="es-ES_tradnl"/>
        </w:rPr>
        <w:lastRenderedPageBreak/>
        <w:t>resolvió “desechar por improcedente el recurso de amparo constitucional” y sostuvo que “no existe acto ilegítimo de parte del Juzgado de Derecho de la Cuarta Zona Militar al expedir la [r]esolución [de 17 de enero de 2001] y al no encontrarse violación constitucional que se hubiera probado por parte del recurrente, este caso no merece la acción de amparo y además no se han cumplido los requisitos señalados por la Ley de Control Constitucional”.</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AR"/>
        </w:rPr>
        <w:t>L</w:t>
      </w:r>
      <w:r w:rsidRPr="0036342D">
        <w:rPr>
          <w:rFonts w:ascii="Verdana" w:hAnsi="Verdana"/>
          <w:sz w:val="20"/>
          <w:szCs w:val="20"/>
          <w:lang w:val="es-ES_tradnl"/>
        </w:rPr>
        <w:t xml:space="preserve">os peticionarios alegan </w:t>
      </w:r>
      <w:r w:rsidRPr="0036342D">
        <w:rPr>
          <w:rFonts w:ascii="Verdana" w:hAnsi="Verdana"/>
          <w:sz w:val="20"/>
          <w:szCs w:val="20"/>
          <w:lang w:val="es-AR"/>
        </w:rPr>
        <w:t xml:space="preserve">que el Estado es responsable por la violación del principio de legalidad y de retroactividad establecido en el artículo 9 de la Convención Americana.  </w:t>
      </w:r>
      <w:r w:rsidRPr="0036342D">
        <w:rPr>
          <w:rFonts w:ascii="Verdana" w:hAnsi="Verdana"/>
          <w:sz w:val="20"/>
          <w:szCs w:val="20"/>
          <w:lang w:val="es-ES_tradnl"/>
        </w:rPr>
        <w:t>Alegan que la conducta por la que fue sancionado Homero Flor Freire se encontraba establecida en un Reglamento adoptado por el Ministerio de Defensa Nacional y no en una ley dictada por el Congreso</w:t>
      </w:r>
      <w:r w:rsidRPr="0036342D">
        <w:rPr>
          <w:rStyle w:val="FootnoteReference"/>
          <w:rFonts w:ascii="Verdana" w:hAnsi="Verdana"/>
          <w:sz w:val="20"/>
          <w:szCs w:val="20"/>
          <w:lang w:val="es-ES_tradnl"/>
        </w:rPr>
        <w:footnoteReference w:id="4"/>
      </w:r>
      <w:r w:rsidRPr="0036342D">
        <w:rPr>
          <w:rFonts w:ascii="Verdana" w:hAnsi="Verdana"/>
          <w:sz w:val="20"/>
          <w:szCs w:val="20"/>
          <w:lang w:val="es-ES_tradnl"/>
        </w:rPr>
        <w:t xml:space="preserve">.  Alegan también </w:t>
      </w:r>
      <w:r w:rsidRPr="0036342D">
        <w:rPr>
          <w:rFonts w:ascii="Verdana" w:hAnsi="Verdana"/>
          <w:sz w:val="20"/>
          <w:szCs w:val="20"/>
          <w:lang w:val="es-AR"/>
        </w:rPr>
        <w:t>que el Estado es responsable por la violación de la protección de la honra y de la dignidad establecida en el artículo 11 de la Convención Americana en perjuicio de Homero Flor Freire, ya que la falsa acusación en su contra habría afectado radicalmente su vida familiar y habría ocasionado su divorcio.</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Los peticionarios alegan que ni el Juzgado Sexto Civil de Pichincha ni el Tribunal Constitucional se pronunciaron sobre la alegada despenalización de</w:t>
      </w:r>
      <w:r w:rsidR="004648FB" w:rsidRPr="0036342D">
        <w:rPr>
          <w:rFonts w:ascii="Verdana" w:hAnsi="Verdana"/>
          <w:sz w:val="20"/>
          <w:szCs w:val="20"/>
          <w:lang w:val="es-ES_tradnl"/>
        </w:rPr>
        <w:t xml:space="preserve"> </w:t>
      </w:r>
      <w:r w:rsidRPr="0036342D">
        <w:rPr>
          <w:rFonts w:ascii="Verdana" w:hAnsi="Verdana"/>
          <w:sz w:val="20"/>
          <w:szCs w:val="20"/>
          <w:lang w:val="es-ES_tradnl"/>
        </w:rPr>
        <w:t>l</w:t>
      </w:r>
      <w:r w:rsidR="004648FB" w:rsidRPr="0036342D">
        <w:rPr>
          <w:rFonts w:ascii="Verdana" w:hAnsi="Verdana"/>
          <w:sz w:val="20"/>
          <w:szCs w:val="20"/>
          <w:lang w:val="es-ES_tradnl"/>
        </w:rPr>
        <w:t>a homosexualidad</w:t>
      </w:r>
      <w:r w:rsidRPr="0036342D">
        <w:rPr>
          <w:rFonts w:ascii="Verdana" w:hAnsi="Verdana"/>
          <w:sz w:val="20"/>
          <w:szCs w:val="20"/>
          <w:lang w:val="es-ES_tradnl"/>
        </w:rPr>
        <w:t>, dispuesta por el Tribunal Constitucional en 1997; ni sobre el artículo 23 numeral 25 de la Constitución</w:t>
      </w:r>
      <w:r w:rsidRPr="0036342D">
        <w:rPr>
          <w:rStyle w:val="FootnoteReference"/>
          <w:rFonts w:ascii="Verdana" w:hAnsi="Verdana"/>
          <w:sz w:val="20"/>
          <w:szCs w:val="20"/>
          <w:lang w:val="es-ES_tradnl"/>
        </w:rPr>
        <w:footnoteReference w:id="5"/>
      </w:r>
      <w:r w:rsidRPr="0036342D">
        <w:rPr>
          <w:rFonts w:ascii="Verdana" w:hAnsi="Verdana"/>
          <w:sz w:val="20"/>
          <w:szCs w:val="20"/>
          <w:lang w:val="es-ES_tradnl"/>
        </w:rPr>
        <w:t>, el cual garantiza la libertad sexual y por lo tanto priva al Estado de su potestad sancionadora en cuanto a actos que pudieran estar relacionados con dicha libertad.  Alegan además que la presunta víctima habría señalado en numerosas ocasiones que no es homosexual y que no habría realizado ninguno de los actos de los que fue acusado y por los cuales se habría iniciado un proceso en su contra que tuvo como consecuencia su baja del servicio activo.</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L</w:t>
      </w:r>
      <w:r w:rsidRPr="0036342D">
        <w:rPr>
          <w:rFonts w:ascii="Verdana" w:hAnsi="Verdana"/>
          <w:sz w:val="20"/>
          <w:szCs w:val="20"/>
          <w:lang w:val="es-AR"/>
        </w:rPr>
        <w:t xml:space="preserve">os peticionarios alegan que el Estado es responsable por la violación del derecho a la igualdad ante la ley establecido en el artículo 24 de la Convención Americana en conexión con el artículo 1.1 del mismo Tratado, en virtud de </w:t>
      </w:r>
      <w:r w:rsidRPr="0036342D">
        <w:rPr>
          <w:rFonts w:ascii="Verdana" w:hAnsi="Verdana"/>
          <w:sz w:val="20"/>
          <w:szCs w:val="20"/>
          <w:lang w:val="es-ES_tradnl"/>
        </w:rPr>
        <w:t>que las Fuerzas Armadas del Ecuador mantienen una política d</w:t>
      </w:r>
      <w:r w:rsidR="004648FB" w:rsidRPr="0036342D">
        <w:rPr>
          <w:rFonts w:ascii="Verdana" w:hAnsi="Verdana"/>
          <w:sz w:val="20"/>
          <w:szCs w:val="20"/>
          <w:lang w:val="es-ES_tradnl"/>
        </w:rPr>
        <w:t xml:space="preserve">iscriminatoria al considerar a la conducta homosexual </w:t>
      </w:r>
      <w:r w:rsidRPr="0036342D">
        <w:rPr>
          <w:rFonts w:ascii="Verdana" w:hAnsi="Verdana"/>
          <w:sz w:val="20"/>
          <w:szCs w:val="20"/>
          <w:lang w:val="es-ES_tradnl"/>
        </w:rPr>
        <w:t>en sí como una “mala conducta profesional”.  Alegan además que la política discriminatoria se manifiesta en el tratamiento distinto dado a las relaciones sexuales heterosexuales y homosexuales al interior de un establecimiento militar.  Señalan que el artículo 87 del Reglamento de Disciplina Militar</w:t>
      </w:r>
      <w:r w:rsidRPr="0036342D">
        <w:rPr>
          <w:rStyle w:val="FootnoteReference"/>
          <w:rFonts w:ascii="Verdana" w:hAnsi="Verdana"/>
          <w:sz w:val="20"/>
          <w:szCs w:val="20"/>
          <w:lang w:val="es-ES_tradnl"/>
        </w:rPr>
        <w:footnoteReference w:id="6"/>
      </w:r>
      <w:r w:rsidRPr="0036342D">
        <w:rPr>
          <w:rFonts w:ascii="Verdana" w:hAnsi="Verdana"/>
          <w:sz w:val="20"/>
          <w:szCs w:val="20"/>
          <w:lang w:val="es-ES_tradnl"/>
        </w:rPr>
        <w:t xml:space="preserve"> establecía como falta atentatoria el “[r]ealizar actos sexuales ilegítimos</w:t>
      </w:r>
      <w:r w:rsidRPr="0036342D">
        <w:rPr>
          <w:rStyle w:val="FootnoteReference"/>
          <w:rFonts w:ascii="Verdana" w:hAnsi="Verdana"/>
          <w:sz w:val="20"/>
          <w:szCs w:val="20"/>
          <w:lang w:val="es-ES_tradnl"/>
        </w:rPr>
        <w:footnoteReference w:id="7"/>
      </w:r>
      <w:r w:rsidRPr="0036342D">
        <w:rPr>
          <w:rFonts w:ascii="Verdana" w:hAnsi="Verdana"/>
          <w:sz w:val="20"/>
          <w:szCs w:val="20"/>
          <w:lang w:val="es-ES_tradnl"/>
        </w:rPr>
        <w:t xml:space="preserve"> en el interior de repartos militares”, en virtud de lo cual la sanción máxima posible era la suspensión de funciones por 30 días.  Alegan que, en contraposición, el artículo 117 del mismo Reglamento establecía que “los miembros de las Fuerzas Armadas que sean sorprendidos en actos de homosexualidad o en hechos relacionados con tenencia, uso indebido, tráfico y comercialización de drogas o estupefacientes dentro o fuera del </w:t>
      </w:r>
      <w:r w:rsidRPr="0036342D">
        <w:rPr>
          <w:rFonts w:ascii="Verdana" w:hAnsi="Verdana"/>
          <w:sz w:val="20"/>
          <w:szCs w:val="20"/>
          <w:lang w:val="es-ES_tradnl"/>
        </w:rPr>
        <w:lastRenderedPageBreak/>
        <w:t>servicio, se sujetaran a lo previsto en el artículo 87, literal i) de la Ley de Personal de las Fuerzas Armadas […]”, es decir sería</w:t>
      </w:r>
      <w:r w:rsidR="00A13494" w:rsidRPr="0036342D">
        <w:rPr>
          <w:rFonts w:ascii="Verdana" w:hAnsi="Verdana"/>
          <w:sz w:val="20"/>
          <w:szCs w:val="20"/>
          <w:lang w:val="es-ES_tradnl"/>
        </w:rPr>
        <w:t>n</w:t>
      </w:r>
      <w:r w:rsidRPr="0036342D">
        <w:rPr>
          <w:rFonts w:ascii="Verdana" w:hAnsi="Verdana"/>
          <w:sz w:val="20"/>
          <w:szCs w:val="20"/>
          <w:lang w:val="es-ES_tradnl"/>
        </w:rPr>
        <w:t xml:space="preserve"> dados de baja.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AR"/>
        </w:rPr>
        <w:t>Los peticionarios alegan que el Estado es responsable por la violación del derecho a las garantías judiciales establecido en el artículo 8(1) de la Convención en perjuicio de Homero Flor Freire en virtud de que el procedimiento de “información sumaria” al que fue sometido no es un procedimiento establecido en la Ley sino en un Acuerdo Ministerial de carácter reservado que no fue publicado en el Registro Oficial y por lo tanto no se encuentra a disposición de todos los ciudadanos.  Asimismo, alegan que el Estado es responsable por la violación del derecho a la protección judicial establecido en el artículo 25 de la Convención Americana en tanto la presunta víctima no tuvo acceso a un recurso efectivo para proteger sus derechos.  En ese contexto, sostienen que los recursos que fueron interpuestos fuero</w:t>
      </w:r>
      <w:r w:rsidR="00FE3E30" w:rsidRPr="0036342D">
        <w:rPr>
          <w:rFonts w:ascii="Verdana" w:hAnsi="Verdana"/>
          <w:sz w:val="20"/>
          <w:szCs w:val="20"/>
          <w:lang w:val="es-AR"/>
        </w:rPr>
        <w:t>n rechazados por razones superfluas</w:t>
      </w:r>
      <w:r w:rsidRPr="0036342D">
        <w:rPr>
          <w:rFonts w:ascii="Verdana" w:hAnsi="Verdana"/>
          <w:sz w:val="20"/>
          <w:szCs w:val="20"/>
          <w:lang w:val="es-AR"/>
        </w:rPr>
        <w:t>.</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AR"/>
        </w:rPr>
        <w:t xml:space="preserve">Los peticionarios alegan que el Estado es responsable por la violación de su deber de adoptar disposiciones de derecho interno establecido en el artículo 2 de la Convención Americana al introducir una norma de carácter discriminatorio como el artículo 117 del Reglamento de Disciplina Militar. </w:t>
      </w:r>
      <w:r w:rsidRPr="0036342D">
        <w:rPr>
          <w:rFonts w:ascii="Verdana" w:hAnsi="Verdana"/>
          <w:sz w:val="20"/>
          <w:szCs w:val="20"/>
          <w:lang w:val="es-ES_tradnl"/>
        </w:rPr>
        <w:t xml:space="preserve"> Alegan además que dicha norma equipara </w:t>
      </w:r>
      <w:r w:rsidR="004648FB" w:rsidRPr="0036342D">
        <w:rPr>
          <w:rFonts w:ascii="Verdana" w:hAnsi="Verdana"/>
          <w:sz w:val="20"/>
          <w:szCs w:val="20"/>
          <w:lang w:val="es-ES_tradnl"/>
        </w:rPr>
        <w:t>la conducta homosexual</w:t>
      </w:r>
      <w:r w:rsidRPr="0036342D">
        <w:rPr>
          <w:rFonts w:ascii="Verdana" w:hAnsi="Verdana"/>
          <w:sz w:val="20"/>
          <w:szCs w:val="20"/>
          <w:lang w:val="es-ES_tradnl"/>
        </w:rPr>
        <w:t xml:space="preserve"> con conductas de carácter penal como el uso indebido, tráfico y comercialización de drogas o estupefacientes.  </w:t>
      </w:r>
      <w:r w:rsidRPr="0036342D">
        <w:rPr>
          <w:rFonts w:ascii="Verdana" w:hAnsi="Verdana"/>
          <w:sz w:val="20"/>
          <w:szCs w:val="20"/>
          <w:lang w:val="es-AR"/>
        </w:rPr>
        <w:t>Finalmente, alegan que la resolución adoptada por el Estado mediante la cual colocó a la presunta víctima en situación de disponibilidad y posteriormente le dio de baja del servicio activo de la Fuerza Terrestre habría ocasionado la privación de su derecho al trabajo y la correspondiente violación del artículo XIV de la Declaración Americana.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AR"/>
        </w:rPr>
        <w:t>En cuanto al cumplimiento con el requisito del previo agotamiento de los recursos internos</w:t>
      </w:r>
      <w:r w:rsidRPr="0036342D">
        <w:rPr>
          <w:rFonts w:ascii="Verdana" w:hAnsi="Verdana"/>
          <w:sz w:val="20"/>
          <w:szCs w:val="20"/>
          <w:lang w:val="es-ES_tradnl"/>
        </w:rPr>
        <w:t xml:space="preserve"> establecido en el artículo 46(1)(a) de la Convención Americana, los peticionarios alegan que la decisión del Tribunal Constitucional de 4 de febrero de 2002, notificada el 4 de marzo de 2002, agotó los recursos de jurisdicción interna, lo cual daría por cumplido el mencionado requisito.  Sostienen que en caso de que la Comisión considere que el recurso de amparo no agotó los recursos internos serían aplicables las excepciones al requisito de previo agotamiento establecidas en el artículo 46(2) de la Convención Americana.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AR"/>
        </w:rPr>
        <w:t xml:space="preserve">En cuanto al argumento del Estado sobre recursos internos que la presunta víctima debía interponer frente al acto administrativo que dispuso su baja (ver </w:t>
      </w:r>
      <w:r w:rsidRPr="0036342D">
        <w:rPr>
          <w:rFonts w:ascii="Verdana" w:hAnsi="Verdana"/>
          <w:i/>
          <w:sz w:val="20"/>
          <w:szCs w:val="20"/>
          <w:lang w:val="es-AR"/>
        </w:rPr>
        <w:t>infra</w:t>
      </w:r>
      <w:r w:rsidRPr="0036342D">
        <w:rPr>
          <w:rFonts w:ascii="Verdana" w:hAnsi="Verdana"/>
          <w:sz w:val="20"/>
          <w:szCs w:val="20"/>
          <w:lang w:val="es-AR"/>
        </w:rPr>
        <w:t xml:space="preserve"> Posición del Estado) los peticionarios sostienen que la baja fue una consecuencia de la resolución del Juzgado de Derecho de la Cuarta Zona Militar de 17 de enero de 2001.  Alegan que contra dicha resolución se interpuso “el único recurso disponible en la [l]egislación interna en sede administrativa” es decir, un recurso de apelación ante el Consejo de Oficiales Superiores de la Fuerza Terrestre, el cual fue desechado el 18 de julio de 2001.  Sostienen además que la resolución del Consejo de Oficiales Superiores causó ejecutoria de conformidad con el artículo 200 de la Ley de Personal de las Fuerzas Armadas.</w:t>
      </w:r>
    </w:p>
    <w:p w:rsidR="003168A2" w:rsidRPr="0036342D" w:rsidRDefault="003168A2" w:rsidP="005E265D">
      <w:pPr>
        <w:pStyle w:val="BodyText"/>
        <w:spacing w:before="0" w:beforeAutospacing="0" w:after="0" w:afterAutospacing="0"/>
        <w:jc w:val="both"/>
        <w:rPr>
          <w:rFonts w:ascii="Verdana" w:hAnsi="Verdana"/>
          <w:sz w:val="20"/>
          <w:szCs w:val="20"/>
          <w:lang w:val="es-AR"/>
        </w:rPr>
      </w:pPr>
    </w:p>
    <w:p w:rsidR="003168A2" w:rsidRPr="0036342D" w:rsidRDefault="003168A2" w:rsidP="005E265D">
      <w:pPr>
        <w:widowControl w:val="0"/>
        <w:numPr>
          <w:ilvl w:val="0"/>
          <w:numId w:val="5"/>
        </w:numPr>
        <w:autoSpaceDE w:val="0"/>
        <w:autoSpaceDN w:val="0"/>
        <w:jc w:val="both"/>
        <w:rPr>
          <w:rFonts w:ascii="Verdana" w:hAnsi="Verdana" w:cs="Arial"/>
          <w:sz w:val="20"/>
          <w:szCs w:val="20"/>
        </w:rPr>
      </w:pPr>
      <w:r w:rsidRPr="0036342D">
        <w:rPr>
          <w:rFonts w:ascii="Verdana" w:hAnsi="Verdana"/>
          <w:sz w:val="20"/>
          <w:szCs w:val="20"/>
          <w:lang w:val="es-AR"/>
        </w:rPr>
        <w:t xml:space="preserve">En cuanto a los recursos contencioso administrativos señalados por el Estado (ver </w:t>
      </w:r>
      <w:r w:rsidRPr="0036342D">
        <w:rPr>
          <w:rFonts w:ascii="Verdana" w:hAnsi="Verdana"/>
          <w:i/>
          <w:sz w:val="20"/>
          <w:szCs w:val="20"/>
          <w:lang w:val="es-AR"/>
        </w:rPr>
        <w:t>infra</w:t>
      </w:r>
      <w:r w:rsidRPr="0036342D">
        <w:rPr>
          <w:rFonts w:ascii="Verdana" w:hAnsi="Verdana"/>
          <w:sz w:val="20"/>
          <w:szCs w:val="20"/>
          <w:lang w:val="es-AR"/>
        </w:rPr>
        <w:t xml:space="preserve"> Posición del Estado) los peticionarios sostienen que el artículo 6 literal c) de la Ley de la Jurisdicción Contencioso Administrativa señala que “[n]o corresponden a la jurisdicción contencioso - administrativa: […] c) Las cuestiones que se susciten en relación con los actos políticos del Gobierno, como aquellas que afectan a la defensa del territorio nacional, a las relaciones internacionales, a la seguridad interior del Estado y a la organización de la Fuerza Pública […]”.  Al respecto, alegan que la resolución del Juzgado de Derecho de la Cuarta Zona Militar se refiere a la organización de la Fuerza Pública por lo que el recurso contencioso administrativo no sería adecuado para proteger la situación jurídica de la </w:t>
      </w:r>
      <w:r w:rsidRPr="0036342D">
        <w:rPr>
          <w:rFonts w:ascii="Verdana" w:hAnsi="Verdana"/>
          <w:sz w:val="20"/>
          <w:szCs w:val="20"/>
          <w:lang w:val="es-AR"/>
        </w:rPr>
        <w:lastRenderedPageBreak/>
        <w:t>presunta víctima</w:t>
      </w:r>
      <w:r w:rsidRPr="0036342D">
        <w:rPr>
          <w:rFonts w:ascii="Verdana" w:hAnsi="Verdana" w:cs="Arial"/>
          <w:sz w:val="20"/>
          <w:szCs w:val="20"/>
        </w:rPr>
        <w:t xml:space="preserve">.  Alegan que en virtud de la limitación establecida en la Ley Contencioso Administrativa no habría sido posible obtener una sentencia de última instancia y por lo tanto la posibilidad de interponer un recurso de casación.  </w:t>
      </w:r>
      <w:r w:rsidRPr="0036342D">
        <w:rPr>
          <w:rFonts w:ascii="Verdana" w:hAnsi="Verdana"/>
          <w:sz w:val="20"/>
          <w:szCs w:val="20"/>
        </w:rPr>
        <w:t xml:space="preserve">En suma, los peticionarios alegan que </w:t>
      </w:r>
      <w:r w:rsidRPr="0036342D">
        <w:rPr>
          <w:rFonts w:ascii="Verdana" w:hAnsi="Verdana"/>
          <w:sz w:val="20"/>
          <w:szCs w:val="20"/>
          <w:lang w:val="es-AR"/>
        </w:rPr>
        <w:t>mientras la resolución del Juzgado de Derecho de la Cuarta Zona Militar siga vigente, cualquier impugnación de otros actos que se deriven de ella carecen de toda eficacia y pertinencia.</w:t>
      </w:r>
    </w:p>
    <w:p w:rsidR="0036342D" w:rsidRDefault="0036342D" w:rsidP="005E265D">
      <w:pPr>
        <w:pStyle w:val="Heading2"/>
        <w:spacing w:before="0" w:after="0"/>
        <w:jc w:val="both"/>
        <w:rPr>
          <w:rFonts w:ascii="Verdana" w:hAnsi="Verdana" w:cs="Times New Roman"/>
          <w:b w:val="0"/>
          <w:bCs w:val="0"/>
          <w:i w:val="0"/>
          <w:iCs w:val="0"/>
          <w:sz w:val="20"/>
          <w:szCs w:val="20"/>
        </w:rPr>
      </w:pPr>
    </w:p>
    <w:p w:rsidR="003168A2" w:rsidRPr="0036342D" w:rsidRDefault="003168A2" w:rsidP="005E265D">
      <w:pPr>
        <w:pStyle w:val="Heading2"/>
        <w:spacing w:before="0" w:after="0"/>
        <w:jc w:val="both"/>
        <w:rPr>
          <w:rFonts w:ascii="Verdana" w:hAnsi="Verdana"/>
          <w:i w:val="0"/>
          <w:iCs w:val="0"/>
          <w:sz w:val="20"/>
          <w:szCs w:val="20"/>
        </w:rPr>
      </w:pPr>
      <w:r w:rsidRPr="0036342D">
        <w:rPr>
          <w:rFonts w:ascii="Verdana" w:hAnsi="Verdana"/>
          <w:bCs w:val="0"/>
          <w:i w:val="0"/>
          <w:iCs w:val="0"/>
          <w:sz w:val="20"/>
          <w:szCs w:val="20"/>
        </w:rPr>
        <w:t>B.</w:t>
      </w:r>
      <w:r w:rsidRPr="0036342D">
        <w:rPr>
          <w:rFonts w:ascii="Verdana" w:hAnsi="Verdana"/>
          <w:bCs w:val="0"/>
          <w:i w:val="0"/>
          <w:iCs w:val="0"/>
          <w:sz w:val="20"/>
          <w:szCs w:val="20"/>
        </w:rPr>
        <w:tab/>
        <w:t>Posición del Estado</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
        </w:rPr>
        <w:t xml:space="preserve">El Estado </w:t>
      </w:r>
      <w:r w:rsidRPr="0036342D">
        <w:rPr>
          <w:rFonts w:ascii="Verdana" w:hAnsi="Verdana"/>
          <w:sz w:val="20"/>
          <w:szCs w:val="20"/>
          <w:lang w:val="es-ES_tradnl"/>
        </w:rPr>
        <w:t>alega que el reclamo de los peticionarios es inadmisible ya que no se han agotado los recursos previstos en la jurisdicción interna, según exige la Convención Americana.  Concretamente, alega que la legislación militar ecuatoriana prevé dos tipos de procedimientos para separar a uno de sus miembros en servicio activo, uno de índole administrativo por la comisión de faltas disciplinarias y otro de carácter penal por la comisión de alguna actividad tipificada como delito en el Código Penal Militar.  Sostiene que de conf</w:t>
      </w:r>
      <w:r w:rsidRPr="0036342D">
        <w:rPr>
          <w:rFonts w:ascii="Verdana" w:hAnsi="Verdana"/>
          <w:sz w:val="20"/>
          <w:szCs w:val="20"/>
          <w:lang w:val="es-MX"/>
        </w:rPr>
        <w:t>ormidad con el artículo 86 de la Ley de Personal de las Fuerzas Armadas, en ambos procedimientos la baja constituye un “acto administrativo ordenado por la autoridad competente, mediante el cual se dispone la separación del militar de las Fuerzas Armadas Permanentes, colocándole en servicio pasivo”.</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El Estado alega que en virtud del artículo 201 de la Ley de Personal de las Fuerzas Armadas</w:t>
      </w:r>
      <w:r w:rsidRPr="0036342D">
        <w:rPr>
          <w:rStyle w:val="FootnoteReference"/>
          <w:rFonts w:ascii="Verdana" w:hAnsi="Verdana"/>
          <w:sz w:val="20"/>
          <w:szCs w:val="20"/>
          <w:lang w:val="es-MX"/>
        </w:rPr>
        <w:footnoteReference w:id="8"/>
      </w:r>
      <w:r w:rsidRPr="0036342D">
        <w:rPr>
          <w:rFonts w:ascii="Verdana" w:hAnsi="Verdana"/>
          <w:sz w:val="20"/>
          <w:szCs w:val="20"/>
          <w:lang w:val="es-ES_tradnl"/>
        </w:rPr>
        <w:t xml:space="preserve"> la presunta víctima podría haber presentado un reclamo relativo a la ilegalidad de la resolución de baja al Consejo de Oficiales correspondiente.  Alega también que en virtud de los artículos 1 y 3 de la Ley de la Jurisdicción Contencioso Administrativa</w:t>
      </w:r>
      <w:r w:rsidRPr="0036342D">
        <w:rPr>
          <w:rStyle w:val="FootnoteReference"/>
          <w:rFonts w:ascii="Verdana" w:hAnsi="Verdana"/>
          <w:sz w:val="20"/>
          <w:szCs w:val="20"/>
          <w:lang w:val="es-MX"/>
        </w:rPr>
        <w:footnoteReference w:id="9"/>
      </w:r>
      <w:r w:rsidRPr="0036342D">
        <w:rPr>
          <w:rFonts w:ascii="Verdana" w:hAnsi="Verdana"/>
          <w:sz w:val="20"/>
          <w:szCs w:val="20"/>
          <w:lang w:val="es-ES_tradnl"/>
        </w:rPr>
        <w:t xml:space="preserve"> el acto administrativo de baja podría haber sido impugnado por la vía contencioso administrativa ante los Tribunales Distritales competentes.  Alega que en el marco del procedimiento contencioso administrativo también estaría disponible y podría resultar adecuado</w:t>
      </w:r>
      <w:r w:rsidRPr="0036342D">
        <w:rPr>
          <w:rStyle w:val="FootnoteReference"/>
          <w:rFonts w:ascii="Verdana" w:hAnsi="Verdana"/>
          <w:sz w:val="20"/>
          <w:szCs w:val="20"/>
          <w:lang w:val="es-ES_tradnl"/>
        </w:rPr>
        <w:footnoteReference w:id="10"/>
      </w:r>
      <w:r w:rsidRPr="0036342D">
        <w:rPr>
          <w:rFonts w:ascii="Verdana" w:hAnsi="Verdana"/>
          <w:sz w:val="20"/>
          <w:szCs w:val="20"/>
          <w:lang w:val="es-ES_tradnl"/>
        </w:rPr>
        <w:t xml:space="preserve"> el recurso de casación contra la sentencia dictada por los Tribunales Distritales en caso de haber incurrido en errores </w:t>
      </w:r>
      <w:r w:rsidRPr="0036342D">
        <w:rPr>
          <w:rFonts w:ascii="Verdana" w:hAnsi="Verdana"/>
          <w:i/>
          <w:sz w:val="20"/>
          <w:szCs w:val="20"/>
          <w:lang w:val="es-ES_tradnl"/>
        </w:rPr>
        <w:t>in iudicando o in procedendo</w:t>
      </w:r>
      <w:r w:rsidRPr="0036342D">
        <w:rPr>
          <w:rFonts w:ascii="Verdana" w:hAnsi="Verdana"/>
          <w:sz w:val="20"/>
          <w:szCs w:val="20"/>
          <w:lang w:val="es-ES_tradnl"/>
        </w:rPr>
        <w:t xml:space="preserve">.  En conclusión, el Estado </w:t>
      </w:r>
      <w:r w:rsidRPr="0036342D">
        <w:rPr>
          <w:rFonts w:ascii="Verdana" w:hAnsi="Verdana"/>
          <w:sz w:val="20"/>
          <w:szCs w:val="20"/>
          <w:lang w:val="es-MX"/>
        </w:rPr>
        <w:t xml:space="preserve">sostiene que ha probado la existencia de recursos de jurisdicción interna efectivos para solucionar la situación jurídica de la presunta víctima. </w:t>
      </w:r>
    </w:p>
    <w:p w:rsidR="003168A2" w:rsidRPr="0036342D" w:rsidRDefault="003168A2" w:rsidP="005E265D">
      <w:pPr>
        <w:pStyle w:val="BodyText"/>
        <w:spacing w:before="0" w:beforeAutospacing="0" w:after="0" w:afterAutospacing="0"/>
        <w:jc w:val="both"/>
        <w:rPr>
          <w:rFonts w:ascii="Verdana" w:hAnsi="Verdana"/>
          <w:sz w:val="20"/>
          <w:szCs w:val="20"/>
          <w:lang w:val="es-MX"/>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MX"/>
        </w:rPr>
        <w:t xml:space="preserve">El Estado señala que en el proceso de amparo constitucional la presunta víctima alegó violaciones a las garantías judiciales, en particular que no se le respetó el derecho a ser juzgado en un plazo razonable.  En respuesta el Estado sostiene que el </w:t>
      </w:r>
      <w:r w:rsidRPr="0036342D">
        <w:rPr>
          <w:rFonts w:ascii="Verdana" w:hAnsi="Verdana"/>
          <w:sz w:val="20"/>
          <w:szCs w:val="20"/>
          <w:lang w:val="es-MX"/>
        </w:rPr>
        <w:lastRenderedPageBreak/>
        <w:t>principio del plazo razonable “tiene como finalidad impedir que los acusados permanezcan largo tiempo bajo acusación y asegurar que ésta se decida prontamente”</w:t>
      </w:r>
      <w:r w:rsidRPr="0036342D">
        <w:rPr>
          <w:rStyle w:val="FootnoteReference"/>
          <w:rFonts w:ascii="Verdana" w:hAnsi="Verdana"/>
          <w:sz w:val="20"/>
          <w:szCs w:val="20"/>
          <w:lang w:val="es-MX"/>
        </w:rPr>
        <w:footnoteReference w:id="11"/>
      </w:r>
      <w:r w:rsidRPr="0036342D">
        <w:rPr>
          <w:rFonts w:ascii="Verdana" w:hAnsi="Verdana"/>
          <w:sz w:val="20"/>
          <w:szCs w:val="20"/>
          <w:lang w:val="es-MX"/>
        </w:rPr>
        <w:t xml:space="preserve">.  Alega que en virtud a lo dispuesto por el Tribunal Europeo de Derechos Humanos, la razonabilidad de una medida o de un plazo debe apreciarse en su contexto propio y específico. </w:t>
      </w:r>
      <w:r w:rsidRPr="0036342D">
        <w:rPr>
          <w:rFonts w:ascii="Verdana" w:hAnsi="Verdana"/>
          <w:sz w:val="20"/>
          <w:szCs w:val="20"/>
          <w:lang w:val="es-ES_tradnl"/>
        </w:rPr>
        <w:t xml:space="preserve"> Concretamente, considera </w:t>
      </w:r>
      <w:r w:rsidRPr="0036342D">
        <w:rPr>
          <w:rFonts w:ascii="Verdana" w:hAnsi="Verdana"/>
          <w:sz w:val="20"/>
          <w:szCs w:val="20"/>
          <w:lang w:val="es-MX"/>
        </w:rPr>
        <w:t>que la duración de los procesos internos estuvo dentro de los límites de la razonabilidad establecidos por la Corte y la Comisión, que no se configuró una “denegación de justicia”, y que por lo tanto el Estado no habría incurrido en una violación al artículo 8(1) de la Convención.</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numPr>
          <w:ilvl w:val="0"/>
          <w:numId w:val="5"/>
        </w:numPr>
        <w:jc w:val="both"/>
        <w:rPr>
          <w:rFonts w:ascii="Verdana" w:hAnsi="Verdana"/>
          <w:sz w:val="20"/>
          <w:szCs w:val="20"/>
          <w:lang w:val="es-MX"/>
        </w:rPr>
      </w:pPr>
      <w:r w:rsidRPr="0036342D">
        <w:rPr>
          <w:rFonts w:ascii="Verdana" w:hAnsi="Verdana"/>
          <w:sz w:val="20"/>
          <w:szCs w:val="20"/>
          <w:lang w:val="es-MX"/>
        </w:rPr>
        <w:t xml:space="preserve">El Estado alega que la presunta víctima tuvo libre acceso al aparato jurisdiccional y a todos los recursos disponibles frente a las supuestas violaciones a la Convención, tanto es así que el Juzgado Segundo Civil de Pichincha y el Tribunal Constitucional resolvieron el recurso de amparo de acuerdo a derecho y en apego a las normas de debido proceso. </w:t>
      </w:r>
    </w:p>
    <w:p w:rsidR="003168A2" w:rsidRPr="0036342D" w:rsidRDefault="003168A2" w:rsidP="005E265D">
      <w:pPr>
        <w:jc w:val="both"/>
        <w:rPr>
          <w:rFonts w:ascii="Verdana" w:hAnsi="Verdana"/>
          <w:sz w:val="20"/>
          <w:szCs w:val="20"/>
          <w:lang w:val="es-MX"/>
        </w:rPr>
      </w:pPr>
    </w:p>
    <w:p w:rsidR="003168A2" w:rsidRPr="0036342D" w:rsidRDefault="003168A2" w:rsidP="005E265D">
      <w:pPr>
        <w:numPr>
          <w:ilvl w:val="0"/>
          <w:numId w:val="5"/>
        </w:numPr>
        <w:jc w:val="both"/>
        <w:rPr>
          <w:rFonts w:ascii="Verdana" w:hAnsi="Verdana"/>
          <w:sz w:val="20"/>
          <w:szCs w:val="20"/>
          <w:lang w:val="es-MX"/>
        </w:rPr>
      </w:pPr>
      <w:r w:rsidRPr="0036342D">
        <w:rPr>
          <w:rFonts w:ascii="Verdana" w:hAnsi="Verdana"/>
          <w:sz w:val="20"/>
          <w:szCs w:val="20"/>
          <w:lang w:val="es-MX"/>
        </w:rPr>
        <w:t>En cuanto a la presunta naturaleza discriminatoria de las leyes militares aplicadas a Homero Flor en el procedimiento disciplinario que condujo a su baja de las Fuerzas Armadas, el Estado alega que de considerar que las normas eran discriminatorias y por lo tanto inconstitucionales la presunta víctima debió haber interpuesto una acción de inconstitucionalidad, que se encontraba prevista en la Constitución vigente al momento de los hechos</w:t>
      </w:r>
      <w:r w:rsidRPr="0036342D">
        <w:rPr>
          <w:rStyle w:val="FootnoteReference"/>
          <w:rFonts w:ascii="Verdana" w:hAnsi="Verdana"/>
          <w:sz w:val="20"/>
          <w:szCs w:val="20"/>
          <w:lang w:val="es-MX"/>
        </w:rPr>
        <w:footnoteReference w:id="12"/>
      </w:r>
      <w:r w:rsidRPr="0036342D">
        <w:rPr>
          <w:rFonts w:ascii="Verdana" w:hAnsi="Verdana"/>
          <w:sz w:val="20"/>
          <w:szCs w:val="20"/>
          <w:lang w:val="es-MX"/>
        </w:rPr>
        <w:t xml:space="preserve">, así como en la Constitución de 2008. </w:t>
      </w:r>
    </w:p>
    <w:p w:rsidR="003168A2" w:rsidRPr="0036342D" w:rsidRDefault="003168A2" w:rsidP="005E265D">
      <w:pPr>
        <w:jc w:val="both"/>
        <w:rPr>
          <w:rFonts w:ascii="Verdana" w:hAnsi="Verdana"/>
          <w:sz w:val="20"/>
          <w:szCs w:val="20"/>
          <w:lang w:val="es-MX"/>
        </w:rPr>
      </w:pPr>
    </w:p>
    <w:p w:rsidR="003168A2" w:rsidRPr="0036342D" w:rsidRDefault="003168A2" w:rsidP="005E265D">
      <w:pPr>
        <w:numPr>
          <w:ilvl w:val="0"/>
          <w:numId w:val="5"/>
        </w:numPr>
        <w:jc w:val="both"/>
        <w:rPr>
          <w:rFonts w:ascii="Verdana" w:hAnsi="Verdana"/>
          <w:sz w:val="20"/>
          <w:szCs w:val="20"/>
          <w:lang w:val="es-MX"/>
        </w:rPr>
      </w:pPr>
      <w:r w:rsidRPr="0036342D">
        <w:rPr>
          <w:rFonts w:ascii="Verdana" w:hAnsi="Verdana"/>
          <w:sz w:val="20"/>
          <w:szCs w:val="20"/>
          <w:lang w:val="es-MX"/>
        </w:rPr>
        <w:t>Considera que el reclamo no reúne los requisitos establecidos en la Convención Americana y el Reglamento de la Comisión en vista de lo cual, solicita que se declare inadmisibile.</w:t>
      </w:r>
    </w:p>
    <w:p w:rsidR="003168A2" w:rsidRPr="0036342D" w:rsidRDefault="003168A2" w:rsidP="005E265D">
      <w:pPr>
        <w:jc w:val="both"/>
        <w:rPr>
          <w:rFonts w:ascii="Verdana" w:hAnsi="Verdana"/>
          <w:sz w:val="20"/>
          <w:szCs w:val="20"/>
          <w:lang w:val="es-MX"/>
        </w:rPr>
      </w:pPr>
    </w:p>
    <w:p w:rsidR="003168A2" w:rsidRPr="0036342D" w:rsidRDefault="003168A2" w:rsidP="005E265D">
      <w:pPr>
        <w:pStyle w:val="Heading1"/>
        <w:spacing w:before="0" w:after="0"/>
        <w:jc w:val="both"/>
        <w:rPr>
          <w:rFonts w:ascii="Verdana" w:hAnsi="Verdana"/>
          <w:sz w:val="20"/>
          <w:szCs w:val="20"/>
        </w:rPr>
      </w:pPr>
      <w:r w:rsidRPr="0036342D">
        <w:rPr>
          <w:rFonts w:ascii="Verdana" w:hAnsi="Verdana"/>
          <w:bCs w:val="0"/>
          <w:sz w:val="20"/>
          <w:szCs w:val="20"/>
        </w:rPr>
        <w:t>IV.</w:t>
      </w:r>
      <w:r w:rsidRPr="0036342D">
        <w:rPr>
          <w:rFonts w:ascii="Verdana" w:hAnsi="Verdana"/>
          <w:bCs w:val="0"/>
          <w:sz w:val="20"/>
          <w:szCs w:val="20"/>
        </w:rPr>
        <w:tab/>
        <w:t>ANÁLISIS SOBRE COMPETENCIA Y ADMISIBILIDAD</w:t>
      </w:r>
    </w:p>
    <w:p w:rsidR="003168A2" w:rsidRPr="0036342D" w:rsidRDefault="003168A2" w:rsidP="005E265D">
      <w:pPr>
        <w:pStyle w:val="Heading2"/>
        <w:spacing w:before="0" w:after="0"/>
        <w:ind w:firstLine="720"/>
        <w:jc w:val="both"/>
        <w:rPr>
          <w:rFonts w:ascii="Verdana" w:hAnsi="Verdana"/>
          <w:bCs w:val="0"/>
          <w:i w:val="0"/>
          <w:iCs w:val="0"/>
          <w:sz w:val="20"/>
          <w:szCs w:val="20"/>
        </w:rPr>
      </w:pPr>
    </w:p>
    <w:p w:rsidR="003168A2" w:rsidRPr="0036342D" w:rsidRDefault="003168A2" w:rsidP="005E265D">
      <w:pPr>
        <w:pStyle w:val="Heading2"/>
        <w:spacing w:before="0" w:after="0"/>
        <w:jc w:val="both"/>
        <w:rPr>
          <w:rFonts w:ascii="Verdana" w:hAnsi="Verdana"/>
          <w:i w:val="0"/>
          <w:iCs w:val="0"/>
          <w:sz w:val="20"/>
          <w:szCs w:val="20"/>
        </w:rPr>
      </w:pPr>
      <w:r w:rsidRPr="0036342D">
        <w:rPr>
          <w:rFonts w:ascii="Verdana" w:hAnsi="Verdana"/>
          <w:bCs w:val="0"/>
          <w:i w:val="0"/>
          <w:iCs w:val="0"/>
          <w:sz w:val="20"/>
          <w:szCs w:val="20"/>
        </w:rPr>
        <w:t>A.</w:t>
      </w:r>
      <w:r w:rsidRPr="0036342D">
        <w:rPr>
          <w:rFonts w:ascii="Verdana" w:hAnsi="Verdana"/>
          <w:bCs w:val="0"/>
          <w:i w:val="0"/>
          <w:iCs w:val="0"/>
          <w:sz w:val="20"/>
          <w:szCs w:val="20"/>
        </w:rPr>
        <w:tab/>
        <w:t>Competencia</w:t>
      </w:r>
    </w:p>
    <w:p w:rsidR="003168A2" w:rsidRPr="0036342D" w:rsidRDefault="003168A2" w:rsidP="005E265D">
      <w:pPr>
        <w:pStyle w:val="BodyText"/>
        <w:spacing w:before="0" w:beforeAutospacing="0" w:after="0" w:afterAutospacing="0"/>
        <w:ind w:firstLine="72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Los peticionarios se encuentran facultados, en principio, por el artículo 44 de la Convención Americana para presentar peticiones ante la Comisión.  La petición señala como presunta víctima a una persona individual, a quien el Estado ecuatoriano se comprometió a respetar y garantizar los derechos consagrados en la Convención Americana.  En lo concerniente al Estado, la Comisión señala que Ecuador es un Estado parte e</w:t>
      </w:r>
      <w:r w:rsidR="00D8429F" w:rsidRPr="0036342D">
        <w:rPr>
          <w:rFonts w:ascii="Verdana" w:hAnsi="Verdana"/>
          <w:sz w:val="20"/>
          <w:szCs w:val="20"/>
          <w:lang w:val="es-ES_tradnl"/>
        </w:rPr>
        <w:t xml:space="preserve">n la Convención Americana desde el </w:t>
      </w:r>
      <w:r w:rsidRPr="0036342D">
        <w:rPr>
          <w:rFonts w:ascii="Verdana" w:hAnsi="Verdana"/>
          <w:sz w:val="20"/>
          <w:szCs w:val="20"/>
          <w:lang w:val="es-ES_tradnl"/>
        </w:rPr>
        <w:t xml:space="preserve">28 de diciembre de 1977, fecha en que depositó su instrumento de ratificación.  Por lo tanto, la Comisión tiene competencia </w:t>
      </w:r>
      <w:r w:rsidRPr="0036342D">
        <w:rPr>
          <w:rFonts w:ascii="Verdana" w:hAnsi="Verdana"/>
          <w:i/>
          <w:iCs/>
          <w:sz w:val="20"/>
          <w:szCs w:val="20"/>
          <w:lang w:val="es-ES_tradnl"/>
        </w:rPr>
        <w:t>ratione personae</w:t>
      </w:r>
      <w:r w:rsidRPr="0036342D">
        <w:rPr>
          <w:rFonts w:ascii="Verdana" w:hAnsi="Verdana"/>
          <w:sz w:val="20"/>
          <w:szCs w:val="20"/>
          <w:lang w:val="es-ES_tradnl"/>
        </w:rPr>
        <w:t xml:space="preserve"> para examinar la petición.</w:t>
      </w:r>
    </w:p>
    <w:p w:rsidR="003168A2" w:rsidRPr="0036342D" w:rsidRDefault="003168A2" w:rsidP="005E265D">
      <w:pPr>
        <w:pStyle w:val="BodyText"/>
        <w:spacing w:before="0" w:beforeAutospacing="0" w:after="0" w:afterAutospacing="0"/>
        <w:ind w:firstLine="72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 xml:space="preserve">Asimismo, la Comisión tiene competencia </w:t>
      </w:r>
      <w:r w:rsidRPr="0036342D">
        <w:rPr>
          <w:rFonts w:ascii="Verdana" w:hAnsi="Verdana"/>
          <w:i/>
          <w:iCs/>
          <w:sz w:val="20"/>
          <w:szCs w:val="20"/>
          <w:lang w:val="es-ES_tradnl"/>
        </w:rPr>
        <w:t>ratione loci</w:t>
      </w:r>
      <w:r w:rsidRPr="0036342D">
        <w:rPr>
          <w:rFonts w:ascii="Verdana" w:hAnsi="Verdana"/>
          <w:sz w:val="20"/>
          <w:szCs w:val="20"/>
          <w:lang w:val="es-ES_tradnl"/>
        </w:rPr>
        <w:t xml:space="preserve"> para conocer la petición, por cuanto en ella se alegan violaciones de derechos protegidos en la Convención Americana que habrían tenido lugar dentro del territorio de Ecuador, Estado Parte en dicho tratado.  La </w:t>
      </w:r>
      <w:r w:rsidRPr="0036342D">
        <w:rPr>
          <w:rFonts w:ascii="Verdana" w:hAnsi="Verdana"/>
          <w:sz w:val="20"/>
          <w:szCs w:val="20"/>
          <w:lang w:val="es-ES_tradnl"/>
        </w:rPr>
        <w:lastRenderedPageBreak/>
        <w:t xml:space="preserve">Comisión tiene competencia </w:t>
      </w:r>
      <w:r w:rsidRPr="0036342D">
        <w:rPr>
          <w:rFonts w:ascii="Verdana" w:hAnsi="Verdana"/>
          <w:i/>
          <w:iCs/>
          <w:sz w:val="20"/>
          <w:szCs w:val="20"/>
          <w:lang w:val="es-ES_tradnl"/>
        </w:rPr>
        <w:t>ratione temporis</w:t>
      </w:r>
      <w:r w:rsidRPr="0036342D">
        <w:rPr>
          <w:rFonts w:ascii="Verdana" w:hAnsi="Verdana"/>
          <w:sz w:val="20"/>
          <w:szCs w:val="20"/>
          <w:lang w:val="es-ES_tradnl"/>
        </w:rPr>
        <w:t xml:space="preserve"> por cuanto la obligación de respetar y garantizar los derechos protegidos en la Convención Americana ya se encontraba en vigor para el Estado en la fecha en que habrían ocurrido los hechos alegados en la petición.  Finalmente, la Comisión tiene competencia </w:t>
      </w:r>
      <w:r w:rsidRPr="0036342D">
        <w:rPr>
          <w:rFonts w:ascii="Verdana" w:hAnsi="Verdana"/>
          <w:i/>
          <w:iCs/>
          <w:sz w:val="20"/>
          <w:szCs w:val="20"/>
          <w:lang w:val="es-ES_tradnl"/>
        </w:rPr>
        <w:t>ratione materiae</w:t>
      </w:r>
      <w:r w:rsidRPr="0036342D">
        <w:rPr>
          <w:rFonts w:ascii="Verdana" w:hAnsi="Verdana"/>
          <w:sz w:val="20"/>
          <w:szCs w:val="20"/>
          <w:lang w:val="es-ES_tradnl"/>
        </w:rPr>
        <w:t>, porque en la petición se denuncian posibles violaciones a derechos humanos protegidos por la Convención Americana.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 xml:space="preserve">Con respecto a los alegatos sobre violaciones de la Declaración Americana, en atención a lo dispuesto en los artículos 23 y 49 de su Reglamento, la Comisión goza, en principio, de competencia </w:t>
      </w:r>
      <w:r w:rsidRPr="0036342D">
        <w:rPr>
          <w:rFonts w:ascii="Verdana" w:hAnsi="Verdana"/>
          <w:i/>
          <w:iCs/>
          <w:sz w:val="20"/>
          <w:szCs w:val="20"/>
          <w:lang w:val="es-ES_tradnl"/>
        </w:rPr>
        <w:t>ratione materiae</w:t>
      </w:r>
      <w:r w:rsidRPr="0036342D">
        <w:rPr>
          <w:rFonts w:ascii="Verdana" w:hAnsi="Verdana"/>
          <w:sz w:val="20"/>
          <w:szCs w:val="20"/>
          <w:lang w:val="es-ES_tradnl"/>
        </w:rPr>
        <w:t xml:space="preserve"> para examinar violaciones de los derechos consagrados por dicha Declaración</w:t>
      </w:r>
      <w:r w:rsidRPr="0036342D">
        <w:rPr>
          <w:rStyle w:val="FootnoteReference"/>
          <w:rFonts w:ascii="Verdana" w:hAnsi="Verdana"/>
          <w:sz w:val="20"/>
          <w:szCs w:val="20"/>
          <w:lang w:val="es-ES_tradnl"/>
        </w:rPr>
        <w:footnoteReference w:id="13"/>
      </w:r>
      <w:r w:rsidRPr="0036342D">
        <w:rPr>
          <w:rFonts w:ascii="Verdana" w:hAnsi="Verdana"/>
          <w:sz w:val="20"/>
          <w:szCs w:val="20"/>
          <w:lang w:val="es-ES_tradnl"/>
        </w:rPr>
        <w:t>.  Sin embargo, la CIDH ha establecido previamente</w:t>
      </w:r>
      <w:bookmarkStart w:id="1" w:name="_ftnref6"/>
      <w:r w:rsidRPr="0036342D">
        <w:rPr>
          <w:rStyle w:val="FootnoteReference"/>
          <w:rFonts w:ascii="Verdana" w:hAnsi="Verdana"/>
          <w:sz w:val="20"/>
          <w:szCs w:val="20"/>
          <w:lang w:val="es-ES_tradnl"/>
        </w:rPr>
        <w:footnoteReference w:id="14"/>
      </w:r>
      <w:bookmarkEnd w:id="1"/>
      <w:r w:rsidRPr="0036342D">
        <w:rPr>
          <w:rFonts w:ascii="Verdana" w:hAnsi="Verdana"/>
          <w:sz w:val="20"/>
          <w:szCs w:val="20"/>
          <w:lang w:val="es-ES_tradnl"/>
        </w:rPr>
        <w:t xml:space="preserve"> que una vez que la Convención Americana entra en vigor en relación con un Estado, es dicho instrumento --no la Declaración-- el que pasa a ser la fuente específica del derecho que aplicará la Comisión Interamericana, siempre que en la petición se aleguen violaciones de derechos sustancialmente idénticos consagrados en los dos instrumentos</w:t>
      </w:r>
      <w:bookmarkStart w:id="2" w:name="_ftnref7"/>
      <w:r w:rsidRPr="0036342D">
        <w:rPr>
          <w:rStyle w:val="FootnoteReference"/>
          <w:rFonts w:ascii="Verdana" w:hAnsi="Verdana"/>
          <w:sz w:val="20"/>
          <w:szCs w:val="20"/>
          <w:lang w:val="es-ES_tradnl"/>
        </w:rPr>
        <w:footnoteReference w:id="15"/>
      </w:r>
      <w:bookmarkEnd w:id="2"/>
      <w:r w:rsidR="00FD5DF6" w:rsidRPr="0036342D">
        <w:rPr>
          <w:rFonts w:ascii="Verdana" w:hAnsi="Verdana"/>
          <w:sz w:val="20"/>
          <w:szCs w:val="20"/>
          <w:lang w:val="es-ES_tradnl"/>
        </w:rPr>
        <w:t>.</w:t>
      </w:r>
    </w:p>
    <w:p w:rsidR="003168A2" w:rsidRPr="0036342D" w:rsidRDefault="003168A2" w:rsidP="005E265D">
      <w:pPr>
        <w:pStyle w:val="Heading2"/>
        <w:spacing w:before="0" w:after="0"/>
        <w:jc w:val="both"/>
        <w:rPr>
          <w:rFonts w:ascii="Verdana" w:hAnsi="Verdana"/>
          <w:bCs w:val="0"/>
          <w:i w:val="0"/>
          <w:iCs w:val="0"/>
          <w:sz w:val="20"/>
          <w:szCs w:val="20"/>
        </w:rPr>
      </w:pPr>
    </w:p>
    <w:p w:rsidR="003168A2" w:rsidRPr="0036342D" w:rsidRDefault="003168A2" w:rsidP="005E265D">
      <w:pPr>
        <w:pStyle w:val="Heading2"/>
        <w:spacing w:before="0" w:after="0"/>
        <w:jc w:val="both"/>
        <w:rPr>
          <w:rFonts w:ascii="Verdana" w:hAnsi="Verdana"/>
          <w:i w:val="0"/>
          <w:iCs w:val="0"/>
          <w:sz w:val="20"/>
          <w:szCs w:val="20"/>
        </w:rPr>
      </w:pPr>
      <w:r w:rsidRPr="0036342D">
        <w:rPr>
          <w:rFonts w:ascii="Verdana" w:hAnsi="Verdana"/>
          <w:bCs w:val="0"/>
          <w:i w:val="0"/>
          <w:iCs w:val="0"/>
          <w:sz w:val="20"/>
          <w:szCs w:val="20"/>
        </w:rPr>
        <w:t>B.</w:t>
      </w:r>
      <w:r w:rsidRPr="0036342D">
        <w:rPr>
          <w:rFonts w:ascii="Verdana" w:hAnsi="Verdana"/>
          <w:bCs w:val="0"/>
          <w:i w:val="0"/>
          <w:iCs w:val="0"/>
          <w:sz w:val="20"/>
          <w:szCs w:val="20"/>
        </w:rPr>
        <w:tab/>
        <w:t>Requisitos de admisibilidad</w:t>
      </w:r>
    </w:p>
    <w:p w:rsidR="003168A2" w:rsidRPr="0036342D" w:rsidRDefault="003168A2" w:rsidP="005E265D">
      <w:pPr>
        <w:pStyle w:val="Heading3"/>
        <w:spacing w:before="0" w:beforeAutospacing="0" w:after="0" w:afterAutospacing="0"/>
        <w:jc w:val="both"/>
        <w:rPr>
          <w:rFonts w:ascii="Verdana" w:hAnsi="Verdana"/>
          <w:sz w:val="20"/>
          <w:szCs w:val="20"/>
          <w:lang w:val="es-ES_tradnl"/>
        </w:rPr>
      </w:pPr>
    </w:p>
    <w:p w:rsidR="003168A2" w:rsidRPr="0036342D" w:rsidRDefault="0098002D" w:rsidP="005E265D">
      <w:pPr>
        <w:pStyle w:val="Heading3"/>
        <w:spacing w:before="0" w:beforeAutospacing="0" w:after="0" w:afterAutospacing="0"/>
        <w:jc w:val="both"/>
        <w:rPr>
          <w:rFonts w:ascii="Verdana" w:hAnsi="Verdana"/>
          <w:sz w:val="20"/>
          <w:szCs w:val="20"/>
          <w:lang w:val="es-ES_tradnl"/>
        </w:rPr>
      </w:pPr>
      <w:r>
        <w:rPr>
          <w:rFonts w:ascii="Verdana" w:hAnsi="Verdana"/>
          <w:sz w:val="20"/>
          <w:szCs w:val="20"/>
          <w:lang w:val="es-ES_tradnl"/>
        </w:rPr>
        <w:t xml:space="preserve">1. </w:t>
      </w:r>
      <w:r>
        <w:rPr>
          <w:rFonts w:ascii="Verdana" w:hAnsi="Verdana"/>
          <w:sz w:val="20"/>
          <w:szCs w:val="20"/>
          <w:lang w:val="es-ES_tradnl"/>
        </w:rPr>
        <w:tab/>
      </w:r>
      <w:r w:rsidR="003168A2" w:rsidRPr="0036342D">
        <w:rPr>
          <w:rFonts w:ascii="Verdana" w:hAnsi="Verdana"/>
          <w:sz w:val="20"/>
          <w:szCs w:val="20"/>
          <w:lang w:val="es-ES_tradnl"/>
        </w:rPr>
        <w:t>Agotamiento de los recursos internos</w:t>
      </w:r>
    </w:p>
    <w:p w:rsidR="003168A2" w:rsidRPr="0036342D" w:rsidRDefault="003168A2" w:rsidP="005E265D">
      <w:pPr>
        <w:pStyle w:val="Heading3"/>
        <w:spacing w:before="0" w:beforeAutospacing="0" w:after="0" w:afterAutospacing="0"/>
        <w:ind w:firstLine="72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El artículo 46(1)(a) de la Convención Americana exige el previo agotamiento de los recursos disponibles en la jurisdicción interna conforme a los principios de derecho internacional generalmente reconocidos, como requisito para la admisión de reclamos sobre la presunta violación de la Convención Americana.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ind w:firstLine="900"/>
        <w:jc w:val="both"/>
        <w:rPr>
          <w:rFonts w:ascii="Verdana" w:hAnsi="Verdana"/>
          <w:sz w:val="20"/>
          <w:szCs w:val="20"/>
          <w:lang w:val="es-ES_tradnl"/>
        </w:rPr>
      </w:pPr>
      <w:r w:rsidRPr="0036342D">
        <w:rPr>
          <w:rFonts w:ascii="Verdana" w:hAnsi="Verdana"/>
          <w:sz w:val="20"/>
          <w:szCs w:val="20"/>
          <w:lang w:val="es-ES_tradnl"/>
        </w:rPr>
        <w:t>El artículo 46(2) de la Convención prevé que el requisito de previo agotamiento de los recursos internos no resulta aplicable cuando:</w:t>
      </w:r>
    </w:p>
    <w:p w:rsidR="003168A2" w:rsidRPr="0036342D" w:rsidRDefault="003168A2" w:rsidP="005E265D">
      <w:pPr>
        <w:ind w:left="720" w:right="720"/>
        <w:jc w:val="both"/>
        <w:rPr>
          <w:rFonts w:ascii="Verdana" w:hAnsi="Verdana"/>
          <w:sz w:val="20"/>
          <w:szCs w:val="20"/>
        </w:rPr>
      </w:pPr>
    </w:p>
    <w:p w:rsidR="003168A2" w:rsidRPr="0036342D" w:rsidRDefault="003168A2" w:rsidP="005E265D">
      <w:pPr>
        <w:pStyle w:val="BlockText"/>
        <w:numPr>
          <w:ilvl w:val="0"/>
          <w:numId w:val="6"/>
        </w:numPr>
        <w:tabs>
          <w:tab w:val="clear" w:pos="1080"/>
        </w:tabs>
        <w:spacing w:before="0" w:beforeAutospacing="0" w:after="0" w:afterAutospacing="0"/>
        <w:ind w:left="1440" w:right="720" w:hanging="720"/>
        <w:jc w:val="both"/>
        <w:rPr>
          <w:rFonts w:ascii="Verdana" w:hAnsi="Verdana"/>
          <w:sz w:val="20"/>
          <w:szCs w:val="20"/>
          <w:lang w:val="es-ES_tradnl"/>
        </w:rPr>
      </w:pPr>
      <w:r w:rsidRPr="0036342D">
        <w:rPr>
          <w:rFonts w:ascii="Verdana" w:hAnsi="Verdana"/>
          <w:sz w:val="20"/>
          <w:szCs w:val="20"/>
          <w:lang w:val="es-ES_tradnl"/>
        </w:rPr>
        <w:t xml:space="preserve">no exista en la legislación interna del Estado de que se trata el debido proceso legal para la protección del derecho o derechos que se alega han sido violados; </w:t>
      </w:r>
    </w:p>
    <w:p w:rsidR="003168A2" w:rsidRPr="0036342D" w:rsidRDefault="003168A2" w:rsidP="005E265D">
      <w:pPr>
        <w:numPr>
          <w:ilvl w:val="0"/>
          <w:numId w:val="6"/>
        </w:numPr>
        <w:tabs>
          <w:tab w:val="clear" w:pos="1080"/>
        </w:tabs>
        <w:ind w:left="1440" w:right="720" w:hanging="720"/>
        <w:jc w:val="both"/>
        <w:rPr>
          <w:rFonts w:ascii="Verdana" w:hAnsi="Verdana"/>
          <w:sz w:val="20"/>
          <w:szCs w:val="20"/>
        </w:rPr>
      </w:pPr>
      <w:r w:rsidRPr="0036342D">
        <w:rPr>
          <w:rFonts w:ascii="Verdana" w:hAnsi="Verdana"/>
          <w:sz w:val="20"/>
          <w:szCs w:val="20"/>
        </w:rPr>
        <w:t xml:space="preserve">no se haya permitido al presunto lesionado en sus derechos el acceso a los recursos a la jurisdicción interna, o haya sido impedido de agotarlos, y </w:t>
      </w:r>
    </w:p>
    <w:p w:rsidR="003168A2" w:rsidRPr="0036342D" w:rsidRDefault="003168A2" w:rsidP="005E265D">
      <w:pPr>
        <w:numPr>
          <w:ilvl w:val="0"/>
          <w:numId w:val="6"/>
        </w:numPr>
        <w:tabs>
          <w:tab w:val="clear" w:pos="1080"/>
        </w:tabs>
        <w:ind w:left="1440" w:right="720" w:hanging="720"/>
        <w:jc w:val="both"/>
        <w:rPr>
          <w:rFonts w:ascii="Verdana" w:hAnsi="Verdana"/>
          <w:sz w:val="20"/>
          <w:szCs w:val="20"/>
        </w:rPr>
      </w:pPr>
      <w:r w:rsidRPr="0036342D">
        <w:rPr>
          <w:rFonts w:ascii="Verdana" w:hAnsi="Verdana"/>
          <w:sz w:val="20"/>
          <w:szCs w:val="20"/>
        </w:rPr>
        <w:t xml:space="preserve">haya retardo injustificado en la decisión sobre los mencionados recursos. </w:t>
      </w:r>
    </w:p>
    <w:p w:rsidR="003168A2" w:rsidRPr="0036342D" w:rsidRDefault="003168A2" w:rsidP="005E265D">
      <w:pPr>
        <w:pStyle w:val="BodyTextIndent3"/>
        <w:spacing w:after="0"/>
        <w:ind w:left="0" w:firstLine="720"/>
        <w:jc w:val="both"/>
        <w:rPr>
          <w:rFonts w:ascii="Verdana" w:hAnsi="Verdana"/>
          <w:sz w:val="20"/>
          <w:szCs w:val="20"/>
        </w:rPr>
      </w:pPr>
    </w:p>
    <w:p w:rsidR="003168A2" w:rsidRPr="0036342D" w:rsidRDefault="003168A2" w:rsidP="005E265D">
      <w:pPr>
        <w:tabs>
          <w:tab w:val="left" w:pos="8640"/>
        </w:tabs>
        <w:jc w:val="both"/>
        <w:rPr>
          <w:rFonts w:ascii="Verdana" w:hAnsi="Verdana"/>
          <w:sz w:val="20"/>
          <w:szCs w:val="20"/>
        </w:rPr>
      </w:pPr>
      <w:r w:rsidRPr="0036342D">
        <w:rPr>
          <w:rFonts w:ascii="Verdana" w:hAnsi="Verdana"/>
          <w:sz w:val="20"/>
          <w:szCs w:val="20"/>
        </w:rPr>
        <w:t>Según ha establecido la Corte Interamericana, toda vez que un Estado alega la falta de agotamiento de los recursos internos por parte de los peticionarios, tiene la carga de demostrar que los recursos que no han sido agotados resultan “adecuados” para subsanar la violación alegada, vale decir que la función de esos recursos dentro del sistema del derecho interno es idónea para proteger la situación jurídica infringida</w:t>
      </w:r>
      <w:r w:rsidRPr="0036342D">
        <w:rPr>
          <w:rStyle w:val="FootnoteReference"/>
          <w:rFonts w:ascii="Verdana" w:hAnsi="Verdana"/>
          <w:sz w:val="20"/>
          <w:szCs w:val="20"/>
        </w:rPr>
        <w:footnoteReference w:id="16"/>
      </w:r>
      <w:r w:rsidRPr="0036342D">
        <w:rPr>
          <w:rFonts w:ascii="Verdana" w:hAnsi="Verdana"/>
          <w:sz w:val="20"/>
          <w:szCs w:val="20"/>
        </w:rPr>
        <w:t>.</w:t>
      </w:r>
    </w:p>
    <w:p w:rsidR="003168A2" w:rsidRPr="0036342D" w:rsidRDefault="003168A2" w:rsidP="005E265D">
      <w:pPr>
        <w:widowControl w:val="0"/>
        <w:autoSpaceDE w:val="0"/>
        <w:autoSpaceDN w:val="0"/>
        <w:jc w:val="both"/>
        <w:rPr>
          <w:rFonts w:ascii="Verdana" w:hAnsi="Verdana"/>
          <w:sz w:val="20"/>
          <w:szCs w:val="20"/>
        </w:rPr>
      </w:pPr>
    </w:p>
    <w:p w:rsidR="003168A2" w:rsidRPr="0036342D" w:rsidRDefault="003168A2" w:rsidP="005E265D">
      <w:pPr>
        <w:widowControl w:val="0"/>
        <w:numPr>
          <w:ilvl w:val="0"/>
          <w:numId w:val="5"/>
        </w:numPr>
        <w:autoSpaceDE w:val="0"/>
        <w:autoSpaceDN w:val="0"/>
        <w:jc w:val="both"/>
        <w:rPr>
          <w:rFonts w:ascii="Verdana" w:hAnsi="Verdana"/>
          <w:sz w:val="20"/>
          <w:szCs w:val="20"/>
        </w:rPr>
      </w:pPr>
      <w:r w:rsidRPr="0036342D">
        <w:rPr>
          <w:rFonts w:ascii="Verdana" w:hAnsi="Verdana"/>
          <w:sz w:val="20"/>
          <w:szCs w:val="20"/>
        </w:rPr>
        <w:t xml:space="preserve">Los peticionarios alegan que el requisito del agotamiento de los recursos </w:t>
      </w:r>
      <w:r w:rsidRPr="0036342D">
        <w:rPr>
          <w:rFonts w:ascii="Verdana" w:hAnsi="Verdana"/>
          <w:sz w:val="20"/>
          <w:szCs w:val="20"/>
        </w:rPr>
        <w:lastRenderedPageBreak/>
        <w:t>internos se encuentra cumplido con la sentencia de amparo del Tribunal Constitucional de 4 de febrero de 2002.  Alegan que el acto administrativo de baja es una consecuencia de la resolución del Juzgado de Derecho de la Cuarta Zona Militar de 17 de enero de 2002 contra la cual, los recursos contencioso administrativos habrían sido ineficaces, en virtud de la limitación de materia establecida en el artículo 6 literal c) de la Ley de la Jurisdicción Contencioso Administrativa.  Alegan que los recursos contra la resolución del Juzgado de Derecho de la Cuarta Zona Militar fueron agotados y que mientras la misma siga vigente, cualquier impugnación de otros actos que deriven de ella carecerían de toda eficacia y pertinencia.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widowControl w:val="0"/>
        <w:numPr>
          <w:ilvl w:val="0"/>
          <w:numId w:val="5"/>
        </w:numPr>
        <w:autoSpaceDE w:val="0"/>
        <w:autoSpaceDN w:val="0"/>
        <w:jc w:val="both"/>
        <w:rPr>
          <w:rFonts w:ascii="Verdana" w:hAnsi="Verdana"/>
          <w:sz w:val="20"/>
          <w:szCs w:val="20"/>
        </w:rPr>
      </w:pPr>
      <w:r w:rsidRPr="0036342D">
        <w:rPr>
          <w:rFonts w:ascii="Verdana" w:hAnsi="Verdana"/>
          <w:sz w:val="20"/>
          <w:szCs w:val="20"/>
        </w:rPr>
        <w:t>Por su parte, el Estado alega que el reclamo de los peticionarios no satisface el requisito del previo agotamiento de los recursos de la jurisdicción interna, previsto en el artículo 46(1) de la Convención Americana dado que existían recursos contencioso administrativos que se habrían podido interponer contra el acto administrativo que decretó la baja de la presunta víctima y que aquellos habrían sido efectivos para solucionar la situación jurídica de la presunta víctima.  Asimismo alega que en cuanto a la presunta naturaleza discriminatoria de las normas militares en materia disciplinaria la presunta víctima tenía a su disposición la acción de inconstitucionalidad prevista en la Constitución vigente al momento de los hechos.</w:t>
      </w:r>
    </w:p>
    <w:p w:rsidR="003168A2" w:rsidRPr="0036342D" w:rsidRDefault="003168A2" w:rsidP="005E265D">
      <w:pPr>
        <w:widowControl w:val="0"/>
        <w:autoSpaceDE w:val="0"/>
        <w:autoSpaceDN w:val="0"/>
        <w:jc w:val="both"/>
        <w:rPr>
          <w:rFonts w:ascii="Verdana" w:hAnsi="Verdana"/>
          <w:sz w:val="20"/>
          <w:szCs w:val="20"/>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
        </w:rPr>
        <w:t xml:space="preserve">En primer término, corresponde aclarar cuáles son los recursos internos que deben ser agotados en el presente caso.  La </w:t>
      </w:r>
      <w:r w:rsidRPr="0036342D">
        <w:rPr>
          <w:rFonts w:ascii="Verdana" w:hAnsi="Verdana"/>
          <w:sz w:val="20"/>
          <w:szCs w:val="20"/>
          <w:lang w:val="es-ES_tradnl"/>
        </w:rPr>
        <w:t>Corte</w:t>
      </w:r>
      <w:r w:rsidRPr="0036342D">
        <w:rPr>
          <w:rFonts w:ascii="Verdana" w:hAnsi="Verdana"/>
          <w:sz w:val="20"/>
          <w:szCs w:val="20"/>
          <w:lang w:val="es-ES"/>
        </w:rPr>
        <w:t xml:space="preserve"> Interamericana ha señalado que sólo deben ser agotados los recursos adecuados para subsanar las violaciones presuntamente </w:t>
      </w:r>
      <w:r w:rsidRPr="0036342D">
        <w:rPr>
          <w:rFonts w:ascii="Verdana" w:hAnsi="Verdana"/>
          <w:sz w:val="20"/>
          <w:szCs w:val="20"/>
          <w:lang w:val="es-ES_tradnl"/>
        </w:rPr>
        <w:t>cometidas</w:t>
      </w:r>
      <w:r w:rsidRPr="0036342D">
        <w:rPr>
          <w:rFonts w:ascii="Verdana" w:hAnsi="Verdana"/>
          <w:sz w:val="20"/>
          <w:szCs w:val="20"/>
          <w:lang w:val="es-ES"/>
        </w:rPr>
        <w:t>.  El que los recursos sean adecuados significa que</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tabs>
          <w:tab w:val="left" w:pos="90"/>
        </w:tabs>
        <w:spacing w:before="0" w:beforeAutospacing="0" w:after="0" w:afterAutospacing="0"/>
        <w:ind w:left="720" w:right="720"/>
        <w:jc w:val="both"/>
        <w:rPr>
          <w:rFonts w:ascii="Verdana" w:hAnsi="Verdana"/>
          <w:sz w:val="20"/>
          <w:szCs w:val="20"/>
          <w:lang w:val="es-ES"/>
        </w:rPr>
      </w:pPr>
      <w:r w:rsidRPr="0036342D">
        <w:rPr>
          <w:rFonts w:ascii="Verdana" w:hAnsi="Verdana"/>
          <w:sz w:val="20"/>
          <w:szCs w:val="20"/>
          <w:lang w:val="es-ES"/>
        </w:rPr>
        <w:t>la función de esos recursos dentro del sistema de derecho interno sea idónea para proteger la situación jurídica infringida.  En todos los ordenamientos internos existen múltiples recursos, pero no todos son aplicables en todas las circunstancias.  Si, en un caso específico, el recurso no es adecuado, es obvio que no hay que agotarlo.  Así lo indica el principio de que la norma está encaminada a producir un efecto y no puede interpretarse en el sentido de que no produzca ninguno o su resultado sea manifiestamente absurdo o irrazonable</w:t>
      </w:r>
      <w:r w:rsidRPr="0036342D">
        <w:rPr>
          <w:rStyle w:val="FootnoteReference"/>
          <w:rFonts w:ascii="Verdana" w:hAnsi="Verdana"/>
          <w:sz w:val="20"/>
          <w:szCs w:val="20"/>
          <w:lang w:val="es-ES"/>
        </w:rPr>
        <w:footnoteReference w:id="17"/>
      </w:r>
      <w:r w:rsidRPr="0036342D">
        <w:rPr>
          <w:rFonts w:ascii="Verdana" w:hAnsi="Verdana"/>
          <w:sz w:val="20"/>
          <w:szCs w:val="20"/>
          <w:lang w:val="es-ES"/>
        </w:rPr>
        <w:t>.</w:t>
      </w:r>
    </w:p>
    <w:p w:rsidR="003168A2" w:rsidRPr="0036342D" w:rsidRDefault="003168A2" w:rsidP="005E265D">
      <w:pPr>
        <w:tabs>
          <w:tab w:val="left" w:pos="810"/>
        </w:tabs>
        <w:jc w:val="both"/>
        <w:rPr>
          <w:rFonts w:ascii="Verdana" w:hAnsi="Verdana"/>
          <w:sz w:val="20"/>
          <w:szCs w:val="20"/>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Con relación al presente reclamo, surge de los alegatos de las partes que tras la resolución del 17 de enero de 2001 del Juzgado de Derecho de la Cuarta Zona Militar, la cual fue aceptada por el Consejo de Oficiales Subalternos de la Fuerza Terrestre el 7 de mayo de 2001, se presentó una solicitud de reconsideración de dicha resolución, la cual fue denegada el 5 de junio de 2001</w:t>
      </w:r>
      <w:r w:rsidRPr="0036342D">
        <w:rPr>
          <w:rStyle w:val="FootnoteReference"/>
          <w:rFonts w:ascii="Verdana" w:hAnsi="Verdana"/>
          <w:sz w:val="20"/>
          <w:szCs w:val="20"/>
          <w:lang w:val="es-ES_tradnl"/>
        </w:rPr>
        <w:footnoteReference w:id="18"/>
      </w:r>
      <w:r w:rsidRPr="0036342D">
        <w:rPr>
          <w:rFonts w:ascii="Verdana" w:hAnsi="Verdana"/>
          <w:sz w:val="20"/>
          <w:szCs w:val="20"/>
          <w:lang w:val="es-ES_tradnl"/>
        </w:rPr>
        <w:t xml:space="preserve"> y un recurso de apelación que fue desechado por el Consejo de Oficiales Superiores de la Fuerza Terrestre el 18 de junio de 2001</w:t>
      </w:r>
      <w:r w:rsidRPr="0036342D">
        <w:rPr>
          <w:rStyle w:val="FootnoteReference"/>
          <w:rFonts w:ascii="Verdana" w:hAnsi="Verdana"/>
          <w:sz w:val="20"/>
          <w:szCs w:val="20"/>
          <w:lang w:val="es-ES_tradnl"/>
        </w:rPr>
        <w:footnoteReference w:id="19"/>
      </w:r>
      <w:r w:rsidRPr="0036342D">
        <w:rPr>
          <w:rFonts w:ascii="Verdana" w:hAnsi="Verdana"/>
          <w:sz w:val="20"/>
          <w:szCs w:val="20"/>
          <w:lang w:val="es-ES_tradnl"/>
        </w:rPr>
        <w:t>.  Asimismo, se interpuso un recurso de amparo ante el Juzgado Sexto de lo Civil de Pichincha que fue rechazado por improcedente el 18 de julio de 2001 ante lo cual se interpuso un recurso de apelación.  El 4 de febrero de 2002 el Tribunal Constitucional resolvió “desechar por improcedente el recurso de amparo constitucional”</w:t>
      </w:r>
      <w:r w:rsidRPr="0036342D">
        <w:rPr>
          <w:rStyle w:val="FootnoteReference"/>
          <w:rFonts w:ascii="Verdana" w:hAnsi="Verdana"/>
          <w:sz w:val="20"/>
          <w:szCs w:val="20"/>
          <w:lang w:val="es-ES_tradnl"/>
        </w:rPr>
        <w:footnoteReference w:id="20"/>
      </w:r>
      <w:r w:rsidRPr="0036342D">
        <w:rPr>
          <w:rFonts w:ascii="Verdana" w:hAnsi="Verdana"/>
          <w:sz w:val="20"/>
          <w:szCs w:val="20"/>
          <w:lang w:val="es-ES_tradnl"/>
        </w:rPr>
        <w:t>.</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lastRenderedPageBreak/>
        <w:t>En vista de lo anterior, la Comisión observa que respecto al trámite de la información sumaria la presunta víctima interpuso el recurso disponible, es decir el recurso de apelación, el cual fue rechazado el 18 de junio de 2001.  La Comisión observa que la decisión mencionada causó ejecutoria y contra ella no procedería ningún recurso en sede administrativa.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En cuanto al recurso de amparo, la Comisión observa que el 18 de julio de 2001 el Juez Sexto de lo Civil de Pichincha resolvió denegar la acción de amparo.  Dicha resolución fue apelada y el 4 de febrero de 2002 la Segunda Sala del Tribunal Constitucional resolvió desechar el recurso por improcedente al no encontrar una violación constitucional que haya sido probada por la presunta víctima y por no haber cumplido los requisitos señalados en la Ley de Control Constitucional.</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En cuanto a la acción de inconstitucionalidad, el artículo 277 de la Constitución ecuatoriana, vigente al momento de los hechos, establecía taxativamente los sujetos con legitimación activa para interponer dicha acción y los requisitos para su interposición</w:t>
      </w:r>
      <w:r w:rsidRPr="0036342D">
        <w:rPr>
          <w:rStyle w:val="FootnoteReference"/>
          <w:rFonts w:ascii="Verdana" w:hAnsi="Verdana"/>
          <w:sz w:val="20"/>
          <w:szCs w:val="20"/>
          <w:lang w:val="es-ES_tradnl"/>
        </w:rPr>
        <w:footnoteReference w:id="21"/>
      </w:r>
      <w:r w:rsidRPr="0036342D">
        <w:rPr>
          <w:rFonts w:ascii="Verdana" w:hAnsi="Verdana"/>
          <w:sz w:val="20"/>
          <w:szCs w:val="20"/>
          <w:lang w:val="es-ES_tradnl"/>
        </w:rPr>
        <w:t xml:space="preserve">.  La Comisión reitera que la propia regulación del recurso impedía su utilización directa por las presunta víctima, ya que antes debían reunir las firmas de 1000 ciudadanos u obtener el dictamen favorable del Defensor del Pueblo.  </w:t>
      </w:r>
      <w:r w:rsidR="001675DE" w:rsidRPr="0036342D">
        <w:rPr>
          <w:rFonts w:ascii="Verdana" w:hAnsi="Verdana"/>
          <w:sz w:val="20"/>
          <w:szCs w:val="20"/>
          <w:lang w:val="es-ES_tradnl"/>
        </w:rPr>
        <w:t xml:space="preserve">En relación con dichas limitaciones, el Estado </w:t>
      </w:r>
      <w:r w:rsidR="00C642BC" w:rsidRPr="0036342D">
        <w:rPr>
          <w:rFonts w:ascii="Verdana" w:hAnsi="Verdana"/>
          <w:sz w:val="20"/>
          <w:szCs w:val="20"/>
          <w:lang w:val="es-ES_tradnl"/>
        </w:rPr>
        <w:t>t</w:t>
      </w:r>
      <w:r w:rsidRPr="0036342D">
        <w:rPr>
          <w:rFonts w:ascii="Verdana" w:hAnsi="Verdana"/>
          <w:sz w:val="20"/>
          <w:szCs w:val="20"/>
          <w:lang w:val="es-ES_tradnl"/>
        </w:rPr>
        <w:t>ampoco ha presentado información respecto de la eficacia</w:t>
      </w:r>
      <w:r w:rsidR="000B048B" w:rsidRPr="0036342D">
        <w:rPr>
          <w:rFonts w:ascii="Verdana" w:hAnsi="Verdana"/>
          <w:sz w:val="20"/>
          <w:szCs w:val="20"/>
          <w:lang w:val="es-ES_tradnl"/>
        </w:rPr>
        <w:t>, en la práctica,</w:t>
      </w:r>
      <w:r w:rsidRPr="0036342D">
        <w:rPr>
          <w:rFonts w:ascii="Verdana" w:hAnsi="Verdana"/>
          <w:sz w:val="20"/>
          <w:szCs w:val="20"/>
          <w:lang w:val="es-ES_tradnl"/>
        </w:rPr>
        <w:t xml:space="preserve"> del recurso de inconstitucionalidad en casos de </w:t>
      </w:r>
      <w:r w:rsidR="00123DCF" w:rsidRPr="0036342D">
        <w:rPr>
          <w:rFonts w:ascii="Verdana" w:hAnsi="Verdana"/>
          <w:sz w:val="20"/>
          <w:szCs w:val="20"/>
          <w:lang w:val="es-ES_tradnl"/>
        </w:rPr>
        <w:t xml:space="preserve">reclamos </w:t>
      </w:r>
      <w:r w:rsidRPr="0036342D">
        <w:rPr>
          <w:rFonts w:ascii="Verdana" w:hAnsi="Verdana"/>
          <w:sz w:val="20"/>
          <w:szCs w:val="20"/>
          <w:lang w:val="es-ES_tradnl"/>
        </w:rPr>
        <w:t>individuales, por lo que no ha sustentado su eficacia para solucionar el presente asunto ante la jurisdicción interna</w:t>
      </w:r>
      <w:r w:rsidRPr="0036342D">
        <w:rPr>
          <w:rStyle w:val="FootnoteReference"/>
          <w:rFonts w:ascii="Verdana" w:hAnsi="Verdana"/>
          <w:sz w:val="20"/>
          <w:szCs w:val="20"/>
          <w:lang w:val="es-ES_tradnl"/>
        </w:rPr>
        <w:footnoteReference w:id="22"/>
      </w:r>
      <w:r w:rsidRPr="0036342D">
        <w:rPr>
          <w:rFonts w:ascii="Verdana" w:hAnsi="Verdana"/>
          <w:sz w:val="20"/>
          <w:szCs w:val="20"/>
          <w:lang w:val="es-ES_tradnl"/>
        </w:rPr>
        <w:t>.</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 xml:space="preserve">En cuanto a la jurisdicción contencioso administrativa, </w:t>
      </w:r>
      <w:r w:rsidR="00123DCF" w:rsidRPr="0036342D">
        <w:rPr>
          <w:rFonts w:ascii="Verdana" w:hAnsi="Verdana"/>
          <w:sz w:val="20"/>
          <w:szCs w:val="20"/>
          <w:lang w:val="es-ES_tradnl"/>
        </w:rPr>
        <w:t xml:space="preserve">dicha vía no habría sido agotada por los peticionarios por cuanto alegan que </w:t>
      </w:r>
      <w:r w:rsidRPr="0036342D">
        <w:rPr>
          <w:rFonts w:ascii="Verdana" w:hAnsi="Verdana"/>
          <w:sz w:val="20"/>
          <w:szCs w:val="20"/>
          <w:lang w:val="es-ES_tradnl"/>
        </w:rPr>
        <w:t>las violaciones de derechos humanos en perjuicio de</w:t>
      </w:r>
      <w:r w:rsidR="00123DCF" w:rsidRPr="0036342D">
        <w:rPr>
          <w:rFonts w:ascii="Verdana" w:hAnsi="Verdana"/>
          <w:sz w:val="20"/>
          <w:szCs w:val="20"/>
          <w:lang w:val="es-ES_tradnl"/>
        </w:rPr>
        <w:t xml:space="preserve"> la presunta víctima se originaron</w:t>
      </w:r>
      <w:r w:rsidRPr="0036342D">
        <w:rPr>
          <w:rFonts w:ascii="Verdana" w:hAnsi="Verdana"/>
          <w:sz w:val="20"/>
          <w:szCs w:val="20"/>
          <w:lang w:val="es-ES_tradnl"/>
        </w:rPr>
        <w:t xml:space="preserve"> en la resolución del Juzgado de Derecho de la Cuarta Zona Militar del 17 de enero de 2001 y que el acto administrativo de baja fue sólo una consecuencia de dicha resolución</w:t>
      </w:r>
      <w:r w:rsidR="00123DCF" w:rsidRPr="0036342D">
        <w:rPr>
          <w:rFonts w:ascii="Verdana" w:hAnsi="Verdana"/>
          <w:sz w:val="20"/>
          <w:szCs w:val="20"/>
          <w:lang w:val="es-ES_tradnl"/>
        </w:rPr>
        <w:t>,</w:t>
      </w:r>
      <w:r w:rsidRPr="0036342D">
        <w:rPr>
          <w:rFonts w:ascii="Verdana" w:hAnsi="Verdana"/>
          <w:sz w:val="20"/>
          <w:szCs w:val="20"/>
          <w:lang w:val="es-ES_tradnl"/>
        </w:rPr>
        <w:t xml:space="preserve"> por lo que recurrirlo no habría resultado idóneo para las pretensiones de la presunta víctima.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 xml:space="preserve">En suma la Comisión observa que los peticionarios agotaron los recursos disponibles frente a la resolución de Juzgado de Derecho de la Cuarta Zona Militar y además interpusieron una acción de amparo que fue denegada en segunda instancia por el Tribunal Constitucional el 4 de febrero de 2002.  </w:t>
      </w:r>
      <w:r w:rsidRPr="0036342D">
        <w:rPr>
          <w:rFonts w:ascii="Verdana" w:hAnsi="Verdana"/>
          <w:sz w:val="20"/>
          <w:szCs w:val="20"/>
          <w:lang w:val="es-ES"/>
        </w:rPr>
        <w:t>Por lo tanto</w:t>
      </w:r>
      <w:r w:rsidR="004358EE" w:rsidRPr="0036342D">
        <w:rPr>
          <w:rFonts w:ascii="Verdana" w:hAnsi="Verdana"/>
          <w:sz w:val="20"/>
          <w:szCs w:val="20"/>
          <w:lang w:val="es-ES"/>
        </w:rPr>
        <w:t>, dadas las características de los reclamos presentados, que se centran en temas del debido proceso y un alegado tratamiento discriminatorio,</w:t>
      </w:r>
      <w:r w:rsidRPr="0036342D">
        <w:rPr>
          <w:rFonts w:ascii="Verdana" w:hAnsi="Verdana"/>
          <w:sz w:val="20"/>
          <w:szCs w:val="20"/>
          <w:lang w:val="es-ES"/>
        </w:rPr>
        <w:t xml:space="preserve"> la Comisión considera que los peticionarios cumplieron con el requisito del previo agotamiento de los recursos internos, establecido en el artículo 46(1)(a) de la Convención Americana.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98002D" w:rsidP="005E265D">
      <w:pPr>
        <w:pStyle w:val="Heading3"/>
        <w:spacing w:before="0" w:beforeAutospacing="0" w:after="0" w:afterAutospacing="0"/>
        <w:jc w:val="both"/>
        <w:rPr>
          <w:rFonts w:ascii="Verdana" w:hAnsi="Verdana"/>
          <w:sz w:val="20"/>
          <w:szCs w:val="20"/>
          <w:lang w:val="es-ES_tradnl"/>
        </w:rPr>
      </w:pPr>
      <w:r>
        <w:rPr>
          <w:rFonts w:ascii="Verdana" w:hAnsi="Verdana"/>
          <w:sz w:val="20"/>
          <w:szCs w:val="20"/>
          <w:lang w:val="es-ES_tradnl"/>
        </w:rPr>
        <w:t xml:space="preserve">2. </w:t>
      </w:r>
      <w:r>
        <w:rPr>
          <w:rFonts w:ascii="Verdana" w:hAnsi="Verdana"/>
          <w:sz w:val="20"/>
          <w:szCs w:val="20"/>
          <w:lang w:val="es-ES_tradnl"/>
        </w:rPr>
        <w:tab/>
      </w:r>
      <w:r w:rsidR="003168A2" w:rsidRPr="0036342D">
        <w:rPr>
          <w:rFonts w:ascii="Verdana" w:hAnsi="Verdana"/>
          <w:sz w:val="20"/>
          <w:szCs w:val="20"/>
          <w:lang w:val="es-ES_tradnl"/>
        </w:rPr>
        <w:t>Plazo de presentación de la petición</w:t>
      </w:r>
    </w:p>
    <w:p w:rsidR="003168A2" w:rsidRPr="0036342D" w:rsidRDefault="003168A2" w:rsidP="005E265D">
      <w:pPr>
        <w:pStyle w:val="Heading3"/>
        <w:spacing w:before="0" w:beforeAutospacing="0" w:after="0" w:afterAutospacing="0"/>
        <w:ind w:firstLine="72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lastRenderedPageBreak/>
        <w:t>La Convención Americana establece que para que una petición resulte admisible por la Comisión se requerirá que sea presentada dentro del plazo de seis meses a partir de la fecha en que el presunto lesionado haya sido notificado de la decisión definitiva.  En el presente caso, la petición fue recibida el 30 de agosto de 2002 y la decisión del Tribunal Constitucional mediante la cual se agotaron los recursos internos fue notificada el 4 de marzo de 2002</w:t>
      </w:r>
      <w:r w:rsidRPr="0036342D">
        <w:rPr>
          <w:rStyle w:val="FootnoteReference"/>
          <w:rFonts w:ascii="Verdana" w:hAnsi="Verdana"/>
          <w:sz w:val="20"/>
          <w:szCs w:val="20"/>
          <w:lang w:val="es-ES_tradnl"/>
        </w:rPr>
        <w:footnoteReference w:id="23"/>
      </w:r>
      <w:r w:rsidR="001E31C7" w:rsidRPr="0036342D">
        <w:rPr>
          <w:rFonts w:ascii="Verdana" w:hAnsi="Verdana"/>
          <w:sz w:val="20"/>
          <w:szCs w:val="20"/>
          <w:lang w:val="es-ES_tradnl"/>
        </w:rPr>
        <w:t>.  Por lo tanto</w:t>
      </w:r>
      <w:r w:rsidRPr="0036342D">
        <w:rPr>
          <w:rFonts w:ascii="Verdana" w:hAnsi="Verdana"/>
          <w:sz w:val="20"/>
          <w:szCs w:val="20"/>
          <w:lang w:val="es-ES_tradnl"/>
        </w:rPr>
        <w:t>, la Comisión considera que la petición fue presentada dentro del plazo de los seis meses y que debe darse por satisfechas las disposiciones del artículo 32 del Reglamento de la Comisión en cuanto al requisito de admisibilidad referente al plazo de presentación.</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98002D" w:rsidP="005E265D">
      <w:pPr>
        <w:pStyle w:val="Heading3"/>
        <w:spacing w:before="0" w:beforeAutospacing="0" w:after="0" w:afterAutospacing="0"/>
        <w:jc w:val="both"/>
        <w:rPr>
          <w:rFonts w:ascii="Verdana" w:hAnsi="Verdana"/>
          <w:sz w:val="20"/>
          <w:szCs w:val="20"/>
          <w:lang w:val="es-ES_tradnl"/>
        </w:rPr>
      </w:pPr>
      <w:r>
        <w:rPr>
          <w:rFonts w:ascii="Verdana" w:hAnsi="Verdana"/>
          <w:sz w:val="20"/>
          <w:szCs w:val="20"/>
          <w:lang w:val="es-ES_tradnl"/>
        </w:rPr>
        <w:t xml:space="preserve">3. </w:t>
      </w:r>
      <w:r>
        <w:rPr>
          <w:rFonts w:ascii="Verdana" w:hAnsi="Verdana"/>
          <w:sz w:val="20"/>
          <w:szCs w:val="20"/>
          <w:lang w:val="es-ES_tradnl"/>
        </w:rPr>
        <w:tab/>
      </w:r>
      <w:r w:rsidR="003168A2" w:rsidRPr="0036342D">
        <w:rPr>
          <w:rFonts w:ascii="Verdana" w:hAnsi="Verdana"/>
          <w:sz w:val="20"/>
          <w:szCs w:val="20"/>
          <w:lang w:val="es-ES_tradnl"/>
        </w:rPr>
        <w:t xml:space="preserve">Duplicación y cosa juzgada internacional </w:t>
      </w:r>
    </w:p>
    <w:p w:rsidR="003168A2" w:rsidRPr="0036342D" w:rsidRDefault="003168A2" w:rsidP="005E265D">
      <w:pPr>
        <w:pStyle w:val="Heading3"/>
        <w:spacing w:before="0" w:beforeAutospacing="0" w:after="0" w:afterAutospacing="0"/>
        <w:ind w:firstLine="72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No surge del expediente que la materia de la petición se encuentre pendiente de otro procedimiento de arreglo internacional, ni que reproduzca una petición ya examinada por éste u otro órgano internacional.  Por lo tanto, corresponde dar por cumplidos los requisitos establecidos en los artículos 46(1)(c) y 47(d) de la Convención.</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98002D" w:rsidP="005E265D">
      <w:pPr>
        <w:pStyle w:val="Heading3"/>
        <w:spacing w:before="0" w:beforeAutospacing="0" w:after="0" w:afterAutospacing="0"/>
        <w:jc w:val="both"/>
        <w:rPr>
          <w:rFonts w:ascii="Verdana" w:hAnsi="Verdana"/>
          <w:bCs w:val="0"/>
          <w:sz w:val="20"/>
          <w:szCs w:val="20"/>
          <w:lang w:val="es-ES_tradnl"/>
        </w:rPr>
      </w:pPr>
      <w:r>
        <w:rPr>
          <w:rFonts w:ascii="Verdana" w:hAnsi="Verdana"/>
          <w:bCs w:val="0"/>
          <w:sz w:val="20"/>
          <w:szCs w:val="20"/>
          <w:lang w:val="es-ES_tradnl"/>
        </w:rPr>
        <w:t xml:space="preserve">4. </w:t>
      </w:r>
      <w:r>
        <w:rPr>
          <w:rFonts w:ascii="Verdana" w:hAnsi="Verdana"/>
          <w:bCs w:val="0"/>
          <w:sz w:val="20"/>
          <w:szCs w:val="20"/>
          <w:lang w:val="es-ES_tradnl"/>
        </w:rPr>
        <w:tab/>
      </w:r>
      <w:r w:rsidR="003168A2" w:rsidRPr="0036342D">
        <w:rPr>
          <w:rFonts w:ascii="Verdana" w:hAnsi="Verdana"/>
          <w:bCs w:val="0"/>
          <w:sz w:val="20"/>
          <w:szCs w:val="20"/>
          <w:lang w:val="es-ES_tradnl"/>
        </w:rPr>
        <w:t>Caracterización de los hechos alegados</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tabs>
          <w:tab w:val="clear" w:pos="720"/>
        </w:tabs>
        <w:spacing w:before="0" w:beforeAutospacing="0" w:after="0" w:afterAutospacing="0"/>
        <w:jc w:val="both"/>
        <w:rPr>
          <w:rFonts w:ascii="Verdana" w:hAnsi="Verdana"/>
          <w:sz w:val="20"/>
          <w:szCs w:val="20"/>
          <w:lang w:val="es-ES_tradnl"/>
        </w:rPr>
      </w:pPr>
      <w:r w:rsidRPr="0036342D">
        <w:rPr>
          <w:rFonts w:ascii="Verdana" w:hAnsi="Verdana" w:cs="Verdana"/>
          <w:sz w:val="20"/>
          <w:szCs w:val="20"/>
          <w:lang w:val="es-ES_tradnl" w:bidi="en-US"/>
        </w:rPr>
        <w:t xml:space="preserve">En vista de los elementos de hecho y de derecho presentados por las partes y la naturaleza del asunto puesto bajo su conocimiento, la CIDH considera que las alegaciones de los peticionarios </w:t>
      </w:r>
      <w:r w:rsidR="009B7815" w:rsidRPr="0036342D">
        <w:rPr>
          <w:rFonts w:ascii="Verdana" w:hAnsi="Verdana" w:cs="Verdana"/>
          <w:sz w:val="20"/>
          <w:szCs w:val="20"/>
          <w:lang w:val="es-ES_tradnl" w:bidi="en-US"/>
        </w:rPr>
        <w:t>en el sentido</w:t>
      </w:r>
      <w:r w:rsidRPr="0036342D">
        <w:rPr>
          <w:rFonts w:ascii="Verdana" w:hAnsi="Verdana" w:cs="Verdana"/>
          <w:sz w:val="20"/>
          <w:szCs w:val="20"/>
          <w:lang w:val="es-ES_tradnl" w:bidi="en-US"/>
        </w:rPr>
        <w:t xml:space="preserve"> de que en el procedimiento administrativo de información sumaria que se le siguió a Homero Flor, éste no habría contado con la oportunidad de presenciar las declaraciones de los testigos en su contra ni de interrogarlos, podrían caracterizar posibles violaciones a las garantías judiciales y la protección judicial protegidos en los artículos 8(1) y 25, en concordancia con el artículo 1(1) de la Convención Americana.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5C72AD" w:rsidRPr="0036342D" w:rsidRDefault="005C72AD" w:rsidP="005E265D">
      <w:pPr>
        <w:pStyle w:val="BodyText"/>
        <w:numPr>
          <w:ilvl w:val="0"/>
          <w:numId w:val="5"/>
        </w:numPr>
        <w:tabs>
          <w:tab w:val="clear" w:pos="720"/>
        </w:tabs>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La Comisión observa que en cuanto al reclamo de los peticionarios sobre</w:t>
      </w:r>
      <w:r w:rsidR="009B2B45" w:rsidRPr="0036342D">
        <w:rPr>
          <w:rFonts w:ascii="Verdana" w:hAnsi="Verdana"/>
          <w:sz w:val="20"/>
          <w:szCs w:val="20"/>
          <w:lang w:val="es-ES_tradnl"/>
        </w:rPr>
        <w:t xml:space="preserve"> tratamiento discriminatorio en relación con el </w:t>
      </w:r>
      <w:r w:rsidRPr="0036342D">
        <w:rPr>
          <w:rFonts w:ascii="Verdana" w:hAnsi="Verdana"/>
          <w:sz w:val="20"/>
          <w:szCs w:val="20"/>
          <w:lang w:val="es-ES_tradnl"/>
        </w:rPr>
        <w:t xml:space="preserve">artículo 24 de la Convención Americana sobre Derechos Humanos en concordancia con los artículos 1(1) y 2 del mismo Tratado, </w:t>
      </w:r>
      <w:r w:rsidRPr="0036342D">
        <w:rPr>
          <w:rFonts w:ascii="Verdana" w:hAnsi="Verdana"/>
          <w:sz w:val="20"/>
          <w:szCs w:val="20"/>
          <w:lang w:val="es-AR"/>
        </w:rPr>
        <w:t>los alegatos planteados requieren de un análisis de fondo bajo los estándares de la Convención Americana</w:t>
      </w:r>
      <w:r w:rsidRPr="0036342D">
        <w:rPr>
          <w:rFonts w:ascii="Verdana" w:hAnsi="Verdana" w:cs="Verdana"/>
          <w:sz w:val="20"/>
          <w:szCs w:val="20"/>
          <w:lang w:val="es-ES" w:bidi="en-US"/>
        </w:rPr>
        <w:t>.</w:t>
      </w:r>
    </w:p>
    <w:p w:rsidR="00AF4111" w:rsidRPr="0036342D" w:rsidRDefault="00AF4111" w:rsidP="005E265D">
      <w:pPr>
        <w:pStyle w:val="BodyText"/>
        <w:spacing w:before="0" w:beforeAutospacing="0" w:after="0" w:afterAutospacing="0"/>
        <w:jc w:val="both"/>
        <w:rPr>
          <w:rFonts w:ascii="Verdana" w:hAnsi="Verdana"/>
          <w:sz w:val="20"/>
          <w:szCs w:val="20"/>
          <w:lang w:val="es-ES_tradnl"/>
        </w:rPr>
      </w:pPr>
    </w:p>
    <w:p w:rsidR="005C72AD" w:rsidRPr="0036342D" w:rsidRDefault="005C72AD" w:rsidP="005E265D">
      <w:pPr>
        <w:pStyle w:val="BodyText"/>
        <w:numPr>
          <w:ilvl w:val="0"/>
          <w:numId w:val="5"/>
        </w:numPr>
        <w:tabs>
          <w:tab w:val="clear" w:pos="720"/>
        </w:tabs>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 xml:space="preserve">En cuanto al reclamo de los peticionarios sobre la presunta violación de los artículos 9 y 11 de la Convención Americana sobre Derechos Humanos y el artículo XIV de la Declaración Americana de los Derechos y Deberes del Hombre, </w:t>
      </w:r>
      <w:r w:rsidRPr="0036342D">
        <w:rPr>
          <w:rFonts w:ascii="Verdana" w:hAnsi="Verdana" w:cs="Verdana"/>
          <w:sz w:val="20"/>
          <w:szCs w:val="20"/>
          <w:lang w:val="es-ES" w:bidi="en-US"/>
        </w:rPr>
        <w:t xml:space="preserve">la Comisión observa </w:t>
      </w:r>
      <w:r w:rsidRPr="0036342D">
        <w:rPr>
          <w:rFonts w:ascii="Verdana" w:hAnsi="Verdana"/>
          <w:sz w:val="20"/>
          <w:szCs w:val="20"/>
          <w:lang w:val="es-ES_tradnl"/>
        </w:rPr>
        <w:t xml:space="preserve">que </w:t>
      </w:r>
      <w:r w:rsidR="00AF4111" w:rsidRPr="0036342D">
        <w:rPr>
          <w:rFonts w:ascii="Verdana" w:hAnsi="Verdana"/>
          <w:sz w:val="20"/>
          <w:szCs w:val="20"/>
          <w:lang w:val="es-ES_tradnl"/>
        </w:rPr>
        <w:t>los peti</w:t>
      </w:r>
      <w:r w:rsidR="00C57C8E" w:rsidRPr="0036342D">
        <w:rPr>
          <w:rFonts w:ascii="Verdana" w:hAnsi="Verdana"/>
          <w:sz w:val="20"/>
          <w:szCs w:val="20"/>
          <w:lang w:val="es-ES_tradnl"/>
        </w:rPr>
        <w:t>cionarios no ofrecieron elementos</w:t>
      </w:r>
      <w:r w:rsidR="00AF4111" w:rsidRPr="0036342D">
        <w:rPr>
          <w:rFonts w:ascii="Verdana" w:hAnsi="Verdana"/>
          <w:sz w:val="20"/>
          <w:szCs w:val="20"/>
          <w:lang w:val="es-ES_tradnl"/>
        </w:rPr>
        <w:t xml:space="preserve"> suficiente</w:t>
      </w:r>
      <w:r w:rsidR="00C57C8E" w:rsidRPr="0036342D">
        <w:rPr>
          <w:rFonts w:ascii="Verdana" w:hAnsi="Verdana"/>
          <w:sz w:val="20"/>
          <w:szCs w:val="20"/>
          <w:lang w:val="es-ES_tradnl"/>
        </w:rPr>
        <w:t>s</w:t>
      </w:r>
      <w:r w:rsidR="00AF4111" w:rsidRPr="0036342D">
        <w:rPr>
          <w:rFonts w:ascii="Verdana" w:hAnsi="Verdana"/>
          <w:sz w:val="20"/>
          <w:szCs w:val="20"/>
          <w:lang w:val="es-ES_tradnl"/>
        </w:rPr>
        <w:t xml:space="preserve"> para su presunta violación </w:t>
      </w:r>
      <w:r w:rsidR="00AF4111" w:rsidRPr="0036342D">
        <w:rPr>
          <w:rFonts w:ascii="Verdana" w:hAnsi="Verdana"/>
          <w:sz w:val="20"/>
          <w:szCs w:val="20"/>
          <w:lang w:val="es-AR"/>
        </w:rPr>
        <w:t>por lo que no corresponde declarar dichas pretensiones como admisibles.</w:t>
      </w:r>
    </w:p>
    <w:p w:rsidR="00AF4111" w:rsidRPr="0036342D" w:rsidRDefault="00AF4111" w:rsidP="005E265D">
      <w:pPr>
        <w:pStyle w:val="BodyText"/>
        <w:spacing w:before="0" w:beforeAutospacing="0" w:after="0" w:afterAutospacing="0"/>
        <w:jc w:val="both"/>
        <w:rPr>
          <w:rFonts w:ascii="Verdana" w:hAnsi="Verdana"/>
          <w:sz w:val="20"/>
          <w:szCs w:val="20"/>
          <w:lang w:val="es-ES_tradnl"/>
        </w:rPr>
      </w:pPr>
    </w:p>
    <w:p w:rsidR="00AF4111" w:rsidRPr="0036342D" w:rsidRDefault="00AF4111" w:rsidP="005E265D">
      <w:pPr>
        <w:pStyle w:val="BodyText"/>
        <w:numPr>
          <w:ilvl w:val="0"/>
          <w:numId w:val="5"/>
        </w:numPr>
        <w:tabs>
          <w:tab w:val="clear" w:pos="720"/>
          <w:tab w:val="num" w:pos="360"/>
        </w:tabs>
        <w:spacing w:before="0" w:beforeAutospacing="0" w:after="0" w:afterAutospacing="0"/>
        <w:jc w:val="both"/>
        <w:rPr>
          <w:rFonts w:ascii="Verdana" w:hAnsi="Verdana"/>
          <w:sz w:val="20"/>
          <w:szCs w:val="20"/>
          <w:lang w:val="es-ES_tradnl"/>
        </w:rPr>
      </w:pPr>
      <w:r w:rsidRPr="0036342D">
        <w:rPr>
          <w:rFonts w:ascii="Verdana" w:hAnsi="Verdana"/>
          <w:sz w:val="20"/>
          <w:szCs w:val="20"/>
          <w:lang w:val="es-ES_tradnl"/>
        </w:rPr>
        <w:t>Por cuanto la falta de fundamento o la improcedencia de estos aspectos del reclamo no resultan evidentes, la Comisión considera satisfechos los requisitos establecidos en los artículos 47(b) y (c) de la Convención Americana.</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Heading1"/>
        <w:spacing w:before="0" w:after="0"/>
        <w:jc w:val="both"/>
        <w:rPr>
          <w:rFonts w:ascii="Verdana" w:hAnsi="Verdana"/>
          <w:sz w:val="20"/>
          <w:szCs w:val="20"/>
        </w:rPr>
      </w:pPr>
      <w:r w:rsidRPr="0036342D">
        <w:rPr>
          <w:rFonts w:ascii="Verdana" w:hAnsi="Verdana"/>
          <w:bCs w:val="0"/>
          <w:sz w:val="20"/>
          <w:szCs w:val="20"/>
        </w:rPr>
        <w:t>V.</w:t>
      </w:r>
      <w:r w:rsidRPr="0036342D">
        <w:rPr>
          <w:rFonts w:ascii="Verdana" w:hAnsi="Verdana"/>
          <w:bCs w:val="0"/>
          <w:sz w:val="20"/>
          <w:szCs w:val="20"/>
        </w:rPr>
        <w:tab/>
        <w:t>CONCLUSIONES</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5"/>
        </w:numPr>
        <w:spacing w:before="0" w:beforeAutospacing="0" w:after="0" w:afterAutospacing="0"/>
        <w:jc w:val="both"/>
        <w:rPr>
          <w:rFonts w:ascii="Verdana" w:hAnsi="Verdana" w:cs="Times-Roman"/>
          <w:sz w:val="20"/>
          <w:szCs w:val="20"/>
          <w:lang w:val="es-ES_tradnl" w:bidi="en-US"/>
        </w:rPr>
      </w:pPr>
      <w:r w:rsidRPr="0036342D">
        <w:rPr>
          <w:rFonts w:ascii="Verdana" w:hAnsi="Verdana" w:cs="Verdana"/>
          <w:sz w:val="20"/>
          <w:szCs w:val="20"/>
          <w:lang w:val="es-ES_tradnl" w:bidi="en-US"/>
        </w:rPr>
        <w:t>La Comisión concluye que es competente para examinar los reclamos presentados por los peticionarios sobre la presunta v</w:t>
      </w:r>
      <w:r w:rsidR="005C72AD" w:rsidRPr="0036342D">
        <w:rPr>
          <w:rFonts w:ascii="Verdana" w:hAnsi="Verdana" w:cs="Verdana"/>
          <w:sz w:val="20"/>
          <w:szCs w:val="20"/>
          <w:lang w:val="es-ES_tradnl" w:bidi="en-US"/>
        </w:rPr>
        <w:t xml:space="preserve">iolación de los artículos 8(1), 24 y 25 en concordancia con </w:t>
      </w:r>
      <w:r w:rsidRPr="0036342D">
        <w:rPr>
          <w:rFonts w:ascii="Verdana" w:hAnsi="Verdana" w:cs="Verdana"/>
          <w:sz w:val="20"/>
          <w:szCs w:val="20"/>
          <w:lang w:val="es-ES_tradnl" w:bidi="en-US"/>
        </w:rPr>
        <w:t>l</w:t>
      </w:r>
      <w:r w:rsidR="005C72AD" w:rsidRPr="0036342D">
        <w:rPr>
          <w:rFonts w:ascii="Verdana" w:hAnsi="Verdana" w:cs="Verdana"/>
          <w:sz w:val="20"/>
          <w:szCs w:val="20"/>
          <w:lang w:val="es-ES_tradnl" w:bidi="en-US"/>
        </w:rPr>
        <w:t>os artículos</w:t>
      </w:r>
      <w:r w:rsidRPr="0036342D">
        <w:rPr>
          <w:rFonts w:ascii="Verdana" w:hAnsi="Verdana" w:cs="Verdana"/>
          <w:sz w:val="20"/>
          <w:szCs w:val="20"/>
          <w:lang w:val="es-ES_tradnl" w:bidi="en-US"/>
        </w:rPr>
        <w:t xml:space="preserve"> 1(1)</w:t>
      </w:r>
      <w:r w:rsidR="005C72AD" w:rsidRPr="0036342D">
        <w:rPr>
          <w:rFonts w:ascii="Verdana" w:hAnsi="Verdana" w:cs="Verdana"/>
          <w:sz w:val="20"/>
          <w:szCs w:val="20"/>
          <w:lang w:val="es-ES_tradnl" w:bidi="en-US"/>
        </w:rPr>
        <w:t xml:space="preserve"> y 2</w:t>
      </w:r>
      <w:r w:rsidRPr="0036342D">
        <w:rPr>
          <w:rFonts w:ascii="Verdana" w:hAnsi="Verdana" w:cs="Verdana"/>
          <w:sz w:val="20"/>
          <w:szCs w:val="20"/>
          <w:lang w:val="es-ES_tradnl" w:bidi="en-US"/>
        </w:rPr>
        <w:t xml:space="preserve"> de la Convención Americana, y que éstos son admisibles, conforme a los requisitos establecidos en los artículos 46 y 47 de la Convención Americana.  Asimismo, concluye que corresponde declarar inadmisibles los reclamos sobre </w:t>
      </w:r>
      <w:r w:rsidRPr="0036342D">
        <w:rPr>
          <w:rFonts w:ascii="Verdana" w:hAnsi="Verdana" w:cs="Verdana"/>
          <w:sz w:val="20"/>
          <w:szCs w:val="20"/>
          <w:lang w:val="es-ES_tradnl" w:bidi="en-US"/>
        </w:rPr>
        <w:lastRenderedPageBreak/>
        <w:t>la presunta violación de los artículos 9</w:t>
      </w:r>
      <w:r w:rsidR="005C72AD" w:rsidRPr="0036342D">
        <w:rPr>
          <w:rFonts w:ascii="Verdana" w:hAnsi="Verdana" w:cs="Verdana"/>
          <w:sz w:val="20"/>
          <w:szCs w:val="20"/>
          <w:lang w:val="es-ES_tradnl" w:bidi="en-US"/>
        </w:rPr>
        <w:t xml:space="preserve"> y</w:t>
      </w:r>
      <w:r w:rsidRPr="0036342D">
        <w:rPr>
          <w:rFonts w:ascii="Verdana" w:hAnsi="Verdana" w:cs="Verdana"/>
          <w:sz w:val="20"/>
          <w:szCs w:val="20"/>
          <w:lang w:val="es-ES_tradnl" w:bidi="en-US"/>
        </w:rPr>
        <w:t xml:space="preserve"> 11 de la Convención Americana y </w:t>
      </w:r>
      <w:r w:rsidRPr="0036342D">
        <w:rPr>
          <w:rFonts w:ascii="Verdana" w:hAnsi="Verdana"/>
          <w:sz w:val="20"/>
          <w:szCs w:val="20"/>
          <w:lang w:val="es-ES_tradnl"/>
        </w:rPr>
        <w:t>el artículo XIV de la Declaración Americana de los Derechos y Deberes del Hombre.</w:t>
      </w:r>
    </w:p>
    <w:p w:rsidR="003168A2" w:rsidRPr="0036342D" w:rsidRDefault="003168A2" w:rsidP="005E265D">
      <w:pPr>
        <w:widowControl w:val="0"/>
        <w:autoSpaceDE w:val="0"/>
        <w:autoSpaceDN w:val="0"/>
        <w:adjustRightInd w:val="0"/>
        <w:jc w:val="both"/>
        <w:rPr>
          <w:rFonts w:ascii="Verdana" w:hAnsi="Verdana" w:cs="Times-Roman"/>
          <w:sz w:val="20"/>
          <w:szCs w:val="20"/>
          <w:lang w:bidi="en-US"/>
        </w:rPr>
      </w:pPr>
    </w:p>
    <w:p w:rsidR="003168A2" w:rsidRPr="0036342D" w:rsidRDefault="003168A2" w:rsidP="005E265D">
      <w:pPr>
        <w:pStyle w:val="BodyText"/>
        <w:numPr>
          <w:ilvl w:val="0"/>
          <w:numId w:val="5"/>
        </w:numPr>
        <w:tabs>
          <w:tab w:val="clear" w:pos="720"/>
        </w:tabs>
        <w:spacing w:before="0" w:beforeAutospacing="0" w:after="0" w:afterAutospacing="0"/>
        <w:jc w:val="both"/>
        <w:rPr>
          <w:rFonts w:ascii="Verdana" w:hAnsi="Verdana"/>
          <w:sz w:val="20"/>
          <w:szCs w:val="20"/>
          <w:lang w:val="es-ES_tradnl"/>
        </w:rPr>
      </w:pPr>
      <w:r w:rsidRPr="0036342D">
        <w:rPr>
          <w:rFonts w:ascii="Verdana" w:hAnsi="Verdana" w:cs="Verdana"/>
          <w:sz w:val="20"/>
          <w:szCs w:val="20"/>
          <w:lang w:val="es-ES_tradnl" w:bidi="en-US"/>
        </w:rPr>
        <w:t>Con fundamento en los argumentos de hecho y de derecho antes expuestos y sin que ello signifique prejuzgar sobre el fondo del asunto,</w:t>
      </w:r>
    </w:p>
    <w:p w:rsidR="003168A2" w:rsidRDefault="003168A2" w:rsidP="005E265D">
      <w:pPr>
        <w:pStyle w:val="BodyText"/>
        <w:spacing w:before="0" w:beforeAutospacing="0" w:after="0" w:afterAutospacing="0"/>
        <w:jc w:val="both"/>
        <w:rPr>
          <w:rFonts w:ascii="Verdana" w:hAnsi="Verdana"/>
          <w:b/>
          <w:bCs/>
          <w:sz w:val="20"/>
          <w:szCs w:val="20"/>
          <w:lang w:val="es-ES_tradnl"/>
        </w:rPr>
      </w:pPr>
    </w:p>
    <w:p w:rsidR="00AF26CE" w:rsidRPr="0036342D" w:rsidRDefault="00AF26CE" w:rsidP="005E265D">
      <w:pPr>
        <w:pStyle w:val="BodyText"/>
        <w:spacing w:before="0" w:beforeAutospacing="0" w:after="0" w:afterAutospacing="0"/>
        <w:jc w:val="both"/>
        <w:rPr>
          <w:rFonts w:ascii="Verdana" w:hAnsi="Verdana"/>
          <w:b/>
          <w:bCs/>
          <w:sz w:val="20"/>
          <w:szCs w:val="20"/>
          <w:lang w:val="es-ES_tradnl"/>
        </w:rPr>
      </w:pPr>
    </w:p>
    <w:p w:rsidR="003168A2" w:rsidRPr="0036342D" w:rsidRDefault="003168A2" w:rsidP="005E265D">
      <w:pPr>
        <w:pStyle w:val="BodyText"/>
        <w:spacing w:before="0" w:beforeAutospacing="0" w:after="0" w:afterAutospacing="0"/>
        <w:jc w:val="center"/>
        <w:rPr>
          <w:rFonts w:ascii="Verdana" w:hAnsi="Verdana"/>
          <w:sz w:val="20"/>
          <w:szCs w:val="20"/>
          <w:lang w:val="es-ES_tradnl"/>
        </w:rPr>
      </w:pPr>
      <w:r w:rsidRPr="0036342D">
        <w:rPr>
          <w:rFonts w:ascii="Verdana" w:hAnsi="Verdana"/>
          <w:b/>
          <w:bCs/>
          <w:sz w:val="20"/>
          <w:szCs w:val="20"/>
          <w:lang w:val="es-ES_tradnl"/>
        </w:rPr>
        <w:t>LA COMISIÓN INTERAMERICANA DE DERECHOS HUMANOS,</w:t>
      </w:r>
    </w:p>
    <w:p w:rsidR="003168A2" w:rsidRPr="0036342D" w:rsidRDefault="003168A2" w:rsidP="005E265D">
      <w:pPr>
        <w:pStyle w:val="BodyText"/>
        <w:spacing w:before="0" w:beforeAutospacing="0" w:after="0" w:afterAutospacing="0"/>
        <w:jc w:val="center"/>
        <w:rPr>
          <w:rFonts w:ascii="Verdana" w:hAnsi="Verdana"/>
          <w:sz w:val="20"/>
          <w:szCs w:val="20"/>
          <w:lang w:val="es-ES_tradnl"/>
        </w:rPr>
      </w:pPr>
      <w:r w:rsidRPr="0036342D">
        <w:rPr>
          <w:rFonts w:ascii="Verdana" w:hAnsi="Verdana"/>
          <w:b/>
          <w:bCs/>
          <w:sz w:val="20"/>
          <w:szCs w:val="20"/>
          <w:lang w:val="es-ES_tradnl"/>
        </w:rPr>
        <w:t>DECIDE:</w:t>
      </w:r>
    </w:p>
    <w:p w:rsidR="003168A2" w:rsidRPr="0036342D" w:rsidRDefault="003168A2" w:rsidP="005E265D">
      <w:pPr>
        <w:pStyle w:val="BodyText"/>
        <w:spacing w:before="0" w:beforeAutospacing="0" w:after="0" w:afterAutospacing="0"/>
        <w:ind w:firstLine="720"/>
        <w:jc w:val="both"/>
        <w:rPr>
          <w:rFonts w:ascii="Verdana" w:hAnsi="Verdana"/>
          <w:sz w:val="20"/>
          <w:szCs w:val="20"/>
          <w:lang w:val="es-ES_tradnl"/>
        </w:rPr>
      </w:pPr>
    </w:p>
    <w:p w:rsidR="003168A2" w:rsidRPr="0036342D" w:rsidRDefault="003168A2" w:rsidP="005E265D">
      <w:pPr>
        <w:pStyle w:val="BodyText"/>
        <w:numPr>
          <w:ilvl w:val="0"/>
          <w:numId w:val="7"/>
        </w:numPr>
        <w:tabs>
          <w:tab w:val="clear" w:pos="1440"/>
        </w:tabs>
        <w:spacing w:before="0" w:beforeAutospacing="0" w:after="0" w:afterAutospacing="0"/>
        <w:ind w:left="0" w:firstLine="720"/>
        <w:jc w:val="both"/>
        <w:rPr>
          <w:rFonts w:ascii="Verdana" w:hAnsi="Verdana"/>
          <w:sz w:val="20"/>
          <w:szCs w:val="20"/>
          <w:lang w:val="es-ES_tradnl"/>
        </w:rPr>
      </w:pPr>
      <w:r w:rsidRPr="0036342D">
        <w:rPr>
          <w:rFonts w:ascii="Verdana" w:hAnsi="Verdana"/>
          <w:sz w:val="20"/>
          <w:szCs w:val="20"/>
          <w:lang w:val="es-ES_tradnl"/>
        </w:rPr>
        <w:t>Declarar admisible el presente reclamo con relación a los artículos 8(1)</w:t>
      </w:r>
      <w:r w:rsidR="005C72AD" w:rsidRPr="0036342D">
        <w:rPr>
          <w:rFonts w:ascii="Verdana" w:hAnsi="Verdana"/>
          <w:sz w:val="20"/>
          <w:szCs w:val="20"/>
          <w:lang w:val="es-ES_tradnl"/>
        </w:rPr>
        <w:t>, 24</w:t>
      </w:r>
      <w:r w:rsidRPr="0036342D">
        <w:rPr>
          <w:rFonts w:ascii="Verdana" w:hAnsi="Verdana"/>
          <w:sz w:val="20"/>
          <w:szCs w:val="20"/>
          <w:lang w:val="es-ES_tradnl"/>
        </w:rPr>
        <w:t xml:space="preserve"> y 25 en </w:t>
      </w:r>
      <w:r w:rsidR="005C72AD" w:rsidRPr="0036342D">
        <w:rPr>
          <w:rFonts w:ascii="Verdana" w:hAnsi="Verdana"/>
          <w:sz w:val="20"/>
          <w:szCs w:val="20"/>
          <w:lang w:val="es-ES_tradnl"/>
        </w:rPr>
        <w:t xml:space="preserve">concordancia con </w:t>
      </w:r>
      <w:r w:rsidRPr="0036342D">
        <w:rPr>
          <w:rFonts w:ascii="Verdana" w:hAnsi="Verdana"/>
          <w:sz w:val="20"/>
          <w:szCs w:val="20"/>
          <w:lang w:val="es-ES_tradnl"/>
        </w:rPr>
        <w:t>l</w:t>
      </w:r>
      <w:r w:rsidR="005C72AD" w:rsidRPr="0036342D">
        <w:rPr>
          <w:rFonts w:ascii="Verdana" w:hAnsi="Verdana"/>
          <w:sz w:val="20"/>
          <w:szCs w:val="20"/>
          <w:lang w:val="es-ES_tradnl"/>
        </w:rPr>
        <w:t>os</w:t>
      </w:r>
      <w:r w:rsidRPr="0036342D">
        <w:rPr>
          <w:rFonts w:ascii="Verdana" w:hAnsi="Verdana"/>
          <w:sz w:val="20"/>
          <w:szCs w:val="20"/>
          <w:lang w:val="es-ES_tradnl"/>
        </w:rPr>
        <w:t xml:space="preserve"> artículo</w:t>
      </w:r>
      <w:r w:rsidR="005C72AD" w:rsidRPr="0036342D">
        <w:rPr>
          <w:rFonts w:ascii="Verdana" w:hAnsi="Verdana"/>
          <w:sz w:val="20"/>
          <w:szCs w:val="20"/>
          <w:lang w:val="es-ES_tradnl"/>
        </w:rPr>
        <w:t>s</w:t>
      </w:r>
      <w:r w:rsidRPr="0036342D">
        <w:rPr>
          <w:rFonts w:ascii="Verdana" w:hAnsi="Verdana"/>
          <w:sz w:val="20"/>
          <w:szCs w:val="20"/>
          <w:lang w:val="es-ES_tradnl"/>
        </w:rPr>
        <w:t xml:space="preserve"> 1(1)</w:t>
      </w:r>
      <w:r w:rsidR="005C72AD" w:rsidRPr="0036342D">
        <w:rPr>
          <w:rFonts w:ascii="Verdana" w:hAnsi="Verdana"/>
          <w:sz w:val="20"/>
          <w:szCs w:val="20"/>
          <w:lang w:val="es-ES_tradnl"/>
        </w:rPr>
        <w:t xml:space="preserve"> y 2</w:t>
      </w:r>
      <w:r w:rsidRPr="0036342D">
        <w:rPr>
          <w:rFonts w:ascii="Verdana" w:hAnsi="Verdana"/>
          <w:sz w:val="20"/>
          <w:szCs w:val="20"/>
          <w:lang w:val="es-ES_tradnl"/>
        </w:rPr>
        <w:t xml:space="preserve"> de la Convención.</w:t>
      </w:r>
    </w:p>
    <w:p w:rsidR="003168A2" w:rsidRPr="0036342D" w:rsidRDefault="003168A2" w:rsidP="005E265D">
      <w:pPr>
        <w:pStyle w:val="BodyText"/>
        <w:spacing w:before="0" w:beforeAutospacing="0" w:after="0" w:afterAutospacing="0"/>
        <w:jc w:val="both"/>
        <w:rPr>
          <w:rFonts w:ascii="Verdana" w:hAnsi="Verdana"/>
          <w:sz w:val="20"/>
          <w:szCs w:val="20"/>
          <w:lang w:val="es-ES_tradnl"/>
        </w:rPr>
      </w:pPr>
    </w:p>
    <w:p w:rsidR="003168A2" w:rsidRPr="0036342D" w:rsidRDefault="003168A2" w:rsidP="005E265D">
      <w:pPr>
        <w:pStyle w:val="BodyText"/>
        <w:numPr>
          <w:ilvl w:val="0"/>
          <w:numId w:val="7"/>
        </w:numPr>
        <w:tabs>
          <w:tab w:val="clear" w:pos="1440"/>
        </w:tabs>
        <w:spacing w:before="0" w:beforeAutospacing="0" w:after="0" w:afterAutospacing="0"/>
        <w:ind w:left="0" w:firstLine="720"/>
        <w:jc w:val="both"/>
        <w:rPr>
          <w:rFonts w:ascii="Verdana" w:hAnsi="Verdana"/>
          <w:sz w:val="20"/>
          <w:szCs w:val="20"/>
          <w:lang w:val="es-ES_tradnl"/>
        </w:rPr>
      </w:pPr>
      <w:r w:rsidRPr="0036342D">
        <w:rPr>
          <w:rFonts w:ascii="Verdana" w:hAnsi="Verdana"/>
          <w:sz w:val="20"/>
          <w:szCs w:val="20"/>
          <w:lang w:val="es-ES_tradnl"/>
        </w:rPr>
        <w:t>Notificar esta decisión al Estado ecuatoriano y a los peticionarios.</w:t>
      </w:r>
    </w:p>
    <w:p w:rsidR="003168A2" w:rsidRPr="0036342D" w:rsidRDefault="003168A2" w:rsidP="005E265D">
      <w:pPr>
        <w:pStyle w:val="BodyText"/>
        <w:spacing w:before="0" w:beforeAutospacing="0" w:after="0" w:afterAutospacing="0"/>
        <w:jc w:val="both"/>
        <w:rPr>
          <w:rFonts w:ascii="Verdana" w:hAnsi="Verdana" w:cs="Verdana"/>
          <w:sz w:val="20"/>
          <w:szCs w:val="20"/>
          <w:lang w:val="es-ES_tradnl" w:bidi="en-US"/>
        </w:rPr>
      </w:pPr>
    </w:p>
    <w:p w:rsidR="003168A2" w:rsidRPr="0036342D" w:rsidRDefault="003168A2" w:rsidP="005E265D">
      <w:pPr>
        <w:pStyle w:val="BodyText"/>
        <w:numPr>
          <w:ilvl w:val="0"/>
          <w:numId w:val="7"/>
        </w:numPr>
        <w:tabs>
          <w:tab w:val="clear" w:pos="1440"/>
        </w:tabs>
        <w:spacing w:before="0" w:beforeAutospacing="0" w:after="0" w:afterAutospacing="0"/>
        <w:ind w:left="0" w:firstLine="720"/>
        <w:jc w:val="both"/>
        <w:rPr>
          <w:rFonts w:ascii="Verdana" w:hAnsi="Verdana"/>
          <w:sz w:val="20"/>
          <w:szCs w:val="20"/>
          <w:lang w:val="es-ES_tradnl"/>
        </w:rPr>
      </w:pPr>
      <w:r w:rsidRPr="0036342D">
        <w:rPr>
          <w:rFonts w:ascii="Verdana" w:hAnsi="Verdana" w:cs="Verdana"/>
          <w:sz w:val="20"/>
          <w:szCs w:val="20"/>
          <w:lang w:val="es-ES_tradnl" w:bidi="en-US"/>
        </w:rPr>
        <w:t>Continuar con el análisis del fondo de la cuestión.</w:t>
      </w:r>
    </w:p>
    <w:p w:rsidR="003168A2" w:rsidRPr="0036342D" w:rsidRDefault="003168A2" w:rsidP="005E265D">
      <w:pPr>
        <w:pStyle w:val="BodyText"/>
        <w:spacing w:before="0" w:beforeAutospacing="0" w:after="0" w:afterAutospacing="0"/>
        <w:ind w:firstLine="720"/>
        <w:jc w:val="both"/>
        <w:rPr>
          <w:rFonts w:ascii="Verdana" w:hAnsi="Verdana"/>
          <w:sz w:val="20"/>
          <w:szCs w:val="20"/>
          <w:lang w:val="es-ES_tradnl"/>
        </w:rPr>
      </w:pPr>
    </w:p>
    <w:p w:rsidR="003168A2" w:rsidRPr="0036342D" w:rsidRDefault="003168A2" w:rsidP="005E265D">
      <w:pPr>
        <w:pStyle w:val="BodyText"/>
        <w:numPr>
          <w:ilvl w:val="0"/>
          <w:numId w:val="7"/>
        </w:numPr>
        <w:tabs>
          <w:tab w:val="clear" w:pos="1440"/>
        </w:tabs>
        <w:spacing w:before="0" w:beforeAutospacing="0" w:after="0" w:afterAutospacing="0"/>
        <w:ind w:left="0" w:firstLine="720"/>
        <w:jc w:val="both"/>
        <w:rPr>
          <w:rFonts w:ascii="Verdana" w:hAnsi="Verdana"/>
          <w:sz w:val="20"/>
          <w:szCs w:val="20"/>
          <w:lang w:val="es-ES_tradnl"/>
        </w:rPr>
      </w:pPr>
      <w:r w:rsidRPr="0036342D">
        <w:rPr>
          <w:rFonts w:ascii="Verdana" w:hAnsi="Verdana"/>
          <w:sz w:val="20"/>
          <w:szCs w:val="20"/>
          <w:lang w:val="es-ES_tradnl"/>
        </w:rPr>
        <w:t>Publicar esta decisión e incluirla en su Informe Anual a la Asamblea General de la OEA.</w:t>
      </w:r>
    </w:p>
    <w:p w:rsidR="0062203C" w:rsidRPr="0036342D" w:rsidRDefault="0062203C" w:rsidP="005E265D">
      <w:pPr>
        <w:pStyle w:val="BodyText"/>
        <w:spacing w:before="0" w:beforeAutospacing="0" w:after="0" w:afterAutospacing="0"/>
        <w:jc w:val="both"/>
        <w:rPr>
          <w:rFonts w:ascii="Verdana" w:hAnsi="Verdana"/>
          <w:sz w:val="20"/>
          <w:szCs w:val="20"/>
          <w:lang w:val="es-ES_tradnl"/>
        </w:rPr>
      </w:pPr>
    </w:p>
    <w:p w:rsidR="0062203C" w:rsidRPr="0036342D" w:rsidRDefault="0062203C" w:rsidP="005E265D">
      <w:pPr>
        <w:suppressAutoHyphens/>
        <w:ind w:firstLine="720"/>
        <w:jc w:val="both"/>
        <w:rPr>
          <w:rFonts w:ascii="Verdana" w:hAnsi="Verdana" w:cs="Arial"/>
          <w:noProof/>
          <w:spacing w:val="-2"/>
          <w:sz w:val="20"/>
          <w:szCs w:val="20"/>
          <w:lang w:val="es-CL"/>
        </w:rPr>
      </w:pPr>
      <w:r w:rsidRPr="0036342D">
        <w:rPr>
          <w:rFonts w:ascii="Verdana" w:hAnsi="Verdana" w:cs="Arial"/>
          <w:noProof/>
          <w:spacing w:val="-2"/>
          <w:sz w:val="20"/>
          <w:szCs w:val="20"/>
          <w:lang w:val="es-CL"/>
        </w:rPr>
        <w:t xml:space="preserve">Dado y firmado en la ciudad de Washington, D.C., a los 15 días del mes de marzo de 2010.  A favor: Felipe González, Presidente; </w:t>
      </w:r>
      <w:r w:rsidRPr="0036342D">
        <w:rPr>
          <w:rFonts w:ascii="Verdana" w:hAnsi="Verdana" w:cs="Arial"/>
          <w:noProof/>
          <w:sz w:val="20"/>
          <w:szCs w:val="20"/>
          <w:lang w:val="es-CL"/>
        </w:rPr>
        <w:t>Paulo Sérgio Pinheiro</w:t>
      </w:r>
      <w:r w:rsidRPr="0036342D">
        <w:rPr>
          <w:rFonts w:ascii="Verdana" w:hAnsi="Verdana" w:cs="Arial"/>
          <w:noProof/>
          <w:spacing w:val="-2"/>
          <w:sz w:val="20"/>
          <w:szCs w:val="20"/>
          <w:lang w:val="es-CL"/>
        </w:rPr>
        <w:t>, Primer Vicepresidente; Dinah Shelton, Segunda Vicepresidenta; María Silvia Guillén, y José de Jesús Orozco Henríquez; Rodrigo Escobar Gil (en disidencia), Miembros de la Comisión.</w:t>
      </w:r>
    </w:p>
    <w:sectPr w:rsidR="0062203C" w:rsidRPr="0036342D" w:rsidSect="003168A2">
      <w:headerReference w:type="even" r:id="rId8"/>
      <w:headerReference w:type="default" r:id="rId9"/>
      <w:endnotePr>
        <w:numFmt w:val="decimal"/>
      </w:end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13F" w:rsidRDefault="00C7413F">
      <w:r>
        <w:separator/>
      </w:r>
    </w:p>
  </w:endnote>
  <w:endnote w:type="continuationSeparator" w:id="0">
    <w:p w:rsidR="00C7413F" w:rsidRDefault="00C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13F" w:rsidRPr="0015719E" w:rsidRDefault="00C7413F">
      <w:pPr>
        <w:rPr>
          <w:rFonts w:ascii="Univers" w:hAnsi="Univers"/>
          <w:sz w:val="16"/>
          <w:szCs w:val="16"/>
        </w:rPr>
      </w:pPr>
      <w:r w:rsidRPr="0015719E">
        <w:rPr>
          <w:rFonts w:ascii="Univers" w:hAnsi="Univers"/>
          <w:sz w:val="16"/>
          <w:szCs w:val="16"/>
        </w:rPr>
        <w:separator/>
      </w:r>
    </w:p>
  </w:footnote>
  <w:footnote w:type="continuationSeparator" w:id="0">
    <w:p w:rsidR="00C7413F" w:rsidRPr="0015719E" w:rsidRDefault="00C7413F" w:rsidP="003168A2">
      <w:pPr>
        <w:rPr>
          <w:rFonts w:ascii="Univers" w:hAnsi="Univers"/>
          <w:sz w:val="16"/>
          <w:szCs w:val="16"/>
        </w:rPr>
      </w:pPr>
      <w:r w:rsidRPr="0015719E">
        <w:rPr>
          <w:rFonts w:ascii="Univers" w:hAnsi="Univers"/>
          <w:sz w:val="16"/>
          <w:szCs w:val="16"/>
        </w:rPr>
        <w:separator/>
      </w:r>
    </w:p>
    <w:p w:rsidR="00C7413F" w:rsidRPr="0015719E" w:rsidRDefault="00C7413F" w:rsidP="003168A2">
      <w:pPr>
        <w:pStyle w:val="Footer"/>
        <w:rPr>
          <w:rFonts w:ascii="Univers" w:hAnsi="Univers"/>
          <w:sz w:val="16"/>
          <w:szCs w:val="16"/>
        </w:rPr>
      </w:pPr>
      <w:r w:rsidRPr="0015719E">
        <w:rPr>
          <w:rFonts w:ascii="Univers" w:hAnsi="Univers"/>
          <w:sz w:val="16"/>
          <w:szCs w:val="16"/>
        </w:rPr>
        <w:t>…continuación</w:t>
      </w:r>
    </w:p>
  </w:footnote>
  <w:footnote w:type="continuationNotice" w:id="1">
    <w:p w:rsidR="00C7413F" w:rsidRPr="0015719E" w:rsidRDefault="00C7413F" w:rsidP="003168A2">
      <w:pPr>
        <w:jc w:val="right"/>
        <w:rPr>
          <w:rFonts w:ascii="Univers" w:hAnsi="Univers"/>
          <w:sz w:val="16"/>
          <w:szCs w:val="16"/>
        </w:rPr>
      </w:pPr>
      <w:r w:rsidRPr="0015719E">
        <w:rPr>
          <w:rFonts w:ascii="Univers" w:hAnsi="Univers"/>
          <w:sz w:val="16"/>
          <w:szCs w:val="16"/>
        </w:rPr>
        <w:t>Continúa…</w:t>
      </w:r>
    </w:p>
  </w:footnote>
  <w:footnote w:id="2">
    <w:p w:rsidR="001E37BE" w:rsidRPr="005E265D" w:rsidRDefault="001E37BE" w:rsidP="005E265D">
      <w:pPr>
        <w:pStyle w:val="FootnoteText"/>
        <w:spacing w:before="0" w:beforeAutospacing="0" w:after="0" w:afterAutospacing="0"/>
        <w:jc w:val="both"/>
        <w:rPr>
          <w:rFonts w:ascii="Verdana" w:hAnsi="Verdana"/>
          <w:sz w:val="16"/>
          <w:szCs w:val="16"/>
          <w:lang w:val="es-ES_tradnl"/>
        </w:rPr>
      </w:pPr>
      <w:r w:rsidRPr="005E265D">
        <w:rPr>
          <w:rFonts w:ascii="Verdana" w:hAnsi="Verdana"/>
          <w:sz w:val="16"/>
          <w:szCs w:val="16"/>
          <w:vertAlign w:val="superscript"/>
          <w:lang w:val="es-ES_tradnl"/>
        </w:rPr>
        <w:footnoteRef/>
      </w:r>
      <w:r w:rsidRPr="005E265D">
        <w:rPr>
          <w:rFonts w:ascii="Verdana" w:hAnsi="Verdana"/>
          <w:sz w:val="16"/>
          <w:szCs w:val="16"/>
          <w:lang w:val="es-ES_tradnl"/>
        </w:rPr>
        <w:t xml:space="preserve"> Los peticionarios señalan que el proceso administrativo denominado de información sumaria se tramita ante un juez militar.  El Reglamento para la Tramitación de Informaciones Sumarias en las Fuerzas Armadas fue expedido mediante Acuerdo Ministerial 1046 y publicado en la Orden General Ministerial 240 de fecha 22 de Diciembre de 1993.  Petición original recibida en la CIDH el 30 de agosto de 2002.</w:t>
      </w:r>
    </w:p>
  </w:footnote>
  <w:footnote w:id="3">
    <w:p w:rsidR="001E37BE" w:rsidRPr="005E265D" w:rsidRDefault="001E37BE" w:rsidP="005E265D">
      <w:pPr>
        <w:pStyle w:val="FootnoteText"/>
        <w:spacing w:before="0" w:beforeAutospacing="0" w:after="0" w:afterAutospacing="0"/>
        <w:jc w:val="both"/>
        <w:rPr>
          <w:rFonts w:ascii="Verdana" w:hAnsi="Verdana"/>
          <w:sz w:val="16"/>
          <w:szCs w:val="16"/>
          <w:lang w:val="es-ES_tradnl"/>
        </w:rPr>
      </w:pPr>
      <w:r w:rsidRPr="005E265D">
        <w:rPr>
          <w:rFonts w:ascii="Verdana" w:hAnsi="Verdana"/>
          <w:sz w:val="16"/>
          <w:szCs w:val="16"/>
          <w:vertAlign w:val="superscript"/>
          <w:lang w:val="es-ES_tradnl"/>
        </w:rPr>
        <w:footnoteRef/>
      </w:r>
      <w:r w:rsidRPr="005E265D">
        <w:rPr>
          <w:rFonts w:ascii="Verdana" w:hAnsi="Verdana"/>
          <w:sz w:val="16"/>
          <w:szCs w:val="16"/>
          <w:vertAlign w:val="superscript"/>
          <w:lang w:val="es-ES_tradnl"/>
        </w:rPr>
        <w:t xml:space="preserve"> </w:t>
      </w:r>
      <w:r w:rsidRPr="005E265D">
        <w:rPr>
          <w:rFonts w:ascii="Verdana" w:hAnsi="Verdana"/>
          <w:sz w:val="16"/>
          <w:szCs w:val="16"/>
          <w:lang w:val="es-ES_tradnl"/>
        </w:rPr>
        <w:t>Los peticionarios hacen referencia al artículo 87 de la Ley de Personal de las Fuerzas Armadas: “El militar será dado de baja por una de las siguientes causas: […] i) Por convenir al buen servicio, sea por mala conducta o por incompetencia profesional del militar, calificada así por el respectivo Consejo, de conformidad con lo establecido en el Reglamento correspondiente, cuando no tenga derecho a disponibilidad [...].  Ley No. 118. RO/ Sup 660 de 10 de abril de 1991.  Petición original recibida en la CIDH el 30 de agosto de 2002.</w:t>
      </w:r>
    </w:p>
  </w:footnote>
  <w:footnote w:id="4">
    <w:p w:rsidR="001E37BE" w:rsidRPr="005E265D" w:rsidRDefault="001E37BE" w:rsidP="005E265D">
      <w:pPr>
        <w:pStyle w:val="NormalWeb"/>
        <w:spacing w:before="0" w:beforeAutospacing="0" w:after="0" w:afterAutospacing="0"/>
        <w:jc w:val="both"/>
        <w:rPr>
          <w:rStyle w:val="FootnoteReference"/>
          <w:rFonts w:ascii="Verdana" w:eastAsia="Times New Roman" w:hAnsi="Verdana" w:cs="Times New Roman"/>
          <w:sz w:val="16"/>
          <w:szCs w:val="16"/>
          <w:vertAlign w:val="baseline"/>
          <w:lang w:val="es-ES_tradnl"/>
        </w:rPr>
      </w:pPr>
      <w:r w:rsidRPr="005E265D">
        <w:rPr>
          <w:rStyle w:val="FootnoteReference"/>
          <w:rFonts w:ascii="Verdana" w:hAnsi="Verdana"/>
          <w:sz w:val="16"/>
          <w:szCs w:val="16"/>
          <w:lang w:val="es-ES_tradnl"/>
        </w:rPr>
        <w:footnoteRef/>
      </w:r>
      <w:r w:rsidRPr="005E265D">
        <w:rPr>
          <w:rStyle w:val="FootnoteReference"/>
          <w:rFonts w:ascii="Verdana" w:hAnsi="Verdana"/>
          <w:sz w:val="16"/>
          <w:szCs w:val="16"/>
          <w:lang w:val="es-ES_tradnl"/>
        </w:rPr>
        <w:t xml:space="preserve"> </w:t>
      </w:r>
      <w:r w:rsidRPr="005E265D">
        <w:rPr>
          <w:rStyle w:val="FootnoteTextChar"/>
          <w:rFonts w:ascii="Verdana" w:hAnsi="Verdana"/>
          <w:sz w:val="16"/>
          <w:szCs w:val="16"/>
          <w:lang w:val="es-ES_tradnl"/>
        </w:rPr>
        <w:t>Los peticionarios hacen referencia al artículo 24 numeral 1 de la Constitución de la República del Ecuador de 1998: “Para asegurar el debido proceso deberán observarse las siguientes garantías básicas, sin menoscabo de otras que establezcan la Constitución, los instrumentos internacionales, las leyes o la jurisprudencia: 1. Nadie podrá ser juzgado por un acto u omisión que al momento de cometerse no esté legalmente tipificado como infracción penal, administrativa o de otra naturaleza, ni se le aplicará una sanción no prevista en la Constitución o la ley. Tampoco se podrá juzgar a una persona sino conforme a las leyes preexistentes, con observancia del trámite propio de cada procedimiento […]”.</w:t>
      </w:r>
    </w:p>
  </w:footnote>
  <w:footnote w:id="5">
    <w:p w:rsidR="001E37BE" w:rsidRPr="005E265D" w:rsidRDefault="001E37BE" w:rsidP="005E265D">
      <w:pPr>
        <w:jc w:val="both"/>
        <w:rPr>
          <w:rFonts w:ascii="Verdana" w:hAnsi="Verdana"/>
          <w:sz w:val="16"/>
          <w:szCs w:val="16"/>
        </w:rPr>
      </w:pPr>
      <w:r w:rsidRPr="005E265D">
        <w:rPr>
          <w:rStyle w:val="FootnoteReference"/>
          <w:rFonts w:ascii="Verdana" w:hAnsi="Verdana"/>
          <w:sz w:val="16"/>
          <w:szCs w:val="16"/>
        </w:rPr>
        <w:footnoteRef/>
      </w:r>
      <w:r w:rsidRPr="005E265D">
        <w:rPr>
          <w:rFonts w:ascii="Verdana" w:hAnsi="Verdana"/>
          <w:sz w:val="16"/>
          <w:szCs w:val="16"/>
        </w:rPr>
        <w:t xml:space="preserve"> Los peticionarios hacen referencia al artículo 23 numeral 25 de la Constitución de la República del Ecuador de 1998: “Sin perjuicio de los derechos establecidos en esta Constitución y en los instrumentos internacionales vigentes, el Estado reconocerá y garantizará a las personas los siguientes: […] 25. El derecho a tomar decisiones libres y responsables sobre su vida sexual […]”.</w:t>
      </w:r>
    </w:p>
  </w:footnote>
  <w:footnote w:id="6">
    <w:p w:rsidR="001E37BE" w:rsidRPr="005E265D" w:rsidRDefault="001E37BE" w:rsidP="005E265D">
      <w:pPr>
        <w:autoSpaceDE w:val="0"/>
        <w:autoSpaceDN w:val="0"/>
        <w:adjustRightInd w:val="0"/>
        <w:jc w:val="both"/>
        <w:rPr>
          <w:rStyle w:val="FootnoteReference"/>
          <w:rFonts w:ascii="Verdana" w:hAnsi="Verdana" w:cs="ArialMT"/>
          <w:vertAlign w:val="baseline"/>
        </w:rPr>
      </w:pPr>
      <w:r w:rsidRPr="005E265D">
        <w:rPr>
          <w:rStyle w:val="FootnoteReference"/>
          <w:rFonts w:ascii="Verdana" w:hAnsi="Verdana"/>
          <w:sz w:val="16"/>
          <w:szCs w:val="16"/>
        </w:rPr>
        <w:footnoteRef/>
      </w:r>
      <w:r w:rsidRPr="005E265D">
        <w:rPr>
          <w:rFonts w:ascii="Verdana" w:hAnsi="Verdana"/>
          <w:sz w:val="16"/>
          <w:szCs w:val="16"/>
        </w:rPr>
        <w:t xml:space="preserve"> Los peticionarios hacen referencia al Reglamento de Disciplina Militar vigente al momento de los hechos, Acuerdo Ministerial No. 831-A, publicado en la O.G.M. de 1º de Octubre de 1998.</w:t>
      </w:r>
    </w:p>
  </w:footnote>
  <w:footnote w:id="7">
    <w:p w:rsidR="001E37BE" w:rsidRPr="005E265D" w:rsidRDefault="001E37BE" w:rsidP="005E265D">
      <w:pPr>
        <w:autoSpaceDE w:val="0"/>
        <w:autoSpaceDN w:val="0"/>
        <w:adjustRightInd w:val="0"/>
        <w:jc w:val="both"/>
        <w:rPr>
          <w:rFonts w:ascii="Verdana" w:hAnsi="Verdana"/>
        </w:rPr>
      </w:pPr>
      <w:r w:rsidRPr="005E265D">
        <w:rPr>
          <w:rStyle w:val="FootnoteReference"/>
          <w:rFonts w:ascii="Verdana" w:hAnsi="Verdana"/>
          <w:sz w:val="16"/>
          <w:szCs w:val="16"/>
        </w:rPr>
        <w:footnoteRef/>
      </w:r>
      <w:r w:rsidRPr="005E265D">
        <w:rPr>
          <w:rStyle w:val="FootnoteReference"/>
          <w:rFonts w:ascii="Verdana" w:hAnsi="Verdana"/>
          <w:sz w:val="16"/>
          <w:szCs w:val="16"/>
        </w:rPr>
        <w:t xml:space="preserve"> </w:t>
      </w:r>
      <w:r w:rsidRPr="005E265D">
        <w:rPr>
          <w:rFonts w:ascii="Verdana" w:hAnsi="Verdana"/>
          <w:sz w:val="16"/>
          <w:szCs w:val="16"/>
        </w:rPr>
        <w:t>Los peticionarios señalan que la noción de “actos sexuales ilegítimos” aparentemente se refiere a las relaciones sexuales heterosexuales practicadas en ausencia de relación matrimonial o por fuera de ésta.</w:t>
      </w:r>
    </w:p>
  </w:footnote>
  <w:footnote w:id="8">
    <w:p w:rsidR="001E37BE" w:rsidRPr="005E265D" w:rsidRDefault="001E37BE" w:rsidP="005E265D">
      <w:pPr>
        <w:pStyle w:val="FootnoteText"/>
        <w:spacing w:before="0" w:beforeAutospacing="0" w:after="0" w:afterAutospacing="0"/>
        <w:jc w:val="both"/>
        <w:rPr>
          <w:rStyle w:val="FootnoteReference"/>
          <w:rFonts w:ascii="Verdana" w:hAnsi="Verdana"/>
          <w:sz w:val="16"/>
          <w:szCs w:val="16"/>
          <w:vertAlign w:val="baseline"/>
          <w:lang w:val="es-ES_tradnl"/>
        </w:rPr>
      </w:pPr>
      <w:r w:rsidRPr="005E265D">
        <w:rPr>
          <w:rStyle w:val="FootnoteReference"/>
          <w:rFonts w:ascii="Verdana" w:hAnsi="Verdana"/>
          <w:sz w:val="16"/>
          <w:szCs w:val="16"/>
          <w:lang w:val="es-ES_tradnl"/>
        </w:rPr>
        <w:footnoteRef/>
      </w:r>
      <w:r w:rsidRPr="005E265D">
        <w:rPr>
          <w:rStyle w:val="FootnoteReference"/>
          <w:rFonts w:ascii="Verdana" w:hAnsi="Verdana"/>
          <w:sz w:val="16"/>
          <w:szCs w:val="16"/>
          <w:lang w:val="es-ES_tradnl"/>
        </w:rPr>
        <w:t xml:space="preserve"> </w:t>
      </w:r>
      <w:r w:rsidRPr="005E265D">
        <w:rPr>
          <w:rFonts w:ascii="Verdana" w:hAnsi="Verdana"/>
          <w:sz w:val="16"/>
          <w:szCs w:val="16"/>
          <w:lang w:val="es-ES_tradnl"/>
        </w:rPr>
        <w:t>El Estado cita el artículo 201 de la Ley de Personal de las Fuerzas Armadas: “</w:t>
      </w:r>
      <w:r w:rsidRPr="005E265D">
        <w:rPr>
          <w:rFonts w:ascii="Verdana" w:hAnsi="Verdana" w:cs="Arial"/>
          <w:bCs/>
          <w:sz w:val="16"/>
          <w:szCs w:val="16"/>
          <w:lang w:val="es-ES_tradnl"/>
        </w:rPr>
        <w:t>El militar que fuere colocado a disposición, disponibilidad o dado de baja y se considere dicha Resolución ilegal, puede presentar su reclamo, al Consejo respectivo dentro de un plazo de cuarenta y cinco días calendario, después de haberse publicado en la Orden General el Decreto o la Resolución correspondiente. Los consejos resolverán los reclamos presentados en el plazo máximo de treinta días”.</w:t>
      </w:r>
      <w:r w:rsidRPr="005E265D">
        <w:rPr>
          <w:rFonts w:ascii="Verdana" w:hAnsi="Verdana"/>
          <w:sz w:val="16"/>
          <w:szCs w:val="16"/>
          <w:lang w:val="es-ES_tradnl"/>
        </w:rPr>
        <w:t xml:space="preserve">  Oficio 02848 de la Procuraduría General del Estado del 11 de agosto de 2003, remitido mediante Nota No. 4-2-144/03 del 25 de agosto de 2003.</w:t>
      </w:r>
    </w:p>
  </w:footnote>
  <w:footnote w:id="9">
    <w:p w:rsidR="001E37BE" w:rsidRPr="005E265D" w:rsidRDefault="001E37BE" w:rsidP="005E265D">
      <w:pPr>
        <w:jc w:val="both"/>
        <w:rPr>
          <w:rStyle w:val="FootnoteReference"/>
          <w:rFonts w:ascii="Verdana" w:hAnsi="Verdana" w:cs="Arial"/>
          <w:sz w:val="20"/>
          <w:szCs w:val="20"/>
          <w:vertAlign w:val="baseline"/>
        </w:rPr>
      </w:pPr>
      <w:r w:rsidRPr="005E265D">
        <w:rPr>
          <w:rStyle w:val="FootnoteReference"/>
          <w:rFonts w:ascii="Verdana" w:hAnsi="Verdana"/>
          <w:sz w:val="16"/>
          <w:szCs w:val="16"/>
        </w:rPr>
        <w:footnoteRef/>
      </w:r>
      <w:r w:rsidRPr="005E265D">
        <w:rPr>
          <w:rStyle w:val="FootnoteReference"/>
          <w:rFonts w:ascii="Verdana" w:hAnsi="Verdana"/>
          <w:sz w:val="16"/>
          <w:szCs w:val="16"/>
        </w:rPr>
        <w:t xml:space="preserve"> </w:t>
      </w:r>
      <w:r w:rsidRPr="005E265D">
        <w:rPr>
          <w:rFonts w:ascii="Verdana" w:hAnsi="Verdana"/>
          <w:sz w:val="16"/>
          <w:szCs w:val="16"/>
        </w:rPr>
        <w:t>El Estado cita los artículos 1 y 3 de la Ley de la Jurisdicción Contencioso Administrativa.  Artículo 1: “</w:t>
      </w:r>
      <w:r w:rsidRPr="005E265D">
        <w:rPr>
          <w:rFonts w:ascii="Verdana" w:hAnsi="Verdana" w:cs="Arial"/>
          <w:sz w:val="16"/>
          <w:szCs w:val="16"/>
        </w:rPr>
        <w:t xml:space="preserve">El recurso contencioso - administrativo puede interponerse por las personas naturales o jurídicas contra los reglamentos, actos y resoluciones de la Administración Pública o de las personas jurídicas semipúblicas, que causen estado, y vulneren un derecho o interés directo del demandante”.  Artículo 3: “El  recurso contencioso - administrativo es de dos clases: de plena jurisdicción o subjetivo y de anulación u objetivo. El recurso de plena jurisdicción o subjetivo ampara un derecho subjetivo del recurrente, presuntamente negado, desconocido o no reconocido total o parcialmente por el acto administrativo de que se trata. </w:t>
      </w:r>
      <w:r w:rsidRPr="005E265D">
        <w:rPr>
          <w:rFonts w:ascii="Verdana" w:hAnsi="Verdana"/>
          <w:sz w:val="16"/>
          <w:szCs w:val="16"/>
        </w:rPr>
        <w:t>El recurso de anulación, objetivo o por exceso de poder, tutela el cumplimiento de la norma jurídica objetiva, de carácter administrativo, y puede proponerse por quien tenga interés directo para deducir la acción, solicitando al Tribunal la nulidad del acto impugnado por adolecer de un vicio legal”.  Oficio 02848 de la Procuraduría General del Estado del 11 de agosto de 2003, remitido mediante Nota No. 4-2-144/03 del 25 de agosto de 2003.</w:t>
      </w:r>
    </w:p>
  </w:footnote>
  <w:footnote w:id="10">
    <w:p w:rsidR="001E37BE" w:rsidRPr="005E265D" w:rsidRDefault="001E37BE" w:rsidP="005E265D">
      <w:pPr>
        <w:jc w:val="both"/>
        <w:rPr>
          <w:rStyle w:val="FootnoteReference"/>
          <w:rFonts w:ascii="Verdana" w:hAnsi="Verdana" w:cs="Arial"/>
          <w:sz w:val="20"/>
          <w:szCs w:val="20"/>
          <w:vertAlign w:val="baseline"/>
        </w:rPr>
      </w:pPr>
      <w:r w:rsidRPr="005E265D">
        <w:rPr>
          <w:rStyle w:val="FootnoteReference"/>
          <w:rFonts w:ascii="Verdana" w:hAnsi="Verdana"/>
          <w:sz w:val="16"/>
          <w:szCs w:val="16"/>
        </w:rPr>
        <w:footnoteRef/>
      </w:r>
      <w:r w:rsidRPr="005E265D">
        <w:rPr>
          <w:rStyle w:val="FootnoteReference"/>
          <w:rFonts w:ascii="Verdana" w:hAnsi="Verdana"/>
          <w:sz w:val="16"/>
          <w:szCs w:val="16"/>
        </w:rPr>
        <w:t xml:space="preserve"> </w:t>
      </w:r>
      <w:r w:rsidRPr="005E265D">
        <w:rPr>
          <w:rFonts w:ascii="Verdana" w:hAnsi="Verdana"/>
          <w:sz w:val="16"/>
          <w:szCs w:val="16"/>
        </w:rPr>
        <w:t xml:space="preserve">El Estado cita a la Corte I.D.H., </w:t>
      </w:r>
      <w:r w:rsidRPr="005E265D">
        <w:rPr>
          <w:rFonts w:ascii="Verdana" w:hAnsi="Verdana"/>
          <w:i/>
          <w:sz w:val="16"/>
          <w:szCs w:val="16"/>
        </w:rPr>
        <w:t xml:space="preserve">Caso Velásquez Rodríguez, </w:t>
      </w:r>
      <w:r w:rsidRPr="005E265D">
        <w:rPr>
          <w:rFonts w:ascii="Verdana" w:hAnsi="Verdana"/>
          <w:sz w:val="16"/>
          <w:szCs w:val="16"/>
        </w:rPr>
        <w:t>Serie C No. 4, Sentencia de 29 de julio de 1988, párr. 64.  Oficio 02848 de la Procuraduría General del Estado del 11 de agosto de 2003, remitido mediante Nota No. 4-2-144/03 del 25 de agosto de 2003.</w:t>
      </w:r>
    </w:p>
  </w:footnote>
  <w:footnote w:id="11">
    <w:p w:rsidR="001E37BE" w:rsidRPr="005E265D" w:rsidRDefault="001E37BE" w:rsidP="005E265D">
      <w:pPr>
        <w:pStyle w:val="FootnoteText"/>
        <w:spacing w:before="0" w:beforeAutospacing="0" w:after="0" w:afterAutospacing="0"/>
        <w:jc w:val="both"/>
        <w:rPr>
          <w:rFonts w:ascii="Verdana" w:hAnsi="Verdana"/>
          <w:sz w:val="16"/>
          <w:szCs w:val="16"/>
          <w:lang w:val="es-ES_tradnl"/>
        </w:rPr>
      </w:pPr>
      <w:r w:rsidRPr="005E265D">
        <w:rPr>
          <w:rStyle w:val="FootnoteReference"/>
          <w:rFonts w:ascii="Verdana" w:hAnsi="Verdana"/>
          <w:sz w:val="16"/>
          <w:szCs w:val="16"/>
          <w:lang w:val="es-ES_tradnl"/>
        </w:rPr>
        <w:footnoteRef/>
      </w:r>
      <w:r w:rsidRPr="005E265D">
        <w:rPr>
          <w:rFonts w:ascii="Verdana" w:hAnsi="Verdana"/>
          <w:sz w:val="16"/>
          <w:szCs w:val="16"/>
          <w:lang w:val="es-ES_tradnl"/>
        </w:rPr>
        <w:t xml:space="preserve"> El Estado cita a la Corte I.D.H., </w:t>
      </w:r>
      <w:r w:rsidRPr="005E265D">
        <w:rPr>
          <w:rFonts w:ascii="Verdana" w:hAnsi="Verdana"/>
          <w:i/>
          <w:sz w:val="16"/>
          <w:szCs w:val="16"/>
          <w:lang w:val="es-ES_tradnl"/>
        </w:rPr>
        <w:t>Caso Suárez Rosero</w:t>
      </w:r>
      <w:r w:rsidRPr="005E265D">
        <w:rPr>
          <w:rFonts w:ascii="Verdana" w:hAnsi="Verdana"/>
          <w:sz w:val="16"/>
          <w:szCs w:val="16"/>
          <w:lang w:val="es-ES_tradnl"/>
        </w:rPr>
        <w:t>, Sentencia de 12 de noviembre de 1997, Serie C, No. 35, párr. 70.  Oficio 02848 de la Procuraduría General del Estado del 11 de agosto de 2003, remitido mediante Nota No. 4-2-144/03 del 25 de agosto de 2003.</w:t>
      </w:r>
    </w:p>
  </w:footnote>
  <w:footnote w:id="12">
    <w:p w:rsidR="001E37BE" w:rsidRPr="005E265D" w:rsidRDefault="001E37BE" w:rsidP="005E265D">
      <w:pPr>
        <w:pStyle w:val="FootnoteText"/>
        <w:spacing w:before="0" w:beforeAutospacing="0" w:after="0" w:afterAutospacing="0"/>
        <w:jc w:val="both"/>
        <w:rPr>
          <w:rStyle w:val="FootnoteReference"/>
          <w:rFonts w:ascii="Verdana" w:hAnsi="Verdana"/>
          <w:sz w:val="16"/>
          <w:szCs w:val="16"/>
          <w:vertAlign w:val="baseline"/>
          <w:lang w:val="es-ES_tradnl"/>
        </w:rPr>
      </w:pPr>
      <w:r w:rsidRPr="005E265D">
        <w:rPr>
          <w:rStyle w:val="FootnoteReference"/>
          <w:rFonts w:ascii="Verdana" w:hAnsi="Verdana"/>
          <w:sz w:val="16"/>
          <w:szCs w:val="16"/>
          <w:lang w:val="es-ES_tradnl"/>
        </w:rPr>
        <w:footnoteRef/>
      </w:r>
      <w:r w:rsidRPr="005E265D">
        <w:rPr>
          <w:rStyle w:val="FootnoteReference"/>
          <w:rFonts w:ascii="Verdana" w:hAnsi="Verdana"/>
          <w:sz w:val="16"/>
          <w:szCs w:val="16"/>
          <w:lang w:val="es-ES_tradnl"/>
        </w:rPr>
        <w:t xml:space="preserve"> </w:t>
      </w:r>
      <w:r w:rsidRPr="005E265D">
        <w:rPr>
          <w:rFonts w:ascii="Verdana" w:hAnsi="Verdana"/>
          <w:sz w:val="16"/>
          <w:szCs w:val="16"/>
          <w:lang w:val="es-ES_tradnl"/>
        </w:rPr>
        <w:t>El Estado hace referencia al a</w:t>
      </w:r>
      <w:r w:rsidRPr="005E265D">
        <w:rPr>
          <w:rStyle w:val="FootnoteTextChar"/>
          <w:rFonts w:ascii="Verdana" w:hAnsi="Verdana"/>
          <w:sz w:val="16"/>
          <w:szCs w:val="16"/>
          <w:lang w:val="es-ES_tradnl"/>
        </w:rPr>
        <w:t xml:space="preserve">rtículo 277 de la Constitución de la República del Ecuador de 1998: “Las demandas de inconstitucionalidad podrán ser presentadas por: 1. El Presidente de la República, en los casos previstos en el número 1 del Art. 276. 2. El Congreso Nacional, previa resolución de la mayoría de sus miembros, en los casos previstos en los números 1 y 2 del mismo artículo. 3. La Corte Suprema de Justicia, previa resolución del Tribunal en Pleno, en los casos descritos en los números 1 y 2 del mismo artículo. 4. Los consejos provinciales o los concejos municipales, en los casos señalados en el número 2 del mismo artículo. 5. Mil ciudadanos en goce de derechos políticos, o cualquier persona previo informe favorable del Defensor del Pueblo sobre su procedencia, en los casos de los números 1 y 2 del mismo artículo […]”.  </w:t>
      </w:r>
      <w:r w:rsidRPr="005E265D">
        <w:rPr>
          <w:rFonts w:ascii="Verdana" w:hAnsi="Verdana"/>
          <w:sz w:val="16"/>
          <w:szCs w:val="16"/>
          <w:lang w:val="es-ES_tradnl"/>
        </w:rPr>
        <w:t>Oficio 05191 de la Procuraduría General del Estado del 4 de diciembre de 2008, remitido mediante Nota No. 4-2-144/03 del 25 de agosto de 2003.</w:t>
      </w:r>
    </w:p>
  </w:footnote>
  <w:footnote w:id="13">
    <w:p w:rsidR="001E37BE" w:rsidRPr="005E265D" w:rsidRDefault="001E37BE" w:rsidP="005E265D">
      <w:pPr>
        <w:pStyle w:val="FootnoteText"/>
        <w:spacing w:before="0" w:beforeAutospacing="0" w:after="0" w:afterAutospacing="0"/>
        <w:jc w:val="both"/>
        <w:rPr>
          <w:rFonts w:ascii="Verdana" w:hAnsi="Verdana"/>
          <w:sz w:val="16"/>
          <w:szCs w:val="16"/>
          <w:lang w:val="es-ES_tradnl"/>
        </w:rPr>
      </w:pPr>
      <w:r w:rsidRPr="005E265D">
        <w:rPr>
          <w:rStyle w:val="FootnoteReference"/>
          <w:rFonts w:ascii="Verdana" w:hAnsi="Verdana"/>
          <w:sz w:val="16"/>
          <w:szCs w:val="16"/>
          <w:lang w:val="es-ES_tradnl"/>
        </w:rPr>
        <w:footnoteRef/>
      </w:r>
      <w:r w:rsidRPr="005E265D">
        <w:rPr>
          <w:rFonts w:ascii="Verdana" w:hAnsi="Verdana"/>
          <w:sz w:val="16"/>
          <w:szCs w:val="16"/>
          <w:lang w:val="es-ES_tradnl"/>
        </w:rPr>
        <w:t xml:space="preserve"> Corte I.D.H., </w:t>
      </w:r>
      <w:r w:rsidRPr="005E265D">
        <w:rPr>
          <w:rFonts w:ascii="Verdana" w:hAnsi="Verdana"/>
          <w:i/>
          <w:sz w:val="16"/>
          <w:szCs w:val="16"/>
          <w:lang w:val="es-ES_tradnl"/>
        </w:rPr>
        <w:t>Interpretación de la Declaración Americana de los Derechos y Deberes del Hombre dentro del marco del Artículo 64 de la Convención Americana sobre Derechos Humanos</w:t>
      </w:r>
      <w:r w:rsidRPr="005E265D">
        <w:rPr>
          <w:rFonts w:ascii="Verdana" w:hAnsi="Verdana"/>
          <w:sz w:val="16"/>
          <w:szCs w:val="16"/>
          <w:lang w:val="es-ES_tradnl"/>
        </w:rPr>
        <w:t>, Opinión Consultiva OC-10/89, 14 de julio de 1989, Serie A No. 10, párr. 41.</w:t>
      </w:r>
    </w:p>
  </w:footnote>
  <w:footnote w:id="14">
    <w:p w:rsidR="001E37BE" w:rsidRPr="005E265D" w:rsidRDefault="001E37BE" w:rsidP="005E265D">
      <w:pPr>
        <w:pStyle w:val="FootnoteText"/>
        <w:spacing w:before="0" w:beforeAutospacing="0" w:after="0" w:afterAutospacing="0"/>
        <w:jc w:val="both"/>
        <w:rPr>
          <w:rFonts w:ascii="Verdana" w:hAnsi="Verdana"/>
          <w:lang w:val="es-ES_tradnl"/>
        </w:rPr>
      </w:pPr>
      <w:r w:rsidRPr="005E265D">
        <w:rPr>
          <w:rStyle w:val="FootnoteReference"/>
          <w:rFonts w:ascii="Verdana" w:hAnsi="Verdana"/>
          <w:sz w:val="16"/>
          <w:szCs w:val="16"/>
          <w:lang w:val="es-ES_tradnl"/>
        </w:rPr>
        <w:footnoteRef/>
      </w:r>
      <w:r w:rsidRPr="005E265D">
        <w:rPr>
          <w:rStyle w:val="FootnoteReference"/>
          <w:rFonts w:ascii="Verdana" w:hAnsi="Verdana"/>
          <w:sz w:val="16"/>
          <w:szCs w:val="16"/>
          <w:lang w:val="es-ES_tradnl"/>
        </w:rPr>
        <w:t xml:space="preserve"> </w:t>
      </w:r>
      <w:r w:rsidRPr="005E265D">
        <w:rPr>
          <w:rFonts w:ascii="Verdana" w:hAnsi="Verdana"/>
          <w:sz w:val="16"/>
          <w:szCs w:val="16"/>
          <w:lang w:val="es-ES_tradnl"/>
        </w:rPr>
        <w:t xml:space="preserve">CIDH, Informe No. 03/01, Caso 11.670, </w:t>
      </w:r>
      <w:r w:rsidRPr="005E265D">
        <w:rPr>
          <w:rFonts w:ascii="Verdana" w:hAnsi="Verdana"/>
          <w:i/>
          <w:sz w:val="16"/>
          <w:szCs w:val="16"/>
          <w:lang w:val="es-ES_tradnl"/>
        </w:rPr>
        <w:t>Amilcar Menéndez, Juan Manuel Caride y otros,</w:t>
      </w:r>
      <w:r w:rsidRPr="005E265D">
        <w:rPr>
          <w:rFonts w:ascii="Verdana" w:hAnsi="Verdana"/>
          <w:sz w:val="16"/>
          <w:szCs w:val="16"/>
          <w:lang w:val="es-ES_tradnl"/>
        </w:rPr>
        <w:t xml:space="preserve"> (Argentina), 19 de enero de 2001, párr. 41.</w:t>
      </w:r>
      <w:r w:rsidRPr="005E265D">
        <w:rPr>
          <w:rFonts w:ascii="Verdana" w:hAnsi="Verdana"/>
          <w:sz w:val="15"/>
          <w:szCs w:val="20"/>
          <w:lang w:val="es-ES_tradnl"/>
        </w:rPr>
        <w:t xml:space="preserve"> </w:t>
      </w:r>
    </w:p>
  </w:footnote>
  <w:footnote w:id="15">
    <w:p w:rsidR="001E37BE" w:rsidRPr="005E265D" w:rsidRDefault="001E37BE" w:rsidP="005E265D">
      <w:pPr>
        <w:pStyle w:val="FootnoteText"/>
        <w:spacing w:before="0" w:beforeAutospacing="0" w:after="0" w:afterAutospacing="0"/>
        <w:jc w:val="both"/>
        <w:rPr>
          <w:rFonts w:ascii="Verdana" w:hAnsi="Verdana"/>
          <w:lang w:val="es-ES_tradnl"/>
        </w:rPr>
      </w:pPr>
      <w:r w:rsidRPr="005E265D">
        <w:rPr>
          <w:rStyle w:val="FootnoteReference"/>
          <w:rFonts w:ascii="Verdana" w:hAnsi="Verdana"/>
          <w:sz w:val="16"/>
          <w:szCs w:val="16"/>
          <w:lang w:val="es-ES_tradnl"/>
        </w:rPr>
        <w:footnoteRef/>
      </w:r>
      <w:r w:rsidRPr="005E265D">
        <w:rPr>
          <w:rStyle w:val="FootnoteReference"/>
          <w:rFonts w:ascii="Verdana" w:hAnsi="Verdana"/>
          <w:sz w:val="16"/>
          <w:szCs w:val="16"/>
          <w:lang w:val="es-ES_tradnl"/>
        </w:rPr>
        <w:t xml:space="preserve"> </w:t>
      </w:r>
      <w:r w:rsidRPr="005E265D">
        <w:rPr>
          <w:rFonts w:ascii="Verdana" w:hAnsi="Verdana"/>
          <w:sz w:val="16"/>
          <w:szCs w:val="16"/>
          <w:lang w:val="es-ES_tradnl"/>
        </w:rPr>
        <w:t xml:space="preserve">Corte I.D.H., </w:t>
      </w:r>
      <w:r w:rsidRPr="005E265D">
        <w:rPr>
          <w:rFonts w:ascii="Verdana" w:hAnsi="Verdana"/>
          <w:i/>
          <w:sz w:val="16"/>
          <w:szCs w:val="16"/>
          <w:lang w:val="es-ES_tradnl"/>
        </w:rPr>
        <w:t>Interpretación de la Declaración Americana de los Derechos y Deberes del Hombre dentro del marco del Artículo 64 de la Convención Americana sobre Derechos Humanos</w:t>
      </w:r>
      <w:r w:rsidRPr="005E265D">
        <w:rPr>
          <w:rFonts w:ascii="Verdana" w:hAnsi="Verdana"/>
          <w:sz w:val="16"/>
          <w:szCs w:val="16"/>
          <w:lang w:val="es-ES_tradnl"/>
        </w:rPr>
        <w:t>, Opinión Consultiva OC-10/89, 14 de julio de 1989, Serie A No. 10, párr. 46.</w:t>
      </w:r>
    </w:p>
  </w:footnote>
  <w:footnote w:id="16">
    <w:p w:rsidR="001E37BE" w:rsidRPr="005E265D" w:rsidRDefault="001E37BE" w:rsidP="005E265D">
      <w:pPr>
        <w:pStyle w:val="FootnoteText"/>
        <w:spacing w:before="0" w:beforeAutospacing="0" w:after="0" w:afterAutospacing="0"/>
        <w:jc w:val="both"/>
        <w:rPr>
          <w:rFonts w:ascii="Verdana" w:hAnsi="Verdana"/>
          <w:sz w:val="16"/>
          <w:szCs w:val="16"/>
          <w:lang w:val="es-ES_tradnl"/>
        </w:rPr>
      </w:pPr>
      <w:r w:rsidRPr="005E265D">
        <w:rPr>
          <w:rStyle w:val="FootnoteReference"/>
          <w:rFonts w:ascii="Verdana" w:hAnsi="Verdana"/>
          <w:sz w:val="16"/>
          <w:szCs w:val="16"/>
          <w:lang w:val="es-ES_tradnl"/>
        </w:rPr>
        <w:footnoteRef/>
      </w:r>
      <w:r w:rsidRPr="005E265D">
        <w:rPr>
          <w:rFonts w:ascii="Verdana" w:hAnsi="Verdana"/>
          <w:sz w:val="16"/>
          <w:szCs w:val="16"/>
          <w:lang w:val="es-ES_tradnl"/>
        </w:rPr>
        <w:t xml:space="preserve"> Corte I.D.H., </w:t>
      </w:r>
      <w:r w:rsidRPr="005E265D">
        <w:rPr>
          <w:rFonts w:ascii="Verdana" w:hAnsi="Verdana"/>
          <w:i/>
          <w:sz w:val="16"/>
          <w:szCs w:val="16"/>
          <w:lang w:val="es-ES_tradnl"/>
        </w:rPr>
        <w:t>Caso Velásquez Rodríguez Vs. Honduras</w:t>
      </w:r>
      <w:r w:rsidRPr="005E265D">
        <w:rPr>
          <w:rFonts w:ascii="Verdana" w:hAnsi="Verdana"/>
          <w:sz w:val="16"/>
          <w:szCs w:val="16"/>
          <w:lang w:val="es-ES_tradnl"/>
        </w:rPr>
        <w:t xml:space="preserve">. Sentencia de 29 de julio de 1988. </w:t>
      </w:r>
      <w:r w:rsidRPr="005E265D">
        <w:rPr>
          <w:rFonts w:ascii="Verdana" w:hAnsi="Verdana"/>
          <w:sz w:val="16"/>
          <w:szCs w:val="16"/>
        </w:rPr>
        <w:t>Serie C No. 4</w:t>
      </w:r>
      <w:r w:rsidRPr="005E265D">
        <w:rPr>
          <w:rFonts w:ascii="Verdana" w:hAnsi="Verdana"/>
          <w:sz w:val="16"/>
          <w:szCs w:val="16"/>
          <w:lang w:val="es-ES_tradnl"/>
        </w:rPr>
        <w:t>, párr. 64.</w:t>
      </w:r>
    </w:p>
  </w:footnote>
  <w:footnote w:id="17">
    <w:p w:rsidR="001E37BE" w:rsidRPr="005E265D" w:rsidRDefault="001E37BE" w:rsidP="005E265D">
      <w:pPr>
        <w:pStyle w:val="FootnoteText"/>
        <w:spacing w:before="0" w:beforeAutospacing="0" w:after="0" w:afterAutospacing="0"/>
        <w:jc w:val="both"/>
        <w:rPr>
          <w:rFonts w:ascii="Verdana" w:hAnsi="Verdana"/>
          <w:sz w:val="16"/>
          <w:szCs w:val="16"/>
          <w:lang w:val="es-ES_tradnl"/>
        </w:rPr>
      </w:pPr>
      <w:r w:rsidRPr="005E265D">
        <w:rPr>
          <w:rStyle w:val="FootnoteReference"/>
          <w:rFonts w:ascii="Verdana" w:hAnsi="Verdana"/>
          <w:sz w:val="16"/>
          <w:szCs w:val="16"/>
          <w:lang w:val="es-ES_tradnl"/>
        </w:rPr>
        <w:footnoteRef/>
      </w:r>
      <w:r w:rsidRPr="005E265D">
        <w:rPr>
          <w:rFonts w:ascii="Verdana" w:hAnsi="Verdana"/>
          <w:sz w:val="16"/>
          <w:szCs w:val="16"/>
          <w:lang w:val="es-ES_tradnl"/>
        </w:rPr>
        <w:t xml:space="preserve"> Corte I.D.H., </w:t>
      </w:r>
      <w:r w:rsidRPr="005E265D">
        <w:rPr>
          <w:rFonts w:ascii="Verdana" w:hAnsi="Verdana"/>
          <w:i/>
          <w:sz w:val="16"/>
          <w:szCs w:val="16"/>
          <w:lang w:val="es-ES_tradnl"/>
        </w:rPr>
        <w:t>Caso Velásquez Rodríguez Vs. Honduras</w:t>
      </w:r>
      <w:r w:rsidRPr="005E265D">
        <w:rPr>
          <w:rFonts w:ascii="Verdana" w:hAnsi="Verdana"/>
          <w:sz w:val="16"/>
          <w:szCs w:val="16"/>
          <w:lang w:val="es-ES_tradnl"/>
        </w:rPr>
        <w:t xml:space="preserve">. Sentencia de 29 de julio de 1988. </w:t>
      </w:r>
      <w:r w:rsidRPr="005E265D">
        <w:rPr>
          <w:rFonts w:ascii="Verdana" w:hAnsi="Verdana"/>
          <w:sz w:val="16"/>
          <w:szCs w:val="16"/>
          <w:lang w:val="es-AR"/>
        </w:rPr>
        <w:t>Serie C No. 4.</w:t>
      </w:r>
      <w:r w:rsidRPr="005E265D">
        <w:rPr>
          <w:rFonts w:ascii="Verdana" w:hAnsi="Verdana"/>
          <w:sz w:val="16"/>
          <w:szCs w:val="16"/>
          <w:lang w:val="es-ES_tradnl"/>
        </w:rPr>
        <w:t>, párrafo 63.</w:t>
      </w:r>
    </w:p>
  </w:footnote>
  <w:footnote w:id="18">
    <w:p w:rsidR="001E37BE" w:rsidRPr="005E265D" w:rsidRDefault="001E37BE" w:rsidP="005E265D">
      <w:pPr>
        <w:pStyle w:val="FootnoteText"/>
        <w:spacing w:before="0" w:beforeAutospacing="0" w:after="0" w:afterAutospacing="0"/>
        <w:jc w:val="both"/>
        <w:rPr>
          <w:rFonts w:ascii="Verdana" w:hAnsi="Verdana"/>
          <w:lang w:val="es-ES_tradnl"/>
        </w:rPr>
      </w:pPr>
      <w:r w:rsidRPr="005E265D">
        <w:rPr>
          <w:rFonts w:ascii="Verdana" w:hAnsi="Verdana"/>
          <w:sz w:val="16"/>
          <w:szCs w:val="16"/>
          <w:vertAlign w:val="superscript"/>
          <w:lang w:val="es-ES_tradnl"/>
        </w:rPr>
        <w:footnoteRef/>
      </w:r>
      <w:r w:rsidRPr="005E265D">
        <w:rPr>
          <w:rFonts w:ascii="Verdana" w:hAnsi="Verdana"/>
          <w:sz w:val="16"/>
          <w:szCs w:val="16"/>
          <w:vertAlign w:val="superscript"/>
          <w:lang w:val="es-ES_tradnl"/>
        </w:rPr>
        <w:t xml:space="preserve"> </w:t>
      </w:r>
      <w:r w:rsidRPr="005E265D">
        <w:rPr>
          <w:rFonts w:ascii="Verdana" w:hAnsi="Verdana"/>
          <w:sz w:val="16"/>
          <w:szCs w:val="16"/>
          <w:lang w:val="es-ES_tradnl"/>
        </w:rPr>
        <w:t>Resolución del Consejo de Oficiales Subalternos de la Fuerza Terrestre, referencia 2001-10-COSB, 5 de junio de 2001.  Anexo a la petición original recibida en la CIDH el 30 de agosto de 2002.</w:t>
      </w:r>
    </w:p>
  </w:footnote>
  <w:footnote w:id="19">
    <w:p w:rsidR="001E37BE" w:rsidRPr="005E265D" w:rsidRDefault="001E37BE" w:rsidP="005E265D">
      <w:pPr>
        <w:pStyle w:val="FootnoteText"/>
        <w:spacing w:before="0" w:beforeAutospacing="0" w:after="0" w:afterAutospacing="0"/>
        <w:jc w:val="both"/>
        <w:rPr>
          <w:rFonts w:ascii="Verdana" w:hAnsi="Verdana"/>
          <w:sz w:val="16"/>
          <w:szCs w:val="16"/>
          <w:vertAlign w:val="superscript"/>
          <w:lang w:val="es-ES_tradnl"/>
        </w:rPr>
      </w:pPr>
      <w:r w:rsidRPr="005E265D">
        <w:rPr>
          <w:rFonts w:ascii="Verdana" w:hAnsi="Verdana"/>
          <w:sz w:val="16"/>
          <w:szCs w:val="16"/>
          <w:vertAlign w:val="superscript"/>
          <w:lang w:val="es-ES_tradnl"/>
        </w:rPr>
        <w:footnoteRef/>
      </w:r>
      <w:r w:rsidRPr="005E265D">
        <w:rPr>
          <w:rFonts w:ascii="Verdana" w:hAnsi="Verdana"/>
          <w:sz w:val="16"/>
          <w:szCs w:val="16"/>
          <w:vertAlign w:val="superscript"/>
          <w:lang w:val="es-ES_tradnl"/>
        </w:rPr>
        <w:t xml:space="preserve"> </w:t>
      </w:r>
      <w:r w:rsidRPr="005E265D">
        <w:rPr>
          <w:rFonts w:ascii="Verdana" w:hAnsi="Verdana"/>
          <w:sz w:val="16"/>
          <w:szCs w:val="16"/>
          <w:lang w:val="es-ES_tradnl"/>
        </w:rPr>
        <w:t xml:space="preserve">Resolución del Consejo de Oficiales Superiores de la Fuerza Terrestre, referencia 210090-COSFT, 18 de junio de 2001.  Anexo al escrito de los peticionarios recibido en la CIDH el 12 de abril de 2004. </w:t>
      </w:r>
    </w:p>
  </w:footnote>
  <w:footnote w:id="20">
    <w:p w:rsidR="001E37BE" w:rsidRPr="005E265D" w:rsidRDefault="001E37BE" w:rsidP="005E265D">
      <w:pPr>
        <w:pStyle w:val="FootnoteText"/>
        <w:spacing w:before="0" w:beforeAutospacing="0" w:after="0" w:afterAutospacing="0"/>
        <w:jc w:val="both"/>
        <w:rPr>
          <w:rFonts w:ascii="Verdana" w:hAnsi="Verdana"/>
          <w:sz w:val="16"/>
          <w:szCs w:val="16"/>
          <w:vertAlign w:val="superscript"/>
          <w:lang w:val="es-ES_tradnl"/>
        </w:rPr>
      </w:pPr>
      <w:r w:rsidRPr="005E265D">
        <w:rPr>
          <w:rFonts w:ascii="Verdana" w:hAnsi="Verdana"/>
          <w:sz w:val="16"/>
          <w:szCs w:val="16"/>
          <w:vertAlign w:val="superscript"/>
          <w:lang w:val="es-ES_tradnl"/>
        </w:rPr>
        <w:footnoteRef/>
      </w:r>
      <w:r w:rsidRPr="005E265D">
        <w:rPr>
          <w:rFonts w:ascii="Verdana" w:hAnsi="Verdana"/>
          <w:sz w:val="16"/>
          <w:szCs w:val="16"/>
          <w:vertAlign w:val="superscript"/>
          <w:lang w:val="es-ES_tradnl"/>
        </w:rPr>
        <w:t xml:space="preserve"> </w:t>
      </w:r>
      <w:r w:rsidRPr="005E265D">
        <w:rPr>
          <w:rFonts w:ascii="Verdana" w:hAnsi="Verdana"/>
          <w:sz w:val="16"/>
          <w:szCs w:val="16"/>
          <w:lang w:val="es-ES_tradnl"/>
        </w:rPr>
        <w:t>Sentencia del Tribunal Constitucional, Caso No. 739-2001-RA, 4 de febrero de 2002.  Anexo a la petición original recibida en la CIDH el 30 de agosto de 2002.</w:t>
      </w:r>
    </w:p>
  </w:footnote>
  <w:footnote w:id="21">
    <w:p w:rsidR="001E37BE" w:rsidRPr="005E265D" w:rsidRDefault="001E37BE" w:rsidP="005E265D">
      <w:pPr>
        <w:pStyle w:val="FootnoteText"/>
        <w:spacing w:before="0" w:beforeAutospacing="0" w:after="0" w:afterAutospacing="0"/>
        <w:jc w:val="both"/>
        <w:rPr>
          <w:rFonts w:ascii="Verdana" w:hAnsi="Verdana"/>
          <w:sz w:val="16"/>
          <w:szCs w:val="16"/>
          <w:lang w:val="es-ES_tradnl"/>
        </w:rPr>
      </w:pPr>
      <w:r w:rsidRPr="005E265D">
        <w:rPr>
          <w:rFonts w:ascii="Verdana" w:hAnsi="Verdana"/>
          <w:sz w:val="16"/>
          <w:szCs w:val="16"/>
          <w:vertAlign w:val="superscript"/>
          <w:lang w:val="es-ES_tradnl"/>
        </w:rPr>
        <w:footnoteRef/>
      </w:r>
      <w:r w:rsidRPr="005E265D">
        <w:rPr>
          <w:rFonts w:ascii="Verdana" w:hAnsi="Verdana"/>
          <w:sz w:val="16"/>
          <w:szCs w:val="16"/>
          <w:vertAlign w:val="superscript"/>
          <w:lang w:val="es-ES_tradnl"/>
        </w:rPr>
        <w:t xml:space="preserve"> </w:t>
      </w:r>
      <w:r w:rsidRPr="005E265D">
        <w:rPr>
          <w:rFonts w:ascii="Verdana" w:hAnsi="Verdana"/>
          <w:sz w:val="16"/>
          <w:szCs w:val="16"/>
          <w:lang w:val="es-ES_tradnl"/>
        </w:rPr>
        <w:t>El artículo 277 de la Constitución de la República del Ecuador de 2008: “Las demandas de inconstitucionalidad podrán ser presentadas por: 1. El Presidente de la República, en los casos previstos en el número 1 del Art. 276.  2. El Congreso Nacional, previa resolución de la mayoría de sus miembros, en los casos previstos en los números 1 y 2 del mismo artículo.  3. La Corte Suprema de Justicia, previa resolución del Tribunal en Pleno, en los casos descritos en los números 1 y 2 del mismo artículo.  4. Los consejos provinciales o los consejos municipales, en los casos señalados en el número 2 del mismo artículo.  5. Mil ciudadanos en goce de derechos políticos, o cualquier persona previo informe favorable del Defensor del Pueblo sobre su procedencia, en los casos de los números 1 y 2 del mismo artículo.  El Presidente de la República pedirá el dictamen establecido en los números 4 y 5 del mismo artículo […]”.</w:t>
      </w:r>
    </w:p>
  </w:footnote>
  <w:footnote w:id="22">
    <w:p w:rsidR="001E37BE" w:rsidRPr="005E265D" w:rsidRDefault="001E37BE" w:rsidP="005E265D">
      <w:pPr>
        <w:pStyle w:val="FootnoteText"/>
        <w:spacing w:before="0" w:beforeAutospacing="0" w:after="0" w:afterAutospacing="0"/>
        <w:jc w:val="both"/>
        <w:rPr>
          <w:rFonts w:ascii="Verdana" w:hAnsi="Verdana"/>
          <w:sz w:val="16"/>
          <w:szCs w:val="16"/>
          <w:lang w:val="es-ES_tradnl"/>
        </w:rPr>
      </w:pPr>
      <w:r w:rsidRPr="005E265D">
        <w:rPr>
          <w:rFonts w:ascii="Verdana" w:hAnsi="Verdana"/>
          <w:sz w:val="16"/>
          <w:szCs w:val="16"/>
          <w:vertAlign w:val="superscript"/>
          <w:lang w:val="es-ES_tradnl"/>
        </w:rPr>
        <w:footnoteRef/>
      </w:r>
      <w:r w:rsidRPr="005E265D">
        <w:rPr>
          <w:rFonts w:ascii="Verdana" w:hAnsi="Verdana"/>
          <w:sz w:val="16"/>
          <w:szCs w:val="16"/>
          <w:lang w:val="es-ES_tradnl"/>
        </w:rPr>
        <w:t xml:space="preserve"> CIDH Informe No. 09/05 (Admisibilidad), Petición 1-03, </w:t>
      </w:r>
      <w:r w:rsidRPr="005E265D">
        <w:rPr>
          <w:rFonts w:ascii="Verdana" w:hAnsi="Verdana"/>
          <w:i/>
          <w:sz w:val="16"/>
          <w:szCs w:val="16"/>
          <w:lang w:val="es-ES_tradnl"/>
        </w:rPr>
        <w:t>Elías Gattass Sahih</w:t>
      </w:r>
      <w:r w:rsidRPr="005E265D">
        <w:rPr>
          <w:rFonts w:ascii="Verdana" w:hAnsi="Verdana"/>
          <w:sz w:val="16"/>
          <w:szCs w:val="16"/>
          <w:lang w:val="es-ES_tradnl"/>
        </w:rPr>
        <w:t xml:space="preserve"> (Ecuador), 23 de febrero de 2005, párr. 32.  CIDH, Informe No. 5/07 (Admisibilidad), Petición 161-05, </w:t>
      </w:r>
      <w:r w:rsidRPr="005E265D">
        <w:rPr>
          <w:rFonts w:ascii="Verdana" w:hAnsi="Verdana"/>
          <w:i/>
          <w:sz w:val="16"/>
          <w:szCs w:val="16"/>
          <w:lang w:val="es-ES_tradnl"/>
        </w:rPr>
        <w:t>Miguel Camba Campos y Otros (Vocales del Tribunal Constitucional)</w:t>
      </w:r>
      <w:r w:rsidRPr="005E265D">
        <w:rPr>
          <w:rFonts w:ascii="Verdana" w:hAnsi="Verdana"/>
          <w:sz w:val="16"/>
          <w:szCs w:val="16"/>
          <w:lang w:val="es-ES_tradnl"/>
        </w:rPr>
        <w:t>, Ecuador, 27 de febrero de 2007, párr. 23.</w:t>
      </w:r>
    </w:p>
  </w:footnote>
  <w:footnote w:id="23">
    <w:p w:rsidR="001E37BE" w:rsidRPr="005E265D" w:rsidRDefault="001E37BE" w:rsidP="005E265D">
      <w:pPr>
        <w:pStyle w:val="FootnoteText"/>
        <w:spacing w:before="0" w:beforeAutospacing="0" w:after="0" w:afterAutospacing="0"/>
        <w:jc w:val="both"/>
        <w:rPr>
          <w:rFonts w:ascii="Verdana" w:hAnsi="Verdana"/>
          <w:lang w:val="es-ES_tradnl"/>
        </w:rPr>
      </w:pPr>
      <w:r w:rsidRPr="005E265D">
        <w:rPr>
          <w:rFonts w:ascii="Verdana" w:hAnsi="Verdana"/>
          <w:sz w:val="16"/>
          <w:szCs w:val="16"/>
          <w:vertAlign w:val="superscript"/>
          <w:lang w:val="es-ES_tradnl"/>
        </w:rPr>
        <w:footnoteRef/>
      </w:r>
      <w:r w:rsidRPr="005E265D">
        <w:rPr>
          <w:rFonts w:ascii="Verdana" w:hAnsi="Verdana"/>
          <w:sz w:val="16"/>
          <w:szCs w:val="16"/>
          <w:lang w:val="es-ES_tradnl"/>
        </w:rPr>
        <w:t xml:space="preserve"> Notificación de la Providencia del Tribunal Constitucional del 21 de abril de 2002, el 29 de abril de 2002, anexo a la petición original recibida el 23 de octubre de 2002.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7BE" w:rsidRDefault="001E37BE" w:rsidP="003168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E37BE" w:rsidRDefault="001E37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7BE" w:rsidRPr="0015719E" w:rsidRDefault="001E37BE" w:rsidP="003168A2">
    <w:pPr>
      <w:pStyle w:val="Header"/>
      <w:framePr w:wrap="around" w:vAnchor="text" w:hAnchor="margin" w:xAlign="center" w:y="1"/>
      <w:rPr>
        <w:rStyle w:val="PageNumber"/>
        <w:rFonts w:ascii="Univers" w:hAnsi="Univers"/>
        <w:sz w:val="20"/>
        <w:szCs w:val="20"/>
      </w:rPr>
    </w:pPr>
    <w:r w:rsidRPr="0015719E">
      <w:rPr>
        <w:rStyle w:val="PageNumber"/>
        <w:rFonts w:ascii="Univers" w:hAnsi="Univers"/>
        <w:sz w:val="20"/>
        <w:szCs w:val="20"/>
      </w:rPr>
      <w:fldChar w:fldCharType="begin"/>
    </w:r>
    <w:r w:rsidRPr="0015719E">
      <w:rPr>
        <w:rStyle w:val="PageNumber"/>
        <w:rFonts w:ascii="Univers" w:hAnsi="Univers"/>
        <w:sz w:val="20"/>
        <w:szCs w:val="20"/>
      </w:rPr>
      <w:instrText xml:space="preserve">PAGE  </w:instrText>
    </w:r>
    <w:r w:rsidRPr="0015719E">
      <w:rPr>
        <w:rStyle w:val="PageNumber"/>
        <w:rFonts w:ascii="Univers" w:hAnsi="Univers"/>
        <w:sz w:val="20"/>
        <w:szCs w:val="20"/>
      </w:rPr>
      <w:fldChar w:fldCharType="separate"/>
    </w:r>
    <w:r w:rsidR="0076371A">
      <w:rPr>
        <w:rStyle w:val="PageNumber"/>
        <w:rFonts w:ascii="Univers" w:hAnsi="Univers"/>
        <w:noProof/>
        <w:sz w:val="20"/>
        <w:szCs w:val="20"/>
      </w:rPr>
      <w:t>11</w:t>
    </w:r>
    <w:r w:rsidRPr="0015719E">
      <w:rPr>
        <w:rStyle w:val="PageNumber"/>
        <w:rFonts w:ascii="Univers" w:hAnsi="Univers"/>
        <w:sz w:val="20"/>
        <w:szCs w:val="20"/>
      </w:rPr>
      <w:fldChar w:fldCharType="end"/>
    </w:r>
  </w:p>
  <w:p w:rsidR="001E37BE" w:rsidRPr="0015719E" w:rsidRDefault="001E37BE">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068EB"/>
    <w:multiLevelType w:val="hybridMultilevel"/>
    <w:tmpl w:val="7F6E3C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3627640"/>
    <w:multiLevelType w:val="hybridMultilevel"/>
    <w:tmpl w:val="280CD868"/>
    <w:lvl w:ilvl="0" w:tplc="C684505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3E35086"/>
    <w:multiLevelType w:val="hybridMultilevel"/>
    <w:tmpl w:val="C788210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B25395F"/>
    <w:multiLevelType w:val="hybridMultilevel"/>
    <w:tmpl w:val="C3482B3A"/>
    <w:lvl w:ilvl="0" w:tplc="B27847B2">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B7F328A"/>
    <w:multiLevelType w:val="hybridMultilevel"/>
    <w:tmpl w:val="CA326064"/>
    <w:lvl w:ilvl="0" w:tplc="C45C73C8">
      <w:start w:val="1"/>
      <w:numFmt w:val="lowerLetter"/>
      <w:lvlText w:val="%1)"/>
      <w:lvlJc w:val="left"/>
      <w:pPr>
        <w:tabs>
          <w:tab w:val="num" w:pos="585"/>
        </w:tabs>
        <w:ind w:left="585" w:hanging="360"/>
      </w:pPr>
      <w:rPr>
        <w:rFonts w:hint="default"/>
      </w:rPr>
    </w:lvl>
    <w:lvl w:ilvl="1" w:tplc="0C0A0019" w:tentative="1">
      <w:start w:val="1"/>
      <w:numFmt w:val="lowerLetter"/>
      <w:lvlText w:val="%2."/>
      <w:lvlJc w:val="left"/>
      <w:pPr>
        <w:tabs>
          <w:tab w:val="num" w:pos="1305"/>
        </w:tabs>
        <w:ind w:left="1305" w:hanging="360"/>
      </w:pPr>
    </w:lvl>
    <w:lvl w:ilvl="2" w:tplc="0C0A001B" w:tentative="1">
      <w:start w:val="1"/>
      <w:numFmt w:val="lowerRoman"/>
      <w:lvlText w:val="%3."/>
      <w:lvlJc w:val="right"/>
      <w:pPr>
        <w:tabs>
          <w:tab w:val="num" w:pos="2025"/>
        </w:tabs>
        <w:ind w:left="2025" w:hanging="180"/>
      </w:pPr>
    </w:lvl>
    <w:lvl w:ilvl="3" w:tplc="0C0A000F" w:tentative="1">
      <w:start w:val="1"/>
      <w:numFmt w:val="decimal"/>
      <w:lvlText w:val="%4."/>
      <w:lvlJc w:val="left"/>
      <w:pPr>
        <w:tabs>
          <w:tab w:val="num" w:pos="2745"/>
        </w:tabs>
        <w:ind w:left="2745" w:hanging="360"/>
      </w:pPr>
    </w:lvl>
    <w:lvl w:ilvl="4" w:tplc="0C0A0019" w:tentative="1">
      <w:start w:val="1"/>
      <w:numFmt w:val="lowerLetter"/>
      <w:lvlText w:val="%5."/>
      <w:lvlJc w:val="left"/>
      <w:pPr>
        <w:tabs>
          <w:tab w:val="num" w:pos="3465"/>
        </w:tabs>
        <w:ind w:left="3465" w:hanging="360"/>
      </w:pPr>
    </w:lvl>
    <w:lvl w:ilvl="5" w:tplc="0C0A001B" w:tentative="1">
      <w:start w:val="1"/>
      <w:numFmt w:val="lowerRoman"/>
      <w:lvlText w:val="%6."/>
      <w:lvlJc w:val="right"/>
      <w:pPr>
        <w:tabs>
          <w:tab w:val="num" w:pos="4185"/>
        </w:tabs>
        <w:ind w:left="4185" w:hanging="180"/>
      </w:pPr>
    </w:lvl>
    <w:lvl w:ilvl="6" w:tplc="0C0A000F" w:tentative="1">
      <w:start w:val="1"/>
      <w:numFmt w:val="decimal"/>
      <w:lvlText w:val="%7."/>
      <w:lvlJc w:val="left"/>
      <w:pPr>
        <w:tabs>
          <w:tab w:val="num" w:pos="4905"/>
        </w:tabs>
        <w:ind w:left="4905" w:hanging="360"/>
      </w:pPr>
    </w:lvl>
    <w:lvl w:ilvl="7" w:tplc="0C0A0019" w:tentative="1">
      <w:start w:val="1"/>
      <w:numFmt w:val="lowerLetter"/>
      <w:lvlText w:val="%8."/>
      <w:lvlJc w:val="left"/>
      <w:pPr>
        <w:tabs>
          <w:tab w:val="num" w:pos="5625"/>
        </w:tabs>
        <w:ind w:left="5625" w:hanging="360"/>
      </w:pPr>
    </w:lvl>
    <w:lvl w:ilvl="8" w:tplc="0C0A001B" w:tentative="1">
      <w:start w:val="1"/>
      <w:numFmt w:val="lowerRoman"/>
      <w:lvlText w:val="%9."/>
      <w:lvlJc w:val="right"/>
      <w:pPr>
        <w:tabs>
          <w:tab w:val="num" w:pos="6345"/>
        </w:tabs>
        <w:ind w:left="6345" w:hanging="180"/>
      </w:pPr>
    </w:lvl>
  </w:abstractNum>
  <w:abstractNum w:abstractNumId="5">
    <w:nsid w:val="137E6ED1"/>
    <w:multiLevelType w:val="hybridMultilevel"/>
    <w:tmpl w:val="7B6ECBFE"/>
    <w:lvl w:ilvl="0" w:tplc="820A5F00">
      <w:start w:val="1"/>
      <w:numFmt w:val="decimal"/>
      <w:lvlText w:val="%1."/>
      <w:lvlJc w:val="left"/>
      <w:pPr>
        <w:tabs>
          <w:tab w:val="num" w:pos="720"/>
        </w:tabs>
        <w:ind w:left="0" w:firstLine="720"/>
      </w:pPr>
      <w:rPr>
        <w:rFonts w:hint="default"/>
        <w:b w:val="0"/>
        <w:sz w:val="20"/>
        <w:szCs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C0A60BE"/>
    <w:multiLevelType w:val="multilevel"/>
    <w:tmpl w:val="C8F0521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nsid w:val="1DC53E12"/>
    <w:multiLevelType w:val="hybridMultilevel"/>
    <w:tmpl w:val="BB7E87D4"/>
    <w:lvl w:ilvl="0" w:tplc="919C9BA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367C6F7C"/>
    <w:multiLevelType w:val="hybridMultilevel"/>
    <w:tmpl w:val="6AACA1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6B32131"/>
    <w:multiLevelType w:val="hybridMultilevel"/>
    <w:tmpl w:val="1BF279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562758"/>
    <w:multiLevelType w:val="hybridMultilevel"/>
    <w:tmpl w:val="2828E588"/>
    <w:lvl w:ilvl="0" w:tplc="6652C0E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2D704A0"/>
    <w:multiLevelType w:val="hybridMultilevel"/>
    <w:tmpl w:val="1D64E0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FFF20D1"/>
    <w:multiLevelType w:val="hybridMultilevel"/>
    <w:tmpl w:val="00ECB4EC"/>
    <w:lvl w:ilvl="0" w:tplc="3B50F22C">
      <w:start w:val="1"/>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73B08E2"/>
    <w:multiLevelType w:val="hybridMultilevel"/>
    <w:tmpl w:val="BB94D068"/>
    <w:lvl w:ilvl="0" w:tplc="AA34219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13"/>
  </w:num>
  <w:num w:numId="3">
    <w:abstractNumId w:val="2"/>
  </w:num>
  <w:num w:numId="4">
    <w:abstractNumId w:val="14"/>
  </w:num>
  <w:num w:numId="5">
    <w:abstractNumId w:val="5"/>
  </w:num>
  <w:num w:numId="6">
    <w:abstractNumId w:val="11"/>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1"/>
  </w:num>
  <w:num w:numId="12">
    <w:abstractNumId w:val="7"/>
  </w:num>
  <w:num w:numId="13">
    <w:abstractNumId w:val="6"/>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310"/>
    <w:rsid w:val="00063662"/>
    <w:rsid w:val="000B048B"/>
    <w:rsid w:val="000C3C3B"/>
    <w:rsid w:val="00123DCF"/>
    <w:rsid w:val="0012560E"/>
    <w:rsid w:val="001328B9"/>
    <w:rsid w:val="001675DE"/>
    <w:rsid w:val="001C6D80"/>
    <w:rsid w:val="001D2811"/>
    <w:rsid w:val="001E31C7"/>
    <w:rsid w:val="001E37BE"/>
    <w:rsid w:val="001F10B5"/>
    <w:rsid w:val="002931CB"/>
    <w:rsid w:val="002C0731"/>
    <w:rsid w:val="003168A2"/>
    <w:rsid w:val="0036342D"/>
    <w:rsid w:val="004358EE"/>
    <w:rsid w:val="004648FB"/>
    <w:rsid w:val="004846EE"/>
    <w:rsid w:val="004A13FA"/>
    <w:rsid w:val="004C319D"/>
    <w:rsid w:val="004E49FA"/>
    <w:rsid w:val="005177E6"/>
    <w:rsid w:val="00523E00"/>
    <w:rsid w:val="005548BF"/>
    <w:rsid w:val="005A5BF9"/>
    <w:rsid w:val="005C72AD"/>
    <w:rsid w:val="005E265D"/>
    <w:rsid w:val="0062203C"/>
    <w:rsid w:val="00745CF7"/>
    <w:rsid w:val="007554C7"/>
    <w:rsid w:val="00762E4D"/>
    <w:rsid w:val="0076371A"/>
    <w:rsid w:val="00874152"/>
    <w:rsid w:val="008A229D"/>
    <w:rsid w:val="008F0D27"/>
    <w:rsid w:val="00933D8A"/>
    <w:rsid w:val="0098002D"/>
    <w:rsid w:val="009A18A3"/>
    <w:rsid w:val="009B2B45"/>
    <w:rsid w:val="009B7815"/>
    <w:rsid w:val="009F75FF"/>
    <w:rsid w:val="00A01DC6"/>
    <w:rsid w:val="00A13494"/>
    <w:rsid w:val="00AC1C8C"/>
    <w:rsid w:val="00AC5DD3"/>
    <w:rsid w:val="00AF26CE"/>
    <w:rsid w:val="00AF4111"/>
    <w:rsid w:val="00B209F4"/>
    <w:rsid w:val="00B93DE2"/>
    <w:rsid w:val="00BB0310"/>
    <w:rsid w:val="00BC47E5"/>
    <w:rsid w:val="00BC7D12"/>
    <w:rsid w:val="00BD5230"/>
    <w:rsid w:val="00C248D5"/>
    <w:rsid w:val="00C57C8E"/>
    <w:rsid w:val="00C642BC"/>
    <w:rsid w:val="00C7413F"/>
    <w:rsid w:val="00D103BF"/>
    <w:rsid w:val="00D15D9B"/>
    <w:rsid w:val="00D552AC"/>
    <w:rsid w:val="00D60DE6"/>
    <w:rsid w:val="00D8429F"/>
    <w:rsid w:val="00DC157F"/>
    <w:rsid w:val="00E3064D"/>
    <w:rsid w:val="00E968AA"/>
    <w:rsid w:val="00EE1E1D"/>
    <w:rsid w:val="00EF4688"/>
    <w:rsid w:val="00F67CA3"/>
    <w:rsid w:val="00F73DB2"/>
    <w:rsid w:val="00F80170"/>
    <w:rsid w:val="00FD5DF6"/>
    <w:rsid w:val="00FE28E6"/>
    <w:rsid w:val="00FE3E3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8444F6-5118-4898-A78E-02D4D8E7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5DC"/>
    <w:rPr>
      <w:sz w:val="24"/>
      <w:szCs w:val="24"/>
      <w:lang w:val="es-ES_tradnl" w:eastAsia="en-US"/>
    </w:rPr>
  </w:style>
  <w:style w:type="paragraph" w:styleId="Heading1">
    <w:name w:val="heading 1"/>
    <w:basedOn w:val="Normal"/>
    <w:next w:val="Normal"/>
    <w:qFormat/>
    <w:rsid w:val="00AE7D7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E7D7A"/>
    <w:pPr>
      <w:keepNext/>
      <w:spacing w:before="240" w:after="60"/>
      <w:outlineLvl w:val="1"/>
    </w:pPr>
    <w:rPr>
      <w:rFonts w:ascii="Arial" w:hAnsi="Arial" w:cs="Arial"/>
      <w:b/>
      <w:bCs/>
      <w:i/>
      <w:iCs/>
      <w:sz w:val="28"/>
      <w:szCs w:val="28"/>
    </w:rPr>
  </w:style>
  <w:style w:type="paragraph" w:styleId="Heading3">
    <w:name w:val="heading 3"/>
    <w:basedOn w:val="Normal"/>
    <w:qFormat/>
    <w:rsid w:val="00BB0310"/>
    <w:pPr>
      <w:spacing w:before="100" w:beforeAutospacing="1" w:after="100" w:afterAutospacing="1"/>
      <w:outlineLvl w:val="2"/>
    </w:pPr>
    <w:rPr>
      <w:rFonts w:ascii="Arial Unicode MS" w:hAnsi="Arial Unicode MS"/>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B0310"/>
    <w:rPr>
      <w:color w:val="0000FF"/>
      <w:u w:val="single"/>
    </w:rPr>
  </w:style>
  <w:style w:type="character" w:styleId="FootnoteReference">
    <w:name w:val="footnote reference"/>
    <w:aliases w:val="Footnotes refss"/>
    <w:rsid w:val="00BB0310"/>
    <w:rPr>
      <w:vertAlign w:val="superscript"/>
    </w:rPr>
  </w:style>
  <w:style w:type="paragraph" w:styleId="BodyText">
    <w:name w:val="Body Text"/>
    <w:basedOn w:val="Normal"/>
    <w:link w:val="BodyTextChar1"/>
    <w:rsid w:val="00BB0310"/>
    <w:pPr>
      <w:spacing w:before="100" w:beforeAutospacing="1" w:after="100" w:afterAutospacing="1"/>
    </w:pPr>
    <w:rPr>
      <w:lang w:val="en-US"/>
    </w:rPr>
  </w:style>
  <w:style w:type="paragraph" w:styleId="BodyText2">
    <w:name w:val="Body Text 2"/>
    <w:basedOn w:val="Normal"/>
    <w:rsid w:val="00BB0310"/>
    <w:pPr>
      <w:spacing w:before="100" w:beforeAutospacing="1" w:after="100" w:afterAutospacing="1"/>
    </w:pPr>
    <w:rPr>
      <w:lang w:val="en-US"/>
    </w:rPr>
  </w:style>
  <w:style w:type="paragraph" w:styleId="BodyTextIndent">
    <w:name w:val="Body Text Indent"/>
    <w:basedOn w:val="Normal"/>
    <w:rsid w:val="00BB0310"/>
    <w:pPr>
      <w:spacing w:before="100" w:beforeAutospacing="1" w:after="100" w:afterAutospacing="1"/>
    </w:pPr>
    <w:rPr>
      <w:lang w:val="en-US"/>
    </w:rPr>
  </w:style>
  <w:style w:type="paragraph" w:styleId="FootnoteText">
    <w:name w:val="footnote text"/>
    <w:aliases w:val="FA Fu,Footnote Text Char Char Char Char Char,Footnote Text Char Char Char Char,Footnote reference,Footnote Text Char Char Char,Footnote Text Cha,FA Fußnotentext,FA Fuﬂnotentext,Texto nota pie Car,Footnote Text Char Char"/>
    <w:basedOn w:val="Normal"/>
    <w:link w:val="FootnoteTextChar"/>
    <w:rsid w:val="00BB0310"/>
    <w:pPr>
      <w:spacing w:before="100" w:beforeAutospacing="1" w:after="100" w:afterAutospacing="1"/>
    </w:pPr>
    <w:rPr>
      <w:lang w:val="en-US"/>
    </w:rPr>
  </w:style>
  <w:style w:type="paragraph" w:styleId="NormalWeb">
    <w:name w:val="Normal (Web)"/>
    <w:basedOn w:val="Normal"/>
    <w:rsid w:val="004B32D3"/>
    <w:pPr>
      <w:spacing w:before="100" w:beforeAutospacing="1" w:after="100" w:afterAutospacing="1"/>
    </w:pPr>
    <w:rPr>
      <w:rFonts w:ascii="Arial Unicode MS" w:eastAsia="Arial Unicode MS" w:hAnsi="Arial Unicode MS" w:cs="Arial Unicode MS"/>
      <w:lang w:val="en-US"/>
    </w:rPr>
  </w:style>
  <w:style w:type="paragraph" w:styleId="DocumentMap">
    <w:name w:val="Document Map"/>
    <w:basedOn w:val="Normal"/>
    <w:semiHidden/>
    <w:rsid w:val="00AE7D7A"/>
    <w:pPr>
      <w:shd w:val="clear" w:color="auto" w:fill="000080"/>
    </w:pPr>
    <w:rPr>
      <w:rFonts w:ascii="Tahoma" w:hAnsi="Tahoma" w:cs="Tahoma"/>
      <w:sz w:val="20"/>
      <w:szCs w:val="20"/>
    </w:rPr>
  </w:style>
  <w:style w:type="paragraph" w:styleId="BodyTextIndent3">
    <w:name w:val="Body Text Indent 3"/>
    <w:basedOn w:val="Normal"/>
    <w:rsid w:val="00BA12B4"/>
    <w:pPr>
      <w:spacing w:after="120"/>
      <w:ind w:left="360"/>
    </w:pPr>
    <w:rPr>
      <w:sz w:val="16"/>
      <w:szCs w:val="16"/>
    </w:rPr>
  </w:style>
  <w:style w:type="paragraph" w:styleId="BlockText">
    <w:name w:val="Block Text"/>
    <w:basedOn w:val="Normal"/>
    <w:rsid w:val="00BA12B4"/>
    <w:pPr>
      <w:spacing w:before="100" w:beforeAutospacing="1" w:after="100" w:afterAutospacing="1"/>
    </w:pPr>
    <w:rPr>
      <w:lang w:val="en-US"/>
    </w:rPr>
  </w:style>
  <w:style w:type="paragraph" w:styleId="EndnoteText">
    <w:name w:val="endnote text"/>
    <w:basedOn w:val="Normal"/>
    <w:semiHidden/>
    <w:rsid w:val="00A37ECB"/>
    <w:rPr>
      <w:sz w:val="20"/>
      <w:szCs w:val="20"/>
    </w:rPr>
  </w:style>
  <w:style w:type="character" w:styleId="EndnoteReference">
    <w:name w:val="endnote reference"/>
    <w:semiHidden/>
    <w:rsid w:val="00A37ECB"/>
    <w:rPr>
      <w:vertAlign w:val="superscript"/>
    </w:rPr>
  </w:style>
  <w:style w:type="paragraph" w:styleId="Header">
    <w:name w:val="header"/>
    <w:basedOn w:val="Normal"/>
    <w:rsid w:val="00622EE1"/>
    <w:pPr>
      <w:tabs>
        <w:tab w:val="center" w:pos="4320"/>
        <w:tab w:val="right" w:pos="8640"/>
      </w:tabs>
    </w:pPr>
  </w:style>
  <w:style w:type="character" w:styleId="PageNumber">
    <w:name w:val="page number"/>
    <w:basedOn w:val="DefaultParagraphFont"/>
    <w:rsid w:val="00622EE1"/>
  </w:style>
  <w:style w:type="paragraph" w:styleId="Footer">
    <w:name w:val="footer"/>
    <w:basedOn w:val="Normal"/>
    <w:rsid w:val="001423AB"/>
    <w:pPr>
      <w:tabs>
        <w:tab w:val="center" w:pos="4320"/>
        <w:tab w:val="right" w:pos="8640"/>
      </w:tabs>
    </w:pPr>
  </w:style>
  <w:style w:type="paragraph" w:styleId="BalloonText">
    <w:name w:val="Balloon Text"/>
    <w:basedOn w:val="Normal"/>
    <w:semiHidden/>
    <w:rsid w:val="007E47ED"/>
    <w:rPr>
      <w:rFonts w:ascii="Tahoma" w:hAnsi="Tahoma" w:cs="Tahoma"/>
      <w:sz w:val="16"/>
      <w:szCs w:val="16"/>
    </w:rPr>
  </w:style>
  <w:style w:type="paragraph" w:styleId="List">
    <w:name w:val="List"/>
    <w:basedOn w:val="Normal"/>
    <w:rsid w:val="00A220FB"/>
    <w:pPr>
      <w:widowControl w:val="0"/>
      <w:autoSpaceDE w:val="0"/>
      <w:autoSpaceDN w:val="0"/>
      <w:adjustRightInd w:val="0"/>
      <w:ind w:left="283" w:hanging="283"/>
    </w:pPr>
    <w:rPr>
      <w:lang w:val="es-ES" w:eastAsia="es-CO"/>
    </w:rPr>
  </w:style>
  <w:style w:type="paragraph" w:styleId="ListContinue">
    <w:name w:val="List Continue"/>
    <w:basedOn w:val="Normal"/>
    <w:rsid w:val="00035507"/>
    <w:pPr>
      <w:spacing w:after="120"/>
      <w:ind w:left="360"/>
    </w:pPr>
  </w:style>
  <w:style w:type="paragraph" w:styleId="Subtitle">
    <w:name w:val="Subtitle"/>
    <w:basedOn w:val="Normal"/>
    <w:qFormat/>
    <w:rsid w:val="007F350F"/>
    <w:pPr>
      <w:spacing w:before="100" w:beforeAutospacing="1" w:after="100" w:afterAutospacing="1"/>
    </w:pPr>
    <w:rPr>
      <w:lang w:val="en-US"/>
    </w:rPr>
  </w:style>
  <w:style w:type="table" w:styleId="TableGrid">
    <w:name w:val="Table Grid"/>
    <w:basedOn w:val="TableNormal"/>
    <w:rsid w:val="00AB5C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1">
    <w:name w:val="Body Text Char1"/>
    <w:link w:val="BodyText"/>
    <w:semiHidden/>
    <w:locked/>
    <w:rsid w:val="00304437"/>
    <w:rPr>
      <w:sz w:val="24"/>
      <w:szCs w:val="24"/>
      <w:lang w:val="en-US" w:eastAsia="en-US" w:bidi="ar-SA"/>
    </w:rPr>
  </w:style>
  <w:style w:type="character" w:customStyle="1" w:styleId="FootnoteTextChar">
    <w:name w:val="Footnote Text Char"/>
    <w:aliases w:val="FA Fu Char,Footnote Text Char Char Char Char Char Char,Footnote Text Char Char Char Char Char1,Footnote reference Char,Footnote Text Char Char Char Char1,Footnote Text Cha Char,FA Fußnotentext Char,FA Fuﬂnotentext Char"/>
    <w:link w:val="FootnoteText"/>
    <w:semiHidden/>
    <w:locked/>
    <w:rsid w:val="00CF01B8"/>
    <w:rPr>
      <w:sz w:val="24"/>
      <w:szCs w:val="24"/>
      <w:lang w:val="en-US" w:eastAsia="en-US" w:bidi="ar-SA"/>
    </w:rPr>
  </w:style>
  <w:style w:type="paragraph" w:customStyle="1" w:styleId="Default">
    <w:name w:val="Default"/>
    <w:rsid w:val="00D565C9"/>
    <w:pPr>
      <w:autoSpaceDE w:val="0"/>
      <w:autoSpaceDN w:val="0"/>
      <w:adjustRightInd w:val="0"/>
    </w:pPr>
    <w:rPr>
      <w:color w:val="000000"/>
      <w:sz w:val="24"/>
      <w:szCs w:val="24"/>
      <w:lang w:val="en-US" w:eastAsia="en-US"/>
    </w:rPr>
  </w:style>
  <w:style w:type="paragraph" w:styleId="BodyText3">
    <w:name w:val="Body Text 3"/>
    <w:basedOn w:val="Normal"/>
    <w:rsid w:val="004319BF"/>
    <w:pPr>
      <w:spacing w:after="120"/>
    </w:pPr>
    <w:rPr>
      <w:sz w:val="16"/>
      <w:szCs w:val="16"/>
    </w:rPr>
  </w:style>
  <w:style w:type="character" w:customStyle="1" w:styleId="BodyTextChar">
    <w:name w:val="Body Text Char"/>
    <w:semiHidden/>
    <w:locked/>
    <w:rsid w:val="00AF4111"/>
    <w:rPr>
      <w:sz w:val="24"/>
      <w:szCs w:val="24"/>
      <w:lang w:val="en-US" w:eastAsia="en-US" w:bidi="ar-SA"/>
    </w:rPr>
  </w:style>
  <w:style w:type="paragraph" w:styleId="ListParagraph">
    <w:name w:val="List Paragraph"/>
    <w:basedOn w:val="Normal"/>
    <w:uiPriority w:val="34"/>
    <w:qFormat/>
    <w:rsid w:val="0036342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757B2-13DB-41BB-9DF6-3CD3817C1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4780</Words>
  <Characters>26290</Characters>
  <Application>Microsoft Office Word</Application>
  <DocSecurity>0</DocSecurity>
  <Lines>219</Lines>
  <Paragraphs>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Informe No. 1/10</vt:lpstr>
      <vt:lpstr>Informe No. 1/10</vt:lpstr>
    </vt:vector>
  </TitlesOfParts>
  <Company>OAS</Company>
  <LinksUpToDate>false</LinksUpToDate>
  <CharactersWithSpaces>31008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1/10</dc:title>
  <dc:creator>CLA</dc:creator>
  <cp:lastModifiedBy>Javier Alberto Melgar Molina</cp:lastModifiedBy>
  <cp:revision>2</cp:revision>
  <cp:lastPrinted>2010-02-19T17:28:00Z</cp:lastPrinted>
  <dcterms:created xsi:type="dcterms:W3CDTF">2017-09-11T23:22:00Z</dcterms:created>
  <dcterms:modified xsi:type="dcterms:W3CDTF">2017-09-11T23:22:00Z</dcterms:modified>
</cp:coreProperties>
</file>