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7A88" w:rsidRPr="005F66AD" w:rsidRDefault="00747A88" w:rsidP="005F66AD">
      <w:pPr>
        <w:jc w:val="center"/>
        <w:rPr>
          <w:b/>
          <w:szCs w:val="20"/>
          <w:lang w:val="es-CL"/>
        </w:rPr>
      </w:pPr>
      <w:r w:rsidRPr="005F66AD">
        <w:rPr>
          <w:b/>
          <w:szCs w:val="20"/>
          <w:lang w:val="es-CL"/>
        </w:rPr>
        <w:t>INFORME No. 114/11</w:t>
      </w:r>
    </w:p>
    <w:p w:rsidR="00747A88" w:rsidRPr="005F66AD" w:rsidRDefault="00747A88" w:rsidP="005F66AD">
      <w:pPr>
        <w:jc w:val="center"/>
        <w:rPr>
          <w:bCs/>
          <w:szCs w:val="20"/>
          <w:lang w:val="es-CL"/>
        </w:rPr>
      </w:pPr>
      <w:r w:rsidRPr="005F66AD">
        <w:rPr>
          <w:bCs/>
          <w:szCs w:val="20"/>
          <w:lang w:val="es-CL"/>
        </w:rPr>
        <w:t>PETICIÓN 243-07</w:t>
      </w:r>
    </w:p>
    <w:p w:rsidR="00747A88" w:rsidRPr="005F66AD" w:rsidRDefault="00747A88" w:rsidP="005F66AD">
      <w:pPr>
        <w:jc w:val="center"/>
        <w:rPr>
          <w:bCs/>
          <w:szCs w:val="20"/>
          <w:lang w:val="es-CL"/>
        </w:rPr>
      </w:pPr>
      <w:r w:rsidRPr="005F66AD">
        <w:rPr>
          <w:bCs/>
          <w:szCs w:val="20"/>
          <w:lang w:val="es-CL"/>
        </w:rPr>
        <w:t>ADMISIBILIDAD</w:t>
      </w:r>
    </w:p>
    <w:p w:rsidR="00747A88" w:rsidRPr="005F66AD" w:rsidRDefault="00747A88" w:rsidP="005F66AD">
      <w:pPr>
        <w:jc w:val="center"/>
        <w:rPr>
          <w:bCs/>
          <w:szCs w:val="20"/>
          <w:lang w:val="es-CL"/>
        </w:rPr>
      </w:pPr>
      <w:r w:rsidRPr="005F66AD">
        <w:rPr>
          <w:bCs/>
          <w:szCs w:val="20"/>
          <w:lang w:val="es-CL"/>
        </w:rPr>
        <w:t>MARCEL GRANIER Y OTROS</w:t>
      </w:r>
    </w:p>
    <w:p w:rsidR="00747A88" w:rsidRPr="005F66AD" w:rsidRDefault="00747A88" w:rsidP="005F66AD">
      <w:pPr>
        <w:jc w:val="center"/>
        <w:rPr>
          <w:bCs/>
          <w:szCs w:val="20"/>
          <w:lang w:val="es-ES_tradnl"/>
        </w:rPr>
      </w:pPr>
      <w:r w:rsidRPr="005F66AD">
        <w:rPr>
          <w:bCs/>
          <w:szCs w:val="20"/>
          <w:lang w:val="es-ES_tradnl"/>
        </w:rPr>
        <w:t>VENEZUELA</w:t>
      </w:r>
      <w:r w:rsidRPr="005F66AD">
        <w:rPr>
          <w:rStyle w:val="FootnoteReference"/>
          <w:rFonts w:cs="Arial"/>
          <w:bCs/>
          <w:szCs w:val="20"/>
          <w:lang w:val="es-PE"/>
        </w:rPr>
        <w:footnoteReference w:id="1"/>
      </w:r>
      <w:bookmarkStart w:id="0" w:name="_GoBack"/>
      <w:bookmarkEnd w:id="0"/>
    </w:p>
    <w:p w:rsidR="00747A88" w:rsidRPr="005F66AD" w:rsidRDefault="00747A88" w:rsidP="005F66AD">
      <w:pPr>
        <w:jc w:val="center"/>
        <w:rPr>
          <w:bCs/>
          <w:szCs w:val="20"/>
          <w:lang w:val="es-ES_tradnl"/>
        </w:rPr>
      </w:pPr>
      <w:r w:rsidRPr="005F66AD">
        <w:rPr>
          <w:bCs/>
          <w:szCs w:val="20"/>
          <w:lang w:val="es-ES_tradnl"/>
        </w:rPr>
        <w:t>22 de julio de 2011</w:t>
      </w:r>
    </w:p>
    <w:p w:rsidR="00747A88" w:rsidRPr="005F66AD" w:rsidRDefault="00747A88" w:rsidP="005F66AD">
      <w:pPr>
        <w:ind w:left="1440" w:hanging="720"/>
        <w:rPr>
          <w:rFonts w:cs="Arial"/>
          <w:bCs/>
          <w:szCs w:val="20"/>
          <w:lang w:val="es-ES_tradnl"/>
        </w:rPr>
      </w:pPr>
    </w:p>
    <w:p w:rsidR="00747A88" w:rsidRPr="005F66AD" w:rsidRDefault="00747A88" w:rsidP="005F66AD">
      <w:pPr>
        <w:ind w:left="1440" w:hanging="720"/>
        <w:rPr>
          <w:rFonts w:cs="Arial"/>
          <w:bCs/>
          <w:szCs w:val="20"/>
          <w:lang w:val="es-ES_tradnl"/>
        </w:rPr>
      </w:pPr>
    </w:p>
    <w:p w:rsidR="00747A88" w:rsidRPr="005F66AD" w:rsidRDefault="00747A88" w:rsidP="005F66AD">
      <w:pPr>
        <w:rPr>
          <w:rFonts w:cs="Arial"/>
          <w:szCs w:val="20"/>
          <w:lang w:val="es-ES"/>
        </w:rPr>
      </w:pPr>
      <w:r w:rsidRPr="005F66AD">
        <w:rPr>
          <w:rFonts w:cs="Arial"/>
          <w:b/>
          <w:bCs/>
          <w:szCs w:val="20"/>
          <w:lang w:val="es-PE"/>
        </w:rPr>
        <w:t xml:space="preserve">I. </w:t>
      </w:r>
      <w:r w:rsidRPr="005F66AD">
        <w:rPr>
          <w:rFonts w:cs="Arial"/>
          <w:b/>
          <w:bCs/>
          <w:szCs w:val="20"/>
          <w:lang w:val="es-PE"/>
        </w:rPr>
        <w:tab/>
        <w:t>RESUMEN</w:t>
      </w:r>
    </w:p>
    <w:p w:rsidR="00747A88" w:rsidRPr="005F66AD" w:rsidRDefault="00747A88" w:rsidP="005F66AD">
      <w:pPr>
        <w:rPr>
          <w:rFonts w:cs="Arial"/>
          <w:szCs w:val="20"/>
          <w:lang w:val="es-PE"/>
        </w:rPr>
      </w:pPr>
    </w:p>
    <w:p w:rsidR="00747A88" w:rsidRPr="005F66AD" w:rsidRDefault="009F0FFF" w:rsidP="005F66AD">
      <w:pPr>
        <w:rPr>
          <w:rFonts w:cs="Arial"/>
          <w:szCs w:val="20"/>
          <w:lang w:val="es-PE"/>
        </w:rPr>
      </w:pPr>
      <w:r w:rsidRPr="005F66AD">
        <w:rPr>
          <w:rFonts w:cs="Arial"/>
          <w:szCs w:val="20"/>
          <w:lang w:val="es-PE"/>
        </w:rPr>
        <w:t xml:space="preserve">1. </w:t>
      </w:r>
      <w:r w:rsidR="00747A88" w:rsidRPr="005F66AD">
        <w:rPr>
          <w:rFonts w:cs="Arial"/>
          <w:szCs w:val="20"/>
          <w:lang w:val="es-PE"/>
        </w:rPr>
        <w:t xml:space="preserve">El 1º de marzo de 2007 la Comisión Interamericana de Derechos Humanos </w:t>
      </w:r>
      <w:r w:rsidR="00747A88" w:rsidRPr="005F66AD">
        <w:rPr>
          <w:szCs w:val="20"/>
          <w:lang w:val="es-ES"/>
        </w:rPr>
        <w:t xml:space="preserve">(en adelante “la Comisión” o la “CIDH”) </w:t>
      </w:r>
      <w:r w:rsidR="00747A88" w:rsidRPr="005F66AD">
        <w:rPr>
          <w:rFonts w:cs="Arial"/>
          <w:szCs w:val="20"/>
          <w:lang w:val="es-PE"/>
        </w:rPr>
        <w:t>recibió una petición presentada por Carlos Ayala Corao y Pedro Nikken (en adelante “los peticionarios”)</w:t>
      </w:r>
      <w:r w:rsidR="00747A88" w:rsidRPr="005F66AD">
        <w:rPr>
          <w:szCs w:val="20"/>
          <w:lang w:val="es-ES"/>
        </w:rPr>
        <w:t xml:space="preserve"> en la cual alegaron la responsabilidad de la República Bolivariana de Venezuela (en adelante “el Estado” o “el Estado venezolano”) por las violaciones de derechos humanos en perjuicio del señor Marcel Granier y otros 22 accionistas, directivos y/o periodistas de la estación televisora Radio Caracas Televisión (RCTV) (en adelante “las presuntas víctimas”).</w:t>
      </w:r>
    </w:p>
    <w:p w:rsidR="00747A88" w:rsidRPr="005F66AD" w:rsidRDefault="00747A88" w:rsidP="005F66AD">
      <w:pPr>
        <w:rPr>
          <w:rFonts w:cs="Arial"/>
          <w:szCs w:val="20"/>
          <w:lang w:val="es-PE"/>
        </w:rPr>
      </w:pPr>
    </w:p>
    <w:p w:rsidR="00747A88" w:rsidRPr="005F66AD" w:rsidRDefault="009F0FFF" w:rsidP="005F66AD">
      <w:pPr>
        <w:rPr>
          <w:rFonts w:cs="Arial"/>
          <w:szCs w:val="20"/>
          <w:lang w:val="es-PE"/>
        </w:rPr>
      </w:pPr>
      <w:r w:rsidRPr="005F66AD">
        <w:rPr>
          <w:rFonts w:cs="Arial"/>
          <w:szCs w:val="20"/>
          <w:lang w:val="es-PE"/>
        </w:rPr>
        <w:t xml:space="preserve">2. </w:t>
      </w:r>
      <w:r w:rsidR="00747A88" w:rsidRPr="005F66AD">
        <w:rPr>
          <w:rFonts w:cs="Arial"/>
          <w:szCs w:val="20"/>
          <w:lang w:val="es-PE"/>
        </w:rPr>
        <w:t xml:space="preserve">Según los peticionarios, la decisión del Estado de no renovar la concesión a RCTV para operar como estación televisiva tenía por objeto silenciar dicho medio de comunicación por difundir opiniones críticas e informaciones contrarias al gobierno.  Asimismo, señalan que el Estado, a través de un procedimiento judicial en el cual las presuntas víctimas no eran parte y actuando </w:t>
      </w:r>
      <w:r w:rsidR="00747A88" w:rsidRPr="005F66AD">
        <w:rPr>
          <w:rFonts w:cs="Arial"/>
          <w:i/>
          <w:szCs w:val="20"/>
          <w:lang w:val="es-PE"/>
        </w:rPr>
        <w:t>ex officio</w:t>
      </w:r>
      <w:r w:rsidR="00747A88" w:rsidRPr="005F66AD">
        <w:rPr>
          <w:rFonts w:cs="Arial"/>
          <w:szCs w:val="20"/>
          <w:lang w:val="es-PE"/>
        </w:rPr>
        <w:t>, decidió incautar sin fórmula de juicio y sin indemnización los equipos pertenecientes a RCTV, mediante los cuales transmitía su programación.  Sostienen que, aunado a la alegada falta de respuesta a los recursos interpuestos por las presuntas víctimas, lo anterior configuraría la violación de los derechos a las garantías judiciales, la libertad de pensamiento y de expresión, a la propiedad privada, a la igualdad y no discriminación y a la protección judicial, consagrados en los artículos 8, 13, 21, 24 y 25 de la Convención Americana sobre Derechos Humanos (en adelante ”la Convención Americana” o “la Convención”), todos ellos en concordancia con las obligaciones generales previstas en sus artículos 1(1) y 2.  Finalmente, los peticionarios sostienen que la petición es admisible en vista de la excepción del agotamiento de recursos internos prevista en el artículo 46(2</w:t>
      </w:r>
      <w:proofErr w:type="gramStart"/>
      <w:r w:rsidR="00747A88" w:rsidRPr="005F66AD">
        <w:rPr>
          <w:rFonts w:cs="Arial"/>
          <w:szCs w:val="20"/>
          <w:lang w:val="es-PE"/>
        </w:rPr>
        <w:t>)(</w:t>
      </w:r>
      <w:proofErr w:type="gramEnd"/>
      <w:r w:rsidR="00747A88" w:rsidRPr="005F66AD">
        <w:rPr>
          <w:rFonts w:cs="Arial"/>
          <w:szCs w:val="20"/>
          <w:lang w:val="es-PE"/>
        </w:rPr>
        <w:t>c) de la Convención Americana, con base en el retardo injustificado de los recursos de la jurisdicción interna.</w:t>
      </w:r>
    </w:p>
    <w:p w:rsidR="00747A88" w:rsidRPr="005F66AD" w:rsidRDefault="00747A88" w:rsidP="005F66AD">
      <w:pPr>
        <w:rPr>
          <w:rFonts w:cs="Arial"/>
          <w:szCs w:val="20"/>
          <w:lang w:val="es-PE"/>
        </w:rPr>
      </w:pPr>
    </w:p>
    <w:p w:rsidR="00747A88" w:rsidRPr="005F66AD" w:rsidRDefault="009F0FFF" w:rsidP="005F66AD">
      <w:pPr>
        <w:rPr>
          <w:rFonts w:cs="Arial"/>
          <w:szCs w:val="20"/>
          <w:lang w:val="es-PE"/>
        </w:rPr>
      </w:pPr>
      <w:r w:rsidRPr="005F66AD">
        <w:rPr>
          <w:szCs w:val="20"/>
          <w:lang w:val="es-ES"/>
        </w:rPr>
        <w:t xml:space="preserve">3. </w:t>
      </w:r>
      <w:r w:rsidR="00747A88" w:rsidRPr="005F66AD">
        <w:rPr>
          <w:szCs w:val="20"/>
          <w:lang w:val="es-ES"/>
        </w:rPr>
        <w:t>A la fecha de aprobación del presente informe, el Estado venezolano no ha dado respuesta a la petición.</w:t>
      </w:r>
    </w:p>
    <w:p w:rsidR="00747A88" w:rsidRPr="005F66AD" w:rsidRDefault="00747A88" w:rsidP="005F66AD">
      <w:pPr>
        <w:rPr>
          <w:rFonts w:cs="Arial"/>
          <w:szCs w:val="20"/>
          <w:lang w:val="es-PE"/>
        </w:rPr>
      </w:pPr>
    </w:p>
    <w:p w:rsidR="00747A88" w:rsidRPr="005F66AD" w:rsidRDefault="00066259" w:rsidP="005F66AD">
      <w:pPr>
        <w:rPr>
          <w:rFonts w:cs="Arial"/>
          <w:szCs w:val="20"/>
          <w:lang w:val="es-PE"/>
        </w:rPr>
      </w:pPr>
      <w:r w:rsidRPr="005F66AD">
        <w:rPr>
          <w:szCs w:val="20"/>
          <w:lang w:val="es-ES_tradnl"/>
        </w:rPr>
        <w:t xml:space="preserve">4. </w:t>
      </w:r>
      <w:r w:rsidR="00747A88" w:rsidRPr="005F66AD">
        <w:rPr>
          <w:szCs w:val="20"/>
          <w:lang w:val="es-ES_tradnl"/>
        </w:rPr>
        <w:t>Tras examinar la posición de las partes a la luz de los requisitos de admisibilidad previstos en los artículos 46 y 47 de la Convención, la Comisión concluye que es competente para conocer el reclamo y que éste es admisible por la presunta violación de los derechos consagrados en los artículos 8, 13, 24 y 25 de la Convención Americana, en relación con sus artículos 1(1) y 2, en perjuicio de las presuntas víctimas quienes se desempeñan como accionistas, directivos y/o periodistas de RCTV.  Asimismo, la petición es admisible por la presunta violación del derecho a la propiedad privada, previsto en el artículo 21 de la Convención, en relación con el artículo 1(1) del mismo instrumento, en perjuicio de las presuntas víctimas quienes son accionistas de RCTV.</w:t>
      </w:r>
      <w:r w:rsidR="00747A88" w:rsidRPr="005F66AD">
        <w:rPr>
          <w:rFonts w:cs="Arial"/>
          <w:szCs w:val="20"/>
          <w:lang w:val="es-PE"/>
        </w:rPr>
        <w:t xml:space="preserve">  </w:t>
      </w:r>
      <w:r w:rsidR="00747A88" w:rsidRPr="005F66AD">
        <w:rPr>
          <w:szCs w:val="20"/>
          <w:lang w:val="es-ES_tradnl"/>
        </w:rPr>
        <w:t xml:space="preserve">En consecuencia, la Comisión </w:t>
      </w:r>
      <w:r w:rsidR="00747A88" w:rsidRPr="005F66AD">
        <w:rPr>
          <w:szCs w:val="20"/>
          <w:lang w:val="es-ES"/>
        </w:rPr>
        <w:t>dispone notificar el informe a las partes, ordenar su publicación e incluirlo en su Informe Anual a la Asamblea General de la OEA.</w:t>
      </w:r>
    </w:p>
    <w:p w:rsidR="00747A88" w:rsidRPr="005F66AD" w:rsidRDefault="00747A88" w:rsidP="005F66AD">
      <w:pPr>
        <w:rPr>
          <w:rFonts w:cs="Arial"/>
          <w:szCs w:val="20"/>
          <w:lang w:val="es-PE"/>
        </w:rPr>
      </w:pPr>
    </w:p>
    <w:p w:rsidR="00747A88" w:rsidRPr="005F66AD" w:rsidRDefault="00747A88" w:rsidP="005F66AD">
      <w:pPr>
        <w:rPr>
          <w:rFonts w:cs="Arial"/>
          <w:szCs w:val="20"/>
          <w:lang w:val="es-PE"/>
        </w:rPr>
      </w:pPr>
    </w:p>
    <w:p w:rsidR="00747A88" w:rsidRPr="005F66AD" w:rsidRDefault="00747A88" w:rsidP="005F66AD">
      <w:pPr>
        <w:rPr>
          <w:rFonts w:cs="Arial"/>
          <w:b/>
          <w:bCs/>
          <w:szCs w:val="20"/>
          <w:lang w:val="es-PE"/>
        </w:rPr>
      </w:pPr>
      <w:r w:rsidRPr="005F66AD">
        <w:rPr>
          <w:rFonts w:cs="Arial"/>
          <w:b/>
          <w:bCs/>
          <w:szCs w:val="20"/>
          <w:lang w:val="es-PE"/>
        </w:rPr>
        <w:t>II.</w:t>
      </w:r>
      <w:r w:rsidRPr="005F66AD">
        <w:rPr>
          <w:rFonts w:cs="Arial"/>
          <w:b/>
          <w:bCs/>
          <w:szCs w:val="20"/>
          <w:lang w:val="es-PE"/>
        </w:rPr>
        <w:tab/>
        <w:t>TRÁMITE ANTE LA COMISIÓN</w:t>
      </w:r>
    </w:p>
    <w:p w:rsidR="00747A88" w:rsidRPr="005F66AD" w:rsidRDefault="00747A88" w:rsidP="005F66AD">
      <w:pPr>
        <w:rPr>
          <w:rFonts w:cs="Arial"/>
          <w:szCs w:val="20"/>
          <w:lang w:val="es-PE"/>
        </w:rPr>
      </w:pPr>
    </w:p>
    <w:p w:rsidR="00747A88" w:rsidRPr="005F66AD" w:rsidRDefault="00066259" w:rsidP="005F66AD">
      <w:pPr>
        <w:rPr>
          <w:rFonts w:cs="Arial"/>
          <w:szCs w:val="20"/>
          <w:lang w:val="es-PE"/>
        </w:rPr>
      </w:pPr>
      <w:r w:rsidRPr="005F66AD">
        <w:rPr>
          <w:rFonts w:cs="Arial"/>
          <w:szCs w:val="20"/>
          <w:lang w:val="es-PE"/>
        </w:rPr>
        <w:t xml:space="preserve">5. </w:t>
      </w:r>
      <w:r w:rsidR="00747A88" w:rsidRPr="005F66AD">
        <w:rPr>
          <w:rFonts w:cs="Arial"/>
          <w:szCs w:val="20"/>
          <w:lang w:val="es-PE"/>
        </w:rPr>
        <w:t xml:space="preserve">El 1º de marzo de 2007, los peticionarios presentaron una petición a la CIDH. En dicho escrito, </w:t>
      </w:r>
      <w:r w:rsidR="00747A88" w:rsidRPr="005F66AD">
        <w:rPr>
          <w:szCs w:val="20"/>
          <w:lang w:val="es-ES"/>
        </w:rPr>
        <w:t xml:space="preserve">también </w:t>
      </w:r>
      <w:r w:rsidR="00747A88" w:rsidRPr="005F66AD">
        <w:rPr>
          <w:rFonts w:cs="Arial"/>
          <w:szCs w:val="20"/>
          <w:lang w:val="es-PE"/>
        </w:rPr>
        <w:t xml:space="preserve">solicitaron a la Comisión que requiriera a la Corte Interamericana de Derechos Humanos la concesión de medidas provisionales a favor de </w:t>
      </w:r>
      <w:proofErr w:type="gramStart"/>
      <w:r w:rsidR="00747A88" w:rsidRPr="005F66AD">
        <w:rPr>
          <w:rFonts w:cs="Arial"/>
          <w:szCs w:val="20"/>
          <w:lang w:val="es-PE"/>
        </w:rPr>
        <w:t>la presuntas víctimas</w:t>
      </w:r>
      <w:proofErr w:type="gramEnd"/>
      <w:r w:rsidR="00747A88" w:rsidRPr="005F66AD">
        <w:rPr>
          <w:rFonts w:cs="Arial"/>
          <w:szCs w:val="20"/>
          <w:lang w:val="es-PE"/>
        </w:rPr>
        <w:t xml:space="preserve">.  El 23 de abril de 2007, la CIDH decidió rechazar esta solicitud de los peticionarios. Asimismo, éstos presentaron información adicional sobre la petición los días 14 de marzo, 20 de junio y 18 de agosto de 2007. Tras efectuar un análisis preliminar, el 16 de octubre de 2007 la Comisión informó a los </w:t>
      </w:r>
      <w:r w:rsidR="00747A88" w:rsidRPr="005F66AD">
        <w:rPr>
          <w:rFonts w:cs="Arial"/>
          <w:szCs w:val="20"/>
          <w:lang w:val="es-PE"/>
        </w:rPr>
        <w:lastRenderedPageBreak/>
        <w:t xml:space="preserve">peticionarios que </w:t>
      </w:r>
      <w:r w:rsidR="00747A88" w:rsidRPr="005F66AD">
        <w:rPr>
          <w:szCs w:val="20"/>
          <w:lang w:val="es-CL"/>
        </w:rPr>
        <w:t>no sería posible dar trámite a la petición, porque no se podía determinar si se habían agotado los recursos de la jurisdicción interna.</w:t>
      </w:r>
    </w:p>
    <w:p w:rsidR="00747A88" w:rsidRPr="005F66AD" w:rsidRDefault="00747A88" w:rsidP="005F66AD">
      <w:pPr>
        <w:rPr>
          <w:rFonts w:cs="Arial"/>
          <w:szCs w:val="20"/>
          <w:lang w:val="es-PE"/>
        </w:rPr>
      </w:pPr>
    </w:p>
    <w:p w:rsidR="00747A88" w:rsidRDefault="00066259" w:rsidP="005F66AD">
      <w:pPr>
        <w:rPr>
          <w:szCs w:val="20"/>
          <w:lang w:val="es-ES"/>
        </w:rPr>
      </w:pPr>
      <w:r w:rsidRPr="005F66AD">
        <w:rPr>
          <w:rFonts w:cs="Arial"/>
          <w:szCs w:val="20"/>
          <w:lang w:val="es-PE"/>
        </w:rPr>
        <w:t xml:space="preserve">6. </w:t>
      </w:r>
      <w:r w:rsidR="00747A88" w:rsidRPr="005F66AD">
        <w:rPr>
          <w:rFonts w:cs="Arial"/>
          <w:szCs w:val="20"/>
          <w:lang w:val="es-PE"/>
        </w:rPr>
        <w:t xml:space="preserve">El 28 de febrero de 2010, los peticionarios sometieron a la CIDH una petición reiterando y actualizando la información de su escrito de 1º de marzo de 2007.  Además, indicaron nuevos hechos relacionados con la petición. Los peticionarios sometieron información adicional el 22 de marzo, el 15 de abril y el 20 de mayo de 2010.  En esta última oportunidad, presentaron una lista de presuntas víctimas acreditadas en su petición. Luego de un nuevo análisis preliminar, la Comisión procedió a dar trámite a la petición.  Por consiguiente, el 11 de marzo de 2011 transmitió dicho escrito y sus anexos al Estado venezolano, con un plazo de dos meses para presentar su respuesta.  El 15 de junio de 2011, los peticionarios remitieron un escrito aportando la copia de un documento de uno de los expedientes judiciales internos, el cual fue transmitido al Estado el 16 de junio de 2011.  </w:t>
      </w:r>
      <w:r w:rsidR="00747A88" w:rsidRPr="005F66AD">
        <w:rPr>
          <w:szCs w:val="20"/>
          <w:lang w:val="es-ES"/>
        </w:rPr>
        <w:t>A la fecha de aprobación del presente informe, el Estado venezolano no ha dado respuesta a la petición.</w:t>
      </w:r>
    </w:p>
    <w:p w:rsidR="005F66AD" w:rsidRPr="005F66AD" w:rsidRDefault="005F66AD" w:rsidP="005F66AD">
      <w:pPr>
        <w:rPr>
          <w:rFonts w:cs="Arial"/>
          <w:szCs w:val="20"/>
          <w:lang w:val="es-PE"/>
        </w:rPr>
      </w:pPr>
    </w:p>
    <w:p w:rsidR="00747A88" w:rsidRDefault="00747A88" w:rsidP="005F66AD">
      <w:pPr>
        <w:pStyle w:val="Heading1"/>
        <w:spacing w:before="0" w:beforeAutospacing="0" w:after="0" w:afterAutospacing="0"/>
        <w:jc w:val="both"/>
        <w:rPr>
          <w:bCs w:val="0"/>
          <w:szCs w:val="20"/>
          <w:lang w:val="es-AR"/>
        </w:rPr>
      </w:pPr>
      <w:r w:rsidRPr="005F66AD">
        <w:rPr>
          <w:bCs w:val="0"/>
          <w:szCs w:val="20"/>
          <w:lang w:val="es-AR"/>
        </w:rPr>
        <w:t>III.</w:t>
      </w:r>
      <w:r w:rsidRPr="005F66AD">
        <w:rPr>
          <w:bCs w:val="0"/>
          <w:szCs w:val="20"/>
          <w:lang w:val="es-AR"/>
        </w:rPr>
        <w:tab/>
        <w:t>POSICIONES DE LAS PARTES</w:t>
      </w:r>
    </w:p>
    <w:p w:rsidR="005F66AD" w:rsidRPr="005F66AD" w:rsidRDefault="005F66AD" w:rsidP="005F66AD">
      <w:pPr>
        <w:rPr>
          <w:lang w:eastAsia="x-none"/>
        </w:rPr>
      </w:pPr>
    </w:p>
    <w:p w:rsidR="00747A88" w:rsidRPr="005F66AD" w:rsidRDefault="00747A88" w:rsidP="005F66AD">
      <w:pPr>
        <w:pStyle w:val="Heading2"/>
        <w:spacing w:before="0" w:beforeAutospacing="0" w:after="0" w:afterAutospacing="0"/>
        <w:ind w:right="720"/>
        <w:rPr>
          <w:rFonts w:ascii="Verdana" w:hAnsi="Verdana"/>
          <w:bCs w:val="0"/>
          <w:sz w:val="20"/>
          <w:szCs w:val="20"/>
          <w:lang w:val="es-AR"/>
        </w:rPr>
      </w:pPr>
      <w:r w:rsidRPr="005F66AD">
        <w:rPr>
          <w:rFonts w:ascii="Verdana" w:hAnsi="Verdana"/>
          <w:bCs w:val="0"/>
          <w:sz w:val="20"/>
          <w:szCs w:val="20"/>
          <w:lang w:val="es-AR"/>
        </w:rPr>
        <w:t>A.</w:t>
      </w:r>
      <w:r w:rsidRPr="005F66AD">
        <w:rPr>
          <w:rFonts w:ascii="Verdana" w:hAnsi="Verdana"/>
          <w:bCs w:val="0"/>
          <w:sz w:val="20"/>
          <w:szCs w:val="20"/>
          <w:lang w:val="es-AR"/>
        </w:rPr>
        <w:tab/>
        <w:t>Posición de los peticionarios</w:t>
      </w:r>
    </w:p>
    <w:p w:rsidR="00747A88" w:rsidRPr="005F66AD" w:rsidRDefault="00747A88" w:rsidP="005F66AD">
      <w:pPr>
        <w:rPr>
          <w:rFonts w:cs="Arial"/>
          <w:szCs w:val="20"/>
          <w:lang w:val="es-PE"/>
        </w:rPr>
      </w:pPr>
    </w:p>
    <w:p w:rsidR="00747A88" w:rsidRPr="005F66AD" w:rsidRDefault="00066259" w:rsidP="005F66AD">
      <w:pPr>
        <w:rPr>
          <w:rFonts w:cs="Arial"/>
          <w:szCs w:val="20"/>
          <w:lang w:val="es-PE"/>
        </w:rPr>
      </w:pPr>
      <w:r w:rsidRPr="005F66AD">
        <w:rPr>
          <w:rFonts w:cs="Arial"/>
          <w:szCs w:val="20"/>
          <w:lang w:val="es-PE"/>
        </w:rPr>
        <w:t xml:space="preserve">7. </w:t>
      </w:r>
      <w:r w:rsidR="00747A88" w:rsidRPr="005F66AD">
        <w:rPr>
          <w:rFonts w:cs="Arial"/>
          <w:szCs w:val="20"/>
          <w:lang w:val="es-PE"/>
        </w:rPr>
        <w:t xml:space="preserve">Los peticionarios alegan que las presuntas víctimas se desempeñan como accionistas, directivos y/o periodistas de la Radio Caracas Televisión RCTV, </w:t>
      </w:r>
      <w:proofErr w:type="gramStart"/>
      <w:r w:rsidR="00747A88" w:rsidRPr="005F66AD">
        <w:rPr>
          <w:rFonts w:cs="Arial"/>
          <w:szCs w:val="20"/>
          <w:lang w:val="es-PE"/>
        </w:rPr>
        <w:t>C.A..</w:t>
      </w:r>
      <w:proofErr w:type="gramEnd"/>
      <w:r w:rsidR="00747A88" w:rsidRPr="005F66AD">
        <w:rPr>
          <w:rStyle w:val="FootnoteReference"/>
          <w:rFonts w:cs="Arial"/>
          <w:szCs w:val="20"/>
          <w:lang w:val="es-PE"/>
        </w:rPr>
        <w:footnoteReference w:id="2"/>
      </w:r>
      <w:r w:rsidR="00747A88" w:rsidRPr="005F66AD">
        <w:rPr>
          <w:rFonts w:cs="Arial"/>
          <w:szCs w:val="20"/>
          <w:lang w:val="es-PE"/>
        </w:rPr>
        <w:t xml:space="preserve">  Afirman que dicho medio de comunicación operaba como una estación de televisión abierta en VHF (</w:t>
      </w:r>
      <w:r w:rsidR="00747A88" w:rsidRPr="005F66AD">
        <w:rPr>
          <w:rFonts w:cs="Arial"/>
          <w:i/>
          <w:szCs w:val="20"/>
          <w:lang w:val="es-PE"/>
        </w:rPr>
        <w:t>very high frequency</w:t>
      </w:r>
      <w:r w:rsidR="00747A88" w:rsidRPr="005F66AD">
        <w:rPr>
          <w:rFonts w:cs="Arial"/>
          <w:szCs w:val="20"/>
          <w:lang w:val="es-PE"/>
        </w:rPr>
        <w:t>) con cobertura nacional, transmitiendo programas de información y de opinión.  Según los peticionarios, RCTV mantenía una línea editorial independiente, crítica del gobierno y del proceso denominado “Revolución Bolivariana”.</w:t>
      </w:r>
    </w:p>
    <w:p w:rsidR="00747A88" w:rsidRPr="005F66AD" w:rsidRDefault="00747A88" w:rsidP="005F66AD">
      <w:pPr>
        <w:rPr>
          <w:rFonts w:cs="Arial"/>
          <w:szCs w:val="20"/>
          <w:lang w:val="es-PE"/>
        </w:rPr>
      </w:pPr>
    </w:p>
    <w:p w:rsidR="00747A88" w:rsidRPr="005F66AD" w:rsidRDefault="00066259" w:rsidP="005F66AD">
      <w:pPr>
        <w:rPr>
          <w:rFonts w:cs="Arial"/>
          <w:szCs w:val="20"/>
          <w:lang w:val="es-PE"/>
        </w:rPr>
      </w:pPr>
      <w:r w:rsidRPr="005F66AD">
        <w:rPr>
          <w:rFonts w:cs="Arial"/>
          <w:szCs w:val="20"/>
          <w:lang w:val="es-PE"/>
        </w:rPr>
        <w:t xml:space="preserve">8. </w:t>
      </w:r>
      <w:r w:rsidR="00747A88" w:rsidRPr="005F66AD">
        <w:rPr>
          <w:rFonts w:cs="Arial"/>
          <w:szCs w:val="20"/>
          <w:lang w:val="es-PE"/>
        </w:rPr>
        <w:t>Los peticionarios señalan que, con base en el Decreto Nº 1.577 de 27 de mayo de 1987, el Estado había otorgado a RCTV una concesión para operar como estación de televisión abierta y usar el espectro radioeléctrico correspondiente por 20 años, es decir, hasta el 27 de mayo de 2007, y que al finalizar este período, los concesionarios tendrían preferencia para la extensión de la concesión.</w:t>
      </w:r>
    </w:p>
    <w:p w:rsidR="00747A88" w:rsidRPr="005F66AD" w:rsidRDefault="00747A88" w:rsidP="005F66AD">
      <w:pPr>
        <w:rPr>
          <w:rFonts w:cs="Arial"/>
          <w:szCs w:val="20"/>
          <w:lang w:val="es-PE"/>
        </w:rPr>
      </w:pPr>
    </w:p>
    <w:p w:rsidR="00747A88" w:rsidRPr="005F66AD" w:rsidRDefault="00066259" w:rsidP="005F66AD">
      <w:pPr>
        <w:rPr>
          <w:rFonts w:cs="Arial"/>
          <w:szCs w:val="20"/>
          <w:lang w:val="es-PE"/>
        </w:rPr>
      </w:pPr>
      <w:r w:rsidRPr="005F66AD">
        <w:rPr>
          <w:rFonts w:cs="Arial"/>
          <w:szCs w:val="20"/>
          <w:lang w:val="es-PE"/>
        </w:rPr>
        <w:t xml:space="preserve">9. </w:t>
      </w:r>
      <w:r w:rsidR="00747A88" w:rsidRPr="005F66AD">
        <w:rPr>
          <w:rFonts w:cs="Arial"/>
          <w:szCs w:val="20"/>
          <w:lang w:val="es-PE"/>
        </w:rPr>
        <w:t>Los peticionarios informan que, el 12 de junio de 2000, el Estado adoptó la Ley Orgánica de Telecomunicaciones (LOTEL), mediante la cual estableció un nuevo régimen al que los títulos de concesión deberían adaptarse. Explican que, no obstante, de acuerdo con LOTEL serían respetados el objeto, la cobertura y el “lapso” de vigencia de las concesiones ya otorgadas. Según los peticionarios, el término “lapso” se refería al plazo dispuesto en el Decreto Nº 1.577.  De este modo, indican que conforme a lo dispuesto en LOTEL, RCTV solicitó la adaptación de su título al nuevo régimen, iniciándose un proceso administrativo ante CONATEL el 5 de junio de 2002.  Aseveran que, sin considerar ese pedido de transformación, CONATEL pasó a aplicar a RCTV el régimen jurídico de LOTEL.</w:t>
      </w:r>
    </w:p>
    <w:p w:rsidR="00747A88" w:rsidRPr="005F66AD" w:rsidRDefault="00747A88" w:rsidP="005F66AD">
      <w:pPr>
        <w:pStyle w:val="PargrafodaLista"/>
        <w:rPr>
          <w:rFonts w:ascii="Verdana" w:hAnsi="Verdana" w:cs="Arial"/>
          <w:sz w:val="20"/>
          <w:szCs w:val="20"/>
          <w:lang w:val="es-PE"/>
        </w:rPr>
      </w:pPr>
    </w:p>
    <w:p w:rsidR="00747A88" w:rsidRPr="005F66AD" w:rsidRDefault="00066259" w:rsidP="005F66AD">
      <w:pPr>
        <w:rPr>
          <w:rFonts w:cs="Arial"/>
          <w:szCs w:val="20"/>
          <w:lang w:val="es-PE"/>
        </w:rPr>
      </w:pPr>
      <w:r w:rsidRPr="005F66AD">
        <w:rPr>
          <w:rFonts w:cs="Arial"/>
          <w:szCs w:val="20"/>
          <w:lang w:val="es-PE"/>
        </w:rPr>
        <w:t xml:space="preserve">10. </w:t>
      </w:r>
      <w:r w:rsidR="00747A88" w:rsidRPr="005F66AD">
        <w:rPr>
          <w:rFonts w:cs="Arial"/>
          <w:szCs w:val="20"/>
          <w:lang w:val="es-PE"/>
        </w:rPr>
        <w:t>Los peticionarios argumentan que desde el 2003 ya pesaba sobre las televisoras independientes de Venezuela una amenaza de ser privadas de las concesiones necesarias para operar.  Sostienen que, a partir de junio de 2006, los agentes del Estado intensificaron las amenazas contra RCTV, en razón de su línea editorial. Afirman que el 14 de junio de 2006, durante una ceremonia en el Ministerio de la Defensa, el Presidente de la República, Hugo Rafael Chávez Frías (en adelante “el Presidente Chávez”), anunció:</w:t>
      </w:r>
    </w:p>
    <w:p w:rsidR="00747A88" w:rsidRPr="005F66AD" w:rsidRDefault="00747A88" w:rsidP="005F66AD">
      <w:pPr>
        <w:rPr>
          <w:rFonts w:cs="Arial"/>
          <w:szCs w:val="20"/>
          <w:lang w:val="es-PE"/>
        </w:rPr>
      </w:pPr>
    </w:p>
    <w:p w:rsidR="00747A88" w:rsidRPr="005F66AD" w:rsidRDefault="00747A88" w:rsidP="005F66AD">
      <w:pPr>
        <w:ind w:left="720" w:right="720"/>
        <w:rPr>
          <w:rFonts w:cs="Arial"/>
          <w:szCs w:val="20"/>
          <w:lang w:val="es-PE"/>
        </w:rPr>
      </w:pPr>
      <w:r w:rsidRPr="005F66AD">
        <w:rPr>
          <w:rFonts w:cs="Arial"/>
          <w:szCs w:val="20"/>
          <w:lang w:val="es-PE"/>
        </w:rPr>
        <w:t xml:space="preserve">Hay que revisar las concesiones de las televisoras que se van a vencer pronto. […] Nosotros no podemos ser tan irresponsables de seguir dándole concesiones a un pequeño grupo de personas para que usen esas televisoras, el espacio radioeléctrico que es del Estado, es decir del pueblo, para que lo usen en contra de nosotros mismos.  En nuestras propias narices, como quinta columna, ¡a mí </w:t>
      </w:r>
      <w:r w:rsidRPr="005F66AD">
        <w:rPr>
          <w:rFonts w:cs="Arial"/>
          <w:szCs w:val="20"/>
          <w:lang w:val="es-PE"/>
        </w:rPr>
        <w:lastRenderedPageBreak/>
        <w:t>me importa un comino lo que digan los oligarcas del mundo! […] Quiero decir, he ordenado la revisión de las concesiones de las plantas de televisión.  Hay algunos canales que han dado señal de querer cambiar, y pareciera que tienen intenciones de respetar la Constitución, la Ley, de los que apoyaron al golpe ¡que fueron todos!</w:t>
      </w:r>
      <w:r w:rsidRPr="005F66AD">
        <w:rPr>
          <w:rStyle w:val="FootnoteReference"/>
          <w:rFonts w:cs="Arial"/>
          <w:szCs w:val="20"/>
          <w:lang w:val="es-PE"/>
        </w:rPr>
        <w:footnoteReference w:id="3"/>
      </w:r>
    </w:p>
    <w:p w:rsidR="00747A88" w:rsidRPr="005F66AD" w:rsidRDefault="00747A88" w:rsidP="005F66AD">
      <w:pPr>
        <w:rPr>
          <w:rFonts w:cs="Arial"/>
          <w:szCs w:val="20"/>
          <w:lang w:val="es-PE"/>
        </w:rPr>
      </w:pPr>
    </w:p>
    <w:p w:rsidR="00747A88" w:rsidRPr="005F66AD" w:rsidRDefault="00066259" w:rsidP="005F66AD">
      <w:pPr>
        <w:rPr>
          <w:rFonts w:cs="Arial"/>
          <w:szCs w:val="20"/>
          <w:lang w:val="es-PE"/>
        </w:rPr>
      </w:pPr>
      <w:r w:rsidRPr="005F66AD">
        <w:rPr>
          <w:rFonts w:cs="Arial"/>
          <w:szCs w:val="20"/>
          <w:lang w:val="es-PE"/>
        </w:rPr>
        <w:t xml:space="preserve">11. </w:t>
      </w:r>
      <w:r w:rsidR="00747A88" w:rsidRPr="005F66AD">
        <w:rPr>
          <w:rFonts w:cs="Arial"/>
          <w:szCs w:val="20"/>
          <w:lang w:val="es-PE"/>
        </w:rPr>
        <w:t>Relatan los peticionarios que ese mismo día, el titular del Ministerio de Comunicación e Información (MINCI), Ministro William Lara, señaló que el Estado tenía la facultad de no renovar la concesión de los medios de comunicación que no habían cambiado su conducta desde el 11 y 12 de abril de 2002.  Conforme a los peticionarios, dichas declaraciones fueron apoyadas por otros funcionarios estatales y reiteradas por el Presidente Chávez en diversas ocasiones.  Por ejemplo, indican una conversación llevada a cabo el 1º de diciembre de 2006 entre el Presidente y el periodista Carlos Croes:</w:t>
      </w:r>
    </w:p>
    <w:p w:rsidR="00747A88" w:rsidRPr="005F66AD" w:rsidRDefault="00747A88" w:rsidP="005F66AD">
      <w:pPr>
        <w:ind w:left="720"/>
        <w:rPr>
          <w:rFonts w:cs="Arial"/>
          <w:szCs w:val="20"/>
          <w:lang w:val="es-PE"/>
        </w:rPr>
      </w:pPr>
    </w:p>
    <w:p w:rsidR="00747A88" w:rsidRPr="005F66AD" w:rsidRDefault="00747A88" w:rsidP="005F66AD">
      <w:pPr>
        <w:ind w:left="720" w:right="720"/>
        <w:rPr>
          <w:rFonts w:cs="Arial"/>
          <w:szCs w:val="20"/>
          <w:lang w:val="es-PE"/>
        </w:rPr>
      </w:pPr>
      <w:r w:rsidRPr="005F66AD">
        <w:rPr>
          <w:rFonts w:cs="Arial"/>
          <w:szCs w:val="20"/>
          <w:lang w:val="es-PE"/>
        </w:rPr>
        <w:t>[Presidente] Chávez: “Claro, un canal que se mantiene, un canal cuyos dueños se han declarado enemigos del Gobierno”.</w:t>
      </w:r>
    </w:p>
    <w:p w:rsidR="00747A88" w:rsidRPr="005F66AD" w:rsidRDefault="00747A88" w:rsidP="005F66AD">
      <w:pPr>
        <w:ind w:left="720" w:right="720"/>
        <w:rPr>
          <w:rFonts w:cs="Arial"/>
          <w:szCs w:val="20"/>
          <w:lang w:val="es-PE"/>
        </w:rPr>
      </w:pPr>
      <w:r w:rsidRPr="005F66AD">
        <w:rPr>
          <w:rFonts w:cs="Arial"/>
          <w:szCs w:val="20"/>
          <w:lang w:val="es-PE"/>
        </w:rPr>
        <w:t>Carlos Croes: “¿Y no tienen derecho?”</w:t>
      </w:r>
    </w:p>
    <w:p w:rsidR="00747A88" w:rsidRPr="005F66AD" w:rsidRDefault="00747A88" w:rsidP="005F66AD">
      <w:pPr>
        <w:ind w:left="720" w:right="720"/>
        <w:rPr>
          <w:rFonts w:cs="Arial"/>
          <w:szCs w:val="20"/>
          <w:lang w:val="es-PE"/>
        </w:rPr>
      </w:pPr>
      <w:r w:rsidRPr="005F66AD">
        <w:rPr>
          <w:rFonts w:cs="Arial"/>
          <w:szCs w:val="20"/>
          <w:lang w:val="es-PE"/>
        </w:rPr>
        <w:t>[Presidente] Chávez: “¿a ser declarados enemigos de un gobierno?”</w:t>
      </w:r>
    </w:p>
    <w:p w:rsidR="00747A88" w:rsidRPr="005F66AD" w:rsidRDefault="00747A88" w:rsidP="005F66AD">
      <w:pPr>
        <w:ind w:left="720" w:right="720"/>
        <w:rPr>
          <w:rFonts w:cs="Arial"/>
          <w:szCs w:val="20"/>
          <w:lang w:val="es-PE"/>
        </w:rPr>
      </w:pPr>
      <w:r w:rsidRPr="005F66AD">
        <w:rPr>
          <w:rFonts w:cs="Arial"/>
          <w:szCs w:val="20"/>
          <w:lang w:val="es-PE"/>
        </w:rPr>
        <w:t>Carlos Croes: “¿Y si no están de acuerdo?”</w:t>
      </w:r>
    </w:p>
    <w:p w:rsidR="00747A88" w:rsidRPr="005F66AD" w:rsidRDefault="00747A88" w:rsidP="005F66AD">
      <w:pPr>
        <w:ind w:left="720" w:right="720"/>
        <w:rPr>
          <w:rFonts w:cs="Arial"/>
          <w:szCs w:val="20"/>
          <w:lang w:val="es-PE"/>
        </w:rPr>
      </w:pPr>
      <w:r w:rsidRPr="005F66AD">
        <w:rPr>
          <w:rFonts w:cs="Arial"/>
          <w:szCs w:val="20"/>
          <w:lang w:val="es-PE"/>
        </w:rPr>
        <w:t>[Presidente] Chávez: “Ah bueno, entonces el gobierno tiene derecho a darle o no darles la concesión. Es una cuestión de libertades, no estoy obligado yo como Jefe de estado a darles la concesión. […] El gobierno evaluará y decidiremos en su momento”.</w:t>
      </w:r>
      <w:r w:rsidRPr="005F66AD">
        <w:rPr>
          <w:rStyle w:val="FootnoteReference"/>
          <w:rFonts w:cs="Arial"/>
          <w:szCs w:val="20"/>
          <w:lang w:val="es-PE"/>
        </w:rPr>
        <w:footnoteReference w:id="4"/>
      </w:r>
    </w:p>
    <w:p w:rsidR="00747A88" w:rsidRPr="005F66AD" w:rsidRDefault="00747A88" w:rsidP="005F66AD">
      <w:pPr>
        <w:ind w:left="720"/>
        <w:rPr>
          <w:rFonts w:cs="Arial"/>
          <w:szCs w:val="20"/>
          <w:lang w:val="es-PE"/>
        </w:rPr>
      </w:pPr>
    </w:p>
    <w:p w:rsidR="00747A88" w:rsidRPr="005F66AD" w:rsidRDefault="00066259" w:rsidP="005F66AD">
      <w:pPr>
        <w:rPr>
          <w:rFonts w:cs="Arial"/>
          <w:szCs w:val="20"/>
          <w:lang w:val="es-PE"/>
        </w:rPr>
      </w:pPr>
      <w:r w:rsidRPr="005F66AD">
        <w:rPr>
          <w:rFonts w:cs="Arial"/>
          <w:szCs w:val="20"/>
          <w:lang w:val="es-PE"/>
        </w:rPr>
        <w:t xml:space="preserve">12. </w:t>
      </w:r>
      <w:r w:rsidR="00747A88" w:rsidRPr="005F66AD">
        <w:rPr>
          <w:rFonts w:cs="Arial"/>
          <w:szCs w:val="20"/>
          <w:lang w:val="es-PE"/>
        </w:rPr>
        <w:t>A partir de diciembre de 2006, explican los peticionarios, el Presidente Chávez y otros altos funcionarios del Estado pasaron a anunciar la decisión oficial de no renovar la concesión a dicha emisora.  En ese sentido, los peticionarios presentan una serie de transcripciones de los discursos supuestamente emitidos por agentes del Estado en los que éstos se refirieron a RCTV como una emisora “fascista”, “irresponsable”, “venenosa”, “golpista” y “mentirosa”.  Por ejemplo, mencionan las declaraciones del Presidente Chávez proferidas el 28 de diciembre de 2006 y los días 10 y 19 de enero de 2007, respectivamente, mediante las cuales habría afirmado: i) “Se le acaba en marzo la concesión de televisión, […] así que mejor vaya preparando sus maletas y vaya viendo a ver que va a hacer a partir de marzo.  No habrá nueva concesión para ese canal golpista de televisión que se llamó Radio Caracas Televisión”</w:t>
      </w:r>
      <w:r w:rsidR="00747A88" w:rsidRPr="005F66AD">
        <w:rPr>
          <w:rStyle w:val="FootnoteReference"/>
          <w:rFonts w:cs="Arial"/>
          <w:szCs w:val="20"/>
          <w:lang w:val="es-PE"/>
        </w:rPr>
        <w:t xml:space="preserve"> </w:t>
      </w:r>
      <w:r w:rsidR="00747A88" w:rsidRPr="005F66AD">
        <w:rPr>
          <w:rStyle w:val="FootnoteReference"/>
          <w:rFonts w:cs="Arial"/>
          <w:szCs w:val="20"/>
          <w:lang w:val="es-PE"/>
        </w:rPr>
        <w:footnoteReference w:id="5"/>
      </w:r>
      <w:r w:rsidR="00747A88" w:rsidRPr="005F66AD">
        <w:rPr>
          <w:rFonts w:cs="Arial"/>
          <w:szCs w:val="20"/>
          <w:lang w:val="es-PE"/>
        </w:rPr>
        <w:t>; ii) “Le queda [a RCTV] enero, febrero, marzo, abril y mayo [de 2007], así chillen, pataleen, hagan lo que hagan, se acabó la concesión para ese canal fascista”</w:t>
      </w:r>
      <w:r w:rsidR="00747A88" w:rsidRPr="005F66AD">
        <w:rPr>
          <w:rStyle w:val="FootnoteReference"/>
          <w:rFonts w:cs="Arial"/>
          <w:szCs w:val="20"/>
          <w:lang w:val="es-PE"/>
        </w:rPr>
        <w:footnoteReference w:id="6"/>
      </w:r>
      <w:r w:rsidR="00747A88" w:rsidRPr="005F66AD">
        <w:rPr>
          <w:rFonts w:cs="Arial"/>
          <w:szCs w:val="20"/>
          <w:lang w:val="es-PE"/>
        </w:rPr>
        <w:t>, y iii) “En mayo vamos a nacionalizar y más que nacionalizar a socializar ese espacio del espectro electromagnético que es bien público y ha estado secuestrado por las elites pro imperialistas venezolanas”</w:t>
      </w:r>
      <w:r w:rsidR="00747A88" w:rsidRPr="005F66AD">
        <w:rPr>
          <w:rStyle w:val="FootnoteReference"/>
          <w:rFonts w:cs="Arial"/>
          <w:szCs w:val="20"/>
          <w:lang w:val="es-PE"/>
        </w:rPr>
        <w:footnoteReference w:id="7"/>
      </w:r>
      <w:r w:rsidR="00747A88" w:rsidRPr="005F66AD">
        <w:rPr>
          <w:rFonts w:cs="Arial"/>
          <w:szCs w:val="20"/>
          <w:lang w:val="es-PE"/>
        </w:rPr>
        <w:t>.</w:t>
      </w:r>
    </w:p>
    <w:p w:rsidR="00747A88" w:rsidRPr="005F66AD" w:rsidRDefault="00747A88" w:rsidP="005F66AD">
      <w:pPr>
        <w:rPr>
          <w:rFonts w:cs="Arial"/>
          <w:szCs w:val="20"/>
          <w:lang w:val="es-PE"/>
        </w:rPr>
      </w:pPr>
    </w:p>
    <w:p w:rsidR="00747A88" w:rsidRPr="005F66AD" w:rsidRDefault="00066259" w:rsidP="005F66AD">
      <w:pPr>
        <w:rPr>
          <w:rFonts w:cs="Arial"/>
          <w:szCs w:val="20"/>
          <w:lang w:val="es-PE"/>
        </w:rPr>
      </w:pPr>
      <w:r w:rsidRPr="005F66AD">
        <w:rPr>
          <w:rFonts w:cs="Arial"/>
          <w:szCs w:val="20"/>
          <w:lang w:val="es-PE"/>
        </w:rPr>
        <w:t xml:space="preserve">13. </w:t>
      </w:r>
      <w:r w:rsidR="00747A88" w:rsidRPr="005F66AD">
        <w:rPr>
          <w:rFonts w:cs="Arial"/>
          <w:szCs w:val="20"/>
          <w:lang w:val="es-PE"/>
        </w:rPr>
        <w:t>Además, los peticionarios relatan que en febrero de 2007, en el marco de una campaña oficial, el Estado publicó avisos en los periódicos y afiches en las oficinas públicas, los cuales decían: “Darle [l]a concesión a la verdad… RCTV… Es no renovar la mentira ¡El pueblo tiene con qué! (Gobierno Bolivariano de Venezuela. Ministerio del Poder Popular para la Comunicación e Información)”</w:t>
      </w:r>
      <w:r w:rsidR="00747A88" w:rsidRPr="005F66AD">
        <w:rPr>
          <w:rStyle w:val="FootnoteReference"/>
          <w:rFonts w:cs="Arial"/>
          <w:szCs w:val="20"/>
          <w:lang w:val="es-PE"/>
        </w:rPr>
        <w:footnoteReference w:id="8"/>
      </w:r>
      <w:r w:rsidR="00747A88" w:rsidRPr="005F66AD">
        <w:rPr>
          <w:rFonts w:cs="Arial"/>
          <w:szCs w:val="20"/>
          <w:lang w:val="es-PE"/>
        </w:rPr>
        <w:t xml:space="preserve">, y publicó el </w:t>
      </w:r>
      <w:r w:rsidR="00747A88" w:rsidRPr="005F66AD">
        <w:rPr>
          <w:rFonts w:cs="Arial"/>
          <w:i/>
          <w:szCs w:val="20"/>
          <w:lang w:val="es-PE"/>
        </w:rPr>
        <w:t>“Libro Blanco sobre RCTV”</w:t>
      </w:r>
      <w:r w:rsidR="00747A88" w:rsidRPr="005F66AD">
        <w:rPr>
          <w:rFonts w:cs="Arial"/>
          <w:szCs w:val="20"/>
          <w:lang w:val="es-PE"/>
        </w:rPr>
        <w:t>.  De este modo, sostienen que la verdadera razón del Estado para no renovar la concesión a RCTV, era castigar su discrepancia y acallar la única señal de televisión abierta con cobertura nacional que difundía informaciones e ideas de toda índole.</w:t>
      </w:r>
    </w:p>
    <w:p w:rsidR="00747A88" w:rsidRPr="005F66AD" w:rsidRDefault="00747A88" w:rsidP="005F66AD">
      <w:pPr>
        <w:pStyle w:val="PargrafodaLista"/>
        <w:rPr>
          <w:rFonts w:ascii="Verdana" w:hAnsi="Verdana" w:cs="Arial"/>
          <w:sz w:val="20"/>
          <w:szCs w:val="20"/>
          <w:lang w:val="es-PE"/>
        </w:rPr>
      </w:pPr>
    </w:p>
    <w:p w:rsidR="00747A88" w:rsidRPr="005F66AD" w:rsidRDefault="00066259" w:rsidP="005F66AD">
      <w:pPr>
        <w:rPr>
          <w:szCs w:val="20"/>
          <w:lang w:val="es-CL"/>
        </w:rPr>
      </w:pPr>
      <w:r w:rsidRPr="005F66AD">
        <w:rPr>
          <w:rFonts w:cs="Arial"/>
          <w:szCs w:val="20"/>
          <w:lang w:val="es-PE"/>
        </w:rPr>
        <w:t xml:space="preserve">14. </w:t>
      </w:r>
      <w:r w:rsidR="00747A88" w:rsidRPr="005F66AD">
        <w:rPr>
          <w:rFonts w:cs="Arial"/>
          <w:szCs w:val="20"/>
          <w:lang w:val="es-PE"/>
        </w:rPr>
        <w:t xml:space="preserve">Los peticionarios aseveran que el 24 de enero de 2007, ante las declaraciones de los agentes del Estado, RCTV se dirigió a CONATEL a fin de exigirle el reconocimiento de la vigencia de su concesión por el plazo establecido en LOTEL y los derechos correspondientes.  Aducen que, en esa oportunidad, RCTV también alegó el carácter discriminatorio, desproporcionado y retaliativo de la decisión anunciada por el Presidente de la República. Alegan que, en respuesta a dicha solicitud, el 29 de marzo de 2007 el Ministro del Poder Popular para las Telecomunicaciones y la </w:t>
      </w:r>
      <w:r w:rsidR="00747A88" w:rsidRPr="005F66AD">
        <w:rPr>
          <w:rFonts w:cs="Arial"/>
          <w:szCs w:val="20"/>
          <w:lang w:val="es-PE"/>
        </w:rPr>
        <w:lastRenderedPageBreak/>
        <w:t>Informática (MPPTI) y Director de CONATEL, Jesse Chacón Escamillo, notificó a RCTV la Comunicación Nº 0424.  Según los peticionarios, dicha comunicación ratificó la decisión de no extender la concesión a RCTV, exponiendo entre otros que: i) RCTV no tenía derecho de preferencia para la extensión de la concesión; ii) no había lugar para la transformación de los títulos jurídicos de esa emisora, y iii) no era necesaria la evacuación de las pruebas presentadas por RCTV en dicho procedimiento. Los peticionarios arguyen que tal decisión no tuvo en cuenta lo dispuesto por LOTEL y, por otra parte, aplicó de forma selectiva el Decreto Nº 1.577, sin considerar la posibilidad de prórroga establecida en el referido decreto. Los peticionarios sostienen que, a fin de brindar a su decisión un ropaje supuestamente legal, el Ministro Chacón Escamillo la fundó supuestamente en el nuevo</w:t>
      </w:r>
      <w:r w:rsidR="00747A88" w:rsidRPr="005F66AD">
        <w:rPr>
          <w:szCs w:val="20"/>
          <w:lang w:val="es-CL"/>
        </w:rPr>
        <w:t xml:space="preserve"> Plan Nacional de Telecomunicaciones</w:t>
      </w:r>
      <w:r w:rsidR="00747A88" w:rsidRPr="005F66AD">
        <w:rPr>
          <w:rFonts w:cs="Arial"/>
          <w:szCs w:val="20"/>
          <w:lang w:val="es-PE"/>
        </w:rPr>
        <w:t>.  Señalan que, mediante la Resolución Nº 002 de 28 de marzo de 2007 y supuestamente fundado en las nuevas políticas estatales para las telecomunicaciones, dicho Ministro declaró el decaimiento, por falta de objeto, de la solicitud de transformación de títulos jurídicos de RCTV y extinguió el procedimiento administrativo correspondiente.</w:t>
      </w:r>
    </w:p>
    <w:p w:rsidR="00747A88" w:rsidRPr="005F66AD" w:rsidRDefault="00747A88" w:rsidP="005F66AD">
      <w:pPr>
        <w:pStyle w:val="PargrafodaLista"/>
        <w:rPr>
          <w:rFonts w:ascii="Verdana" w:hAnsi="Verdana"/>
          <w:sz w:val="20"/>
          <w:szCs w:val="20"/>
          <w:lang w:val="es-CL"/>
        </w:rPr>
      </w:pPr>
    </w:p>
    <w:p w:rsidR="00747A88" w:rsidRPr="005F66AD" w:rsidRDefault="00066259" w:rsidP="005F66AD">
      <w:pPr>
        <w:rPr>
          <w:szCs w:val="20"/>
          <w:lang w:val="es-CL"/>
        </w:rPr>
      </w:pPr>
      <w:r w:rsidRPr="005F66AD">
        <w:rPr>
          <w:szCs w:val="20"/>
          <w:lang w:val="es-CL"/>
        </w:rPr>
        <w:t xml:space="preserve">15. </w:t>
      </w:r>
      <w:r w:rsidR="00747A88" w:rsidRPr="005F66AD">
        <w:rPr>
          <w:szCs w:val="20"/>
          <w:lang w:val="es-CL"/>
        </w:rPr>
        <w:t xml:space="preserve">Pese a ello, </w:t>
      </w:r>
      <w:r w:rsidR="00747A88" w:rsidRPr="005F66AD">
        <w:rPr>
          <w:rFonts w:cs="Arial"/>
          <w:szCs w:val="20"/>
          <w:lang w:val="es-PE"/>
        </w:rPr>
        <w:t>los peticionarios aducen que dicho plan no fue planteado ni discutido públicamente, y nunca antes había sido indicado como fundamento para denegar la renovación de la concesión a RCTV.  Sostienen que había otras frecuencias disponibles para que se cumpliera con los alegados propósitos del Estado; que éste podría utilizar las tres estaciones de televisión de las cuales ya disponía o, subsidiariamente, podría adoptar la medida extrema de requerir las frecuencias de los concesionarios existentes de forma proporcional. Los peticionarios resaltan que otras estaciones de televisión tenían sus concesiones vigentes hasta el 27 de mayo de 2007, pero no sufrieron ningún tipo de restricción.  En particular, mencionan que el canal Venevisión presentaba condiciones técnicas, jurídicas y comerciales idénticas a las de RCTV.  Sin embargo, como el primero había cambiado su línea editorial, tuvo su concesión renovada por el Estado.</w:t>
      </w:r>
    </w:p>
    <w:p w:rsidR="00747A88" w:rsidRPr="005F66AD" w:rsidRDefault="00747A88" w:rsidP="005F66AD">
      <w:pPr>
        <w:rPr>
          <w:szCs w:val="20"/>
          <w:lang w:val="es-CL"/>
        </w:rPr>
      </w:pPr>
    </w:p>
    <w:p w:rsidR="00747A88" w:rsidRPr="005F66AD" w:rsidRDefault="00066259" w:rsidP="005F66AD">
      <w:pPr>
        <w:rPr>
          <w:szCs w:val="20"/>
          <w:lang w:val="es-CL"/>
        </w:rPr>
      </w:pPr>
      <w:r w:rsidRPr="005F66AD">
        <w:rPr>
          <w:szCs w:val="20"/>
          <w:lang w:val="es-CL"/>
        </w:rPr>
        <w:t xml:space="preserve">16. </w:t>
      </w:r>
      <w:r w:rsidR="00747A88" w:rsidRPr="005F66AD">
        <w:rPr>
          <w:szCs w:val="20"/>
          <w:lang w:val="es-CL"/>
        </w:rPr>
        <w:t>Adicionalmente, los peticionarios alegan que en mayo de 2007, personas que no tenían vínculos con RCTV interpusieron ante la Sala Constitucional del Tribunal Supremo de Justicia (TSJ) una demanda de amparo ejercida conjuntamente con medidas cautelares, contra el MPPTI y otras entidades estatales, por la decisión de no renovar la frecuencia a RCTV.  Dicha acción tenía por objeto asegurar que el canal no interrumpiera sus transmisiones, con miras a resguardar el derecho a la libertad de expresión e información de los ciudadanos de Venezuela. Los peticionarios indican que, el 25 de mayo de 2007 a las 6:00 PM, la Sala Constitucional decidió admitir la demanda “por protección de intereses difusos y colectivos” y otorgar medidas cautelares de oficio. Señalan que la Sala Constitucional estimó necesario garantizar la continuidad en el uso de la frecuencia utilizada por dicha emisora, manteniendo también la nitidez y el alcance de las transmisiones.  Para ello, a través de dichas medidas cautelares, ordenó el traspaso temporal a CONATEL del uso de los bienes de propiedad de RCTV y sus accionistas, concretamente sus estaciones de transmisores, antenas y repetidoras, en todo el territorio nacional.  Conforme a los peticionarios, estos bienes serían utilizados por la Fundación Televisora Venezolana Social (TEVES), la cual pasaría a transmitir su programación a partir del 28 de mayo de 2007, a través de la frecuencia asignada a RCTV.  Los peticionarios resaltan que tal decisión fue emitida sin escuchar a los afectados. Indican que la misma medida cautelar fue ordenada en otros dos procesos de amparo en defensa de intereses difusos y colectivos, los cuales se habían interpuesto por personas ajenas a RCTV el 22 y 24 de mayo de 2007 y también tenían por objeto evitar el cierre de la emisora.  El 27 de mayo de 2007, las autoridades judiciales ejecutaron las medidas cautelares y los bienes de RCTV fueron asignados a CONATEL.  Los peticionarios alegan que además de los equipos mencionados en las medidas cautelares, el Estado incautó otros bienes de RCTV que se encontraban en sus instalaciones.</w:t>
      </w:r>
    </w:p>
    <w:p w:rsidR="00747A88" w:rsidRPr="005F66AD" w:rsidRDefault="00747A88" w:rsidP="005F66AD">
      <w:pPr>
        <w:rPr>
          <w:szCs w:val="20"/>
          <w:lang w:val="es-CL"/>
        </w:rPr>
      </w:pPr>
    </w:p>
    <w:p w:rsidR="00747A88" w:rsidRPr="005F66AD" w:rsidRDefault="00066259" w:rsidP="005F66AD">
      <w:pPr>
        <w:rPr>
          <w:rFonts w:cs="Arial"/>
          <w:szCs w:val="20"/>
          <w:lang w:val="es-PE"/>
        </w:rPr>
      </w:pPr>
      <w:r w:rsidRPr="005F66AD">
        <w:rPr>
          <w:szCs w:val="20"/>
          <w:lang w:val="es-CL"/>
        </w:rPr>
        <w:t xml:space="preserve">17. </w:t>
      </w:r>
      <w:r w:rsidR="00747A88" w:rsidRPr="005F66AD">
        <w:rPr>
          <w:szCs w:val="20"/>
          <w:lang w:val="es-CL"/>
        </w:rPr>
        <w:t>Ante las mencionadas órdenes administrativas y judiciales, l</w:t>
      </w:r>
      <w:r w:rsidR="00747A88" w:rsidRPr="005F66AD">
        <w:rPr>
          <w:rFonts w:cs="Arial"/>
          <w:szCs w:val="20"/>
          <w:lang w:val="es-PE"/>
        </w:rPr>
        <w:t>os peticionarios señalan que el 28 de mayo de 2007 la señal de RCTV salió del aire.  Alegan que inmediatamente después, TEVES pasó a transmitir su programación en el canal antes utilizado por RCTV.</w:t>
      </w:r>
    </w:p>
    <w:p w:rsidR="00747A88" w:rsidRPr="005F66AD" w:rsidRDefault="00747A88" w:rsidP="005F66AD">
      <w:pPr>
        <w:ind w:left="720"/>
        <w:rPr>
          <w:szCs w:val="20"/>
          <w:lang w:val="es-CL"/>
        </w:rPr>
      </w:pPr>
    </w:p>
    <w:p w:rsidR="00747A88" w:rsidRPr="005F66AD" w:rsidRDefault="00066259" w:rsidP="005F66AD">
      <w:pPr>
        <w:rPr>
          <w:szCs w:val="20"/>
          <w:lang w:val="es-CL"/>
        </w:rPr>
      </w:pPr>
      <w:r w:rsidRPr="005F66AD">
        <w:rPr>
          <w:rFonts w:cs="Arial"/>
          <w:szCs w:val="20"/>
          <w:lang w:val="es-PE"/>
        </w:rPr>
        <w:t xml:space="preserve">18. </w:t>
      </w:r>
      <w:r w:rsidR="00747A88" w:rsidRPr="005F66AD">
        <w:rPr>
          <w:rFonts w:cs="Arial"/>
          <w:szCs w:val="20"/>
          <w:lang w:val="es-PE"/>
        </w:rPr>
        <w:t xml:space="preserve">Los peticionarios alegan que, ante las amenazas de no renovar la concesión a RCTV, </w:t>
      </w:r>
      <w:r w:rsidR="00747A88" w:rsidRPr="005F66AD">
        <w:rPr>
          <w:szCs w:val="20"/>
          <w:lang w:val="es-CL"/>
        </w:rPr>
        <w:t xml:space="preserve">el 9 de febrero de 2007 un grupo de directivos, periodistas y otros trabajadores de la emisora interpuso un recurso de amparo ante la Sala Constitucional del TSJ, contra el Presidente de la República y el MPPTI.  Los demandantes alegaban las amenazas de violación de los derechos a la libertad de expresión, el debido proceso y el derecho a la igualdad y no discriminación. Según los </w:t>
      </w:r>
      <w:r w:rsidR="00747A88" w:rsidRPr="005F66AD">
        <w:rPr>
          <w:szCs w:val="20"/>
          <w:lang w:val="es-CL"/>
        </w:rPr>
        <w:lastRenderedPageBreak/>
        <w:t>peticionarios, cuando el MPPIT adoptó la Resolución Nº 002 y emitió la Comunicación Nº 0424, el amparo seguía pendiente de decisión. De este modo, el 2 de abril de 2007 las presuntas víctimas reformaron su petición inicial de amparo con miras a refutar los términos de la referida decisión. Afirman que el 17 de mayo de 2007, el TSJ se pronunció sobre el amparo y lo declaró inadmisible. Expresan que, de acuerdo con dicho tribunal, el amparo era un recurso de carácter extraordinario y, por lo tanto, la vía idónea para atacar la decisión administrativa era a través del recurso contencioso administrativo de nulidad, el cual podría acompañarse de un pedido cautelar. Según los peticionarios, esa decisión no fue sustanciada y no respetó los plazos legales a los cuales la acción de amparo está sometida.</w:t>
      </w:r>
    </w:p>
    <w:p w:rsidR="00747A88" w:rsidRPr="005F66AD" w:rsidRDefault="00747A88" w:rsidP="005F66AD">
      <w:pPr>
        <w:ind w:left="720"/>
        <w:rPr>
          <w:szCs w:val="20"/>
          <w:lang w:val="es-CL"/>
        </w:rPr>
      </w:pPr>
    </w:p>
    <w:p w:rsidR="00747A88" w:rsidRPr="005F66AD" w:rsidRDefault="00066259" w:rsidP="005F66AD">
      <w:pPr>
        <w:rPr>
          <w:szCs w:val="20"/>
          <w:lang w:val="es-CL"/>
        </w:rPr>
      </w:pPr>
      <w:r w:rsidRPr="005F66AD">
        <w:rPr>
          <w:szCs w:val="20"/>
          <w:lang w:val="es-CL"/>
        </w:rPr>
        <w:t xml:space="preserve">19. </w:t>
      </w:r>
      <w:r w:rsidR="00747A88" w:rsidRPr="005F66AD">
        <w:rPr>
          <w:szCs w:val="20"/>
          <w:lang w:val="es-CL"/>
        </w:rPr>
        <w:t xml:space="preserve">Los peticionarios alegan que el 17 de abril de 2007, un grupo de directivos, periodistas y trabajadores de RCTV interpuso un recurso contencioso administrativo de nulidad contra la decisión administrativa emanada de la Resolución Nº 002 y la Comunicación Nº 0424. Dicho recurso fue ejercido conjuntamente con una solicitud de amparo cautelar y, en su defecto, un pedido de medida cautelar innominada de protección.  Las medidas pretendían que, hasta la decisión definitiva sobre el fondo de la demanda, el MPPIT: i) se abstuviera de adoptar cualquier decisión que pudiera impedir a RCTV transmitir su programación, y ii) tomara las medidas necesarias para que la emisora continuara operando con las mismas frecuencias y en todo el territorio nacional.  Señalan los peticionarios que el 22 de mayo de 2007, la Sala Político Administrativa del TSJ admitió el recurso de nulidad, pero desestimó el amparo cautelar y no se pronunció sobre el pedido de medida cautelar innominada.  Aducen que la decisión sostuvo </w:t>
      </w:r>
      <w:r w:rsidR="00747A88" w:rsidRPr="005F66AD">
        <w:rPr>
          <w:i/>
          <w:szCs w:val="20"/>
          <w:lang w:val="es-CL"/>
        </w:rPr>
        <w:t xml:space="preserve">inter alia </w:t>
      </w:r>
      <w:r w:rsidR="00747A88" w:rsidRPr="005F66AD">
        <w:rPr>
          <w:szCs w:val="20"/>
          <w:lang w:val="es-CL"/>
        </w:rPr>
        <w:t>que la libertad de expresión de las presuntas víctimas no era violentada, toda vez que existían otros medios de comunicación a través de los cuales los periodistas podrían expresar sus ideas y opiniones y el colectivo podría obtener la información correspondiente.  Sostienen que el 9 de octubre de 2007, se inició la etapa de producción de pruebas en dicha acción, la cual seguía en febrero de 2010.  De este modo, arguyen que dicho recurso no ha sido efectivo para asegurar a las presuntas víctimas la tutela jurisdiccional de sus derechos, sobre todo por la demora injustificada en su resolución, razón por la cual se debe aplicar a dicho recurso la excepción dispuesta en el artículo 46(2)(c) de la Convención Americana</w:t>
      </w:r>
      <w:r w:rsidR="00747A88" w:rsidRPr="005F66AD">
        <w:rPr>
          <w:rFonts w:cs="Arial"/>
          <w:szCs w:val="20"/>
          <w:lang w:val="es-PE"/>
        </w:rPr>
        <w:t>.</w:t>
      </w:r>
    </w:p>
    <w:p w:rsidR="00747A88" w:rsidRPr="005F66AD" w:rsidRDefault="00747A88" w:rsidP="005F66AD">
      <w:pPr>
        <w:ind w:left="720"/>
        <w:rPr>
          <w:rFonts w:cs="Arial"/>
          <w:szCs w:val="20"/>
          <w:lang w:val="es-PE"/>
        </w:rPr>
      </w:pPr>
    </w:p>
    <w:p w:rsidR="00747A88" w:rsidRPr="005F66AD" w:rsidRDefault="00066259" w:rsidP="005F66AD">
      <w:pPr>
        <w:rPr>
          <w:rFonts w:cs="Arial"/>
          <w:szCs w:val="20"/>
          <w:lang w:val="es-PE"/>
        </w:rPr>
      </w:pPr>
      <w:r w:rsidRPr="005F66AD">
        <w:rPr>
          <w:szCs w:val="20"/>
          <w:lang w:val="es-PE"/>
        </w:rPr>
        <w:t xml:space="preserve">20. </w:t>
      </w:r>
      <w:r w:rsidR="00747A88" w:rsidRPr="005F66AD">
        <w:rPr>
          <w:szCs w:val="20"/>
          <w:lang w:val="es-PE"/>
        </w:rPr>
        <w:t xml:space="preserve">Los peticionarios alegan que </w:t>
      </w:r>
      <w:r w:rsidR="00747A88" w:rsidRPr="005F66AD">
        <w:rPr>
          <w:szCs w:val="20"/>
          <w:lang w:val="es-CL"/>
        </w:rPr>
        <w:t>el 31 de mayo de 2007,</w:t>
      </w:r>
      <w:r w:rsidR="00747A88" w:rsidRPr="005F66AD">
        <w:rPr>
          <w:szCs w:val="20"/>
          <w:lang w:val="es-PE"/>
        </w:rPr>
        <w:t xml:space="preserve"> </w:t>
      </w:r>
      <w:r w:rsidR="00747A88" w:rsidRPr="005F66AD">
        <w:rPr>
          <w:szCs w:val="20"/>
          <w:lang w:val="es-CL"/>
        </w:rPr>
        <w:t>RCTV interpuso una oposición</w:t>
      </w:r>
      <w:r w:rsidR="00747A88" w:rsidRPr="005F66AD">
        <w:rPr>
          <w:szCs w:val="20"/>
          <w:lang w:val="es-PE"/>
        </w:rPr>
        <w:t xml:space="preserve"> contra la decisión de la Sala Constitucional</w:t>
      </w:r>
      <w:r w:rsidR="00747A88" w:rsidRPr="005F66AD">
        <w:rPr>
          <w:szCs w:val="20"/>
          <w:lang w:val="es-CL"/>
        </w:rPr>
        <w:t xml:space="preserve"> de 25 de mayo de 2007, mediante la cual asignó a CONATEL el derecho de uso de los bienes de la emisora.  El 13 de junio de 2007, RCTV presentó un escrito de promoción de pruebas en la incidencia probatoria de la oposición. No obstante, hasta febrero de 2010 el TSJ no se había pronunciado sobre la oposición ni la solicitud de promoción de pruebas.  Ante ello, los peticionarios aducen la existencia de un retardo injustificado en dicha acción.</w:t>
      </w:r>
      <w:r w:rsidR="00747A88" w:rsidRPr="005F66AD">
        <w:rPr>
          <w:rFonts w:cs="Arial"/>
          <w:szCs w:val="20"/>
          <w:lang w:val="es-PE"/>
        </w:rPr>
        <w:t xml:space="preserve"> Asimismo, advierten que los directivos, accionistas y demás trabajadores de RCTV no fueron citados para actuar en los procesos mediante los cuales se ordenó la incautación de los bienes de la emisora; ni siquiera lo fueron respecto a la posible oposición a las medidas cautelares, siendo impedidos de participar en esos procesos de forma autónoma.  Adicionalmente, sostienen que solamente la persona jurídica de RCTV, invocando la titularidad del derecho de propiedad de los bienes incautados, podía oponerse a la medida cautelar correspondiente. Alegan que, como las decisiones interlocutorias y definitivas de la Sala Constitucional del TSJ son irrecurribles, a las presuntas víctimas se les impedió interponer una apelación u otro recurso contra las referidas cautelares.</w:t>
      </w:r>
    </w:p>
    <w:p w:rsidR="00747A88" w:rsidRPr="005F66AD" w:rsidRDefault="00747A88" w:rsidP="005F66AD">
      <w:pPr>
        <w:rPr>
          <w:szCs w:val="20"/>
          <w:lang w:val="es-CL"/>
        </w:rPr>
      </w:pPr>
      <w:r w:rsidRPr="005F66AD">
        <w:rPr>
          <w:szCs w:val="20"/>
          <w:lang w:val="es-CL"/>
        </w:rPr>
        <w:tab/>
      </w:r>
    </w:p>
    <w:p w:rsidR="00747A88" w:rsidRPr="005F66AD" w:rsidRDefault="00066259" w:rsidP="005F66AD">
      <w:pPr>
        <w:rPr>
          <w:rFonts w:cs="Arial"/>
          <w:szCs w:val="20"/>
          <w:lang w:val="es-PE"/>
        </w:rPr>
      </w:pPr>
      <w:r w:rsidRPr="005F66AD">
        <w:rPr>
          <w:rFonts w:cs="Arial"/>
          <w:szCs w:val="20"/>
          <w:lang w:val="es-PE"/>
        </w:rPr>
        <w:t xml:space="preserve">21. </w:t>
      </w:r>
      <w:r w:rsidR="00747A88" w:rsidRPr="005F66AD">
        <w:rPr>
          <w:rFonts w:cs="Arial"/>
          <w:szCs w:val="20"/>
          <w:lang w:val="es-PE"/>
        </w:rPr>
        <w:t>Los peticionarios alegan que, ante la compleja e inédita situación jurídica de los procesos de los cuales resultó la incautación de los bienes de RCTV, el 11 de diciembre de 2007, RCTV interpuso una denuncia penal ante l</w:t>
      </w:r>
      <w:r w:rsidR="00747A88" w:rsidRPr="005F66AD">
        <w:rPr>
          <w:szCs w:val="20"/>
          <w:lang w:val="es-CL"/>
        </w:rPr>
        <w:t xml:space="preserve">a Fiscalía Superior del Área Metropolitana de Caracas, solicitando la apertura de una investigación penal por delitos contra el patrimonio y otros delitos previstos en la Ley contra la Corrupción. El 28 de julio de 2008, el Juzgado 51º de Primera Instancia en Funciones de Control del Circuito Judicial Penal del Área Metropolitana de Caracas determinó el cierre de la investigación, por considerar que los hechos no revestían carácter penal. RCTV interpuso un recurso de apelación contra esta decisión, el cual fue declarado sin lugar el 10 de octubre de 2008 por la Sala Quinta de la Corte de Apelaciones del Circuito Judicial Penal del Área Metropolitana de Caracas. Según los peticionarios, </w:t>
      </w:r>
      <w:r w:rsidR="00747A88" w:rsidRPr="005F66AD">
        <w:rPr>
          <w:rFonts w:cs="Arial"/>
          <w:szCs w:val="20"/>
          <w:lang w:val="es-CL"/>
        </w:rPr>
        <w:t>RCTV interpuso un recurso de casación ante la Sala de Casación Penal del TSJ contra esta última decisión, el cual también fue desestimado el 7 de mayo de 2009</w:t>
      </w:r>
      <w:r w:rsidR="00747A88" w:rsidRPr="005F66AD">
        <w:rPr>
          <w:szCs w:val="20"/>
          <w:lang w:val="es-CL"/>
        </w:rPr>
        <w:t>.</w:t>
      </w:r>
    </w:p>
    <w:p w:rsidR="00747A88" w:rsidRPr="005F66AD" w:rsidRDefault="00747A88" w:rsidP="005F66AD">
      <w:pPr>
        <w:pStyle w:val="PargrafodaLista"/>
        <w:rPr>
          <w:rFonts w:ascii="Verdana" w:hAnsi="Verdana" w:cs="Arial"/>
          <w:sz w:val="20"/>
          <w:szCs w:val="20"/>
          <w:lang w:val="es-PE"/>
        </w:rPr>
      </w:pPr>
    </w:p>
    <w:p w:rsidR="00747A88" w:rsidRPr="005F66AD" w:rsidRDefault="00066259" w:rsidP="005F66AD">
      <w:pPr>
        <w:rPr>
          <w:szCs w:val="20"/>
          <w:lang w:val="es-CL"/>
        </w:rPr>
      </w:pPr>
      <w:r w:rsidRPr="005F66AD">
        <w:rPr>
          <w:szCs w:val="20"/>
          <w:lang w:val="es-CL"/>
        </w:rPr>
        <w:lastRenderedPageBreak/>
        <w:t xml:space="preserve">22. </w:t>
      </w:r>
      <w:r w:rsidR="00747A88" w:rsidRPr="005F66AD">
        <w:rPr>
          <w:szCs w:val="20"/>
          <w:lang w:val="es-CL"/>
        </w:rPr>
        <w:t>Asimismo, los peticionarios afirman que, entre el 8 de junio de 2007 y el 26 de mayo de 2009, RCTV presentó cinco peticiones ante CONATEL, solicitando entre otros: i) la entrega a RCTV de los bienes que no eran objeto de las medidas cautelares dictadas por la Sala Constitucional; ii) un mecanismo para que la emisora inspeccionara sus equipos, y iii) una copia certificada del expediente administrativo que otorgó la concesión a la Televisora Venezolana Social (TEVES). Alegan que CONATEL nunca se pronunció al respecto.</w:t>
      </w:r>
    </w:p>
    <w:p w:rsidR="00747A88" w:rsidRPr="005F66AD" w:rsidRDefault="00747A88" w:rsidP="005F66AD">
      <w:pPr>
        <w:ind w:left="720"/>
        <w:rPr>
          <w:szCs w:val="20"/>
          <w:lang w:val="es-CL"/>
        </w:rPr>
      </w:pPr>
    </w:p>
    <w:p w:rsidR="00747A88" w:rsidRPr="005F66AD" w:rsidRDefault="00066259" w:rsidP="005F66AD">
      <w:pPr>
        <w:rPr>
          <w:szCs w:val="20"/>
          <w:lang w:val="es-CL"/>
        </w:rPr>
      </w:pPr>
      <w:r w:rsidRPr="005F66AD">
        <w:rPr>
          <w:szCs w:val="20"/>
          <w:lang w:val="es-CL"/>
        </w:rPr>
        <w:t xml:space="preserve">23. </w:t>
      </w:r>
      <w:r w:rsidR="00747A88" w:rsidRPr="005F66AD">
        <w:rPr>
          <w:szCs w:val="20"/>
          <w:lang w:val="es-CL"/>
        </w:rPr>
        <w:t xml:space="preserve">Respecto a la competencia </w:t>
      </w:r>
      <w:r w:rsidR="00747A88" w:rsidRPr="005F66AD">
        <w:rPr>
          <w:i/>
          <w:szCs w:val="20"/>
          <w:lang w:val="es-CL"/>
        </w:rPr>
        <w:t>ratione personae</w:t>
      </w:r>
      <w:r w:rsidR="00747A88" w:rsidRPr="005F66AD">
        <w:rPr>
          <w:szCs w:val="20"/>
          <w:lang w:val="es-CL"/>
        </w:rPr>
        <w:t>, los peticionarios sostienen que el impacto de la labor de los periodistas depende de los medios de divulgación con los que efectivamente cuentan. Aseveran que, a su vez, los miembros de la Junta Directiva, en mayor o menor grado, conforme a sus funciones, participaban de la adopción de decisiones relacionadas con la marcha y la orientación general de RCTV, así como de la discusión de temas relacionados con su línea editorial. Del mismo modo, sostienen que los accionistas destinaron parte de sus bienes para el establecimiento y capitalización de un medio imprescindible para el ejercicio de la libertad de expresión en una sociedad democrática y, de este modo, hicieron una elección de un medio para ejercer su derecho a recibir y difundir información e ideas de toda índole.  De acuerdo con los peticionarios, la compañía de la cual participan los accionistas, de forma directa o indirecta, ya no puede cumplir la función social para la cual fue creada.  Por las razones anteriores, los peticionarios alegan que las presuntas víctimas han visto seriamente afectado su derecho a la libertad de expresión como resultado del cierre de RCTV</w:t>
      </w:r>
      <w:r w:rsidR="00747A88" w:rsidRPr="005F66AD">
        <w:rPr>
          <w:rFonts w:cs="Arial"/>
          <w:szCs w:val="20"/>
          <w:lang w:val="es-PE"/>
        </w:rPr>
        <w:t>.</w:t>
      </w:r>
      <w:r w:rsidR="00747A88" w:rsidRPr="005F66AD">
        <w:rPr>
          <w:szCs w:val="20"/>
          <w:lang w:val="es-CL"/>
        </w:rPr>
        <w:t xml:space="preserve">  Asimismo, argumentan que los accionistas tuvieron su derecho a la propiedad privada violado por la pérdida de capital accionario, originada por el cese de las actividades de la emisora y la incautación de sus bienes.  Por todo lo anterior, afirman que los hechos alegados caracterizan la responsabilidad del Estado venezolano por las violaciones a los derechos consagrados en los artículos 8, 13, 21, 24 y 25 de la Convención Americana, en relación con las obligaciones generales dispuestas en los artículos 1(1) y 2 del mismo instrumento.</w:t>
      </w:r>
    </w:p>
    <w:p w:rsidR="00747A88" w:rsidRPr="005F66AD" w:rsidRDefault="00747A88" w:rsidP="005F66AD">
      <w:pPr>
        <w:rPr>
          <w:bCs/>
          <w:szCs w:val="20"/>
          <w:lang w:val="es-CL"/>
        </w:rPr>
      </w:pPr>
    </w:p>
    <w:p w:rsidR="00747A88" w:rsidRPr="005F66AD" w:rsidRDefault="00747A88" w:rsidP="005F66AD">
      <w:pPr>
        <w:rPr>
          <w:b/>
          <w:szCs w:val="20"/>
          <w:lang w:val="es-PE"/>
        </w:rPr>
      </w:pPr>
      <w:r w:rsidRPr="005F66AD">
        <w:rPr>
          <w:b/>
          <w:szCs w:val="20"/>
          <w:lang w:val="es-PE"/>
        </w:rPr>
        <w:t xml:space="preserve">B. </w:t>
      </w:r>
      <w:r w:rsidRPr="005F66AD">
        <w:rPr>
          <w:b/>
          <w:szCs w:val="20"/>
          <w:lang w:val="es-PE"/>
        </w:rPr>
        <w:tab/>
        <w:t>Posición del Estado</w:t>
      </w:r>
    </w:p>
    <w:p w:rsidR="00747A88" w:rsidRPr="005F66AD" w:rsidRDefault="00747A88" w:rsidP="005F66AD">
      <w:pPr>
        <w:rPr>
          <w:bCs/>
          <w:szCs w:val="20"/>
          <w:lang w:val="es-PE"/>
        </w:rPr>
      </w:pPr>
    </w:p>
    <w:p w:rsidR="00747A88" w:rsidRPr="005F66AD" w:rsidRDefault="00066259" w:rsidP="005F66AD">
      <w:pPr>
        <w:rPr>
          <w:szCs w:val="20"/>
          <w:lang w:val="es-CL"/>
        </w:rPr>
      </w:pPr>
      <w:r w:rsidRPr="005F66AD">
        <w:rPr>
          <w:bCs/>
          <w:szCs w:val="20"/>
          <w:lang w:val="es-PE"/>
        </w:rPr>
        <w:t xml:space="preserve">24. </w:t>
      </w:r>
      <w:r w:rsidR="00747A88" w:rsidRPr="005F66AD">
        <w:rPr>
          <w:bCs/>
          <w:szCs w:val="20"/>
          <w:lang w:val="es-PE"/>
        </w:rPr>
        <w:t>Hasta la fecha de adopción del presente informe, el Estado no ha presentado una respuesta a la petición.</w:t>
      </w:r>
    </w:p>
    <w:p w:rsidR="00747A88" w:rsidRPr="005F66AD" w:rsidRDefault="00747A88" w:rsidP="005F66AD">
      <w:pPr>
        <w:rPr>
          <w:b/>
          <w:bCs/>
          <w:szCs w:val="20"/>
          <w:lang w:val="es-PE"/>
        </w:rPr>
      </w:pPr>
    </w:p>
    <w:p w:rsidR="00747A88" w:rsidRPr="005F66AD" w:rsidRDefault="00066259" w:rsidP="005F66AD">
      <w:pPr>
        <w:jc w:val="left"/>
        <w:rPr>
          <w:b/>
          <w:bCs/>
          <w:szCs w:val="20"/>
          <w:lang w:val="es-PE"/>
        </w:rPr>
      </w:pPr>
      <w:r w:rsidRPr="005F66AD">
        <w:rPr>
          <w:b/>
          <w:bCs/>
          <w:szCs w:val="20"/>
          <w:lang w:val="es-PE"/>
        </w:rPr>
        <w:t xml:space="preserve">IV. </w:t>
      </w:r>
      <w:r w:rsidRPr="005F66AD">
        <w:rPr>
          <w:b/>
          <w:bCs/>
          <w:szCs w:val="20"/>
          <w:lang w:val="es-PE"/>
        </w:rPr>
        <w:tab/>
      </w:r>
      <w:r w:rsidR="00747A88" w:rsidRPr="005F66AD">
        <w:rPr>
          <w:b/>
          <w:bCs/>
          <w:szCs w:val="20"/>
          <w:lang w:val="es-PE"/>
        </w:rPr>
        <w:t>ANÁLISIS DE COMPETENCIA Y ADMISIBILIDAD</w:t>
      </w:r>
    </w:p>
    <w:p w:rsidR="00747A88" w:rsidRPr="005F66AD" w:rsidRDefault="00747A88" w:rsidP="005F66AD">
      <w:pPr>
        <w:ind w:left="1440" w:hanging="720"/>
        <w:rPr>
          <w:b/>
          <w:bCs/>
          <w:szCs w:val="20"/>
          <w:lang w:val="es-PE"/>
        </w:rPr>
      </w:pPr>
    </w:p>
    <w:p w:rsidR="00747A88" w:rsidRPr="005F66AD" w:rsidRDefault="00066259" w:rsidP="005F66AD">
      <w:pPr>
        <w:autoSpaceDE w:val="0"/>
        <w:autoSpaceDN w:val="0"/>
        <w:adjustRightInd w:val="0"/>
        <w:jc w:val="left"/>
        <w:rPr>
          <w:b/>
          <w:bCs/>
          <w:i/>
          <w:iCs/>
          <w:szCs w:val="20"/>
          <w:lang w:val="es-PE"/>
        </w:rPr>
      </w:pPr>
      <w:r w:rsidRPr="005F66AD">
        <w:rPr>
          <w:b/>
          <w:bCs/>
          <w:szCs w:val="20"/>
          <w:lang w:val="es-PE"/>
        </w:rPr>
        <w:t xml:space="preserve">A. </w:t>
      </w:r>
      <w:r w:rsidRPr="005F66AD">
        <w:rPr>
          <w:b/>
          <w:bCs/>
          <w:szCs w:val="20"/>
          <w:lang w:val="es-PE"/>
        </w:rPr>
        <w:tab/>
      </w:r>
      <w:r w:rsidR="00747A88" w:rsidRPr="005F66AD">
        <w:rPr>
          <w:b/>
          <w:bCs/>
          <w:szCs w:val="20"/>
          <w:lang w:val="es-PE"/>
        </w:rPr>
        <w:t>Competencia</w:t>
      </w:r>
    </w:p>
    <w:p w:rsidR="00747A88" w:rsidRPr="005F66AD" w:rsidRDefault="00747A88" w:rsidP="005F66AD">
      <w:pPr>
        <w:rPr>
          <w:szCs w:val="20"/>
          <w:lang w:val="es-CL"/>
        </w:rPr>
      </w:pPr>
    </w:p>
    <w:p w:rsidR="00747A88" w:rsidRPr="005F66AD" w:rsidRDefault="00066259" w:rsidP="005F66AD">
      <w:pPr>
        <w:rPr>
          <w:szCs w:val="20"/>
        </w:rPr>
      </w:pPr>
      <w:r w:rsidRPr="005F66AD">
        <w:rPr>
          <w:szCs w:val="20"/>
          <w:lang w:val="es-VE"/>
        </w:rPr>
        <w:t xml:space="preserve">25. </w:t>
      </w:r>
      <w:r w:rsidR="00747A88" w:rsidRPr="005F66AD">
        <w:rPr>
          <w:szCs w:val="20"/>
          <w:lang w:val="es-VE"/>
        </w:rPr>
        <w:t xml:space="preserve">De acuerdo con el artículo 44 de la Convención Americana y el artículo 23 del Reglamento de la CIDH, los peticionarios tienen </w:t>
      </w:r>
      <w:r w:rsidR="00747A88" w:rsidRPr="005F66AD">
        <w:rPr>
          <w:i/>
          <w:iCs/>
          <w:szCs w:val="20"/>
        </w:rPr>
        <w:t>locus standi</w:t>
      </w:r>
      <w:r w:rsidR="00747A88" w:rsidRPr="005F66AD">
        <w:rPr>
          <w:szCs w:val="20"/>
        </w:rPr>
        <w:t xml:space="preserve"> </w:t>
      </w:r>
      <w:r w:rsidR="00747A88" w:rsidRPr="005F66AD">
        <w:rPr>
          <w:szCs w:val="20"/>
          <w:lang w:val="es-VE"/>
        </w:rPr>
        <w:t xml:space="preserve">para presentar peticiones ante la Comisión. En cuanto al Estado, Venezuela es parte de la Convención Americana y, por tanto, responde en la esfera internacional por las violaciones a dicho instrumento.  Las presuntas víctimas son personas naturales respecto de quienes el Estado se comprometió a garantizar los derechos consagrados en la Convención. Por lo anterior, la CIDH tiene competencia </w:t>
      </w:r>
      <w:r w:rsidR="00747A88" w:rsidRPr="005F66AD">
        <w:rPr>
          <w:i/>
          <w:iCs/>
          <w:szCs w:val="20"/>
          <w:lang w:val="es-VE"/>
        </w:rPr>
        <w:t>ratione personae</w:t>
      </w:r>
      <w:r w:rsidR="00747A88" w:rsidRPr="005F66AD">
        <w:rPr>
          <w:szCs w:val="20"/>
          <w:lang w:val="es-VE"/>
        </w:rPr>
        <w:t xml:space="preserve"> para examinar la petición.</w:t>
      </w:r>
    </w:p>
    <w:p w:rsidR="00747A88" w:rsidRPr="005F66AD" w:rsidRDefault="00747A88" w:rsidP="005F66AD">
      <w:pPr>
        <w:pStyle w:val="PargrafodaLista"/>
        <w:rPr>
          <w:rFonts w:ascii="Verdana" w:hAnsi="Verdana"/>
          <w:sz w:val="20"/>
          <w:szCs w:val="20"/>
          <w:lang w:val="es-AR"/>
        </w:rPr>
      </w:pPr>
    </w:p>
    <w:p w:rsidR="00747A88" w:rsidRPr="005F66AD" w:rsidRDefault="00066259" w:rsidP="005F66AD">
      <w:pPr>
        <w:rPr>
          <w:szCs w:val="20"/>
        </w:rPr>
      </w:pPr>
      <w:r w:rsidRPr="005F66AD">
        <w:rPr>
          <w:szCs w:val="20"/>
          <w:lang w:val="es-VE"/>
        </w:rPr>
        <w:t xml:space="preserve">26. </w:t>
      </w:r>
      <w:r w:rsidR="00747A88" w:rsidRPr="005F66AD">
        <w:rPr>
          <w:szCs w:val="20"/>
          <w:lang w:val="es-VE"/>
        </w:rPr>
        <w:t xml:space="preserve">Dado que la petición se refiere a presuntas violaciones de derechos humanos protegidos por la Convención Americana, la CIDH tiene competencia </w:t>
      </w:r>
      <w:r w:rsidR="00747A88" w:rsidRPr="005F66AD">
        <w:rPr>
          <w:i/>
          <w:iCs/>
          <w:szCs w:val="20"/>
          <w:lang w:val="es-VE"/>
        </w:rPr>
        <w:t>ratione materiae</w:t>
      </w:r>
      <w:r w:rsidR="00747A88" w:rsidRPr="005F66AD">
        <w:rPr>
          <w:szCs w:val="20"/>
          <w:lang w:val="es-VE"/>
        </w:rPr>
        <w:t>.  Asimismo, l</w:t>
      </w:r>
      <w:r w:rsidR="00747A88" w:rsidRPr="005F66AD">
        <w:rPr>
          <w:iCs/>
          <w:szCs w:val="20"/>
          <w:lang w:val="es-VE"/>
        </w:rPr>
        <w:t>os hechos objeto de la presente petición habrían ocurrido después que el Estado de Venezuela ratificara la Convención Americana el 9</w:t>
      </w:r>
      <w:r w:rsidR="00747A88" w:rsidRPr="005F66AD">
        <w:rPr>
          <w:szCs w:val="20"/>
        </w:rPr>
        <w:t xml:space="preserve"> de agosto de 1977</w:t>
      </w:r>
      <w:r w:rsidR="00747A88" w:rsidRPr="005F66AD">
        <w:rPr>
          <w:szCs w:val="20"/>
          <w:lang w:val="es-VE"/>
        </w:rPr>
        <w:t xml:space="preserve">.  En virtud de ello, </w:t>
      </w:r>
      <w:r w:rsidR="00747A88" w:rsidRPr="005F66AD">
        <w:rPr>
          <w:szCs w:val="20"/>
          <w:lang w:val="es-ES_tradnl"/>
        </w:rPr>
        <w:t xml:space="preserve">la Comisión tiene competencia </w:t>
      </w:r>
      <w:r w:rsidR="00747A88" w:rsidRPr="005F66AD">
        <w:rPr>
          <w:i/>
          <w:szCs w:val="20"/>
          <w:lang w:val="es-ES_tradnl"/>
        </w:rPr>
        <w:t xml:space="preserve">ratione temporis </w:t>
      </w:r>
      <w:r w:rsidR="00747A88" w:rsidRPr="005F66AD">
        <w:rPr>
          <w:szCs w:val="20"/>
          <w:lang w:val="es-ES_tradnl"/>
        </w:rPr>
        <w:t>para examinar esta petición bajo la Convención</w:t>
      </w:r>
      <w:r w:rsidR="00747A88" w:rsidRPr="005F66AD">
        <w:rPr>
          <w:szCs w:val="20"/>
          <w:lang w:val="es-VE"/>
        </w:rPr>
        <w:t xml:space="preserve">.  </w:t>
      </w:r>
      <w:r w:rsidR="00747A88" w:rsidRPr="005F66AD">
        <w:rPr>
          <w:szCs w:val="20"/>
          <w:lang w:val="es-PE"/>
        </w:rPr>
        <w:t>Por último, la</w:t>
      </w:r>
      <w:r w:rsidR="00747A88" w:rsidRPr="005F66AD">
        <w:rPr>
          <w:szCs w:val="20"/>
        </w:rPr>
        <w:t xml:space="preserve"> Comisión posee competencia </w:t>
      </w:r>
      <w:r w:rsidR="00747A88" w:rsidRPr="005F66AD">
        <w:rPr>
          <w:i/>
          <w:iCs/>
          <w:szCs w:val="20"/>
        </w:rPr>
        <w:t>ratione loci</w:t>
      </w:r>
      <w:r w:rsidR="00747A88" w:rsidRPr="005F66AD">
        <w:rPr>
          <w:szCs w:val="20"/>
        </w:rPr>
        <w:t xml:space="preserve"> para conocer la petición por cuanto las alegadas violaciones de derechos humanos habrían tenido lugar dentro del territorio de Venezuela.</w:t>
      </w:r>
    </w:p>
    <w:p w:rsidR="00747A88" w:rsidRPr="005F66AD" w:rsidRDefault="00747A88" w:rsidP="005F66AD">
      <w:pPr>
        <w:rPr>
          <w:szCs w:val="20"/>
        </w:rPr>
      </w:pPr>
    </w:p>
    <w:p w:rsidR="00747A88" w:rsidRPr="005F66AD" w:rsidRDefault="00747A88" w:rsidP="005F66AD">
      <w:pPr>
        <w:rPr>
          <w:b/>
          <w:bCs/>
          <w:szCs w:val="20"/>
          <w:lang w:val="es-PE"/>
        </w:rPr>
      </w:pPr>
      <w:r w:rsidRPr="005F66AD">
        <w:rPr>
          <w:b/>
          <w:bCs/>
          <w:szCs w:val="20"/>
          <w:lang w:val="es-PE"/>
        </w:rPr>
        <w:t>B.</w:t>
      </w:r>
      <w:r w:rsidRPr="005F66AD">
        <w:rPr>
          <w:b/>
          <w:bCs/>
          <w:szCs w:val="20"/>
          <w:lang w:val="es-PE"/>
        </w:rPr>
        <w:tab/>
        <w:t>Agotamiento de los recursos internos</w:t>
      </w:r>
    </w:p>
    <w:p w:rsidR="00747A88" w:rsidRPr="005F66AD" w:rsidRDefault="00747A88" w:rsidP="005F66AD">
      <w:pPr>
        <w:rPr>
          <w:szCs w:val="20"/>
          <w:lang w:val="es-PE"/>
        </w:rPr>
      </w:pPr>
    </w:p>
    <w:p w:rsidR="00747A88" w:rsidRPr="005F66AD" w:rsidRDefault="00066259" w:rsidP="005F66AD">
      <w:pPr>
        <w:rPr>
          <w:szCs w:val="20"/>
        </w:rPr>
      </w:pPr>
      <w:r w:rsidRPr="005F66AD">
        <w:rPr>
          <w:szCs w:val="20"/>
          <w:lang w:val="es-PE"/>
        </w:rPr>
        <w:t xml:space="preserve">27. </w:t>
      </w:r>
      <w:r w:rsidR="00747A88" w:rsidRPr="005F66AD">
        <w:rPr>
          <w:szCs w:val="20"/>
          <w:lang w:val="es-PE"/>
        </w:rPr>
        <w:t>El artículo 46(1)(a) de la Convención Americana dispone que, para que sea admisible una denuncia presentada ante la Comisión, es necesario que se hayan agotado los recursos de jurisdicción interna, conforme a los principios del Derecho Internacional generalmente reconocidos.</w:t>
      </w:r>
      <w:r w:rsidR="00747A88" w:rsidRPr="005F66AD">
        <w:rPr>
          <w:szCs w:val="20"/>
        </w:rPr>
        <w:t xml:space="preserve"> A tenor del referido artículo y e</w:t>
      </w:r>
      <w:r w:rsidR="00747A88" w:rsidRPr="005F66AD">
        <w:rPr>
          <w:szCs w:val="20"/>
          <w:lang w:val="es-ES_tradnl"/>
        </w:rPr>
        <w:t xml:space="preserve">n conformidad con el artículo 31(3) del Reglamento de la CIDH, incumbe al Estado que plantea la excepción de no agotamiento probar que en su </w:t>
      </w:r>
      <w:r w:rsidR="00747A88" w:rsidRPr="005F66AD">
        <w:rPr>
          <w:szCs w:val="20"/>
          <w:lang w:val="es-ES_tradnl"/>
        </w:rPr>
        <w:lastRenderedPageBreak/>
        <w:t>sistema interno existen recursos no han sido agotado. En el presente caso, Venezuela no se pronunció sobre la petición.</w:t>
      </w:r>
    </w:p>
    <w:p w:rsidR="00747A88" w:rsidRPr="005F66AD" w:rsidRDefault="00747A88" w:rsidP="005F66AD">
      <w:pPr>
        <w:rPr>
          <w:szCs w:val="20"/>
        </w:rPr>
      </w:pPr>
    </w:p>
    <w:p w:rsidR="00747A88" w:rsidRPr="005F66AD" w:rsidRDefault="00066259" w:rsidP="005F66AD">
      <w:pPr>
        <w:rPr>
          <w:szCs w:val="20"/>
        </w:rPr>
      </w:pPr>
      <w:r w:rsidRPr="005F66AD">
        <w:rPr>
          <w:szCs w:val="20"/>
          <w:lang w:val="es-PE"/>
        </w:rPr>
        <w:t xml:space="preserve">28. </w:t>
      </w:r>
      <w:r w:rsidR="00747A88" w:rsidRPr="005F66AD">
        <w:rPr>
          <w:szCs w:val="20"/>
          <w:lang w:val="es-PE"/>
        </w:rPr>
        <w:t xml:space="preserve">Por su parte, el artículo 46(2) de la Convención prevé que el requisito de agotamiento de los recursos internos no resulta aplicable cuando: a) no exista en la legislación interna del Estado de que se trata el debido proceso legal para la protección del derecho o derechos que se alega han sido violados; b) no se haya permitido al presunto lesionado en sus derechos el acceso a los recursos a la jurisdicción interna, o haya sido impedido de agotarlos; o c) haya retardo injustificado en la decisión sobre los mencionados recursos.  </w:t>
      </w:r>
      <w:r w:rsidR="00747A88" w:rsidRPr="005F66AD">
        <w:rPr>
          <w:bCs/>
          <w:szCs w:val="20"/>
          <w:lang w:val="es-PE"/>
        </w:rPr>
        <w:t xml:space="preserve">De este modo, la Comisión debe analizar si se agotaron los recursos de la jurisdicción interna, o si opera alguna de las excepciones previstas en el artículo 46(2).  En cuanto a ese requisito, la CIDH recuerda que las presuntas víctimas no necesitan agotar todos los recursos disponibles en la jurisdicción interna, sino únicamente aquellos que resultan </w:t>
      </w:r>
      <w:r w:rsidR="00747A88" w:rsidRPr="005F66AD">
        <w:rPr>
          <w:szCs w:val="20"/>
        </w:rPr>
        <w:t xml:space="preserve">aptos para cesar la violación y reparar el daño alegado, es decir, </w:t>
      </w:r>
      <w:r w:rsidR="00747A88" w:rsidRPr="005F66AD">
        <w:rPr>
          <w:bCs/>
          <w:szCs w:val="20"/>
          <w:lang w:val="es-PE"/>
        </w:rPr>
        <w:t>los que sean idóneos en el caso particular.</w:t>
      </w:r>
    </w:p>
    <w:p w:rsidR="00747A88" w:rsidRPr="005F66AD" w:rsidRDefault="00747A88" w:rsidP="005F66AD">
      <w:pPr>
        <w:pStyle w:val="PargrafodaLista"/>
        <w:rPr>
          <w:rFonts w:ascii="Verdana" w:hAnsi="Verdana"/>
          <w:sz w:val="20"/>
          <w:szCs w:val="20"/>
          <w:lang w:val="es-AR"/>
        </w:rPr>
      </w:pPr>
    </w:p>
    <w:p w:rsidR="00747A88" w:rsidRPr="005F66AD" w:rsidRDefault="00066259" w:rsidP="005F66AD">
      <w:pPr>
        <w:rPr>
          <w:szCs w:val="20"/>
        </w:rPr>
      </w:pPr>
      <w:r w:rsidRPr="005F66AD">
        <w:rPr>
          <w:szCs w:val="20"/>
        </w:rPr>
        <w:t xml:space="preserve">29. </w:t>
      </w:r>
      <w:r w:rsidR="00747A88" w:rsidRPr="005F66AD">
        <w:rPr>
          <w:szCs w:val="20"/>
        </w:rPr>
        <w:t xml:space="preserve">En el presente caso, a fin de impedir o impugnar </w:t>
      </w:r>
      <w:r w:rsidR="00747A88" w:rsidRPr="005F66AD">
        <w:rPr>
          <w:szCs w:val="20"/>
          <w:lang w:val="es-CL"/>
        </w:rPr>
        <w:t>la decisión de no renovar la concesión, fueron interpuestos un amparo constitucional y un recurso contencioso administrativo de nulidad.  El 17 de mayo de 2007, el TSJ declaró el recurso de amparo inadmisible, bajo el criterio de que la vía idónea para atacar la decisión administrativa era el recurso contencioso administrativo de nulidad.</w:t>
      </w:r>
    </w:p>
    <w:p w:rsidR="00747A88" w:rsidRPr="005F66AD" w:rsidRDefault="00747A88" w:rsidP="005F66AD">
      <w:pPr>
        <w:rPr>
          <w:szCs w:val="20"/>
        </w:rPr>
      </w:pPr>
    </w:p>
    <w:p w:rsidR="00747A88" w:rsidRPr="005F66AD" w:rsidRDefault="00066259" w:rsidP="005F66AD">
      <w:pPr>
        <w:rPr>
          <w:szCs w:val="20"/>
        </w:rPr>
      </w:pPr>
      <w:r w:rsidRPr="005F66AD">
        <w:rPr>
          <w:szCs w:val="20"/>
          <w:lang w:val="es-CL"/>
        </w:rPr>
        <w:t xml:space="preserve">30. </w:t>
      </w:r>
      <w:r w:rsidR="00747A88" w:rsidRPr="005F66AD">
        <w:rPr>
          <w:szCs w:val="20"/>
          <w:lang w:val="es-CL"/>
        </w:rPr>
        <w:t xml:space="preserve">El </w:t>
      </w:r>
      <w:r w:rsidR="00747A88" w:rsidRPr="005F66AD">
        <w:rPr>
          <w:szCs w:val="20"/>
        </w:rPr>
        <w:t xml:space="preserve">Recurso Contencioso Administrativo de Nulidad fue interpuesto el 17 de abril de 2007.  </w:t>
      </w:r>
      <w:r w:rsidR="00747A88" w:rsidRPr="005F66AD">
        <w:rPr>
          <w:szCs w:val="20"/>
          <w:lang w:val="es-CL"/>
        </w:rPr>
        <w:t xml:space="preserve">La Comisión toma nota de que dicho </w:t>
      </w:r>
      <w:r w:rsidR="00747A88" w:rsidRPr="005F66AD">
        <w:rPr>
          <w:szCs w:val="20"/>
        </w:rPr>
        <w:t>Recurso fue interpuesto por RCTV, la persona jurídica afectada por la decisión impugnada, en representación de sus accionistas y por las personas naturales indicadas como presuntas víctimas en su calidad de periodistas y directivos por los peticionarios, con excepción de dos de los directivos actuales de la empresa.</w:t>
      </w:r>
      <w:r w:rsidR="00747A88" w:rsidRPr="005F66AD">
        <w:rPr>
          <w:rStyle w:val="FootnoteReference"/>
          <w:rFonts w:cs="Arial"/>
          <w:szCs w:val="20"/>
          <w:lang w:val="es-PE"/>
        </w:rPr>
        <w:footnoteReference w:id="9"/>
      </w:r>
      <w:r w:rsidR="00747A88" w:rsidRPr="005F66AD">
        <w:rPr>
          <w:szCs w:val="20"/>
        </w:rPr>
        <w:t xml:space="preserve">  En dicho recurso, se alega que la decisión de no renovar la concesión viola el derecho a la libertad de expresión de las personas que utilizaban RCTV para expresar sus ideas y opiniones, a pesar de las presiones gubernamentales ejercidas sobre todos ellos. Asimismo, se afirma que la decisión estatal se basó en la posición política de RCTV y que, por tanto, corresponde a una medida retaliativa que impide de manera ilegítima la libertad de expresión de las presuntas víctimas.</w:t>
      </w:r>
    </w:p>
    <w:p w:rsidR="00747A88" w:rsidRPr="005F66AD" w:rsidRDefault="00747A88" w:rsidP="005F66AD">
      <w:pPr>
        <w:rPr>
          <w:szCs w:val="20"/>
        </w:rPr>
      </w:pPr>
    </w:p>
    <w:p w:rsidR="00747A88" w:rsidRPr="005F66AD" w:rsidRDefault="00066259" w:rsidP="005F66AD">
      <w:pPr>
        <w:rPr>
          <w:szCs w:val="20"/>
        </w:rPr>
      </w:pPr>
      <w:r w:rsidRPr="005F66AD">
        <w:rPr>
          <w:szCs w:val="20"/>
        </w:rPr>
        <w:t xml:space="preserve">31. </w:t>
      </w:r>
      <w:r w:rsidR="00747A88" w:rsidRPr="005F66AD">
        <w:rPr>
          <w:szCs w:val="20"/>
        </w:rPr>
        <w:t>Según la información que consta en el expediente, la Comisión nota que el recurso de nulidad se encuentra en etapa de producción de pruebas desde octubre de 2007.  En particular, la decisión sobre las apelaciones interpuestas por ambas partes del proceso, contra la decisión sobre la admisibilidad de pruebas, sigue pendiente, pese a que debió ser dictada a más tardar el 25 de julio de 2008, según afirman los peticionarios.  Dicha información no fue controvertida por el Estado.</w:t>
      </w:r>
    </w:p>
    <w:p w:rsidR="00747A88" w:rsidRPr="005F66AD" w:rsidRDefault="00747A88" w:rsidP="005F66AD">
      <w:pPr>
        <w:rPr>
          <w:szCs w:val="20"/>
          <w:lang w:val="es-CL"/>
        </w:rPr>
      </w:pPr>
    </w:p>
    <w:p w:rsidR="00747A88" w:rsidRPr="005F66AD" w:rsidRDefault="00066259" w:rsidP="005F66AD">
      <w:pPr>
        <w:rPr>
          <w:szCs w:val="20"/>
        </w:rPr>
      </w:pPr>
      <w:r w:rsidRPr="005F66AD">
        <w:rPr>
          <w:szCs w:val="20"/>
          <w:lang w:val="es-CL"/>
        </w:rPr>
        <w:t xml:space="preserve">32. </w:t>
      </w:r>
      <w:r w:rsidR="00747A88" w:rsidRPr="005F66AD">
        <w:rPr>
          <w:szCs w:val="20"/>
          <w:lang w:val="es-CL"/>
        </w:rPr>
        <w:t>A parte de la decisión de no renovar la concesión, los peticionarios argumentan que las medidas cautelares ordenadas por el TSJ, mediante las cuales el uso de los bienes de RCTV fue asignado a CONATEL, violan los derechos fundamentales de las presuntas víctimas y, en particular, los derechos al debido proceso y de propiedad de los accionistas de la empresa.  Dicha decisión, según los peticionarios, fue adoptada sin que RCTV fuera adecuadamente notificada o constituida como parte en el proceso.  El 31 de mayo de 2007, RCTV se opuso a las medidas adoptadas en su calidad de propietaria de los bienes afectados. Con base en la información que obra en el expediente, el TSJ no se ha pronunciado sobre la oposición presentada y las medidas cautelares continúan vigentes. RCTV nunca fue constituida como parte en el proceso ordinario.</w:t>
      </w:r>
    </w:p>
    <w:p w:rsidR="00747A88" w:rsidRPr="005F66AD" w:rsidRDefault="00747A88" w:rsidP="005F66AD">
      <w:pPr>
        <w:pStyle w:val="PargrafodaLista"/>
        <w:rPr>
          <w:rFonts w:ascii="Verdana" w:hAnsi="Verdana" w:cs="Arial"/>
          <w:sz w:val="20"/>
          <w:szCs w:val="20"/>
          <w:lang w:val="es-AR"/>
        </w:rPr>
      </w:pPr>
    </w:p>
    <w:p w:rsidR="00747A88" w:rsidRPr="005F66AD" w:rsidRDefault="00066259" w:rsidP="005F66AD">
      <w:pPr>
        <w:rPr>
          <w:szCs w:val="20"/>
        </w:rPr>
      </w:pPr>
      <w:r w:rsidRPr="005F66AD">
        <w:rPr>
          <w:szCs w:val="20"/>
          <w:lang w:val="es-ES_tradnl"/>
        </w:rPr>
        <w:t xml:space="preserve">33. </w:t>
      </w:r>
      <w:r w:rsidR="00747A88" w:rsidRPr="005F66AD">
        <w:rPr>
          <w:szCs w:val="20"/>
          <w:lang w:val="es-ES_tradnl"/>
        </w:rPr>
        <w:t xml:space="preserve">En virtud de las consideraciones anteriores, la Comisión toma en cuenta que, según la información recibida, el recurso de nulidad se encuentra en su etapa más incipiente y la solicitud de oposición de las medidas cautelares no ha dado lugar a respuesta alguna por parte del TSJ, no obstante el transcurso de cuatro años.  Por esta razón, existe </w:t>
      </w:r>
      <w:r w:rsidR="00747A88" w:rsidRPr="005F66AD">
        <w:rPr>
          <w:i/>
          <w:szCs w:val="20"/>
          <w:lang w:val="es-ES_tradnl"/>
        </w:rPr>
        <w:t xml:space="preserve">prima facie </w:t>
      </w:r>
      <w:r w:rsidR="00747A88" w:rsidRPr="005F66AD">
        <w:rPr>
          <w:szCs w:val="20"/>
          <w:lang w:val="es-ES_tradnl"/>
        </w:rPr>
        <w:t>un retardo injustificado en el trámite de esos procedimientos, y el Estado no ha presentado información con el fin de justificarla. Por lo tanto, la Comisión concluye que la petición es admisible con base en la excepción establecida en el artículo 46(2</w:t>
      </w:r>
      <w:proofErr w:type="gramStart"/>
      <w:r w:rsidR="00747A88" w:rsidRPr="005F66AD">
        <w:rPr>
          <w:szCs w:val="20"/>
          <w:lang w:val="es-ES_tradnl"/>
        </w:rPr>
        <w:t>)(</w:t>
      </w:r>
      <w:proofErr w:type="gramEnd"/>
      <w:r w:rsidR="00747A88" w:rsidRPr="005F66AD">
        <w:rPr>
          <w:szCs w:val="20"/>
          <w:lang w:val="es-ES_tradnl"/>
        </w:rPr>
        <w:t>c) de la Convención Americana.</w:t>
      </w:r>
    </w:p>
    <w:p w:rsidR="00747A88" w:rsidRPr="005F66AD" w:rsidRDefault="00747A88" w:rsidP="005F66AD">
      <w:pPr>
        <w:pStyle w:val="PargrafodaLista"/>
        <w:rPr>
          <w:rFonts w:ascii="Verdana" w:hAnsi="Verdana"/>
          <w:sz w:val="20"/>
          <w:szCs w:val="20"/>
          <w:lang w:val="es-AR"/>
        </w:rPr>
      </w:pPr>
    </w:p>
    <w:p w:rsidR="00747A88" w:rsidRPr="005F66AD" w:rsidRDefault="00066259" w:rsidP="005F66AD">
      <w:pPr>
        <w:rPr>
          <w:szCs w:val="20"/>
        </w:rPr>
      </w:pPr>
      <w:r w:rsidRPr="005F66AD">
        <w:rPr>
          <w:szCs w:val="20"/>
          <w:lang w:val="es-ES_tradnl"/>
        </w:rPr>
        <w:t xml:space="preserve">34. </w:t>
      </w:r>
      <w:r w:rsidR="00747A88" w:rsidRPr="005F66AD">
        <w:rPr>
          <w:szCs w:val="20"/>
          <w:lang w:val="es-ES_tradnl"/>
        </w:rPr>
        <w:t xml:space="preserve">Finalmente, la Comisión reitera que las excepciones a la regla del agotamiento de los recursos internos se encuentran estrechamente vinculadas a la determinación de posibles violaciones a ciertos derechos consagrados en la Convención, tales como el derecho al debido proceso (artículo 8) y a la protección judicial (artículo 25). Cabe tener en cuenta sin embargo, que el artículo 46(2), por su naturaleza y objeto, tiene contenido autónomo con respecto a las normas sustantivas de la Convención y depende de un estándar de apreciación distinto de aquél utilizado para determinar la violación de los artículos 8 y 25 de este instrumento internacional.  Ello hace que la aplicabilidad de las excepciones a la regla de agotamiento de los recursos internos previstas en el artículo 46(2) </w:t>
      </w:r>
      <w:proofErr w:type="gramStart"/>
      <w:r w:rsidR="00747A88" w:rsidRPr="005F66AD">
        <w:rPr>
          <w:szCs w:val="20"/>
          <w:lang w:val="es-ES_tradnl"/>
        </w:rPr>
        <w:t>deban</w:t>
      </w:r>
      <w:proofErr w:type="gramEnd"/>
      <w:r w:rsidR="00747A88" w:rsidRPr="005F66AD">
        <w:rPr>
          <w:szCs w:val="20"/>
          <w:lang w:val="es-ES_tradnl"/>
        </w:rPr>
        <w:t xml:space="preserve"> resolverse como una cuestión de previo y especial pronunciamiento, como lo está haciendo la Comisión al emitir el presente informe.  En consecuencia, las razones por las cuales no se agotaron los recursos internos y el efecto jurídico de la falta de agotamiento de los mismos serán analizadas cuando la Comisión estudie el fondo de la cuestión controvertida con el objeto de determinar si se han configurado violaciones a los artículos 8 y 25 precitados</w:t>
      </w:r>
      <w:r w:rsidR="00747A88" w:rsidRPr="005F66AD">
        <w:rPr>
          <w:rStyle w:val="FootnoteReference"/>
          <w:szCs w:val="20"/>
          <w:lang w:val="es-ES_tradnl"/>
        </w:rPr>
        <w:footnoteReference w:id="10"/>
      </w:r>
      <w:r w:rsidR="00747A88" w:rsidRPr="005F66AD">
        <w:rPr>
          <w:szCs w:val="20"/>
          <w:lang w:val="es-ES_tradnl"/>
        </w:rPr>
        <w:t>.</w:t>
      </w:r>
    </w:p>
    <w:p w:rsidR="00747A88" w:rsidRPr="005F66AD" w:rsidRDefault="00747A88" w:rsidP="005F66AD">
      <w:pPr>
        <w:pStyle w:val="PargrafodaLista"/>
        <w:rPr>
          <w:rFonts w:ascii="Verdana" w:hAnsi="Verdana"/>
          <w:sz w:val="20"/>
          <w:szCs w:val="20"/>
          <w:lang w:val="es-AR"/>
        </w:rPr>
      </w:pPr>
    </w:p>
    <w:p w:rsidR="00747A88" w:rsidRPr="005F66AD" w:rsidRDefault="00747A88" w:rsidP="005F66AD">
      <w:pPr>
        <w:rPr>
          <w:b/>
          <w:bCs/>
          <w:szCs w:val="20"/>
          <w:lang w:val="es-PE"/>
        </w:rPr>
      </w:pPr>
      <w:r w:rsidRPr="005F66AD">
        <w:rPr>
          <w:b/>
          <w:bCs/>
          <w:szCs w:val="20"/>
          <w:lang w:val="es-PE"/>
        </w:rPr>
        <w:t xml:space="preserve">C. </w:t>
      </w:r>
      <w:r w:rsidRPr="005F66AD">
        <w:rPr>
          <w:b/>
          <w:bCs/>
          <w:szCs w:val="20"/>
          <w:lang w:val="es-PE"/>
        </w:rPr>
        <w:tab/>
        <w:t>Plazo de presentación de la petición</w:t>
      </w:r>
    </w:p>
    <w:p w:rsidR="00747A88" w:rsidRPr="005F66AD" w:rsidRDefault="00747A88" w:rsidP="005F66AD">
      <w:pPr>
        <w:rPr>
          <w:szCs w:val="20"/>
          <w:lang w:val="es-PE"/>
        </w:rPr>
      </w:pPr>
    </w:p>
    <w:p w:rsidR="00747A88" w:rsidRPr="005F66AD" w:rsidRDefault="00066259" w:rsidP="005F66AD">
      <w:pPr>
        <w:rPr>
          <w:szCs w:val="20"/>
        </w:rPr>
      </w:pPr>
      <w:r w:rsidRPr="005F66AD">
        <w:rPr>
          <w:szCs w:val="20"/>
          <w:lang w:val="es-ES_tradnl"/>
        </w:rPr>
        <w:t xml:space="preserve">35. </w:t>
      </w:r>
      <w:r w:rsidR="00747A88" w:rsidRPr="005F66AD">
        <w:rPr>
          <w:szCs w:val="20"/>
          <w:lang w:val="es-ES_tradnl"/>
        </w:rPr>
        <w:t>Conforme el artículo 46(1</w:t>
      </w:r>
      <w:proofErr w:type="gramStart"/>
      <w:r w:rsidR="00747A88" w:rsidRPr="005F66AD">
        <w:rPr>
          <w:szCs w:val="20"/>
          <w:lang w:val="es-ES_tradnl"/>
        </w:rPr>
        <w:t>)(</w:t>
      </w:r>
      <w:proofErr w:type="gramEnd"/>
      <w:r w:rsidR="00747A88" w:rsidRPr="005F66AD">
        <w:rPr>
          <w:szCs w:val="20"/>
          <w:lang w:val="es-ES_tradnl"/>
        </w:rPr>
        <w:t>b) de la Convención Americana, constituye un requisito de admisibilidad la presentación de las peticiones dentro del plazo de 6 (seis) meses a partir de la notificación al presunto lesionado de la sentencia que agote los recursos internos.</w:t>
      </w:r>
      <w:r w:rsidR="00747A88" w:rsidRPr="005F66AD">
        <w:rPr>
          <w:szCs w:val="20"/>
        </w:rPr>
        <w:t xml:space="preserve">  Sin embargo, e</w:t>
      </w:r>
      <w:r w:rsidR="00747A88" w:rsidRPr="005F66AD">
        <w:rPr>
          <w:szCs w:val="20"/>
          <w:lang w:val="es-ES_tradnl"/>
        </w:rPr>
        <w:t xml:space="preserve">l artículo 32(2) del Reglamento de la Comisión consagra que en los casos en los cuales resulten aplicables las excepciones al requisito del previo agotamiento de los recursos internos, la petición deberá presentarse dentro de un plazo razonable.  A </w:t>
      </w:r>
      <w:r w:rsidR="00747A88" w:rsidRPr="005F66AD">
        <w:rPr>
          <w:iCs/>
          <w:szCs w:val="20"/>
          <w:lang w:val="es-ES_tradnl"/>
        </w:rPr>
        <w:t>tal efecto, la Comisión considerará la fecha en que haya ocurrido la presunta violación de los derechos y las circunstancias de cada caso</w:t>
      </w:r>
      <w:r w:rsidR="00747A88" w:rsidRPr="005F66AD">
        <w:rPr>
          <w:rStyle w:val="FootnoteReference"/>
          <w:szCs w:val="20"/>
          <w:lang w:val="es-ES_tradnl"/>
        </w:rPr>
        <w:footnoteReference w:id="11"/>
      </w:r>
      <w:r w:rsidR="00747A88" w:rsidRPr="005F66AD">
        <w:rPr>
          <w:szCs w:val="20"/>
          <w:lang w:val="es-ES_tradnl"/>
        </w:rPr>
        <w:t>.</w:t>
      </w:r>
    </w:p>
    <w:p w:rsidR="00747A88" w:rsidRPr="005F66AD" w:rsidRDefault="00747A88" w:rsidP="005F66AD">
      <w:pPr>
        <w:rPr>
          <w:szCs w:val="20"/>
        </w:rPr>
      </w:pPr>
    </w:p>
    <w:p w:rsidR="00747A88" w:rsidRPr="005F66AD" w:rsidRDefault="00066259" w:rsidP="005F66AD">
      <w:pPr>
        <w:rPr>
          <w:szCs w:val="20"/>
          <w:lang w:val="es-CL"/>
        </w:rPr>
      </w:pPr>
      <w:r w:rsidRPr="005F66AD">
        <w:rPr>
          <w:szCs w:val="20"/>
        </w:rPr>
        <w:t xml:space="preserve">36. </w:t>
      </w:r>
      <w:r w:rsidR="00747A88" w:rsidRPr="005F66AD">
        <w:rPr>
          <w:szCs w:val="20"/>
        </w:rPr>
        <w:t xml:space="preserve">En el presente caso, la </w:t>
      </w:r>
      <w:r w:rsidR="00747A88" w:rsidRPr="005F66AD">
        <w:rPr>
          <w:szCs w:val="20"/>
          <w:lang w:val="es-ES_tradnl"/>
        </w:rPr>
        <w:t xml:space="preserve">petición fue inicialmente presentada el 31 de marzo de 2007, luego de la emisión de la decisión de no renovar la concesión a RCTV.  El 18 de agosto de 2007, los peticionarios informaron, entre otros hechos, sobre la ejecución de la referida decisión administrativa de no renovar y la interposición del recurso de nulidad.  El 16 de octubre de 2007, la CIDH decidió no dar trámite a la petición.  Los peticionarios sometieron un escrito actualizando el contenido de su petición el 28 de febrero de 2010.  La Comisión estima que la petición fue presentada de acuerdo con los parámetros de razonabilidad aludidos por la norma en cuestión.  Conforme a lo señalado </w:t>
      </w:r>
      <w:r w:rsidR="00747A88" w:rsidRPr="005F66AD">
        <w:rPr>
          <w:i/>
          <w:szCs w:val="20"/>
          <w:lang w:val="es-ES_tradnl"/>
        </w:rPr>
        <w:t>supra</w:t>
      </w:r>
      <w:r w:rsidR="00747A88" w:rsidRPr="005F66AD">
        <w:rPr>
          <w:szCs w:val="20"/>
          <w:lang w:val="es-ES_tradnl"/>
        </w:rPr>
        <w:t>, lo anterior no prejuzga las posibles violaciones a los artículos 8 y 25 de la Convención Americana, las cuales serán analizadas por la Comisión en la etapa de fondo correspondiente.</w:t>
      </w:r>
    </w:p>
    <w:p w:rsidR="00747A88" w:rsidRPr="005F66AD" w:rsidRDefault="00747A88" w:rsidP="005F66AD">
      <w:pPr>
        <w:rPr>
          <w:b/>
          <w:bCs/>
          <w:szCs w:val="20"/>
          <w:lang w:val="es-CL"/>
        </w:rPr>
      </w:pPr>
    </w:p>
    <w:p w:rsidR="00747A88" w:rsidRPr="005F66AD" w:rsidRDefault="00747A88" w:rsidP="005F66AD">
      <w:pPr>
        <w:rPr>
          <w:szCs w:val="20"/>
          <w:lang w:val="es-PE"/>
        </w:rPr>
      </w:pPr>
      <w:r w:rsidRPr="005F66AD">
        <w:rPr>
          <w:b/>
          <w:bCs/>
          <w:szCs w:val="20"/>
          <w:lang w:val="es-PE"/>
        </w:rPr>
        <w:t>D.</w:t>
      </w:r>
      <w:r w:rsidRPr="005F66AD">
        <w:rPr>
          <w:b/>
          <w:bCs/>
          <w:szCs w:val="20"/>
          <w:lang w:val="es-PE"/>
        </w:rPr>
        <w:tab/>
        <w:t>Duplicación de procedimientos y cosa juzgada internacional</w:t>
      </w:r>
    </w:p>
    <w:p w:rsidR="00747A88" w:rsidRPr="005F66AD" w:rsidRDefault="00747A88" w:rsidP="005F66AD">
      <w:pPr>
        <w:rPr>
          <w:szCs w:val="20"/>
          <w:lang w:val="es-PE"/>
        </w:rPr>
      </w:pPr>
    </w:p>
    <w:p w:rsidR="00747A88" w:rsidRPr="005F66AD" w:rsidRDefault="00066259" w:rsidP="005F66AD">
      <w:pPr>
        <w:rPr>
          <w:b/>
          <w:bCs/>
          <w:szCs w:val="20"/>
          <w:lang w:val="es-PE"/>
        </w:rPr>
      </w:pPr>
      <w:r w:rsidRPr="005F66AD">
        <w:rPr>
          <w:szCs w:val="20"/>
          <w:lang w:val="es-ES"/>
        </w:rPr>
        <w:t xml:space="preserve">37. </w:t>
      </w:r>
      <w:r w:rsidR="00747A88" w:rsidRPr="005F66AD">
        <w:rPr>
          <w:szCs w:val="20"/>
          <w:lang w:val="es-ES"/>
        </w:rPr>
        <w:t>No surge del expediente que la materia de la petición se encuentre pendiente de otro procedimiento internacional, ni que reproduzca una petición ya examinada por este u otro órgano internacional.  Por ello, corresponde dar por cumplidos los requisitos establecidos en los artículos 46(1</w:t>
      </w:r>
      <w:proofErr w:type="gramStart"/>
      <w:r w:rsidR="00747A88" w:rsidRPr="005F66AD">
        <w:rPr>
          <w:szCs w:val="20"/>
          <w:lang w:val="es-ES"/>
        </w:rPr>
        <w:t>)(</w:t>
      </w:r>
      <w:proofErr w:type="gramEnd"/>
      <w:r w:rsidR="00747A88" w:rsidRPr="005F66AD">
        <w:rPr>
          <w:szCs w:val="20"/>
          <w:lang w:val="es-ES"/>
        </w:rPr>
        <w:t>c) y 47(d) de la Convención Americana.</w:t>
      </w:r>
    </w:p>
    <w:p w:rsidR="00747A88" w:rsidRPr="005F66AD" w:rsidRDefault="00747A88" w:rsidP="005F66AD">
      <w:pPr>
        <w:ind w:firstLine="1440"/>
        <w:rPr>
          <w:b/>
          <w:bCs/>
          <w:szCs w:val="20"/>
          <w:lang w:val="es-PE"/>
        </w:rPr>
      </w:pPr>
    </w:p>
    <w:p w:rsidR="00747A88" w:rsidRPr="005F66AD" w:rsidRDefault="00747A88" w:rsidP="005F66AD">
      <w:pPr>
        <w:rPr>
          <w:szCs w:val="20"/>
          <w:lang w:val="es-PE"/>
        </w:rPr>
      </w:pPr>
      <w:r w:rsidRPr="005F66AD">
        <w:rPr>
          <w:b/>
          <w:bCs/>
          <w:szCs w:val="20"/>
          <w:lang w:val="es-PE"/>
        </w:rPr>
        <w:t>E.</w:t>
      </w:r>
      <w:r w:rsidRPr="005F66AD">
        <w:rPr>
          <w:b/>
          <w:bCs/>
          <w:szCs w:val="20"/>
          <w:lang w:val="es-PE"/>
        </w:rPr>
        <w:tab/>
        <w:t>Caracterización de los hechos alegados</w:t>
      </w:r>
    </w:p>
    <w:p w:rsidR="00747A88" w:rsidRPr="005F66AD" w:rsidRDefault="00747A88" w:rsidP="005F66AD">
      <w:pPr>
        <w:ind w:firstLine="1440"/>
        <w:rPr>
          <w:b/>
          <w:bCs/>
          <w:szCs w:val="20"/>
          <w:lang w:val="es-PE"/>
        </w:rPr>
      </w:pPr>
    </w:p>
    <w:p w:rsidR="00747A88" w:rsidRPr="005F66AD" w:rsidRDefault="00066259" w:rsidP="005F66AD">
      <w:pPr>
        <w:rPr>
          <w:b/>
          <w:bCs/>
          <w:szCs w:val="20"/>
          <w:lang w:val="es-PE"/>
        </w:rPr>
      </w:pPr>
      <w:r w:rsidRPr="005F66AD">
        <w:rPr>
          <w:szCs w:val="20"/>
          <w:lang w:val="es-ES_tradnl"/>
        </w:rPr>
        <w:t xml:space="preserve">38. </w:t>
      </w:r>
      <w:r w:rsidR="00747A88" w:rsidRPr="005F66AD">
        <w:rPr>
          <w:szCs w:val="20"/>
          <w:lang w:val="es-ES_tradnl"/>
        </w:rPr>
        <w:t xml:space="preserve">Corresponde a la Comisión determinar si los hechos descritos en la petición caracterizan violaciones de los derechos consagrados en la Convención Americana, conforme a los requerimientos del artículo 47(b), o si la petición, conforme al artículo 47(c), debe ser rechazada por ser “manifiestamente infundada” o por resultar “evidente su total improcedencia”.  En esta etapa procesal corresponde a la CIDH hacer una evaluación </w:t>
      </w:r>
      <w:r w:rsidR="00747A88" w:rsidRPr="005F66AD">
        <w:rPr>
          <w:i/>
          <w:szCs w:val="20"/>
          <w:lang w:val="es-ES_tradnl"/>
        </w:rPr>
        <w:t>prima facie</w:t>
      </w:r>
      <w:r w:rsidR="00747A88" w:rsidRPr="005F66AD">
        <w:rPr>
          <w:szCs w:val="20"/>
          <w:lang w:val="es-ES_tradnl"/>
        </w:rPr>
        <w:t xml:space="preserve">, no con el objeto de establecer presuntas violaciones a la Convención Americana, sino para examinar si la petición denuncia hechos que potencialmente podrían configurar violaciones a derechos garantizados en </w:t>
      </w:r>
      <w:r w:rsidR="00747A88" w:rsidRPr="005F66AD">
        <w:rPr>
          <w:szCs w:val="20"/>
          <w:lang w:val="es-ES_tradnl"/>
        </w:rPr>
        <w:lastRenderedPageBreak/>
        <w:t>la Convención Americana. Este examen no implica prejuzgamiento ni anticipo de la opinión sobre el fondo del asunto</w:t>
      </w:r>
      <w:r w:rsidR="00747A88" w:rsidRPr="005F66AD">
        <w:rPr>
          <w:rStyle w:val="WW-FootnoteCharacters"/>
          <w:rFonts w:ascii="Verdana" w:hAnsi="Verdana"/>
          <w:sz w:val="20"/>
          <w:szCs w:val="20"/>
          <w:lang w:val="es-ES_tradnl"/>
        </w:rPr>
        <w:footnoteReference w:id="12"/>
      </w:r>
      <w:r w:rsidR="00747A88" w:rsidRPr="005F66AD">
        <w:rPr>
          <w:szCs w:val="20"/>
          <w:lang w:val="es-ES_tradnl"/>
        </w:rPr>
        <w:t>.</w:t>
      </w:r>
    </w:p>
    <w:p w:rsidR="00747A88" w:rsidRPr="005F66AD" w:rsidRDefault="00747A88" w:rsidP="005F66AD">
      <w:pPr>
        <w:rPr>
          <w:szCs w:val="20"/>
          <w:lang w:val="es-PE"/>
        </w:rPr>
      </w:pPr>
    </w:p>
    <w:p w:rsidR="00747A88" w:rsidRPr="005F66AD" w:rsidRDefault="00066259" w:rsidP="005F66AD">
      <w:pPr>
        <w:rPr>
          <w:szCs w:val="20"/>
          <w:lang w:val="es-ES_tradnl"/>
        </w:rPr>
      </w:pPr>
      <w:r w:rsidRPr="005F66AD">
        <w:rPr>
          <w:bCs/>
          <w:szCs w:val="20"/>
          <w:lang w:val="es-PE"/>
        </w:rPr>
        <w:t xml:space="preserve">39. </w:t>
      </w:r>
      <w:r w:rsidR="00747A88" w:rsidRPr="005F66AD">
        <w:rPr>
          <w:bCs/>
          <w:szCs w:val="20"/>
          <w:lang w:val="es-PE"/>
        </w:rPr>
        <w:t>La jurisprudencia del Sistema Interamericano ha indicado que las afectaciones a un medio de comunicación pueden generar una violación al artículo 13 de la Convención Americana, respecto de las personas que utilizan dicho medio para expresar o difundir opiniones o informaciones.</w:t>
      </w:r>
      <w:r w:rsidR="00747A88" w:rsidRPr="005F66AD">
        <w:rPr>
          <w:rStyle w:val="FootnoteReference"/>
          <w:bCs/>
          <w:szCs w:val="20"/>
          <w:lang w:val="es-PE"/>
        </w:rPr>
        <w:footnoteReference w:id="13"/>
      </w:r>
      <w:r w:rsidR="00747A88" w:rsidRPr="005F66AD">
        <w:rPr>
          <w:bCs/>
          <w:szCs w:val="20"/>
          <w:lang w:val="es-PE"/>
        </w:rPr>
        <w:t xml:space="preserve">  </w:t>
      </w:r>
      <w:r w:rsidR="00747A88" w:rsidRPr="005F66AD">
        <w:rPr>
          <w:szCs w:val="20"/>
          <w:lang w:val="es-ES_tradnl"/>
        </w:rPr>
        <w:t xml:space="preserve">En efecto, </w:t>
      </w:r>
      <w:r w:rsidR="00747A88" w:rsidRPr="005F66AD">
        <w:rPr>
          <w:szCs w:val="20"/>
          <w:lang w:val="es-ES"/>
        </w:rPr>
        <w:t xml:space="preserve">la Comisión ha reconocido que los medios de comunicación </w:t>
      </w:r>
      <w:r w:rsidR="00747A88" w:rsidRPr="005F66AD">
        <w:rPr>
          <w:szCs w:val="20"/>
        </w:rPr>
        <w:t>hacen posible el ejercicio del derecho a la libertad de expresión de los directores, editores y comunicadores del mismo, a título individual.</w:t>
      </w:r>
      <w:r w:rsidR="00747A88" w:rsidRPr="005F66AD">
        <w:rPr>
          <w:rStyle w:val="FootnoteReference"/>
          <w:szCs w:val="20"/>
        </w:rPr>
        <w:footnoteReference w:id="14"/>
      </w:r>
      <w:r w:rsidR="00747A88" w:rsidRPr="005F66AD">
        <w:rPr>
          <w:szCs w:val="20"/>
        </w:rPr>
        <w:t xml:space="preserve">  En criterio </w:t>
      </w:r>
      <w:r w:rsidR="00747A88" w:rsidRPr="005F66AD">
        <w:rPr>
          <w:szCs w:val="20"/>
          <w:lang w:val="es-ES_tradnl"/>
        </w:rPr>
        <w:t>de la Comisión, de la misma forma que los sindicatos constituyen instrumentos para el ejercicio del derecho de asociación de los y las trabajadoras y los partidos políticos son vehículos para el ejercicio de los derechos políticos de las y los ciudadanos, los medios de comunicación son mecanismos que sirven al ejercicio del derecho fundamental a la libertad de expresión de quienes los utilizan como medio de difusión de sus ideas o informaciones. En consecuencia, la Comisión debe considerar los posibles efectos que una medida sobre un medio de comunicación puede tener sobre el derecho fundamental de sus miembros, diferenciándolo con claridad de su posible impacto en otras esferas de su actividad comercial o societaria</w:t>
      </w:r>
      <w:r w:rsidR="00747A88" w:rsidRPr="005F66AD">
        <w:rPr>
          <w:rStyle w:val="FootnoteReference"/>
          <w:szCs w:val="20"/>
          <w:lang w:val="es-ES_tradnl"/>
        </w:rPr>
        <w:footnoteReference w:id="15"/>
      </w:r>
      <w:r w:rsidR="00747A88" w:rsidRPr="005F66AD">
        <w:rPr>
          <w:szCs w:val="20"/>
          <w:lang w:val="es-ES_tradnl"/>
        </w:rPr>
        <w:t>.</w:t>
      </w:r>
    </w:p>
    <w:p w:rsidR="00747A88" w:rsidRPr="005F66AD" w:rsidRDefault="00747A88" w:rsidP="005F66AD">
      <w:pPr>
        <w:rPr>
          <w:szCs w:val="20"/>
        </w:rPr>
      </w:pPr>
    </w:p>
    <w:p w:rsidR="00747A88" w:rsidRPr="005F66AD" w:rsidRDefault="00066259" w:rsidP="005F66AD">
      <w:pPr>
        <w:rPr>
          <w:szCs w:val="20"/>
        </w:rPr>
      </w:pPr>
      <w:r w:rsidRPr="005F66AD">
        <w:rPr>
          <w:szCs w:val="20"/>
        </w:rPr>
        <w:t xml:space="preserve">40. </w:t>
      </w:r>
      <w:r w:rsidR="00747A88" w:rsidRPr="005F66AD">
        <w:rPr>
          <w:szCs w:val="20"/>
        </w:rPr>
        <w:t xml:space="preserve">Como ya lo ha reconocido la Comisión, </w:t>
      </w:r>
      <w:r w:rsidR="00747A88" w:rsidRPr="005F66AD">
        <w:rPr>
          <w:szCs w:val="20"/>
          <w:lang w:val="es-ES_tradnl"/>
        </w:rPr>
        <w:t>en casos como el presente, para determinar si, por conexidad, la afectación de un medio de comunicación social (persona jurídica) tuvo un impacto negativo, cierto y sustancial sobre el derecho a la libertad de pensamiento y expresión de las presuntas víctimas, será necesario analizar: i) el origen, la naturaleza y el alcance del acto que originó la mencionada restricción; ii) el papel que cumplen las presuntas víctimas dentro del medio de comunicación, y iii) si en efecto las personas presuntamente afectadas pudieron ver afectado su derecho a la libertad de expresión como resultado de la interferencia en dicho medio. Estos criterios brindan un mecanismo que permite, siguiendo la práctica de la CIDH, distinguir los casos en que se trata de los derechos de una empresa, de aquellos en los que se han visto afectados de manera negativa los derechos humanos de una persona natural</w:t>
      </w:r>
      <w:r w:rsidR="00747A88" w:rsidRPr="005F66AD">
        <w:rPr>
          <w:rStyle w:val="FootnoteReference"/>
          <w:szCs w:val="20"/>
          <w:lang w:val="es-ES_tradnl"/>
        </w:rPr>
        <w:footnoteReference w:id="16"/>
      </w:r>
      <w:r w:rsidR="00747A88" w:rsidRPr="005F66AD">
        <w:rPr>
          <w:szCs w:val="20"/>
          <w:lang w:val="es-ES_tradnl"/>
        </w:rPr>
        <w:t>.  Este análisis debe tener en cuenta además, que en materia de libertad de expresión los medios de comunicación son verdaderos instrumentos para el ejercicio de este derecho</w:t>
      </w:r>
      <w:r w:rsidR="00747A88" w:rsidRPr="005F66AD">
        <w:rPr>
          <w:rStyle w:val="FootnoteReference"/>
          <w:szCs w:val="20"/>
          <w:lang w:val="es-ES_tradnl"/>
        </w:rPr>
        <w:footnoteReference w:id="17"/>
      </w:r>
      <w:r w:rsidR="00747A88" w:rsidRPr="005F66AD">
        <w:rPr>
          <w:szCs w:val="20"/>
          <w:lang w:val="es-ES_tradnl"/>
        </w:rPr>
        <w:t>.</w:t>
      </w:r>
    </w:p>
    <w:p w:rsidR="00747A88" w:rsidRPr="005F66AD" w:rsidRDefault="00747A88" w:rsidP="005F66AD">
      <w:pPr>
        <w:rPr>
          <w:bCs/>
          <w:szCs w:val="20"/>
          <w:lang w:val="es-PE"/>
        </w:rPr>
      </w:pPr>
    </w:p>
    <w:p w:rsidR="00747A88" w:rsidRPr="005F66AD" w:rsidRDefault="00066259" w:rsidP="005F66AD">
      <w:pPr>
        <w:rPr>
          <w:szCs w:val="20"/>
        </w:rPr>
      </w:pPr>
      <w:r w:rsidRPr="005F66AD">
        <w:rPr>
          <w:bCs/>
          <w:szCs w:val="20"/>
          <w:lang w:val="es-PE"/>
        </w:rPr>
        <w:t xml:space="preserve">41. </w:t>
      </w:r>
      <w:r w:rsidR="00747A88" w:rsidRPr="005F66AD">
        <w:rPr>
          <w:bCs/>
          <w:szCs w:val="20"/>
          <w:lang w:val="es-PE"/>
        </w:rPr>
        <w:t>En el presente caso, ha sido alegado que la decisión de no renovar la concesión a RCTV y de traspasar el uso de todos sus bienes al Estado en las condiciones descritas, constituye una medida de retaliación que tiene como efecto sancionar materialmente a quienes ejercían su libertad de expresión a través del medio de comunicación, así como impedirles el ejercicio de esta libertad en las condiciones en las cuales lo venían haciendo.  A juicio de los peticionarios, dicha medida no se origina en el ejercicio legítimo de una facultad estatal, sino en una decisión discriminatoria, orientada a sancionar a los accionistas, directivos y periodistas de RCTV por su línea editorial.  Afirman que lo anterior queda de manifiesto por las declaraciones de los más altos funcionarios gubernamentales al referirse a las opiniones e informaciones difundidas por el citado medio, así como por la prueba que refuta las razones formales alegadas en el acto que notifica la no renovación.  Indican que las autoridades del gobierno amenazaban públicamente a las presuntas víctimas con revisar la concesión si no cambiaban el enfoque de la información y opinión difundidas.  En efecto, alegan que había dos estaciones de televisión abierta, RCTV y Venevisión, cuyas condiciones técnicas, jurídicas y comerciales eran idénticas, a las cuales el Estado les dio un tratamiento diferente en virtud de sus líneas editoriales.  Asimismo, ha sido alegado que las decisiones de no renovar la concesión y de entregar al Estado el uso de los equipos impiden que las presuntas víctimas puedan ejercer su derecho a la libertad de expresión y, además, envían un poderoso mensaje intimidatorio al resto de los periodistas, directivos y accionistas de otros medios de comunicación social.</w:t>
      </w:r>
    </w:p>
    <w:p w:rsidR="00747A88" w:rsidRPr="005F66AD" w:rsidRDefault="00747A88" w:rsidP="005F66AD">
      <w:pPr>
        <w:rPr>
          <w:szCs w:val="20"/>
        </w:rPr>
      </w:pPr>
    </w:p>
    <w:p w:rsidR="00747A88" w:rsidRPr="005F66AD" w:rsidRDefault="00066259" w:rsidP="005F66AD">
      <w:pPr>
        <w:rPr>
          <w:szCs w:val="20"/>
        </w:rPr>
      </w:pPr>
      <w:r w:rsidRPr="005F66AD">
        <w:rPr>
          <w:szCs w:val="20"/>
        </w:rPr>
        <w:lastRenderedPageBreak/>
        <w:t xml:space="preserve">42. </w:t>
      </w:r>
      <w:r w:rsidR="00747A88" w:rsidRPr="005F66AD">
        <w:rPr>
          <w:szCs w:val="20"/>
        </w:rPr>
        <w:t xml:space="preserve">En atención a lo anterior, encuentra la Comisión que de ser ciertos los alegatos presentados, la petición no resulta </w:t>
      </w:r>
      <w:r w:rsidR="00747A88" w:rsidRPr="005F66AD">
        <w:rPr>
          <w:szCs w:val="20"/>
          <w:lang w:val="es-ES_tradnl"/>
        </w:rPr>
        <w:t xml:space="preserve">“manifiestamente infundada” ni puede afirmarse que es “evidente su total improcedencia”.  En efecto, de una parte </w:t>
      </w:r>
      <w:r w:rsidR="00747A88" w:rsidRPr="005F66AD">
        <w:rPr>
          <w:szCs w:val="20"/>
        </w:rPr>
        <w:t xml:space="preserve">la Comisión considera </w:t>
      </w:r>
      <w:r w:rsidR="00747A88" w:rsidRPr="005F66AD">
        <w:rPr>
          <w:i/>
          <w:szCs w:val="20"/>
        </w:rPr>
        <w:t>prima facie</w:t>
      </w:r>
      <w:r w:rsidR="00747A88" w:rsidRPr="005F66AD">
        <w:rPr>
          <w:szCs w:val="20"/>
        </w:rPr>
        <w:t xml:space="preserve"> que los periodistas indicados como presuntas víctimas de la petición se habrían expresado a través de RCTV.  Asimismo, a través de los distintos puestos de dirección, entre ellos el de director general del canal y vicepresidentes del mismo, los directivos habrían adoptado decisiones fundamentales sobre la orientación informativa y editorial del medio de comunicación.  Por otra parte, mediante la Asamblea General de Accionistas y, en particular, la Junta Directiva los accionistas de la emisora habrían intervenido en la orientación editorial del medio de comunicación. De este modo, advierte la Comisión que dichas personas podrían haber utilizado RCTV para expresar o difundir sus ideas y opiniones.  Por lo tanto, correspondería a la CIDH analizar en la etapa de fondo el rol que tenía cada una de las presuntas víctimas en la línea editorial de la emisora; si efectivamente fueron afectadas en su derecho a la libertad de expresión y, en su caso, si tales restricciones cumplen con los requisitos del artículo 13(2) de la Convención.</w:t>
      </w:r>
    </w:p>
    <w:p w:rsidR="00747A88" w:rsidRPr="005F66AD" w:rsidRDefault="00747A88" w:rsidP="005F66AD">
      <w:pPr>
        <w:rPr>
          <w:szCs w:val="20"/>
        </w:rPr>
      </w:pPr>
    </w:p>
    <w:p w:rsidR="00747A88" w:rsidRPr="005F66AD" w:rsidRDefault="00066259" w:rsidP="005F66AD">
      <w:pPr>
        <w:rPr>
          <w:szCs w:val="20"/>
          <w:lang w:val="es-ES_tradnl"/>
        </w:rPr>
      </w:pPr>
      <w:r w:rsidRPr="005F66AD">
        <w:rPr>
          <w:szCs w:val="20"/>
          <w:lang w:val="es-ES_tradnl"/>
        </w:rPr>
        <w:t xml:space="preserve">43. </w:t>
      </w:r>
      <w:r w:rsidR="00747A88" w:rsidRPr="005F66AD">
        <w:rPr>
          <w:szCs w:val="20"/>
          <w:lang w:val="es-ES_tradnl"/>
        </w:rPr>
        <w:t xml:space="preserve">De otra parte, encuentra la Comisión que de ser probada la afirmación que las decisiones de no renovar la concesión y de asignar a CONATEL el derecho de uso de los equipos de RCTV se habrían producido de manera irregular, motivadas en el rechazo de las autoridades de las opiniones e ideas difundidas por las presuntas víctimas a través de la emisora o con el propósito de silenciarlas y controlar así el contenido de la información trasmitida, se podría configurar una violación de los artículos 13 y 24 de la Convención Americana, de conformidad con el artículo 30 del mismo instrumento que consagra el principio de neutralidad.  Del mismo modo, corresponde analizar en la etapa de fondo si el traspaso al Estado del uso de los bienes de RCTV que eran utilizados por la emisora para transmitir su programación, se habría efectuado de manera arbitraria o como sanción indirecta por la línea editorial del medio y, en consecuencia, si ello podría configurar una violación del derecho a la propiedad privada consagrado en el artículo 21 de la Convención Americana, además de los derechos previstos en los artículos 13 y 24.  </w:t>
      </w:r>
      <w:r w:rsidR="00747A88" w:rsidRPr="005F66AD">
        <w:rPr>
          <w:bCs/>
          <w:szCs w:val="20"/>
          <w:lang w:val="es-PE"/>
        </w:rPr>
        <w:t xml:space="preserve">Finalmente, </w:t>
      </w:r>
      <w:r w:rsidR="00747A88" w:rsidRPr="005F66AD">
        <w:rPr>
          <w:szCs w:val="20"/>
          <w:lang w:val="es-ES_tradnl"/>
        </w:rPr>
        <w:t>los vicios que supuestamente marcaron los</w:t>
      </w:r>
      <w:r w:rsidR="00747A88" w:rsidRPr="005F66AD">
        <w:rPr>
          <w:bCs/>
          <w:szCs w:val="20"/>
          <w:lang w:val="es-PE"/>
        </w:rPr>
        <w:t xml:space="preserve"> procesos administrativos y judiciales relacionados con el presente caso </w:t>
      </w:r>
      <w:proofErr w:type="gramStart"/>
      <w:r w:rsidR="00747A88" w:rsidRPr="005F66AD">
        <w:rPr>
          <w:szCs w:val="20"/>
          <w:lang w:val="es-ES_tradnl"/>
        </w:rPr>
        <w:t>podrían</w:t>
      </w:r>
      <w:proofErr w:type="gramEnd"/>
      <w:r w:rsidR="00747A88" w:rsidRPr="005F66AD">
        <w:rPr>
          <w:szCs w:val="20"/>
          <w:lang w:val="es-ES_tradnl"/>
        </w:rPr>
        <w:t xml:space="preserve"> caracterizar violaciones a los artículos </w:t>
      </w:r>
      <w:r w:rsidR="00747A88" w:rsidRPr="005F66AD">
        <w:rPr>
          <w:bCs/>
          <w:szCs w:val="20"/>
          <w:lang w:val="es-PE"/>
        </w:rPr>
        <w:t xml:space="preserve">8 y 25 </w:t>
      </w:r>
      <w:r w:rsidR="00747A88" w:rsidRPr="005F66AD">
        <w:rPr>
          <w:szCs w:val="20"/>
          <w:lang w:val="es-ES_tradnl"/>
        </w:rPr>
        <w:t>la Convención Americana.  Ante esas violaciones, el Estado también incumpliría con las obligaciones generales previstas en los artículos 1(1) y 2 de la Convención Americana.</w:t>
      </w:r>
    </w:p>
    <w:p w:rsidR="00747A88" w:rsidRPr="005F66AD" w:rsidRDefault="00747A88" w:rsidP="005F66AD">
      <w:pPr>
        <w:rPr>
          <w:b/>
          <w:bCs/>
          <w:szCs w:val="20"/>
          <w:highlight w:val="yellow"/>
          <w:lang w:val="es-PE"/>
        </w:rPr>
      </w:pPr>
    </w:p>
    <w:p w:rsidR="00747A88" w:rsidRPr="005F66AD" w:rsidRDefault="00066259" w:rsidP="005F66AD">
      <w:pPr>
        <w:jc w:val="left"/>
        <w:rPr>
          <w:b/>
          <w:bCs/>
          <w:szCs w:val="20"/>
          <w:lang w:val="es-PE"/>
        </w:rPr>
      </w:pPr>
      <w:r w:rsidRPr="005F66AD">
        <w:rPr>
          <w:b/>
          <w:bCs/>
          <w:szCs w:val="20"/>
          <w:lang w:val="es-PE"/>
        </w:rPr>
        <w:t>V.</w:t>
      </w:r>
      <w:r w:rsidRPr="005F66AD">
        <w:rPr>
          <w:b/>
          <w:bCs/>
          <w:szCs w:val="20"/>
          <w:lang w:val="es-PE"/>
        </w:rPr>
        <w:tab/>
      </w:r>
      <w:r w:rsidR="00747A88" w:rsidRPr="005F66AD">
        <w:rPr>
          <w:b/>
          <w:bCs/>
          <w:szCs w:val="20"/>
          <w:lang w:val="es-PE"/>
        </w:rPr>
        <w:t>CONCLUSIÓN</w:t>
      </w:r>
    </w:p>
    <w:p w:rsidR="00747A88" w:rsidRPr="005F66AD" w:rsidRDefault="00747A88" w:rsidP="005F66AD">
      <w:pPr>
        <w:ind w:firstLine="1440"/>
        <w:rPr>
          <w:b/>
          <w:bCs/>
          <w:szCs w:val="20"/>
          <w:lang w:val="es-PE"/>
        </w:rPr>
      </w:pPr>
    </w:p>
    <w:p w:rsidR="00747A88" w:rsidRPr="005F66AD" w:rsidRDefault="00066259" w:rsidP="005F66AD">
      <w:pPr>
        <w:rPr>
          <w:b/>
          <w:bCs/>
          <w:szCs w:val="20"/>
          <w:lang w:val="es-PE"/>
        </w:rPr>
      </w:pPr>
      <w:r w:rsidRPr="005F66AD">
        <w:rPr>
          <w:szCs w:val="20"/>
          <w:lang w:val="es-ES"/>
        </w:rPr>
        <w:t xml:space="preserve">44. </w:t>
      </w:r>
      <w:r w:rsidR="00747A88" w:rsidRPr="005F66AD">
        <w:rPr>
          <w:szCs w:val="20"/>
          <w:lang w:val="es-ES"/>
        </w:rPr>
        <w:t>La Comisión Interamericana concluye que tiene competencia para conocer el fondo de este caso y que la petición es admisible de conformidad con los artículos 46 y 47 de la Convención Americana.  Con fundamento en los argumentos de hecho y de derecho antes expuestos, y sin prejuzgar sobre el fondo de la cuestión,</w:t>
      </w:r>
    </w:p>
    <w:p w:rsidR="00747A88" w:rsidRPr="005F66AD" w:rsidRDefault="00747A88" w:rsidP="005F66AD">
      <w:pPr>
        <w:rPr>
          <w:bCs/>
          <w:szCs w:val="20"/>
          <w:lang w:val="es-PE"/>
        </w:rPr>
      </w:pPr>
    </w:p>
    <w:p w:rsidR="00747A88" w:rsidRPr="005F66AD" w:rsidRDefault="00747A88" w:rsidP="005F66AD">
      <w:pPr>
        <w:jc w:val="center"/>
        <w:rPr>
          <w:b/>
          <w:bCs/>
          <w:szCs w:val="20"/>
          <w:lang w:val="es-PE"/>
        </w:rPr>
      </w:pPr>
      <w:r w:rsidRPr="005F66AD">
        <w:rPr>
          <w:b/>
          <w:bCs/>
          <w:szCs w:val="20"/>
          <w:lang w:val="es-PE"/>
        </w:rPr>
        <w:t>LA COMISIÓN INTERAMERICANA DE DERECHOS HUMANOS</w:t>
      </w:r>
    </w:p>
    <w:p w:rsidR="00747A88" w:rsidRPr="005F66AD" w:rsidRDefault="00747A88" w:rsidP="005F66AD">
      <w:pPr>
        <w:ind w:left="3540" w:firstLine="708"/>
        <w:rPr>
          <w:b/>
          <w:bCs/>
          <w:szCs w:val="20"/>
          <w:lang w:val="es-PE"/>
        </w:rPr>
      </w:pPr>
      <w:r w:rsidRPr="005F66AD">
        <w:rPr>
          <w:b/>
          <w:bCs/>
          <w:szCs w:val="20"/>
          <w:lang w:val="es-PE"/>
        </w:rPr>
        <w:t>DECIDE:</w:t>
      </w:r>
    </w:p>
    <w:p w:rsidR="00747A88" w:rsidRPr="005F66AD" w:rsidRDefault="00747A88" w:rsidP="005F66AD">
      <w:pPr>
        <w:rPr>
          <w:b/>
          <w:bCs/>
          <w:szCs w:val="20"/>
          <w:lang w:val="es-PE"/>
        </w:rPr>
      </w:pPr>
    </w:p>
    <w:p w:rsidR="00747A88" w:rsidRPr="005F66AD" w:rsidRDefault="00747A88" w:rsidP="005F66AD">
      <w:pPr>
        <w:pStyle w:val="BodyTextIndent3"/>
        <w:spacing w:after="0"/>
        <w:ind w:left="0"/>
        <w:rPr>
          <w:sz w:val="20"/>
          <w:szCs w:val="20"/>
          <w:lang w:val="es-PE"/>
        </w:rPr>
      </w:pPr>
      <w:r w:rsidRPr="005F66AD">
        <w:rPr>
          <w:sz w:val="20"/>
          <w:szCs w:val="20"/>
          <w:lang w:val="es-PE"/>
        </w:rPr>
        <w:t>1.</w:t>
      </w:r>
      <w:r w:rsidR="00066259" w:rsidRPr="005F66AD">
        <w:rPr>
          <w:sz w:val="20"/>
          <w:szCs w:val="20"/>
          <w:lang w:val="es-PE"/>
        </w:rPr>
        <w:t xml:space="preserve"> </w:t>
      </w:r>
      <w:r w:rsidRPr="005F66AD">
        <w:rPr>
          <w:sz w:val="20"/>
          <w:szCs w:val="20"/>
          <w:lang w:val="es-ES"/>
        </w:rPr>
        <w:t xml:space="preserve">Declarar admisible la presente petición en lo que se refiere a presuntas violaciones de los derechos protegidos en los artículos </w:t>
      </w:r>
      <w:r w:rsidRPr="005F66AD">
        <w:rPr>
          <w:bCs/>
          <w:sz w:val="20"/>
          <w:szCs w:val="20"/>
          <w:lang w:val="es-PE"/>
        </w:rPr>
        <w:t xml:space="preserve">8, 13, 21, 24 y 25 </w:t>
      </w:r>
      <w:r w:rsidRPr="005F66AD">
        <w:rPr>
          <w:sz w:val="20"/>
          <w:szCs w:val="20"/>
          <w:lang w:val="es-ES_tradnl"/>
        </w:rPr>
        <w:t>de la Convención Americana, en concordancia con los artículos 1(1) y 2 del mismo instrumento</w:t>
      </w:r>
      <w:r w:rsidRPr="005F66AD">
        <w:rPr>
          <w:sz w:val="20"/>
          <w:szCs w:val="20"/>
          <w:lang w:val="es-PE"/>
        </w:rPr>
        <w:t>.</w:t>
      </w:r>
    </w:p>
    <w:p w:rsidR="00747A88" w:rsidRPr="005F66AD" w:rsidRDefault="00747A88" w:rsidP="005F66AD">
      <w:pPr>
        <w:pStyle w:val="BodyTextIndent3"/>
        <w:spacing w:after="0"/>
        <w:ind w:left="0" w:firstLine="720"/>
        <w:rPr>
          <w:sz w:val="20"/>
          <w:szCs w:val="20"/>
          <w:lang w:val="es-PE"/>
        </w:rPr>
      </w:pPr>
    </w:p>
    <w:p w:rsidR="00747A88" w:rsidRPr="005F66AD" w:rsidRDefault="00747A88" w:rsidP="005F66AD">
      <w:pPr>
        <w:pStyle w:val="BodyTextIndent3"/>
        <w:spacing w:after="0"/>
        <w:ind w:left="0"/>
        <w:rPr>
          <w:sz w:val="20"/>
          <w:szCs w:val="20"/>
          <w:lang w:val="es-PE"/>
        </w:rPr>
      </w:pPr>
      <w:r w:rsidRPr="005F66AD">
        <w:rPr>
          <w:sz w:val="20"/>
          <w:szCs w:val="20"/>
          <w:lang w:val="es-PE"/>
        </w:rPr>
        <w:t>2.</w:t>
      </w:r>
      <w:r w:rsidR="00066259" w:rsidRPr="005F66AD">
        <w:rPr>
          <w:sz w:val="20"/>
          <w:szCs w:val="20"/>
          <w:lang w:val="es-PE"/>
        </w:rPr>
        <w:t xml:space="preserve"> </w:t>
      </w:r>
      <w:r w:rsidRPr="005F66AD">
        <w:rPr>
          <w:sz w:val="20"/>
          <w:szCs w:val="20"/>
          <w:lang w:val="es-PE"/>
        </w:rPr>
        <w:t>Notificar esta decisión a las partes, continuar</w:t>
      </w:r>
      <w:r w:rsidRPr="005F66AD">
        <w:rPr>
          <w:sz w:val="20"/>
          <w:szCs w:val="20"/>
          <w:lang w:val="es-ES"/>
        </w:rPr>
        <w:t xml:space="preserve"> con el análisis de fondo del asunto, y</w:t>
      </w:r>
    </w:p>
    <w:p w:rsidR="00747A88" w:rsidRPr="005F66AD" w:rsidRDefault="00747A88" w:rsidP="005F66AD">
      <w:pPr>
        <w:ind w:firstLine="720"/>
        <w:rPr>
          <w:szCs w:val="20"/>
          <w:lang w:val="es-PE"/>
        </w:rPr>
      </w:pPr>
    </w:p>
    <w:p w:rsidR="00747A88" w:rsidRPr="005F66AD" w:rsidRDefault="00747A88" w:rsidP="005F66AD">
      <w:pPr>
        <w:rPr>
          <w:szCs w:val="20"/>
          <w:lang w:val="es-PE"/>
        </w:rPr>
      </w:pPr>
      <w:r w:rsidRPr="005F66AD">
        <w:rPr>
          <w:szCs w:val="20"/>
          <w:lang w:val="es-PE"/>
        </w:rPr>
        <w:t>3.</w:t>
      </w:r>
      <w:r w:rsidR="00066259" w:rsidRPr="005F66AD">
        <w:rPr>
          <w:szCs w:val="20"/>
          <w:lang w:val="es-PE"/>
        </w:rPr>
        <w:t xml:space="preserve"> </w:t>
      </w:r>
      <w:r w:rsidRPr="005F66AD">
        <w:rPr>
          <w:szCs w:val="20"/>
          <w:lang w:val="es-PE"/>
        </w:rPr>
        <w:t>Publicar esta decisión e incluirla en su informe Anual para la Asamblea General de la OEA.</w:t>
      </w:r>
    </w:p>
    <w:p w:rsidR="00747A88" w:rsidRPr="005F66AD" w:rsidRDefault="00747A88" w:rsidP="005F66AD">
      <w:pPr>
        <w:ind w:firstLine="720"/>
        <w:rPr>
          <w:rFonts w:cs="Arial"/>
          <w:noProof/>
          <w:spacing w:val="-2"/>
          <w:szCs w:val="20"/>
          <w:lang w:val="es-CL"/>
        </w:rPr>
      </w:pPr>
    </w:p>
    <w:p w:rsidR="00747A88" w:rsidRPr="005F66AD" w:rsidRDefault="00747A88" w:rsidP="005F66AD">
      <w:pPr>
        <w:rPr>
          <w:rFonts w:cs="Arial"/>
          <w:noProof/>
          <w:spacing w:val="-2"/>
          <w:szCs w:val="20"/>
          <w:lang w:val="es-CL"/>
        </w:rPr>
      </w:pPr>
      <w:r w:rsidRPr="005F66AD">
        <w:rPr>
          <w:rFonts w:cs="Arial"/>
          <w:noProof/>
          <w:spacing w:val="-2"/>
          <w:szCs w:val="20"/>
          <w:lang w:val="es-CL"/>
        </w:rPr>
        <w:t xml:space="preserve">Dado y firmado en la ciudad de Washington, D.C., a los 22 días del mes de julio de 2011.  (Firmado): Dinah Shelton, Presidenta; José de Jesús Orozco Henríquez, Primer Vicepresidente; </w:t>
      </w:r>
      <w:r w:rsidRPr="005F66AD">
        <w:rPr>
          <w:rFonts w:cs="Arial"/>
          <w:noProof/>
          <w:szCs w:val="20"/>
          <w:lang w:val="es-CL"/>
        </w:rPr>
        <w:t>Paulo Sérgio Pinheiro,</w:t>
      </w:r>
      <w:r w:rsidRPr="005F66AD">
        <w:rPr>
          <w:rFonts w:cs="Arial"/>
          <w:noProof/>
          <w:spacing w:val="-2"/>
          <w:szCs w:val="20"/>
          <w:lang w:val="es-CL"/>
        </w:rPr>
        <w:t xml:space="preserve"> Felipe González, y María Silvia Guillén, Miembros de la Comisión.</w:t>
      </w:r>
      <w:r w:rsidRPr="005F66AD">
        <w:rPr>
          <w:rFonts w:cs="Arial"/>
          <w:noProof/>
          <w:szCs w:val="20"/>
          <w:lang w:val="es-CL"/>
        </w:rPr>
        <w:t xml:space="preserve"> </w:t>
      </w:r>
    </w:p>
    <w:p w:rsidR="009F37ED" w:rsidRPr="005F66AD" w:rsidRDefault="009F37ED" w:rsidP="005F66AD">
      <w:pPr>
        <w:rPr>
          <w:szCs w:val="20"/>
        </w:rPr>
      </w:pPr>
    </w:p>
    <w:sectPr w:rsidR="009F37ED" w:rsidRPr="005F66AD" w:rsidSect="00662A67">
      <w:footerReference w:type="default" r:id="rId8"/>
      <w:pgSz w:w="11907" w:h="16839" w:code="9"/>
      <w:pgMar w:top="1134" w:right="1134" w:bottom="1134" w:left="1134"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553F" w:rsidRDefault="008B553F" w:rsidP="007B2999">
      <w:r>
        <w:separator/>
      </w:r>
    </w:p>
  </w:endnote>
  <w:endnote w:type="continuationSeparator" w:id="0">
    <w:p w:rsidR="008B553F" w:rsidRDefault="008B553F" w:rsidP="007B2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Univer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Universal">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DB4" w:rsidRDefault="00753DB4" w:rsidP="007C327C">
    <w:pPr>
      <w:pStyle w:val="Footer"/>
      <w:jc w:val="center"/>
    </w:pPr>
    <w:r>
      <w:fldChar w:fldCharType="begin"/>
    </w:r>
    <w:r>
      <w:instrText xml:space="preserve"> PAGE   \* MERGEFORMAT </w:instrText>
    </w:r>
    <w:r>
      <w:fldChar w:fldCharType="separate"/>
    </w:r>
    <w:r w:rsidR="004408BD">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553F" w:rsidRDefault="008B553F" w:rsidP="007B2999">
      <w:r>
        <w:separator/>
      </w:r>
    </w:p>
  </w:footnote>
  <w:footnote w:type="continuationSeparator" w:id="0">
    <w:p w:rsidR="008B553F" w:rsidRDefault="008B553F" w:rsidP="007B2999">
      <w:r>
        <w:continuationSeparator/>
      </w:r>
    </w:p>
  </w:footnote>
  <w:footnote w:id="1">
    <w:p w:rsidR="00747A88" w:rsidRPr="005F66AD" w:rsidRDefault="00747A88" w:rsidP="005F66AD">
      <w:pPr>
        <w:pStyle w:val="FootnoteText"/>
        <w:spacing w:before="0" w:beforeAutospacing="0" w:after="0" w:afterAutospacing="0"/>
        <w:jc w:val="both"/>
        <w:rPr>
          <w:rFonts w:ascii="Verdana" w:hAnsi="Verdana"/>
          <w:sz w:val="16"/>
          <w:szCs w:val="16"/>
          <w:lang w:val="es-ES"/>
        </w:rPr>
      </w:pPr>
      <w:r w:rsidRPr="005F66AD">
        <w:rPr>
          <w:rStyle w:val="FootnoteReference"/>
          <w:sz w:val="16"/>
          <w:szCs w:val="16"/>
        </w:rPr>
        <w:footnoteRef/>
      </w:r>
      <w:r w:rsidRPr="005F66AD">
        <w:rPr>
          <w:rFonts w:ascii="Verdana" w:hAnsi="Verdana"/>
          <w:sz w:val="16"/>
          <w:szCs w:val="16"/>
          <w:lang w:val="es-ES"/>
        </w:rPr>
        <w:t xml:space="preserve"> </w:t>
      </w:r>
      <w:r w:rsidRPr="005F66AD">
        <w:rPr>
          <w:rFonts w:ascii="Verdana" w:hAnsi="Verdana"/>
          <w:sz w:val="16"/>
          <w:szCs w:val="16"/>
          <w:lang w:val="es-CO"/>
        </w:rPr>
        <w:t>Conforme a lo dispuesto en el artículo 17(2) del Reglamento de la Comisión, la Comisionada Luz Patricia Mejía Guerrero, de nacionalidad venezolana, no participó en el debate ni en la decisión de la presente petición.</w:t>
      </w:r>
    </w:p>
  </w:footnote>
  <w:footnote w:id="2">
    <w:p w:rsidR="00747A88" w:rsidRPr="005F66AD" w:rsidRDefault="00747A88" w:rsidP="005F66AD">
      <w:pPr>
        <w:pStyle w:val="FootnoteText"/>
        <w:spacing w:before="0" w:beforeAutospacing="0" w:after="0" w:afterAutospacing="0"/>
        <w:jc w:val="both"/>
        <w:rPr>
          <w:rFonts w:ascii="Verdana" w:hAnsi="Verdana"/>
          <w:sz w:val="16"/>
          <w:szCs w:val="16"/>
          <w:lang w:val="es-CL"/>
        </w:rPr>
      </w:pPr>
      <w:r w:rsidRPr="005F66AD">
        <w:rPr>
          <w:rStyle w:val="FootnoteReference"/>
          <w:sz w:val="16"/>
          <w:szCs w:val="16"/>
        </w:rPr>
        <w:footnoteRef/>
      </w:r>
      <w:r w:rsidRPr="005F66AD">
        <w:rPr>
          <w:rFonts w:ascii="Verdana" w:hAnsi="Verdana"/>
          <w:sz w:val="16"/>
          <w:szCs w:val="16"/>
          <w:lang w:val="es-CL"/>
        </w:rPr>
        <w:t xml:space="preserve"> De acuerdo con la lista aportada por los peticionarios, la petición se presenta a nombre de las siguientes presuntas víctimas: a) Marcel Granier, Peter Bottome y Jaime Nestares, accionistas y directivos; b) Jean Nestares, Fernando Nestares, Alicia Phelps de Tovar y Francisco J. Nestares, accionistas; c) Eladio Lárez, Daniela Bergami, Edgardo Mosca, Anani Hernández, Inés Bacalao, José Simón Escalona, Isabel Valero, Odila Rubin, Oswaldo Quintana, Carlos Lamas y Grilva Delgado, directivos; d) Eduardo Sapene, directivo y periodista, y e) Miguel Ángel Rodríguez, Soraya Castellano, María Arriaga y Larissa Patiño, periodistas. </w:t>
      </w:r>
      <w:r w:rsidRPr="005F66AD">
        <w:rPr>
          <w:rFonts w:ascii="Verdana" w:hAnsi="Verdana"/>
          <w:i/>
          <w:sz w:val="16"/>
          <w:szCs w:val="16"/>
          <w:lang w:val="es-CL"/>
        </w:rPr>
        <w:t>Cfr.</w:t>
      </w:r>
      <w:r w:rsidRPr="005F66AD">
        <w:rPr>
          <w:rFonts w:ascii="Verdana" w:hAnsi="Verdana"/>
          <w:sz w:val="16"/>
          <w:szCs w:val="16"/>
          <w:lang w:val="es-CL"/>
        </w:rPr>
        <w:t xml:space="preserve"> Comunicación de los peticionarios recibida el 20 de mayo de 2010.</w:t>
      </w:r>
    </w:p>
  </w:footnote>
  <w:footnote w:id="3">
    <w:p w:rsidR="00747A88" w:rsidRPr="005F66AD" w:rsidRDefault="00747A88" w:rsidP="005F66AD">
      <w:pPr>
        <w:pStyle w:val="FootnoteText"/>
        <w:spacing w:before="0" w:beforeAutospacing="0" w:after="0" w:afterAutospacing="0"/>
        <w:jc w:val="both"/>
        <w:rPr>
          <w:rFonts w:ascii="Verdana" w:hAnsi="Verdana"/>
          <w:sz w:val="16"/>
          <w:szCs w:val="16"/>
          <w:lang w:val="es-CL"/>
        </w:rPr>
      </w:pPr>
      <w:r w:rsidRPr="005F66AD">
        <w:rPr>
          <w:rStyle w:val="FootnoteReference"/>
          <w:sz w:val="16"/>
          <w:szCs w:val="16"/>
        </w:rPr>
        <w:footnoteRef/>
      </w:r>
      <w:r w:rsidRPr="005F66AD">
        <w:rPr>
          <w:rFonts w:ascii="Verdana" w:hAnsi="Verdana"/>
          <w:sz w:val="16"/>
          <w:szCs w:val="16"/>
          <w:lang w:val="es-CL"/>
        </w:rPr>
        <w:t xml:space="preserve"> Comunicación de los peticionarios recibida el 18 de febrero de 2010, pág. 19.</w:t>
      </w:r>
    </w:p>
  </w:footnote>
  <w:footnote w:id="4">
    <w:p w:rsidR="00747A88" w:rsidRPr="005F66AD" w:rsidRDefault="00747A88" w:rsidP="005F66AD">
      <w:pPr>
        <w:pStyle w:val="FootnoteText"/>
        <w:spacing w:before="0" w:beforeAutospacing="0" w:after="0" w:afterAutospacing="0"/>
        <w:jc w:val="both"/>
        <w:rPr>
          <w:rFonts w:ascii="Verdana" w:hAnsi="Verdana"/>
          <w:sz w:val="16"/>
          <w:szCs w:val="16"/>
          <w:lang w:val="es-CL"/>
        </w:rPr>
      </w:pPr>
      <w:r w:rsidRPr="005F66AD">
        <w:rPr>
          <w:rStyle w:val="FootnoteReference"/>
          <w:sz w:val="16"/>
          <w:szCs w:val="16"/>
        </w:rPr>
        <w:footnoteRef/>
      </w:r>
      <w:r w:rsidRPr="005F66AD">
        <w:rPr>
          <w:rFonts w:ascii="Verdana" w:hAnsi="Verdana"/>
          <w:sz w:val="16"/>
          <w:szCs w:val="16"/>
          <w:lang w:val="es-CL"/>
        </w:rPr>
        <w:t xml:space="preserve"> Comunicación de los peticionarios recibida el 18 de febrero de 2010, pág. 23.</w:t>
      </w:r>
    </w:p>
  </w:footnote>
  <w:footnote w:id="5">
    <w:p w:rsidR="00747A88" w:rsidRPr="005F66AD" w:rsidRDefault="00747A88" w:rsidP="005F66AD">
      <w:pPr>
        <w:tabs>
          <w:tab w:val="left" w:pos="284"/>
          <w:tab w:val="num" w:pos="4320"/>
        </w:tabs>
        <w:rPr>
          <w:rFonts w:cs="Arial"/>
          <w:sz w:val="16"/>
          <w:szCs w:val="16"/>
          <w:lang w:val="es-PE"/>
        </w:rPr>
      </w:pPr>
      <w:r w:rsidRPr="005F66AD">
        <w:rPr>
          <w:rStyle w:val="FootnoteReference"/>
          <w:sz w:val="16"/>
          <w:szCs w:val="16"/>
        </w:rPr>
        <w:footnoteRef/>
      </w:r>
      <w:r w:rsidRPr="005F66AD">
        <w:rPr>
          <w:sz w:val="16"/>
          <w:szCs w:val="16"/>
          <w:lang w:val="es-CL"/>
        </w:rPr>
        <w:t xml:space="preserve"> Comunicación de los peticionarios recibida el 18 de febrero de 2010, pág. 24.</w:t>
      </w:r>
    </w:p>
  </w:footnote>
  <w:footnote w:id="6">
    <w:p w:rsidR="00747A88" w:rsidRPr="005F66AD" w:rsidRDefault="00747A88" w:rsidP="005F66AD">
      <w:pPr>
        <w:pStyle w:val="FootnoteText"/>
        <w:spacing w:before="0" w:beforeAutospacing="0" w:after="0" w:afterAutospacing="0"/>
        <w:jc w:val="both"/>
        <w:rPr>
          <w:rFonts w:ascii="Verdana" w:hAnsi="Verdana"/>
          <w:sz w:val="16"/>
          <w:szCs w:val="16"/>
          <w:lang w:val="es-CL"/>
        </w:rPr>
      </w:pPr>
      <w:r w:rsidRPr="005F66AD">
        <w:rPr>
          <w:rStyle w:val="FootnoteReference"/>
          <w:sz w:val="16"/>
          <w:szCs w:val="16"/>
        </w:rPr>
        <w:footnoteRef/>
      </w:r>
      <w:r w:rsidRPr="005F66AD">
        <w:rPr>
          <w:rFonts w:ascii="Verdana" w:hAnsi="Verdana"/>
          <w:sz w:val="16"/>
          <w:szCs w:val="16"/>
          <w:lang w:val="es-CL"/>
        </w:rPr>
        <w:t xml:space="preserve"> Comunicación de los peticionarios recibida el 18 de febrero de 2010, págs. 25 y 26.</w:t>
      </w:r>
    </w:p>
  </w:footnote>
  <w:footnote w:id="7">
    <w:p w:rsidR="00747A88" w:rsidRPr="005F66AD" w:rsidRDefault="00747A88" w:rsidP="005F66AD">
      <w:pPr>
        <w:tabs>
          <w:tab w:val="left" w:pos="284"/>
          <w:tab w:val="num" w:pos="4320"/>
        </w:tabs>
        <w:rPr>
          <w:sz w:val="16"/>
          <w:szCs w:val="16"/>
          <w:lang w:val="es-PE"/>
        </w:rPr>
      </w:pPr>
      <w:r w:rsidRPr="005F66AD">
        <w:rPr>
          <w:rStyle w:val="FootnoteReference"/>
          <w:sz w:val="16"/>
          <w:szCs w:val="16"/>
        </w:rPr>
        <w:footnoteRef/>
      </w:r>
      <w:r w:rsidRPr="005F66AD">
        <w:rPr>
          <w:sz w:val="16"/>
          <w:szCs w:val="16"/>
          <w:lang w:val="es-CL"/>
        </w:rPr>
        <w:t xml:space="preserve"> Comunicación de los peticionarios recibida el 18 de febrero de 2010, pág. 26.</w:t>
      </w:r>
    </w:p>
  </w:footnote>
  <w:footnote w:id="8">
    <w:p w:rsidR="00747A88" w:rsidRPr="005F66AD" w:rsidRDefault="00747A88" w:rsidP="005F66AD">
      <w:pPr>
        <w:pStyle w:val="FootnoteText"/>
        <w:spacing w:before="0" w:beforeAutospacing="0" w:after="0" w:afterAutospacing="0"/>
        <w:jc w:val="both"/>
        <w:rPr>
          <w:rFonts w:ascii="Verdana" w:hAnsi="Verdana"/>
          <w:sz w:val="16"/>
          <w:szCs w:val="16"/>
          <w:lang w:val="es-CL"/>
        </w:rPr>
      </w:pPr>
      <w:r w:rsidRPr="005F66AD">
        <w:rPr>
          <w:rStyle w:val="FootnoteReference"/>
          <w:sz w:val="16"/>
          <w:szCs w:val="16"/>
        </w:rPr>
        <w:footnoteRef/>
      </w:r>
      <w:r w:rsidRPr="005F66AD">
        <w:rPr>
          <w:rFonts w:ascii="Verdana" w:hAnsi="Verdana"/>
          <w:sz w:val="16"/>
          <w:szCs w:val="16"/>
          <w:lang w:val="es-CL"/>
        </w:rPr>
        <w:t xml:space="preserve"> Comunicación de los peticionarios recibida el 18 de febrero de 2010, pág. 29.</w:t>
      </w:r>
    </w:p>
  </w:footnote>
  <w:footnote w:id="9">
    <w:p w:rsidR="00747A88" w:rsidRPr="005F66AD" w:rsidRDefault="00747A88" w:rsidP="005F66AD">
      <w:pPr>
        <w:pStyle w:val="FootnoteText"/>
        <w:spacing w:before="0" w:beforeAutospacing="0" w:after="0" w:afterAutospacing="0"/>
        <w:jc w:val="both"/>
        <w:rPr>
          <w:rFonts w:ascii="Verdana" w:hAnsi="Verdana"/>
          <w:sz w:val="16"/>
          <w:szCs w:val="16"/>
          <w:lang w:val="es-CL"/>
        </w:rPr>
      </w:pPr>
      <w:r w:rsidRPr="005F66AD">
        <w:rPr>
          <w:rStyle w:val="FootnoteReference"/>
          <w:sz w:val="16"/>
          <w:szCs w:val="16"/>
        </w:rPr>
        <w:footnoteRef/>
      </w:r>
      <w:r w:rsidRPr="005F66AD">
        <w:rPr>
          <w:rFonts w:ascii="Verdana" w:hAnsi="Verdana"/>
          <w:sz w:val="16"/>
          <w:szCs w:val="16"/>
          <w:lang w:val="es-CL"/>
        </w:rPr>
        <w:t xml:space="preserve"> Estos directivos son </w:t>
      </w:r>
      <w:r w:rsidRPr="005F66AD">
        <w:rPr>
          <w:rFonts w:ascii="Verdana" w:hAnsi="Verdana"/>
          <w:sz w:val="16"/>
          <w:szCs w:val="16"/>
          <w:lang w:val="es-AR"/>
        </w:rPr>
        <w:t xml:space="preserve">Carlos Lamas y Grilva Delgado. </w:t>
      </w:r>
      <w:r w:rsidRPr="005F66AD">
        <w:rPr>
          <w:rFonts w:ascii="Verdana" w:hAnsi="Verdana"/>
          <w:i/>
          <w:sz w:val="16"/>
          <w:szCs w:val="16"/>
          <w:lang w:val="es-AR"/>
        </w:rPr>
        <w:t>Cfr.</w:t>
      </w:r>
      <w:r w:rsidRPr="005F66AD">
        <w:rPr>
          <w:rFonts w:ascii="Verdana" w:hAnsi="Verdana"/>
          <w:sz w:val="16"/>
          <w:szCs w:val="16"/>
          <w:lang w:val="es-AR"/>
        </w:rPr>
        <w:t xml:space="preserve"> </w:t>
      </w:r>
      <w:r w:rsidRPr="005F66AD">
        <w:rPr>
          <w:rFonts w:ascii="Verdana" w:hAnsi="Verdana"/>
          <w:sz w:val="16"/>
          <w:szCs w:val="16"/>
          <w:lang w:val="es-CL"/>
        </w:rPr>
        <w:t>Recurso Contencioso Administrativo de Nulidad, Sala Político Administrativo, Tribunal Supremo de Justicia, 17 de abril de 2007 (Comunicación de los peticionarios recibida el 18 de febrero de 2010, Anexo 110, págs. 1 a 5), y Comunicación de los peticionarios recibida el 20 de mayo de 2010.</w:t>
      </w:r>
    </w:p>
  </w:footnote>
  <w:footnote w:id="10">
    <w:p w:rsidR="00747A88" w:rsidRPr="005F66AD" w:rsidRDefault="00747A88" w:rsidP="005F66AD">
      <w:pPr>
        <w:pStyle w:val="FootnoteText"/>
        <w:spacing w:before="0" w:beforeAutospacing="0" w:after="0" w:afterAutospacing="0"/>
        <w:jc w:val="both"/>
        <w:rPr>
          <w:rFonts w:ascii="Verdana" w:hAnsi="Verdana"/>
          <w:sz w:val="16"/>
          <w:szCs w:val="16"/>
          <w:lang w:val="es-CL"/>
        </w:rPr>
      </w:pPr>
      <w:r w:rsidRPr="005F66AD">
        <w:rPr>
          <w:rStyle w:val="FootnoteReference"/>
          <w:sz w:val="16"/>
          <w:szCs w:val="16"/>
        </w:rPr>
        <w:footnoteRef/>
      </w:r>
      <w:r w:rsidRPr="005F66AD">
        <w:rPr>
          <w:rFonts w:ascii="Verdana" w:hAnsi="Verdana"/>
          <w:sz w:val="16"/>
          <w:szCs w:val="16"/>
          <w:lang w:val="es-CL"/>
        </w:rPr>
        <w:t xml:space="preserve"> </w:t>
      </w:r>
      <w:r w:rsidRPr="005F66AD">
        <w:rPr>
          <w:rFonts w:ascii="Verdana" w:hAnsi="Verdana"/>
          <w:sz w:val="16"/>
          <w:szCs w:val="16"/>
          <w:lang w:val="es-AR"/>
        </w:rPr>
        <w:t xml:space="preserve">Véase CIDH, Informe Nº 54/01, Caso 12.250, Masacre de Mapiripán, Colombia, Admisibilidad, 22 de febrero de 2001, párr. </w:t>
      </w:r>
      <w:r w:rsidRPr="005F66AD">
        <w:rPr>
          <w:rFonts w:ascii="Verdana" w:hAnsi="Verdana"/>
          <w:sz w:val="16"/>
          <w:szCs w:val="16"/>
          <w:lang w:val="es-ES"/>
        </w:rPr>
        <w:t>38; I</w:t>
      </w:r>
      <w:r w:rsidRPr="005F66AD">
        <w:rPr>
          <w:rFonts w:ascii="Verdana" w:hAnsi="Verdana"/>
          <w:sz w:val="16"/>
          <w:szCs w:val="16"/>
          <w:lang w:val="es-HN"/>
        </w:rPr>
        <w:t>nforme Nº 65</w:t>
      </w:r>
      <w:r w:rsidRPr="005F66AD">
        <w:rPr>
          <w:rFonts w:ascii="Verdana" w:hAnsi="Verdana"/>
          <w:sz w:val="16"/>
          <w:szCs w:val="16"/>
          <w:lang w:val="es-ES"/>
        </w:rPr>
        <w:t>/</w:t>
      </w:r>
      <w:r w:rsidRPr="005F66AD">
        <w:rPr>
          <w:rFonts w:ascii="Verdana" w:hAnsi="Verdana"/>
          <w:sz w:val="16"/>
          <w:szCs w:val="16"/>
          <w:lang w:val="es-HN"/>
        </w:rPr>
        <w:t xml:space="preserve">01, Caso 11.073, </w:t>
      </w:r>
      <w:r w:rsidRPr="005F66AD">
        <w:rPr>
          <w:rFonts w:ascii="Verdana" w:hAnsi="Verdana"/>
          <w:sz w:val="16"/>
          <w:szCs w:val="16"/>
          <w:lang w:val="es-ES"/>
        </w:rPr>
        <w:t xml:space="preserve">Juan Humberto Sánchez, Honduras, Fondo, </w:t>
      </w:r>
      <w:r w:rsidRPr="005F66AD">
        <w:rPr>
          <w:rFonts w:ascii="Verdana" w:hAnsi="Verdana"/>
          <w:sz w:val="16"/>
          <w:szCs w:val="16"/>
          <w:lang w:val="es-AR"/>
        </w:rPr>
        <w:t xml:space="preserve">6 de marzo de 2001, párr. 51; </w:t>
      </w:r>
      <w:r w:rsidRPr="005F66AD">
        <w:rPr>
          <w:rFonts w:ascii="Verdana" w:hAnsi="Verdana"/>
          <w:sz w:val="16"/>
          <w:szCs w:val="16"/>
          <w:lang w:val="es-HN"/>
        </w:rPr>
        <w:t>Informe Nº 15/02, Petición 11.802, Ram</w:t>
      </w:r>
      <w:r w:rsidRPr="005F66AD">
        <w:rPr>
          <w:rFonts w:ascii="Verdana" w:hAnsi="Verdana"/>
          <w:sz w:val="16"/>
          <w:szCs w:val="16"/>
          <w:lang w:val="es-UY"/>
        </w:rPr>
        <w:t>ó</w:t>
      </w:r>
      <w:r w:rsidRPr="005F66AD">
        <w:rPr>
          <w:rFonts w:ascii="Verdana" w:hAnsi="Verdana"/>
          <w:sz w:val="16"/>
          <w:szCs w:val="16"/>
          <w:lang w:val="es-HN"/>
        </w:rPr>
        <w:t>n Hernández Berrios y Otros, Honduras, Admisibilidad, 27 de febrero de 2002</w:t>
      </w:r>
      <w:r w:rsidRPr="005F66AD">
        <w:rPr>
          <w:rFonts w:ascii="Verdana" w:hAnsi="Verdana"/>
          <w:sz w:val="16"/>
          <w:szCs w:val="16"/>
          <w:lang w:val="es-MX"/>
        </w:rPr>
        <w:t xml:space="preserve">, </w:t>
      </w:r>
      <w:r w:rsidRPr="005F66AD">
        <w:rPr>
          <w:rFonts w:ascii="Verdana" w:hAnsi="Verdana"/>
          <w:sz w:val="16"/>
          <w:szCs w:val="16"/>
          <w:lang w:val="es-MX"/>
        </w:rPr>
        <w:br/>
        <w:t>párr. 110.</w:t>
      </w:r>
    </w:p>
  </w:footnote>
  <w:footnote w:id="11">
    <w:p w:rsidR="00747A88" w:rsidRPr="005F66AD" w:rsidRDefault="00747A88" w:rsidP="005F66AD">
      <w:pPr>
        <w:pStyle w:val="FootnoteText"/>
        <w:spacing w:before="0" w:beforeAutospacing="0" w:after="0" w:afterAutospacing="0"/>
        <w:jc w:val="both"/>
        <w:rPr>
          <w:rFonts w:ascii="Verdana" w:hAnsi="Verdana"/>
          <w:sz w:val="16"/>
          <w:szCs w:val="16"/>
          <w:lang w:val="es-CL"/>
        </w:rPr>
      </w:pPr>
      <w:r w:rsidRPr="005F66AD">
        <w:rPr>
          <w:rStyle w:val="FootnoteReference"/>
          <w:sz w:val="16"/>
          <w:szCs w:val="16"/>
        </w:rPr>
        <w:footnoteRef/>
      </w:r>
      <w:r w:rsidRPr="005F66AD">
        <w:rPr>
          <w:rFonts w:ascii="Verdana" w:hAnsi="Verdana"/>
          <w:sz w:val="16"/>
          <w:szCs w:val="16"/>
          <w:lang w:val="es-CL"/>
        </w:rPr>
        <w:t xml:space="preserve"> </w:t>
      </w:r>
      <w:r w:rsidRPr="005F66AD">
        <w:rPr>
          <w:rFonts w:ascii="Verdana" w:hAnsi="Verdana"/>
          <w:sz w:val="16"/>
          <w:szCs w:val="16"/>
          <w:lang w:val="es-AR"/>
        </w:rPr>
        <w:t>CIDH, Informe Nº 31/99,</w:t>
      </w:r>
      <w:r w:rsidRPr="005F66AD">
        <w:rPr>
          <w:rFonts w:ascii="Verdana" w:hAnsi="Verdana"/>
          <w:b/>
          <w:bCs/>
          <w:sz w:val="16"/>
          <w:szCs w:val="16"/>
          <w:lang w:val="es-AR"/>
        </w:rPr>
        <w:t xml:space="preserve"> </w:t>
      </w:r>
      <w:r w:rsidRPr="005F66AD">
        <w:rPr>
          <w:rFonts w:ascii="Verdana" w:hAnsi="Verdana"/>
          <w:sz w:val="16"/>
          <w:szCs w:val="16"/>
          <w:lang w:val="es-AR"/>
        </w:rPr>
        <w:t>Caso 11.763, Masacre de Plan de Sánchez, Guatemala, Admisibilidad, 11 de marzo de 1999, párrs. 29 y 30.</w:t>
      </w:r>
    </w:p>
  </w:footnote>
  <w:footnote w:id="12">
    <w:p w:rsidR="00747A88" w:rsidRPr="005F66AD" w:rsidRDefault="00747A88" w:rsidP="005F66AD">
      <w:pPr>
        <w:pStyle w:val="FootnoteText"/>
        <w:spacing w:before="0" w:beforeAutospacing="0" w:after="0" w:afterAutospacing="0"/>
        <w:jc w:val="both"/>
        <w:rPr>
          <w:rFonts w:ascii="Verdana" w:hAnsi="Verdana"/>
          <w:sz w:val="16"/>
          <w:szCs w:val="16"/>
          <w:lang w:val="es-CO"/>
        </w:rPr>
      </w:pPr>
      <w:r w:rsidRPr="005F66AD">
        <w:rPr>
          <w:rStyle w:val="FootnoteCharacters"/>
          <w:rFonts w:ascii="Verdana" w:hAnsi="Verdana"/>
          <w:sz w:val="16"/>
          <w:szCs w:val="16"/>
        </w:rPr>
        <w:footnoteRef/>
      </w:r>
      <w:r w:rsidRPr="005F66AD">
        <w:rPr>
          <w:rFonts w:ascii="Verdana" w:hAnsi="Verdana"/>
          <w:sz w:val="16"/>
          <w:szCs w:val="16"/>
          <w:lang w:val="es-CO"/>
        </w:rPr>
        <w:t xml:space="preserve"> CIDH, Informe Nº 21/04, Petición 12.190, José Luís Tapia González y otros, Chile, Admisibilidad, 24 de febrero de 2004, párr. 33.</w:t>
      </w:r>
    </w:p>
  </w:footnote>
  <w:footnote w:id="13">
    <w:p w:rsidR="00747A88" w:rsidRPr="005F66AD" w:rsidRDefault="00747A88" w:rsidP="005F66AD">
      <w:pPr>
        <w:pStyle w:val="FootnoteText"/>
        <w:spacing w:before="0" w:beforeAutospacing="0" w:after="0" w:afterAutospacing="0"/>
        <w:jc w:val="both"/>
        <w:rPr>
          <w:rFonts w:ascii="Verdana" w:hAnsi="Verdana"/>
          <w:sz w:val="16"/>
          <w:szCs w:val="16"/>
          <w:lang w:val="es-CO"/>
        </w:rPr>
      </w:pPr>
      <w:r w:rsidRPr="005F66AD">
        <w:rPr>
          <w:rStyle w:val="FootnoteReference"/>
          <w:sz w:val="16"/>
          <w:szCs w:val="16"/>
        </w:rPr>
        <w:footnoteRef/>
      </w:r>
      <w:r w:rsidRPr="005F66AD">
        <w:rPr>
          <w:rFonts w:ascii="Verdana" w:hAnsi="Verdana"/>
          <w:sz w:val="16"/>
          <w:szCs w:val="16"/>
          <w:lang w:val="es-CO"/>
        </w:rPr>
        <w:t xml:space="preserve"> CIDH, Informe No. 72/11, Petición 1164-05, William Gómez Vargas, Costa Rica, 31 de marzo de 2011, párr. 36.</w:t>
      </w:r>
    </w:p>
  </w:footnote>
  <w:footnote w:id="14">
    <w:p w:rsidR="00747A88" w:rsidRPr="005F66AD" w:rsidRDefault="00747A88" w:rsidP="005F66AD">
      <w:pPr>
        <w:pStyle w:val="FootnoteText"/>
        <w:spacing w:before="0" w:beforeAutospacing="0" w:after="0" w:afterAutospacing="0"/>
        <w:jc w:val="both"/>
        <w:rPr>
          <w:rFonts w:ascii="Verdana" w:hAnsi="Verdana"/>
          <w:sz w:val="16"/>
          <w:szCs w:val="16"/>
          <w:lang w:val="es-CO"/>
        </w:rPr>
      </w:pPr>
      <w:r w:rsidRPr="005F66AD">
        <w:rPr>
          <w:rStyle w:val="FootnoteReference"/>
          <w:sz w:val="16"/>
          <w:szCs w:val="16"/>
        </w:rPr>
        <w:footnoteRef/>
      </w:r>
      <w:r w:rsidRPr="005F66AD">
        <w:rPr>
          <w:rFonts w:ascii="Verdana" w:hAnsi="Verdana"/>
          <w:sz w:val="16"/>
          <w:szCs w:val="16"/>
          <w:lang w:val="es-CO"/>
        </w:rPr>
        <w:t xml:space="preserve"> CIDH, Informe No. 72/11, Petición 1164-05, William Gómez Vargas, Costa Rica, 31 de marzo de 2011, párr. 35.</w:t>
      </w:r>
    </w:p>
  </w:footnote>
  <w:footnote w:id="15">
    <w:p w:rsidR="00747A88" w:rsidRPr="005F66AD" w:rsidRDefault="00747A88" w:rsidP="005F66AD">
      <w:pPr>
        <w:pStyle w:val="FootnoteText"/>
        <w:spacing w:before="0" w:beforeAutospacing="0" w:after="0" w:afterAutospacing="0"/>
        <w:jc w:val="both"/>
        <w:rPr>
          <w:rFonts w:ascii="Verdana" w:hAnsi="Verdana"/>
          <w:sz w:val="16"/>
          <w:szCs w:val="16"/>
          <w:lang w:val="es-MX"/>
        </w:rPr>
      </w:pPr>
      <w:r w:rsidRPr="005F66AD">
        <w:rPr>
          <w:rStyle w:val="FootnoteReference"/>
          <w:sz w:val="16"/>
          <w:szCs w:val="16"/>
        </w:rPr>
        <w:footnoteRef/>
      </w:r>
      <w:r w:rsidRPr="005F66AD">
        <w:rPr>
          <w:rFonts w:ascii="Verdana" w:hAnsi="Verdana"/>
          <w:sz w:val="16"/>
          <w:szCs w:val="16"/>
          <w:lang w:val="es-MX"/>
        </w:rPr>
        <w:t xml:space="preserve"> CIDH, </w:t>
      </w:r>
      <w:r w:rsidRPr="005F66AD">
        <w:rPr>
          <w:rFonts w:ascii="Verdana" w:hAnsi="Verdana"/>
          <w:sz w:val="16"/>
          <w:szCs w:val="16"/>
          <w:lang w:val="es-CO"/>
        </w:rPr>
        <w:t>Informe No. 72/11, Petición 1164-05, William Gómez Vargas, Costa Rica,</w:t>
      </w:r>
      <w:r w:rsidRPr="005F66AD">
        <w:rPr>
          <w:rFonts w:ascii="Verdana" w:hAnsi="Verdana"/>
          <w:sz w:val="16"/>
          <w:szCs w:val="16"/>
          <w:lang w:val="es-MX"/>
        </w:rPr>
        <w:t xml:space="preserve"> </w:t>
      </w:r>
      <w:r w:rsidRPr="005F66AD">
        <w:rPr>
          <w:rFonts w:ascii="Verdana" w:hAnsi="Verdana"/>
          <w:sz w:val="16"/>
          <w:szCs w:val="16"/>
          <w:lang w:val="es-CO"/>
        </w:rPr>
        <w:t xml:space="preserve">31 de marzo de 2011, </w:t>
      </w:r>
      <w:r w:rsidRPr="005F66AD">
        <w:rPr>
          <w:rFonts w:ascii="Verdana" w:hAnsi="Verdana"/>
          <w:sz w:val="16"/>
          <w:szCs w:val="16"/>
          <w:lang w:val="es-MX"/>
        </w:rPr>
        <w:t>párr. 36.</w:t>
      </w:r>
    </w:p>
  </w:footnote>
  <w:footnote w:id="16">
    <w:p w:rsidR="00747A88" w:rsidRPr="005F66AD" w:rsidRDefault="00747A88" w:rsidP="005F66AD">
      <w:pPr>
        <w:pStyle w:val="FootnoteText"/>
        <w:spacing w:before="0" w:beforeAutospacing="0" w:after="0" w:afterAutospacing="0"/>
        <w:jc w:val="both"/>
        <w:rPr>
          <w:rFonts w:ascii="Verdana" w:hAnsi="Verdana"/>
          <w:sz w:val="16"/>
          <w:szCs w:val="16"/>
          <w:lang w:val="es-ES"/>
        </w:rPr>
      </w:pPr>
      <w:r w:rsidRPr="005F66AD">
        <w:rPr>
          <w:rStyle w:val="FootnoteReference"/>
          <w:sz w:val="16"/>
          <w:szCs w:val="16"/>
        </w:rPr>
        <w:footnoteRef/>
      </w:r>
      <w:r w:rsidRPr="005F66AD">
        <w:rPr>
          <w:rFonts w:ascii="Verdana" w:hAnsi="Verdana"/>
          <w:sz w:val="16"/>
          <w:szCs w:val="16"/>
          <w:lang w:val="es-ES"/>
        </w:rPr>
        <w:t xml:space="preserve"> CIDH, Informe Nº 67/01, Caso 11.859, Tomás Enrique Carvallo Quintana, Argentina, 14 de junio de 2001, párr. 56, y </w:t>
      </w:r>
      <w:r w:rsidRPr="005F66AD">
        <w:rPr>
          <w:rFonts w:ascii="Verdana" w:hAnsi="Verdana"/>
          <w:sz w:val="16"/>
          <w:szCs w:val="16"/>
          <w:lang w:val="es-MX"/>
        </w:rPr>
        <w:t xml:space="preserve">CIDH, </w:t>
      </w:r>
      <w:r w:rsidRPr="005F66AD">
        <w:rPr>
          <w:rFonts w:ascii="Verdana" w:hAnsi="Verdana"/>
          <w:sz w:val="16"/>
          <w:szCs w:val="16"/>
          <w:lang w:val="es-CO"/>
        </w:rPr>
        <w:t>In</w:t>
      </w:r>
      <w:r w:rsidRPr="005F66AD">
        <w:rPr>
          <w:rFonts w:ascii="Verdana" w:hAnsi="Verdana"/>
          <w:sz w:val="16"/>
          <w:szCs w:val="16"/>
          <w:lang w:val="es-ES"/>
        </w:rPr>
        <w:t>forme No. 72/11, Petición 1164-05, William Gómez Vargas, Costa Rica,</w:t>
      </w:r>
      <w:r w:rsidRPr="005F66AD">
        <w:rPr>
          <w:rFonts w:ascii="Verdana" w:hAnsi="Verdana"/>
          <w:sz w:val="16"/>
          <w:szCs w:val="16"/>
          <w:lang w:val="es-MX"/>
        </w:rPr>
        <w:t xml:space="preserve"> párr. 36.</w:t>
      </w:r>
    </w:p>
  </w:footnote>
  <w:footnote w:id="17">
    <w:p w:rsidR="00747A88" w:rsidRPr="005F66AD" w:rsidRDefault="00747A88" w:rsidP="005F66AD">
      <w:pPr>
        <w:pStyle w:val="FootnoteText"/>
        <w:spacing w:before="0" w:beforeAutospacing="0" w:after="0" w:afterAutospacing="0"/>
        <w:jc w:val="both"/>
        <w:rPr>
          <w:rFonts w:ascii="Verdana" w:hAnsi="Verdana"/>
          <w:sz w:val="16"/>
          <w:szCs w:val="16"/>
          <w:lang w:val="es-MX"/>
        </w:rPr>
      </w:pPr>
      <w:r w:rsidRPr="005F66AD">
        <w:rPr>
          <w:rStyle w:val="FootnoteReference"/>
          <w:sz w:val="16"/>
          <w:szCs w:val="16"/>
        </w:rPr>
        <w:footnoteRef/>
      </w:r>
      <w:r w:rsidRPr="005F66AD">
        <w:rPr>
          <w:rFonts w:ascii="Verdana" w:hAnsi="Verdana"/>
          <w:sz w:val="16"/>
          <w:szCs w:val="16"/>
          <w:lang w:val="es-ES"/>
        </w:rPr>
        <w:t xml:space="preserve"> </w:t>
      </w:r>
      <w:r w:rsidRPr="005F66AD">
        <w:rPr>
          <w:rFonts w:ascii="Verdana" w:hAnsi="Verdana"/>
          <w:color w:val="000000"/>
          <w:sz w:val="16"/>
          <w:szCs w:val="16"/>
          <w:lang w:val="es-ES"/>
        </w:rPr>
        <w:t xml:space="preserve">Corte I.D.H., </w:t>
      </w:r>
      <w:r w:rsidRPr="005F66AD">
        <w:rPr>
          <w:rFonts w:ascii="Verdana" w:hAnsi="Verdana"/>
          <w:bCs/>
          <w:color w:val="000000"/>
          <w:sz w:val="16"/>
          <w:szCs w:val="16"/>
          <w:lang w:val="es-ES"/>
        </w:rPr>
        <w:t xml:space="preserve">Caso Ivcher Bronstein Vs. </w:t>
      </w:r>
      <w:r w:rsidRPr="005F66AD">
        <w:rPr>
          <w:rFonts w:ascii="Verdana" w:hAnsi="Verdana"/>
          <w:bCs/>
          <w:color w:val="000000"/>
          <w:sz w:val="16"/>
          <w:szCs w:val="16"/>
          <w:lang w:val="es-MX"/>
        </w:rPr>
        <w:t>Perú</w:t>
      </w:r>
      <w:r w:rsidRPr="005F66AD">
        <w:rPr>
          <w:rFonts w:ascii="Verdana" w:hAnsi="Verdana"/>
          <w:bCs/>
          <w:i/>
          <w:color w:val="000000"/>
          <w:sz w:val="16"/>
          <w:szCs w:val="16"/>
          <w:lang w:val="es-MX"/>
        </w:rPr>
        <w:t>.</w:t>
      </w:r>
      <w:r w:rsidRPr="005F66AD">
        <w:rPr>
          <w:rFonts w:ascii="Verdana" w:hAnsi="Verdana"/>
          <w:b/>
          <w:bCs/>
          <w:color w:val="000000"/>
          <w:sz w:val="16"/>
          <w:szCs w:val="16"/>
          <w:lang w:val="es-MX"/>
        </w:rPr>
        <w:t xml:space="preserve"> </w:t>
      </w:r>
      <w:r w:rsidRPr="005F66AD">
        <w:rPr>
          <w:rFonts w:ascii="Verdana" w:hAnsi="Verdana"/>
          <w:color w:val="000000"/>
          <w:sz w:val="16"/>
          <w:szCs w:val="16"/>
          <w:lang w:val="es-MX"/>
        </w:rPr>
        <w:t xml:space="preserve">Fondo, Reparaciones y Costas. </w:t>
      </w:r>
      <w:r w:rsidRPr="005F66AD">
        <w:rPr>
          <w:rFonts w:ascii="Verdana" w:hAnsi="Verdana"/>
          <w:color w:val="000000"/>
          <w:sz w:val="16"/>
          <w:szCs w:val="16"/>
          <w:lang w:val="es-ES_tradnl"/>
        </w:rPr>
        <w:t>Sentencia de 6 de febrero de 2001. Serie C No. 74, párr. 149.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B5B3B"/>
    <w:multiLevelType w:val="multilevel"/>
    <w:tmpl w:val="E738CF78"/>
    <w:lvl w:ilvl="0">
      <w:start w:val="1"/>
      <w:numFmt w:val="decimal"/>
      <w:lvlText w:val="%1."/>
      <w:lvlJc w:val="left"/>
      <w:pPr>
        <w:tabs>
          <w:tab w:val="num" w:pos="4320"/>
        </w:tabs>
        <w:ind w:left="4320" w:hanging="360"/>
      </w:pPr>
      <w:rPr>
        <w:rFonts w:hint="default"/>
        <w:b w:val="0"/>
        <w:sz w:val="20"/>
        <w:szCs w:val="20"/>
      </w:rPr>
    </w:lvl>
    <w:lvl w:ilvl="1">
      <w:start w:val="1"/>
      <w:numFmt w:val="lowerLetter"/>
      <w:lvlText w:val="%2."/>
      <w:lvlJc w:val="left"/>
      <w:pPr>
        <w:tabs>
          <w:tab w:val="num" w:pos="5040"/>
        </w:tabs>
        <w:ind w:left="5040" w:hanging="360"/>
      </w:pPr>
    </w:lvl>
    <w:lvl w:ilvl="2">
      <w:start w:val="1"/>
      <w:numFmt w:val="lowerLetter"/>
      <w:lvlText w:val="%3)"/>
      <w:lvlJc w:val="left"/>
      <w:pPr>
        <w:tabs>
          <w:tab w:val="num" w:pos="5940"/>
        </w:tabs>
        <w:ind w:left="5940" w:hanging="360"/>
      </w:pPr>
      <w:rPr>
        <w:rFonts w:hint="default"/>
      </w:rPr>
    </w:lvl>
    <w:lvl w:ilvl="3">
      <w:start w:val="4"/>
      <w:numFmt w:val="upperRoman"/>
      <w:lvlText w:val="%4."/>
      <w:lvlJc w:val="left"/>
      <w:pPr>
        <w:tabs>
          <w:tab w:val="num" w:pos="6840"/>
        </w:tabs>
        <w:ind w:left="6840" w:hanging="720"/>
      </w:pPr>
      <w:rPr>
        <w:rFonts w:hint="default"/>
      </w:rPr>
    </w:lvl>
    <w:lvl w:ilvl="4">
      <w:start w:val="1"/>
      <w:numFmt w:val="lowerLetter"/>
      <w:lvlText w:val="%5."/>
      <w:lvlJc w:val="left"/>
      <w:pPr>
        <w:tabs>
          <w:tab w:val="num" w:pos="7200"/>
        </w:tabs>
        <w:ind w:left="7200" w:hanging="360"/>
      </w:pPr>
    </w:lvl>
    <w:lvl w:ilvl="5">
      <w:start w:val="1"/>
      <w:numFmt w:val="lowerRoman"/>
      <w:lvlText w:val="%6."/>
      <w:lvlJc w:val="right"/>
      <w:pPr>
        <w:tabs>
          <w:tab w:val="num" w:pos="7920"/>
        </w:tabs>
        <w:ind w:left="7920" w:hanging="180"/>
      </w:pPr>
    </w:lvl>
    <w:lvl w:ilvl="6">
      <w:start w:val="1"/>
      <w:numFmt w:val="decimal"/>
      <w:lvlText w:val="%7."/>
      <w:lvlJc w:val="left"/>
      <w:pPr>
        <w:tabs>
          <w:tab w:val="num" w:pos="8640"/>
        </w:tabs>
        <w:ind w:left="8640" w:hanging="360"/>
      </w:pPr>
    </w:lvl>
    <w:lvl w:ilvl="7">
      <w:start w:val="1"/>
      <w:numFmt w:val="lowerLetter"/>
      <w:lvlText w:val="%8."/>
      <w:lvlJc w:val="left"/>
      <w:pPr>
        <w:tabs>
          <w:tab w:val="num" w:pos="9360"/>
        </w:tabs>
        <w:ind w:left="9360" w:hanging="360"/>
      </w:pPr>
    </w:lvl>
    <w:lvl w:ilvl="8">
      <w:start w:val="1"/>
      <w:numFmt w:val="lowerRoman"/>
      <w:lvlText w:val="%9."/>
      <w:lvlJc w:val="right"/>
      <w:pPr>
        <w:tabs>
          <w:tab w:val="num" w:pos="10080"/>
        </w:tabs>
        <w:ind w:left="10080" w:hanging="180"/>
      </w:pPr>
    </w:lvl>
  </w:abstractNum>
  <w:abstractNum w:abstractNumId="1">
    <w:nsid w:val="053F73D0"/>
    <w:multiLevelType w:val="multilevel"/>
    <w:tmpl w:val="AD2AC11C"/>
    <w:lvl w:ilvl="0">
      <w:start w:val="1"/>
      <w:numFmt w:val="decimal"/>
      <w:lvlText w:val="%1."/>
      <w:lvlJc w:val="left"/>
      <w:pPr>
        <w:tabs>
          <w:tab w:val="num" w:pos="1440"/>
        </w:tabs>
        <w:ind w:left="0" w:firstLine="720"/>
      </w:pPr>
      <w:rPr>
        <w:rFonts w:ascii="Univers" w:hAnsi="Univers" w:hint="default"/>
        <w:b w:val="0"/>
        <w:i w:val="0"/>
        <w:color w:val="auto"/>
        <w:sz w:val="20"/>
        <w:szCs w:val="20"/>
      </w:rPr>
    </w:lvl>
    <w:lvl w:ilvl="1">
      <w:start w:val="3"/>
      <w:numFmt w:val="upperRoman"/>
      <w:lvlText w:val="%2."/>
      <w:lvlJc w:val="left"/>
      <w:pPr>
        <w:tabs>
          <w:tab w:val="num" w:pos="1800"/>
        </w:tabs>
        <w:ind w:left="1800" w:hanging="720"/>
      </w:pPr>
      <w:rPr>
        <w:rFonts w:hint="default"/>
        <w:b w:val="0"/>
        <w:i w:val="0"/>
        <w:color w:val="auto"/>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BD20D82"/>
    <w:multiLevelType w:val="hybridMultilevel"/>
    <w:tmpl w:val="044ACF98"/>
    <w:lvl w:ilvl="0" w:tplc="2C0A0015">
      <w:start w:val="1"/>
      <w:numFmt w:val="upperLetter"/>
      <w:lvlText w:val="%1."/>
      <w:lvlJc w:val="left"/>
      <w:pPr>
        <w:ind w:left="720" w:hanging="360"/>
      </w:pPr>
      <w:rPr>
        <w:rFonts w:hint="default"/>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1ECB1AA7"/>
    <w:multiLevelType w:val="hybridMultilevel"/>
    <w:tmpl w:val="C45A578A"/>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207904F7"/>
    <w:multiLevelType w:val="hybridMultilevel"/>
    <w:tmpl w:val="5F1C1E04"/>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29015559"/>
    <w:multiLevelType w:val="hybridMultilevel"/>
    <w:tmpl w:val="39F6144E"/>
    <w:lvl w:ilvl="0" w:tplc="1CB822B8">
      <w:start w:val="1"/>
      <w:numFmt w:val="upperLetter"/>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31B80BF5"/>
    <w:multiLevelType w:val="hybridMultilevel"/>
    <w:tmpl w:val="B6C2E9B8"/>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A713669"/>
    <w:multiLevelType w:val="hybridMultilevel"/>
    <w:tmpl w:val="7ED41F3A"/>
    <w:lvl w:ilvl="0" w:tplc="F56024E4">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47250B28"/>
    <w:multiLevelType w:val="hybridMultilevel"/>
    <w:tmpl w:val="08F05E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91C0BD1"/>
    <w:multiLevelType w:val="hybridMultilevel"/>
    <w:tmpl w:val="495E2472"/>
    <w:lvl w:ilvl="0" w:tplc="0DF84D0E">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50340FCA"/>
    <w:multiLevelType w:val="hybridMultilevel"/>
    <w:tmpl w:val="4A8C5FF6"/>
    <w:lvl w:ilvl="0" w:tplc="8F623396">
      <w:start w:val="1"/>
      <w:numFmt w:val="decimal"/>
      <w:lvlText w:val="%1."/>
      <w:lvlJc w:val="left"/>
      <w:pPr>
        <w:tabs>
          <w:tab w:val="num" w:pos="2070"/>
        </w:tabs>
        <w:ind w:left="2070" w:hanging="630"/>
      </w:pPr>
      <w:rPr>
        <w:rFonts w:ascii="Calibri" w:hAnsi="Calibri" w:cs="Times New Roman" w:hint="default"/>
        <w:b/>
        <w:i w:val="0"/>
        <w:sz w:val="22"/>
        <w:szCs w:val="22"/>
      </w:rPr>
    </w:lvl>
    <w:lvl w:ilvl="1" w:tplc="2C0A0019">
      <w:start w:val="42"/>
      <w:numFmt w:val="decimal"/>
      <w:lvlText w:val="%2."/>
      <w:lvlJc w:val="left"/>
      <w:pPr>
        <w:tabs>
          <w:tab w:val="num" w:pos="2505"/>
        </w:tabs>
        <w:ind w:left="2505" w:hanging="1425"/>
      </w:pPr>
      <w:rPr>
        <w:rFonts w:cs="Times New Roman" w:hint="default"/>
      </w:rPr>
    </w:lvl>
    <w:lvl w:ilvl="2" w:tplc="2C0A001B">
      <w:start w:val="5"/>
      <w:numFmt w:val="upperRoman"/>
      <w:lvlText w:val="%3."/>
      <w:lvlJc w:val="left"/>
      <w:pPr>
        <w:tabs>
          <w:tab w:val="num" w:pos="2700"/>
        </w:tabs>
        <w:ind w:left="2700" w:hanging="720"/>
      </w:pPr>
      <w:rPr>
        <w:rFonts w:cs="Times New Roman" w:hint="default"/>
      </w:rPr>
    </w:lvl>
    <w:lvl w:ilvl="3" w:tplc="2C0A000F" w:tentative="1">
      <w:start w:val="1"/>
      <w:numFmt w:val="decimal"/>
      <w:lvlText w:val="%4."/>
      <w:lvlJc w:val="left"/>
      <w:pPr>
        <w:tabs>
          <w:tab w:val="num" w:pos="2880"/>
        </w:tabs>
        <w:ind w:left="2880" w:hanging="360"/>
      </w:pPr>
      <w:rPr>
        <w:rFonts w:cs="Times New Roman"/>
      </w:rPr>
    </w:lvl>
    <w:lvl w:ilvl="4" w:tplc="2C0A0019" w:tentative="1">
      <w:start w:val="1"/>
      <w:numFmt w:val="lowerLetter"/>
      <w:lvlText w:val="%5."/>
      <w:lvlJc w:val="left"/>
      <w:pPr>
        <w:tabs>
          <w:tab w:val="num" w:pos="3600"/>
        </w:tabs>
        <w:ind w:left="3600" w:hanging="360"/>
      </w:pPr>
      <w:rPr>
        <w:rFonts w:cs="Times New Roman"/>
      </w:rPr>
    </w:lvl>
    <w:lvl w:ilvl="5" w:tplc="2C0A001B" w:tentative="1">
      <w:start w:val="1"/>
      <w:numFmt w:val="lowerRoman"/>
      <w:lvlText w:val="%6."/>
      <w:lvlJc w:val="right"/>
      <w:pPr>
        <w:tabs>
          <w:tab w:val="num" w:pos="4320"/>
        </w:tabs>
        <w:ind w:left="4320" w:hanging="180"/>
      </w:pPr>
      <w:rPr>
        <w:rFonts w:cs="Times New Roman"/>
      </w:rPr>
    </w:lvl>
    <w:lvl w:ilvl="6" w:tplc="2C0A000F" w:tentative="1">
      <w:start w:val="1"/>
      <w:numFmt w:val="decimal"/>
      <w:lvlText w:val="%7."/>
      <w:lvlJc w:val="left"/>
      <w:pPr>
        <w:tabs>
          <w:tab w:val="num" w:pos="5040"/>
        </w:tabs>
        <w:ind w:left="5040" w:hanging="360"/>
      </w:pPr>
      <w:rPr>
        <w:rFonts w:cs="Times New Roman"/>
      </w:rPr>
    </w:lvl>
    <w:lvl w:ilvl="7" w:tplc="2C0A0019" w:tentative="1">
      <w:start w:val="1"/>
      <w:numFmt w:val="lowerLetter"/>
      <w:lvlText w:val="%8."/>
      <w:lvlJc w:val="left"/>
      <w:pPr>
        <w:tabs>
          <w:tab w:val="num" w:pos="5760"/>
        </w:tabs>
        <w:ind w:left="5760" w:hanging="360"/>
      </w:pPr>
      <w:rPr>
        <w:rFonts w:cs="Times New Roman"/>
      </w:rPr>
    </w:lvl>
    <w:lvl w:ilvl="8" w:tplc="2C0A001B" w:tentative="1">
      <w:start w:val="1"/>
      <w:numFmt w:val="lowerRoman"/>
      <w:lvlText w:val="%9."/>
      <w:lvlJc w:val="right"/>
      <w:pPr>
        <w:tabs>
          <w:tab w:val="num" w:pos="6480"/>
        </w:tabs>
        <w:ind w:left="6480" w:hanging="180"/>
      </w:pPr>
      <w:rPr>
        <w:rFonts w:cs="Times New Roman"/>
      </w:rPr>
    </w:lvl>
  </w:abstractNum>
  <w:abstractNum w:abstractNumId="11">
    <w:nsid w:val="548F31B3"/>
    <w:multiLevelType w:val="hybridMultilevel"/>
    <w:tmpl w:val="43C89E20"/>
    <w:lvl w:ilvl="0" w:tplc="8F30AFE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5B8E2F20"/>
    <w:multiLevelType w:val="hybridMultilevel"/>
    <w:tmpl w:val="AD2AC11C"/>
    <w:lvl w:ilvl="0" w:tplc="7408BB28">
      <w:start w:val="1"/>
      <w:numFmt w:val="decimal"/>
      <w:lvlText w:val="%1."/>
      <w:lvlJc w:val="left"/>
      <w:pPr>
        <w:tabs>
          <w:tab w:val="num" w:pos="1440"/>
        </w:tabs>
        <w:ind w:left="0" w:firstLine="720"/>
      </w:pPr>
      <w:rPr>
        <w:rFonts w:ascii="Univers" w:hAnsi="Univers" w:hint="default"/>
        <w:b w:val="0"/>
        <w:i w:val="0"/>
        <w:color w:val="auto"/>
        <w:sz w:val="20"/>
        <w:szCs w:val="20"/>
      </w:rPr>
    </w:lvl>
    <w:lvl w:ilvl="1" w:tplc="E2E62584">
      <w:start w:val="3"/>
      <w:numFmt w:val="upperRoman"/>
      <w:lvlText w:val="%2."/>
      <w:lvlJc w:val="left"/>
      <w:pPr>
        <w:tabs>
          <w:tab w:val="num" w:pos="1800"/>
        </w:tabs>
        <w:ind w:left="1800" w:hanging="720"/>
      </w:pPr>
      <w:rPr>
        <w:rFonts w:hint="default"/>
        <w:b w:val="0"/>
        <w:i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F17303C"/>
    <w:multiLevelType w:val="hybridMultilevel"/>
    <w:tmpl w:val="FA0C5E84"/>
    <w:lvl w:ilvl="0" w:tplc="E244E088">
      <w:start w:val="1"/>
      <w:numFmt w:val="upperRoman"/>
      <w:lvlText w:val="%1."/>
      <w:lvlJc w:val="left"/>
      <w:pPr>
        <w:tabs>
          <w:tab w:val="num" w:pos="1440"/>
        </w:tabs>
        <w:ind w:left="1440" w:hanging="720"/>
      </w:pPr>
      <w:rPr>
        <w:rFonts w:ascii="Univers" w:hAnsi="Univers" w:cs="Times New Roman" w:hint="default"/>
        <w:sz w:val="22"/>
        <w:szCs w:val="22"/>
      </w:rPr>
    </w:lvl>
    <w:lvl w:ilvl="1" w:tplc="78A00DBE">
      <w:start w:val="1"/>
      <w:numFmt w:val="decimal"/>
      <w:lvlText w:val="%2."/>
      <w:lvlJc w:val="left"/>
      <w:pPr>
        <w:tabs>
          <w:tab w:val="num" w:pos="2070"/>
        </w:tabs>
        <w:ind w:left="2070" w:hanging="630"/>
      </w:pPr>
      <w:rPr>
        <w:rFonts w:ascii="Verdana" w:hAnsi="Verdana" w:cs="Times New Roman" w:hint="default"/>
        <w:b/>
        <w:sz w:val="20"/>
      </w:rPr>
    </w:lvl>
    <w:lvl w:ilvl="2" w:tplc="6C2AF0B4">
      <w:start w:val="1"/>
      <w:numFmt w:val="upperLetter"/>
      <w:lvlText w:val="%3."/>
      <w:lvlJc w:val="left"/>
      <w:pPr>
        <w:tabs>
          <w:tab w:val="num" w:pos="2985"/>
        </w:tabs>
        <w:ind w:left="2985" w:hanging="645"/>
      </w:pPr>
      <w:rPr>
        <w:rFonts w:ascii="Calibri" w:hAnsi="Calibri" w:cs="Times New Roman" w:hint="default"/>
        <w:b/>
        <w:i w:val="0"/>
        <w:sz w:val="22"/>
        <w:szCs w:val="22"/>
      </w:rPr>
    </w:lvl>
    <w:lvl w:ilvl="3" w:tplc="0409000F">
      <w:start w:val="1"/>
      <w:numFmt w:val="decimal"/>
      <w:lvlText w:val="%4."/>
      <w:lvlJc w:val="left"/>
      <w:pPr>
        <w:tabs>
          <w:tab w:val="num" w:pos="3510"/>
        </w:tabs>
        <w:ind w:left="3510" w:hanging="630"/>
      </w:pPr>
      <w:rPr>
        <w:rFonts w:ascii="Verdana" w:hAnsi="Verdana" w:cs="Times New Roman" w:hint="default"/>
        <w:b w:val="0"/>
        <w:sz w:val="20"/>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nsid w:val="5F645913"/>
    <w:multiLevelType w:val="hybridMultilevel"/>
    <w:tmpl w:val="DFD0ED2A"/>
    <w:lvl w:ilvl="0" w:tplc="3A785E3A">
      <w:start w:val="77"/>
      <w:numFmt w:val="decimal"/>
      <w:lvlText w:val="%1."/>
      <w:lvlJc w:val="left"/>
      <w:pPr>
        <w:ind w:left="720" w:hanging="360"/>
      </w:pPr>
      <w:rPr>
        <w:rFonts w:hint="default"/>
      </w:rPr>
    </w:lvl>
    <w:lvl w:ilvl="1" w:tplc="7EE80C66" w:tentative="1">
      <w:start w:val="1"/>
      <w:numFmt w:val="lowerLetter"/>
      <w:lvlText w:val="%2."/>
      <w:lvlJc w:val="left"/>
      <w:pPr>
        <w:ind w:left="1440" w:hanging="360"/>
      </w:pPr>
    </w:lvl>
    <w:lvl w:ilvl="2" w:tplc="669605C8" w:tentative="1">
      <w:start w:val="1"/>
      <w:numFmt w:val="lowerRoman"/>
      <w:lvlText w:val="%3."/>
      <w:lvlJc w:val="right"/>
      <w:pPr>
        <w:ind w:left="2160" w:hanging="180"/>
      </w:pPr>
    </w:lvl>
    <w:lvl w:ilvl="3" w:tplc="7C868A80"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1A5C12"/>
    <w:multiLevelType w:val="hybridMultilevel"/>
    <w:tmpl w:val="030673F4"/>
    <w:lvl w:ilvl="0" w:tplc="45D0CC8A">
      <w:start w:val="1"/>
      <w:numFmt w:val="upperLetter"/>
      <w:lvlText w:val="%1."/>
      <w:lvlJc w:val="left"/>
      <w:pPr>
        <w:tabs>
          <w:tab w:val="num" w:pos="1080"/>
        </w:tabs>
        <w:ind w:left="1080" w:hanging="720"/>
      </w:pPr>
      <w:rPr>
        <w:rFonts w:hint="default"/>
        <w:i w:val="0"/>
      </w:rPr>
    </w:lvl>
    <w:lvl w:ilvl="1" w:tplc="DF069B90">
      <w:start w:val="5"/>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A953554"/>
    <w:multiLevelType w:val="hybridMultilevel"/>
    <w:tmpl w:val="02DACE56"/>
    <w:lvl w:ilvl="0" w:tplc="2C0A000F">
      <w:start w:val="1"/>
      <w:numFmt w:val="upperRoman"/>
      <w:lvlText w:val="%1."/>
      <w:lvlJc w:val="left"/>
      <w:pPr>
        <w:ind w:left="1080" w:hanging="72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6BF15681"/>
    <w:multiLevelType w:val="hybridMultilevel"/>
    <w:tmpl w:val="609248CA"/>
    <w:lvl w:ilvl="0" w:tplc="0C7419C6">
      <w:start w:val="1"/>
      <w:numFmt w:val="decimal"/>
      <w:lvlText w:val="%1."/>
      <w:lvlJc w:val="left"/>
      <w:pPr>
        <w:tabs>
          <w:tab w:val="num" w:pos="720"/>
        </w:tabs>
        <w:ind w:left="0" w:firstLine="720"/>
      </w:pPr>
      <w:rPr>
        <w:rFonts w:hint="default"/>
        <w:b w:val="0"/>
        <w:sz w:val="20"/>
        <w:szCs w:val="20"/>
      </w:rPr>
    </w:lvl>
    <w:lvl w:ilvl="1" w:tplc="2C0A0019">
      <w:start w:val="1"/>
      <w:numFmt w:val="lowerLetter"/>
      <w:lvlText w:val="%2."/>
      <w:lvlJc w:val="left"/>
      <w:pPr>
        <w:tabs>
          <w:tab w:val="num" w:pos="5040"/>
        </w:tabs>
        <w:ind w:left="5040" w:hanging="360"/>
      </w:pPr>
    </w:lvl>
    <w:lvl w:ilvl="2" w:tplc="2C0A001B">
      <w:start w:val="1"/>
      <w:numFmt w:val="lowerLetter"/>
      <w:lvlText w:val="%3)"/>
      <w:lvlJc w:val="left"/>
      <w:pPr>
        <w:tabs>
          <w:tab w:val="num" w:pos="5940"/>
        </w:tabs>
        <w:ind w:left="5940" w:hanging="360"/>
      </w:pPr>
      <w:rPr>
        <w:rFonts w:hint="default"/>
      </w:rPr>
    </w:lvl>
    <w:lvl w:ilvl="3" w:tplc="2C0A000F">
      <w:start w:val="4"/>
      <w:numFmt w:val="upperRoman"/>
      <w:lvlText w:val="%4."/>
      <w:lvlJc w:val="left"/>
      <w:pPr>
        <w:tabs>
          <w:tab w:val="num" w:pos="6840"/>
        </w:tabs>
        <w:ind w:left="6840" w:hanging="720"/>
      </w:pPr>
      <w:rPr>
        <w:rFonts w:hint="default"/>
      </w:rPr>
    </w:lvl>
    <w:lvl w:ilvl="4" w:tplc="2C0A0019" w:tentative="1">
      <w:start w:val="1"/>
      <w:numFmt w:val="lowerLetter"/>
      <w:lvlText w:val="%5."/>
      <w:lvlJc w:val="left"/>
      <w:pPr>
        <w:tabs>
          <w:tab w:val="num" w:pos="7200"/>
        </w:tabs>
        <w:ind w:left="7200" w:hanging="360"/>
      </w:pPr>
    </w:lvl>
    <w:lvl w:ilvl="5" w:tplc="2C0A001B" w:tentative="1">
      <w:start w:val="1"/>
      <w:numFmt w:val="lowerRoman"/>
      <w:lvlText w:val="%6."/>
      <w:lvlJc w:val="right"/>
      <w:pPr>
        <w:tabs>
          <w:tab w:val="num" w:pos="7920"/>
        </w:tabs>
        <w:ind w:left="7920" w:hanging="180"/>
      </w:pPr>
    </w:lvl>
    <w:lvl w:ilvl="6" w:tplc="2C0A000F" w:tentative="1">
      <w:start w:val="1"/>
      <w:numFmt w:val="decimal"/>
      <w:lvlText w:val="%7."/>
      <w:lvlJc w:val="left"/>
      <w:pPr>
        <w:tabs>
          <w:tab w:val="num" w:pos="8640"/>
        </w:tabs>
        <w:ind w:left="8640" w:hanging="360"/>
      </w:pPr>
    </w:lvl>
    <w:lvl w:ilvl="7" w:tplc="2C0A0019" w:tentative="1">
      <w:start w:val="1"/>
      <w:numFmt w:val="lowerLetter"/>
      <w:lvlText w:val="%8."/>
      <w:lvlJc w:val="left"/>
      <w:pPr>
        <w:tabs>
          <w:tab w:val="num" w:pos="9360"/>
        </w:tabs>
        <w:ind w:left="9360" w:hanging="360"/>
      </w:pPr>
    </w:lvl>
    <w:lvl w:ilvl="8" w:tplc="2C0A001B" w:tentative="1">
      <w:start w:val="1"/>
      <w:numFmt w:val="lowerRoman"/>
      <w:lvlText w:val="%9."/>
      <w:lvlJc w:val="right"/>
      <w:pPr>
        <w:tabs>
          <w:tab w:val="num" w:pos="10080"/>
        </w:tabs>
        <w:ind w:left="10080" w:hanging="180"/>
      </w:pPr>
    </w:lvl>
  </w:abstractNum>
  <w:abstractNum w:abstractNumId="18">
    <w:nsid w:val="6D732A97"/>
    <w:multiLevelType w:val="hybridMultilevel"/>
    <w:tmpl w:val="55FE7410"/>
    <w:lvl w:ilvl="0" w:tplc="25302EAA">
      <w:start w:val="1"/>
      <w:numFmt w:val="upperRoman"/>
      <w:lvlText w:val="%1."/>
      <w:lvlJc w:val="left"/>
      <w:pPr>
        <w:tabs>
          <w:tab w:val="num" w:pos="1080"/>
        </w:tabs>
        <w:ind w:left="1080" w:hanging="720"/>
      </w:pPr>
      <w:rPr>
        <w:rFonts w:hint="default"/>
      </w:rPr>
    </w:lvl>
    <w:lvl w:ilvl="1" w:tplc="03AE7110">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EB5659B"/>
    <w:multiLevelType w:val="hybridMultilevel"/>
    <w:tmpl w:val="7124D242"/>
    <w:lvl w:ilvl="0" w:tplc="7AE04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F51E36CE" w:tentative="1">
      <w:start w:val="1"/>
      <w:numFmt w:val="lowerRoman"/>
      <w:lvlText w:val="%3."/>
      <w:lvlJc w:val="right"/>
      <w:pPr>
        <w:ind w:left="2160" w:hanging="180"/>
      </w:pPr>
    </w:lvl>
    <w:lvl w:ilvl="3" w:tplc="EC66B828"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216778B"/>
    <w:multiLevelType w:val="hybridMultilevel"/>
    <w:tmpl w:val="198C9682"/>
    <w:lvl w:ilvl="0" w:tplc="2C0A000F">
      <w:start w:val="1"/>
      <w:numFmt w:val="decimal"/>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nsid w:val="773873D3"/>
    <w:multiLevelType w:val="hybridMultilevel"/>
    <w:tmpl w:val="3B3829FC"/>
    <w:lvl w:ilvl="0" w:tplc="E7D6BFF2">
      <w:start w:val="1"/>
      <w:numFmt w:val="decimal"/>
      <w:lvlText w:val="%1."/>
      <w:lvlJc w:val="left"/>
      <w:pPr>
        <w:tabs>
          <w:tab w:val="num" w:pos="540"/>
        </w:tabs>
        <w:ind w:firstLine="720"/>
      </w:pPr>
      <w:rPr>
        <w:rFonts w:ascii="Calibri" w:hAnsi="Calibri" w:cs="Times New Roman" w:hint="default"/>
        <w:b w:val="0"/>
        <w:i w:val="0"/>
        <w:color w:val="auto"/>
        <w:sz w:val="22"/>
        <w:szCs w:val="22"/>
      </w:rPr>
    </w:lvl>
    <w:lvl w:ilvl="1" w:tplc="2C0A0019">
      <w:start w:val="2"/>
      <w:numFmt w:val="upperRoman"/>
      <w:lvlText w:val="%2."/>
      <w:lvlJc w:val="left"/>
      <w:pPr>
        <w:tabs>
          <w:tab w:val="num" w:pos="2520"/>
        </w:tabs>
        <w:ind w:left="2520" w:hanging="720"/>
      </w:pPr>
      <w:rPr>
        <w:rFonts w:cs="Times New Roman" w:hint="default"/>
      </w:rPr>
    </w:lvl>
    <w:lvl w:ilvl="2" w:tplc="2C0A001B">
      <w:start w:val="3"/>
      <w:numFmt w:val="decimal"/>
      <w:lvlText w:val="%3"/>
      <w:lvlJc w:val="left"/>
      <w:pPr>
        <w:tabs>
          <w:tab w:val="num" w:pos="3060"/>
        </w:tabs>
        <w:ind w:left="3060" w:hanging="360"/>
      </w:pPr>
      <w:rPr>
        <w:rFonts w:cs="Times New Roman" w:hint="default"/>
      </w:rPr>
    </w:lvl>
    <w:lvl w:ilvl="3" w:tplc="2C0A000F" w:tentative="1">
      <w:start w:val="1"/>
      <w:numFmt w:val="decimal"/>
      <w:lvlText w:val="%4."/>
      <w:lvlJc w:val="left"/>
      <w:pPr>
        <w:tabs>
          <w:tab w:val="num" w:pos="3600"/>
        </w:tabs>
        <w:ind w:left="3600" w:hanging="360"/>
      </w:pPr>
      <w:rPr>
        <w:rFonts w:cs="Times New Roman"/>
      </w:rPr>
    </w:lvl>
    <w:lvl w:ilvl="4" w:tplc="2C0A0019" w:tentative="1">
      <w:start w:val="1"/>
      <w:numFmt w:val="lowerLetter"/>
      <w:lvlText w:val="%5."/>
      <w:lvlJc w:val="left"/>
      <w:pPr>
        <w:tabs>
          <w:tab w:val="num" w:pos="4320"/>
        </w:tabs>
        <w:ind w:left="4320" w:hanging="360"/>
      </w:pPr>
      <w:rPr>
        <w:rFonts w:cs="Times New Roman"/>
      </w:rPr>
    </w:lvl>
    <w:lvl w:ilvl="5" w:tplc="2C0A001B" w:tentative="1">
      <w:start w:val="1"/>
      <w:numFmt w:val="lowerRoman"/>
      <w:lvlText w:val="%6."/>
      <w:lvlJc w:val="right"/>
      <w:pPr>
        <w:tabs>
          <w:tab w:val="num" w:pos="5040"/>
        </w:tabs>
        <w:ind w:left="5040" w:hanging="180"/>
      </w:pPr>
      <w:rPr>
        <w:rFonts w:cs="Times New Roman"/>
      </w:rPr>
    </w:lvl>
    <w:lvl w:ilvl="6" w:tplc="2C0A000F" w:tentative="1">
      <w:start w:val="1"/>
      <w:numFmt w:val="decimal"/>
      <w:lvlText w:val="%7."/>
      <w:lvlJc w:val="left"/>
      <w:pPr>
        <w:tabs>
          <w:tab w:val="num" w:pos="5760"/>
        </w:tabs>
        <w:ind w:left="5760" w:hanging="360"/>
      </w:pPr>
      <w:rPr>
        <w:rFonts w:cs="Times New Roman"/>
      </w:rPr>
    </w:lvl>
    <w:lvl w:ilvl="7" w:tplc="2C0A0019" w:tentative="1">
      <w:start w:val="1"/>
      <w:numFmt w:val="lowerLetter"/>
      <w:lvlText w:val="%8."/>
      <w:lvlJc w:val="left"/>
      <w:pPr>
        <w:tabs>
          <w:tab w:val="num" w:pos="6480"/>
        </w:tabs>
        <w:ind w:left="6480" w:hanging="360"/>
      </w:pPr>
      <w:rPr>
        <w:rFonts w:cs="Times New Roman"/>
      </w:rPr>
    </w:lvl>
    <w:lvl w:ilvl="8" w:tplc="2C0A001B" w:tentative="1">
      <w:start w:val="1"/>
      <w:numFmt w:val="lowerRoman"/>
      <w:lvlText w:val="%9."/>
      <w:lvlJc w:val="right"/>
      <w:pPr>
        <w:tabs>
          <w:tab w:val="num" w:pos="7200"/>
        </w:tabs>
        <w:ind w:left="7200" w:hanging="180"/>
      </w:pPr>
      <w:rPr>
        <w:rFonts w:cs="Times New Roman"/>
      </w:rPr>
    </w:lvl>
  </w:abstractNum>
  <w:abstractNum w:abstractNumId="22">
    <w:nsid w:val="7A1303EF"/>
    <w:multiLevelType w:val="hybridMultilevel"/>
    <w:tmpl w:val="AC7CBBC8"/>
    <w:lvl w:ilvl="0" w:tplc="0409000F">
      <w:start w:val="1"/>
      <w:numFmt w:val="decimal"/>
      <w:lvlText w:val="%1."/>
      <w:lvlJc w:val="left"/>
      <w:pPr>
        <w:tabs>
          <w:tab w:val="num" w:pos="720"/>
        </w:tabs>
        <w:ind w:left="720" w:hanging="360"/>
      </w:pPr>
      <w:rPr>
        <w:rFonts w:hint="default"/>
      </w:rPr>
    </w:lvl>
    <w:lvl w:ilvl="1" w:tplc="737852E2">
      <w:start w:val="1"/>
      <w:numFmt w:val="bullet"/>
      <w:lvlText w:val=""/>
      <w:lvlJc w:val="left"/>
      <w:pPr>
        <w:tabs>
          <w:tab w:val="num" w:pos="2010"/>
        </w:tabs>
        <w:ind w:left="2010" w:hanging="93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DBE3FF2"/>
    <w:multiLevelType w:val="hybridMultilevel"/>
    <w:tmpl w:val="D79C0CD8"/>
    <w:lvl w:ilvl="0" w:tplc="0409000F">
      <w:start w:val="1"/>
      <w:numFmt w:val="decimal"/>
      <w:lvlText w:val="%1."/>
      <w:lvlJc w:val="left"/>
      <w:pPr>
        <w:tabs>
          <w:tab w:val="num" w:pos="720"/>
        </w:tabs>
        <w:ind w:left="720" w:hanging="360"/>
      </w:pPr>
      <w:rPr>
        <w:rFonts w:hint="default"/>
      </w:rPr>
    </w:lvl>
    <w:lvl w:ilvl="1" w:tplc="16D2CEF4">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16"/>
  </w:num>
  <w:num w:numId="3">
    <w:abstractNumId w:val="4"/>
  </w:num>
  <w:num w:numId="4">
    <w:abstractNumId w:val="19"/>
  </w:num>
  <w:num w:numId="5">
    <w:abstractNumId w:val="5"/>
  </w:num>
  <w:num w:numId="6">
    <w:abstractNumId w:val="3"/>
  </w:num>
  <w:num w:numId="7">
    <w:abstractNumId w:val="20"/>
  </w:num>
  <w:num w:numId="8">
    <w:abstractNumId w:val="9"/>
  </w:num>
  <w:num w:numId="9">
    <w:abstractNumId w:val="2"/>
  </w:num>
  <w:num w:numId="10">
    <w:abstractNumId w:val="6"/>
  </w:num>
  <w:num w:numId="11">
    <w:abstractNumId w:val="21"/>
  </w:num>
  <w:num w:numId="12">
    <w:abstractNumId w:val="13"/>
  </w:num>
  <w:num w:numId="13">
    <w:abstractNumId w:val="10"/>
  </w:num>
  <w:num w:numId="14">
    <w:abstractNumId w:val="14"/>
  </w:num>
  <w:num w:numId="15">
    <w:abstractNumId w:val="17"/>
  </w:num>
  <w:num w:numId="16">
    <w:abstractNumId w:val="12"/>
  </w:num>
  <w:num w:numId="17">
    <w:abstractNumId w:val="18"/>
  </w:num>
  <w:num w:numId="18">
    <w:abstractNumId w:val="15"/>
  </w:num>
  <w:num w:numId="19">
    <w:abstractNumId w:val="8"/>
  </w:num>
  <w:num w:numId="20">
    <w:abstractNumId w:val="22"/>
  </w:num>
  <w:num w:numId="21">
    <w:abstractNumId w:val="23"/>
  </w:num>
  <w:num w:numId="22">
    <w:abstractNumId w:val="11"/>
  </w:num>
  <w:num w:numId="23">
    <w:abstractNumId w:val="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AR" w:vendorID="64" w:dllVersion="131078" w:nlCheck="1" w:checkStyle="1"/>
  <w:activeWritingStyle w:appName="MSWord" w:lang="es-ES_tradnl" w:vendorID="64" w:dllVersion="131078" w:nlCheck="1" w:checkStyle="1"/>
  <w:activeWritingStyle w:appName="MSWord" w:lang="es-CL" w:vendorID="64" w:dllVersion="131078" w:nlCheck="1" w:checkStyle="1"/>
  <w:activeWritingStyle w:appName="MSWord" w:lang="es-EC" w:vendorID="64" w:dllVersion="131078" w:nlCheck="1" w:checkStyle="1"/>
  <w:activeWritingStyle w:appName="MSWord" w:lang="es-UY" w:vendorID="64" w:dllVersion="131078" w:nlCheck="1" w:checkStyle="1"/>
  <w:activeWritingStyle w:appName="MSWord" w:lang="es-VE" w:vendorID="64" w:dllVersion="131078" w:nlCheck="1" w:checkStyle="1"/>
  <w:activeWritingStyle w:appName="MSWord" w:lang="es-PE" w:vendorID="64" w:dllVersion="131078" w:nlCheck="1" w:checkStyle="1"/>
  <w:activeWritingStyle w:appName="MSWord" w:lang="es-MX" w:vendorID="64" w:dllVersion="131078" w:nlCheck="1" w:checkStyle="1"/>
  <w:activeWritingStyle w:appName="MSWord" w:lang="es-PY" w:vendorID="64" w:dllVersion="131078" w:nlCheck="1" w:checkStyle="1"/>
  <w:activeWritingStyle w:appName="MSWord" w:lang="es-CO" w:vendorID="64" w:dllVersion="131078" w:nlCheck="1" w:checkStyle="1"/>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D8D"/>
    <w:rsid w:val="00000B5D"/>
    <w:rsid w:val="00001240"/>
    <w:rsid w:val="00001862"/>
    <w:rsid w:val="00002F8F"/>
    <w:rsid w:val="00002FD8"/>
    <w:rsid w:val="0000328A"/>
    <w:rsid w:val="00003383"/>
    <w:rsid w:val="000041CB"/>
    <w:rsid w:val="00004788"/>
    <w:rsid w:val="000049C0"/>
    <w:rsid w:val="00004DC4"/>
    <w:rsid w:val="00004EC8"/>
    <w:rsid w:val="00004FB8"/>
    <w:rsid w:val="0000557B"/>
    <w:rsid w:val="000057E2"/>
    <w:rsid w:val="00006795"/>
    <w:rsid w:val="00006E32"/>
    <w:rsid w:val="00007431"/>
    <w:rsid w:val="0000751C"/>
    <w:rsid w:val="000075EB"/>
    <w:rsid w:val="00007705"/>
    <w:rsid w:val="00007CA9"/>
    <w:rsid w:val="00007CB6"/>
    <w:rsid w:val="0001091E"/>
    <w:rsid w:val="0001103F"/>
    <w:rsid w:val="00011559"/>
    <w:rsid w:val="000115EA"/>
    <w:rsid w:val="00011824"/>
    <w:rsid w:val="00013031"/>
    <w:rsid w:val="000133E4"/>
    <w:rsid w:val="00013635"/>
    <w:rsid w:val="00013834"/>
    <w:rsid w:val="00014272"/>
    <w:rsid w:val="00014434"/>
    <w:rsid w:val="000144BC"/>
    <w:rsid w:val="0001461D"/>
    <w:rsid w:val="00014F21"/>
    <w:rsid w:val="000153D2"/>
    <w:rsid w:val="00015934"/>
    <w:rsid w:val="00016031"/>
    <w:rsid w:val="00016220"/>
    <w:rsid w:val="0001670C"/>
    <w:rsid w:val="00016C8B"/>
    <w:rsid w:val="0002009F"/>
    <w:rsid w:val="000207A9"/>
    <w:rsid w:val="000209C9"/>
    <w:rsid w:val="00020AE6"/>
    <w:rsid w:val="00021236"/>
    <w:rsid w:val="00021425"/>
    <w:rsid w:val="00022054"/>
    <w:rsid w:val="0002339E"/>
    <w:rsid w:val="00023829"/>
    <w:rsid w:val="00023904"/>
    <w:rsid w:val="00024344"/>
    <w:rsid w:val="000244BC"/>
    <w:rsid w:val="000244D6"/>
    <w:rsid w:val="00024F7C"/>
    <w:rsid w:val="00025302"/>
    <w:rsid w:val="00025826"/>
    <w:rsid w:val="0002585F"/>
    <w:rsid w:val="00025AC6"/>
    <w:rsid w:val="0002613E"/>
    <w:rsid w:val="00027055"/>
    <w:rsid w:val="00030B45"/>
    <w:rsid w:val="0003180E"/>
    <w:rsid w:val="00031C94"/>
    <w:rsid w:val="00031F37"/>
    <w:rsid w:val="00033510"/>
    <w:rsid w:val="00033B4F"/>
    <w:rsid w:val="000345E4"/>
    <w:rsid w:val="00034CBA"/>
    <w:rsid w:val="00034D08"/>
    <w:rsid w:val="000356D0"/>
    <w:rsid w:val="00035BBE"/>
    <w:rsid w:val="00035EBC"/>
    <w:rsid w:val="0003612A"/>
    <w:rsid w:val="0003632F"/>
    <w:rsid w:val="0003633E"/>
    <w:rsid w:val="00037E4D"/>
    <w:rsid w:val="00037E4E"/>
    <w:rsid w:val="00040272"/>
    <w:rsid w:val="00040FAC"/>
    <w:rsid w:val="0004134C"/>
    <w:rsid w:val="00041DBE"/>
    <w:rsid w:val="00043521"/>
    <w:rsid w:val="0004380A"/>
    <w:rsid w:val="00043D24"/>
    <w:rsid w:val="00045639"/>
    <w:rsid w:val="00045891"/>
    <w:rsid w:val="00045985"/>
    <w:rsid w:val="00045A29"/>
    <w:rsid w:val="00046AB5"/>
    <w:rsid w:val="00046B14"/>
    <w:rsid w:val="000477E8"/>
    <w:rsid w:val="0004793B"/>
    <w:rsid w:val="00047975"/>
    <w:rsid w:val="00047F42"/>
    <w:rsid w:val="000506DC"/>
    <w:rsid w:val="00050D64"/>
    <w:rsid w:val="00051997"/>
    <w:rsid w:val="00051EB0"/>
    <w:rsid w:val="00052C31"/>
    <w:rsid w:val="00052EDC"/>
    <w:rsid w:val="00053AE8"/>
    <w:rsid w:val="00053C58"/>
    <w:rsid w:val="00054E26"/>
    <w:rsid w:val="00054E3E"/>
    <w:rsid w:val="000553F9"/>
    <w:rsid w:val="00055715"/>
    <w:rsid w:val="00055D3E"/>
    <w:rsid w:val="00055DD5"/>
    <w:rsid w:val="000566B4"/>
    <w:rsid w:val="000568E4"/>
    <w:rsid w:val="00056C86"/>
    <w:rsid w:val="00056CE9"/>
    <w:rsid w:val="00056FC6"/>
    <w:rsid w:val="000578BD"/>
    <w:rsid w:val="00057CFB"/>
    <w:rsid w:val="00060A53"/>
    <w:rsid w:val="00060F20"/>
    <w:rsid w:val="00061346"/>
    <w:rsid w:val="000617C1"/>
    <w:rsid w:val="00061E80"/>
    <w:rsid w:val="00062AC8"/>
    <w:rsid w:val="00062BDB"/>
    <w:rsid w:val="00063B24"/>
    <w:rsid w:val="00063E10"/>
    <w:rsid w:val="000647B4"/>
    <w:rsid w:val="00065875"/>
    <w:rsid w:val="00065DEA"/>
    <w:rsid w:val="00066259"/>
    <w:rsid w:val="0006679C"/>
    <w:rsid w:val="000673F7"/>
    <w:rsid w:val="0007049B"/>
    <w:rsid w:val="00070A78"/>
    <w:rsid w:val="00070BF4"/>
    <w:rsid w:val="00070CD6"/>
    <w:rsid w:val="000721A7"/>
    <w:rsid w:val="000721AC"/>
    <w:rsid w:val="000725CC"/>
    <w:rsid w:val="00072F87"/>
    <w:rsid w:val="00072FC5"/>
    <w:rsid w:val="000733ED"/>
    <w:rsid w:val="00073BE3"/>
    <w:rsid w:val="000753A0"/>
    <w:rsid w:val="00077363"/>
    <w:rsid w:val="0007742E"/>
    <w:rsid w:val="000775AA"/>
    <w:rsid w:val="000776AA"/>
    <w:rsid w:val="000778A8"/>
    <w:rsid w:val="000778F3"/>
    <w:rsid w:val="00080394"/>
    <w:rsid w:val="00080611"/>
    <w:rsid w:val="0008085F"/>
    <w:rsid w:val="00080903"/>
    <w:rsid w:val="00080E01"/>
    <w:rsid w:val="0008256C"/>
    <w:rsid w:val="000825DB"/>
    <w:rsid w:val="00082681"/>
    <w:rsid w:val="00082B5B"/>
    <w:rsid w:val="00082C24"/>
    <w:rsid w:val="0008380D"/>
    <w:rsid w:val="00083D47"/>
    <w:rsid w:val="00084088"/>
    <w:rsid w:val="000846AD"/>
    <w:rsid w:val="000853DE"/>
    <w:rsid w:val="00085420"/>
    <w:rsid w:val="00086167"/>
    <w:rsid w:val="00086827"/>
    <w:rsid w:val="00087173"/>
    <w:rsid w:val="00087206"/>
    <w:rsid w:val="00087AA8"/>
    <w:rsid w:val="00090012"/>
    <w:rsid w:val="00090086"/>
    <w:rsid w:val="000905E6"/>
    <w:rsid w:val="000911CC"/>
    <w:rsid w:val="000917D6"/>
    <w:rsid w:val="00091D25"/>
    <w:rsid w:val="00091D5F"/>
    <w:rsid w:val="000925A3"/>
    <w:rsid w:val="00093086"/>
    <w:rsid w:val="0009311D"/>
    <w:rsid w:val="00093C14"/>
    <w:rsid w:val="000941B3"/>
    <w:rsid w:val="0009438A"/>
    <w:rsid w:val="00094D23"/>
    <w:rsid w:val="00095D29"/>
    <w:rsid w:val="00096BB3"/>
    <w:rsid w:val="00097580"/>
    <w:rsid w:val="0009760E"/>
    <w:rsid w:val="00097688"/>
    <w:rsid w:val="0009778F"/>
    <w:rsid w:val="000A03CF"/>
    <w:rsid w:val="000A04F6"/>
    <w:rsid w:val="000A0E8F"/>
    <w:rsid w:val="000A11F1"/>
    <w:rsid w:val="000A1431"/>
    <w:rsid w:val="000A194E"/>
    <w:rsid w:val="000A1F21"/>
    <w:rsid w:val="000A27F3"/>
    <w:rsid w:val="000A2847"/>
    <w:rsid w:val="000A3FD8"/>
    <w:rsid w:val="000A43CC"/>
    <w:rsid w:val="000A440B"/>
    <w:rsid w:val="000A4BA7"/>
    <w:rsid w:val="000A5339"/>
    <w:rsid w:val="000A584C"/>
    <w:rsid w:val="000A5C20"/>
    <w:rsid w:val="000A5D57"/>
    <w:rsid w:val="000A5E61"/>
    <w:rsid w:val="000A6F85"/>
    <w:rsid w:val="000A71BA"/>
    <w:rsid w:val="000A76FC"/>
    <w:rsid w:val="000A7BB4"/>
    <w:rsid w:val="000A7BC6"/>
    <w:rsid w:val="000A7CEC"/>
    <w:rsid w:val="000A7E93"/>
    <w:rsid w:val="000A7F54"/>
    <w:rsid w:val="000B0058"/>
    <w:rsid w:val="000B03DB"/>
    <w:rsid w:val="000B16E5"/>
    <w:rsid w:val="000B1752"/>
    <w:rsid w:val="000B17CE"/>
    <w:rsid w:val="000B1EC7"/>
    <w:rsid w:val="000B25B5"/>
    <w:rsid w:val="000B435A"/>
    <w:rsid w:val="000B53D3"/>
    <w:rsid w:val="000B5AE7"/>
    <w:rsid w:val="000B6209"/>
    <w:rsid w:val="000B63D6"/>
    <w:rsid w:val="000B68C9"/>
    <w:rsid w:val="000B7B19"/>
    <w:rsid w:val="000C049F"/>
    <w:rsid w:val="000C0FEF"/>
    <w:rsid w:val="000C14A5"/>
    <w:rsid w:val="000C214E"/>
    <w:rsid w:val="000C283D"/>
    <w:rsid w:val="000C2A63"/>
    <w:rsid w:val="000C380D"/>
    <w:rsid w:val="000C38F6"/>
    <w:rsid w:val="000C3A3D"/>
    <w:rsid w:val="000C4048"/>
    <w:rsid w:val="000C4DF4"/>
    <w:rsid w:val="000C51F8"/>
    <w:rsid w:val="000C5F1F"/>
    <w:rsid w:val="000C6122"/>
    <w:rsid w:val="000C70AC"/>
    <w:rsid w:val="000D1A00"/>
    <w:rsid w:val="000D1DD3"/>
    <w:rsid w:val="000D3166"/>
    <w:rsid w:val="000D36DF"/>
    <w:rsid w:val="000D3A27"/>
    <w:rsid w:val="000D4C71"/>
    <w:rsid w:val="000D578D"/>
    <w:rsid w:val="000D5A00"/>
    <w:rsid w:val="000E09A5"/>
    <w:rsid w:val="000E16A1"/>
    <w:rsid w:val="000E2A08"/>
    <w:rsid w:val="000E389D"/>
    <w:rsid w:val="000E3EFB"/>
    <w:rsid w:val="000E4B10"/>
    <w:rsid w:val="000E5054"/>
    <w:rsid w:val="000E5166"/>
    <w:rsid w:val="000E51A7"/>
    <w:rsid w:val="000E5D47"/>
    <w:rsid w:val="000E6CF7"/>
    <w:rsid w:val="000E782E"/>
    <w:rsid w:val="000E7BF1"/>
    <w:rsid w:val="000F03FD"/>
    <w:rsid w:val="000F0450"/>
    <w:rsid w:val="000F0757"/>
    <w:rsid w:val="000F089B"/>
    <w:rsid w:val="000F09EB"/>
    <w:rsid w:val="000F108E"/>
    <w:rsid w:val="000F1B8D"/>
    <w:rsid w:val="000F1F0A"/>
    <w:rsid w:val="000F1FC6"/>
    <w:rsid w:val="000F2604"/>
    <w:rsid w:val="000F27CF"/>
    <w:rsid w:val="000F3453"/>
    <w:rsid w:val="000F3879"/>
    <w:rsid w:val="000F3928"/>
    <w:rsid w:val="000F3D22"/>
    <w:rsid w:val="000F461B"/>
    <w:rsid w:val="000F49E5"/>
    <w:rsid w:val="000F4A8F"/>
    <w:rsid w:val="000F52E5"/>
    <w:rsid w:val="000F5769"/>
    <w:rsid w:val="000F5D49"/>
    <w:rsid w:val="000F5DA0"/>
    <w:rsid w:val="000F6561"/>
    <w:rsid w:val="000F66EF"/>
    <w:rsid w:val="000F710D"/>
    <w:rsid w:val="000F7685"/>
    <w:rsid w:val="000F7BFB"/>
    <w:rsid w:val="000F7CC1"/>
    <w:rsid w:val="00100ACC"/>
    <w:rsid w:val="0010129C"/>
    <w:rsid w:val="00101566"/>
    <w:rsid w:val="00102EB9"/>
    <w:rsid w:val="00102F94"/>
    <w:rsid w:val="0010328D"/>
    <w:rsid w:val="00103323"/>
    <w:rsid w:val="00103EC2"/>
    <w:rsid w:val="001049E2"/>
    <w:rsid w:val="0010503E"/>
    <w:rsid w:val="001055B6"/>
    <w:rsid w:val="0010623D"/>
    <w:rsid w:val="00106FD6"/>
    <w:rsid w:val="00107148"/>
    <w:rsid w:val="001078C6"/>
    <w:rsid w:val="00110E69"/>
    <w:rsid w:val="00111E40"/>
    <w:rsid w:val="00112A19"/>
    <w:rsid w:val="00113DCC"/>
    <w:rsid w:val="00114961"/>
    <w:rsid w:val="001150CC"/>
    <w:rsid w:val="001154A8"/>
    <w:rsid w:val="001155EB"/>
    <w:rsid w:val="001156C4"/>
    <w:rsid w:val="001158AB"/>
    <w:rsid w:val="00116AFE"/>
    <w:rsid w:val="00116E2A"/>
    <w:rsid w:val="00120187"/>
    <w:rsid w:val="00120332"/>
    <w:rsid w:val="00120379"/>
    <w:rsid w:val="00120721"/>
    <w:rsid w:val="001213B5"/>
    <w:rsid w:val="00122260"/>
    <w:rsid w:val="00122403"/>
    <w:rsid w:val="00122A55"/>
    <w:rsid w:val="00122E17"/>
    <w:rsid w:val="00123498"/>
    <w:rsid w:val="00123CF9"/>
    <w:rsid w:val="00123F63"/>
    <w:rsid w:val="001240AA"/>
    <w:rsid w:val="001245F0"/>
    <w:rsid w:val="00125F69"/>
    <w:rsid w:val="00126395"/>
    <w:rsid w:val="001274D1"/>
    <w:rsid w:val="00127776"/>
    <w:rsid w:val="00131911"/>
    <w:rsid w:val="00132140"/>
    <w:rsid w:val="001321E3"/>
    <w:rsid w:val="001324AE"/>
    <w:rsid w:val="00132999"/>
    <w:rsid w:val="00132E81"/>
    <w:rsid w:val="00133318"/>
    <w:rsid w:val="00133EED"/>
    <w:rsid w:val="00135358"/>
    <w:rsid w:val="0013653F"/>
    <w:rsid w:val="00136CDA"/>
    <w:rsid w:val="0013724B"/>
    <w:rsid w:val="0013730D"/>
    <w:rsid w:val="0013755E"/>
    <w:rsid w:val="001377C6"/>
    <w:rsid w:val="00137888"/>
    <w:rsid w:val="0014095D"/>
    <w:rsid w:val="0014099E"/>
    <w:rsid w:val="00140CFC"/>
    <w:rsid w:val="0014122B"/>
    <w:rsid w:val="00141974"/>
    <w:rsid w:val="001428B9"/>
    <w:rsid w:val="00142F8A"/>
    <w:rsid w:val="00144314"/>
    <w:rsid w:val="00144710"/>
    <w:rsid w:val="00144939"/>
    <w:rsid w:val="00144E92"/>
    <w:rsid w:val="00144EBD"/>
    <w:rsid w:val="0014504E"/>
    <w:rsid w:val="00145093"/>
    <w:rsid w:val="00145890"/>
    <w:rsid w:val="00145923"/>
    <w:rsid w:val="00145ECC"/>
    <w:rsid w:val="0014645C"/>
    <w:rsid w:val="001465D3"/>
    <w:rsid w:val="001469C8"/>
    <w:rsid w:val="00146BF5"/>
    <w:rsid w:val="00146F02"/>
    <w:rsid w:val="00147138"/>
    <w:rsid w:val="00147536"/>
    <w:rsid w:val="00147D40"/>
    <w:rsid w:val="00150345"/>
    <w:rsid w:val="0015041A"/>
    <w:rsid w:val="001504C8"/>
    <w:rsid w:val="00150721"/>
    <w:rsid w:val="001521D0"/>
    <w:rsid w:val="00152619"/>
    <w:rsid w:val="00152C35"/>
    <w:rsid w:val="00152DCF"/>
    <w:rsid w:val="00153658"/>
    <w:rsid w:val="00153D82"/>
    <w:rsid w:val="0015409C"/>
    <w:rsid w:val="001554BE"/>
    <w:rsid w:val="00155D63"/>
    <w:rsid w:val="001560C5"/>
    <w:rsid w:val="00156381"/>
    <w:rsid w:val="00157035"/>
    <w:rsid w:val="0015753B"/>
    <w:rsid w:val="001576FD"/>
    <w:rsid w:val="0016035A"/>
    <w:rsid w:val="00160418"/>
    <w:rsid w:val="00160529"/>
    <w:rsid w:val="00160975"/>
    <w:rsid w:val="001612C7"/>
    <w:rsid w:val="001616E2"/>
    <w:rsid w:val="00161872"/>
    <w:rsid w:val="00161F08"/>
    <w:rsid w:val="0016220C"/>
    <w:rsid w:val="00162408"/>
    <w:rsid w:val="00162B28"/>
    <w:rsid w:val="00164408"/>
    <w:rsid w:val="00164A51"/>
    <w:rsid w:val="00165EF9"/>
    <w:rsid w:val="00165F59"/>
    <w:rsid w:val="001667F7"/>
    <w:rsid w:val="001668A3"/>
    <w:rsid w:val="00167385"/>
    <w:rsid w:val="00170015"/>
    <w:rsid w:val="001701DB"/>
    <w:rsid w:val="00170297"/>
    <w:rsid w:val="001702B1"/>
    <w:rsid w:val="0017052E"/>
    <w:rsid w:val="00170B03"/>
    <w:rsid w:val="00170EF8"/>
    <w:rsid w:val="001719BC"/>
    <w:rsid w:val="0017205F"/>
    <w:rsid w:val="001729A8"/>
    <w:rsid w:val="001729E2"/>
    <w:rsid w:val="00172ACB"/>
    <w:rsid w:val="00174008"/>
    <w:rsid w:val="0017440D"/>
    <w:rsid w:val="001745BD"/>
    <w:rsid w:val="00174808"/>
    <w:rsid w:val="001749E1"/>
    <w:rsid w:val="001753B0"/>
    <w:rsid w:val="00175E00"/>
    <w:rsid w:val="001760E7"/>
    <w:rsid w:val="00176625"/>
    <w:rsid w:val="001767D6"/>
    <w:rsid w:val="00176DFF"/>
    <w:rsid w:val="00177493"/>
    <w:rsid w:val="00177EB5"/>
    <w:rsid w:val="00180959"/>
    <w:rsid w:val="00180BD2"/>
    <w:rsid w:val="00180CBD"/>
    <w:rsid w:val="00180FAD"/>
    <w:rsid w:val="00182721"/>
    <w:rsid w:val="0018292F"/>
    <w:rsid w:val="00183A48"/>
    <w:rsid w:val="00183BA8"/>
    <w:rsid w:val="00183D25"/>
    <w:rsid w:val="00183DE2"/>
    <w:rsid w:val="0018409B"/>
    <w:rsid w:val="0018474E"/>
    <w:rsid w:val="001848E6"/>
    <w:rsid w:val="00184C34"/>
    <w:rsid w:val="0018553E"/>
    <w:rsid w:val="0018607D"/>
    <w:rsid w:val="001861CE"/>
    <w:rsid w:val="00186BDF"/>
    <w:rsid w:val="00187196"/>
    <w:rsid w:val="00187419"/>
    <w:rsid w:val="0019009F"/>
    <w:rsid w:val="00190156"/>
    <w:rsid w:val="001909E6"/>
    <w:rsid w:val="00190BAD"/>
    <w:rsid w:val="001910D6"/>
    <w:rsid w:val="00191D77"/>
    <w:rsid w:val="00192502"/>
    <w:rsid w:val="00192711"/>
    <w:rsid w:val="00192918"/>
    <w:rsid w:val="00192D36"/>
    <w:rsid w:val="00193F90"/>
    <w:rsid w:val="001945A7"/>
    <w:rsid w:val="00194D22"/>
    <w:rsid w:val="00195108"/>
    <w:rsid w:val="00195A17"/>
    <w:rsid w:val="00195F5D"/>
    <w:rsid w:val="001962E9"/>
    <w:rsid w:val="00196F52"/>
    <w:rsid w:val="00197FD8"/>
    <w:rsid w:val="001A1E60"/>
    <w:rsid w:val="001A33FF"/>
    <w:rsid w:val="001A3E74"/>
    <w:rsid w:val="001A444C"/>
    <w:rsid w:val="001A5BA6"/>
    <w:rsid w:val="001A6272"/>
    <w:rsid w:val="001A6C0B"/>
    <w:rsid w:val="001A6EBA"/>
    <w:rsid w:val="001A7044"/>
    <w:rsid w:val="001A79E5"/>
    <w:rsid w:val="001A7B55"/>
    <w:rsid w:val="001A7BCB"/>
    <w:rsid w:val="001A7CF6"/>
    <w:rsid w:val="001B003A"/>
    <w:rsid w:val="001B03EA"/>
    <w:rsid w:val="001B0729"/>
    <w:rsid w:val="001B15F1"/>
    <w:rsid w:val="001B1950"/>
    <w:rsid w:val="001B264F"/>
    <w:rsid w:val="001B26A1"/>
    <w:rsid w:val="001B26CF"/>
    <w:rsid w:val="001B2761"/>
    <w:rsid w:val="001B2CFE"/>
    <w:rsid w:val="001B2F80"/>
    <w:rsid w:val="001B4AC1"/>
    <w:rsid w:val="001B4DA9"/>
    <w:rsid w:val="001B56A0"/>
    <w:rsid w:val="001B60CA"/>
    <w:rsid w:val="001B6190"/>
    <w:rsid w:val="001B6324"/>
    <w:rsid w:val="001B646C"/>
    <w:rsid w:val="001B6538"/>
    <w:rsid w:val="001B7329"/>
    <w:rsid w:val="001B7425"/>
    <w:rsid w:val="001C02B2"/>
    <w:rsid w:val="001C0DBF"/>
    <w:rsid w:val="001C1026"/>
    <w:rsid w:val="001C10FF"/>
    <w:rsid w:val="001C14DD"/>
    <w:rsid w:val="001C1E41"/>
    <w:rsid w:val="001C253A"/>
    <w:rsid w:val="001C25DC"/>
    <w:rsid w:val="001C2DAC"/>
    <w:rsid w:val="001C421D"/>
    <w:rsid w:val="001C4556"/>
    <w:rsid w:val="001C49D7"/>
    <w:rsid w:val="001C5683"/>
    <w:rsid w:val="001C666B"/>
    <w:rsid w:val="001C6BB5"/>
    <w:rsid w:val="001C6E73"/>
    <w:rsid w:val="001C7658"/>
    <w:rsid w:val="001C7BA3"/>
    <w:rsid w:val="001C7E18"/>
    <w:rsid w:val="001C7F83"/>
    <w:rsid w:val="001D009E"/>
    <w:rsid w:val="001D00A3"/>
    <w:rsid w:val="001D0867"/>
    <w:rsid w:val="001D0AFD"/>
    <w:rsid w:val="001D1056"/>
    <w:rsid w:val="001D159E"/>
    <w:rsid w:val="001D1D4C"/>
    <w:rsid w:val="001D1F57"/>
    <w:rsid w:val="001D29C4"/>
    <w:rsid w:val="001D2F61"/>
    <w:rsid w:val="001D30BC"/>
    <w:rsid w:val="001D4816"/>
    <w:rsid w:val="001D4FE9"/>
    <w:rsid w:val="001D52FE"/>
    <w:rsid w:val="001D55AD"/>
    <w:rsid w:val="001D572C"/>
    <w:rsid w:val="001D5CAA"/>
    <w:rsid w:val="001D5DDE"/>
    <w:rsid w:val="001D67ED"/>
    <w:rsid w:val="001D67F5"/>
    <w:rsid w:val="001D6942"/>
    <w:rsid w:val="001D7185"/>
    <w:rsid w:val="001E0AC7"/>
    <w:rsid w:val="001E0EBE"/>
    <w:rsid w:val="001E12EB"/>
    <w:rsid w:val="001E1835"/>
    <w:rsid w:val="001E1D44"/>
    <w:rsid w:val="001E26B1"/>
    <w:rsid w:val="001E40C5"/>
    <w:rsid w:val="001E433E"/>
    <w:rsid w:val="001E497C"/>
    <w:rsid w:val="001E4B20"/>
    <w:rsid w:val="001E51A4"/>
    <w:rsid w:val="001E606B"/>
    <w:rsid w:val="001E7E89"/>
    <w:rsid w:val="001F0A0E"/>
    <w:rsid w:val="001F0C31"/>
    <w:rsid w:val="001F0E05"/>
    <w:rsid w:val="001F0E67"/>
    <w:rsid w:val="001F1923"/>
    <w:rsid w:val="001F1B9B"/>
    <w:rsid w:val="001F229B"/>
    <w:rsid w:val="001F2368"/>
    <w:rsid w:val="001F28F6"/>
    <w:rsid w:val="001F2996"/>
    <w:rsid w:val="001F2D9E"/>
    <w:rsid w:val="001F3082"/>
    <w:rsid w:val="001F38CB"/>
    <w:rsid w:val="001F3B32"/>
    <w:rsid w:val="001F3D4A"/>
    <w:rsid w:val="001F3E02"/>
    <w:rsid w:val="001F3EE8"/>
    <w:rsid w:val="001F4AF2"/>
    <w:rsid w:val="001F4E98"/>
    <w:rsid w:val="001F5800"/>
    <w:rsid w:val="001F5B3F"/>
    <w:rsid w:val="001F5DAE"/>
    <w:rsid w:val="001F6B7D"/>
    <w:rsid w:val="001F6FED"/>
    <w:rsid w:val="001F770D"/>
    <w:rsid w:val="001F7DF8"/>
    <w:rsid w:val="002006CE"/>
    <w:rsid w:val="00200833"/>
    <w:rsid w:val="00200A45"/>
    <w:rsid w:val="00201089"/>
    <w:rsid w:val="00201682"/>
    <w:rsid w:val="00201690"/>
    <w:rsid w:val="002019AD"/>
    <w:rsid w:val="002020A9"/>
    <w:rsid w:val="00202998"/>
    <w:rsid w:val="002030C4"/>
    <w:rsid w:val="00203358"/>
    <w:rsid w:val="00203A79"/>
    <w:rsid w:val="00203FAA"/>
    <w:rsid w:val="00204537"/>
    <w:rsid w:val="00204A55"/>
    <w:rsid w:val="00204C2A"/>
    <w:rsid w:val="00204EF9"/>
    <w:rsid w:val="00205875"/>
    <w:rsid w:val="00206DD1"/>
    <w:rsid w:val="0020769E"/>
    <w:rsid w:val="002101E7"/>
    <w:rsid w:val="00210299"/>
    <w:rsid w:val="00210814"/>
    <w:rsid w:val="00211334"/>
    <w:rsid w:val="00211519"/>
    <w:rsid w:val="002118A2"/>
    <w:rsid w:val="00212060"/>
    <w:rsid w:val="0021298E"/>
    <w:rsid w:val="00212B2F"/>
    <w:rsid w:val="00212B46"/>
    <w:rsid w:val="00213E1D"/>
    <w:rsid w:val="002142BC"/>
    <w:rsid w:val="00214E87"/>
    <w:rsid w:val="00215178"/>
    <w:rsid w:val="0021572B"/>
    <w:rsid w:val="0021607A"/>
    <w:rsid w:val="002160AA"/>
    <w:rsid w:val="002160ED"/>
    <w:rsid w:val="002161EF"/>
    <w:rsid w:val="002165EE"/>
    <w:rsid w:val="002167ED"/>
    <w:rsid w:val="00217BC7"/>
    <w:rsid w:val="00220492"/>
    <w:rsid w:val="00220ACE"/>
    <w:rsid w:val="00220C57"/>
    <w:rsid w:val="00221381"/>
    <w:rsid w:val="00221E6C"/>
    <w:rsid w:val="00221E7C"/>
    <w:rsid w:val="002220A6"/>
    <w:rsid w:val="002221CE"/>
    <w:rsid w:val="0022260E"/>
    <w:rsid w:val="002229A6"/>
    <w:rsid w:val="00223669"/>
    <w:rsid w:val="002236B2"/>
    <w:rsid w:val="002244E6"/>
    <w:rsid w:val="0022495D"/>
    <w:rsid w:val="00224AB2"/>
    <w:rsid w:val="002255FD"/>
    <w:rsid w:val="00225963"/>
    <w:rsid w:val="002259FC"/>
    <w:rsid w:val="00225FF0"/>
    <w:rsid w:val="002263FF"/>
    <w:rsid w:val="00226AD4"/>
    <w:rsid w:val="00227140"/>
    <w:rsid w:val="002273C7"/>
    <w:rsid w:val="00227CC9"/>
    <w:rsid w:val="0023029C"/>
    <w:rsid w:val="00230400"/>
    <w:rsid w:val="00230BFC"/>
    <w:rsid w:val="0023149E"/>
    <w:rsid w:val="00232ECC"/>
    <w:rsid w:val="002332B4"/>
    <w:rsid w:val="00233C42"/>
    <w:rsid w:val="00233FBB"/>
    <w:rsid w:val="00234218"/>
    <w:rsid w:val="00235001"/>
    <w:rsid w:val="00235276"/>
    <w:rsid w:val="0023565D"/>
    <w:rsid w:val="00235744"/>
    <w:rsid w:val="0023589A"/>
    <w:rsid w:val="00236017"/>
    <w:rsid w:val="00236084"/>
    <w:rsid w:val="0023634B"/>
    <w:rsid w:val="00236719"/>
    <w:rsid w:val="00236C5C"/>
    <w:rsid w:val="002403A5"/>
    <w:rsid w:val="0024046E"/>
    <w:rsid w:val="00240563"/>
    <w:rsid w:val="00240E84"/>
    <w:rsid w:val="002411B7"/>
    <w:rsid w:val="00241882"/>
    <w:rsid w:val="0024202D"/>
    <w:rsid w:val="002421B8"/>
    <w:rsid w:val="00242F7D"/>
    <w:rsid w:val="002433F4"/>
    <w:rsid w:val="00243CAB"/>
    <w:rsid w:val="002441FF"/>
    <w:rsid w:val="00244441"/>
    <w:rsid w:val="00244DC6"/>
    <w:rsid w:val="002453D3"/>
    <w:rsid w:val="0024569F"/>
    <w:rsid w:val="0024579F"/>
    <w:rsid w:val="0024585B"/>
    <w:rsid w:val="00246184"/>
    <w:rsid w:val="002465B2"/>
    <w:rsid w:val="00246AC7"/>
    <w:rsid w:val="00246B7F"/>
    <w:rsid w:val="0024709C"/>
    <w:rsid w:val="0024769D"/>
    <w:rsid w:val="00247EE5"/>
    <w:rsid w:val="00250230"/>
    <w:rsid w:val="0025028F"/>
    <w:rsid w:val="00250949"/>
    <w:rsid w:val="00250CDB"/>
    <w:rsid w:val="00251154"/>
    <w:rsid w:val="0025295C"/>
    <w:rsid w:val="00253924"/>
    <w:rsid w:val="00254741"/>
    <w:rsid w:val="00255495"/>
    <w:rsid w:val="00255945"/>
    <w:rsid w:val="00255F73"/>
    <w:rsid w:val="002566FD"/>
    <w:rsid w:val="00256856"/>
    <w:rsid w:val="00256CEE"/>
    <w:rsid w:val="00256FC0"/>
    <w:rsid w:val="002571DB"/>
    <w:rsid w:val="00257C9F"/>
    <w:rsid w:val="00257D7F"/>
    <w:rsid w:val="002604AB"/>
    <w:rsid w:val="0026062A"/>
    <w:rsid w:val="002609B7"/>
    <w:rsid w:val="00260F6C"/>
    <w:rsid w:val="002619A6"/>
    <w:rsid w:val="00261DA3"/>
    <w:rsid w:val="0026218F"/>
    <w:rsid w:val="00262944"/>
    <w:rsid w:val="00262C80"/>
    <w:rsid w:val="00263290"/>
    <w:rsid w:val="002637E4"/>
    <w:rsid w:val="00263B6B"/>
    <w:rsid w:val="002642E5"/>
    <w:rsid w:val="00264459"/>
    <w:rsid w:val="0026492F"/>
    <w:rsid w:val="00265085"/>
    <w:rsid w:val="00265601"/>
    <w:rsid w:val="002658E6"/>
    <w:rsid w:val="00265D83"/>
    <w:rsid w:val="00265E23"/>
    <w:rsid w:val="0026609C"/>
    <w:rsid w:val="00266410"/>
    <w:rsid w:val="00267C55"/>
    <w:rsid w:val="00267DE9"/>
    <w:rsid w:val="00267E51"/>
    <w:rsid w:val="00267EEE"/>
    <w:rsid w:val="00271390"/>
    <w:rsid w:val="00272928"/>
    <w:rsid w:val="00272965"/>
    <w:rsid w:val="00272ADE"/>
    <w:rsid w:val="00272CEC"/>
    <w:rsid w:val="0027353A"/>
    <w:rsid w:val="00273CDC"/>
    <w:rsid w:val="002740D4"/>
    <w:rsid w:val="002741AA"/>
    <w:rsid w:val="0027427F"/>
    <w:rsid w:val="00274855"/>
    <w:rsid w:val="00275033"/>
    <w:rsid w:val="002751D3"/>
    <w:rsid w:val="0027536C"/>
    <w:rsid w:val="002760D3"/>
    <w:rsid w:val="002761FE"/>
    <w:rsid w:val="00276299"/>
    <w:rsid w:val="00276637"/>
    <w:rsid w:val="0027718A"/>
    <w:rsid w:val="002771A0"/>
    <w:rsid w:val="002778DF"/>
    <w:rsid w:val="002805BA"/>
    <w:rsid w:val="002813FC"/>
    <w:rsid w:val="002818CC"/>
    <w:rsid w:val="00281B2A"/>
    <w:rsid w:val="00281B4E"/>
    <w:rsid w:val="00281C10"/>
    <w:rsid w:val="00281EAC"/>
    <w:rsid w:val="00282087"/>
    <w:rsid w:val="0028228C"/>
    <w:rsid w:val="0028239E"/>
    <w:rsid w:val="00282669"/>
    <w:rsid w:val="002826C7"/>
    <w:rsid w:val="0028302E"/>
    <w:rsid w:val="002835C8"/>
    <w:rsid w:val="0028363D"/>
    <w:rsid w:val="0028366C"/>
    <w:rsid w:val="00283A2C"/>
    <w:rsid w:val="00283D5E"/>
    <w:rsid w:val="002849D4"/>
    <w:rsid w:val="00285020"/>
    <w:rsid w:val="0028534F"/>
    <w:rsid w:val="00285458"/>
    <w:rsid w:val="00286798"/>
    <w:rsid w:val="00286941"/>
    <w:rsid w:val="00286E18"/>
    <w:rsid w:val="00290C44"/>
    <w:rsid w:val="00290F24"/>
    <w:rsid w:val="0029105C"/>
    <w:rsid w:val="0029189A"/>
    <w:rsid w:val="00291FCA"/>
    <w:rsid w:val="002922D1"/>
    <w:rsid w:val="00292579"/>
    <w:rsid w:val="00292C9F"/>
    <w:rsid w:val="0029320B"/>
    <w:rsid w:val="00294D8C"/>
    <w:rsid w:val="00294E75"/>
    <w:rsid w:val="00295553"/>
    <w:rsid w:val="00296BE0"/>
    <w:rsid w:val="002977AD"/>
    <w:rsid w:val="00297D09"/>
    <w:rsid w:val="00297F0A"/>
    <w:rsid w:val="00297F24"/>
    <w:rsid w:val="002A069C"/>
    <w:rsid w:val="002A0B26"/>
    <w:rsid w:val="002A10EE"/>
    <w:rsid w:val="002A240B"/>
    <w:rsid w:val="002A2A46"/>
    <w:rsid w:val="002A2B8F"/>
    <w:rsid w:val="002A2F2C"/>
    <w:rsid w:val="002A3F33"/>
    <w:rsid w:val="002A49BD"/>
    <w:rsid w:val="002A4E58"/>
    <w:rsid w:val="002A6281"/>
    <w:rsid w:val="002A64BE"/>
    <w:rsid w:val="002A66A8"/>
    <w:rsid w:val="002A66DC"/>
    <w:rsid w:val="002A6750"/>
    <w:rsid w:val="002A6CED"/>
    <w:rsid w:val="002A6D8C"/>
    <w:rsid w:val="002A6E78"/>
    <w:rsid w:val="002A6F95"/>
    <w:rsid w:val="002A7164"/>
    <w:rsid w:val="002A744B"/>
    <w:rsid w:val="002A749A"/>
    <w:rsid w:val="002A7567"/>
    <w:rsid w:val="002A7900"/>
    <w:rsid w:val="002A7B52"/>
    <w:rsid w:val="002B0030"/>
    <w:rsid w:val="002B039F"/>
    <w:rsid w:val="002B0FE4"/>
    <w:rsid w:val="002B1208"/>
    <w:rsid w:val="002B137F"/>
    <w:rsid w:val="002B237B"/>
    <w:rsid w:val="002B252A"/>
    <w:rsid w:val="002B2ACF"/>
    <w:rsid w:val="002B36CF"/>
    <w:rsid w:val="002B3FC4"/>
    <w:rsid w:val="002B40F5"/>
    <w:rsid w:val="002B4211"/>
    <w:rsid w:val="002B56CD"/>
    <w:rsid w:val="002B5AB3"/>
    <w:rsid w:val="002B5B55"/>
    <w:rsid w:val="002B665C"/>
    <w:rsid w:val="002B6C13"/>
    <w:rsid w:val="002B7EEB"/>
    <w:rsid w:val="002C00D5"/>
    <w:rsid w:val="002C032C"/>
    <w:rsid w:val="002C04A1"/>
    <w:rsid w:val="002C0989"/>
    <w:rsid w:val="002C143C"/>
    <w:rsid w:val="002C1627"/>
    <w:rsid w:val="002C1C78"/>
    <w:rsid w:val="002C1F67"/>
    <w:rsid w:val="002C30A5"/>
    <w:rsid w:val="002C3C66"/>
    <w:rsid w:val="002C3F07"/>
    <w:rsid w:val="002C4644"/>
    <w:rsid w:val="002C46E3"/>
    <w:rsid w:val="002C4E4E"/>
    <w:rsid w:val="002C5023"/>
    <w:rsid w:val="002C558F"/>
    <w:rsid w:val="002C5B97"/>
    <w:rsid w:val="002C5FDF"/>
    <w:rsid w:val="002C6907"/>
    <w:rsid w:val="002D044D"/>
    <w:rsid w:val="002D09C8"/>
    <w:rsid w:val="002D0BF7"/>
    <w:rsid w:val="002D0F29"/>
    <w:rsid w:val="002D13B3"/>
    <w:rsid w:val="002D18FF"/>
    <w:rsid w:val="002D1A2C"/>
    <w:rsid w:val="002D2ED8"/>
    <w:rsid w:val="002D2FF8"/>
    <w:rsid w:val="002D31FF"/>
    <w:rsid w:val="002D3B05"/>
    <w:rsid w:val="002D3F73"/>
    <w:rsid w:val="002D44C5"/>
    <w:rsid w:val="002D45D6"/>
    <w:rsid w:val="002D4D24"/>
    <w:rsid w:val="002D6690"/>
    <w:rsid w:val="002D67B3"/>
    <w:rsid w:val="002D68EC"/>
    <w:rsid w:val="002D6C6B"/>
    <w:rsid w:val="002D7010"/>
    <w:rsid w:val="002D70E2"/>
    <w:rsid w:val="002D73BA"/>
    <w:rsid w:val="002E009E"/>
    <w:rsid w:val="002E0A20"/>
    <w:rsid w:val="002E182D"/>
    <w:rsid w:val="002E25CD"/>
    <w:rsid w:val="002E2723"/>
    <w:rsid w:val="002E2844"/>
    <w:rsid w:val="002E3DB3"/>
    <w:rsid w:val="002E459D"/>
    <w:rsid w:val="002E4B29"/>
    <w:rsid w:val="002E4EB4"/>
    <w:rsid w:val="002E6AF0"/>
    <w:rsid w:val="002E6B7F"/>
    <w:rsid w:val="002E7563"/>
    <w:rsid w:val="002E7BDF"/>
    <w:rsid w:val="002E7CFD"/>
    <w:rsid w:val="002F1514"/>
    <w:rsid w:val="002F253D"/>
    <w:rsid w:val="002F3002"/>
    <w:rsid w:val="002F35E9"/>
    <w:rsid w:val="002F3B78"/>
    <w:rsid w:val="002F3D6A"/>
    <w:rsid w:val="002F4B2C"/>
    <w:rsid w:val="002F4B95"/>
    <w:rsid w:val="002F573F"/>
    <w:rsid w:val="002F58F0"/>
    <w:rsid w:val="002F5ACD"/>
    <w:rsid w:val="002F6238"/>
    <w:rsid w:val="002F6887"/>
    <w:rsid w:val="002F6ACD"/>
    <w:rsid w:val="002F6D85"/>
    <w:rsid w:val="002F72B7"/>
    <w:rsid w:val="002F734B"/>
    <w:rsid w:val="002F78CB"/>
    <w:rsid w:val="002F7AA7"/>
    <w:rsid w:val="002F7D09"/>
    <w:rsid w:val="0030009C"/>
    <w:rsid w:val="00300311"/>
    <w:rsid w:val="0030047A"/>
    <w:rsid w:val="003007EE"/>
    <w:rsid w:val="00300A58"/>
    <w:rsid w:val="003017C6"/>
    <w:rsid w:val="003019D8"/>
    <w:rsid w:val="0030230A"/>
    <w:rsid w:val="003026E6"/>
    <w:rsid w:val="00302BBE"/>
    <w:rsid w:val="00302C20"/>
    <w:rsid w:val="00304824"/>
    <w:rsid w:val="00304EE8"/>
    <w:rsid w:val="00304F4F"/>
    <w:rsid w:val="00304F9E"/>
    <w:rsid w:val="003053C6"/>
    <w:rsid w:val="003063EE"/>
    <w:rsid w:val="003065C5"/>
    <w:rsid w:val="00306CCF"/>
    <w:rsid w:val="00306DB4"/>
    <w:rsid w:val="0030721E"/>
    <w:rsid w:val="0030754E"/>
    <w:rsid w:val="0031008D"/>
    <w:rsid w:val="003101DB"/>
    <w:rsid w:val="0031051C"/>
    <w:rsid w:val="00310CDA"/>
    <w:rsid w:val="00311121"/>
    <w:rsid w:val="003112C9"/>
    <w:rsid w:val="003112DF"/>
    <w:rsid w:val="0031170F"/>
    <w:rsid w:val="00312B6A"/>
    <w:rsid w:val="00313112"/>
    <w:rsid w:val="00313F57"/>
    <w:rsid w:val="00314C0D"/>
    <w:rsid w:val="003154EB"/>
    <w:rsid w:val="0031550A"/>
    <w:rsid w:val="00315592"/>
    <w:rsid w:val="00315769"/>
    <w:rsid w:val="00315870"/>
    <w:rsid w:val="00315BA6"/>
    <w:rsid w:val="00315BD1"/>
    <w:rsid w:val="00315C93"/>
    <w:rsid w:val="003160D3"/>
    <w:rsid w:val="003164C5"/>
    <w:rsid w:val="00316CB2"/>
    <w:rsid w:val="00317A37"/>
    <w:rsid w:val="00317A68"/>
    <w:rsid w:val="00317C55"/>
    <w:rsid w:val="00317D59"/>
    <w:rsid w:val="00320F08"/>
    <w:rsid w:val="00322114"/>
    <w:rsid w:val="003221D6"/>
    <w:rsid w:val="00322741"/>
    <w:rsid w:val="0032284F"/>
    <w:rsid w:val="00322E80"/>
    <w:rsid w:val="00324057"/>
    <w:rsid w:val="003242BA"/>
    <w:rsid w:val="003243AA"/>
    <w:rsid w:val="003247D0"/>
    <w:rsid w:val="00324ADF"/>
    <w:rsid w:val="00325F55"/>
    <w:rsid w:val="00326CCF"/>
    <w:rsid w:val="00326F5E"/>
    <w:rsid w:val="0032719F"/>
    <w:rsid w:val="00327304"/>
    <w:rsid w:val="0032751B"/>
    <w:rsid w:val="00330494"/>
    <w:rsid w:val="00331948"/>
    <w:rsid w:val="003319CC"/>
    <w:rsid w:val="0033242F"/>
    <w:rsid w:val="003327D0"/>
    <w:rsid w:val="00332800"/>
    <w:rsid w:val="003328C2"/>
    <w:rsid w:val="00332EAD"/>
    <w:rsid w:val="00332EC4"/>
    <w:rsid w:val="00332F7B"/>
    <w:rsid w:val="00333004"/>
    <w:rsid w:val="0033404C"/>
    <w:rsid w:val="0033411C"/>
    <w:rsid w:val="0033488B"/>
    <w:rsid w:val="003349D2"/>
    <w:rsid w:val="00334B30"/>
    <w:rsid w:val="00334FFF"/>
    <w:rsid w:val="003359D1"/>
    <w:rsid w:val="00335D86"/>
    <w:rsid w:val="00336024"/>
    <w:rsid w:val="003368DB"/>
    <w:rsid w:val="00336A7E"/>
    <w:rsid w:val="00336C32"/>
    <w:rsid w:val="00336CF4"/>
    <w:rsid w:val="00336E1F"/>
    <w:rsid w:val="00337294"/>
    <w:rsid w:val="00337C2A"/>
    <w:rsid w:val="00340048"/>
    <w:rsid w:val="003404EB"/>
    <w:rsid w:val="003406F5"/>
    <w:rsid w:val="00340987"/>
    <w:rsid w:val="003409C8"/>
    <w:rsid w:val="00340A17"/>
    <w:rsid w:val="00340DC1"/>
    <w:rsid w:val="00341748"/>
    <w:rsid w:val="00341992"/>
    <w:rsid w:val="00341E83"/>
    <w:rsid w:val="0034243F"/>
    <w:rsid w:val="0034295B"/>
    <w:rsid w:val="003440BA"/>
    <w:rsid w:val="003446CC"/>
    <w:rsid w:val="00345031"/>
    <w:rsid w:val="00345B16"/>
    <w:rsid w:val="00347195"/>
    <w:rsid w:val="00347439"/>
    <w:rsid w:val="00347976"/>
    <w:rsid w:val="0035026C"/>
    <w:rsid w:val="00350713"/>
    <w:rsid w:val="00350F38"/>
    <w:rsid w:val="00350FEF"/>
    <w:rsid w:val="0035120B"/>
    <w:rsid w:val="0035250C"/>
    <w:rsid w:val="00352637"/>
    <w:rsid w:val="00352862"/>
    <w:rsid w:val="00352E09"/>
    <w:rsid w:val="003530AF"/>
    <w:rsid w:val="0035361C"/>
    <w:rsid w:val="00353F1C"/>
    <w:rsid w:val="003541BE"/>
    <w:rsid w:val="00354334"/>
    <w:rsid w:val="00354814"/>
    <w:rsid w:val="00354830"/>
    <w:rsid w:val="00354E35"/>
    <w:rsid w:val="00354F49"/>
    <w:rsid w:val="00354FFD"/>
    <w:rsid w:val="00355B08"/>
    <w:rsid w:val="003568E6"/>
    <w:rsid w:val="0035756B"/>
    <w:rsid w:val="0035784A"/>
    <w:rsid w:val="00360026"/>
    <w:rsid w:val="0036090A"/>
    <w:rsid w:val="003609A6"/>
    <w:rsid w:val="00360B43"/>
    <w:rsid w:val="00360F3A"/>
    <w:rsid w:val="003614BA"/>
    <w:rsid w:val="0036164C"/>
    <w:rsid w:val="00361A9A"/>
    <w:rsid w:val="00361DBF"/>
    <w:rsid w:val="00362024"/>
    <w:rsid w:val="0036215F"/>
    <w:rsid w:val="003622EE"/>
    <w:rsid w:val="0036249A"/>
    <w:rsid w:val="0036297C"/>
    <w:rsid w:val="003637E4"/>
    <w:rsid w:val="0036393A"/>
    <w:rsid w:val="00363A6B"/>
    <w:rsid w:val="00363DEB"/>
    <w:rsid w:val="003647FD"/>
    <w:rsid w:val="003660ED"/>
    <w:rsid w:val="0036663D"/>
    <w:rsid w:val="003669C7"/>
    <w:rsid w:val="003672EF"/>
    <w:rsid w:val="00367746"/>
    <w:rsid w:val="003677D2"/>
    <w:rsid w:val="00367DA2"/>
    <w:rsid w:val="003703A1"/>
    <w:rsid w:val="003705AF"/>
    <w:rsid w:val="003708FE"/>
    <w:rsid w:val="0037221E"/>
    <w:rsid w:val="003723D1"/>
    <w:rsid w:val="00372649"/>
    <w:rsid w:val="0037279E"/>
    <w:rsid w:val="00372C99"/>
    <w:rsid w:val="0037326B"/>
    <w:rsid w:val="00373DBC"/>
    <w:rsid w:val="003742DF"/>
    <w:rsid w:val="0037558F"/>
    <w:rsid w:val="00376285"/>
    <w:rsid w:val="0037733C"/>
    <w:rsid w:val="003773E0"/>
    <w:rsid w:val="00377BC5"/>
    <w:rsid w:val="00377FAE"/>
    <w:rsid w:val="0038024C"/>
    <w:rsid w:val="00380485"/>
    <w:rsid w:val="003808F4"/>
    <w:rsid w:val="0038158D"/>
    <w:rsid w:val="00381BFD"/>
    <w:rsid w:val="003821A1"/>
    <w:rsid w:val="0038227C"/>
    <w:rsid w:val="00382977"/>
    <w:rsid w:val="003834D8"/>
    <w:rsid w:val="003834F7"/>
    <w:rsid w:val="003836D8"/>
    <w:rsid w:val="00383AF3"/>
    <w:rsid w:val="00384104"/>
    <w:rsid w:val="00384465"/>
    <w:rsid w:val="00384725"/>
    <w:rsid w:val="003849CF"/>
    <w:rsid w:val="00384C38"/>
    <w:rsid w:val="00384E26"/>
    <w:rsid w:val="00384F21"/>
    <w:rsid w:val="0038505F"/>
    <w:rsid w:val="003859D9"/>
    <w:rsid w:val="00385E16"/>
    <w:rsid w:val="00385E43"/>
    <w:rsid w:val="0038641D"/>
    <w:rsid w:val="0038657A"/>
    <w:rsid w:val="00386DE3"/>
    <w:rsid w:val="00386F3F"/>
    <w:rsid w:val="003876FE"/>
    <w:rsid w:val="00387EA2"/>
    <w:rsid w:val="0039054B"/>
    <w:rsid w:val="0039149A"/>
    <w:rsid w:val="003916A1"/>
    <w:rsid w:val="003922CF"/>
    <w:rsid w:val="0039285C"/>
    <w:rsid w:val="00392EC2"/>
    <w:rsid w:val="003935C5"/>
    <w:rsid w:val="00393B56"/>
    <w:rsid w:val="00393B8A"/>
    <w:rsid w:val="00394CF0"/>
    <w:rsid w:val="00394D0A"/>
    <w:rsid w:val="00394F1E"/>
    <w:rsid w:val="00395AD1"/>
    <w:rsid w:val="0039661E"/>
    <w:rsid w:val="00396648"/>
    <w:rsid w:val="003967B2"/>
    <w:rsid w:val="0039687B"/>
    <w:rsid w:val="003968A3"/>
    <w:rsid w:val="00396A0F"/>
    <w:rsid w:val="00396CD3"/>
    <w:rsid w:val="003972BF"/>
    <w:rsid w:val="003973CB"/>
    <w:rsid w:val="003A0319"/>
    <w:rsid w:val="003A0399"/>
    <w:rsid w:val="003A0C10"/>
    <w:rsid w:val="003A0DAF"/>
    <w:rsid w:val="003A107E"/>
    <w:rsid w:val="003A1188"/>
    <w:rsid w:val="003A1703"/>
    <w:rsid w:val="003A1D99"/>
    <w:rsid w:val="003A2A90"/>
    <w:rsid w:val="003A2E15"/>
    <w:rsid w:val="003A2EAE"/>
    <w:rsid w:val="003A3718"/>
    <w:rsid w:val="003A42F2"/>
    <w:rsid w:val="003A4650"/>
    <w:rsid w:val="003A53E6"/>
    <w:rsid w:val="003A59C9"/>
    <w:rsid w:val="003A61EF"/>
    <w:rsid w:val="003A6B4D"/>
    <w:rsid w:val="003A6F40"/>
    <w:rsid w:val="003B0295"/>
    <w:rsid w:val="003B0498"/>
    <w:rsid w:val="003B0AFE"/>
    <w:rsid w:val="003B14CD"/>
    <w:rsid w:val="003B1F28"/>
    <w:rsid w:val="003B229B"/>
    <w:rsid w:val="003B2683"/>
    <w:rsid w:val="003B26C6"/>
    <w:rsid w:val="003B29F4"/>
    <w:rsid w:val="003B2CC8"/>
    <w:rsid w:val="003B385C"/>
    <w:rsid w:val="003B4D42"/>
    <w:rsid w:val="003B4F33"/>
    <w:rsid w:val="003B525F"/>
    <w:rsid w:val="003B54D8"/>
    <w:rsid w:val="003B5C93"/>
    <w:rsid w:val="003B6B43"/>
    <w:rsid w:val="003B754F"/>
    <w:rsid w:val="003B7AFB"/>
    <w:rsid w:val="003C0065"/>
    <w:rsid w:val="003C01BA"/>
    <w:rsid w:val="003C03E5"/>
    <w:rsid w:val="003C0BCA"/>
    <w:rsid w:val="003C10E4"/>
    <w:rsid w:val="003C373D"/>
    <w:rsid w:val="003C37DC"/>
    <w:rsid w:val="003C3B4A"/>
    <w:rsid w:val="003C48D8"/>
    <w:rsid w:val="003C4A63"/>
    <w:rsid w:val="003C4C08"/>
    <w:rsid w:val="003C4C34"/>
    <w:rsid w:val="003C5320"/>
    <w:rsid w:val="003C6366"/>
    <w:rsid w:val="003C6A07"/>
    <w:rsid w:val="003D0211"/>
    <w:rsid w:val="003D0324"/>
    <w:rsid w:val="003D0656"/>
    <w:rsid w:val="003D107E"/>
    <w:rsid w:val="003D177C"/>
    <w:rsid w:val="003D363B"/>
    <w:rsid w:val="003D394D"/>
    <w:rsid w:val="003D3C64"/>
    <w:rsid w:val="003D3F6D"/>
    <w:rsid w:val="003D4995"/>
    <w:rsid w:val="003D4CD7"/>
    <w:rsid w:val="003D4CFB"/>
    <w:rsid w:val="003D5B3E"/>
    <w:rsid w:val="003D6405"/>
    <w:rsid w:val="003D7444"/>
    <w:rsid w:val="003E004C"/>
    <w:rsid w:val="003E0285"/>
    <w:rsid w:val="003E0380"/>
    <w:rsid w:val="003E03C1"/>
    <w:rsid w:val="003E1765"/>
    <w:rsid w:val="003E20F9"/>
    <w:rsid w:val="003E25A6"/>
    <w:rsid w:val="003E2B2F"/>
    <w:rsid w:val="003E2B3E"/>
    <w:rsid w:val="003E445A"/>
    <w:rsid w:val="003E46B1"/>
    <w:rsid w:val="003E4836"/>
    <w:rsid w:val="003E4D83"/>
    <w:rsid w:val="003E51CC"/>
    <w:rsid w:val="003E52EF"/>
    <w:rsid w:val="003E7588"/>
    <w:rsid w:val="003E7A72"/>
    <w:rsid w:val="003E7FA8"/>
    <w:rsid w:val="003F02EC"/>
    <w:rsid w:val="003F1794"/>
    <w:rsid w:val="003F1D4A"/>
    <w:rsid w:val="003F228C"/>
    <w:rsid w:val="003F2769"/>
    <w:rsid w:val="003F3668"/>
    <w:rsid w:val="003F39BC"/>
    <w:rsid w:val="003F5812"/>
    <w:rsid w:val="003F592B"/>
    <w:rsid w:val="003F610B"/>
    <w:rsid w:val="003F6CAB"/>
    <w:rsid w:val="00400369"/>
    <w:rsid w:val="004006B5"/>
    <w:rsid w:val="00400F27"/>
    <w:rsid w:val="0040180E"/>
    <w:rsid w:val="00401BAE"/>
    <w:rsid w:val="00402216"/>
    <w:rsid w:val="00402D21"/>
    <w:rsid w:val="00402E75"/>
    <w:rsid w:val="00403164"/>
    <w:rsid w:val="004038BC"/>
    <w:rsid w:val="004047A1"/>
    <w:rsid w:val="004047EB"/>
    <w:rsid w:val="004049D0"/>
    <w:rsid w:val="00404CB1"/>
    <w:rsid w:val="00404F27"/>
    <w:rsid w:val="004050B9"/>
    <w:rsid w:val="0040547C"/>
    <w:rsid w:val="00406BF8"/>
    <w:rsid w:val="00406C58"/>
    <w:rsid w:val="00406E20"/>
    <w:rsid w:val="00410418"/>
    <w:rsid w:val="0041046A"/>
    <w:rsid w:val="004122C5"/>
    <w:rsid w:val="0041260D"/>
    <w:rsid w:val="0041318D"/>
    <w:rsid w:val="004131E7"/>
    <w:rsid w:val="0041354C"/>
    <w:rsid w:val="00413591"/>
    <w:rsid w:val="004137AA"/>
    <w:rsid w:val="00413992"/>
    <w:rsid w:val="00413B43"/>
    <w:rsid w:val="0041405B"/>
    <w:rsid w:val="0041435E"/>
    <w:rsid w:val="00415346"/>
    <w:rsid w:val="004153BE"/>
    <w:rsid w:val="0041670A"/>
    <w:rsid w:val="004217B3"/>
    <w:rsid w:val="0042194D"/>
    <w:rsid w:val="00421FB4"/>
    <w:rsid w:val="004220EE"/>
    <w:rsid w:val="004224C4"/>
    <w:rsid w:val="004225FC"/>
    <w:rsid w:val="004227CB"/>
    <w:rsid w:val="00423FB3"/>
    <w:rsid w:val="0042427B"/>
    <w:rsid w:val="0042454F"/>
    <w:rsid w:val="0042489A"/>
    <w:rsid w:val="00424AF3"/>
    <w:rsid w:val="004258BE"/>
    <w:rsid w:val="00425BB9"/>
    <w:rsid w:val="00425E81"/>
    <w:rsid w:val="004263E8"/>
    <w:rsid w:val="004265F8"/>
    <w:rsid w:val="004266D2"/>
    <w:rsid w:val="004268E6"/>
    <w:rsid w:val="004274EB"/>
    <w:rsid w:val="00427CDE"/>
    <w:rsid w:val="004300DC"/>
    <w:rsid w:val="00430445"/>
    <w:rsid w:val="00431577"/>
    <w:rsid w:val="004324EF"/>
    <w:rsid w:val="004335EB"/>
    <w:rsid w:val="004339F8"/>
    <w:rsid w:val="004355B1"/>
    <w:rsid w:val="00435B24"/>
    <w:rsid w:val="00436D0E"/>
    <w:rsid w:val="0043740F"/>
    <w:rsid w:val="0044073F"/>
    <w:rsid w:val="004408BD"/>
    <w:rsid w:val="00440E9D"/>
    <w:rsid w:val="00441098"/>
    <w:rsid w:val="00441303"/>
    <w:rsid w:val="00441F5D"/>
    <w:rsid w:val="004422DC"/>
    <w:rsid w:val="00442324"/>
    <w:rsid w:val="0044282D"/>
    <w:rsid w:val="00442925"/>
    <w:rsid w:val="00443097"/>
    <w:rsid w:val="00443812"/>
    <w:rsid w:val="00443908"/>
    <w:rsid w:val="00443AE9"/>
    <w:rsid w:val="004441E9"/>
    <w:rsid w:val="0044420C"/>
    <w:rsid w:val="00444215"/>
    <w:rsid w:val="004443C9"/>
    <w:rsid w:val="0044462A"/>
    <w:rsid w:val="00444819"/>
    <w:rsid w:val="0044489D"/>
    <w:rsid w:val="00445521"/>
    <w:rsid w:val="0044582C"/>
    <w:rsid w:val="00445FE3"/>
    <w:rsid w:val="0044690A"/>
    <w:rsid w:val="00446F96"/>
    <w:rsid w:val="0044766C"/>
    <w:rsid w:val="00447B6C"/>
    <w:rsid w:val="00450230"/>
    <w:rsid w:val="0045064F"/>
    <w:rsid w:val="00451127"/>
    <w:rsid w:val="0045117A"/>
    <w:rsid w:val="00451276"/>
    <w:rsid w:val="00451700"/>
    <w:rsid w:val="00451C50"/>
    <w:rsid w:val="00451E36"/>
    <w:rsid w:val="0045236A"/>
    <w:rsid w:val="0045284B"/>
    <w:rsid w:val="00452D5C"/>
    <w:rsid w:val="00454509"/>
    <w:rsid w:val="00454967"/>
    <w:rsid w:val="00454D8C"/>
    <w:rsid w:val="004551ED"/>
    <w:rsid w:val="004556E4"/>
    <w:rsid w:val="00455DA7"/>
    <w:rsid w:val="00456E45"/>
    <w:rsid w:val="00457331"/>
    <w:rsid w:val="00457415"/>
    <w:rsid w:val="00457C37"/>
    <w:rsid w:val="00457E26"/>
    <w:rsid w:val="00460675"/>
    <w:rsid w:val="004607A3"/>
    <w:rsid w:val="00460947"/>
    <w:rsid w:val="0046097B"/>
    <w:rsid w:val="00460A40"/>
    <w:rsid w:val="00460E78"/>
    <w:rsid w:val="0046111E"/>
    <w:rsid w:val="00462BAF"/>
    <w:rsid w:val="00462C39"/>
    <w:rsid w:val="00463100"/>
    <w:rsid w:val="00463B42"/>
    <w:rsid w:val="00464689"/>
    <w:rsid w:val="00464DDF"/>
    <w:rsid w:val="00464EBF"/>
    <w:rsid w:val="00466D1C"/>
    <w:rsid w:val="00466DAF"/>
    <w:rsid w:val="00467BD0"/>
    <w:rsid w:val="00470B05"/>
    <w:rsid w:val="00470F70"/>
    <w:rsid w:val="00471D4B"/>
    <w:rsid w:val="00472531"/>
    <w:rsid w:val="00472E4A"/>
    <w:rsid w:val="004735A9"/>
    <w:rsid w:val="00473C44"/>
    <w:rsid w:val="00473D90"/>
    <w:rsid w:val="00473DD1"/>
    <w:rsid w:val="00474DF9"/>
    <w:rsid w:val="00474EC9"/>
    <w:rsid w:val="00475356"/>
    <w:rsid w:val="00475699"/>
    <w:rsid w:val="0047573B"/>
    <w:rsid w:val="004758C9"/>
    <w:rsid w:val="00476CCF"/>
    <w:rsid w:val="00477CE2"/>
    <w:rsid w:val="00477EF6"/>
    <w:rsid w:val="00480140"/>
    <w:rsid w:val="00480DA5"/>
    <w:rsid w:val="004811D8"/>
    <w:rsid w:val="0048131A"/>
    <w:rsid w:val="004814EC"/>
    <w:rsid w:val="004818E1"/>
    <w:rsid w:val="0048212E"/>
    <w:rsid w:val="00482A27"/>
    <w:rsid w:val="00483C0C"/>
    <w:rsid w:val="00484030"/>
    <w:rsid w:val="00485180"/>
    <w:rsid w:val="004866B9"/>
    <w:rsid w:val="00490491"/>
    <w:rsid w:val="004906F4"/>
    <w:rsid w:val="0049120E"/>
    <w:rsid w:val="0049135F"/>
    <w:rsid w:val="004915B0"/>
    <w:rsid w:val="00491736"/>
    <w:rsid w:val="00491879"/>
    <w:rsid w:val="00491C6E"/>
    <w:rsid w:val="00492364"/>
    <w:rsid w:val="004929F4"/>
    <w:rsid w:val="00492E98"/>
    <w:rsid w:val="00493392"/>
    <w:rsid w:val="00493660"/>
    <w:rsid w:val="004938DE"/>
    <w:rsid w:val="00493D29"/>
    <w:rsid w:val="00494276"/>
    <w:rsid w:val="0049493D"/>
    <w:rsid w:val="00494C20"/>
    <w:rsid w:val="00494C62"/>
    <w:rsid w:val="00494F53"/>
    <w:rsid w:val="00496E4C"/>
    <w:rsid w:val="00497A3D"/>
    <w:rsid w:val="004A01D4"/>
    <w:rsid w:val="004A05BC"/>
    <w:rsid w:val="004A1032"/>
    <w:rsid w:val="004A1A0F"/>
    <w:rsid w:val="004A21AA"/>
    <w:rsid w:val="004A23CF"/>
    <w:rsid w:val="004A2AD0"/>
    <w:rsid w:val="004A2B6F"/>
    <w:rsid w:val="004A31D3"/>
    <w:rsid w:val="004A394C"/>
    <w:rsid w:val="004A3D87"/>
    <w:rsid w:val="004A43D2"/>
    <w:rsid w:val="004A4654"/>
    <w:rsid w:val="004A47C5"/>
    <w:rsid w:val="004A4964"/>
    <w:rsid w:val="004A498B"/>
    <w:rsid w:val="004A5250"/>
    <w:rsid w:val="004A5A1C"/>
    <w:rsid w:val="004A5BE8"/>
    <w:rsid w:val="004A6C13"/>
    <w:rsid w:val="004A6F87"/>
    <w:rsid w:val="004A7096"/>
    <w:rsid w:val="004A7C17"/>
    <w:rsid w:val="004A7D80"/>
    <w:rsid w:val="004B0028"/>
    <w:rsid w:val="004B01C2"/>
    <w:rsid w:val="004B067D"/>
    <w:rsid w:val="004B1273"/>
    <w:rsid w:val="004B16BB"/>
    <w:rsid w:val="004B18A5"/>
    <w:rsid w:val="004B19B8"/>
    <w:rsid w:val="004B19BF"/>
    <w:rsid w:val="004B1E79"/>
    <w:rsid w:val="004B2493"/>
    <w:rsid w:val="004B4310"/>
    <w:rsid w:val="004B435A"/>
    <w:rsid w:val="004B4680"/>
    <w:rsid w:val="004B52CC"/>
    <w:rsid w:val="004B583A"/>
    <w:rsid w:val="004B5BAA"/>
    <w:rsid w:val="004B5FD5"/>
    <w:rsid w:val="004B6835"/>
    <w:rsid w:val="004B6FEF"/>
    <w:rsid w:val="004B7159"/>
    <w:rsid w:val="004B7F55"/>
    <w:rsid w:val="004C08AC"/>
    <w:rsid w:val="004C0FAE"/>
    <w:rsid w:val="004C137E"/>
    <w:rsid w:val="004C1595"/>
    <w:rsid w:val="004C1706"/>
    <w:rsid w:val="004C1F34"/>
    <w:rsid w:val="004C3D99"/>
    <w:rsid w:val="004C4146"/>
    <w:rsid w:val="004C4E67"/>
    <w:rsid w:val="004C5057"/>
    <w:rsid w:val="004C533A"/>
    <w:rsid w:val="004C695B"/>
    <w:rsid w:val="004C7A96"/>
    <w:rsid w:val="004C7EDA"/>
    <w:rsid w:val="004D14E1"/>
    <w:rsid w:val="004D1B97"/>
    <w:rsid w:val="004D1FC0"/>
    <w:rsid w:val="004D2AAD"/>
    <w:rsid w:val="004D32FC"/>
    <w:rsid w:val="004D3911"/>
    <w:rsid w:val="004D3E6F"/>
    <w:rsid w:val="004D4140"/>
    <w:rsid w:val="004D4652"/>
    <w:rsid w:val="004D4B91"/>
    <w:rsid w:val="004D4D6A"/>
    <w:rsid w:val="004D51B2"/>
    <w:rsid w:val="004D51E5"/>
    <w:rsid w:val="004D5CAF"/>
    <w:rsid w:val="004D5E00"/>
    <w:rsid w:val="004D606C"/>
    <w:rsid w:val="004D615D"/>
    <w:rsid w:val="004D632D"/>
    <w:rsid w:val="004D6849"/>
    <w:rsid w:val="004D6B8F"/>
    <w:rsid w:val="004D6C39"/>
    <w:rsid w:val="004D7143"/>
    <w:rsid w:val="004D73E8"/>
    <w:rsid w:val="004E0479"/>
    <w:rsid w:val="004E07AD"/>
    <w:rsid w:val="004E0CD5"/>
    <w:rsid w:val="004E1121"/>
    <w:rsid w:val="004E16C0"/>
    <w:rsid w:val="004E178F"/>
    <w:rsid w:val="004E2A13"/>
    <w:rsid w:val="004E3040"/>
    <w:rsid w:val="004E3143"/>
    <w:rsid w:val="004E33D3"/>
    <w:rsid w:val="004E3584"/>
    <w:rsid w:val="004E3BC6"/>
    <w:rsid w:val="004E3CDD"/>
    <w:rsid w:val="004E3FDE"/>
    <w:rsid w:val="004E4CDE"/>
    <w:rsid w:val="004E4FE7"/>
    <w:rsid w:val="004E51BE"/>
    <w:rsid w:val="004E558A"/>
    <w:rsid w:val="004E5A70"/>
    <w:rsid w:val="004E6FCF"/>
    <w:rsid w:val="004E792F"/>
    <w:rsid w:val="004E79E1"/>
    <w:rsid w:val="004F06CE"/>
    <w:rsid w:val="004F133A"/>
    <w:rsid w:val="004F14D3"/>
    <w:rsid w:val="004F14F3"/>
    <w:rsid w:val="004F16C4"/>
    <w:rsid w:val="004F1C72"/>
    <w:rsid w:val="004F2383"/>
    <w:rsid w:val="004F293D"/>
    <w:rsid w:val="004F2AB1"/>
    <w:rsid w:val="004F2ED7"/>
    <w:rsid w:val="004F2F57"/>
    <w:rsid w:val="004F347B"/>
    <w:rsid w:val="004F3BA2"/>
    <w:rsid w:val="004F443E"/>
    <w:rsid w:val="004F49F4"/>
    <w:rsid w:val="004F5AC2"/>
    <w:rsid w:val="004F5EA5"/>
    <w:rsid w:val="004F5FCC"/>
    <w:rsid w:val="004F700D"/>
    <w:rsid w:val="004F706B"/>
    <w:rsid w:val="00500A9D"/>
    <w:rsid w:val="00500D80"/>
    <w:rsid w:val="00500F0A"/>
    <w:rsid w:val="00500F17"/>
    <w:rsid w:val="005012EB"/>
    <w:rsid w:val="0050145E"/>
    <w:rsid w:val="005014EF"/>
    <w:rsid w:val="005017B5"/>
    <w:rsid w:val="00501934"/>
    <w:rsid w:val="00501E21"/>
    <w:rsid w:val="00502480"/>
    <w:rsid w:val="005027FD"/>
    <w:rsid w:val="00502CB5"/>
    <w:rsid w:val="00502D56"/>
    <w:rsid w:val="00503773"/>
    <w:rsid w:val="005038F4"/>
    <w:rsid w:val="00504620"/>
    <w:rsid w:val="005049BF"/>
    <w:rsid w:val="00504B5F"/>
    <w:rsid w:val="00504D37"/>
    <w:rsid w:val="00504FA6"/>
    <w:rsid w:val="005052D5"/>
    <w:rsid w:val="00506237"/>
    <w:rsid w:val="005067E7"/>
    <w:rsid w:val="00506A2B"/>
    <w:rsid w:val="0050787B"/>
    <w:rsid w:val="0050794D"/>
    <w:rsid w:val="0051012B"/>
    <w:rsid w:val="0051017D"/>
    <w:rsid w:val="00510B89"/>
    <w:rsid w:val="00511AB3"/>
    <w:rsid w:val="0051201A"/>
    <w:rsid w:val="00512B64"/>
    <w:rsid w:val="00512D87"/>
    <w:rsid w:val="00512FC8"/>
    <w:rsid w:val="00513745"/>
    <w:rsid w:val="005137B7"/>
    <w:rsid w:val="00513886"/>
    <w:rsid w:val="00513B90"/>
    <w:rsid w:val="00513DEA"/>
    <w:rsid w:val="00513F6A"/>
    <w:rsid w:val="0051488B"/>
    <w:rsid w:val="00514FBF"/>
    <w:rsid w:val="005157A9"/>
    <w:rsid w:val="005165DF"/>
    <w:rsid w:val="0051676C"/>
    <w:rsid w:val="00517171"/>
    <w:rsid w:val="00517178"/>
    <w:rsid w:val="00517A98"/>
    <w:rsid w:val="00517CF6"/>
    <w:rsid w:val="0052032B"/>
    <w:rsid w:val="005203A2"/>
    <w:rsid w:val="00520ABB"/>
    <w:rsid w:val="00520B79"/>
    <w:rsid w:val="00520E63"/>
    <w:rsid w:val="00521598"/>
    <w:rsid w:val="00521F0A"/>
    <w:rsid w:val="0052218C"/>
    <w:rsid w:val="00522C6F"/>
    <w:rsid w:val="005230DA"/>
    <w:rsid w:val="0052314A"/>
    <w:rsid w:val="00523829"/>
    <w:rsid w:val="00523C7F"/>
    <w:rsid w:val="00523D38"/>
    <w:rsid w:val="00523D3B"/>
    <w:rsid w:val="00523DF1"/>
    <w:rsid w:val="00524137"/>
    <w:rsid w:val="00524212"/>
    <w:rsid w:val="005245B4"/>
    <w:rsid w:val="00524CB0"/>
    <w:rsid w:val="00524DF9"/>
    <w:rsid w:val="00524F32"/>
    <w:rsid w:val="00525D7A"/>
    <w:rsid w:val="00526003"/>
    <w:rsid w:val="005260DB"/>
    <w:rsid w:val="005261E3"/>
    <w:rsid w:val="005276A0"/>
    <w:rsid w:val="00527DC8"/>
    <w:rsid w:val="00530345"/>
    <w:rsid w:val="00530BEC"/>
    <w:rsid w:val="00530C5E"/>
    <w:rsid w:val="00530F7D"/>
    <w:rsid w:val="005310E9"/>
    <w:rsid w:val="00531EBB"/>
    <w:rsid w:val="005325B0"/>
    <w:rsid w:val="00532A71"/>
    <w:rsid w:val="00532C0E"/>
    <w:rsid w:val="0053306C"/>
    <w:rsid w:val="00533609"/>
    <w:rsid w:val="005336C7"/>
    <w:rsid w:val="00533A72"/>
    <w:rsid w:val="00533FE9"/>
    <w:rsid w:val="00534794"/>
    <w:rsid w:val="00534EE4"/>
    <w:rsid w:val="00535176"/>
    <w:rsid w:val="00535BD2"/>
    <w:rsid w:val="00535E7B"/>
    <w:rsid w:val="00536582"/>
    <w:rsid w:val="005373DA"/>
    <w:rsid w:val="005379A4"/>
    <w:rsid w:val="00537C5F"/>
    <w:rsid w:val="00540248"/>
    <w:rsid w:val="005403FC"/>
    <w:rsid w:val="0054137C"/>
    <w:rsid w:val="00541675"/>
    <w:rsid w:val="00541DAE"/>
    <w:rsid w:val="00541DC6"/>
    <w:rsid w:val="00542C07"/>
    <w:rsid w:val="00542D92"/>
    <w:rsid w:val="00544674"/>
    <w:rsid w:val="00544ACA"/>
    <w:rsid w:val="00544B31"/>
    <w:rsid w:val="00545BD2"/>
    <w:rsid w:val="00545E83"/>
    <w:rsid w:val="00546C3B"/>
    <w:rsid w:val="00546C8A"/>
    <w:rsid w:val="00546E9B"/>
    <w:rsid w:val="005474F9"/>
    <w:rsid w:val="0055059D"/>
    <w:rsid w:val="0055097D"/>
    <w:rsid w:val="00550EC6"/>
    <w:rsid w:val="00551354"/>
    <w:rsid w:val="0055180D"/>
    <w:rsid w:val="00552379"/>
    <w:rsid w:val="00552A95"/>
    <w:rsid w:val="00552E16"/>
    <w:rsid w:val="00553156"/>
    <w:rsid w:val="00553385"/>
    <w:rsid w:val="0055339A"/>
    <w:rsid w:val="0055403C"/>
    <w:rsid w:val="00554FB1"/>
    <w:rsid w:val="00555721"/>
    <w:rsid w:val="0055672B"/>
    <w:rsid w:val="00557472"/>
    <w:rsid w:val="00557896"/>
    <w:rsid w:val="00557D64"/>
    <w:rsid w:val="005606FA"/>
    <w:rsid w:val="00560F89"/>
    <w:rsid w:val="005610D7"/>
    <w:rsid w:val="005613C3"/>
    <w:rsid w:val="00561F0E"/>
    <w:rsid w:val="0056200C"/>
    <w:rsid w:val="00562C3B"/>
    <w:rsid w:val="00562C82"/>
    <w:rsid w:val="005637E9"/>
    <w:rsid w:val="00563A2D"/>
    <w:rsid w:val="00563D45"/>
    <w:rsid w:val="005646E9"/>
    <w:rsid w:val="00564AFC"/>
    <w:rsid w:val="00564B32"/>
    <w:rsid w:val="00564C7D"/>
    <w:rsid w:val="0056541B"/>
    <w:rsid w:val="0056556E"/>
    <w:rsid w:val="00565FAF"/>
    <w:rsid w:val="0056753A"/>
    <w:rsid w:val="00567641"/>
    <w:rsid w:val="005679B6"/>
    <w:rsid w:val="0057043E"/>
    <w:rsid w:val="00570574"/>
    <w:rsid w:val="005719EA"/>
    <w:rsid w:val="005723C6"/>
    <w:rsid w:val="0057279D"/>
    <w:rsid w:val="005749A6"/>
    <w:rsid w:val="00574B34"/>
    <w:rsid w:val="00575D22"/>
    <w:rsid w:val="00576423"/>
    <w:rsid w:val="005767BF"/>
    <w:rsid w:val="00576902"/>
    <w:rsid w:val="00576B6F"/>
    <w:rsid w:val="0058095B"/>
    <w:rsid w:val="00582392"/>
    <w:rsid w:val="005825CA"/>
    <w:rsid w:val="00582851"/>
    <w:rsid w:val="00583191"/>
    <w:rsid w:val="005834B2"/>
    <w:rsid w:val="005841A2"/>
    <w:rsid w:val="00584F60"/>
    <w:rsid w:val="00585520"/>
    <w:rsid w:val="00585BAE"/>
    <w:rsid w:val="005864A8"/>
    <w:rsid w:val="00587188"/>
    <w:rsid w:val="005876E5"/>
    <w:rsid w:val="0059135E"/>
    <w:rsid w:val="00591527"/>
    <w:rsid w:val="005915BA"/>
    <w:rsid w:val="00591783"/>
    <w:rsid w:val="00591A34"/>
    <w:rsid w:val="00591D19"/>
    <w:rsid w:val="00592794"/>
    <w:rsid w:val="00592AD6"/>
    <w:rsid w:val="0059401A"/>
    <w:rsid w:val="0059465E"/>
    <w:rsid w:val="00595B07"/>
    <w:rsid w:val="00595F18"/>
    <w:rsid w:val="0059604A"/>
    <w:rsid w:val="005962E9"/>
    <w:rsid w:val="00596D39"/>
    <w:rsid w:val="005972CB"/>
    <w:rsid w:val="005973DF"/>
    <w:rsid w:val="00597F28"/>
    <w:rsid w:val="005A12D7"/>
    <w:rsid w:val="005A16A6"/>
    <w:rsid w:val="005A17C5"/>
    <w:rsid w:val="005A1914"/>
    <w:rsid w:val="005A2A71"/>
    <w:rsid w:val="005A33A1"/>
    <w:rsid w:val="005A5068"/>
    <w:rsid w:val="005A51A9"/>
    <w:rsid w:val="005A5789"/>
    <w:rsid w:val="005A59F7"/>
    <w:rsid w:val="005A5DFB"/>
    <w:rsid w:val="005A5F95"/>
    <w:rsid w:val="005A6DB9"/>
    <w:rsid w:val="005A714D"/>
    <w:rsid w:val="005A7719"/>
    <w:rsid w:val="005A7E8C"/>
    <w:rsid w:val="005B0362"/>
    <w:rsid w:val="005B0ED9"/>
    <w:rsid w:val="005B1280"/>
    <w:rsid w:val="005B1470"/>
    <w:rsid w:val="005B19E1"/>
    <w:rsid w:val="005B1B84"/>
    <w:rsid w:val="005B1D5A"/>
    <w:rsid w:val="005B1E22"/>
    <w:rsid w:val="005B27A4"/>
    <w:rsid w:val="005B309B"/>
    <w:rsid w:val="005B3897"/>
    <w:rsid w:val="005B3EDF"/>
    <w:rsid w:val="005B467E"/>
    <w:rsid w:val="005B46D9"/>
    <w:rsid w:val="005B4D2F"/>
    <w:rsid w:val="005B5A8C"/>
    <w:rsid w:val="005B5CBF"/>
    <w:rsid w:val="005B5D6B"/>
    <w:rsid w:val="005C01B9"/>
    <w:rsid w:val="005C0DB9"/>
    <w:rsid w:val="005C151A"/>
    <w:rsid w:val="005C177C"/>
    <w:rsid w:val="005C19B1"/>
    <w:rsid w:val="005C1EC7"/>
    <w:rsid w:val="005C21F8"/>
    <w:rsid w:val="005C2687"/>
    <w:rsid w:val="005C2B07"/>
    <w:rsid w:val="005C2FB3"/>
    <w:rsid w:val="005C3029"/>
    <w:rsid w:val="005C3216"/>
    <w:rsid w:val="005C3DEC"/>
    <w:rsid w:val="005C4505"/>
    <w:rsid w:val="005C464A"/>
    <w:rsid w:val="005C4D61"/>
    <w:rsid w:val="005C4DFC"/>
    <w:rsid w:val="005C52CE"/>
    <w:rsid w:val="005C573C"/>
    <w:rsid w:val="005C57AF"/>
    <w:rsid w:val="005C5C65"/>
    <w:rsid w:val="005C5F79"/>
    <w:rsid w:val="005C616B"/>
    <w:rsid w:val="005C63E8"/>
    <w:rsid w:val="005C7C6A"/>
    <w:rsid w:val="005D0359"/>
    <w:rsid w:val="005D0FB5"/>
    <w:rsid w:val="005D10C0"/>
    <w:rsid w:val="005D1FC8"/>
    <w:rsid w:val="005D3798"/>
    <w:rsid w:val="005D40CE"/>
    <w:rsid w:val="005D4508"/>
    <w:rsid w:val="005D49C8"/>
    <w:rsid w:val="005D5201"/>
    <w:rsid w:val="005D5447"/>
    <w:rsid w:val="005D578C"/>
    <w:rsid w:val="005D5BAA"/>
    <w:rsid w:val="005D6E98"/>
    <w:rsid w:val="005D7CBA"/>
    <w:rsid w:val="005D7F3D"/>
    <w:rsid w:val="005E02F3"/>
    <w:rsid w:val="005E0763"/>
    <w:rsid w:val="005E0974"/>
    <w:rsid w:val="005E0CD6"/>
    <w:rsid w:val="005E1195"/>
    <w:rsid w:val="005E1C21"/>
    <w:rsid w:val="005E1EED"/>
    <w:rsid w:val="005E2AFF"/>
    <w:rsid w:val="005E345C"/>
    <w:rsid w:val="005E3973"/>
    <w:rsid w:val="005E3B1E"/>
    <w:rsid w:val="005E4CC9"/>
    <w:rsid w:val="005E4DFF"/>
    <w:rsid w:val="005E5077"/>
    <w:rsid w:val="005E5093"/>
    <w:rsid w:val="005E56F1"/>
    <w:rsid w:val="005E6C34"/>
    <w:rsid w:val="005F00F2"/>
    <w:rsid w:val="005F0B1D"/>
    <w:rsid w:val="005F0E9B"/>
    <w:rsid w:val="005F1655"/>
    <w:rsid w:val="005F2317"/>
    <w:rsid w:val="005F3141"/>
    <w:rsid w:val="005F32E6"/>
    <w:rsid w:val="005F4161"/>
    <w:rsid w:val="005F43F7"/>
    <w:rsid w:val="005F4485"/>
    <w:rsid w:val="005F48E6"/>
    <w:rsid w:val="005F49C5"/>
    <w:rsid w:val="005F4B9F"/>
    <w:rsid w:val="005F4D78"/>
    <w:rsid w:val="005F5018"/>
    <w:rsid w:val="005F51C1"/>
    <w:rsid w:val="005F53A0"/>
    <w:rsid w:val="005F5D5A"/>
    <w:rsid w:val="005F5FF3"/>
    <w:rsid w:val="005F66AD"/>
    <w:rsid w:val="005F68F9"/>
    <w:rsid w:val="0060000F"/>
    <w:rsid w:val="006005E6"/>
    <w:rsid w:val="00600BA1"/>
    <w:rsid w:val="00600CD4"/>
    <w:rsid w:val="006011A4"/>
    <w:rsid w:val="00601595"/>
    <w:rsid w:val="00601B01"/>
    <w:rsid w:val="00601B94"/>
    <w:rsid w:val="006024F0"/>
    <w:rsid w:val="00602C03"/>
    <w:rsid w:val="0060311E"/>
    <w:rsid w:val="006031A7"/>
    <w:rsid w:val="0060441A"/>
    <w:rsid w:val="00604507"/>
    <w:rsid w:val="0060457A"/>
    <w:rsid w:val="006047E6"/>
    <w:rsid w:val="006047F6"/>
    <w:rsid w:val="00605300"/>
    <w:rsid w:val="006074BD"/>
    <w:rsid w:val="00607570"/>
    <w:rsid w:val="00607B72"/>
    <w:rsid w:val="006102EF"/>
    <w:rsid w:val="00611148"/>
    <w:rsid w:val="006116F4"/>
    <w:rsid w:val="00612023"/>
    <w:rsid w:val="00612952"/>
    <w:rsid w:val="0061299C"/>
    <w:rsid w:val="00612E31"/>
    <w:rsid w:val="00612E36"/>
    <w:rsid w:val="00613815"/>
    <w:rsid w:val="006138A2"/>
    <w:rsid w:val="00613C69"/>
    <w:rsid w:val="00614089"/>
    <w:rsid w:val="00614ABB"/>
    <w:rsid w:val="00615552"/>
    <w:rsid w:val="0061586A"/>
    <w:rsid w:val="006173CE"/>
    <w:rsid w:val="00617F70"/>
    <w:rsid w:val="00620674"/>
    <w:rsid w:val="006207F6"/>
    <w:rsid w:val="006210B1"/>
    <w:rsid w:val="006211FB"/>
    <w:rsid w:val="00621B6D"/>
    <w:rsid w:val="00621DC3"/>
    <w:rsid w:val="00622759"/>
    <w:rsid w:val="00622D63"/>
    <w:rsid w:val="00623750"/>
    <w:rsid w:val="006240BB"/>
    <w:rsid w:val="00624355"/>
    <w:rsid w:val="006243D1"/>
    <w:rsid w:val="00624564"/>
    <w:rsid w:val="006258A8"/>
    <w:rsid w:val="00625AD1"/>
    <w:rsid w:val="00625C5A"/>
    <w:rsid w:val="0062766B"/>
    <w:rsid w:val="00627986"/>
    <w:rsid w:val="00627ACF"/>
    <w:rsid w:val="006301C2"/>
    <w:rsid w:val="006304C6"/>
    <w:rsid w:val="00630614"/>
    <w:rsid w:val="00630ED3"/>
    <w:rsid w:val="00631713"/>
    <w:rsid w:val="00631CB1"/>
    <w:rsid w:val="006323C1"/>
    <w:rsid w:val="00632917"/>
    <w:rsid w:val="00633E3F"/>
    <w:rsid w:val="00633FA7"/>
    <w:rsid w:val="006341A5"/>
    <w:rsid w:val="006342B5"/>
    <w:rsid w:val="00634882"/>
    <w:rsid w:val="00634A84"/>
    <w:rsid w:val="00635131"/>
    <w:rsid w:val="00636157"/>
    <w:rsid w:val="006362D7"/>
    <w:rsid w:val="0063686F"/>
    <w:rsid w:val="00636C75"/>
    <w:rsid w:val="00636F36"/>
    <w:rsid w:val="00636FCF"/>
    <w:rsid w:val="0063705A"/>
    <w:rsid w:val="00637127"/>
    <w:rsid w:val="0063756B"/>
    <w:rsid w:val="00637AAD"/>
    <w:rsid w:val="00637DE0"/>
    <w:rsid w:val="0064017A"/>
    <w:rsid w:val="006401C0"/>
    <w:rsid w:val="00640465"/>
    <w:rsid w:val="0064092F"/>
    <w:rsid w:val="00640BB1"/>
    <w:rsid w:val="0064101E"/>
    <w:rsid w:val="0064126A"/>
    <w:rsid w:val="0064206F"/>
    <w:rsid w:val="006430B6"/>
    <w:rsid w:val="00643346"/>
    <w:rsid w:val="006433BF"/>
    <w:rsid w:val="00643401"/>
    <w:rsid w:val="00643B60"/>
    <w:rsid w:val="00644D66"/>
    <w:rsid w:val="006458F6"/>
    <w:rsid w:val="006467B2"/>
    <w:rsid w:val="0064691B"/>
    <w:rsid w:val="006479B9"/>
    <w:rsid w:val="006479D6"/>
    <w:rsid w:val="00647F4C"/>
    <w:rsid w:val="00647FD0"/>
    <w:rsid w:val="00650607"/>
    <w:rsid w:val="006525FA"/>
    <w:rsid w:val="00652DC4"/>
    <w:rsid w:val="00652E37"/>
    <w:rsid w:val="00653608"/>
    <w:rsid w:val="00653840"/>
    <w:rsid w:val="006541D3"/>
    <w:rsid w:val="0065443F"/>
    <w:rsid w:val="00655044"/>
    <w:rsid w:val="0065569A"/>
    <w:rsid w:val="006557BA"/>
    <w:rsid w:val="00656E22"/>
    <w:rsid w:val="0065717E"/>
    <w:rsid w:val="006576E3"/>
    <w:rsid w:val="00657D70"/>
    <w:rsid w:val="006605FC"/>
    <w:rsid w:val="0066098F"/>
    <w:rsid w:val="006609AF"/>
    <w:rsid w:val="00660E5C"/>
    <w:rsid w:val="0066171E"/>
    <w:rsid w:val="00661967"/>
    <w:rsid w:val="006623A7"/>
    <w:rsid w:val="0066263C"/>
    <w:rsid w:val="0066288D"/>
    <w:rsid w:val="00662A67"/>
    <w:rsid w:val="00662A72"/>
    <w:rsid w:val="00663678"/>
    <w:rsid w:val="00663CDE"/>
    <w:rsid w:val="00664A9E"/>
    <w:rsid w:val="006651E2"/>
    <w:rsid w:val="006659D9"/>
    <w:rsid w:val="00666923"/>
    <w:rsid w:val="00666BB2"/>
    <w:rsid w:val="006672A3"/>
    <w:rsid w:val="006672F7"/>
    <w:rsid w:val="006677AA"/>
    <w:rsid w:val="0067046D"/>
    <w:rsid w:val="0067060A"/>
    <w:rsid w:val="006719B7"/>
    <w:rsid w:val="00671B36"/>
    <w:rsid w:val="00673231"/>
    <w:rsid w:val="00673895"/>
    <w:rsid w:val="00673A04"/>
    <w:rsid w:val="00673E3D"/>
    <w:rsid w:val="006742A3"/>
    <w:rsid w:val="006747A7"/>
    <w:rsid w:val="00675144"/>
    <w:rsid w:val="00675D9C"/>
    <w:rsid w:val="00676D2B"/>
    <w:rsid w:val="00676F06"/>
    <w:rsid w:val="006800D0"/>
    <w:rsid w:val="00680FE9"/>
    <w:rsid w:val="006814B9"/>
    <w:rsid w:val="00681562"/>
    <w:rsid w:val="00681EC6"/>
    <w:rsid w:val="00681F66"/>
    <w:rsid w:val="006839A2"/>
    <w:rsid w:val="00683DCE"/>
    <w:rsid w:val="00684C93"/>
    <w:rsid w:val="00684D27"/>
    <w:rsid w:val="006850F6"/>
    <w:rsid w:val="006859E9"/>
    <w:rsid w:val="006860AD"/>
    <w:rsid w:val="006863EB"/>
    <w:rsid w:val="006868FA"/>
    <w:rsid w:val="00687BEF"/>
    <w:rsid w:val="00690563"/>
    <w:rsid w:val="006908B8"/>
    <w:rsid w:val="00691563"/>
    <w:rsid w:val="006918BA"/>
    <w:rsid w:val="00692D9C"/>
    <w:rsid w:val="00694796"/>
    <w:rsid w:val="00694B6B"/>
    <w:rsid w:val="00694D02"/>
    <w:rsid w:val="00695AF6"/>
    <w:rsid w:val="00695FBD"/>
    <w:rsid w:val="0069649A"/>
    <w:rsid w:val="00697000"/>
    <w:rsid w:val="00697250"/>
    <w:rsid w:val="0069733B"/>
    <w:rsid w:val="0069769F"/>
    <w:rsid w:val="00697D03"/>
    <w:rsid w:val="00697D8E"/>
    <w:rsid w:val="006A05F8"/>
    <w:rsid w:val="006A087A"/>
    <w:rsid w:val="006A0FFA"/>
    <w:rsid w:val="006A1B3D"/>
    <w:rsid w:val="006A2B76"/>
    <w:rsid w:val="006A2E93"/>
    <w:rsid w:val="006A31C4"/>
    <w:rsid w:val="006A35DC"/>
    <w:rsid w:val="006A37FA"/>
    <w:rsid w:val="006A39F2"/>
    <w:rsid w:val="006A3B8F"/>
    <w:rsid w:val="006A3F64"/>
    <w:rsid w:val="006A4179"/>
    <w:rsid w:val="006A4576"/>
    <w:rsid w:val="006A4980"/>
    <w:rsid w:val="006A4D82"/>
    <w:rsid w:val="006A502B"/>
    <w:rsid w:val="006A564B"/>
    <w:rsid w:val="006A688C"/>
    <w:rsid w:val="006A69D7"/>
    <w:rsid w:val="006A7C11"/>
    <w:rsid w:val="006B01EC"/>
    <w:rsid w:val="006B0628"/>
    <w:rsid w:val="006B096C"/>
    <w:rsid w:val="006B0C5F"/>
    <w:rsid w:val="006B11FA"/>
    <w:rsid w:val="006B1657"/>
    <w:rsid w:val="006B1EA1"/>
    <w:rsid w:val="006B1EAD"/>
    <w:rsid w:val="006B300E"/>
    <w:rsid w:val="006B35C5"/>
    <w:rsid w:val="006B3886"/>
    <w:rsid w:val="006B47FA"/>
    <w:rsid w:val="006B5217"/>
    <w:rsid w:val="006B52D1"/>
    <w:rsid w:val="006B5392"/>
    <w:rsid w:val="006B5584"/>
    <w:rsid w:val="006B65FD"/>
    <w:rsid w:val="006B6C44"/>
    <w:rsid w:val="006B719C"/>
    <w:rsid w:val="006C0350"/>
    <w:rsid w:val="006C0809"/>
    <w:rsid w:val="006C1C23"/>
    <w:rsid w:val="006C1CFF"/>
    <w:rsid w:val="006C2009"/>
    <w:rsid w:val="006C2059"/>
    <w:rsid w:val="006C2C43"/>
    <w:rsid w:val="006C2D84"/>
    <w:rsid w:val="006C2EA2"/>
    <w:rsid w:val="006C3236"/>
    <w:rsid w:val="006C3567"/>
    <w:rsid w:val="006C3F03"/>
    <w:rsid w:val="006C4B15"/>
    <w:rsid w:val="006C4E7F"/>
    <w:rsid w:val="006C50D3"/>
    <w:rsid w:val="006C51FF"/>
    <w:rsid w:val="006C5A35"/>
    <w:rsid w:val="006C6336"/>
    <w:rsid w:val="006C633B"/>
    <w:rsid w:val="006C6B0C"/>
    <w:rsid w:val="006C7236"/>
    <w:rsid w:val="006C741D"/>
    <w:rsid w:val="006C76C2"/>
    <w:rsid w:val="006D0326"/>
    <w:rsid w:val="006D0C34"/>
    <w:rsid w:val="006D152A"/>
    <w:rsid w:val="006D27DB"/>
    <w:rsid w:val="006D2E37"/>
    <w:rsid w:val="006D325C"/>
    <w:rsid w:val="006D3370"/>
    <w:rsid w:val="006D4D4F"/>
    <w:rsid w:val="006D51C8"/>
    <w:rsid w:val="006D529B"/>
    <w:rsid w:val="006D5394"/>
    <w:rsid w:val="006D5A68"/>
    <w:rsid w:val="006D5AD1"/>
    <w:rsid w:val="006D5B26"/>
    <w:rsid w:val="006D6186"/>
    <w:rsid w:val="006D64D0"/>
    <w:rsid w:val="006D76B6"/>
    <w:rsid w:val="006D7DF7"/>
    <w:rsid w:val="006D7FAD"/>
    <w:rsid w:val="006E06CB"/>
    <w:rsid w:val="006E1395"/>
    <w:rsid w:val="006E1E68"/>
    <w:rsid w:val="006E1FFF"/>
    <w:rsid w:val="006E27F8"/>
    <w:rsid w:val="006E2C0F"/>
    <w:rsid w:val="006E32DF"/>
    <w:rsid w:val="006E34F8"/>
    <w:rsid w:val="006E39D7"/>
    <w:rsid w:val="006E3AD7"/>
    <w:rsid w:val="006E467A"/>
    <w:rsid w:val="006E4FDB"/>
    <w:rsid w:val="006E555C"/>
    <w:rsid w:val="006E5634"/>
    <w:rsid w:val="006E56DE"/>
    <w:rsid w:val="006E648E"/>
    <w:rsid w:val="006E666F"/>
    <w:rsid w:val="006E67F9"/>
    <w:rsid w:val="006E699D"/>
    <w:rsid w:val="006E69DF"/>
    <w:rsid w:val="006E6A0D"/>
    <w:rsid w:val="006E6EF2"/>
    <w:rsid w:val="006E798D"/>
    <w:rsid w:val="006E7D69"/>
    <w:rsid w:val="006F0456"/>
    <w:rsid w:val="006F052A"/>
    <w:rsid w:val="006F0B3C"/>
    <w:rsid w:val="006F0DA2"/>
    <w:rsid w:val="006F0E3E"/>
    <w:rsid w:val="006F19AF"/>
    <w:rsid w:val="006F232A"/>
    <w:rsid w:val="006F24C6"/>
    <w:rsid w:val="006F3CD9"/>
    <w:rsid w:val="006F4163"/>
    <w:rsid w:val="006F4274"/>
    <w:rsid w:val="006F4479"/>
    <w:rsid w:val="006F4793"/>
    <w:rsid w:val="006F4991"/>
    <w:rsid w:val="006F49D5"/>
    <w:rsid w:val="006F50D7"/>
    <w:rsid w:val="006F5242"/>
    <w:rsid w:val="006F5CDD"/>
    <w:rsid w:val="006F7A8E"/>
    <w:rsid w:val="006F7AEF"/>
    <w:rsid w:val="00700DFB"/>
    <w:rsid w:val="007010C3"/>
    <w:rsid w:val="007010FB"/>
    <w:rsid w:val="00701733"/>
    <w:rsid w:val="00701E06"/>
    <w:rsid w:val="00701EB1"/>
    <w:rsid w:val="007029F5"/>
    <w:rsid w:val="0070353D"/>
    <w:rsid w:val="00703D38"/>
    <w:rsid w:val="0070461A"/>
    <w:rsid w:val="00704923"/>
    <w:rsid w:val="007055D6"/>
    <w:rsid w:val="0070568A"/>
    <w:rsid w:val="00706840"/>
    <w:rsid w:val="0070684F"/>
    <w:rsid w:val="007071EE"/>
    <w:rsid w:val="007073E4"/>
    <w:rsid w:val="007076C9"/>
    <w:rsid w:val="0071013D"/>
    <w:rsid w:val="00710753"/>
    <w:rsid w:val="0071090E"/>
    <w:rsid w:val="007118B6"/>
    <w:rsid w:val="00712882"/>
    <w:rsid w:val="00712895"/>
    <w:rsid w:val="00712986"/>
    <w:rsid w:val="0071298D"/>
    <w:rsid w:val="00712F97"/>
    <w:rsid w:val="00712FCD"/>
    <w:rsid w:val="00713047"/>
    <w:rsid w:val="00714288"/>
    <w:rsid w:val="007142AD"/>
    <w:rsid w:val="00714938"/>
    <w:rsid w:val="00714E3D"/>
    <w:rsid w:val="00715505"/>
    <w:rsid w:val="00715F4B"/>
    <w:rsid w:val="0071610E"/>
    <w:rsid w:val="00716BA5"/>
    <w:rsid w:val="007176E1"/>
    <w:rsid w:val="00717880"/>
    <w:rsid w:val="00717DCF"/>
    <w:rsid w:val="00717F47"/>
    <w:rsid w:val="0072194B"/>
    <w:rsid w:val="00722043"/>
    <w:rsid w:val="0072294C"/>
    <w:rsid w:val="00722A2E"/>
    <w:rsid w:val="0072398A"/>
    <w:rsid w:val="00723B1A"/>
    <w:rsid w:val="007244BC"/>
    <w:rsid w:val="00725B3E"/>
    <w:rsid w:val="00725C17"/>
    <w:rsid w:val="0072641A"/>
    <w:rsid w:val="00726686"/>
    <w:rsid w:val="00727349"/>
    <w:rsid w:val="0072742A"/>
    <w:rsid w:val="00727934"/>
    <w:rsid w:val="00727B7A"/>
    <w:rsid w:val="00727E98"/>
    <w:rsid w:val="00727FFB"/>
    <w:rsid w:val="00730397"/>
    <w:rsid w:val="0073045F"/>
    <w:rsid w:val="00731431"/>
    <w:rsid w:val="00731789"/>
    <w:rsid w:val="007317D9"/>
    <w:rsid w:val="00731A0B"/>
    <w:rsid w:val="007320B7"/>
    <w:rsid w:val="007320F1"/>
    <w:rsid w:val="0073236A"/>
    <w:rsid w:val="0073249A"/>
    <w:rsid w:val="007329E1"/>
    <w:rsid w:val="007345DF"/>
    <w:rsid w:val="00734856"/>
    <w:rsid w:val="00734F19"/>
    <w:rsid w:val="00734F61"/>
    <w:rsid w:val="007363CF"/>
    <w:rsid w:val="00736BA0"/>
    <w:rsid w:val="00736D3C"/>
    <w:rsid w:val="00737105"/>
    <w:rsid w:val="00737826"/>
    <w:rsid w:val="00737BDE"/>
    <w:rsid w:val="00737E9B"/>
    <w:rsid w:val="00737EAC"/>
    <w:rsid w:val="00737FB6"/>
    <w:rsid w:val="0074026B"/>
    <w:rsid w:val="0074097E"/>
    <w:rsid w:val="00741045"/>
    <w:rsid w:val="007412DF"/>
    <w:rsid w:val="0074175F"/>
    <w:rsid w:val="007418D3"/>
    <w:rsid w:val="007423CF"/>
    <w:rsid w:val="00742536"/>
    <w:rsid w:val="007428CB"/>
    <w:rsid w:val="007437DA"/>
    <w:rsid w:val="00743D1A"/>
    <w:rsid w:val="007445D0"/>
    <w:rsid w:val="0074497A"/>
    <w:rsid w:val="00744E45"/>
    <w:rsid w:val="00745295"/>
    <w:rsid w:val="007455CA"/>
    <w:rsid w:val="00745718"/>
    <w:rsid w:val="0074643B"/>
    <w:rsid w:val="00747A88"/>
    <w:rsid w:val="00747F05"/>
    <w:rsid w:val="00750CB9"/>
    <w:rsid w:val="00751291"/>
    <w:rsid w:val="00751296"/>
    <w:rsid w:val="007517CE"/>
    <w:rsid w:val="00751A6E"/>
    <w:rsid w:val="007520E3"/>
    <w:rsid w:val="00752AD3"/>
    <w:rsid w:val="00752EB3"/>
    <w:rsid w:val="00753DB4"/>
    <w:rsid w:val="00753EAB"/>
    <w:rsid w:val="00754DDB"/>
    <w:rsid w:val="007551CF"/>
    <w:rsid w:val="00755246"/>
    <w:rsid w:val="0075583B"/>
    <w:rsid w:val="00755B28"/>
    <w:rsid w:val="00755D69"/>
    <w:rsid w:val="0075778B"/>
    <w:rsid w:val="00757A5B"/>
    <w:rsid w:val="00757F9A"/>
    <w:rsid w:val="00757FAD"/>
    <w:rsid w:val="00760384"/>
    <w:rsid w:val="00760DF5"/>
    <w:rsid w:val="00761FA1"/>
    <w:rsid w:val="0076294A"/>
    <w:rsid w:val="00762EF9"/>
    <w:rsid w:val="00762F73"/>
    <w:rsid w:val="00763242"/>
    <w:rsid w:val="00763379"/>
    <w:rsid w:val="00763FA7"/>
    <w:rsid w:val="0076468D"/>
    <w:rsid w:val="00764859"/>
    <w:rsid w:val="00764A23"/>
    <w:rsid w:val="007651A2"/>
    <w:rsid w:val="007658E8"/>
    <w:rsid w:val="00765DFE"/>
    <w:rsid w:val="00765F9B"/>
    <w:rsid w:val="0076627F"/>
    <w:rsid w:val="00766950"/>
    <w:rsid w:val="00766B58"/>
    <w:rsid w:val="00767915"/>
    <w:rsid w:val="00767AC9"/>
    <w:rsid w:val="00770BD4"/>
    <w:rsid w:val="007714E0"/>
    <w:rsid w:val="00771CAB"/>
    <w:rsid w:val="00772216"/>
    <w:rsid w:val="00772254"/>
    <w:rsid w:val="007729CE"/>
    <w:rsid w:val="00772BBD"/>
    <w:rsid w:val="00773FEE"/>
    <w:rsid w:val="007743BF"/>
    <w:rsid w:val="00774BE7"/>
    <w:rsid w:val="00774DC4"/>
    <w:rsid w:val="00775919"/>
    <w:rsid w:val="00775AA7"/>
    <w:rsid w:val="00775CCC"/>
    <w:rsid w:val="00776CAC"/>
    <w:rsid w:val="007776AD"/>
    <w:rsid w:val="00777787"/>
    <w:rsid w:val="00780420"/>
    <w:rsid w:val="0078106C"/>
    <w:rsid w:val="00781137"/>
    <w:rsid w:val="00781E14"/>
    <w:rsid w:val="007820D3"/>
    <w:rsid w:val="0078237F"/>
    <w:rsid w:val="007826CD"/>
    <w:rsid w:val="00782737"/>
    <w:rsid w:val="0078303C"/>
    <w:rsid w:val="007830FD"/>
    <w:rsid w:val="0078344B"/>
    <w:rsid w:val="00783FE6"/>
    <w:rsid w:val="00784877"/>
    <w:rsid w:val="007849FB"/>
    <w:rsid w:val="00785057"/>
    <w:rsid w:val="0078513A"/>
    <w:rsid w:val="007853DC"/>
    <w:rsid w:val="00785BCC"/>
    <w:rsid w:val="00785BE2"/>
    <w:rsid w:val="007865B2"/>
    <w:rsid w:val="007865E8"/>
    <w:rsid w:val="00786879"/>
    <w:rsid w:val="007868CF"/>
    <w:rsid w:val="00786949"/>
    <w:rsid w:val="00786E10"/>
    <w:rsid w:val="00787409"/>
    <w:rsid w:val="00787446"/>
    <w:rsid w:val="00787A66"/>
    <w:rsid w:val="00790192"/>
    <w:rsid w:val="00790621"/>
    <w:rsid w:val="0079081B"/>
    <w:rsid w:val="00791285"/>
    <w:rsid w:val="00791C2C"/>
    <w:rsid w:val="00794376"/>
    <w:rsid w:val="0079483B"/>
    <w:rsid w:val="00794D83"/>
    <w:rsid w:val="00794EEB"/>
    <w:rsid w:val="00794F8C"/>
    <w:rsid w:val="007954DE"/>
    <w:rsid w:val="007959A9"/>
    <w:rsid w:val="007963C9"/>
    <w:rsid w:val="007965FB"/>
    <w:rsid w:val="007974D1"/>
    <w:rsid w:val="007A079D"/>
    <w:rsid w:val="007A0AB3"/>
    <w:rsid w:val="007A1BB8"/>
    <w:rsid w:val="007A1C56"/>
    <w:rsid w:val="007A1F06"/>
    <w:rsid w:val="007A1F7A"/>
    <w:rsid w:val="007A2973"/>
    <w:rsid w:val="007A39C4"/>
    <w:rsid w:val="007A3A12"/>
    <w:rsid w:val="007A4A8C"/>
    <w:rsid w:val="007A5788"/>
    <w:rsid w:val="007A61CD"/>
    <w:rsid w:val="007A6E4D"/>
    <w:rsid w:val="007A710E"/>
    <w:rsid w:val="007A74FB"/>
    <w:rsid w:val="007A75F2"/>
    <w:rsid w:val="007A76FA"/>
    <w:rsid w:val="007A7B70"/>
    <w:rsid w:val="007A7BF3"/>
    <w:rsid w:val="007B04F2"/>
    <w:rsid w:val="007B0D3B"/>
    <w:rsid w:val="007B17CF"/>
    <w:rsid w:val="007B1DB3"/>
    <w:rsid w:val="007B1E27"/>
    <w:rsid w:val="007B212D"/>
    <w:rsid w:val="007B2568"/>
    <w:rsid w:val="007B275D"/>
    <w:rsid w:val="007B2999"/>
    <w:rsid w:val="007B2B77"/>
    <w:rsid w:val="007B2CF8"/>
    <w:rsid w:val="007B40A9"/>
    <w:rsid w:val="007B4484"/>
    <w:rsid w:val="007B4B5A"/>
    <w:rsid w:val="007B4DD7"/>
    <w:rsid w:val="007B4DE0"/>
    <w:rsid w:val="007B540F"/>
    <w:rsid w:val="007B57FA"/>
    <w:rsid w:val="007B6AD2"/>
    <w:rsid w:val="007B6B32"/>
    <w:rsid w:val="007B715B"/>
    <w:rsid w:val="007B7E5E"/>
    <w:rsid w:val="007B7F30"/>
    <w:rsid w:val="007C0DEE"/>
    <w:rsid w:val="007C0FEA"/>
    <w:rsid w:val="007C1DBE"/>
    <w:rsid w:val="007C1E0E"/>
    <w:rsid w:val="007C2697"/>
    <w:rsid w:val="007C327C"/>
    <w:rsid w:val="007C3482"/>
    <w:rsid w:val="007C45C5"/>
    <w:rsid w:val="007C4D16"/>
    <w:rsid w:val="007C5A91"/>
    <w:rsid w:val="007C5D3E"/>
    <w:rsid w:val="007C5E9F"/>
    <w:rsid w:val="007C6063"/>
    <w:rsid w:val="007C6069"/>
    <w:rsid w:val="007C623B"/>
    <w:rsid w:val="007C6C26"/>
    <w:rsid w:val="007C70D7"/>
    <w:rsid w:val="007C7DE0"/>
    <w:rsid w:val="007D082B"/>
    <w:rsid w:val="007D0B56"/>
    <w:rsid w:val="007D127D"/>
    <w:rsid w:val="007D2728"/>
    <w:rsid w:val="007D28C2"/>
    <w:rsid w:val="007D29D7"/>
    <w:rsid w:val="007D2BD6"/>
    <w:rsid w:val="007D3827"/>
    <w:rsid w:val="007D3A20"/>
    <w:rsid w:val="007D4064"/>
    <w:rsid w:val="007D5992"/>
    <w:rsid w:val="007D5C7A"/>
    <w:rsid w:val="007D6B80"/>
    <w:rsid w:val="007D7412"/>
    <w:rsid w:val="007D77E6"/>
    <w:rsid w:val="007E0337"/>
    <w:rsid w:val="007E1530"/>
    <w:rsid w:val="007E15EC"/>
    <w:rsid w:val="007E172A"/>
    <w:rsid w:val="007E1A8B"/>
    <w:rsid w:val="007E1F5D"/>
    <w:rsid w:val="007E323E"/>
    <w:rsid w:val="007E3867"/>
    <w:rsid w:val="007E4CAA"/>
    <w:rsid w:val="007E4D81"/>
    <w:rsid w:val="007E4DC9"/>
    <w:rsid w:val="007E4E5D"/>
    <w:rsid w:val="007E58C8"/>
    <w:rsid w:val="007E5AB0"/>
    <w:rsid w:val="007E5F08"/>
    <w:rsid w:val="007E6A05"/>
    <w:rsid w:val="007E6E93"/>
    <w:rsid w:val="007E6F8D"/>
    <w:rsid w:val="007E799D"/>
    <w:rsid w:val="007E7FAA"/>
    <w:rsid w:val="007F04DF"/>
    <w:rsid w:val="007F123E"/>
    <w:rsid w:val="007F150E"/>
    <w:rsid w:val="007F1A45"/>
    <w:rsid w:val="007F21FB"/>
    <w:rsid w:val="007F27C1"/>
    <w:rsid w:val="007F2936"/>
    <w:rsid w:val="007F295C"/>
    <w:rsid w:val="007F3B5C"/>
    <w:rsid w:val="007F47DF"/>
    <w:rsid w:val="007F48F1"/>
    <w:rsid w:val="007F5065"/>
    <w:rsid w:val="007F5120"/>
    <w:rsid w:val="007F51BB"/>
    <w:rsid w:val="007F55C0"/>
    <w:rsid w:val="007F6627"/>
    <w:rsid w:val="007F6B7B"/>
    <w:rsid w:val="007F6BED"/>
    <w:rsid w:val="007F7A17"/>
    <w:rsid w:val="008000E0"/>
    <w:rsid w:val="00800BD8"/>
    <w:rsid w:val="00800C53"/>
    <w:rsid w:val="00801117"/>
    <w:rsid w:val="0080134E"/>
    <w:rsid w:val="0080236E"/>
    <w:rsid w:val="00803A7D"/>
    <w:rsid w:val="008040A6"/>
    <w:rsid w:val="00804257"/>
    <w:rsid w:val="008042E3"/>
    <w:rsid w:val="008044CB"/>
    <w:rsid w:val="00804AD0"/>
    <w:rsid w:val="008052C1"/>
    <w:rsid w:val="00805735"/>
    <w:rsid w:val="00805A96"/>
    <w:rsid w:val="00805B52"/>
    <w:rsid w:val="00806599"/>
    <w:rsid w:val="00807099"/>
    <w:rsid w:val="00807214"/>
    <w:rsid w:val="00807848"/>
    <w:rsid w:val="00807F1B"/>
    <w:rsid w:val="0081027C"/>
    <w:rsid w:val="00810577"/>
    <w:rsid w:val="00810D84"/>
    <w:rsid w:val="008118DC"/>
    <w:rsid w:val="00811A69"/>
    <w:rsid w:val="00812EEA"/>
    <w:rsid w:val="008134FF"/>
    <w:rsid w:val="008148EF"/>
    <w:rsid w:val="00814DE7"/>
    <w:rsid w:val="00814E39"/>
    <w:rsid w:val="00815B58"/>
    <w:rsid w:val="00815EE4"/>
    <w:rsid w:val="00815FA5"/>
    <w:rsid w:val="00816D26"/>
    <w:rsid w:val="00816DEB"/>
    <w:rsid w:val="00816FEB"/>
    <w:rsid w:val="00817464"/>
    <w:rsid w:val="0081773C"/>
    <w:rsid w:val="00817B23"/>
    <w:rsid w:val="00817CEB"/>
    <w:rsid w:val="00820275"/>
    <w:rsid w:val="008225ED"/>
    <w:rsid w:val="00822761"/>
    <w:rsid w:val="00822B02"/>
    <w:rsid w:val="00822FCB"/>
    <w:rsid w:val="0082343C"/>
    <w:rsid w:val="008235F0"/>
    <w:rsid w:val="00823E6B"/>
    <w:rsid w:val="00823E78"/>
    <w:rsid w:val="008243C8"/>
    <w:rsid w:val="00824D9E"/>
    <w:rsid w:val="00825771"/>
    <w:rsid w:val="00825B96"/>
    <w:rsid w:val="00826AAD"/>
    <w:rsid w:val="00826E13"/>
    <w:rsid w:val="008270F2"/>
    <w:rsid w:val="008275BF"/>
    <w:rsid w:val="00827F1C"/>
    <w:rsid w:val="00827FB9"/>
    <w:rsid w:val="008305A3"/>
    <w:rsid w:val="00830891"/>
    <w:rsid w:val="00831000"/>
    <w:rsid w:val="00831817"/>
    <w:rsid w:val="00832208"/>
    <w:rsid w:val="008324E9"/>
    <w:rsid w:val="00832964"/>
    <w:rsid w:val="00832D3F"/>
    <w:rsid w:val="008330C7"/>
    <w:rsid w:val="00834B56"/>
    <w:rsid w:val="00834FE7"/>
    <w:rsid w:val="00835457"/>
    <w:rsid w:val="008356C7"/>
    <w:rsid w:val="008359C2"/>
    <w:rsid w:val="00835AF2"/>
    <w:rsid w:val="00835E5D"/>
    <w:rsid w:val="00835EA9"/>
    <w:rsid w:val="008360E2"/>
    <w:rsid w:val="008360E9"/>
    <w:rsid w:val="00836577"/>
    <w:rsid w:val="00837576"/>
    <w:rsid w:val="00837DD0"/>
    <w:rsid w:val="00837E4D"/>
    <w:rsid w:val="00840E00"/>
    <w:rsid w:val="00841029"/>
    <w:rsid w:val="008410C2"/>
    <w:rsid w:val="008411FB"/>
    <w:rsid w:val="0084167C"/>
    <w:rsid w:val="00841943"/>
    <w:rsid w:val="00842BF1"/>
    <w:rsid w:val="00843C01"/>
    <w:rsid w:val="00845246"/>
    <w:rsid w:val="00845304"/>
    <w:rsid w:val="00845339"/>
    <w:rsid w:val="0084580F"/>
    <w:rsid w:val="00845D30"/>
    <w:rsid w:val="008463F5"/>
    <w:rsid w:val="00846BA9"/>
    <w:rsid w:val="00846F9D"/>
    <w:rsid w:val="008477C4"/>
    <w:rsid w:val="008507C1"/>
    <w:rsid w:val="00850B00"/>
    <w:rsid w:val="00850D5C"/>
    <w:rsid w:val="0085149A"/>
    <w:rsid w:val="00851B6A"/>
    <w:rsid w:val="00851F67"/>
    <w:rsid w:val="00852D25"/>
    <w:rsid w:val="00853C09"/>
    <w:rsid w:val="00853ED8"/>
    <w:rsid w:val="008550A5"/>
    <w:rsid w:val="008553C5"/>
    <w:rsid w:val="00855BB5"/>
    <w:rsid w:val="0085638E"/>
    <w:rsid w:val="0085655B"/>
    <w:rsid w:val="00856683"/>
    <w:rsid w:val="008571AE"/>
    <w:rsid w:val="00857698"/>
    <w:rsid w:val="0085784B"/>
    <w:rsid w:val="00857989"/>
    <w:rsid w:val="008611CC"/>
    <w:rsid w:val="00861561"/>
    <w:rsid w:val="00861874"/>
    <w:rsid w:val="00862487"/>
    <w:rsid w:val="00862AFA"/>
    <w:rsid w:val="00862D4E"/>
    <w:rsid w:val="00863070"/>
    <w:rsid w:val="0086331E"/>
    <w:rsid w:val="00863B76"/>
    <w:rsid w:val="00863E16"/>
    <w:rsid w:val="00863E20"/>
    <w:rsid w:val="00863E9C"/>
    <w:rsid w:val="00863F62"/>
    <w:rsid w:val="0086452E"/>
    <w:rsid w:val="00865B84"/>
    <w:rsid w:val="008662BA"/>
    <w:rsid w:val="00866945"/>
    <w:rsid w:val="00867291"/>
    <w:rsid w:val="00867DEC"/>
    <w:rsid w:val="00870284"/>
    <w:rsid w:val="0087170E"/>
    <w:rsid w:val="00871B9B"/>
    <w:rsid w:val="008724AE"/>
    <w:rsid w:val="00872843"/>
    <w:rsid w:val="008735D9"/>
    <w:rsid w:val="0087377B"/>
    <w:rsid w:val="00873A51"/>
    <w:rsid w:val="00873DD8"/>
    <w:rsid w:val="0087489A"/>
    <w:rsid w:val="00874B36"/>
    <w:rsid w:val="00874D3F"/>
    <w:rsid w:val="00874E45"/>
    <w:rsid w:val="008751E5"/>
    <w:rsid w:val="00875568"/>
    <w:rsid w:val="00875A71"/>
    <w:rsid w:val="00875DCD"/>
    <w:rsid w:val="00875F3F"/>
    <w:rsid w:val="00876119"/>
    <w:rsid w:val="00876950"/>
    <w:rsid w:val="00876AFB"/>
    <w:rsid w:val="00876FED"/>
    <w:rsid w:val="00877211"/>
    <w:rsid w:val="00877718"/>
    <w:rsid w:val="00877CA3"/>
    <w:rsid w:val="008801A2"/>
    <w:rsid w:val="008819F3"/>
    <w:rsid w:val="00881D4A"/>
    <w:rsid w:val="00881FE8"/>
    <w:rsid w:val="00882208"/>
    <w:rsid w:val="008828A0"/>
    <w:rsid w:val="00882FEA"/>
    <w:rsid w:val="008843FB"/>
    <w:rsid w:val="00884864"/>
    <w:rsid w:val="00884A92"/>
    <w:rsid w:val="00884B46"/>
    <w:rsid w:val="0088524C"/>
    <w:rsid w:val="00885513"/>
    <w:rsid w:val="00885A68"/>
    <w:rsid w:val="00885BFF"/>
    <w:rsid w:val="00885E6F"/>
    <w:rsid w:val="00886092"/>
    <w:rsid w:val="00886D24"/>
    <w:rsid w:val="0088750E"/>
    <w:rsid w:val="008876A2"/>
    <w:rsid w:val="00887AC6"/>
    <w:rsid w:val="00887C23"/>
    <w:rsid w:val="008909C5"/>
    <w:rsid w:val="008914FF"/>
    <w:rsid w:val="00891875"/>
    <w:rsid w:val="00891B2D"/>
    <w:rsid w:val="00891BC1"/>
    <w:rsid w:val="00891DF2"/>
    <w:rsid w:val="00891E4E"/>
    <w:rsid w:val="008920BE"/>
    <w:rsid w:val="008922CA"/>
    <w:rsid w:val="00892439"/>
    <w:rsid w:val="0089256A"/>
    <w:rsid w:val="008926B2"/>
    <w:rsid w:val="00892858"/>
    <w:rsid w:val="008937E2"/>
    <w:rsid w:val="00893F80"/>
    <w:rsid w:val="008940EA"/>
    <w:rsid w:val="008949EF"/>
    <w:rsid w:val="00894DEF"/>
    <w:rsid w:val="00894F2B"/>
    <w:rsid w:val="00895315"/>
    <w:rsid w:val="008957EC"/>
    <w:rsid w:val="008968DE"/>
    <w:rsid w:val="008974D5"/>
    <w:rsid w:val="00897B9A"/>
    <w:rsid w:val="008A0E91"/>
    <w:rsid w:val="008A1109"/>
    <w:rsid w:val="008A165E"/>
    <w:rsid w:val="008A1C82"/>
    <w:rsid w:val="008A1F2F"/>
    <w:rsid w:val="008A1F5F"/>
    <w:rsid w:val="008A24C5"/>
    <w:rsid w:val="008A259A"/>
    <w:rsid w:val="008A268B"/>
    <w:rsid w:val="008A2B75"/>
    <w:rsid w:val="008A2E18"/>
    <w:rsid w:val="008A31A5"/>
    <w:rsid w:val="008A3A62"/>
    <w:rsid w:val="008A3B38"/>
    <w:rsid w:val="008A3BEF"/>
    <w:rsid w:val="008A4535"/>
    <w:rsid w:val="008A4799"/>
    <w:rsid w:val="008A49AF"/>
    <w:rsid w:val="008A4A62"/>
    <w:rsid w:val="008A4EBF"/>
    <w:rsid w:val="008A51BE"/>
    <w:rsid w:val="008A5CE7"/>
    <w:rsid w:val="008A5E3E"/>
    <w:rsid w:val="008A6C77"/>
    <w:rsid w:val="008A6CCD"/>
    <w:rsid w:val="008A6F79"/>
    <w:rsid w:val="008A704E"/>
    <w:rsid w:val="008B0099"/>
    <w:rsid w:val="008B01F1"/>
    <w:rsid w:val="008B0E5C"/>
    <w:rsid w:val="008B0FE0"/>
    <w:rsid w:val="008B10A0"/>
    <w:rsid w:val="008B1AC5"/>
    <w:rsid w:val="008B1ACB"/>
    <w:rsid w:val="008B1D45"/>
    <w:rsid w:val="008B2265"/>
    <w:rsid w:val="008B22E9"/>
    <w:rsid w:val="008B252E"/>
    <w:rsid w:val="008B2689"/>
    <w:rsid w:val="008B3028"/>
    <w:rsid w:val="008B3AFD"/>
    <w:rsid w:val="008B4BD2"/>
    <w:rsid w:val="008B5019"/>
    <w:rsid w:val="008B5176"/>
    <w:rsid w:val="008B553F"/>
    <w:rsid w:val="008B652E"/>
    <w:rsid w:val="008B66F6"/>
    <w:rsid w:val="008B7199"/>
    <w:rsid w:val="008B7A2E"/>
    <w:rsid w:val="008B7D65"/>
    <w:rsid w:val="008C046F"/>
    <w:rsid w:val="008C0FFE"/>
    <w:rsid w:val="008C15D6"/>
    <w:rsid w:val="008C1960"/>
    <w:rsid w:val="008C1A93"/>
    <w:rsid w:val="008C2004"/>
    <w:rsid w:val="008C254C"/>
    <w:rsid w:val="008C2B0B"/>
    <w:rsid w:val="008C2C7D"/>
    <w:rsid w:val="008C3187"/>
    <w:rsid w:val="008C3B80"/>
    <w:rsid w:val="008C3C63"/>
    <w:rsid w:val="008C3E2E"/>
    <w:rsid w:val="008C4658"/>
    <w:rsid w:val="008C5C16"/>
    <w:rsid w:val="008C6379"/>
    <w:rsid w:val="008C6959"/>
    <w:rsid w:val="008C7121"/>
    <w:rsid w:val="008C7CC3"/>
    <w:rsid w:val="008C7D84"/>
    <w:rsid w:val="008D03BA"/>
    <w:rsid w:val="008D1005"/>
    <w:rsid w:val="008D1583"/>
    <w:rsid w:val="008D2411"/>
    <w:rsid w:val="008D25C3"/>
    <w:rsid w:val="008D2876"/>
    <w:rsid w:val="008D2D23"/>
    <w:rsid w:val="008D30CA"/>
    <w:rsid w:val="008D3154"/>
    <w:rsid w:val="008D3247"/>
    <w:rsid w:val="008D3CDE"/>
    <w:rsid w:val="008D4564"/>
    <w:rsid w:val="008D4997"/>
    <w:rsid w:val="008D5637"/>
    <w:rsid w:val="008D58EF"/>
    <w:rsid w:val="008D5E08"/>
    <w:rsid w:val="008D6775"/>
    <w:rsid w:val="008D6C92"/>
    <w:rsid w:val="008D7578"/>
    <w:rsid w:val="008D7801"/>
    <w:rsid w:val="008D7A8D"/>
    <w:rsid w:val="008D7C74"/>
    <w:rsid w:val="008E018C"/>
    <w:rsid w:val="008E0D93"/>
    <w:rsid w:val="008E2267"/>
    <w:rsid w:val="008E229E"/>
    <w:rsid w:val="008E2BAF"/>
    <w:rsid w:val="008E37D1"/>
    <w:rsid w:val="008E3D1D"/>
    <w:rsid w:val="008E3E05"/>
    <w:rsid w:val="008E41A1"/>
    <w:rsid w:val="008E464D"/>
    <w:rsid w:val="008E4825"/>
    <w:rsid w:val="008E53D0"/>
    <w:rsid w:val="008E5420"/>
    <w:rsid w:val="008E5605"/>
    <w:rsid w:val="008E58B7"/>
    <w:rsid w:val="008E590C"/>
    <w:rsid w:val="008E59DD"/>
    <w:rsid w:val="008E5BCE"/>
    <w:rsid w:val="008E5C21"/>
    <w:rsid w:val="008E654A"/>
    <w:rsid w:val="008E6575"/>
    <w:rsid w:val="008E68B1"/>
    <w:rsid w:val="008E763A"/>
    <w:rsid w:val="008E787A"/>
    <w:rsid w:val="008E7E59"/>
    <w:rsid w:val="008F033B"/>
    <w:rsid w:val="008F0F33"/>
    <w:rsid w:val="008F0F81"/>
    <w:rsid w:val="008F1A30"/>
    <w:rsid w:val="008F1A93"/>
    <w:rsid w:val="008F208E"/>
    <w:rsid w:val="008F243B"/>
    <w:rsid w:val="008F2633"/>
    <w:rsid w:val="008F2B71"/>
    <w:rsid w:val="008F327F"/>
    <w:rsid w:val="008F34CD"/>
    <w:rsid w:val="008F45CE"/>
    <w:rsid w:val="008F4E52"/>
    <w:rsid w:val="008F4EF0"/>
    <w:rsid w:val="008F5156"/>
    <w:rsid w:val="008F58E9"/>
    <w:rsid w:val="008F669C"/>
    <w:rsid w:val="008F6BEB"/>
    <w:rsid w:val="008F72E9"/>
    <w:rsid w:val="009003DF"/>
    <w:rsid w:val="00900B53"/>
    <w:rsid w:val="00900C4F"/>
    <w:rsid w:val="00900D60"/>
    <w:rsid w:val="009010EC"/>
    <w:rsid w:val="00901527"/>
    <w:rsid w:val="00901630"/>
    <w:rsid w:val="00902709"/>
    <w:rsid w:val="00902BD6"/>
    <w:rsid w:val="00902C1F"/>
    <w:rsid w:val="00902D5D"/>
    <w:rsid w:val="0090317B"/>
    <w:rsid w:val="00903398"/>
    <w:rsid w:val="00903669"/>
    <w:rsid w:val="00903801"/>
    <w:rsid w:val="00903946"/>
    <w:rsid w:val="00903DAD"/>
    <w:rsid w:val="00903EEB"/>
    <w:rsid w:val="00904C85"/>
    <w:rsid w:val="009057F1"/>
    <w:rsid w:val="00905E1E"/>
    <w:rsid w:val="009063FF"/>
    <w:rsid w:val="0090687A"/>
    <w:rsid w:val="0090724B"/>
    <w:rsid w:val="009078D2"/>
    <w:rsid w:val="00907A82"/>
    <w:rsid w:val="009101CD"/>
    <w:rsid w:val="00910596"/>
    <w:rsid w:val="0091064F"/>
    <w:rsid w:val="00910AFC"/>
    <w:rsid w:val="00910E97"/>
    <w:rsid w:val="00910F25"/>
    <w:rsid w:val="009111A4"/>
    <w:rsid w:val="009117CB"/>
    <w:rsid w:val="009124DE"/>
    <w:rsid w:val="0091286E"/>
    <w:rsid w:val="00912B4D"/>
    <w:rsid w:val="00912C17"/>
    <w:rsid w:val="00913200"/>
    <w:rsid w:val="009148CA"/>
    <w:rsid w:val="0091493D"/>
    <w:rsid w:val="00914C89"/>
    <w:rsid w:val="009152C5"/>
    <w:rsid w:val="009154E3"/>
    <w:rsid w:val="00915753"/>
    <w:rsid w:val="00915B77"/>
    <w:rsid w:val="00915BB8"/>
    <w:rsid w:val="00916015"/>
    <w:rsid w:val="00916148"/>
    <w:rsid w:val="00916D77"/>
    <w:rsid w:val="0091781F"/>
    <w:rsid w:val="0091789A"/>
    <w:rsid w:val="009201CF"/>
    <w:rsid w:val="009201E5"/>
    <w:rsid w:val="0092054E"/>
    <w:rsid w:val="00920C14"/>
    <w:rsid w:val="00920ECE"/>
    <w:rsid w:val="00921CA5"/>
    <w:rsid w:val="009246A9"/>
    <w:rsid w:val="00924C47"/>
    <w:rsid w:val="00924E42"/>
    <w:rsid w:val="0092585B"/>
    <w:rsid w:val="00925DBA"/>
    <w:rsid w:val="00925F20"/>
    <w:rsid w:val="00925F9F"/>
    <w:rsid w:val="00926146"/>
    <w:rsid w:val="00926E80"/>
    <w:rsid w:val="009273BD"/>
    <w:rsid w:val="00927B33"/>
    <w:rsid w:val="00927B5F"/>
    <w:rsid w:val="00927B8C"/>
    <w:rsid w:val="00927CFA"/>
    <w:rsid w:val="00930009"/>
    <w:rsid w:val="00930571"/>
    <w:rsid w:val="00930970"/>
    <w:rsid w:val="00930BBC"/>
    <w:rsid w:val="009310D8"/>
    <w:rsid w:val="00931519"/>
    <w:rsid w:val="0093172D"/>
    <w:rsid w:val="0093183A"/>
    <w:rsid w:val="00931E04"/>
    <w:rsid w:val="00932BF2"/>
    <w:rsid w:val="00933867"/>
    <w:rsid w:val="009339B2"/>
    <w:rsid w:val="00933AB4"/>
    <w:rsid w:val="00933C84"/>
    <w:rsid w:val="00933F60"/>
    <w:rsid w:val="009352C2"/>
    <w:rsid w:val="0093545E"/>
    <w:rsid w:val="0093563D"/>
    <w:rsid w:val="00936984"/>
    <w:rsid w:val="00936E8B"/>
    <w:rsid w:val="009370BE"/>
    <w:rsid w:val="00940582"/>
    <w:rsid w:val="00940645"/>
    <w:rsid w:val="0094069B"/>
    <w:rsid w:val="0094087B"/>
    <w:rsid w:val="00941F2D"/>
    <w:rsid w:val="00942204"/>
    <w:rsid w:val="0094255F"/>
    <w:rsid w:val="00943111"/>
    <w:rsid w:val="009431D4"/>
    <w:rsid w:val="00944A06"/>
    <w:rsid w:val="00944A4F"/>
    <w:rsid w:val="00946349"/>
    <w:rsid w:val="00946448"/>
    <w:rsid w:val="00946453"/>
    <w:rsid w:val="00946C6C"/>
    <w:rsid w:val="00946DE2"/>
    <w:rsid w:val="00947046"/>
    <w:rsid w:val="009479E8"/>
    <w:rsid w:val="00950587"/>
    <w:rsid w:val="009509DE"/>
    <w:rsid w:val="00952115"/>
    <w:rsid w:val="00952225"/>
    <w:rsid w:val="00952459"/>
    <w:rsid w:val="009524AE"/>
    <w:rsid w:val="0095250A"/>
    <w:rsid w:val="00952956"/>
    <w:rsid w:val="00952C89"/>
    <w:rsid w:val="00954574"/>
    <w:rsid w:val="0095465B"/>
    <w:rsid w:val="00954745"/>
    <w:rsid w:val="00954E8D"/>
    <w:rsid w:val="0095507F"/>
    <w:rsid w:val="00955356"/>
    <w:rsid w:val="009556D2"/>
    <w:rsid w:val="00956163"/>
    <w:rsid w:val="00956268"/>
    <w:rsid w:val="0095675A"/>
    <w:rsid w:val="00956A20"/>
    <w:rsid w:val="00957474"/>
    <w:rsid w:val="00957BC2"/>
    <w:rsid w:val="009616EB"/>
    <w:rsid w:val="00961913"/>
    <w:rsid w:val="00961B0E"/>
    <w:rsid w:val="00961D3F"/>
    <w:rsid w:val="00961EEC"/>
    <w:rsid w:val="00962159"/>
    <w:rsid w:val="00962496"/>
    <w:rsid w:val="00962633"/>
    <w:rsid w:val="00962B8C"/>
    <w:rsid w:val="00963E3F"/>
    <w:rsid w:val="0096428C"/>
    <w:rsid w:val="0096451B"/>
    <w:rsid w:val="009647EF"/>
    <w:rsid w:val="00965733"/>
    <w:rsid w:val="00966037"/>
    <w:rsid w:val="00967100"/>
    <w:rsid w:val="0096719D"/>
    <w:rsid w:val="00967AE5"/>
    <w:rsid w:val="00967AE7"/>
    <w:rsid w:val="00970008"/>
    <w:rsid w:val="009701F1"/>
    <w:rsid w:val="00971631"/>
    <w:rsid w:val="00971BE4"/>
    <w:rsid w:val="00971C49"/>
    <w:rsid w:val="00971D63"/>
    <w:rsid w:val="00971FDE"/>
    <w:rsid w:val="0097229C"/>
    <w:rsid w:val="00972CA3"/>
    <w:rsid w:val="009732BA"/>
    <w:rsid w:val="009735E3"/>
    <w:rsid w:val="0097372C"/>
    <w:rsid w:val="00973851"/>
    <w:rsid w:val="009746DC"/>
    <w:rsid w:val="00974C64"/>
    <w:rsid w:val="009750A9"/>
    <w:rsid w:val="0097592D"/>
    <w:rsid w:val="00975BD0"/>
    <w:rsid w:val="00976118"/>
    <w:rsid w:val="009765EC"/>
    <w:rsid w:val="00977E52"/>
    <w:rsid w:val="0098053D"/>
    <w:rsid w:val="009806B3"/>
    <w:rsid w:val="0098117B"/>
    <w:rsid w:val="009818A0"/>
    <w:rsid w:val="0098209C"/>
    <w:rsid w:val="00982544"/>
    <w:rsid w:val="0098266C"/>
    <w:rsid w:val="00982753"/>
    <w:rsid w:val="00983D1F"/>
    <w:rsid w:val="00983FDE"/>
    <w:rsid w:val="0098409F"/>
    <w:rsid w:val="0098473D"/>
    <w:rsid w:val="00984B0D"/>
    <w:rsid w:val="00984DF1"/>
    <w:rsid w:val="00984E75"/>
    <w:rsid w:val="009851D2"/>
    <w:rsid w:val="00985A77"/>
    <w:rsid w:val="00985FC7"/>
    <w:rsid w:val="00986214"/>
    <w:rsid w:val="00986352"/>
    <w:rsid w:val="00986984"/>
    <w:rsid w:val="00987476"/>
    <w:rsid w:val="0098765E"/>
    <w:rsid w:val="00987976"/>
    <w:rsid w:val="00987A4C"/>
    <w:rsid w:val="00987D37"/>
    <w:rsid w:val="00987F74"/>
    <w:rsid w:val="009910AC"/>
    <w:rsid w:val="009913B1"/>
    <w:rsid w:val="00991768"/>
    <w:rsid w:val="00991966"/>
    <w:rsid w:val="009919C0"/>
    <w:rsid w:val="0099260C"/>
    <w:rsid w:val="00992EC7"/>
    <w:rsid w:val="009938C4"/>
    <w:rsid w:val="00994427"/>
    <w:rsid w:val="0099469B"/>
    <w:rsid w:val="009948B7"/>
    <w:rsid w:val="0099517A"/>
    <w:rsid w:val="009951BE"/>
    <w:rsid w:val="0099532E"/>
    <w:rsid w:val="00995693"/>
    <w:rsid w:val="009957B2"/>
    <w:rsid w:val="00995A7A"/>
    <w:rsid w:val="00996023"/>
    <w:rsid w:val="00996DE2"/>
    <w:rsid w:val="009A00D1"/>
    <w:rsid w:val="009A0474"/>
    <w:rsid w:val="009A0486"/>
    <w:rsid w:val="009A04DE"/>
    <w:rsid w:val="009A09FE"/>
    <w:rsid w:val="009A12ED"/>
    <w:rsid w:val="009A1465"/>
    <w:rsid w:val="009A19FF"/>
    <w:rsid w:val="009A3230"/>
    <w:rsid w:val="009A38B0"/>
    <w:rsid w:val="009A4155"/>
    <w:rsid w:val="009A5D8C"/>
    <w:rsid w:val="009A64A8"/>
    <w:rsid w:val="009A691A"/>
    <w:rsid w:val="009A6D4E"/>
    <w:rsid w:val="009A6EFB"/>
    <w:rsid w:val="009B00BA"/>
    <w:rsid w:val="009B01B5"/>
    <w:rsid w:val="009B09E8"/>
    <w:rsid w:val="009B2671"/>
    <w:rsid w:val="009B274F"/>
    <w:rsid w:val="009B364C"/>
    <w:rsid w:val="009B410A"/>
    <w:rsid w:val="009B4572"/>
    <w:rsid w:val="009B51D8"/>
    <w:rsid w:val="009B5D39"/>
    <w:rsid w:val="009B60D2"/>
    <w:rsid w:val="009B63FF"/>
    <w:rsid w:val="009B6571"/>
    <w:rsid w:val="009B6833"/>
    <w:rsid w:val="009C020E"/>
    <w:rsid w:val="009C034A"/>
    <w:rsid w:val="009C07F3"/>
    <w:rsid w:val="009C120E"/>
    <w:rsid w:val="009C147B"/>
    <w:rsid w:val="009C185D"/>
    <w:rsid w:val="009C1EB7"/>
    <w:rsid w:val="009C1F49"/>
    <w:rsid w:val="009C3099"/>
    <w:rsid w:val="009C337F"/>
    <w:rsid w:val="009C5468"/>
    <w:rsid w:val="009C5996"/>
    <w:rsid w:val="009C5AFA"/>
    <w:rsid w:val="009C6244"/>
    <w:rsid w:val="009C68E0"/>
    <w:rsid w:val="009C6AE6"/>
    <w:rsid w:val="009C7F63"/>
    <w:rsid w:val="009C7FA3"/>
    <w:rsid w:val="009D0070"/>
    <w:rsid w:val="009D0505"/>
    <w:rsid w:val="009D0B38"/>
    <w:rsid w:val="009D0CBA"/>
    <w:rsid w:val="009D15B8"/>
    <w:rsid w:val="009D1978"/>
    <w:rsid w:val="009D20DC"/>
    <w:rsid w:val="009D21F5"/>
    <w:rsid w:val="009D26A4"/>
    <w:rsid w:val="009D2F4E"/>
    <w:rsid w:val="009D3D33"/>
    <w:rsid w:val="009D43A3"/>
    <w:rsid w:val="009D4993"/>
    <w:rsid w:val="009D5341"/>
    <w:rsid w:val="009D5CDD"/>
    <w:rsid w:val="009D6973"/>
    <w:rsid w:val="009D6E79"/>
    <w:rsid w:val="009D7006"/>
    <w:rsid w:val="009D7337"/>
    <w:rsid w:val="009D73B1"/>
    <w:rsid w:val="009D75D5"/>
    <w:rsid w:val="009D7A73"/>
    <w:rsid w:val="009D7D00"/>
    <w:rsid w:val="009E0111"/>
    <w:rsid w:val="009E0D53"/>
    <w:rsid w:val="009E156C"/>
    <w:rsid w:val="009E17F5"/>
    <w:rsid w:val="009E183D"/>
    <w:rsid w:val="009E201D"/>
    <w:rsid w:val="009E2894"/>
    <w:rsid w:val="009E3C7D"/>
    <w:rsid w:val="009E4149"/>
    <w:rsid w:val="009E43E5"/>
    <w:rsid w:val="009E4435"/>
    <w:rsid w:val="009E45D2"/>
    <w:rsid w:val="009E4B6E"/>
    <w:rsid w:val="009E52DB"/>
    <w:rsid w:val="009E5437"/>
    <w:rsid w:val="009E5881"/>
    <w:rsid w:val="009E5F8B"/>
    <w:rsid w:val="009E61EA"/>
    <w:rsid w:val="009E61EB"/>
    <w:rsid w:val="009E6EDE"/>
    <w:rsid w:val="009E7049"/>
    <w:rsid w:val="009F020E"/>
    <w:rsid w:val="009F09BE"/>
    <w:rsid w:val="009F09EC"/>
    <w:rsid w:val="009F0FFF"/>
    <w:rsid w:val="009F1448"/>
    <w:rsid w:val="009F15DD"/>
    <w:rsid w:val="009F1E31"/>
    <w:rsid w:val="009F21D0"/>
    <w:rsid w:val="009F23DD"/>
    <w:rsid w:val="009F2BFC"/>
    <w:rsid w:val="009F3212"/>
    <w:rsid w:val="009F37ED"/>
    <w:rsid w:val="009F3AA7"/>
    <w:rsid w:val="009F3BB2"/>
    <w:rsid w:val="009F3FB3"/>
    <w:rsid w:val="009F400F"/>
    <w:rsid w:val="009F47D5"/>
    <w:rsid w:val="009F4A8A"/>
    <w:rsid w:val="009F50C9"/>
    <w:rsid w:val="009F59CE"/>
    <w:rsid w:val="009F6B1C"/>
    <w:rsid w:val="009F779A"/>
    <w:rsid w:val="00A0006F"/>
    <w:rsid w:val="00A00391"/>
    <w:rsid w:val="00A01763"/>
    <w:rsid w:val="00A01F1A"/>
    <w:rsid w:val="00A0222B"/>
    <w:rsid w:val="00A04176"/>
    <w:rsid w:val="00A04C95"/>
    <w:rsid w:val="00A04E6D"/>
    <w:rsid w:val="00A05351"/>
    <w:rsid w:val="00A0541C"/>
    <w:rsid w:val="00A05564"/>
    <w:rsid w:val="00A055A3"/>
    <w:rsid w:val="00A05F69"/>
    <w:rsid w:val="00A06134"/>
    <w:rsid w:val="00A0692F"/>
    <w:rsid w:val="00A06D4D"/>
    <w:rsid w:val="00A07159"/>
    <w:rsid w:val="00A075DF"/>
    <w:rsid w:val="00A0784C"/>
    <w:rsid w:val="00A07DD7"/>
    <w:rsid w:val="00A104BB"/>
    <w:rsid w:val="00A10D95"/>
    <w:rsid w:val="00A117E7"/>
    <w:rsid w:val="00A11966"/>
    <w:rsid w:val="00A11BCB"/>
    <w:rsid w:val="00A11D3E"/>
    <w:rsid w:val="00A127A9"/>
    <w:rsid w:val="00A1365F"/>
    <w:rsid w:val="00A13C1D"/>
    <w:rsid w:val="00A140A0"/>
    <w:rsid w:val="00A1437A"/>
    <w:rsid w:val="00A14E62"/>
    <w:rsid w:val="00A15CC4"/>
    <w:rsid w:val="00A15D39"/>
    <w:rsid w:val="00A15F00"/>
    <w:rsid w:val="00A160FB"/>
    <w:rsid w:val="00A1758B"/>
    <w:rsid w:val="00A17CF2"/>
    <w:rsid w:val="00A204E2"/>
    <w:rsid w:val="00A20795"/>
    <w:rsid w:val="00A20891"/>
    <w:rsid w:val="00A20C49"/>
    <w:rsid w:val="00A20FB3"/>
    <w:rsid w:val="00A21855"/>
    <w:rsid w:val="00A21941"/>
    <w:rsid w:val="00A21BB4"/>
    <w:rsid w:val="00A21C2C"/>
    <w:rsid w:val="00A21C37"/>
    <w:rsid w:val="00A21E61"/>
    <w:rsid w:val="00A22078"/>
    <w:rsid w:val="00A22451"/>
    <w:rsid w:val="00A2252F"/>
    <w:rsid w:val="00A22576"/>
    <w:rsid w:val="00A225A4"/>
    <w:rsid w:val="00A22D8D"/>
    <w:rsid w:val="00A234C1"/>
    <w:rsid w:val="00A23AC9"/>
    <w:rsid w:val="00A2438D"/>
    <w:rsid w:val="00A24BDF"/>
    <w:rsid w:val="00A25682"/>
    <w:rsid w:val="00A25856"/>
    <w:rsid w:val="00A25CF4"/>
    <w:rsid w:val="00A25E2E"/>
    <w:rsid w:val="00A26193"/>
    <w:rsid w:val="00A268A9"/>
    <w:rsid w:val="00A26A41"/>
    <w:rsid w:val="00A27E80"/>
    <w:rsid w:val="00A301FC"/>
    <w:rsid w:val="00A3023B"/>
    <w:rsid w:val="00A30AE0"/>
    <w:rsid w:val="00A31BB5"/>
    <w:rsid w:val="00A32451"/>
    <w:rsid w:val="00A32BC7"/>
    <w:rsid w:val="00A3351C"/>
    <w:rsid w:val="00A33C81"/>
    <w:rsid w:val="00A3412E"/>
    <w:rsid w:val="00A34C05"/>
    <w:rsid w:val="00A34C7C"/>
    <w:rsid w:val="00A34F0F"/>
    <w:rsid w:val="00A3520D"/>
    <w:rsid w:val="00A3532F"/>
    <w:rsid w:val="00A35ED6"/>
    <w:rsid w:val="00A372AB"/>
    <w:rsid w:val="00A37471"/>
    <w:rsid w:val="00A40145"/>
    <w:rsid w:val="00A40604"/>
    <w:rsid w:val="00A40889"/>
    <w:rsid w:val="00A41524"/>
    <w:rsid w:val="00A41BF9"/>
    <w:rsid w:val="00A41FDC"/>
    <w:rsid w:val="00A42809"/>
    <w:rsid w:val="00A42C60"/>
    <w:rsid w:val="00A42CB5"/>
    <w:rsid w:val="00A430C3"/>
    <w:rsid w:val="00A437FD"/>
    <w:rsid w:val="00A44364"/>
    <w:rsid w:val="00A4528C"/>
    <w:rsid w:val="00A45758"/>
    <w:rsid w:val="00A45F8C"/>
    <w:rsid w:val="00A46D7B"/>
    <w:rsid w:val="00A4745A"/>
    <w:rsid w:val="00A47C2A"/>
    <w:rsid w:val="00A505B8"/>
    <w:rsid w:val="00A50D6A"/>
    <w:rsid w:val="00A52E11"/>
    <w:rsid w:val="00A5399E"/>
    <w:rsid w:val="00A53FF4"/>
    <w:rsid w:val="00A541EB"/>
    <w:rsid w:val="00A5460C"/>
    <w:rsid w:val="00A54D0D"/>
    <w:rsid w:val="00A54DC9"/>
    <w:rsid w:val="00A55B9E"/>
    <w:rsid w:val="00A56152"/>
    <w:rsid w:val="00A566C3"/>
    <w:rsid w:val="00A56AEE"/>
    <w:rsid w:val="00A56C52"/>
    <w:rsid w:val="00A56D09"/>
    <w:rsid w:val="00A57073"/>
    <w:rsid w:val="00A575A5"/>
    <w:rsid w:val="00A57A77"/>
    <w:rsid w:val="00A57D5C"/>
    <w:rsid w:val="00A57ED1"/>
    <w:rsid w:val="00A60220"/>
    <w:rsid w:val="00A60321"/>
    <w:rsid w:val="00A6051C"/>
    <w:rsid w:val="00A60706"/>
    <w:rsid w:val="00A6138C"/>
    <w:rsid w:val="00A614B5"/>
    <w:rsid w:val="00A617F3"/>
    <w:rsid w:val="00A61853"/>
    <w:rsid w:val="00A6194B"/>
    <w:rsid w:val="00A61F65"/>
    <w:rsid w:val="00A62E9C"/>
    <w:rsid w:val="00A63326"/>
    <w:rsid w:val="00A6338D"/>
    <w:rsid w:val="00A64D32"/>
    <w:rsid w:val="00A64D9D"/>
    <w:rsid w:val="00A6587D"/>
    <w:rsid w:val="00A66C7F"/>
    <w:rsid w:val="00A67128"/>
    <w:rsid w:val="00A672E1"/>
    <w:rsid w:val="00A67AF5"/>
    <w:rsid w:val="00A700FF"/>
    <w:rsid w:val="00A70A5E"/>
    <w:rsid w:val="00A71CF0"/>
    <w:rsid w:val="00A7203B"/>
    <w:rsid w:val="00A724CA"/>
    <w:rsid w:val="00A726EE"/>
    <w:rsid w:val="00A72DCA"/>
    <w:rsid w:val="00A73848"/>
    <w:rsid w:val="00A74277"/>
    <w:rsid w:val="00A743D5"/>
    <w:rsid w:val="00A745DB"/>
    <w:rsid w:val="00A74B60"/>
    <w:rsid w:val="00A75002"/>
    <w:rsid w:val="00A751F5"/>
    <w:rsid w:val="00A75FB8"/>
    <w:rsid w:val="00A76554"/>
    <w:rsid w:val="00A76667"/>
    <w:rsid w:val="00A7786E"/>
    <w:rsid w:val="00A805B4"/>
    <w:rsid w:val="00A8072D"/>
    <w:rsid w:val="00A8095E"/>
    <w:rsid w:val="00A8162F"/>
    <w:rsid w:val="00A8243C"/>
    <w:rsid w:val="00A82B00"/>
    <w:rsid w:val="00A837A4"/>
    <w:rsid w:val="00A8461F"/>
    <w:rsid w:val="00A8499A"/>
    <w:rsid w:val="00A86260"/>
    <w:rsid w:val="00A86886"/>
    <w:rsid w:val="00A86B29"/>
    <w:rsid w:val="00A87138"/>
    <w:rsid w:val="00A8793B"/>
    <w:rsid w:val="00A879DA"/>
    <w:rsid w:val="00A9028B"/>
    <w:rsid w:val="00A904A0"/>
    <w:rsid w:val="00A905F6"/>
    <w:rsid w:val="00A91597"/>
    <w:rsid w:val="00A91A76"/>
    <w:rsid w:val="00A92C8D"/>
    <w:rsid w:val="00A92E72"/>
    <w:rsid w:val="00A938FC"/>
    <w:rsid w:val="00A94294"/>
    <w:rsid w:val="00A947FA"/>
    <w:rsid w:val="00A94833"/>
    <w:rsid w:val="00A94973"/>
    <w:rsid w:val="00A94A13"/>
    <w:rsid w:val="00A94A4F"/>
    <w:rsid w:val="00A9537B"/>
    <w:rsid w:val="00A9543D"/>
    <w:rsid w:val="00A96351"/>
    <w:rsid w:val="00A96993"/>
    <w:rsid w:val="00A96CFC"/>
    <w:rsid w:val="00A97BA8"/>
    <w:rsid w:val="00AA0741"/>
    <w:rsid w:val="00AA0766"/>
    <w:rsid w:val="00AA0996"/>
    <w:rsid w:val="00AA16ED"/>
    <w:rsid w:val="00AA1923"/>
    <w:rsid w:val="00AA3106"/>
    <w:rsid w:val="00AA3398"/>
    <w:rsid w:val="00AA3641"/>
    <w:rsid w:val="00AA4D7F"/>
    <w:rsid w:val="00AA6505"/>
    <w:rsid w:val="00AA65E5"/>
    <w:rsid w:val="00AA6641"/>
    <w:rsid w:val="00AA6C8F"/>
    <w:rsid w:val="00AA7206"/>
    <w:rsid w:val="00AA7574"/>
    <w:rsid w:val="00AA7F52"/>
    <w:rsid w:val="00AB09ED"/>
    <w:rsid w:val="00AB1140"/>
    <w:rsid w:val="00AB1597"/>
    <w:rsid w:val="00AB15F9"/>
    <w:rsid w:val="00AB1704"/>
    <w:rsid w:val="00AB201D"/>
    <w:rsid w:val="00AB239B"/>
    <w:rsid w:val="00AB304D"/>
    <w:rsid w:val="00AB3147"/>
    <w:rsid w:val="00AB3C4E"/>
    <w:rsid w:val="00AB3CB8"/>
    <w:rsid w:val="00AB3F28"/>
    <w:rsid w:val="00AB4CA4"/>
    <w:rsid w:val="00AB4DF2"/>
    <w:rsid w:val="00AB502E"/>
    <w:rsid w:val="00AB51FF"/>
    <w:rsid w:val="00AB582E"/>
    <w:rsid w:val="00AB68E5"/>
    <w:rsid w:val="00AC0EC6"/>
    <w:rsid w:val="00AC119D"/>
    <w:rsid w:val="00AC11F8"/>
    <w:rsid w:val="00AC28AA"/>
    <w:rsid w:val="00AC2B80"/>
    <w:rsid w:val="00AC3B7E"/>
    <w:rsid w:val="00AC4193"/>
    <w:rsid w:val="00AC4512"/>
    <w:rsid w:val="00AC57D4"/>
    <w:rsid w:val="00AC5E60"/>
    <w:rsid w:val="00AC604B"/>
    <w:rsid w:val="00AC60B5"/>
    <w:rsid w:val="00AC6A06"/>
    <w:rsid w:val="00AC6CE3"/>
    <w:rsid w:val="00AC72CE"/>
    <w:rsid w:val="00AC7322"/>
    <w:rsid w:val="00AC745D"/>
    <w:rsid w:val="00AC7D2C"/>
    <w:rsid w:val="00AC7EC9"/>
    <w:rsid w:val="00AD0265"/>
    <w:rsid w:val="00AD1A1B"/>
    <w:rsid w:val="00AD29E0"/>
    <w:rsid w:val="00AD331C"/>
    <w:rsid w:val="00AD3933"/>
    <w:rsid w:val="00AD4081"/>
    <w:rsid w:val="00AD4817"/>
    <w:rsid w:val="00AD4F46"/>
    <w:rsid w:val="00AD55B4"/>
    <w:rsid w:val="00AD57DD"/>
    <w:rsid w:val="00AD7AE6"/>
    <w:rsid w:val="00AD7F15"/>
    <w:rsid w:val="00AE03A8"/>
    <w:rsid w:val="00AE0AF8"/>
    <w:rsid w:val="00AE1B4B"/>
    <w:rsid w:val="00AE1E96"/>
    <w:rsid w:val="00AE246F"/>
    <w:rsid w:val="00AE2A13"/>
    <w:rsid w:val="00AE2F03"/>
    <w:rsid w:val="00AE35B7"/>
    <w:rsid w:val="00AE3A92"/>
    <w:rsid w:val="00AE4254"/>
    <w:rsid w:val="00AE460B"/>
    <w:rsid w:val="00AE50BC"/>
    <w:rsid w:val="00AE5643"/>
    <w:rsid w:val="00AE5670"/>
    <w:rsid w:val="00AE676C"/>
    <w:rsid w:val="00AE68B7"/>
    <w:rsid w:val="00AE6919"/>
    <w:rsid w:val="00AE6BE1"/>
    <w:rsid w:val="00AE78BF"/>
    <w:rsid w:val="00AF040F"/>
    <w:rsid w:val="00AF06DC"/>
    <w:rsid w:val="00AF08B4"/>
    <w:rsid w:val="00AF1869"/>
    <w:rsid w:val="00AF1BA9"/>
    <w:rsid w:val="00AF2854"/>
    <w:rsid w:val="00AF3664"/>
    <w:rsid w:val="00AF395F"/>
    <w:rsid w:val="00AF3CD7"/>
    <w:rsid w:val="00AF40DE"/>
    <w:rsid w:val="00AF423A"/>
    <w:rsid w:val="00AF439E"/>
    <w:rsid w:val="00AF4475"/>
    <w:rsid w:val="00AF45A9"/>
    <w:rsid w:val="00AF4639"/>
    <w:rsid w:val="00AF5195"/>
    <w:rsid w:val="00AF6960"/>
    <w:rsid w:val="00AF6BD6"/>
    <w:rsid w:val="00AF6FC5"/>
    <w:rsid w:val="00B0049F"/>
    <w:rsid w:val="00B0063A"/>
    <w:rsid w:val="00B01133"/>
    <w:rsid w:val="00B01275"/>
    <w:rsid w:val="00B01B34"/>
    <w:rsid w:val="00B01FC3"/>
    <w:rsid w:val="00B02E9D"/>
    <w:rsid w:val="00B030B0"/>
    <w:rsid w:val="00B03C96"/>
    <w:rsid w:val="00B04822"/>
    <w:rsid w:val="00B0563D"/>
    <w:rsid w:val="00B05C70"/>
    <w:rsid w:val="00B05F90"/>
    <w:rsid w:val="00B06418"/>
    <w:rsid w:val="00B06C62"/>
    <w:rsid w:val="00B07248"/>
    <w:rsid w:val="00B07281"/>
    <w:rsid w:val="00B073E4"/>
    <w:rsid w:val="00B07E4A"/>
    <w:rsid w:val="00B10BD5"/>
    <w:rsid w:val="00B119BE"/>
    <w:rsid w:val="00B12107"/>
    <w:rsid w:val="00B129DC"/>
    <w:rsid w:val="00B14B2E"/>
    <w:rsid w:val="00B158B7"/>
    <w:rsid w:val="00B15E95"/>
    <w:rsid w:val="00B16879"/>
    <w:rsid w:val="00B16C60"/>
    <w:rsid w:val="00B1714E"/>
    <w:rsid w:val="00B173AF"/>
    <w:rsid w:val="00B2037F"/>
    <w:rsid w:val="00B20945"/>
    <w:rsid w:val="00B20ACE"/>
    <w:rsid w:val="00B212F9"/>
    <w:rsid w:val="00B22700"/>
    <w:rsid w:val="00B22CB7"/>
    <w:rsid w:val="00B22FD9"/>
    <w:rsid w:val="00B245C2"/>
    <w:rsid w:val="00B24DD9"/>
    <w:rsid w:val="00B24E4F"/>
    <w:rsid w:val="00B2571C"/>
    <w:rsid w:val="00B261D1"/>
    <w:rsid w:val="00B26592"/>
    <w:rsid w:val="00B26786"/>
    <w:rsid w:val="00B26C75"/>
    <w:rsid w:val="00B279F5"/>
    <w:rsid w:val="00B3017A"/>
    <w:rsid w:val="00B316F7"/>
    <w:rsid w:val="00B31BD4"/>
    <w:rsid w:val="00B31FA8"/>
    <w:rsid w:val="00B32125"/>
    <w:rsid w:val="00B34A12"/>
    <w:rsid w:val="00B35505"/>
    <w:rsid w:val="00B35D9A"/>
    <w:rsid w:val="00B362BC"/>
    <w:rsid w:val="00B36791"/>
    <w:rsid w:val="00B36F04"/>
    <w:rsid w:val="00B372A9"/>
    <w:rsid w:val="00B376DD"/>
    <w:rsid w:val="00B4004D"/>
    <w:rsid w:val="00B41645"/>
    <w:rsid w:val="00B4246C"/>
    <w:rsid w:val="00B42DDF"/>
    <w:rsid w:val="00B431B4"/>
    <w:rsid w:val="00B43FE4"/>
    <w:rsid w:val="00B4445C"/>
    <w:rsid w:val="00B4450C"/>
    <w:rsid w:val="00B446D3"/>
    <w:rsid w:val="00B44903"/>
    <w:rsid w:val="00B44BA8"/>
    <w:rsid w:val="00B453C3"/>
    <w:rsid w:val="00B455AF"/>
    <w:rsid w:val="00B45B3A"/>
    <w:rsid w:val="00B461DC"/>
    <w:rsid w:val="00B46809"/>
    <w:rsid w:val="00B46D91"/>
    <w:rsid w:val="00B476D0"/>
    <w:rsid w:val="00B47A32"/>
    <w:rsid w:val="00B47BEB"/>
    <w:rsid w:val="00B47C45"/>
    <w:rsid w:val="00B5051F"/>
    <w:rsid w:val="00B50E2D"/>
    <w:rsid w:val="00B50E4D"/>
    <w:rsid w:val="00B50FB1"/>
    <w:rsid w:val="00B512AF"/>
    <w:rsid w:val="00B51731"/>
    <w:rsid w:val="00B5211E"/>
    <w:rsid w:val="00B5212E"/>
    <w:rsid w:val="00B52271"/>
    <w:rsid w:val="00B52912"/>
    <w:rsid w:val="00B531F2"/>
    <w:rsid w:val="00B53CEF"/>
    <w:rsid w:val="00B53EC3"/>
    <w:rsid w:val="00B54031"/>
    <w:rsid w:val="00B544F2"/>
    <w:rsid w:val="00B54BCE"/>
    <w:rsid w:val="00B54D58"/>
    <w:rsid w:val="00B55D8A"/>
    <w:rsid w:val="00B55EEB"/>
    <w:rsid w:val="00B55F33"/>
    <w:rsid w:val="00B573B3"/>
    <w:rsid w:val="00B577C5"/>
    <w:rsid w:val="00B57BFC"/>
    <w:rsid w:val="00B6006D"/>
    <w:rsid w:val="00B600D6"/>
    <w:rsid w:val="00B60CE9"/>
    <w:rsid w:val="00B6109E"/>
    <w:rsid w:val="00B61B46"/>
    <w:rsid w:val="00B62BF3"/>
    <w:rsid w:val="00B63244"/>
    <w:rsid w:val="00B64534"/>
    <w:rsid w:val="00B64645"/>
    <w:rsid w:val="00B649FA"/>
    <w:rsid w:val="00B6562E"/>
    <w:rsid w:val="00B66280"/>
    <w:rsid w:val="00B66363"/>
    <w:rsid w:val="00B665F4"/>
    <w:rsid w:val="00B666FF"/>
    <w:rsid w:val="00B66968"/>
    <w:rsid w:val="00B669D9"/>
    <w:rsid w:val="00B66B8F"/>
    <w:rsid w:val="00B66BB9"/>
    <w:rsid w:val="00B670C8"/>
    <w:rsid w:val="00B676DF"/>
    <w:rsid w:val="00B714F6"/>
    <w:rsid w:val="00B72D05"/>
    <w:rsid w:val="00B7320E"/>
    <w:rsid w:val="00B73570"/>
    <w:rsid w:val="00B738A4"/>
    <w:rsid w:val="00B73BAA"/>
    <w:rsid w:val="00B73E33"/>
    <w:rsid w:val="00B74B70"/>
    <w:rsid w:val="00B74EF2"/>
    <w:rsid w:val="00B752FE"/>
    <w:rsid w:val="00B7562E"/>
    <w:rsid w:val="00B75851"/>
    <w:rsid w:val="00B76742"/>
    <w:rsid w:val="00B76765"/>
    <w:rsid w:val="00B767FE"/>
    <w:rsid w:val="00B7681A"/>
    <w:rsid w:val="00B80530"/>
    <w:rsid w:val="00B80B1E"/>
    <w:rsid w:val="00B81225"/>
    <w:rsid w:val="00B81AEE"/>
    <w:rsid w:val="00B822DE"/>
    <w:rsid w:val="00B82B1B"/>
    <w:rsid w:val="00B832BF"/>
    <w:rsid w:val="00B83315"/>
    <w:rsid w:val="00B835A6"/>
    <w:rsid w:val="00B836EF"/>
    <w:rsid w:val="00B839A5"/>
    <w:rsid w:val="00B83D84"/>
    <w:rsid w:val="00B8494C"/>
    <w:rsid w:val="00B84A48"/>
    <w:rsid w:val="00B84AE6"/>
    <w:rsid w:val="00B84CA0"/>
    <w:rsid w:val="00B84D58"/>
    <w:rsid w:val="00B8544C"/>
    <w:rsid w:val="00B85A1C"/>
    <w:rsid w:val="00B85D22"/>
    <w:rsid w:val="00B85DEF"/>
    <w:rsid w:val="00B85E64"/>
    <w:rsid w:val="00B86946"/>
    <w:rsid w:val="00B87EB1"/>
    <w:rsid w:val="00B90278"/>
    <w:rsid w:val="00B90F15"/>
    <w:rsid w:val="00B91055"/>
    <w:rsid w:val="00B9206E"/>
    <w:rsid w:val="00B920B5"/>
    <w:rsid w:val="00B929C3"/>
    <w:rsid w:val="00B94B20"/>
    <w:rsid w:val="00B95713"/>
    <w:rsid w:val="00B96A2E"/>
    <w:rsid w:val="00B96BDD"/>
    <w:rsid w:val="00B96ED8"/>
    <w:rsid w:val="00B96FEE"/>
    <w:rsid w:val="00B97414"/>
    <w:rsid w:val="00BA0523"/>
    <w:rsid w:val="00BA0CCE"/>
    <w:rsid w:val="00BA0F9B"/>
    <w:rsid w:val="00BA13A6"/>
    <w:rsid w:val="00BA13E4"/>
    <w:rsid w:val="00BA14F1"/>
    <w:rsid w:val="00BA1C5B"/>
    <w:rsid w:val="00BA26E2"/>
    <w:rsid w:val="00BA3B8E"/>
    <w:rsid w:val="00BA4695"/>
    <w:rsid w:val="00BA4D27"/>
    <w:rsid w:val="00BA4E5C"/>
    <w:rsid w:val="00BA51B1"/>
    <w:rsid w:val="00BA5E26"/>
    <w:rsid w:val="00BA60E2"/>
    <w:rsid w:val="00BA62C3"/>
    <w:rsid w:val="00BA69D3"/>
    <w:rsid w:val="00BA69FC"/>
    <w:rsid w:val="00BA6CDD"/>
    <w:rsid w:val="00BA774C"/>
    <w:rsid w:val="00BB0174"/>
    <w:rsid w:val="00BB03F3"/>
    <w:rsid w:val="00BB08F5"/>
    <w:rsid w:val="00BB0CD5"/>
    <w:rsid w:val="00BB1F99"/>
    <w:rsid w:val="00BB2461"/>
    <w:rsid w:val="00BB3270"/>
    <w:rsid w:val="00BB43D0"/>
    <w:rsid w:val="00BB5ACD"/>
    <w:rsid w:val="00BB5B95"/>
    <w:rsid w:val="00BB5BEB"/>
    <w:rsid w:val="00BB5DEE"/>
    <w:rsid w:val="00BB619E"/>
    <w:rsid w:val="00BB62E8"/>
    <w:rsid w:val="00BB6C8A"/>
    <w:rsid w:val="00BB70CA"/>
    <w:rsid w:val="00BB7660"/>
    <w:rsid w:val="00BC095D"/>
    <w:rsid w:val="00BC0BB0"/>
    <w:rsid w:val="00BC0EB5"/>
    <w:rsid w:val="00BC1CA4"/>
    <w:rsid w:val="00BC3061"/>
    <w:rsid w:val="00BC353B"/>
    <w:rsid w:val="00BC3E33"/>
    <w:rsid w:val="00BC4664"/>
    <w:rsid w:val="00BC4984"/>
    <w:rsid w:val="00BC4E52"/>
    <w:rsid w:val="00BC59DC"/>
    <w:rsid w:val="00BC5C93"/>
    <w:rsid w:val="00BC5DBE"/>
    <w:rsid w:val="00BC62B4"/>
    <w:rsid w:val="00BC678E"/>
    <w:rsid w:val="00BC67BF"/>
    <w:rsid w:val="00BC6AB8"/>
    <w:rsid w:val="00BC75F2"/>
    <w:rsid w:val="00BC7741"/>
    <w:rsid w:val="00BC7BD6"/>
    <w:rsid w:val="00BC7DA1"/>
    <w:rsid w:val="00BD0378"/>
    <w:rsid w:val="00BD04FC"/>
    <w:rsid w:val="00BD084D"/>
    <w:rsid w:val="00BD120E"/>
    <w:rsid w:val="00BD16B7"/>
    <w:rsid w:val="00BD1E99"/>
    <w:rsid w:val="00BD230B"/>
    <w:rsid w:val="00BD383E"/>
    <w:rsid w:val="00BD3B49"/>
    <w:rsid w:val="00BD4464"/>
    <w:rsid w:val="00BD4C68"/>
    <w:rsid w:val="00BD4D3F"/>
    <w:rsid w:val="00BD5284"/>
    <w:rsid w:val="00BD633C"/>
    <w:rsid w:val="00BD6413"/>
    <w:rsid w:val="00BD65E9"/>
    <w:rsid w:val="00BD68F0"/>
    <w:rsid w:val="00BD7058"/>
    <w:rsid w:val="00BD7606"/>
    <w:rsid w:val="00BD7AA5"/>
    <w:rsid w:val="00BD7B3D"/>
    <w:rsid w:val="00BD7B5B"/>
    <w:rsid w:val="00BD7B9D"/>
    <w:rsid w:val="00BE0752"/>
    <w:rsid w:val="00BE1288"/>
    <w:rsid w:val="00BE2042"/>
    <w:rsid w:val="00BE243B"/>
    <w:rsid w:val="00BE29A7"/>
    <w:rsid w:val="00BE2D37"/>
    <w:rsid w:val="00BE31AB"/>
    <w:rsid w:val="00BE3224"/>
    <w:rsid w:val="00BE3E20"/>
    <w:rsid w:val="00BE4212"/>
    <w:rsid w:val="00BE42BC"/>
    <w:rsid w:val="00BE470C"/>
    <w:rsid w:val="00BE48BC"/>
    <w:rsid w:val="00BE4C13"/>
    <w:rsid w:val="00BE52E9"/>
    <w:rsid w:val="00BE5323"/>
    <w:rsid w:val="00BE5735"/>
    <w:rsid w:val="00BE5BC0"/>
    <w:rsid w:val="00BE5E82"/>
    <w:rsid w:val="00BE6748"/>
    <w:rsid w:val="00BE7CA4"/>
    <w:rsid w:val="00BE7D64"/>
    <w:rsid w:val="00BF0206"/>
    <w:rsid w:val="00BF0501"/>
    <w:rsid w:val="00BF0853"/>
    <w:rsid w:val="00BF087A"/>
    <w:rsid w:val="00BF0A3E"/>
    <w:rsid w:val="00BF0AF8"/>
    <w:rsid w:val="00BF16F3"/>
    <w:rsid w:val="00BF19C0"/>
    <w:rsid w:val="00BF1BFE"/>
    <w:rsid w:val="00BF1C95"/>
    <w:rsid w:val="00BF2331"/>
    <w:rsid w:val="00BF2ACE"/>
    <w:rsid w:val="00BF3D8D"/>
    <w:rsid w:val="00BF42F9"/>
    <w:rsid w:val="00BF53F6"/>
    <w:rsid w:val="00BF572D"/>
    <w:rsid w:val="00BF5DC9"/>
    <w:rsid w:val="00BF6F9E"/>
    <w:rsid w:val="00BF7E24"/>
    <w:rsid w:val="00C011CA"/>
    <w:rsid w:val="00C01338"/>
    <w:rsid w:val="00C013B1"/>
    <w:rsid w:val="00C01502"/>
    <w:rsid w:val="00C01DFE"/>
    <w:rsid w:val="00C022D3"/>
    <w:rsid w:val="00C026C9"/>
    <w:rsid w:val="00C0287E"/>
    <w:rsid w:val="00C02C66"/>
    <w:rsid w:val="00C02DE0"/>
    <w:rsid w:val="00C03129"/>
    <w:rsid w:val="00C032ED"/>
    <w:rsid w:val="00C0382D"/>
    <w:rsid w:val="00C03966"/>
    <w:rsid w:val="00C0410A"/>
    <w:rsid w:val="00C0467A"/>
    <w:rsid w:val="00C04AAC"/>
    <w:rsid w:val="00C04CF7"/>
    <w:rsid w:val="00C04FF7"/>
    <w:rsid w:val="00C0773B"/>
    <w:rsid w:val="00C078F1"/>
    <w:rsid w:val="00C07B74"/>
    <w:rsid w:val="00C10A5E"/>
    <w:rsid w:val="00C11239"/>
    <w:rsid w:val="00C1162C"/>
    <w:rsid w:val="00C11951"/>
    <w:rsid w:val="00C11B62"/>
    <w:rsid w:val="00C131BD"/>
    <w:rsid w:val="00C13A2F"/>
    <w:rsid w:val="00C13F26"/>
    <w:rsid w:val="00C13FE1"/>
    <w:rsid w:val="00C140EC"/>
    <w:rsid w:val="00C14828"/>
    <w:rsid w:val="00C15443"/>
    <w:rsid w:val="00C15BD5"/>
    <w:rsid w:val="00C15FC6"/>
    <w:rsid w:val="00C169B1"/>
    <w:rsid w:val="00C17417"/>
    <w:rsid w:val="00C17CAB"/>
    <w:rsid w:val="00C20249"/>
    <w:rsid w:val="00C2072E"/>
    <w:rsid w:val="00C2075D"/>
    <w:rsid w:val="00C20889"/>
    <w:rsid w:val="00C208DD"/>
    <w:rsid w:val="00C20FBA"/>
    <w:rsid w:val="00C214CD"/>
    <w:rsid w:val="00C21EA2"/>
    <w:rsid w:val="00C23734"/>
    <w:rsid w:val="00C240D1"/>
    <w:rsid w:val="00C24521"/>
    <w:rsid w:val="00C24A6D"/>
    <w:rsid w:val="00C24AC2"/>
    <w:rsid w:val="00C24B76"/>
    <w:rsid w:val="00C24C5D"/>
    <w:rsid w:val="00C26812"/>
    <w:rsid w:val="00C26C7A"/>
    <w:rsid w:val="00C30431"/>
    <w:rsid w:val="00C3099B"/>
    <w:rsid w:val="00C30BCF"/>
    <w:rsid w:val="00C30C63"/>
    <w:rsid w:val="00C312AD"/>
    <w:rsid w:val="00C31C29"/>
    <w:rsid w:val="00C321CA"/>
    <w:rsid w:val="00C32533"/>
    <w:rsid w:val="00C33CB8"/>
    <w:rsid w:val="00C34705"/>
    <w:rsid w:val="00C352BB"/>
    <w:rsid w:val="00C352DE"/>
    <w:rsid w:val="00C35403"/>
    <w:rsid w:val="00C35F43"/>
    <w:rsid w:val="00C36E61"/>
    <w:rsid w:val="00C374E6"/>
    <w:rsid w:val="00C378A1"/>
    <w:rsid w:val="00C37FFC"/>
    <w:rsid w:val="00C401AB"/>
    <w:rsid w:val="00C40DA0"/>
    <w:rsid w:val="00C4181F"/>
    <w:rsid w:val="00C42330"/>
    <w:rsid w:val="00C42697"/>
    <w:rsid w:val="00C436A2"/>
    <w:rsid w:val="00C437D1"/>
    <w:rsid w:val="00C43A69"/>
    <w:rsid w:val="00C4415B"/>
    <w:rsid w:val="00C4477F"/>
    <w:rsid w:val="00C448EB"/>
    <w:rsid w:val="00C44CF4"/>
    <w:rsid w:val="00C44D4F"/>
    <w:rsid w:val="00C45698"/>
    <w:rsid w:val="00C4583F"/>
    <w:rsid w:val="00C4586F"/>
    <w:rsid w:val="00C45EAB"/>
    <w:rsid w:val="00C472F1"/>
    <w:rsid w:val="00C4765D"/>
    <w:rsid w:val="00C4766D"/>
    <w:rsid w:val="00C47878"/>
    <w:rsid w:val="00C505CD"/>
    <w:rsid w:val="00C507B8"/>
    <w:rsid w:val="00C50BE4"/>
    <w:rsid w:val="00C51D34"/>
    <w:rsid w:val="00C51E49"/>
    <w:rsid w:val="00C52196"/>
    <w:rsid w:val="00C5222A"/>
    <w:rsid w:val="00C52B4A"/>
    <w:rsid w:val="00C53064"/>
    <w:rsid w:val="00C536B9"/>
    <w:rsid w:val="00C538FE"/>
    <w:rsid w:val="00C5496F"/>
    <w:rsid w:val="00C54D63"/>
    <w:rsid w:val="00C55198"/>
    <w:rsid w:val="00C5538E"/>
    <w:rsid w:val="00C5546F"/>
    <w:rsid w:val="00C55831"/>
    <w:rsid w:val="00C55979"/>
    <w:rsid w:val="00C55D2B"/>
    <w:rsid w:val="00C56070"/>
    <w:rsid w:val="00C56DA0"/>
    <w:rsid w:val="00C60340"/>
    <w:rsid w:val="00C603E9"/>
    <w:rsid w:val="00C606E1"/>
    <w:rsid w:val="00C61AD0"/>
    <w:rsid w:val="00C61FAC"/>
    <w:rsid w:val="00C620F4"/>
    <w:rsid w:val="00C62DA1"/>
    <w:rsid w:val="00C632A7"/>
    <w:rsid w:val="00C64194"/>
    <w:rsid w:val="00C646D9"/>
    <w:rsid w:val="00C648B2"/>
    <w:rsid w:val="00C6652A"/>
    <w:rsid w:val="00C66860"/>
    <w:rsid w:val="00C66A42"/>
    <w:rsid w:val="00C67027"/>
    <w:rsid w:val="00C674C2"/>
    <w:rsid w:val="00C67C92"/>
    <w:rsid w:val="00C7024D"/>
    <w:rsid w:val="00C702D0"/>
    <w:rsid w:val="00C70368"/>
    <w:rsid w:val="00C71157"/>
    <w:rsid w:val="00C724A0"/>
    <w:rsid w:val="00C72B4E"/>
    <w:rsid w:val="00C72C73"/>
    <w:rsid w:val="00C73052"/>
    <w:rsid w:val="00C7323D"/>
    <w:rsid w:val="00C7334C"/>
    <w:rsid w:val="00C7340F"/>
    <w:rsid w:val="00C74008"/>
    <w:rsid w:val="00C741C5"/>
    <w:rsid w:val="00C75092"/>
    <w:rsid w:val="00C75F51"/>
    <w:rsid w:val="00C76E89"/>
    <w:rsid w:val="00C772D7"/>
    <w:rsid w:val="00C77554"/>
    <w:rsid w:val="00C775B8"/>
    <w:rsid w:val="00C804B2"/>
    <w:rsid w:val="00C80CA0"/>
    <w:rsid w:val="00C80FA9"/>
    <w:rsid w:val="00C811B2"/>
    <w:rsid w:val="00C81B8C"/>
    <w:rsid w:val="00C8249B"/>
    <w:rsid w:val="00C82983"/>
    <w:rsid w:val="00C83972"/>
    <w:rsid w:val="00C83E07"/>
    <w:rsid w:val="00C84033"/>
    <w:rsid w:val="00C84D46"/>
    <w:rsid w:val="00C85302"/>
    <w:rsid w:val="00C85A75"/>
    <w:rsid w:val="00C85CF8"/>
    <w:rsid w:val="00C86106"/>
    <w:rsid w:val="00C86BF5"/>
    <w:rsid w:val="00C86E4D"/>
    <w:rsid w:val="00C86FE6"/>
    <w:rsid w:val="00C87C00"/>
    <w:rsid w:val="00C91664"/>
    <w:rsid w:val="00C919EB"/>
    <w:rsid w:val="00C91A7A"/>
    <w:rsid w:val="00C91E95"/>
    <w:rsid w:val="00C91FBB"/>
    <w:rsid w:val="00C92A4A"/>
    <w:rsid w:val="00C932CA"/>
    <w:rsid w:val="00C9332A"/>
    <w:rsid w:val="00C936B4"/>
    <w:rsid w:val="00C937B2"/>
    <w:rsid w:val="00C94089"/>
    <w:rsid w:val="00C94522"/>
    <w:rsid w:val="00C94668"/>
    <w:rsid w:val="00C94F55"/>
    <w:rsid w:val="00C95523"/>
    <w:rsid w:val="00C9590D"/>
    <w:rsid w:val="00C95BDC"/>
    <w:rsid w:val="00C95E14"/>
    <w:rsid w:val="00C9618E"/>
    <w:rsid w:val="00C967DF"/>
    <w:rsid w:val="00C96CAE"/>
    <w:rsid w:val="00C96DAC"/>
    <w:rsid w:val="00C973BA"/>
    <w:rsid w:val="00C97EB1"/>
    <w:rsid w:val="00CA0673"/>
    <w:rsid w:val="00CA06CC"/>
    <w:rsid w:val="00CA0EC9"/>
    <w:rsid w:val="00CA0FB4"/>
    <w:rsid w:val="00CA12FA"/>
    <w:rsid w:val="00CA1A07"/>
    <w:rsid w:val="00CA21CF"/>
    <w:rsid w:val="00CA26E3"/>
    <w:rsid w:val="00CA388B"/>
    <w:rsid w:val="00CA38BB"/>
    <w:rsid w:val="00CA38CB"/>
    <w:rsid w:val="00CA3ED8"/>
    <w:rsid w:val="00CA417E"/>
    <w:rsid w:val="00CA47A5"/>
    <w:rsid w:val="00CA5938"/>
    <w:rsid w:val="00CA5B53"/>
    <w:rsid w:val="00CA5B7B"/>
    <w:rsid w:val="00CA66B4"/>
    <w:rsid w:val="00CA7490"/>
    <w:rsid w:val="00CB061E"/>
    <w:rsid w:val="00CB1028"/>
    <w:rsid w:val="00CB10EA"/>
    <w:rsid w:val="00CB1750"/>
    <w:rsid w:val="00CB17A2"/>
    <w:rsid w:val="00CB1F10"/>
    <w:rsid w:val="00CB204F"/>
    <w:rsid w:val="00CB20FC"/>
    <w:rsid w:val="00CB3A1C"/>
    <w:rsid w:val="00CB3E28"/>
    <w:rsid w:val="00CB4579"/>
    <w:rsid w:val="00CB4702"/>
    <w:rsid w:val="00CB531C"/>
    <w:rsid w:val="00CB6112"/>
    <w:rsid w:val="00CB6277"/>
    <w:rsid w:val="00CB6ED7"/>
    <w:rsid w:val="00CB7022"/>
    <w:rsid w:val="00CB7370"/>
    <w:rsid w:val="00CB7517"/>
    <w:rsid w:val="00CC0008"/>
    <w:rsid w:val="00CC0523"/>
    <w:rsid w:val="00CC080B"/>
    <w:rsid w:val="00CC0A5E"/>
    <w:rsid w:val="00CC0C20"/>
    <w:rsid w:val="00CC2513"/>
    <w:rsid w:val="00CC3B45"/>
    <w:rsid w:val="00CC3D52"/>
    <w:rsid w:val="00CC42A0"/>
    <w:rsid w:val="00CC4CA1"/>
    <w:rsid w:val="00CC575A"/>
    <w:rsid w:val="00CC5C12"/>
    <w:rsid w:val="00CC5FE2"/>
    <w:rsid w:val="00CC68F0"/>
    <w:rsid w:val="00CC6D8D"/>
    <w:rsid w:val="00CC7952"/>
    <w:rsid w:val="00CC7BCC"/>
    <w:rsid w:val="00CD0033"/>
    <w:rsid w:val="00CD01DC"/>
    <w:rsid w:val="00CD026E"/>
    <w:rsid w:val="00CD064C"/>
    <w:rsid w:val="00CD06C8"/>
    <w:rsid w:val="00CD06F8"/>
    <w:rsid w:val="00CD0804"/>
    <w:rsid w:val="00CD0A04"/>
    <w:rsid w:val="00CD1EA0"/>
    <w:rsid w:val="00CD2866"/>
    <w:rsid w:val="00CD2A14"/>
    <w:rsid w:val="00CD3491"/>
    <w:rsid w:val="00CD3C43"/>
    <w:rsid w:val="00CD400C"/>
    <w:rsid w:val="00CD41A5"/>
    <w:rsid w:val="00CD4895"/>
    <w:rsid w:val="00CD4AB7"/>
    <w:rsid w:val="00CD4C42"/>
    <w:rsid w:val="00CD51ED"/>
    <w:rsid w:val="00CD57D7"/>
    <w:rsid w:val="00CD593D"/>
    <w:rsid w:val="00CE0036"/>
    <w:rsid w:val="00CE0329"/>
    <w:rsid w:val="00CE0521"/>
    <w:rsid w:val="00CE1C7D"/>
    <w:rsid w:val="00CE256A"/>
    <w:rsid w:val="00CE3F30"/>
    <w:rsid w:val="00CE3F4B"/>
    <w:rsid w:val="00CE4C79"/>
    <w:rsid w:val="00CE595A"/>
    <w:rsid w:val="00CE67BB"/>
    <w:rsid w:val="00CE70C1"/>
    <w:rsid w:val="00CE710B"/>
    <w:rsid w:val="00CE710E"/>
    <w:rsid w:val="00CE7813"/>
    <w:rsid w:val="00CE7B98"/>
    <w:rsid w:val="00CF02CB"/>
    <w:rsid w:val="00CF034F"/>
    <w:rsid w:val="00CF03C3"/>
    <w:rsid w:val="00CF0D20"/>
    <w:rsid w:val="00CF18CB"/>
    <w:rsid w:val="00CF1EC9"/>
    <w:rsid w:val="00CF204B"/>
    <w:rsid w:val="00CF2224"/>
    <w:rsid w:val="00CF2E30"/>
    <w:rsid w:val="00CF2FB3"/>
    <w:rsid w:val="00CF3012"/>
    <w:rsid w:val="00CF3429"/>
    <w:rsid w:val="00CF34E6"/>
    <w:rsid w:val="00CF3B88"/>
    <w:rsid w:val="00CF3B90"/>
    <w:rsid w:val="00CF4A9C"/>
    <w:rsid w:val="00CF502B"/>
    <w:rsid w:val="00CF530E"/>
    <w:rsid w:val="00CF53CF"/>
    <w:rsid w:val="00CF5985"/>
    <w:rsid w:val="00CF5F50"/>
    <w:rsid w:val="00CF6452"/>
    <w:rsid w:val="00CF664B"/>
    <w:rsid w:val="00CF66A2"/>
    <w:rsid w:val="00CF6D72"/>
    <w:rsid w:val="00D00468"/>
    <w:rsid w:val="00D019EC"/>
    <w:rsid w:val="00D01AB1"/>
    <w:rsid w:val="00D023FF"/>
    <w:rsid w:val="00D02A2B"/>
    <w:rsid w:val="00D03A48"/>
    <w:rsid w:val="00D04638"/>
    <w:rsid w:val="00D059BE"/>
    <w:rsid w:val="00D05C25"/>
    <w:rsid w:val="00D06352"/>
    <w:rsid w:val="00D063B6"/>
    <w:rsid w:val="00D06685"/>
    <w:rsid w:val="00D07778"/>
    <w:rsid w:val="00D07C34"/>
    <w:rsid w:val="00D10015"/>
    <w:rsid w:val="00D1089A"/>
    <w:rsid w:val="00D10986"/>
    <w:rsid w:val="00D12096"/>
    <w:rsid w:val="00D12B69"/>
    <w:rsid w:val="00D1381C"/>
    <w:rsid w:val="00D14393"/>
    <w:rsid w:val="00D145EE"/>
    <w:rsid w:val="00D14D3C"/>
    <w:rsid w:val="00D15045"/>
    <w:rsid w:val="00D15A88"/>
    <w:rsid w:val="00D15F31"/>
    <w:rsid w:val="00D160BE"/>
    <w:rsid w:val="00D1664F"/>
    <w:rsid w:val="00D16C32"/>
    <w:rsid w:val="00D16D4A"/>
    <w:rsid w:val="00D17B63"/>
    <w:rsid w:val="00D20CE6"/>
    <w:rsid w:val="00D20F0D"/>
    <w:rsid w:val="00D21C38"/>
    <w:rsid w:val="00D225CB"/>
    <w:rsid w:val="00D227CA"/>
    <w:rsid w:val="00D22CCA"/>
    <w:rsid w:val="00D23334"/>
    <w:rsid w:val="00D236EC"/>
    <w:rsid w:val="00D23E1C"/>
    <w:rsid w:val="00D23E7C"/>
    <w:rsid w:val="00D24A24"/>
    <w:rsid w:val="00D25101"/>
    <w:rsid w:val="00D252D3"/>
    <w:rsid w:val="00D257C0"/>
    <w:rsid w:val="00D25CD6"/>
    <w:rsid w:val="00D25EC9"/>
    <w:rsid w:val="00D26030"/>
    <w:rsid w:val="00D263DF"/>
    <w:rsid w:val="00D270AC"/>
    <w:rsid w:val="00D272B0"/>
    <w:rsid w:val="00D278BF"/>
    <w:rsid w:val="00D279F5"/>
    <w:rsid w:val="00D27B29"/>
    <w:rsid w:val="00D27F6B"/>
    <w:rsid w:val="00D30546"/>
    <w:rsid w:val="00D31F68"/>
    <w:rsid w:val="00D3250C"/>
    <w:rsid w:val="00D330E0"/>
    <w:rsid w:val="00D337F2"/>
    <w:rsid w:val="00D339C7"/>
    <w:rsid w:val="00D33D62"/>
    <w:rsid w:val="00D34576"/>
    <w:rsid w:val="00D34D8C"/>
    <w:rsid w:val="00D35743"/>
    <w:rsid w:val="00D35A7D"/>
    <w:rsid w:val="00D35BA7"/>
    <w:rsid w:val="00D35E93"/>
    <w:rsid w:val="00D35F66"/>
    <w:rsid w:val="00D3651A"/>
    <w:rsid w:val="00D36589"/>
    <w:rsid w:val="00D36D99"/>
    <w:rsid w:val="00D404A7"/>
    <w:rsid w:val="00D40729"/>
    <w:rsid w:val="00D408AD"/>
    <w:rsid w:val="00D40D70"/>
    <w:rsid w:val="00D40D76"/>
    <w:rsid w:val="00D40F2B"/>
    <w:rsid w:val="00D41050"/>
    <w:rsid w:val="00D417C9"/>
    <w:rsid w:val="00D41DAD"/>
    <w:rsid w:val="00D428DF"/>
    <w:rsid w:val="00D42F09"/>
    <w:rsid w:val="00D43156"/>
    <w:rsid w:val="00D432A1"/>
    <w:rsid w:val="00D43732"/>
    <w:rsid w:val="00D43EB6"/>
    <w:rsid w:val="00D43EFA"/>
    <w:rsid w:val="00D44369"/>
    <w:rsid w:val="00D45529"/>
    <w:rsid w:val="00D45FF8"/>
    <w:rsid w:val="00D47146"/>
    <w:rsid w:val="00D5044E"/>
    <w:rsid w:val="00D5056E"/>
    <w:rsid w:val="00D50698"/>
    <w:rsid w:val="00D50702"/>
    <w:rsid w:val="00D511BA"/>
    <w:rsid w:val="00D512A9"/>
    <w:rsid w:val="00D512ED"/>
    <w:rsid w:val="00D51651"/>
    <w:rsid w:val="00D51F95"/>
    <w:rsid w:val="00D53EB5"/>
    <w:rsid w:val="00D54753"/>
    <w:rsid w:val="00D54FFE"/>
    <w:rsid w:val="00D56A8E"/>
    <w:rsid w:val="00D56C32"/>
    <w:rsid w:val="00D56C66"/>
    <w:rsid w:val="00D575BB"/>
    <w:rsid w:val="00D5795C"/>
    <w:rsid w:val="00D6045C"/>
    <w:rsid w:val="00D610F1"/>
    <w:rsid w:val="00D613F4"/>
    <w:rsid w:val="00D62031"/>
    <w:rsid w:val="00D622EE"/>
    <w:rsid w:val="00D62B1E"/>
    <w:rsid w:val="00D62B66"/>
    <w:rsid w:val="00D6302D"/>
    <w:rsid w:val="00D63371"/>
    <w:rsid w:val="00D63ECF"/>
    <w:rsid w:val="00D64099"/>
    <w:rsid w:val="00D640EC"/>
    <w:rsid w:val="00D6435F"/>
    <w:rsid w:val="00D66AB4"/>
    <w:rsid w:val="00D66DD9"/>
    <w:rsid w:val="00D66E4D"/>
    <w:rsid w:val="00D67445"/>
    <w:rsid w:val="00D67968"/>
    <w:rsid w:val="00D70BAE"/>
    <w:rsid w:val="00D71091"/>
    <w:rsid w:val="00D71481"/>
    <w:rsid w:val="00D714F4"/>
    <w:rsid w:val="00D720BD"/>
    <w:rsid w:val="00D728A9"/>
    <w:rsid w:val="00D73038"/>
    <w:rsid w:val="00D7376F"/>
    <w:rsid w:val="00D73FD6"/>
    <w:rsid w:val="00D75274"/>
    <w:rsid w:val="00D76A01"/>
    <w:rsid w:val="00D76A21"/>
    <w:rsid w:val="00D772BF"/>
    <w:rsid w:val="00D77545"/>
    <w:rsid w:val="00D77576"/>
    <w:rsid w:val="00D77687"/>
    <w:rsid w:val="00D800BD"/>
    <w:rsid w:val="00D8032F"/>
    <w:rsid w:val="00D80568"/>
    <w:rsid w:val="00D809B9"/>
    <w:rsid w:val="00D80CEA"/>
    <w:rsid w:val="00D80F10"/>
    <w:rsid w:val="00D81323"/>
    <w:rsid w:val="00D81C2D"/>
    <w:rsid w:val="00D82AC2"/>
    <w:rsid w:val="00D82D9B"/>
    <w:rsid w:val="00D82FAA"/>
    <w:rsid w:val="00D83067"/>
    <w:rsid w:val="00D8314A"/>
    <w:rsid w:val="00D841F6"/>
    <w:rsid w:val="00D848CD"/>
    <w:rsid w:val="00D84C71"/>
    <w:rsid w:val="00D84E98"/>
    <w:rsid w:val="00D8515B"/>
    <w:rsid w:val="00D85925"/>
    <w:rsid w:val="00D859B0"/>
    <w:rsid w:val="00D85CF9"/>
    <w:rsid w:val="00D85D49"/>
    <w:rsid w:val="00D85D6D"/>
    <w:rsid w:val="00D85E8A"/>
    <w:rsid w:val="00D87BE7"/>
    <w:rsid w:val="00D87FA4"/>
    <w:rsid w:val="00D902E2"/>
    <w:rsid w:val="00D9119D"/>
    <w:rsid w:val="00D91F43"/>
    <w:rsid w:val="00D92C20"/>
    <w:rsid w:val="00D93197"/>
    <w:rsid w:val="00D93462"/>
    <w:rsid w:val="00D93722"/>
    <w:rsid w:val="00D9390B"/>
    <w:rsid w:val="00D93C86"/>
    <w:rsid w:val="00D95608"/>
    <w:rsid w:val="00D9690E"/>
    <w:rsid w:val="00D96E55"/>
    <w:rsid w:val="00D9719B"/>
    <w:rsid w:val="00D97D10"/>
    <w:rsid w:val="00DA04A2"/>
    <w:rsid w:val="00DA04A4"/>
    <w:rsid w:val="00DA074F"/>
    <w:rsid w:val="00DA1147"/>
    <w:rsid w:val="00DA11A0"/>
    <w:rsid w:val="00DA16E6"/>
    <w:rsid w:val="00DA19AA"/>
    <w:rsid w:val="00DA1E97"/>
    <w:rsid w:val="00DA215C"/>
    <w:rsid w:val="00DA242A"/>
    <w:rsid w:val="00DA254F"/>
    <w:rsid w:val="00DA25E5"/>
    <w:rsid w:val="00DA2E9B"/>
    <w:rsid w:val="00DA3F21"/>
    <w:rsid w:val="00DA4042"/>
    <w:rsid w:val="00DA4735"/>
    <w:rsid w:val="00DA4BA7"/>
    <w:rsid w:val="00DA4BF1"/>
    <w:rsid w:val="00DA4EEA"/>
    <w:rsid w:val="00DA5109"/>
    <w:rsid w:val="00DA55A7"/>
    <w:rsid w:val="00DA5744"/>
    <w:rsid w:val="00DA5A64"/>
    <w:rsid w:val="00DA5ABF"/>
    <w:rsid w:val="00DA6533"/>
    <w:rsid w:val="00DA65DF"/>
    <w:rsid w:val="00DA79D4"/>
    <w:rsid w:val="00DA7AA8"/>
    <w:rsid w:val="00DA7EE8"/>
    <w:rsid w:val="00DB0061"/>
    <w:rsid w:val="00DB031D"/>
    <w:rsid w:val="00DB03A9"/>
    <w:rsid w:val="00DB123C"/>
    <w:rsid w:val="00DB16CA"/>
    <w:rsid w:val="00DB185E"/>
    <w:rsid w:val="00DB29F7"/>
    <w:rsid w:val="00DB2ABD"/>
    <w:rsid w:val="00DB2F70"/>
    <w:rsid w:val="00DB33F6"/>
    <w:rsid w:val="00DB40DD"/>
    <w:rsid w:val="00DB487F"/>
    <w:rsid w:val="00DB4942"/>
    <w:rsid w:val="00DB505B"/>
    <w:rsid w:val="00DB57EF"/>
    <w:rsid w:val="00DB61DC"/>
    <w:rsid w:val="00DB6E90"/>
    <w:rsid w:val="00DB6F90"/>
    <w:rsid w:val="00DB7898"/>
    <w:rsid w:val="00DB7A36"/>
    <w:rsid w:val="00DC00A1"/>
    <w:rsid w:val="00DC0968"/>
    <w:rsid w:val="00DC1956"/>
    <w:rsid w:val="00DC1B12"/>
    <w:rsid w:val="00DC1DBD"/>
    <w:rsid w:val="00DC333A"/>
    <w:rsid w:val="00DC3544"/>
    <w:rsid w:val="00DC3E48"/>
    <w:rsid w:val="00DC51C0"/>
    <w:rsid w:val="00DC5C81"/>
    <w:rsid w:val="00DC61C4"/>
    <w:rsid w:val="00DC621F"/>
    <w:rsid w:val="00DC644F"/>
    <w:rsid w:val="00DC656E"/>
    <w:rsid w:val="00DC6691"/>
    <w:rsid w:val="00DC6A6C"/>
    <w:rsid w:val="00DC6B12"/>
    <w:rsid w:val="00DC74EF"/>
    <w:rsid w:val="00DC7C62"/>
    <w:rsid w:val="00DC7E4D"/>
    <w:rsid w:val="00DD06CF"/>
    <w:rsid w:val="00DD1925"/>
    <w:rsid w:val="00DD19EE"/>
    <w:rsid w:val="00DD2C0A"/>
    <w:rsid w:val="00DD34B5"/>
    <w:rsid w:val="00DD419B"/>
    <w:rsid w:val="00DD4654"/>
    <w:rsid w:val="00DD7D14"/>
    <w:rsid w:val="00DD7EA1"/>
    <w:rsid w:val="00DE0CB1"/>
    <w:rsid w:val="00DE12A8"/>
    <w:rsid w:val="00DE1360"/>
    <w:rsid w:val="00DE15A8"/>
    <w:rsid w:val="00DE1871"/>
    <w:rsid w:val="00DE1AB4"/>
    <w:rsid w:val="00DE2433"/>
    <w:rsid w:val="00DE2759"/>
    <w:rsid w:val="00DE2CC2"/>
    <w:rsid w:val="00DE2CC6"/>
    <w:rsid w:val="00DE35BB"/>
    <w:rsid w:val="00DE37A7"/>
    <w:rsid w:val="00DE529F"/>
    <w:rsid w:val="00DE56C1"/>
    <w:rsid w:val="00DE5DC3"/>
    <w:rsid w:val="00DE5E7E"/>
    <w:rsid w:val="00DE5FCA"/>
    <w:rsid w:val="00DE698B"/>
    <w:rsid w:val="00DE7BCF"/>
    <w:rsid w:val="00DE7C48"/>
    <w:rsid w:val="00DE7DC2"/>
    <w:rsid w:val="00DF0B39"/>
    <w:rsid w:val="00DF13AE"/>
    <w:rsid w:val="00DF14B9"/>
    <w:rsid w:val="00DF2B8F"/>
    <w:rsid w:val="00DF3128"/>
    <w:rsid w:val="00DF34EE"/>
    <w:rsid w:val="00DF40C3"/>
    <w:rsid w:val="00DF49A1"/>
    <w:rsid w:val="00DF4CE7"/>
    <w:rsid w:val="00DF545B"/>
    <w:rsid w:val="00DF5761"/>
    <w:rsid w:val="00DF59FD"/>
    <w:rsid w:val="00DF62DB"/>
    <w:rsid w:val="00DF6752"/>
    <w:rsid w:val="00DF755E"/>
    <w:rsid w:val="00DF7DD3"/>
    <w:rsid w:val="00E000A7"/>
    <w:rsid w:val="00E003AF"/>
    <w:rsid w:val="00E005C0"/>
    <w:rsid w:val="00E00B84"/>
    <w:rsid w:val="00E0135D"/>
    <w:rsid w:val="00E01DBB"/>
    <w:rsid w:val="00E0228D"/>
    <w:rsid w:val="00E02406"/>
    <w:rsid w:val="00E0367A"/>
    <w:rsid w:val="00E04353"/>
    <w:rsid w:val="00E049C3"/>
    <w:rsid w:val="00E05A08"/>
    <w:rsid w:val="00E05A5D"/>
    <w:rsid w:val="00E05DAC"/>
    <w:rsid w:val="00E05F76"/>
    <w:rsid w:val="00E0712E"/>
    <w:rsid w:val="00E0728C"/>
    <w:rsid w:val="00E077E8"/>
    <w:rsid w:val="00E10AE9"/>
    <w:rsid w:val="00E10D8E"/>
    <w:rsid w:val="00E110A5"/>
    <w:rsid w:val="00E11280"/>
    <w:rsid w:val="00E11631"/>
    <w:rsid w:val="00E11E6C"/>
    <w:rsid w:val="00E12175"/>
    <w:rsid w:val="00E12DB5"/>
    <w:rsid w:val="00E133AC"/>
    <w:rsid w:val="00E14B50"/>
    <w:rsid w:val="00E1504A"/>
    <w:rsid w:val="00E15B39"/>
    <w:rsid w:val="00E15B3B"/>
    <w:rsid w:val="00E160BF"/>
    <w:rsid w:val="00E1646D"/>
    <w:rsid w:val="00E16DEC"/>
    <w:rsid w:val="00E16FED"/>
    <w:rsid w:val="00E17062"/>
    <w:rsid w:val="00E20037"/>
    <w:rsid w:val="00E20249"/>
    <w:rsid w:val="00E20367"/>
    <w:rsid w:val="00E207AD"/>
    <w:rsid w:val="00E213B0"/>
    <w:rsid w:val="00E223AF"/>
    <w:rsid w:val="00E2297E"/>
    <w:rsid w:val="00E2370E"/>
    <w:rsid w:val="00E238C4"/>
    <w:rsid w:val="00E23B0D"/>
    <w:rsid w:val="00E23D64"/>
    <w:rsid w:val="00E23FE0"/>
    <w:rsid w:val="00E2413A"/>
    <w:rsid w:val="00E24897"/>
    <w:rsid w:val="00E24DB0"/>
    <w:rsid w:val="00E2598B"/>
    <w:rsid w:val="00E26385"/>
    <w:rsid w:val="00E2670B"/>
    <w:rsid w:val="00E26AD6"/>
    <w:rsid w:val="00E26B0B"/>
    <w:rsid w:val="00E27D6A"/>
    <w:rsid w:val="00E27DC0"/>
    <w:rsid w:val="00E30191"/>
    <w:rsid w:val="00E304E9"/>
    <w:rsid w:val="00E3076C"/>
    <w:rsid w:val="00E30DAE"/>
    <w:rsid w:val="00E31156"/>
    <w:rsid w:val="00E31B21"/>
    <w:rsid w:val="00E31B4C"/>
    <w:rsid w:val="00E31F13"/>
    <w:rsid w:val="00E32840"/>
    <w:rsid w:val="00E32C5E"/>
    <w:rsid w:val="00E32CE0"/>
    <w:rsid w:val="00E335FC"/>
    <w:rsid w:val="00E33BB3"/>
    <w:rsid w:val="00E355F7"/>
    <w:rsid w:val="00E364E8"/>
    <w:rsid w:val="00E36535"/>
    <w:rsid w:val="00E368D1"/>
    <w:rsid w:val="00E36B51"/>
    <w:rsid w:val="00E37223"/>
    <w:rsid w:val="00E37E0B"/>
    <w:rsid w:val="00E4223E"/>
    <w:rsid w:val="00E4396A"/>
    <w:rsid w:val="00E43B69"/>
    <w:rsid w:val="00E4454E"/>
    <w:rsid w:val="00E44DF6"/>
    <w:rsid w:val="00E450CD"/>
    <w:rsid w:val="00E4578B"/>
    <w:rsid w:val="00E45AAD"/>
    <w:rsid w:val="00E465F8"/>
    <w:rsid w:val="00E47BFE"/>
    <w:rsid w:val="00E5022D"/>
    <w:rsid w:val="00E505B7"/>
    <w:rsid w:val="00E507E6"/>
    <w:rsid w:val="00E50A93"/>
    <w:rsid w:val="00E50B77"/>
    <w:rsid w:val="00E5191E"/>
    <w:rsid w:val="00E51C7A"/>
    <w:rsid w:val="00E51D75"/>
    <w:rsid w:val="00E5236F"/>
    <w:rsid w:val="00E52414"/>
    <w:rsid w:val="00E53276"/>
    <w:rsid w:val="00E53973"/>
    <w:rsid w:val="00E53A3F"/>
    <w:rsid w:val="00E54606"/>
    <w:rsid w:val="00E5511D"/>
    <w:rsid w:val="00E553E8"/>
    <w:rsid w:val="00E5628A"/>
    <w:rsid w:val="00E565C5"/>
    <w:rsid w:val="00E56EFE"/>
    <w:rsid w:val="00E57752"/>
    <w:rsid w:val="00E5776C"/>
    <w:rsid w:val="00E57E50"/>
    <w:rsid w:val="00E610A3"/>
    <w:rsid w:val="00E61BAE"/>
    <w:rsid w:val="00E62C85"/>
    <w:rsid w:val="00E63A2B"/>
    <w:rsid w:val="00E63FBD"/>
    <w:rsid w:val="00E64954"/>
    <w:rsid w:val="00E64F60"/>
    <w:rsid w:val="00E6561A"/>
    <w:rsid w:val="00E65936"/>
    <w:rsid w:val="00E6645B"/>
    <w:rsid w:val="00E67CA2"/>
    <w:rsid w:val="00E70105"/>
    <w:rsid w:val="00E70227"/>
    <w:rsid w:val="00E708C2"/>
    <w:rsid w:val="00E70917"/>
    <w:rsid w:val="00E71167"/>
    <w:rsid w:val="00E71781"/>
    <w:rsid w:val="00E71A49"/>
    <w:rsid w:val="00E71F2B"/>
    <w:rsid w:val="00E7216C"/>
    <w:rsid w:val="00E721C1"/>
    <w:rsid w:val="00E7277D"/>
    <w:rsid w:val="00E728CB"/>
    <w:rsid w:val="00E731BF"/>
    <w:rsid w:val="00E734D8"/>
    <w:rsid w:val="00E74087"/>
    <w:rsid w:val="00E740CD"/>
    <w:rsid w:val="00E741F3"/>
    <w:rsid w:val="00E745BE"/>
    <w:rsid w:val="00E74A78"/>
    <w:rsid w:val="00E750EA"/>
    <w:rsid w:val="00E75382"/>
    <w:rsid w:val="00E75880"/>
    <w:rsid w:val="00E764DE"/>
    <w:rsid w:val="00E76B41"/>
    <w:rsid w:val="00E77214"/>
    <w:rsid w:val="00E77A6F"/>
    <w:rsid w:val="00E77B55"/>
    <w:rsid w:val="00E77E72"/>
    <w:rsid w:val="00E77F9C"/>
    <w:rsid w:val="00E80348"/>
    <w:rsid w:val="00E80B78"/>
    <w:rsid w:val="00E80BD4"/>
    <w:rsid w:val="00E8253C"/>
    <w:rsid w:val="00E82F4C"/>
    <w:rsid w:val="00E83848"/>
    <w:rsid w:val="00E83CD1"/>
    <w:rsid w:val="00E84D61"/>
    <w:rsid w:val="00E856E4"/>
    <w:rsid w:val="00E86A05"/>
    <w:rsid w:val="00E875C8"/>
    <w:rsid w:val="00E878C3"/>
    <w:rsid w:val="00E87FE7"/>
    <w:rsid w:val="00E9006D"/>
    <w:rsid w:val="00E90590"/>
    <w:rsid w:val="00E9080F"/>
    <w:rsid w:val="00E91043"/>
    <w:rsid w:val="00E9122A"/>
    <w:rsid w:val="00E91FD5"/>
    <w:rsid w:val="00E91FF4"/>
    <w:rsid w:val="00E931A5"/>
    <w:rsid w:val="00E93438"/>
    <w:rsid w:val="00E9392A"/>
    <w:rsid w:val="00E94F1D"/>
    <w:rsid w:val="00E954E2"/>
    <w:rsid w:val="00E95930"/>
    <w:rsid w:val="00E9643A"/>
    <w:rsid w:val="00E96D24"/>
    <w:rsid w:val="00E97335"/>
    <w:rsid w:val="00EA048E"/>
    <w:rsid w:val="00EA0DB7"/>
    <w:rsid w:val="00EA0E50"/>
    <w:rsid w:val="00EA12DC"/>
    <w:rsid w:val="00EA151B"/>
    <w:rsid w:val="00EA1867"/>
    <w:rsid w:val="00EA2CEB"/>
    <w:rsid w:val="00EA4137"/>
    <w:rsid w:val="00EA4476"/>
    <w:rsid w:val="00EA49E9"/>
    <w:rsid w:val="00EA5230"/>
    <w:rsid w:val="00EA53A8"/>
    <w:rsid w:val="00EA5458"/>
    <w:rsid w:val="00EA5638"/>
    <w:rsid w:val="00EA5647"/>
    <w:rsid w:val="00EA5759"/>
    <w:rsid w:val="00EA581E"/>
    <w:rsid w:val="00EA6699"/>
    <w:rsid w:val="00EA77C7"/>
    <w:rsid w:val="00EA7985"/>
    <w:rsid w:val="00EA7AA6"/>
    <w:rsid w:val="00EA7CD8"/>
    <w:rsid w:val="00EA7CF5"/>
    <w:rsid w:val="00EB02AC"/>
    <w:rsid w:val="00EB0B95"/>
    <w:rsid w:val="00EB12C0"/>
    <w:rsid w:val="00EB16A2"/>
    <w:rsid w:val="00EB16C6"/>
    <w:rsid w:val="00EB1995"/>
    <w:rsid w:val="00EB1A33"/>
    <w:rsid w:val="00EB1F44"/>
    <w:rsid w:val="00EB2047"/>
    <w:rsid w:val="00EB2615"/>
    <w:rsid w:val="00EB26ED"/>
    <w:rsid w:val="00EB27D3"/>
    <w:rsid w:val="00EB2F99"/>
    <w:rsid w:val="00EB2FD0"/>
    <w:rsid w:val="00EB37CE"/>
    <w:rsid w:val="00EB39A8"/>
    <w:rsid w:val="00EB3C71"/>
    <w:rsid w:val="00EB3E6A"/>
    <w:rsid w:val="00EB402A"/>
    <w:rsid w:val="00EB5300"/>
    <w:rsid w:val="00EB6B0B"/>
    <w:rsid w:val="00EB72C4"/>
    <w:rsid w:val="00EB73BD"/>
    <w:rsid w:val="00EB7758"/>
    <w:rsid w:val="00EB778F"/>
    <w:rsid w:val="00EB7A0C"/>
    <w:rsid w:val="00EB7C98"/>
    <w:rsid w:val="00EC10C8"/>
    <w:rsid w:val="00EC1542"/>
    <w:rsid w:val="00EC250C"/>
    <w:rsid w:val="00EC2567"/>
    <w:rsid w:val="00EC2745"/>
    <w:rsid w:val="00EC34F6"/>
    <w:rsid w:val="00EC38FF"/>
    <w:rsid w:val="00EC3CF0"/>
    <w:rsid w:val="00EC4685"/>
    <w:rsid w:val="00EC53F1"/>
    <w:rsid w:val="00EC55CA"/>
    <w:rsid w:val="00EC55D0"/>
    <w:rsid w:val="00EC5688"/>
    <w:rsid w:val="00EC5BB6"/>
    <w:rsid w:val="00EC5EC6"/>
    <w:rsid w:val="00EC6CD5"/>
    <w:rsid w:val="00EC6D59"/>
    <w:rsid w:val="00EC7FA7"/>
    <w:rsid w:val="00ED01BC"/>
    <w:rsid w:val="00ED0A62"/>
    <w:rsid w:val="00ED0B04"/>
    <w:rsid w:val="00ED0B2B"/>
    <w:rsid w:val="00ED1083"/>
    <w:rsid w:val="00ED15A7"/>
    <w:rsid w:val="00ED1F44"/>
    <w:rsid w:val="00ED1F73"/>
    <w:rsid w:val="00ED25E5"/>
    <w:rsid w:val="00ED2DF3"/>
    <w:rsid w:val="00ED2F4B"/>
    <w:rsid w:val="00ED309C"/>
    <w:rsid w:val="00ED3730"/>
    <w:rsid w:val="00ED3B57"/>
    <w:rsid w:val="00ED3CD5"/>
    <w:rsid w:val="00ED46EE"/>
    <w:rsid w:val="00ED4868"/>
    <w:rsid w:val="00ED53FF"/>
    <w:rsid w:val="00ED585B"/>
    <w:rsid w:val="00ED5946"/>
    <w:rsid w:val="00ED5C4A"/>
    <w:rsid w:val="00ED66CD"/>
    <w:rsid w:val="00ED6CC4"/>
    <w:rsid w:val="00ED7230"/>
    <w:rsid w:val="00EE012B"/>
    <w:rsid w:val="00EE02FA"/>
    <w:rsid w:val="00EE103D"/>
    <w:rsid w:val="00EE1188"/>
    <w:rsid w:val="00EE15E6"/>
    <w:rsid w:val="00EE24FC"/>
    <w:rsid w:val="00EE2D06"/>
    <w:rsid w:val="00EE3226"/>
    <w:rsid w:val="00EE4334"/>
    <w:rsid w:val="00EE453F"/>
    <w:rsid w:val="00EE50CB"/>
    <w:rsid w:val="00EE568D"/>
    <w:rsid w:val="00EE5C6C"/>
    <w:rsid w:val="00EE65A8"/>
    <w:rsid w:val="00EE6835"/>
    <w:rsid w:val="00EE69B0"/>
    <w:rsid w:val="00EE6AE3"/>
    <w:rsid w:val="00EE762E"/>
    <w:rsid w:val="00EE7632"/>
    <w:rsid w:val="00EE77F8"/>
    <w:rsid w:val="00EE7997"/>
    <w:rsid w:val="00EE7BBF"/>
    <w:rsid w:val="00EE7D73"/>
    <w:rsid w:val="00EE7D94"/>
    <w:rsid w:val="00EF15C1"/>
    <w:rsid w:val="00EF214C"/>
    <w:rsid w:val="00EF22B2"/>
    <w:rsid w:val="00EF2BA7"/>
    <w:rsid w:val="00EF2E40"/>
    <w:rsid w:val="00EF329F"/>
    <w:rsid w:val="00EF32D1"/>
    <w:rsid w:val="00EF3565"/>
    <w:rsid w:val="00EF394F"/>
    <w:rsid w:val="00EF3B4F"/>
    <w:rsid w:val="00EF4755"/>
    <w:rsid w:val="00EF475C"/>
    <w:rsid w:val="00EF4EC8"/>
    <w:rsid w:val="00EF4F41"/>
    <w:rsid w:val="00EF59B5"/>
    <w:rsid w:val="00EF5A86"/>
    <w:rsid w:val="00EF6263"/>
    <w:rsid w:val="00EF75E0"/>
    <w:rsid w:val="00EF75FC"/>
    <w:rsid w:val="00EF78F5"/>
    <w:rsid w:val="00EF7A3F"/>
    <w:rsid w:val="00EF7EE9"/>
    <w:rsid w:val="00F00C61"/>
    <w:rsid w:val="00F015AC"/>
    <w:rsid w:val="00F01DE9"/>
    <w:rsid w:val="00F028FA"/>
    <w:rsid w:val="00F02F86"/>
    <w:rsid w:val="00F02FF8"/>
    <w:rsid w:val="00F03CB4"/>
    <w:rsid w:val="00F04C96"/>
    <w:rsid w:val="00F04DB2"/>
    <w:rsid w:val="00F0535C"/>
    <w:rsid w:val="00F06007"/>
    <w:rsid w:val="00F060A6"/>
    <w:rsid w:val="00F0616C"/>
    <w:rsid w:val="00F06733"/>
    <w:rsid w:val="00F06F1B"/>
    <w:rsid w:val="00F071EB"/>
    <w:rsid w:val="00F077F0"/>
    <w:rsid w:val="00F078F3"/>
    <w:rsid w:val="00F07A71"/>
    <w:rsid w:val="00F10039"/>
    <w:rsid w:val="00F10E2C"/>
    <w:rsid w:val="00F10F48"/>
    <w:rsid w:val="00F121A4"/>
    <w:rsid w:val="00F12903"/>
    <w:rsid w:val="00F13344"/>
    <w:rsid w:val="00F13C5E"/>
    <w:rsid w:val="00F13D64"/>
    <w:rsid w:val="00F145DC"/>
    <w:rsid w:val="00F15800"/>
    <w:rsid w:val="00F15E90"/>
    <w:rsid w:val="00F1613E"/>
    <w:rsid w:val="00F16413"/>
    <w:rsid w:val="00F165F7"/>
    <w:rsid w:val="00F168C7"/>
    <w:rsid w:val="00F1711E"/>
    <w:rsid w:val="00F1715E"/>
    <w:rsid w:val="00F171FE"/>
    <w:rsid w:val="00F2022B"/>
    <w:rsid w:val="00F20F68"/>
    <w:rsid w:val="00F210E5"/>
    <w:rsid w:val="00F21AA1"/>
    <w:rsid w:val="00F21B29"/>
    <w:rsid w:val="00F21BC8"/>
    <w:rsid w:val="00F22055"/>
    <w:rsid w:val="00F22C6B"/>
    <w:rsid w:val="00F2360C"/>
    <w:rsid w:val="00F23D09"/>
    <w:rsid w:val="00F24815"/>
    <w:rsid w:val="00F2487A"/>
    <w:rsid w:val="00F2590B"/>
    <w:rsid w:val="00F259DF"/>
    <w:rsid w:val="00F25B9C"/>
    <w:rsid w:val="00F261A9"/>
    <w:rsid w:val="00F26317"/>
    <w:rsid w:val="00F265DB"/>
    <w:rsid w:val="00F2664B"/>
    <w:rsid w:val="00F2679E"/>
    <w:rsid w:val="00F268D9"/>
    <w:rsid w:val="00F27224"/>
    <w:rsid w:val="00F27A22"/>
    <w:rsid w:val="00F305F6"/>
    <w:rsid w:val="00F30D2B"/>
    <w:rsid w:val="00F31016"/>
    <w:rsid w:val="00F32021"/>
    <w:rsid w:val="00F32234"/>
    <w:rsid w:val="00F3278D"/>
    <w:rsid w:val="00F329D1"/>
    <w:rsid w:val="00F32F3E"/>
    <w:rsid w:val="00F333C9"/>
    <w:rsid w:val="00F333D0"/>
    <w:rsid w:val="00F33477"/>
    <w:rsid w:val="00F33842"/>
    <w:rsid w:val="00F34969"/>
    <w:rsid w:val="00F34ED0"/>
    <w:rsid w:val="00F35133"/>
    <w:rsid w:val="00F357C7"/>
    <w:rsid w:val="00F3604F"/>
    <w:rsid w:val="00F37650"/>
    <w:rsid w:val="00F37660"/>
    <w:rsid w:val="00F378C8"/>
    <w:rsid w:val="00F37D47"/>
    <w:rsid w:val="00F37DAB"/>
    <w:rsid w:val="00F37EB7"/>
    <w:rsid w:val="00F417E7"/>
    <w:rsid w:val="00F41B82"/>
    <w:rsid w:val="00F41DB5"/>
    <w:rsid w:val="00F41E39"/>
    <w:rsid w:val="00F4221F"/>
    <w:rsid w:val="00F42253"/>
    <w:rsid w:val="00F4338C"/>
    <w:rsid w:val="00F4368E"/>
    <w:rsid w:val="00F436C3"/>
    <w:rsid w:val="00F43C1E"/>
    <w:rsid w:val="00F43C84"/>
    <w:rsid w:val="00F443BD"/>
    <w:rsid w:val="00F44B19"/>
    <w:rsid w:val="00F44B54"/>
    <w:rsid w:val="00F44C0A"/>
    <w:rsid w:val="00F454D9"/>
    <w:rsid w:val="00F4564F"/>
    <w:rsid w:val="00F47A87"/>
    <w:rsid w:val="00F5027A"/>
    <w:rsid w:val="00F50403"/>
    <w:rsid w:val="00F5040B"/>
    <w:rsid w:val="00F50A74"/>
    <w:rsid w:val="00F52544"/>
    <w:rsid w:val="00F5278B"/>
    <w:rsid w:val="00F5296D"/>
    <w:rsid w:val="00F52ABE"/>
    <w:rsid w:val="00F53963"/>
    <w:rsid w:val="00F53C8F"/>
    <w:rsid w:val="00F53FE3"/>
    <w:rsid w:val="00F53FF4"/>
    <w:rsid w:val="00F54074"/>
    <w:rsid w:val="00F543CA"/>
    <w:rsid w:val="00F5473D"/>
    <w:rsid w:val="00F54D56"/>
    <w:rsid w:val="00F558C2"/>
    <w:rsid w:val="00F55D68"/>
    <w:rsid w:val="00F55F76"/>
    <w:rsid w:val="00F568CB"/>
    <w:rsid w:val="00F570FA"/>
    <w:rsid w:val="00F60C31"/>
    <w:rsid w:val="00F61288"/>
    <w:rsid w:val="00F6136F"/>
    <w:rsid w:val="00F61A64"/>
    <w:rsid w:val="00F61AE3"/>
    <w:rsid w:val="00F61B5A"/>
    <w:rsid w:val="00F6241E"/>
    <w:rsid w:val="00F63211"/>
    <w:rsid w:val="00F634D6"/>
    <w:rsid w:val="00F63D31"/>
    <w:rsid w:val="00F650B2"/>
    <w:rsid w:val="00F65286"/>
    <w:rsid w:val="00F6564E"/>
    <w:rsid w:val="00F660E8"/>
    <w:rsid w:val="00F67538"/>
    <w:rsid w:val="00F675FC"/>
    <w:rsid w:val="00F701BC"/>
    <w:rsid w:val="00F70624"/>
    <w:rsid w:val="00F70755"/>
    <w:rsid w:val="00F7088E"/>
    <w:rsid w:val="00F710BB"/>
    <w:rsid w:val="00F71960"/>
    <w:rsid w:val="00F71AD3"/>
    <w:rsid w:val="00F724F7"/>
    <w:rsid w:val="00F72C92"/>
    <w:rsid w:val="00F73A6F"/>
    <w:rsid w:val="00F74475"/>
    <w:rsid w:val="00F74496"/>
    <w:rsid w:val="00F7459E"/>
    <w:rsid w:val="00F74E13"/>
    <w:rsid w:val="00F76630"/>
    <w:rsid w:val="00F767F1"/>
    <w:rsid w:val="00F77593"/>
    <w:rsid w:val="00F7789B"/>
    <w:rsid w:val="00F77EAB"/>
    <w:rsid w:val="00F803B7"/>
    <w:rsid w:val="00F806E9"/>
    <w:rsid w:val="00F82BE4"/>
    <w:rsid w:val="00F831F8"/>
    <w:rsid w:val="00F84520"/>
    <w:rsid w:val="00F84AC5"/>
    <w:rsid w:val="00F84B59"/>
    <w:rsid w:val="00F84C83"/>
    <w:rsid w:val="00F854A9"/>
    <w:rsid w:val="00F85508"/>
    <w:rsid w:val="00F856EC"/>
    <w:rsid w:val="00F86862"/>
    <w:rsid w:val="00F87335"/>
    <w:rsid w:val="00F87399"/>
    <w:rsid w:val="00F9022A"/>
    <w:rsid w:val="00F90B09"/>
    <w:rsid w:val="00F90FBD"/>
    <w:rsid w:val="00F91402"/>
    <w:rsid w:val="00F91F1B"/>
    <w:rsid w:val="00F92FCE"/>
    <w:rsid w:val="00F939FD"/>
    <w:rsid w:val="00F93C98"/>
    <w:rsid w:val="00F94D2F"/>
    <w:rsid w:val="00F94DB1"/>
    <w:rsid w:val="00F95897"/>
    <w:rsid w:val="00F95AF6"/>
    <w:rsid w:val="00F95DD0"/>
    <w:rsid w:val="00F9758D"/>
    <w:rsid w:val="00F97DCE"/>
    <w:rsid w:val="00FA0935"/>
    <w:rsid w:val="00FA0FFA"/>
    <w:rsid w:val="00FA1309"/>
    <w:rsid w:val="00FA15A2"/>
    <w:rsid w:val="00FA1F4B"/>
    <w:rsid w:val="00FA225F"/>
    <w:rsid w:val="00FA2483"/>
    <w:rsid w:val="00FA391C"/>
    <w:rsid w:val="00FA3A14"/>
    <w:rsid w:val="00FA3AFD"/>
    <w:rsid w:val="00FA3B3E"/>
    <w:rsid w:val="00FA4A47"/>
    <w:rsid w:val="00FA4AF3"/>
    <w:rsid w:val="00FA4B3F"/>
    <w:rsid w:val="00FA5720"/>
    <w:rsid w:val="00FA64E9"/>
    <w:rsid w:val="00FA653E"/>
    <w:rsid w:val="00FA6A03"/>
    <w:rsid w:val="00FA70B7"/>
    <w:rsid w:val="00FA74DC"/>
    <w:rsid w:val="00FA7E47"/>
    <w:rsid w:val="00FB00B1"/>
    <w:rsid w:val="00FB057C"/>
    <w:rsid w:val="00FB0A96"/>
    <w:rsid w:val="00FB2620"/>
    <w:rsid w:val="00FB291C"/>
    <w:rsid w:val="00FB2ECE"/>
    <w:rsid w:val="00FB3013"/>
    <w:rsid w:val="00FB315B"/>
    <w:rsid w:val="00FB335C"/>
    <w:rsid w:val="00FB3C62"/>
    <w:rsid w:val="00FB5024"/>
    <w:rsid w:val="00FB5128"/>
    <w:rsid w:val="00FB5F25"/>
    <w:rsid w:val="00FB62F4"/>
    <w:rsid w:val="00FB652C"/>
    <w:rsid w:val="00FB6748"/>
    <w:rsid w:val="00FB6C2D"/>
    <w:rsid w:val="00FC0845"/>
    <w:rsid w:val="00FC154E"/>
    <w:rsid w:val="00FC1ADC"/>
    <w:rsid w:val="00FC1EFE"/>
    <w:rsid w:val="00FC291C"/>
    <w:rsid w:val="00FC2C5E"/>
    <w:rsid w:val="00FC3440"/>
    <w:rsid w:val="00FC3453"/>
    <w:rsid w:val="00FC3AAF"/>
    <w:rsid w:val="00FC3B5D"/>
    <w:rsid w:val="00FC4DE6"/>
    <w:rsid w:val="00FC4F84"/>
    <w:rsid w:val="00FC50EA"/>
    <w:rsid w:val="00FC5162"/>
    <w:rsid w:val="00FC5266"/>
    <w:rsid w:val="00FC5285"/>
    <w:rsid w:val="00FC59F6"/>
    <w:rsid w:val="00FC5CB0"/>
    <w:rsid w:val="00FC5F08"/>
    <w:rsid w:val="00FC64EA"/>
    <w:rsid w:val="00FC6EA6"/>
    <w:rsid w:val="00FC6F5D"/>
    <w:rsid w:val="00FD0ABF"/>
    <w:rsid w:val="00FD1026"/>
    <w:rsid w:val="00FD1B89"/>
    <w:rsid w:val="00FD1BB7"/>
    <w:rsid w:val="00FD1BD3"/>
    <w:rsid w:val="00FD24A0"/>
    <w:rsid w:val="00FD322A"/>
    <w:rsid w:val="00FD3700"/>
    <w:rsid w:val="00FD3F0A"/>
    <w:rsid w:val="00FD4BD3"/>
    <w:rsid w:val="00FD4D93"/>
    <w:rsid w:val="00FD5372"/>
    <w:rsid w:val="00FD55E3"/>
    <w:rsid w:val="00FD5FC6"/>
    <w:rsid w:val="00FD649E"/>
    <w:rsid w:val="00FD6726"/>
    <w:rsid w:val="00FD67FD"/>
    <w:rsid w:val="00FD6A46"/>
    <w:rsid w:val="00FD6FBF"/>
    <w:rsid w:val="00FD7937"/>
    <w:rsid w:val="00FD7AB7"/>
    <w:rsid w:val="00FE011B"/>
    <w:rsid w:val="00FE0915"/>
    <w:rsid w:val="00FE0ACD"/>
    <w:rsid w:val="00FE16E4"/>
    <w:rsid w:val="00FE1711"/>
    <w:rsid w:val="00FE2065"/>
    <w:rsid w:val="00FE275E"/>
    <w:rsid w:val="00FE29F0"/>
    <w:rsid w:val="00FE3135"/>
    <w:rsid w:val="00FE3320"/>
    <w:rsid w:val="00FE3434"/>
    <w:rsid w:val="00FE3914"/>
    <w:rsid w:val="00FE3DAB"/>
    <w:rsid w:val="00FE3EAC"/>
    <w:rsid w:val="00FE4EB6"/>
    <w:rsid w:val="00FE5154"/>
    <w:rsid w:val="00FE536E"/>
    <w:rsid w:val="00FE53A2"/>
    <w:rsid w:val="00FE704A"/>
    <w:rsid w:val="00FE740C"/>
    <w:rsid w:val="00FE7DB2"/>
    <w:rsid w:val="00FE7FD3"/>
    <w:rsid w:val="00FF0111"/>
    <w:rsid w:val="00FF01DD"/>
    <w:rsid w:val="00FF02D0"/>
    <w:rsid w:val="00FF04AA"/>
    <w:rsid w:val="00FF0CB9"/>
    <w:rsid w:val="00FF0EE9"/>
    <w:rsid w:val="00FF1142"/>
    <w:rsid w:val="00FF18EE"/>
    <w:rsid w:val="00FF1C0E"/>
    <w:rsid w:val="00FF247A"/>
    <w:rsid w:val="00FF3B97"/>
    <w:rsid w:val="00FF4D6E"/>
    <w:rsid w:val="00FF50A4"/>
    <w:rsid w:val="00FF570E"/>
    <w:rsid w:val="00FF58B6"/>
    <w:rsid w:val="00FF611B"/>
    <w:rsid w:val="00FF61C1"/>
    <w:rsid w:val="00FF6CCC"/>
    <w:rsid w:val="00FF7207"/>
    <w:rsid w:val="00FF756E"/>
    <w:rsid w:val="00FF7CF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3731F2-1EBC-4966-9AA8-D57AED4ED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6860"/>
    <w:pPr>
      <w:jc w:val="both"/>
    </w:pPr>
    <w:rPr>
      <w:rFonts w:ascii="Verdana" w:hAnsi="Verdana"/>
      <w:szCs w:val="22"/>
      <w:lang w:eastAsia="en-US"/>
    </w:rPr>
  </w:style>
  <w:style w:type="paragraph" w:styleId="Heading1">
    <w:name w:val="heading 1"/>
    <w:basedOn w:val="Normal"/>
    <w:next w:val="Normal"/>
    <w:link w:val="Heading1Char"/>
    <w:autoRedefine/>
    <w:qFormat/>
    <w:rsid w:val="008A2B75"/>
    <w:pPr>
      <w:spacing w:before="100" w:beforeAutospacing="1" w:after="100" w:afterAutospacing="1"/>
      <w:jc w:val="left"/>
      <w:outlineLvl w:val="0"/>
    </w:pPr>
    <w:rPr>
      <w:rFonts w:eastAsia="Times New Roman"/>
      <w:b/>
      <w:bCs/>
      <w:kern w:val="36"/>
      <w:szCs w:val="48"/>
      <w:lang w:val="x-none" w:eastAsia="x-none"/>
    </w:rPr>
  </w:style>
  <w:style w:type="paragraph" w:styleId="Heading2">
    <w:name w:val="heading 2"/>
    <w:basedOn w:val="Normal"/>
    <w:link w:val="Heading2Char"/>
    <w:qFormat/>
    <w:rsid w:val="00A22D8D"/>
    <w:pPr>
      <w:spacing w:before="100" w:beforeAutospacing="1" w:after="100" w:afterAutospacing="1"/>
      <w:jc w:val="left"/>
      <w:outlineLvl w:val="1"/>
    </w:pPr>
    <w:rPr>
      <w:rFonts w:ascii="Times New Roman" w:eastAsia="Times New Roman" w:hAnsi="Times New Roman"/>
      <w:b/>
      <w:bCs/>
      <w:sz w:val="36"/>
      <w:szCs w:val="36"/>
      <w:lang w:val="x-none" w:eastAsia="es-AR"/>
    </w:rPr>
  </w:style>
  <w:style w:type="paragraph" w:styleId="Heading3">
    <w:name w:val="heading 3"/>
    <w:basedOn w:val="Normal"/>
    <w:link w:val="Heading3Char"/>
    <w:uiPriority w:val="9"/>
    <w:qFormat/>
    <w:rsid w:val="00A22D8D"/>
    <w:pPr>
      <w:spacing w:before="100" w:beforeAutospacing="1" w:after="100" w:afterAutospacing="1"/>
      <w:jc w:val="left"/>
      <w:outlineLvl w:val="2"/>
    </w:pPr>
    <w:rPr>
      <w:rFonts w:ascii="Times New Roman" w:eastAsia="Times New Roman" w:hAnsi="Times New Roman"/>
      <w:b/>
      <w:bCs/>
      <w:sz w:val="27"/>
      <w:szCs w:val="27"/>
      <w:lang w:val="x-none" w:eastAsia="es-AR"/>
    </w:rPr>
  </w:style>
  <w:style w:type="paragraph" w:styleId="Heading4">
    <w:name w:val="heading 4"/>
    <w:basedOn w:val="Normal"/>
    <w:next w:val="Normal"/>
    <w:link w:val="Heading4Char"/>
    <w:uiPriority w:val="9"/>
    <w:semiHidden/>
    <w:unhideWhenUsed/>
    <w:qFormat/>
    <w:rsid w:val="00662A67"/>
    <w:pPr>
      <w:keepNext/>
      <w:spacing w:before="240" w:after="60"/>
      <w:outlineLvl w:val="3"/>
    </w:pPr>
    <w:rPr>
      <w:rFonts w:ascii="Calibri" w:eastAsia="Times New Roman" w:hAnsi="Calibri"/>
      <w:b/>
      <w:bCs/>
      <w:sz w:val="28"/>
      <w:szCs w:val="28"/>
      <w:lang w:val="x-none"/>
    </w:rPr>
  </w:style>
  <w:style w:type="paragraph" w:styleId="Heading5">
    <w:name w:val="heading 5"/>
    <w:basedOn w:val="Normal"/>
    <w:next w:val="Normal"/>
    <w:link w:val="Heading5Char"/>
    <w:uiPriority w:val="9"/>
    <w:semiHidden/>
    <w:unhideWhenUsed/>
    <w:qFormat/>
    <w:rsid w:val="00A204E2"/>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unhideWhenUsed/>
    <w:qFormat/>
    <w:rsid w:val="00662A67"/>
    <w:pPr>
      <w:spacing w:before="240" w:after="60"/>
      <w:outlineLvl w:val="5"/>
    </w:pPr>
    <w:rPr>
      <w:rFonts w:ascii="Calibri" w:eastAsia="Times New Roman" w:hAnsi="Calibri"/>
      <w:b/>
      <w:bCs/>
      <w:sz w:val="22"/>
      <w:lang w:val="x-none"/>
    </w:rPr>
  </w:style>
  <w:style w:type="paragraph" w:styleId="Heading7">
    <w:name w:val="heading 7"/>
    <w:basedOn w:val="Normal"/>
    <w:next w:val="Normal"/>
    <w:link w:val="Heading7Char"/>
    <w:uiPriority w:val="9"/>
    <w:unhideWhenUsed/>
    <w:qFormat/>
    <w:rsid w:val="00AE03A8"/>
    <w:pPr>
      <w:spacing w:before="240" w:after="60"/>
      <w:outlineLvl w:val="6"/>
    </w:pPr>
    <w:rPr>
      <w:rFonts w:ascii="Calibri" w:eastAsia="Times New Roman" w:hAnsi="Calibri"/>
      <w:sz w:val="24"/>
      <w:szCs w:val="24"/>
      <w:lang w:val="x-none"/>
    </w:rPr>
  </w:style>
  <w:style w:type="paragraph" w:styleId="Heading8">
    <w:name w:val="heading 8"/>
    <w:basedOn w:val="Normal"/>
    <w:next w:val="Normal"/>
    <w:link w:val="Heading8Char"/>
    <w:uiPriority w:val="9"/>
    <w:unhideWhenUsed/>
    <w:qFormat/>
    <w:rsid w:val="00AE03A8"/>
    <w:pPr>
      <w:spacing w:before="240" w:after="60"/>
      <w:outlineLvl w:val="7"/>
    </w:pPr>
    <w:rPr>
      <w:rFonts w:ascii="Calibri" w:eastAsia="Times New Roman" w:hAnsi="Calibri"/>
      <w:i/>
      <w:iCs/>
      <w:sz w:val="24"/>
      <w:szCs w:val="24"/>
      <w:lang w:val="x-none"/>
    </w:rPr>
  </w:style>
  <w:style w:type="paragraph" w:styleId="Heading9">
    <w:name w:val="heading 9"/>
    <w:basedOn w:val="Normal"/>
    <w:next w:val="Normal"/>
    <w:link w:val="Heading9Char"/>
    <w:uiPriority w:val="9"/>
    <w:unhideWhenUsed/>
    <w:qFormat/>
    <w:rsid w:val="00AE03A8"/>
    <w:pPr>
      <w:spacing w:before="240" w:after="60"/>
      <w:outlineLvl w:val="8"/>
    </w:pPr>
    <w:rPr>
      <w:rFonts w:ascii="Calibri Light" w:eastAsia="Times New Roman" w:hAnsi="Calibri Light"/>
      <w:sz w:val="2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link w:val="Heading1"/>
    <w:rsid w:val="008A2B75"/>
    <w:rPr>
      <w:rFonts w:ascii="Verdana" w:eastAsia="Times New Roman" w:hAnsi="Verdana"/>
      <w:b/>
      <w:bCs/>
      <w:kern w:val="36"/>
      <w:szCs w:val="48"/>
    </w:rPr>
  </w:style>
  <w:style w:type="character" w:customStyle="1" w:styleId="Heading2Char">
    <w:name w:val="Heading 2 Char"/>
    <w:link w:val="Heading2"/>
    <w:rsid w:val="00A22D8D"/>
    <w:rPr>
      <w:rFonts w:ascii="Times New Roman" w:eastAsia="Times New Roman" w:hAnsi="Times New Roman" w:cs="Times New Roman"/>
      <w:b/>
      <w:bCs/>
      <w:sz w:val="36"/>
      <w:szCs w:val="36"/>
      <w:lang w:eastAsia="es-AR"/>
    </w:rPr>
  </w:style>
  <w:style w:type="character" w:customStyle="1" w:styleId="Heading3Char">
    <w:name w:val="Heading 3 Char"/>
    <w:link w:val="Heading3"/>
    <w:uiPriority w:val="9"/>
    <w:rsid w:val="00A22D8D"/>
    <w:rPr>
      <w:rFonts w:ascii="Times New Roman" w:eastAsia="Times New Roman" w:hAnsi="Times New Roman" w:cs="Times New Roman"/>
      <w:b/>
      <w:bCs/>
      <w:sz w:val="27"/>
      <w:szCs w:val="27"/>
      <w:lang w:eastAsia="es-AR"/>
    </w:rPr>
  </w:style>
  <w:style w:type="character" w:customStyle="1" w:styleId="Heading4Char">
    <w:name w:val="Heading 4 Char"/>
    <w:link w:val="Heading4"/>
    <w:uiPriority w:val="9"/>
    <w:semiHidden/>
    <w:rsid w:val="00662A67"/>
    <w:rPr>
      <w:rFonts w:ascii="Calibri" w:eastAsia="Times New Roman" w:hAnsi="Calibri" w:cs="Times New Roman"/>
      <w:b/>
      <w:bCs/>
      <w:sz w:val="28"/>
      <w:szCs w:val="28"/>
      <w:lang w:eastAsia="en-US"/>
    </w:rPr>
  </w:style>
  <w:style w:type="character" w:customStyle="1" w:styleId="Heading5Char">
    <w:name w:val="Heading 5 Char"/>
    <w:basedOn w:val="DefaultParagraphFont"/>
    <w:link w:val="Heading5"/>
    <w:uiPriority w:val="9"/>
    <w:semiHidden/>
    <w:rsid w:val="00A204E2"/>
    <w:rPr>
      <w:rFonts w:eastAsia="Times New Roman"/>
      <w:b/>
      <w:bCs/>
      <w:i/>
      <w:iCs/>
      <w:sz w:val="26"/>
      <w:szCs w:val="26"/>
      <w:lang w:eastAsia="en-US"/>
    </w:rPr>
  </w:style>
  <w:style w:type="character" w:customStyle="1" w:styleId="Heading6Char">
    <w:name w:val="Heading 6 Char"/>
    <w:link w:val="Heading6"/>
    <w:uiPriority w:val="9"/>
    <w:rsid w:val="00662A67"/>
    <w:rPr>
      <w:rFonts w:ascii="Calibri" w:eastAsia="Times New Roman" w:hAnsi="Calibri" w:cs="Times New Roman"/>
      <w:b/>
      <w:bCs/>
      <w:sz w:val="22"/>
      <w:szCs w:val="22"/>
      <w:lang w:eastAsia="en-US"/>
    </w:rPr>
  </w:style>
  <w:style w:type="character" w:customStyle="1" w:styleId="Heading7Char">
    <w:name w:val="Heading 7 Char"/>
    <w:link w:val="Heading7"/>
    <w:uiPriority w:val="9"/>
    <w:rsid w:val="00AE03A8"/>
    <w:rPr>
      <w:rFonts w:ascii="Calibri" w:eastAsia="Times New Roman" w:hAnsi="Calibri" w:cs="Times New Roman"/>
      <w:sz w:val="24"/>
      <w:szCs w:val="24"/>
      <w:lang w:eastAsia="en-US"/>
    </w:rPr>
  </w:style>
  <w:style w:type="character" w:customStyle="1" w:styleId="Heading8Char">
    <w:name w:val="Heading 8 Char"/>
    <w:link w:val="Heading8"/>
    <w:uiPriority w:val="9"/>
    <w:rsid w:val="00AE03A8"/>
    <w:rPr>
      <w:rFonts w:ascii="Calibri" w:eastAsia="Times New Roman" w:hAnsi="Calibri" w:cs="Times New Roman"/>
      <w:i/>
      <w:iCs/>
      <w:sz w:val="24"/>
      <w:szCs w:val="24"/>
      <w:lang w:eastAsia="en-US"/>
    </w:rPr>
  </w:style>
  <w:style w:type="character" w:customStyle="1" w:styleId="Heading9Char">
    <w:name w:val="Heading 9 Char"/>
    <w:link w:val="Heading9"/>
    <w:uiPriority w:val="9"/>
    <w:rsid w:val="00AE03A8"/>
    <w:rPr>
      <w:rFonts w:ascii="Calibri Light" w:eastAsia="Times New Roman" w:hAnsi="Calibri Light" w:cs="Times New Roman"/>
      <w:sz w:val="22"/>
      <w:szCs w:val="22"/>
      <w:lang w:eastAsia="en-US"/>
    </w:rPr>
  </w:style>
  <w:style w:type="character" w:styleId="Hyperlink">
    <w:name w:val="Hyperlink"/>
    <w:unhideWhenUsed/>
    <w:rsid w:val="00A22D8D"/>
    <w:rPr>
      <w:color w:val="0000FF"/>
      <w:u w:val="single"/>
    </w:rPr>
  </w:style>
  <w:style w:type="character" w:styleId="FootnoteReference">
    <w:name w:val="footnote reference"/>
    <w:aliases w:val="Footnotes refss,Texto de nota al pie,Appel note de bas de page,referencia nota al pie,BVI fnr,Footnote number,f1,Ref. de nota al pie.,Footnote symbol,Footnote,4_G,16 Point,Superscript 6 Point,Texto nota al pie,Ref,de nota al pie,norm"/>
    <w:basedOn w:val="DefaultParagraphFont"/>
    <w:unhideWhenUsed/>
    <w:rsid w:val="00C66860"/>
    <w:rPr>
      <w:rFonts w:ascii="Verdana" w:hAnsi="Verdana"/>
      <w:sz w:val="20"/>
      <w:vertAlign w:val="superscript"/>
    </w:rPr>
  </w:style>
  <w:style w:type="paragraph" w:styleId="BodyText">
    <w:name w:val="Body Text"/>
    <w:basedOn w:val="Normal"/>
    <w:link w:val="BodyTextChar"/>
    <w:uiPriority w:val="99"/>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BodyTextChar">
    <w:name w:val="Body Text Char"/>
    <w:link w:val="BodyText"/>
    <w:uiPriority w:val="99"/>
    <w:rsid w:val="00A22D8D"/>
    <w:rPr>
      <w:rFonts w:ascii="Times New Roman" w:eastAsia="Times New Roman" w:hAnsi="Times New Roman" w:cs="Times New Roman"/>
      <w:sz w:val="24"/>
      <w:szCs w:val="24"/>
      <w:lang w:eastAsia="es-AR"/>
    </w:rPr>
  </w:style>
  <w:style w:type="paragraph" w:styleId="BodyTextIndent">
    <w:name w:val="Body Text Indent"/>
    <w:basedOn w:val="Normal"/>
    <w:link w:val="BodyTextIndentChar"/>
    <w:uiPriority w:val="99"/>
    <w:semiHidden/>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BodyTextIndentChar">
    <w:name w:val="Body Text Indent Char"/>
    <w:link w:val="BodyTextIndent"/>
    <w:uiPriority w:val="99"/>
    <w:semiHidden/>
    <w:rsid w:val="00A22D8D"/>
    <w:rPr>
      <w:rFonts w:ascii="Times New Roman" w:eastAsia="Times New Roman" w:hAnsi="Times New Roman" w:cs="Times New Roman"/>
      <w:sz w:val="24"/>
      <w:szCs w:val="24"/>
      <w:lang w:eastAsia="es-AR"/>
    </w:rPr>
  </w:style>
  <w:style w:type="paragraph" w:styleId="FootnoteText">
    <w:name w:val="footnote text"/>
    <w:aliases w:val="Footnote Text Char Char Char Char Char,Footnote Text Char Char Char Char,Footnote reference,FA Fu,Footnote Text Char Char Char,Footnote Text Cha,FA Fußnotentext,FA Fuﬂnotentext,Footnote Text Char Char,Ca,f,ft"/>
    <w:basedOn w:val="Normal"/>
    <w:link w:val="FootnoteTextChar"/>
    <w:uiPriority w:val="99"/>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FootnoteTextChar">
    <w:name w:val="Footnote Text Char"/>
    <w:aliases w:val="Footnote Text Char Char Char Char Char Char,Footnote Text Char Char Char Char Char1,Footnote reference Char,FA Fu Char,Footnote Text Char Char Char Char1,Footnote Text Cha Char,FA Fußnotentext Char,FA Fuﬂnotentext Char,Ca Char,f Char"/>
    <w:link w:val="FootnoteText"/>
    <w:uiPriority w:val="99"/>
    <w:rsid w:val="00A22D8D"/>
    <w:rPr>
      <w:rFonts w:ascii="Times New Roman" w:eastAsia="Times New Roman" w:hAnsi="Times New Roman" w:cs="Times New Roman"/>
      <w:sz w:val="24"/>
      <w:szCs w:val="24"/>
      <w:lang w:eastAsia="es-AR"/>
    </w:rPr>
  </w:style>
  <w:style w:type="paragraph" w:styleId="NormalWeb">
    <w:name w:val="Normal (Web)"/>
    <w:basedOn w:val="Normal"/>
    <w:uiPriority w:val="99"/>
    <w:unhideWhenUsed/>
    <w:rsid w:val="00A22D8D"/>
    <w:pPr>
      <w:spacing w:before="100" w:beforeAutospacing="1" w:after="100" w:afterAutospacing="1"/>
      <w:jc w:val="left"/>
    </w:pPr>
    <w:rPr>
      <w:rFonts w:ascii="Times New Roman" w:eastAsia="Times New Roman" w:hAnsi="Times New Roman"/>
      <w:sz w:val="24"/>
      <w:szCs w:val="24"/>
      <w:lang w:eastAsia="es-AR"/>
    </w:rPr>
  </w:style>
  <w:style w:type="paragraph" w:styleId="Header">
    <w:name w:val="header"/>
    <w:basedOn w:val="Normal"/>
    <w:link w:val="HeaderChar"/>
    <w:unhideWhenUsed/>
    <w:rsid w:val="007B2999"/>
    <w:pPr>
      <w:tabs>
        <w:tab w:val="center" w:pos="4419"/>
        <w:tab w:val="right" w:pos="8838"/>
      </w:tabs>
    </w:pPr>
    <w:rPr>
      <w:rFonts w:ascii="Calibri" w:hAnsi="Calibri"/>
      <w:sz w:val="22"/>
      <w:lang w:val="x-none"/>
    </w:rPr>
  </w:style>
  <w:style w:type="character" w:customStyle="1" w:styleId="HeaderChar">
    <w:name w:val="Header Char"/>
    <w:link w:val="Header"/>
    <w:rsid w:val="007B2999"/>
    <w:rPr>
      <w:sz w:val="22"/>
      <w:szCs w:val="22"/>
      <w:lang w:eastAsia="en-US"/>
    </w:rPr>
  </w:style>
  <w:style w:type="paragraph" w:styleId="Footer">
    <w:name w:val="footer"/>
    <w:basedOn w:val="Normal"/>
    <w:link w:val="FooterChar"/>
    <w:autoRedefine/>
    <w:uiPriority w:val="99"/>
    <w:unhideWhenUsed/>
    <w:qFormat/>
    <w:rsid w:val="0021298E"/>
    <w:pPr>
      <w:tabs>
        <w:tab w:val="center" w:pos="4419"/>
        <w:tab w:val="right" w:pos="8838"/>
      </w:tabs>
    </w:pPr>
    <w:rPr>
      <w:vertAlign w:val="superscript"/>
      <w:lang w:val="x-none"/>
    </w:rPr>
  </w:style>
  <w:style w:type="character" w:customStyle="1" w:styleId="FooterChar">
    <w:name w:val="Footer Char"/>
    <w:link w:val="Footer"/>
    <w:uiPriority w:val="99"/>
    <w:rsid w:val="0021298E"/>
    <w:rPr>
      <w:rFonts w:ascii="Verdana" w:hAnsi="Verdana"/>
      <w:szCs w:val="22"/>
      <w:vertAlign w:val="superscript"/>
      <w:lang w:eastAsia="en-US"/>
    </w:rPr>
  </w:style>
  <w:style w:type="character" w:styleId="SubtleReference">
    <w:name w:val="Subtle Reference"/>
    <w:uiPriority w:val="31"/>
    <w:qFormat/>
    <w:rsid w:val="007B2999"/>
    <w:rPr>
      <w:rFonts w:ascii="Verdana" w:hAnsi="Verdana"/>
      <w:dstrike w:val="0"/>
      <w:color w:val="auto"/>
      <w:spacing w:val="0"/>
      <w:position w:val="0"/>
      <w:sz w:val="16"/>
      <w:u w:val="none"/>
      <w:bdr w:val="none" w:sz="0" w:space="0" w:color="auto"/>
    </w:rPr>
  </w:style>
  <w:style w:type="character" w:customStyle="1" w:styleId="apple-converted-space">
    <w:name w:val="apple-converted-space"/>
    <w:rsid w:val="0071610E"/>
  </w:style>
  <w:style w:type="paragraph" w:styleId="NoSpacing">
    <w:name w:val="No Spacing"/>
    <w:uiPriority w:val="1"/>
    <w:qFormat/>
    <w:rsid w:val="0071610E"/>
    <w:pPr>
      <w:jc w:val="both"/>
    </w:pPr>
    <w:rPr>
      <w:rFonts w:ascii="Verdana" w:hAnsi="Verdana"/>
      <w:szCs w:val="22"/>
      <w:lang w:eastAsia="en-US"/>
    </w:rPr>
  </w:style>
  <w:style w:type="paragraph" w:styleId="BodyTextIndent2">
    <w:name w:val="Body Text Indent 2"/>
    <w:basedOn w:val="Normal"/>
    <w:link w:val="BodyTextIndent2Char"/>
    <w:uiPriority w:val="99"/>
    <w:unhideWhenUsed/>
    <w:rsid w:val="00662A67"/>
    <w:pPr>
      <w:spacing w:after="120" w:line="480" w:lineRule="auto"/>
      <w:ind w:left="283"/>
    </w:pPr>
    <w:rPr>
      <w:lang w:val="x-none"/>
    </w:rPr>
  </w:style>
  <w:style w:type="character" w:customStyle="1" w:styleId="BodyTextIndent2Char">
    <w:name w:val="Body Text Indent 2 Char"/>
    <w:link w:val="BodyTextIndent2"/>
    <w:uiPriority w:val="99"/>
    <w:rsid w:val="00662A67"/>
    <w:rPr>
      <w:rFonts w:ascii="Verdana" w:hAnsi="Verdana"/>
      <w:szCs w:val="22"/>
      <w:lang w:eastAsia="en-US"/>
    </w:rPr>
  </w:style>
  <w:style w:type="paragraph" w:styleId="BodyTextIndent3">
    <w:name w:val="Body Text Indent 3"/>
    <w:basedOn w:val="Normal"/>
    <w:link w:val="BodyTextIndent3Char"/>
    <w:uiPriority w:val="99"/>
    <w:unhideWhenUsed/>
    <w:rsid w:val="00662A67"/>
    <w:pPr>
      <w:spacing w:after="120"/>
      <w:ind w:left="283"/>
    </w:pPr>
    <w:rPr>
      <w:sz w:val="16"/>
      <w:szCs w:val="16"/>
      <w:lang w:val="x-none"/>
    </w:rPr>
  </w:style>
  <w:style w:type="character" w:customStyle="1" w:styleId="BodyTextIndent3Char">
    <w:name w:val="Body Text Indent 3 Char"/>
    <w:link w:val="BodyTextIndent3"/>
    <w:uiPriority w:val="99"/>
    <w:rsid w:val="00662A67"/>
    <w:rPr>
      <w:rFonts w:ascii="Verdana" w:hAnsi="Verdana"/>
      <w:sz w:val="16"/>
      <w:szCs w:val="16"/>
      <w:lang w:eastAsia="en-US"/>
    </w:rPr>
  </w:style>
  <w:style w:type="paragraph" w:styleId="Title">
    <w:name w:val="Title"/>
    <w:basedOn w:val="Normal"/>
    <w:link w:val="TitleChar"/>
    <w:uiPriority w:val="10"/>
    <w:qFormat/>
    <w:rsid w:val="00662A67"/>
    <w:pPr>
      <w:spacing w:before="100" w:beforeAutospacing="1" w:after="100" w:afterAutospacing="1"/>
      <w:jc w:val="left"/>
    </w:pPr>
    <w:rPr>
      <w:rFonts w:ascii="Times New Roman" w:eastAsia="Times New Roman" w:hAnsi="Times New Roman"/>
      <w:sz w:val="24"/>
      <w:szCs w:val="24"/>
      <w:lang w:val="x-none" w:eastAsia="x-none"/>
    </w:rPr>
  </w:style>
  <w:style w:type="character" w:customStyle="1" w:styleId="TitleChar">
    <w:name w:val="Title Char"/>
    <w:link w:val="Title"/>
    <w:uiPriority w:val="10"/>
    <w:rsid w:val="00662A67"/>
    <w:rPr>
      <w:rFonts w:ascii="Times New Roman" w:eastAsia="Times New Roman" w:hAnsi="Times New Roman"/>
      <w:sz w:val="24"/>
      <w:szCs w:val="24"/>
    </w:rPr>
  </w:style>
  <w:style w:type="paragraph" w:styleId="Subtitle">
    <w:name w:val="Subtitle"/>
    <w:basedOn w:val="Normal"/>
    <w:link w:val="SubtitleChar"/>
    <w:uiPriority w:val="11"/>
    <w:qFormat/>
    <w:rsid w:val="00662A67"/>
    <w:pPr>
      <w:spacing w:before="100" w:beforeAutospacing="1" w:after="100" w:afterAutospacing="1"/>
      <w:jc w:val="left"/>
    </w:pPr>
    <w:rPr>
      <w:rFonts w:ascii="Times New Roman" w:eastAsia="Times New Roman" w:hAnsi="Times New Roman"/>
      <w:sz w:val="24"/>
      <w:szCs w:val="24"/>
      <w:lang w:val="x-none" w:eastAsia="x-none"/>
    </w:rPr>
  </w:style>
  <w:style w:type="character" w:customStyle="1" w:styleId="SubtitleChar">
    <w:name w:val="Subtitle Char"/>
    <w:link w:val="Subtitle"/>
    <w:uiPriority w:val="11"/>
    <w:rsid w:val="00662A67"/>
    <w:rPr>
      <w:rFonts w:ascii="Times New Roman" w:eastAsia="Times New Roman" w:hAnsi="Times New Roman"/>
      <w:sz w:val="24"/>
      <w:szCs w:val="24"/>
    </w:rPr>
  </w:style>
  <w:style w:type="paragraph" w:styleId="BlockText">
    <w:name w:val="Block Text"/>
    <w:basedOn w:val="Normal"/>
    <w:uiPriority w:val="99"/>
    <w:unhideWhenUsed/>
    <w:rsid w:val="00662A67"/>
    <w:pPr>
      <w:spacing w:before="100" w:beforeAutospacing="1" w:after="100" w:afterAutospacing="1"/>
      <w:jc w:val="left"/>
    </w:pPr>
    <w:rPr>
      <w:rFonts w:ascii="Times New Roman" w:eastAsia="Times New Roman" w:hAnsi="Times New Roman"/>
      <w:sz w:val="24"/>
      <w:szCs w:val="24"/>
      <w:lang w:eastAsia="es-AR"/>
    </w:rPr>
  </w:style>
  <w:style w:type="paragraph" w:styleId="BodyText3">
    <w:name w:val="Body Text 3"/>
    <w:basedOn w:val="Normal"/>
    <w:link w:val="BodyText3Char"/>
    <w:uiPriority w:val="99"/>
    <w:semiHidden/>
    <w:unhideWhenUsed/>
    <w:rsid w:val="00AE03A8"/>
    <w:pPr>
      <w:spacing w:after="120"/>
    </w:pPr>
    <w:rPr>
      <w:sz w:val="16"/>
      <w:szCs w:val="16"/>
      <w:lang w:val="x-none"/>
    </w:rPr>
  </w:style>
  <w:style w:type="character" w:customStyle="1" w:styleId="BodyText3Char">
    <w:name w:val="Body Text 3 Char"/>
    <w:link w:val="BodyText3"/>
    <w:uiPriority w:val="99"/>
    <w:semiHidden/>
    <w:rsid w:val="00AE03A8"/>
    <w:rPr>
      <w:rFonts w:ascii="Verdana" w:hAnsi="Verdana"/>
      <w:sz w:val="16"/>
      <w:szCs w:val="16"/>
      <w:lang w:eastAsia="en-US"/>
    </w:rPr>
  </w:style>
  <w:style w:type="character" w:styleId="FollowedHyperlink">
    <w:name w:val="FollowedHyperlink"/>
    <w:uiPriority w:val="99"/>
    <w:semiHidden/>
    <w:unhideWhenUsed/>
    <w:rsid w:val="00AE03A8"/>
    <w:rPr>
      <w:color w:val="800080"/>
      <w:u w:val="single"/>
    </w:rPr>
  </w:style>
  <w:style w:type="paragraph" w:customStyle="1" w:styleId="Citalarga">
    <w:name w:val="Cita larga"/>
    <w:basedOn w:val="Normal"/>
    <w:next w:val="Normal"/>
    <w:qFormat/>
    <w:rsid w:val="004B19B8"/>
    <w:pPr>
      <w:ind w:left="708"/>
    </w:pPr>
    <w:rPr>
      <w:lang w:val="es-ES_tradnl"/>
    </w:rPr>
  </w:style>
  <w:style w:type="paragraph" w:customStyle="1" w:styleId="PIEdePAG">
    <w:name w:val="PIE de PAG"/>
    <w:basedOn w:val="NoSpacing"/>
    <w:autoRedefine/>
    <w:qFormat/>
    <w:rsid w:val="00EF5A86"/>
    <w:rPr>
      <w:sz w:val="16"/>
      <w:lang w:val="es-ES_tradnl"/>
    </w:rPr>
  </w:style>
  <w:style w:type="paragraph" w:styleId="Quote">
    <w:name w:val="Quote"/>
    <w:basedOn w:val="Normal"/>
    <w:next w:val="Normal"/>
    <w:link w:val="QuoteChar"/>
    <w:uiPriority w:val="29"/>
    <w:qFormat/>
    <w:rsid w:val="0021298E"/>
    <w:pPr>
      <w:spacing w:before="200" w:after="160"/>
      <w:ind w:left="864" w:right="864"/>
    </w:pPr>
    <w:rPr>
      <w:iCs/>
      <w:vertAlign w:val="superscript"/>
      <w:lang w:val="x-none"/>
    </w:rPr>
  </w:style>
  <w:style w:type="character" w:customStyle="1" w:styleId="QuoteChar">
    <w:name w:val="Quote Char"/>
    <w:link w:val="Quote"/>
    <w:uiPriority w:val="29"/>
    <w:rsid w:val="0021298E"/>
    <w:rPr>
      <w:rFonts w:ascii="Verdana" w:hAnsi="Verdana"/>
      <w:iCs/>
      <w:szCs w:val="22"/>
      <w:vertAlign w:val="superscript"/>
      <w:lang w:eastAsia="en-US"/>
    </w:rPr>
  </w:style>
  <w:style w:type="character" w:styleId="Strong">
    <w:name w:val="Strong"/>
    <w:basedOn w:val="DefaultParagraphFont"/>
    <w:uiPriority w:val="22"/>
    <w:qFormat/>
    <w:rsid w:val="00BC5DBE"/>
    <w:rPr>
      <w:b/>
      <w:bCs/>
    </w:rPr>
  </w:style>
  <w:style w:type="character" w:customStyle="1" w:styleId="TtuloCar">
    <w:name w:val="Título Car"/>
    <w:basedOn w:val="DefaultParagraphFont"/>
    <w:uiPriority w:val="10"/>
    <w:rsid w:val="00E32C5E"/>
    <w:rPr>
      <w:rFonts w:ascii="Times New Roman" w:eastAsia="Times New Roman" w:hAnsi="Times New Roman"/>
      <w:sz w:val="24"/>
      <w:szCs w:val="24"/>
    </w:rPr>
  </w:style>
  <w:style w:type="paragraph" w:styleId="EndnoteText">
    <w:name w:val="endnote text"/>
    <w:basedOn w:val="Normal"/>
    <w:link w:val="EndnoteTextChar"/>
    <w:uiPriority w:val="99"/>
    <w:unhideWhenUsed/>
    <w:rsid w:val="00E32C5E"/>
    <w:pPr>
      <w:spacing w:before="100" w:beforeAutospacing="1" w:after="100" w:afterAutospacing="1"/>
      <w:jc w:val="left"/>
    </w:pPr>
    <w:rPr>
      <w:rFonts w:ascii="Times New Roman" w:eastAsia="Times New Roman" w:hAnsi="Times New Roman"/>
      <w:sz w:val="24"/>
      <w:szCs w:val="24"/>
      <w:lang w:eastAsia="es-AR"/>
    </w:rPr>
  </w:style>
  <w:style w:type="character" w:customStyle="1" w:styleId="EndnoteTextChar">
    <w:name w:val="Endnote Text Char"/>
    <w:basedOn w:val="DefaultParagraphFont"/>
    <w:link w:val="EndnoteText"/>
    <w:uiPriority w:val="99"/>
    <w:rsid w:val="00E32C5E"/>
    <w:rPr>
      <w:rFonts w:ascii="Times New Roman" w:eastAsia="Times New Roman" w:hAnsi="Times New Roman"/>
      <w:sz w:val="24"/>
      <w:szCs w:val="24"/>
    </w:rPr>
  </w:style>
  <w:style w:type="character" w:customStyle="1" w:styleId="BodyText2Char">
    <w:name w:val="Body Text 2 Char"/>
    <w:basedOn w:val="DefaultParagraphFont"/>
    <w:link w:val="BodyText2"/>
    <w:uiPriority w:val="99"/>
    <w:semiHidden/>
    <w:rsid w:val="00A204E2"/>
    <w:rPr>
      <w:rFonts w:ascii="Verdana" w:hAnsi="Verdana"/>
      <w:szCs w:val="22"/>
      <w:lang w:eastAsia="en-US"/>
    </w:rPr>
  </w:style>
  <w:style w:type="paragraph" w:styleId="BodyText2">
    <w:name w:val="Body Text 2"/>
    <w:basedOn w:val="Normal"/>
    <w:link w:val="BodyText2Char"/>
    <w:uiPriority w:val="99"/>
    <w:semiHidden/>
    <w:unhideWhenUsed/>
    <w:rsid w:val="00A204E2"/>
    <w:pPr>
      <w:spacing w:after="120" w:line="480" w:lineRule="auto"/>
    </w:pPr>
  </w:style>
  <w:style w:type="character" w:styleId="Emphasis">
    <w:name w:val="Emphasis"/>
    <w:basedOn w:val="DefaultParagraphFont"/>
    <w:uiPriority w:val="20"/>
    <w:qFormat/>
    <w:rsid w:val="00A204E2"/>
    <w:rPr>
      <w:i/>
      <w:iCs/>
    </w:rPr>
  </w:style>
  <w:style w:type="paragraph" w:customStyle="1" w:styleId="h3">
    <w:name w:val="h3"/>
    <w:basedOn w:val="Normal"/>
    <w:rsid w:val="00A204E2"/>
    <w:pPr>
      <w:spacing w:before="100" w:beforeAutospacing="1" w:after="100" w:afterAutospacing="1"/>
      <w:jc w:val="left"/>
    </w:pPr>
    <w:rPr>
      <w:rFonts w:ascii="Times New Roman" w:eastAsia="Times New Roman" w:hAnsi="Times New Roman"/>
      <w:sz w:val="24"/>
      <w:szCs w:val="24"/>
      <w:lang w:eastAsia="es-AR"/>
    </w:rPr>
  </w:style>
  <w:style w:type="paragraph" w:customStyle="1" w:styleId="init1">
    <w:name w:val="init1"/>
    <w:basedOn w:val="Normal"/>
    <w:rsid w:val="007C327C"/>
    <w:pPr>
      <w:spacing w:before="100" w:beforeAutospacing="1" w:after="100" w:afterAutospacing="1"/>
      <w:jc w:val="left"/>
    </w:pPr>
    <w:rPr>
      <w:rFonts w:ascii="Times New Roman" w:eastAsia="Times New Roman" w:hAnsi="Times New Roman"/>
      <w:sz w:val="24"/>
      <w:szCs w:val="24"/>
      <w:lang w:eastAsia="es-AR"/>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semiHidden/>
    <w:locked/>
    <w:rsid w:val="007C327C"/>
    <w:rPr>
      <w:rFonts w:eastAsia="MS Mincho" w:cs="Times New Roman"/>
      <w:lang w:val="es-AR" w:eastAsia="en-US" w:bidi="ar-SA"/>
    </w:rPr>
  </w:style>
  <w:style w:type="character" w:styleId="EndnoteReference">
    <w:name w:val="endnote reference"/>
    <w:uiPriority w:val="99"/>
    <w:semiHidden/>
    <w:rsid w:val="007C327C"/>
    <w:rPr>
      <w:rFonts w:cs="Times New Roman"/>
      <w:vertAlign w:val="superscript"/>
    </w:rPr>
  </w:style>
  <w:style w:type="character" w:styleId="PageNumber">
    <w:name w:val="page number"/>
    <w:basedOn w:val="DefaultParagraphFont"/>
    <w:rsid w:val="00747A88"/>
  </w:style>
  <w:style w:type="character" w:customStyle="1" w:styleId="BalloonTextChar">
    <w:name w:val="Balloon Text Char"/>
    <w:basedOn w:val="DefaultParagraphFont"/>
    <w:link w:val="BalloonText"/>
    <w:semiHidden/>
    <w:rsid w:val="00747A88"/>
    <w:rPr>
      <w:rFonts w:ascii="Tahoma" w:eastAsia="Times New Roman" w:hAnsi="Tahoma" w:cs="Tahoma"/>
      <w:sz w:val="16"/>
      <w:szCs w:val="16"/>
      <w:lang w:val="en-US" w:eastAsia="en-US"/>
    </w:rPr>
  </w:style>
  <w:style w:type="paragraph" w:styleId="BalloonText">
    <w:name w:val="Balloon Text"/>
    <w:basedOn w:val="Normal"/>
    <w:link w:val="BalloonTextChar"/>
    <w:semiHidden/>
    <w:rsid w:val="00747A88"/>
    <w:pPr>
      <w:jc w:val="left"/>
    </w:pPr>
    <w:rPr>
      <w:rFonts w:ascii="Tahoma" w:eastAsia="Times New Roman" w:hAnsi="Tahoma" w:cs="Tahoma"/>
      <w:sz w:val="16"/>
      <w:szCs w:val="16"/>
      <w:lang w:val="en-US"/>
    </w:rPr>
  </w:style>
  <w:style w:type="character" w:customStyle="1" w:styleId="FootnoteCharacters">
    <w:name w:val="Footnote Characters"/>
    <w:rsid w:val="00747A88"/>
    <w:rPr>
      <w:vertAlign w:val="superscript"/>
    </w:rPr>
  </w:style>
  <w:style w:type="character" w:customStyle="1" w:styleId="WW-FootnoteCharacters">
    <w:name w:val="WW-Footnote Characters"/>
    <w:basedOn w:val="DefaultParagraphFont"/>
    <w:rsid w:val="00747A88"/>
    <w:rPr>
      <w:rFonts w:ascii="Universal" w:hAnsi="Universal"/>
      <w:sz w:val="16"/>
      <w:vertAlign w:val="superscript"/>
    </w:rPr>
  </w:style>
  <w:style w:type="paragraph" w:customStyle="1" w:styleId="PargrafodaLista">
    <w:name w:val="Parágrafo da Lista"/>
    <w:basedOn w:val="Normal"/>
    <w:uiPriority w:val="34"/>
    <w:qFormat/>
    <w:rsid w:val="00747A88"/>
    <w:pPr>
      <w:ind w:left="708"/>
      <w:jc w:val="left"/>
    </w:pPr>
    <w:rPr>
      <w:rFonts w:ascii="Times New Roman" w:eastAsia="Times New Roman" w:hAnsi="Times New Roman"/>
      <w:sz w:val="24"/>
      <w:szCs w:val="24"/>
      <w:lang w:val="en-US"/>
    </w:rPr>
  </w:style>
  <w:style w:type="character" w:customStyle="1" w:styleId="apple-style-span">
    <w:name w:val="apple-style-span"/>
    <w:basedOn w:val="DefaultParagraphFont"/>
    <w:rsid w:val="00747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3942">
      <w:bodyDiv w:val="1"/>
      <w:marLeft w:val="0"/>
      <w:marRight w:val="0"/>
      <w:marTop w:val="0"/>
      <w:marBottom w:val="0"/>
      <w:divBdr>
        <w:top w:val="none" w:sz="0" w:space="0" w:color="auto"/>
        <w:left w:val="none" w:sz="0" w:space="0" w:color="auto"/>
        <w:bottom w:val="none" w:sz="0" w:space="0" w:color="auto"/>
        <w:right w:val="none" w:sz="0" w:space="0" w:color="auto"/>
      </w:divBdr>
      <w:divsChild>
        <w:div w:id="127626912">
          <w:marLeft w:val="0"/>
          <w:marRight w:val="0"/>
          <w:marTop w:val="0"/>
          <w:marBottom w:val="0"/>
          <w:divBdr>
            <w:top w:val="none" w:sz="0" w:space="0" w:color="auto"/>
            <w:left w:val="none" w:sz="0" w:space="0" w:color="auto"/>
            <w:bottom w:val="none" w:sz="0" w:space="0" w:color="auto"/>
            <w:right w:val="none" w:sz="0" w:space="0" w:color="auto"/>
          </w:divBdr>
        </w:div>
        <w:div w:id="621496328">
          <w:marLeft w:val="0"/>
          <w:marRight w:val="0"/>
          <w:marTop w:val="0"/>
          <w:marBottom w:val="0"/>
          <w:divBdr>
            <w:top w:val="none" w:sz="0" w:space="0" w:color="auto"/>
            <w:left w:val="none" w:sz="0" w:space="0" w:color="auto"/>
            <w:bottom w:val="none" w:sz="0" w:space="0" w:color="auto"/>
            <w:right w:val="none" w:sz="0" w:space="0" w:color="auto"/>
          </w:divBdr>
        </w:div>
        <w:div w:id="1799298404">
          <w:marLeft w:val="0"/>
          <w:marRight w:val="0"/>
          <w:marTop w:val="0"/>
          <w:marBottom w:val="0"/>
          <w:divBdr>
            <w:top w:val="none" w:sz="0" w:space="0" w:color="auto"/>
            <w:left w:val="none" w:sz="0" w:space="0" w:color="auto"/>
            <w:bottom w:val="none" w:sz="0" w:space="0" w:color="auto"/>
            <w:right w:val="none" w:sz="0" w:space="0" w:color="auto"/>
          </w:divBdr>
        </w:div>
        <w:div w:id="1840777310">
          <w:marLeft w:val="0"/>
          <w:marRight w:val="0"/>
          <w:marTop w:val="0"/>
          <w:marBottom w:val="0"/>
          <w:divBdr>
            <w:top w:val="none" w:sz="0" w:space="0" w:color="auto"/>
            <w:left w:val="none" w:sz="0" w:space="0" w:color="auto"/>
            <w:bottom w:val="none" w:sz="0" w:space="0" w:color="auto"/>
            <w:right w:val="none" w:sz="0" w:space="0" w:color="auto"/>
          </w:divBdr>
        </w:div>
        <w:div w:id="2003390262">
          <w:marLeft w:val="0"/>
          <w:marRight w:val="0"/>
          <w:marTop w:val="0"/>
          <w:marBottom w:val="0"/>
          <w:divBdr>
            <w:top w:val="none" w:sz="0" w:space="0" w:color="auto"/>
            <w:left w:val="none" w:sz="0" w:space="0" w:color="auto"/>
            <w:bottom w:val="none" w:sz="0" w:space="0" w:color="auto"/>
            <w:right w:val="none" w:sz="0" w:space="0" w:color="auto"/>
          </w:divBdr>
        </w:div>
      </w:divsChild>
    </w:div>
    <w:div w:id="315304871">
      <w:bodyDiv w:val="1"/>
      <w:marLeft w:val="0"/>
      <w:marRight w:val="0"/>
      <w:marTop w:val="0"/>
      <w:marBottom w:val="0"/>
      <w:divBdr>
        <w:top w:val="none" w:sz="0" w:space="0" w:color="auto"/>
        <w:left w:val="none" w:sz="0" w:space="0" w:color="auto"/>
        <w:bottom w:val="none" w:sz="0" w:space="0" w:color="auto"/>
        <w:right w:val="none" w:sz="0" w:space="0" w:color="auto"/>
      </w:divBdr>
    </w:div>
    <w:div w:id="365373266">
      <w:bodyDiv w:val="1"/>
      <w:marLeft w:val="0"/>
      <w:marRight w:val="0"/>
      <w:marTop w:val="0"/>
      <w:marBottom w:val="0"/>
      <w:divBdr>
        <w:top w:val="none" w:sz="0" w:space="0" w:color="auto"/>
        <w:left w:val="none" w:sz="0" w:space="0" w:color="auto"/>
        <w:bottom w:val="none" w:sz="0" w:space="0" w:color="auto"/>
        <w:right w:val="none" w:sz="0" w:space="0" w:color="auto"/>
      </w:divBdr>
      <w:divsChild>
        <w:div w:id="175773740">
          <w:marLeft w:val="0"/>
          <w:marRight w:val="0"/>
          <w:marTop w:val="0"/>
          <w:marBottom w:val="0"/>
          <w:divBdr>
            <w:top w:val="none" w:sz="0" w:space="0" w:color="auto"/>
            <w:left w:val="none" w:sz="0" w:space="0" w:color="auto"/>
            <w:bottom w:val="none" w:sz="0" w:space="0" w:color="auto"/>
            <w:right w:val="none" w:sz="0" w:space="0" w:color="auto"/>
          </w:divBdr>
        </w:div>
        <w:div w:id="961306778">
          <w:marLeft w:val="0"/>
          <w:marRight w:val="0"/>
          <w:marTop w:val="0"/>
          <w:marBottom w:val="0"/>
          <w:divBdr>
            <w:top w:val="none" w:sz="0" w:space="0" w:color="auto"/>
            <w:left w:val="none" w:sz="0" w:space="0" w:color="auto"/>
            <w:bottom w:val="none" w:sz="0" w:space="0" w:color="auto"/>
            <w:right w:val="none" w:sz="0" w:space="0" w:color="auto"/>
          </w:divBdr>
        </w:div>
        <w:div w:id="1324117489">
          <w:marLeft w:val="0"/>
          <w:marRight w:val="0"/>
          <w:marTop w:val="0"/>
          <w:marBottom w:val="0"/>
          <w:divBdr>
            <w:top w:val="none" w:sz="0" w:space="0" w:color="auto"/>
            <w:left w:val="none" w:sz="0" w:space="0" w:color="auto"/>
            <w:bottom w:val="none" w:sz="0" w:space="0" w:color="auto"/>
            <w:right w:val="none" w:sz="0" w:space="0" w:color="auto"/>
          </w:divBdr>
        </w:div>
        <w:div w:id="1343048103">
          <w:marLeft w:val="0"/>
          <w:marRight w:val="0"/>
          <w:marTop w:val="0"/>
          <w:marBottom w:val="0"/>
          <w:divBdr>
            <w:top w:val="none" w:sz="0" w:space="0" w:color="auto"/>
            <w:left w:val="none" w:sz="0" w:space="0" w:color="auto"/>
            <w:bottom w:val="none" w:sz="0" w:space="0" w:color="auto"/>
            <w:right w:val="none" w:sz="0" w:space="0" w:color="auto"/>
          </w:divBdr>
        </w:div>
        <w:div w:id="1550262007">
          <w:marLeft w:val="0"/>
          <w:marRight w:val="0"/>
          <w:marTop w:val="0"/>
          <w:marBottom w:val="0"/>
          <w:divBdr>
            <w:top w:val="none" w:sz="0" w:space="0" w:color="auto"/>
            <w:left w:val="none" w:sz="0" w:space="0" w:color="auto"/>
            <w:bottom w:val="none" w:sz="0" w:space="0" w:color="auto"/>
            <w:right w:val="none" w:sz="0" w:space="0" w:color="auto"/>
          </w:divBdr>
        </w:div>
      </w:divsChild>
    </w:div>
    <w:div w:id="459223630">
      <w:bodyDiv w:val="1"/>
      <w:marLeft w:val="0"/>
      <w:marRight w:val="0"/>
      <w:marTop w:val="0"/>
      <w:marBottom w:val="0"/>
      <w:divBdr>
        <w:top w:val="none" w:sz="0" w:space="0" w:color="auto"/>
        <w:left w:val="none" w:sz="0" w:space="0" w:color="auto"/>
        <w:bottom w:val="none" w:sz="0" w:space="0" w:color="auto"/>
        <w:right w:val="none" w:sz="0" w:space="0" w:color="auto"/>
      </w:divBdr>
      <w:divsChild>
        <w:div w:id="2087800618">
          <w:marLeft w:val="0"/>
          <w:marRight w:val="0"/>
          <w:marTop w:val="0"/>
          <w:marBottom w:val="0"/>
          <w:divBdr>
            <w:top w:val="none" w:sz="0" w:space="0" w:color="auto"/>
            <w:left w:val="none" w:sz="0" w:space="0" w:color="auto"/>
            <w:bottom w:val="none" w:sz="0" w:space="0" w:color="auto"/>
            <w:right w:val="none" w:sz="0" w:space="0" w:color="auto"/>
          </w:divBdr>
          <w:divsChild>
            <w:div w:id="6948899">
              <w:marLeft w:val="0"/>
              <w:marRight w:val="0"/>
              <w:marTop w:val="0"/>
              <w:marBottom w:val="0"/>
              <w:divBdr>
                <w:top w:val="none" w:sz="0" w:space="0" w:color="auto"/>
                <w:left w:val="none" w:sz="0" w:space="0" w:color="auto"/>
                <w:bottom w:val="none" w:sz="0" w:space="0" w:color="auto"/>
                <w:right w:val="none" w:sz="0" w:space="0" w:color="auto"/>
              </w:divBdr>
            </w:div>
            <w:div w:id="418910548">
              <w:marLeft w:val="0"/>
              <w:marRight w:val="0"/>
              <w:marTop w:val="0"/>
              <w:marBottom w:val="0"/>
              <w:divBdr>
                <w:top w:val="none" w:sz="0" w:space="0" w:color="auto"/>
                <w:left w:val="none" w:sz="0" w:space="0" w:color="auto"/>
                <w:bottom w:val="none" w:sz="0" w:space="0" w:color="auto"/>
                <w:right w:val="none" w:sz="0" w:space="0" w:color="auto"/>
              </w:divBdr>
            </w:div>
            <w:div w:id="618029159">
              <w:marLeft w:val="0"/>
              <w:marRight w:val="0"/>
              <w:marTop w:val="0"/>
              <w:marBottom w:val="0"/>
              <w:divBdr>
                <w:top w:val="none" w:sz="0" w:space="0" w:color="auto"/>
                <w:left w:val="none" w:sz="0" w:space="0" w:color="auto"/>
                <w:bottom w:val="none" w:sz="0" w:space="0" w:color="auto"/>
                <w:right w:val="none" w:sz="0" w:space="0" w:color="auto"/>
              </w:divBdr>
            </w:div>
            <w:div w:id="621031874">
              <w:marLeft w:val="0"/>
              <w:marRight w:val="0"/>
              <w:marTop w:val="0"/>
              <w:marBottom w:val="0"/>
              <w:divBdr>
                <w:top w:val="none" w:sz="0" w:space="0" w:color="auto"/>
                <w:left w:val="none" w:sz="0" w:space="0" w:color="auto"/>
                <w:bottom w:val="none" w:sz="0" w:space="0" w:color="auto"/>
                <w:right w:val="none" w:sz="0" w:space="0" w:color="auto"/>
              </w:divBdr>
            </w:div>
            <w:div w:id="821502439">
              <w:marLeft w:val="0"/>
              <w:marRight w:val="0"/>
              <w:marTop w:val="0"/>
              <w:marBottom w:val="0"/>
              <w:divBdr>
                <w:top w:val="none" w:sz="0" w:space="0" w:color="auto"/>
                <w:left w:val="none" w:sz="0" w:space="0" w:color="auto"/>
                <w:bottom w:val="none" w:sz="0" w:space="0" w:color="auto"/>
                <w:right w:val="none" w:sz="0" w:space="0" w:color="auto"/>
              </w:divBdr>
            </w:div>
            <w:div w:id="1238321624">
              <w:marLeft w:val="0"/>
              <w:marRight w:val="0"/>
              <w:marTop w:val="0"/>
              <w:marBottom w:val="0"/>
              <w:divBdr>
                <w:top w:val="none" w:sz="0" w:space="0" w:color="auto"/>
                <w:left w:val="none" w:sz="0" w:space="0" w:color="auto"/>
                <w:bottom w:val="none" w:sz="0" w:space="0" w:color="auto"/>
                <w:right w:val="none" w:sz="0" w:space="0" w:color="auto"/>
              </w:divBdr>
            </w:div>
            <w:div w:id="1297372450">
              <w:marLeft w:val="0"/>
              <w:marRight w:val="0"/>
              <w:marTop w:val="0"/>
              <w:marBottom w:val="0"/>
              <w:divBdr>
                <w:top w:val="none" w:sz="0" w:space="0" w:color="auto"/>
                <w:left w:val="none" w:sz="0" w:space="0" w:color="auto"/>
                <w:bottom w:val="none" w:sz="0" w:space="0" w:color="auto"/>
                <w:right w:val="none" w:sz="0" w:space="0" w:color="auto"/>
              </w:divBdr>
            </w:div>
            <w:div w:id="1890073728">
              <w:marLeft w:val="0"/>
              <w:marRight w:val="0"/>
              <w:marTop w:val="0"/>
              <w:marBottom w:val="0"/>
              <w:divBdr>
                <w:top w:val="none" w:sz="0" w:space="0" w:color="auto"/>
                <w:left w:val="none" w:sz="0" w:space="0" w:color="auto"/>
                <w:bottom w:val="none" w:sz="0" w:space="0" w:color="auto"/>
                <w:right w:val="none" w:sz="0" w:space="0" w:color="auto"/>
              </w:divBdr>
            </w:div>
            <w:div w:id="190094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03121">
      <w:bodyDiv w:val="1"/>
      <w:marLeft w:val="0"/>
      <w:marRight w:val="0"/>
      <w:marTop w:val="0"/>
      <w:marBottom w:val="0"/>
      <w:divBdr>
        <w:top w:val="none" w:sz="0" w:space="0" w:color="auto"/>
        <w:left w:val="none" w:sz="0" w:space="0" w:color="auto"/>
        <w:bottom w:val="none" w:sz="0" w:space="0" w:color="auto"/>
        <w:right w:val="none" w:sz="0" w:space="0" w:color="auto"/>
      </w:divBdr>
      <w:divsChild>
        <w:div w:id="641082331">
          <w:marLeft w:val="0"/>
          <w:marRight w:val="0"/>
          <w:marTop w:val="0"/>
          <w:marBottom w:val="0"/>
          <w:divBdr>
            <w:top w:val="none" w:sz="0" w:space="0" w:color="auto"/>
            <w:left w:val="none" w:sz="0" w:space="0" w:color="auto"/>
            <w:bottom w:val="none" w:sz="0" w:space="0" w:color="auto"/>
            <w:right w:val="none" w:sz="0" w:space="0" w:color="auto"/>
          </w:divBdr>
          <w:divsChild>
            <w:div w:id="688264281">
              <w:marLeft w:val="0"/>
              <w:marRight w:val="0"/>
              <w:marTop w:val="0"/>
              <w:marBottom w:val="0"/>
              <w:divBdr>
                <w:top w:val="none" w:sz="0" w:space="0" w:color="auto"/>
                <w:left w:val="none" w:sz="0" w:space="0" w:color="auto"/>
                <w:bottom w:val="none" w:sz="0" w:space="0" w:color="auto"/>
                <w:right w:val="none" w:sz="0" w:space="0" w:color="auto"/>
              </w:divBdr>
            </w:div>
            <w:div w:id="983511495">
              <w:marLeft w:val="0"/>
              <w:marRight w:val="0"/>
              <w:marTop w:val="0"/>
              <w:marBottom w:val="0"/>
              <w:divBdr>
                <w:top w:val="none" w:sz="0" w:space="0" w:color="auto"/>
                <w:left w:val="none" w:sz="0" w:space="0" w:color="auto"/>
                <w:bottom w:val="none" w:sz="0" w:space="0" w:color="auto"/>
                <w:right w:val="none" w:sz="0" w:space="0" w:color="auto"/>
              </w:divBdr>
            </w:div>
            <w:div w:id="122699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808542">
      <w:bodyDiv w:val="1"/>
      <w:marLeft w:val="0"/>
      <w:marRight w:val="0"/>
      <w:marTop w:val="0"/>
      <w:marBottom w:val="0"/>
      <w:divBdr>
        <w:top w:val="none" w:sz="0" w:space="0" w:color="auto"/>
        <w:left w:val="none" w:sz="0" w:space="0" w:color="auto"/>
        <w:bottom w:val="none" w:sz="0" w:space="0" w:color="auto"/>
        <w:right w:val="none" w:sz="0" w:space="0" w:color="auto"/>
      </w:divBdr>
      <w:divsChild>
        <w:div w:id="1108263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5118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5533759">
          <w:blockQuote w:val="1"/>
          <w:marLeft w:val="720"/>
          <w:marRight w:val="720"/>
          <w:marTop w:val="100"/>
          <w:marBottom w:val="100"/>
          <w:divBdr>
            <w:top w:val="none" w:sz="0" w:space="0" w:color="auto"/>
            <w:left w:val="none" w:sz="0" w:space="0" w:color="auto"/>
            <w:bottom w:val="none" w:sz="0" w:space="0" w:color="auto"/>
            <w:right w:val="none" w:sz="0" w:space="0" w:color="auto"/>
          </w:divBdr>
        </w:div>
        <w:div w:id="529877639">
          <w:blockQuote w:val="1"/>
          <w:marLeft w:val="720"/>
          <w:marRight w:val="720"/>
          <w:marTop w:val="100"/>
          <w:marBottom w:val="100"/>
          <w:divBdr>
            <w:top w:val="none" w:sz="0" w:space="0" w:color="auto"/>
            <w:left w:val="none" w:sz="0" w:space="0" w:color="auto"/>
            <w:bottom w:val="none" w:sz="0" w:space="0" w:color="auto"/>
            <w:right w:val="none" w:sz="0" w:space="0" w:color="auto"/>
          </w:divBdr>
        </w:div>
        <w:div w:id="855191105">
          <w:blockQuote w:val="1"/>
          <w:marLeft w:val="720"/>
          <w:marRight w:val="720"/>
          <w:marTop w:val="100"/>
          <w:marBottom w:val="100"/>
          <w:divBdr>
            <w:top w:val="none" w:sz="0" w:space="0" w:color="auto"/>
            <w:left w:val="none" w:sz="0" w:space="0" w:color="auto"/>
            <w:bottom w:val="none" w:sz="0" w:space="0" w:color="auto"/>
            <w:right w:val="none" w:sz="0" w:space="0" w:color="auto"/>
          </w:divBdr>
        </w:div>
        <w:div w:id="863521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30297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306494">
          <w:blockQuote w:val="1"/>
          <w:marLeft w:val="720"/>
          <w:marRight w:val="720"/>
          <w:marTop w:val="100"/>
          <w:marBottom w:val="100"/>
          <w:divBdr>
            <w:top w:val="none" w:sz="0" w:space="0" w:color="auto"/>
            <w:left w:val="none" w:sz="0" w:space="0" w:color="auto"/>
            <w:bottom w:val="none" w:sz="0" w:space="0" w:color="auto"/>
            <w:right w:val="none" w:sz="0" w:space="0" w:color="auto"/>
          </w:divBdr>
        </w:div>
        <w:div w:id="115941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9911425">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9607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607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222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9368093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8254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5948042">
      <w:bodyDiv w:val="1"/>
      <w:marLeft w:val="0"/>
      <w:marRight w:val="0"/>
      <w:marTop w:val="0"/>
      <w:marBottom w:val="0"/>
      <w:divBdr>
        <w:top w:val="none" w:sz="0" w:space="0" w:color="auto"/>
        <w:left w:val="none" w:sz="0" w:space="0" w:color="auto"/>
        <w:bottom w:val="none" w:sz="0" w:space="0" w:color="auto"/>
        <w:right w:val="none" w:sz="0" w:space="0" w:color="auto"/>
      </w:divBdr>
      <w:divsChild>
        <w:div w:id="1364938308">
          <w:marLeft w:val="0"/>
          <w:marRight w:val="0"/>
          <w:marTop w:val="0"/>
          <w:marBottom w:val="0"/>
          <w:divBdr>
            <w:top w:val="none" w:sz="0" w:space="0" w:color="auto"/>
            <w:left w:val="none" w:sz="0" w:space="0" w:color="auto"/>
            <w:bottom w:val="none" w:sz="0" w:space="0" w:color="auto"/>
            <w:right w:val="none" w:sz="0" w:space="0" w:color="auto"/>
          </w:divBdr>
          <w:divsChild>
            <w:div w:id="57559058">
              <w:marLeft w:val="0"/>
              <w:marRight w:val="0"/>
              <w:marTop w:val="0"/>
              <w:marBottom w:val="0"/>
              <w:divBdr>
                <w:top w:val="none" w:sz="0" w:space="0" w:color="auto"/>
                <w:left w:val="none" w:sz="0" w:space="0" w:color="auto"/>
                <w:bottom w:val="none" w:sz="0" w:space="0" w:color="auto"/>
                <w:right w:val="none" w:sz="0" w:space="0" w:color="auto"/>
              </w:divBdr>
            </w:div>
            <w:div w:id="92211870">
              <w:marLeft w:val="0"/>
              <w:marRight w:val="0"/>
              <w:marTop w:val="0"/>
              <w:marBottom w:val="0"/>
              <w:divBdr>
                <w:top w:val="none" w:sz="0" w:space="0" w:color="auto"/>
                <w:left w:val="none" w:sz="0" w:space="0" w:color="auto"/>
                <w:bottom w:val="none" w:sz="0" w:space="0" w:color="auto"/>
                <w:right w:val="none" w:sz="0" w:space="0" w:color="auto"/>
              </w:divBdr>
            </w:div>
            <w:div w:id="93329784">
              <w:marLeft w:val="0"/>
              <w:marRight w:val="0"/>
              <w:marTop w:val="0"/>
              <w:marBottom w:val="0"/>
              <w:divBdr>
                <w:top w:val="none" w:sz="0" w:space="0" w:color="auto"/>
                <w:left w:val="none" w:sz="0" w:space="0" w:color="auto"/>
                <w:bottom w:val="none" w:sz="0" w:space="0" w:color="auto"/>
                <w:right w:val="none" w:sz="0" w:space="0" w:color="auto"/>
              </w:divBdr>
            </w:div>
            <w:div w:id="660499912">
              <w:marLeft w:val="0"/>
              <w:marRight w:val="0"/>
              <w:marTop w:val="0"/>
              <w:marBottom w:val="0"/>
              <w:divBdr>
                <w:top w:val="none" w:sz="0" w:space="0" w:color="auto"/>
                <w:left w:val="none" w:sz="0" w:space="0" w:color="auto"/>
                <w:bottom w:val="none" w:sz="0" w:space="0" w:color="auto"/>
                <w:right w:val="none" w:sz="0" w:space="0" w:color="auto"/>
              </w:divBdr>
            </w:div>
            <w:div w:id="1095369468">
              <w:marLeft w:val="0"/>
              <w:marRight w:val="0"/>
              <w:marTop w:val="0"/>
              <w:marBottom w:val="0"/>
              <w:divBdr>
                <w:top w:val="none" w:sz="0" w:space="0" w:color="auto"/>
                <w:left w:val="none" w:sz="0" w:space="0" w:color="auto"/>
                <w:bottom w:val="none" w:sz="0" w:space="0" w:color="auto"/>
                <w:right w:val="none" w:sz="0" w:space="0" w:color="auto"/>
              </w:divBdr>
            </w:div>
            <w:div w:id="186694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10647">
      <w:bodyDiv w:val="1"/>
      <w:marLeft w:val="0"/>
      <w:marRight w:val="0"/>
      <w:marTop w:val="0"/>
      <w:marBottom w:val="0"/>
      <w:divBdr>
        <w:top w:val="none" w:sz="0" w:space="0" w:color="auto"/>
        <w:left w:val="none" w:sz="0" w:space="0" w:color="auto"/>
        <w:bottom w:val="none" w:sz="0" w:space="0" w:color="auto"/>
        <w:right w:val="none" w:sz="0" w:space="0" w:color="auto"/>
      </w:divBdr>
      <w:divsChild>
        <w:div w:id="1470786122">
          <w:marLeft w:val="0"/>
          <w:marRight w:val="0"/>
          <w:marTop w:val="0"/>
          <w:marBottom w:val="0"/>
          <w:divBdr>
            <w:top w:val="none" w:sz="0" w:space="0" w:color="auto"/>
            <w:left w:val="none" w:sz="0" w:space="0" w:color="auto"/>
            <w:bottom w:val="none" w:sz="0" w:space="0" w:color="auto"/>
            <w:right w:val="none" w:sz="0" w:space="0" w:color="auto"/>
          </w:divBdr>
          <w:divsChild>
            <w:div w:id="59211299">
              <w:marLeft w:val="0"/>
              <w:marRight w:val="0"/>
              <w:marTop w:val="0"/>
              <w:marBottom w:val="0"/>
              <w:divBdr>
                <w:top w:val="none" w:sz="0" w:space="0" w:color="auto"/>
                <w:left w:val="none" w:sz="0" w:space="0" w:color="auto"/>
                <w:bottom w:val="none" w:sz="0" w:space="0" w:color="auto"/>
                <w:right w:val="none" w:sz="0" w:space="0" w:color="auto"/>
              </w:divBdr>
            </w:div>
            <w:div w:id="103431050">
              <w:marLeft w:val="0"/>
              <w:marRight w:val="0"/>
              <w:marTop w:val="0"/>
              <w:marBottom w:val="0"/>
              <w:divBdr>
                <w:top w:val="none" w:sz="0" w:space="0" w:color="auto"/>
                <w:left w:val="none" w:sz="0" w:space="0" w:color="auto"/>
                <w:bottom w:val="none" w:sz="0" w:space="0" w:color="auto"/>
                <w:right w:val="none" w:sz="0" w:space="0" w:color="auto"/>
              </w:divBdr>
            </w:div>
            <w:div w:id="496194445">
              <w:marLeft w:val="0"/>
              <w:marRight w:val="0"/>
              <w:marTop w:val="0"/>
              <w:marBottom w:val="0"/>
              <w:divBdr>
                <w:top w:val="none" w:sz="0" w:space="0" w:color="auto"/>
                <w:left w:val="none" w:sz="0" w:space="0" w:color="auto"/>
                <w:bottom w:val="none" w:sz="0" w:space="0" w:color="auto"/>
                <w:right w:val="none" w:sz="0" w:space="0" w:color="auto"/>
              </w:divBdr>
            </w:div>
            <w:div w:id="695692404">
              <w:marLeft w:val="0"/>
              <w:marRight w:val="0"/>
              <w:marTop w:val="0"/>
              <w:marBottom w:val="0"/>
              <w:divBdr>
                <w:top w:val="none" w:sz="0" w:space="0" w:color="auto"/>
                <w:left w:val="none" w:sz="0" w:space="0" w:color="auto"/>
                <w:bottom w:val="none" w:sz="0" w:space="0" w:color="auto"/>
                <w:right w:val="none" w:sz="0" w:space="0" w:color="auto"/>
              </w:divBdr>
            </w:div>
            <w:div w:id="790829318">
              <w:marLeft w:val="0"/>
              <w:marRight w:val="0"/>
              <w:marTop w:val="0"/>
              <w:marBottom w:val="0"/>
              <w:divBdr>
                <w:top w:val="none" w:sz="0" w:space="0" w:color="auto"/>
                <w:left w:val="none" w:sz="0" w:space="0" w:color="auto"/>
                <w:bottom w:val="none" w:sz="0" w:space="0" w:color="auto"/>
                <w:right w:val="none" w:sz="0" w:space="0" w:color="auto"/>
              </w:divBdr>
            </w:div>
            <w:div w:id="916281864">
              <w:marLeft w:val="0"/>
              <w:marRight w:val="0"/>
              <w:marTop w:val="0"/>
              <w:marBottom w:val="0"/>
              <w:divBdr>
                <w:top w:val="none" w:sz="0" w:space="0" w:color="auto"/>
                <w:left w:val="none" w:sz="0" w:space="0" w:color="auto"/>
                <w:bottom w:val="none" w:sz="0" w:space="0" w:color="auto"/>
                <w:right w:val="none" w:sz="0" w:space="0" w:color="auto"/>
              </w:divBdr>
            </w:div>
            <w:div w:id="1117600795">
              <w:marLeft w:val="0"/>
              <w:marRight w:val="0"/>
              <w:marTop w:val="0"/>
              <w:marBottom w:val="0"/>
              <w:divBdr>
                <w:top w:val="none" w:sz="0" w:space="0" w:color="auto"/>
                <w:left w:val="none" w:sz="0" w:space="0" w:color="auto"/>
                <w:bottom w:val="none" w:sz="0" w:space="0" w:color="auto"/>
                <w:right w:val="none" w:sz="0" w:space="0" w:color="auto"/>
              </w:divBdr>
            </w:div>
            <w:div w:id="1336419064">
              <w:marLeft w:val="0"/>
              <w:marRight w:val="0"/>
              <w:marTop w:val="0"/>
              <w:marBottom w:val="0"/>
              <w:divBdr>
                <w:top w:val="none" w:sz="0" w:space="0" w:color="auto"/>
                <w:left w:val="none" w:sz="0" w:space="0" w:color="auto"/>
                <w:bottom w:val="none" w:sz="0" w:space="0" w:color="auto"/>
                <w:right w:val="none" w:sz="0" w:space="0" w:color="auto"/>
              </w:divBdr>
            </w:div>
            <w:div w:id="1526477539">
              <w:marLeft w:val="0"/>
              <w:marRight w:val="0"/>
              <w:marTop w:val="0"/>
              <w:marBottom w:val="0"/>
              <w:divBdr>
                <w:top w:val="none" w:sz="0" w:space="0" w:color="auto"/>
                <w:left w:val="none" w:sz="0" w:space="0" w:color="auto"/>
                <w:bottom w:val="none" w:sz="0" w:space="0" w:color="auto"/>
                <w:right w:val="none" w:sz="0" w:space="0" w:color="auto"/>
              </w:divBdr>
            </w:div>
            <w:div w:id="1892576237">
              <w:marLeft w:val="0"/>
              <w:marRight w:val="0"/>
              <w:marTop w:val="0"/>
              <w:marBottom w:val="0"/>
              <w:divBdr>
                <w:top w:val="none" w:sz="0" w:space="0" w:color="auto"/>
                <w:left w:val="none" w:sz="0" w:space="0" w:color="auto"/>
                <w:bottom w:val="none" w:sz="0" w:space="0" w:color="auto"/>
                <w:right w:val="none" w:sz="0" w:space="0" w:color="auto"/>
              </w:divBdr>
            </w:div>
            <w:div w:id="200889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567324">
      <w:bodyDiv w:val="1"/>
      <w:marLeft w:val="0"/>
      <w:marRight w:val="0"/>
      <w:marTop w:val="0"/>
      <w:marBottom w:val="0"/>
      <w:divBdr>
        <w:top w:val="none" w:sz="0" w:space="0" w:color="auto"/>
        <w:left w:val="none" w:sz="0" w:space="0" w:color="auto"/>
        <w:bottom w:val="none" w:sz="0" w:space="0" w:color="auto"/>
        <w:right w:val="none" w:sz="0" w:space="0" w:color="auto"/>
      </w:divBdr>
      <w:divsChild>
        <w:div w:id="1972251803">
          <w:marLeft w:val="0"/>
          <w:marRight w:val="0"/>
          <w:marTop w:val="0"/>
          <w:marBottom w:val="0"/>
          <w:divBdr>
            <w:top w:val="none" w:sz="0" w:space="0" w:color="auto"/>
            <w:left w:val="none" w:sz="0" w:space="0" w:color="auto"/>
            <w:bottom w:val="none" w:sz="0" w:space="0" w:color="auto"/>
            <w:right w:val="none" w:sz="0" w:space="0" w:color="auto"/>
          </w:divBdr>
          <w:divsChild>
            <w:div w:id="260455696">
              <w:marLeft w:val="0"/>
              <w:marRight w:val="0"/>
              <w:marTop w:val="0"/>
              <w:marBottom w:val="0"/>
              <w:divBdr>
                <w:top w:val="none" w:sz="0" w:space="0" w:color="auto"/>
                <w:left w:val="none" w:sz="0" w:space="0" w:color="auto"/>
                <w:bottom w:val="none" w:sz="0" w:space="0" w:color="auto"/>
                <w:right w:val="none" w:sz="0" w:space="0" w:color="auto"/>
              </w:divBdr>
            </w:div>
            <w:div w:id="290868042">
              <w:marLeft w:val="0"/>
              <w:marRight w:val="0"/>
              <w:marTop w:val="0"/>
              <w:marBottom w:val="0"/>
              <w:divBdr>
                <w:top w:val="none" w:sz="0" w:space="0" w:color="auto"/>
                <w:left w:val="none" w:sz="0" w:space="0" w:color="auto"/>
                <w:bottom w:val="none" w:sz="0" w:space="0" w:color="auto"/>
                <w:right w:val="none" w:sz="0" w:space="0" w:color="auto"/>
              </w:divBdr>
            </w:div>
            <w:div w:id="526872784">
              <w:marLeft w:val="0"/>
              <w:marRight w:val="0"/>
              <w:marTop w:val="0"/>
              <w:marBottom w:val="0"/>
              <w:divBdr>
                <w:top w:val="none" w:sz="0" w:space="0" w:color="auto"/>
                <w:left w:val="none" w:sz="0" w:space="0" w:color="auto"/>
                <w:bottom w:val="none" w:sz="0" w:space="0" w:color="auto"/>
                <w:right w:val="none" w:sz="0" w:space="0" w:color="auto"/>
              </w:divBdr>
            </w:div>
            <w:div w:id="784613600">
              <w:marLeft w:val="0"/>
              <w:marRight w:val="0"/>
              <w:marTop w:val="0"/>
              <w:marBottom w:val="0"/>
              <w:divBdr>
                <w:top w:val="none" w:sz="0" w:space="0" w:color="auto"/>
                <w:left w:val="none" w:sz="0" w:space="0" w:color="auto"/>
                <w:bottom w:val="none" w:sz="0" w:space="0" w:color="auto"/>
                <w:right w:val="none" w:sz="0" w:space="0" w:color="auto"/>
              </w:divBdr>
            </w:div>
            <w:div w:id="947926399">
              <w:marLeft w:val="0"/>
              <w:marRight w:val="0"/>
              <w:marTop w:val="0"/>
              <w:marBottom w:val="0"/>
              <w:divBdr>
                <w:top w:val="none" w:sz="0" w:space="0" w:color="auto"/>
                <w:left w:val="none" w:sz="0" w:space="0" w:color="auto"/>
                <w:bottom w:val="none" w:sz="0" w:space="0" w:color="auto"/>
                <w:right w:val="none" w:sz="0" w:space="0" w:color="auto"/>
              </w:divBdr>
            </w:div>
            <w:div w:id="1197427218">
              <w:marLeft w:val="0"/>
              <w:marRight w:val="0"/>
              <w:marTop w:val="0"/>
              <w:marBottom w:val="0"/>
              <w:divBdr>
                <w:top w:val="none" w:sz="0" w:space="0" w:color="auto"/>
                <w:left w:val="none" w:sz="0" w:space="0" w:color="auto"/>
                <w:bottom w:val="none" w:sz="0" w:space="0" w:color="auto"/>
                <w:right w:val="none" w:sz="0" w:space="0" w:color="auto"/>
              </w:divBdr>
            </w:div>
            <w:div w:id="1382317423">
              <w:marLeft w:val="0"/>
              <w:marRight w:val="0"/>
              <w:marTop w:val="0"/>
              <w:marBottom w:val="0"/>
              <w:divBdr>
                <w:top w:val="none" w:sz="0" w:space="0" w:color="auto"/>
                <w:left w:val="none" w:sz="0" w:space="0" w:color="auto"/>
                <w:bottom w:val="none" w:sz="0" w:space="0" w:color="auto"/>
                <w:right w:val="none" w:sz="0" w:space="0" w:color="auto"/>
              </w:divBdr>
            </w:div>
            <w:div w:id="193169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77652">
      <w:bodyDiv w:val="1"/>
      <w:marLeft w:val="0"/>
      <w:marRight w:val="0"/>
      <w:marTop w:val="0"/>
      <w:marBottom w:val="0"/>
      <w:divBdr>
        <w:top w:val="none" w:sz="0" w:space="0" w:color="auto"/>
        <w:left w:val="none" w:sz="0" w:space="0" w:color="auto"/>
        <w:bottom w:val="none" w:sz="0" w:space="0" w:color="auto"/>
        <w:right w:val="none" w:sz="0" w:space="0" w:color="auto"/>
      </w:divBdr>
      <w:divsChild>
        <w:div w:id="1869053766">
          <w:marLeft w:val="0"/>
          <w:marRight w:val="0"/>
          <w:marTop w:val="0"/>
          <w:marBottom w:val="0"/>
          <w:divBdr>
            <w:top w:val="none" w:sz="0" w:space="0" w:color="auto"/>
            <w:left w:val="none" w:sz="0" w:space="0" w:color="auto"/>
            <w:bottom w:val="none" w:sz="0" w:space="0" w:color="auto"/>
            <w:right w:val="none" w:sz="0" w:space="0" w:color="auto"/>
          </w:divBdr>
          <w:divsChild>
            <w:div w:id="68888494">
              <w:marLeft w:val="0"/>
              <w:marRight w:val="0"/>
              <w:marTop w:val="0"/>
              <w:marBottom w:val="0"/>
              <w:divBdr>
                <w:top w:val="none" w:sz="0" w:space="0" w:color="auto"/>
                <w:left w:val="none" w:sz="0" w:space="0" w:color="auto"/>
                <w:bottom w:val="none" w:sz="0" w:space="0" w:color="auto"/>
                <w:right w:val="none" w:sz="0" w:space="0" w:color="auto"/>
              </w:divBdr>
            </w:div>
            <w:div w:id="309599549">
              <w:marLeft w:val="0"/>
              <w:marRight w:val="0"/>
              <w:marTop w:val="0"/>
              <w:marBottom w:val="0"/>
              <w:divBdr>
                <w:top w:val="none" w:sz="0" w:space="0" w:color="auto"/>
                <w:left w:val="none" w:sz="0" w:space="0" w:color="auto"/>
                <w:bottom w:val="none" w:sz="0" w:space="0" w:color="auto"/>
                <w:right w:val="none" w:sz="0" w:space="0" w:color="auto"/>
              </w:divBdr>
            </w:div>
            <w:div w:id="314114755">
              <w:marLeft w:val="0"/>
              <w:marRight w:val="0"/>
              <w:marTop w:val="0"/>
              <w:marBottom w:val="0"/>
              <w:divBdr>
                <w:top w:val="none" w:sz="0" w:space="0" w:color="auto"/>
                <w:left w:val="none" w:sz="0" w:space="0" w:color="auto"/>
                <w:bottom w:val="none" w:sz="0" w:space="0" w:color="auto"/>
                <w:right w:val="none" w:sz="0" w:space="0" w:color="auto"/>
              </w:divBdr>
            </w:div>
            <w:div w:id="644045872">
              <w:marLeft w:val="0"/>
              <w:marRight w:val="0"/>
              <w:marTop w:val="0"/>
              <w:marBottom w:val="0"/>
              <w:divBdr>
                <w:top w:val="none" w:sz="0" w:space="0" w:color="auto"/>
                <w:left w:val="none" w:sz="0" w:space="0" w:color="auto"/>
                <w:bottom w:val="none" w:sz="0" w:space="0" w:color="auto"/>
                <w:right w:val="none" w:sz="0" w:space="0" w:color="auto"/>
              </w:divBdr>
            </w:div>
            <w:div w:id="1010449666">
              <w:marLeft w:val="0"/>
              <w:marRight w:val="0"/>
              <w:marTop w:val="0"/>
              <w:marBottom w:val="0"/>
              <w:divBdr>
                <w:top w:val="none" w:sz="0" w:space="0" w:color="auto"/>
                <w:left w:val="none" w:sz="0" w:space="0" w:color="auto"/>
                <w:bottom w:val="none" w:sz="0" w:space="0" w:color="auto"/>
                <w:right w:val="none" w:sz="0" w:space="0" w:color="auto"/>
              </w:divBdr>
            </w:div>
            <w:div w:id="1056393334">
              <w:marLeft w:val="0"/>
              <w:marRight w:val="0"/>
              <w:marTop w:val="0"/>
              <w:marBottom w:val="0"/>
              <w:divBdr>
                <w:top w:val="none" w:sz="0" w:space="0" w:color="auto"/>
                <w:left w:val="none" w:sz="0" w:space="0" w:color="auto"/>
                <w:bottom w:val="none" w:sz="0" w:space="0" w:color="auto"/>
                <w:right w:val="none" w:sz="0" w:space="0" w:color="auto"/>
              </w:divBdr>
            </w:div>
            <w:div w:id="1293250167">
              <w:marLeft w:val="0"/>
              <w:marRight w:val="0"/>
              <w:marTop w:val="0"/>
              <w:marBottom w:val="0"/>
              <w:divBdr>
                <w:top w:val="none" w:sz="0" w:space="0" w:color="auto"/>
                <w:left w:val="none" w:sz="0" w:space="0" w:color="auto"/>
                <w:bottom w:val="none" w:sz="0" w:space="0" w:color="auto"/>
                <w:right w:val="none" w:sz="0" w:space="0" w:color="auto"/>
              </w:divBdr>
            </w:div>
            <w:div w:id="1331103438">
              <w:marLeft w:val="0"/>
              <w:marRight w:val="0"/>
              <w:marTop w:val="0"/>
              <w:marBottom w:val="0"/>
              <w:divBdr>
                <w:top w:val="none" w:sz="0" w:space="0" w:color="auto"/>
                <w:left w:val="none" w:sz="0" w:space="0" w:color="auto"/>
                <w:bottom w:val="none" w:sz="0" w:space="0" w:color="auto"/>
                <w:right w:val="none" w:sz="0" w:space="0" w:color="auto"/>
              </w:divBdr>
            </w:div>
            <w:div w:id="1596090015">
              <w:marLeft w:val="0"/>
              <w:marRight w:val="0"/>
              <w:marTop w:val="0"/>
              <w:marBottom w:val="0"/>
              <w:divBdr>
                <w:top w:val="none" w:sz="0" w:space="0" w:color="auto"/>
                <w:left w:val="none" w:sz="0" w:space="0" w:color="auto"/>
                <w:bottom w:val="none" w:sz="0" w:space="0" w:color="auto"/>
                <w:right w:val="none" w:sz="0" w:space="0" w:color="auto"/>
              </w:divBdr>
            </w:div>
            <w:div w:id="1746104816">
              <w:marLeft w:val="0"/>
              <w:marRight w:val="0"/>
              <w:marTop w:val="0"/>
              <w:marBottom w:val="0"/>
              <w:divBdr>
                <w:top w:val="none" w:sz="0" w:space="0" w:color="auto"/>
                <w:left w:val="none" w:sz="0" w:space="0" w:color="auto"/>
                <w:bottom w:val="none" w:sz="0" w:space="0" w:color="auto"/>
                <w:right w:val="none" w:sz="0" w:space="0" w:color="auto"/>
              </w:divBdr>
            </w:div>
            <w:div w:id="1769040786">
              <w:marLeft w:val="0"/>
              <w:marRight w:val="0"/>
              <w:marTop w:val="0"/>
              <w:marBottom w:val="0"/>
              <w:divBdr>
                <w:top w:val="none" w:sz="0" w:space="0" w:color="auto"/>
                <w:left w:val="none" w:sz="0" w:space="0" w:color="auto"/>
                <w:bottom w:val="none" w:sz="0" w:space="0" w:color="auto"/>
                <w:right w:val="none" w:sz="0" w:space="0" w:color="auto"/>
              </w:divBdr>
            </w:div>
            <w:div w:id="1975021600">
              <w:marLeft w:val="0"/>
              <w:marRight w:val="0"/>
              <w:marTop w:val="0"/>
              <w:marBottom w:val="0"/>
              <w:divBdr>
                <w:top w:val="none" w:sz="0" w:space="0" w:color="auto"/>
                <w:left w:val="none" w:sz="0" w:space="0" w:color="auto"/>
                <w:bottom w:val="none" w:sz="0" w:space="0" w:color="auto"/>
                <w:right w:val="none" w:sz="0" w:space="0" w:color="auto"/>
              </w:divBdr>
            </w:div>
            <w:div w:id="210845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975660">
      <w:bodyDiv w:val="1"/>
      <w:marLeft w:val="0"/>
      <w:marRight w:val="0"/>
      <w:marTop w:val="0"/>
      <w:marBottom w:val="0"/>
      <w:divBdr>
        <w:top w:val="none" w:sz="0" w:space="0" w:color="auto"/>
        <w:left w:val="none" w:sz="0" w:space="0" w:color="auto"/>
        <w:bottom w:val="none" w:sz="0" w:space="0" w:color="auto"/>
        <w:right w:val="none" w:sz="0" w:space="0" w:color="auto"/>
      </w:divBdr>
      <w:divsChild>
        <w:div w:id="910196574">
          <w:marLeft w:val="0"/>
          <w:marRight w:val="0"/>
          <w:marTop w:val="0"/>
          <w:marBottom w:val="0"/>
          <w:divBdr>
            <w:top w:val="none" w:sz="0" w:space="0" w:color="auto"/>
            <w:left w:val="none" w:sz="0" w:space="0" w:color="auto"/>
            <w:bottom w:val="none" w:sz="0" w:space="0" w:color="auto"/>
            <w:right w:val="none" w:sz="0" w:space="0" w:color="auto"/>
          </w:divBdr>
          <w:divsChild>
            <w:div w:id="55399956">
              <w:marLeft w:val="0"/>
              <w:marRight w:val="0"/>
              <w:marTop w:val="0"/>
              <w:marBottom w:val="0"/>
              <w:divBdr>
                <w:top w:val="none" w:sz="0" w:space="0" w:color="auto"/>
                <w:left w:val="none" w:sz="0" w:space="0" w:color="auto"/>
                <w:bottom w:val="none" w:sz="0" w:space="0" w:color="auto"/>
                <w:right w:val="none" w:sz="0" w:space="0" w:color="auto"/>
              </w:divBdr>
            </w:div>
            <w:div w:id="92670162">
              <w:marLeft w:val="0"/>
              <w:marRight w:val="0"/>
              <w:marTop w:val="0"/>
              <w:marBottom w:val="0"/>
              <w:divBdr>
                <w:top w:val="none" w:sz="0" w:space="0" w:color="auto"/>
                <w:left w:val="none" w:sz="0" w:space="0" w:color="auto"/>
                <w:bottom w:val="none" w:sz="0" w:space="0" w:color="auto"/>
                <w:right w:val="none" w:sz="0" w:space="0" w:color="auto"/>
              </w:divBdr>
            </w:div>
            <w:div w:id="97526305">
              <w:marLeft w:val="0"/>
              <w:marRight w:val="0"/>
              <w:marTop w:val="0"/>
              <w:marBottom w:val="0"/>
              <w:divBdr>
                <w:top w:val="none" w:sz="0" w:space="0" w:color="auto"/>
                <w:left w:val="none" w:sz="0" w:space="0" w:color="auto"/>
                <w:bottom w:val="none" w:sz="0" w:space="0" w:color="auto"/>
                <w:right w:val="none" w:sz="0" w:space="0" w:color="auto"/>
              </w:divBdr>
            </w:div>
            <w:div w:id="141585231">
              <w:marLeft w:val="0"/>
              <w:marRight w:val="0"/>
              <w:marTop w:val="0"/>
              <w:marBottom w:val="0"/>
              <w:divBdr>
                <w:top w:val="none" w:sz="0" w:space="0" w:color="auto"/>
                <w:left w:val="none" w:sz="0" w:space="0" w:color="auto"/>
                <w:bottom w:val="none" w:sz="0" w:space="0" w:color="auto"/>
                <w:right w:val="none" w:sz="0" w:space="0" w:color="auto"/>
              </w:divBdr>
            </w:div>
            <w:div w:id="228224623">
              <w:marLeft w:val="0"/>
              <w:marRight w:val="0"/>
              <w:marTop w:val="0"/>
              <w:marBottom w:val="0"/>
              <w:divBdr>
                <w:top w:val="none" w:sz="0" w:space="0" w:color="auto"/>
                <w:left w:val="none" w:sz="0" w:space="0" w:color="auto"/>
                <w:bottom w:val="none" w:sz="0" w:space="0" w:color="auto"/>
                <w:right w:val="none" w:sz="0" w:space="0" w:color="auto"/>
              </w:divBdr>
            </w:div>
            <w:div w:id="242297972">
              <w:marLeft w:val="0"/>
              <w:marRight w:val="0"/>
              <w:marTop w:val="0"/>
              <w:marBottom w:val="0"/>
              <w:divBdr>
                <w:top w:val="none" w:sz="0" w:space="0" w:color="auto"/>
                <w:left w:val="none" w:sz="0" w:space="0" w:color="auto"/>
                <w:bottom w:val="none" w:sz="0" w:space="0" w:color="auto"/>
                <w:right w:val="none" w:sz="0" w:space="0" w:color="auto"/>
              </w:divBdr>
            </w:div>
            <w:div w:id="271671447">
              <w:marLeft w:val="0"/>
              <w:marRight w:val="0"/>
              <w:marTop w:val="0"/>
              <w:marBottom w:val="0"/>
              <w:divBdr>
                <w:top w:val="none" w:sz="0" w:space="0" w:color="auto"/>
                <w:left w:val="none" w:sz="0" w:space="0" w:color="auto"/>
                <w:bottom w:val="none" w:sz="0" w:space="0" w:color="auto"/>
                <w:right w:val="none" w:sz="0" w:space="0" w:color="auto"/>
              </w:divBdr>
            </w:div>
            <w:div w:id="292059900">
              <w:marLeft w:val="0"/>
              <w:marRight w:val="0"/>
              <w:marTop w:val="0"/>
              <w:marBottom w:val="0"/>
              <w:divBdr>
                <w:top w:val="none" w:sz="0" w:space="0" w:color="auto"/>
                <w:left w:val="none" w:sz="0" w:space="0" w:color="auto"/>
                <w:bottom w:val="none" w:sz="0" w:space="0" w:color="auto"/>
                <w:right w:val="none" w:sz="0" w:space="0" w:color="auto"/>
              </w:divBdr>
            </w:div>
            <w:div w:id="303046355">
              <w:marLeft w:val="0"/>
              <w:marRight w:val="0"/>
              <w:marTop w:val="0"/>
              <w:marBottom w:val="0"/>
              <w:divBdr>
                <w:top w:val="none" w:sz="0" w:space="0" w:color="auto"/>
                <w:left w:val="none" w:sz="0" w:space="0" w:color="auto"/>
                <w:bottom w:val="none" w:sz="0" w:space="0" w:color="auto"/>
                <w:right w:val="none" w:sz="0" w:space="0" w:color="auto"/>
              </w:divBdr>
            </w:div>
            <w:div w:id="323432973">
              <w:marLeft w:val="0"/>
              <w:marRight w:val="0"/>
              <w:marTop w:val="0"/>
              <w:marBottom w:val="0"/>
              <w:divBdr>
                <w:top w:val="none" w:sz="0" w:space="0" w:color="auto"/>
                <w:left w:val="none" w:sz="0" w:space="0" w:color="auto"/>
                <w:bottom w:val="none" w:sz="0" w:space="0" w:color="auto"/>
                <w:right w:val="none" w:sz="0" w:space="0" w:color="auto"/>
              </w:divBdr>
            </w:div>
            <w:div w:id="331959078">
              <w:marLeft w:val="0"/>
              <w:marRight w:val="0"/>
              <w:marTop w:val="0"/>
              <w:marBottom w:val="0"/>
              <w:divBdr>
                <w:top w:val="none" w:sz="0" w:space="0" w:color="auto"/>
                <w:left w:val="none" w:sz="0" w:space="0" w:color="auto"/>
                <w:bottom w:val="none" w:sz="0" w:space="0" w:color="auto"/>
                <w:right w:val="none" w:sz="0" w:space="0" w:color="auto"/>
              </w:divBdr>
            </w:div>
            <w:div w:id="348873358">
              <w:marLeft w:val="0"/>
              <w:marRight w:val="0"/>
              <w:marTop w:val="0"/>
              <w:marBottom w:val="0"/>
              <w:divBdr>
                <w:top w:val="none" w:sz="0" w:space="0" w:color="auto"/>
                <w:left w:val="none" w:sz="0" w:space="0" w:color="auto"/>
                <w:bottom w:val="none" w:sz="0" w:space="0" w:color="auto"/>
                <w:right w:val="none" w:sz="0" w:space="0" w:color="auto"/>
              </w:divBdr>
            </w:div>
            <w:div w:id="431903132">
              <w:marLeft w:val="0"/>
              <w:marRight w:val="0"/>
              <w:marTop w:val="0"/>
              <w:marBottom w:val="0"/>
              <w:divBdr>
                <w:top w:val="none" w:sz="0" w:space="0" w:color="auto"/>
                <w:left w:val="none" w:sz="0" w:space="0" w:color="auto"/>
                <w:bottom w:val="none" w:sz="0" w:space="0" w:color="auto"/>
                <w:right w:val="none" w:sz="0" w:space="0" w:color="auto"/>
              </w:divBdr>
            </w:div>
            <w:div w:id="508716814">
              <w:marLeft w:val="0"/>
              <w:marRight w:val="0"/>
              <w:marTop w:val="0"/>
              <w:marBottom w:val="0"/>
              <w:divBdr>
                <w:top w:val="none" w:sz="0" w:space="0" w:color="auto"/>
                <w:left w:val="none" w:sz="0" w:space="0" w:color="auto"/>
                <w:bottom w:val="none" w:sz="0" w:space="0" w:color="auto"/>
                <w:right w:val="none" w:sz="0" w:space="0" w:color="auto"/>
              </w:divBdr>
            </w:div>
            <w:div w:id="563297475">
              <w:marLeft w:val="0"/>
              <w:marRight w:val="0"/>
              <w:marTop w:val="0"/>
              <w:marBottom w:val="0"/>
              <w:divBdr>
                <w:top w:val="none" w:sz="0" w:space="0" w:color="auto"/>
                <w:left w:val="none" w:sz="0" w:space="0" w:color="auto"/>
                <w:bottom w:val="none" w:sz="0" w:space="0" w:color="auto"/>
                <w:right w:val="none" w:sz="0" w:space="0" w:color="auto"/>
              </w:divBdr>
            </w:div>
            <w:div w:id="615868610">
              <w:marLeft w:val="0"/>
              <w:marRight w:val="0"/>
              <w:marTop w:val="0"/>
              <w:marBottom w:val="0"/>
              <w:divBdr>
                <w:top w:val="none" w:sz="0" w:space="0" w:color="auto"/>
                <w:left w:val="none" w:sz="0" w:space="0" w:color="auto"/>
                <w:bottom w:val="none" w:sz="0" w:space="0" w:color="auto"/>
                <w:right w:val="none" w:sz="0" w:space="0" w:color="auto"/>
              </w:divBdr>
            </w:div>
            <w:div w:id="618535523">
              <w:marLeft w:val="0"/>
              <w:marRight w:val="0"/>
              <w:marTop w:val="0"/>
              <w:marBottom w:val="0"/>
              <w:divBdr>
                <w:top w:val="none" w:sz="0" w:space="0" w:color="auto"/>
                <w:left w:val="none" w:sz="0" w:space="0" w:color="auto"/>
                <w:bottom w:val="none" w:sz="0" w:space="0" w:color="auto"/>
                <w:right w:val="none" w:sz="0" w:space="0" w:color="auto"/>
              </w:divBdr>
            </w:div>
            <w:div w:id="651720108">
              <w:marLeft w:val="0"/>
              <w:marRight w:val="0"/>
              <w:marTop w:val="0"/>
              <w:marBottom w:val="0"/>
              <w:divBdr>
                <w:top w:val="none" w:sz="0" w:space="0" w:color="auto"/>
                <w:left w:val="none" w:sz="0" w:space="0" w:color="auto"/>
                <w:bottom w:val="none" w:sz="0" w:space="0" w:color="auto"/>
                <w:right w:val="none" w:sz="0" w:space="0" w:color="auto"/>
              </w:divBdr>
            </w:div>
            <w:div w:id="672798418">
              <w:marLeft w:val="0"/>
              <w:marRight w:val="0"/>
              <w:marTop w:val="0"/>
              <w:marBottom w:val="0"/>
              <w:divBdr>
                <w:top w:val="none" w:sz="0" w:space="0" w:color="auto"/>
                <w:left w:val="none" w:sz="0" w:space="0" w:color="auto"/>
                <w:bottom w:val="none" w:sz="0" w:space="0" w:color="auto"/>
                <w:right w:val="none" w:sz="0" w:space="0" w:color="auto"/>
              </w:divBdr>
            </w:div>
            <w:div w:id="688525235">
              <w:marLeft w:val="0"/>
              <w:marRight w:val="0"/>
              <w:marTop w:val="0"/>
              <w:marBottom w:val="0"/>
              <w:divBdr>
                <w:top w:val="none" w:sz="0" w:space="0" w:color="auto"/>
                <w:left w:val="none" w:sz="0" w:space="0" w:color="auto"/>
                <w:bottom w:val="none" w:sz="0" w:space="0" w:color="auto"/>
                <w:right w:val="none" w:sz="0" w:space="0" w:color="auto"/>
              </w:divBdr>
            </w:div>
            <w:div w:id="708385137">
              <w:marLeft w:val="0"/>
              <w:marRight w:val="0"/>
              <w:marTop w:val="0"/>
              <w:marBottom w:val="0"/>
              <w:divBdr>
                <w:top w:val="none" w:sz="0" w:space="0" w:color="auto"/>
                <w:left w:val="none" w:sz="0" w:space="0" w:color="auto"/>
                <w:bottom w:val="none" w:sz="0" w:space="0" w:color="auto"/>
                <w:right w:val="none" w:sz="0" w:space="0" w:color="auto"/>
              </w:divBdr>
            </w:div>
            <w:div w:id="739133760">
              <w:marLeft w:val="0"/>
              <w:marRight w:val="0"/>
              <w:marTop w:val="0"/>
              <w:marBottom w:val="0"/>
              <w:divBdr>
                <w:top w:val="none" w:sz="0" w:space="0" w:color="auto"/>
                <w:left w:val="none" w:sz="0" w:space="0" w:color="auto"/>
                <w:bottom w:val="none" w:sz="0" w:space="0" w:color="auto"/>
                <w:right w:val="none" w:sz="0" w:space="0" w:color="auto"/>
              </w:divBdr>
            </w:div>
            <w:div w:id="778138961">
              <w:marLeft w:val="0"/>
              <w:marRight w:val="0"/>
              <w:marTop w:val="0"/>
              <w:marBottom w:val="0"/>
              <w:divBdr>
                <w:top w:val="none" w:sz="0" w:space="0" w:color="auto"/>
                <w:left w:val="none" w:sz="0" w:space="0" w:color="auto"/>
                <w:bottom w:val="none" w:sz="0" w:space="0" w:color="auto"/>
                <w:right w:val="none" w:sz="0" w:space="0" w:color="auto"/>
              </w:divBdr>
            </w:div>
            <w:div w:id="785930040">
              <w:marLeft w:val="0"/>
              <w:marRight w:val="0"/>
              <w:marTop w:val="0"/>
              <w:marBottom w:val="0"/>
              <w:divBdr>
                <w:top w:val="none" w:sz="0" w:space="0" w:color="auto"/>
                <w:left w:val="none" w:sz="0" w:space="0" w:color="auto"/>
                <w:bottom w:val="none" w:sz="0" w:space="0" w:color="auto"/>
                <w:right w:val="none" w:sz="0" w:space="0" w:color="auto"/>
              </w:divBdr>
            </w:div>
            <w:div w:id="798451422">
              <w:marLeft w:val="0"/>
              <w:marRight w:val="0"/>
              <w:marTop w:val="0"/>
              <w:marBottom w:val="0"/>
              <w:divBdr>
                <w:top w:val="none" w:sz="0" w:space="0" w:color="auto"/>
                <w:left w:val="none" w:sz="0" w:space="0" w:color="auto"/>
                <w:bottom w:val="none" w:sz="0" w:space="0" w:color="auto"/>
                <w:right w:val="none" w:sz="0" w:space="0" w:color="auto"/>
              </w:divBdr>
            </w:div>
            <w:div w:id="810946161">
              <w:marLeft w:val="0"/>
              <w:marRight w:val="0"/>
              <w:marTop w:val="0"/>
              <w:marBottom w:val="0"/>
              <w:divBdr>
                <w:top w:val="none" w:sz="0" w:space="0" w:color="auto"/>
                <w:left w:val="none" w:sz="0" w:space="0" w:color="auto"/>
                <w:bottom w:val="none" w:sz="0" w:space="0" w:color="auto"/>
                <w:right w:val="none" w:sz="0" w:space="0" w:color="auto"/>
              </w:divBdr>
            </w:div>
            <w:div w:id="864028180">
              <w:marLeft w:val="0"/>
              <w:marRight w:val="0"/>
              <w:marTop w:val="0"/>
              <w:marBottom w:val="0"/>
              <w:divBdr>
                <w:top w:val="none" w:sz="0" w:space="0" w:color="auto"/>
                <w:left w:val="none" w:sz="0" w:space="0" w:color="auto"/>
                <w:bottom w:val="none" w:sz="0" w:space="0" w:color="auto"/>
                <w:right w:val="none" w:sz="0" w:space="0" w:color="auto"/>
              </w:divBdr>
            </w:div>
            <w:div w:id="874123390">
              <w:marLeft w:val="0"/>
              <w:marRight w:val="0"/>
              <w:marTop w:val="0"/>
              <w:marBottom w:val="0"/>
              <w:divBdr>
                <w:top w:val="none" w:sz="0" w:space="0" w:color="auto"/>
                <w:left w:val="none" w:sz="0" w:space="0" w:color="auto"/>
                <w:bottom w:val="none" w:sz="0" w:space="0" w:color="auto"/>
                <w:right w:val="none" w:sz="0" w:space="0" w:color="auto"/>
              </w:divBdr>
            </w:div>
            <w:div w:id="889465409">
              <w:marLeft w:val="0"/>
              <w:marRight w:val="0"/>
              <w:marTop w:val="0"/>
              <w:marBottom w:val="0"/>
              <w:divBdr>
                <w:top w:val="none" w:sz="0" w:space="0" w:color="auto"/>
                <w:left w:val="none" w:sz="0" w:space="0" w:color="auto"/>
                <w:bottom w:val="none" w:sz="0" w:space="0" w:color="auto"/>
                <w:right w:val="none" w:sz="0" w:space="0" w:color="auto"/>
              </w:divBdr>
            </w:div>
            <w:div w:id="915671268">
              <w:marLeft w:val="0"/>
              <w:marRight w:val="0"/>
              <w:marTop w:val="0"/>
              <w:marBottom w:val="0"/>
              <w:divBdr>
                <w:top w:val="none" w:sz="0" w:space="0" w:color="auto"/>
                <w:left w:val="none" w:sz="0" w:space="0" w:color="auto"/>
                <w:bottom w:val="none" w:sz="0" w:space="0" w:color="auto"/>
                <w:right w:val="none" w:sz="0" w:space="0" w:color="auto"/>
              </w:divBdr>
            </w:div>
            <w:div w:id="1011179167">
              <w:marLeft w:val="0"/>
              <w:marRight w:val="0"/>
              <w:marTop w:val="0"/>
              <w:marBottom w:val="0"/>
              <w:divBdr>
                <w:top w:val="none" w:sz="0" w:space="0" w:color="auto"/>
                <w:left w:val="none" w:sz="0" w:space="0" w:color="auto"/>
                <w:bottom w:val="none" w:sz="0" w:space="0" w:color="auto"/>
                <w:right w:val="none" w:sz="0" w:space="0" w:color="auto"/>
              </w:divBdr>
            </w:div>
            <w:div w:id="1040401178">
              <w:marLeft w:val="0"/>
              <w:marRight w:val="0"/>
              <w:marTop w:val="0"/>
              <w:marBottom w:val="0"/>
              <w:divBdr>
                <w:top w:val="none" w:sz="0" w:space="0" w:color="auto"/>
                <w:left w:val="none" w:sz="0" w:space="0" w:color="auto"/>
                <w:bottom w:val="none" w:sz="0" w:space="0" w:color="auto"/>
                <w:right w:val="none" w:sz="0" w:space="0" w:color="auto"/>
              </w:divBdr>
            </w:div>
            <w:div w:id="1056516774">
              <w:marLeft w:val="0"/>
              <w:marRight w:val="0"/>
              <w:marTop w:val="0"/>
              <w:marBottom w:val="0"/>
              <w:divBdr>
                <w:top w:val="none" w:sz="0" w:space="0" w:color="auto"/>
                <w:left w:val="none" w:sz="0" w:space="0" w:color="auto"/>
                <w:bottom w:val="none" w:sz="0" w:space="0" w:color="auto"/>
                <w:right w:val="none" w:sz="0" w:space="0" w:color="auto"/>
              </w:divBdr>
            </w:div>
            <w:div w:id="1085418010">
              <w:marLeft w:val="0"/>
              <w:marRight w:val="0"/>
              <w:marTop w:val="0"/>
              <w:marBottom w:val="0"/>
              <w:divBdr>
                <w:top w:val="none" w:sz="0" w:space="0" w:color="auto"/>
                <w:left w:val="none" w:sz="0" w:space="0" w:color="auto"/>
                <w:bottom w:val="none" w:sz="0" w:space="0" w:color="auto"/>
                <w:right w:val="none" w:sz="0" w:space="0" w:color="auto"/>
              </w:divBdr>
            </w:div>
            <w:div w:id="1093861797">
              <w:marLeft w:val="0"/>
              <w:marRight w:val="0"/>
              <w:marTop w:val="0"/>
              <w:marBottom w:val="0"/>
              <w:divBdr>
                <w:top w:val="none" w:sz="0" w:space="0" w:color="auto"/>
                <w:left w:val="none" w:sz="0" w:space="0" w:color="auto"/>
                <w:bottom w:val="none" w:sz="0" w:space="0" w:color="auto"/>
                <w:right w:val="none" w:sz="0" w:space="0" w:color="auto"/>
              </w:divBdr>
            </w:div>
            <w:div w:id="1110930262">
              <w:marLeft w:val="0"/>
              <w:marRight w:val="0"/>
              <w:marTop w:val="0"/>
              <w:marBottom w:val="0"/>
              <w:divBdr>
                <w:top w:val="none" w:sz="0" w:space="0" w:color="auto"/>
                <w:left w:val="none" w:sz="0" w:space="0" w:color="auto"/>
                <w:bottom w:val="none" w:sz="0" w:space="0" w:color="auto"/>
                <w:right w:val="none" w:sz="0" w:space="0" w:color="auto"/>
              </w:divBdr>
            </w:div>
            <w:div w:id="1140730521">
              <w:marLeft w:val="0"/>
              <w:marRight w:val="0"/>
              <w:marTop w:val="0"/>
              <w:marBottom w:val="0"/>
              <w:divBdr>
                <w:top w:val="none" w:sz="0" w:space="0" w:color="auto"/>
                <w:left w:val="none" w:sz="0" w:space="0" w:color="auto"/>
                <w:bottom w:val="none" w:sz="0" w:space="0" w:color="auto"/>
                <w:right w:val="none" w:sz="0" w:space="0" w:color="auto"/>
              </w:divBdr>
            </w:div>
            <w:div w:id="1149126570">
              <w:marLeft w:val="0"/>
              <w:marRight w:val="0"/>
              <w:marTop w:val="0"/>
              <w:marBottom w:val="0"/>
              <w:divBdr>
                <w:top w:val="none" w:sz="0" w:space="0" w:color="auto"/>
                <w:left w:val="none" w:sz="0" w:space="0" w:color="auto"/>
                <w:bottom w:val="none" w:sz="0" w:space="0" w:color="auto"/>
                <w:right w:val="none" w:sz="0" w:space="0" w:color="auto"/>
              </w:divBdr>
            </w:div>
            <w:div w:id="1184436677">
              <w:marLeft w:val="0"/>
              <w:marRight w:val="0"/>
              <w:marTop w:val="0"/>
              <w:marBottom w:val="0"/>
              <w:divBdr>
                <w:top w:val="none" w:sz="0" w:space="0" w:color="auto"/>
                <w:left w:val="none" w:sz="0" w:space="0" w:color="auto"/>
                <w:bottom w:val="none" w:sz="0" w:space="0" w:color="auto"/>
                <w:right w:val="none" w:sz="0" w:space="0" w:color="auto"/>
              </w:divBdr>
            </w:div>
            <w:div w:id="1198784663">
              <w:marLeft w:val="0"/>
              <w:marRight w:val="0"/>
              <w:marTop w:val="0"/>
              <w:marBottom w:val="0"/>
              <w:divBdr>
                <w:top w:val="none" w:sz="0" w:space="0" w:color="auto"/>
                <w:left w:val="none" w:sz="0" w:space="0" w:color="auto"/>
                <w:bottom w:val="none" w:sz="0" w:space="0" w:color="auto"/>
                <w:right w:val="none" w:sz="0" w:space="0" w:color="auto"/>
              </w:divBdr>
            </w:div>
            <w:div w:id="1252396434">
              <w:marLeft w:val="0"/>
              <w:marRight w:val="0"/>
              <w:marTop w:val="0"/>
              <w:marBottom w:val="0"/>
              <w:divBdr>
                <w:top w:val="none" w:sz="0" w:space="0" w:color="auto"/>
                <w:left w:val="none" w:sz="0" w:space="0" w:color="auto"/>
                <w:bottom w:val="none" w:sz="0" w:space="0" w:color="auto"/>
                <w:right w:val="none" w:sz="0" w:space="0" w:color="auto"/>
              </w:divBdr>
            </w:div>
            <w:div w:id="1272472117">
              <w:marLeft w:val="0"/>
              <w:marRight w:val="0"/>
              <w:marTop w:val="0"/>
              <w:marBottom w:val="0"/>
              <w:divBdr>
                <w:top w:val="none" w:sz="0" w:space="0" w:color="auto"/>
                <w:left w:val="none" w:sz="0" w:space="0" w:color="auto"/>
                <w:bottom w:val="none" w:sz="0" w:space="0" w:color="auto"/>
                <w:right w:val="none" w:sz="0" w:space="0" w:color="auto"/>
              </w:divBdr>
            </w:div>
            <w:div w:id="1359627170">
              <w:marLeft w:val="0"/>
              <w:marRight w:val="0"/>
              <w:marTop w:val="0"/>
              <w:marBottom w:val="0"/>
              <w:divBdr>
                <w:top w:val="none" w:sz="0" w:space="0" w:color="auto"/>
                <w:left w:val="none" w:sz="0" w:space="0" w:color="auto"/>
                <w:bottom w:val="none" w:sz="0" w:space="0" w:color="auto"/>
                <w:right w:val="none" w:sz="0" w:space="0" w:color="auto"/>
              </w:divBdr>
            </w:div>
            <w:div w:id="1448962043">
              <w:marLeft w:val="0"/>
              <w:marRight w:val="0"/>
              <w:marTop w:val="0"/>
              <w:marBottom w:val="0"/>
              <w:divBdr>
                <w:top w:val="none" w:sz="0" w:space="0" w:color="auto"/>
                <w:left w:val="none" w:sz="0" w:space="0" w:color="auto"/>
                <w:bottom w:val="none" w:sz="0" w:space="0" w:color="auto"/>
                <w:right w:val="none" w:sz="0" w:space="0" w:color="auto"/>
              </w:divBdr>
            </w:div>
            <w:div w:id="1571307365">
              <w:marLeft w:val="0"/>
              <w:marRight w:val="0"/>
              <w:marTop w:val="0"/>
              <w:marBottom w:val="0"/>
              <w:divBdr>
                <w:top w:val="none" w:sz="0" w:space="0" w:color="auto"/>
                <w:left w:val="none" w:sz="0" w:space="0" w:color="auto"/>
                <w:bottom w:val="none" w:sz="0" w:space="0" w:color="auto"/>
                <w:right w:val="none" w:sz="0" w:space="0" w:color="auto"/>
              </w:divBdr>
            </w:div>
            <w:div w:id="1664745525">
              <w:marLeft w:val="0"/>
              <w:marRight w:val="0"/>
              <w:marTop w:val="0"/>
              <w:marBottom w:val="0"/>
              <w:divBdr>
                <w:top w:val="none" w:sz="0" w:space="0" w:color="auto"/>
                <w:left w:val="none" w:sz="0" w:space="0" w:color="auto"/>
                <w:bottom w:val="none" w:sz="0" w:space="0" w:color="auto"/>
                <w:right w:val="none" w:sz="0" w:space="0" w:color="auto"/>
              </w:divBdr>
            </w:div>
            <w:div w:id="176183400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 w:id="1848323973">
              <w:marLeft w:val="0"/>
              <w:marRight w:val="0"/>
              <w:marTop w:val="0"/>
              <w:marBottom w:val="0"/>
              <w:divBdr>
                <w:top w:val="none" w:sz="0" w:space="0" w:color="auto"/>
                <w:left w:val="none" w:sz="0" w:space="0" w:color="auto"/>
                <w:bottom w:val="none" w:sz="0" w:space="0" w:color="auto"/>
                <w:right w:val="none" w:sz="0" w:space="0" w:color="auto"/>
              </w:divBdr>
            </w:div>
            <w:div w:id="1944609363">
              <w:marLeft w:val="0"/>
              <w:marRight w:val="0"/>
              <w:marTop w:val="0"/>
              <w:marBottom w:val="0"/>
              <w:divBdr>
                <w:top w:val="none" w:sz="0" w:space="0" w:color="auto"/>
                <w:left w:val="none" w:sz="0" w:space="0" w:color="auto"/>
                <w:bottom w:val="none" w:sz="0" w:space="0" w:color="auto"/>
                <w:right w:val="none" w:sz="0" w:space="0" w:color="auto"/>
              </w:divBdr>
            </w:div>
            <w:div w:id="2031106804">
              <w:marLeft w:val="0"/>
              <w:marRight w:val="0"/>
              <w:marTop w:val="0"/>
              <w:marBottom w:val="0"/>
              <w:divBdr>
                <w:top w:val="none" w:sz="0" w:space="0" w:color="auto"/>
                <w:left w:val="none" w:sz="0" w:space="0" w:color="auto"/>
                <w:bottom w:val="none" w:sz="0" w:space="0" w:color="auto"/>
                <w:right w:val="none" w:sz="0" w:space="0" w:color="auto"/>
              </w:divBdr>
            </w:div>
            <w:div w:id="205103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496509">
      <w:bodyDiv w:val="1"/>
      <w:marLeft w:val="0"/>
      <w:marRight w:val="0"/>
      <w:marTop w:val="0"/>
      <w:marBottom w:val="0"/>
      <w:divBdr>
        <w:top w:val="none" w:sz="0" w:space="0" w:color="auto"/>
        <w:left w:val="none" w:sz="0" w:space="0" w:color="auto"/>
        <w:bottom w:val="none" w:sz="0" w:space="0" w:color="auto"/>
        <w:right w:val="none" w:sz="0" w:space="0" w:color="auto"/>
      </w:divBdr>
      <w:divsChild>
        <w:div w:id="819493262">
          <w:marLeft w:val="0"/>
          <w:marRight w:val="0"/>
          <w:marTop w:val="0"/>
          <w:marBottom w:val="0"/>
          <w:divBdr>
            <w:top w:val="none" w:sz="0" w:space="0" w:color="auto"/>
            <w:left w:val="none" w:sz="0" w:space="0" w:color="auto"/>
            <w:bottom w:val="none" w:sz="0" w:space="0" w:color="auto"/>
            <w:right w:val="none" w:sz="0" w:space="0" w:color="auto"/>
          </w:divBdr>
        </w:div>
        <w:div w:id="836724434">
          <w:marLeft w:val="0"/>
          <w:marRight w:val="0"/>
          <w:marTop w:val="0"/>
          <w:marBottom w:val="0"/>
          <w:divBdr>
            <w:top w:val="none" w:sz="0" w:space="0" w:color="auto"/>
            <w:left w:val="none" w:sz="0" w:space="0" w:color="auto"/>
            <w:bottom w:val="none" w:sz="0" w:space="0" w:color="auto"/>
            <w:right w:val="none" w:sz="0" w:space="0" w:color="auto"/>
          </w:divBdr>
        </w:div>
        <w:div w:id="855078956">
          <w:marLeft w:val="0"/>
          <w:marRight w:val="0"/>
          <w:marTop w:val="0"/>
          <w:marBottom w:val="0"/>
          <w:divBdr>
            <w:top w:val="none" w:sz="0" w:space="0" w:color="auto"/>
            <w:left w:val="none" w:sz="0" w:space="0" w:color="auto"/>
            <w:bottom w:val="none" w:sz="0" w:space="0" w:color="auto"/>
            <w:right w:val="none" w:sz="0" w:space="0" w:color="auto"/>
          </w:divBdr>
        </w:div>
        <w:div w:id="1847554099">
          <w:marLeft w:val="0"/>
          <w:marRight w:val="0"/>
          <w:marTop w:val="0"/>
          <w:marBottom w:val="0"/>
          <w:divBdr>
            <w:top w:val="none" w:sz="0" w:space="0" w:color="auto"/>
            <w:left w:val="none" w:sz="0" w:space="0" w:color="auto"/>
            <w:bottom w:val="none" w:sz="0" w:space="0" w:color="auto"/>
            <w:right w:val="none" w:sz="0" w:space="0" w:color="auto"/>
          </w:divBdr>
        </w:div>
        <w:div w:id="1867787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07BFF-D6FC-4B3E-BD92-91252E750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6488</Words>
  <Characters>35687</Characters>
  <Application>Microsoft Office Word</Application>
  <DocSecurity>0</DocSecurity>
  <Lines>297</Lines>
  <Paragraphs>84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42091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Javier Alberto Melgar Molina</cp:lastModifiedBy>
  <cp:revision>3</cp:revision>
  <cp:lastPrinted>2017-09-12T12:26:00Z</cp:lastPrinted>
  <dcterms:created xsi:type="dcterms:W3CDTF">2017-09-12T12:26:00Z</dcterms:created>
  <dcterms:modified xsi:type="dcterms:W3CDTF">2017-09-12T12:26:00Z</dcterms:modified>
</cp:coreProperties>
</file>