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524" w:rsidRPr="0076756B" w:rsidRDefault="00453524" w:rsidP="0076756B">
      <w:pPr>
        <w:pStyle w:val="Heading2"/>
        <w:spacing w:before="0" w:beforeAutospacing="0" w:after="0" w:afterAutospacing="0"/>
        <w:jc w:val="center"/>
        <w:rPr>
          <w:rFonts w:ascii="Verdana" w:hAnsi="Verdana"/>
          <w:sz w:val="20"/>
          <w:szCs w:val="20"/>
          <w:lang w:val="es-ES"/>
        </w:rPr>
      </w:pPr>
      <w:bookmarkStart w:id="0" w:name="_GoBack"/>
      <w:bookmarkEnd w:id="0"/>
      <w:r w:rsidRPr="0076756B">
        <w:rPr>
          <w:rFonts w:ascii="Verdana" w:hAnsi="Verdana"/>
          <w:sz w:val="20"/>
          <w:szCs w:val="20"/>
          <w:lang w:val="es-ES"/>
        </w:rPr>
        <w:t>INFORME No. 156/10</w:t>
      </w:r>
    </w:p>
    <w:p w:rsidR="00453524" w:rsidRPr="0076756B" w:rsidRDefault="00453524" w:rsidP="0076756B">
      <w:pPr>
        <w:pStyle w:val="Heading2"/>
        <w:spacing w:before="0" w:beforeAutospacing="0" w:after="0" w:afterAutospacing="0"/>
        <w:jc w:val="center"/>
        <w:rPr>
          <w:rFonts w:ascii="Verdana" w:hAnsi="Verdana"/>
          <w:b w:val="0"/>
          <w:sz w:val="20"/>
          <w:szCs w:val="20"/>
          <w:lang w:val="es-ES"/>
        </w:rPr>
      </w:pPr>
      <w:r w:rsidRPr="0076756B">
        <w:rPr>
          <w:rFonts w:ascii="Verdana" w:hAnsi="Verdana"/>
          <w:b w:val="0"/>
          <w:bCs w:val="0"/>
          <w:sz w:val="20"/>
          <w:szCs w:val="20"/>
          <w:lang w:val="es-ES"/>
        </w:rPr>
        <w:t>PETICIÓN 1368-04</w:t>
      </w:r>
    </w:p>
    <w:p w:rsidR="00453524" w:rsidRPr="0076756B" w:rsidRDefault="00453524" w:rsidP="0076756B">
      <w:pPr>
        <w:pStyle w:val="Heading2"/>
        <w:spacing w:before="0" w:beforeAutospacing="0" w:after="0" w:afterAutospacing="0"/>
        <w:jc w:val="center"/>
        <w:rPr>
          <w:rFonts w:ascii="Verdana" w:hAnsi="Verdana"/>
          <w:b w:val="0"/>
          <w:sz w:val="20"/>
          <w:szCs w:val="20"/>
          <w:lang w:val="es-ES"/>
        </w:rPr>
      </w:pPr>
      <w:r w:rsidRPr="0076756B">
        <w:rPr>
          <w:rFonts w:ascii="Verdana" w:hAnsi="Verdana"/>
          <w:b w:val="0"/>
          <w:bCs w:val="0"/>
          <w:sz w:val="20"/>
          <w:szCs w:val="20"/>
          <w:lang w:val="es-ES"/>
        </w:rPr>
        <w:t>ADMISIBILIDAD</w:t>
      </w:r>
    </w:p>
    <w:p w:rsidR="00453524" w:rsidRPr="0076756B" w:rsidRDefault="00453524" w:rsidP="0076756B">
      <w:pPr>
        <w:pStyle w:val="Heading2"/>
        <w:spacing w:before="0" w:beforeAutospacing="0" w:after="0" w:afterAutospacing="0"/>
        <w:jc w:val="center"/>
        <w:rPr>
          <w:rFonts w:ascii="Verdana" w:hAnsi="Verdana"/>
          <w:b w:val="0"/>
          <w:sz w:val="20"/>
          <w:szCs w:val="20"/>
          <w:lang w:val="es-ES"/>
        </w:rPr>
      </w:pPr>
      <w:r w:rsidRPr="0076756B">
        <w:rPr>
          <w:rFonts w:ascii="Verdana" w:hAnsi="Verdana"/>
          <w:b w:val="0"/>
          <w:bCs w:val="0"/>
          <w:sz w:val="20"/>
          <w:szCs w:val="20"/>
          <w:lang w:val="es-ES"/>
        </w:rPr>
        <w:t>DANIEL GERARDO GOMEZ, AIDA MARCELA GARITA Y OTROS</w:t>
      </w:r>
    </w:p>
    <w:p w:rsidR="00453524" w:rsidRPr="0076756B" w:rsidRDefault="00453524" w:rsidP="0076756B">
      <w:pPr>
        <w:pStyle w:val="Heading2"/>
        <w:spacing w:before="0" w:beforeAutospacing="0" w:after="0" w:afterAutospacing="0"/>
        <w:jc w:val="center"/>
        <w:rPr>
          <w:rFonts w:ascii="Verdana" w:hAnsi="Verdana"/>
          <w:b w:val="0"/>
          <w:sz w:val="20"/>
          <w:szCs w:val="20"/>
          <w:lang w:val="es-ES"/>
        </w:rPr>
      </w:pPr>
      <w:r w:rsidRPr="0076756B">
        <w:rPr>
          <w:rFonts w:ascii="Verdana" w:hAnsi="Verdana"/>
          <w:b w:val="0"/>
          <w:bCs w:val="0"/>
          <w:sz w:val="20"/>
          <w:szCs w:val="20"/>
          <w:lang w:val="es-ES"/>
        </w:rPr>
        <w:t>COSTA RICA</w:t>
      </w:r>
    </w:p>
    <w:p w:rsidR="00453524" w:rsidRPr="0076756B" w:rsidRDefault="00453524" w:rsidP="0076756B">
      <w:pPr>
        <w:pStyle w:val="Heading2"/>
        <w:spacing w:before="0" w:beforeAutospacing="0" w:after="0" w:afterAutospacing="0"/>
        <w:jc w:val="center"/>
        <w:rPr>
          <w:rFonts w:ascii="Verdana" w:hAnsi="Verdana"/>
          <w:b w:val="0"/>
          <w:bCs w:val="0"/>
          <w:sz w:val="20"/>
          <w:szCs w:val="20"/>
          <w:lang w:val="es-ES"/>
        </w:rPr>
      </w:pPr>
      <w:r w:rsidRPr="0076756B">
        <w:rPr>
          <w:rFonts w:ascii="Verdana" w:hAnsi="Verdana"/>
          <w:b w:val="0"/>
          <w:bCs w:val="0"/>
          <w:sz w:val="20"/>
          <w:szCs w:val="20"/>
          <w:lang w:val="es-ES"/>
        </w:rPr>
        <w:t>1º de noviembre de 2010</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spacing w:before="0" w:beforeAutospacing="0" w:after="0" w:afterAutospacing="0"/>
        <w:jc w:val="both"/>
        <w:rPr>
          <w:rFonts w:ascii="Verdana" w:hAnsi="Verdana"/>
          <w:sz w:val="20"/>
          <w:szCs w:val="20"/>
          <w:lang w:val="es-ES"/>
        </w:rPr>
      </w:pPr>
    </w:p>
    <w:p w:rsidR="00453524" w:rsidRPr="0076756B" w:rsidRDefault="00453524" w:rsidP="0076756B">
      <w:pPr>
        <w:pStyle w:val="Heading2"/>
        <w:spacing w:before="0" w:beforeAutospacing="0" w:after="0" w:afterAutospacing="0"/>
        <w:ind w:firstLine="708"/>
        <w:jc w:val="both"/>
        <w:rPr>
          <w:rFonts w:ascii="Verdana" w:hAnsi="Verdana"/>
          <w:sz w:val="20"/>
          <w:szCs w:val="20"/>
          <w:lang w:val="es-ES"/>
        </w:rPr>
      </w:pPr>
      <w:r w:rsidRPr="0076756B">
        <w:rPr>
          <w:rFonts w:ascii="Verdana" w:hAnsi="Verdana"/>
          <w:sz w:val="20"/>
          <w:szCs w:val="20"/>
          <w:lang w:val="es-ES"/>
        </w:rPr>
        <w:t>I.</w:t>
      </w:r>
      <w:r w:rsidRPr="0076756B">
        <w:rPr>
          <w:rFonts w:ascii="Verdana" w:hAnsi="Verdana"/>
          <w:bCs w:val="0"/>
          <w:sz w:val="20"/>
          <w:szCs w:val="20"/>
          <w:lang w:val="es-ES"/>
        </w:rPr>
        <w:tab/>
      </w:r>
      <w:r w:rsidRPr="0076756B">
        <w:rPr>
          <w:rFonts w:ascii="Verdana" w:hAnsi="Verdana"/>
          <w:sz w:val="20"/>
          <w:szCs w:val="20"/>
          <w:lang w:val="es-ES"/>
        </w:rPr>
        <w:t>RESUMEN</w:t>
      </w:r>
    </w:p>
    <w:p w:rsidR="00453524" w:rsidRPr="0076756B" w:rsidRDefault="00453524" w:rsidP="0076756B">
      <w:pPr>
        <w:pStyle w:val="Heading2"/>
        <w:spacing w:before="0" w:beforeAutospacing="0" w:after="0" w:afterAutospacing="0"/>
        <w:ind w:firstLine="720"/>
        <w:jc w:val="both"/>
        <w:rPr>
          <w:rFonts w:ascii="Verdana" w:hAnsi="Verdana"/>
          <w:b w:val="0"/>
          <w:sz w:val="20"/>
          <w:szCs w:val="20"/>
          <w:lang w:val="es-ES"/>
        </w:rPr>
      </w:pPr>
    </w:p>
    <w:p w:rsidR="00453524" w:rsidRPr="0076756B" w:rsidRDefault="00453524" w:rsidP="0076756B">
      <w:pPr>
        <w:numPr>
          <w:ilvl w:val="0"/>
          <w:numId w:val="22"/>
        </w:numPr>
        <w:suppressAutoHyphens/>
        <w:rPr>
          <w:szCs w:val="20"/>
          <w:lang w:val="es-ES"/>
        </w:rPr>
      </w:pPr>
      <w:r w:rsidRPr="0076756B">
        <w:rPr>
          <w:szCs w:val="20"/>
          <w:lang w:val="es-ES"/>
        </w:rPr>
        <w:t xml:space="preserve">La Comisión Interamericana de Derechos Humanos (en adelante “Comisión” o “Comisión Interamericana” o “CIDH”) recibió cinco peticiones presentadas por Gerardo Trejos Salas (en adelante “el peticionario”), el 14 de diciembre de 2004 en nombre de Daniel Gerardo Gómez Murillo y Aída Marcela Garita Sánchez (P 1368-04); el 27 de diciembre de 2004 en nombre de Roberto Pérez Gutiérrez y Silvia María Sosa Ulate (P 16-05); el 28 de junio de 2006 en nombre de Luis Miguel Cruz Comparaz, Raquel Sanvicente Rojas, Randall </w:t>
      </w:r>
      <w:smartTag w:uri="urn:schemas-microsoft-com:office:smarttags" w:element="PersonName">
        <w:r w:rsidRPr="0076756B">
          <w:rPr>
            <w:szCs w:val="20"/>
            <w:lang w:val="es-ES"/>
          </w:rPr>
          <w:t>Alberto</w:t>
        </w:r>
      </w:smartTag>
      <w:r w:rsidRPr="0076756B">
        <w:rPr>
          <w:szCs w:val="20"/>
          <w:lang w:val="es-ES"/>
        </w:rPr>
        <w:t xml:space="preserve"> Torres Quirós y Geanina Isela Marín Rankin (P 678-06); el 17 de octubre de 2006 en nombre de Carlos Edgardo López Vega y Albania Elizondo Rodríguez (P 1191-06); el 3 de mayo de 2007 en nombre de Miguel Acuña Cartín y Patricia Nú</w:t>
      </w:r>
      <w:r w:rsidRPr="0076756B">
        <w:rPr>
          <w:rFonts w:cs="Arial"/>
          <w:szCs w:val="20"/>
          <w:lang w:val="es-ES"/>
        </w:rPr>
        <w:t xml:space="preserve">ñez Marín (P 545-07) </w:t>
      </w:r>
      <w:r w:rsidRPr="0076756B">
        <w:rPr>
          <w:szCs w:val="20"/>
          <w:lang w:val="es-ES"/>
        </w:rPr>
        <w:t xml:space="preserve">(en adelante las “presuntas víctimas”). Las peticiones se presentaron en contra del Estado de Costa Rica (en adelante “Estado” o “Estado costarricense” o “Costa Rica”), </w:t>
      </w:r>
      <w:r w:rsidRPr="0076756B">
        <w:rPr>
          <w:spacing w:val="-2"/>
          <w:szCs w:val="20"/>
          <w:lang w:val="es-ES"/>
        </w:rPr>
        <w:t xml:space="preserve">en relación con la alegada violación a los derechos humanos que se originó con la sentencia 2000-02306 de 15 de marzo de 2000, dictada por la Sala Constitucional de Costa Rica, que prohibió la práctica de la fecundación </w:t>
      </w:r>
      <w:r w:rsidRPr="0076756B">
        <w:rPr>
          <w:i/>
          <w:spacing w:val="-2"/>
          <w:szCs w:val="20"/>
          <w:lang w:val="es-ES"/>
        </w:rPr>
        <w:t>in vitro</w:t>
      </w:r>
      <w:r w:rsidRPr="0076756B">
        <w:rPr>
          <w:spacing w:val="-2"/>
          <w:szCs w:val="20"/>
          <w:lang w:val="es-ES"/>
        </w:rPr>
        <w:t>, al declarar la inconstitucionalidad del Decreto Presidencial 24029-S, del 3 de febrero de 1995.</w:t>
      </w:r>
    </w:p>
    <w:p w:rsidR="00453524" w:rsidRPr="0076756B" w:rsidRDefault="00453524" w:rsidP="0076756B">
      <w:pPr>
        <w:suppressAutoHyphens/>
        <w:rPr>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El peticionario alega que como consecuencia de dicha decisión, se prohibió que las presuntas víctimas tengan acceso a la Fecundación</w:t>
      </w:r>
      <w:r w:rsidRPr="0076756B">
        <w:rPr>
          <w:rFonts w:ascii="Verdana" w:hAnsi="Verdana"/>
          <w:b w:val="0"/>
          <w:i/>
          <w:sz w:val="20"/>
          <w:szCs w:val="20"/>
          <w:lang w:val="es-ES"/>
        </w:rPr>
        <w:t xml:space="preserve"> in vitro,</w:t>
      </w:r>
      <w:r w:rsidRPr="0076756B">
        <w:rPr>
          <w:rFonts w:ascii="Verdana" w:hAnsi="Verdana"/>
          <w:b w:val="0"/>
          <w:sz w:val="20"/>
          <w:szCs w:val="20"/>
          <w:lang w:val="es-ES"/>
        </w:rPr>
        <w:t xml:space="preserve"> y por lo tanto, el Estado es responsable por la violación de los derechos consagrados en los artículos 1 (obligación de respetar los derechos), 2 (deber de adoptar disposiciones de derecho interno), 11 (protección a la honra y dignidad), 17.2 (fundar una familia) y 24 (igualdad ante la ley) de la Convención Americana sobre Derechos Humanos (en adelante “Convención” o “Convención Americana”). En las peticiones 1191-06, 678-06 y 545-07, el peticionario también alega la presunta violación de los artículos 4.1 (derecho a la vida), 5.2 (derecho a la integridad personal), y 26 (desarrollo progresivo de los derechos económicos, sociales y culturales) de la Convención Americana, así como los artículos 1, 2, 3, 10, 14.1.b y 18 del Protocolo Adicional a la Convención Americana en materia de Derechos Económicos, Sociales y Culturales (en adelante “Protocolo de San Salvador”). Respecto del agotamiento de los recursos de jurisdicción interna, sostiene que los recursos internos se encuentran agotados conforme  al artículo </w:t>
      </w:r>
      <w:r w:rsidRPr="0076756B">
        <w:rPr>
          <w:rFonts w:ascii="Verdana" w:hAnsi="Verdana"/>
          <w:b w:val="0"/>
          <w:bCs w:val="0"/>
          <w:sz w:val="20"/>
          <w:szCs w:val="20"/>
          <w:lang w:val="es-ES"/>
        </w:rPr>
        <w:t>46.1.a de la Convención Americana</w:t>
      </w:r>
      <w:r w:rsidRPr="0076756B">
        <w:rPr>
          <w:rFonts w:ascii="Verdana" w:hAnsi="Verdana" w:cs="Arial"/>
          <w:b w:val="0"/>
          <w:bCs w:val="0"/>
          <w:sz w:val="20"/>
          <w:szCs w:val="20"/>
          <w:lang w:val="es-ES" w:eastAsia="ja-JP"/>
        </w:rPr>
        <w:t>.</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bCs w:val="0"/>
          <w:sz w:val="20"/>
          <w:szCs w:val="20"/>
          <w:lang w:val="es-ES"/>
        </w:rPr>
        <w:t xml:space="preserve">Según el Estado, a nivel interno se determinó que las condiciones en las que se desarrollaba la técnica de la fecundación </w:t>
      </w:r>
      <w:r w:rsidRPr="0076756B">
        <w:rPr>
          <w:rFonts w:ascii="Verdana" w:hAnsi="Verdana"/>
          <w:b w:val="0"/>
          <w:bCs w:val="0"/>
          <w:i/>
          <w:sz w:val="20"/>
          <w:szCs w:val="20"/>
          <w:lang w:val="es-ES"/>
        </w:rPr>
        <w:t>in vitro</w:t>
      </w:r>
      <w:r w:rsidRPr="0076756B">
        <w:rPr>
          <w:rFonts w:ascii="Verdana" w:hAnsi="Verdana"/>
          <w:b w:val="0"/>
          <w:bCs w:val="0"/>
          <w:sz w:val="20"/>
          <w:szCs w:val="20"/>
          <w:lang w:val="es-ES"/>
        </w:rPr>
        <w:t xml:space="preserve">, atentaba contra la vida humana y este valor y derecho se superpone a cualquier otro. Respecto de los requisitos de admisibilidad, sostiene que las peticiones deberían ser declaradas inadmisibles porque los hechos alegados no caracterizan violación a los derechos humanos garantizados por la Convención Americana y porque fueron presentadas de manera extemporánea, es decir, fuera del plazo de los seis meses que establece el artículo 46.1.b de la Convención Americana y el numeral 32.1 del Reglamento de la Comisión Interamericana de Derechos Humanos (en adelante el “Reglamento de la CIDH”). </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Conforme a lo dispuesto por el artículo 29.d del Reglamento de la </w:t>
      </w:r>
      <w:r w:rsidRPr="0076756B">
        <w:rPr>
          <w:rFonts w:ascii="Verdana" w:hAnsi="Verdana"/>
          <w:b w:val="0"/>
          <w:bCs w:val="0"/>
          <w:sz w:val="20"/>
          <w:szCs w:val="20"/>
          <w:lang w:val="es-ES"/>
        </w:rPr>
        <w:t>CIDH</w:t>
      </w:r>
      <w:r w:rsidRPr="0076756B">
        <w:rPr>
          <w:rFonts w:ascii="Verdana" w:hAnsi="Verdana"/>
          <w:b w:val="0"/>
          <w:sz w:val="20"/>
          <w:szCs w:val="20"/>
          <w:lang w:val="es-ES"/>
        </w:rPr>
        <w:t xml:space="preserve">, las peticiones Nº </w:t>
      </w:r>
      <w:r w:rsidRPr="0076756B">
        <w:rPr>
          <w:rFonts w:ascii="Verdana" w:hAnsi="Verdana"/>
          <w:b w:val="0"/>
          <w:bCs w:val="0"/>
          <w:sz w:val="20"/>
          <w:szCs w:val="20"/>
          <w:lang w:val="es-ES"/>
        </w:rPr>
        <w:t xml:space="preserve">16-05, 678-06, 1191-06  fueron </w:t>
      </w:r>
      <w:r w:rsidRPr="0076756B">
        <w:rPr>
          <w:rFonts w:ascii="Verdana" w:hAnsi="Verdana"/>
          <w:b w:val="0"/>
          <w:sz w:val="20"/>
          <w:szCs w:val="20"/>
          <w:lang w:val="es-ES"/>
        </w:rPr>
        <w:t>acumuladas el 11 de marzo de 2009  a la petición 1368-04, en atención a que versan sobre hechos y alegaciones similares</w:t>
      </w:r>
      <w:r w:rsidRPr="0076756B">
        <w:rPr>
          <w:rFonts w:ascii="Verdana" w:hAnsi="Verdana"/>
          <w:b w:val="0"/>
          <w:bCs w:val="0"/>
          <w:sz w:val="20"/>
          <w:szCs w:val="20"/>
          <w:lang w:val="es-ES"/>
        </w:rPr>
        <w:t>. Igualmente fue acumulada la petici</w:t>
      </w:r>
      <w:r w:rsidRPr="0076756B">
        <w:rPr>
          <w:rFonts w:ascii="Verdana" w:hAnsi="Verdana" w:cs="Arial"/>
          <w:b w:val="0"/>
          <w:bCs w:val="0"/>
          <w:sz w:val="20"/>
          <w:szCs w:val="20"/>
          <w:lang w:val="es-ES"/>
        </w:rPr>
        <w:t>ón 545-07 el 22 de abril de 2010.</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Sin prejuzgar sobre el fondo del asunto, la Comisión concluye en este informe que la petición es admisible, a la luz de los artículos 46 y 47 de la Convención Americana. Por lo tanto, la Comisión Interamericana decide notificar la decisión a las partes y continuar con el </w:t>
      </w:r>
      <w:r w:rsidRPr="0076756B">
        <w:rPr>
          <w:rFonts w:ascii="Verdana" w:hAnsi="Verdana"/>
          <w:b w:val="0"/>
          <w:sz w:val="20"/>
          <w:szCs w:val="20"/>
          <w:lang w:val="es-ES"/>
        </w:rPr>
        <w:lastRenderedPageBreak/>
        <w:t>análisis de fondo relativo a la supuesta violación de los artículos 5.1, 11.2, 17.2 y 24 de la Convención Americana, todos ellos en concordancia con las obligaciones generales de respetar y garantizar los derechos, prevista en los artículos 1.1 y 2 de dicho instrumento internacional. En cuanto a los artículos 4 y 26 invocados, la Comisión los declaró inadmisibles. La Comisión decide además, notificarla, publicarla e incluirla en su Informe Anual a la Asamblea General de la OEA.</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keepNext/>
        <w:numPr>
          <w:ilvl w:val="1"/>
          <w:numId w:val="22"/>
        </w:numPr>
        <w:tabs>
          <w:tab w:val="clear" w:pos="2520"/>
        </w:tabs>
        <w:spacing w:before="0" w:beforeAutospacing="0" w:after="0" w:afterAutospacing="0"/>
        <w:ind w:left="1440"/>
        <w:jc w:val="both"/>
        <w:rPr>
          <w:rFonts w:ascii="Verdana" w:hAnsi="Verdana"/>
          <w:sz w:val="20"/>
          <w:szCs w:val="20"/>
          <w:lang w:val="es-ES"/>
        </w:rPr>
      </w:pPr>
      <w:r w:rsidRPr="0076756B">
        <w:rPr>
          <w:rFonts w:ascii="Verdana" w:hAnsi="Verdana"/>
          <w:sz w:val="20"/>
          <w:szCs w:val="20"/>
          <w:lang w:val="es-ES"/>
        </w:rPr>
        <w:t>TRÁMITE ANTE LA COMISIÓN</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ind w:left="708" w:firstLine="12"/>
        <w:rPr>
          <w:b/>
          <w:szCs w:val="20"/>
          <w:lang w:val="es-ES"/>
        </w:rPr>
      </w:pPr>
      <w:r w:rsidRPr="0076756B">
        <w:rPr>
          <w:b/>
          <w:szCs w:val="20"/>
          <w:lang w:val="es-ES"/>
        </w:rPr>
        <w:t>1.</w:t>
      </w:r>
      <w:r w:rsidRPr="0076756B">
        <w:rPr>
          <w:b/>
          <w:szCs w:val="20"/>
          <w:lang w:val="es-ES"/>
        </w:rPr>
        <w:tab/>
        <w:t>Petición 1368-04 (Daniel Gerardo Gómez Murillo y Aída Marcela Garita Sánchez)</w:t>
      </w:r>
    </w:p>
    <w:p w:rsidR="00453524" w:rsidRPr="0076756B" w:rsidRDefault="00453524" w:rsidP="0076756B">
      <w:pPr>
        <w:rPr>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El 15 de diciembre de 2004 la Comisión recibió la petición y le asign</w:t>
      </w:r>
      <w:r w:rsidRPr="0076756B">
        <w:rPr>
          <w:rFonts w:ascii="Verdana" w:hAnsi="Verdana" w:cs="Arial"/>
          <w:b w:val="0"/>
          <w:sz w:val="20"/>
          <w:szCs w:val="20"/>
          <w:lang w:val="es-ES"/>
        </w:rPr>
        <w:t xml:space="preserve">ó el número </w:t>
      </w:r>
      <w:r w:rsidRPr="0076756B">
        <w:rPr>
          <w:rFonts w:ascii="Verdana" w:hAnsi="Verdana"/>
          <w:b w:val="0"/>
          <w:sz w:val="20"/>
          <w:szCs w:val="20"/>
          <w:lang w:val="es-ES"/>
        </w:rPr>
        <w:t>1368-04.   El 17 de julio del 2006, la CIDH transmitió las partes pertinentes de la petición al Estado de Costa Rica, solicitándole que dentro del plazo de dos meses, presentara su respuesta, de conformidad con lo establecido en el artículo 30.2 del Reglamento de la CIDH. La respuesta del Estado fue recibida el 5 de agosto de 2005.</w:t>
      </w:r>
    </w:p>
    <w:p w:rsidR="00453524" w:rsidRPr="0076756B" w:rsidRDefault="00453524" w:rsidP="0076756B">
      <w:pPr>
        <w:rPr>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t xml:space="preserve">Además, la CIDH recibió información de los peticionarios en las siguientes fechas: 19 de junio de 2006, 7 de julio de 2006,  6 de septiembre de 2006, 19 de octubre de 2006, 15 de diciembre de 2006, </w:t>
      </w:r>
      <w:r w:rsidRPr="0076756B">
        <w:rPr>
          <w:szCs w:val="20"/>
          <w:lang w:val="es-ES"/>
        </w:rPr>
        <w:t xml:space="preserve">19 de enero de 2007, </w:t>
      </w:r>
      <w:r w:rsidRPr="0076756B">
        <w:rPr>
          <w:bCs/>
          <w:szCs w:val="20"/>
          <w:lang w:val="es-ES"/>
        </w:rPr>
        <w:t xml:space="preserve">12 de febrero de 2007, 26 de febrero de 2007, 3 de mayo de 2007, 11 de enero de 2008, 31 de marzo de 2008, 1 de abril de 2008, 7 de agosto de 2008, 8 de agosto de 2008, 21 de agosto de 2008, </w:t>
      </w:r>
      <w:r w:rsidRPr="0076756B">
        <w:rPr>
          <w:szCs w:val="20"/>
          <w:lang w:val="es-ES"/>
        </w:rPr>
        <w:t xml:space="preserve">30 de agosto de 2008, </w:t>
      </w:r>
      <w:r w:rsidRPr="0076756B">
        <w:rPr>
          <w:bCs/>
          <w:szCs w:val="20"/>
          <w:lang w:val="es-ES"/>
        </w:rPr>
        <w:t xml:space="preserve">28 de octubre de 2008, </w:t>
      </w:r>
      <w:r w:rsidRPr="0076756B">
        <w:rPr>
          <w:szCs w:val="20"/>
          <w:lang w:val="es-ES"/>
        </w:rPr>
        <w:t xml:space="preserve">24 de noviembre de 2008, </w:t>
      </w:r>
      <w:r w:rsidRPr="0076756B">
        <w:rPr>
          <w:bCs/>
          <w:szCs w:val="20"/>
          <w:lang w:val="es-ES"/>
        </w:rPr>
        <w:t>20 de enero de 2009, 5 de agosto de 2009, 19 de agosto de 2009, 18 de diciembre de 2009, 3 de enero de 2010, 13, 16 y 17 de febrero de 2010, 22 de febrero de 2010</w:t>
      </w:r>
      <w:r w:rsidRPr="0076756B">
        <w:rPr>
          <w:szCs w:val="20"/>
          <w:lang w:val="es-ES"/>
        </w:rPr>
        <w:t>.</w:t>
      </w:r>
      <w:r w:rsidRPr="0076756B">
        <w:rPr>
          <w:rFonts w:eastAsia="Times New Roman"/>
          <w:spacing w:val="-2"/>
          <w:szCs w:val="20"/>
          <w:lang w:val="es-ES"/>
        </w:rPr>
        <w:t xml:space="preserve"> </w:t>
      </w:r>
      <w:r w:rsidRPr="0076756B">
        <w:rPr>
          <w:rFonts w:eastAsia="Times New Roman"/>
          <w:szCs w:val="20"/>
          <w:lang w:val="es-ES"/>
        </w:rPr>
        <w:t>Dichas comunicaciones fueron debidamente trasladadas al Estado.</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t xml:space="preserve">Por otra parte, la CIDH recibió observaciones del Estado en las siguientes fechas: </w:t>
      </w:r>
      <w:r w:rsidRPr="0076756B">
        <w:rPr>
          <w:bCs/>
          <w:szCs w:val="20"/>
          <w:lang w:val="es-ES"/>
        </w:rPr>
        <w:t xml:space="preserve">20 de noviembre de 2006, 23 de marzo de 2007, 27 de febrero de 2007, 17 de mayo de 2007, </w:t>
      </w:r>
      <w:r w:rsidRPr="0076756B">
        <w:rPr>
          <w:rFonts w:eastAsia="Times New Roman"/>
          <w:spacing w:val="-2"/>
          <w:szCs w:val="20"/>
          <w:lang w:val="es-ES"/>
        </w:rPr>
        <w:t xml:space="preserve">18 de julio de 2007, 16 de octubre de 2008, 17 de octubre de 2008 </w:t>
      </w:r>
      <w:r w:rsidRPr="0076756B">
        <w:rPr>
          <w:bCs/>
          <w:szCs w:val="20"/>
          <w:lang w:val="es-ES"/>
        </w:rPr>
        <w:t>29 de octubre de 2008,</w:t>
      </w:r>
      <w:r w:rsidRPr="0076756B">
        <w:rPr>
          <w:rFonts w:eastAsia="Times New Roman"/>
          <w:spacing w:val="-2"/>
          <w:szCs w:val="20"/>
          <w:lang w:val="es-ES"/>
        </w:rPr>
        <w:t xml:space="preserve"> 24 de noviembre de 2008, </w:t>
      </w:r>
      <w:r w:rsidRPr="0076756B">
        <w:rPr>
          <w:bCs/>
          <w:szCs w:val="20"/>
          <w:lang w:val="es-ES"/>
        </w:rPr>
        <w:t>30 de enero de 2009, 13 de marzo de 2009, 26 de mayo de 2009, 3 de junio de 2009, 22 de enero de 2010</w:t>
      </w:r>
      <w:r w:rsidRPr="0076756B">
        <w:rPr>
          <w:rFonts w:eastAsia="Times New Roman"/>
          <w:spacing w:val="-2"/>
          <w:szCs w:val="20"/>
          <w:lang w:val="es-ES"/>
        </w:rPr>
        <w:t xml:space="preserve">. </w:t>
      </w:r>
      <w:r w:rsidRPr="0076756B">
        <w:rPr>
          <w:rFonts w:eastAsia="Times New Roman"/>
          <w:szCs w:val="20"/>
          <w:lang w:val="es-ES"/>
        </w:rPr>
        <w:t>Dichas comunicaciones fueron debidamente t</w:t>
      </w:r>
      <w:r w:rsidR="0076756B">
        <w:rPr>
          <w:rFonts w:eastAsia="Times New Roman"/>
          <w:szCs w:val="20"/>
          <w:lang w:val="es-ES"/>
        </w:rPr>
        <w:t>rasladadas a los peticionarios.</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zCs w:val="20"/>
          <w:lang w:val="es-ES"/>
        </w:rPr>
        <w:t xml:space="preserve">El 28 de octubre de 2008, durante el 133º Periodo Ordinario de Sesiones de la CIDH, se realizó una Audiencia Pública sobre las peticiones 1368-04, 16-05, 678-06 y 1196-06 y el caso 12.361. El caso 12.361 se refiere a las mismas alegaciones de esta petición, es decir la alegada violación a los derechos humanos que se originó con la sentencia </w:t>
      </w:r>
      <w:r w:rsidRPr="0076756B">
        <w:rPr>
          <w:spacing w:val="-2"/>
          <w:szCs w:val="20"/>
          <w:lang w:val="es-ES"/>
        </w:rPr>
        <w:t xml:space="preserve">02306 de 15 de marzo de 2000, dictada por la Sala Constitucional de Costa Rica al declarar la inconstitucionalidad del Decreto Presidencial 24029-S del 3 de febrero de 1995, que regulaba la práctica de la Fecundación </w:t>
      </w:r>
      <w:r w:rsidRPr="0076756B">
        <w:rPr>
          <w:i/>
          <w:spacing w:val="-2"/>
          <w:szCs w:val="20"/>
          <w:lang w:val="es-ES"/>
        </w:rPr>
        <w:t>in vitro</w:t>
      </w:r>
      <w:r w:rsidRPr="0076756B">
        <w:rPr>
          <w:spacing w:val="-2"/>
          <w:szCs w:val="20"/>
          <w:lang w:val="es-ES"/>
        </w:rPr>
        <w:t xml:space="preserve"> en el país. </w:t>
      </w:r>
      <w:r w:rsidRPr="0076756B">
        <w:rPr>
          <w:rFonts w:eastAsia="Times New Roman"/>
          <w:szCs w:val="20"/>
          <w:lang w:val="es-ES"/>
        </w:rPr>
        <w:t>La audiencia contó con la presencia de las presuntas víctimas, el testimonio de una víctima del caso 12.361 y con representantes del Estado de Costa Rica.</w:t>
      </w:r>
    </w:p>
    <w:p w:rsidR="00453524" w:rsidRPr="0076756B" w:rsidRDefault="00453524" w:rsidP="0076756B">
      <w:pPr>
        <w:rPr>
          <w:rFonts w:eastAsia="Times New Roman"/>
          <w:szCs w:val="20"/>
          <w:lang w:val="es-ES"/>
        </w:rPr>
      </w:pPr>
    </w:p>
    <w:p w:rsidR="00453524" w:rsidRPr="0076756B" w:rsidRDefault="00453524" w:rsidP="0076756B">
      <w:pPr>
        <w:numPr>
          <w:ilvl w:val="0"/>
          <w:numId w:val="26"/>
        </w:numPr>
        <w:rPr>
          <w:b/>
          <w:szCs w:val="20"/>
          <w:lang w:val="es-ES"/>
        </w:rPr>
      </w:pPr>
      <w:r w:rsidRPr="0076756B">
        <w:rPr>
          <w:b/>
          <w:szCs w:val="20"/>
          <w:lang w:val="es-ES"/>
        </w:rPr>
        <w:t xml:space="preserve">Petición 16-05 </w:t>
      </w:r>
      <w:r w:rsidRPr="0076756B">
        <w:rPr>
          <w:b/>
          <w:bCs/>
          <w:szCs w:val="20"/>
          <w:lang w:val="es-ES"/>
        </w:rPr>
        <w:t>(Roberto Pérez Gutiérrez y Silvia María Sosa)</w:t>
      </w:r>
    </w:p>
    <w:p w:rsidR="00453524" w:rsidRPr="0076756B" w:rsidRDefault="00453524" w:rsidP="0076756B">
      <w:pPr>
        <w:rPr>
          <w:b/>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21 de diciembre de 2004 la Comisión recibió la petición y le asignó el número 16-05. El 17 de julio de 2006, la CIDH transmitió las partes pertinentes de la petición al Estado de Costa Rica, solicitándole que dentro del plazo de dos meses, presentara su respuesta, de conformidad con lo establecido en el artículo 30.2 del Reglamento de la CIDH. </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t xml:space="preserve">Además, la CIDH recibió información de los peticionarios en las siguientes fechas: 19 de junio de 2006, 6 de septiembre de 2006, 19 de octubre de 2006, 15 de diciembre de 2006, </w:t>
      </w:r>
      <w:r w:rsidRPr="0076756B">
        <w:rPr>
          <w:szCs w:val="20"/>
          <w:lang w:val="es-ES"/>
        </w:rPr>
        <w:t xml:space="preserve">19 de enero de 2007, </w:t>
      </w:r>
      <w:r w:rsidRPr="0076756B">
        <w:rPr>
          <w:bCs/>
          <w:szCs w:val="20"/>
          <w:lang w:val="es-ES"/>
        </w:rPr>
        <w:t xml:space="preserve">12 de febrero de 2007, 26 de febrero de 2007, 3 de mayo de 2007, 11 de enero de 2008, 31 de marzo de 2008, 1 de abril de 2008, 7 de agosto de 2008, 8 de agosto de 2008, 21 de agosto de 2008, </w:t>
      </w:r>
      <w:r w:rsidRPr="0076756B">
        <w:rPr>
          <w:szCs w:val="20"/>
          <w:lang w:val="es-ES"/>
        </w:rPr>
        <w:t xml:space="preserve">30 de agosto de 2008, </w:t>
      </w:r>
      <w:r w:rsidRPr="0076756B">
        <w:rPr>
          <w:rFonts w:eastAsia="Times New Roman"/>
          <w:spacing w:val="-2"/>
          <w:szCs w:val="20"/>
          <w:lang w:val="es-ES"/>
        </w:rPr>
        <w:t xml:space="preserve">1 de octubre de 2008, </w:t>
      </w:r>
      <w:r w:rsidRPr="0076756B">
        <w:rPr>
          <w:bCs/>
          <w:szCs w:val="20"/>
          <w:lang w:val="es-ES"/>
        </w:rPr>
        <w:t xml:space="preserve">28 de octubre de 2008, </w:t>
      </w:r>
      <w:r w:rsidRPr="0076756B">
        <w:rPr>
          <w:szCs w:val="20"/>
          <w:lang w:val="es-ES"/>
        </w:rPr>
        <w:t>24 de noviembre de 2008, 20 de enero de 2009</w:t>
      </w:r>
      <w:r w:rsidRPr="0076756B">
        <w:rPr>
          <w:rFonts w:eastAsia="Times New Roman"/>
          <w:spacing w:val="-2"/>
          <w:szCs w:val="20"/>
          <w:lang w:val="es-ES"/>
        </w:rPr>
        <w:t xml:space="preserve">. </w:t>
      </w:r>
      <w:r w:rsidRPr="0076756B">
        <w:rPr>
          <w:rFonts w:eastAsia="Times New Roman"/>
          <w:szCs w:val="20"/>
          <w:lang w:val="es-ES"/>
        </w:rPr>
        <w:t>Dichas comunicaciones fueron debidamente trasladadas al Estado.</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lastRenderedPageBreak/>
        <w:t xml:space="preserve">Por otra parte, la CIDH recibió observaciones del Estado en las siguientes fechas: </w:t>
      </w:r>
      <w:r w:rsidRPr="0076756B">
        <w:rPr>
          <w:bCs/>
          <w:szCs w:val="20"/>
          <w:lang w:val="es-ES"/>
        </w:rPr>
        <w:t xml:space="preserve">20 de noviembre de 2006, 23 de marzo de 2007, 27 de febrero de 2007, 17 de mayo de 2007, </w:t>
      </w:r>
      <w:r w:rsidRPr="0076756B">
        <w:rPr>
          <w:rFonts w:eastAsia="Times New Roman"/>
          <w:spacing w:val="-2"/>
          <w:szCs w:val="20"/>
          <w:lang w:val="es-ES"/>
        </w:rPr>
        <w:t xml:space="preserve">16 de octubre de 2008, </w:t>
      </w:r>
      <w:r w:rsidRPr="0076756B">
        <w:rPr>
          <w:bCs/>
          <w:szCs w:val="20"/>
          <w:lang w:val="es-ES"/>
        </w:rPr>
        <w:t>29 de octubre de 2008,</w:t>
      </w:r>
      <w:r w:rsidRPr="0076756B">
        <w:rPr>
          <w:rFonts w:eastAsia="Times New Roman"/>
          <w:spacing w:val="-2"/>
          <w:szCs w:val="20"/>
          <w:lang w:val="es-ES"/>
        </w:rPr>
        <w:t xml:space="preserve"> 24 de noviembre de 2008, </w:t>
      </w:r>
      <w:r w:rsidRPr="0076756B">
        <w:rPr>
          <w:bCs/>
          <w:szCs w:val="20"/>
          <w:lang w:val="es-ES"/>
        </w:rPr>
        <w:t>30 de enero de 2009</w:t>
      </w:r>
      <w:r w:rsidRPr="0076756B">
        <w:rPr>
          <w:rFonts w:eastAsia="Times New Roman"/>
          <w:spacing w:val="-2"/>
          <w:szCs w:val="20"/>
          <w:lang w:val="es-ES"/>
        </w:rPr>
        <w:t xml:space="preserve">. </w:t>
      </w:r>
      <w:r w:rsidRPr="0076756B">
        <w:rPr>
          <w:rFonts w:eastAsia="Times New Roman"/>
          <w:szCs w:val="20"/>
          <w:lang w:val="es-ES"/>
        </w:rPr>
        <w:t xml:space="preserve">Dichas comunicaciones fueron debidamente trasladadas a los peticionarios. </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zCs w:val="20"/>
          <w:lang w:val="es-ES"/>
        </w:rPr>
        <w:t>El 28 de octubre de 2008, durante el 133º Periodo Ordinario de Sesiones de la CIDH, se realizó una Audiencia Pública sobre las peticiones 1368-04, 16-05, 678-06 y 1196-06 y el caso 12.361</w:t>
      </w:r>
      <w:r w:rsidRPr="0076756B">
        <w:rPr>
          <w:rStyle w:val="FootnoteReference"/>
          <w:szCs w:val="20"/>
          <w:lang w:val="es-ES"/>
        </w:rPr>
        <w:footnoteReference w:id="1"/>
      </w:r>
      <w:r w:rsidRPr="0076756B">
        <w:rPr>
          <w:rFonts w:eastAsia="Times New Roman"/>
          <w:szCs w:val="20"/>
          <w:lang w:val="es-ES"/>
        </w:rPr>
        <w:t>. La audiencia contó con la presencia de las presuntas víctimas, el testimonio de una víctima del caso 12.361 y con representantes del Estado de Costa Rica.</w:t>
      </w:r>
    </w:p>
    <w:p w:rsidR="00453524" w:rsidRPr="0076756B" w:rsidRDefault="00453524" w:rsidP="0076756B">
      <w:pPr>
        <w:rPr>
          <w:rFonts w:eastAsia="Times New Roman"/>
          <w:szCs w:val="20"/>
          <w:lang w:val="es-ES"/>
        </w:rPr>
      </w:pPr>
    </w:p>
    <w:p w:rsidR="00453524" w:rsidRPr="0076756B" w:rsidRDefault="00453524" w:rsidP="0076756B">
      <w:pPr>
        <w:numPr>
          <w:ilvl w:val="0"/>
          <w:numId w:val="26"/>
        </w:numPr>
        <w:rPr>
          <w:b/>
          <w:szCs w:val="20"/>
          <w:lang w:val="es-ES"/>
        </w:rPr>
      </w:pPr>
      <w:r w:rsidRPr="0076756B">
        <w:rPr>
          <w:rFonts w:eastAsia="Times New Roman"/>
          <w:b/>
          <w:szCs w:val="20"/>
          <w:lang w:val="es-ES"/>
        </w:rPr>
        <w:t>P</w:t>
      </w:r>
      <w:r w:rsidRPr="0076756B">
        <w:rPr>
          <w:b/>
          <w:szCs w:val="20"/>
          <w:lang w:val="es-ES"/>
        </w:rPr>
        <w:t>etición 678-06 (Luis M. Cruz Comparaz, Raquel Sanvicente y Otros)</w:t>
      </w:r>
    </w:p>
    <w:p w:rsidR="00453524" w:rsidRPr="0076756B" w:rsidRDefault="00453524" w:rsidP="0076756B">
      <w:pPr>
        <w:ind w:left="720"/>
        <w:rPr>
          <w:b/>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28 de junio de 2006 la Comisión recibió la petición y le asignó el número 678-06. El 17 de julio del 2006, la CIDH transmitió las partes pertinentes de la petición al Estado de Costa Rica, solicitándole que dentro del plazo de dos meses, presentara su respuesta, de conformidad con lo establecido en el artículo 30.2 del Reglamento de la CIDH. La respuesta del Estado fue recibida el 14 de mayo de 2007, mediante la cual indicó que envió sus observaciones mediante comunicación de fecha 16 de noviembre de 2006, cuando presentó observaciones al caso 12.361. La CIDH nota que el caso 12.361, que se encuentra en etapa de fondo, se refiere a los mismos hechos a los que se refiere esta petición.  </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t xml:space="preserve">Además, la CIDH recibió información de los peticionarios en las siguientes fechas: 6 de septiembre de 2006, 19 de octubre de 2006, 15 de diciembre de 2006, </w:t>
      </w:r>
      <w:r w:rsidRPr="0076756B">
        <w:rPr>
          <w:szCs w:val="20"/>
          <w:lang w:val="es-ES"/>
        </w:rPr>
        <w:t xml:space="preserve">19 de enero de 2007, </w:t>
      </w:r>
      <w:r w:rsidRPr="0076756B">
        <w:rPr>
          <w:bCs/>
          <w:szCs w:val="20"/>
          <w:lang w:val="es-ES"/>
        </w:rPr>
        <w:t xml:space="preserve">12 de febrero de 2007, 26 de febrero de 2007, 3 de mayo de 2007, 11 de enero de 2008, 31 de marzo de 2008, 1 de abril de 2008, 7 de agosto de 2008, 8 de agosto de 2008, 21 de agosto de 2008, </w:t>
      </w:r>
      <w:r w:rsidRPr="0076756B">
        <w:rPr>
          <w:szCs w:val="20"/>
          <w:lang w:val="es-ES"/>
        </w:rPr>
        <w:t xml:space="preserve">30 de agosto de 2008, </w:t>
      </w:r>
      <w:r w:rsidRPr="0076756B">
        <w:rPr>
          <w:rFonts w:eastAsia="Times New Roman"/>
          <w:spacing w:val="-2"/>
          <w:szCs w:val="20"/>
          <w:lang w:val="es-ES"/>
        </w:rPr>
        <w:t xml:space="preserve">1 de octubre de 2008, </w:t>
      </w:r>
      <w:r w:rsidRPr="0076756B">
        <w:rPr>
          <w:bCs/>
          <w:szCs w:val="20"/>
          <w:lang w:val="es-ES"/>
        </w:rPr>
        <w:t xml:space="preserve">28 de octubre de 2008, </w:t>
      </w:r>
      <w:r w:rsidRPr="0076756B">
        <w:rPr>
          <w:szCs w:val="20"/>
          <w:lang w:val="es-ES"/>
        </w:rPr>
        <w:t xml:space="preserve">24 de noviembre de 2008, </w:t>
      </w:r>
      <w:r w:rsidRPr="0076756B">
        <w:rPr>
          <w:bCs/>
          <w:szCs w:val="20"/>
          <w:lang w:val="es-ES"/>
        </w:rPr>
        <w:t>20 de enero de 2009</w:t>
      </w:r>
      <w:r w:rsidRPr="0076756B">
        <w:rPr>
          <w:rFonts w:eastAsia="Times New Roman"/>
          <w:spacing w:val="-2"/>
          <w:szCs w:val="20"/>
          <w:lang w:val="es-ES"/>
        </w:rPr>
        <w:t xml:space="preserve">. </w:t>
      </w:r>
      <w:r w:rsidRPr="0076756B">
        <w:rPr>
          <w:rFonts w:eastAsia="Times New Roman"/>
          <w:szCs w:val="20"/>
          <w:lang w:val="es-ES"/>
        </w:rPr>
        <w:t>Dichas comunicaciones fueron debidamente trasladadas al Estado.</w:t>
      </w:r>
    </w:p>
    <w:p w:rsidR="00453524" w:rsidRPr="0076756B" w:rsidRDefault="00453524" w:rsidP="0076756B">
      <w:pPr>
        <w:rPr>
          <w:rFonts w:eastAsia="Times New Roman"/>
          <w:spacing w:val="-2"/>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pacing w:val="-2"/>
          <w:szCs w:val="20"/>
          <w:lang w:val="es-ES"/>
        </w:rPr>
        <w:t xml:space="preserve">Por otra parte, la CIDH recibió observaciones del Estado en las siguientes fechas: </w:t>
      </w:r>
      <w:r w:rsidRPr="0076756B">
        <w:rPr>
          <w:bCs/>
          <w:szCs w:val="20"/>
          <w:lang w:val="es-ES"/>
        </w:rPr>
        <w:t>20 de</w:t>
      </w:r>
      <w:r w:rsidRPr="0076756B">
        <w:rPr>
          <w:b/>
          <w:bCs/>
          <w:szCs w:val="20"/>
          <w:lang w:val="es-ES"/>
        </w:rPr>
        <w:t xml:space="preserve"> </w:t>
      </w:r>
      <w:r w:rsidRPr="0076756B">
        <w:rPr>
          <w:bCs/>
          <w:szCs w:val="20"/>
          <w:lang w:val="es-ES"/>
        </w:rPr>
        <w:t xml:space="preserve">noviembre de 2006, 23 de marzo de 2007, 27 de febrero de 2007, 17 de mayo de 2007, </w:t>
      </w:r>
      <w:r w:rsidRPr="0076756B">
        <w:rPr>
          <w:rFonts w:eastAsia="Times New Roman"/>
          <w:spacing w:val="-2"/>
          <w:szCs w:val="20"/>
          <w:lang w:val="es-ES"/>
        </w:rPr>
        <w:t xml:space="preserve">18 de julio de 2007, 16 de octubre de 2008, </w:t>
      </w:r>
      <w:r w:rsidRPr="0076756B">
        <w:rPr>
          <w:bCs/>
          <w:szCs w:val="20"/>
          <w:lang w:val="es-ES"/>
        </w:rPr>
        <w:t xml:space="preserve">29 de octubre de 2008, </w:t>
      </w:r>
      <w:r w:rsidRPr="0076756B">
        <w:rPr>
          <w:rFonts w:eastAsia="Times New Roman"/>
          <w:spacing w:val="-2"/>
          <w:szCs w:val="20"/>
          <w:lang w:val="es-ES"/>
        </w:rPr>
        <w:t xml:space="preserve">24 de noviembre de 2008, </w:t>
      </w:r>
      <w:r w:rsidRPr="0076756B">
        <w:rPr>
          <w:bCs/>
          <w:szCs w:val="20"/>
          <w:lang w:val="es-ES"/>
        </w:rPr>
        <w:t>30 de enero de 2009</w:t>
      </w:r>
      <w:r w:rsidRPr="0076756B">
        <w:rPr>
          <w:rFonts w:eastAsia="Times New Roman"/>
          <w:spacing w:val="-2"/>
          <w:szCs w:val="20"/>
          <w:lang w:val="es-ES"/>
        </w:rPr>
        <w:t xml:space="preserve">. </w:t>
      </w:r>
      <w:r w:rsidRPr="0076756B">
        <w:rPr>
          <w:rFonts w:eastAsia="Times New Roman"/>
          <w:szCs w:val="20"/>
          <w:lang w:val="es-ES"/>
        </w:rPr>
        <w:t>Dichas comunicaciones fueron debidamente trasladadas a los peticionarios.</w:t>
      </w:r>
    </w:p>
    <w:p w:rsidR="00453524" w:rsidRPr="0076756B" w:rsidRDefault="00453524" w:rsidP="0076756B">
      <w:pPr>
        <w:rPr>
          <w:rFonts w:eastAsia="Times New Roman"/>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zCs w:val="20"/>
          <w:lang w:val="es-ES"/>
        </w:rPr>
        <w:t>El 28 de octubre de 2008, durante el 133º Periodo Ordinario de Sesiones de la CIDH, se realizó una Audiencia Pública sobre las peticiones 1368-04, 16-05, 678-06 y 1196-06 y el caso 12.361</w:t>
      </w:r>
      <w:r w:rsidRPr="0076756B">
        <w:rPr>
          <w:rStyle w:val="FootnoteReference"/>
          <w:szCs w:val="20"/>
          <w:lang w:val="es-ES"/>
        </w:rPr>
        <w:footnoteReference w:id="2"/>
      </w:r>
      <w:r w:rsidRPr="0076756B">
        <w:rPr>
          <w:rFonts w:eastAsia="Times New Roman"/>
          <w:szCs w:val="20"/>
          <w:lang w:val="es-ES"/>
        </w:rPr>
        <w:t>. La audiencia contó con la presencia de las presuntas víctimas, el testimonio de una víctima del caso 12.361 y con representantes del Estado de Costa Rica.</w:t>
      </w:r>
    </w:p>
    <w:p w:rsidR="00453524" w:rsidRPr="0076756B" w:rsidRDefault="00453524" w:rsidP="0076756B">
      <w:pPr>
        <w:rPr>
          <w:rFonts w:eastAsia="Times New Roman"/>
          <w:szCs w:val="20"/>
          <w:lang w:val="es-ES"/>
        </w:rPr>
      </w:pPr>
    </w:p>
    <w:p w:rsidR="00453524" w:rsidRPr="0076756B" w:rsidRDefault="00453524" w:rsidP="0076756B">
      <w:pPr>
        <w:ind w:left="720"/>
        <w:rPr>
          <w:b/>
          <w:szCs w:val="20"/>
          <w:lang w:val="es-ES"/>
        </w:rPr>
      </w:pPr>
      <w:r w:rsidRPr="0076756B">
        <w:rPr>
          <w:b/>
          <w:szCs w:val="20"/>
          <w:lang w:val="es-ES"/>
        </w:rPr>
        <w:t xml:space="preserve">4. </w:t>
      </w:r>
      <w:r w:rsidRPr="0076756B">
        <w:rPr>
          <w:b/>
          <w:szCs w:val="20"/>
          <w:lang w:val="es-ES"/>
        </w:rPr>
        <w:tab/>
        <w:t>Petición 1191-06 (Carlos E. López y Albania Elizondo Rodríguez)</w:t>
      </w:r>
    </w:p>
    <w:p w:rsidR="00453524" w:rsidRPr="0076756B" w:rsidRDefault="00453524" w:rsidP="0076756B">
      <w:pPr>
        <w:pStyle w:val="Heading2"/>
        <w:spacing w:before="0" w:beforeAutospacing="0" w:after="0" w:afterAutospacing="0"/>
        <w:ind w:firstLine="720"/>
        <w:jc w:val="both"/>
        <w:rPr>
          <w:rFonts w:ascii="Verdana" w:hAnsi="Verdana"/>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El 11 de octubre de 2006 la Comisión recibió la petición y le asignó el número 1191-06. El 12 de febrero del 2007, la CIDH transmitió las partes pertinentes de la petición al Estado de Costa Rica, solicitándole que dentro del plazo de dos meses, presentara su respuesta, de conformidad con lo establecido en el artículo 30.2 del Reglamento de la CIDH. La respuesta del Estado fue recibida el 11 de abril de 2007.</w:t>
      </w:r>
    </w:p>
    <w:p w:rsidR="00453524" w:rsidRPr="0076756B" w:rsidRDefault="00453524" w:rsidP="0076756B">
      <w:pPr>
        <w:rPr>
          <w:rFonts w:eastAsia="Times New Roman"/>
          <w:spacing w:val="-2"/>
          <w:szCs w:val="20"/>
          <w:lang w:val="es-ES"/>
        </w:rPr>
      </w:pPr>
    </w:p>
    <w:p w:rsidR="00453524" w:rsidRPr="0076756B" w:rsidRDefault="00453524" w:rsidP="0076756B">
      <w:pPr>
        <w:numPr>
          <w:ilvl w:val="0"/>
          <w:numId w:val="22"/>
        </w:numPr>
        <w:rPr>
          <w:szCs w:val="20"/>
          <w:lang w:val="es-ES"/>
        </w:rPr>
      </w:pPr>
      <w:r w:rsidRPr="0076756B">
        <w:rPr>
          <w:rFonts w:eastAsia="Times New Roman"/>
          <w:spacing w:val="-2"/>
          <w:szCs w:val="20"/>
          <w:lang w:val="es-ES"/>
        </w:rPr>
        <w:t xml:space="preserve">Además, la CIDH recibió información de los peticionarios en las siguientes fechas: </w:t>
      </w:r>
      <w:r w:rsidRPr="0076756B">
        <w:rPr>
          <w:szCs w:val="20"/>
          <w:lang w:val="es-ES"/>
        </w:rPr>
        <w:t xml:space="preserve">19 de enero de 2007, 26 de febrero de 2007, 3 de mayo de 2007, 3 de mayo de 2007, 11 de enero de 2008, 31 de marzo de 2008, 1 de abril de 2008, 7 de agosto de 2008, 8 de agosto de 2008, 21 de agosto de 2008, 30 de agosto de 2008, 28 de octubre de 2008, 24 de noviembre de 2008, 28 de octubre de 2008, 20 de enero de 2009. </w:t>
      </w:r>
      <w:r w:rsidRPr="0076756B">
        <w:rPr>
          <w:rFonts w:eastAsia="Times New Roman"/>
          <w:szCs w:val="20"/>
          <w:lang w:val="es-ES"/>
        </w:rPr>
        <w:t>Dichas comunicaciones fueron debidamente trasladadas al Estado.</w:t>
      </w:r>
    </w:p>
    <w:p w:rsidR="00453524" w:rsidRPr="0076756B" w:rsidRDefault="00453524" w:rsidP="0076756B">
      <w:pPr>
        <w:rPr>
          <w:szCs w:val="20"/>
          <w:lang w:val="es-ES"/>
        </w:rPr>
      </w:pPr>
    </w:p>
    <w:p w:rsidR="00453524" w:rsidRPr="0076756B" w:rsidRDefault="00453524" w:rsidP="0076756B">
      <w:pPr>
        <w:numPr>
          <w:ilvl w:val="0"/>
          <w:numId w:val="22"/>
        </w:numPr>
        <w:rPr>
          <w:szCs w:val="20"/>
          <w:lang w:val="es-ES"/>
        </w:rPr>
      </w:pPr>
      <w:r w:rsidRPr="0076756B">
        <w:rPr>
          <w:szCs w:val="20"/>
          <w:lang w:val="es-ES"/>
        </w:rPr>
        <w:t xml:space="preserve">Por otra parte, la CIDH recibió observaciones del Estado en las siguientes fechas: 20 de noviembre de 2006, 23 de marzo de 2007, 27 de febrero de 2007, 17 de mayo de 2007, </w:t>
      </w:r>
      <w:r w:rsidRPr="0076756B">
        <w:rPr>
          <w:szCs w:val="20"/>
          <w:lang w:val="es-ES"/>
        </w:rPr>
        <w:lastRenderedPageBreak/>
        <w:t>17 de mayo de 2007, 16 de octubre de 2008, 29 de octubre de 2008, 24 de noviembre de 2008, 30 de enero de 2009. Dichas comunicaciones fueron debidamente trasladadas a los peticionarios.</w:t>
      </w:r>
    </w:p>
    <w:p w:rsidR="00453524" w:rsidRPr="0076756B" w:rsidRDefault="00453524" w:rsidP="0076756B">
      <w:pPr>
        <w:rPr>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zCs w:val="20"/>
          <w:lang w:val="es-ES"/>
        </w:rPr>
        <w:t>El 28 de octubre de 2008, durante el 133º Periodo Ordinario de Sesiones de la CIDH, se realizó una Audiencia Pública sobre las peticiones 1368-04, 16-05, 678-06 y 1196-06 y el caso 12.361</w:t>
      </w:r>
      <w:r w:rsidRPr="0076756B">
        <w:rPr>
          <w:rStyle w:val="FootnoteReference"/>
          <w:szCs w:val="20"/>
          <w:lang w:val="es-ES"/>
        </w:rPr>
        <w:footnoteReference w:id="3"/>
      </w:r>
      <w:r w:rsidRPr="0076756B">
        <w:rPr>
          <w:rFonts w:eastAsia="Times New Roman"/>
          <w:szCs w:val="20"/>
          <w:lang w:val="es-ES"/>
        </w:rPr>
        <w:t>. La audiencia contó con la presencia de las presuntas víctimas, el testimonio de una víctima del caso 12.361 y con representantes del Estado de Costa Rica.</w:t>
      </w:r>
    </w:p>
    <w:p w:rsidR="00453524" w:rsidRPr="0076756B" w:rsidRDefault="00453524" w:rsidP="0076756B">
      <w:pPr>
        <w:rPr>
          <w:szCs w:val="20"/>
          <w:lang w:val="es-ES"/>
        </w:rPr>
      </w:pPr>
    </w:p>
    <w:p w:rsidR="00453524" w:rsidRPr="0076756B" w:rsidRDefault="00453524" w:rsidP="0076756B">
      <w:pPr>
        <w:numPr>
          <w:ilvl w:val="0"/>
          <w:numId w:val="22"/>
        </w:numPr>
        <w:rPr>
          <w:szCs w:val="20"/>
          <w:lang w:val="es-ES"/>
        </w:rPr>
      </w:pPr>
      <w:r w:rsidRPr="0076756B">
        <w:rPr>
          <w:rFonts w:eastAsia="Times New Roman"/>
          <w:szCs w:val="20"/>
          <w:lang w:val="es-ES"/>
        </w:rPr>
        <w:t xml:space="preserve">El 11 de marzo de 2009 se acumularon las peticiones </w:t>
      </w:r>
      <w:r w:rsidRPr="0076756B">
        <w:rPr>
          <w:szCs w:val="20"/>
          <w:lang w:val="es-ES"/>
        </w:rPr>
        <w:t>Nº 16-05, 678-06, 1191-06  a la petición 1368-04.</w:t>
      </w:r>
    </w:p>
    <w:p w:rsidR="00453524" w:rsidRPr="0076756B" w:rsidRDefault="00453524" w:rsidP="0076756B">
      <w:pPr>
        <w:rPr>
          <w:szCs w:val="20"/>
          <w:lang w:val="es-ES"/>
        </w:rPr>
      </w:pPr>
    </w:p>
    <w:p w:rsidR="00453524" w:rsidRPr="0076756B" w:rsidRDefault="00453524" w:rsidP="0076756B">
      <w:pPr>
        <w:numPr>
          <w:ilvl w:val="0"/>
          <w:numId w:val="27"/>
        </w:numPr>
        <w:rPr>
          <w:b/>
          <w:szCs w:val="20"/>
          <w:lang w:val="es-ES"/>
        </w:rPr>
      </w:pPr>
      <w:r w:rsidRPr="0076756B">
        <w:rPr>
          <w:b/>
          <w:szCs w:val="20"/>
          <w:lang w:val="es-ES"/>
        </w:rPr>
        <w:t>Petición 545-07 (Miguel Acuña Cartín y Patricia Núñez Marín)</w:t>
      </w:r>
    </w:p>
    <w:p w:rsidR="00453524" w:rsidRPr="0076756B" w:rsidRDefault="00453524" w:rsidP="0076756B">
      <w:pPr>
        <w:ind w:left="720"/>
        <w:rPr>
          <w:szCs w:val="20"/>
          <w:lang w:val="es-ES"/>
        </w:rPr>
      </w:pPr>
    </w:p>
    <w:p w:rsidR="00453524" w:rsidRPr="0076756B" w:rsidRDefault="00453524" w:rsidP="0076756B">
      <w:pPr>
        <w:numPr>
          <w:ilvl w:val="0"/>
          <w:numId w:val="22"/>
        </w:numPr>
        <w:rPr>
          <w:szCs w:val="20"/>
          <w:lang w:val="es-ES"/>
        </w:rPr>
      </w:pPr>
      <w:r w:rsidRPr="0076756B">
        <w:rPr>
          <w:szCs w:val="20"/>
          <w:lang w:val="es-ES"/>
        </w:rPr>
        <w:t xml:space="preserve">El 3 de mayo de 2007, la Comisión recibió la petición y le asignó el número 545-07. El 30 de mayo de 2007, la CIDH transmitió las partes pertinentes de la petición al Estado de Costa Rica, </w:t>
      </w:r>
      <w:r w:rsidRPr="0076756B">
        <w:rPr>
          <w:rFonts w:eastAsia="Times New Roman"/>
          <w:szCs w:val="20"/>
          <w:lang w:val="es-ES"/>
        </w:rPr>
        <w:t>solicitándole que dentro del plazo de dos meses, presentara su respuesta, de conformidad con lo establecido en el artículo 30.2 del Reglamento de la CIDH. La respuesta del Estado fue recibida el 31 de julio de 2007. Dicha comunicación fue debidamente trasladada al peticionario.</w:t>
      </w:r>
    </w:p>
    <w:p w:rsidR="00453524" w:rsidRPr="0076756B" w:rsidRDefault="00453524" w:rsidP="0076756B">
      <w:pPr>
        <w:rPr>
          <w:szCs w:val="20"/>
          <w:lang w:val="es-ES"/>
        </w:rPr>
      </w:pPr>
    </w:p>
    <w:p w:rsidR="00453524" w:rsidRPr="0076756B" w:rsidRDefault="00453524" w:rsidP="0076756B">
      <w:pPr>
        <w:numPr>
          <w:ilvl w:val="0"/>
          <w:numId w:val="22"/>
        </w:numPr>
        <w:rPr>
          <w:rFonts w:eastAsia="Times New Roman"/>
          <w:szCs w:val="20"/>
          <w:lang w:val="es-ES"/>
        </w:rPr>
      </w:pPr>
      <w:r w:rsidRPr="0076756B">
        <w:rPr>
          <w:rFonts w:eastAsia="Times New Roman"/>
          <w:szCs w:val="20"/>
          <w:lang w:val="es-ES"/>
        </w:rPr>
        <w:t xml:space="preserve">Asimismo, el 28 de octubre de 2008, durante el 133º período ordinario de sesiones de la CIDH, se realizó una audiencia pública sobre la petición 1368-04 y sobre el caso 12.361 que se encuentra en etapa de fondo. La audiencia contó con la asistencia del representante de las presuntas víctimas, el testimonio de una presunta víctima del caso 12.361, Andrea Bianchi Bruno, y con representantes del Estado de Costa Rica. </w:t>
      </w:r>
    </w:p>
    <w:p w:rsidR="00453524" w:rsidRPr="0076756B" w:rsidRDefault="00453524" w:rsidP="0076756B">
      <w:pPr>
        <w:rPr>
          <w:rFonts w:eastAsia="Times New Roman"/>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Conforme a lo dispuesto por el artículo 29.d del Reglamento de la </w:t>
      </w:r>
      <w:r w:rsidRPr="0076756B">
        <w:rPr>
          <w:rFonts w:ascii="Verdana" w:hAnsi="Verdana"/>
          <w:b w:val="0"/>
          <w:bCs w:val="0"/>
          <w:sz w:val="20"/>
          <w:szCs w:val="20"/>
          <w:lang w:val="es-ES"/>
        </w:rPr>
        <w:t>CIDH</w:t>
      </w:r>
      <w:r w:rsidRPr="0076756B">
        <w:rPr>
          <w:rFonts w:ascii="Verdana" w:hAnsi="Verdana"/>
          <w:b w:val="0"/>
          <w:sz w:val="20"/>
          <w:szCs w:val="20"/>
          <w:lang w:val="es-ES"/>
        </w:rPr>
        <w:t xml:space="preserve">, </w:t>
      </w:r>
      <w:r w:rsidRPr="0076756B">
        <w:rPr>
          <w:rFonts w:ascii="Verdana" w:hAnsi="Verdana"/>
          <w:b w:val="0"/>
          <w:bCs w:val="0"/>
          <w:sz w:val="20"/>
          <w:szCs w:val="20"/>
          <w:lang w:val="es-ES"/>
        </w:rPr>
        <w:t>la petici</w:t>
      </w:r>
      <w:r w:rsidRPr="0076756B">
        <w:rPr>
          <w:rFonts w:ascii="Verdana" w:hAnsi="Verdana" w:cs="Arial"/>
          <w:b w:val="0"/>
          <w:bCs w:val="0"/>
          <w:sz w:val="20"/>
          <w:szCs w:val="20"/>
          <w:lang w:val="es-ES"/>
        </w:rPr>
        <w:t>ón 545-07 fue acumulada a la petición 1368-04.</w:t>
      </w:r>
    </w:p>
    <w:p w:rsidR="00453524" w:rsidRPr="0076756B" w:rsidRDefault="00453524" w:rsidP="0076756B">
      <w:pPr>
        <w:rPr>
          <w:rFonts w:eastAsia="Times New Roman"/>
          <w:szCs w:val="20"/>
          <w:lang w:val="es-ES"/>
        </w:rPr>
      </w:pPr>
    </w:p>
    <w:p w:rsidR="00453524" w:rsidRPr="0076756B" w:rsidRDefault="00453524" w:rsidP="0076756B">
      <w:pPr>
        <w:ind w:left="1440" w:hanging="720"/>
        <w:rPr>
          <w:b/>
          <w:szCs w:val="20"/>
          <w:lang w:val="es-ES"/>
        </w:rPr>
      </w:pPr>
      <w:r w:rsidRPr="0076756B">
        <w:rPr>
          <w:b/>
          <w:szCs w:val="20"/>
          <w:lang w:val="es-ES"/>
        </w:rPr>
        <w:t>III.</w:t>
      </w:r>
      <w:r w:rsidRPr="0076756B">
        <w:rPr>
          <w:b/>
          <w:szCs w:val="20"/>
          <w:lang w:val="es-ES"/>
        </w:rPr>
        <w:tab/>
        <w:t>POSICIÓN DE LAS PARTES</w:t>
      </w:r>
    </w:p>
    <w:p w:rsidR="00453524" w:rsidRPr="0076756B" w:rsidRDefault="00453524" w:rsidP="0076756B">
      <w:pPr>
        <w:rPr>
          <w:b/>
          <w:bCs/>
          <w:szCs w:val="20"/>
          <w:lang w:val="es-ES"/>
        </w:rPr>
      </w:pPr>
    </w:p>
    <w:p w:rsidR="00453524" w:rsidRPr="0076756B" w:rsidRDefault="00453524" w:rsidP="0076756B">
      <w:pPr>
        <w:rPr>
          <w:b/>
          <w:bCs/>
          <w:szCs w:val="20"/>
          <w:lang w:val="es-ES"/>
        </w:rPr>
      </w:pPr>
      <w:r w:rsidRPr="0076756B">
        <w:rPr>
          <w:b/>
          <w:bCs/>
          <w:szCs w:val="20"/>
          <w:lang w:val="es-ES"/>
        </w:rPr>
        <w:tab/>
        <w:t xml:space="preserve">A. </w:t>
      </w:r>
      <w:r w:rsidRPr="0076756B">
        <w:rPr>
          <w:b/>
          <w:bCs/>
          <w:szCs w:val="20"/>
          <w:lang w:val="es-ES"/>
        </w:rPr>
        <w:tab/>
        <w:t>El peticionario</w:t>
      </w:r>
    </w:p>
    <w:p w:rsidR="00453524" w:rsidRPr="0076756B" w:rsidRDefault="00453524" w:rsidP="0076756B">
      <w:pPr>
        <w:rPr>
          <w:bCs/>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peticionario alega violaciones de derechos humanos en contra de: Aída Marcela Garita Sánchez, maestra, Daniel Gerardo Gómez Murillo, químico, Luis Miguel Cruz Comparaz, guía de turismo, Raquel Sanvicente Rojas, ama de casa, Randall </w:t>
      </w:r>
      <w:smartTag w:uri="urn:schemas-microsoft-com:office:smarttags" w:element="PersonName">
        <w:r w:rsidRPr="0076756B">
          <w:rPr>
            <w:rFonts w:ascii="Verdana" w:hAnsi="Verdana"/>
            <w:b w:val="0"/>
            <w:sz w:val="20"/>
            <w:szCs w:val="20"/>
            <w:lang w:val="es-ES"/>
          </w:rPr>
          <w:t>Alberto</w:t>
        </w:r>
      </w:smartTag>
      <w:r w:rsidRPr="0076756B">
        <w:rPr>
          <w:rFonts w:ascii="Verdana" w:hAnsi="Verdana"/>
          <w:b w:val="0"/>
          <w:sz w:val="20"/>
          <w:szCs w:val="20"/>
          <w:lang w:val="es-ES"/>
        </w:rPr>
        <w:t xml:space="preserve"> Torres, bachiller en inglés, Geanina Isela Marín Rankin, bachiller en ingeniería electrónica, Carlos Edgardo López Vega, microempresario, Albania Elizondo Rodríguez, microempresaria, Roberto Pérez Gutiérrez, asistente de gerencia, Silvia María Sosa Ulate, administradora, Miguel Acuña Cartín y Patricia Núñez Marín.</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Alega que la violación a los derechos humanos se origina en la sentencia 2000-02306 dictada por la Sala Constitucional de la Corte Suprema de Justicia de Costa Rica el 15 de marzo de 2000, que prohibió la práctica de la fecundación </w:t>
      </w:r>
      <w:r w:rsidRPr="0076756B">
        <w:rPr>
          <w:rFonts w:ascii="Verdana" w:hAnsi="Verdana"/>
          <w:b w:val="0"/>
          <w:i/>
          <w:sz w:val="20"/>
          <w:szCs w:val="20"/>
          <w:lang w:val="es-ES"/>
        </w:rPr>
        <w:t>in vitro</w:t>
      </w:r>
      <w:r w:rsidRPr="0076756B">
        <w:rPr>
          <w:rFonts w:ascii="Verdana" w:hAnsi="Verdana"/>
          <w:b w:val="0"/>
          <w:sz w:val="20"/>
          <w:szCs w:val="20"/>
          <w:lang w:val="es-ES"/>
        </w:rPr>
        <w:t>, al declarar la inconstitucionalidad del Decreto Presidencial No. 24029-S del 3 de febrero de 1995 que regulaba su aplicación.</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Según el peticionario, las presuntas víctimas intentaron tener hijos biológicos, pero al no lograrlo buscaron asistencia médica y fueron diagnosticadas de infertilidad. Después de intentar diversos métodos de reproducción asistida, todos infructuosos, la única opción viable que tenían para procrear biológicamente era a través de la utilización de la técnica de la fecundación </w:t>
      </w:r>
      <w:r w:rsidRPr="0076756B">
        <w:rPr>
          <w:rFonts w:ascii="Verdana" w:hAnsi="Verdana"/>
          <w:b w:val="0"/>
          <w:i/>
          <w:sz w:val="20"/>
          <w:szCs w:val="20"/>
          <w:lang w:val="es-ES"/>
        </w:rPr>
        <w:t>in vitro</w:t>
      </w:r>
      <w:r w:rsidRPr="0076756B">
        <w:rPr>
          <w:rFonts w:ascii="Verdana" w:hAnsi="Verdana"/>
          <w:b w:val="0"/>
          <w:sz w:val="20"/>
          <w:szCs w:val="20"/>
          <w:lang w:val="es-ES"/>
        </w:rPr>
        <w:t>. De acuerdo a los testimonios que constan en el expediente, las presuntas víctimas fueron diagnosticadas de infertilidad con posterioridad al año 2000.</w:t>
      </w:r>
      <w:r w:rsidRPr="0076756B">
        <w:rPr>
          <w:rFonts w:ascii="Verdana" w:hAnsi="Verdana" w:cs="Arial"/>
          <w:b w:val="0"/>
          <w:sz w:val="20"/>
          <w:szCs w:val="20"/>
          <w:lang w:val="es-ES"/>
        </w:rPr>
        <w:t xml:space="preserve"> </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eastAsia="ja-JP"/>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cs="Arial"/>
          <w:b w:val="0"/>
          <w:sz w:val="20"/>
          <w:szCs w:val="20"/>
          <w:lang w:val="es-ES" w:eastAsia="ja-JP"/>
        </w:rPr>
        <w:t xml:space="preserve">Menciona que esta técnica es utilizada para las mujeres con obstrucción, ausencia de o lesiones bilaterales e irreversibles de las trompas, sea de origen infeccioso o </w:t>
      </w:r>
      <w:r w:rsidRPr="0076756B">
        <w:rPr>
          <w:rFonts w:ascii="Verdana" w:hAnsi="Verdana" w:cs="Arial"/>
          <w:b w:val="0"/>
          <w:sz w:val="20"/>
          <w:szCs w:val="20"/>
          <w:lang w:val="es-ES" w:eastAsia="ja-JP"/>
        </w:rPr>
        <w:lastRenderedPageBreak/>
        <w:t>traumático, sin posibilidad de reparación quirúrgica. Asimismo, es utilizada para infertilidades inexplicadas, endometriosis, infertilidad inmunológica, infertilidad masculina, entre otras.</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Agrega que las técnicas de reproducción asistida y entre ellas la fecundación </w:t>
      </w:r>
      <w:r w:rsidRPr="0076756B">
        <w:rPr>
          <w:rFonts w:ascii="Verdana" w:hAnsi="Verdana"/>
          <w:b w:val="0"/>
          <w:i/>
          <w:sz w:val="20"/>
          <w:szCs w:val="20"/>
          <w:lang w:val="es-ES"/>
        </w:rPr>
        <w:t>in vitro</w:t>
      </w:r>
      <w:r w:rsidRPr="0076756B">
        <w:rPr>
          <w:rFonts w:ascii="Verdana" w:hAnsi="Verdana"/>
          <w:b w:val="0"/>
          <w:sz w:val="20"/>
          <w:szCs w:val="20"/>
          <w:lang w:val="es-ES"/>
        </w:rPr>
        <w:t>, consisten en una amplia gama de procedimientos que tienen como finalidad aumentar las posibilidades de concepción a trav</w:t>
      </w:r>
      <w:r w:rsidRPr="0076756B">
        <w:rPr>
          <w:rFonts w:ascii="Verdana" w:hAnsi="Verdana" w:cs="Arial"/>
          <w:b w:val="0"/>
          <w:sz w:val="20"/>
          <w:szCs w:val="20"/>
          <w:lang w:val="es-ES" w:eastAsia="ja-JP"/>
        </w:rPr>
        <w:t>és de un acercamiento entre el óvulo y los espermatozoides por diversos medios. Informa que se ofrecen como una práctica médica para el legítimo ejercicio de los derechos a la reproducción humana y a la salud, implícitamente reconocidos en la Convención Americana, ya que derivan del derecho a la libertad y a la autodeterminación, a la intimidad familiar y personal, el derecho a fundar una familia y el derecho a la igualdad expresamente reconocido en la Convención Americana y en otros instrumentos internacionales de derechos humanos.</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eastAsia="ja-JP"/>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 xml:space="preserve">Según el peticionario, la técnica de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es una herramienta que el progreso científico ha puesto en manos de las parejas infértiles para que ejerzan su derecho a la salud, a la reproducción y a fundar una familia, valores protegidos por la Convención Americana y el Protocolo de San </w:t>
      </w:r>
      <w:smartTag w:uri="urn:schemas-microsoft-com:office:smarttags" w:element="PersonName">
        <w:r w:rsidRPr="0076756B">
          <w:rPr>
            <w:rFonts w:ascii="Verdana" w:hAnsi="Verdana"/>
            <w:b w:val="0"/>
            <w:sz w:val="20"/>
            <w:szCs w:val="20"/>
            <w:lang w:val="es-ES"/>
          </w:rPr>
          <w:t>Salvador</w:t>
        </w:r>
      </w:smartTag>
      <w:r w:rsidRPr="0076756B">
        <w:rPr>
          <w:rFonts w:ascii="Verdana" w:hAnsi="Verdana"/>
          <w:b w:val="0"/>
          <w:sz w:val="20"/>
          <w:szCs w:val="20"/>
          <w:lang w:val="es-ES"/>
        </w:rPr>
        <w:t xml:space="preserve">. </w:t>
      </w:r>
      <w:r w:rsidRPr="0076756B">
        <w:rPr>
          <w:rFonts w:ascii="Verdana" w:hAnsi="Verdana" w:cs="Arial"/>
          <w:b w:val="0"/>
          <w:sz w:val="20"/>
          <w:szCs w:val="20"/>
          <w:lang w:val="es-ES" w:eastAsia="ja-JP"/>
        </w:rPr>
        <w:t xml:space="preserve">Agrega que el Protocolo de San </w:t>
      </w:r>
      <w:smartTag w:uri="urn:schemas-microsoft-com:office:smarttags" w:element="PersonName">
        <w:r w:rsidRPr="0076756B">
          <w:rPr>
            <w:rFonts w:ascii="Verdana" w:hAnsi="Verdana" w:cs="Arial"/>
            <w:b w:val="0"/>
            <w:sz w:val="20"/>
            <w:szCs w:val="20"/>
            <w:lang w:val="es-ES" w:eastAsia="ja-JP"/>
          </w:rPr>
          <w:t>Salvador</w:t>
        </w:r>
      </w:smartTag>
      <w:r w:rsidRPr="0076756B">
        <w:rPr>
          <w:rFonts w:ascii="Verdana" w:hAnsi="Verdana" w:cs="Arial"/>
          <w:b w:val="0"/>
          <w:sz w:val="20"/>
          <w:szCs w:val="20"/>
          <w:lang w:val="es-ES" w:eastAsia="ja-JP"/>
        </w:rPr>
        <w:t xml:space="preserve"> reconoce el derecho de toda persona a gozar de los beneficios del progreso científico y tecnológico y en consecuencia, el Estado de Costa Rica debe abstenerse de imponer obstáculos jurídicos que imposibiliten a las parejas infértiles el acceso a dicho progreso.</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cs="Arial"/>
          <w:b w:val="0"/>
          <w:sz w:val="20"/>
          <w:szCs w:val="20"/>
          <w:lang w:val="es-ES" w:eastAsia="ja-JP"/>
        </w:rPr>
        <w:t xml:space="preserve">Alega que el artículo 11 de la Convención Americana ha sido violado en la medida en que ese derecho protege a las personas de la influencia estatal en sus vidas privadas. Indica que la prohibición de la fecundación </w:t>
      </w:r>
      <w:r w:rsidRPr="0076756B">
        <w:rPr>
          <w:rFonts w:ascii="Verdana" w:hAnsi="Verdana" w:cs="Arial"/>
          <w:b w:val="0"/>
          <w:i/>
          <w:sz w:val="20"/>
          <w:szCs w:val="20"/>
          <w:lang w:val="es-ES" w:eastAsia="ja-JP"/>
        </w:rPr>
        <w:t>in vitro</w:t>
      </w:r>
      <w:r w:rsidRPr="0076756B">
        <w:rPr>
          <w:rFonts w:ascii="Verdana" w:hAnsi="Verdana" w:cs="Arial"/>
          <w:b w:val="0"/>
          <w:sz w:val="20"/>
          <w:szCs w:val="20"/>
          <w:lang w:val="es-ES" w:eastAsia="ja-JP"/>
        </w:rPr>
        <w:t xml:space="preserve"> vulnera el derecho a la protección de la toma de decisiones libres y responsables relacionadas con la vida sexual y reproductiva de las personas, tales como las decisiones de fundar una familia y de someterse a tratamientos terapéuticos necesarios para tratar de tener hijos. Asimismo sostiene que el Estado lesiona el derecho a la intimidad de las presuntas víctimas, entendiendo ésta como “una esfera que nadie puede invadir, un campo de actividad que es absolutamente propio de cada individuo”</w:t>
      </w:r>
      <w:r w:rsidRPr="0076756B">
        <w:rPr>
          <w:rStyle w:val="FootnoteReference"/>
          <w:rFonts w:cs="Arial"/>
          <w:b w:val="0"/>
          <w:szCs w:val="20"/>
          <w:lang w:val="es-ES" w:eastAsia="ja-JP"/>
        </w:rPr>
        <w:footnoteReference w:id="4"/>
      </w:r>
      <w:r w:rsidRPr="0076756B">
        <w:rPr>
          <w:rFonts w:ascii="Verdana" w:hAnsi="Verdana" w:cs="Arial"/>
          <w:b w:val="0"/>
          <w:sz w:val="20"/>
          <w:szCs w:val="20"/>
          <w:lang w:val="es-ES" w:eastAsia="ja-JP"/>
        </w:rPr>
        <w:t>.</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eastAsia="ja-JP"/>
        </w:rPr>
      </w:pPr>
      <w:r w:rsidRPr="0076756B">
        <w:rPr>
          <w:rFonts w:ascii="Verdana" w:hAnsi="Verdana" w:cs="Arial"/>
          <w:b w:val="0"/>
          <w:sz w:val="20"/>
          <w:szCs w:val="20"/>
          <w:lang w:val="es-ES" w:eastAsia="ja-JP"/>
        </w:rPr>
        <w:t xml:space="preserve">Indica que la prohibición de la fecundación </w:t>
      </w:r>
      <w:r w:rsidRPr="0076756B">
        <w:rPr>
          <w:rFonts w:ascii="Verdana" w:hAnsi="Verdana" w:cs="Arial"/>
          <w:b w:val="0"/>
          <w:i/>
          <w:sz w:val="20"/>
          <w:szCs w:val="20"/>
          <w:lang w:val="es-ES" w:eastAsia="ja-JP"/>
        </w:rPr>
        <w:t>in vitro</w:t>
      </w:r>
      <w:r w:rsidRPr="0076756B">
        <w:rPr>
          <w:rFonts w:ascii="Verdana" w:hAnsi="Verdana" w:cs="Arial"/>
          <w:b w:val="0"/>
          <w:sz w:val="20"/>
          <w:szCs w:val="20"/>
          <w:lang w:val="es-ES" w:eastAsia="ja-JP"/>
        </w:rPr>
        <w:t xml:space="preserve"> en Costa Rica viola el derecho a fundar una familia, la propia familia de las presuntas víctimas, consagrado en el artículo 17.2 de la Convención Americana, así como el derecho a procrear que es el presupuesto necesario para ejercer el derecho a fundar una familia. Sostiene también que dicha prohibición que afecta a las parejas infértiles viola el deber general de no discriminación establecido en el artículo 1 de la Convención Americana.</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eastAsia="ja-JP"/>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eastAsia="ja-JP"/>
        </w:rPr>
        <w:t xml:space="preserve">Alega la violación del artículo 24 de la Convención Americana en la medida que lleva una discriminación contra personas discapacitadas. Así, afirma que hay una diferencia injusta de trato aplicada a una persona, grupo o categoría de personas (las estériles) en relación a otras (que no padecen esterilidad). </w:t>
      </w:r>
      <w:r w:rsidRPr="0076756B">
        <w:rPr>
          <w:rFonts w:ascii="Verdana" w:hAnsi="Verdana"/>
          <w:b w:val="0"/>
          <w:sz w:val="20"/>
          <w:szCs w:val="20"/>
          <w:lang w:val="es-ES"/>
        </w:rPr>
        <w:t xml:space="preserve">Asimismo, sostiene que con la prohibición de la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se creó discriminación en razón de la posición económica ya que las parejas que tienen recursos económicos pueden ir al extranjero, mientras que las parejas que carecen de recursos económicos no tienen esa opción.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 xml:space="preserve">Afirma que el derecho a la vida de la persona humana no tiene carácter absoluto, sino que está sujeto a excepciones y condiciones. Asimismo, expresa que la Convención Americana dictó el principio de la relatividad al establecer en su artículo 4 que la vida se protege, en general, desde el momento de la concepción. Además, cuestiona la personalidad jurídica del embrión debido a que el nacimiento determina la existencia de la persona humana y el reconocimiento de su personalidad jurídica y expresa que toda persona que viene a este mundo es sujeto de derecho si reúne las dos condiciones de nacer y nacer con vida. </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numPr>
          <w:ilvl w:val="0"/>
          <w:numId w:val="22"/>
        </w:numPr>
        <w:rPr>
          <w:rFonts w:cs="Verdana"/>
          <w:color w:val="000000"/>
          <w:szCs w:val="20"/>
          <w:lang w:val="es-PE"/>
        </w:rPr>
      </w:pPr>
      <w:r w:rsidRPr="0076756B">
        <w:rPr>
          <w:szCs w:val="20"/>
          <w:lang w:val="es-ES"/>
        </w:rPr>
        <w:t xml:space="preserve">El peticionario indica que </w:t>
      </w:r>
      <w:r w:rsidRPr="0076756B">
        <w:rPr>
          <w:color w:val="000000"/>
          <w:szCs w:val="20"/>
          <w:lang w:val="es-ES"/>
        </w:rPr>
        <w:t xml:space="preserve">la Sra. Ileana Henchoz Bolaños (víctima del caso 12.361), promovió un proceso contencioso en contra de la Caja Costarricense de  Seguro Social (expediente No. 089-000178-1027-CA) para que se le practique la fecundación </w:t>
      </w:r>
      <w:r w:rsidRPr="0076756B">
        <w:rPr>
          <w:i/>
          <w:color w:val="000000"/>
          <w:szCs w:val="20"/>
          <w:lang w:val="es-ES"/>
        </w:rPr>
        <w:t>in vitro</w:t>
      </w:r>
      <w:r w:rsidRPr="0076756B">
        <w:rPr>
          <w:color w:val="000000"/>
          <w:szCs w:val="20"/>
          <w:lang w:val="es-ES"/>
        </w:rPr>
        <w:t>. E</w:t>
      </w:r>
      <w:r w:rsidRPr="0076756B">
        <w:rPr>
          <w:rFonts w:cs="Verdana"/>
          <w:color w:val="000000"/>
          <w:szCs w:val="20"/>
          <w:lang w:val="es-PE"/>
        </w:rPr>
        <w:t xml:space="preserve">l </w:t>
      </w:r>
      <w:r w:rsidRPr="0076756B">
        <w:rPr>
          <w:color w:val="000000"/>
          <w:szCs w:val="20"/>
          <w:lang w:val="es-PE"/>
        </w:rPr>
        <w:t xml:space="preserve">Tribunal Superior de lo Contencioso y Civil de Hacienda, el 14 de octubre de 2008 ordenó a </w:t>
      </w:r>
      <w:r w:rsidRPr="0076756B">
        <w:rPr>
          <w:color w:val="000000"/>
          <w:szCs w:val="20"/>
          <w:lang w:val="es-PE"/>
        </w:rPr>
        <w:lastRenderedPageBreak/>
        <w:t xml:space="preserve">la Caja Costarricense de Seguro Social que practique la fecundación </w:t>
      </w:r>
      <w:r w:rsidRPr="0076756B">
        <w:rPr>
          <w:i/>
          <w:color w:val="000000"/>
          <w:szCs w:val="20"/>
          <w:lang w:val="es-PE"/>
        </w:rPr>
        <w:t>in vitro</w:t>
      </w:r>
      <w:r w:rsidRPr="0076756B">
        <w:rPr>
          <w:color w:val="000000"/>
          <w:szCs w:val="20"/>
          <w:lang w:val="es-PE"/>
        </w:rPr>
        <w:t xml:space="preserve"> a la Sra. Henchoz, en vista de que la misma no estaba prohibida según la legislación interna, siempre y cuando no se incurran en los vicios señalados por la Sala Constitucional en su sentencia </w:t>
      </w:r>
      <w:r w:rsidRPr="0076756B">
        <w:rPr>
          <w:spacing w:val="-2"/>
          <w:szCs w:val="20"/>
          <w:lang w:val="es-ES"/>
        </w:rPr>
        <w:t>2000-02306 de 15 de marzo de 2000</w:t>
      </w:r>
      <w:r w:rsidRPr="0076756B">
        <w:rPr>
          <w:color w:val="000000"/>
          <w:szCs w:val="20"/>
          <w:lang w:val="es-PE"/>
        </w:rPr>
        <w:t xml:space="preserve">. </w:t>
      </w:r>
    </w:p>
    <w:p w:rsidR="00453524" w:rsidRPr="0076756B" w:rsidRDefault="00453524" w:rsidP="0076756B">
      <w:pPr>
        <w:rPr>
          <w:rFonts w:cs="Verdana"/>
          <w:color w:val="000000"/>
          <w:szCs w:val="20"/>
          <w:lang w:val="es-PE"/>
        </w:rPr>
      </w:pPr>
    </w:p>
    <w:p w:rsidR="00453524" w:rsidRPr="0076756B" w:rsidRDefault="00453524" w:rsidP="0076756B">
      <w:pPr>
        <w:numPr>
          <w:ilvl w:val="0"/>
          <w:numId w:val="22"/>
        </w:numPr>
        <w:rPr>
          <w:rFonts w:cs="Arial"/>
          <w:szCs w:val="20"/>
          <w:lang w:val="es-ES"/>
        </w:rPr>
      </w:pPr>
      <w:r w:rsidRPr="0076756B">
        <w:rPr>
          <w:szCs w:val="20"/>
          <w:lang w:val="es-PE"/>
        </w:rPr>
        <w:t xml:space="preserve">La sentencia fue apelada por la Caja Costarricense de Seguro Social y el 19 de agosto de 2009 los magistrados </w:t>
      </w:r>
      <w:r w:rsidRPr="0076756B">
        <w:rPr>
          <w:rFonts w:cs="Arial"/>
          <w:szCs w:val="20"/>
          <w:lang w:val="es-PE"/>
        </w:rPr>
        <w:t>de la Sala Primera de la Corte Suprema de Justicia anularon dicho fallo y declararon sin lugar la demanda. Sostiene que el argumento principal de la Sala fue que no le asistía interés a la demandante en el proceso porque debido a su edad, ya no podía practicarse dicha técnica.</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Respecto del agotamiento de los recursos de jurisdicción interna, sostiene que el artículo 11 de la Ley de la Jurisdicción Constitucional de Costa Rica dispone que las sentencias, autos o providencias de la jurisdicción constitucional son irrecurribles. En consecuencia, no procede interponer ningún recurso y se aplica el artículo </w:t>
      </w:r>
      <w:r w:rsidRPr="0076756B">
        <w:rPr>
          <w:rFonts w:ascii="Verdana" w:hAnsi="Verdana"/>
          <w:b w:val="0"/>
          <w:bCs w:val="0"/>
          <w:sz w:val="20"/>
          <w:szCs w:val="20"/>
          <w:lang w:val="es-ES"/>
        </w:rPr>
        <w:t>46.1.a de la Convención Americana</w:t>
      </w:r>
      <w:r w:rsidRPr="0076756B">
        <w:rPr>
          <w:rFonts w:ascii="Verdana" w:hAnsi="Verdana" w:cs="Arial"/>
          <w:b w:val="0"/>
          <w:bCs w:val="0"/>
          <w:sz w:val="20"/>
          <w:szCs w:val="20"/>
          <w:lang w:val="es-ES" w:eastAsia="ja-JP"/>
        </w:rPr>
        <w:t xml:space="preserve">.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Con respecto al plazo de presentación, el peticionario sostiene que la vigencia de una norma jurisprudencial de derecho interno, definitiva y vinculante para todos los órganos judiciales, administrativos y legislativos de Costa Rica crea </w:t>
      </w:r>
      <w:r w:rsidRPr="0076756B">
        <w:rPr>
          <w:rFonts w:ascii="Verdana" w:hAnsi="Verdana"/>
          <w:b w:val="0"/>
          <w:i/>
          <w:sz w:val="20"/>
          <w:szCs w:val="20"/>
          <w:lang w:val="es-ES"/>
        </w:rPr>
        <w:t>per se</w:t>
      </w:r>
      <w:r w:rsidRPr="0076756B">
        <w:rPr>
          <w:rFonts w:ascii="Verdana" w:hAnsi="Verdana"/>
          <w:b w:val="0"/>
          <w:sz w:val="20"/>
          <w:szCs w:val="20"/>
          <w:lang w:val="es-ES"/>
        </w:rPr>
        <w:t xml:space="preserve"> una situación legal que afecta los derechos protegidos por la Convención Americana. En consecuencia, se configura una violación continuada de la Convención.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spacing w:before="0" w:beforeAutospacing="0" w:after="0" w:afterAutospacing="0"/>
        <w:ind w:firstLine="720"/>
        <w:jc w:val="both"/>
        <w:rPr>
          <w:rFonts w:ascii="Verdana" w:hAnsi="Verdana"/>
          <w:sz w:val="20"/>
          <w:szCs w:val="20"/>
          <w:lang w:val="es-ES"/>
        </w:rPr>
      </w:pPr>
      <w:r w:rsidRPr="0076756B">
        <w:rPr>
          <w:rFonts w:ascii="Verdana" w:hAnsi="Verdana"/>
          <w:sz w:val="20"/>
          <w:szCs w:val="20"/>
          <w:lang w:val="es-ES"/>
        </w:rPr>
        <w:t>B.</w:t>
      </w:r>
      <w:r w:rsidRPr="0076756B">
        <w:rPr>
          <w:rFonts w:ascii="Verdana" w:hAnsi="Verdana"/>
          <w:sz w:val="20"/>
          <w:szCs w:val="20"/>
          <w:lang w:val="es-ES"/>
        </w:rPr>
        <w:tab/>
        <w:t>El Estado</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rPr>
        <w:t>El Estado sostiene que ha velado por crear las condiciones necesarias para cumplir con el derecho a la protección de la familia, sin embargo, debe tenerse en cuenta que, de conformidad con el artículo 17.2, en el cumplimiento del derecho del hombre y de la mujer a contraer matrimonio y a fundar una familia, se requiere que se cumplan las condiciones que exigen las leyes internas de los Estados. En ese sentido, indica que si bien “los padres deben ostentar el derecho a tener descendencia, esto no pareciera lícito si para lograrlo se priva a otros seres humanos de su vida”</w:t>
      </w:r>
      <w:r w:rsidRPr="0076756B">
        <w:rPr>
          <w:rStyle w:val="FootnoteReference"/>
          <w:rFonts w:cs="Arial"/>
          <w:b w:val="0"/>
          <w:szCs w:val="20"/>
          <w:lang w:val="es-ES"/>
        </w:rPr>
        <w:footnoteReference w:id="5"/>
      </w:r>
      <w:r w:rsidRPr="0076756B">
        <w:rPr>
          <w:rFonts w:ascii="Verdana" w:hAnsi="Verdana" w:cs="Arial"/>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rPr>
        <w:t>Alega que independientemente de la interpretación que se le de a la calificación “en general” del artículo 4.1 de la Convención Americana, lo importante es que el artículo establece la protección de la vida desde el momento de la concepción y que el Estado ha escogido esa última posibilidad.</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 xml:space="preserve">Afirma que la Sala Constitucional de la Corte Suprema de Justicia de Costa Rica, en su sentencia 2000-0236 de fecha 15 de marzo de 2000, no declaró inconstitucional la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como método de reproducción asistida como tal, sino que en realidad lo que previamente determinó la jurisdicción constitucional en interpretación de la normativa nacional e internacional, “es que la práctica que se desarrollaba en el año 2000, […] colocaba más allá de cualquier duda a los embriones en un riesgo desproporcionado de muerte”</w:t>
      </w:r>
      <w:r w:rsidRPr="0076756B">
        <w:rPr>
          <w:rStyle w:val="FootnoteReference"/>
          <w:b w:val="0"/>
          <w:szCs w:val="20"/>
          <w:lang w:val="es-ES"/>
        </w:rPr>
        <w:footnoteReference w:id="6"/>
      </w:r>
      <w:r w:rsidRPr="0076756B">
        <w:rPr>
          <w:rFonts w:ascii="Verdana" w:hAnsi="Verdana"/>
          <w:b w:val="0"/>
          <w:sz w:val="20"/>
          <w:szCs w:val="20"/>
          <w:lang w:val="es-ES"/>
        </w:rPr>
        <w:t>. Es decir, bajo las condiciones en las que se aplicaba la técnica para el momento de la resolución de la Sala Constitucional, que permitía la inseminación de hasta seis óvulos, se estimó que la técnica violaba el derecho a la vida. En consecuencia, la técnica no era acorde con la Constitución ni con el artículo 4 de la Convención Americana. Según el Estado, la Sala Constitucional consideró que “… los avances de la ciencia y la biotecnología son tan vertiginosos que la técnica podría llegar a ser mejorada de tal manera, que los reparos señalados aquí desaparezcan”</w:t>
      </w:r>
      <w:r w:rsidRPr="0076756B">
        <w:rPr>
          <w:rStyle w:val="FootnoteReference"/>
          <w:b w:val="0"/>
          <w:szCs w:val="20"/>
          <w:lang w:val="es-ES"/>
        </w:rPr>
        <w:footnoteReference w:id="7"/>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rPr>
        <w:t>En consecuencia, el Estado manifiesta que los hechos alegados no caracterizan violación a derechos garantizados por la Convención Americana.</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lastRenderedPageBreak/>
        <w:t xml:space="preserve">En cuanto a los requisitos de admisibilidad, </w:t>
      </w:r>
      <w:r w:rsidRPr="0076756B">
        <w:rPr>
          <w:rFonts w:ascii="Verdana" w:hAnsi="Verdana" w:cs="Arial"/>
          <w:b w:val="0"/>
          <w:sz w:val="20"/>
          <w:szCs w:val="20"/>
          <w:lang w:val="es-ES"/>
        </w:rPr>
        <w:t xml:space="preserve">sostiene que las presuntas víctimas no agotaron los recursos internos. </w:t>
      </w:r>
      <w:r w:rsidRPr="0076756B">
        <w:rPr>
          <w:rFonts w:ascii="Verdana" w:hAnsi="Verdana"/>
          <w:b w:val="0"/>
          <w:sz w:val="20"/>
          <w:szCs w:val="20"/>
          <w:lang w:val="es-ES"/>
        </w:rPr>
        <w:t xml:space="preserve">Señala que tal afirmación fue legitimada por la sentencia emitida el 15 de octubre de 2008 por el Tribunal de lo Contencioso Administrativo y Civil de Hacienda, referente al proceso judicial presentado por Ileana Henchoz Bolaños (víctima del caso 12.361 ante la CIDH), contra la Caja Costarricense de Seguro Social (expediente No. 089-000178-1027-CA). En este caso, la Sra. Henchoz solicitó a la Caja Costarricense de Seguro Social que le practique la Fecundación </w:t>
      </w:r>
      <w:r w:rsidRPr="0076756B">
        <w:rPr>
          <w:rFonts w:ascii="Verdana" w:hAnsi="Verdana"/>
          <w:b w:val="0"/>
          <w:i/>
          <w:sz w:val="20"/>
          <w:szCs w:val="20"/>
          <w:lang w:val="es-ES"/>
        </w:rPr>
        <w:t>in vitro</w:t>
      </w:r>
      <w:r w:rsidRPr="0076756B">
        <w:rPr>
          <w:rFonts w:ascii="Verdana" w:hAnsi="Verdana"/>
          <w:b w:val="0"/>
          <w:sz w:val="20"/>
          <w:szCs w:val="20"/>
          <w:lang w:val="es-ES"/>
        </w:rPr>
        <w:t>. En primera instancia, indica que el Tribunal Superior de lo Contencioso Administrativo y Civil de Hacienda reconoció la firmeza de la Sentencia de la Sala Constitucional porque estableció que la Fecundación</w:t>
      </w:r>
      <w:r w:rsidRPr="0076756B">
        <w:rPr>
          <w:rFonts w:ascii="Verdana" w:hAnsi="Verdana"/>
          <w:b w:val="0"/>
          <w:i/>
          <w:sz w:val="20"/>
          <w:szCs w:val="20"/>
          <w:lang w:val="es-ES"/>
        </w:rPr>
        <w:t xml:space="preserve"> in vitro</w:t>
      </w:r>
      <w:r w:rsidRPr="0076756B">
        <w:rPr>
          <w:rFonts w:ascii="Verdana" w:hAnsi="Verdana"/>
          <w:b w:val="0"/>
          <w:sz w:val="20"/>
          <w:szCs w:val="20"/>
          <w:lang w:val="es-ES"/>
        </w:rPr>
        <w:t xml:space="preserve"> no estaba prohibida en Costa Rica en tanto no se incurriera en los vicios señalados por la Sala Constitucional. El Tribunal adujo que el desarrollo actual de dicho procedimiento médico posibilita en un ciclo femenino reproductivo, la fecundación de un solo óvulo para su posterior transferencia al útero de la madre. Seguidamente la</w:t>
      </w:r>
      <w:r w:rsidRPr="0076756B">
        <w:rPr>
          <w:rFonts w:ascii="Verdana" w:hAnsi="Verdana"/>
          <w:b w:val="0"/>
          <w:sz w:val="20"/>
          <w:szCs w:val="20"/>
          <w:lang w:val="es-PE"/>
        </w:rPr>
        <w:t xml:space="preserve"> Caja Costarricense de Seguro Social apeló la sentencia emitida por el Tribunal Superior y el 19 de agosto de 2009 los magistrados </w:t>
      </w:r>
      <w:r w:rsidRPr="0076756B">
        <w:rPr>
          <w:rFonts w:ascii="Verdana" w:hAnsi="Verdana" w:cs="Arial"/>
          <w:b w:val="0"/>
          <w:sz w:val="20"/>
          <w:szCs w:val="20"/>
          <w:lang w:val="es-PE"/>
        </w:rPr>
        <w:t>de la Sala Primera de la Corte Suprema de Justicia, anularon dicho fallo y declararon sin lugar la demanda.</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rPr>
        <w:t>Por otro lado, en</w:t>
      </w:r>
      <w:r w:rsidRPr="0076756B">
        <w:rPr>
          <w:rFonts w:ascii="Verdana" w:hAnsi="Verdana"/>
          <w:b w:val="0"/>
          <w:sz w:val="20"/>
          <w:szCs w:val="20"/>
          <w:lang w:val="es-ES"/>
        </w:rPr>
        <w:t xml:space="preserve"> audiencia pública realizada el 28 de octubre de 2008, durante el 133º periodo ordinario de sesiones</w:t>
      </w:r>
      <w:r w:rsidRPr="0076756B">
        <w:rPr>
          <w:rStyle w:val="FootnoteReference"/>
          <w:b w:val="0"/>
          <w:szCs w:val="20"/>
          <w:lang w:val="es-ES"/>
        </w:rPr>
        <w:footnoteReference w:id="8"/>
      </w:r>
      <w:r w:rsidRPr="0076756B">
        <w:rPr>
          <w:rFonts w:ascii="Verdana" w:hAnsi="Verdana"/>
          <w:b w:val="0"/>
          <w:sz w:val="20"/>
          <w:szCs w:val="20"/>
          <w:lang w:val="es-ES"/>
        </w:rPr>
        <w:t xml:space="preserve"> sobre el caso 12.361 y las peticiones </w:t>
      </w:r>
      <w:r w:rsidRPr="0076756B">
        <w:rPr>
          <w:rFonts w:ascii="Verdana" w:hAnsi="Verdana"/>
          <w:b w:val="0"/>
          <w:bCs w:val="0"/>
          <w:sz w:val="20"/>
          <w:szCs w:val="20"/>
          <w:lang w:val="es-ES"/>
        </w:rPr>
        <w:t>16-05, 678-06, 1191-06 y 545-07,</w:t>
      </w:r>
      <w:r w:rsidRPr="0076756B">
        <w:rPr>
          <w:rFonts w:ascii="Verdana" w:hAnsi="Verdana"/>
          <w:b w:val="0"/>
          <w:sz w:val="20"/>
          <w:szCs w:val="20"/>
          <w:lang w:val="es-ES"/>
        </w:rPr>
        <w:t xml:space="preserve"> que fueron acumuladas posteriormente a la petición 1368-04, el Estado afirmó ante la CIDH que la probabilidad de éxito con la fecundación de un solo embrión reseñada por el Tribunal de lo Contencioso Administrativo y Civil de Hacienda en su sentencia de primera instancia de fecha 15 de octubre de 2008 era muy baja y en consecuencia habría que practicar el procedimiento múltiples veces para lograr un embarazo. Igualmente indicó que el procedimiento que estableció el Tribunal de lo Contencioso Administrativo y Civil de Hacienda es poco realizable y tiene una alta cantidad de pérdida embrionaria</w:t>
      </w:r>
      <w:r w:rsidRPr="0076756B">
        <w:rPr>
          <w:rStyle w:val="FootnoteReference"/>
          <w:b w:val="0"/>
          <w:szCs w:val="20"/>
          <w:lang w:val="es-ES"/>
        </w:rPr>
        <w:footnoteReference w:id="9"/>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El Estado sostiene que todas las peticiones acumuladas fueron presentadas en forma extemporánea, es decir, fuera del plazo de los seis meses, por haber sido presentadas ante la CIDH en los a</w:t>
      </w:r>
      <w:r w:rsidRPr="0076756B">
        <w:rPr>
          <w:rFonts w:ascii="Verdana" w:hAnsi="Verdana" w:cs="Arial"/>
          <w:b w:val="0"/>
          <w:sz w:val="20"/>
          <w:szCs w:val="20"/>
          <w:lang w:val="es-ES"/>
        </w:rPr>
        <w:t>ños, 2004, 2005, 2006 y 2007, lo que corresponde en su orden a varios años después de que se conoció el fallo definitivo en esta materia</w:t>
      </w:r>
      <w:r w:rsidRPr="0076756B">
        <w:rPr>
          <w:rStyle w:val="FootnoteReference"/>
          <w:rFonts w:cs="Arial"/>
          <w:b w:val="0"/>
          <w:bCs w:val="0"/>
          <w:szCs w:val="20"/>
          <w:lang w:val="es-ES"/>
        </w:rPr>
        <w:footnoteReference w:id="10"/>
      </w:r>
      <w:r w:rsidRPr="0076756B">
        <w:rPr>
          <w:rFonts w:ascii="Verdana" w:hAnsi="Verdana" w:cs="Arial"/>
          <w:b w:val="0"/>
          <w:sz w:val="20"/>
          <w:szCs w:val="20"/>
          <w:lang w:val="es-ES"/>
        </w:rPr>
        <w:t>,</w:t>
      </w:r>
      <w:r w:rsidRPr="0076756B">
        <w:rPr>
          <w:rFonts w:ascii="Verdana" w:hAnsi="Verdana"/>
          <w:b w:val="0"/>
          <w:sz w:val="20"/>
          <w:szCs w:val="20"/>
          <w:lang w:val="es-ES"/>
        </w:rPr>
        <w:t xml:space="preserve"> que fue emitido el 15 de marzo de 2000, mediante sentencia 2000-02306 dictada por la Sala Constitucional de la Corte Suprema de Justicia de Costa Rica</w:t>
      </w:r>
      <w:r w:rsidRPr="0076756B">
        <w:rPr>
          <w:rFonts w:ascii="Verdana" w:hAnsi="Verdana" w:cs="Arial"/>
          <w:b w:val="0"/>
          <w:sz w:val="20"/>
          <w:szCs w:val="20"/>
          <w:lang w:val="es-ES"/>
        </w:rPr>
        <w:t xml:space="preserve">.  </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spacing w:before="0" w:beforeAutospacing="0" w:after="0" w:afterAutospacing="0"/>
        <w:ind w:left="720"/>
        <w:jc w:val="both"/>
        <w:rPr>
          <w:rFonts w:ascii="Verdana" w:hAnsi="Verdana"/>
          <w:sz w:val="20"/>
          <w:szCs w:val="20"/>
          <w:lang w:val="es-ES"/>
        </w:rPr>
      </w:pPr>
      <w:r w:rsidRPr="0076756B">
        <w:rPr>
          <w:rFonts w:ascii="Verdana" w:hAnsi="Verdana"/>
          <w:sz w:val="20"/>
          <w:szCs w:val="20"/>
          <w:lang w:val="es-ES"/>
        </w:rPr>
        <w:t>IV.</w:t>
      </w:r>
      <w:r w:rsidRPr="0076756B">
        <w:rPr>
          <w:rFonts w:ascii="Verdana" w:hAnsi="Verdana"/>
          <w:sz w:val="20"/>
          <w:szCs w:val="20"/>
          <w:lang w:val="es-ES"/>
        </w:rPr>
        <w:tab/>
        <w:t>ANÁLISIS DE ADMISIBILIDAD</w:t>
      </w:r>
    </w:p>
    <w:p w:rsidR="00453524" w:rsidRPr="0076756B" w:rsidRDefault="00453524" w:rsidP="0076756B">
      <w:pPr>
        <w:rPr>
          <w:b/>
          <w:szCs w:val="20"/>
          <w:lang w:val="es-ES"/>
        </w:rPr>
      </w:pPr>
    </w:p>
    <w:p w:rsidR="00453524" w:rsidRPr="0076756B" w:rsidRDefault="00453524" w:rsidP="0076756B">
      <w:pPr>
        <w:pStyle w:val="Heading2"/>
        <w:keepNext/>
        <w:numPr>
          <w:ilvl w:val="2"/>
          <w:numId w:val="23"/>
        </w:numPr>
        <w:tabs>
          <w:tab w:val="clear" w:pos="2985"/>
        </w:tabs>
        <w:spacing w:before="0" w:beforeAutospacing="0" w:after="0" w:afterAutospacing="0"/>
        <w:ind w:left="1440" w:hanging="720"/>
        <w:jc w:val="both"/>
        <w:rPr>
          <w:rStyle w:val="Heading2CharChar"/>
          <w:rFonts w:ascii="Verdana" w:hAnsi="Verdana"/>
          <w:i/>
          <w:sz w:val="20"/>
          <w:szCs w:val="20"/>
          <w:lang w:val="es-ES"/>
        </w:rPr>
      </w:pPr>
      <w:r w:rsidRPr="0076756B">
        <w:rPr>
          <w:rStyle w:val="Heading2CharChar"/>
          <w:rFonts w:ascii="Verdana" w:hAnsi="Verdana"/>
          <w:sz w:val="20"/>
          <w:szCs w:val="20"/>
          <w:lang w:val="es-ES"/>
        </w:rPr>
        <w:t xml:space="preserve">Competencia de </w:t>
      </w:r>
      <w:smartTag w:uri="urn:schemas-microsoft-com:office:smarttags" w:element="PersonName">
        <w:smartTagPr>
          <w:attr w:name="ProductID" w:val="LA COMISIￓN"/>
        </w:smartTagPr>
        <w:r w:rsidRPr="0076756B">
          <w:rPr>
            <w:rStyle w:val="Heading2CharChar"/>
            <w:rFonts w:ascii="Verdana" w:hAnsi="Verdana"/>
            <w:sz w:val="20"/>
            <w:szCs w:val="20"/>
            <w:lang w:val="es-ES"/>
          </w:rPr>
          <w:t>la Comisión</w:t>
        </w:r>
      </w:smartTag>
      <w:r w:rsidRPr="0076756B">
        <w:rPr>
          <w:rStyle w:val="Heading2CharChar"/>
          <w:rFonts w:ascii="Verdana" w:hAnsi="Verdana"/>
          <w:sz w:val="20"/>
          <w:szCs w:val="20"/>
          <w:lang w:val="es-ES"/>
        </w:rPr>
        <w:t xml:space="preserve"> </w:t>
      </w:r>
      <w:r w:rsidRPr="0076756B">
        <w:rPr>
          <w:rStyle w:val="Heading2CharChar"/>
          <w:rFonts w:ascii="Verdana" w:hAnsi="Verdana"/>
          <w:i/>
          <w:sz w:val="20"/>
          <w:szCs w:val="20"/>
          <w:lang w:val="es-ES"/>
        </w:rPr>
        <w:t xml:space="preserve">ratione personæ, ratione loci, ratione temporis </w:t>
      </w:r>
      <w:r w:rsidRPr="0076756B">
        <w:rPr>
          <w:rStyle w:val="Heading2CharChar"/>
          <w:rFonts w:ascii="Verdana" w:hAnsi="Verdana"/>
          <w:sz w:val="20"/>
          <w:szCs w:val="20"/>
          <w:lang w:val="es-ES"/>
        </w:rPr>
        <w:t>y</w:t>
      </w:r>
      <w:r w:rsidRPr="0076756B">
        <w:rPr>
          <w:rStyle w:val="Heading2CharChar"/>
          <w:rFonts w:ascii="Verdana" w:hAnsi="Verdana"/>
          <w:i/>
          <w:sz w:val="20"/>
          <w:szCs w:val="20"/>
          <w:lang w:val="es-ES"/>
        </w:rPr>
        <w:t xml:space="preserve"> ratione materiæ</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peticionario se encuentra facultado por el artículo 44 de </w:t>
      </w:r>
      <w:smartTag w:uri="urn:schemas-microsoft-com:office:smarttags" w:element="PersonName">
        <w:smartTagPr>
          <w:attr w:name="ProductID" w:val="la Convenci￳n Americana"/>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para presentar peticiones ante </w:t>
      </w:r>
      <w:smartTag w:uri="urn:schemas-microsoft-com:office:smarttags" w:element="PersonName">
        <w:smartTagPr>
          <w:attr w:name="ProductID" w:val="la Comisi￳n. La"/>
        </w:smartTagPr>
        <w:r w:rsidRPr="0076756B">
          <w:rPr>
            <w:rFonts w:ascii="Verdana" w:hAnsi="Verdana"/>
            <w:b w:val="0"/>
            <w:sz w:val="20"/>
            <w:szCs w:val="20"/>
            <w:lang w:val="es-ES"/>
          </w:rPr>
          <w:t>la Comisión. La</w:t>
        </w:r>
      </w:smartTag>
      <w:r w:rsidRPr="0076756B">
        <w:rPr>
          <w:rFonts w:ascii="Verdana" w:hAnsi="Verdana"/>
          <w:b w:val="0"/>
          <w:sz w:val="20"/>
          <w:szCs w:val="20"/>
          <w:lang w:val="es-ES"/>
        </w:rPr>
        <w:t xml:space="preserve"> petición señala como presuntas víctimas a doce personas físicas, respecto de las cuales, el Estado costarricense se comprometió a respetar y garantizar los derechos consagrados en </w:t>
      </w:r>
      <w:smartTag w:uri="urn:schemas-microsoft-com:office:smarttags" w:element="PersonName">
        <w:smartTagPr>
          <w:attr w:name="ProductID" w:val="ミꎠョ꟠ヘ鬀ӌ ǋ̎la Inmunodeficienciaanaǳ̈la Convencion Americana&#10;ǻ̌C:\ARCHIV~1\MSNMES~1\MSGSC8~1.DLL&#10;&#10;ǥ̌鵔Ҽ&#10;ǯ̈蚌ョຘһ虜ョꌈミ禨ҸԀӅਨҺ◐ė̈睋睋睋鱀Ҽ¦慰Ҿ갨ɓ P7噸ሴip 睋鱀Ҽ䫀#ć̈Parse Prefer Folder Browsing ď̊LA COMISIￓN INTERAMERICANA ĸ̌&#10;鳀Ҽ8₨鵼Ҽettings\鶐Ҽer\Mis d鶤Ҽumentos\鶸ҼDH -Pasa鷌Ҽia-\Méxi鷠Ҽ 2008\Di鷴Ҽriminaci鸈Ҽ EnfermoVIH-SIDAŔ̈(ʿ꺋곺䰰əƑЊ掐їň繝繜䜘ҠఊҤĽ脄羙馘ɘūఊ绀ӈ&#10;Ű̌Dⵁ⒞䓝䵤殛﷕뵶놅崄誈ᳫᇉါ恈&#10;ź̈潐Ӊ掘ҹſ̌䄀⸨Ţ̈눔睧潘Ӊ鿈Ҽŧ̈뚀睧龠Ҽ─һŬ̈昰Ӊ௘һ Ɛ̌ꏐョꑔミꎠョ꟠ヘꁐҼ ƙ̈ꀬҼꄈҼѮƞ̈delƁ̈ꒀミ꟠Ź ꄬҼꂸҼ Ɔ̌ꏐョꑔミꎠョ꟠ヘꄀҼ Ə̈ꃜҼꇈҼꁘҼƴ̈principioƹ̈ꒀミ꟠ƃꇬҼꅸҼ ƾ̌ꏐョꑔミꎠョ꟠ヘꇀҼ Ƨ̈ꆜҼꉸҼꄈҼƬ̈iuraƯ̈ꒀミ꟠ƈꊜҼꈨҼ ǔ̌ꏐョꑔミꎠョ꟠ヘꉰҼ ǝ̈ꉌҼꌨҼꇈҼǂ̈&#10;novitǅ̈ꒀミ꟠ƎꍌҼꋘҼ Ǌ̌ꏐョꑔミꎠョ꟠ヘꌠҼ ǳ̈ꋼҼꏘҼꉸҼǸ̈&#10;curiaǻ̈ꒀミ꟠ƓꏼҼꎈҼ Ǡ̌ꏐョꑔミꎠョ꟠ヘꏐҼ ǩ̈ꎬҼꒈҼꌨҼǮ̈,đ̈ꒀミ꟠ƕ꒬ҼꐸҼ Ė̌ꏐョꑔミꎠョ꟠ヘꒀҼ ğ̈ꑜҼꔸҼꏘҼĄ̈lać̈ꒀミ꟠ƘꕜҼꓨҼ Č̌ꏐョꑔミꎠョ꟠ヘꔰҼ ĵ̈ꔌҼꗸҼꒈҼĺ̈ComisiónĿ̈ꒀミ꟠ơﯤѭꖨҼ Ĥ̌ꏐョꑔミꎠョ꟠ヘꗰҼ ĭ̈ꗌҼꚐҼꔸҼŒ̈ꒀミ꟠ư ꚴҼꙀҼ ŗ̌ꏐョꑔミꎠョ꟠ヘꚈҼ ŀ̈ꙤҼꝐҼꗸҼŅ̈analizaráŊ̈ꒀミ꟠ƺꝴҼ꜀Ҽ ŏ̌ꏐョꑔミꎠョ꟠ヘꝈҼ Ÿ̈ꜤҼꠐҼꚐҼŽ̈alegatosŢ̈ꒀミ꟠ǃ&#10;꠴ҼꟀҼ ŧ̌ꏐョꑔミꎠョ꟠ヘꠈҼ Ɛ̈꟤Ҽ꣐ҼꝐҼƕ̈referentesƚ̈ꒀミ꟠ǎꣴҼꢀҼ Ɵ̌ꏐョꑔミꎠョ꟠ヘ꣈Ҽ ƈ̈ꢤҼꦀҼꠐҼƍ̈alư̈ꒀミ꟠ǑꦤҼꤰҼ Ƶ̌ꏐョꑔミꎠョ꟠ヘꥸҼ ƾ̈꥔ҼꩀҼ꣐Ҽƣ̈artículoƨ̈ꒀミ꟠ǚꩤҼ꧰Ҽ ƭ̌ꏐョꑔミꎠョ꟠ヘ꨸Ҽ ǖ̈ꨔҼ꫰ҼꦀҼǛ̈2Ǟ̈ꒀミ꟠ǜꬔҼꪠҼ ǃ̌ꏐョꑔミꎠョ꟠ヘꫨҼ ǌ̈꫄ҼꮠҼꩀҼǱ̈deǴ̈ꒀミ꟠ǟꯄҼꭐҼ ǹ̌ꏐョꑔミꎠョ꟠ヘꮘҼ Ǣ̈ꭴҼ걐Ҽ꫰Ҽǧ̈laǪ̈ꒀミ꟠Ǣ&#10;건Ҽ가Ҽ ǯ̌ꏐョꑔミꎠョ꟠ヘ걈Ҽ Ę̈갤Ҽ괐ҼꮠҼĝ̈ConvenciónĂ̈ꒀミ꟠ǭ 괴Ҽ곀Ҽ ć̌ꏐョꑔミꎠョ꟠ヘ괈Ҽ İ̈곤Ҽ귐Ҽ걐Ҽĵ̈Americanaĺ̈ꒀミ꟠Ƕ귴Ҽ궀Ҽ Ŀ̌ꏐョꑔミꎠョ꟠ヘ귈Ҽ Ĩ̈궤Ҽ꺀Ҽ괐Ҽĭ̈.Ő̈ꒀミ꟠Ƿ꺤Ҽ기Ҽ ŕ̌ꏐョꑔミꎠョ꟠ヘ깸Ҽ Ş̈깔ҼꭸѮ귐ҼŃ̈&#10;ņ̈ ŉ̈ElŌ̈ ŏ̈. SaludnŴ̈381ringDnŹ̈닼ҽ늸ҽ눘ҽlž̈ꒀミ꟠&#10;눼ҽ댠ҽ ţ̈correspondiente.11tica Ŭ̈ ricana.̀Ƒ̈  CIDHDiónƖ̈  VOLUNTAD ƛ̌ꏐョꑔミꎠョ꟠ヘ룠Ҽ  Ƅ̈correspondienteisttica  ƍ̌ꏐョꑔミꎠョ꟠ヘꭰѮ ƶ̈ꒀミ꟠꼄Ҽ끠Ҽ ƻ̌ꏐョꑔミꎠョ꟠ヘ뤰Ҽ Ƥ̈ Ƨ̈deƪ̈deɔƭ̎.htm ǐ̌ꏐョꑔミꎠョ꟠ヘרּѭos  Ǚ̌ꏐョꑔミꎠョ꟠ヘ㜸Ҿci ǂ̈ꒀミ꟠㜔Ҿ닀Ҽ Ǉ̌ꏐョꑔミꎠョ꟠ヘ댈Ҽre ǰ̈다Ҽ뎨Ҽ㝀Ҿacióǵ̈ꒀミ꟠ 㙌Ҿ던Ҽ Ǻ̌ꏐョꑔミꎠョ꟠ヘ뎠Ҽla ǣ̈덼Ҽ둀Ҽ댐ҼnciaǨ̈ꒀミ꟠ 㘤Ҿ돰Ҽ ǭ̌ꏐョꑔミꎠョ꟠ヘ됸Ҽ￼￼ Ė̈됔Ҽ듘Ҽ뎨Ҽ￼￼￼￼ě̈ꒀミ꟠&quot;㗌Ҿ뒈Ҽ Ā̌ꏐョꑔミꎠョ꟠ヘ듐Ҽ￼￼ ĉ̈뒬Ҽ땰Ҽ둀Ҽ￼￼￼[Ď̈ꒀミ꟠$떔Ҽ딠Ҽ ĳ̌ꏐョꑔミꎠョ꟠ヘ땨Ҽic ļ̈땄Ҽ똠Ҽ듘Ҽanceġ̈noón Ĥ̈ꒀミ꟠'뙄Ҽ뗐Ҽ ĩ̌ꏐョꑔミꎠョ꟠ヘ똘Ҽe  Œ̈뗴Ҽ뛐Ҽ땰Ҽsponŗ̈&#10;surgeŚ̈ꒀミ꟠-뛴Ҽ뚀Ҽ ş̌ꏐョꑔミꎠョ꟠ヘ뛈Ҽ d ň̈뚤Ҽ란Ҽ똠Ҽolacō̈delleŰ̈ꒀミ꟠1&#10;랤Ҽ뜰Ҽ ŵ̌ꏐョꑔミꎠョ꟠ヘ띸Ҽe  ž̈띔Ҽ례Ҽ뛐Ҽe diţ̈expedienteapaŨ̈ꒀミ꟠;롤Ҽ런Ҽ ŭ̌ꏐョꑔミꎠョ꟠ヘ렸Ҽ￼￼ Ɩ̈렔Ҽ뢨Ҽ란Ҽ￼￼￼￼ƛ̈,￼￼￼￼ƞ̈ꒀミ꟠=료Ҽ㝠Ҿƃ̈㞄Ҿ㠠Ҿ례Ҽ14]￼ƈ̈que缸ѮƋ̈낄Ҽ뤸ҼꭸѮư̈ꒀミ꟠뀼Ҽ녠ҼƵ̈놄Ҽ말Ҽ루Ҽƺ̈ꒀミ꟠꿬Ҽ릀Ҽ ƿ̌ꏐョꑔミꎠョ꟠ヘ마Ҽ ƨ̈릤Ҽ멨Ҽ뤸Ҽƭ̈ꒀミ꟠뀔Ҽ먘Ҽ ǒ̌ꏐョꑔミꎠョ꟠ヘ멠Ҽ Ǜ̈먼Ҽ묀Ҽ말Ҽǀ̈ꒀミ꟠꺼Ҽ몰Ҽ ǅ̌ꏐョꑔミꎠョ꟠ヘ뫸Ҽ ǎ̈뫔Ҽ뮘Ҽ멨Ҽǳ̈ꒀミ꟠껬Ҽ뭈Ҽ Ǹ̌ꏐョꑔミꎠョ꟠ヘ뮐Ҽ ǡ̈뭬Ҽ배Ҽ묀ҼǦ̈ꒀミ꟠ 놬Ҽ믠Ҽ ǫ̌ꏐョꑔミꎠョ꟠ヘ밨Ҽ Ĕ̈밄Ҽ볈Ҽ뮘Ҽę̈ꒀミ꟠껔Ҽ뱸Ҽ Ğ̌ꏐョꑔミꎠョ꟠ヘ변Ҽ ć̈벜Ҽ뵠Ҽ배ҼČ̈ꒀミ꟠분Ҽ봐Ҽ ı̌ꏐョꑔミꎠョ꟠ヘ뵘Ҽ ĺ̈봴Ҽ븠Ҽ볈ҼĿ̈criterioĤ̈ꒀミ꟠뇄Ҽ뷐Ҽ ĩ̌ꏐョꑔミꎠョ꟠ヘ븘Ҽ Œ̈뷴Ҽ뺸Ҽ뵠Ҽŗ̈ꒀミ꟠뻜Ҽ빨Ҽ Ŝ̌ꏐョꑔミꎠョ꟠ヘ뺰Ҽ Ņ̈뺌Ҽ뽸Ҽ븠ҼŊ̈apreciaciónŏ̈ꒀミ꟠&amp;뇜Ҽ뼨Ҽ Ŵ̌ꏐョꑔミꎠョ꟠ヘ뽰Ҽ Ž̈뽌Ҽ쀐Ҽ뺸ҼŢ̈ꒀミ꟠)쀴Ҽ뿀Ҽ ŧ̌ꏐョꑔミꎠョ꟠ヘ쀈Ҽ Ɛ̈뿤Ҽ샀Ҽ뽸Ҽƕ̈&#10;estosƘ̈ꒀミ꟠/샤Ҽ쁰Ҽ Ɲ̌ꏐョꑔミꎠョ꟠ヘ삸Ҽ Ɔ̈삔Ҽ솀Ҽ쀐ҼƋ̈extremosư̈ꒀミ꟠8솤Ҽ섰Ҽ Ƶ̌ꏐョꑔミꎠョ꟠ヘ셸Ҽ ƾ̈셔Ҽ숰Ҽ샀Ҽƣ̈esƦ̈ꒀミ꟠; 쉔Ҽ쇠Ҽ ƫ̌ꏐョꑔミꎠョ꟠ヘ숨Ҽ ǔ̈숄Ҽ싰Ҽ솀ҼǙ̈diferenteǞ̈ꒀミ꟠E쌔Ҽ슠Ҽ ǃ̌ꏐョꑔミꎠョ꟠ヘ싨Ҽ ǌ̈싄Ҽ쎠Ҽ숰ҼǱ̈alǴ̈ꒀミ꟠H 쏄Ҽ썐Ҽ ǹ̌ꏐョꑔミꎠョ꟠ヘ쎘Ҽ Ǣ̈썴Ҽ쑠Ҽ싰Ҽǧ̈requeridoǬ̈ꒀミ꟠R쒄Ҽ쐐Ҽ đ̌ꏐョꑔミꎠョ꟠ヘ쑘Ҽ Ě̈쐴Ҽ씐Ҽ쎠Ҽğ̈paraĂ̈ꒀミ꟠W씴Ҽ쓀Ҽ ć̌ꏐョꑔミꎠョ꟠ヘ씈Ҽ İ̈쓤Ҽ에Ҽ쑠Ҽĵ̈decidirĺ̈ꒀミ꟠_열Ҽ얀Ҽ Ŀ̌ꏐョꑔミꎠョ꟠ヘ었Ҽ Ĩ̈얤Ҽ욀Ҽ씐Ҽĭ̈&#10;sobreŐ̈ꒀミ꟠e욤Ҽ옰Ҽ ŕ̌ꏐョꑔミꎠョ꟠ヘ외Ҽ Ş̈왔Ҽ윰Ҽ에ҼŃ̈elņ̈ꒀミ꟠h읔Ҽ웠Ҽ ŋ̌ꏐョꑔミꎠョ꟠ヘ율Ҽ Ŵ̈위Ҽ쟠Ҽ욀ҼŹ̈&#10;fondoż̈ꒀミ꟠n전Ҽ자Ҽ š̌ꏐョꑔミꎠョ꟠ヘ쟘Ҽ Ṻ잴Ҽ좐Ҽ윰Ҽů̈deƒ̈ꒀミ꟠q좴Ҽ졀Ҽ Ɨ̌ꏐョꑔミꎠョ꟠ヘ좈Ҽ ƀ̈졤Ҽ쥀Ҽ쟠Ҽƅ̈unaƈ̈ꒀミ꟠u쥤Ҽ죰Ҽ ƍ̌ꏐョꑔミꎠョ꟠ヘ줸Ҽ ƶ̈줔Ҽ쨀Ҽ좐Ҽƻ̈denunciaƠ̈ꒀミ꟠}쨤Ҽ즰Ҽ ƥ̌ꏐョꑔミꎠョ꟠ヘ째Ҽ Ʈ̈짔Ҽ쪰Ҽ쥀ҼǓ̈.ǖ̈ꒀミ꟠~쫔Ҽ쩠Ҽ Ǜ̌ꏐョꑔミꎠョ꟠ヘ쪨Ҽ Ǆ̈쪄Ҽ쭠Ҽ쨀Ҽǉ̈ ǌ̈ꒀミ꟠쮄Ҽ쬐Ҽ Ǳ̌ꏐョꑔミꎠョ꟠ヘ쭘Ҽ Ǻ̈쬴Ҽ찐Ҽ쪰Ҽǿ̈LaǢ̈ꒀミ꟠찴Ҽ쯀Ҽ ǧ̌ꏐョꑔミꎠョ꟠ヘ찈Ҽ Đ̈쯤Ҽ쳐Ҽ쭠Ҽĕ̈ComisiónĚ̈ꒀミ꟠쳴Ҽ첀Ҽ ğ̌ꏐョꑔミꎠョ꟠ヘ쳈Ҽ Ĉ̈첤Ҽ춀Ҽ찐Ҽč̈debeİ̈ꒀミ꟠춤Ҽ촰Ҽ ĵ̌ꏐョꑔミꎠョ꟠ヘ쵸Ҽ ľ̈쵔Ҽ칀Ҽ쳐Ҽģ̈realizarĨ̈ꒀミ꟠칤Ҽ췰Ҽ ĭ̌ꏐョꑔミꎠョ꟠ヘ츸Ҽ Ŗ̈츔Ҽ컰Ҽ춀Ҽś̈unaŞ̈ꒀミ꟠&#10;켔Ҽ캠Ҽ Ń̌ꏐョꑔミꎠョ꟠ヘ컨Ҽ Ō̈컄Ҽ쾰Ҽ칀Ҽű̈evaluaciónŶ̈ꒀミ꟠©쿔Ҽ콠Ҽ Ż̌ꏐョꑔミꎠョ꟠ヘ쾨Ҽ Ť̈쾄Ҽ傀ҽ컰Ҽũ̈&#10;primaŬ̐&#10;facieVƐ̌ವ吊䀀䀀䀀䀀Đ@＞ἠ괜聱àààààààààààààààààààààààààààààààà@@` à0PP @P@PPP   pÐ p@`p   àPPP ppp@ @p ÀP`P `pPp àà0`°İPàààà00```ÐÀ`PÐà`@@PÐp PÐp ppPppàààpÐ@@@@        ppppppÀppppp     হࠋƮƹБ௹Ɛxx ﬂ ✀ᤀ뾀ფ鴡＞‟ĽVVǆ̌ኹḊ)হ䀀䀀䀀䀀鮐ⴀ＞ἠ괜聱耀耀耀耀耀耀耀耀耀耀耀耀耀耀耀耀耀耀耀耀耀耀耀耀耀耀耀耀耀耀耀耀ⴀ㉠㫀检兠觀崀≠㨠㨠兠检⺐㨠⺐㨠兠兠兠兠兠兠兠兠兠兠㨠㨠检检检䗐耀坠埀奠戀僰䦐捀怰㗠㨰墰䝀毠忀擀䴰擀夀垀仠嶰坠绀垰什垰㨠㨠㨠检兠兠䳠俀䊰俀䱀ⴀ侐儀⌠Ⱀ䬠⌠粐儀䶰俀俀㚠䊰㉰儀䮠检䯀䮠䍀兀㨠兀检耀兠耀≠兠㫀检兠兠兠쉠垀㨠裰耀垰耀耀≠≠㫀㫀䗐兠耀兠紀䊰㨠綀耀䍀什ⴀ㉠兠兠兠兠㨠兠兠耀䗐劀检㨠耀兠䕠检䕠䕠兠删兠⺐兠䕠䗐劀耀耀耀䗐坠坠坠坠坠坠纠奠僰僰僰僰㗠㗠㗠㗠戀忀擀擀擀擀擀检擀嶰嶰嶰嶰什䶀你䳠䳠䳠䳠䳠䳠稰䊰䱀䱀䱀䱀⌠⌠⌠⌠乐儀䶰䶰䶰䶰䶰检䶰儀儀儀儀䮠俀䮠ꌈミহࠋƮƹБಽƐxx ﬂ ÿ✀ᤀ뾀ფ鴡＞‟ûüýþÿĽP Vļ̌ꏐョꑔミꎠョ꟠ヘ檸ҺpP ĥ̈ꒀミ꟠ðҸ홰Ҽ Ī̌ꏐョꑔミꎠョ꟠ヘ침ҹàà œ̈횔Ҽ홐Ҽ칰ҹŘ̈휬Ҽ훨Ҽ혨ҼꆔҾ홰Ҽ ŝ̌ꏐョꑔミꎠョ꟠ヘ혠ҼPP ņ̈ꒀミ꟠ò樌Һ힠Ҽŋ̈ퟄҼ௨ҹ홐Ҽ௤ҹ휈Ҽ Ű̌ꏐョꑔミꎠョ꟠ヘ홈ҼÐ Ź̈ꒀミ꟠õꎔҾҼž̈ꒀミ꟠öҼ옸Һ ţ̌ꏐョꑔミꎠョ꟠ヘ훠Ҽ Ŭ̈왜ҺҼ௨ҹƑ̈publicationsҼ Ɩ̌ꏐョꑔミꎠョ꟠ヘ௠ҹ Ɵ̈ꒀミ꟠Ă전Һ원ҺƄ̈웴Һ욈ҺퟰҼnsƉ̈ꒀミ꟠ă&#10;욬Һ자Һ Ǝ̌ꏐョꑔミꎠョ꟠ヘ㜰ҹH Ʒ̈ꒀミ꟠ҼҼƼ̈ҼҼ㽰ҹҼҼ ơ̌ꏐョꑔミꎠョ꟠ヘ㟈ҹ ƪ̈ꒀミ꟠ҼҼƯ̈conǒ̈ҼҼҼҼҼ Ǘ̌ꏐョꑔミꎠョ꟠ヘ㦠ҹ ǀ̈artículoǅ̈elǈ̈ꒀミ꟠¢ҼҼ Ǎ̌ꏐョꑔミꎠョ꟠ヘ㩐ҹ Ƕ̈ҼҼҼǻ̈ThisDocumentǠ̈ꒀミ꟠£ҼҼ ǥ̌ꏐョꑔミꎠョ꟠ヘ㭰ҹ肀 Ǯ̈ҼҼҼē̈.肀Ė̈ꒀミ꟠¤ҼҼ ě̌ꏐョꑔミꎠョ꟠ヘ㰰ҹ Ą̈ҼҼҼĉ̈1llÿČ̈ꒀミ꟠¦ҼҼ ı̌ꏐョꑔミꎠョ꟠ヘ㹸ҹ ĺ̈ҼҼҼĿ̈VBE㌫ᑯ Ĥ̈ꒀミ꟠©ҼҼ ĩ̌ꏐョꑔミꎠョ꟠ヘ㽨ҹ Œ̈ҼҼҼŗ̈&#10;dichoŚ̈ꒀミ꟠¯ҼҼ ş̌ꏐョꑔミꎠョ꟠ヘҼ櫅1 ň̈ҼҼҼō̈鿀Ҽ귴츐䝉㩛㫢Ų̈instrumentoҼ ŷ̌ꏐョꑔミꎠョ꟠ヘҼ櫅1 Š̈ꒀミ꟠ºҼꂰҹť̈#la JusticiaṺꃔҹҼҼҼҼ ů̌ꏐョꑔミꎠョ꟠ヘҼ Ƙ̈ꒀミ꟠¼Ҽ㾐Ɲ̈CIDHƀ̈㾴ҼҼҼҼ ƅ̌ꏐョꑔミꎠョ꟠ヘҼ Ǝ̈ꒀミ꟠¿Ҽ너Ƴ̈quetƶ̈넬ҼҼҼҼ ƻ̌ꏐョꑔミꎠョ꟠ヘҼ Ƥ̈ꒀミ꟠ÄҼ념Ʃ̈1Ƭ̈녴ҼҼҼҼ Ǒ̌ꏐョꑔミꎠョ꟠ヘҼ ǚ̈observaǟ̈deǂ̈ꒀミ꟠ÌҼ놘 Ǉ̌ꏐョꑔミꎠョ꟠ヘҼ ǰ̈놼ҼҼǵ̈.Ǹ̈ꒀ"/>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Costa Rica es un Estado parte en </w:t>
      </w:r>
      <w:smartTag w:uri="urn:schemas-microsoft-com:office:smarttags" w:element="PersonName">
        <w:smartTagPr>
          <w:attr w:name="ProductID" w:val="la Convenci￳n Americana"/>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desde el 8 de abril de 1970, fecha en que depositó su instrumento de ratificación.  Por lo tanto </w:t>
      </w:r>
      <w:smartTag w:uri="urn:schemas-microsoft-com:office:smarttags" w:element="PersonName">
        <w:smartTagPr>
          <w:attr w:name="ProductID" w:val="la Comisi￳n"/>
        </w:smartTagPr>
        <w:r w:rsidRPr="0076756B">
          <w:rPr>
            <w:rFonts w:ascii="Verdana" w:hAnsi="Verdana"/>
            <w:b w:val="0"/>
            <w:sz w:val="20"/>
            <w:szCs w:val="20"/>
            <w:lang w:val="es-ES"/>
          </w:rPr>
          <w:t>la Comisión</w:t>
        </w:r>
      </w:smartTag>
      <w:r w:rsidRPr="0076756B">
        <w:rPr>
          <w:rFonts w:ascii="Verdana" w:hAnsi="Verdana"/>
          <w:b w:val="0"/>
          <w:sz w:val="20"/>
          <w:szCs w:val="20"/>
          <w:lang w:val="es-ES"/>
        </w:rPr>
        <w:t xml:space="preserve"> tiene competencia </w:t>
      </w:r>
      <w:r w:rsidRPr="0076756B">
        <w:rPr>
          <w:rFonts w:ascii="Verdana" w:hAnsi="Verdana"/>
          <w:b w:val="0"/>
          <w:i/>
          <w:iCs/>
          <w:sz w:val="20"/>
          <w:szCs w:val="20"/>
          <w:lang w:val="es-ES"/>
        </w:rPr>
        <w:t>ratione personæ</w:t>
      </w:r>
      <w:r w:rsidRPr="0076756B">
        <w:rPr>
          <w:rFonts w:ascii="Verdana" w:hAnsi="Verdana"/>
          <w:b w:val="0"/>
          <w:sz w:val="20"/>
          <w:szCs w:val="20"/>
          <w:lang w:val="es-ES"/>
        </w:rPr>
        <w:t xml:space="preserve"> para examinar la petición.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Asimismo, </w:t>
      </w:r>
      <w:smartTag w:uri="urn:schemas-microsoft-com:office:smarttags" w:element="PersonName">
        <w:smartTagPr>
          <w:attr w:name="ProductID" w:val="la Comisi￳n"/>
        </w:smartTagPr>
        <w:r w:rsidRPr="0076756B">
          <w:rPr>
            <w:rFonts w:ascii="Verdana" w:hAnsi="Verdana"/>
            <w:b w:val="0"/>
            <w:sz w:val="20"/>
            <w:szCs w:val="20"/>
            <w:lang w:val="es-ES"/>
          </w:rPr>
          <w:t>la Comisión</w:t>
        </w:r>
      </w:smartTag>
      <w:r w:rsidRPr="0076756B">
        <w:rPr>
          <w:rFonts w:ascii="Verdana" w:hAnsi="Verdana"/>
          <w:b w:val="0"/>
          <w:sz w:val="20"/>
          <w:szCs w:val="20"/>
          <w:lang w:val="es-ES"/>
        </w:rPr>
        <w:t xml:space="preserve"> tiene competencia </w:t>
      </w:r>
      <w:r w:rsidRPr="0076756B">
        <w:rPr>
          <w:rFonts w:ascii="Verdana" w:hAnsi="Verdana"/>
          <w:b w:val="0"/>
          <w:i/>
          <w:iCs/>
          <w:sz w:val="20"/>
          <w:szCs w:val="20"/>
          <w:lang w:val="es-ES"/>
        </w:rPr>
        <w:t>ratione loci</w:t>
      </w:r>
      <w:r w:rsidRPr="0076756B">
        <w:rPr>
          <w:rFonts w:ascii="Verdana" w:hAnsi="Verdana"/>
          <w:b w:val="0"/>
          <w:sz w:val="20"/>
          <w:szCs w:val="20"/>
          <w:lang w:val="es-ES"/>
        </w:rPr>
        <w:t xml:space="preserve"> para conocer la petición, por cuanto en ella se alegan violaciones de derechos protegidos en </w:t>
      </w:r>
      <w:smartTag w:uri="urn:schemas-microsoft-com:office:smarttags" w:element="PersonName">
        <w:smartTagPr>
          <w:attr w:name="ProductID" w:val="la Convenci￳n Americana"/>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que habrían tenido lugar bajo la jurisdicción del Estado parte.  </w:t>
      </w:r>
      <w:smartTag w:uri="urn:schemas-microsoft-com:office:smarttags" w:element="PersonName">
        <w:smartTagPr>
          <w:attr w:name="ProductID" w:val="la Comisi￳n"/>
        </w:smartTagPr>
        <w:r w:rsidRPr="0076756B">
          <w:rPr>
            <w:rFonts w:ascii="Verdana" w:hAnsi="Verdana"/>
            <w:b w:val="0"/>
            <w:sz w:val="20"/>
            <w:szCs w:val="20"/>
            <w:lang w:val="es-ES"/>
          </w:rPr>
          <w:t>La Comisión</w:t>
        </w:r>
      </w:smartTag>
      <w:r w:rsidRPr="0076756B">
        <w:rPr>
          <w:rFonts w:ascii="Verdana" w:hAnsi="Verdana"/>
          <w:b w:val="0"/>
          <w:sz w:val="20"/>
          <w:szCs w:val="20"/>
          <w:lang w:val="es-ES"/>
        </w:rPr>
        <w:t xml:space="preserve"> tiene competencia </w:t>
      </w:r>
      <w:r w:rsidRPr="0076756B">
        <w:rPr>
          <w:rFonts w:ascii="Verdana" w:hAnsi="Verdana"/>
          <w:b w:val="0"/>
          <w:i/>
          <w:iCs/>
          <w:sz w:val="20"/>
          <w:szCs w:val="20"/>
          <w:lang w:val="es-ES"/>
        </w:rPr>
        <w:t>ratione temporis</w:t>
      </w:r>
      <w:r w:rsidRPr="0076756B">
        <w:rPr>
          <w:rFonts w:ascii="Verdana" w:hAnsi="Verdana"/>
          <w:b w:val="0"/>
          <w:sz w:val="20"/>
          <w:szCs w:val="20"/>
          <w:lang w:val="es-ES"/>
        </w:rPr>
        <w:t xml:space="preserve"> para estudiar el reclamo por cuanto la obligación de respetar y garantizar los derechos protegidos en </w:t>
      </w:r>
      <w:smartTag w:uri="urn:schemas-microsoft-com:office:smarttags" w:element="PersonName">
        <w:smartTagPr>
          <w:attr w:name="ProductID" w:val="la Convenci￳n Americana"/>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ya se encontraba en vigor para el Estado en la fecha en que habrían ocurrido los hechos alegados en la petición. Finalmente, </w:t>
      </w:r>
      <w:smartTag w:uri="urn:schemas-microsoft-com:office:smarttags" w:element="PersonName">
        <w:smartTagPr>
          <w:attr w:name="ProductID" w:val="la Comisi￳n"/>
        </w:smartTagPr>
        <w:r w:rsidRPr="0076756B">
          <w:rPr>
            <w:rFonts w:ascii="Verdana" w:hAnsi="Verdana"/>
            <w:b w:val="0"/>
            <w:sz w:val="20"/>
            <w:szCs w:val="20"/>
            <w:lang w:val="es-ES"/>
          </w:rPr>
          <w:t>la Comisión</w:t>
        </w:r>
      </w:smartTag>
      <w:r w:rsidRPr="0076756B">
        <w:rPr>
          <w:rFonts w:ascii="Verdana" w:hAnsi="Verdana"/>
          <w:b w:val="0"/>
          <w:sz w:val="20"/>
          <w:szCs w:val="20"/>
          <w:lang w:val="es-ES"/>
        </w:rPr>
        <w:t xml:space="preserve"> </w:t>
      </w:r>
      <w:r w:rsidRPr="0076756B">
        <w:rPr>
          <w:rFonts w:ascii="Verdana" w:hAnsi="Verdana"/>
          <w:b w:val="0"/>
          <w:sz w:val="20"/>
          <w:szCs w:val="20"/>
          <w:lang w:val="es-ES"/>
        </w:rPr>
        <w:lastRenderedPageBreak/>
        <w:t xml:space="preserve">tiene competencia </w:t>
      </w:r>
      <w:r w:rsidRPr="0076756B">
        <w:rPr>
          <w:rFonts w:ascii="Verdana" w:hAnsi="Verdana"/>
          <w:b w:val="0"/>
          <w:i/>
          <w:iCs/>
          <w:sz w:val="20"/>
          <w:szCs w:val="20"/>
          <w:lang w:val="es-ES"/>
        </w:rPr>
        <w:t>ratione materiæ</w:t>
      </w:r>
      <w:r w:rsidRPr="0076756B">
        <w:rPr>
          <w:rFonts w:ascii="Verdana" w:hAnsi="Verdana"/>
          <w:b w:val="0"/>
          <w:sz w:val="20"/>
          <w:szCs w:val="20"/>
          <w:lang w:val="es-ES"/>
        </w:rPr>
        <w:t>, porque en la petición se denuncian posibles violaciones a derechos humanos protegidos por la Convención Americana.</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Si bien la CIDH carece de competencia </w:t>
      </w:r>
      <w:r w:rsidRPr="0076756B">
        <w:rPr>
          <w:rFonts w:ascii="Verdana" w:hAnsi="Verdana"/>
          <w:b w:val="0"/>
          <w:i/>
          <w:iCs/>
          <w:sz w:val="20"/>
          <w:szCs w:val="20"/>
          <w:lang w:val="es-ES"/>
        </w:rPr>
        <w:t>ratione materiae</w:t>
      </w:r>
      <w:r w:rsidRPr="0076756B">
        <w:rPr>
          <w:rFonts w:ascii="Verdana" w:hAnsi="Verdana"/>
          <w:b w:val="0"/>
          <w:sz w:val="20"/>
          <w:szCs w:val="20"/>
          <w:lang w:val="es-ES"/>
        </w:rPr>
        <w:t xml:space="preserve"> bajo su sistema de peticiones individuales para pronunciarse en un caso individual respecto a violaciones de los artículos 1, 2, 3, 10, 14.1.b y 18 del Protocolo de San </w:t>
      </w:r>
      <w:smartTag w:uri="urn:schemas-microsoft-com:office:smarttags" w:element="PersonName">
        <w:r w:rsidRPr="0076756B">
          <w:rPr>
            <w:rFonts w:ascii="Verdana" w:hAnsi="Verdana"/>
            <w:b w:val="0"/>
            <w:sz w:val="20"/>
            <w:szCs w:val="20"/>
            <w:lang w:val="es-ES"/>
          </w:rPr>
          <w:t>Salvador</w:t>
        </w:r>
      </w:smartTag>
      <w:r w:rsidRPr="0076756B">
        <w:rPr>
          <w:rFonts w:ascii="Verdana" w:hAnsi="Verdana"/>
          <w:b w:val="0"/>
          <w:sz w:val="20"/>
          <w:szCs w:val="20"/>
          <w:lang w:val="es-ES"/>
        </w:rPr>
        <w:t xml:space="preserve"> alegados por el peticionario, teniendo en cuenta lo dispuesto en los artículos 26 y 29 de la Convención Americana, la CIDH puede considerar las disposiciones contenidas en dicho Protocolo en la interpretación de otras disposiciones aplicables de la Convención Americana y de otros tratados sobre los que sí tiene competencia </w:t>
      </w:r>
      <w:r w:rsidRPr="0076756B">
        <w:rPr>
          <w:rFonts w:ascii="Verdana" w:hAnsi="Verdana"/>
          <w:b w:val="0"/>
          <w:i/>
          <w:iCs/>
          <w:sz w:val="20"/>
          <w:szCs w:val="20"/>
          <w:lang w:val="es-ES"/>
        </w:rPr>
        <w:t>ratione materiae</w:t>
      </w:r>
      <w:r w:rsidRPr="0076756B">
        <w:rPr>
          <w:rStyle w:val="FootnoteReference"/>
          <w:b w:val="0"/>
          <w:szCs w:val="20"/>
          <w:lang w:val="es-ES"/>
        </w:rPr>
        <w:footnoteReference w:id="11"/>
      </w:r>
      <w:r w:rsidRPr="0076756B">
        <w:rPr>
          <w:rFonts w:ascii="Verdana" w:hAnsi="Verdana"/>
          <w:b w:val="0"/>
          <w:i/>
          <w:iCs/>
          <w:sz w:val="20"/>
          <w:szCs w:val="20"/>
          <w:lang w:val="es-ES"/>
        </w:rPr>
        <w:t>.</w:t>
      </w:r>
      <w:r w:rsidRPr="0076756B">
        <w:rPr>
          <w:rFonts w:ascii="Verdana" w:hAnsi="Verdana"/>
          <w:b w:val="0"/>
          <w:iCs/>
          <w:sz w:val="20"/>
          <w:szCs w:val="20"/>
          <w:lang w:val="es-ES"/>
        </w:rPr>
        <w:t xml:space="preserve"> En consecuencia la Comisión Interamericana interpretará los artículos </w:t>
      </w:r>
      <w:r w:rsidRPr="0076756B">
        <w:rPr>
          <w:rFonts w:ascii="Verdana" w:hAnsi="Verdana"/>
          <w:b w:val="0"/>
          <w:sz w:val="20"/>
          <w:szCs w:val="20"/>
          <w:lang w:val="es-ES"/>
        </w:rPr>
        <w:t xml:space="preserve">del Protocolo de San </w:t>
      </w:r>
      <w:smartTag w:uri="urn:schemas-microsoft-com:office:smarttags" w:element="PersonName">
        <w:r w:rsidRPr="0076756B">
          <w:rPr>
            <w:rFonts w:ascii="Verdana" w:hAnsi="Verdana"/>
            <w:b w:val="0"/>
            <w:sz w:val="20"/>
            <w:szCs w:val="20"/>
            <w:lang w:val="es-ES"/>
          </w:rPr>
          <w:t>Salvador</w:t>
        </w:r>
      </w:smartTag>
      <w:r w:rsidRPr="0076756B">
        <w:rPr>
          <w:rFonts w:ascii="Verdana" w:hAnsi="Verdana"/>
          <w:b w:val="0"/>
          <w:sz w:val="20"/>
          <w:szCs w:val="20"/>
          <w:lang w:val="es-ES"/>
        </w:rPr>
        <w:t xml:space="preserve"> en la medida que sea relevante para su aplicación de la Convención Americana</w:t>
      </w:r>
      <w:r w:rsidRPr="0076756B">
        <w:rPr>
          <w:rStyle w:val="FootnoteReference"/>
          <w:b w:val="0"/>
          <w:szCs w:val="20"/>
          <w:lang w:val="es-ES"/>
        </w:rPr>
        <w:footnoteReference w:id="12"/>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keepNext/>
        <w:numPr>
          <w:ilvl w:val="2"/>
          <w:numId w:val="23"/>
        </w:numPr>
        <w:tabs>
          <w:tab w:val="clear" w:pos="2985"/>
        </w:tabs>
        <w:spacing w:before="0" w:beforeAutospacing="0" w:after="0" w:afterAutospacing="0"/>
        <w:ind w:left="1440" w:hanging="720"/>
        <w:jc w:val="both"/>
        <w:rPr>
          <w:rFonts w:ascii="Verdana" w:hAnsi="Verdana"/>
          <w:sz w:val="20"/>
          <w:szCs w:val="20"/>
          <w:lang w:val="es-ES"/>
        </w:rPr>
      </w:pPr>
      <w:r w:rsidRPr="0076756B">
        <w:rPr>
          <w:rStyle w:val="Heading2CharChar"/>
          <w:rFonts w:ascii="Verdana" w:hAnsi="Verdana"/>
          <w:sz w:val="20"/>
          <w:szCs w:val="20"/>
          <w:lang w:val="es-ES"/>
        </w:rPr>
        <w:t>Otros requisitos para la admisibilidad de la petición</w:t>
      </w:r>
    </w:p>
    <w:p w:rsidR="00453524" w:rsidRPr="0076756B" w:rsidRDefault="00453524" w:rsidP="0076756B">
      <w:pPr>
        <w:ind w:firstLine="720"/>
        <w:rPr>
          <w:b/>
          <w:szCs w:val="20"/>
          <w:lang w:val="es-ES"/>
        </w:rPr>
      </w:pPr>
    </w:p>
    <w:p w:rsidR="00453524" w:rsidRPr="0076756B" w:rsidRDefault="00453524" w:rsidP="0076756B">
      <w:pPr>
        <w:pStyle w:val="Heading2"/>
        <w:keepNext/>
        <w:numPr>
          <w:ilvl w:val="0"/>
          <w:numId w:val="24"/>
        </w:numPr>
        <w:tabs>
          <w:tab w:val="clear" w:pos="2070"/>
        </w:tabs>
        <w:spacing w:before="0" w:beforeAutospacing="0" w:after="0" w:afterAutospacing="0"/>
        <w:ind w:left="0" w:firstLine="720"/>
        <w:jc w:val="both"/>
        <w:rPr>
          <w:rFonts w:ascii="Verdana" w:hAnsi="Verdana"/>
          <w:bCs w:val="0"/>
          <w:sz w:val="20"/>
          <w:szCs w:val="20"/>
          <w:lang w:val="es-ES"/>
        </w:rPr>
      </w:pPr>
      <w:r w:rsidRPr="0076756B">
        <w:rPr>
          <w:rFonts w:ascii="Verdana" w:hAnsi="Verdana"/>
          <w:bCs w:val="0"/>
          <w:sz w:val="20"/>
          <w:szCs w:val="20"/>
          <w:lang w:val="es-ES"/>
        </w:rPr>
        <w:t>Agotamiento de los recursos internos</w:t>
      </w:r>
    </w:p>
    <w:p w:rsidR="00453524" w:rsidRPr="0076756B" w:rsidRDefault="00453524" w:rsidP="0076756B">
      <w:pPr>
        <w:rPr>
          <w:bCs/>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tener la oportunidad de solucionarla antes de que sea conocida por una instancia internacional. </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Respecto del agotamiento de los recursos de la jurisdicción interna, el peticionario sostiene que los recursos internos se encontraban agotados conforme al artículo  </w:t>
      </w:r>
      <w:r w:rsidRPr="0076756B">
        <w:rPr>
          <w:rFonts w:ascii="Verdana" w:hAnsi="Verdana"/>
          <w:b w:val="0"/>
          <w:bCs w:val="0"/>
          <w:sz w:val="20"/>
          <w:szCs w:val="20"/>
          <w:lang w:val="es-ES"/>
        </w:rPr>
        <w:t>46.1.a  de la Convención Americana</w:t>
      </w:r>
      <w:r w:rsidRPr="0076756B">
        <w:rPr>
          <w:rFonts w:ascii="Verdana" w:hAnsi="Verdana"/>
          <w:b w:val="0"/>
          <w:sz w:val="20"/>
          <w:szCs w:val="20"/>
          <w:lang w:val="es-ES"/>
        </w:rPr>
        <w:t xml:space="preserve"> y por tanto ninguna de las presuntas víctimas interpuso recurso a nivel interno. Indica que </w:t>
      </w:r>
      <w:r w:rsidRPr="0076756B">
        <w:rPr>
          <w:rFonts w:ascii="Verdana" w:hAnsi="Verdana"/>
          <w:b w:val="0"/>
          <w:bCs w:val="0"/>
          <w:sz w:val="20"/>
          <w:szCs w:val="20"/>
          <w:lang w:val="es-ES"/>
        </w:rPr>
        <w:t xml:space="preserve">frente a la decisión de la Sala Constitucional tuvo como efecto la prohibición  en Costa Rica la práctica de la fecundación </w:t>
      </w:r>
      <w:r w:rsidRPr="0076756B">
        <w:rPr>
          <w:rFonts w:ascii="Verdana" w:hAnsi="Verdana"/>
          <w:b w:val="0"/>
          <w:bCs w:val="0"/>
          <w:i/>
          <w:sz w:val="20"/>
          <w:szCs w:val="20"/>
          <w:lang w:val="es-ES"/>
        </w:rPr>
        <w:t>in vitro</w:t>
      </w:r>
      <w:r w:rsidRPr="0076756B">
        <w:rPr>
          <w:rFonts w:ascii="Verdana" w:hAnsi="Verdana"/>
          <w:b w:val="0"/>
          <w:bCs w:val="0"/>
          <w:sz w:val="20"/>
          <w:szCs w:val="20"/>
          <w:lang w:val="es-ES"/>
        </w:rPr>
        <w:t>, no se podía interponer ningún recurso conforme al artículo 11.2 de la Ley de la Jurisdicci</w:t>
      </w:r>
      <w:r w:rsidRPr="0076756B">
        <w:rPr>
          <w:rFonts w:ascii="Verdana" w:hAnsi="Verdana" w:cs="Arial"/>
          <w:b w:val="0"/>
          <w:bCs w:val="0"/>
          <w:sz w:val="20"/>
          <w:szCs w:val="20"/>
          <w:lang w:val="es-ES" w:eastAsia="ja-JP"/>
        </w:rPr>
        <w:t>ón Constitucional de Costa Rica,</w:t>
      </w:r>
      <w:r w:rsidRPr="0076756B">
        <w:rPr>
          <w:rFonts w:ascii="Verdana" w:hAnsi="Verdana"/>
          <w:b w:val="0"/>
          <w:bCs w:val="0"/>
          <w:sz w:val="20"/>
          <w:szCs w:val="20"/>
          <w:lang w:val="es-ES"/>
        </w:rPr>
        <w:t xml:space="preserve"> que establece que las sentencias, autos o providencias de la jurisdicción constitucional, son irrecurribles.</w:t>
      </w:r>
      <w:r w:rsidRPr="0076756B">
        <w:rPr>
          <w:rFonts w:ascii="Verdana" w:hAnsi="Verdana" w:cs="Arial"/>
          <w:b w:val="0"/>
          <w:bCs w:val="0"/>
          <w:sz w:val="20"/>
          <w:szCs w:val="20"/>
          <w:lang w:val="es-ES" w:eastAsia="ja-JP"/>
        </w:rPr>
        <w:t xml:space="preserve">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cs="Arial"/>
          <w:b w:val="0"/>
          <w:sz w:val="20"/>
          <w:szCs w:val="20"/>
          <w:lang w:val="es-ES"/>
        </w:rPr>
        <w:t xml:space="preserve">El Estado por su parte sostiene que el peticionario no agotó los recursos internos, conforme lo demuestra el hecho que la Sra. Ileana Henchoz Bolaños, víctima del caso 12.361 ante la CIDH, interpuso un proceso de conocimiento contra la Caja Costarricense de Seguro Social ante el Tribunal </w:t>
      </w:r>
      <w:r w:rsidRPr="0076756B">
        <w:rPr>
          <w:rFonts w:ascii="Verdana" w:hAnsi="Verdana"/>
          <w:b w:val="0"/>
          <w:sz w:val="20"/>
          <w:szCs w:val="20"/>
          <w:lang w:val="es-ES"/>
        </w:rPr>
        <w:t xml:space="preserve">de lo Contencioso Administrativo y Civil de Hacienda </w:t>
      </w:r>
      <w:r w:rsidRPr="0076756B">
        <w:rPr>
          <w:rFonts w:ascii="Verdana" w:hAnsi="Verdana" w:cs="Arial"/>
          <w:b w:val="0"/>
          <w:sz w:val="20"/>
          <w:szCs w:val="20"/>
          <w:lang w:val="es-ES"/>
        </w:rPr>
        <w:t>que fue resuelto, favorablemente para la demandante en primera instancia. En consecuencia, alega que al momento que se interpusieron las peticiones ante la CIDH, habían recursos internos que no se habían agotado.</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A fin de determinar el cumplimiento del requisito del agotamiento de los recursos internos, corresponde a la CIDH establecer cuál es el recurso adecuado según cada caso concreto, entendiendo como tal, aquél, que pueda solucionar la situación jurídica infringida.</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El objeto de la controversia en el presente caso es la sentencia emitida por la </w:t>
      </w:r>
      <w:r w:rsidRPr="0076756B">
        <w:rPr>
          <w:rFonts w:ascii="Verdana" w:hAnsi="Verdana" w:cs="Arial"/>
          <w:b w:val="0"/>
          <w:sz w:val="20"/>
          <w:szCs w:val="20"/>
          <w:lang w:val="es-ES"/>
        </w:rPr>
        <w:t xml:space="preserve">Sala Constitucional de fecha 15 de marzo de 2000 que </w:t>
      </w:r>
      <w:r w:rsidRPr="0076756B">
        <w:rPr>
          <w:rFonts w:ascii="Verdana" w:hAnsi="Verdana"/>
          <w:b w:val="0"/>
          <w:sz w:val="20"/>
          <w:szCs w:val="20"/>
          <w:lang w:val="es-ES"/>
        </w:rPr>
        <w:t xml:space="preserve">declaró inconstitucional el Decreto Presidencial 24029-S del 3 de febrero de 1995 que regulaba la fecundación </w:t>
      </w:r>
      <w:r w:rsidRPr="0076756B">
        <w:rPr>
          <w:rFonts w:ascii="Verdana" w:hAnsi="Verdana"/>
          <w:b w:val="0"/>
          <w:i/>
          <w:sz w:val="20"/>
          <w:szCs w:val="20"/>
          <w:lang w:val="es-ES"/>
        </w:rPr>
        <w:t xml:space="preserve">in vitro </w:t>
      </w:r>
      <w:r w:rsidRPr="0076756B">
        <w:rPr>
          <w:rFonts w:ascii="Verdana" w:hAnsi="Verdana"/>
          <w:b w:val="0"/>
          <w:sz w:val="20"/>
          <w:szCs w:val="20"/>
          <w:lang w:val="es-ES"/>
        </w:rPr>
        <w:t xml:space="preserve">en Costa Rica. Es decir, una decisión definitiva y vinculante de la más alta instancia judicial de Costa Rica.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La Comisión observa que el artículo 11 de la Ley de Jurisdicción Constitucional señala expresamente que, “no habrá recurso contra las sentencias, autos o providencias de la jurisdicción constitucional”. En consecuencia, conforme a dicho artículo, cualquier recurso interpuesto frente a una sentencia emitida por este órgano jurisdiccional, hubiera sido rechazado. Asimismo, la CIDH observa que, según la petición, las presuntas víctimas no sabían en el año 2000 que la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representaría su única alternativa para procrear biológicamente. Como consecuencia, no tenían necesidad de disputar sus intereses frente a la resolución emitida por la Sala Constitucional. En virtud de que el tema materia de controversia fue decidido en forma definitiva en el año 2000, al momento en que las presuntas víctimas se vieron afectados por las consecuencias de dicha sentencia, ya no contaban con recursos idóneos disponibles para presentar su situación personal.</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Por otro lado, LA CIDH nota que Ileana Henchoz Bolaños (</w:t>
      </w:r>
      <w:r w:rsidRPr="0076756B">
        <w:rPr>
          <w:rFonts w:ascii="Verdana" w:hAnsi="Verdana" w:cs="Arial"/>
          <w:b w:val="0"/>
          <w:sz w:val="20"/>
          <w:szCs w:val="20"/>
          <w:lang w:val="es-ES"/>
        </w:rPr>
        <w:t xml:space="preserve">presunta víctima del caso 12.361) intentó un recurso de inconstitucionalidad y un proceso de conocimiento. Respecto del recurso de inconstitucionalidad </w:t>
      </w:r>
      <w:r w:rsidRPr="0076756B">
        <w:rPr>
          <w:rFonts w:ascii="Verdana" w:hAnsi="Verdana"/>
          <w:b w:val="0"/>
          <w:sz w:val="20"/>
          <w:szCs w:val="20"/>
          <w:lang w:val="es-ES"/>
        </w:rPr>
        <w:t xml:space="preserve">contra la jurisprudencia de la Sala Constitucional, la Sala Constitucional, mediante sentencia de fecha 11 de junio de 2008, rechazó de plano dicho recurso.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Respecto del proceso de conocimiento interpuesto, </w:t>
      </w:r>
      <w:r w:rsidRPr="0076756B">
        <w:rPr>
          <w:rFonts w:ascii="Verdana" w:hAnsi="Verdana" w:cs="Arial"/>
          <w:b w:val="0"/>
          <w:sz w:val="20"/>
          <w:szCs w:val="20"/>
          <w:lang w:val="es-ES"/>
        </w:rPr>
        <w:t xml:space="preserve">señalado tanto por el peticionario y por el Estado, la </w:t>
      </w:r>
      <w:r w:rsidRPr="0076756B">
        <w:rPr>
          <w:rFonts w:ascii="Verdana" w:hAnsi="Verdana"/>
          <w:b w:val="0"/>
          <w:sz w:val="20"/>
          <w:szCs w:val="20"/>
          <w:lang w:val="es-ES"/>
        </w:rPr>
        <w:t xml:space="preserve">Comisión considera que dicho procedimiento no representaba un recurso idóneo para las presuntas víctimas. El proceso de conocimiento fue interpuesto por Ileana Henchoz contra la Caja Costarricense de Seguro Social, con la finalidad de que se le practicara el procedimiento médico que como consecuencia de la decisión emitida por la Sala Constitucional de Costa Rica, se encontraba prohibido en Costa Rica desde el 2000. Si bien el recurso fue resuelto a favor de la demandante en primera instancia, en apelación </w:t>
      </w:r>
      <w:r w:rsidRPr="0076756B">
        <w:rPr>
          <w:rFonts w:ascii="Verdana" w:hAnsi="Verdana"/>
          <w:b w:val="0"/>
          <w:sz w:val="20"/>
          <w:szCs w:val="20"/>
          <w:lang w:val="es-PE"/>
        </w:rPr>
        <w:t xml:space="preserve">los magistrados </w:t>
      </w:r>
      <w:r w:rsidRPr="0076756B">
        <w:rPr>
          <w:rFonts w:ascii="Verdana" w:hAnsi="Verdana" w:cs="Arial"/>
          <w:b w:val="0"/>
          <w:sz w:val="20"/>
          <w:szCs w:val="20"/>
          <w:lang w:val="es-PE"/>
        </w:rPr>
        <w:t xml:space="preserve">de la Sala Primera de la Corte Suprema de Justicia, anularon dicho fallo y declararon sin lugar la demanda. Además, el Estado no ha demostrado cómo este recurso de conocimiento, que no es de orden constitucional, hubiera sido idóneo para solucionar la situación denunciada. Sobre el particular, las dos partes afirman que </w:t>
      </w:r>
      <w:r w:rsidRPr="0076756B">
        <w:rPr>
          <w:rFonts w:ascii="Verdana" w:hAnsi="Verdana"/>
          <w:b w:val="0"/>
          <w:sz w:val="20"/>
          <w:szCs w:val="20"/>
          <w:lang w:val="es-ES"/>
        </w:rPr>
        <w:t xml:space="preserve">el objeto de controversia ha sido tratado como materia constitucional y por lo tanto, sólo correspondería abordarse la situación jurídica planteada a nivel constitucional. Conforme ya se analizó, la ley costarricense expresamente  establece que no hay recursos disponibles frente a sentencias de la jurisdicción constitucional.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iCs/>
          <w:sz w:val="20"/>
          <w:szCs w:val="20"/>
          <w:lang w:val="es-ES"/>
        </w:rPr>
      </w:pPr>
      <w:r w:rsidRPr="0076756B">
        <w:rPr>
          <w:rFonts w:ascii="Verdana" w:hAnsi="Verdana"/>
          <w:b w:val="0"/>
          <w:sz w:val="20"/>
          <w:szCs w:val="20"/>
          <w:lang w:val="es-ES"/>
        </w:rPr>
        <w:t xml:space="preserve">Por lo antes expuesto, la Comisión Interamericana considera que las presuntas víctimas en el presente caso se encontraban imposibilitadas de agotar otros recursos idóneos disponibles.  En consecuencia, considera que en el presente caso, se configura la excepción al agotamiento de los recursos internos establecida en el artículo 46.2.a. </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spacing w:before="0" w:beforeAutospacing="0" w:after="0" w:afterAutospacing="0"/>
        <w:ind w:firstLine="720"/>
        <w:jc w:val="both"/>
        <w:rPr>
          <w:rFonts w:ascii="Verdana" w:hAnsi="Verdana"/>
          <w:bCs w:val="0"/>
          <w:sz w:val="20"/>
          <w:szCs w:val="20"/>
          <w:lang w:val="es-ES"/>
        </w:rPr>
      </w:pPr>
      <w:r w:rsidRPr="0076756B">
        <w:rPr>
          <w:rFonts w:ascii="Verdana" w:hAnsi="Verdana"/>
          <w:bCs w:val="0"/>
          <w:sz w:val="20"/>
          <w:szCs w:val="20"/>
          <w:lang w:val="es-ES"/>
        </w:rPr>
        <w:t>2.</w:t>
      </w:r>
      <w:r w:rsidRPr="0076756B">
        <w:rPr>
          <w:rFonts w:ascii="Verdana" w:hAnsi="Verdana"/>
          <w:bCs w:val="0"/>
          <w:sz w:val="20"/>
          <w:szCs w:val="20"/>
          <w:lang w:val="es-ES"/>
        </w:rPr>
        <w:tab/>
        <w:t>Plazo para presentar la petición</w:t>
      </w:r>
    </w:p>
    <w:p w:rsidR="00453524" w:rsidRPr="0076756B" w:rsidRDefault="00453524" w:rsidP="0076756B">
      <w:pPr>
        <w:pStyle w:val="Heading2"/>
        <w:spacing w:before="0" w:beforeAutospacing="0" w:after="0" w:afterAutospacing="0"/>
        <w:jc w:val="both"/>
        <w:rPr>
          <w:rFonts w:ascii="Verdana" w:hAnsi="Verdana"/>
          <w:b w:val="0"/>
          <w:bCs w:val="0"/>
          <w:iCs/>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bCs w:val="0"/>
          <w:iCs/>
          <w:sz w:val="20"/>
          <w:szCs w:val="20"/>
          <w:lang w:val="es-ES"/>
        </w:rPr>
        <w:t xml:space="preserve">El artículo 46.1.b de la Convención establece que para que la petición pueda ser declarada admisible, es necesario que se haya presentado dentro del plazo de seis meses contado a partir de la fecha en que el interesado fue notificado de la decisión final que agotó la jurisdicción interna.  Esta regla no tiene aplicación cuando la Comisión encuentra que se ha configurado alguna de las excepciones al agotamiento de los recursos internos consagradas en el artículo 46.2 de la Convención. En tales casos, la Comisión debe determinar si la petición fue presentada en un tiempo razonable de conformidad con el artículo 32 de su Reglamento. </w:t>
      </w:r>
      <w:r w:rsidRPr="0076756B">
        <w:rPr>
          <w:rFonts w:ascii="Verdana" w:hAnsi="Verdana"/>
          <w:b w:val="0"/>
          <w:sz w:val="20"/>
          <w:szCs w:val="20"/>
          <w:lang w:val="es-ES"/>
        </w:rPr>
        <w:t>De acuerdo con este artículo, en su análisis, la Comisión “considerará la fecha en que haya ocurrido la presunta violación de los derechos y las circunstancias de cada caso”.</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bCs w:val="0"/>
          <w:iCs/>
          <w:sz w:val="20"/>
          <w:szCs w:val="20"/>
          <w:lang w:val="es-ES"/>
        </w:rPr>
        <w:t xml:space="preserve">Según el peticionario, la vigencia de una norma jurisprudencial de derecho interno, definitiva y vinculante para todos los órganos judiciales, administrativos y legislativos de Costa Rica y para toda persona, crea </w:t>
      </w:r>
      <w:r w:rsidRPr="0076756B">
        <w:rPr>
          <w:rFonts w:ascii="Verdana" w:hAnsi="Verdana"/>
          <w:b w:val="0"/>
          <w:bCs w:val="0"/>
          <w:i/>
          <w:iCs/>
          <w:sz w:val="20"/>
          <w:szCs w:val="20"/>
          <w:lang w:val="es-ES"/>
        </w:rPr>
        <w:t>per se</w:t>
      </w:r>
      <w:r w:rsidRPr="0076756B">
        <w:rPr>
          <w:rFonts w:ascii="Verdana" w:hAnsi="Verdana"/>
          <w:b w:val="0"/>
          <w:bCs w:val="0"/>
          <w:iCs/>
          <w:sz w:val="20"/>
          <w:szCs w:val="20"/>
          <w:lang w:val="es-ES"/>
        </w:rPr>
        <w:t xml:space="preserve"> una situación legal que afecta los derechos protegidos por la Convención Americana sobre Derechos Humanos. En este caso concreto, sostiene que se configura una violación continuada de la Convención. En consecuencia, alega que no resulta aplicable el inciso b del artículo 46 que exige que la demanda sea presentada dentro del plazo de 6 meses.</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El Estado por su parte sostiene que las peticiones fueron presentadas en forma extemporánea, es decir, fuera del plazo de los seis meses, por haber sido presentadas ante la CIDH en los a</w:t>
      </w:r>
      <w:r w:rsidRPr="0076756B">
        <w:rPr>
          <w:rFonts w:ascii="Verdana" w:hAnsi="Verdana" w:cs="Arial"/>
          <w:b w:val="0"/>
          <w:sz w:val="20"/>
          <w:szCs w:val="20"/>
          <w:lang w:val="es-ES"/>
        </w:rPr>
        <w:t>ños 2004, 2005, 2006 y 2007, lo que corresponde en su orden a varios años después de que se conoció el fallo definitivo en esta materia</w:t>
      </w:r>
      <w:r w:rsidRPr="0076756B">
        <w:rPr>
          <w:rStyle w:val="FootnoteReference"/>
          <w:rFonts w:cs="Arial"/>
          <w:b w:val="0"/>
          <w:bCs w:val="0"/>
          <w:szCs w:val="20"/>
          <w:lang w:val="es-ES"/>
        </w:rPr>
        <w:footnoteReference w:id="13"/>
      </w:r>
      <w:r w:rsidRPr="0076756B">
        <w:rPr>
          <w:rFonts w:ascii="Verdana" w:hAnsi="Verdana" w:cs="Arial"/>
          <w:b w:val="0"/>
          <w:sz w:val="20"/>
          <w:szCs w:val="20"/>
          <w:lang w:val="es-ES"/>
        </w:rPr>
        <w:t xml:space="preserve">, que fue el 15 de marzo de 2000.  Según el Estado, no sería razonable interpretar que exista una supuesta violación continuada pasados los años luego de que las personas interesadas hayan sido notificadas de una decisión definitiva, puesto que en esa línea de pensamiento la supuesta violación continuada habría sido aceptada tácitamente por las alegadas víctimas en razón de que el plazo razonable para elevar el conocimiento de la supuesta vulneración de derechos ante las instancias internacionales habría expirado mucho tiempo atrás. La </w:t>
      </w:r>
      <w:r w:rsidRPr="0076756B">
        <w:rPr>
          <w:rFonts w:ascii="Verdana" w:hAnsi="Verdana"/>
          <w:b w:val="0"/>
          <w:sz w:val="20"/>
          <w:szCs w:val="20"/>
          <w:lang w:val="es-ES"/>
        </w:rPr>
        <w:t>norma de razonabilidad del plazo para interponer peticiones ante el sistema interamericano de derechos humanos debe ser analizada en cada caso, teniendo en cuenta la actividad procesal de los familiares de las presuntas víctimas, la conducta estatal, así como la situación y contexto en el que ocurrió la alegada violación</w:t>
      </w:r>
      <w:r w:rsidRPr="0076756B">
        <w:rPr>
          <w:rStyle w:val="FootnoteReference"/>
          <w:b w:val="0"/>
          <w:szCs w:val="20"/>
          <w:lang w:val="es-ES"/>
        </w:rPr>
        <w:footnoteReference w:id="14"/>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 xml:space="preserve">Al respecto, la Comisión observa que las quejas planteadas se refieren a una condición de salud  - la infertilidad – que es diagnosticada médicamente, situación de la que las presuntas víctimas no tenían por qué tener conocimiento al momento en que se emitió la sentencia de la Sala Constitucional de Costa Rica. Las presuntas víctimas se vieron afectadas con la sentencia al momento de requerir la técnica de la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para procrear biológicamente.</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 xml:space="preserve">Dada la índole de las quejas planteadas, que se refieren a los efectos de una sentencia emitida por la máxima autoridad judicial que sigue en vigor, aunada a una situación de salud de la que no tenían conocimiento al momento en que se emitió la sentencia de la Sala Constitucional de Costa Rica el 15 de marzo de 2000, y que les afectó al momento de conocer que la fecundación </w:t>
      </w:r>
      <w:r w:rsidRPr="0076756B">
        <w:rPr>
          <w:rFonts w:ascii="Verdana" w:hAnsi="Verdana"/>
          <w:b w:val="0"/>
          <w:i/>
          <w:sz w:val="20"/>
          <w:szCs w:val="20"/>
          <w:lang w:val="es-ES"/>
        </w:rPr>
        <w:t>in vitro</w:t>
      </w:r>
      <w:r w:rsidRPr="0076756B">
        <w:rPr>
          <w:rFonts w:ascii="Verdana" w:hAnsi="Verdana"/>
          <w:b w:val="0"/>
          <w:sz w:val="20"/>
          <w:szCs w:val="20"/>
          <w:lang w:val="es-ES"/>
        </w:rPr>
        <w:t xml:space="preserve"> era la única opción para procrear biológicamente, y que según el análisis bajo el agotamiento de recursos internos, se dieron cuenta que no tenían recursos idóneos disponibles, la CIDH considera que la regla de los seis meses no es impedimento para la admisibilidad de este caso bajo las circunstancias aquí establecidas</w:t>
      </w:r>
      <w:r w:rsidRPr="0076756B">
        <w:rPr>
          <w:rStyle w:val="FootnoteReference"/>
          <w:b w:val="0"/>
          <w:szCs w:val="20"/>
          <w:lang w:val="es-ES"/>
        </w:rPr>
        <w:footnoteReference w:id="15"/>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cs="Arial"/>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cs="Arial"/>
          <w:b w:val="0"/>
          <w:sz w:val="20"/>
          <w:szCs w:val="20"/>
          <w:lang w:val="es-ES"/>
        </w:rPr>
      </w:pPr>
      <w:r w:rsidRPr="0076756B">
        <w:rPr>
          <w:rFonts w:ascii="Verdana" w:hAnsi="Verdana"/>
          <w:b w:val="0"/>
          <w:sz w:val="20"/>
          <w:szCs w:val="20"/>
          <w:lang w:val="es-ES"/>
        </w:rPr>
        <w:t>Frente a esta situación particular, la CIDH considera que a efectos del cumplimiento de los requisitos de admisibilidad, las peticiones fueron presentadas en un plazo razonable.</w:t>
      </w:r>
    </w:p>
    <w:p w:rsidR="00453524" w:rsidRPr="0076756B" w:rsidRDefault="00453524" w:rsidP="0076756B">
      <w:pPr>
        <w:pStyle w:val="Heading2"/>
        <w:spacing w:before="0" w:beforeAutospacing="0" w:after="0" w:afterAutospacing="0"/>
        <w:jc w:val="both"/>
        <w:rPr>
          <w:rFonts w:ascii="Verdana" w:eastAsia="MS Mincho" w:hAnsi="Verdana"/>
          <w:b w:val="0"/>
          <w:bCs w:val="0"/>
          <w:sz w:val="20"/>
          <w:szCs w:val="20"/>
          <w:lang w:val="es-ES"/>
        </w:rPr>
      </w:pPr>
    </w:p>
    <w:p w:rsidR="00453524" w:rsidRPr="0076756B" w:rsidRDefault="00453524" w:rsidP="0076756B">
      <w:pPr>
        <w:pStyle w:val="Heading2"/>
        <w:spacing w:before="0" w:beforeAutospacing="0" w:after="0" w:afterAutospacing="0"/>
        <w:ind w:firstLine="720"/>
        <w:jc w:val="both"/>
        <w:rPr>
          <w:rFonts w:ascii="Verdana" w:hAnsi="Verdana"/>
          <w:sz w:val="20"/>
          <w:szCs w:val="20"/>
          <w:lang w:val="es-ES"/>
        </w:rPr>
      </w:pPr>
      <w:r w:rsidRPr="0076756B">
        <w:rPr>
          <w:rFonts w:ascii="Verdana" w:eastAsia="MS Mincho" w:hAnsi="Verdana"/>
          <w:bCs w:val="0"/>
          <w:sz w:val="20"/>
          <w:szCs w:val="20"/>
          <w:lang w:val="es-ES"/>
        </w:rPr>
        <w:t xml:space="preserve">3. </w:t>
      </w:r>
      <w:r w:rsidRPr="0076756B">
        <w:rPr>
          <w:rFonts w:ascii="Verdana" w:eastAsia="MS Mincho" w:hAnsi="Verdana"/>
          <w:bCs w:val="0"/>
          <w:sz w:val="20"/>
          <w:szCs w:val="20"/>
          <w:lang w:val="es-ES"/>
        </w:rPr>
        <w:tab/>
      </w:r>
      <w:r w:rsidRPr="0076756B">
        <w:rPr>
          <w:rFonts w:ascii="Verdana" w:hAnsi="Verdana"/>
          <w:bCs w:val="0"/>
          <w:sz w:val="20"/>
          <w:szCs w:val="20"/>
          <w:lang w:val="es-ES"/>
        </w:rPr>
        <w:t>Duplicación de procedimientos y cosa juzgada internacionales</w:t>
      </w:r>
    </w:p>
    <w:p w:rsidR="00453524" w:rsidRPr="0076756B" w:rsidRDefault="00453524" w:rsidP="0076756B">
      <w:pPr>
        <w:rPr>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sz w:val="20"/>
          <w:szCs w:val="20"/>
          <w:lang w:val="es-ES"/>
        </w:rPr>
      </w:pPr>
      <w:r w:rsidRPr="0076756B">
        <w:rPr>
          <w:rFonts w:ascii="Verdana" w:hAnsi="Verdana"/>
          <w:b w:val="0"/>
          <w:sz w:val="20"/>
          <w:szCs w:val="20"/>
          <w:lang w:val="es-ES"/>
        </w:rPr>
        <w:t xml:space="preserve">Los peticionarios han expresado, y no surge del expediente, que la materia de la petición se encuentre pendiente de decisión en otro procedimiento o arreglo de carácter internacional (artículo 46.1.c de </w:t>
      </w:r>
      <w:smartTag w:uri="urn:schemas-microsoft-com:office:smarttags" w:element="PersonName">
        <w:smartTagPr>
          <w:attr w:name="ProductID" w:val="la Convenci￳n Americana"/>
        </w:smartTagPr>
        <w:r w:rsidRPr="0076756B">
          <w:rPr>
            <w:rFonts w:ascii="Verdana" w:hAnsi="Verdana"/>
            <w:b w:val="0"/>
            <w:sz w:val="20"/>
            <w:szCs w:val="20"/>
            <w:lang w:val="es-ES"/>
          </w:rPr>
          <w:t>la Convención Americana</w:t>
        </w:r>
      </w:smartTag>
      <w:r w:rsidRPr="0076756B">
        <w:rPr>
          <w:rFonts w:ascii="Verdana" w:hAnsi="Verdana"/>
          <w:b w:val="0"/>
          <w:sz w:val="20"/>
          <w:szCs w:val="20"/>
          <w:lang w:val="es-ES"/>
        </w:rPr>
        <w:t xml:space="preserve">), ni que reproduzca una petición ya examinada por éste u otro órgano internacional (artículo 47.d de </w:t>
      </w:r>
      <w:smartTag w:uri="urn:schemas-microsoft-com:office:smarttags" w:element="PersonName">
        <w:smartTagPr>
          <w:attr w:name="ProductID" w:val="la Convenci￳n"/>
        </w:smartTagPr>
        <w:r w:rsidRPr="0076756B">
          <w:rPr>
            <w:rFonts w:ascii="Verdana" w:hAnsi="Verdana"/>
            <w:b w:val="0"/>
            <w:sz w:val="20"/>
            <w:szCs w:val="20"/>
            <w:lang w:val="es-ES"/>
          </w:rPr>
          <w:t>la Convención</w:t>
        </w:r>
      </w:smartTag>
      <w:r w:rsidRPr="0076756B">
        <w:rPr>
          <w:rFonts w:ascii="Verdana" w:hAnsi="Verdana"/>
          <w:b w:val="0"/>
          <w:sz w:val="20"/>
          <w:szCs w:val="20"/>
          <w:lang w:val="es-ES"/>
        </w:rPr>
        <w:t>). En consecuencia, corresponde dar por cumplidos ambos requisitos establecidos en el citado instrumento.</w:t>
      </w:r>
    </w:p>
    <w:p w:rsidR="00453524" w:rsidRPr="0076756B" w:rsidRDefault="00453524" w:rsidP="0076756B">
      <w:pPr>
        <w:pStyle w:val="Heading2"/>
        <w:spacing w:before="0" w:beforeAutospacing="0" w:after="0" w:afterAutospacing="0"/>
        <w:jc w:val="both"/>
        <w:rPr>
          <w:rFonts w:ascii="Verdana" w:hAnsi="Verdana"/>
          <w:sz w:val="20"/>
          <w:szCs w:val="20"/>
          <w:lang w:val="es-ES"/>
        </w:rPr>
      </w:pPr>
    </w:p>
    <w:p w:rsidR="00453524" w:rsidRPr="0076756B" w:rsidRDefault="00453524" w:rsidP="0076756B">
      <w:pPr>
        <w:pStyle w:val="Heading2"/>
        <w:spacing w:before="0" w:beforeAutospacing="0" w:after="0" w:afterAutospacing="0"/>
        <w:ind w:firstLine="720"/>
        <w:jc w:val="both"/>
        <w:rPr>
          <w:rFonts w:ascii="Verdana" w:hAnsi="Verdana"/>
          <w:sz w:val="20"/>
          <w:szCs w:val="20"/>
          <w:lang w:val="es-ES"/>
        </w:rPr>
      </w:pPr>
      <w:r w:rsidRPr="0076756B">
        <w:rPr>
          <w:rFonts w:ascii="Verdana" w:hAnsi="Verdana"/>
          <w:bCs w:val="0"/>
          <w:sz w:val="20"/>
          <w:szCs w:val="20"/>
          <w:lang w:val="es-ES"/>
        </w:rPr>
        <w:t xml:space="preserve">4. </w:t>
      </w:r>
      <w:r w:rsidRPr="0076756B">
        <w:rPr>
          <w:rFonts w:ascii="Verdana" w:hAnsi="Verdana"/>
          <w:bCs w:val="0"/>
          <w:sz w:val="20"/>
          <w:szCs w:val="20"/>
          <w:lang w:val="es-ES"/>
        </w:rPr>
        <w:tab/>
        <w:t>Caracterización de los hechos alegados</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 xml:space="preserve">A los fines de admisibilidad, la Comisión debe decidir si en la petición se exponen hechos que podrían caracterizar una violación, como estipula el artículo 47.b de la Convención Americana, si la petición es "manifiestamente infundada" o si es "evidente su total improcedencia", según el inciso (c) del mismo artículo. El criterio para la apreciación de estos extremos es diferente al requerido para pronunciarse sobre los méritos de una denuncia. La CIDH debe realizar una evaluación </w:t>
      </w:r>
      <w:r w:rsidRPr="0076756B">
        <w:rPr>
          <w:rFonts w:ascii="Verdana" w:hAnsi="Verdana"/>
          <w:b w:val="0"/>
          <w:i/>
          <w:iCs/>
          <w:sz w:val="20"/>
          <w:szCs w:val="20"/>
          <w:lang w:val="es-ES"/>
        </w:rPr>
        <w:t>prima facie</w:t>
      </w:r>
      <w:r w:rsidRPr="0076756B">
        <w:rPr>
          <w:rFonts w:ascii="Verdana" w:hAnsi="Verdana"/>
          <w:b w:val="0"/>
          <w:sz w:val="20"/>
          <w:szCs w:val="20"/>
          <w:lang w:val="es-ES"/>
        </w:rPr>
        <w:t xml:space="preserve"> y determinar si la denuncia fundamenta la aparente o potencial violación de un derecho garantizado por la Convención Americana, mas </w:t>
      </w:r>
      <w:r w:rsidRPr="0076756B">
        <w:rPr>
          <w:rFonts w:ascii="Verdana" w:hAnsi="Verdana"/>
          <w:b w:val="0"/>
          <w:sz w:val="20"/>
          <w:szCs w:val="20"/>
          <w:lang w:val="es-ES"/>
        </w:rPr>
        <w:lastRenderedPageBreak/>
        <w:t>no establecer la existencia de dicha violación</w:t>
      </w:r>
      <w:r w:rsidRPr="0076756B">
        <w:rPr>
          <w:rStyle w:val="FootnoteReference"/>
          <w:b w:val="0"/>
          <w:szCs w:val="20"/>
          <w:lang w:val="es-ES"/>
        </w:rPr>
        <w:footnoteReference w:id="16"/>
      </w:r>
      <w:r w:rsidRPr="0076756B">
        <w:rPr>
          <w:rFonts w:ascii="Verdana" w:hAnsi="Verdana"/>
          <w:b w:val="0"/>
          <w:sz w:val="20"/>
          <w:szCs w:val="20"/>
          <w:lang w:val="es-ES"/>
        </w:rPr>
        <w:t>.  En la presente etapa corresponde efectuar un análisis sumario que no implica un prejuicio o un avance de opinión sobre el fondo.  El propio Reglamento de la Comisión Interamericana, al establecer una fase de admisibilidad y otra de fondo, refleja esta distinción entre la evaluación que debe realizar la Comisión Interamericana a fin de declarar una petición admisible y la requerida para establecer si se ha cometido una violación imputable al Estado</w:t>
      </w:r>
      <w:r w:rsidRPr="0076756B">
        <w:rPr>
          <w:rStyle w:val="FootnoteReference"/>
          <w:b w:val="0"/>
          <w:szCs w:val="20"/>
          <w:lang w:val="es-ES"/>
        </w:rPr>
        <w:footnoteReference w:id="17"/>
      </w:r>
      <w:r w:rsidRPr="0076756B">
        <w:rPr>
          <w:rFonts w:ascii="Verdana" w:hAnsi="Verdana"/>
          <w:b w:val="0"/>
          <w:sz w:val="20"/>
          <w:szCs w:val="20"/>
          <w:lang w:val="es-ES"/>
        </w:rPr>
        <w:t>.</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bCs w:val="0"/>
          <w:sz w:val="20"/>
          <w:szCs w:val="20"/>
          <w:lang w:val="es-ES"/>
        </w:rPr>
      </w:pPr>
      <w:r w:rsidRPr="0076756B">
        <w:rPr>
          <w:rFonts w:ascii="Verdana" w:hAnsi="Verdana"/>
          <w:b w:val="0"/>
          <w:sz w:val="20"/>
          <w:szCs w:val="20"/>
          <w:lang w:val="es-ES"/>
        </w:rPr>
        <w:t>La Comisión considera que los hechos alegados en caso de resultar probados, podrían caracterizar presuntas violaciones a los derechos de las presuntas víctimas a la vida privada y familiar, al derecho a fundar una familia y la integridad personal, consagrados en los art</w:t>
      </w:r>
      <w:r w:rsidRPr="0076756B">
        <w:rPr>
          <w:rFonts w:ascii="Verdana" w:hAnsi="Verdana" w:cs="Arial"/>
          <w:b w:val="0"/>
          <w:sz w:val="20"/>
          <w:szCs w:val="20"/>
          <w:lang w:val="es-ES"/>
        </w:rPr>
        <w:t xml:space="preserve">ículos 11.2 y 17.2 y 5.1 de la Convención Americana </w:t>
      </w:r>
      <w:r w:rsidRPr="0076756B">
        <w:rPr>
          <w:rFonts w:ascii="Verdana" w:hAnsi="Verdana"/>
          <w:b w:val="0"/>
          <w:sz w:val="20"/>
          <w:szCs w:val="20"/>
          <w:lang w:val="es-ES"/>
        </w:rPr>
        <w:t xml:space="preserve">en relación con los artículos 1.1 y 2 del mismo instrumento internacional. Asimismo, considera que los efectos de la prohibición </w:t>
      </w:r>
      <w:r w:rsidRPr="0076756B">
        <w:rPr>
          <w:rFonts w:ascii="Verdana" w:hAnsi="Verdana"/>
          <w:b w:val="0"/>
          <w:sz w:val="20"/>
          <w:szCs w:val="20"/>
          <w:lang w:val="es-ES_tradnl"/>
        </w:rPr>
        <w:t>de acceder a un procedimiento que hubiera podido contribuir a que las presuntas víctimas del caso tuvieran hijos biológicos, como era su deseo</w:t>
      </w:r>
      <w:r w:rsidRPr="0076756B">
        <w:rPr>
          <w:rFonts w:ascii="Verdana" w:hAnsi="Verdana"/>
          <w:b w:val="0"/>
          <w:sz w:val="20"/>
          <w:szCs w:val="20"/>
          <w:lang w:val="es-ES"/>
        </w:rPr>
        <w:t>, resultante de la sentencia emitida por Sala Constitucional de Costa Rica de 15 de marzo de 2000, podría caracterizar una violación al artículo 24 de la Convención Americana en relación con los artículos 1.1 y 2 del mismo instrumento internacional.</w:t>
      </w:r>
    </w:p>
    <w:p w:rsidR="00453524" w:rsidRPr="0076756B" w:rsidRDefault="00453524" w:rsidP="0076756B">
      <w:pPr>
        <w:pStyle w:val="Heading2"/>
        <w:spacing w:before="0" w:beforeAutospacing="0" w:after="0" w:afterAutospacing="0"/>
        <w:jc w:val="both"/>
        <w:rPr>
          <w:rFonts w:ascii="Verdana" w:hAnsi="Verdana"/>
          <w:b w:val="0"/>
          <w:bCs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La CIDH considera que la información presentada no ofrece elementos suficientes que caractericen una violación a los derechos protegidos en los artículos 4 y 26 de la Convención Americana.  </w:t>
      </w:r>
    </w:p>
    <w:p w:rsidR="00453524" w:rsidRPr="0076756B" w:rsidRDefault="00453524" w:rsidP="0076756B">
      <w:pPr>
        <w:rPr>
          <w:szCs w:val="20"/>
          <w:lang w:val="es-ES"/>
        </w:rPr>
      </w:pPr>
    </w:p>
    <w:p w:rsidR="00453524" w:rsidRPr="0076756B" w:rsidRDefault="00453524" w:rsidP="0076756B">
      <w:pPr>
        <w:pStyle w:val="Heading2"/>
        <w:keepNext/>
        <w:numPr>
          <w:ilvl w:val="2"/>
          <w:numId w:val="24"/>
        </w:numPr>
        <w:tabs>
          <w:tab w:val="clear" w:pos="2700"/>
          <w:tab w:val="num" w:pos="1440"/>
        </w:tabs>
        <w:spacing w:before="0" w:beforeAutospacing="0" w:after="0" w:afterAutospacing="0"/>
        <w:ind w:left="1440"/>
        <w:jc w:val="both"/>
        <w:rPr>
          <w:rFonts w:ascii="Verdana" w:hAnsi="Verdana"/>
          <w:sz w:val="20"/>
          <w:szCs w:val="20"/>
          <w:lang w:val="es-ES"/>
        </w:rPr>
      </w:pPr>
      <w:r w:rsidRPr="0076756B">
        <w:rPr>
          <w:rFonts w:ascii="Verdana" w:hAnsi="Verdana"/>
          <w:sz w:val="20"/>
          <w:szCs w:val="20"/>
          <w:lang w:val="es-ES"/>
        </w:rPr>
        <w:t>CONCLUSIONES</w:t>
      </w:r>
    </w:p>
    <w:p w:rsidR="00453524" w:rsidRPr="0076756B" w:rsidRDefault="00453524" w:rsidP="0076756B">
      <w:pPr>
        <w:rPr>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La Comisión Interamericana concluye que tiene competencia para conocer el fondo de este caso y que la petición es admisible de conformidad con los artículos 46 y 47 de la Convención Americana y decide continuar con el análisis de fondo relativo a la supuesta violación de los artículos 5.1, 11.2, 17.2 y 24 de la Convención Americana, todos ellos en concordancia con las obligaciones generales de respetar y garantizar los derechos, prevista en los artículos 1.1 y 2 de dicho instrumento internacional.  Por otro lado, aunque carece de competencia para establecer violaciones de los artículos 1, 2, 3, 10, 14.1.b y 18 del Protocolo de San </w:t>
      </w:r>
      <w:smartTag w:uri="urn:schemas-microsoft-com:office:smarttags" w:element="PersonName">
        <w:r w:rsidRPr="0076756B">
          <w:rPr>
            <w:rFonts w:ascii="Verdana" w:hAnsi="Verdana"/>
            <w:b w:val="0"/>
            <w:sz w:val="20"/>
            <w:szCs w:val="20"/>
            <w:lang w:val="es-ES"/>
          </w:rPr>
          <w:t>Salvador</w:t>
        </w:r>
      </w:smartTag>
      <w:r w:rsidRPr="0076756B">
        <w:rPr>
          <w:rFonts w:ascii="Verdana" w:hAnsi="Verdana"/>
          <w:b w:val="0"/>
          <w:sz w:val="20"/>
          <w:szCs w:val="20"/>
          <w:lang w:val="es-ES"/>
        </w:rPr>
        <w:t>, la CIDH tomará en consideración las normas referentes a estos derechos en su análisis sobre el fondo de este caso, conforme a lo establecido en el artículo 29 de la Convención Americana. </w:t>
      </w:r>
    </w:p>
    <w:p w:rsidR="00453524" w:rsidRPr="0076756B" w:rsidRDefault="00453524" w:rsidP="0076756B">
      <w:pPr>
        <w:rPr>
          <w:szCs w:val="20"/>
          <w:lang w:val="es-ES"/>
        </w:rPr>
      </w:pPr>
    </w:p>
    <w:p w:rsidR="00453524" w:rsidRPr="0076756B" w:rsidRDefault="00453524" w:rsidP="0076756B">
      <w:pPr>
        <w:numPr>
          <w:ilvl w:val="0"/>
          <w:numId w:val="22"/>
        </w:numPr>
        <w:rPr>
          <w:szCs w:val="20"/>
          <w:lang w:val="es-ES"/>
        </w:rPr>
      </w:pPr>
      <w:r w:rsidRPr="0076756B">
        <w:rPr>
          <w:szCs w:val="20"/>
          <w:lang w:val="es-ES"/>
        </w:rPr>
        <w:t>Asimismo, concluye que la presente petición es inadmisible en cuanto se refiere a presuntas violaciones a los derechos reconocidos en los artículos 4 y 26 de la Convención Americana.</w:t>
      </w:r>
    </w:p>
    <w:p w:rsidR="00453524" w:rsidRPr="0076756B" w:rsidRDefault="00453524" w:rsidP="0076756B">
      <w:pPr>
        <w:pStyle w:val="Heading2"/>
        <w:spacing w:before="0" w:beforeAutospacing="0" w:after="0" w:afterAutospacing="0"/>
        <w:jc w:val="both"/>
        <w:rPr>
          <w:rFonts w:ascii="Verdana" w:hAnsi="Verdana"/>
          <w:b w:val="0"/>
          <w:sz w:val="20"/>
          <w:szCs w:val="20"/>
          <w:lang w:val="es-ES"/>
        </w:rPr>
      </w:pPr>
    </w:p>
    <w:p w:rsidR="00453524" w:rsidRPr="0076756B" w:rsidRDefault="00453524" w:rsidP="0076756B">
      <w:pPr>
        <w:pStyle w:val="Heading2"/>
        <w:numPr>
          <w:ilvl w:val="0"/>
          <w:numId w:val="22"/>
        </w:numPr>
        <w:tabs>
          <w:tab w:val="clear" w:pos="540"/>
        </w:tabs>
        <w:spacing w:before="0" w:beforeAutospacing="0" w:after="0" w:afterAutospacing="0"/>
        <w:jc w:val="both"/>
        <w:rPr>
          <w:rFonts w:ascii="Verdana" w:hAnsi="Verdana"/>
          <w:b w:val="0"/>
          <w:sz w:val="20"/>
          <w:szCs w:val="20"/>
          <w:lang w:val="es-ES"/>
        </w:rPr>
      </w:pPr>
      <w:r w:rsidRPr="0076756B">
        <w:rPr>
          <w:rFonts w:ascii="Verdana" w:hAnsi="Verdana"/>
          <w:b w:val="0"/>
          <w:sz w:val="20"/>
          <w:szCs w:val="20"/>
          <w:lang w:val="es-ES"/>
        </w:rPr>
        <w:t xml:space="preserve">Con fundamento en los argumentos de hecho y de derecho antes expuestos, </w:t>
      </w:r>
    </w:p>
    <w:p w:rsidR="00453524" w:rsidRPr="0076756B" w:rsidRDefault="00453524" w:rsidP="0076756B">
      <w:pPr>
        <w:rPr>
          <w:bCs/>
          <w:szCs w:val="20"/>
          <w:lang w:val="es-ES"/>
        </w:rPr>
      </w:pPr>
    </w:p>
    <w:p w:rsidR="00453524" w:rsidRPr="0076756B" w:rsidRDefault="00453524" w:rsidP="0076756B">
      <w:pPr>
        <w:jc w:val="center"/>
        <w:rPr>
          <w:b/>
          <w:szCs w:val="20"/>
          <w:lang w:val="es-ES"/>
        </w:rPr>
      </w:pPr>
      <w:r w:rsidRPr="0076756B">
        <w:rPr>
          <w:b/>
          <w:bCs/>
          <w:szCs w:val="20"/>
          <w:lang w:val="es-ES"/>
        </w:rPr>
        <w:t>LA COMISIÓN INTERAMERICANA DE DERECHOS HUMANOS,</w:t>
      </w:r>
    </w:p>
    <w:p w:rsidR="00453524" w:rsidRPr="0076756B" w:rsidRDefault="00453524" w:rsidP="0076756B">
      <w:pPr>
        <w:jc w:val="center"/>
        <w:rPr>
          <w:b/>
          <w:bCs/>
          <w:szCs w:val="20"/>
          <w:lang w:val="es-ES"/>
        </w:rPr>
      </w:pPr>
      <w:r w:rsidRPr="0076756B">
        <w:rPr>
          <w:b/>
          <w:bCs/>
          <w:szCs w:val="20"/>
          <w:lang w:val="es-ES"/>
        </w:rPr>
        <w:t>DECIDE:</w:t>
      </w:r>
    </w:p>
    <w:p w:rsidR="00453524" w:rsidRPr="0076756B" w:rsidRDefault="00453524" w:rsidP="0076756B">
      <w:pPr>
        <w:rPr>
          <w:bCs/>
          <w:szCs w:val="20"/>
          <w:lang w:val="es-ES"/>
        </w:rPr>
      </w:pPr>
    </w:p>
    <w:p w:rsidR="00453524" w:rsidRPr="0076756B" w:rsidRDefault="00453524" w:rsidP="0076756B">
      <w:pPr>
        <w:ind w:firstLine="720"/>
        <w:rPr>
          <w:szCs w:val="20"/>
          <w:lang w:val="es-ES"/>
        </w:rPr>
      </w:pPr>
      <w:r w:rsidRPr="0076756B">
        <w:rPr>
          <w:szCs w:val="20"/>
          <w:lang w:val="es-ES"/>
        </w:rPr>
        <w:t>1.</w:t>
      </w:r>
      <w:r w:rsidRPr="0076756B">
        <w:rPr>
          <w:szCs w:val="20"/>
          <w:lang w:val="es-ES"/>
        </w:rPr>
        <w:tab/>
        <w:t>Declarar admisible la presente petición en cuanto se refiere a presuntas violaciones de los derechos reconocidos en los artículos 5.1, 11.2, 17.2 y 24 de la Convención Americana en relación con los artículos 1.1 y 2 de dicho instrumento internacional.</w:t>
      </w:r>
    </w:p>
    <w:p w:rsidR="00453524" w:rsidRPr="0076756B" w:rsidRDefault="00453524" w:rsidP="0076756B">
      <w:pPr>
        <w:rPr>
          <w:szCs w:val="20"/>
          <w:lang w:val="es-ES"/>
        </w:rPr>
      </w:pPr>
    </w:p>
    <w:p w:rsidR="00453524" w:rsidRPr="0076756B" w:rsidRDefault="00453524" w:rsidP="0076756B">
      <w:pPr>
        <w:numPr>
          <w:ilvl w:val="0"/>
          <w:numId w:val="25"/>
        </w:numPr>
        <w:tabs>
          <w:tab w:val="clear" w:pos="2880"/>
        </w:tabs>
        <w:ind w:left="0" w:firstLine="720"/>
        <w:rPr>
          <w:szCs w:val="20"/>
          <w:lang w:val="es-ES"/>
        </w:rPr>
      </w:pPr>
      <w:r w:rsidRPr="0076756B">
        <w:rPr>
          <w:szCs w:val="20"/>
          <w:lang w:val="es-ES"/>
        </w:rPr>
        <w:t>Declarar inadmisible la presente petición en cuanto se refiere a presuntas violaciones a los derechos reconocidos en los artículos 4 y 26 de la Convención Americana.</w:t>
      </w:r>
    </w:p>
    <w:p w:rsidR="00453524" w:rsidRPr="0076756B" w:rsidRDefault="00453524" w:rsidP="0076756B">
      <w:pPr>
        <w:ind w:left="720"/>
        <w:rPr>
          <w:szCs w:val="20"/>
          <w:lang w:val="es-ES"/>
        </w:rPr>
      </w:pPr>
    </w:p>
    <w:p w:rsidR="00453524" w:rsidRPr="0076756B" w:rsidRDefault="00453524" w:rsidP="0076756B">
      <w:pPr>
        <w:numPr>
          <w:ilvl w:val="0"/>
          <w:numId w:val="25"/>
        </w:numPr>
        <w:tabs>
          <w:tab w:val="clear" w:pos="2880"/>
          <w:tab w:val="num" w:pos="1440"/>
        </w:tabs>
        <w:ind w:left="0" w:firstLine="720"/>
        <w:rPr>
          <w:szCs w:val="20"/>
          <w:lang w:val="es-ES"/>
        </w:rPr>
      </w:pPr>
      <w:r w:rsidRPr="0076756B">
        <w:rPr>
          <w:szCs w:val="20"/>
          <w:lang w:val="es-ES"/>
        </w:rPr>
        <w:t xml:space="preserve">Notificar esta decisión a las partes. </w:t>
      </w:r>
    </w:p>
    <w:p w:rsidR="00453524" w:rsidRPr="0076756B" w:rsidRDefault="00453524" w:rsidP="0076756B">
      <w:pPr>
        <w:ind w:firstLine="720"/>
        <w:rPr>
          <w:szCs w:val="20"/>
          <w:lang w:val="es-ES"/>
        </w:rPr>
      </w:pPr>
    </w:p>
    <w:p w:rsidR="00453524" w:rsidRPr="0076756B" w:rsidRDefault="00453524" w:rsidP="0076756B">
      <w:pPr>
        <w:numPr>
          <w:ilvl w:val="0"/>
          <w:numId w:val="25"/>
        </w:numPr>
        <w:tabs>
          <w:tab w:val="clear" w:pos="2880"/>
          <w:tab w:val="num" w:pos="1440"/>
        </w:tabs>
        <w:ind w:left="0" w:firstLine="720"/>
        <w:rPr>
          <w:szCs w:val="20"/>
          <w:lang w:val="es-ES"/>
        </w:rPr>
      </w:pPr>
      <w:r w:rsidRPr="0076756B">
        <w:rPr>
          <w:szCs w:val="20"/>
          <w:lang w:val="es-ES"/>
        </w:rPr>
        <w:t xml:space="preserve">Publicar esta decisión e incluirla en su Informe Anual a </w:t>
      </w:r>
      <w:smartTag w:uri="urn:schemas-microsoft-com:office:smarttags" w:element="PersonName">
        <w:smartTagPr>
          <w:attr w:name="ProductID" w:val="la Asamblea General"/>
        </w:smartTagPr>
        <w:r w:rsidRPr="0076756B">
          <w:rPr>
            <w:szCs w:val="20"/>
            <w:lang w:val="es-ES"/>
          </w:rPr>
          <w:t>la Asamblea General</w:t>
        </w:r>
      </w:smartTag>
      <w:r w:rsidRPr="0076756B">
        <w:rPr>
          <w:szCs w:val="20"/>
          <w:lang w:val="es-ES"/>
        </w:rPr>
        <w:t xml:space="preserve"> de la OEA.</w:t>
      </w:r>
    </w:p>
    <w:p w:rsidR="00453524" w:rsidRPr="0076756B" w:rsidRDefault="00453524" w:rsidP="0076756B">
      <w:pPr>
        <w:rPr>
          <w:szCs w:val="20"/>
          <w:lang w:val="es-ES"/>
        </w:rPr>
      </w:pPr>
    </w:p>
    <w:p w:rsidR="00453524" w:rsidRPr="0076756B" w:rsidRDefault="00453524" w:rsidP="0076756B">
      <w:pPr>
        <w:ind w:firstLine="720"/>
        <w:rPr>
          <w:rFonts w:cs="Arial"/>
          <w:noProof/>
          <w:spacing w:val="-2"/>
          <w:szCs w:val="20"/>
          <w:lang w:val="es-CL"/>
        </w:rPr>
      </w:pPr>
      <w:r w:rsidRPr="0076756B">
        <w:rPr>
          <w:rFonts w:cs="Arial"/>
          <w:noProof/>
          <w:spacing w:val="-2"/>
          <w:szCs w:val="20"/>
          <w:lang w:val="es-CL"/>
        </w:rPr>
        <w:t xml:space="preserve">Dado y firmado en la ciudad de Washington, D.C., al 1º día del mes de noviembre de 2010.  (Firmado): Felipe González, Presidente; </w:t>
      </w:r>
      <w:r w:rsidRPr="0076756B">
        <w:rPr>
          <w:rFonts w:cs="Arial"/>
          <w:noProof/>
          <w:szCs w:val="20"/>
          <w:lang w:val="es-CL"/>
        </w:rPr>
        <w:t>Paulo Sérgio Pinheiro</w:t>
      </w:r>
      <w:r w:rsidRPr="0076756B">
        <w:rPr>
          <w:rFonts w:cs="Arial"/>
          <w:noProof/>
          <w:spacing w:val="-2"/>
          <w:szCs w:val="20"/>
          <w:lang w:val="es-CL"/>
        </w:rPr>
        <w:t>, Primer Vicepresidente; Dinah Shelton, Segunda Vicepresidenta; Luz Patricia Mejía Guerrero, María Silvia Guillén y José de Jesús Orozco Henríquez, Miembros de la Comisión.</w:t>
      </w:r>
      <w:r w:rsidRPr="0076756B">
        <w:rPr>
          <w:rFonts w:cs="Arial"/>
          <w:noProof/>
          <w:szCs w:val="20"/>
          <w:lang w:val="es-CL"/>
        </w:rPr>
        <w:t xml:space="preserve"> </w:t>
      </w:r>
    </w:p>
    <w:p w:rsidR="00453524" w:rsidRPr="0076756B" w:rsidRDefault="00453524" w:rsidP="0076756B">
      <w:pPr>
        <w:rPr>
          <w:color w:val="000000"/>
          <w:szCs w:val="20"/>
          <w:lang w:val="es-CL"/>
        </w:rPr>
      </w:pPr>
    </w:p>
    <w:sectPr w:rsidR="00453524" w:rsidRPr="0076756B"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587" w:rsidRDefault="005F7587" w:rsidP="007B2999">
      <w:r>
        <w:separator/>
      </w:r>
    </w:p>
  </w:endnote>
  <w:endnote w:type="continuationSeparator" w:id="0">
    <w:p w:rsidR="005F7587" w:rsidRDefault="005F7587"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3FA" w:rsidRDefault="00B703FA" w:rsidP="00E21BB2">
    <w:pPr>
      <w:pStyle w:val="Footer"/>
      <w:jc w:val="center"/>
    </w:pPr>
    <w:r>
      <w:fldChar w:fldCharType="begin"/>
    </w:r>
    <w:r>
      <w:instrText xml:space="preserve"> PAGE   \* MERGEFORMAT </w:instrText>
    </w:r>
    <w:r>
      <w:fldChar w:fldCharType="separate"/>
    </w:r>
    <w:r w:rsidR="00873BE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587" w:rsidRDefault="005F7587" w:rsidP="007B2999">
      <w:r>
        <w:separator/>
      </w:r>
    </w:p>
  </w:footnote>
  <w:footnote w:type="continuationSeparator" w:id="0">
    <w:p w:rsidR="005F7587" w:rsidRDefault="005F7587" w:rsidP="007B2999">
      <w:r>
        <w:continuationSeparator/>
      </w:r>
    </w:p>
  </w:footnote>
  <w:footnote w:id="1">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Véase párrafo 9 de la petición. </w:t>
      </w:r>
    </w:p>
  </w:footnote>
  <w:footnote w:id="2">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Véase párrafo 9 de la petición. </w:t>
      </w:r>
    </w:p>
  </w:footnote>
  <w:footnote w:id="3">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Véase párrafo 9 de la petición. </w:t>
      </w:r>
    </w:p>
  </w:footnote>
  <w:footnote w:id="4">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peticionario de fecha 19 de enero de 2007.</w:t>
      </w:r>
    </w:p>
  </w:footnote>
  <w:footnote w:id="5">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Estado de fecha </w:t>
      </w:r>
      <w:r w:rsidRPr="0076756B">
        <w:rPr>
          <w:rFonts w:ascii="Verdana" w:hAnsi="Verdana"/>
          <w:sz w:val="16"/>
          <w:szCs w:val="16"/>
          <w:lang w:val="es-PE"/>
        </w:rPr>
        <w:t>16 de noviembre de 2006.</w:t>
      </w:r>
    </w:p>
  </w:footnote>
  <w:footnote w:id="6">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Estado de fecha 29 de enero de 2009.</w:t>
      </w:r>
    </w:p>
  </w:footnote>
  <w:footnote w:id="7">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Estado de fecha 24 de noviembre de 2008 en la que citan parte de la sentencia No. 2000-2306 emitida por la Sala Constitucional el 15 de marzo de 2000.</w:t>
      </w:r>
    </w:p>
  </w:footnote>
  <w:footnote w:id="8">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CIDH, audiencia </w:t>
      </w:r>
      <w:r w:rsidRPr="0076756B">
        <w:rPr>
          <w:rFonts w:ascii="Verdana" w:hAnsi="Verdana"/>
          <w:sz w:val="16"/>
          <w:szCs w:val="16"/>
          <w:lang w:val="es-ES"/>
        </w:rPr>
        <w:t xml:space="preserve">pública ante la CIDH sobre las peticiones y el caso 12.361, realizada el 28 de octubre de 2008, durante el 133º periodo ordinario de sesiones. Ver en: </w:t>
      </w:r>
      <w:hyperlink r:id="rId1" w:history="1">
        <w:r w:rsidRPr="0076756B">
          <w:rPr>
            <w:rStyle w:val="Hyperlink"/>
            <w:rFonts w:ascii="Verdana" w:hAnsi="Verdana"/>
            <w:sz w:val="16"/>
            <w:szCs w:val="16"/>
            <w:lang w:val="es-ES"/>
          </w:rPr>
          <w:t>http://www.cidh.oas.org/prensa/publichearings/advanced.aspx?Lang=ES</w:t>
        </w:r>
      </w:hyperlink>
    </w:p>
  </w:footnote>
  <w:footnote w:id="9">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CIDH, audiencia </w:t>
      </w:r>
      <w:r w:rsidRPr="0076756B">
        <w:rPr>
          <w:rFonts w:ascii="Verdana" w:hAnsi="Verdana"/>
          <w:sz w:val="16"/>
          <w:szCs w:val="16"/>
          <w:lang w:val="es-ES"/>
        </w:rPr>
        <w:t xml:space="preserve">pública ante la CIDH sobre las peticiones y el caso 12.361, realizada el 28 de octubre de 2008, durante el 133º periodo ordinario de sesiones. Ver en: </w:t>
      </w:r>
      <w:hyperlink r:id="rId2" w:history="1">
        <w:r w:rsidRPr="0076756B">
          <w:rPr>
            <w:rStyle w:val="Hyperlink"/>
            <w:rFonts w:ascii="Verdana" w:hAnsi="Verdana"/>
            <w:sz w:val="16"/>
            <w:szCs w:val="16"/>
            <w:lang w:val="es-ES"/>
          </w:rPr>
          <w:t>http://www.cidh.oas.org/prensa/publichearings/advanced.aspx?Lang=ES</w:t>
        </w:r>
      </w:hyperlink>
      <w:r w:rsidRPr="0076756B">
        <w:rPr>
          <w:rFonts w:ascii="Verdana" w:hAnsi="Verdana"/>
          <w:sz w:val="16"/>
          <w:szCs w:val="16"/>
        </w:rPr>
        <w:t>.</w:t>
      </w:r>
    </w:p>
  </w:footnote>
  <w:footnote w:id="10">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Estado de fecha 14 de mayo de 2007.</w:t>
      </w:r>
    </w:p>
  </w:footnote>
  <w:footnote w:id="11">
    <w:p w:rsidR="00453524" w:rsidRPr="0076756B" w:rsidRDefault="00453524" w:rsidP="0076756B">
      <w:pPr>
        <w:rPr>
          <w:sz w:val="16"/>
          <w:szCs w:val="16"/>
          <w:lang w:val="es-ES_tradnl"/>
        </w:rPr>
      </w:pPr>
      <w:r w:rsidRPr="0076756B">
        <w:rPr>
          <w:rStyle w:val="FootnoteReference"/>
          <w:sz w:val="16"/>
          <w:szCs w:val="16"/>
        </w:rPr>
        <w:footnoteRef/>
      </w:r>
      <w:r w:rsidRPr="0076756B">
        <w:rPr>
          <w:sz w:val="16"/>
          <w:szCs w:val="16"/>
          <w:lang w:val="es-ES"/>
        </w:rPr>
        <w:t xml:space="preserve"> </w:t>
      </w:r>
      <w:r w:rsidRPr="0076756B">
        <w:rPr>
          <w:sz w:val="16"/>
          <w:szCs w:val="16"/>
          <w:lang w:val="es-UY"/>
        </w:rPr>
        <w:t>Ver CIDH, Informe No. 44/04, Laura Tena Colunga y otros (Inadmisibilidad), México, 13 de octubre de 2004. párrs. 33-40; CIDH</w:t>
      </w:r>
      <w:r w:rsidRPr="0076756B">
        <w:rPr>
          <w:i/>
          <w:sz w:val="16"/>
          <w:szCs w:val="16"/>
          <w:lang w:val="es-UY"/>
        </w:rPr>
        <w:t>,</w:t>
      </w:r>
      <w:r w:rsidRPr="0076756B">
        <w:rPr>
          <w:sz w:val="16"/>
          <w:szCs w:val="16"/>
          <w:lang w:val="es-UY"/>
        </w:rPr>
        <w:t xml:space="preserve"> </w:t>
      </w:r>
      <w:smartTag w:uri="urn:schemas-microsoft-com:office:smarttags" w:element="PersonName">
        <w:r w:rsidRPr="0076756B">
          <w:rPr>
            <w:sz w:val="16"/>
            <w:szCs w:val="16"/>
            <w:lang w:val="es-UY"/>
          </w:rPr>
          <w:t>Jorge Odir Miranda Cortez</w:t>
        </w:r>
      </w:smartTag>
      <w:r w:rsidRPr="0076756B">
        <w:rPr>
          <w:sz w:val="16"/>
          <w:szCs w:val="16"/>
          <w:lang w:val="es-UY"/>
        </w:rPr>
        <w:t xml:space="preserve"> y otros (Admisibilidad), El </w:t>
      </w:r>
      <w:smartTag w:uri="urn:schemas-microsoft-com:office:smarttags" w:element="PersonName">
        <w:r w:rsidRPr="0076756B">
          <w:rPr>
            <w:sz w:val="16"/>
            <w:szCs w:val="16"/>
            <w:lang w:val="es-UY"/>
          </w:rPr>
          <w:t>Salvador</w:t>
        </w:r>
      </w:smartTag>
      <w:r w:rsidRPr="0076756B">
        <w:rPr>
          <w:sz w:val="16"/>
          <w:szCs w:val="16"/>
          <w:lang w:val="es-UY"/>
        </w:rPr>
        <w:t>, Caso 12.249, Informe No. 29/01, párr. 36.</w:t>
      </w:r>
    </w:p>
  </w:footnote>
  <w:footnote w:id="12">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El artículo 19.6 del Protocolo de San </w:t>
      </w:r>
      <w:smartTag w:uri="urn:schemas-microsoft-com:office:smarttags" w:element="PersonName">
        <w:r w:rsidRPr="0076756B">
          <w:rPr>
            <w:rFonts w:ascii="Verdana" w:hAnsi="Verdana"/>
            <w:sz w:val="16"/>
            <w:szCs w:val="16"/>
          </w:rPr>
          <w:t>Salvador</w:t>
        </w:r>
      </w:smartTag>
      <w:r w:rsidRPr="0076756B">
        <w:rPr>
          <w:rFonts w:ascii="Verdana" w:hAnsi="Verdana"/>
          <w:sz w:val="16"/>
          <w:szCs w:val="16"/>
        </w:rPr>
        <w:t xml:space="preserve"> establece lo siguiente: </w:t>
      </w:r>
      <w:r w:rsidRPr="0076756B">
        <w:rPr>
          <w:rFonts w:ascii="Verdana" w:hAnsi="Verdana"/>
          <w:sz w:val="16"/>
          <w:szCs w:val="16"/>
          <w:lang w:val="es-ES"/>
        </w:rPr>
        <w:t>En el caso de que los derechos establecidos en el párrafo a) del artículo 8 y en el artículo 13 fuesen violados por una acción imputable directamente a un Estado parte del presente Protocolo, tal situación podría dar lugar, mediante la participación de la Comisión Interamericana de Derechos Humanos, y cuando proceda de la Corte Interamericana de Derechos Humanos, a la aplicación del sistema de peticiones individuales regulado por los artículos 44 a 51 y 61 a 69 de la Convención Americana sobre Derechos Humanos.</w:t>
      </w:r>
    </w:p>
  </w:footnote>
  <w:footnote w:id="13">
    <w:p w:rsidR="00453524" w:rsidRPr="0076756B" w:rsidRDefault="00453524" w:rsidP="0076756B">
      <w:pPr>
        <w:pStyle w:val="FootnoteText"/>
        <w:spacing w:before="0" w:beforeAutospacing="0" w:after="0" w:afterAutospacing="0"/>
        <w:jc w:val="both"/>
        <w:rPr>
          <w:rFonts w:ascii="Verdana" w:hAnsi="Verdana"/>
          <w:sz w:val="16"/>
          <w:szCs w:val="16"/>
        </w:rPr>
      </w:pPr>
      <w:r w:rsidRPr="0076756B">
        <w:rPr>
          <w:rStyle w:val="FootnoteReference"/>
          <w:sz w:val="16"/>
          <w:szCs w:val="16"/>
        </w:rPr>
        <w:footnoteRef/>
      </w:r>
      <w:r w:rsidRPr="0076756B">
        <w:rPr>
          <w:rFonts w:ascii="Verdana" w:hAnsi="Verdana"/>
          <w:sz w:val="16"/>
          <w:szCs w:val="16"/>
        </w:rPr>
        <w:t xml:space="preserve"> Comunicación del Estado de fecha 14 de mayo de 2007.</w:t>
      </w:r>
    </w:p>
  </w:footnote>
  <w:footnote w:id="14">
    <w:p w:rsidR="00453524" w:rsidRPr="0076756B" w:rsidRDefault="00453524" w:rsidP="0076756B">
      <w:pPr>
        <w:rPr>
          <w:sz w:val="16"/>
          <w:szCs w:val="16"/>
          <w:lang w:val="es-PE"/>
        </w:rPr>
      </w:pPr>
      <w:r w:rsidRPr="0076756B">
        <w:rPr>
          <w:rStyle w:val="FootnoteReference"/>
          <w:sz w:val="16"/>
          <w:szCs w:val="16"/>
        </w:rPr>
        <w:footnoteRef/>
      </w:r>
      <w:r w:rsidRPr="0076756B">
        <w:rPr>
          <w:sz w:val="16"/>
          <w:szCs w:val="16"/>
          <w:lang w:val="es-PE"/>
        </w:rPr>
        <w:t xml:space="preserve"> CIDH, Informe No. 7/07, Petición 208-05 Admisibilidad, Florencio Chitay Nech y Otros (Guatemala), </w:t>
      </w:r>
      <w:r w:rsidRPr="0076756B">
        <w:rPr>
          <w:rFonts w:eastAsia="Times New Roman"/>
          <w:sz w:val="16"/>
          <w:szCs w:val="16"/>
        </w:rPr>
        <w:t>27 de febrero de 2007.</w:t>
      </w:r>
    </w:p>
  </w:footnote>
  <w:footnote w:id="15">
    <w:p w:rsidR="00453524" w:rsidRPr="0076756B" w:rsidRDefault="00453524" w:rsidP="0076756B">
      <w:pPr>
        <w:pStyle w:val="FootnoteText"/>
        <w:spacing w:before="0" w:beforeAutospacing="0" w:after="0" w:afterAutospacing="0"/>
        <w:jc w:val="both"/>
        <w:rPr>
          <w:rFonts w:ascii="Verdana" w:hAnsi="Verdana"/>
          <w:sz w:val="16"/>
          <w:szCs w:val="16"/>
          <w:lang w:val="es-ES"/>
        </w:rPr>
      </w:pPr>
      <w:r w:rsidRPr="0076756B">
        <w:rPr>
          <w:rStyle w:val="FootnoteReference"/>
          <w:sz w:val="16"/>
          <w:szCs w:val="16"/>
        </w:rPr>
        <w:footnoteRef/>
      </w:r>
      <w:r w:rsidRPr="0076756B">
        <w:rPr>
          <w:rFonts w:ascii="Verdana" w:hAnsi="Verdana"/>
          <w:sz w:val="16"/>
          <w:szCs w:val="16"/>
        </w:rPr>
        <w:t xml:space="preserve"> Ver CIDH, Informe </w:t>
      </w:r>
      <w:r w:rsidRPr="0076756B">
        <w:rPr>
          <w:rFonts w:ascii="Verdana" w:hAnsi="Verdana"/>
          <w:sz w:val="16"/>
          <w:szCs w:val="16"/>
          <w:lang w:val="es-ES"/>
        </w:rPr>
        <w:t>No. 28/98, Caso 11.625, María Eugenia Morales de Sierra (Guatemala), 6 de marzo de 1998, párr. 29.</w:t>
      </w:r>
    </w:p>
  </w:footnote>
  <w:footnote w:id="16">
    <w:p w:rsidR="00453524" w:rsidRPr="0076756B" w:rsidRDefault="00453524" w:rsidP="0076756B">
      <w:pPr>
        <w:pStyle w:val="FootnoteText"/>
        <w:spacing w:before="0" w:beforeAutospacing="0" w:after="0" w:afterAutospacing="0"/>
        <w:jc w:val="both"/>
        <w:rPr>
          <w:rFonts w:ascii="Verdana" w:hAnsi="Verdana"/>
          <w:sz w:val="16"/>
          <w:szCs w:val="16"/>
          <w:lang w:val="es-ES"/>
        </w:rPr>
      </w:pPr>
      <w:r w:rsidRPr="0076756B">
        <w:rPr>
          <w:rStyle w:val="FootnoteReference"/>
          <w:sz w:val="16"/>
          <w:szCs w:val="16"/>
        </w:rPr>
        <w:footnoteRef/>
      </w:r>
      <w:r w:rsidRPr="0076756B">
        <w:rPr>
          <w:rFonts w:ascii="Verdana" w:hAnsi="Verdana"/>
          <w:sz w:val="16"/>
          <w:szCs w:val="16"/>
          <w:lang w:val="es-ES"/>
        </w:rPr>
        <w:t xml:space="preserve"> Ver CIDH, Informe No. 128/01, Caso 12.367, Mauricio Herrera Ulloa y Fernán Vargas Rohrmoser del Diario “La Nación” (</w:t>
      </w:r>
      <w:smartTag w:uri="urn:schemas-microsoft-com:office:smarttags" w:element="PersonName">
        <w:r w:rsidRPr="0076756B">
          <w:rPr>
            <w:rFonts w:ascii="Verdana" w:hAnsi="Verdana"/>
            <w:sz w:val="16"/>
            <w:szCs w:val="16"/>
            <w:lang w:val="es-ES"/>
          </w:rPr>
          <w:t>Costa Rica</w:t>
        </w:r>
      </w:smartTag>
      <w:r w:rsidRPr="0076756B">
        <w:rPr>
          <w:rFonts w:ascii="Verdana" w:hAnsi="Verdana"/>
          <w:sz w:val="16"/>
          <w:szCs w:val="16"/>
          <w:lang w:val="es-ES"/>
        </w:rPr>
        <w:t xml:space="preserve">), 3 de diciembre de 2001, párrafo 50; Informe No. 4/04, Petición 12.324, Rubén Luis Godoy (Argentina), 24 de febrero de 2004, párrafo 43; Informe No. 32/07, Petición 429-05, </w:t>
      </w:r>
      <w:smartTag w:uri="urn:schemas-microsoft-com:office:smarttags" w:element="PersonName">
        <w:r w:rsidRPr="0076756B">
          <w:rPr>
            <w:rFonts w:ascii="Verdana" w:hAnsi="Verdana"/>
            <w:sz w:val="16"/>
            <w:szCs w:val="16"/>
            <w:lang w:val="es-ES"/>
          </w:rPr>
          <w:t>Juan</w:t>
        </w:r>
      </w:smartTag>
      <w:r w:rsidRPr="0076756B">
        <w:rPr>
          <w:rFonts w:ascii="Verdana" w:hAnsi="Verdana"/>
          <w:sz w:val="16"/>
          <w:szCs w:val="16"/>
          <w:lang w:val="es-ES"/>
        </w:rPr>
        <w:t xml:space="preserve"> Patricio Marileo Saravia y Otros (Chile), 23 de abril de 2007, párrafo 54.</w:t>
      </w:r>
    </w:p>
  </w:footnote>
  <w:footnote w:id="17">
    <w:p w:rsidR="00453524" w:rsidRPr="0076756B" w:rsidRDefault="00453524" w:rsidP="0076756B">
      <w:pPr>
        <w:pStyle w:val="FootnoteText"/>
        <w:spacing w:before="0" w:beforeAutospacing="0" w:after="0" w:afterAutospacing="0"/>
        <w:jc w:val="both"/>
        <w:rPr>
          <w:rFonts w:ascii="Verdana" w:hAnsi="Verdana"/>
          <w:sz w:val="16"/>
          <w:szCs w:val="16"/>
          <w:lang w:val="es-ES"/>
        </w:rPr>
      </w:pPr>
      <w:r w:rsidRPr="0076756B">
        <w:rPr>
          <w:rStyle w:val="FootnoteReference"/>
          <w:sz w:val="16"/>
          <w:szCs w:val="16"/>
        </w:rPr>
        <w:footnoteRef/>
      </w:r>
      <w:r w:rsidRPr="0076756B">
        <w:rPr>
          <w:rFonts w:ascii="Verdana" w:hAnsi="Verdana"/>
          <w:sz w:val="16"/>
          <w:szCs w:val="16"/>
          <w:lang w:val="es-ES"/>
        </w:rPr>
        <w:t xml:space="preserve"> Ver CIDH, Informe No. 31/03, Caso 12.195, Mario </w:t>
      </w:r>
      <w:smartTag w:uri="urn:schemas-microsoft-com:office:smarttags" w:element="PersonName">
        <w:r w:rsidRPr="0076756B">
          <w:rPr>
            <w:rFonts w:ascii="Verdana" w:hAnsi="Verdana"/>
            <w:sz w:val="16"/>
            <w:szCs w:val="16"/>
            <w:lang w:val="es-ES"/>
          </w:rPr>
          <w:t>Alberto</w:t>
        </w:r>
      </w:smartTag>
      <w:r w:rsidRPr="0076756B">
        <w:rPr>
          <w:rFonts w:ascii="Verdana" w:hAnsi="Verdana"/>
          <w:sz w:val="16"/>
          <w:szCs w:val="16"/>
          <w:lang w:val="es-ES"/>
        </w:rPr>
        <w:t xml:space="preserve"> Jara Oñate y otros (Chile), 7 de marzo de 2003, párrafo 41; Informe No. 4/04, Petición 12.324, Rubén Luis Godoy (Argentina), 24 de febrero de 2004, párrafo 43; Petición  429-05, </w:t>
      </w:r>
      <w:smartTag w:uri="urn:schemas-microsoft-com:office:smarttags" w:element="PersonName">
        <w:r w:rsidRPr="0076756B">
          <w:rPr>
            <w:rFonts w:ascii="Verdana" w:hAnsi="Verdana"/>
            <w:sz w:val="16"/>
            <w:szCs w:val="16"/>
            <w:lang w:val="es-ES"/>
          </w:rPr>
          <w:t>Juan</w:t>
        </w:r>
      </w:smartTag>
      <w:r w:rsidRPr="0076756B">
        <w:rPr>
          <w:rFonts w:ascii="Verdana" w:hAnsi="Verdana"/>
          <w:sz w:val="16"/>
          <w:szCs w:val="16"/>
          <w:lang w:val="es-ES"/>
        </w:rPr>
        <w:t xml:space="preserve"> Patricio Marileo Saravia y Otros (Chile), 23 de abril de 2007, párrafo 54; Petición 581-05, Víctor Manuel Ancalaf Llaupe (Chile), 2 de mayo de 2007, párrafo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E01"/>
    <w:multiLevelType w:val="hybridMultilevel"/>
    <w:tmpl w:val="7990220A"/>
    <w:lvl w:ilvl="0" w:tplc="3682946C">
      <w:start w:val="2"/>
      <w:numFmt w:val="decimal"/>
      <w:lvlText w:val="%1."/>
      <w:lvlJc w:val="left"/>
      <w:pPr>
        <w:tabs>
          <w:tab w:val="num" w:pos="2880"/>
        </w:tabs>
        <w:ind w:left="2880" w:hanging="720"/>
      </w:pPr>
      <w:rPr>
        <w:rFonts w:hint="default"/>
        <w:b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04974558"/>
    <w:multiLevelType w:val="hybridMultilevel"/>
    <w:tmpl w:val="3102A0AE"/>
    <w:lvl w:ilvl="0" w:tplc="FE1400F6">
      <w:start w:val="27"/>
      <w:numFmt w:val="decimal"/>
      <w:lvlText w:val="%1"/>
      <w:lvlJc w:val="left"/>
      <w:pPr>
        <w:ind w:left="1440" w:hanging="360"/>
      </w:pPr>
      <w:rPr>
        <w:rFonts w:hint="default"/>
        <w:sz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1AEA4005"/>
    <w:multiLevelType w:val="hybridMultilevel"/>
    <w:tmpl w:val="66B8FF2C"/>
    <w:lvl w:ilvl="0" w:tplc="FD18360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D41057C"/>
    <w:multiLevelType w:val="hybridMultilevel"/>
    <w:tmpl w:val="091276FC"/>
    <w:lvl w:ilvl="0" w:tplc="E5BAC29A">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44E0C32"/>
    <w:multiLevelType w:val="hybridMultilevel"/>
    <w:tmpl w:val="33FA7058"/>
    <w:lvl w:ilvl="0" w:tplc="51B6176E">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259A4B1B"/>
    <w:multiLevelType w:val="hybridMultilevel"/>
    <w:tmpl w:val="4AF27E94"/>
    <w:lvl w:ilvl="0" w:tplc="9D3A60F6">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9F55715"/>
    <w:multiLevelType w:val="hybridMultilevel"/>
    <w:tmpl w:val="76D89806"/>
    <w:lvl w:ilvl="0" w:tplc="6EB8E944">
      <w:start w:val="2"/>
      <w:numFmt w:val="upperRoman"/>
      <w:lvlText w:val="%1."/>
      <w:lvlJc w:val="left"/>
      <w:pPr>
        <w:ind w:left="1080" w:hanging="72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55C492C"/>
    <w:multiLevelType w:val="hybridMultilevel"/>
    <w:tmpl w:val="5F60727C"/>
    <w:lvl w:ilvl="0" w:tplc="3A0C30EE">
      <w:start w:val="1"/>
      <w:numFmt w:val="upperRoman"/>
      <w:lvlText w:val="%1."/>
      <w:lvlJc w:val="left"/>
      <w:pPr>
        <w:ind w:left="1440" w:hanging="720"/>
      </w:pPr>
      <w:rPr>
        <w:rFonts w:ascii="Verdana" w:hAnsi="Verdana"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3">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AF32D0F"/>
    <w:multiLevelType w:val="hybridMultilevel"/>
    <w:tmpl w:val="E6B66214"/>
    <w:lvl w:ilvl="0" w:tplc="76869094">
      <w:start w:val="1"/>
      <w:numFmt w:val="upperRoman"/>
      <w:lvlText w:val="%1."/>
      <w:lvlJc w:val="left"/>
      <w:pPr>
        <w:ind w:left="1080" w:hanging="720"/>
      </w:pPr>
      <w:rPr>
        <w:rFonts w:hint="default"/>
        <w:b/>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37D59AD"/>
    <w:multiLevelType w:val="hybridMultilevel"/>
    <w:tmpl w:val="69123ABE"/>
    <w:lvl w:ilvl="0" w:tplc="A46EAA86">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4D225BB7"/>
    <w:multiLevelType w:val="hybridMultilevel"/>
    <w:tmpl w:val="F45AD5D0"/>
    <w:lvl w:ilvl="0" w:tplc="DAC8B3D8">
      <w:start w:val="27"/>
      <w:numFmt w:val="decimal"/>
      <w:lvlText w:val="%1"/>
      <w:lvlJc w:val="left"/>
      <w:pPr>
        <w:ind w:left="720" w:hanging="360"/>
      </w:pPr>
      <w:rPr>
        <w:rFonts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50340FCA"/>
    <w:multiLevelType w:val="hybridMultilevel"/>
    <w:tmpl w:val="AFC4A7E4"/>
    <w:lvl w:ilvl="0" w:tplc="17BE5BC0">
      <w:start w:val="1"/>
      <w:numFmt w:val="decimal"/>
      <w:lvlText w:val="%1."/>
      <w:lvlJc w:val="left"/>
      <w:pPr>
        <w:tabs>
          <w:tab w:val="num" w:pos="2070"/>
        </w:tabs>
        <w:ind w:left="2070" w:hanging="630"/>
      </w:pPr>
      <w:rPr>
        <w:rFonts w:ascii="Univers" w:hAnsi="Univers" w:hint="default"/>
        <w:b/>
        <w:sz w:val="20"/>
      </w:rPr>
    </w:lvl>
    <w:lvl w:ilvl="1" w:tplc="78A00DBE">
      <w:start w:val="42"/>
      <w:numFmt w:val="decimal"/>
      <w:lvlText w:val="%2."/>
      <w:lvlJc w:val="left"/>
      <w:pPr>
        <w:tabs>
          <w:tab w:val="num" w:pos="2505"/>
        </w:tabs>
        <w:ind w:left="2505" w:hanging="1425"/>
      </w:pPr>
      <w:rPr>
        <w:rFonts w:hint="default"/>
      </w:rPr>
    </w:lvl>
    <w:lvl w:ilvl="2" w:tplc="680275F0">
      <w:start w:val="5"/>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93058C3"/>
    <w:multiLevelType w:val="hybridMultilevel"/>
    <w:tmpl w:val="8F8ED102"/>
    <w:lvl w:ilvl="0" w:tplc="C31805FA">
      <w:start w:val="1"/>
      <w:numFmt w:val="upperLetter"/>
      <w:lvlText w:val="%1."/>
      <w:lvlJc w:val="left"/>
      <w:pPr>
        <w:ind w:left="1080" w:hanging="360"/>
      </w:pPr>
      <w:rPr>
        <w:rFonts w:ascii="Verdana" w:hAnsi="Verdana" w:hint="default"/>
        <w:i w:val="0"/>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nsid w:val="5F17303C"/>
    <w:multiLevelType w:val="hybridMultilevel"/>
    <w:tmpl w:val="20247568"/>
    <w:lvl w:ilvl="0" w:tplc="3A785E3A">
      <w:start w:val="1"/>
      <w:numFmt w:val="upperRoman"/>
      <w:lvlText w:val="%1."/>
      <w:lvlJc w:val="left"/>
      <w:pPr>
        <w:tabs>
          <w:tab w:val="num" w:pos="1440"/>
        </w:tabs>
        <w:ind w:left="1440" w:hanging="720"/>
      </w:pPr>
      <w:rPr>
        <w:rFonts w:ascii="Univers" w:hAnsi="Univers" w:hint="default"/>
        <w:sz w:val="22"/>
        <w:szCs w:val="22"/>
      </w:rPr>
    </w:lvl>
    <w:lvl w:ilvl="1" w:tplc="7EE80C66">
      <w:start w:val="1"/>
      <w:numFmt w:val="decimal"/>
      <w:lvlText w:val="%2."/>
      <w:lvlJc w:val="left"/>
      <w:pPr>
        <w:tabs>
          <w:tab w:val="num" w:pos="2070"/>
        </w:tabs>
        <w:ind w:left="2070" w:hanging="630"/>
      </w:pPr>
      <w:rPr>
        <w:rFonts w:ascii="Verdana" w:hAnsi="Verdana" w:hint="default"/>
        <w:b/>
        <w:sz w:val="20"/>
      </w:rPr>
    </w:lvl>
    <w:lvl w:ilvl="2" w:tplc="AA6A2A72">
      <w:start w:val="1"/>
      <w:numFmt w:val="upperLetter"/>
      <w:lvlText w:val="%3."/>
      <w:lvlJc w:val="left"/>
      <w:pPr>
        <w:tabs>
          <w:tab w:val="num" w:pos="2985"/>
        </w:tabs>
        <w:ind w:left="2985" w:hanging="645"/>
      </w:pPr>
      <w:rPr>
        <w:rFonts w:ascii="Univers" w:hAnsi="Univers" w:hint="default"/>
        <w:i w:val="0"/>
        <w:sz w:val="20"/>
        <w:szCs w:val="20"/>
      </w:rPr>
    </w:lvl>
    <w:lvl w:ilvl="3" w:tplc="7C868A80">
      <w:start w:val="1"/>
      <w:numFmt w:val="decimal"/>
      <w:lvlText w:val="%4."/>
      <w:lvlJc w:val="left"/>
      <w:pPr>
        <w:tabs>
          <w:tab w:val="num" w:pos="3510"/>
        </w:tabs>
        <w:ind w:left="3510" w:hanging="630"/>
      </w:pPr>
      <w:rPr>
        <w:rFonts w:ascii="Verdana" w:hAnsi="Verdana" w:hint="default"/>
        <w:b w:val="0"/>
        <w:sz w:val="20"/>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F992B10"/>
    <w:multiLevelType w:val="hybridMultilevel"/>
    <w:tmpl w:val="C8367088"/>
    <w:lvl w:ilvl="0" w:tplc="52DC2C46">
      <w:start w:val="1"/>
      <w:numFmt w:val="upperLetter"/>
      <w:lvlText w:val="%1."/>
      <w:lvlJc w:val="left"/>
      <w:pPr>
        <w:ind w:left="720" w:hanging="360"/>
      </w:pPr>
      <w:rPr>
        <w:rFonts w:ascii="Verdana" w:hAnsi="Verdana" w:hint="default"/>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773873D3"/>
    <w:multiLevelType w:val="hybridMultilevel"/>
    <w:tmpl w:val="3B22F918"/>
    <w:lvl w:ilvl="0" w:tplc="DD5CC43E">
      <w:start w:val="1"/>
      <w:numFmt w:val="decimal"/>
      <w:lvlText w:val="%1."/>
      <w:lvlJc w:val="left"/>
      <w:pPr>
        <w:tabs>
          <w:tab w:val="num" w:pos="540"/>
        </w:tabs>
        <w:ind w:left="0" w:firstLine="720"/>
      </w:pPr>
      <w:rPr>
        <w:rFonts w:ascii="Univers" w:hAnsi="Univers" w:hint="default"/>
        <w:b w:val="0"/>
        <w:i w:val="0"/>
        <w:sz w:val="20"/>
        <w:szCs w:val="20"/>
      </w:rPr>
    </w:lvl>
    <w:lvl w:ilvl="1" w:tplc="68EE0C1E">
      <w:start w:val="2"/>
      <w:numFmt w:val="upperRoman"/>
      <w:lvlText w:val="%2."/>
      <w:lvlJc w:val="left"/>
      <w:pPr>
        <w:tabs>
          <w:tab w:val="num" w:pos="2520"/>
        </w:tabs>
        <w:ind w:left="2520" w:hanging="720"/>
      </w:pPr>
      <w:rPr>
        <w:rFonts w:hint="default"/>
      </w:rPr>
    </w:lvl>
    <w:lvl w:ilvl="2" w:tplc="A510F0CC">
      <w:start w:val="3"/>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8B757A5"/>
    <w:multiLevelType w:val="hybridMultilevel"/>
    <w:tmpl w:val="5B10D562"/>
    <w:lvl w:ilvl="0" w:tplc="1C624020">
      <w:start w:val="27"/>
      <w:numFmt w:val="decimal"/>
      <w:lvlText w:val="%1"/>
      <w:lvlJc w:val="left"/>
      <w:pPr>
        <w:ind w:left="1080" w:hanging="360"/>
      </w:pPr>
      <w:rPr>
        <w:rFonts w:hint="default"/>
        <w:sz w:val="2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num w:numId="1">
    <w:abstractNumId w:val="13"/>
  </w:num>
  <w:num w:numId="2">
    <w:abstractNumId w:val="22"/>
  </w:num>
  <w:num w:numId="3">
    <w:abstractNumId w:val="6"/>
  </w:num>
  <w:num w:numId="4">
    <w:abstractNumId w:val="23"/>
  </w:num>
  <w:num w:numId="5">
    <w:abstractNumId w:val="9"/>
  </w:num>
  <w:num w:numId="6">
    <w:abstractNumId w:val="5"/>
  </w:num>
  <w:num w:numId="7">
    <w:abstractNumId w:val="24"/>
  </w:num>
  <w:num w:numId="8">
    <w:abstractNumId w:val="16"/>
  </w:num>
  <w:num w:numId="9">
    <w:abstractNumId w:val="3"/>
  </w:num>
  <w:num w:numId="10">
    <w:abstractNumId w:val="11"/>
  </w:num>
  <w:num w:numId="11">
    <w:abstractNumId w:val="12"/>
  </w:num>
  <w:num w:numId="12">
    <w:abstractNumId w:val="19"/>
  </w:num>
  <w:num w:numId="13">
    <w:abstractNumId w:val="8"/>
  </w:num>
  <w:num w:numId="14">
    <w:abstractNumId w:val="15"/>
  </w:num>
  <w:num w:numId="15">
    <w:abstractNumId w:val="26"/>
  </w:num>
  <w:num w:numId="16">
    <w:abstractNumId w:val="1"/>
  </w:num>
  <w:num w:numId="17">
    <w:abstractNumId w:val="17"/>
  </w:num>
  <w:num w:numId="18">
    <w:abstractNumId w:val="7"/>
  </w:num>
  <w:num w:numId="19">
    <w:abstractNumId w:val="10"/>
  </w:num>
  <w:num w:numId="20">
    <w:abstractNumId w:val="14"/>
  </w:num>
  <w:num w:numId="21">
    <w:abstractNumId w:val="21"/>
  </w:num>
  <w:num w:numId="22">
    <w:abstractNumId w:val="25"/>
  </w:num>
  <w:num w:numId="23">
    <w:abstractNumId w:val="20"/>
  </w:num>
  <w:num w:numId="24">
    <w:abstractNumId w:val="18"/>
  </w:num>
  <w:num w:numId="25">
    <w:abstractNumId w:val="0"/>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0BE"/>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A8A"/>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65D"/>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9B5"/>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2E5C"/>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5C99"/>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2F67"/>
    <w:rsid w:val="003A3718"/>
    <w:rsid w:val="003A42F2"/>
    <w:rsid w:val="003A43D4"/>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895"/>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E3A"/>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298"/>
    <w:rsid w:val="00453524"/>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9A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6953"/>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852"/>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0B15"/>
    <w:rsid w:val="0059135E"/>
    <w:rsid w:val="00591527"/>
    <w:rsid w:val="005915BA"/>
    <w:rsid w:val="00591783"/>
    <w:rsid w:val="00591A34"/>
    <w:rsid w:val="00591D19"/>
    <w:rsid w:val="00592794"/>
    <w:rsid w:val="00592AD6"/>
    <w:rsid w:val="0059401A"/>
    <w:rsid w:val="0059465E"/>
    <w:rsid w:val="00595B07"/>
    <w:rsid w:val="00595CAC"/>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08A"/>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5F7587"/>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4C7A"/>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3F"/>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697"/>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7E1"/>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07CD"/>
    <w:rsid w:val="007312FD"/>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DD8"/>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56B"/>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50"/>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11B"/>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23F"/>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BEC"/>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587D"/>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64F"/>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3ADC"/>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0FB"/>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838"/>
    <w:rsid w:val="00A31BB5"/>
    <w:rsid w:val="00A31C64"/>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39D"/>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0E79"/>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17E47"/>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6F3"/>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03FA"/>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5D2E"/>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1DB9"/>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0E25"/>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1BB2"/>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560D"/>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9F6E8D0D-D13C-4E0D-B338-C268C6459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aliases w:val="Footnotes refss,Texto de nota al pie,Appel note de bas de page"/>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aliases w:val="Footnote Text Char Char Char Char Char,Footnote Text Char Char Char Char,Footnote reference,FA Fu,footnote text,Footnote Text Char Char Char,Footnote Text Cha,FA Fußnotentext,FA Fuﬂnotentext,Footnote Text Char Char,Ca"/>
    <w:basedOn w:val="Normal"/>
    <w:link w:val="FootnoteTextChar"/>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aliases w:val="Footnote Text Char Char Char Char Char Char,Footnote Text Char Char Char Char Char1,Footnote reference Char,FA Fu Char,footnote text Char,Footnote Text Char Char Char Char1,Footnote Text Cha Char,FA Fußnotentext Char,Ca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customStyle="1" w:styleId="Puesto">
    <w:name w:val="Puesto"/>
    <w:basedOn w:val="Normal"/>
    <w:link w:val="PuestoC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PuestoCar">
    <w:name w:val="Puesto Car"/>
    <w:link w:val="Puesto"/>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2">
    <w:name w:val="List 2"/>
    <w:basedOn w:val="Normal"/>
    <w:uiPriority w:val="99"/>
    <w:semiHidden/>
    <w:unhideWhenUsed/>
    <w:rsid w:val="00775C50"/>
    <w:pPr>
      <w:spacing w:before="100" w:beforeAutospacing="1" w:after="100" w:afterAutospacing="1"/>
      <w:jc w:val="left"/>
    </w:pPr>
    <w:rPr>
      <w:rFonts w:ascii="Times New Roman" w:eastAsia="Times New Roman" w:hAnsi="Times New Roman"/>
      <w:sz w:val="24"/>
      <w:szCs w:val="24"/>
      <w:lang w:eastAsia="es-AR"/>
    </w:rPr>
  </w:style>
  <w:style w:type="character" w:customStyle="1" w:styleId="TitleChar">
    <w:name w:val="Title Char"/>
    <w:link w:val="Title"/>
    <w:uiPriority w:val="10"/>
    <w:rsid w:val="00FE560D"/>
    <w:rPr>
      <w:rFonts w:ascii="Times New Roman" w:eastAsia="Times New Roman" w:hAnsi="Times New Roman"/>
      <w:sz w:val="24"/>
      <w:szCs w:val="24"/>
    </w:rPr>
  </w:style>
  <w:style w:type="paragraph" w:styleId="ListParagraph">
    <w:name w:val="List Paragraph"/>
    <w:basedOn w:val="Normal"/>
    <w:uiPriority w:val="34"/>
    <w:qFormat/>
    <w:rsid w:val="00FE560D"/>
    <w:pPr>
      <w:ind w:left="720"/>
      <w:contextualSpacing/>
    </w:pPr>
  </w:style>
  <w:style w:type="character" w:styleId="EndnoteReference">
    <w:name w:val="endnote reference"/>
    <w:uiPriority w:val="99"/>
    <w:semiHidden/>
    <w:unhideWhenUsed/>
    <w:rsid w:val="00FE560D"/>
  </w:style>
  <w:style w:type="character" w:customStyle="1" w:styleId="charchar">
    <w:name w:val="charchar"/>
    <w:rsid w:val="00FE560D"/>
  </w:style>
  <w:style w:type="character" w:customStyle="1" w:styleId="heading2charcharchar">
    <w:name w:val="heading2charcharchar"/>
    <w:rsid w:val="00FE560D"/>
  </w:style>
  <w:style w:type="paragraph" w:styleId="PlainText">
    <w:name w:val="Plain Text"/>
    <w:basedOn w:val="Normal"/>
    <w:link w:val="PlainTextChar"/>
    <w:uiPriority w:val="99"/>
    <w:semiHidden/>
    <w:unhideWhenUsed/>
    <w:rsid w:val="00FE560D"/>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FE560D"/>
    <w:rPr>
      <w:rFonts w:ascii="Times New Roman" w:eastAsia="Times New Roman" w:hAnsi="Times New Roman"/>
      <w:sz w:val="24"/>
      <w:szCs w:val="24"/>
    </w:rPr>
  </w:style>
  <w:style w:type="paragraph" w:customStyle="1" w:styleId="blockquote">
    <w:name w:val="blockquote"/>
    <w:basedOn w:val="Normal"/>
    <w:rsid w:val="00FE560D"/>
    <w:pPr>
      <w:spacing w:before="100" w:beforeAutospacing="1" w:after="100" w:afterAutospacing="1"/>
      <w:jc w:val="left"/>
    </w:pPr>
    <w:rPr>
      <w:rFonts w:ascii="Times New Roman" w:eastAsia="Times New Roman" w:hAnsi="Times New Roman"/>
      <w:sz w:val="24"/>
      <w:szCs w:val="24"/>
      <w:lang w:eastAsia="es-AR"/>
    </w:rPr>
  </w:style>
  <w:style w:type="paragraph" w:styleId="Title">
    <w:name w:val="Title"/>
    <w:basedOn w:val="Normal"/>
    <w:link w:val="TitleChar"/>
    <w:uiPriority w:val="10"/>
    <w:qFormat/>
    <w:rsid w:val="00634C7A"/>
    <w:pPr>
      <w:spacing w:before="100" w:beforeAutospacing="1" w:after="100" w:afterAutospacing="1"/>
      <w:jc w:val="left"/>
    </w:pPr>
    <w:rPr>
      <w:rFonts w:ascii="Times New Roman" w:eastAsia="Times New Roman" w:hAnsi="Times New Roman"/>
      <w:sz w:val="24"/>
      <w:szCs w:val="24"/>
      <w:lang w:eastAsia="es-AR"/>
    </w:rPr>
  </w:style>
  <w:style w:type="character" w:customStyle="1" w:styleId="TtuloCar2">
    <w:name w:val="Título Car2"/>
    <w:basedOn w:val="DefaultParagraphFont"/>
    <w:uiPriority w:val="10"/>
    <w:rsid w:val="00634C7A"/>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2CharChar">
    <w:name w:val="Heading 2 Char Char"/>
    <w:basedOn w:val="DefaultParagraphFont"/>
    <w:rsid w:val="00453524"/>
    <w:rPr>
      <w:rFonts w:ascii="Univers" w:hAnsi="Univers"/>
      <w:b/>
      <w:bCs/>
      <w:sz w:val="22"/>
      <w:szCs w:val="22"/>
      <w:lang w:val="en-US" w:eastAsia="en-US" w:bidi="ar-SA"/>
    </w:rPr>
  </w:style>
  <w:style w:type="character" w:customStyle="1" w:styleId="TextonotapieCar1">
    <w:name w:val="Texto nota pie Car1"/>
    <w:aliases w:val="Footnote Text Char Char Char Char Char Car,Footnote Text Char Char Char Char Car,Footnote reference Car,FA Fu Car,footnote text Car,Footnote Text Char Char Char Car,Footnote Text Cha Car,FA Fußnotentext Car,FA Fuﬂnotentext Car,Ca Car"/>
    <w:basedOn w:val="DefaultParagraphFont"/>
    <w:semiHidden/>
    <w:locked/>
    <w:rsid w:val="00453524"/>
    <w:rPr>
      <w:rFonts w:eastAsia="MS Mincho"/>
      <w:lang w:val="es-AR" w:eastAsia="en-US" w:bidi="ar-SA"/>
    </w:rPr>
  </w:style>
  <w:style w:type="character" w:styleId="CommentReference">
    <w:name w:val="annotation reference"/>
    <w:basedOn w:val="DefaultParagraphFont"/>
    <w:semiHidden/>
    <w:rsid w:val="004535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340738">
      <w:bodyDiv w:val="1"/>
      <w:marLeft w:val="0"/>
      <w:marRight w:val="0"/>
      <w:marTop w:val="0"/>
      <w:marBottom w:val="0"/>
      <w:divBdr>
        <w:top w:val="none" w:sz="0" w:space="0" w:color="auto"/>
        <w:left w:val="none" w:sz="0" w:space="0" w:color="auto"/>
        <w:bottom w:val="none" w:sz="0" w:space="0" w:color="auto"/>
        <w:right w:val="none" w:sz="0" w:space="0" w:color="auto"/>
      </w:divBdr>
      <w:divsChild>
        <w:div w:id="1885025124">
          <w:marLeft w:val="0"/>
          <w:marRight w:val="0"/>
          <w:marTop w:val="0"/>
          <w:marBottom w:val="0"/>
          <w:divBdr>
            <w:top w:val="none" w:sz="0" w:space="0" w:color="auto"/>
            <w:left w:val="none" w:sz="0" w:space="0" w:color="auto"/>
            <w:bottom w:val="none" w:sz="0" w:space="0" w:color="auto"/>
            <w:right w:val="none" w:sz="0" w:space="0" w:color="auto"/>
          </w:divBdr>
          <w:divsChild>
            <w:div w:id="307825197">
              <w:marLeft w:val="0"/>
              <w:marRight w:val="0"/>
              <w:marTop w:val="0"/>
              <w:marBottom w:val="0"/>
              <w:divBdr>
                <w:top w:val="none" w:sz="0" w:space="0" w:color="auto"/>
                <w:left w:val="none" w:sz="0" w:space="0" w:color="auto"/>
                <w:bottom w:val="none" w:sz="0" w:space="0" w:color="auto"/>
                <w:right w:val="none" w:sz="0" w:space="0" w:color="auto"/>
              </w:divBdr>
            </w:div>
            <w:div w:id="2111310379">
              <w:marLeft w:val="0"/>
              <w:marRight w:val="0"/>
              <w:marTop w:val="0"/>
              <w:marBottom w:val="0"/>
              <w:divBdr>
                <w:top w:val="none" w:sz="0" w:space="0" w:color="auto"/>
                <w:left w:val="none" w:sz="0" w:space="0" w:color="auto"/>
                <w:bottom w:val="none" w:sz="0" w:space="0" w:color="auto"/>
                <w:right w:val="none" w:sz="0" w:space="0" w:color="auto"/>
              </w:divBdr>
            </w:div>
            <w:div w:id="368605497">
              <w:marLeft w:val="0"/>
              <w:marRight w:val="0"/>
              <w:marTop w:val="0"/>
              <w:marBottom w:val="0"/>
              <w:divBdr>
                <w:top w:val="none" w:sz="0" w:space="0" w:color="auto"/>
                <w:left w:val="none" w:sz="0" w:space="0" w:color="auto"/>
                <w:bottom w:val="none" w:sz="0" w:space="0" w:color="auto"/>
                <w:right w:val="none" w:sz="0" w:space="0" w:color="auto"/>
              </w:divBdr>
            </w:div>
            <w:div w:id="737753247">
              <w:marLeft w:val="0"/>
              <w:marRight w:val="0"/>
              <w:marTop w:val="0"/>
              <w:marBottom w:val="0"/>
              <w:divBdr>
                <w:top w:val="none" w:sz="0" w:space="0" w:color="auto"/>
                <w:left w:val="none" w:sz="0" w:space="0" w:color="auto"/>
                <w:bottom w:val="none" w:sz="0" w:space="0" w:color="auto"/>
                <w:right w:val="none" w:sz="0" w:space="0" w:color="auto"/>
              </w:divBdr>
            </w:div>
            <w:div w:id="1398479802">
              <w:marLeft w:val="0"/>
              <w:marRight w:val="0"/>
              <w:marTop w:val="0"/>
              <w:marBottom w:val="0"/>
              <w:divBdr>
                <w:top w:val="none" w:sz="0" w:space="0" w:color="auto"/>
                <w:left w:val="none" w:sz="0" w:space="0" w:color="auto"/>
                <w:bottom w:val="none" w:sz="0" w:space="0" w:color="auto"/>
                <w:right w:val="none" w:sz="0" w:space="0" w:color="auto"/>
              </w:divBdr>
            </w:div>
            <w:div w:id="823014651">
              <w:marLeft w:val="0"/>
              <w:marRight w:val="0"/>
              <w:marTop w:val="0"/>
              <w:marBottom w:val="0"/>
              <w:divBdr>
                <w:top w:val="none" w:sz="0" w:space="0" w:color="auto"/>
                <w:left w:val="none" w:sz="0" w:space="0" w:color="auto"/>
                <w:bottom w:val="none" w:sz="0" w:space="0" w:color="auto"/>
                <w:right w:val="none" w:sz="0" w:space="0" w:color="auto"/>
              </w:divBdr>
            </w:div>
            <w:div w:id="595871020">
              <w:marLeft w:val="0"/>
              <w:marRight w:val="0"/>
              <w:marTop w:val="0"/>
              <w:marBottom w:val="0"/>
              <w:divBdr>
                <w:top w:val="none" w:sz="0" w:space="0" w:color="auto"/>
                <w:left w:val="none" w:sz="0" w:space="0" w:color="auto"/>
                <w:bottom w:val="none" w:sz="0" w:space="0" w:color="auto"/>
                <w:right w:val="none" w:sz="0" w:space="0" w:color="auto"/>
              </w:divBdr>
            </w:div>
            <w:div w:id="1328288172">
              <w:marLeft w:val="0"/>
              <w:marRight w:val="0"/>
              <w:marTop w:val="0"/>
              <w:marBottom w:val="0"/>
              <w:divBdr>
                <w:top w:val="none" w:sz="0" w:space="0" w:color="auto"/>
                <w:left w:val="none" w:sz="0" w:space="0" w:color="auto"/>
                <w:bottom w:val="none" w:sz="0" w:space="0" w:color="auto"/>
                <w:right w:val="none" w:sz="0" w:space="0" w:color="auto"/>
              </w:divBdr>
            </w:div>
            <w:div w:id="2045054768">
              <w:marLeft w:val="0"/>
              <w:marRight w:val="0"/>
              <w:marTop w:val="0"/>
              <w:marBottom w:val="0"/>
              <w:divBdr>
                <w:top w:val="none" w:sz="0" w:space="0" w:color="auto"/>
                <w:left w:val="none" w:sz="0" w:space="0" w:color="auto"/>
                <w:bottom w:val="none" w:sz="0" w:space="0" w:color="auto"/>
                <w:right w:val="none" w:sz="0" w:space="0" w:color="auto"/>
              </w:divBdr>
            </w:div>
            <w:div w:id="1116634118">
              <w:marLeft w:val="0"/>
              <w:marRight w:val="0"/>
              <w:marTop w:val="0"/>
              <w:marBottom w:val="0"/>
              <w:divBdr>
                <w:top w:val="none" w:sz="0" w:space="0" w:color="auto"/>
                <w:left w:val="none" w:sz="0" w:space="0" w:color="auto"/>
                <w:bottom w:val="none" w:sz="0" w:space="0" w:color="auto"/>
                <w:right w:val="none" w:sz="0" w:space="0" w:color="auto"/>
              </w:divBdr>
            </w:div>
            <w:div w:id="411465072">
              <w:marLeft w:val="0"/>
              <w:marRight w:val="0"/>
              <w:marTop w:val="0"/>
              <w:marBottom w:val="0"/>
              <w:divBdr>
                <w:top w:val="none" w:sz="0" w:space="0" w:color="auto"/>
                <w:left w:val="none" w:sz="0" w:space="0" w:color="auto"/>
                <w:bottom w:val="none" w:sz="0" w:space="0" w:color="auto"/>
                <w:right w:val="none" w:sz="0" w:space="0" w:color="auto"/>
              </w:divBdr>
            </w:div>
            <w:div w:id="117920097">
              <w:marLeft w:val="0"/>
              <w:marRight w:val="0"/>
              <w:marTop w:val="0"/>
              <w:marBottom w:val="0"/>
              <w:divBdr>
                <w:top w:val="none" w:sz="0" w:space="0" w:color="auto"/>
                <w:left w:val="none" w:sz="0" w:space="0" w:color="auto"/>
                <w:bottom w:val="none" w:sz="0" w:space="0" w:color="auto"/>
                <w:right w:val="none" w:sz="0" w:space="0" w:color="auto"/>
              </w:divBdr>
            </w:div>
            <w:div w:id="493374709">
              <w:marLeft w:val="0"/>
              <w:marRight w:val="0"/>
              <w:marTop w:val="0"/>
              <w:marBottom w:val="0"/>
              <w:divBdr>
                <w:top w:val="none" w:sz="0" w:space="0" w:color="auto"/>
                <w:left w:val="none" w:sz="0" w:space="0" w:color="auto"/>
                <w:bottom w:val="none" w:sz="0" w:space="0" w:color="auto"/>
                <w:right w:val="none" w:sz="0" w:space="0" w:color="auto"/>
              </w:divBdr>
            </w:div>
            <w:div w:id="2065133158">
              <w:marLeft w:val="0"/>
              <w:marRight w:val="0"/>
              <w:marTop w:val="0"/>
              <w:marBottom w:val="0"/>
              <w:divBdr>
                <w:top w:val="none" w:sz="0" w:space="0" w:color="auto"/>
                <w:left w:val="none" w:sz="0" w:space="0" w:color="auto"/>
                <w:bottom w:val="none" w:sz="0" w:space="0" w:color="auto"/>
                <w:right w:val="none" w:sz="0" w:space="0" w:color="auto"/>
              </w:divBdr>
            </w:div>
            <w:div w:id="1571043209">
              <w:marLeft w:val="0"/>
              <w:marRight w:val="0"/>
              <w:marTop w:val="0"/>
              <w:marBottom w:val="0"/>
              <w:divBdr>
                <w:top w:val="none" w:sz="0" w:space="0" w:color="auto"/>
                <w:left w:val="none" w:sz="0" w:space="0" w:color="auto"/>
                <w:bottom w:val="none" w:sz="0" w:space="0" w:color="auto"/>
                <w:right w:val="none" w:sz="0" w:space="0" w:color="auto"/>
              </w:divBdr>
            </w:div>
            <w:div w:id="315107896">
              <w:marLeft w:val="0"/>
              <w:marRight w:val="0"/>
              <w:marTop w:val="0"/>
              <w:marBottom w:val="0"/>
              <w:divBdr>
                <w:top w:val="none" w:sz="0" w:space="0" w:color="auto"/>
                <w:left w:val="none" w:sz="0" w:space="0" w:color="auto"/>
                <w:bottom w:val="none" w:sz="0" w:space="0" w:color="auto"/>
                <w:right w:val="none" w:sz="0" w:space="0" w:color="auto"/>
              </w:divBdr>
            </w:div>
            <w:div w:id="992680344">
              <w:marLeft w:val="0"/>
              <w:marRight w:val="0"/>
              <w:marTop w:val="0"/>
              <w:marBottom w:val="0"/>
              <w:divBdr>
                <w:top w:val="none" w:sz="0" w:space="0" w:color="auto"/>
                <w:left w:val="none" w:sz="0" w:space="0" w:color="auto"/>
                <w:bottom w:val="none" w:sz="0" w:space="0" w:color="auto"/>
                <w:right w:val="none" w:sz="0" w:space="0" w:color="auto"/>
              </w:divBdr>
            </w:div>
            <w:div w:id="1600797817">
              <w:marLeft w:val="0"/>
              <w:marRight w:val="0"/>
              <w:marTop w:val="0"/>
              <w:marBottom w:val="0"/>
              <w:divBdr>
                <w:top w:val="none" w:sz="0" w:space="0" w:color="auto"/>
                <w:left w:val="none" w:sz="0" w:space="0" w:color="auto"/>
                <w:bottom w:val="none" w:sz="0" w:space="0" w:color="auto"/>
                <w:right w:val="none" w:sz="0" w:space="0" w:color="auto"/>
              </w:divBdr>
            </w:div>
            <w:div w:id="277030871">
              <w:marLeft w:val="0"/>
              <w:marRight w:val="0"/>
              <w:marTop w:val="0"/>
              <w:marBottom w:val="0"/>
              <w:divBdr>
                <w:top w:val="none" w:sz="0" w:space="0" w:color="auto"/>
                <w:left w:val="none" w:sz="0" w:space="0" w:color="auto"/>
                <w:bottom w:val="none" w:sz="0" w:space="0" w:color="auto"/>
                <w:right w:val="none" w:sz="0" w:space="0" w:color="auto"/>
              </w:divBdr>
            </w:div>
            <w:div w:id="5085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20277">
      <w:bodyDiv w:val="1"/>
      <w:marLeft w:val="0"/>
      <w:marRight w:val="0"/>
      <w:marTop w:val="0"/>
      <w:marBottom w:val="0"/>
      <w:divBdr>
        <w:top w:val="none" w:sz="0" w:space="0" w:color="auto"/>
        <w:left w:val="none" w:sz="0" w:space="0" w:color="auto"/>
        <w:bottom w:val="none" w:sz="0" w:space="0" w:color="auto"/>
        <w:right w:val="none" w:sz="0" w:space="0" w:color="auto"/>
      </w:divBdr>
      <w:divsChild>
        <w:div w:id="1954438686">
          <w:marLeft w:val="0"/>
          <w:marRight w:val="0"/>
          <w:marTop w:val="0"/>
          <w:marBottom w:val="0"/>
          <w:divBdr>
            <w:top w:val="none" w:sz="0" w:space="0" w:color="auto"/>
            <w:left w:val="none" w:sz="0" w:space="0" w:color="auto"/>
            <w:bottom w:val="none" w:sz="0" w:space="0" w:color="auto"/>
            <w:right w:val="none" w:sz="0" w:space="0" w:color="auto"/>
          </w:divBdr>
          <w:divsChild>
            <w:div w:id="1444032753">
              <w:marLeft w:val="0"/>
              <w:marRight w:val="0"/>
              <w:marTop w:val="0"/>
              <w:marBottom w:val="0"/>
              <w:divBdr>
                <w:top w:val="none" w:sz="0" w:space="0" w:color="auto"/>
                <w:left w:val="none" w:sz="0" w:space="0" w:color="auto"/>
                <w:bottom w:val="none" w:sz="0" w:space="0" w:color="auto"/>
                <w:right w:val="none" w:sz="0" w:space="0" w:color="auto"/>
              </w:divBdr>
            </w:div>
            <w:div w:id="430660698">
              <w:marLeft w:val="0"/>
              <w:marRight w:val="0"/>
              <w:marTop w:val="0"/>
              <w:marBottom w:val="0"/>
              <w:divBdr>
                <w:top w:val="none" w:sz="0" w:space="0" w:color="auto"/>
                <w:left w:val="none" w:sz="0" w:space="0" w:color="auto"/>
                <w:bottom w:val="none" w:sz="0" w:space="0" w:color="auto"/>
                <w:right w:val="none" w:sz="0" w:space="0" w:color="auto"/>
              </w:divBdr>
            </w:div>
            <w:div w:id="172260791">
              <w:marLeft w:val="0"/>
              <w:marRight w:val="0"/>
              <w:marTop w:val="0"/>
              <w:marBottom w:val="0"/>
              <w:divBdr>
                <w:top w:val="none" w:sz="0" w:space="0" w:color="auto"/>
                <w:left w:val="none" w:sz="0" w:space="0" w:color="auto"/>
                <w:bottom w:val="none" w:sz="0" w:space="0" w:color="auto"/>
                <w:right w:val="none" w:sz="0" w:space="0" w:color="auto"/>
              </w:divBdr>
            </w:div>
            <w:div w:id="116028540">
              <w:marLeft w:val="0"/>
              <w:marRight w:val="0"/>
              <w:marTop w:val="0"/>
              <w:marBottom w:val="0"/>
              <w:divBdr>
                <w:top w:val="none" w:sz="0" w:space="0" w:color="auto"/>
                <w:left w:val="none" w:sz="0" w:space="0" w:color="auto"/>
                <w:bottom w:val="none" w:sz="0" w:space="0" w:color="auto"/>
                <w:right w:val="none" w:sz="0" w:space="0" w:color="auto"/>
              </w:divBdr>
            </w:div>
            <w:div w:id="1794668071">
              <w:marLeft w:val="0"/>
              <w:marRight w:val="0"/>
              <w:marTop w:val="0"/>
              <w:marBottom w:val="0"/>
              <w:divBdr>
                <w:top w:val="none" w:sz="0" w:space="0" w:color="auto"/>
                <w:left w:val="none" w:sz="0" w:space="0" w:color="auto"/>
                <w:bottom w:val="none" w:sz="0" w:space="0" w:color="auto"/>
                <w:right w:val="none" w:sz="0" w:space="0" w:color="auto"/>
              </w:divBdr>
            </w:div>
            <w:div w:id="1633445108">
              <w:marLeft w:val="0"/>
              <w:marRight w:val="0"/>
              <w:marTop w:val="0"/>
              <w:marBottom w:val="0"/>
              <w:divBdr>
                <w:top w:val="none" w:sz="0" w:space="0" w:color="auto"/>
                <w:left w:val="none" w:sz="0" w:space="0" w:color="auto"/>
                <w:bottom w:val="none" w:sz="0" w:space="0" w:color="auto"/>
                <w:right w:val="none" w:sz="0" w:space="0" w:color="auto"/>
              </w:divBdr>
            </w:div>
            <w:div w:id="486753821">
              <w:marLeft w:val="0"/>
              <w:marRight w:val="0"/>
              <w:marTop w:val="0"/>
              <w:marBottom w:val="0"/>
              <w:divBdr>
                <w:top w:val="none" w:sz="0" w:space="0" w:color="auto"/>
                <w:left w:val="none" w:sz="0" w:space="0" w:color="auto"/>
                <w:bottom w:val="none" w:sz="0" w:space="0" w:color="auto"/>
                <w:right w:val="none" w:sz="0" w:space="0" w:color="auto"/>
              </w:divBdr>
            </w:div>
            <w:div w:id="1832598336">
              <w:marLeft w:val="0"/>
              <w:marRight w:val="0"/>
              <w:marTop w:val="0"/>
              <w:marBottom w:val="0"/>
              <w:divBdr>
                <w:top w:val="none" w:sz="0" w:space="0" w:color="auto"/>
                <w:left w:val="none" w:sz="0" w:space="0" w:color="auto"/>
                <w:bottom w:val="none" w:sz="0" w:space="0" w:color="auto"/>
                <w:right w:val="none" w:sz="0" w:space="0" w:color="auto"/>
              </w:divBdr>
            </w:div>
            <w:div w:id="653145503">
              <w:marLeft w:val="0"/>
              <w:marRight w:val="0"/>
              <w:marTop w:val="0"/>
              <w:marBottom w:val="0"/>
              <w:divBdr>
                <w:top w:val="none" w:sz="0" w:space="0" w:color="auto"/>
                <w:left w:val="none" w:sz="0" w:space="0" w:color="auto"/>
                <w:bottom w:val="none" w:sz="0" w:space="0" w:color="auto"/>
                <w:right w:val="none" w:sz="0" w:space="0" w:color="auto"/>
              </w:divBdr>
            </w:div>
            <w:div w:id="428308607">
              <w:marLeft w:val="0"/>
              <w:marRight w:val="0"/>
              <w:marTop w:val="0"/>
              <w:marBottom w:val="0"/>
              <w:divBdr>
                <w:top w:val="none" w:sz="0" w:space="0" w:color="auto"/>
                <w:left w:val="none" w:sz="0" w:space="0" w:color="auto"/>
                <w:bottom w:val="none" w:sz="0" w:space="0" w:color="auto"/>
                <w:right w:val="none" w:sz="0" w:space="0" w:color="auto"/>
              </w:divBdr>
            </w:div>
            <w:div w:id="1033647995">
              <w:marLeft w:val="0"/>
              <w:marRight w:val="0"/>
              <w:marTop w:val="0"/>
              <w:marBottom w:val="0"/>
              <w:divBdr>
                <w:top w:val="none" w:sz="0" w:space="0" w:color="auto"/>
                <w:left w:val="none" w:sz="0" w:space="0" w:color="auto"/>
                <w:bottom w:val="none" w:sz="0" w:space="0" w:color="auto"/>
                <w:right w:val="none" w:sz="0" w:space="0" w:color="auto"/>
              </w:divBdr>
            </w:div>
            <w:div w:id="2003002607">
              <w:marLeft w:val="0"/>
              <w:marRight w:val="0"/>
              <w:marTop w:val="0"/>
              <w:marBottom w:val="0"/>
              <w:divBdr>
                <w:top w:val="none" w:sz="0" w:space="0" w:color="auto"/>
                <w:left w:val="none" w:sz="0" w:space="0" w:color="auto"/>
                <w:bottom w:val="none" w:sz="0" w:space="0" w:color="auto"/>
                <w:right w:val="none" w:sz="0" w:space="0" w:color="auto"/>
              </w:divBdr>
            </w:div>
            <w:div w:id="1009285832">
              <w:marLeft w:val="0"/>
              <w:marRight w:val="0"/>
              <w:marTop w:val="0"/>
              <w:marBottom w:val="0"/>
              <w:divBdr>
                <w:top w:val="none" w:sz="0" w:space="0" w:color="auto"/>
                <w:left w:val="none" w:sz="0" w:space="0" w:color="auto"/>
                <w:bottom w:val="none" w:sz="0" w:space="0" w:color="auto"/>
                <w:right w:val="none" w:sz="0" w:space="0" w:color="auto"/>
              </w:divBdr>
            </w:div>
            <w:div w:id="2064518002">
              <w:marLeft w:val="0"/>
              <w:marRight w:val="0"/>
              <w:marTop w:val="0"/>
              <w:marBottom w:val="0"/>
              <w:divBdr>
                <w:top w:val="none" w:sz="0" w:space="0" w:color="auto"/>
                <w:left w:val="none" w:sz="0" w:space="0" w:color="auto"/>
                <w:bottom w:val="none" w:sz="0" w:space="0" w:color="auto"/>
                <w:right w:val="none" w:sz="0" w:space="0" w:color="auto"/>
              </w:divBdr>
            </w:div>
            <w:div w:id="625964765">
              <w:marLeft w:val="0"/>
              <w:marRight w:val="0"/>
              <w:marTop w:val="0"/>
              <w:marBottom w:val="0"/>
              <w:divBdr>
                <w:top w:val="none" w:sz="0" w:space="0" w:color="auto"/>
                <w:left w:val="none" w:sz="0" w:space="0" w:color="auto"/>
                <w:bottom w:val="none" w:sz="0" w:space="0" w:color="auto"/>
                <w:right w:val="none" w:sz="0" w:space="0" w:color="auto"/>
              </w:divBdr>
            </w:div>
            <w:div w:id="903568437">
              <w:marLeft w:val="0"/>
              <w:marRight w:val="0"/>
              <w:marTop w:val="0"/>
              <w:marBottom w:val="0"/>
              <w:divBdr>
                <w:top w:val="none" w:sz="0" w:space="0" w:color="auto"/>
                <w:left w:val="none" w:sz="0" w:space="0" w:color="auto"/>
                <w:bottom w:val="none" w:sz="0" w:space="0" w:color="auto"/>
                <w:right w:val="none" w:sz="0" w:space="0" w:color="auto"/>
              </w:divBdr>
            </w:div>
            <w:div w:id="234634636">
              <w:marLeft w:val="0"/>
              <w:marRight w:val="0"/>
              <w:marTop w:val="0"/>
              <w:marBottom w:val="0"/>
              <w:divBdr>
                <w:top w:val="none" w:sz="0" w:space="0" w:color="auto"/>
                <w:left w:val="none" w:sz="0" w:space="0" w:color="auto"/>
                <w:bottom w:val="none" w:sz="0" w:space="0" w:color="auto"/>
                <w:right w:val="none" w:sz="0" w:space="0" w:color="auto"/>
              </w:divBdr>
            </w:div>
            <w:div w:id="1059595555">
              <w:marLeft w:val="0"/>
              <w:marRight w:val="0"/>
              <w:marTop w:val="0"/>
              <w:marBottom w:val="0"/>
              <w:divBdr>
                <w:top w:val="none" w:sz="0" w:space="0" w:color="auto"/>
                <w:left w:val="none" w:sz="0" w:space="0" w:color="auto"/>
                <w:bottom w:val="none" w:sz="0" w:space="0" w:color="auto"/>
                <w:right w:val="none" w:sz="0" w:space="0" w:color="auto"/>
              </w:divBdr>
            </w:div>
            <w:div w:id="1367294248">
              <w:marLeft w:val="0"/>
              <w:marRight w:val="0"/>
              <w:marTop w:val="0"/>
              <w:marBottom w:val="0"/>
              <w:divBdr>
                <w:top w:val="none" w:sz="0" w:space="0" w:color="auto"/>
                <w:left w:val="none" w:sz="0" w:space="0" w:color="auto"/>
                <w:bottom w:val="none" w:sz="0" w:space="0" w:color="auto"/>
                <w:right w:val="none" w:sz="0" w:space="0" w:color="auto"/>
              </w:divBdr>
            </w:div>
            <w:div w:id="11697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idh.oas.org/prensa/publichearings/advanced.aspx?Lang=ES" TargetMode="External"/><Relationship Id="rId1" Type="http://schemas.openxmlformats.org/officeDocument/2006/relationships/hyperlink" Target="http://www.cidh.oas.org/prensa/publichearings/advanced.aspx?La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4FAA-44F8-4B35-AC6B-6861938AA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6464</Words>
  <Characters>35557</Characters>
  <Application>Microsoft Office Word</Application>
  <DocSecurity>0</DocSecurity>
  <Lines>296</Lines>
  <Paragraphs>83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Javier Alberto Melgar Molina</cp:lastModifiedBy>
  <cp:revision>2</cp:revision>
  <dcterms:created xsi:type="dcterms:W3CDTF">2017-09-14T01:10:00Z</dcterms:created>
  <dcterms:modified xsi:type="dcterms:W3CDTF">2017-09-14T01:10:00Z</dcterms:modified>
</cp:coreProperties>
</file>