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630A" w:rsidRPr="00B715A5" w:rsidRDefault="002A630A" w:rsidP="00B715A5">
      <w:pPr>
        <w:pStyle w:val="Heading2"/>
        <w:spacing w:before="0" w:beforeAutospacing="0" w:after="0" w:afterAutospacing="0"/>
        <w:jc w:val="center"/>
        <w:rPr>
          <w:rFonts w:ascii="Verdana" w:hAnsi="Verdana"/>
          <w:sz w:val="20"/>
          <w:szCs w:val="20"/>
        </w:rPr>
      </w:pPr>
      <w:bookmarkStart w:id="0" w:name="_GoBack"/>
      <w:bookmarkEnd w:id="0"/>
      <w:r w:rsidRPr="00B715A5">
        <w:rPr>
          <w:rFonts w:ascii="Verdana" w:hAnsi="Verdana"/>
          <w:sz w:val="20"/>
          <w:szCs w:val="20"/>
        </w:rPr>
        <w:t>REPORT No. 156/10</w:t>
      </w:r>
    </w:p>
    <w:p w:rsidR="002A630A" w:rsidRPr="00B715A5" w:rsidRDefault="002A630A" w:rsidP="00B715A5">
      <w:pPr>
        <w:pStyle w:val="Heading2"/>
        <w:spacing w:before="0" w:beforeAutospacing="0" w:after="0" w:afterAutospacing="0"/>
        <w:jc w:val="center"/>
        <w:rPr>
          <w:rFonts w:ascii="Verdana" w:hAnsi="Verdana"/>
          <w:b w:val="0"/>
          <w:sz w:val="20"/>
          <w:szCs w:val="20"/>
        </w:rPr>
      </w:pPr>
      <w:r w:rsidRPr="00B715A5">
        <w:rPr>
          <w:rFonts w:ascii="Verdana" w:hAnsi="Verdana"/>
          <w:b w:val="0"/>
          <w:bCs w:val="0"/>
          <w:sz w:val="20"/>
          <w:szCs w:val="20"/>
        </w:rPr>
        <w:t>PETITION 1368-04</w:t>
      </w:r>
    </w:p>
    <w:p w:rsidR="002A630A" w:rsidRPr="00B715A5" w:rsidRDefault="002A630A" w:rsidP="00B715A5">
      <w:pPr>
        <w:pStyle w:val="Heading2"/>
        <w:spacing w:before="0" w:beforeAutospacing="0" w:after="0" w:afterAutospacing="0"/>
        <w:jc w:val="center"/>
        <w:rPr>
          <w:rFonts w:ascii="Verdana" w:hAnsi="Verdana"/>
          <w:b w:val="0"/>
          <w:sz w:val="20"/>
          <w:szCs w:val="20"/>
        </w:rPr>
      </w:pPr>
      <w:r w:rsidRPr="00B715A5">
        <w:rPr>
          <w:rFonts w:ascii="Verdana" w:hAnsi="Verdana"/>
          <w:b w:val="0"/>
          <w:bCs w:val="0"/>
          <w:sz w:val="20"/>
          <w:szCs w:val="20"/>
        </w:rPr>
        <w:t>ADMISSIBILITY</w:t>
      </w:r>
    </w:p>
    <w:p w:rsidR="002A630A" w:rsidRPr="00B715A5" w:rsidRDefault="002A630A" w:rsidP="00B715A5">
      <w:pPr>
        <w:pStyle w:val="Heading2"/>
        <w:spacing w:before="0" w:beforeAutospacing="0" w:after="0" w:afterAutospacing="0"/>
        <w:jc w:val="center"/>
        <w:rPr>
          <w:rFonts w:ascii="Verdana" w:hAnsi="Verdana"/>
          <w:b w:val="0"/>
          <w:sz w:val="20"/>
          <w:szCs w:val="20"/>
        </w:rPr>
      </w:pPr>
      <w:r w:rsidRPr="00B715A5">
        <w:rPr>
          <w:rFonts w:ascii="Verdana" w:hAnsi="Verdana"/>
          <w:b w:val="0"/>
          <w:bCs w:val="0"/>
          <w:sz w:val="20"/>
          <w:szCs w:val="20"/>
        </w:rPr>
        <w:t>DANIEL GERARDO GOMEZ, AIDA MARCELA GARITA ET AL.</w:t>
      </w:r>
    </w:p>
    <w:p w:rsidR="002A630A" w:rsidRPr="00B715A5" w:rsidRDefault="002A630A" w:rsidP="00B715A5">
      <w:pPr>
        <w:pStyle w:val="Heading2"/>
        <w:spacing w:before="0" w:beforeAutospacing="0" w:after="0" w:afterAutospacing="0"/>
        <w:jc w:val="center"/>
        <w:rPr>
          <w:rFonts w:ascii="Verdana" w:hAnsi="Verdana"/>
          <w:b w:val="0"/>
          <w:sz w:val="20"/>
          <w:szCs w:val="20"/>
        </w:rPr>
      </w:pPr>
      <w:r w:rsidRPr="00B715A5">
        <w:rPr>
          <w:rFonts w:ascii="Verdana" w:hAnsi="Verdana"/>
          <w:b w:val="0"/>
          <w:bCs w:val="0"/>
          <w:sz w:val="20"/>
          <w:szCs w:val="20"/>
        </w:rPr>
        <w:t>COSTA RICA</w:t>
      </w:r>
    </w:p>
    <w:p w:rsidR="002A630A" w:rsidRPr="00B715A5" w:rsidRDefault="002A630A" w:rsidP="00B715A5">
      <w:pPr>
        <w:pStyle w:val="Heading2"/>
        <w:spacing w:before="0" w:beforeAutospacing="0" w:after="0" w:afterAutospacing="0"/>
        <w:jc w:val="center"/>
        <w:rPr>
          <w:rFonts w:ascii="Verdana" w:hAnsi="Verdana"/>
          <w:b w:val="0"/>
          <w:bCs w:val="0"/>
          <w:sz w:val="20"/>
          <w:szCs w:val="20"/>
        </w:rPr>
      </w:pPr>
      <w:r w:rsidRPr="00B715A5">
        <w:rPr>
          <w:rFonts w:ascii="Verdana" w:hAnsi="Verdana"/>
          <w:b w:val="0"/>
          <w:bCs w:val="0"/>
          <w:sz w:val="20"/>
          <w:szCs w:val="20"/>
        </w:rPr>
        <w:t>November 1, 2010</w:t>
      </w:r>
    </w:p>
    <w:p w:rsidR="002A630A" w:rsidRPr="00B715A5" w:rsidRDefault="002A630A" w:rsidP="00B715A5">
      <w:pPr>
        <w:pStyle w:val="Heading2"/>
        <w:spacing w:before="0" w:beforeAutospacing="0" w:after="0" w:afterAutospacing="0"/>
        <w:rPr>
          <w:rFonts w:ascii="Verdana" w:hAnsi="Verdana"/>
          <w:b w:val="0"/>
          <w:bCs w:val="0"/>
          <w:sz w:val="20"/>
          <w:szCs w:val="20"/>
        </w:rPr>
      </w:pPr>
    </w:p>
    <w:p w:rsidR="002A630A" w:rsidRPr="00B715A5" w:rsidRDefault="002A630A" w:rsidP="00B715A5">
      <w:pPr>
        <w:pStyle w:val="Heading2"/>
        <w:spacing w:before="0" w:beforeAutospacing="0" w:after="0" w:afterAutospacing="0"/>
        <w:rPr>
          <w:rFonts w:ascii="Verdana" w:hAnsi="Verdana"/>
          <w:sz w:val="20"/>
          <w:szCs w:val="20"/>
          <w:lang w:val="es-AR"/>
        </w:rPr>
      </w:pPr>
    </w:p>
    <w:p w:rsidR="002A630A" w:rsidRPr="00B715A5" w:rsidRDefault="002A630A" w:rsidP="00B715A5">
      <w:pPr>
        <w:pStyle w:val="Heading2"/>
        <w:spacing w:before="0" w:beforeAutospacing="0" w:after="0" w:afterAutospacing="0"/>
        <w:ind w:firstLine="720"/>
        <w:rPr>
          <w:rFonts w:ascii="Verdana" w:hAnsi="Verdana"/>
          <w:sz w:val="20"/>
          <w:szCs w:val="20"/>
        </w:rPr>
      </w:pPr>
      <w:r w:rsidRPr="00B715A5">
        <w:rPr>
          <w:rFonts w:ascii="Verdana" w:hAnsi="Verdana"/>
          <w:sz w:val="20"/>
          <w:szCs w:val="20"/>
        </w:rPr>
        <w:t>I.</w:t>
      </w:r>
      <w:r w:rsidRPr="00B715A5">
        <w:rPr>
          <w:rFonts w:ascii="Verdana" w:hAnsi="Verdana"/>
          <w:bCs w:val="0"/>
          <w:sz w:val="20"/>
          <w:szCs w:val="20"/>
        </w:rPr>
        <w:tab/>
      </w:r>
      <w:r w:rsidRPr="00B715A5">
        <w:rPr>
          <w:rFonts w:ascii="Verdana" w:hAnsi="Verdana"/>
          <w:sz w:val="20"/>
          <w:szCs w:val="20"/>
        </w:rPr>
        <w:t>SUMMARY</w:t>
      </w:r>
    </w:p>
    <w:p w:rsidR="002A630A" w:rsidRPr="00B715A5" w:rsidRDefault="002A630A" w:rsidP="00B715A5">
      <w:pPr>
        <w:pStyle w:val="Heading2"/>
        <w:spacing w:before="0" w:beforeAutospacing="0" w:after="0" w:afterAutospacing="0"/>
        <w:ind w:firstLine="720"/>
        <w:rPr>
          <w:rFonts w:ascii="Verdana" w:hAnsi="Verdana"/>
          <w:b w:val="0"/>
          <w:sz w:val="20"/>
          <w:szCs w:val="20"/>
        </w:rPr>
      </w:pPr>
    </w:p>
    <w:p w:rsidR="002A630A" w:rsidRPr="00B715A5" w:rsidRDefault="002A630A" w:rsidP="00B715A5">
      <w:pPr>
        <w:numPr>
          <w:ilvl w:val="0"/>
          <w:numId w:val="22"/>
        </w:numPr>
        <w:suppressAutoHyphens/>
        <w:rPr>
          <w:szCs w:val="20"/>
          <w:lang w:val="en-US"/>
        </w:rPr>
      </w:pPr>
      <w:r w:rsidRPr="00B715A5">
        <w:rPr>
          <w:rFonts w:cs="Arial"/>
          <w:szCs w:val="20"/>
          <w:lang w:val="en-US"/>
        </w:rPr>
        <w:t>The Inter-American Commission on Human Rights (hereinafter “the Commission,” “the Inter-American Commission,” or “the IACHR”)</w:t>
      </w:r>
      <w:r w:rsidRPr="00B715A5">
        <w:rPr>
          <w:szCs w:val="20"/>
          <w:lang w:val="en-US"/>
        </w:rPr>
        <w:t xml:space="preserve"> received five petitions presented by Gerardo Trejos Salas (</w:t>
      </w:r>
      <w:r w:rsidRPr="00B715A5">
        <w:rPr>
          <w:rFonts w:cs="Arial"/>
          <w:szCs w:val="20"/>
          <w:lang w:val="en-US"/>
        </w:rPr>
        <w:t>hereinafter “the petitioner”</w:t>
      </w:r>
      <w:r w:rsidRPr="00B715A5">
        <w:rPr>
          <w:szCs w:val="20"/>
          <w:lang w:val="en-US"/>
        </w:rPr>
        <w:t>), on December 14, 2004, on behalf of Daniel Gerardo Gómez Murillo and Aída Marcela Garita Sánchez (P 1368-04); on December 27, 2004, on behalf of Roberto Pérez Gutiérrez and Silvia María Sosa Ulate (P 16-05); on June 28, 2006, on behalf of Luis Miguel Cruz Comparaz, Raquel Sanvicente Rojas, Randall Alberto Torres Quirós, and Geanina Isela Marín Rankin (P 678-06); on October 17, 2006, on behalf of Carlos Edgardo López Vega and Albania Elizondo Rodríguez (P 1191-06); and on May 3, 2007, on behalf of Miguel Acuña Cartín and Patricia Nú</w:t>
      </w:r>
      <w:r w:rsidRPr="00B715A5">
        <w:rPr>
          <w:rFonts w:cs="Arial"/>
          <w:szCs w:val="20"/>
          <w:lang w:val="en-US"/>
        </w:rPr>
        <w:t xml:space="preserve">ñez Marín (P 545-07) </w:t>
      </w:r>
      <w:r w:rsidRPr="00B715A5">
        <w:rPr>
          <w:szCs w:val="20"/>
          <w:lang w:val="en-US"/>
        </w:rPr>
        <w:t>(</w:t>
      </w:r>
      <w:r w:rsidRPr="00B715A5">
        <w:rPr>
          <w:rFonts w:cs="Arial"/>
          <w:szCs w:val="20"/>
          <w:lang w:val="en-US"/>
        </w:rPr>
        <w:t>hereinafter “the alleged victims</w:t>
      </w:r>
      <w:r w:rsidRPr="00B715A5">
        <w:rPr>
          <w:szCs w:val="20"/>
          <w:lang w:val="en-US"/>
        </w:rPr>
        <w:t>”). The petitions were lodged against the State of Costa Rica (</w:t>
      </w:r>
      <w:r w:rsidRPr="00B715A5">
        <w:rPr>
          <w:rFonts w:cs="Arial"/>
          <w:szCs w:val="20"/>
          <w:lang w:val="en-US"/>
        </w:rPr>
        <w:t>hereinafter “the State,” “the</w:t>
      </w:r>
      <w:r w:rsidRPr="00B715A5">
        <w:rPr>
          <w:szCs w:val="20"/>
          <w:lang w:val="en-US"/>
        </w:rPr>
        <w:t xml:space="preserve"> Costa Rican State,” or “Costa Rica”) with regard to the </w:t>
      </w:r>
      <w:r w:rsidRPr="00B715A5">
        <w:rPr>
          <w:spacing w:val="-2"/>
          <w:szCs w:val="20"/>
          <w:lang w:val="en-US"/>
        </w:rPr>
        <w:t xml:space="preserve">alleged violation of human rights arising from judgment 2000-02306, dated March 15, 2000, of the Constitutional Chamber of Costa Rica, which prohibited </w:t>
      </w:r>
      <w:r w:rsidRPr="00B715A5">
        <w:rPr>
          <w:i/>
          <w:spacing w:val="-2"/>
          <w:szCs w:val="20"/>
          <w:lang w:val="en-US"/>
        </w:rPr>
        <w:t>in vitro</w:t>
      </w:r>
      <w:r w:rsidRPr="00B715A5">
        <w:rPr>
          <w:spacing w:val="-2"/>
          <w:szCs w:val="20"/>
          <w:lang w:val="en-US"/>
        </w:rPr>
        <w:t xml:space="preserve"> fertilization by declaring Presidential Decree 24029-S of February 3, 1995, unconstitutional.</w:t>
      </w:r>
    </w:p>
    <w:p w:rsidR="002A630A" w:rsidRPr="00B715A5" w:rsidRDefault="002A630A" w:rsidP="00B715A5">
      <w:pPr>
        <w:suppressAutoHyphens/>
        <w:rPr>
          <w:szCs w:val="20"/>
          <w:lang w:val="en-US"/>
        </w:rPr>
      </w:pPr>
    </w:p>
    <w:p w:rsidR="002A630A" w:rsidRPr="00B715A5" w:rsidRDefault="002A630A" w:rsidP="00B715A5">
      <w:pPr>
        <w:pStyle w:val="Heading2"/>
        <w:numPr>
          <w:ilvl w:val="0"/>
          <w:numId w:val="22"/>
        </w:numPr>
        <w:tabs>
          <w:tab w:val="clear" w:pos="540"/>
        </w:tabs>
        <w:spacing w:before="0" w:beforeAutospacing="0" w:after="0" w:afterAutospacing="0"/>
        <w:jc w:val="both"/>
        <w:rPr>
          <w:rFonts w:ascii="Verdana" w:hAnsi="Verdana"/>
          <w:b w:val="0"/>
          <w:bCs w:val="0"/>
          <w:sz w:val="20"/>
          <w:szCs w:val="20"/>
        </w:rPr>
      </w:pPr>
      <w:r w:rsidRPr="00B715A5">
        <w:rPr>
          <w:rFonts w:ascii="Verdana" w:hAnsi="Verdana"/>
          <w:b w:val="0"/>
          <w:sz w:val="20"/>
          <w:szCs w:val="20"/>
        </w:rPr>
        <w:t xml:space="preserve">The petitioner alleges that the aforementioned decision prevented the alleged victims from availing themselves of in vitro fertilization and, therefore, the State is responsible for the violation of the rights enshrined in Articles 1 (obligation to respect rights), 2 (obligation to adopt measures under domestic law), 11 (right to privacy), 17.2 (right to raise a family), and 24 (right to equal protection before the law) of the American Convention on Human Rights (hereinafter “the Convention” or “the American Convention”).  In petitions 1191-06, 678-06, and 545-07, the petitioner also alleges that violations occurred in respect of Articles 4.1 (right to life), 5.2 (right to humane treatment), and 26 (progressive development of economic, social, and cultural rights) of the American Convention, as well as in respect of Articles 1, 2, 3, 10, 14.1.b, and 18 of the Additional Protocol to the American Convention in the area of Economic, Social, and Cultural Rights (hereinafter “Protocol of San Salvador”). As for the exhaustion of remedies under domestic jurisdiction, the petitioner maintains that domestic remedies were exhausted under Article </w:t>
      </w:r>
      <w:r w:rsidRPr="00B715A5">
        <w:rPr>
          <w:rFonts w:ascii="Verdana" w:hAnsi="Verdana"/>
          <w:b w:val="0"/>
          <w:bCs w:val="0"/>
          <w:sz w:val="20"/>
          <w:szCs w:val="20"/>
        </w:rPr>
        <w:t>46.1.a of the American Convention</w:t>
      </w:r>
      <w:r w:rsidRPr="00B715A5">
        <w:rPr>
          <w:rFonts w:ascii="Verdana" w:hAnsi="Verdana" w:cs="Arial"/>
          <w:b w:val="0"/>
          <w:bCs w:val="0"/>
          <w:sz w:val="20"/>
          <w:szCs w:val="20"/>
          <w:lang w:eastAsia="ja-JP"/>
        </w:rPr>
        <w:t>.</w:t>
      </w:r>
    </w:p>
    <w:p w:rsidR="002A630A" w:rsidRPr="00B715A5" w:rsidRDefault="002A630A" w:rsidP="00B715A5">
      <w:pPr>
        <w:pStyle w:val="Heading2"/>
        <w:spacing w:before="0" w:beforeAutospacing="0" w:after="0" w:afterAutospacing="0"/>
        <w:rPr>
          <w:rFonts w:ascii="Verdana" w:hAnsi="Verdana"/>
          <w:b w:val="0"/>
          <w:bCs w:val="0"/>
          <w:sz w:val="20"/>
          <w:szCs w:val="20"/>
        </w:rPr>
      </w:pPr>
    </w:p>
    <w:p w:rsidR="002A630A" w:rsidRPr="00B715A5" w:rsidRDefault="002A630A" w:rsidP="00B715A5">
      <w:pPr>
        <w:pStyle w:val="Heading2"/>
        <w:numPr>
          <w:ilvl w:val="0"/>
          <w:numId w:val="22"/>
        </w:numPr>
        <w:tabs>
          <w:tab w:val="clear" w:pos="540"/>
        </w:tabs>
        <w:spacing w:before="0" w:beforeAutospacing="0" w:after="0" w:afterAutospacing="0"/>
        <w:jc w:val="both"/>
        <w:rPr>
          <w:rFonts w:ascii="Verdana" w:hAnsi="Verdana"/>
          <w:b w:val="0"/>
          <w:bCs w:val="0"/>
          <w:sz w:val="20"/>
          <w:szCs w:val="20"/>
        </w:rPr>
      </w:pPr>
      <w:r w:rsidRPr="00B715A5">
        <w:rPr>
          <w:rFonts w:ascii="Verdana" w:hAnsi="Verdana"/>
          <w:b w:val="0"/>
          <w:bCs w:val="0"/>
          <w:sz w:val="20"/>
          <w:szCs w:val="20"/>
        </w:rPr>
        <w:t xml:space="preserve">According to the State, at the domestic level it was determined that the conditions under which in vitro fertilization was performed constituted a threat to human life, and this value and right take precedence over any other.  As for the admissibility requirements, the State maintains that the petitions should have been found inadmissible because the allegations do not describe violations of human rights guaranteed by the American Convention and because they were submitted after the applicable deadline, that is, beyond the period of six months stipulated in Article 46.1.b of the American Convention and paragraph 32.1 of the Rules of Procedure of the Inter-American Commission on Human Rights (hereinafter “the Rules of Procedure of the IACHR”). </w:t>
      </w:r>
    </w:p>
    <w:p w:rsidR="002A630A" w:rsidRPr="00B715A5" w:rsidRDefault="002A630A" w:rsidP="00B715A5">
      <w:pPr>
        <w:pStyle w:val="Heading2"/>
        <w:spacing w:before="0" w:beforeAutospacing="0" w:after="0" w:afterAutospacing="0"/>
        <w:rPr>
          <w:rFonts w:ascii="Verdana" w:hAnsi="Verdana"/>
          <w:b w:val="0"/>
          <w:bCs w:val="0"/>
          <w:sz w:val="20"/>
          <w:szCs w:val="20"/>
        </w:rPr>
      </w:pPr>
    </w:p>
    <w:p w:rsidR="002A630A" w:rsidRPr="00B715A5" w:rsidRDefault="002A630A" w:rsidP="00B715A5">
      <w:pPr>
        <w:pStyle w:val="Heading2"/>
        <w:numPr>
          <w:ilvl w:val="0"/>
          <w:numId w:val="22"/>
        </w:numPr>
        <w:tabs>
          <w:tab w:val="clear" w:pos="540"/>
        </w:tabs>
        <w:spacing w:before="0" w:beforeAutospacing="0" w:after="0" w:afterAutospacing="0"/>
        <w:jc w:val="both"/>
        <w:rPr>
          <w:rFonts w:ascii="Verdana" w:hAnsi="Verdana"/>
          <w:b w:val="0"/>
          <w:bCs w:val="0"/>
          <w:sz w:val="20"/>
          <w:szCs w:val="20"/>
        </w:rPr>
      </w:pPr>
      <w:r w:rsidRPr="00B715A5">
        <w:rPr>
          <w:rFonts w:ascii="Verdana" w:hAnsi="Verdana"/>
          <w:b w:val="0"/>
          <w:sz w:val="20"/>
          <w:szCs w:val="20"/>
        </w:rPr>
        <w:t xml:space="preserve">As provided in Article 29.d of the Rules of Procedure of the </w:t>
      </w:r>
      <w:r w:rsidRPr="00B715A5">
        <w:rPr>
          <w:rFonts w:ascii="Verdana" w:hAnsi="Verdana"/>
          <w:b w:val="0"/>
          <w:bCs w:val="0"/>
          <w:sz w:val="20"/>
          <w:szCs w:val="20"/>
        </w:rPr>
        <w:t>IACHR</w:t>
      </w:r>
      <w:r w:rsidRPr="00B715A5">
        <w:rPr>
          <w:rFonts w:ascii="Verdana" w:hAnsi="Verdana"/>
          <w:b w:val="0"/>
          <w:sz w:val="20"/>
          <w:szCs w:val="20"/>
        </w:rPr>
        <w:t xml:space="preserve">, petitions nos. </w:t>
      </w:r>
      <w:r w:rsidRPr="00B715A5">
        <w:rPr>
          <w:rFonts w:ascii="Verdana" w:hAnsi="Verdana"/>
          <w:b w:val="0"/>
          <w:bCs w:val="0"/>
          <w:sz w:val="20"/>
          <w:szCs w:val="20"/>
        </w:rPr>
        <w:t xml:space="preserve">16-05, 678-06, and 1191-06 were joined on March </w:t>
      </w:r>
      <w:r w:rsidRPr="00B715A5">
        <w:rPr>
          <w:rFonts w:ascii="Verdana" w:hAnsi="Verdana"/>
          <w:b w:val="0"/>
          <w:sz w:val="20"/>
          <w:szCs w:val="20"/>
        </w:rPr>
        <w:t>11, 2009, to petition 1368-04, because they deal with similar facts and allegations</w:t>
      </w:r>
      <w:r w:rsidRPr="00B715A5">
        <w:rPr>
          <w:rFonts w:ascii="Verdana" w:hAnsi="Verdana"/>
          <w:b w:val="0"/>
          <w:bCs w:val="0"/>
          <w:sz w:val="20"/>
          <w:szCs w:val="20"/>
        </w:rPr>
        <w:t>.  Petition</w:t>
      </w:r>
      <w:r w:rsidRPr="00B715A5">
        <w:rPr>
          <w:rFonts w:ascii="Verdana" w:hAnsi="Verdana" w:cs="Arial"/>
          <w:b w:val="0"/>
          <w:bCs w:val="0"/>
          <w:sz w:val="20"/>
          <w:szCs w:val="20"/>
        </w:rPr>
        <w:t xml:space="preserve"> 545-07 was joined thereto on April 22, 2010.</w:t>
      </w:r>
    </w:p>
    <w:p w:rsidR="002A630A" w:rsidRPr="00B715A5" w:rsidRDefault="002A630A" w:rsidP="00B715A5">
      <w:pPr>
        <w:pStyle w:val="Heading2"/>
        <w:spacing w:before="0" w:beforeAutospacing="0" w:after="0" w:afterAutospacing="0"/>
        <w:rPr>
          <w:rFonts w:ascii="Verdana" w:hAnsi="Verdana"/>
          <w:b w:val="0"/>
          <w:sz w:val="20"/>
          <w:szCs w:val="20"/>
        </w:rPr>
      </w:pPr>
    </w:p>
    <w:p w:rsidR="002A630A" w:rsidRPr="00B715A5" w:rsidRDefault="002A630A" w:rsidP="00B715A5">
      <w:pPr>
        <w:pStyle w:val="Heading2"/>
        <w:numPr>
          <w:ilvl w:val="0"/>
          <w:numId w:val="22"/>
        </w:numPr>
        <w:tabs>
          <w:tab w:val="clear" w:pos="540"/>
        </w:tabs>
        <w:spacing w:before="0" w:beforeAutospacing="0" w:after="0" w:afterAutospacing="0"/>
        <w:jc w:val="both"/>
        <w:rPr>
          <w:rFonts w:ascii="Verdana" w:hAnsi="Verdana"/>
          <w:b w:val="0"/>
          <w:bCs w:val="0"/>
          <w:sz w:val="20"/>
          <w:szCs w:val="20"/>
        </w:rPr>
      </w:pPr>
      <w:r w:rsidRPr="00B715A5">
        <w:rPr>
          <w:rFonts w:ascii="Verdana" w:hAnsi="Verdana"/>
          <w:b w:val="0"/>
          <w:sz w:val="20"/>
          <w:szCs w:val="20"/>
        </w:rPr>
        <w:t xml:space="preserve">Without prejudging the merits of the matter, the Commission concludes in this report that the petition is admissible, in the light of Articles 46 and 47 of the American Convention. Therefore, the Inter-American Commission has decided to notify the parties of its decision and proceed with the examination of the merits concerning the alleged violations of Articles 5.1, 11.2, 17.2, and 24 of the American Convention, in keeping, in each case, with the </w:t>
      </w:r>
      <w:r w:rsidRPr="00B715A5">
        <w:rPr>
          <w:rFonts w:ascii="Verdana" w:hAnsi="Verdana"/>
          <w:b w:val="0"/>
          <w:sz w:val="20"/>
          <w:szCs w:val="20"/>
        </w:rPr>
        <w:lastRenderedPageBreak/>
        <w:t>general obligation to respect and safeguard rights, as set forth in Articles 1.1 and 2 of that international instrument. As for Articles 4 and 26, also cited, the Commission found the petition inadmissible. The Commission has also decided to publish this decision and to include it in the Commission’s Annual Report to the OAS General Assembly.</w:t>
      </w:r>
    </w:p>
    <w:p w:rsidR="002A630A" w:rsidRPr="00B715A5" w:rsidRDefault="002A630A" w:rsidP="00B715A5">
      <w:pPr>
        <w:pStyle w:val="Heading2"/>
        <w:spacing w:before="0" w:beforeAutospacing="0" w:after="0" w:afterAutospacing="0"/>
        <w:rPr>
          <w:rFonts w:ascii="Verdana" w:hAnsi="Verdana"/>
          <w:b w:val="0"/>
          <w:sz w:val="20"/>
          <w:szCs w:val="20"/>
        </w:rPr>
      </w:pPr>
    </w:p>
    <w:p w:rsidR="002A630A" w:rsidRPr="00B715A5" w:rsidRDefault="002A630A" w:rsidP="00B715A5">
      <w:pPr>
        <w:pStyle w:val="Heading2"/>
        <w:keepNext/>
        <w:numPr>
          <w:ilvl w:val="1"/>
          <w:numId w:val="22"/>
        </w:numPr>
        <w:tabs>
          <w:tab w:val="clear" w:pos="2520"/>
        </w:tabs>
        <w:spacing w:before="0" w:beforeAutospacing="0" w:after="0" w:afterAutospacing="0"/>
        <w:ind w:left="1440"/>
        <w:jc w:val="both"/>
        <w:rPr>
          <w:rFonts w:ascii="Verdana" w:hAnsi="Verdana"/>
          <w:sz w:val="20"/>
          <w:szCs w:val="20"/>
        </w:rPr>
      </w:pPr>
      <w:r w:rsidRPr="00B715A5">
        <w:rPr>
          <w:rFonts w:ascii="Verdana" w:hAnsi="Verdana"/>
          <w:sz w:val="20"/>
          <w:szCs w:val="20"/>
        </w:rPr>
        <w:t>PROCEEDINGS BEFORE THE COMMISSION</w:t>
      </w:r>
    </w:p>
    <w:p w:rsidR="002A630A" w:rsidRPr="00B715A5" w:rsidRDefault="002A630A" w:rsidP="00B715A5">
      <w:pPr>
        <w:pStyle w:val="Heading2"/>
        <w:spacing w:before="0" w:beforeAutospacing="0" w:after="0" w:afterAutospacing="0"/>
        <w:rPr>
          <w:rFonts w:ascii="Verdana" w:hAnsi="Verdana"/>
          <w:b w:val="0"/>
          <w:bCs w:val="0"/>
          <w:sz w:val="20"/>
          <w:szCs w:val="20"/>
        </w:rPr>
      </w:pPr>
    </w:p>
    <w:p w:rsidR="002A630A" w:rsidRPr="00B715A5" w:rsidRDefault="002A630A" w:rsidP="00B715A5">
      <w:pPr>
        <w:ind w:left="708" w:firstLine="12"/>
        <w:rPr>
          <w:b/>
          <w:szCs w:val="20"/>
        </w:rPr>
      </w:pPr>
      <w:r w:rsidRPr="00B715A5">
        <w:rPr>
          <w:b/>
          <w:szCs w:val="20"/>
        </w:rPr>
        <w:t>1.</w:t>
      </w:r>
      <w:r w:rsidRPr="00B715A5">
        <w:rPr>
          <w:b/>
          <w:szCs w:val="20"/>
        </w:rPr>
        <w:tab/>
        <w:t>Petition 1368-04 (Daniel Gerardo Gómez Murillo and Aída Marcela Garita Sánchez)</w:t>
      </w:r>
    </w:p>
    <w:p w:rsidR="002A630A" w:rsidRPr="00B715A5" w:rsidRDefault="002A630A" w:rsidP="00B715A5">
      <w:pPr>
        <w:rPr>
          <w:szCs w:val="20"/>
        </w:rPr>
      </w:pPr>
    </w:p>
    <w:p w:rsidR="002A630A" w:rsidRPr="00B715A5" w:rsidRDefault="002A630A" w:rsidP="00B715A5">
      <w:pPr>
        <w:pStyle w:val="Heading2"/>
        <w:numPr>
          <w:ilvl w:val="0"/>
          <w:numId w:val="22"/>
        </w:numPr>
        <w:tabs>
          <w:tab w:val="clear" w:pos="540"/>
        </w:tabs>
        <w:spacing w:before="0" w:beforeAutospacing="0" w:after="0" w:afterAutospacing="0"/>
        <w:jc w:val="both"/>
        <w:rPr>
          <w:rFonts w:ascii="Verdana" w:hAnsi="Verdana"/>
          <w:b w:val="0"/>
          <w:sz w:val="20"/>
          <w:szCs w:val="20"/>
        </w:rPr>
      </w:pPr>
      <w:r w:rsidRPr="00B715A5">
        <w:rPr>
          <w:rFonts w:ascii="Verdana" w:hAnsi="Verdana"/>
          <w:b w:val="0"/>
          <w:sz w:val="20"/>
          <w:szCs w:val="20"/>
        </w:rPr>
        <w:t>On December 15, 2004, la Commission received the petition and assigned it no. 1368-04. On July 17, 2006, the IACHR transmitted the pertinent sections of the petition to the Costa Rican State, requesting that within a period of two months it submit its reply, as provided in Article 30.2 of the Rules of Procedure of the IACHR.  The State’s reply was received on August 5, 2005.</w:t>
      </w:r>
    </w:p>
    <w:p w:rsidR="002A630A" w:rsidRPr="00B715A5" w:rsidRDefault="002A630A" w:rsidP="00B715A5">
      <w:pPr>
        <w:rPr>
          <w:szCs w:val="20"/>
        </w:rPr>
      </w:pPr>
    </w:p>
    <w:p w:rsidR="002A630A" w:rsidRPr="00B715A5" w:rsidRDefault="002A630A" w:rsidP="00B715A5">
      <w:pPr>
        <w:numPr>
          <w:ilvl w:val="0"/>
          <w:numId w:val="22"/>
        </w:numPr>
        <w:rPr>
          <w:szCs w:val="20"/>
        </w:rPr>
      </w:pPr>
      <w:r w:rsidRPr="00B715A5">
        <w:rPr>
          <w:spacing w:val="-2"/>
          <w:szCs w:val="20"/>
          <w:lang w:val="en-US"/>
        </w:rPr>
        <w:t xml:space="preserve">In addition, the IACHR received information from the petitioners on the following dates: June 19, 2006, July 7, 2006,  September 6, 2006, October 19, 2006, December 15, 2006, </w:t>
      </w:r>
      <w:r w:rsidRPr="00B715A5">
        <w:rPr>
          <w:szCs w:val="20"/>
          <w:lang w:val="en-US"/>
        </w:rPr>
        <w:t xml:space="preserve">January 19, 2007, </w:t>
      </w:r>
      <w:r w:rsidRPr="00B715A5">
        <w:rPr>
          <w:bCs/>
          <w:szCs w:val="20"/>
          <w:lang w:val="en-US"/>
        </w:rPr>
        <w:t xml:space="preserve">February 12, 2007, February 26, 2007, May 3, 2007, January 11, 2008, March 31, 2008, April 1, 2008, August 7, 2008, August 8, 2008, August 21, 2008, </w:t>
      </w:r>
      <w:r w:rsidRPr="00B715A5">
        <w:rPr>
          <w:szCs w:val="20"/>
          <w:lang w:val="en-US"/>
        </w:rPr>
        <w:t xml:space="preserve">August 30, 2008, </w:t>
      </w:r>
      <w:r w:rsidRPr="00B715A5">
        <w:rPr>
          <w:bCs/>
          <w:szCs w:val="20"/>
          <w:lang w:val="en-US"/>
        </w:rPr>
        <w:t xml:space="preserve">October 28, 2008, </w:t>
      </w:r>
      <w:r w:rsidRPr="00B715A5">
        <w:rPr>
          <w:szCs w:val="20"/>
          <w:lang w:val="en-US"/>
        </w:rPr>
        <w:t xml:space="preserve">November 24, 2008, </w:t>
      </w:r>
      <w:r w:rsidRPr="00B715A5">
        <w:rPr>
          <w:bCs/>
          <w:szCs w:val="20"/>
          <w:lang w:val="en-US"/>
        </w:rPr>
        <w:t>January 20, 2009, August 5, 2009, August 19, 2009, December 18, 2009, January 3, 2010, February 13, 16, and 17, 2010, and February 22, 2010</w:t>
      </w:r>
      <w:r w:rsidRPr="00B715A5">
        <w:rPr>
          <w:szCs w:val="20"/>
          <w:lang w:val="en-US"/>
        </w:rPr>
        <w:t>.</w:t>
      </w:r>
      <w:r w:rsidRPr="00B715A5">
        <w:rPr>
          <w:spacing w:val="-2"/>
          <w:szCs w:val="20"/>
          <w:lang w:val="en-US"/>
        </w:rPr>
        <w:t xml:space="preserve"> </w:t>
      </w:r>
      <w:r w:rsidRPr="00B715A5">
        <w:rPr>
          <w:szCs w:val="20"/>
        </w:rPr>
        <w:t>Those communications were duly transmitted to the State.</w:t>
      </w:r>
    </w:p>
    <w:p w:rsidR="002A630A" w:rsidRPr="00B715A5" w:rsidRDefault="002A630A" w:rsidP="00B715A5">
      <w:pPr>
        <w:rPr>
          <w:szCs w:val="20"/>
        </w:rPr>
      </w:pPr>
    </w:p>
    <w:p w:rsidR="002A630A" w:rsidRPr="00B715A5" w:rsidRDefault="002A630A" w:rsidP="00B715A5">
      <w:pPr>
        <w:numPr>
          <w:ilvl w:val="0"/>
          <w:numId w:val="22"/>
        </w:numPr>
        <w:rPr>
          <w:szCs w:val="20"/>
        </w:rPr>
      </w:pPr>
      <w:r w:rsidRPr="00B715A5">
        <w:rPr>
          <w:spacing w:val="-2"/>
          <w:szCs w:val="20"/>
          <w:lang w:val="en-US"/>
        </w:rPr>
        <w:t xml:space="preserve">Further, the IACHR received observations from the State on the following dates: November </w:t>
      </w:r>
      <w:r w:rsidRPr="00B715A5">
        <w:rPr>
          <w:bCs/>
          <w:szCs w:val="20"/>
          <w:lang w:val="en-US"/>
        </w:rPr>
        <w:t xml:space="preserve">20, 2006, March 23, 2007, February 27, 2007, May 17, 2007, </w:t>
      </w:r>
      <w:r w:rsidRPr="00B715A5">
        <w:rPr>
          <w:spacing w:val="-2"/>
          <w:szCs w:val="20"/>
          <w:lang w:val="en-US"/>
        </w:rPr>
        <w:t xml:space="preserve">July 18, 2007, October 16, 2008, October 17, 2008, </w:t>
      </w:r>
      <w:r w:rsidRPr="00B715A5">
        <w:rPr>
          <w:bCs/>
          <w:szCs w:val="20"/>
          <w:lang w:val="en-US"/>
        </w:rPr>
        <w:t>October 29, 2008,</w:t>
      </w:r>
      <w:r w:rsidRPr="00B715A5">
        <w:rPr>
          <w:spacing w:val="-2"/>
          <w:szCs w:val="20"/>
          <w:lang w:val="en-US"/>
        </w:rPr>
        <w:t xml:space="preserve"> November 24, 2008, January </w:t>
      </w:r>
      <w:r w:rsidRPr="00B715A5">
        <w:rPr>
          <w:bCs/>
          <w:szCs w:val="20"/>
          <w:lang w:val="en-US"/>
        </w:rPr>
        <w:t>30, 2009, March 13, 2009, May 26, 2009, June 3, 2009, and January 22, 2010</w:t>
      </w:r>
      <w:r w:rsidRPr="00B715A5">
        <w:rPr>
          <w:spacing w:val="-2"/>
          <w:szCs w:val="20"/>
          <w:lang w:val="en-US"/>
        </w:rPr>
        <w:t xml:space="preserve">. </w:t>
      </w:r>
      <w:r w:rsidRPr="00B715A5">
        <w:rPr>
          <w:szCs w:val="20"/>
        </w:rPr>
        <w:t xml:space="preserve">Those communications were duly transmitted to the petitioners. </w:t>
      </w:r>
    </w:p>
    <w:p w:rsidR="002A630A" w:rsidRPr="00B715A5" w:rsidRDefault="002A630A" w:rsidP="00B715A5">
      <w:pPr>
        <w:rPr>
          <w:szCs w:val="20"/>
        </w:rPr>
      </w:pPr>
    </w:p>
    <w:p w:rsidR="002A630A" w:rsidRPr="00B715A5" w:rsidRDefault="002A630A" w:rsidP="00B715A5">
      <w:pPr>
        <w:numPr>
          <w:ilvl w:val="0"/>
          <w:numId w:val="22"/>
        </w:numPr>
        <w:rPr>
          <w:szCs w:val="20"/>
          <w:lang w:val="en-US"/>
        </w:rPr>
      </w:pPr>
      <w:r w:rsidRPr="00B715A5">
        <w:rPr>
          <w:szCs w:val="20"/>
          <w:lang w:val="en-US"/>
        </w:rPr>
        <w:t>On October 28, 2008, during the 133</w:t>
      </w:r>
      <w:r w:rsidRPr="00B715A5">
        <w:rPr>
          <w:szCs w:val="20"/>
          <w:vertAlign w:val="superscript"/>
          <w:lang w:val="en-US"/>
        </w:rPr>
        <w:t>rd</w:t>
      </w:r>
      <w:r w:rsidRPr="00B715A5">
        <w:rPr>
          <w:szCs w:val="20"/>
          <w:lang w:val="en-US"/>
        </w:rPr>
        <w:t xml:space="preserve"> regular period of sessions of the IACHR, a public hearing was held on petitions 1368-04, 16-05, 678-06, and 1196-06 and on case 12.361. Case 12.361 pertains to the same allegations as does this petition, that is, the alleged violation of human rights that arose from judgment </w:t>
      </w:r>
      <w:r w:rsidRPr="00B715A5">
        <w:rPr>
          <w:spacing w:val="-2"/>
          <w:szCs w:val="20"/>
          <w:lang w:val="en-US"/>
        </w:rPr>
        <w:t xml:space="preserve">02306 of March 15, 2000, issued by the Constitutional Chamber of Costa Rica when it declared unconstitutional Presidential Decree 24029-S of February 3, 1995, which regulated the practice of in vitro fertilization in Costa Rica. </w:t>
      </w:r>
      <w:r w:rsidRPr="00B715A5">
        <w:rPr>
          <w:szCs w:val="20"/>
          <w:lang w:val="en-US"/>
        </w:rPr>
        <w:t>The hearing was attended by the alleged victims and representatives of the Costa Rican State and included testimony from a victim in case 12.361.</w:t>
      </w:r>
    </w:p>
    <w:p w:rsidR="002A630A" w:rsidRPr="00B715A5" w:rsidRDefault="002A630A" w:rsidP="00B715A5">
      <w:pPr>
        <w:rPr>
          <w:szCs w:val="20"/>
          <w:lang w:val="en-US"/>
        </w:rPr>
      </w:pPr>
    </w:p>
    <w:p w:rsidR="002A630A" w:rsidRPr="00B715A5" w:rsidRDefault="002A630A" w:rsidP="00B715A5">
      <w:pPr>
        <w:numPr>
          <w:ilvl w:val="0"/>
          <w:numId w:val="26"/>
        </w:numPr>
        <w:rPr>
          <w:b/>
          <w:szCs w:val="20"/>
          <w:lang w:val="es-ES_tradnl"/>
        </w:rPr>
      </w:pPr>
      <w:r w:rsidRPr="00B715A5">
        <w:rPr>
          <w:b/>
          <w:szCs w:val="20"/>
          <w:lang w:val="es-ES_tradnl"/>
        </w:rPr>
        <w:t xml:space="preserve">Petition 16-05 </w:t>
      </w:r>
      <w:r w:rsidRPr="00B715A5">
        <w:rPr>
          <w:b/>
          <w:bCs/>
          <w:szCs w:val="20"/>
          <w:lang w:val="es-ES_tradnl"/>
        </w:rPr>
        <w:t>(Roberto Pérez Gutiérrez and Silvia María Sosa)</w:t>
      </w:r>
    </w:p>
    <w:p w:rsidR="002A630A" w:rsidRPr="00B715A5" w:rsidRDefault="002A630A" w:rsidP="00B715A5">
      <w:pPr>
        <w:rPr>
          <w:b/>
          <w:szCs w:val="20"/>
          <w:lang w:val="es-ES_tradnl"/>
        </w:rPr>
      </w:pPr>
    </w:p>
    <w:p w:rsidR="002A630A" w:rsidRPr="00B715A5" w:rsidRDefault="002A630A" w:rsidP="00B715A5">
      <w:pPr>
        <w:pStyle w:val="Heading2"/>
        <w:numPr>
          <w:ilvl w:val="0"/>
          <w:numId w:val="22"/>
        </w:numPr>
        <w:tabs>
          <w:tab w:val="clear" w:pos="540"/>
        </w:tabs>
        <w:spacing w:before="0" w:beforeAutospacing="0" w:after="0" w:afterAutospacing="0"/>
        <w:jc w:val="both"/>
        <w:rPr>
          <w:rFonts w:ascii="Verdana" w:hAnsi="Verdana"/>
          <w:b w:val="0"/>
          <w:sz w:val="20"/>
          <w:szCs w:val="20"/>
        </w:rPr>
      </w:pPr>
      <w:r w:rsidRPr="00B715A5">
        <w:rPr>
          <w:rFonts w:ascii="Verdana" w:hAnsi="Verdana"/>
          <w:b w:val="0"/>
          <w:sz w:val="20"/>
          <w:szCs w:val="20"/>
        </w:rPr>
        <w:t xml:space="preserve">On December 21, 2004, the Commission received the petition and assigned it no. 16-05. On July 17, 2006, the IACHR transmitted the relevant sections of the petition to the Costa Rican State, requesting that within a period of two months it present its reply, as provided in Article 30.2 of the Rules of Procedure of the IACHR. </w:t>
      </w:r>
    </w:p>
    <w:p w:rsidR="002A630A" w:rsidRPr="00B715A5" w:rsidRDefault="002A630A" w:rsidP="00B715A5">
      <w:pPr>
        <w:rPr>
          <w:szCs w:val="20"/>
          <w:lang w:val="en-US"/>
        </w:rPr>
      </w:pPr>
    </w:p>
    <w:p w:rsidR="002A630A" w:rsidRPr="00B715A5" w:rsidRDefault="002A630A" w:rsidP="00B715A5">
      <w:pPr>
        <w:numPr>
          <w:ilvl w:val="0"/>
          <w:numId w:val="22"/>
        </w:numPr>
        <w:rPr>
          <w:szCs w:val="20"/>
        </w:rPr>
      </w:pPr>
      <w:r w:rsidRPr="00B715A5">
        <w:rPr>
          <w:spacing w:val="-2"/>
          <w:szCs w:val="20"/>
          <w:lang w:val="en-US"/>
        </w:rPr>
        <w:t xml:space="preserve">In addition, the IACHR received information from the petitioners on the following dates: June 19, 2006, September 6, 2006, October 19, 2006, December 15, 2006, January </w:t>
      </w:r>
      <w:r w:rsidRPr="00B715A5">
        <w:rPr>
          <w:szCs w:val="20"/>
          <w:lang w:val="en-US"/>
        </w:rPr>
        <w:t xml:space="preserve">19, 2007, </w:t>
      </w:r>
      <w:r w:rsidRPr="00B715A5">
        <w:rPr>
          <w:bCs/>
          <w:szCs w:val="20"/>
          <w:lang w:val="en-US"/>
        </w:rPr>
        <w:t xml:space="preserve">February 12, 2007, February 26, 2007, May 3, 2007, January 11, 2008, March 31, 2008, April 1, 2008, August 7, 2008, August 8, 2008, August 21, 2008, August </w:t>
      </w:r>
      <w:r w:rsidRPr="00B715A5">
        <w:rPr>
          <w:szCs w:val="20"/>
          <w:lang w:val="en-US"/>
        </w:rPr>
        <w:t xml:space="preserve">30, 2008, October </w:t>
      </w:r>
      <w:r w:rsidRPr="00B715A5">
        <w:rPr>
          <w:spacing w:val="-2"/>
          <w:szCs w:val="20"/>
          <w:lang w:val="en-US"/>
        </w:rPr>
        <w:t xml:space="preserve">1, 2008, </w:t>
      </w:r>
      <w:r w:rsidRPr="00B715A5">
        <w:rPr>
          <w:bCs/>
          <w:szCs w:val="20"/>
          <w:lang w:val="en-US"/>
        </w:rPr>
        <w:t xml:space="preserve">October 28, 2008, </w:t>
      </w:r>
      <w:r w:rsidRPr="00B715A5">
        <w:rPr>
          <w:szCs w:val="20"/>
          <w:lang w:val="en-US"/>
        </w:rPr>
        <w:t>November 24, 2008, and January 20, 2009</w:t>
      </w:r>
      <w:r w:rsidRPr="00B715A5">
        <w:rPr>
          <w:spacing w:val="-2"/>
          <w:szCs w:val="20"/>
          <w:lang w:val="en-US"/>
        </w:rPr>
        <w:t xml:space="preserve">. </w:t>
      </w:r>
      <w:r w:rsidRPr="00B715A5">
        <w:rPr>
          <w:szCs w:val="20"/>
        </w:rPr>
        <w:t>Those communications were duly transmitted to the State.</w:t>
      </w:r>
    </w:p>
    <w:p w:rsidR="002A630A" w:rsidRPr="00B715A5" w:rsidRDefault="002A630A" w:rsidP="00B715A5">
      <w:pPr>
        <w:rPr>
          <w:szCs w:val="20"/>
        </w:rPr>
      </w:pPr>
    </w:p>
    <w:p w:rsidR="002A630A" w:rsidRPr="00B715A5" w:rsidRDefault="002A630A" w:rsidP="00B715A5">
      <w:pPr>
        <w:numPr>
          <w:ilvl w:val="0"/>
          <w:numId w:val="22"/>
        </w:numPr>
        <w:rPr>
          <w:szCs w:val="20"/>
        </w:rPr>
      </w:pPr>
      <w:r w:rsidRPr="00B715A5">
        <w:rPr>
          <w:spacing w:val="-2"/>
          <w:szCs w:val="20"/>
          <w:lang w:val="en-US"/>
        </w:rPr>
        <w:t xml:space="preserve">Moreover, the IACHR received observations from the State on the following dates: </w:t>
      </w:r>
      <w:r w:rsidRPr="00B715A5">
        <w:rPr>
          <w:bCs/>
          <w:szCs w:val="20"/>
          <w:lang w:val="en-US"/>
        </w:rPr>
        <w:t xml:space="preserve">November 20, 2006, March 23, 2007, February 27, 2007, May 17, 2007, </w:t>
      </w:r>
      <w:r w:rsidRPr="00B715A5">
        <w:rPr>
          <w:spacing w:val="-2"/>
          <w:szCs w:val="20"/>
          <w:lang w:val="en-US"/>
        </w:rPr>
        <w:t xml:space="preserve">October 16, 2008, </w:t>
      </w:r>
      <w:r w:rsidRPr="00B715A5">
        <w:rPr>
          <w:bCs/>
          <w:szCs w:val="20"/>
          <w:lang w:val="en-US"/>
        </w:rPr>
        <w:t>October 29, 2008,</w:t>
      </w:r>
      <w:r w:rsidRPr="00B715A5">
        <w:rPr>
          <w:spacing w:val="-2"/>
          <w:szCs w:val="20"/>
          <w:lang w:val="en-US"/>
        </w:rPr>
        <w:t xml:space="preserve"> November 24, 2008, and </w:t>
      </w:r>
      <w:r w:rsidRPr="00B715A5">
        <w:rPr>
          <w:bCs/>
          <w:szCs w:val="20"/>
          <w:lang w:val="en-US"/>
        </w:rPr>
        <w:t>January 30, 2009</w:t>
      </w:r>
      <w:r w:rsidRPr="00B715A5">
        <w:rPr>
          <w:spacing w:val="-2"/>
          <w:szCs w:val="20"/>
          <w:lang w:val="en-US"/>
        </w:rPr>
        <w:t xml:space="preserve">. </w:t>
      </w:r>
      <w:r w:rsidRPr="00B715A5">
        <w:rPr>
          <w:szCs w:val="20"/>
        </w:rPr>
        <w:t xml:space="preserve">Those communications were duly transmitted to the petitioners. </w:t>
      </w:r>
    </w:p>
    <w:p w:rsidR="002A630A" w:rsidRPr="00B715A5" w:rsidRDefault="002A630A" w:rsidP="00B715A5">
      <w:pPr>
        <w:rPr>
          <w:szCs w:val="20"/>
        </w:rPr>
      </w:pPr>
    </w:p>
    <w:p w:rsidR="002A630A" w:rsidRPr="00B715A5" w:rsidRDefault="002A630A" w:rsidP="00B715A5">
      <w:pPr>
        <w:numPr>
          <w:ilvl w:val="0"/>
          <w:numId w:val="22"/>
        </w:numPr>
        <w:rPr>
          <w:szCs w:val="20"/>
          <w:lang w:val="en-US"/>
        </w:rPr>
      </w:pPr>
      <w:r w:rsidRPr="00B715A5">
        <w:rPr>
          <w:szCs w:val="20"/>
          <w:lang w:val="en-US"/>
        </w:rPr>
        <w:lastRenderedPageBreak/>
        <w:t>On October 28, 2008, during the 133rd regular period of sessions of the IACHR, a public hearing was held on petitions 1368-04, 16-05, 678-06, and 1196-06 and on case 12.361</w:t>
      </w:r>
      <w:r w:rsidRPr="00B715A5">
        <w:rPr>
          <w:rStyle w:val="FootnoteReference"/>
          <w:szCs w:val="20"/>
        </w:rPr>
        <w:footnoteReference w:id="1"/>
      </w:r>
      <w:r w:rsidRPr="00B715A5">
        <w:rPr>
          <w:szCs w:val="20"/>
          <w:lang w:val="en-US"/>
        </w:rPr>
        <w:t>. The hearing was attended by the alleged victims and representatives of the Costa Rican State and included testimony from a victim in case 12.361.</w:t>
      </w:r>
    </w:p>
    <w:p w:rsidR="002A630A" w:rsidRPr="00B715A5" w:rsidRDefault="002A630A" w:rsidP="00B715A5">
      <w:pPr>
        <w:rPr>
          <w:szCs w:val="20"/>
          <w:lang w:val="en-US"/>
        </w:rPr>
      </w:pPr>
    </w:p>
    <w:p w:rsidR="002A630A" w:rsidRPr="00B715A5" w:rsidRDefault="002A630A" w:rsidP="00B715A5">
      <w:pPr>
        <w:numPr>
          <w:ilvl w:val="0"/>
          <w:numId w:val="26"/>
        </w:numPr>
        <w:rPr>
          <w:b/>
          <w:szCs w:val="20"/>
        </w:rPr>
      </w:pPr>
      <w:r w:rsidRPr="00B715A5">
        <w:rPr>
          <w:b/>
          <w:szCs w:val="20"/>
        </w:rPr>
        <w:t>Petition 678-06 (Luis M. Cruz Comparaz, Raquel Sanvicente et al.)</w:t>
      </w:r>
    </w:p>
    <w:p w:rsidR="002A630A" w:rsidRPr="00B715A5" w:rsidRDefault="002A630A" w:rsidP="00B715A5">
      <w:pPr>
        <w:ind w:left="720"/>
        <w:rPr>
          <w:b/>
          <w:szCs w:val="20"/>
        </w:rPr>
      </w:pPr>
    </w:p>
    <w:p w:rsidR="002A630A" w:rsidRPr="00B715A5" w:rsidRDefault="002A630A" w:rsidP="00B715A5">
      <w:pPr>
        <w:pStyle w:val="Heading2"/>
        <w:numPr>
          <w:ilvl w:val="0"/>
          <w:numId w:val="22"/>
        </w:numPr>
        <w:tabs>
          <w:tab w:val="clear" w:pos="540"/>
        </w:tabs>
        <w:spacing w:before="0" w:beforeAutospacing="0" w:after="0" w:afterAutospacing="0"/>
        <w:jc w:val="both"/>
        <w:rPr>
          <w:rFonts w:ascii="Verdana" w:hAnsi="Verdana"/>
          <w:b w:val="0"/>
          <w:sz w:val="20"/>
          <w:szCs w:val="20"/>
        </w:rPr>
      </w:pPr>
      <w:r w:rsidRPr="00B715A5">
        <w:rPr>
          <w:rFonts w:ascii="Verdana" w:hAnsi="Verdana"/>
          <w:b w:val="0"/>
          <w:sz w:val="20"/>
          <w:szCs w:val="20"/>
        </w:rPr>
        <w:t xml:space="preserve">On June 28, 2006, the Commission received the petition and assigned it no. 678-06. On July 17, 2006, the IACHR transmitted the relevant sections of the petition to the Costa Rican State, requesting that within a period of two months it present its reply, as provided in Article 30.2 of the Rules of Procedure of the IACHR. The State’s reply was received on May 14, 2007.  In its reply the State indicated that it had sent its observations in a communication dated November 16, 2006, when it presented observations on case 12.361. The IACHR notes that case 12.361, which has reached the merits phase, pertains to the same events as does this petition.  </w:t>
      </w:r>
    </w:p>
    <w:p w:rsidR="002A630A" w:rsidRPr="00B715A5" w:rsidRDefault="002A630A" w:rsidP="00B715A5">
      <w:pPr>
        <w:rPr>
          <w:szCs w:val="20"/>
          <w:lang w:val="en-US"/>
        </w:rPr>
      </w:pPr>
    </w:p>
    <w:p w:rsidR="002A630A" w:rsidRPr="00B715A5" w:rsidRDefault="002A630A" w:rsidP="00B715A5">
      <w:pPr>
        <w:numPr>
          <w:ilvl w:val="0"/>
          <w:numId w:val="22"/>
        </w:numPr>
        <w:rPr>
          <w:szCs w:val="20"/>
        </w:rPr>
      </w:pPr>
      <w:r w:rsidRPr="00B715A5">
        <w:rPr>
          <w:spacing w:val="-2"/>
          <w:szCs w:val="20"/>
          <w:lang w:val="en-US"/>
        </w:rPr>
        <w:t xml:space="preserve">In addition, the IACHR received information from the petitioners on the following dates: September 6, 2006, October 19, 2006, December 15, 2006, </w:t>
      </w:r>
      <w:r w:rsidRPr="00B715A5">
        <w:rPr>
          <w:szCs w:val="20"/>
          <w:lang w:val="en-US"/>
        </w:rPr>
        <w:t xml:space="preserve">January 19, 2007, </w:t>
      </w:r>
      <w:r w:rsidRPr="00B715A5">
        <w:rPr>
          <w:bCs/>
          <w:szCs w:val="20"/>
          <w:lang w:val="en-US"/>
        </w:rPr>
        <w:t xml:space="preserve">February 12, 2007, February 26, 2007, May 3, 2007, January 11, 2008, March 31, 2008, April 1, 2008, August 7, 2008, August 8, 2008, August 21, 2008, </w:t>
      </w:r>
      <w:r w:rsidRPr="00B715A5">
        <w:rPr>
          <w:szCs w:val="20"/>
          <w:lang w:val="en-US"/>
        </w:rPr>
        <w:t xml:space="preserve">August 30, 2008, </w:t>
      </w:r>
      <w:r w:rsidRPr="00B715A5">
        <w:rPr>
          <w:spacing w:val="-2"/>
          <w:szCs w:val="20"/>
          <w:lang w:val="en-US"/>
        </w:rPr>
        <w:t xml:space="preserve">October 1, 2008, </w:t>
      </w:r>
      <w:r w:rsidRPr="00B715A5">
        <w:rPr>
          <w:bCs/>
          <w:szCs w:val="20"/>
          <w:lang w:val="en-US"/>
        </w:rPr>
        <w:t xml:space="preserve">October 28, 2008, </w:t>
      </w:r>
      <w:r w:rsidRPr="00B715A5">
        <w:rPr>
          <w:szCs w:val="20"/>
          <w:lang w:val="en-US"/>
        </w:rPr>
        <w:t xml:space="preserve">November 24, 2008, and </w:t>
      </w:r>
      <w:r w:rsidRPr="00B715A5">
        <w:rPr>
          <w:bCs/>
          <w:szCs w:val="20"/>
          <w:lang w:val="en-US"/>
        </w:rPr>
        <w:t>January 20, 2009</w:t>
      </w:r>
      <w:r w:rsidRPr="00B715A5">
        <w:rPr>
          <w:spacing w:val="-2"/>
          <w:szCs w:val="20"/>
          <w:lang w:val="en-US"/>
        </w:rPr>
        <w:t xml:space="preserve">. </w:t>
      </w:r>
      <w:r w:rsidRPr="00B715A5">
        <w:rPr>
          <w:szCs w:val="20"/>
        </w:rPr>
        <w:t>Those communications were duly transmitted to the State.</w:t>
      </w:r>
    </w:p>
    <w:p w:rsidR="002A630A" w:rsidRPr="00B715A5" w:rsidRDefault="002A630A" w:rsidP="00B715A5">
      <w:pPr>
        <w:rPr>
          <w:spacing w:val="-2"/>
          <w:szCs w:val="20"/>
        </w:rPr>
      </w:pPr>
    </w:p>
    <w:p w:rsidR="002A630A" w:rsidRPr="00B715A5" w:rsidRDefault="002A630A" w:rsidP="00B715A5">
      <w:pPr>
        <w:numPr>
          <w:ilvl w:val="0"/>
          <w:numId w:val="22"/>
        </w:numPr>
        <w:rPr>
          <w:szCs w:val="20"/>
        </w:rPr>
      </w:pPr>
      <w:r w:rsidRPr="00B715A5">
        <w:rPr>
          <w:spacing w:val="-2"/>
          <w:szCs w:val="20"/>
          <w:lang w:val="en-US"/>
        </w:rPr>
        <w:t xml:space="preserve">Moreover, the IACHR received observations from the State on the following dates: </w:t>
      </w:r>
      <w:r w:rsidRPr="00B715A5">
        <w:rPr>
          <w:bCs/>
          <w:szCs w:val="20"/>
          <w:lang w:val="en-US"/>
        </w:rPr>
        <w:t xml:space="preserve">November 20, 2006, March 23, 2007, February 27, 2007, May 17, 2007, </w:t>
      </w:r>
      <w:r w:rsidRPr="00B715A5">
        <w:rPr>
          <w:spacing w:val="-2"/>
          <w:szCs w:val="20"/>
          <w:lang w:val="en-US"/>
        </w:rPr>
        <w:t xml:space="preserve">July 18, 2007, October 16, 2008, </w:t>
      </w:r>
      <w:r w:rsidRPr="00B715A5">
        <w:rPr>
          <w:bCs/>
          <w:szCs w:val="20"/>
          <w:lang w:val="en-US"/>
        </w:rPr>
        <w:t xml:space="preserve">October 29, 2008, </w:t>
      </w:r>
      <w:r w:rsidRPr="00B715A5">
        <w:rPr>
          <w:spacing w:val="-2"/>
          <w:szCs w:val="20"/>
          <w:lang w:val="en-US"/>
        </w:rPr>
        <w:t xml:space="preserve">November 24, 2008, and </w:t>
      </w:r>
      <w:r w:rsidRPr="00B715A5">
        <w:rPr>
          <w:bCs/>
          <w:szCs w:val="20"/>
          <w:lang w:val="en-US"/>
        </w:rPr>
        <w:t>January 30, 2009</w:t>
      </w:r>
      <w:r w:rsidRPr="00B715A5">
        <w:rPr>
          <w:spacing w:val="-2"/>
          <w:szCs w:val="20"/>
          <w:lang w:val="en-US"/>
        </w:rPr>
        <w:t xml:space="preserve">. </w:t>
      </w:r>
      <w:r w:rsidRPr="00B715A5">
        <w:rPr>
          <w:szCs w:val="20"/>
        </w:rPr>
        <w:t>Those communications were duly transmitted to the petitioners.</w:t>
      </w:r>
    </w:p>
    <w:p w:rsidR="002A630A" w:rsidRPr="00B715A5" w:rsidRDefault="002A630A" w:rsidP="00B715A5">
      <w:pPr>
        <w:rPr>
          <w:szCs w:val="20"/>
        </w:rPr>
      </w:pPr>
    </w:p>
    <w:p w:rsidR="002A630A" w:rsidRPr="00B715A5" w:rsidRDefault="002A630A" w:rsidP="00B715A5">
      <w:pPr>
        <w:numPr>
          <w:ilvl w:val="0"/>
          <w:numId w:val="22"/>
        </w:numPr>
        <w:rPr>
          <w:szCs w:val="20"/>
          <w:lang w:val="en-US"/>
        </w:rPr>
      </w:pPr>
      <w:r w:rsidRPr="00B715A5">
        <w:rPr>
          <w:szCs w:val="20"/>
          <w:lang w:val="en-US"/>
        </w:rPr>
        <w:t>On October 28, 2008, during the 133</w:t>
      </w:r>
      <w:r w:rsidRPr="00B715A5">
        <w:rPr>
          <w:szCs w:val="20"/>
          <w:vertAlign w:val="superscript"/>
          <w:lang w:val="en-US"/>
        </w:rPr>
        <w:t>rd</w:t>
      </w:r>
      <w:r w:rsidRPr="00B715A5">
        <w:rPr>
          <w:szCs w:val="20"/>
          <w:lang w:val="en-US"/>
        </w:rPr>
        <w:t xml:space="preserve"> regular period of sessions of the IACHR, a public hearing was held on petitions 1368-04, 16-05, 678-06, and 1196-06 and on case 12.361</w:t>
      </w:r>
      <w:r w:rsidRPr="00B715A5">
        <w:rPr>
          <w:rStyle w:val="FootnoteReference"/>
          <w:szCs w:val="20"/>
        </w:rPr>
        <w:footnoteReference w:id="2"/>
      </w:r>
      <w:r w:rsidRPr="00B715A5">
        <w:rPr>
          <w:szCs w:val="20"/>
          <w:lang w:val="en-US"/>
        </w:rPr>
        <w:t>. The hearing was attended by the alleged victims and representatives of the Costa Rican State and included testimony from a victim in case 12.361.</w:t>
      </w:r>
    </w:p>
    <w:p w:rsidR="002A630A" w:rsidRPr="00B715A5" w:rsidRDefault="002A630A" w:rsidP="00B715A5">
      <w:pPr>
        <w:rPr>
          <w:szCs w:val="20"/>
          <w:lang w:val="en-US"/>
        </w:rPr>
      </w:pPr>
    </w:p>
    <w:p w:rsidR="002A630A" w:rsidRPr="00B715A5" w:rsidRDefault="002A630A" w:rsidP="00B715A5">
      <w:pPr>
        <w:ind w:left="720"/>
        <w:rPr>
          <w:b/>
          <w:szCs w:val="20"/>
        </w:rPr>
      </w:pPr>
      <w:r w:rsidRPr="00B715A5">
        <w:rPr>
          <w:b/>
          <w:szCs w:val="20"/>
        </w:rPr>
        <w:t xml:space="preserve">4. </w:t>
      </w:r>
      <w:r w:rsidRPr="00B715A5">
        <w:rPr>
          <w:b/>
          <w:szCs w:val="20"/>
        </w:rPr>
        <w:tab/>
        <w:t>Petition 1191-06 (Carlos E. López and Albania Elizondo Rodríguez)</w:t>
      </w:r>
    </w:p>
    <w:p w:rsidR="002A630A" w:rsidRPr="00B715A5" w:rsidRDefault="002A630A" w:rsidP="00B715A5">
      <w:pPr>
        <w:pStyle w:val="Heading2"/>
        <w:spacing w:before="0" w:beforeAutospacing="0" w:after="0" w:afterAutospacing="0"/>
        <w:ind w:firstLine="720"/>
        <w:rPr>
          <w:rFonts w:ascii="Verdana" w:hAnsi="Verdana"/>
          <w:bCs w:val="0"/>
          <w:sz w:val="20"/>
          <w:szCs w:val="20"/>
        </w:rPr>
      </w:pPr>
    </w:p>
    <w:p w:rsidR="002A630A" w:rsidRPr="00B715A5" w:rsidRDefault="002A630A" w:rsidP="00B715A5">
      <w:pPr>
        <w:pStyle w:val="Heading2"/>
        <w:numPr>
          <w:ilvl w:val="0"/>
          <w:numId w:val="22"/>
        </w:numPr>
        <w:tabs>
          <w:tab w:val="clear" w:pos="540"/>
        </w:tabs>
        <w:spacing w:before="0" w:beforeAutospacing="0" w:after="0" w:afterAutospacing="0"/>
        <w:jc w:val="both"/>
        <w:rPr>
          <w:rFonts w:ascii="Verdana" w:hAnsi="Verdana"/>
          <w:b w:val="0"/>
          <w:sz w:val="20"/>
          <w:szCs w:val="20"/>
        </w:rPr>
      </w:pPr>
      <w:r w:rsidRPr="00B715A5">
        <w:rPr>
          <w:rFonts w:ascii="Verdana" w:hAnsi="Verdana"/>
          <w:b w:val="0"/>
          <w:sz w:val="20"/>
          <w:szCs w:val="20"/>
        </w:rPr>
        <w:t>On October 11, 2006, the Commission received the petition and assigned it no. 1191-06. On February 12, 2007, the IACHR transmitted the relevant sections of the petition to the Costa Rican State, requesting that within a period of two months it present its reply, as provided in Article 30.2 of the Rules of Procedure of the IACHR. The State’s reply was received on April 11, 2007.</w:t>
      </w:r>
    </w:p>
    <w:p w:rsidR="002A630A" w:rsidRPr="00B715A5" w:rsidRDefault="002A630A" w:rsidP="00B715A5">
      <w:pPr>
        <w:rPr>
          <w:spacing w:val="-2"/>
          <w:szCs w:val="20"/>
        </w:rPr>
      </w:pPr>
    </w:p>
    <w:p w:rsidR="002A630A" w:rsidRPr="00B715A5" w:rsidRDefault="002A630A" w:rsidP="00B715A5">
      <w:pPr>
        <w:numPr>
          <w:ilvl w:val="0"/>
          <w:numId w:val="22"/>
        </w:numPr>
        <w:rPr>
          <w:szCs w:val="20"/>
        </w:rPr>
      </w:pPr>
      <w:r w:rsidRPr="00B715A5">
        <w:rPr>
          <w:spacing w:val="-2"/>
          <w:szCs w:val="20"/>
          <w:lang w:val="en-US"/>
        </w:rPr>
        <w:t xml:space="preserve">In addition, the IACHR received information from the petitioners on the following dates: </w:t>
      </w:r>
      <w:r w:rsidRPr="00B715A5">
        <w:rPr>
          <w:szCs w:val="20"/>
          <w:lang w:val="en-US"/>
        </w:rPr>
        <w:t xml:space="preserve">January 19, 2007, February 26, 2007, May 3, 2007, January 11, 2008, March 31, 2008, April 1, 2008, August 7, 2008, August 8, 2008, August 21, 2008, August 30, 2008, October 28, 2008, November 24, 2008, October 28, 2008, and January 20, 2009. </w:t>
      </w:r>
      <w:r w:rsidRPr="00B715A5">
        <w:rPr>
          <w:szCs w:val="20"/>
        </w:rPr>
        <w:t>Those communications were duly transmitted to the State.</w:t>
      </w:r>
    </w:p>
    <w:p w:rsidR="002A630A" w:rsidRPr="00B715A5" w:rsidRDefault="002A630A" w:rsidP="00B715A5">
      <w:pPr>
        <w:rPr>
          <w:szCs w:val="20"/>
        </w:rPr>
      </w:pPr>
    </w:p>
    <w:p w:rsidR="002A630A" w:rsidRPr="00B715A5" w:rsidRDefault="002A630A" w:rsidP="00B715A5">
      <w:pPr>
        <w:numPr>
          <w:ilvl w:val="0"/>
          <w:numId w:val="22"/>
        </w:numPr>
        <w:rPr>
          <w:szCs w:val="20"/>
        </w:rPr>
      </w:pPr>
      <w:r w:rsidRPr="00B715A5">
        <w:rPr>
          <w:szCs w:val="20"/>
          <w:lang w:val="en-US"/>
        </w:rPr>
        <w:t xml:space="preserve">Moreover, the IACHR received observations from the State on the following dates: November 20, 2006, March 23, 2007, February 27, 2007, May 17, 2007, October 16, 2008, October 29, 2008, November 24, 2008, and January 30, 2009. </w:t>
      </w:r>
      <w:r w:rsidRPr="00B715A5">
        <w:rPr>
          <w:szCs w:val="20"/>
        </w:rPr>
        <w:t>Those communications were duly transmitted to the petitioners.</w:t>
      </w:r>
    </w:p>
    <w:p w:rsidR="002A630A" w:rsidRPr="00B715A5" w:rsidRDefault="002A630A" w:rsidP="00B715A5">
      <w:pPr>
        <w:rPr>
          <w:szCs w:val="20"/>
        </w:rPr>
      </w:pPr>
    </w:p>
    <w:p w:rsidR="002A630A" w:rsidRPr="00B715A5" w:rsidRDefault="002A630A" w:rsidP="00B715A5">
      <w:pPr>
        <w:numPr>
          <w:ilvl w:val="0"/>
          <w:numId w:val="22"/>
        </w:numPr>
        <w:rPr>
          <w:szCs w:val="20"/>
          <w:lang w:val="en-US"/>
        </w:rPr>
      </w:pPr>
      <w:r w:rsidRPr="00B715A5">
        <w:rPr>
          <w:szCs w:val="20"/>
          <w:lang w:val="en-US"/>
        </w:rPr>
        <w:t>On October 28, 2008, during the 133rd regular period of sessions of the IACHR, a public hearing was held on petitions 1368-04, 16-05, 678-06, and 1196-06 and on case 12.361</w:t>
      </w:r>
      <w:r w:rsidRPr="00B715A5">
        <w:rPr>
          <w:rStyle w:val="FootnoteReference"/>
          <w:szCs w:val="20"/>
        </w:rPr>
        <w:footnoteReference w:id="3"/>
      </w:r>
      <w:r w:rsidRPr="00B715A5">
        <w:rPr>
          <w:szCs w:val="20"/>
          <w:lang w:val="en-US"/>
        </w:rPr>
        <w:t xml:space="preserve">. The hearing was attended by the alleged victims and representatives of the Costa Rican State and included testimony from a victim in case 12.361. </w:t>
      </w:r>
    </w:p>
    <w:p w:rsidR="002A630A" w:rsidRPr="00B715A5" w:rsidRDefault="002A630A" w:rsidP="00B715A5">
      <w:pPr>
        <w:rPr>
          <w:szCs w:val="20"/>
          <w:lang w:val="en-US"/>
        </w:rPr>
      </w:pPr>
    </w:p>
    <w:p w:rsidR="002A630A" w:rsidRPr="00B715A5" w:rsidRDefault="002A630A" w:rsidP="00B715A5">
      <w:pPr>
        <w:numPr>
          <w:ilvl w:val="0"/>
          <w:numId w:val="22"/>
        </w:numPr>
        <w:rPr>
          <w:szCs w:val="20"/>
          <w:lang w:val="en-US"/>
        </w:rPr>
      </w:pPr>
      <w:r w:rsidRPr="00B715A5">
        <w:rPr>
          <w:szCs w:val="20"/>
          <w:lang w:val="en-US"/>
        </w:rPr>
        <w:t>On March 11, 2009, petitions nos. 16-05, 678-06, and 1191-06 were joined to petition 1368-04.</w:t>
      </w:r>
    </w:p>
    <w:p w:rsidR="002A630A" w:rsidRPr="00B715A5" w:rsidRDefault="002A630A" w:rsidP="00B715A5">
      <w:pPr>
        <w:rPr>
          <w:szCs w:val="20"/>
          <w:lang w:val="en-US"/>
        </w:rPr>
      </w:pPr>
    </w:p>
    <w:p w:rsidR="002A630A" w:rsidRPr="00B715A5" w:rsidRDefault="002A630A" w:rsidP="00B715A5">
      <w:pPr>
        <w:numPr>
          <w:ilvl w:val="0"/>
          <w:numId w:val="26"/>
        </w:numPr>
        <w:rPr>
          <w:b/>
          <w:szCs w:val="20"/>
          <w:lang w:val="es-ES_tradnl"/>
        </w:rPr>
      </w:pPr>
      <w:r w:rsidRPr="00B715A5">
        <w:rPr>
          <w:b/>
          <w:szCs w:val="20"/>
          <w:lang w:val="es-ES_tradnl"/>
        </w:rPr>
        <w:t>Petition 545-07 (Miguel Acuña Cartín and Patricia Núñez Marín)</w:t>
      </w:r>
    </w:p>
    <w:p w:rsidR="002A630A" w:rsidRPr="00B715A5" w:rsidRDefault="002A630A" w:rsidP="00B715A5">
      <w:pPr>
        <w:ind w:left="720"/>
        <w:rPr>
          <w:szCs w:val="20"/>
          <w:lang w:val="es-ES_tradnl"/>
        </w:rPr>
      </w:pPr>
    </w:p>
    <w:p w:rsidR="002A630A" w:rsidRPr="00B715A5" w:rsidRDefault="002A630A" w:rsidP="00B715A5">
      <w:pPr>
        <w:numPr>
          <w:ilvl w:val="0"/>
          <w:numId w:val="22"/>
        </w:numPr>
        <w:rPr>
          <w:szCs w:val="20"/>
          <w:lang w:val="en-US"/>
        </w:rPr>
      </w:pPr>
      <w:r w:rsidRPr="00B715A5">
        <w:rPr>
          <w:szCs w:val="20"/>
          <w:lang w:val="en-US"/>
        </w:rPr>
        <w:t>On May 3, 2007, the Commission received the petition and assigned it no. 545-07. On May 30, 2007, the IACHR transmitted the relevant sections of the petition to the Costa Rican State, requesting that within a period of two months it present its reply, as provided in Article 30.2 of the Rules of Procedure of the IACHR. The State’s reply was received on July 31, 2007. That communication was duly transmitted to the petitioners.</w:t>
      </w:r>
    </w:p>
    <w:p w:rsidR="002A630A" w:rsidRPr="00B715A5" w:rsidRDefault="002A630A" w:rsidP="00B715A5">
      <w:pPr>
        <w:rPr>
          <w:szCs w:val="20"/>
          <w:lang w:val="en-US"/>
        </w:rPr>
      </w:pPr>
    </w:p>
    <w:p w:rsidR="002A630A" w:rsidRPr="00B715A5" w:rsidRDefault="002A630A" w:rsidP="00B715A5">
      <w:pPr>
        <w:numPr>
          <w:ilvl w:val="0"/>
          <w:numId w:val="22"/>
        </w:numPr>
        <w:rPr>
          <w:szCs w:val="20"/>
          <w:lang w:val="en-US"/>
        </w:rPr>
      </w:pPr>
      <w:r w:rsidRPr="00B715A5">
        <w:rPr>
          <w:szCs w:val="20"/>
          <w:lang w:val="en-US"/>
        </w:rPr>
        <w:t>In addition, on October 28, 2008, during the 133</w:t>
      </w:r>
      <w:r w:rsidRPr="00B715A5">
        <w:rPr>
          <w:szCs w:val="20"/>
          <w:vertAlign w:val="superscript"/>
          <w:lang w:val="en-US"/>
        </w:rPr>
        <w:t>rd</w:t>
      </w:r>
      <w:r w:rsidRPr="00B715A5">
        <w:rPr>
          <w:szCs w:val="20"/>
          <w:lang w:val="en-US"/>
        </w:rPr>
        <w:t xml:space="preserve"> regular period of sessions of the IACHR, a public hearing was held on petition 1368-04 and on case 12.361, which is in the merits phase. The hearing was attended by the representative of the alleged victims and representatives of the Costa Rican State and included testimony from an alleged victim in case 12.361, Andrea Bianchi Bruno. </w:t>
      </w:r>
    </w:p>
    <w:p w:rsidR="002A630A" w:rsidRPr="00B715A5" w:rsidRDefault="002A630A" w:rsidP="00B715A5">
      <w:pPr>
        <w:rPr>
          <w:szCs w:val="20"/>
          <w:lang w:val="en-US"/>
        </w:rPr>
      </w:pPr>
    </w:p>
    <w:p w:rsidR="002A630A" w:rsidRPr="00B715A5" w:rsidRDefault="002A630A" w:rsidP="00B715A5">
      <w:pPr>
        <w:pStyle w:val="Heading2"/>
        <w:numPr>
          <w:ilvl w:val="0"/>
          <w:numId w:val="22"/>
        </w:numPr>
        <w:tabs>
          <w:tab w:val="clear" w:pos="540"/>
        </w:tabs>
        <w:spacing w:before="0" w:beforeAutospacing="0" w:after="0" w:afterAutospacing="0"/>
        <w:jc w:val="both"/>
        <w:rPr>
          <w:rFonts w:ascii="Verdana" w:hAnsi="Verdana"/>
          <w:b w:val="0"/>
          <w:bCs w:val="0"/>
          <w:sz w:val="20"/>
          <w:szCs w:val="20"/>
        </w:rPr>
      </w:pPr>
      <w:r w:rsidRPr="00B715A5">
        <w:rPr>
          <w:rFonts w:ascii="Verdana" w:hAnsi="Verdana"/>
          <w:b w:val="0"/>
          <w:sz w:val="20"/>
          <w:szCs w:val="20"/>
        </w:rPr>
        <w:t xml:space="preserve">As provided in Article 29.d of the Rules of Procedure of the IACHR, </w:t>
      </w:r>
      <w:r w:rsidRPr="00B715A5">
        <w:rPr>
          <w:rFonts w:ascii="Verdana" w:hAnsi="Verdana"/>
          <w:b w:val="0"/>
          <w:bCs w:val="0"/>
          <w:sz w:val="20"/>
          <w:szCs w:val="20"/>
        </w:rPr>
        <w:t>petition</w:t>
      </w:r>
      <w:r w:rsidRPr="00B715A5">
        <w:rPr>
          <w:rFonts w:ascii="Verdana" w:hAnsi="Verdana" w:cs="Arial"/>
          <w:b w:val="0"/>
          <w:bCs w:val="0"/>
          <w:sz w:val="20"/>
          <w:szCs w:val="20"/>
        </w:rPr>
        <w:t xml:space="preserve"> 545-07 was joined to petition 1368-04.</w:t>
      </w:r>
    </w:p>
    <w:p w:rsidR="002A630A" w:rsidRPr="00B715A5" w:rsidRDefault="002A630A" w:rsidP="00B715A5">
      <w:pPr>
        <w:rPr>
          <w:szCs w:val="20"/>
          <w:lang w:val="en-US"/>
        </w:rPr>
      </w:pPr>
    </w:p>
    <w:p w:rsidR="002A630A" w:rsidRPr="00B715A5" w:rsidRDefault="002A630A" w:rsidP="00B715A5">
      <w:pPr>
        <w:ind w:left="1440" w:hanging="720"/>
        <w:rPr>
          <w:b/>
          <w:szCs w:val="20"/>
          <w:lang w:val="en-US"/>
        </w:rPr>
      </w:pPr>
      <w:r w:rsidRPr="00B715A5">
        <w:rPr>
          <w:b/>
          <w:szCs w:val="20"/>
          <w:lang w:val="en-US"/>
        </w:rPr>
        <w:t>III.</w:t>
      </w:r>
      <w:r w:rsidRPr="00B715A5">
        <w:rPr>
          <w:b/>
          <w:szCs w:val="20"/>
          <w:lang w:val="en-US"/>
        </w:rPr>
        <w:tab/>
        <w:t>POSITIONS OF THE PARTIES</w:t>
      </w:r>
    </w:p>
    <w:p w:rsidR="002A630A" w:rsidRPr="00B715A5" w:rsidRDefault="002A630A" w:rsidP="00B715A5">
      <w:pPr>
        <w:rPr>
          <w:b/>
          <w:bCs/>
          <w:szCs w:val="20"/>
          <w:lang w:val="en-US"/>
        </w:rPr>
      </w:pPr>
    </w:p>
    <w:p w:rsidR="002A630A" w:rsidRPr="00B715A5" w:rsidRDefault="002A630A" w:rsidP="00B715A5">
      <w:pPr>
        <w:rPr>
          <w:b/>
          <w:bCs/>
          <w:szCs w:val="20"/>
        </w:rPr>
      </w:pPr>
      <w:r w:rsidRPr="00B715A5">
        <w:rPr>
          <w:b/>
          <w:bCs/>
          <w:szCs w:val="20"/>
          <w:lang w:val="en-US"/>
        </w:rPr>
        <w:tab/>
        <w:t xml:space="preserve">A. </w:t>
      </w:r>
      <w:r w:rsidRPr="00B715A5">
        <w:rPr>
          <w:b/>
          <w:bCs/>
          <w:szCs w:val="20"/>
          <w:lang w:val="en-US"/>
        </w:rPr>
        <w:tab/>
      </w:r>
      <w:r w:rsidRPr="00B715A5">
        <w:rPr>
          <w:b/>
          <w:bCs/>
          <w:szCs w:val="20"/>
        </w:rPr>
        <w:t>The petitioner</w:t>
      </w:r>
    </w:p>
    <w:p w:rsidR="002A630A" w:rsidRPr="00B715A5" w:rsidRDefault="002A630A" w:rsidP="00B715A5">
      <w:pPr>
        <w:rPr>
          <w:bCs/>
          <w:szCs w:val="20"/>
        </w:rPr>
      </w:pPr>
    </w:p>
    <w:p w:rsidR="002A630A" w:rsidRPr="00B715A5" w:rsidRDefault="002A630A" w:rsidP="00B715A5">
      <w:pPr>
        <w:pStyle w:val="Heading2"/>
        <w:numPr>
          <w:ilvl w:val="0"/>
          <w:numId w:val="22"/>
        </w:numPr>
        <w:tabs>
          <w:tab w:val="clear" w:pos="540"/>
        </w:tabs>
        <w:spacing w:before="0" w:beforeAutospacing="0" w:after="0" w:afterAutospacing="0"/>
        <w:jc w:val="both"/>
        <w:rPr>
          <w:rFonts w:ascii="Verdana" w:hAnsi="Verdana"/>
          <w:b w:val="0"/>
          <w:sz w:val="20"/>
          <w:szCs w:val="20"/>
        </w:rPr>
      </w:pPr>
      <w:r w:rsidRPr="00B715A5">
        <w:rPr>
          <w:rFonts w:ascii="Verdana" w:hAnsi="Verdana"/>
          <w:b w:val="0"/>
          <w:sz w:val="20"/>
          <w:szCs w:val="20"/>
        </w:rPr>
        <w:t>The petitioner alleges violations of the human rights of: Aída Marcela Garita Sánchez, teacher, Daniel Gerardo Gómez Murillo, chemist, Luis Miguel Cruz Comparaz, tour guide, Raquel Sanvicente Rojas, housewife, Randall Alberto Torres, graduate in English, Geanina Isela Marín Rankin, graduate in electronic engineering, Carlos Edgardo López Vega, small business owner, Albania Elizondo Rodríguez, small business owner, Roberto Pérez Gutiérrez, management assistant, Silvia María Sosa Ulate, manager, Miguel Acuña Cartín, and Patricia Núñez Marín.</w:t>
      </w:r>
    </w:p>
    <w:p w:rsidR="002A630A" w:rsidRPr="00B715A5" w:rsidRDefault="002A630A" w:rsidP="00B715A5">
      <w:pPr>
        <w:pStyle w:val="Heading2"/>
        <w:spacing w:before="0" w:beforeAutospacing="0" w:after="0" w:afterAutospacing="0"/>
        <w:rPr>
          <w:rFonts w:ascii="Verdana" w:hAnsi="Verdana"/>
          <w:b w:val="0"/>
          <w:sz w:val="20"/>
          <w:szCs w:val="20"/>
        </w:rPr>
      </w:pPr>
    </w:p>
    <w:p w:rsidR="002A630A" w:rsidRPr="00B715A5" w:rsidRDefault="002A630A" w:rsidP="00B715A5">
      <w:pPr>
        <w:pStyle w:val="Heading2"/>
        <w:numPr>
          <w:ilvl w:val="0"/>
          <w:numId w:val="22"/>
        </w:numPr>
        <w:tabs>
          <w:tab w:val="clear" w:pos="540"/>
        </w:tabs>
        <w:spacing w:before="0" w:beforeAutospacing="0" w:after="0" w:afterAutospacing="0"/>
        <w:jc w:val="both"/>
        <w:rPr>
          <w:rFonts w:ascii="Verdana" w:hAnsi="Verdana"/>
          <w:b w:val="0"/>
          <w:sz w:val="20"/>
          <w:szCs w:val="20"/>
        </w:rPr>
      </w:pPr>
      <w:r w:rsidRPr="00B715A5">
        <w:rPr>
          <w:rFonts w:ascii="Verdana" w:hAnsi="Verdana"/>
          <w:b w:val="0"/>
          <w:sz w:val="20"/>
          <w:szCs w:val="20"/>
        </w:rPr>
        <w:t>The petitioner alleges that the human rights violation stems from judgment 2000-02306, issued by the Constitutional Chamber of the Supreme Court of Justice of Costa Rica on March 15, 2000, which prohibited the practice of in vitro fertilization by declaring unconstitutional Presidential Decree No. 24029-S of February 3, 1995, which regulated that practice.</w:t>
      </w:r>
    </w:p>
    <w:p w:rsidR="002A630A" w:rsidRPr="00B715A5" w:rsidRDefault="002A630A" w:rsidP="00B715A5">
      <w:pPr>
        <w:pStyle w:val="Heading2"/>
        <w:spacing w:before="0" w:beforeAutospacing="0" w:after="0" w:afterAutospacing="0"/>
        <w:rPr>
          <w:rFonts w:ascii="Verdana" w:hAnsi="Verdana"/>
          <w:b w:val="0"/>
          <w:sz w:val="20"/>
          <w:szCs w:val="20"/>
        </w:rPr>
      </w:pPr>
    </w:p>
    <w:p w:rsidR="002A630A" w:rsidRPr="00B715A5" w:rsidRDefault="002A630A" w:rsidP="00B715A5">
      <w:pPr>
        <w:pStyle w:val="Heading2"/>
        <w:numPr>
          <w:ilvl w:val="0"/>
          <w:numId w:val="22"/>
        </w:numPr>
        <w:tabs>
          <w:tab w:val="clear" w:pos="540"/>
        </w:tabs>
        <w:spacing w:before="0" w:beforeAutospacing="0" w:after="0" w:afterAutospacing="0"/>
        <w:jc w:val="both"/>
        <w:rPr>
          <w:rFonts w:ascii="Verdana" w:hAnsi="Verdana"/>
          <w:b w:val="0"/>
          <w:sz w:val="20"/>
          <w:szCs w:val="20"/>
        </w:rPr>
      </w:pPr>
      <w:r w:rsidRPr="00B715A5">
        <w:rPr>
          <w:rFonts w:ascii="Verdana" w:hAnsi="Verdana"/>
          <w:b w:val="0"/>
          <w:sz w:val="20"/>
          <w:szCs w:val="20"/>
        </w:rPr>
        <w:t>According to the petitioner, the alleged victims attempted to have biological children and, when they were unable, sought medical assistance and were diagnosed with infertility. After attempting various methods of assisted reproduction, all unsuccessful, the only viable option they had for procreating biologically was in vitro fertilization.  According to testimony recorded in the case file, the alleged victims were diagnosed with infertility after the year 2000.</w:t>
      </w:r>
      <w:r w:rsidRPr="00B715A5">
        <w:rPr>
          <w:rFonts w:ascii="Verdana" w:hAnsi="Verdana" w:cs="Arial"/>
          <w:b w:val="0"/>
          <w:sz w:val="20"/>
          <w:szCs w:val="20"/>
        </w:rPr>
        <w:t xml:space="preserve"> </w:t>
      </w:r>
    </w:p>
    <w:p w:rsidR="002A630A" w:rsidRPr="00B715A5" w:rsidRDefault="002A630A" w:rsidP="00B715A5">
      <w:pPr>
        <w:pStyle w:val="Heading2"/>
        <w:spacing w:before="0" w:beforeAutospacing="0" w:after="0" w:afterAutospacing="0"/>
        <w:rPr>
          <w:rFonts w:ascii="Verdana" w:hAnsi="Verdana" w:cs="Arial"/>
          <w:b w:val="0"/>
          <w:sz w:val="20"/>
          <w:szCs w:val="20"/>
          <w:lang w:eastAsia="ja-JP"/>
        </w:rPr>
      </w:pPr>
    </w:p>
    <w:p w:rsidR="002A630A" w:rsidRPr="00B715A5" w:rsidRDefault="002A630A" w:rsidP="00B715A5">
      <w:pPr>
        <w:pStyle w:val="Heading2"/>
        <w:numPr>
          <w:ilvl w:val="0"/>
          <w:numId w:val="22"/>
        </w:numPr>
        <w:tabs>
          <w:tab w:val="clear" w:pos="540"/>
        </w:tabs>
        <w:spacing w:before="0" w:beforeAutospacing="0" w:after="0" w:afterAutospacing="0"/>
        <w:jc w:val="both"/>
        <w:rPr>
          <w:rFonts w:ascii="Verdana" w:hAnsi="Verdana"/>
          <w:b w:val="0"/>
          <w:sz w:val="20"/>
          <w:szCs w:val="20"/>
        </w:rPr>
      </w:pPr>
      <w:r w:rsidRPr="00B715A5">
        <w:rPr>
          <w:rFonts w:ascii="Verdana" w:hAnsi="Verdana" w:cs="Arial"/>
          <w:b w:val="0"/>
          <w:sz w:val="20"/>
          <w:szCs w:val="20"/>
          <w:lang w:eastAsia="ja-JP"/>
        </w:rPr>
        <w:t>The petitioner says this procedure is used for women with blocked fallopian tubes, who are missing their fallopian tubes, or who have bilateral and irreversible injury to those tubes, whether caused by infection or trauma, and which cannot be surgically repaired.  It is also used in cases of unexplained infertility, endometriosis, immunological infertility, male infertility, and other conditions.</w:t>
      </w:r>
    </w:p>
    <w:p w:rsidR="002A630A" w:rsidRPr="00B715A5" w:rsidRDefault="002A630A" w:rsidP="00B715A5">
      <w:pPr>
        <w:pStyle w:val="Heading2"/>
        <w:spacing w:before="0" w:beforeAutospacing="0" w:after="0" w:afterAutospacing="0"/>
        <w:rPr>
          <w:rFonts w:ascii="Verdana" w:hAnsi="Verdana"/>
          <w:b w:val="0"/>
          <w:sz w:val="20"/>
          <w:szCs w:val="20"/>
        </w:rPr>
      </w:pPr>
    </w:p>
    <w:p w:rsidR="002A630A" w:rsidRPr="00B715A5" w:rsidRDefault="002A630A" w:rsidP="00B715A5">
      <w:pPr>
        <w:pStyle w:val="Heading2"/>
        <w:numPr>
          <w:ilvl w:val="0"/>
          <w:numId w:val="22"/>
        </w:numPr>
        <w:tabs>
          <w:tab w:val="clear" w:pos="540"/>
        </w:tabs>
        <w:spacing w:before="0" w:beforeAutospacing="0" w:after="0" w:afterAutospacing="0"/>
        <w:jc w:val="both"/>
        <w:rPr>
          <w:rFonts w:ascii="Verdana" w:hAnsi="Verdana"/>
          <w:b w:val="0"/>
          <w:sz w:val="20"/>
          <w:szCs w:val="20"/>
        </w:rPr>
      </w:pPr>
      <w:r w:rsidRPr="00B715A5">
        <w:rPr>
          <w:rFonts w:ascii="Verdana" w:hAnsi="Verdana"/>
          <w:b w:val="0"/>
          <w:sz w:val="20"/>
          <w:szCs w:val="20"/>
        </w:rPr>
        <w:t>The petitioner adds that assisted reproduction techniques, among them in vitro fertilization, include a broad range of procedures designed to increase the probability of conception by placing the egg and sperm in proximity using various techniques</w:t>
      </w:r>
      <w:r w:rsidRPr="00B715A5">
        <w:rPr>
          <w:rFonts w:ascii="Verdana" w:hAnsi="Verdana" w:cs="Arial"/>
          <w:b w:val="0"/>
          <w:sz w:val="20"/>
          <w:szCs w:val="20"/>
          <w:lang w:eastAsia="ja-JP"/>
        </w:rPr>
        <w:t xml:space="preserve">. He states that this medical procedure promotes the legitimate exercise of the rights to human reproduction and health, which are implicitly recognized in the American Convention, since they stem from the right to freedom and self-determination, the right to personal and family privacy, the right </w:t>
      </w:r>
      <w:r w:rsidRPr="00B715A5">
        <w:rPr>
          <w:rFonts w:ascii="Verdana" w:hAnsi="Verdana" w:cs="Arial"/>
          <w:b w:val="0"/>
          <w:sz w:val="20"/>
          <w:szCs w:val="20"/>
          <w:lang w:eastAsia="ja-JP"/>
        </w:rPr>
        <w:lastRenderedPageBreak/>
        <w:t>to raise a family, and the right to equality expressly recognized in the American Convention and in other international human rights instruments.</w:t>
      </w:r>
    </w:p>
    <w:p w:rsidR="002A630A" w:rsidRPr="00B715A5" w:rsidRDefault="002A630A" w:rsidP="00B715A5">
      <w:pPr>
        <w:pStyle w:val="Heading2"/>
        <w:spacing w:before="0" w:beforeAutospacing="0" w:after="0" w:afterAutospacing="0"/>
        <w:rPr>
          <w:rFonts w:ascii="Verdana" w:hAnsi="Verdana" w:cs="Arial"/>
          <w:b w:val="0"/>
          <w:sz w:val="20"/>
          <w:szCs w:val="20"/>
          <w:lang w:eastAsia="ja-JP"/>
        </w:rPr>
      </w:pPr>
    </w:p>
    <w:p w:rsidR="002A630A" w:rsidRPr="00B715A5" w:rsidRDefault="002A630A" w:rsidP="00B715A5">
      <w:pPr>
        <w:pStyle w:val="Heading2"/>
        <w:numPr>
          <w:ilvl w:val="0"/>
          <w:numId w:val="22"/>
        </w:numPr>
        <w:tabs>
          <w:tab w:val="clear" w:pos="540"/>
        </w:tabs>
        <w:spacing w:before="0" w:beforeAutospacing="0" w:after="0" w:afterAutospacing="0"/>
        <w:jc w:val="both"/>
        <w:rPr>
          <w:rFonts w:ascii="Verdana" w:hAnsi="Verdana" w:cs="Arial"/>
          <w:b w:val="0"/>
          <w:sz w:val="20"/>
          <w:szCs w:val="20"/>
        </w:rPr>
      </w:pPr>
      <w:r w:rsidRPr="00B715A5">
        <w:rPr>
          <w:rFonts w:ascii="Verdana" w:hAnsi="Verdana"/>
          <w:b w:val="0"/>
          <w:sz w:val="20"/>
          <w:szCs w:val="20"/>
        </w:rPr>
        <w:t xml:space="preserve">According to the petitioner, in vitro fertilization is a tool of scientific progress that allows infertile couples to exercise their right to health, to reproduction, and to raise a family, which are values protected by the American Convention and by the Protocol of San Salvador. He adds that the </w:t>
      </w:r>
      <w:r w:rsidRPr="00B715A5">
        <w:rPr>
          <w:rFonts w:ascii="Verdana" w:hAnsi="Verdana" w:cs="Arial"/>
          <w:b w:val="0"/>
          <w:sz w:val="20"/>
          <w:szCs w:val="20"/>
          <w:lang w:eastAsia="ja-JP"/>
        </w:rPr>
        <w:t>Protocol of San Salvador recognizes the right of every person to enjoy the benefits of scientific and technological progress and, consequently, that the Costa Rican State should refrain from legally preventing infertile couples from availing themselves of such progress.</w:t>
      </w:r>
    </w:p>
    <w:p w:rsidR="002A630A" w:rsidRPr="00B715A5" w:rsidRDefault="002A630A" w:rsidP="00B715A5">
      <w:pPr>
        <w:pStyle w:val="Heading2"/>
        <w:spacing w:before="0" w:beforeAutospacing="0" w:after="0" w:afterAutospacing="0"/>
        <w:rPr>
          <w:rFonts w:ascii="Verdana" w:hAnsi="Verdana"/>
          <w:b w:val="0"/>
          <w:sz w:val="20"/>
          <w:szCs w:val="20"/>
        </w:rPr>
      </w:pPr>
    </w:p>
    <w:p w:rsidR="002A630A" w:rsidRPr="00B715A5" w:rsidRDefault="002A630A" w:rsidP="00B715A5">
      <w:pPr>
        <w:pStyle w:val="Heading2"/>
        <w:numPr>
          <w:ilvl w:val="0"/>
          <w:numId w:val="22"/>
        </w:numPr>
        <w:tabs>
          <w:tab w:val="clear" w:pos="540"/>
        </w:tabs>
        <w:spacing w:before="0" w:beforeAutospacing="0" w:after="0" w:afterAutospacing="0"/>
        <w:jc w:val="both"/>
        <w:rPr>
          <w:rFonts w:ascii="Verdana" w:hAnsi="Verdana"/>
          <w:b w:val="0"/>
          <w:sz w:val="20"/>
          <w:szCs w:val="20"/>
        </w:rPr>
      </w:pPr>
      <w:r w:rsidRPr="00B715A5">
        <w:rPr>
          <w:rFonts w:ascii="Verdana" w:hAnsi="Verdana" w:cs="Arial"/>
          <w:b w:val="0"/>
          <w:sz w:val="20"/>
          <w:szCs w:val="20"/>
          <w:lang w:eastAsia="ja-JP"/>
        </w:rPr>
        <w:t>The petitioner alleges that Article 11 of the American Convention has been violated in the sense that said right protects persons from government interference in their private lives.  He indicates that the prohibition of in vitro fertilization violates the right to protection of free and responsible decisions concerning the sexual and reproductive lives of individuals, such as decisions to raise a family and to undergo the necessary therapeutic treatments to attempt to have children.  He also maintains that the State violates the privacy rights of the alleged victims, which he describes as “a realm which no one can invade, a field of activity that is the absolute province of each individual.”</w:t>
      </w:r>
      <w:r w:rsidRPr="00B715A5">
        <w:rPr>
          <w:rStyle w:val="FootnoteReference"/>
          <w:rFonts w:cs="Arial"/>
          <w:b w:val="0"/>
          <w:szCs w:val="20"/>
          <w:lang w:eastAsia="ja-JP"/>
        </w:rPr>
        <w:footnoteReference w:id="4"/>
      </w:r>
    </w:p>
    <w:p w:rsidR="002A630A" w:rsidRPr="00B715A5" w:rsidRDefault="002A630A" w:rsidP="00B715A5">
      <w:pPr>
        <w:pStyle w:val="Heading2"/>
        <w:spacing w:before="0" w:beforeAutospacing="0" w:after="0" w:afterAutospacing="0"/>
        <w:rPr>
          <w:rFonts w:ascii="Verdana" w:hAnsi="Verdana"/>
          <w:b w:val="0"/>
          <w:sz w:val="20"/>
          <w:szCs w:val="20"/>
        </w:rPr>
      </w:pPr>
    </w:p>
    <w:p w:rsidR="002A630A" w:rsidRPr="00B715A5" w:rsidRDefault="002A630A" w:rsidP="00B715A5">
      <w:pPr>
        <w:pStyle w:val="Heading2"/>
        <w:numPr>
          <w:ilvl w:val="0"/>
          <w:numId w:val="22"/>
        </w:numPr>
        <w:tabs>
          <w:tab w:val="clear" w:pos="540"/>
        </w:tabs>
        <w:spacing w:before="0" w:beforeAutospacing="0" w:after="0" w:afterAutospacing="0"/>
        <w:jc w:val="both"/>
        <w:rPr>
          <w:rFonts w:ascii="Verdana" w:hAnsi="Verdana" w:cs="Arial"/>
          <w:b w:val="0"/>
          <w:sz w:val="20"/>
          <w:szCs w:val="20"/>
          <w:lang w:eastAsia="ja-JP"/>
        </w:rPr>
      </w:pPr>
      <w:r w:rsidRPr="00B715A5">
        <w:rPr>
          <w:rFonts w:ascii="Verdana" w:hAnsi="Verdana" w:cs="Arial"/>
          <w:b w:val="0"/>
          <w:sz w:val="20"/>
          <w:szCs w:val="20"/>
          <w:lang w:eastAsia="ja-JP"/>
        </w:rPr>
        <w:t>He states further that the prohibition of in vitro fertilization in Costa Rica violates the right of the alleged victims to raise their own families, enshrined in Article 17.2 of the American Convention, as well as the right to have children, which is necessary in order to exercise the right to raise a family. He also maintains that such prohibition, which affects infertile couples, violates the overall obligation of nondiscrimination established in Article 1 of the American Convention.</w:t>
      </w:r>
    </w:p>
    <w:p w:rsidR="002A630A" w:rsidRPr="00B715A5" w:rsidRDefault="002A630A" w:rsidP="00B715A5">
      <w:pPr>
        <w:pStyle w:val="Heading2"/>
        <w:spacing w:before="0" w:beforeAutospacing="0" w:after="0" w:afterAutospacing="0"/>
        <w:rPr>
          <w:rFonts w:ascii="Verdana" w:hAnsi="Verdana" w:cs="Arial"/>
          <w:b w:val="0"/>
          <w:sz w:val="20"/>
          <w:szCs w:val="20"/>
          <w:lang w:eastAsia="ja-JP"/>
        </w:rPr>
      </w:pPr>
    </w:p>
    <w:p w:rsidR="002A630A" w:rsidRPr="00B715A5" w:rsidRDefault="002A630A" w:rsidP="00B715A5">
      <w:pPr>
        <w:pStyle w:val="Heading2"/>
        <w:numPr>
          <w:ilvl w:val="0"/>
          <w:numId w:val="22"/>
        </w:numPr>
        <w:tabs>
          <w:tab w:val="clear" w:pos="540"/>
        </w:tabs>
        <w:spacing w:before="0" w:beforeAutospacing="0" w:after="0" w:afterAutospacing="0"/>
        <w:jc w:val="both"/>
        <w:rPr>
          <w:rFonts w:ascii="Verdana" w:hAnsi="Verdana"/>
          <w:b w:val="0"/>
          <w:sz w:val="20"/>
          <w:szCs w:val="20"/>
        </w:rPr>
      </w:pPr>
      <w:r w:rsidRPr="00B715A5">
        <w:rPr>
          <w:rFonts w:ascii="Verdana" w:hAnsi="Verdana" w:cs="Arial"/>
          <w:b w:val="0"/>
          <w:sz w:val="20"/>
          <w:szCs w:val="20"/>
          <w:lang w:eastAsia="ja-JP"/>
        </w:rPr>
        <w:t>The petitioner alleges that Article 24 of the American Convention has been violated in the sense of discrimination against persons with disabilities. He affirms that there is an unwarranted difference in the treatment given to a person, or a group or category of persons (sterile persons), in relation to others (who are not sterile). He also</w:t>
      </w:r>
      <w:r w:rsidRPr="00B715A5">
        <w:rPr>
          <w:rFonts w:ascii="Verdana" w:hAnsi="Verdana"/>
          <w:b w:val="0"/>
          <w:sz w:val="20"/>
          <w:szCs w:val="20"/>
        </w:rPr>
        <w:t xml:space="preserve"> maintains that the prohibition of in vitro fertilization created a situation of discrimination for reasons of economic status because couples with financial resources are able to go abroad while couples without such resources do not have that option.</w:t>
      </w:r>
    </w:p>
    <w:p w:rsidR="002A630A" w:rsidRPr="00B715A5" w:rsidRDefault="002A630A" w:rsidP="00B715A5">
      <w:pPr>
        <w:pStyle w:val="Heading2"/>
        <w:spacing w:before="0" w:beforeAutospacing="0" w:after="0" w:afterAutospacing="0"/>
        <w:rPr>
          <w:rFonts w:ascii="Verdana" w:hAnsi="Verdana"/>
          <w:b w:val="0"/>
          <w:sz w:val="20"/>
          <w:szCs w:val="20"/>
        </w:rPr>
      </w:pPr>
      <w:r w:rsidRPr="00B715A5">
        <w:rPr>
          <w:rFonts w:ascii="Verdana" w:hAnsi="Verdana"/>
          <w:b w:val="0"/>
          <w:sz w:val="20"/>
          <w:szCs w:val="20"/>
        </w:rPr>
        <w:t xml:space="preserve"> </w:t>
      </w:r>
    </w:p>
    <w:p w:rsidR="002A630A" w:rsidRPr="00B715A5" w:rsidRDefault="002A630A" w:rsidP="00B715A5">
      <w:pPr>
        <w:pStyle w:val="Heading2"/>
        <w:numPr>
          <w:ilvl w:val="0"/>
          <w:numId w:val="22"/>
        </w:numPr>
        <w:tabs>
          <w:tab w:val="clear" w:pos="540"/>
        </w:tabs>
        <w:spacing w:before="0" w:beforeAutospacing="0" w:after="0" w:afterAutospacing="0"/>
        <w:jc w:val="both"/>
        <w:rPr>
          <w:rFonts w:ascii="Verdana" w:hAnsi="Verdana" w:cs="Arial"/>
          <w:b w:val="0"/>
          <w:sz w:val="20"/>
          <w:szCs w:val="20"/>
        </w:rPr>
      </w:pPr>
      <w:r w:rsidRPr="00B715A5">
        <w:rPr>
          <w:rFonts w:ascii="Verdana" w:hAnsi="Verdana"/>
          <w:b w:val="0"/>
          <w:sz w:val="20"/>
          <w:szCs w:val="20"/>
        </w:rPr>
        <w:t xml:space="preserve">The petitioner affirms that a person’s right to life is not absolute but is, rather, subject to exceptions and conditions. He also argues that the American Convention established the principle of relativity when stating in Article 4 that life, in general, is protected from the moment of conception.  He also questions the legal status of the embryo, arguing that birth determines the existence of the human being and the recognition of his legal personhood; and he says that every person who comes to this world is a person before the law if he meets the two conditions of being born and being born alive. </w:t>
      </w:r>
    </w:p>
    <w:p w:rsidR="002A630A" w:rsidRPr="00B715A5" w:rsidRDefault="002A630A" w:rsidP="00B715A5">
      <w:pPr>
        <w:pStyle w:val="Heading2"/>
        <w:spacing w:before="0" w:beforeAutospacing="0" w:after="0" w:afterAutospacing="0"/>
        <w:rPr>
          <w:rFonts w:ascii="Verdana" w:hAnsi="Verdana" w:cs="Arial"/>
          <w:b w:val="0"/>
          <w:sz w:val="20"/>
          <w:szCs w:val="20"/>
        </w:rPr>
      </w:pPr>
    </w:p>
    <w:p w:rsidR="002A630A" w:rsidRPr="00B715A5" w:rsidRDefault="002A630A" w:rsidP="00B715A5">
      <w:pPr>
        <w:numPr>
          <w:ilvl w:val="0"/>
          <w:numId w:val="22"/>
        </w:numPr>
        <w:rPr>
          <w:rFonts w:cs="Verdana"/>
          <w:color w:val="000000"/>
          <w:szCs w:val="20"/>
          <w:lang w:val="en-US"/>
        </w:rPr>
      </w:pPr>
      <w:r w:rsidRPr="00B715A5">
        <w:rPr>
          <w:szCs w:val="20"/>
          <w:lang w:val="en-US"/>
        </w:rPr>
        <w:t xml:space="preserve">The petitioner states that </w:t>
      </w:r>
      <w:r w:rsidRPr="00B715A5">
        <w:rPr>
          <w:color w:val="000000"/>
          <w:szCs w:val="20"/>
          <w:lang w:val="en-US"/>
        </w:rPr>
        <w:t xml:space="preserve">Ms. Ileana Henchoz Bolaños (victim in case 12.361) sued the Costa Rican Social Security Fund (case file no. 089-000178-1027-CA) to obtain in vitro fertilization. On October 14, 2008, the Superior Tribunal of Contentious Civil Treasury Matters ordered the Costa Rican Social Security Fund to provide Ms. Henchoz with in vitro fertilization because she was not prohibited from receiving such treatment under domestic law as long as the defects described by the Constitutional Chamber in its judgment </w:t>
      </w:r>
      <w:r w:rsidRPr="00B715A5">
        <w:rPr>
          <w:spacing w:val="-2"/>
          <w:szCs w:val="20"/>
          <w:lang w:val="en-US"/>
        </w:rPr>
        <w:t>2000-02306 of March 15, 2000, did not apply</w:t>
      </w:r>
      <w:r w:rsidRPr="00B715A5">
        <w:rPr>
          <w:color w:val="000000"/>
          <w:szCs w:val="20"/>
          <w:lang w:val="en-US"/>
        </w:rPr>
        <w:t>.</w:t>
      </w:r>
    </w:p>
    <w:p w:rsidR="002A630A" w:rsidRPr="00B715A5" w:rsidRDefault="002A630A" w:rsidP="00B715A5">
      <w:pPr>
        <w:rPr>
          <w:rFonts w:cs="Verdana"/>
          <w:color w:val="000000"/>
          <w:szCs w:val="20"/>
          <w:lang w:val="en-US"/>
        </w:rPr>
      </w:pPr>
    </w:p>
    <w:p w:rsidR="002A630A" w:rsidRPr="00B715A5" w:rsidRDefault="002A630A" w:rsidP="00B715A5">
      <w:pPr>
        <w:numPr>
          <w:ilvl w:val="0"/>
          <w:numId w:val="22"/>
        </w:numPr>
        <w:rPr>
          <w:rFonts w:cs="Arial"/>
          <w:szCs w:val="20"/>
          <w:lang w:val="en-US"/>
        </w:rPr>
      </w:pPr>
      <w:r w:rsidRPr="00B715A5">
        <w:rPr>
          <w:szCs w:val="20"/>
          <w:lang w:val="en-US"/>
        </w:rPr>
        <w:t xml:space="preserve">The judgment was appealed by the Costa Rican Social Security Fund on August 19, 2009.  The magistrates of the First Chamber of the </w:t>
      </w:r>
      <w:r w:rsidRPr="00B715A5">
        <w:rPr>
          <w:rFonts w:cs="Arial"/>
          <w:szCs w:val="20"/>
          <w:lang w:val="en-US"/>
        </w:rPr>
        <w:t>Supreme Court of Justice reversed that ruling and found the suit groundless. The petitioner maintains that the Chamber’s central argument was that the complainant had no interest in the proceeding because, given her age, she could no longer undergo this procedure.</w:t>
      </w:r>
    </w:p>
    <w:p w:rsidR="002A630A" w:rsidRPr="00B715A5" w:rsidRDefault="002A630A" w:rsidP="00B715A5">
      <w:pPr>
        <w:pStyle w:val="Heading2"/>
        <w:spacing w:before="0" w:beforeAutospacing="0" w:after="0" w:afterAutospacing="0"/>
        <w:rPr>
          <w:rFonts w:ascii="Verdana" w:hAnsi="Verdana" w:cs="Arial"/>
          <w:b w:val="0"/>
          <w:sz w:val="20"/>
          <w:szCs w:val="20"/>
        </w:rPr>
      </w:pPr>
    </w:p>
    <w:p w:rsidR="002A630A" w:rsidRPr="00B715A5" w:rsidRDefault="002A630A" w:rsidP="00B715A5">
      <w:pPr>
        <w:pStyle w:val="Heading2"/>
        <w:numPr>
          <w:ilvl w:val="0"/>
          <w:numId w:val="22"/>
        </w:numPr>
        <w:tabs>
          <w:tab w:val="clear" w:pos="540"/>
        </w:tabs>
        <w:spacing w:before="0" w:beforeAutospacing="0" w:after="0" w:afterAutospacing="0"/>
        <w:jc w:val="both"/>
        <w:rPr>
          <w:rFonts w:ascii="Verdana" w:hAnsi="Verdana"/>
          <w:b w:val="0"/>
          <w:bCs w:val="0"/>
          <w:sz w:val="20"/>
          <w:szCs w:val="20"/>
        </w:rPr>
      </w:pPr>
      <w:r w:rsidRPr="00B715A5">
        <w:rPr>
          <w:rFonts w:ascii="Verdana" w:hAnsi="Verdana"/>
          <w:b w:val="0"/>
          <w:sz w:val="20"/>
          <w:szCs w:val="20"/>
        </w:rPr>
        <w:lastRenderedPageBreak/>
        <w:t xml:space="preserve">As for the exhaustion of remedies under domestic jurisdiction, the petitioner maintains that Article 11 of Costa Rica’s Constitutional Jurisdiction Act provides that judgments, decrees, or provisions of the constitutional court cannot be appealed. Consequently, no remedy is admissible and Article </w:t>
      </w:r>
      <w:r w:rsidRPr="00B715A5">
        <w:rPr>
          <w:rFonts w:ascii="Verdana" w:hAnsi="Verdana"/>
          <w:b w:val="0"/>
          <w:bCs w:val="0"/>
          <w:sz w:val="20"/>
          <w:szCs w:val="20"/>
        </w:rPr>
        <w:t>46.1.a of the American Convention</w:t>
      </w:r>
      <w:r w:rsidRPr="00B715A5">
        <w:rPr>
          <w:rFonts w:ascii="Verdana" w:hAnsi="Verdana" w:cs="Arial"/>
          <w:b w:val="0"/>
          <w:bCs w:val="0"/>
          <w:sz w:val="20"/>
          <w:szCs w:val="20"/>
          <w:lang w:eastAsia="ja-JP"/>
        </w:rPr>
        <w:t xml:space="preserve"> applies.</w:t>
      </w:r>
    </w:p>
    <w:p w:rsidR="002A630A" w:rsidRPr="00B715A5" w:rsidRDefault="002A630A" w:rsidP="00B715A5">
      <w:pPr>
        <w:pStyle w:val="Heading2"/>
        <w:spacing w:before="0" w:beforeAutospacing="0" w:after="0" w:afterAutospacing="0"/>
        <w:rPr>
          <w:rFonts w:ascii="Verdana" w:hAnsi="Verdana"/>
          <w:b w:val="0"/>
          <w:sz w:val="20"/>
          <w:szCs w:val="20"/>
        </w:rPr>
      </w:pPr>
    </w:p>
    <w:p w:rsidR="002A630A" w:rsidRPr="00B715A5" w:rsidRDefault="002A630A" w:rsidP="00B715A5">
      <w:pPr>
        <w:pStyle w:val="Heading2"/>
        <w:numPr>
          <w:ilvl w:val="0"/>
          <w:numId w:val="22"/>
        </w:numPr>
        <w:tabs>
          <w:tab w:val="clear" w:pos="540"/>
        </w:tabs>
        <w:spacing w:before="0" w:beforeAutospacing="0" w:after="0" w:afterAutospacing="0"/>
        <w:jc w:val="both"/>
        <w:rPr>
          <w:rFonts w:ascii="Verdana" w:hAnsi="Verdana"/>
          <w:b w:val="0"/>
          <w:sz w:val="20"/>
          <w:szCs w:val="20"/>
        </w:rPr>
      </w:pPr>
      <w:r w:rsidRPr="00B715A5">
        <w:rPr>
          <w:rFonts w:ascii="Verdana" w:hAnsi="Verdana"/>
          <w:b w:val="0"/>
          <w:sz w:val="20"/>
          <w:szCs w:val="20"/>
        </w:rPr>
        <w:t xml:space="preserve">As for the deadline for presentation, the petitioner maintains that the existence of a jurisprudential rule in force under domestic law that is final and binding on all judicial, administrative, and legislative bodies in Costa Rica establishes </w:t>
      </w:r>
      <w:r w:rsidRPr="00B715A5">
        <w:rPr>
          <w:rFonts w:ascii="Verdana" w:hAnsi="Verdana"/>
          <w:b w:val="0"/>
          <w:i/>
          <w:sz w:val="20"/>
          <w:szCs w:val="20"/>
        </w:rPr>
        <w:t>per se</w:t>
      </w:r>
      <w:r w:rsidRPr="00B715A5">
        <w:rPr>
          <w:rFonts w:ascii="Verdana" w:hAnsi="Verdana"/>
          <w:b w:val="0"/>
          <w:sz w:val="20"/>
          <w:szCs w:val="20"/>
        </w:rPr>
        <w:t xml:space="preserve"> a legal situation that affects the rights protected by the American Convention. Consequently, this constitutes a continuing violation of the Convention. </w:t>
      </w:r>
    </w:p>
    <w:p w:rsidR="002A630A" w:rsidRPr="00B715A5" w:rsidRDefault="002A630A" w:rsidP="00B715A5">
      <w:pPr>
        <w:pStyle w:val="Heading2"/>
        <w:spacing w:before="0" w:beforeAutospacing="0" w:after="0" w:afterAutospacing="0"/>
        <w:rPr>
          <w:rFonts w:ascii="Verdana" w:hAnsi="Verdana"/>
          <w:b w:val="0"/>
          <w:sz w:val="20"/>
          <w:szCs w:val="20"/>
        </w:rPr>
      </w:pPr>
    </w:p>
    <w:p w:rsidR="002A630A" w:rsidRPr="00B715A5" w:rsidRDefault="002A630A" w:rsidP="00B715A5">
      <w:pPr>
        <w:pStyle w:val="Heading2"/>
        <w:spacing w:before="0" w:beforeAutospacing="0" w:after="0" w:afterAutospacing="0"/>
        <w:ind w:firstLine="720"/>
        <w:rPr>
          <w:rFonts w:ascii="Verdana" w:hAnsi="Verdana"/>
          <w:sz w:val="20"/>
          <w:szCs w:val="20"/>
        </w:rPr>
      </w:pPr>
      <w:r w:rsidRPr="00B715A5">
        <w:rPr>
          <w:rFonts w:ascii="Verdana" w:hAnsi="Verdana"/>
          <w:sz w:val="20"/>
          <w:szCs w:val="20"/>
        </w:rPr>
        <w:t>B.</w:t>
      </w:r>
      <w:r w:rsidRPr="00B715A5">
        <w:rPr>
          <w:rFonts w:ascii="Verdana" w:hAnsi="Verdana"/>
          <w:sz w:val="20"/>
          <w:szCs w:val="20"/>
        </w:rPr>
        <w:tab/>
        <w:t>The State</w:t>
      </w:r>
    </w:p>
    <w:p w:rsidR="002A630A" w:rsidRPr="00B715A5" w:rsidRDefault="002A630A" w:rsidP="00B715A5">
      <w:pPr>
        <w:pStyle w:val="Heading2"/>
        <w:spacing w:before="0" w:beforeAutospacing="0" w:after="0" w:afterAutospacing="0"/>
        <w:rPr>
          <w:rFonts w:ascii="Verdana" w:hAnsi="Verdana"/>
          <w:b w:val="0"/>
          <w:sz w:val="20"/>
          <w:szCs w:val="20"/>
        </w:rPr>
      </w:pPr>
    </w:p>
    <w:p w:rsidR="002A630A" w:rsidRPr="00B715A5" w:rsidRDefault="002A630A" w:rsidP="00B715A5">
      <w:pPr>
        <w:pStyle w:val="Heading2"/>
        <w:numPr>
          <w:ilvl w:val="0"/>
          <w:numId w:val="22"/>
        </w:numPr>
        <w:tabs>
          <w:tab w:val="clear" w:pos="540"/>
        </w:tabs>
        <w:spacing w:before="0" w:beforeAutospacing="0" w:after="0" w:afterAutospacing="0"/>
        <w:jc w:val="both"/>
        <w:rPr>
          <w:rFonts w:ascii="Verdana" w:hAnsi="Verdana" w:cs="Arial"/>
          <w:b w:val="0"/>
          <w:sz w:val="20"/>
          <w:szCs w:val="20"/>
        </w:rPr>
      </w:pPr>
      <w:r w:rsidRPr="00B715A5">
        <w:rPr>
          <w:rFonts w:ascii="Verdana" w:hAnsi="Verdana" w:cs="Arial"/>
          <w:b w:val="0"/>
          <w:sz w:val="20"/>
          <w:szCs w:val="20"/>
        </w:rPr>
        <w:t>The State maintains that it has endeavored to establish the necessary conditions to comply with the right to protection of the family, but that consideration must be given to the fact that, under Article 17.2, the exercise of the right of men and women to marry and raise a family requires that they meet the conditions stipulated under the domestic laws of the states.  In this sense, it indicates that while “parents should have the right to have children, it would not seem lawful that, in order to do so, they should deprive other human beings of life.”</w:t>
      </w:r>
      <w:r w:rsidRPr="00B715A5">
        <w:rPr>
          <w:rStyle w:val="FootnoteReference"/>
          <w:rFonts w:cs="Arial"/>
          <w:b w:val="0"/>
          <w:szCs w:val="20"/>
        </w:rPr>
        <w:footnoteReference w:id="5"/>
      </w:r>
    </w:p>
    <w:p w:rsidR="002A630A" w:rsidRPr="00B715A5" w:rsidRDefault="002A630A" w:rsidP="00B715A5">
      <w:pPr>
        <w:pStyle w:val="Heading2"/>
        <w:spacing w:before="0" w:beforeAutospacing="0" w:after="0" w:afterAutospacing="0"/>
        <w:rPr>
          <w:rFonts w:ascii="Verdana" w:hAnsi="Verdana" w:cs="Arial"/>
          <w:b w:val="0"/>
          <w:sz w:val="20"/>
          <w:szCs w:val="20"/>
        </w:rPr>
      </w:pPr>
    </w:p>
    <w:p w:rsidR="002A630A" w:rsidRPr="00B715A5" w:rsidRDefault="002A630A" w:rsidP="00B715A5">
      <w:pPr>
        <w:pStyle w:val="Heading2"/>
        <w:numPr>
          <w:ilvl w:val="0"/>
          <w:numId w:val="22"/>
        </w:numPr>
        <w:tabs>
          <w:tab w:val="clear" w:pos="540"/>
        </w:tabs>
        <w:spacing w:before="0" w:beforeAutospacing="0" w:after="0" w:afterAutospacing="0"/>
        <w:jc w:val="both"/>
        <w:rPr>
          <w:rFonts w:ascii="Verdana" w:hAnsi="Verdana" w:cs="Arial"/>
          <w:b w:val="0"/>
          <w:sz w:val="20"/>
          <w:szCs w:val="20"/>
        </w:rPr>
      </w:pPr>
      <w:r w:rsidRPr="00B715A5">
        <w:rPr>
          <w:rFonts w:ascii="Verdana" w:hAnsi="Verdana" w:cs="Arial"/>
          <w:b w:val="0"/>
          <w:sz w:val="20"/>
          <w:szCs w:val="20"/>
        </w:rPr>
        <w:t>The State argues that, regardless of how the modifier “in general” in Article 4.1 of the American Convention is interpreted, what is important is that the article establishes that life should be protected from the moment of conception and that the State has chosen the latter option.</w:t>
      </w:r>
    </w:p>
    <w:p w:rsidR="002A630A" w:rsidRPr="00B715A5" w:rsidRDefault="002A630A" w:rsidP="00B715A5">
      <w:pPr>
        <w:pStyle w:val="Heading2"/>
        <w:spacing w:before="0" w:beforeAutospacing="0" w:after="0" w:afterAutospacing="0"/>
        <w:rPr>
          <w:rFonts w:ascii="Verdana" w:hAnsi="Verdana"/>
          <w:b w:val="0"/>
          <w:sz w:val="20"/>
          <w:szCs w:val="20"/>
        </w:rPr>
      </w:pPr>
    </w:p>
    <w:p w:rsidR="002A630A" w:rsidRPr="00B715A5" w:rsidRDefault="002A630A" w:rsidP="00B715A5">
      <w:pPr>
        <w:pStyle w:val="Heading2"/>
        <w:numPr>
          <w:ilvl w:val="0"/>
          <w:numId w:val="22"/>
        </w:numPr>
        <w:tabs>
          <w:tab w:val="clear" w:pos="540"/>
        </w:tabs>
        <w:spacing w:before="0" w:beforeAutospacing="0" w:after="0" w:afterAutospacing="0"/>
        <w:jc w:val="both"/>
        <w:rPr>
          <w:rFonts w:ascii="Verdana" w:hAnsi="Verdana" w:cs="Arial"/>
          <w:b w:val="0"/>
          <w:sz w:val="20"/>
          <w:szCs w:val="20"/>
        </w:rPr>
      </w:pPr>
      <w:r w:rsidRPr="00B715A5">
        <w:rPr>
          <w:rFonts w:ascii="Verdana" w:hAnsi="Verdana"/>
          <w:b w:val="0"/>
          <w:sz w:val="20"/>
          <w:szCs w:val="20"/>
        </w:rPr>
        <w:t xml:space="preserve">The State affirms that the Constitutional Chamber of the Supreme Court of Justice of Costa Rica, in its judgment 2000-0236 of March 15, 2000, did not declare in vitro fertilization unconstitutional as a means of assisted reproduction </w:t>
      </w:r>
      <w:r w:rsidRPr="00B715A5">
        <w:rPr>
          <w:rFonts w:ascii="Verdana" w:hAnsi="Verdana"/>
          <w:b w:val="0"/>
          <w:i/>
          <w:sz w:val="20"/>
          <w:szCs w:val="20"/>
        </w:rPr>
        <w:t>per se</w:t>
      </w:r>
      <w:r w:rsidRPr="00B715A5">
        <w:rPr>
          <w:rFonts w:ascii="Verdana" w:hAnsi="Verdana"/>
          <w:b w:val="0"/>
          <w:sz w:val="20"/>
          <w:szCs w:val="20"/>
        </w:rPr>
        <w:t>; actually, what the constitutional court had previously determined in interpreting national and international law “is that the procedure carried out in the year 2000 […], beyond any possible doubt, placed the embryos at a disproportionate risk of death.”</w:t>
      </w:r>
      <w:r w:rsidRPr="00B715A5">
        <w:rPr>
          <w:rStyle w:val="FootnoteReference"/>
          <w:b w:val="0"/>
          <w:szCs w:val="20"/>
        </w:rPr>
        <w:footnoteReference w:id="6"/>
      </w:r>
      <w:r w:rsidRPr="00B715A5">
        <w:rPr>
          <w:rFonts w:ascii="Verdana" w:hAnsi="Verdana"/>
          <w:b w:val="0"/>
          <w:sz w:val="20"/>
          <w:szCs w:val="20"/>
        </w:rPr>
        <w:t xml:space="preserve"> In other words, under the conditions under which the procedure was performed at the time of the Constitutional Chamber’s ruling, which allowed the insemination of up to six eggs, the procedure was found to violate the right to life. Consequently, the procedure was not in keeping with the Constitution or with Article 4 of the American Convention. According to the State, the Constitutional Chamber found that “… advances in science and biotechnology are so swift that the procedure could come to be improved to such an extent that the objections noted here would no longer apply.”</w:t>
      </w:r>
      <w:r w:rsidRPr="00B715A5">
        <w:rPr>
          <w:rStyle w:val="FootnoteReference"/>
          <w:b w:val="0"/>
          <w:szCs w:val="20"/>
        </w:rPr>
        <w:footnoteReference w:id="7"/>
      </w:r>
    </w:p>
    <w:p w:rsidR="002A630A" w:rsidRPr="00B715A5" w:rsidRDefault="002A630A" w:rsidP="00B715A5">
      <w:pPr>
        <w:pStyle w:val="Heading2"/>
        <w:spacing w:before="0" w:beforeAutospacing="0" w:after="0" w:afterAutospacing="0"/>
        <w:rPr>
          <w:rFonts w:ascii="Verdana" w:hAnsi="Verdana" w:cs="Arial"/>
          <w:b w:val="0"/>
          <w:sz w:val="20"/>
          <w:szCs w:val="20"/>
        </w:rPr>
      </w:pPr>
    </w:p>
    <w:p w:rsidR="002A630A" w:rsidRPr="00B715A5" w:rsidRDefault="002A630A" w:rsidP="00B715A5">
      <w:pPr>
        <w:pStyle w:val="Heading2"/>
        <w:numPr>
          <w:ilvl w:val="0"/>
          <w:numId w:val="22"/>
        </w:numPr>
        <w:tabs>
          <w:tab w:val="clear" w:pos="540"/>
        </w:tabs>
        <w:spacing w:before="0" w:beforeAutospacing="0" w:after="0" w:afterAutospacing="0"/>
        <w:jc w:val="both"/>
        <w:rPr>
          <w:rFonts w:ascii="Verdana" w:hAnsi="Verdana" w:cs="Arial"/>
          <w:b w:val="0"/>
          <w:sz w:val="20"/>
          <w:szCs w:val="20"/>
        </w:rPr>
      </w:pPr>
      <w:r w:rsidRPr="00B715A5">
        <w:rPr>
          <w:rFonts w:ascii="Verdana" w:hAnsi="Verdana" w:cs="Arial"/>
          <w:b w:val="0"/>
          <w:sz w:val="20"/>
          <w:szCs w:val="20"/>
        </w:rPr>
        <w:t>Consequently, the State argues that the allegations do not describe a violation of rights guaranteed by the American Convention.</w:t>
      </w:r>
    </w:p>
    <w:p w:rsidR="002A630A" w:rsidRPr="00B715A5" w:rsidRDefault="002A630A" w:rsidP="00B715A5">
      <w:pPr>
        <w:pStyle w:val="Heading2"/>
        <w:spacing w:before="0" w:beforeAutospacing="0" w:after="0" w:afterAutospacing="0"/>
        <w:rPr>
          <w:rFonts w:ascii="Verdana" w:hAnsi="Verdana" w:cs="Arial"/>
          <w:b w:val="0"/>
          <w:sz w:val="20"/>
          <w:szCs w:val="20"/>
        </w:rPr>
      </w:pPr>
    </w:p>
    <w:p w:rsidR="002A630A" w:rsidRPr="00B715A5" w:rsidRDefault="002A630A" w:rsidP="00B715A5">
      <w:pPr>
        <w:pStyle w:val="Heading2"/>
        <w:numPr>
          <w:ilvl w:val="0"/>
          <w:numId w:val="22"/>
        </w:numPr>
        <w:tabs>
          <w:tab w:val="clear" w:pos="540"/>
        </w:tabs>
        <w:spacing w:before="0" w:beforeAutospacing="0" w:after="0" w:afterAutospacing="0"/>
        <w:jc w:val="both"/>
        <w:rPr>
          <w:rFonts w:ascii="Verdana" w:hAnsi="Verdana" w:cs="Arial"/>
          <w:b w:val="0"/>
          <w:sz w:val="20"/>
          <w:szCs w:val="20"/>
        </w:rPr>
      </w:pPr>
      <w:r w:rsidRPr="00B715A5">
        <w:rPr>
          <w:rFonts w:ascii="Verdana" w:hAnsi="Verdana"/>
          <w:b w:val="0"/>
          <w:sz w:val="20"/>
          <w:szCs w:val="20"/>
        </w:rPr>
        <w:t xml:space="preserve">As for the admissibility requirements, the State </w:t>
      </w:r>
      <w:r w:rsidRPr="00B715A5">
        <w:rPr>
          <w:rFonts w:ascii="Verdana" w:hAnsi="Verdana" w:cs="Arial"/>
          <w:b w:val="0"/>
          <w:sz w:val="20"/>
          <w:szCs w:val="20"/>
        </w:rPr>
        <w:t xml:space="preserve">maintains that the alleged victims did not exhaust domestic remedies. It states that this was confirmed by the judgment of </w:t>
      </w:r>
      <w:r w:rsidRPr="00B715A5">
        <w:rPr>
          <w:rFonts w:ascii="Verdana" w:hAnsi="Verdana"/>
          <w:b w:val="0"/>
          <w:sz w:val="20"/>
          <w:szCs w:val="20"/>
        </w:rPr>
        <w:t>October 15, 2008, by the Superior Tribunal of Contentious Civil Treasury Matters concerning the suit brought by Ileana Henchoz Bolaños (victim in case 12.361 before the IACHR), against the Costa Rican Social Security Fund (case file no. 089-000178-1027-CA). In this case, Ms. Henchoz requested the Costa Rican Social Security Fund to provide her with in vitro fertilization. In the first instance, the State argues that the Superior Tribunal of Contentious Civil Treasury Matters</w:t>
      </w:r>
      <w:r w:rsidRPr="00B715A5">
        <w:rPr>
          <w:rFonts w:ascii="Verdana" w:hAnsi="Verdana"/>
          <w:sz w:val="20"/>
          <w:szCs w:val="20"/>
        </w:rPr>
        <w:t xml:space="preserve"> </w:t>
      </w:r>
      <w:r w:rsidRPr="00B715A5">
        <w:rPr>
          <w:rFonts w:ascii="Verdana" w:hAnsi="Verdana"/>
          <w:b w:val="0"/>
          <w:sz w:val="20"/>
          <w:szCs w:val="20"/>
        </w:rPr>
        <w:t xml:space="preserve">recognized the soundness of the Constitutional Chamber’s judgment because it established that in vitro fertilization was not prohibited in Costa Rica as long as the objections described by the Constitutional Chamber did not apply. The Tribunal stated that this medical procedure, as now developed, makes it possible, in a female reproductive cycle, to fertilize a single egg for subsequent placement in the mother’s uterus. Subsequently, the Costa Rican Social Security Fund appealed the Superior Tribunal’s judgment and, on August 19, </w:t>
      </w:r>
      <w:r w:rsidRPr="00B715A5">
        <w:rPr>
          <w:rFonts w:ascii="Verdana" w:hAnsi="Verdana"/>
          <w:b w:val="0"/>
          <w:sz w:val="20"/>
          <w:szCs w:val="20"/>
        </w:rPr>
        <w:lastRenderedPageBreak/>
        <w:t xml:space="preserve">2009, the magistrates of the First Chamber of the </w:t>
      </w:r>
      <w:r w:rsidRPr="00B715A5">
        <w:rPr>
          <w:rFonts w:ascii="Verdana" w:hAnsi="Verdana" w:cs="Arial"/>
          <w:b w:val="0"/>
          <w:sz w:val="20"/>
          <w:szCs w:val="20"/>
        </w:rPr>
        <w:t>Supreme Court of Justice reversed that ruling and declared the suit groundless.</w:t>
      </w:r>
    </w:p>
    <w:p w:rsidR="002A630A" w:rsidRPr="00B715A5" w:rsidRDefault="002A630A" w:rsidP="00B715A5">
      <w:pPr>
        <w:pStyle w:val="Heading2"/>
        <w:spacing w:before="0" w:beforeAutospacing="0" w:after="0" w:afterAutospacing="0"/>
        <w:rPr>
          <w:rFonts w:ascii="Verdana" w:hAnsi="Verdana" w:cs="Arial"/>
          <w:b w:val="0"/>
          <w:sz w:val="20"/>
          <w:szCs w:val="20"/>
        </w:rPr>
      </w:pPr>
    </w:p>
    <w:p w:rsidR="002A630A" w:rsidRPr="00B715A5" w:rsidRDefault="002A630A" w:rsidP="00B715A5">
      <w:pPr>
        <w:pStyle w:val="Heading2"/>
        <w:numPr>
          <w:ilvl w:val="0"/>
          <w:numId w:val="22"/>
        </w:numPr>
        <w:tabs>
          <w:tab w:val="clear" w:pos="540"/>
        </w:tabs>
        <w:spacing w:before="0" w:beforeAutospacing="0" w:after="0" w:afterAutospacing="0"/>
        <w:jc w:val="both"/>
        <w:rPr>
          <w:rFonts w:ascii="Verdana" w:hAnsi="Verdana" w:cs="Arial"/>
          <w:b w:val="0"/>
          <w:sz w:val="20"/>
          <w:szCs w:val="20"/>
        </w:rPr>
      </w:pPr>
      <w:r w:rsidRPr="00B715A5">
        <w:rPr>
          <w:rFonts w:ascii="Verdana" w:hAnsi="Verdana" w:cs="Arial"/>
          <w:b w:val="0"/>
          <w:sz w:val="20"/>
          <w:szCs w:val="20"/>
        </w:rPr>
        <w:t>On the other hand, at a</w:t>
      </w:r>
      <w:r w:rsidRPr="00B715A5">
        <w:rPr>
          <w:rFonts w:ascii="Verdana" w:hAnsi="Verdana"/>
          <w:b w:val="0"/>
          <w:sz w:val="20"/>
          <w:szCs w:val="20"/>
        </w:rPr>
        <w:t xml:space="preserve"> public hearing held on October 28, 2008, during the 133</w:t>
      </w:r>
      <w:r w:rsidRPr="00B715A5">
        <w:rPr>
          <w:rFonts w:ascii="Verdana" w:hAnsi="Verdana"/>
          <w:b w:val="0"/>
          <w:sz w:val="20"/>
          <w:szCs w:val="20"/>
          <w:vertAlign w:val="superscript"/>
        </w:rPr>
        <w:t>rd</w:t>
      </w:r>
      <w:r w:rsidRPr="00B715A5">
        <w:rPr>
          <w:rFonts w:ascii="Verdana" w:hAnsi="Verdana"/>
          <w:b w:val="0"/>
          <w:sz w:val="20"/>
          <w:szCs w:val="20"/>
        </w:rPr>
        <w:t xml:space="preserve"> regular period of sessions</w:t>
      </w:r>
      <w:r w:rsidRPr="00B715A5">
        <w:rPr>
          <w:rStyle w:val="FootnoteReference"/>
          <w:b w:val="0"/>
          <w:szCs w:val="20"/>
        </w:rPr>
        <w:footnoteReference w:id="8"/>
      </w:r>
      <w:r w:rsidRPr="00B715A5">
        <w:rPr>
          <w:rFonts w:ascii="Verdana" w:hAnsi="Verdana"/>
          <w:b w:val="0"/>
          <w:sz w:val="20"/>
          <w:szCs w:val="20"/>
        </w:rPr>
        <w:t xml:space="preserve">, on case 12.361 and petitions </w:t>
      </w:r>
      <w:r w:rsidRPr="00B715A5">
        <w:rPr>
          <w:rFonts w:ascii="Verdana" w:hAnsi="Verdana"/>
          <w:b w:val="0"/>
          <w:bCs w:val="0"/>
          <w:sz w:val="20"/>
          <w:szCs w:val="20"/>
        </w:rPr>
        <w:t>16-05, 678-06, 1191-06, and 545-07,</w:t>
      </w:r>
      <w:r w:rsidRPr="00B715A5">
        <w:rPr>
          <w:rFonts w:ascii="Verdana" w:hAnsi="Verdana"/>
          <w:b w:val="0"/>
          <w:sz w:val="20"/>
          <w:szCs w:val="20"/>
        </w:rPr>
        <w:t xml:space="preserve"> which were later joined to petition 1368-04, the State affirmed to the IACHR that the probability of success with the fertilization of a single embryo, as described by the </w:t>
      </w:r>
      <w:r w:rsidRPr="00B715A5">
        <w:rPr>
          <w:rFonts w:ascii="Verdana" w:hAnsi="Verdana"/>
          <w:b w:val="0"/>
          <w:color w:val="000000"/>
          <w:sz w:val="20"/>
          <w:szCs w:val="20"/>
        </w:rPr>
        <w:t>Superior Tribunal of Contentious Civil Treasury Matters</w:t>
      </w:r>
      <w:r w:rsidRPr="00B715A5">
        <w:rPr>
          <w:rFonts w:ascii="Verdana" w:hAnsi="Verdana"/>
          <w:b w:val="0"/>
          <w:sz w:val="20"/>
          <w:szCs w:val="20"/>
        </w:rPr>
        <w:t xml:space="preserve"> in its first-instance judgment, dated October 15, 2008, was very low and, therefore, the procedure would have to be performed multiple times to achieve pregnancy. It also indicated that the procedure established by the </w:t>
      </w:r>
      <w:r w:rsidRPr="00B715A5">
        <w:rPr>
          <w:rFonts w:ascii="Verdana" w:hAnsi="Verdana"/>
          <w:b w:val="0"/>
          <w:color w:val="000000"/>
          <w:sz w:val="20"/>
          <w:szCs w:val="20"/>
        </w:rPr>
        <w:t>Superior Tribunal of Contentious Civil Treasury Matters</w:t>
      </w:r>
      <w:r w:rsidRPr="00B715A5">
        <w:rPr>
          <w:rFonts w:ascii="Verdana" w:hAnsi="Verdana"/>
          <w:b w:val="0"/>
          <w:sz w:val="20"/>
          <w:szCs w:val="20"/>
        </w:rPr>
        <w:t xml:space="preserve"> is largely unsuccessful and carries a high embryonic loss rate</w:t>
      </w:r>
      <w:r w:rsidRPr="00B715A5">
        <w:rPr>
          <w:rStyle w:val="FootnoteReference"/>
          <w:b w:val="0"/>
          <w:szCs w:val="20"/>
        </w:rPr>
        <w:footnoteReference w:id="9"/>
      </w:r>
      <w:r w:rsidRPr="00B715A5">
        <w:rPr>
          <w:rFonts w:ascii="Verdana" w:hAnsi="Verdana"/>
          <w:b w:val="0"/>
          <w:sz w:val="20"/>
          <w:szCs w:val="20"/>
        </w:rPr>
        <w:t>.</w:t>
      </w:r>
    </w:p>
    <w:p w:rsidR="002A630A" w:rsidRPr="00B715A5" w:rsidRDefault="002A630A" w:rsidP="00B715A5">
      <w:pPr>
        <w:pStyle w:val="Heading2"/>
        <w:spacing w:before="0" w:beforeAutospacing="0" w:after="0" w:afterAutospacing="0"/>
        <w:rPr>
          <w:rFonts w:ascii="Verdana" w:hAnsi="Verdana" w:cs="Arial"/>
          <w:b w:val="0"/>
          <w:sz w:val="20"/>
          <w:szCs w:val="20"/>
        </w:rPr>
      </w:pPr>
    </w:p>
    <w:p w:rsidR="002A630A" w:rsidRPr="00B715A5" w:rsidRDefault="002A630A" w:rsidP="00B715A5">
      <w:pPr>
        <w:pStyle w:val="Heading2"/>
        <w:numPr>
          <w:ilvl w:val="0"/>
          <w:numId w:val="22"/>
        </w:numPr>
        <w:tabs>
          <w:tab w:val="clear" w:pos="540"/>
        </w:tabs>
        <w:spacing w:before="0" w:beforeAutospacing="0" w:after="0" w:afterAutospacing="0"/>
        <w:jc w:val="both"/>
        <w:rPr>
          <w:rFonts w:ascii="Verdana" w:hAnsi="Verdana" w:cs="Arial"/>
          <w:b w:val="0"/>
          <w:sz w:val="20"/>
          <w:szCs w:val="20"/>
        </w:rPr>
      </w:pPr>
      <w:r w:rsidRPr="00B715A5">
        <w:rPr>
          <w:rFonts w:ascii="Verdana" w:hAnsi="Verdana"/>
          <w:b w:val="0"/>
          <w:sz w:val="20"/>
          <w:szCs w:val="20"/>
        </w:rPr>
        <w:t>The State maintains that all the joined petitions were presented after the deadline, that is, beyond the period of six months, having been presented to the IACHR in</w:t>
      </w:r>
      <w:r w:rsidRPr="00B715A5">
        <w:rPr>
          <w:rFonts w:ascii="Verdana" w:hAnsi="Verdana" w:cs="Arial"/>
          <w:b w:val="0"/>
          <w:sz w:val="20"/>
          <w:szCs w:val="20"/>
        </w:rPr>
        <w:t xml:space="preserve"> 2004, 2005, 2006, and 2007—various years, respectively, after the announcement of the final ruling on the matter</w:t>
      </w:r>
      <w:r w:rsidRPr="00B715A5">
        <w:rPr>
          <w:rStyle w:val="FootnoteReference"/>
          <w:rFonts w:cs="Arial"/>
          <w:b w:val="0"/>
          <w:bCs w:val="0"/>
          <w:szCs w:val="20"/>
        </w:rPr>
        <w:footnoteReference w:id="10"/>
      </w:r>
      <w:r w:rsidRPr="00B715A5">
        <w:rPr>
          <w:rFonts w:ascii="Verdana" w:hAnsi="Verdana" w:cs="Arial"/>
          <w:b w:val="0"/>
          <w:sz w:val="20"/>
          <w:szCs w:val="20"/>
        </w:rPr>
        <w:t>,</w:t>
      </w:r>
      <w:r w:rsidRPr="00B715A5">
        <w:rPr>
          <w:rFonts w:ascii="Verdana" w:hAnsi="Verdana"/>
          <w:b w:val="0"/>
          <w:sz w:val="20"/>
          <w:szCs w:val="20"/>
        </w:rPr>
        <w:t xml:space="preserve"> which was issued on March 15, 2000, in judgment 2000-02306 of the Constitutional Chamber of the Supreme Court of Justice of Costa Rica</w:t>
      </w:r>
      <w:r w:rsidRPr="00B715A5">
        <w:rPr>
          <w:rFonts w:ascii="Verdana" w:hAnsi="Verdana" w:cs="Arial"/>
          <w:b w:val="0"/>
          <w:sz w:val="20"/>
          <w:szCs w:val="20"/>
        </w:rPr>
        <w:t xml:space="preserve">.  </w:t>
      </w:r>
    </w:p>
    <w:p w:rsidR="002A630A" w:rsidRPr="00B715A5" w:rsidRDefault="002A630A" w:rsidP="00B715A5">
      <w:pPr>
        <w:pStyle w:val="Heading2"/>
        <w:spacing w:before="0" w:beforeAutospacing="0" w:after="0" w:afterAutospacing="0"/>
        <w:rPr>
          <w:rFonts w:ascii="Verdana" w:hAnsi="Verdana" w:cs="Arial"/>
          <w:b w:val="0"/>
          <w:sz w:val="20"/>
          <w:szCs w:val="20"/>
        </w:rPr>
      </w:pPr>
    </w:p>
    <w:p w:rsidR="002A630A" w:rsidRPr="00B715A5" w:rsidRDefault="002A630A" w:rsidP="00B715A5">
      <w:pPr>
        <w:pStyle w:val="Heading2"/>
        <w:spacing w:before="0" w:beforeAutospacing="0" w:after="0" w:afterAutospacing="0"/>
        <w:ind w:left="720"/>
        <w:rPr>
          <w:rFonts w:ascii="Verdana" w:hAnsi="Verdana"/>
          <w:sz w:val="20"/>
          <w:szCs w:val="20"/>
        </w:rPr>
      </w:pPr>
      <w:r w:rsidRPr="00B715A5">
        <w:rPr>
          <w:rFonts w:ascii="Verdana" w:hAnsi="Verdana"/>
          <w:sz w:val="20"/>
          <w:szCs w:val="20"/>
        </w:rPr>
        <w:t>IV.</w:t>
      </w:r>
      <w:r w:rsidRPr="00B715A5">
        <w:rPr>
          <w:rFonts w:ascii="Verdana" w:hAnsi="Verdana"/>
          <w:sz w:val="20"/>
          <w:szCs w:val="20"/>
        </w:rPr>
        <w:tab/>
        <w:t>ANALYSIS OF ADMISSIBILITY</w:t>
      </w:r>
    </w:p>
    <w:p w:rsidR="002A630A" w:rsidRPr="00B715A5" w:rsidRDefault="002A630A" w:rsidP="00B715A5">
      <w:pPr>
        <w:rPr>
          <w:b/>
          <w:szCs w:val="20"/>
        </w:rPr>
      </w:pPr>
    </w:p>
    <w:p w:rsidR="002A630A" w:rsidRPr="00B715A5" w:rsidRDefault="002A630A" w:rsidP="00B715A5">
      <w:pPr>
        <w:pStyle w:val="Heading2"/>
        <w:keepNext/>
        <w:numPr>
          <w:ilvl w:val="2"/>
          <w:numId w:val="23"/>
        </w:numPr>
        <w:tabs>
          <w:tab w:val="clear" w:pos="2985"/>
          <w:tab w:val="num" w:pos="1455"/>
        </w:tabs>
        <w:spacing w:before="0" w:beforeAutospacing="0" w:after="0" w:afterAutospacing="0"/>
        <w:ind w:left="1440" w:hanging="720"/>
        <w:jc w:val="both"/>
        <w:rPr>
          <w:rStyle w:val="Heading2CharChar"/>
          <w:rFonts w:ascii="Verdana" w:hAnsi="Verdana"/>
          <w:b/>
          <w:bCs/>
          <w:i/>
          <w:sz w:val="20"/>
          <w:szCs w:val="20"/>
        </w:rPr>
      </w:pPr>
      <w:r w:rsidRPr="00B715A5">
        <w:rPr>
          <w:rStyle w:val="Heading2CharChar"/>
          <w:rFonts w:ascii="Verdana" w:hAnsi="Verdana"/>
          <w:b/>
          <w:bCs/>
          <w:sz w:val="20"/>
          <w:szCs w:val="20"/>
        </w:rPr>
        <w:t xml:space="preserve">Competence of the Commission </w:t>
      </w:r>
      <w:r w:rsidRPr="00B715A5">
        <w:rPr>
          <w:rStyle w:val="Heading2CharChar"/>
          <w:rFonts w:ascii="Verdana" w:hAnsi="Verdana"/>
          <w:b/>
          <w:bCs/>
          <w:i/>
          <w:sz w:val="20"/>
          <w:szCs w:val="20"/>
        </w:rPr>
        <w:t xml:space="preserve">ratione personæ, ratione loci, ratione temporis, </w:t>
      </w:r>
      <w:r w:rsidRPr="00B715A5">
        <w:rPr>
          <w:rStyle w:val="Heading2CharChar"/>
          <w:rFonts w:ascii="Verdana" w:hAnsi="Verdana"/>
          <w:b/>
          <w:bCs/>
          <w:sz w:val="20"/>
          <w:szCs w:val="20"/>
        </w:rPr>
        <w:t>and</w:t>
      </w:r>
      <w:r w:rsidRPr="00B715A5">
        <w:rPr>
          <w:rStyle w:val="Heading2CharChar"/>
          <w:rFonts w:ascii="Verdana" w:hAnsi="Verdana"/>
          <w:b/>
          <w:bCs/>
          <w:i/>
          <w:sz w:val="20"/>
          <w:szCs w:val="20"/>
        </w:rPr>
        <w:t xml:space="preserve"> ratione materiæ</w:t>
      </w:r>
    </w:p>
    <w:p w:rsidR="002A630A" w:rsidRPr="00B715A5" w:rsidRDefault="002A630A" w:rsidP="00B715A5">
      <w:pPr>
        <w:pStyle w:val="Heading2"/>
        <w:spacing w:before="0" w:beforeAutospacing="0" w:after="0" w:afterAutospacing="0"/>
        <w:rPr>
          <w:rFonts w:ascii="Verdana" w:hAnsi="Verdana"/>
          <w:b w:val="0"/>
          <w:sz w:val="20"/>
          <w:szCs w:val="20"/>
        </w:rPr>
      </w:pPr>
    </w:p>
    <w:p w:rsidR="002A630A" w:rsidRPr="00B715A5" w:rsidRDefault="002A630A" w:rsidP="00B715A5">
      <w:pPr>
        <w:pStyle w:val="Heading2"/>
        <w:numPr>
          <w:ilvl w:val="0"/>
          <w:numId w:val="22"/>
        </w:numPr>
        <w:tabs>
          <w:tab w:val="clear" w:pos="540"/>
        </w:tabs>
        <w:spacing w:before="0" w:beforeAutospacing="0" w:after="0" w:afterAutospacing="0"/>
        <w:jc w:val="both"/>
        <w:rPr>
          <w:rFonts w:ascii="Verdana" w:hAnsi="Verdana"/>
          <w:b w:val="0"/>
          <w:sz w:val="20"/>
          <w:szCs w:val="20"/>
        </w:rPr>
      </w:pPr>
      <w:r w:rsidRPr="00B715A5">
        <w:rPr>
          <w:rFonts w:ascii="Verdana" w:hAnsi="Verdana"/>
          <w:b w:val="0"/>
          <w:sz w:val="20"/>
          <w:szCs w:val="20"/>
        </w:rPr>
        <w:t xml:space="preserve">The petitioner is empowered by Article 44 of the American Convention to submit petitions to the Commission. </w:t>
      </w:r>
      <w:r w:rsidRPr="00B715A5">
        <w:rPr>
          <w:rFonts w:ascii="Verdana" w:hAnsi="Verdana"/>
          <w:b w:val="0"/>
          <w:spacing w:val="-2"/>
          <w:sz w:val="20"/>
          <w:szCs w:val="20"/>
        </w:rPr>
        <w:t>The petition names as alleged victims 12 natural persons in respect of whom the Costa Rican State undertook to respect and guarantee the rights enshrined in the American Convention</w:t>
      </w:r>
      <w:r w:rsidRPr="00B715A5">
        <w:rPr>
          <w:rFonts w:ascii="Verdana" w:hAnsi="Verdana"/>
          <w:b w:val="0"/>
          <w:sz w:val="20"/>
          <w:szCs w:val="20"/>
        </w:rPr>
        <w:t xml:space="preserve">. Costa Rica has been a state party to the American Convention since April 8, 1970, when it deposited its instrument of ratification.  Therefore the Commission is competent </w:t>
      </w:r>
      <w:r w:rsidRPr="00B715A5">
        <w:rPr>
          <w:rFonts w:ascii="Verdana" w:hAnsi="Verdana"/>
          <w:b w:val="0"/>
          <w:i/>
          <w:iCs/>
          <w:sz w:val="20"/>
          <w:szCs w:val="20"/>
        </w:rPr>
        <w:t>ratione personæ</w:t>
      </w:r>
      <w:r w:rsidRPr="00B715A5">
        <w:rPr>
          <w:rFonts w:ascii="Verdana" w:hAnsi="Verdana"/>
          <w:b w:val="0"/>
          <w:sz w:val="20"/>
          <w:szCs w:val="20"/>
        </w:rPr>
        <w:t xml:space="preserve"> to hear the petition. </w:t>
      </w:r>
    </w:p>
    <w:p w:rsidR="002A630A" w:rsidRPr="00B715A5" w:rsidRDefault="002A630A" w:rsidP="00B715A5">
      <w:pPr>
        <w:pStyle w:val="Heading2"/>
        <w:spacing w:before="0" w:beforeAutospacing="0" w:after="0" w:afterAutospacing="0"/>
        <w:rPr>
          <w:rFonts w:ascii="Verdana" w:hAnsi="Verdana"/>
          <w:b w:val="0"/>
          <w:sz w:val="20"/>
          <w:szCs w:val="20"/>
        </w:rPr>
      </w:pPr>
    </w:p>
    <w:p w:rsidR="002A630A" w:rsidRPr="00B715A5" w:rsidRDefault="002A630A" w:rsidP="00B715A5">
      <w:pPr>
        <w:pStyle w:val="Heading2"/>
        <w:numPr>
          <w:ilvl w:val="0"/>
          <w:numId w:val="22"/>
        </w:numPr>
        <w:tabs>
          <w:tab w:val="clear" w:pos="540"/>
        </w:tabs>
        <w:spacing w:before="0" w:beforeAutospacing="0" w:after="0" w:afterAutospacing="0"/>
        <w:jc w:val="both"/>
        <w:rPr>
          <w:rFonts w:ascii="Verdana" w:hAnsi="Verdana"/>
          <w:b w:val="0"/>
          <w:sz w:val="20"/>
          <w:szCs w:val="20"/>
        </w:rPr>
      </w:pPr>
      <w:r w:rsidRPr="00B715A5">
        <w:rPr>
          <w:rFonts w:ascii="Verdana" w:hAnsi="Verdana"/>
          <w:b w:val="0"/>
          <w:sz w:val="20"/>
          <w:szCs w:val="20"/>
        </w:rPr>
        <w:t xml:space="preserve">The Commission, further, is competent </w:t>
      </w:r>
      <w:r w:rsidRPr="00B715A5">
        <w:rPr>
          <w:rFonts w:ascii="Verdana" w:hAnsi="Verdana"/>
          <w:b w:val="0"/>
          <w:i/>
          <w:iCs/>
          <w:sz w:val="20"/>
          <w:szCs w:val="20"/>
        </w:rPr>
        <w:t>ratione loci</w:t>
      </w:r>
      <w:r w:rsidRPr="00B715A5">
        <w:rPr>
          <w:rFonts w:ascii="Verdana" w:hAnsi="Verdana"/>
          <w:b w:val="0"/>
          <w:sz w:val="20"/>
          <w:szCs w:val="20"/>
        </w:rPr>
        <w:t xml:space="preserve"> to hear the petition, </w:t>
      </w:r>
      <w:r w:rsidRPr="00B715A5">
        <w:rPr>
          <w:rFonts w:ascii="Verdana" w:hAnsi="Verdana"/>
          <w:b w:val="0"/>
          <w:spacing w:val="-2"/>
          <w:sz w:val="20"/>
          <w:szCs w:val="20"/>
        </w:rPr>
        <w:t>since it alleges violations of rights protected in the American Convention that are said to have taken place under the jurisdiction of the state party.  The Commission is competent</w:t>
      </w:r>
      <w:r w:rsidRPr="00B715A5">
        <w:rPr>
          <w:rFonts w:ascii="Verdana" w:hAnsi="Verdana"/>
          <w:b w:val="0"/>
          <w:sz w:val="20"/>
          <w:szCs w:val="20"/>
        </w:rPr>
        <w:t xml:space="preserve"> </w:t>
      </w:r>
      <w:r w:rsidRPr="00B715A5">
        <w:rPr>
          <w:rFonts w:ascii="Verdana" w:hAnsi="Verdana"/>
          <w:b w:val="0"/>
          <w:i/>
          <w:iCs/>
          <w:sz w:val="20"/>
          <w:szCs w:val="20"/>
        </w:rPr>
        <w:t>ratione temporis</w:t>
      </w:r>
      <w:r w:rsidRPr="00B715A5">
        <w:rPr>
          <w:rFonts w:ascii="Verdana" w:hAnsi="Verdana"/>
          <w:b w:val="0"/>
          <w:sz w:val="20"/>
          <w:szCs w:val="20"/>
        </w:rPr>
        <w:t xml:space="preserve"> to examine the complaint because the obligation to respect and guarantee the rights protected in the American Convention was already in force for the State on the date on which the events described in the petition allegedly took place. Finally, the Commission is competent </w:t>
      </w:r>
      <w:r w:rsidRPr="00B715A5">
        <w:rPr>
          <w:rFonts w:ascii="Verdana" w:hAnsi="Verdana"/>
          <w:b w:val="0"/>
          <w:i/>
          <w:iCs/>
          <w:sz w:val="20"/>
          <w:szCs w:val="20"/>
        </w:rPr>
        <w:t>ratione materiæ</w:t>
      </w:r>
      <w:r w:rsidRPr="00B715A5">
        <w:rPr>
          <w:rFonts w:ascii="Verdana" w:hAnsi="Verdana"/>
          <w:b w:val="0"/>
          <w:sz w:val="20"/>
          <w:szCs w:val="20"/>
        </w:rPr>
        <w:t>, because the petition alleges possible violations of human rights protected by the American Convention.</w:t>
      </w:r>
    </w:p>
    <w:p w:rsidR="002A630A" w:rsidRPr="00B715A5" w:rsidRDefault="002A630A" w:rsidP="00B715A5">
      <w:pPr>
        <w:pStyle w:val="Heading2"/>
        <w:spacing w:before="0" w:beforeAutospacing="0" w:after="0" w:afterAutospacing="0"/>
        <w:rPr>
          <w:rFonts w:ascii="Verdana" w:hAnsi="Verdana"/>
          <w:b w:val="0"/>
          <w:sz w:val="20"/>
          <w:szCs w:val="20"/>
        </w:rPr>
      </w:pPr>
    </w:p>
    <w:p w:rsidR="002A630A" w:rsidRPr="00B715A5" w:rsidRDefault="002A630A" w:rsidP="00B715A5">
      <w:pPr>
        <w:pStyle w:val="Heading2"/>
        <w:numPr>
          <w:ilvl w:val="0"/>
          <w:numId w:val="22"/>
        </w:numPr>
        <w:tabs>
          <w:tab w:val="clear" w:pos="540"/>
        </w:tabs>
        <w:spacing w:before="0" w:beforeAutospacing="0" w:after="0" w:afterAutospacing="0"/>
        <w:jc w:val="both"/>
        <w:rPr>
          <w:rFonts w:ascii="Verdana" w:hAnsi="Verdana"/>
          <w:b w:val="0"/>
          <w:sz w:val="20"/>
          <w:szCs w:val="20"/>
        </w:rPr>
      </w:pPr>
      <w:r w:rsidRPr="00B715A5">
        <w:rPr>
          <w:rFonts w:ascii="Verdana" w:hAnsi="Verdana"/>
          <w:b w:val="0"/>
          <w:sz w:val="20"/>
          <w:szCs w:val="20"/>
        </w:rPr>
        <w:t xml:space="preserve">Although the IACHR lacks competence </w:t>
      </w:r>
      <w:r w:rsidRPr="00B715A5">
        <w:rPr>
          <w:rFonts w:ascii="Verdana" w:hAnsi="Verdana"/>
          <w:b w:val="0"/>
          <w:i/>
          <w:iCs/>
          <w:sz w:val="20"/>
          <w:szCs w:val="20"/>
        </w:rPr>
        <w:t>ratione materiae</w:t>
      </w:r>
      <w:r w:rsidRPr="00B715A5">
        <w:rPr>
          <w:rFonts w:ascii="Verdana" w:hAnsi="Verdana"/>
          <w:b w:val="0"/>
          <w:sz w:val="20"/>
          <w:szCs w:val="20"/>
        </w:rPr>
        <w:t xml:space="preserve"> under its system of individual petitions to rule on an individual case concerning the violations of Articles 1, 2, 3, 10, 14.1.b, and 18 of the Protocol of San Salvador alleged by the petitioner, the Commission, bearing in mind the provisions of Articles 26 and 29 of the American Convention, may consider the provisions of that Protocol in interpreting other applicable provisions of the American Convention and of other treaties in respect of which it does have competence </w:t>
      </w:r>
      <w:r w:rsidRPr="00B715A5">
        <w:rPr>
          <w:rFonts w:ascii="Verdana" w:hAnsi="Verdana"/>
          <w:b w:val="0"/>
          <w:i/>
          <w:iCs/>
          <w:sz w:val="20"/>
          <w:szCs w:val="20"/>
        </w:rPr>
        <w:t>ratione materiae</w:t>
      </w:r>
      <w:r w:rsidRPr="00B715A5">
        <w:rPr>
          <w:rStyle w:val="FootnoteReference"/>
          <w:b w:val="0"/>
          <w:szCs w:val="20"/>
        </w:rPr>
        <w:footnoteReference w:id="11"/>
      </w:r>
      <w:r w:rsidRPr="00B715A5">
        <w:rPr>
          <w:rFonts w:ascii="Verdana" w:hAnsi="Verdana"/>
          <w:b w:val="0"/>
          <w:i/>
          <w:iCs/>
          <w:sz w:val="20"/>
          <w:szCs w:val="20"/>
        </w:rPr>
        <w:t>.</w:t>
      </w:r>
      <w:r w:rsidRPr="00B715A5">
        <w:rPr>
          <w:rFonts w:ascii="Verdana" w:hAnsi="Verdana"/>
          <w:b w:val="0"/>
          <w:iCs/>
          <w:sz w:val="20"/>
          <w:szCs w:val="20"/>
        </w:rPr>
        <w:t xml:space="preserve"> Therefore the Inter-American Commission shall interpret the articles of the </w:t>
      </w:r>
      <w:r w:rsidRPr="00B715A5">
        <w:rPr>
          <w:rFonts w:ascii="Verdana" w:hAnsi="Verdana"/>
          <w:b w:val="0"/>
          <w:sz w:val="20"/>
          <w:szCs w:val="20"/>
        </w:rPr>
        <w:t>Protocol of San Salvador to the extent that this is relevant to its application of the American Convention</w:t>
      </w:r>
      <w:r w:rsidRPr="00B715A5">
        <w:rPr>
          <w:rStyle w:val="FootnoteReference"/>
          <w:b w:val="0"/>
          <w:szCs w:val="20"/>
        </w:rPr>
        <w:footnoteReference w:id="12"/>
      </w:r>
      <w:r w:rsidRPr="00B715A5">
        <w:rPr>
          <w:rFonts w:ascii="Verdana" w:hAnsi="Verdana"/>
          <w:b w:val="0"/>
          <w:sz w:val="20"/>
          <w:szCs w:val="20"/>
        </w:rPr>
        <w:t>.</w:t>
      </w:r>
    </w:p>
    <w:p w:rsidR="002A630A" w:rsidRPr="00B715A5" w:rsidRDefault="002A630A" w:rsidP="00B715A5">
      <w:pPr>
        <w:pStyle w:val="Heading2"/>
        <w:spacing w:before="0" w:beforeAutospacing="0" w:after="0" w:afterAutospacing="0"/>
        <w:rPr>
          <w:rFonts w:ascii="Verdana" w:hAnsi="Verdana"/>
          <w:sz w:val="20"/>
          <w:szCs w:val="20"/>
        </w:rPr>
      </w:pPr>
    </w:p>
    <w:p w:rsidR="002A630A" w:rsidRPr="00B715A5" w:rsidRDefault="002A630A" w:rsidP="00B715A5">
      <w:pPr>
        <w:pStyle w:val="Heading2"/>
        <w:keepNext/>
        <w:numPr>
          <w:ilvl w:val="2"/>
          <w:numId w:val="23"/>
        </w:numPr>
        <w:tabs>
          <w:tab w:val="clear" w:pos="2985"/>
          <w:tab w:val="num" w:pos="1455"/>
        </w:tabs>
        <w:spacing w:before="0" w:beforeAutospacing="0" w:after="0" w:afterAutospacing="0"/>
        <w:ind w:left="1440" w:hanging="720"/>
        <w:jc w:val="both"/>
        <w:rPr>
          <w:rFonts w:ascii="Verdana" w:hAnsi="Verdana"/>
          <w:b w:val="0"/>
          <w:sz w:val="20"/>
          <w:szCs w:val="20"/>
        </w:rPr>
      </w:pPr>
      <w:r w:rsidRPr="00B715A5">
        <w:rPr>
          <w:rStyle w:val="Heading2CharChar"/>
          <w:rFonts w:ascii="Verdana" w:hAnsi="Verdana"/>
          <w:b/>
          <w:bCs/>
          <w:sz w:val="20"/>
          <w:szCs w:val="20"/>
        </w:rPr>
        <w:t>Other requirements for the admissibility of the petition</w:t>
      </w:r>
    </w:p>
    <w:p w:rsidR="002A630A" w:rsidRPr="00B715A5" w:rsidRDefault="002A630A" w:rsidP="00B715A5">
      <w:pPr>
        <w:ind w:firstLine="720"/>
        <w:rPr>
          <w:b/>
          <w:szCs w:val="20"/>
          <w:lang w:val="en-US"/>
        </w:rPr>
      </w:pPr>
    </w:p>
    <w:p w:rsidR="002A630A" w:rsidRPr="00B715A5" w:rsidRDefault="002A630A" w:rsidP="00B715A5">
      <w:pPr>
        <w:pStyle w:val="Heading2"/>
        <w:keepNext/>
        <w:numPr>
          <w:ilvl w:val="0"/>
          <w:numId w:val="24"/>
        </w:numPr>
        <w:tabs>
          <w:tab w:val="clear" w:pos="2070"/>
        </w:tabs>
        <w:spacing w:before="0" w:beforeAutospacing="0" w:after="0" w:afterAutospacing="0"/>
        <w:ind w:left="0" w:firstLine="720"/>
        <w:jc w:val="both"/>
        <w:rPr>
          <w:rFonts w:ascii="Verdana" w:hAnsi="Verdana"/>
          <w:bCs w:val="0"/>
          <w:sz w:val="20"/>
          <w:szCs w:val="20"/>
        </w:rPr>
      </w:pPr>
      <w:r w:rsidRPr="00B715A5">
        <w:rPr>
          <w:rFonts w:ascii="Verdana" w:hAnsi="Verdana"/>
          <w:bCs w:val="0"/>
          <w:sz w:val="20"/>
          <w:szCs w:val="20"/>
        </w:rPr>
        <w:t>Exhaustion of domestic remedies</w:t>
      </w:r>
    </w:p>
    <w:p w:rsidR="002A630A" w:rsidRPr="00B715A5" w:rsidRDefault="002A630A" w:rsidP="00B715A5">
      <w:pPr>
        <w:rPr>
          <w:bCs/>
          <w:szCs w:val="20"/>
        </w:rPr>
      </w:pPr>
    </w:p>
    <w:p w:rsidR="002A630A" w:rsidRPr="00B715A5" w:rsidRDefault="002A630A" w:rsidP="00B715A5">
      <w:pPr>
        <w:pStyle w:val="Heading2"/>
        <w:numPr>
          <w:ilvl w:val="0"/>
          <w:numId w:val="22"/>
        </w:numPr>
        <w:tabs>
          <w:tab w:val="clear" w:pos="540"/>
        </w:tabs>
        <w:spacing w:before="0" w:beforeAutospacing="0" w:after="0" w:afterAutospacing="0"/>
        <w:jc w:val="both"/>
        <w:rPr>
          <w:rFonts w:ascii="Verdana" w:hAnsi="Verdana"/>
          <w:b w:val="0"/>
          <w:sz w:val="20"/>
          <w:szCs w:val="20"/>
        </w:rPr>
      </w:pPr>
      <w:r w:rsidRPr="00B715A5">
        <w:rPr>
          <w:rFonts w:ascii="Verdana" w:hAnsi="Verdana"/>
          <w:b w:val="0"/>
          <w:sz w:val="20"/>
          <w:szCs w:val="20"/>
        </w:rPr>
        <w:t xml:space="preserve">Article 46.1.a of the American Convention provides that, in order for a petition presented to the Inter-American Commission under Article 44 thereof to be admissible, the remedies available under domestic law must have been pursued and exhausted in accordance with generally recognized principles of international law. </w:t>
      </w:r>
      <w:bookmarkStart w:id="1" w:name="HIT22"/>
      <w:bookmarkStart w:id="2" w:name="HIT23"/>
      <w:bookmarkStart w:id="3" w:name="HIT24"/>
      <w:bookmarkEnd w:id="1"/>
      <w:bookmarkEnd w:id="2"/>
      <w:bookmarkEnd w:id="3"/>
      <w:r w:rsidRPr="00B715A5">
        <w:rPr>
          <w:rFonts w:ascii="Verdana" w:hAnsi="Verdana"/>
          <w:b w:val="0"/>
          <w:sz w:val="20"/>
          <w:szCs w:val="20"/>
        </w:rPr>
        <w:t xml:space="preserve"> The purpose of this requirement is to allow the national authorities to consider the alleged violation of a protected right and, if applicable, have the opportunity to resolve the matter before it may be heard by an international body. </w:t>
      </w:r>
    </w:p>
    <w:p w:rsidR="002A630A" w:rsidRPr="00B715A5" w:rsidRDefault="002A630A" w:rsidP="00B715A5">
      <w:pPr>
        <w:pStyle w:val="Heading2"/>
        <w:spacing w:before="0" w:beforeAutospacing="0" w:after="0" w:afterAutospacing="0"/>
        <w:rPr>
          <w:rFonts w:ascii="Verdana" w:hAnsi="Verdana"/>
          <w:b w:val="0"/>
          <w:bCs w:val="0"/>
          <w:sz w:val="20"/>
          <w:szCs w:val="20"/>
        </w:rPr>
      </w:pPr>
    </w:p>
    <w:p w:rsidR="002A630A" w:rsidRPr="00B715A5" w:rsidRDefault="002A630A" w:rsidP="00B715A5">
      <w:pPr>
        <w:pStyle w:val="Heading2"/>
        <w:numPr>
          <w:ilvl w:val="0"/>
          <w:numId w:val="22"/>
        </w:numPr>
        <w:tabs>
          <w:tab w:val="clear" w:pos="540"/>
        </w:tabs>
        <w:spacing w:before="0" w:beforeAutospacing="0" w:after="0" w:afterAutospacing="0"/>
        <w:jc w:val="both"/>
        <w:rPr>
          <w:rFonts w:ascii="Verdana" w:hAnsi="Verdana"/>
          <w:b w:val="0"/>
          <w:bCs w:val="0"/>
          <w:sz w:val="20"/>
          <w:szCs w:val="20"/>
        </w:rPr>
      </w:pPr>
      <w:r w:rsidRPr="00B715A5">
        <w:rPr>
          <w:rFonts w:ascii="Verdana" w:hAnsi="Verdana"/>
          <w:b w:val="0"/>
          <w:sz w:val="20"/>
          <w:szCs w:val="20"/>
        </w:rPr>
        <w:t xml:space="preserve">As for the exhaustion of domestic remedies, the petitioner maintains that such remedies were exhausted under Article  </w:t>
      </w:r>
      <w:r w:rsidRPr="00B715A5">
        <w:rPr>
          <w:rFonts w:ascii="Verdana" w:hAnsi="Verdana"/>
          <w:b w:val="0"/>
          <w:bCs w:val="0"/>
          <w:sz w:val="20"/>
          <w:szCs w:val="20"/>
        </w:rPr>
        <w:t>46.1.a  of the American Convention</w:t>
      </w:r>
      <w:r w:rsidRPr="00B715A5">
        <w:rPr>
          <w:rFonts w:ascii="Verdana" w:hAnsi="Verdana"/>
          <w:b w:val="0"/>
          <w:sz w:val="20"/>
          <w:szCs w:val="20"/>
        </w:rPr>
        <w:t xml:space="preserve"> and therefore none of the alleged victims pursued a remedy at the domestic level.  He states that as a result of the </w:t>
      </w:r>
      <w:r w:rsidRPr="00B715A5">
        <w:rPr>
          <w:rFonts w:ascii="Verdana" w:hAnsi="Verdana"/>
          <w:b w:val="0"/>
          <w:bCs w:val="0"/>
          <w:sz w:val="20"/>
          <w:szCs w:val="20"/>
        </w:rPr>
        <w:t>Constitutional Chamber’s decision, in vitro fertilization in Costa Rica was effectively prohibited, and therefore no remedy could be pursued, under Article 11.2 of Costa Rica’s Constitutional Jurisdicti</w:t>
      </w:r>
      <w:r w:rsidRPr="00B715A5">
        <w:rPr>
          <w:rFonts w:ascii="Verdana" w:hAnsi="Verdana" w:cs="Arial"/>
          <w:b w:val="0"/>
          <w:bCs w:val="0"/>
          <w:sz w:val="20"/>
          <w:szCs w:val="20"/>
          <w:lang w:eastAsia="ja-JP"/>
        </w:rPr>
        <w:t>on Act, which provides that</w:t>
      </w:r>
      <w:r w:rsidRPr="00B715A5">
        <w:rPr>
          <w:rFonts w:ascii="Verdana" w:hAnsi="Verdana"/>
          <w:b w:val="0"/>
          <w:bCs w:val="0"/>
          <w:sz w:val="20"/>
          <w:szCs w:val="20"/>
        </w:rPr>
        <w:t xml:space="preserve"> judgments, decrees, and provisions of the constitutional court cannot be appealed.</w:t>
      </w:r>
      <w:r w:rsidRPr="00B715A5">
        <w:rPr>
          <w:rFonts w:ascii="Verdana" w:hAnsi="Verdana" w:cs="Arial"/>
          <w:b w:val="0"/>
          <w:bCs w:val="0"/>
          <w:sz w:val="20"/>
          <w:szCs w:val="20"/>
          <w:lang w:eastAsia="ja-JP"/>
        </w:rPr>
        <w:t xml:space="preserve"> </w:t>
      </w:r>
    </w:p>
    <w:p w:rsidR="002A630A" w:rsidRPr="00B715A5" w:rsidRDefault="002A630A" w:rsidP="00B715A5">
      <w:pPr>
        <w:pStyle w:val="Heading2"/>
        <w:spacing w:before="0" w:beforeAutospacing="0" w:after="0" w:afterAutospacing="0"/>
        <w:rPr>
          <w:rFonts w:ascii="Verdana" w:hAnsi="Verdana"/>
          <w:b w:val="0"/>
          <w:sz w:val="20"/>
          <w:szCs w:val="20"/>
        </w:rPr>
      </w:pPr>
    </w:p>
    <w:p w:rsidR="002A630A" w:rsidRPr="00B715A5" w:rsidRDefault="002A630A" w:rsidP="00B715A5">
      <w:pPr>
        <w:pStyle w:val="Heading2"/>
        <w:numPr>
          <w:ilvl w:val="0"/>
          <w:numId w:val="22"/>
        </w:numPr>
        <w:tabs>
          <w:tab w:val="clear" w:pos="540"/>
        </w:tabs>
        <w:spacing w:before="0" w:beforeAutospacing="0" w:after="0" w:afterAutospacing="0"/>
        <w:jc w:val="both"/>
        <w:rPr>
          <w:rFonts w:ascii="Verdana" w:hAnsi="Verdana" w:cs="Arial"/>
          <w:b w:val="0"/>
          <w:sz w:val="20"/>
          <w:szCs w:val="20"/>
        </w:rPr>
      </w:pPr>
      <w:r w:rsidRPr="00B715A5">
        <w:rPr>
          <w:rFonts w:ascii="Verdana" w:hAnsi="Verdana" w:cs="Arial"/>
          <w:b w:val="0"/>
          <w:sz w:val="20"/>
          <w:szCs w:val="20"/>
        </w:rPr>
        <w:t xml:space="preserve">The State, for its part, maintains that the petitioner did not exhaust domestic remedies, citing in support of this argument the fact that Ms. Ileana Henchoz Bolaños, victim in case 12,361 before the IACHR, instituted a proceeding for decision against the Costa Rican Health Fund before the </w:t>
      </w:r>
      <w:r w:rsidRPr="00B715A5">
        <w:rPr>
          <w:rFonts w:ascii="Verdana" w:hAnsi="Verdana"/>
          <w:b w:val="0"/>
          <w:color w:val="000000"/>
          <w:sz w:val="20"/>
          <w:szCs w:val="20"/>
        </w:rPr>
        <w:t>Superior Tribunal of Contentious Civil Treasury Matters,</w:t>
      </w:r>
      <w:r w:rsidRPr="00B715A5">
        <w:rPr>
          <w:rFonts w:ascii="Verdana" w:hAnsi="Verdana" w:cs="Arial"/>
          <w:b w:val="0"/>
          <w:sz w:val="20"/>
          <w:szCs w:val="20"/>
        </w:rPr>
        <w:t xml:space="preserve"> which was resolved in favor of the claimant in the first instance. Consequently, the State alleges that at the time the petitions were presented to the IACHR there existed domestic remedies that had not been exhausted.</w:t>
      </w:r>
    </w:p>
    <w:p w:rsidR="002A630A" w:rsidRPr="00B715A5" w:rsidRDefault="002A630A" w:rsidP="00B715A5">
      <w:pPr>
        <w:pStyle w:val="Heading2"/>
        <w:spacing w:before="0" w:beforeAutospacing="0" w:after="0" w:afterAutospacing="0"/>
        <w:rPr>
          <w:rFonts w:ascii="Verdana" w:hAnsi="Verdana" w:cs="Arial"/>
          <w:b w:val="0"/>
          <w:sz w:val="20"/>
          <w:szCs w:val="20"/>
        </w:rPr>
      </w:pPr>
    </w:p>
    <w:p w:rsidR="002A630A" w:rsidRPr="00B715A5" w:rsidRDefault="002A630A" w:rsidP="00B715A5">
      <w:pPr>
        <w:pStyle w:val="Heading2"/>
        <w:numPr>
          <w:ilvl w:val="0"/>
          <w:numId w:val="22"/>
        </w:numPr>
        <w:tabs>
          <w:tab w:val="clear" w:pos="540"/>
        </w:tabs>
        <w:spacing w:before="0" w:beforeAutospacing="0" w:after="0" w:afterAutospacing="0"/>
        <w:jc w:val="both"/>
        <w:rPr>
          <w:rFonts w:ascii="Verdana" w:hAnsi="Verdana"/>
          <w:b w:val="0"/>
          <w:sz w:val="20"/>
          <w:szCs w:val="20"/>
        </w:rPr>
      </w:pPr>
      <w:r w:rsidRPr="00B715A5">
        <w:rPr>
          <w:rFonts w:ascii="Verdana" w:hAnsi="Verdana"/>
          <w:b w:val="0"/>
          <w:sz w:val="20"/>
          <w:szCs w:val="20"/>
        </w:rPr>
        <w:t>In order to ascertain compliance with the requirement that domestic remedies be exhausted, the IACHR must identify the appropriate remedy according to each specific case, i.e., the remedy that could correct the violation of law.</w:t>
      </w:r>
    </w:p>
    <w:p w:rsidR="002A630A" w:rsidRPr="00B715A5" w:rsidRDefault="002A630A" w:rsidP="00B715A5">
      <w:pPr>
        <w:pStyle w:val="Heading2"/>
        <w:spacing w:before="0" w:beforeAutospacing="0" w:after="0" w:afterAutospacing="0"/>
        <w:rPr>
          <w:rFonts w:ascii="Verdana" w:hAnsi="Verdana"/>
          <w:b w:val="0"/>
          <w:sz w:val="20"/>
          <w:szCs w:val="20"/>
        </w:rPr>
      </w:pPr>
    </w:p>
    <w:p w:rsidR="002A630A" w:rsidRPr="00B715A5" w:rsidRDefault="002A630A" w:rsidP="00B715A5">
      <w:pPr>
        <w:pStyle w:val="Heading2"/>
        <w:numPr>
          <w:ilvl w:val="0"/>
          <w:numId w:val="22"/>
        </w:numPr>
        <w:tabs>
          <w:tab w:val="clear" w:pos="540"/>
        </w:tabs>
        <w:spacing w:before="0" w:beforeAutospacing="0" w:after="0" w:afterAutospacing="0"/>
        <w:jc w:val="both"/>
        <w:rPr>
          <w:rFonts w:ascii="Verdana" w:hAnsi="Verdana"/>
          <w:b w:val="0"/>
          <w:sz w:val="20"/>
          <w:szCs w:val="20"/>
        </w:rPr>
      </w:pPr>
      <w:r w:rsidRPr="00B715A5">
        <w:rPr>
          <w:rFonts w:ascii="Verdana" w:hAnsi="Verdana"/>
          <w:b w:val="0"/>
          <w:sz w:val="20"/>
          <w:szCs w:val="20"/>
        </w:rPr>
        <w:t xml:space="preserve">The matter in dispute in this case is the judgment issued by the </w:t>
      </w:r>
      <w:r w:rsidRPr="00B715A5">
        <w:rPr>
          <w:rFonts w:ascii="Verdana" w:hAnsi="Verdana" w:cs="Arial"/>
          <w:b w:val="0"/>
          <w:sz w:val="20"/>
          <w:szCs w:val="20"/>
        </w:rPr>
        <w:t>Constitutional Chamber on March 15, 2000, which declared u</w:t>
      </w:r>
      <w:r w:rsidRPr="00B715A5">
        <w:rPr>
          <w:rFonts w:ascii="Verdana" w:hAnsi="Verdana"/>
          <w:b w:val="0"/>
          <w:sz w:val="20"/>
          <w:szCs w:val="20"/>
        </w:rPr>
        <w:t xml:space="preserve">nconstitutional Presidential Decree 24029-S of February 3, 1995, which regulated in vitro fertilization in Costa Rica--that is, a final, binding decision of the highest judicial body of Costa Rica. </w:t>
      </w:r>
    </w:p>
    <w:p w:rsidR="002A630A" w:rsidRPr="00B715A5" w:rsidRDefault="002A630A" w:rsidP="00B715A5">
      <w:pPr>
        <w:pStyle w:val="Heading2"/>
        <w:spacing w:before="0" w:beforeAutospacing="0" w:after="0" w:afterAutospacing="0"/>
        <w:rPr>
          <w:rFonts w:ascii="Verdana" w:hAnsi="Verdana"/>
          <w:b w:val="0"/>
          <w:sz w:val="20"/>
          <w:szCs w:val="20"/>
        </w:rPr>
      </w:pPr>
    </w:p>
    <w:p w:rsidR="002A630A" w:rsidRPr="00B715A5" w:rsidRDefault="002A630A" w:rsidP="00B715A5">
      <w:pPr>
        <w:pStyle w:val="Heading2"/>
        <w:numPr>
          <w:ilvl w:val="0"/>
          <w:numId w:val="22"/>
        </w:numPr>
        <w:tabs>
          <w:tab w:val="clear" w:pos="540"/>
        </w:tabs>
        <w:spacing w:before="0" w:beforeAutospacing="0" w:after="0" w:afterAutospacing="0"/>
        <w:jc w:val="both"/>
        <w:rPr>
          <w:rFonts w:ascii="Verdana" w:hAnsi="Verdana"/>
          <w:b w:val="0"/>
          <w:sz w:val="20"/>
          <w:szCs w:val="20"/>
        </w:rPr>
      </w:pPr>
      <w:r w:rsidRPr="00B715A5">
        <w:rPr>
          <w:rFonts w:ascii="Verdana" w:hAnsi="Verdana"/>
          <w:b w:val="0"/>
          <w:sz w:val="20"/>
          <w:szCs w:val="20"/>
        </w:rPr>
        <w:t>The Commission observes that Article 11 of the Constitutional Jurisdiction Act expressly states that “there shall be no appeal of judgments, decrees, or provisions issued under constitutional jurisdiction.” Consequently, under that article, any remedy attempted in respect of a judgment issued by that jurisdictional body would have been rejected.  In addition, the IACHR observes that, according to the petition, the alleged victims did not know in 2000 that in vitro fertilization would be their only option for biological procreation. Consequently, they had no need to sue for their interests in response to the Constitutional Chamber’s ruling. Because the matter in dispute was decided definitively in 2000, at the time that the alleged victims were affected by the consequences of that judgment they no longer had appropriate remedies available for pursuing their individual interests.</w:t>
      </w:r>
    </w:p>
    <w:p w:rsidR="002A630A" w:rsidRPr="00B715A5" w:rsidRDefault="002A630A" w:rsidP="00B715A5">
      <w:pPr>
        <w:pStyle w:val="Heading2"/>
        <w:spacing w:before="0" w:beforeAutospacing="0" w:after="0" w:afterAutospacing="0"/>
        <w:rPr>
          <w:rFonts w:ascii="Verdana" w:hAnsi="Verdana"/>
          <w:b w:val="0"/>
          <w:sz w:val="20"/>
          <w:szCs w:val="20"/>
        </w:rPr>
      </w:pPr>
    </w:p>
    <w:p w:rsidR="002A630A" w:rsidRPr="00B715A5" w:rsidRDefault="002A630A" w:rsidP="00B715A5">
      <w:pPr>
        <w:pStyle w:val="Heading2"/>
        <w:numPr>
          <w:ilvl w:val="0"/>
          <w:numId w:val="22"/>
        </w:numPr>
        <w:tabs>
          <w:tab w:val="clear" w:pos="540"/>
        </w:tabs>
        <w:spacing w:before="0" w:beforeAutospacing="0" w:after="0" w:afterAutospacing="0"/>
        <w:jc w:val="both"/>
        <w:rPr>
          <w:rFonts w:ascii="Verdana" w:hAnsi="Verdana"/>
          <w:b w:val="0"/>
          <w:sz w:val="20"/>
          <w:szCs w:val="20"/>
        </w:rPr>
      </w:pPr>
      <w:r w:rsidRPr="00B715A5">
        <w:rPr>
          <w:rFonts w:ascii="Verdana" w:hAnsi="Verdana"/>
          <w:b w:val="0"/>
          <w:sz w:val="20"/>
          <w:szCs w:val="20"/>
        </w:rPr>
        <w:t>Moreover, the IACHR notes that Ileana Henchoz Bolaños (</w:t>
      </w:r>
      <w:r w:rsidRPr="00B715A5">
        <w:rPr>
          <w:rFonts w:ascii="Verdana" w:hAnsi="Verdana" w:cs="Arial"/>
          <w:b w:val="0"/>
          <w:sz w:val="20"/>
          <w:szCs w:val="20"/>
        </w:rPr>
        <w:t xml:space="preserve">alleged victim in case 12.361) attempted a constitutional challenge and a proceeding for decision. As for the constitutional challenge to the </w:t>
      </w:r>
      <w:r w:rsidRPr="00B715A5">
        <w:rPr>
          <w:rFonts w:ascii="Verdana" w:hAnsi="Verdana"/>
          <w:b w:val="0"/>
          <w:sz w:val="20"/>
          <w:szCs w:val="20"/>
        </w:rPr>
        <w:t>jurisprudence of the Constitutional Chamber, that chamber, in a ruling of June 11, 2008, rejected that remedy outright.</w:t>
      </w:r>
    </w:p>
    <w:p w:rsidR="002A630A" w:rsidRPr="00B715A5" w:rsidRDefault="002A630A" w:rsidP="00B715A5">
      <w:pPr>
        <w:pStyle w:val="Heading2"/>
        <w:spacing w:before="0" w:beforeAutospacing="0" w:after="0" w:afterAutospacing="0"/>
        <w:rPr>
          <w:rFonts w:ascii="Verdana" w:hAnsi="Verdana"/>
          <w:b w:val="0"/>
          <w:sz w:val="20"/>
          <w:szCs w:val="20"/>
        </w:rPr>
      </w:pPr>
    </w:p>
    <w:p w:rsidR="002A630A" w:rsidRPr="00B715A5" w:rsidRDefault="002A630A" w:rsidP="00B715A5">
      <w:pPr>
        <w:pStyle w:val="Heading2"/>
        <w:numPr>
          <w:ilvl w:val="0"/>
          <w:numId w:val="22"/>
        </w:numPr>
        <w:tabs>
          <w:tab w:val="clear" w:pos="540"/>
        </w:tabs>
        <w:spacing w:before="0" w:beforeAutospacing="0" w:after="0" w:afterAutospacing="0"/>
        <w:jc w:val="both"/>
        <w:rPr>
          <w:rFonts w:ascii="Verdana" w:hAnsi="Verdana"/>
          <w:b w:val="0"/>
          <w:sz w:val="20"/>
          <w:szCs w:val="20"/>
        </w:rPr>
      </w:pPr>
      <w:r w:rsidRPr="00B715A5">
        <w:rPr>
          <w:rFonts w:ascii="Verdana" w:hAnsi="Verdana"/>
          <w:b w:val="0"/>
          <w:sz w:val="20"/>
          <w:szCs w:val="20"/>
        </w:rPr>
        <w:t xml:space="preserve">As for the proceeding for decision attempted, cited both by </w:t>
      </w:r>
      <w:r w:rsidRPr="00B715A5">
        <w:rPr>
          <w:rFonts w:ascii="Verdana" w:hAnsi="Verdana" w:cs="Arial"/>
          <w:b w:val="0"/>
          <w:sz w:val="20"/>
          <w:szCs w:val="20"/>
        </w:rPr>
        <w:t xml:space="preserve">the petitioner and by the State, the </w:t>
      </w:r>
      <w:r w:rsidRPr="00B715A5">
        <w:rPr>
          <w:rFonts w:ascii="Verdana" w:hAnsi="Verdana"/>
          <w:b w:val="0"/>
          <w:sz w:val="20"/>
          <w:szCs w:val="20"/>
        </w:rPr>
        <w:t xml:space="preserve">Commission finds that such proceeding was not an appropriate remedy for the alleged victims. The proceeding for decision was attempted by Ileana Henchoz against the </w:t>
      </w:r>
      <w:r w:rsidRPr="00B715A5">
        <w:rPr>
          <w:rFonts w:ascii="Verdana" w:hAnsi="Verdana"/>
          <w:b w:val="0"/>
          <w:sz w:val="20"/>
          <w:szCs w:val="20"/>
        </w:rPr>
        <w:lastRenderedPageBreak/>
        <w:t xml:space="preserve">Costa Rican Health Fund, seeking to compel the Fund to provide her with a medical procedure that, because of the decision issued by the Constitutional Chamber of Costa Rica, had been prohibited in Costa Rica since 2000. Although the remedy was resolved in favor of the claimant in the first instance, on appeal the magistrates </w:t>
      </w:r>
      <w:r w:rsidRPr="00B715A5">
        <w:rPr>
          <w:rFonts w:ascii="Verdana" w:hAnsi="Verdana" w:cs="Arial"/>
          <w:b w:val="0"/>
          <w:sz w:val="20"/>
          <w:szCs w:val="20"/>
        </w:rPr>
        <w:t xml:space="preserve">of the First Chamber of the Supreme Court of Justice reversed that ruling and declared the case groundless. In addition, the State has not shown how this proceeding for decision, which is not of a constitutional nature, would have been effective in resolving the claim. In that regard, both parties affirm that the matter in dispute has been addressed as a </w:t>
      </w:r>
      <w:r w:rsidRPr="00B715A5">
        <w:rPr>
          <w:rFonts w:ascii="Verdana" w:hAnsi="Verdana"/>
          <w:b w:val="0"/>
          <w:sz w:val="20"/>
          <w:szCs w:val="20"/>
        </w:rPr>
        <w:t xml:space="preserve">constitutional question and, therefore, only the legal question raised at the constitutional level need be addressed. As already explained, Costa Rican law expressly provides that there shall be no appeal of judgments by the constitutional court. </w:t>
      </w:r>
    </w:p>
    <w:p w:rsidR="002A630A" w:rsidRPr="00B715A5" w:rsidRDefault="002A630A" w:rsidP="00B715A5">
      <w:pPr>
        <w:pStyle w:val="Heading2"/>
        <w:spacing w:before="0" w:beforeAutospacing="0" w:after="0" w:afterAutospacing="0"/>
        <w:rPr>
          <w:rFonts w:ascii="Verdana" w:hAnsi="Verdana"/>
          <w:b w:val="0"/>
          <w:sz w:val="20"/>
          <w:szCs w:val="20"/>
        </w:rPr>
      </w:pPr>
    </w:p>
    <w:p w:rsidR="002A630A" w:rsidRPr="00B715A5" w:rsidRDefault="002A630A" w:rsidP="00B715A5">
      <w:pPr>
        <w:pStyle w:val="Heading2"/>
        <w:numPr>
          <w:ilvl w:val="0"/>
          <w:numId w:val="22"/>
        </w:numPr>
        <w:tabs>
          <w:tab w:val="clear" w:pos="540"/>
        </w:tabs>
        <w:spacing w:before="0" w:beforeAutospacing="0" w:after="0" w:afterAutospacing="0"/>
        <w:jc w:val="both"/>
        <w:rPr>
          <w:rFonts w:ascii="Verdana" w:hAnsi="Verdana"/>
          <w:b w:val="0"/>
          <w:bCs w:val="0"/>
          <w:iCs/>
          <w:sz w:val="20"/>
          <w:szCs w:val="20"/>
        </w:rPr>
      </w:pPr>
      <w:r w:rsidRPr="00B715A5">
        <w:rPr>
          <w:rFonts w:ascii="Verdana" w:hAnsi="Verdana"/>
          <w:b w:val="0"/>
          <w:sz w:val="20"/>
          <w:szCs w:val="20"/>
        </w:rPr>
        <w:t xml:space="preserve">Accordingly, the Inter-American Commission finds that the alleged victims in this case were prevented from exhausting other appropriate and available remedies.  Consequently, it finds in this case that the exception to the exhaustion of domestic remedies rule provided in Article 46.2.a does apply. </w:t>
      </w:r>
    </w:p>
    <w:p w:rsidR="002A630A" w:rsidRPr="00B715A5" w:rsidRDefault="002A630A" w:rsidP="00B715A5">
      <w:pPr>
        <w:pStyle w:val="Heading2"/>
        <w:spacing w:before="0" w:beforeAutospacing="0" w:after="0" w:afterAutospacing="0"/>
        <w:rPr>
          <w:rFonts w:ascii="Verdana" w:hAnsi="Verdana"/>
          <w:b w:val="0"/>
          <w:sz w:val="20"/>
          <w:szCs w:val="20"/>
        </w:rPr>
      </w:pPr>
    </w:p>
    <w:p w:rsidR="002A630A" w:rsidRPr="00B715A5" w:rsidRDefault="002A630A" w:rsidP="00B715A5">
      <w:pPr>
        <w:pStyle w:val="Heading2"/>
        <w:spacing w:before="0" w:beforeAutospacing="0" w:after="0" w:afterAutospacing="0"/>
        <w:ind w:firstLine="720"/>
        <w:rPr>
          <w:rFonts w:ascii="Verdana" w:hAnsi="Verdana"/>
          <w:bCs w:val="0"/>
          <w:sz w:val="20"/>
          <w:szCs w:val="20"/>
        </w:rPr>
      </w:pPr>
      <w:r w:rsidRPr="00B715A5">
        <w:rPr>
          <w:rFonts w:ascii="Verdana" w:hAnsi="Verdana"/>
          <w:bCs w:val="0"/>
          <w:sz w:val="20"/>
          <w:szCs w:val="20"/>
        </w:rPr>
        <w:t>2.</w:t>
      </w:r>
      <w:r w:rsidRPr="00B715A5">
        <w:rPr>
          <w:rFonts w:ascii="Verdana" w:hAnsi="Verdana"/>
          <w:bCs w:val="0"/>
          <w:sz w:val="20"/>
          <w:szCs w:val="20"/>
        </w:rPr>
        <w:tab/>
        <w:t>Deadline for presentation of the petition</w:t>
      </w:r>
    </w:p>
    <w:p w:rsidR="002A630A" w:rsidRPr="00B715A5" w:rsidRDefault="002A630A" w:rsidP="00B715A5">
      <w:pPr>
        <w:pStyle w:val="Heading2"/>
        <w:spacing w:before="0" w:beforeAutospacing="0" w:after="0" w:afterAutospacing="0"/>
        <w:rPr>
          <w:rFonts w:ascii="Verdana" w:hAnsi="Verdana"/>
          <w:b w:val="0"/>
          <w:bCs w:val="0"/>
          <w:iCs/>
          <w:sz w:val="20"/>
          <w:szCs w:val="20"/>
        </w:rPr>
      </w:pPr>
    </w:p>
    <w:p w:rsidR="002A630A" w:rsidRPr="00B715A5" w:rsidRDefault="002A630A" w:rsidP="00B715A5">
      <w:pPr>
        <w:pStyle w:val="Heading2"/>
        <w:numPr>
          <w:ilvl w:val="0"/>
          <w:numId w:val="22"/>
        </w:numPr>
        <w:tabs>
          <w:tab w:val="clear" w:pos="540"/>
        </w:tabs>
        <w:spacing w:before="0" w:beforeAutospacing="0" w:after="0" w:afterAutospacing="0"/>
        <w:jc w:val="both"/>
        <w:rPr>
          <w:rFonts w:ascii="Verdana" w:hAnsi="Verdana"/>
          <w:b w:val="0"/>
          <w:sz w:val="20"/>
          <w:szCs w:val="20"/>
        </w:rPr>
      </w:pPr>
      <w:r w:rsidRPr="00B715A5">
        <w:rPr>
          <w:rFonts w:ascii="Verdana" w:hAnsi="Verdana"/>
          <w:b w:val="0"/>
          <w:bCs w:val="0"/>
          <w:iCs/>
          <w:sz w:val="20"/>
          <w:szCs w:val="20"/>
        </w:rPr>
        <w:t>Article 46.1.b of the Convention establishes that, in order for the petition to be declared admissible, it must have been presented within a period of six months from the date on which the interested party was notified of the final decision that exhausted domestic jurisdiction.  This rule does not apply when the Commission finds that any of the exceptions to the exhaustion of domestic remedies rule set forth in Article 46.2 of the Convention applies. In such cases, the Commission must determine whether the petition was presented in a reasonable period of time under Article 32 of its Rules of Procedure. According to that article, in its</w:t>
      </w:r>
      <w:r w:rsidRPr="00B715A5">
        <w:rPr>
          <w:rFonts w:ascii="Verdana" w:hAnsi="Verdana"/>
          <w:b w:val="0"/>
          <w:sz w:val="20"/>
          <w:szCs w:val="20"/>
        </w:rPr>
        <w:t xml:space="preserve"> analysis the Commission “shall consider the date on which the alleged violation of rights occurred and the circumstances of each case.”</w:t>
      </w:r>
    </w:p>
    <w:p w:rsidR="002A630A" w:rsidRPr="00B715A5" w:rsidRDefault="002A630A" w:rsidP="00B715A5">
      <w:pPr>
        <w:pStyle w:val="Heading2"/>
        <w:spacing w:before="0" w:beforeAutospacing="0" w:after="0" w:afterAutospacing="0"/>
        <w:rPr>
          <w:rFonts w:ascii="Verdana" w:hAnsi="Verdana"/>
          <w:b w:val="0"/>
          <w:sz w:val="20"/>
          <w:szCs w:val="20"/>
        </w:rPr>
      </w:pPr>
    </w:p>
    <w:p w:rsidR="002A630A" w:rsidRPr="00B715A5" w:rsidRDefault="002A630A" w:rsidP="00B715A5">
      <w:pPr>
        <w:pStyle w:val="Heading2"/>
        <w:numPr>
          <w:ilvl w:val="0"/>
          <w:numId w:val="22"/>
        </w:numPr>
        <w:tabs>
          <w:tab w:val="clear" w:pos="540"/>
        </w:tabs>
        <w:spacing w:before="0" w:beforeAutospacing="0" w:after="0" w:afterAutospacing="0"/>
        <w:jc w:val="both"/>
        <w:rPr>
          <w:rFonts w:ascii="Verdana" w:hAnsi="Verdana"/>
          <w:b w:val="0"/>
          <w:sz w:val="20"/>
          <w:szCs w:val="20"/>
        </w:rPr>
      </w:pPr>
      <w:r w:rsidRPr="00B715A5">
        <w:rPr>
          <w:rFonts w:ascii="Verdana" w:hAnsi="Verdana"/>
          <w:b w:val="0"/>
          <w:bCs w:val="0"/>
          <w:iCs/>
          <w:sz w:val="20"/>
          <w:szCs w:val="20"/>
        </w:rPr>
        <w:t>According to the petitioner, the existence of a jurisprudential provision in force under domestic law that is final and binding for all judicial, administrative, and legislative bodies in Costa Rica and for every person in itself creates a legal situation that affects the rights protected by the American Convention on Human Rights. In this specific case, he maintains that a continuing violation of the Convention has occurred. Consequently, he alleges that paragraph (b) of Article 46, which requires that the complaint be lodged within a period of six months, does not apply.</w:t>
      </w:r>
    </w:p>
    <w:p w:rsidR="002A630A" w:rsidRPr="00B715A5" w:rsidRDefault="002A630A" w:rsidP="00B715A5">
      <w:pPr>
        <w:pStyle w:val="Heading2"/>
        <w:spacing w:before="0" w:beforeAutospacing="0" w:after="0" w:afterAutospacing="0"/>
        <w:rPr>
          <w:rFonts w:ascii="Verdana" w:hAnsi="Verdana"/>
          <w:b w:val="0"/>
          <w:sz w:val="20"/>
          <w:szCs w:val="20"/>
        </w:rPr>
      </w:pPr>
    </w:p>
    <w:p w:rsidR="002A630A" w:rsidRPr="00B715A5" w:rsidRDefault="002A630A" w:rsidP="00B715A5">
      <w:pPr>
        <w:pStyle w:val="Heading2"/>
        <w:numPr>
          <w:ilvl w:val="0"/>
          <w:numId w:val="22"/>
        </w:numPr>
        <w:tabs>
          <w:tab w:val="clear" w:pos="540"/>
        </w:tabs>
        <w:spacing w:before="0" w:beforeAutospacing="0" w:after="0" w:afterAutospacing="0"/>
        <w:jc w:val="both"/>
        <w:rPr>
          <w:rFonts w:ascii="Verdana" w:hAnsi="Verdana" w:cs="Arial"/>
          <w:b w:val="0"/>
          <w:sz w:val="20"/>
          <w:szCs w:val="20"/>
        </w:rPr>
      </w:pPr>
      <w:r w:rsidRPr="00B715A5">
        <w:rPr>
          <w:rFonts w:ascii="Verdana" w:hAnsi="Verdana"/>
          <w:b w:val="0"/>
          <w:sz w:val="20"/>
          <w:szCs w:val="20"/>
        </w:rPr>
        <w:t xml:space="preserve">The State, for its part, maintains that the petitions were presented after the deadline, that is, beyond the period of six months, having been presented to the IACHR in </w:t>
      </w:r>
      <w:r w:rsidRPr="00B715A5">
        <w:rPr>
          <w:rFonts w:ascii="Verdana" w:hAnsi="Verdana" w:cs="Arial"/>
          <w:b w:val="0"/>
          <w:sz w:val="20"/>
          <w:szCs w:val="20"/>
        </w:rPr>
        <w:t>2004, 2005, 2006, and 2007, i.e., several years after the final ruling on the matter was known</w:t>
      </w:r>
      <w:r w:rsidRPr="00B715A5">
        <w:rPr>
          <w:rStyle w:val="FootnoteReference"/>
          <w:rFonts w:cs="Arial"/>
          <w:b w:val="0"/>
          <w:bCs w:val="0"/>
          <w:szCs w:val="20"/>
        </w:rPr>
        <w:footnoteReference w:id="13"/>
      </w:r>
      <w:r w:rsidRPr="00B715A5">
        <w:rPr>
          <w:rFonts w:ascii="Verdana" w:hAnsi="Verdana" w:cs="Arial"/>
          <w:b w:val="0"/>
          <w:sz w:val="20"/>
          <w:szCs w:val="20"/>
        </w:rPr>
        <w:t xml:space="preserve"> on March 15, 2000.  According to the State, it is not reasonable to conclude that an alleged violation continues years after the interested parties have been notified of a final decision, since in that line of thinking the alleged continuing violation would have been accepted tacitly by the alleged victims since the reasonable period of time for reporting the supposed rights violation to international bodies would have expired much earlier.  The rule concerning a reasonable period of time for lodging </w:t>
      </w:r>
      <w:r w:rsidRPr="00B715A5">
        <w:rPr>
          <w:rFonts w:ascii="Verdana" w:hAnsi="Verdana"/>
          <w:b w:val="0"/>
          <w:sz w:val="20"/>
          <w:szCs w:val="20"/>
        </w:rPr>
        <w:t>petitions with the inter-American human rights system must be analyzed in each case, taking into account the legal action taken by the relatives of the alleged victims, the State’s actions, and the situation and context in which the violation is alleged to have taken place</w:t>
      </w:r>
      <w:r w:rsidRPr="00B715A5">
        <w:rPr>
          <w:rStyle w:val="FootnoteReference"/>
          <w:b w:val="0"/>
          <w:szCs w:val="20"/>
        </w:rPr>
        <w:footnoteReference w:id="14"/>
      </w:r>
      <w:r w:rsidRPr="00B715A5">
        <w:rPr>
          <w:rFonts w:ascii="Verdana" w:hAnsi="Verdana"/>
          <w:b w:val="0"/>
          <w:sz w:val="20"/>
          <w:szCs w:val="20"/>
        </w:rPr>
        <w:t>.</w:t>
      </w:r>
    </w:p>
    <w:p w:rsidR="002A630A" w:rsidRPr="00B715A5" w:rsidRDefault="002A630A" w:rsidP="00B715A5">
      <w:pPr>
        <w:pStyle w:val="Heading2"/>
        <w:spacing w:before="0" w:beforeAutospacing="0" w:after="0" w:afterAutospacing="0"/>
        <w:rPr>
          <w:rFonts w:ascii="Verdana" w:hAnsi="Verdana" w:cs="Arial"/>
          <w:b w:val="0"/>
          <w:sz w:val="20"/>
          <w:szCs w:val="20"/>
        </w:rPr>
      </w:pPr>
    </w:p>
    <w:p w:rsidR="002A630A" w:rsidRPr="00B715A5" w:rsidRDefault="002A630A" w:rsidP="00B715A5">
      <w:pPr>
        <w:pStyle w:val="Heading2"/>
        <w:numPr>
          <w:ilvl w:val="0"/>
          <w:numId w:val="22"/>
        </w:numPr>
        <w:tabs>
          <w:tab w:val="clear" w:pos="540"/>
        </w:tabs>
        <w:spacing w:before="0" w:beforeAutospacing="0" w:after="0" w:afterAutospacing="0"/>
        <w:jc w:val="both"/>
        <w:rPr>
          <w:rFonts w:ascii="Verdana" w:hAnsi="Verdana" w:cs="Arial"/>
          <w:b w:val="0"/>
          <w:sz w:val="20"/>
          <w:szCs w:val="20"/>
        </w:rPr>
      </w:pPr>
      <w:r w:rsidRPr="00B715A5">
        <w:rPr>
          <w:rFonts w:ascii="Verdana" w:hAnsi="Verdana"/>
          <w:b w:val="0"/>
          <w:sz w:val="20"/>
          <w:szCs w:val="20"/>
        </w:rPr>
        <w:t>In this regard the Commission observes that the complaints lodged refer to a health condition, infertility, which is diagnosed medically, a situation of which the alleged victims had no reason to be aware at the time of the judgment by the Constitutional Chamber of Costa Rica. The alleged victims were affected by the judgment once they needed in vitro fertilization to procreate biologically.</w:t>
      </w:r>
    </w:p>
    <w:p w:rsidR="002A630A" w:rsidRPr="00B715A5" w:rsidRDefault="002A630A" w:rsidP="00B715A5">
      <w:pPr>
        <w:pStyle w:val="Heading2"/>
        <w:spacing w:before="0" w:beforeAutospacing="0" w:after="0" w:afterAutospacing="0"/>
        <w:rPr>
          <w:rFonts w:ascii="Verdana" w:hAnsi="Verdana" w:cs="Arial"/>
          <w:b w:val="0"/>
          <w:sz w:val="20"/>
          <w:szCs w:val="20"/>
        </w:rPr>
      </w:pPr>
    </w:p>
    <w:p w:rsidR="002A630A" w:rsidRPr="00B715A5" w:rsidRDefault="002A630A" w:rsidP="00B715A5">
      <w:pPr>
        <w:pStyle w:val="Heading2"/>
        <w:numPr>
          <w:ilvl w:val="0"/>
          <w:numId w:val="22"/>
        </w:numPr>
        <w:tabs>
          <w:tab w:val="clear" w:pos="540"/>
        </w:tabs>
        <w:spacing w:before="0" w:beforeAutospacing="0" w:after="0" w:afterAutospacing="0"/>
        <w:jc w:val="both"/>
        <w:rPr>
          <w:rFonts w:ascii="Verdana" w:hAnsi="Verdana" w:cs="Arial"/>
          <w:b w:val="0"/>
          <w:sz w:val="20"/>
          <w:szCs w:val="20"/>
        </w:rPr>
      </w:pPr>
      <w:r w:rsidRPr="00B715A5">
        <w:rPr>
          <w:rFonts w:ascii="Verdana" w:hAnsi="Verdana"/>
          <w:b w:val="0"/>
          <w:sz w:val="20"/>
          <w:szCs w:val="20"/>
        </w:rPr>
        <w:t xml:space="preserve">Considering the nature of the complaints presented, which refer to the effects of a judgment issued by the highest judicial authority and still in effect, together with the health </w:t>
      </w:r>
      <w:r w:rsidRPr="00B715A5">
        <w:rPr>
          <w:rFonts w:ascii="Verdana" w:hAnsi="Verdana"/>
          <w:b w:val="0"/>
          <w:sz w:val="20"/>
          <w:szCs w:val="20"/>
        </w:rPr>
        <w:lastRenderedPageBreak/>
        <w:t>situation of which they were unaware at the time the Constitutional Chamber of Costa Rica issued its ruling on March 15, 2000, and which affected them when they learned that in vitro fertilization was their only option for biological procreation, and that, according to the analysis under the exhaustion of domestic remedies, they realized that no effective remedies were available to them, the IACHR finds that the six-month rule does not constitute an impediment to the admissibility of this case under the circumstances here established</w:t>
      </w:r>
      <w:r w:rsidRPr="00B715A5">
        <w:rPr>
          <w:rStyle w:val="FootnoteReference"/>
          <w:b w:val="0"/>
          <w:szCs w:val="20"/>
        </w:rPr>
        <w:footnoteReference w:id="15"/>
      </w:r>
      <w:r w:rsidRPr="00B715A5">
        <w:rPr>
          <w:rFonts w:ascii="Verdana" w:hAnsi="Verdana"/>
          <w:b w:val="0"/>
          <w:sz w:val="20"/>
          <w:szCs w:val="20"/>
        </w:rPr>
        <w:t>.</w:t>
      </w:r>
    </w:p>
    <w:p w:rsidR="002A630A" w:rsidRPr="00B715A5" w:rsidRDefault="002A630A" w:rsidP="00B715A5">
      <w:pPr>
        <w:pStyle w:val="Heading2"/>
        <w:spacing w:before="0" w:beforeAutospacing="0" w:after="0" w:afterAutospacing="0"/>
        <w:rPr>
          <w:rFonts w:ascii="Verdana" w:hAnsi="Verdana" w:cs="Arial"/>
          <w:b w:val="0"/>
          <w:sz w:val="20"/>
          <w:szCs w:val="20"/>
        </w:rPr>
      </w:pPr>
    </w:p>
    <w:p w:rsidR="002A630A" w:rsidRPr="00B715A5" w:rsidRDefault="002A630A" w:rsidP="00B715A5">
      <w:pPr>
        <w:pStyle w:val="Heading2"/>
        <w:numPr>
          <w:ilvl w:val="0"/>
          <w:numId w:val="22"/>
        </w:numPr>
        <w:tabs>
          <w:tab w:val="clear" w:pos="540"/>
        </w:tabs>
        <w:spacing w:before="0" w:beforeAutospacing="0" w:after="0" w:afterAutospacing="0"/>
        <w:jc w:val="both"/>
        <w:rPr>
          <w:rFonts w:ascii="Verdana" w:hAnsi="Verdana" w:cs="Arial"/>
          <w:b w:val="0"/>
          <w:sz w:val="20"/>
          <w:szCs w:val="20"/>
        </w:rPr>
      </w:pPr>
      <w:r w:rsidRPr="00B715A5">
        <w:rPr>
          <w:rFonts w:ascii="Verdana" w:hAnsi="Verdana"/>
          <w:b w:val="0"/>
          <w:sz w:val="20"/>
          <w:szCs w:val="20"/>
        </w:rPr>
        <w:t>In this particular situation, the IACHR finds, for purposes of the admissibility requirements, that the petitions were presented within a reasonable period of time.</w:t>
      </w:r>
    </w:p>
    <w:p w:rsidR="002A630A" w:rsidRPr="00B715A5" w:rsidRDefault="002A630A" w:rsidP="00B715A5">
      <w:pPr>
        <w:pStyle w:val="Heading2"/>
        <w:spacing w:before="0" w:beforeAutospacing="0" w:after="0" w:afterAutospacing="0"/>
        <w:rPr>
          <w:rFonts w:ascii="Verdana" w:eastAsia="MS Mincho" w:hAnsi="Verdana"/>
          <w:b w:val="0"/>
          <w:bCs w:val="0"/>
          <w:sz w:val="20"/>
          <w:szCs w:val="20"/>
        </w:rPr>
      </w:pPr>
    </w:p>
    <w:p w:rsidR="002A630A" w:rsidRPr="00B715A5" w:rsidRDefault="002A630A" w:rsidP="00B715A5">
      <w:pPr>
        <w:pStyle w:val="Heading2"/>
        <w:spacing w:before="0" w:beforeAutospacing="0" w:after="0" w:afterAutospacing="0"/>
        <w:ind w:firstLine="720"/>
        <w:rPr>
          <w:rFonts w:ascii="Verdana" w:hAnsi="Verdana"/>
          <w:sz w:val="20"/>
          <w:szCs w:val="20"/>
        </w:rPr>
      </w:pPr>
      <w:r w:rsidRPr="00B715A5">
        <w:rPr>
          <w:rFonts w:ascii="Verdana" w:eastAsia="MS Mincho" w:hAnsi="Verdana"/>
          <w:bCs w:val="0"/>
          <w:sz w:val="20"/>
          <w:szCs w:val="20"/>
        </w:rPr>
        <w:t xml:space="preserve">3. </w:t>
      </w:r>
      <w:r w:rsidRPr="00B715A5">
        <w:rPr>
          <w:rFonts w:ascii="Verdana" w:eastAsia="MS Mincho" w:hAnsi="Verdana"/>
          <w:bCs w:val="0"/>
          <w:sz w:val="20"/>
          <w:szCs w:val="20"/>
        </w:rPr>
        <w:tab/>
      </w:r>
      <w:r w:rsidRPr="00B715A5">
        <w:rPr>
          <w:rFonts w:ascii="Verdana" w:hAnsi="Verdana" w:cs="Arial"/>
          <w:sz w:val="20"/>
          <w:szCs w:val="20"/>
        </w:rPr>
        <w:t xml:space="preserve">Duplication of procedures and international </w:t>
      </w:r>
      <w:r w:rsidRPr="00B715A5">
        <w:rPr>
          <w:rFonts w:ascii="Verdana" w:hAnsi="Verdana" w:cs="Arial"/>
          <w:i/>
          <w:sz w:val="20"/>
          <w:szCs w:val="20"/>
        </w:rPr>
        <w:t>res judicata</w:t>
      </w:r>
    </w:p>
    <w:p w:rsidR="002A630A" w:rsidRPr="00B715A5" w:rsidRDefault="002A630A" w:rsidP="00B715A5">
      <w:pPr>
        <w:rPr>
          <w:szCs w:val="20"/>
          <w:lang w:val="en-US"/>
        </w:rPr>
      </w:pPr>
    </w:p>
    <w:p w:rsidR="002A630A" w:rsidRPr="00B715A5" w:rsidRDefault="002A630A" w:rsidP="00B715A5">
      <w:pPr>
        <w:pStyle w:val="Heading2"/>
        <w:numPr>
          <w:ilvl w:val="0"/>
          <w:numId w:val="22"/>
        </w:numPr>
        <w:tabs>
          <w:tab w:val="clear" w:pos="540"/>
        </w:tabs>
        <w:spacing w:before="0" w:beforeAutospacing="0" w:after="0" w:afterAutospacing="0"/>
        <w:jc w:val="both"/>
        <w:rPr>
          <w:rFonts w:ascii="Verdana" w:hAnsi="Verdana"/>
          <w:sz w:val="20"/>
          <w:szCs w:val="20"/>
        </w:rPr>
      </w:pPr>
      <w:r w:rsidRPr="00B715A5">
        <w:rPr>
          <w:rFonts w:ascii="Verdana" w:hAnsi="Verdana"/>
          <w:b w:val="0"/>
          <w:sz w:val="20"/>
          <w:szCs w:val="20"/>
        </w:rPr>
        <w:t>The petitioners have stated, and the case file shows no evidence to the contrary, that the subject of the petition is not pending in another international proceeding for settlement (Article 46.1.c of the American Convention), nor does it duplicate one previously heard by the Commission or by another international organization (Article 47.d of the Convention). The Commission finds, therefore, that the requirements set forth in both articles of the Convention have been met.</w:t>
      </w:r>
    </w:p>
    <w:p w:rsidR="002A630A" w:rsidRPr="00B715A5" w:rsidRDefault="002A630A" w:rsidP="00B715A5">
      <w:pPr>
        <w:pStyle w:val="Heading2"/>
        <w:spacing w:before="0" w:beforeAutospacing="0" w:after="0" w:afterAutospacing="0"/>
        <w:rPr>
          <w:rFonts w:ascii="Verdana" w:hAnsi="Verdana"/>
          <w:sz w:val="20"/>
          <w:szCs w:val="20"/>
        </w:rPr>
      </w:pPr>
    </w:p>
    <w:p w:rsidR="002A630A" w:rsidRPr="00B715A5" w:rsidRDefault="002A630A" w:rsidP="00B715A5">
      <w:pPr>
        <w:pStyle w:val="Heading3"/>
        <w:spacing w:before="0" w:beforeAutospacing="0" w:after="0" w:afterAutospacing="0"/>
        <w:ind w:firstLine="720"/>
        <w:jc w:val="both"/>
        <w:rPr>
          <w:rFonts w:ascii="Verdana" w:hAnsi="Verdana"/>
          <w:sz w:val="20"/>
          <w:szCs w:val="20"/>
        </w:rPr>
      </w:pPr>
      <w:r w:rsidRPr="00B715A5">
        <w:rPr>
          <w:rFonts w:ascii="Verdana" w:hAnsi="Verdana"/>
          <w:bCs w:val="0"/>
          <w:sz w:val="20"/>
          <w:szCs w:val="20"/>
        </w:rPr>
        <w:t xml:space="preserve">4. </w:t>
      </w:r>
      <w:r w:rsidRPr="00B715A5">
        <w:rPr>
          <w:rFonts w:ascii="Verdana" w:hAnsi="Verdana"/>
          <w:bCs w:val="0"/>
          <w:sz w:val="20"/>
          <w:szCs w:val="20"/>
        </w:rPr>
        <w:tab/>
      </w:r>
      <w:r w:rsidRPr="00B715A5">
        <w:rPr>
          <w:rFonts w:ascii="Verdana" w:hAnsi="Verdana"/>
          <w:sz w:val="20"/>
          <w:szCs w:val="20"/>
        </w:rPr>
        <w:t>Characterization of the facts alleged</w:t>
      </w:r>
    </w:p>
    <w:p w:rsidR="002A630A" w:rsidRPr="00B715A5" w:rsidRDefault="002A630A" w:rsidP="00B715A5">
      <w:pPr>
        <w:pStyle w:val="Heading2"/>
        <w:spacing w:before="0" w:beforeAutospacing="0" w:after="0" w:afterAutospacing="0"/>
        <w:rPr>
          <w:rFonts w:ascii="Verdana" w:hAnsi="Verdana"/>
          <w:b w:val="0"/>
          <w:sz w:val="20"/>
          <w:szCs w:val="20"/>
        </w:rPr>
      </w:pPr>
    </w:p>
    <w:p w:rsidR="002A630A" w:rsidRPr="00B715A5" w:rsidRDefault="002A630A" w:rsidP="00B715A5">
      <w:pPr>
        <w:pStyle w:val="Heading2"/>
        <w:numPr>
          <w:ilvl w:val="0"/>
          <w:numId w:val="22"/>
        </w:numPr>
        <w:tabs>
          <w:tab w:val="clear" w:pos="540"/>
        </w:tabs>
        <w:spacing w:before="0" w:beforeAutospacing="0" w:after="0" w:afterAutospacing="0"/>
        <w:jc w:val="both"/>
        <w:rPr>
          <w:rFonts w:ascii="Verdana" w:hAnsi="Verdana"/>
          <w:b w:val="0"/>
          <w:bCs w:val="0"/>
          <w:sz w:val="20"/>
          <w:szCs w:val="20"/>
        </w:rPr>
      </w:pPr>
      <w:r w:rsidRPr="00B715A5">
        <w:rPr>
          <w:rFonts w:ascii="Verdana" w:hAnsi="Verdana"/>
          <w:b w:val="0"/>
          <w:sz w:val="20"/>
          <w:szCs w:val="20"/>
        </w:rPr>
        <w:t xml:space="preserve">For purposes of admissibility, the Commission must decide whether the petition describes events that could constitute a violation of rights as stipulated in Article 47.b of the American Convention or, conversely, is "manifestly groundless" or "groundless" according to section (c) of that article. The standard for assessing those factors is different from the one used to rule on the merits of a complaint. The Commission must make a </w:t>
      </w:r>
      <w:r w:rsidRPr="00B715A5">
        <w:rPr>
          <w:rFonts w:ascii="Verdana" w:hAnsi="Verdana"/>
          <w:b w:val="0"/>
          <w:i/>
          <w:sz w:val="20"/>
          <w:szCs w:val="20"/>
        </w:rPr>
        <w:t>prima facie</w:t>
      </w:r>
      <w:r w:rsidRPr="00B715A5">
        <w:rPr>
          <w:rFonts w:ascii="Verdana" w:hAnsi="Verdana"/>
          <w:b w:val="0"/>
          <w:sz w:val="20"/>
          <w:szCs w:val="20"/>
        </w:rPr>
        <w:t xml:space="preserve"> assessment as to whether the petition provides evidence of the possible or potential violation of a right guaranteed by the Convention; it need not establish that rights were indeed violated.</w:t>
      </w:r>
      <w:r w:rsidRPr="00B715A5">
        <w:rPr>
          <w:rStyle w:val="FootnoteReference"/>
          <w:b w:val="0"/>
          <w:szCs w:val="20"/>
        </w:rPr>
        <w:footnoteReference w:id="16"/>
      </w:r>
      <w:r w:rsidRPr="00B715A5">
        <w:rPr>
          <w:rFonts w:ascii="Verdana" w:hAnsi="Verdana"/>
          <w:b w:val="0"/>
          <w:sz w:val="20"/>
          <w:szCs w:val="20"/>
        </w:rPr>
        <w:t xml:space="preserve">  This phase calls for a summary examination that does not constitute a prejudgment or opinion on the merits.  The Rules of Procedure of the Inter-American Commission themselves, in establishing an admissibility phase and a merits phase, reflect this distinction between the evaluation to be performed by the Inter-American Commission in order to find a petition admissible and that required to establish whether a violation attributable to the State has been committed</w:t>
      </w:r>
      <w:r w:rsidRPr="00B715A5">
        <w:rPr>
          <w:rStyle w:val="FootnoteReference"/>
          <w:b w:val="0"/>
          <w:szCs w:val="20"/>
        </w:rPr>
        <w:footnoteReference w:id="17"/>
      </w:r>
      <w:r w:rsidRPr="00B715A5">
        <w:rPr>
          <w:rFonts w:ascii="Verdana" w:hAnsi="Verdana"/>
          <w:b w:val="0"/>
          <w:sz w:val="20"/>
          <w:szCs w:val="20"/>
        </w:rPr>
        <w:t>.</w:t>
      </w:r>
    </w:p>
    <w:p w:rsidR="002A630A" w:rsidRPr="00B715A5" w:rsidRDefault="002A630A" w:rsidP="00B715A5">
      <w:pPr>
        <w:pStyle w:val="Heading2"/>
        <w:spacing w:before="0" w:beforeAutospacing="0" w:after="0" w:afterAutospacing="0"/>
        <w:rPr>
          <w:rFonts w:ascii="Verdana" w:hAnsi="Verdana"/>
          <w:b w:val="0"/>
          <w:bCs w:val="0"/>
          <w:sz w:val="20"/>
          <w:szCs w:val="20"/>
        </w:rPr>
      </w:pPr>
    </w:p>
    <w:p w:rsidR="002A630A" w:rsidRPr="00B715A5" w:rsidRDefault="002A630A" w:rsidP="00B715A5">
      <w:pPr>
        <w:pStyle w:val="Heading2"/>
        <w:numPr>
          <w:ilvl w:val="0"/>
          <w:numId w:val="22"/>
        </w:numPr>
        <w:tabs>
          <w:tab w:val="clear" w:pos="540"/>
        </w:tabs>
        <w:spacing w:before="0" w:beforeAutospacing="0" w:after="0" w:afterAutospacing="0"/>
        <w:jc w:val="both"/>
        <w:rPr>
          <w:rFonts w:ascii="Verdana" w:hAnsi="Verdana"/>
          <w:b w:val="0"/>
          <w:bCs w:val="0"/>
          <w:sz w:val="20"/>
          <w:szCs w:val="20"/>
        </w:rPr>
      </w:pPr>
      <w:r w:rsidRPr="00B715A5">
        <w:rPr>
          <w:rFonts w:ascii="Verdana" w:hAnsi="Verdana"/>
          <w:b w:val="0"/>
          <w:sz w:val="20"/>
          <w:szCs w:val="20"/>
        </w:rPr>
        <w:t>The Commission finds that the allegations, if proven, could constitute possible violations of the rights of the alleged victims to a private and family life, to raise a family, and to personal integrity, enshrined in Article</w:t>
      </w:r>
      <w:r w:rsidRPr="00B715A5">
        <w:rPr>
          <w:rFonts w:ascii="Verdana" w:hAnsi="Verdana" w:cs="Arial"/>
          <w:b w:val="0"/>
          <w:sz w:val="20"/>
          <w:szCs w:val="20"/>
        </w:rPr>
        <w:t xml:space="preserve">s 11.2, 17.2, and 5.1 of the American Convention, in respect of </w:t>
      </w:r>
      <w:r w:rsidRPr="00B715A5">
        <w:rPr>
          <w:rFonts w:ascii="Verdana" w:hAnsi="Verdana"/>
          <w:b w:val="0"/>
          <w:sz w:val="20"/>
          <w:szCs w:val="20"/>
        </w:rPr>
        <w:t>Articles 1.1 and 2 of the Convention. It also finds that the effect of the prohibition of a procedure that could have helped the alleged victims in this case to have biological children, as they wished, stemming from the judgment issued by the Constitutional Chamber of Costa Rica on March 15, 2000, could constitute a violation of Article 24 of the American Convention in relation to Articles 1.1 and 2 of that international instrument.</w:t>
      </w:r>
    </w:p>
    <w:p w:rsidR="002A630A" w:rsidRPr="00B715A5" w:rsidRDefault="002A630A" w:rsidP="00B715A5">
      <w:pPr>
        <w:pStyle w:val="Heading2"/>
        <w:spacing w:before="0" w:beforeAutospacing="0" w:after="0" w:afterAutospacing="0"/>
        <w:rPr>
          <w:rFonts w:ascii="Verdana" w:hAnsi="Verdana"/>
          <w:b w:val="0"/>
          <w:bCs w:val="0"/>
          <w:sz w:val="20"/>
          <w:szCs w:val="20"/>
        </w:rPr>
      </w:pPr>
    </w:p>
    <w:p w:rsidR="002A630A" w:rsidRPr="00B715A5" w:rsidRDefault="002A630A" w:rsidP="00B715A5">
      <w:pPr>
        <w:pStyle w:val="Heading2"/>
        <w:numPr>
          <w:ilvl w:val="0"/>
          <w:numId w:val="22"/>
        </w:numPr>
        <w:tabs>
          <w:tab w:val="clear" w:pos="540"/>
        </w:tabs>
        <w:spacing w:before="0" w:beforeAutospacing="0" w:after="0" w:afterAutospacing="0"/>
        <w:jc w:val="both"/>
        <w:rPr>
          <w:rFonts w:ascii="Verdana" w:hAnsi="Verdana"/>
          <w:b w:val="0"/>
          <w:sz w:val="20"/>
          <w:szCs w:val="20"/>
        </w:rPr>
      </w:pPr>
      <w:r w:rsidRPr="00B715A5">
        <w:rPr>
          <w:rFonts w:ascii="Verdana" w:hAnsi="Verdana"/>
          <w:b w:val="0"/>
          <w:sz w:val="20"/>
          <w:szCs w:val="20"/>
        </w:rPr>
        <w:t xml:space="preserve">The IACHR finds that the information presented does not constitute sufficient evidence of a violation of the rights protected by Articles 4 and 26 of the American Convention.  </w:t>
      </w:r>
    </w:p>
    <w:p w:rsidR="002A630A" w:rsidRPr="00B715A5" w:rsidRDefault="002A630A" w:rsidP="00B715A5">
      <w:pPr>
        <w:rPr>
          <w:szCs w:val="20"/>
          <w:lang w:val="en-US"/>
        </w:rPr>
      </w:pPr>
    </w:p>
    <w:p w:rsidR="002A630A" w:rsidRPr="00B715A5" w:rsidRDefault="002A630A" w:rsidP="00B715A5">
      <w:pPr>
        <w:pStyle w:val="Heading2"/>
        <w:keepNext/>
        <w:numPr>
          <w:ilvl w:val="1"/>
          <w:numId w:val="22"/>
        </w:numPr>
        <w:tabs>
          <w:tab w:val="clear" w:pos="2520"/>
          <w:tab w:val="num" w:pos="1440"/>
        </w:tabs>
        <w:spacing w:before="0" w:beforeAutospacing="0" w:after="0" w:afterAutospacing="0"/>
        <w:ind w:left="1440"/>
        <w:jc w:val="both"/>
        <w:rPr>
          <w:rFonts w:ascii="Verdana" w:hAnsi="Verdana"/>
          <w:sz w:val="20"/>
          <w:szCs w:val="20"/>
        </w:rPr>
      </w:pPr>
      <w:r w:rsidRPr="00B715A5">
        <w:rPr>
          <w:rFonts w:ascii="Verdana" w:hAnsi="Verdana"/>
          <w:sz w:val="20"/>
          <w:szCs w:val="20"/>
        </w:rPr>
        <w:t>CONCLUSIONS</w:t>
      </w:r>
    </w:p>
    <w:p w:rsidR="002A630A" w:rsidRPr="00B715A5" w:rsidRDefault="002A630A" w:rsidP="00B715A5">
      <w:pPr>
        <w:rPr>
          <w:szCs w:val="20"/>
        </w:rPr>
      </w:pPr>
    </w:p>
    <w:p w:rsidR="002A630A" w:rsidRPr="00B715A5" w:rsidRDefault="002A630A" w:rsidP="00B715A5">
      <w:pPr>
        <w:pStyle w:val="Heading2"/>
        <w:numPr>
          <w:ilvl w:val="0"/>
          <w:numId w:val="22"/>
        </w:numPr>
        <w:tabs>
          <w:tab w:val="clear" w:pos="540"/>
        </w:tabs>
        <w:spacing w:before="0" w:beforeAutospacing="0" w:after="0" w:afterAutospacing="0"/>
        <w:jc w:val="both"/>
        <w:rPr>
          <w:rFonts w:ascii="Verdana" w:hAnsi="Verdana"/>
          <w:b w:val="0"/>
          <w:sz w:val="20"/>
          <w:szCs w:val="20"/>
        </w:rPr>
      </w:pPr>
      <w:r w:rsidRPr="00B715A5">
        <w:rPr>
          <w:rFonts w:ascii="Verdana" w:hAnsi="Verdana"/>
          <w:b w:val="0"/>
          <w:sz w:val="20"/>
          <w:szCs w:val="20"/>
        </w:rPr>
        <w:lastRenderedPageBreak/>
        <w:t>The Inter-American Commission concludes  that it is competent to examine the merits of this case and that the petition is admissible under Articles 46 and 47 of the American Convention.  It has decided to proceed with the examination of the merits concerning the alleged violation of Articles 5.1, 11.2, 17.2, and 24 of the American Convention, in keeping with the overall obligations to respect and safeguard rights set forth in Articles 1.1 and 2 of the Convention.  In addition, although it does not have competence to determine violations of Articles 1, 2, 3, 10, 14.1.b, and 18 of the Protocol of San Salvador, the IACHR will consider the provisions concerning those rights in its examination of the merits in this case, as established in Article 29 of the American Convention. </w:t>
      </w:r>
    </w:p>
    <w:p w:rsidR="002A630A" w:rsidRPr="00B715A5" w:rsidRDefault="002A630A" w:rsidP="00B715A5">
      <w:pPr>
        <w:rPr>
          <w:szCs w:val="20"/>
          <w:lang w:val="en-US"/>
        </w:rPr>
      </w:pPr>
    </w:p>
    <w:p w:rsidR="002A630A" w:rsidRPr="00B715A5" w:rsidRDefault="002A630A" w:rsidP="00B715A5">
      <w:pPr>
        <w:numPr>
          <w:ilvl w:val="0"/>
          <w:numId w:val="22"/>
        </w:numPr>
        <w:rPr>
          <w:szCs w:val="20"/>
          <w:lang w:val="en-US"/>
        </w:rPr>
      </w:pPr>
      <w:r w:rsidRPr="00B715A5">
        <w:rPr>
          <w:szCs w:val="20"/>
          <w:lang w:val="en-US"/>
        </w:rPr>
        <w:t>The Commission also concludes that this petition is inadmissible insofar as the alleged violation of rights recognized in Articles 4 and 26 of the American Convention is concerned.</w:t>
      </w:r>
    </w:p>
    <w:p w:rsidR="002A630A" w:rsidRPr="00B715A5" w:rsidRDefault="002A630A" w:rsidP="00B715A5">
      <w:pPr>
        <w:pStyle w:val="Heading2"/>
        <w:spacing w:before="0" w:beforeAutospacing="0" w:after="0" w:afterAutospacing="0"/>
        <w:rPr>
          <w:rFonts w:ascii="Verdana" w:hAnsi="Verdana"/>
          <w:b w:val="0"/>
          <w:sz w:val="20"/>
          <w:szCs w:val="20"/>
        </w:rPr>
      </w:pPr>
    </w:p>
    <w:p w:rsidR="002A630A" w:rsidRPr="00B715A5" w:rsidRDefault="002A630A" w:rsidP="00B715A5">
      <w:pPr>
        <w:pStyle w:val="Heading2"/>
        <w:numPr>
          <w:ilvl w:val="0"/>
          <w:numId w:val="22"/>
        </w:numPr>
        <w:tabs>
          <w:tab w:val="clear" w:pos="540"/>
        </w:tabs>
        <w:spacing w:before="0" w:beforeAutospacing="0" w:after="0" w:afterAutospacing="0"/>
        <w:jc w:val="both"/>
        <w:rPr>
          <w:rFonts w:ascii="Verdana" w:hAnsi="Verdana"/>
          <w:b w:val="0"/>
          <w:sz w:val="20"/>
          <w:szCs w:val="20"/>
        </w:rPr>
      </w:pPr>
      <w:r w:rsidRPr="00B715A5">
        <w:rPr>
          <w:rFonts w:ascii="Verdana" w:hAnsi="Verdana"/>
          <w:b w:val="0"/>
          <w:sz w:val="20"/>
          <w:szCs w:val="20"/>
        </w:rPr>
        <w:t xml:space="preserve">On the basis of the considerations of fact and of law set forth herein, </w:t>
      </w:r>
    </w:p>
    <w:p w:rsidR="002A630A" w:rsidRPr="00B715A5" w:rsidRDefault="002A630A" w:rsidP="00B715A5">
      <w:pPr>
        <w:jc w:val="center"/>
        <w:rPr>
          <w:bCs/>
          <w:szCs w:val="20"/>
          <w:lang w:val="en-US"/>
        </w:rPr>
      </w:pPr>
    </w:p>
    <w:p w:rsidR="002A630A" w:rsidRPr="00B715A5" w:rsidRDefault="002A630A" w:rsidP="00B715A5">
      <w:pPr>
        <w:jc w:val="center"/>
        <w:rPr>
          <w:b/>
          <w:szCs w:val="20"/>
          <w:lang w:val="en-US"/>
        </w:rPr>
      </w:pPr>
      <w:r w:rsidRPr="00B715A5">
        <w:rPr>
          <w:b/>
          <w:bCs/>
          <w:szCs w:val="20"/>
          <w:lang w:val="en-US"/>
        </w:rPr>
        <w:t>THE INTER-AMERICAN COMMISSION ON HUMAN RIGHTS</w:t>
      </w:r>
    </w:p>
    <w:p w:rsidR="002A630A" w:rsidRPr="00B715A5" w:rsidRDefault="002A630A" w:rsidP="00B715A5">
      <w:pPr>
        <w:ind w:left="2832" w:firstLine="708"/>
        <w:rPr>
          <w:b/>
          <w:bCs/>
          <w:szCs w:val="20"/>
          <w:lang w:val="en-US"/>
        </w:rPr>
      </w:pPr>
      <w:r w:rsidRPr="00B715A5">
        <w:rPr>
          <w:b/>
          <w:bCs/>
          <w:szCs w:val="20"/>
          <w:lang w:val="en-US"/>
        </w:rPr>
        <w:t>HAS DECIDED:</w:t>
      </w:r>
    </w:p>
    <w:p w:rsidR="002A630A" w:rsidRPr="00B715A5" w:rsidRDefault="002A630A" w:rsidP="00B715A5">
      <w:pPr>
        <w:rPr>
          <w:bCs/>
          <w:szCs w:val="20"/>
          <w:lang w:val="en-US"/>
        </w:rPr>
      </w:pPr>
    </w:p>
    <w:p w:rsidR="002A630A" w:rsidRPr="00B715A5" w:rsidRDefault="002A630A" w:rsidP="00B715A5">
      <w:pPr>
        <w:ind w:firstLine="720"/>
        <w:rPr>
          <w:szCs w:val="20"/>
          <w:lang w:val="en-US"/>
        </w:rPr>
      </w:pPr>
      <w:r w:rsidRPr="00B715A5">
        <w:rPr>
          <w:szCs w:val="20"/>
          <w:lang w:val="en-US"/>
        </w:rPr>
        <w:t>1.</w:t>
      </w:r>
      <w:r w:rsidRPr="00B715A5">
        <w:rPr>
          <w:szCs w:val="20"/>
          <w:lang w:val="en-US"/>
        </w:rPr>
        <w:tab/>
        <w:t xml:space="preserve">To </w:t>
      </w:r>
      <w:r w:rsidRPr="00B715A5">
        <w:rPr>
          <w:rFonts w:cs="Arial"/>
          <w:szCs w:val="20"/>
          <w:lang w:val="en-US"/>
        </w:rPr>
        <w:t>declare this petition admissible in relation to the alleged violations of the rights recognized in</w:t>
      </w:r>
      <w:r w:rsidRPr="00B715A5">
        <w:rPr>
          <w:szCs w:val="20"/>
          <w:lang w:val="en-US"/>
        </w:rPr>
        <w:t xml:space="preserve"> Articles 5.1, 11.2, 17.2, and 24 of the American Convention, in keeping with Articles 1.1 and 2 of that convention.</w:t>
      </w:r>
    </w:p>
    <w:p w:rsidR="002A630A" w:rsidRPr="00B715A5" w:rsidRDefault="002A630A" w:rsidP="00B715A5">
      <w:pPr>
        <w:rPr>
          <w:szCs w:val="20"/>
          <w:lang w:val="en-US"/>
        </w:rPr>
      </w:pPr>
    </w:p>
    <w:p w:rsidR="002A630A" w:rsidRPr="00B715A5" w:rsidRDefault="002A630A" w:rsidP="00B715A5">
      <w:pPr>
        <w:numPr>
          <w:ilvl w:val="0"/>
          <w:numId w:val="25"/>
        </w:numPr>
        <w:tabs>
          <w:tab w:val="clear" w:pos="2880"/>
        </w:tabs>
        <w:ind w:left="0" w:firstLine="720"/>
        <w:rPr>
          <w:szCs w:val="20"/>
          <w:lang w:val="en-US"/>
        </w:rPr>
      </w:pPr>
      <w:r w:rsidRPr="00B715A5">
        <w:rPr>
          <w:szCs w:val="20"/>
          <w:lang w:val="en-US"/>
        </w:rPr>
        <w:t>To declare this petition inadmissible in relation to the alleged violations of the rights recognized in Articles 4 and 26 of the American Convention.</w:t>
      </w:r>
    </w:p>
    <w:p w:rsidR="002A630A" w:rsidRPr="00B715A5" w:rsidRDefault="002A630A" w:rsidP="00B715A5">
      <w:pPr>
        <w:ind w:left="720"/>
        <w:rPr>
          <w:szCs w:val="20"/>
          <w:lang w:val="en-US"/>
        </w:rPr>
      </w:pPr>
    </w:p>
    <w:p w:rsidR="002A630A" w:rsidRPr="00B715A5" w:rsidRDefault="002A630A" w:rsidP="00B715A5">
      <w:pPr>
        <w:numPr>
          <w:ilvl w:val="0"/>
          <w:numId w:val="25"/>
        </w:numPr>
        <w:tabs>
          <w:tab w:val="clear" w:pos="2880"/>
        </w:tabs>
        <w:ind w:left="0" w:firstLine="720"/>
        <w:rPr>
          <w:szCs w:val="20"/>
          <w:lang w:val="en-US"/>
        </w:rPr>
      </w:pPr>
      <w:r w:rsidRPr="00B715A5">
        <w:rPr>
          <w:rFonts w:cs="Arial"/>
          <w:szCs w:val="20"/>
          <w:lang w:val="en-US"/>
        </w:rPr>
        <w:t>To apprise the parties of this decision.</w:t>
      </w:r>
    </w:p>
    <w:p w:rsidR="002A630A" w:rsidRPr="00B715A5" w:rsidRDefault="002A630A" w:rsidP="00B715A5">
      <w:pPr>
        <w:pStyle w:val="ListParagraph1"/>
        <w:rPr>
          <w:rFonts w:ascii="Verdana" w:hAnsi="Verdana"/>
          <w:sz w:val="20"/>
          <w:szCs w:val="20"/>
        </w:rPr>
      </w:pPr>
    </w:p>
    <w:p w:rsidR="002A630A" w:rsidRPr="00B715A5" w:rsidRDefault="002A630A" w:rsidP="00B715A5">
      <w:pPr>
        <w:numPr>
          <w:ilvl w:val="0"/>
          <w:numId w:val="25"/>
        </w:numPr>
        <w:tabs>
          <w:tab w:val="clear" w:pos="2880"/>
        </w:tabs>
        <w:ind w:left="0" w:firstLine="720"/>
        <w:rPr>
          <w:szCs w:val="20"/>
          <w:lang w:val="en-US"/>
        </w:rPr>
      </w:pPr>
      <w:r w:rsidRPr="00B715A5">
        <w:rPr>
          <w:rFonts w:cs="Arial"/>
          <w:szCs w:val="20"/>
          <w:lang w:val="en-US"/>
        </w:rPr>
        <w:t>To publish this decision and to include it in the Commission’s Annual Report to the OAS General Assembly.</w:t>
      </w:r>
    </w:p>
    <w:p w:rsidR="002A630A" w:rsidRPr="00B715A5" w:rsidRDefault="002A630A" w:rsidP="00B715A5">
      <w:pPr>
        <w:rPr>
          <w:szCs w:val="20"/>
          <w:lang w:val="en-US"/>
        </w:rPr>
      </w:pPr>
    </w:p>
    <w:p w:rsidR="00453524" w:rsidRPr="00B715A5" w:rsidRDefault="002A630A" w:rsidP="00B715A5">
      <w:pPr>
        <w:ind w:firstLine="720"/>
        <w:rPr>
          <w:szCs w:val="20"/>
          <w:lang w:val="en-US"/>
        </w:rPr>
      </w:pPr>
      <w:r w:rsidRPr="00B715A5">
        <w:rPr>
          <w:rFonts w:cs="Arial"/>
          <w:noProof/>
          <w:spacing w:val="-2"/>
          <w:szCs w:val="20"/>
          <w:lang w:val="en-US"/>
        </w:rPr>
        <w:t xml:space="preserve">Done and signed in the city of Washington, D.C., on the 1st. day of the month of November 2010.  (Signed): Felipe González, President; </w:t>
      </w:r>
      <w:r w:rsidRPr="00B715A5">
        <w:rPr>
          <w:rFonts w:cs="Arial"/>
          <w:noProof/>
          <w:szCs w:val="20"/>
          <w:lang w:val="en-US"/>
        </w:rPr>
        <w:t>Paulo Sérgio Pinheiro</w:t>
      </w:r>
      <w:r w:rsidRPr="00B715A5">
        <w:rPr>
          <w:rFonts w:cs="Arial"/>
          <w:noProof/>
          <w:spacing w:val="-2"/>
          <w:szCs w:val="20"/>
          <w:lang w:val="en-US"/>
        </w:rPr>
        <w:t>, First Vice-President; Dinah Shelton, Second Vice-President; Luz Patricia Mejía Guerrero, María Silvia Guillén, and José de Jesús Orozco Henríquez, members of the the Commission.</w:t>
      </w:r>
    </w:p>
    <w:sectPr w:rsidR="00453524" w:rsidRPr="00B715A5" w:rsidSect="00662A67">
      <w:footerReference w:type="default" r:id="rId8"/>
      <w:pgSz w:w="11907" w:h="16839" w:code="9"/>
      <w:pgMar w:top="1134" w:right="1134" w:bottom="1134" w:left="1134" w:header="708"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5C8C" w:rsidRDefault="000E5C8C" w:rsidP="007B2999">
      <w:r>
        <w:separator/>
      </w:r>
    </w:p>
  </w:endnote>
  <w:endnote w:type="continuationSeparator" w:id="0">
    <w:p w:rsidR="000E5C8C" w:rsidRDefault="000E5C8C" w:rsidP="007B2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Univers">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03FA" w:rsidRDefault="00B703FA" w:rsidP="00E21BB2">
    <w:pPr>
      <w:pStyle w:val="Footer"/>
      <w:jc w:val="center"/>
    </w:pPr>
    <w:r>
      <w:fldChar w:fldCharType="begin"/>
    </w:r>
    <w:r>
      <w:instrText xml:space="preserve"> PAGE   \* MERGEFORMAT </w:instrText>
    </w:r>
    <w:r>
      <w:fldChar w:fldCharType="separate"/>
    </w:r>
    <w:r w:rsidR="00962A11">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5C8C" w:rsidRDefault="000E5C8C" w:rsidP="007B2999">
      <w:r>
        <w:separator/>
      </w:r>
    </w:p>
  </w:footnote>
  <w:footnote w:type="continuationSeparator" w:id="0">
    <w:p w:rsidR="000E5C8C" w:rsidRDefault="000E5C8C" w:rsidP="007B2999">
      <w:r>
        <w:continuationSeparator/>
      </w:r>
    </w:p>
  </w:footnote>
  <w:footnote w:id="1">
    <w:p w:rsidR="002A630A" w:rsidRPr="00B715A5" w:rsidRDefault="002A630A" w:rsidP="00B715A5">
      <w:pPr>
        <w:pStyle w:val="FootnoteText"/>
        <w:spacing w:before="0" w:beforeAutospacing="0" w:after="0" w:afterAutospacing="0"/>
        <w:jc w:val="both"/>
        <w:rPr>
          <w:rFonts w:ascii="Verdana" w:hAnsi="Verdana"/>
          <w:sz w:val="16"/>
          <w:szCs w:val="16"/>
          <w:lang w:val="en-US"/>
        </w:rPr>
      </w:pPr>
      <w:r w:rsidRPr="00B715A5">
        <w:rPr>
          <w:rStyle w:val="FootnoteReference"/>
          <w:sz w:val="16"/>
          <w:szCs w:val="16"/>
          <w:lang w:val="en-US"/>
        </w:rPr>
        <w:footnoteRef/>
      </w:r>
      <w:r w:rsidRPr="00B715A5">
        <w:rPr>
          <w:rFonts w:ascii="Verdana" w:hAnsi="Verdana"/>
          <w:sz w:val="16"/>
          <w:szCs w:val="16"/>
          <w:lang w:val="en-US"/>
        </w:rPr>
        <w:t xml:space="preserve"> See paragraph 9 of the petition. </w:t>
      </w:r>
    </w:p>
  </w:footnote>
  <w:footnote w:id="2">
    <w:p w:rsidR="002A630A" w:rsidRPr="00B715A5" w:rsidRDefault="002A630A" w:rsidP="00B715A5">
      <w:pPr>
        <w:pStyle w:val="FootnoteText"/>
        <w:spacing w:before="0" w:beforeAutospacing="0" w:after="0" w:afterAutospacing="0"/>
        <w:jc w:val="both"/>
        <w:rPr>
          <w:rFonts w:ascii="Verdana" w:hAnsi="Verdana"/>
          <w:sz w:val="16"/>
          <w:szCs w:val="16"/>
          <w:lang w:val="en-US"/>
        </w:rPr>
      </w:pPr>
      <w:r w:rsidRPr="00B715A5">
        <w:rPr>
          <w:rStyle w:val="FootnoteReference"/>
          <w:sz w:val="16"/>
          <w:szCs w:val="16"/>
          <w:lang w:val="en-US"/>
        </w:rPr>
        <w:footnoteRef/>
      </w:r>
      <w:r w:rsidRPr="00B715A5">
        <w:rPr>
          <w:rFonts w:ascii="Verdana" w:hAnsi="Verdana"/>
          <w:sz w:val="16"/>
          <w:szCs w:val="16"/>
          <w:lang w:val="en-US"/>
        </w:rPr>
        <w:t xml:space="preserve"> See paragraph 9 of the petition. </w:t>
      </w:r>
    </w:p>
  </w:footnote>
  <w:footnote w:id="3">
    <w:p w:rsidR="002A630A" w:rsidRPr="00B715A5" w:rsidRDefault="002A630A" w:rsidP="00B715A5">
      <w:pPr>
        <w:pStyle w:val="FootnoteText"/>
        <w:spacing w:before="0" w:beforeAutospacing="0" w:after="0" w:afterAutospacing="0"/>
        <w:jc w:val="both"/>
        <w:rPr>
          <w:rFonts w:ascii="Verdana" w:hAnsi="Verdana"/>
          <w:sz w:val="16"/>
          <w:szCs w:val="16"/>
          <w:lang w:val="en-US"/>
        </w:rPr>
      </w:pPr>
      <w:r w:rsidRPr="00B715A5">
        <w:rPr>
          <w:rStyle w:val="FootnoteReference"/>
          <w:sz w:val="16"/>
          <w:szCs w:val="16"/>
          <w:lang w:val="en-US"/>
        </w:rPr>
        <w:footnoteRef/>
      </w:r>
      <w:r w:rsidRPr="00B715A5">
        <w:rPr>
          <w:rFonts w:ascii="Verdana" w:hAnsi="Verdana"/>
          <w:sz w:val="16"/>
          <w:szCs w:val="16"/>
          <w:lang w:val="en-US"/>
        </w:rPr>
        <w:t xml:space="preserve"> See paragraph 9 of the petition. </w:t>
      </w:r>
    </w:p>
  </w:footnote>
  <w:footnote w:id="4">
    <w:p w:rsidR="002A630A" w:rsidRPr="00B715A5" w:rsidRDefault="002A630A" w:rsidP="00B715A5">
      <w:pPr>
        <w:pStyle w:val="FootnoteText"/>
        <w:spacing w:before="0" w:beforeAutospacing="0" w:after="0" w:afterAutospacing="0"/>
        <w:jc w:val="both"/>
        <w:rPr>
          <w:rFonts w:ascii="Verdana" w:hAnsi="Verdana"/>
          <w:sz w:val="16"/>
          <w:szCs w:val="16"/>
          <w:lang w:val="en-US"/>
        </w:rPr>
      </w:pPr>
      <w:r w:rsidRPr="00B715A5">
        <w:rPr>
          <w:rStyle w:val="FootnoteReference"/>
          <w:sz w:val="16"/>
          <w:szCs w:val="16"/>
          <w:lang w:val="en-US"/>
        </w:rPr>
        <w:footnoteRef/>
      </w:r>
      <w:r w:rsidRPr="00B715A5">
        <w:rPr>
          <w:rFonts w:ascii="Verdana" w:hAnsi="Verdana"/>
          <w:sz w:val="16"/>
          <w:szCs w:val="16"/>
          <w:lang w:val="en-US"/>
        </w:rPr>
        <w:t xml:space="preserve"> Communication from the petitioner, dated January 19, 2007.</w:t>
      </w:r>
    </w:p>
  </w:footnote>
  <w:footnote w:id="5">
    <w:p w:rsidR="002A630A" w:rsidRPr="00B715A5" w:rsidRDefault="002A630A" w:rsidP="00B715A5">
      <w:pPr>
        <w:pStyle w:val="FootnoteText"/>
        <w:spacing w:before="0" w:beforeAutospacing="0" w:after="0" w:afterAutospacing="0"/>
        <w:jc w:val="both"/>
        <w:rPr>
          <w:rFonts w:ascii="Verdana" w:hAnsi="Verdana"/>
          <w:sz w:val="16"/>
          <w:szCs w:val="16"/>
          <w:lang w:val="en-US"/>
        </w:rPr>
      </w:pPr>
      <w:r w:rsidRPr="00B715A5">
        <w:rPr>
          <w:rStyle w:val="FootnoteReference"/>
          <w:sz w:val="16"/>
          <w:szCs w:val="16"/>
          <w:lang w:val="en-US"/>
        </w:rPr>
        <w:footnoteRef/>
      </w:r>
      <w:r w:rsidRPr="00B715A5">
        <w:rPr>
          <w:rFonts w:ascii="Verdana" w:hAnsi="Verdana"/>
          <w:sz w:val="16"/>
          <w:szCs w:val="16"/>
          <w:lang w:val="en-US"/>
        </w:rPr>
        <w:t xml:space="preserve"> Communication from the State, dated November 16, 2006.</w:t>
      </w:r>
    </w:p>
  </w:footnote>
  <w:footnote w:id="6">
    <w:p w:rsidR="002A630A" w:rsidRPr="00B715A5" w:rsidRDefault="002A630A" w:rsidP="00B715A5">
      <w:pPr>
        <w:pStyle w:val="FootnoteText"/>
        <w:spacing w:before="0" w:beforeAutospacing="0" w:after="0" w:afterAutospacing="0"/>
        <w:jc w:val="both"/>
        <w:rPr>
          <w:rFonts w:ascii="Verdana" w:hAnsi="Verdana"/>
          <w:sz w:val="16"/>
          <w:szCs w:val="16"/>
          <w:lang w:val="en-US"/>
        </w:rPr>
      </w:pPr>
      <w:r w:rsidRPr="00B715A5">
        <w:rPr>
          <w:rStyle w:val="FootnoteReference"/>
          <w:sz w:val="16"/>
          <w:szCs w:val="16"/>
          <w:lang w:val="en-US"/>
        </w:rPr>
        <w:footnoteRef/>
      </w:r>
      <w:r w:rsidRPr="00B715A5">
        <w:rPr>
          <w:rFonts w:ascii="Verdana" w:hAnsi="Verdana"/>
          <w:sz w:val="16"/>
          <w:szCs w:val="16"/>
          <w:lang w:val="en-US"/>
        </w:rPr>
        <w:t xml:space="preserve"> Communication from the State, dated January 29, 2009.</w:t>
      </w:r>
    </w:p>
  </w:footnote>
  <w:footnote w:id="7">
    <w:p w:rsidR="002A630A" w:rsidRPr="00B715A5" w:rsidRDefault="002A630A" w:rsidP="00B715A5">
      <w:pPr>
        <w:pStyle w:val="FootnoteText"/>
        <w:spacing w:before="0" w:beforeAutospacing="0" w:after="0" w:afterAutospacing="0"/>
        <w:jc w:val="both"/>
        <w:rPr>
          <w:rFonts w:ascii="Verdana" w:hAnsi="Verdana"/>
          <w:sz w:val="16"/>
          <w:szCs w:val="16"/>
          <w:lang w:val="en-US"/>
        </w:rPr>
      </w:pPr>
      <w:r w:rsidRPr="00B715A5">
        <w:rPr>
          <w:rStyle w:val="FootnoteReference"/>
          <w:sz w:val="16"/>
          <w:szCs w:val="16"/>
          <w:lang w:val="en-US"/>
        </w:rPr>
        <w:footnoteRef/>
      </w:r>
      <w:r w:rsidRPr="00B715A5">
        <w:rPr>
          <w:rFonts w:ascii="Verdana" w:hAnsi="Verdana"/>
          <w:sz w:val="16"/>
          <w:szCs w:val="16"/>
          <w:lang w:val="en-US"/>
        </w:rPr>
        <w:t xml:space="preserve"> Communication from the State, dated November 24, 2008, citing part of judgment No. 2000-2306, issued by the Constitutional Chamber on March 15, 2000.</w:t>
      </w:r>
    </w:p>
  </w:footnote>
  <w:footnote w:id="8">
    <w:p w:rsidR="002A630A" w:rsidRPr="00B715A5" w:rsidRDefault="002A630A" w:rsidP="00B715A5">
      <w:pPr>
        <w:pStyle w:val="FootnoteText"/>
        <w:spacing w:before="0" w:beforeAutospacing="0" w:after="0" w:afterAutospacing="0"/>
        <w:jc w:val="both"/>
        <w:rPr>
          <w:rFonts w:ascii="Verdana" w:hAnsi="Verdana"/>
          <w:sz w:val="16"/>
          <w:szCs w:val="16"/>
          <w:lang w:val="en-US"/>
        </w:rPr>
      </w:pPr>
      <w:r w:rsidRPr="00B715A5">
        <w:rPr>
          <w:rStyle w:val="FootnoteReference"/>
          <w:sz w:val="16"/>
          <w:szCs w:val="16"/>
          <w:lang w:val="en-US"/>
        </w:rPr>
        <w:footnoteRef/>
      </w:r>
      <w:r w:rsidRPr="00B715A5">
        <w:rPr>
          <w:rFonts w:ascii="Verdana" w:hAnsi="Verdana"/>
          <w:sz w:val="16"/>
          <w:szCs w:val="16"/>
          <w:lang w:val="en-US"/>
        </w:rPr>
        <w:t xml:space="preserve"> IACHR, public hearing before the IACHR on the petitions and on case 12.361, held on October 28, 2008, during the 133</w:t>
      </w:r>
      <w:r w:rsidRPr="00B715A5">
        <w:rPr>
          <w:rFonts w:ascii="Verdana" w:hAnsi="Verdana"/>
          <w:sz w:val="16"/>
          <w:szCs w:val="16"/>
          <w:vertAlign w:val="superscript"/>
          <w:lang w:val="en-US"/>
        </w:rPr>
        <w:t>rd</w:t>
      </w:r>
      <w:r w:rsidRPr="00B715A5">
        <w:rPr>
          <w:rFonts w:ascii="Verdana" w:hAnsi="Verdana"/>
          <w:sz w:val="16"/>
          <w:szCs w:val="16"/>
          <w:lang w:val="en-US"/>
        </w:rPr>
        <w:t xml:space="preserve"> regular period of sessions. See at: </w:t>
      </w:r>
      <w:hyperlink r:id="rId1" w:history="1">
        <w:r w:rsidRPr="00B715A5">
          <w:rPr>
            <w:rStyle w:val="Hyperlink"/>
            <w:rFonts w:ascii="Verdana" w:hAnsi="Verdana"/>
            <w:sz w:val="16"/>
            <w:szCs w:val="16"/>
            <w:lang w:val="en-US"/>
          </w:rPr>
          <w:t>http://www.IACHR.oas.org/prensa/publichearings/advanced.aspx?Lang=ES</w:t>
        </w:r>
      </w:hyperlink>
    </w:p>
  </w:footnote>
  <w:footnote w:id="9">
    <w:p w:rsidR="002A630A" w:rsidRPr="00B715A5" w:rsidRDefault="002A630A" w:rsidP="00B715A5">
      <w:pPr>
        <w:pStyle w:val="FootnoteText"/>
        <w:spacing w:before="0" w:beforeAutospacing="0" w:after="0" w:afterAutospacing="0"/>
        <w:jc w:val="both"/>
        <w:rPr>
          <w:rFonts w:ascii="Verdana" w:hAnsi="Verdana"/>
          <w:sz w:val="16"/>
          <w:szCs w:val="16"/>
          <w:lang w:val="en-US"/>
        </w:rPr>
      </w:pPr>
      <w:r w:rsidRPr="00B715A5">
        <w:rPr>
          <w:rStyle w:val="FootnoteReference"/>
          <w:sz w:val="16"/>
          <w:szCs w:val="16"/>
          <w:lang w:val="en-US"/>
        </w:rPr>
        <w:footnoteRef/>
      </w:r>
      <w:r w:rsidRPr="00B715A5">
        <w:rPr>
          <w:rFonts w:ascii="Verdana" w:hAnsi="Verdana"/>
          <w:sz w:val="16"/>
          <w:szCs w:val="16"/>
          <w:lang w:val="en-US"/>
        </w:rPr>
        <w:t xml:space="preserve"> IACHR, public hearing before the IACHR on the petitions and on case 12.361, held on October 28, 2008, during the 133</w:t>
      </w:r>
      <w:r w:rsidRPr="00B715A5">
        <w:rPr>
          <w:rFonts w:ascii="Verdana" w:hAnsi="Verdana"/>
          <w:sz w:val="16"/>
          <w:szCs w:val="16"/>
          <w:vertAlign w:val="superscript"/>
          <w:lang w:val="en-US"/>
        </w:rPr>
        <w:t>rd</w:t>
      </w:r>
      <w:r w:rsidRPr="00B715A5">
        <w:rPr>
          <w:rFonts w:ascii="Verdana" w:hAnsi="Verdana"/>
          <w:sz w:val="16"/>
          <w:szCs w:val="16"/>
          <w:lang w:val="en-US"/>
        </w:rPr>
        <w:t xml:space="preserve"> regular period of sessions. See at: </w:t>
      </w:r>
      <w:hyperlink r:id="rId2" w:history="1">
        <w:r w:rsidRPr="00B715A5">
          <w:rPr>
            <w:rStyle w:val="Hyperlink"/>
            <w:rFonts w:ascii="Verdana" w:hAnsi="Verdana"/>
            <w:sz w:val="16"/>
            <w:szCs w:val="16"/>
            <w:lang w:val="en-US"/>
          </w:rPr>
          <w:t>http://www.IACHR.oas.org/prensa/publichearings/advanced.aspx?Lang=ES</w:t>
        </w:r>
      </w:hyperlink>
      <w:r w:rsidRPr="00B715A5">
        <w:rPr>
          <w:rFonts w:ascii="Verdana" w:hAnsi="Verdana"/>
          <w:sz w:val="16"/>
          <w:szCs w:val="16"/>
          <w:lang w:val="en-US"/>
        </w:rPr>
        <w:t>.</w:t>
      </w:r>
    </w:p>
  </w:footnote>
  <w:footnote w:id="10">
    <w:p w:rsidR="002A630A" w:rsidRPr="00B715A5" w:rsidRDefault="002A630A" w:rsidP="00B715A5">
      <w:pPr>
        <w:pStyle w:val="FootnoteText"/>
        <w:spacing w:before="0" w:beforeAutospacing="0" w:after="0" w:afterAutospacing="0"/>
        <w:jc w:val="both"/>
        <w:rPr>
          <w:rFonts w:ascii="Verdana" w:hAnsi="Verdana"/>
          <w:sz w:val="16"/>
          <w:szCs w:val="16"/>
          <w:lang w:val="en-US"/>
        </w:rPr>
      </w:pPr>
      <w:r w:rsidRPr="00B715A5">
        <w:rPr>
          <w:rStyle w:val="FootnoteReference"/>
          <w:sz w:val="16"/>
          <w:szCs w:val="16"/>
          <w:lang w:val="en-US"/>
        </w:rPr>
        <w:footnoteRef/>
      </w:r>
      <w:r w:rsidRPr="00B715A5">
        <w:rPr>
          <w:rFonts w:ascii="Verdana" w:hAnsi="Verdana"/>
          <w:sz w:val="16"/>
          <w:szCs w:val="16"/>
          <w:lang w:val="en-US"/>
        </w:rPr>
        <w:t xml:space="preserve"> Communication from the State, dated May 14, 2007.</w:t>
      </w:r>
    </w:p>
  </w:footnote>
  <w:footnote w:id="11">
    <w:p w:rsidR="002A630A" w:rsidRPr="00B715A5" w:rsidRDefault="002A630A" w:rsidP="00B715A5">
      <w:pPr>
        <w:rPr>
          <w:sz w:val="16"/>
          <w:szCs w:val="16"/>
          <w:lang w:val="en-US"/>
        </w:rPr>
      </w:pPr>
      <w:r w:rsidRPr="00B715A5">
        <w:rPr>
          <w:rStyle w:val="FootnoteReference"/>
          <w:b/>
          <w:bCs/>
          <w:sz w:val="16"/>
          <w:szCs w:val="16"/>
        </w:rPr>
        <w:footnoteRef/>
      </w:r>
      <w:r w:rsidRPr="00B715A5">
        <w:rPr>
          <w:sz w:val="16"/>
          <w:szCs w:val="16"/>
          <w:lang w:val="en-US"/>
        </w:rPr>
        <w:t xml:space="preserve"> See IACHR, Report No. 44/04, Laura Tena Colunga et al. (Inadmissibility), Mexico, October 13, 2004, paragraphs 33-40; IACHR</w:t>
      </w:r>
      <w:r w:rsidRPr="00B715A5">
        <w:rPr>
          <w:i/>
          <w:sz w:val="16"/>
          <w:szCs w:val="16"/>
          <w:lang w:val="en-US"/>
        </w:rPr>
        <w:t>,</w:t>
      </w:r>
      <w:r w:rsidRPr="00B715A5">
        <w:rPr>
          <w:sz w:val="16"/>
          <w:szCs w:val="16"/>
          <w:lang w:val="en-US"/>
        </w:rPr>
        <w:t xml:space="preserve"> Jorge Odir Miranda Cortez et al. (Admissibility), El Salvador, Case 12.249, Report no. 29/01, paragraph 36.</w:t>
      </w:r>
    </w:p>
  </w:footnote>
  <w:footnote w:id="12">
    <w:p w:rsidR="002A630A" w:rsidRPr="00B715A5" w:rsidRDefault="002A630A" w:rsidP="00B715A5">
      <w:pPr>
        <w:pStyle w:val="FootnoteText"/>
        <w:spacing w:before="0" w:beforeAutospacing="0" w:after="0" w:afterAutospacing="0"/>
        <w:jc w:val="both"/>
        <w:rPr>
          <w:rFonts w:ascii="Verdana" w:hAnsi="Verdana"/>
          <w:sz w:val="16"/>
          <w:szCs w:val="16"/>
          <w:lang w:val="en-US"/>
        </w:rPr>
      </w:pPr>
      <w:r w:rsidRPr="00B715A5">
        <w:rPr>
          <w:rStyle w:val="FootnoteReference"/>
          <w:sz w:val="16"/>
          <w:szCs w:val="16"/>
          <w:lang w:val="en-US"/>
        </w:rPr>
        <w:footnoteRef/>
      </w:r>
      <w:r w:rsidRPr="00B715A5">
        <w:rPr>
          <w:rFonts w:ascii="Verdana" w:hAnsi="Verdana"/>
          <w:sz w:val="16"/>
          <w:szCs w:val="16"/>
          <w:lang w:val="en-US"/>
        </w:rPr>
        <w:t xml:space="preserve"> Article 19.6 of the Protocol of San Salvador provides as follows: “Any instance in which the rights established in paragraph a) of Article 8 and in Article 13 are violated by action directly attributable to a State Party to this Protocol may give rise, through participation of the Inter-American Commission on Human Rights and, when applicable, of the Inter-American Court of Human Rights, to application of the system of individual petitions governed by Article 44 through 51 and 61 through 69 of the American Convention on Human Rights.”</w:t>
      </w:r>
    </w:p>
  </w:footnote>
  <w:footnote w:id="13">
    <w:p w:rsidR="002A630A" w:rsidRPr="00B715A5" w:rsidRDefault="002A630A" w:rsidP="00B715A5">
      <w:pPr>
        <w:pStyle w:val="FootnoteText"/>
        <w:spacing w:before="0" w:beforeAutospacing="0" w:after="0" w:afterAutospacing="0"/>
        <w:jc w:val="both"/>
        <w:rPr>
          <w:rFonts w:ascii="Verdana" w:hAnsi="Verdana"/>
          <w:sz w:val="16"/>
          <w:szCs w:val="16"/>
          <w:lang w:val="en-US"/>
        </w:rPr>
      </w:pPr>
      <w:r w:rsidRPr="00B715A5">
        <w:rPr>
          <w:rStyle w:val="FootnoteReference"/>
          <w:sz w:val="16"/>
          <w:szCs w:val="16"/>
          <w:lang w:val="en-US"/>
        </w:rPr>
        <w:footnoteRef/>
      </w:r>
      <w:r w:rsidRPr="00B715A5">
        <w:rPr>
          <w:rFonts w:ascii="Verdana" w:hAnsi="Verdana"/>
          <w:sz w:val="16"/>
          <w:szCs w:val="16"/>
          <w:lang w:val="en-US"/>
        </w:rPr>
        <w:t xml:space="preserve"> Communication from the State, dated May 14, 2007.</w:t>
      </w:r>
    </w:p>
  </w:footnote>
  <w:footnote w:id="14">
    <w:p w:rsidR="002A630A" w:rsidRPr="00B715A5" w:rsidRDefault="002A630A" w:rsidP="00B715A5">
      <w:pPr>
        <w:rPr>
          <w:sz w:val="16"/>
          <w:szCs w:val="16"/>
          <w:lang w:val="en-US"/>
        </w:rPr>
      </w:pPr>
      <w:r w:rsidRPr="00B715A5">
        <w:rPr>
          <w:rStyle w:val="FootnoteReference"/>
          <w:b/>
          <w:bCs/>
          <w:sz w:val="16"/>
          <w:szCs w:val="16"/>
        </w:rPr>
        <w:footnoteRef/>
      </w:r>
      <w:r w:rsidRPr="00B715A5">
        <w:rPr>
          <w:sz w:val="16"/>
          <w:szCs w:val="16"/>
          <w:lang w:val="en-US"/>
        </w:rPr>
        <w:t xml:space="preserve"> IACHR, Report No. 7/07, Petition 208-05 Admissibility, Florencio Chitay Nech et al. (Guatemala), February 27, 2007.</w:t>
      </w:r>
    </w:p>
  </w:footnote>
  <w:footnote w:id="15">
    <w:p w:rsidR="002A630A" w:rsidRPr="00B715A5" w:rsidRDefault="002A630A" w:rsidP="00B715A5">
      <w:pPr>
        <w:pStyle w:val="FootnoteText"/>
        <w:spacing w:before="0" w:beforeAutospacing="0" w:after="0" w:afterAutospacing="0"/>
        <w:jc w:val="both"/>
        <w:rPr>
          <w:rFonts w:ascii="Verdana" w:hAnsi="Verdana"/>
          <w:sz w:val="16"/>
          <w:szCs w:val="16"/>
          <w:lang w:val="es-AR"/>
        </w:rPr>
      </w:pPr>
      <w:r w:rsidRPr="00B715A5">
        <w:rPr>
          <w:rStyle w:val="FootnoteReference"/>
          <w:sz w:val="16"/>
          <w:szCs w:val="16"/>
          <w:lang w:val="en-US"/>
        </w:rPr>
        <w:footnoteRef/>
      </w:r>
      <w:r w:rsidRPr="00B715A5">
        <w:rPr>
          <w:rFonts w:ascii="Verdana" w:hAnsi="Verdana"/>
          <w:sz w:val="16"/>
          <w:szCs w:val="16"/>
          <w:lang w:val="es-AR"/>
        </w:rPr>
        <w:t xml:space="preserve"> See IACHR, Report No. 28/98, Case 11.625, María Eugenia Morales de Sierra (Guatemala), March 6, 1998, paragraph 29.</w:t>
      </w:r>
    </w:p>
  </w:footnote>
  <w:footnote w:id="16">
    <w:p w:rsidR="002A630A" w:rsidRPr="00B715A5" w:rsidRDefault="002A630A" w:rsidP="00B715A5">
      <w:pPr>
        <w:pStyle w:val="FootnoteText"/>
        <w:spacing w:before="0" w:beforeAutospacing="0" w:after="0" w:afterAutospacing="0"/>
        <w:jc w:val="both"/>
        <w:rPr>
          <w:rFonts w:ascii="Verdana" w:hAnsi="Verdana"/>
          <w:sz w:val="16"/>
          <w:szCs w:val="16"/>
          <w:lang w:val="en-US"/>
        </w:rPr>
      </w:pPr>
      <w:r w:rsidRPr="00B715A5">
        <w:rPr>
          <w:rStyle w:val="FootnoteReference"/>
          <w:sz w:val="16"/>
          <w:szCs w:val="16"/>
          <w:lang w:val="en-US"/>
        </w:rPr>
        <w:footnoteRef/>
      </w:r>
      <w:r w:rsidRPr="00B715A5">
        <w:rPr>
          <w:rFonts w:ascii="Verdana" w:hAnsi="Verdana"/>
          <w:sz w:val="16"/>
          <w:szCs w:val="16"/>
          <w:lang w:val="es-AR"/>
        </w:rPr>
        <w:t xml:space="preserve"> See IACHR, Report No. 128/01, Case 12.367, Mauricio Herrera Ulloa and Fernán Vargas Rohrmoser of the newspaper </w:t>
      </w:r>
      <w:r w:rsidRPr="00B715A5">
        <w:rPr>
          <w:rFonts w:ascii="Verdana" w:hAnsi="Verdana"/>
          <w:i/>
          <w:sz w:val="16"/>
          <w:szCs w:val="16"/>
          <w:lang w:val="es-AR"/>
        </w:rPr>
        <w:t>La Nación</w:t>
      </w:r>
      <w:r w:rsidRPr="00B715A5">
        <w:rPr>
          <w:rFonts w:ascii="Verdana" w:hAnsi="Verdana"/>
          <w:sz w:val="16"/>
          <w:szCs w:val="16"/>
          <w:lang w:val="es-AR"/>
        </w:rPr>
        <w:t xml:space="preserve"> (Costa Rica), December 3, 2001, paragraph 50; Report No. 4/04, Petition 12.324, Rubén Luis Godoy (Argentina), February 24, 2004, paragraph 43; Report No. 32/07, Petition 429-05, Juan Patricio Marileo Saravia et al. </w:t>
      </w:r>
      <w:r w:rsidRPr="00B715A5">
        <w:rPr>
          <w:rFonts w:ascii="Verdana" w:hAnsi="Verdana"/>
          <w:sz w:val="16"/>
          <w:szCs w:val="16"/>
          <w:lang w:val="en-US"/>
        </w:rPr>
        <w:t>(Chile), April 23, 2007, paragraph 54.</w:t>
      </w:r>
    </w:p>
  </w:footnote>
  <w:footnote w:id="17">
    <w:p w:rsidR="002A630A" w:rsidRPr="00B715A5" w:rsidRDefault="002A630A" w:rsidP="00B715A5">
      <w:pPr>
        <w:pStyle w:val="FootnoteText"/>
        <w:spacing w:before="0" w:beforeAutospacing="0" w:after="0" w:afterAutospacing="0"/>
        <w:jc w:val="both"/>
        <w:rPr>
          <w:rFonts w:ascii="Verdana" w:hAnsi="Verdana"/>
          <w:sz w:val="16"/>
          <w:szCs w:val="16"/>
          <w:lang w:val="en-US"/>
        </w:rPr>
      </w:pPr>
      <w:r w:rsidRPr="00B715A5">
        <w:rPr>
          <w:rStyle w:val="FootnoteReference"/>
          <w:sz w:val="16"/>
          <w:szCs w:val="16"/>
          <w:lang w:val="en-US"/>
        </w:rPr>
        <w:footnoteRef/>
      </w:r>
      <w:r w:rsidRPr="00B715A5">
        <w:rPr>
          <w:rFonts w:ascii="Verdana" w:hAnsi="Verdana"/>
          <w:sz w:val="16"/>
          <w:szCs w:val="16"/>
          <w:lang w:val="en-US"/>
        </w:rPr>
        <w:t xml:space="preserve"> See IACHR, Report No. 31/03, Case 12.195, Mario Alberto Jara Oñate et al. (Chile), March 7, 2003, paragraph 41; Report No. 4/04, Petition 12.324, Rubén Luis Godoy (Argentina), February 24, 2004, paragraph 43; Petition  429-05, Juan Patricio Marileo Saravia et al. (Chile), April 23, 2007, paragraph 54; Petition 581-05, Víctor Manuel Ancalaf LLaupe (Chile), May 2, 2007, paragraph 46.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F2E01"/>
    <w:multiLevelType w:val="hybridMultilevel"/>
    <w:tmpl w:val="7990220A"/>
    <w:lvl w:ilvl="0" w:tplc="3682946C">
      <w:start w:val="2"/>
      <w:numFmt w:val="decimal"/>
      <w:lvlText w:val="%1."/>
      <w:lvlJc w:val="left"/>
      <w:pPr>
        <w:tabs>
          <w:tab w:val="num" w:pos="2880"/>
        </w:tabs>
        <w:ind w:left="2880" w:hanging="720"/>
      </w:pPr>
      <w:rPr>
        <w:rFonts w:hint="default"/>
        <w:b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
    <w:nsid w:val="04974558"/>
    <w:multiLevelType w:val="hybridMultilevel"/>
    <w:tmpl w:val="3102A0AE"/>
    <w:lvl w:ilvl="0" w:tplc="FE1400F6">
      <w:start w:val="27"/>
      <w:numFmt w:val="decimal"/>
      <w:lvlText w:val="%1"/>
      <w:lvlJc w:val="left"/>
      <w:pPr>
        <w:ind w:left="1440" w:hanging="360"/>
      </w:pPr>
      <w:rPr>
        <w:rFonts w:hint="default"/>
        <w:sz w:val="20"/>
      </w:r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2">
    <w:nsid w:val="1AEA4005"/>
    <w:multiLevelType w:val="hybridMultilevel"/>
    <w:tmpl w:val="66B8FF2C"/>
    <w:lvl w:ilvl="0" w:tplc="FD18360C">
      <w:start w:val="2"/>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1BD20D82"/>
    <w:multiLevelType w:val="hybridMultilevel"/>
    <w:tmpl w:val="044ACF98"/>
    <w:lvl w:ilvl="0" w:tplc="2C0A0015">
      <w:start w:val="1"/>
      <w:numFmt w:val="upperLetter"/>
      <w:lvlText w:val="%1."/>
      <w:lvlJc w:val="left"/>
      <w:pPr>
        <w:ind w:left="720" w:hanging="360"/>
      </w:pPr>
      <w:rPr>
        <w:rFonts w:hint="default"/>
        <w:i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1D41057C"/>
    <w:multiLevelType w:val="hybridMultilevel"/>
    <w:tmpl w:val="091276FC"/>
    <w:lvl w:ilvl="0" w:tplc="E5BAC29A">
      <w:start w:val="5"/>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ECB1AA7"/>
    <w:multiLevelType w:val="hybridMultilevel"/>
    <w:tmpl w:val="C45A578A"/>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207904F7"/>
    <w:multiLevelType w:val="hybridMultilevel"/>
    <w:tmpl w:val="5F1C1E04"/>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244E0C32"/>
    <w:multiLevelType w:val="hybridMultilevel"/>
    <w:tmpl w:val="33FA7058"/>
    <w:lvl w:ilvl="0" w:tplc="51B6176E">
      <w:start w:val="27"/>
      <w:numFmt w:val="decimal"/>
      <w:lvlText w:val="%1"/>
      <w:lvlJc w:val="left"/>
      <w:pPr>
        <w:ind w:left="1080" w:hanging="360"/>
      </w:pPr>
      <w:rPr>
        <w:rFonts w:hint="default"/>
        <w:sz w:val="20"/>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8">
    <w:nsid w:val="259A4B1B"/>
    <w:multiLevelType w:val="hybridMultilevel"/>
    <w:tmpl w:val="4AF27E94"/>
    <w:lvl w:ilvl="0" w:tplc="9D3A60F6">
      <w:start w:val="1"/>
      <w:numFmt w:val="upperRoman"/>
      <w:lvlText w:val="%1."/>
      <w:lvlJc w:val="left"/>
      <w:pPr>
        <w:ind w:left="1440" w:hanging="720"/>
      </w:pPr>
      <w:rPr>
        <w:rFonts w:ascii="Verdana" w:hAnsi="Verdana" w:hint="default"/>
        <w:sz w:val="20"/>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9">
    <w:nsid w:val="29015559"/>
    <w:multiLevelType w:val="hybridMultilevel"/>
    <w:tmpl w:val="39F6144E"/>
    <w:lvl w:ilvl="0" w:tplc="1CB822B8">
      <w:start w:val="1"/>
      <w:numFmt w:val="upperLetter"/>
      <w:lvlText w:val="%1."/>
      <w:lvlJc w:val="left"/>
      <w:pPr>
        <w:ind w:left="1065" w:hanging="70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nsid w:val="29F55715"/>
    <w:multiLevelType w:val="hybridMultilevel"/>
    <w:tmpl w:val="76D89806"/>
    <w:lvl w:ilvl="0" w:tplc="6EB8E944">
      <w:start w:val="2"/>
      <w:numFmt w:val="upperRoman"/>
      <w:lvlText w:val="%1."/>
      <w:lvlJc w:val="left"/>
      <w:pPr>
        <w:ind w:left="1080" w:hanging="720"/>
      </w:pPr>
      <w:rPr>
        <w:rFonts w:ascii="Verdana" w:hAnsi="Verdana" w:hint="default"/>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nsid w:val="31B80BF5"/>
    <w:multiLevelType w:val="hybridMultilevel"/>
    <w:tmpl w:val="B6C2E9B8"/>
    <w:lvl w:ilvl="0" w:tplc="F56024E4">
      <w:start w:val="1"/>
      <w:numFmt w:val="upperLetter"/>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nsid w:val="355C492C"/>
    <w:multiLevelType w:val="hybridMultilevel"/>
    <w:tmpl w:val="5F60727C"/>
    <w:lvl w:ilvl="0" w:tplc="3A0C30EE">
      <w:start w:val="1"/>
      <w:numFmt w:val="upperRoman"/>
      <w:lvlText w:val="%1."/>
      <w:lvlJc w:val="left"/>
      <w:pPr>
        <w:ind w:left="1440" w:hanging="720"/>
      </w:pPr>
      <w:rPr>
        <w:rFonts w:ascii="Verdana" w:hAnsi="Verdana" w:hint="default"/>
        <w:sz w:val="20"/>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3">
    <w:nsid w:val="3A713669"/>
    <w:multiLevelType w:val="hybridMultilevel"/>
    <w:tmpl w:val="7ED41F3A"/>
    <w:lvl w:ilvl="0" w:tplc="0DF84D0E">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nsid w:val="3AF32D0F"/>
    <w:multiLevelType w:val="hybridMultilevel"/>
    <w:tmpl w:val="E6B66214"/>
    <w:lvl w:ilvl="0" w:tplc="76869094">
      <w:start w:val="1"/>
      <w:numFmt w:val="upperRoman"/>
      <w:lvlText w:val="%1."/>
      <w:lvlJc w:val="left"/>
      <w:pPr>
        <w:ind w:left="1080" w:hanging="720"/>
      </w:pPr>
      <w:rPr>
        <w:rFonts w:hint="default"/>
        <w:b/>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nsid w:val="437D59AD"/>
    <w:multiLevelType w:val="hybridMultilevel"/>
    <w:tmpl w:val="69123ABE"/>
    <w:lvl w:ilvl="0" w:tplc="A46EAA86">
      <w:start w:val="27"/>
      <w:numFmt w:val="decimal"/>
      <w:lvlText w:val="%1"/>
      <w:lvlJc w:val="left"/>
      <w:pPr>
        <w:ind w:left="720" w:hanging="360"/>
      </w:pPr>
      <w:rPr>
        <w:rFonts w:hint="default"/>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nsid w:val="491C0BD1"/>
    <w:multiLevelType w:val="hybridMultilevel"/>
    <w:tmpl w:val="495E2472"/>
    <w:lvl w:ilvl="0" w:tplc="8F623396">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nsid w:val="4D225BB7"/>
    <w:multiLevelType w:val="hybridMultilevel"/>
    <w:tmpl w:val="F45AD5D0"/>
    <w:lvl w:ilvl="0" w:tplc="DAC8B3D8">
      <w:start w:val="27"/>
      <w:numFmt w:val="decimal"/>
      <w:lvlText w:val="%1"/>
      <w:lvlJc w:val="left"/>
      <w:pPr>
        <w:ind w:left="720" w:hanging="360"/>
      </w:pPr>
      <w:rPr>
        <w:rFonts w:hint="default"/>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nsid w:val="50340FCA"/>
    <w:multiLevelType w:val="hybridMultilevel"/>
    <w:tmpl w:val="AFC4A7E4"/>
    <w:lvl w:ilvl="0" w:tplc="17BE5BC0">
      <w:start w:val="1"/>
      <w:numFmt w:val="decimal"/>
      <w:lvlText w:val="%1."/>
      <w:lvlJc w:val="left"/>
      <w:pPr>
        <w:tabs>
          <w:tab w:val="num" w:pos="2070"/>
        </w:tabs>
        <w:ind w:left="2070" w:hanging="630"/>
      </w:pPr>
      <w:rPr>
        <w:rFonts w:ascii="Univers" w:hAnsi="Univers" w:hint="default"/>
        <w:b/>
        <w:sz w:val="20"/>
      </w:rPr>
    </w:lvl>
    <w:lvl w:ilvl="1" w:tplc="78A00DBE">
      <w:start w:val="42"/>
      <w:numFmt w:val="decimal"/>
      <w:lvlText w:val="%2."/>
      <w:lvlJc w:val="left"/>
      <w:pPr>
        <w:tabs>
          <w:tab w:val="num" w:pos="2505"/>
        </w:tabs>
        <w:ind w:left="2505" w:hanging="1425"/>
      </w:pPr>
      <w:rPr>
        <w:rFonts w:hint="default"/>
      </w:rPr>
    </w:lvl>
    <w:lvl w:ilvl="2" w:tplc="680275F0">
      <w:start w:val="5"/>
      <w:numFmt w:val="upperRoman"/>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93058C3"/>
    <w:multiLevelType w:val="hybridMultilevel"/>
    <w:tmpl w:val="8F8ED102"/>
    <w:lvl w:ilvl="0" w:tplc="C31805FA">
      <w:start w:val="1"/>
      <w:numFmt w:val="upperLetter"/>
      <w:lvlText w:val="%1."/>
      <w:lvlJc w:val="left"/>
      <w:pPr>
        <w:ind w:left="1080" w:hanging="360"/>
      </w:pPr>
      <w:rPr>
        <w:rFonts w:ascii="Verdana" w:hAnsi="Verdana" w:hint="default"/>
        <w:i w:val="0"/>
        <w:sz w:val="20"/>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20">
    <w:nsid w:val="5F17303C"/>
    <w:multiLevelType w:val="hybridMultilevel"/>
    <w:tmpl w:val="20247568"/>
    <w:lvl w:ilvl="0" w:tplc="3A785E3A">
      <w:start w:val="1"/>
      <w:numFmt w:val="upperRoman"/>
      <w:lvlText w:val="%1."/>
      <w:lvlJc w:val="left"/>
      <w:pPr>
        <w:tabs>
          <w:tab w:val="num" w:pos="1440"/>
        </w:tabs>
        <w:ind w:left="1440" w:hanging="720"/>
      </w:pPr>
      <w:rPr>
        <w:rFonts w:ascii="Univers" w:hAnsi="Univers" w:hint="default"/>
        <w:sz w:val="22"/>
        <w:szCs w:val="22"/>
      </w:rPr>
    </w:lvl>
    <w:lvl w:ilvl="1" w:tplc="7EE80C66">
      <w:start w:val="1"/>
      <w:numFmt w:val="decimal"/>
      <w:lvlText w:val="%2."/>
      <w:lvlJc w:val="left"/>
      <w:pPr>
        <w:tabs>
          <w:tab w:val="num" w:pos="2070"/>
        </w:tabs>
        <w:ind w:left="2070" w:hanging="630"/>
      </w:pPr>
      <w:rPr>
        <w:rFonts w:ascii="Verdana" w:hAnsi="Verdana" w:hint="default"/>
        <w:b/>
        <w:sz w:val="20"/>
      </w:rPr>
    </w:lvl>
    <w:lvl w:ilvl="2" w:tplc="AA6A2A72">
      <w:start w:val="1"/>
      <w:numFmt w:val="upperLetter"/>
      <w:lvlText w:val="%3."/>
      <w:lvlJc w:val="left"/>
      <w:pPr>
        <w:tabs>
          <w:tab w:val="num" w:pos="2985"/>
        </w:tabs>
        <w:ind w:left="2985" w:hanging="645"/>
      </w:pPr>
      <w:rPr>
        <w:rFonts w:ascii="Univers" w:hAnsi="Univers" w:hint="default"/>
        <w:i w:val="0"/>
        <w:sz w:val="20"/>
        <w:szCs w:val="20"/>
      </w:rPr>
    </w:lvl>
    <w:lvl w:ilvl="3" w:tplc="7C868A80">
      <w:start w:val="1"/>
      <w:numFmt w:val="decimal"/>
      <w:lvlText w:val="%4."/>
      <w:lvlJc w:val="left"/>
      <w:pPr>
        <w:tabs>
          <w:tab w:val="num" w:pos="3510"/>
        </w:tabs>
        <w:ind w:left="3510" w:hanging="630"/>
      </w:pPr>
      <w:rPr>
        <w:rFonts w:ascii="Verdana" w:hAnsi="Verdana" w:hint="default"/>
        <w:b w:val="0"/>
        <w:sz w:val="20"/>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5F992B10"/>
    <w:multiLevelType w:val="hybridMultilevel"/>
    <w:tmpl w:val="C8367088"/>
    <w:lvl w:ilvl="0" w:tplc="52DC2C46">
      <w:start w:val="1"/>
      <w:numFmt w:val="upperLetter"/>
      <w:lvlText w:val="%1."/>
      <w:lvlJc w:val="left"/>
      <w:pPr>
        <w:ind w:left="720" w:hanging="360"/>
      </w:pPr>
      <w:rPr>
        <w:rFonts w:ascii="Verdana" w:hAnsi="Verdana" w:hint="default"/>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nsid w:val="6A953554"/>
    <w:multiLevelType w:val="hybridMultilevel"/>
    <w:tmpl w:val="02DACE56"/>
    <w:lvl w:ilvl="0" w:tplc="0C7419C6">
      <w:start w:val="1"/>
      <w:numFmt w:val="upperRoman"/>
      <w:lvlText w:val="%1."/>
      <w:lvlJc w:val="left"/>
      <w:pPr>
        <w:ind w:left="1080" w:hanging="72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3">
    <w:nsid w:val="6EB5659B"/>
    <w:multiLevelType w:val="hybridMultilevel"/>
    <w:tmpl w:val="7124D242"/>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nsid w:val="7216778B"/>
    <w:multiLevelType w:val="hybridMultilevel"/>
    <w:tmpl w:val="198C9682"/>
    <w:lvl w:ilvl="0" w:tplc="E7D6BFF2">
      <w:start w:val="1"/>
      <w:numFmt w:val="decimal"/>
      <w:lvlText w:val="%1."/>
      <w:lvlJc w:val="left"/>
      <w:pPr>
        <w:ind w:left="1065" w:hanging="70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5">
    <w:nsid w:val="773873D3"/>
    <w:multiLevelType w:val="hybridMultilevel"/>
    <w:tmpl w:val="3B22F918"/>
    <w:lvl w:ilvl="0" w:tplc="DD5CC43E">
      <w:start w:val="1"/>
      <w:numFmt w:val="decimal"/>
      <w:lvlText w:val="%1."/>
      <w:lvlJc w:val="left"/>
      <w:pPr>
        <w:tabs>
          <w:tab w:val="num" w:pos="540"/>
        </w:tabs>
        <w:ind w:left="0" w:firstLine="720"/>
      </w:pPr>
      <w:rPr>
        <w:rFonts w:ascii="Univers" w:hAnsi="Univers" w:hint="default"/>
        <w:b w:val="0"/>
        <w:i w:val="0"/>
        <w:sz w:val="20"/>
        <w:szCs w:val="20"/>
      </w:rPr>
    </w:lvl>
    <w:lvl w:ilvl="1" w:tplc="68EE0C1E">
      <w:start w:val="2"/>
      <w:numFmt w:val="upperRoman"/>
      <w:lvlText w:val="%2."/>
      <w:lvlJc w:val="left"/>
      <w:pPr>
        <w:tabs>
          <w:tab w:val="num" w:pos="2520"/>
        </w:tabs>
        <w:ind w:left="2520" w:hanging="720"/>
      </w:pPr>
      <w:rPr>
        <w:rFonts w:hint="default"/>
      </w:rPr>
    </w:lvl>
    <w:lvl w:ilvl="2" w:tplc="A510F0CC">
      <w:start w:val="3"/>
      <w:numFmt w:val="decimal"/>
      <w:lvlText w:val="%3"/>
      <w:lvlJc w:val="left"/>
      <w:pPr>
        <w:tabs>
          <w:tab w:val="num" w:pos="3060"/>
        </w:tabs>
        <w:ind w:left="3060" w:hanging="360"/>
      </w:pPr>
      <w:rPr>
        <w:rFonts w:hint="default"/>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6">
    <w:nsid w:val="78B757A5"/>
    <w:multiLevelType w:val="hybridMultilevel"/>
    <w:tmpl w:val="5B10D562"/>
    <w:lvl w:ilvl="0" w:tplc="1C624020">
      <w:start w:val="27"/>
      <w:numFmt w:val="decimal"/>
      <w:lvlText w:val="%1"/>
      <w:lvlJc w:val="left"/>
      <w:pPr>
        <w:ind w:left="1080" w:hanging="360"/>
      </w:pPr>
      <w:rPr>
        <w:rFonts w:hint="default"/>
        <w:sz w:val="20"/>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num w:numId="1">
    <w:abstractNumId w:val="13"/>
  </w:num>
  <w:num w:numId="2">
    <w:abstractNumId w:val="22"/>
  </w:num>
  <w:num w:numId="3">
    <w:abstractNumId w:val="6"/>
  </w:num>
  <w:num w:numId="4">
    <w:abstractNumId w:val="23"/>
  </w:num>
  <w:num w:numId="5">
    <w:abstractNumId w:val="9"/>
  </w:num>
  <w:num w:numId="6">
    <w:abstractNumId w:val="5"/>
  </w:num>
  <w:num w:numId="7">
    <w:abstractNumId w:val="24"/>
  </w:num>
  <w:num w:numId="8">
    <w:abstractNumId w:val="16"/>
  </w:num>
  <w:num w:numId="9">
    <w:abstractNumId w:val="3"/>
  </w:num>
  <w:num w:numId="10">
    <w:abstractNumId w:val="11"/>
  </w:num>
  <w:num w:numId="11">
    <w:abstractNumId w:val="12"/>
  </w:num>
  <w:num w:numId="12">
    <w:abstractNumId w:val="19"/>
  </w:num>
  <w:num w:numId="13">
    <w:abstractNumId w:val="8"/>
  </w:num>
  <w:num w:numId="14">
    <w:abstractNumId w:val="15"/>
  </w:num>
  <w:num w:numId="15">
    <w:abstractNumId w:val="26"/>
  </w:num>
  <w:num w:numId="16">
    <w:abstractNumId w:val="1"/>
  </w:num>
  <w:num w:numId="17">
    <w:abstractNumId w:val="17"/>
  </w:num>
  <w:num w:numId="18">
    <w:abstractNumId w:val="7"/>
  </w:num>
  <w:num w:numId="19">
    <w:abstractNumId w:val="10"/>
  </w:num>
  <w:num w:numId="20">
    <w:abstractNumId w:val="14"/>
  </w:num>
  <w:num w:numId="21">
    <w:abstractNumId w:val="21"/>
  </w:num>
  <w:num w:numId="22">
    <w:abstractNumId w:val="25"/>
  </w:num>
  <w:num w:numId="23">
    <w:abstractNumId w:val="20"/>
  </w:num>
  <w:num w:numId="24">
    <w:abstractNumId w:val="18"/>
  </w:num>
  <w:num w:numId="25">
    <w:abstractNumId w:val="0"/>
  </w:num>
  <w:num w:numId="26">
    <w:abstractNumId w:val="2"/>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pt-BR" w:vendorID="64" w:dllVersion="131078" w:nlCheck="1" w:checkStyle="0"/>
  <w:activeWritingStyle w:appName="MSWord" w:lang="es-ES" w:vendorID="64" w:dllVersion="131078" w:nlCheck="1" w:checkStyle="1"/>
  <w:activeWritingStyle w:appName="MSWord" w:lang="es-AR" w:vendorID="64" w:dllVersion="131078" w:nlCheck="1" w:checkStyle="1"/>
  <w:activeWritingStyle w:appName="MSWord" w:lang="es-ES_tradnl" w:vendorID="64" w:dllVersion="131078" w:nlCheck="1" w:checkStyle="1"/>
  <w:activeWritingStyle w:appName="MSWord" w:lang="es-CL" w:vendorID="64" w:dllVersion="131078" w:nlCheck="1" w:checkStyle="1"/>
  <w:activeWritingStyle w:appName="MSWord" w:lang="es-EC" w:vendorID="64" w:dllVersion="131078" w:nlCheck="1" w:checkStyle="1"/>
  <w:activeWritingStyle w:appName="MSWord" w:lang="es-UY" w:vendorID="64" w:dllVersion="131078" w:nlCheck="1" w:checkStyle="1"/>
  <w:activeWritingStyle w:appName="MSWord" w:lang="es-VE" w:vendorID="64" w:dllVersion="131078" w:nlCheck="1" w:checkStyle="1"/>
  <w:activeWritingStyle w:appName="MSWord" w:lang="es-PE" w:vendorID="64" w:dllVersion="131078" w:nlCheck="1" w:checkStyle="1"/>
  <w:activeWritingStyle w:appName="MSWord" w:lang="es-MX" w:vendorID="64" w:dllVersion="131078" w:nlCheck="1" w:checkStyle="1"/>
  <w:activeWritingStyle w:appName="MSWord" w:lang="es-PY" w:vendorID="64" w:dllVersion="131078" w:nlCheck="1" w:checkStyle="1"/>
  <w:activeWritingStyle w:appName="MSWord" w:lang="es-CO" w:vendorID="64" w:dllVersion="131078" w:nlCheck="1" w:checkStyle="1"/>
  <w:activeWritingStyle w:appName="MSWord" w:lang="en-US" w:vendorID="64" w:dllVersion="131078" w:nlCheck="1" w:checkStyle="1"/>
  <w:activeWritingStyle w:appName="MSWord" w:lang="en-GB" w:vendorID="64" w:dllVersion="131078" w:nlCheck="1" w:checkStyle="1"/>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D8D"/>
    <w:rsid w:val="00000B5D"/>
    <w:rsid w:val="00001240"/>
    <w:rsid w:val="00001862"/>
    <w:rsid w:val="00002F8F"/>
    <w:rsid w:val="00002FD8"/>
    <w:rsid w:val="0000328A"/>
    <w:rsid w:val="00003383"/>
    <w:rsid w:val="000041CB"/>
    <w:rsid w:val="00004788"/>
    <w:rsid w:val="000049C0"/>
    <w:rsid w:val="00004DC4"/>
    <w:rsid w:val="00004EC8"/>
    <w:rsid w:val="00004FB8"/>
    <w:rsid w:val="0000557B"/>
    <w:rsid w:val="000057E2"/>
    <w:rsid w:val="00006795"/>
    <w:rsid w:val="00006E32"/>
    <w:rsid w:val="00007431"/>
    <w:rsid w:val="0000751C"/>
    <w:rsid w:val="000075EB"/>
    <w:rsid w:val="00007705"/>
    <w:rsid w:val="00007CA9"/>
    <w:rsid w:val="00007CB6"/>
    <w:rsid w:val="0001091E"/>
    <w:rsid w:val="0001103F"/>
    <w:rsid w:val="00011559"/>
    <w:rsid w:val="000115EA"/>
    <w:rsid w:val="00011824"/>
    <w:rsid w:val="00013031"/>
    <w:rsid w:val="000133E4"/>
    <w:rsid w:val="00013635"/>
    <w:rsid w:val="00013834"/>
    <w:rsid w:val="00014272"/>
    <w:rsid w:val="00014434"/>
    <w:rsid w:val="000144BC"/>
    <w:rsid w:val="0001461D"/>
    <w:rsid w:val="00014F21"/>
    <w:rsid w:val="000153D2"/>
    <w:rsid w:val="00015934"/>
    <w:rsid w:val="00016031"/>
    <w:rsid w:val="00016220"/>
    <w:rsid w:val="0001670C"/>
    <w:rsid w:val="00016C8B"/>
    <w:rsid w:val="0002009F"/>
    <w:rsid w:val="000207A9"/>
    <w:rsid w:val="000209C9"/>
    <w:rsid w:val="00020AE6"/>
    <w:rsid w:val="00021236"/>
    <w:rsid w:val="00021425"/>
    <w:rsid w:val="00022054"/>
    <w:rsid w:val="0002339E"/>
    <w:rsid w:val="00023829"/>
    <w:rsid w:val="00023904"/>
    <w:rsid w:val="00024344"/>
    <w:rsid w:val="000244BC"/>
    <w:rsid w:val="000244D6"/>
    <w:rsid w:val="00024F7C"/>
    <w:rsid w:val="00025302"/>
    <w:rsid w:val="00025826"/>
    <w:rsid w:val="0002585F"/>
    <w:rsid w:val="00025AC6"/>
    <w:rsid w:val="0002613E"/>
    <w:rsid w:val="00027055"/>
    <w:rsid w:val="00030B45"/>
    <w:rsid w:val="0003180E"/>
    <w:rsid w:val="00031C94"/>
    <w:rsid w:val="00031F37"/>
    <w:rsid w:val="00033510"/>
    <w:rsid w:val="00033B4F"/>
    <w:rsid w:val="000345E4"/>
    <w:rsid w:val="00034CBA"/>
    <w:rsid w:val="00034D08"/>
    <w:rsid w:val="000356D0"/>
    <w:rsid w:val="00035BBE"/>
    <w:rsid w:val="00035EBC"/>
    <w:rsid w:val="0003612A"/>
    <w:rsid w:val="0003632F"/>
    <w:rsid w:val="0003633E"/>
    <w:rsid w:val="00037E4D"/>
    <w:rsid w:val="00037E4E"/>
    <w:rsid w:val="00040272"/>
    <w:rsid w:val="00040FAC"/>
    <w:rsid w:val="0004134C"/>
    <w:rsid w:val="00041DBE"/>
    <w:rsid w:val="00043521"/>
    <w:rsid w:val="0004380A"/>
    <w:rsid w:val="00043D24"/>
    <w:rsid w:val="00045639"/>
    <w:rsid w:val="00045891"/>
    <w:rsid w:val="00045985"/>
    <w:rsid w:val="00045A29"/>
    <w:rsid w:val="00046AB5"/>
    <w:rsid w:val="00046B14"/>
    <w:rsid w:val="000477E8"/>
    <w:rsid w:val="0004793B"/>
    <w:rsid w:val="00047975"/>
    <w:rsid w:val="00047F42"/>
    <w:rsid w:val="000506DC"/>
    <w:rsid w:val="00050D64"/>
    <w:rsid w:val="00051997"/>
    <w:rsid w:val="00051EB0"/>
    <w:rsid w:val="00052C31"/>
    <w:rsid w:val="00052EDC"/>
    <w:rsid w:val="00053AE8"/>
    <w:rsid w:val="00053C58"/>
    <w:rsid w:val="00054E26"/>
    <w:rsid w:val="00054E3E"/>
    <w:rsid w:val="000553F9"/>
    <w:rsid w:val="00055715"/>
    <w:rsid w:val="00055D3E"/>
    <w:rsid w:val="00055DD5"/>
    <w:rsid w:val="000566B4"/>
    <w:rsid w:val="000568E4"/>
    <w:rsid w:val="00056C86"/>
    <w:rsid w:val="00056CE9"/>
    <w:rsid w:val="00056FC6"/>
    <w:rsid w:val="000578BD"/>
    <w:rsid w:val="00057CFB"/>
    <w:rsid w:val="00060A53"/>
    <w:rsid w:val="00060F20"/>
    <w:rsid w:val="00061346"/>
    <w:rsid w:val="000617C1"/>
    <w:rsid w:val="00061E80"/>
    <w:rsid w:val="00062AC8"/>
    <w:rsid w:val="00062BDB"/>
    <w:rsid w:val="00063B24"/>
    <w:rsid w:val="00063E10"/>
    <w:rsid w:val="000647B4"/>
    <w:rsid w:val="00065875"/>
    <w:rsid w:val="00065DEA"/>
    <w:rsid w:val="0006679C"/>
    <w:rsid w:val="000673F7"/>
    <w:rsid w:val="0007049B"/>
    <w:rsid w:val="00070A78"/>
    <w:rsid w:val="00070BF4"/>
    <w:rsid w:val="00070CD6"/>
    <w:rsid w:val="000721A7"/>
    <w:rsid w:val="000721AC"/>
    <w:rsid w:val="000725CC"/>
    <w:rsid w:val="00072F87"/>
    <w:rsid w:val="00072FC5"/>
    <w:rsid w:val="000733ED"/>
    <w:rsid w:val="00073BE3"/>
    <w:rsid w:val="000753A0"/>
    <w:rsid w:val="00077363"/>
    <w:rsid w:val="0007742E"/>
    <w:rsid w:val="000775AA"/>
    <w:rsid w:val="000776AA"/>
    <w:rsid w:val="000778A8"/>
    <w:rsid w:val="000778F3"/>
    <w:rsid w:val="00080394"/>
    <w:rsid w:val="00080611"/>
    <w:rsid w:val="0008085F"/>
    <w:rsid w:val="00080903"/>
    <w:rsid w:val="00080E01"/>
    <w:rsid w:val="0008256C"/>
    <w:rsid w:val="000825DB"/>
    <w:rsid w:val="00082681"/>
    <w:rsid w:val="00082B5B"/>
    <w:rsid w:val="00082C24"/>
    <w:rsid w:val="0008380D"/>
    <w:rsid w:val="00083D47"/>
    <w:rsid w:val="00084088"/>
    <w:rsid w:val="000846AD"/>
    <w:rsid w:val="000853DE"/>
    <w:rsid w:val="00085420"/>
    <w:rsid w:val="00086167"/>
    <w:rsid w:val="00086827"/>
    <w:rsid w:val="00087173"/>
    <w:rsid w:val="00087206"/>
    <w:rsid w:val="00087AA8"/>
    <w:rsid w:val="00090012"/>
    <w:rsid w:val="00090086"/>
    <w:rsid w:val="000905E6"/>
    <w:rsid w:val="000911CC"/>
    <w:rsid w:val="000917D6"/>
    <w:rsid w:val="00091D25"/>
    <w:rsid w:val="00091D5F"/>
    <w:rsid w:val="000925A3"/>
    <w:rsid w:val="00093086"/>
    <w:rsid w:val="0009311D"/>
    <w:rsid w:val="00093C14"/>
    <w:rsid w:val="000941B3"/>
    <w:rsid w:val="0009438A"/>
    <w:rsid w:val="00094D23"/>
    <w:rsid w:val="00095D29"/>
    <w:rsid w:val="00096BB3"/>
    <w:rsid w:val="00097580"/>
    <w:rsid w:val="0009760E"/>
    <w:rsid w:val="00097688"/>
    <w:rsid w:val="0009778F"/>
    <w:rsid w:val="000A03CF"/>
    <w:rsid w:val="000A04F6"/>
    <w:rsid w:val="000A0E8F"/>
    <w:rsid w:val="000A11F1"/>
    <w:rsid w:val="000A1431"/>
    <w:rsid w:val="000A194E"/>
    <w:rsid w:val="000A1F21"/>
    <w:rsid w:val="000A27F3"/>
    <w:rsid w:val="000A2847"/>
    <w:rsid w:val="000A3FD8"/>
    <w:rsid w:val="000A43CC"/>
    <w:rsid w:val="000A440B"/>
    <w:rsid w:val="000A4BA7"/>
    <w:rsid w:val="000A5339"/>
    <w:rsid w:val="000A584C"/>
    <w:rsid w:val="000A5C20"/>
    <w:rsid w:val="000A5D57"/>
    <w:rsid w:val="000A5E61"/>
    <w:rsid w:val="000A6F85"/>
    <w:rsid w:val="000A71BA"/>
    <w:rsid w:val="000A76FC"/>
    <w:rsid w:val="000A7BB4"/>
    <w:rsid w:val="000A7BC6"/>
    <w:rsid w:val="000A7CEC"/>
    <w:rsid w:val="000A7E93"/>
    <w:rsid w:val="000A7F54"/>
    <w:rsid w:val="000B0058"/>
    <w:rsid w:val="000B03DB"/>
    <w:rsid w:val="000B16E5"/>
    <w:rsid w:val="000B1752"/>
    <w:rsid w:val="000B17CE"/>
    <w:rsid w:val="000B1EC7"/>
    <w:rsid w:val="000B25B5"/>
    <w:rsid w:val="000B435A"/>
    <w:rsid w:val="000B53D3"/>
    <w:rsid w:val="000B5AE7"/>
    <w:rsid w:val="000B6209"/>
    <w:rsid w:val="000B63D6"/>
    <w:rsid w:val="000B68C9"/>
    <w:rsid w:val="000B7B19"/>
    <w:rsid w:val="000C049F"/>
    <w:rsid w:val="000C0FEF"/>
    <w:rsid w:val="000C14A5"/>
    <w:rsid w:val="000C214E"/>
    <w:rsid w:val="000C283D"/>
    <w:rsid w:val="000C2A63"/>
    <w:rsid w:val="000C380D"/>
    <w:rsid w:val="000C38F6"/>
    <w:rsid w:val="000C3A3D"/>
    <w:rsid w:val="000C4048"/>
    <w:rsid w:val="000C4DF4"/>
    <w:rsid w:val="000C51F8"/>
    <w:rsid w:val="000C5F1F"/>
    <w:rsid w:val="000C6122"/>
    <w:rsid w:val="000C70AC"/>
    <w:rsid w:val="000D1A00"/>
    <w:rsid w:val="000D1DD3"/>
    <w:rsid w:val="000D3166"/>
    <w:rsid w:val="000D36DF"/>
    <w:rsid w:val="000D3A27"/>
    <w:rsid w:val="000D4C71"/>
    <w:rsid w:val="000D578D"/>
    <w:rsid w:val="000D5A00"/>
    <w:rsid w:val="000E09A5"/>
    <w:rsid w:val="000E16A1"/>
    <w:rsid w:val="000E2A08"/>
    <w:rsid w:val="000E389D"/>
    <w:rsid w:val="000E3EFB"/>
    <w:rsid w:val="000E4B10"/>
    <w:rsid w:val="000E5054"/>
    <w:rsid w:val="000E50BE"/>
    <w:rsid w:val="000E5166"/>
    <w:rsid w:val="000E51A7"/>
    <w:rsid w:val="000E5C8C"/>
    <w:rsid w:val="000E5D47"/>
    <w:rsid w:val="000E6CF7"/>
    <w:rsid w:val="000E782E"/>
    <w:rsid w:val="000E7BF1"/>
    <w:rsid w:val="000F03FD"/>
    <w:rsid w:val="000F0450"/>
    <w:rsid w:val="000F0757"/>
    <w:rsid w:val="000F089B"/>
    <w:rsid w:val="000F09EB"/>
    <w:rsid w:val="000F108E"/>
    <w:rsid w:val="000F1B8D"/>
    <w:rsid w:val="000F1F0A"/>
    <w:rsid w:val="000F1FC6"/>
    <w:rsid w:val="000F2604"/>
    <w:rsid w:val="000F27CF"/>
    <w:rsid w:val="000F3453"/>
    <w:rsid w:val="000F3879"/>
    <w:rsid w:val="000F3928"/>
    <w:rsid w:val="000F3D22"/>
    <w:rsid w:val="000F461B"/>
    <w:rsid w:val="000F49E5"/>
    <w:rsid w:val="000F4A8F"/>
    <w:rsid w:val="000F52E5"/>
    <w:rsid w:val="000F5769"/>
    <w:rsid w:val="000F5D49"/>
    <w:rsid w:val="000F5DA0"/>
    <w:rsid w:val="000F6561"/>
    <w:rsid w:val="000F66EF"/>
    <w:rsid w:val="000F710D"/>
    <w:rsid w:val="000F7685"/>
    <w:rsid w:val="000F7BFB"/>
    <w:rsid w:val="000F7CC1"/>
    <w:rsid w:val="00100ACC"/>
    <w:rsid w:val="0010129C"/>
    <w:rsid w:val="00101566"/>
    <w:rsid w:val="00102EB9"/>
    <w:rsid w:val="00102F94"/>
    <w:rsid w:val="0010328D"/>
    <w:rsid w:val="00103323"/>
    <w:rsid w:val="00103EC2"/>
    <w:rsid w:val="001049E2"/>
    <w:rsid w:val="0010503E"/>
    <w:rsid w:val="001055B6"/>
    <w:rsid w:val="0010623D"/>
    <w:rsid w:val="00106FD6"/>
    <w:rsid w:val="00107148"/>
    <w:rsid w:val="001078C6"/>
    <w:rsid w:val="00110E69"/>
    <w:rsid w:val="00111E40"/>
    <w:rsid w:val="00112A19"/>
    <w:rsid w:val="00113DCC"/>
    <w:rsid w:val="00114961"/>
    <w:rsid w:val="001150CC"/>
    <w:rsid w:val="001154A8"/>
    <w:rsid w:val="001155EB"/>
    <w:rsid w:val="001156C4"/>
    <w:rsid w:val="001158AB"/>
    <w:rsid w:val="00116AFE"/>
    <w:rsid w:val="00116E2A"/>
    <w:rsid w:val="00120187"/>
    <w:rsid w:val="00120332"/>
    <w:rsid w:val="00120379"/>
    <w:rsid w:val="00120721"/>
    <w:rsid w:val="001213B5"/>
    <w:rsid w:val="00122260"/>
    <w:rsid w:val="00122403"/>
    <w:rsid w:val="00122A55"/>
    <w:rsid w:val="00122E17"/>
    <w:rsid w:val="00123498"/>
    <w:rsid w:val="00123CF9"/>
    <w:rsid w:val="00123F63"/>
    <w:rsid w:val="001240AA"/>
    <w:rsid w:val="001245F0"/>
    <w:rsid w:val="00125F69"/>
    <w:rsid w:val="00126395"/>
    <w:rsid w:val="001274D1"/>
    <w:rsid w:val="00127776"/>
    <w:rsid w:val="00131911"/>
    <w:rsid w:val="00132140"/>
    <w:rsid w:val="001321E3"/>
    <w:rsid w:val="001324AE"/>
    <w:rsid w:val="00132999"/>
    <w:rsid w:val="00132E81"/>
    <w:rsid w:val="00133318"/>
    <w:rsid w:val="00133EED"/>
    <w:rsid w:val="00135358"/>
    <w:rsid w:val="0013653F"/>
    <w:rsid w:val="00136CDA"/>
    <w:rsid w:val="0013724B"/>
    <w:rsid w:val="0013730D"/>
    <w:rsid w:val="0013755E"/>
    <w:rsid w:val="001377C6"/>
    <w:rsid w:val="00137888"/>
    <w:rsid w:val="0014095D"/>
    <w:rsid w:val="0014099E"/>
    <w:rsid w:val="00140CFC"/>
    <w:rsid w:val="0014122B"/>
    <w:rsid w:val="00141974"/>
    <w:rsid w:val="001428B9"/>
    <w:rsid w:val="00142F8A"/>
    <w:rsid w:val="00144314"/>
    <w:rsid w:val="00144710"/>
    <w:rsid w:val="00144939"/>
    <w:rsid w:val="00144E92"/>
    <w:rsid w:val="00144EBD"/>
    <w:rsid w:val="0014504E"/>
    <w:rsid w:val="00145093"/>
    <w:rsid w:val="00145890"/>
    <w:rsid w:val="00145923"/>
    <w:rsid w:val="00145ECC"/>
    <w:rsid w:val="0014645C"/>
    <w:rsid w:val="001465D3"/>
    <w:rsid w:val="001469C8"/>
    <w:rsid w:val="00146BF5"/>
    <w:rsid w:val="00146F02"/>
    <w:rsid w:val="00147138"/>
    <w:rsid w:val="00147536"/>
    <w:rsid w:val="00147D40"/>
    <w:rsid w:val="00150345"/>
    <w:rsid w:val="0015041A"/>
    <w:rsid w:val="001504C8"/>
    <w:rsid w:val="00150721"/>
    <w:rsid w:val="001521D0"/>
    <w:rsid w:val="00152619"/>
    <w:rsid w:val="00152C35"/>
    <w:rsid w:val="00152DCF"/>
    <w:rsid w:val="00153658"/>
    <w:rsid w:val="00153D82"/>
    <w:rsid w:val="0015409C"/>
    <w:rsid w:val="001554BE"/>
    <w:rsid w:val="00155D63"/>
    <w:rsid w:val="001560C5"/>
    <w:rsid w:val="00156381"/>
    <w:rsid w:val="00157035"/>
    <w:rsid w:val="0015753B"/>
    <w:rsid w:val="001576FD"/>
    <w:rsid w:val="0016035A"/>
    <w:rsid w:val="00160418"/>
    <w:rsid w:val="00160529"/>
    <w:rsid w:val="00160975"/>
    <w:rsid w:val="001612C7"/>
    <w:rsid w:val="001616E2"/>
    <w:rsid w:val="00161872"/>
    <w:rsid w:val="00161F08"/>
    <w:rsid w:val="0016220C"/>
    <w:rsid w:val="00162408"/>
    <w:rsid w:val="00162B28"/>
    <w:rsid w:val="00164408"/>
    <w:rsid w:val="00164A51"/>
    <w:rsid w:val="00165EF9"/>
    <w:rsid w:val="00165F59"/>
    <w:rsid w:val="001667F7"/>
    <w:rsid w:val="001668A3"/>
    <w:rsid w:val="00167385"/>
    <w:rsid w:val="00170015"/>
    <w:rsid w:val="001701DB"/>
    <w:rsid w:val="00170297"/>
    <w:rsid w:val="001702B1"/>
    <w:rsid w:val="0017052E"/>
    <w:rsid w:val="00170B03"/>
    <w:rsid w:val="00170EF8"/>
    <w:rsid w:val="001719BC"/>
    <w:rsid w:val="0017205F"/>
    <w:rsid w:val="001729A8"/>
    <w:rsid w:val="001729E2"/>
    <w:rsid w:val="00172ACB"/>
    <w:rsid w:val="00174008"/>
    <w:rsid w:val="0017440D"/>
    <w:rsid w:val="001745BD"/>
    <w:rsid w:val="00174808"/>
    <w:rsid w:val="001749E1"/>
    <w:rsid w:val="001753B0"/>
    <w:rsid w:val="00175E00"/>
    <w:rsid w:val="001760E7"/>
    <w:rsid w:val="00176625"/>
    <w:rsid w:val="001767D6"/>
    <w:rsid w:val="00176DFF"/>
    <w:rsid w:val="00177493"/>
    <w:rsid w:val="00177EB5"/>
    <w:rsid w:val="00180959"/>
    <w:rsid w:val="00180BD2"/>
    <w:rsid w:val="00180CBD"/>
    <w:rsid w:val="00180FAD"/>
    <w:rsid w:val="00182721"/>
    <w:rsid w:val="0018292F"/>
    <w:rsid w:val="00183A48"/>
    <w:rsid w:val="00183BA8"/>
    <w:rsid w:val="00183D25"/>
    <w:rsid w:val="00183DE2"/>
    <w:rsid w:val="0018409B"/>
    <w:rsid w:val="0018474E"/>
    <w:rsid w:val="001848E6"/>
    <w:rsid w:val="00184C34"/>
    <w:rsid w:val="0018553E"/>
    <w:rsid w:val="0018607D"/>
    <w:rsid w:val="001861CE"/>
    <w:rsid w:val="00186BDF"/>
    <w:rsid w:val="00187196"/>
    <w:rsid w:val="00187419"/>
    <w:rsid w:val="0019009F"/>
    <w:rsid w:val="00190156"/>
    <w:rsid w:val="001909E6"/>
    <w:rsid w:val="00190BAD"/>
    <w:rsid w:val="001910D6"/>
    <w:rsid w:val="00191D77"/>
    <w:rsid w:val="00192502"/>
    <w:rsid w:val="00192711"/>
    <w:rsid w:val="00192918"/>
    <w:rsid w:val="00192D36"/>
    <w:rsid w:val="00193A8A"/>
    <w:rsid w:val="00193F90"/>
    <w:rsid w:val="001945A7"/>
    <w:rsid w:val="00194D22"/>
    <w:rsid w:val="00195108"/>
    <w:rsid w:val="00195A17"/>
    <w:rsid w:val="00195F5D"/>
    <w:rsid w:val="001962E9"/>
    <w:rsid w:val="00196F52"/>
    <w:rsid w:val="00197FD8"/>
    <w:rsid w:val="001A1E60"/>
    <w:rsid w:val="001A33FF"/>
    <w:rsid w:val="001A3E74"/>
    <w:rsid w:val="001A444C"/>
    <w:rsid w:val="001A5BA6"/>
    <w:rsid w:val="001A6272"/>
    <w:rsid w:val="001A6C0B"/>
    <w:rsid w:val="001A6EBA"/>
    <w:rsid w:val="001A7044"/>
    <w:rsid w:val="001A79E5"/>
    <w:rsid w:val="001A7B55"/>
    <w:rsid w:val="001A7BCB"/>
    <w:rsid w:val="001A7CF6"/>
    <w:rsid w:val="001B003A"/>
    <w:rsid w:val="001B03EA"/>
    <w:rsid w:val="001B0729"/>
    <w:rsid w:val="001B15F1"/>
    <w:rsid w:val="001B1950"/>
    <w:rsid w:val="001B264F"/>
    <w:rsid w:val="001B26A1"/>
    <w:rsid w:val="001B26CF"/>
    <w:rsid w:val="001B2761"/>
    <w:rsid w:val="001B2CFE"/>
    <w:rsid w:val="001B2F80"/>
    <w:rsid w:val="001B4AC1"/>
    <w:rsid w:val="001B4DA9"/>
    <w:rsid w:val="001B56A0"/>
    <w:rsid w:val="001B60CA"/>
    <w:rsid w:val="001B6190"/>
    <w:rsid w:val="001B6324"/>
    <w:rsid w:val="001B646C"/>
    <w:rsid w:val="001B6538"/>
    <w:rsid w:val="001B7329"/>
    <w:rsid w:val="001B7425"/>
    <w:rsid w:val="001C02B2"/>
    <w:rsid w:val="001C0DBF"/>
    <w:rsid w:val="001C1026"/>
    <w:rsid w:val="001C10FF"/>
    <w:rsid w:val="001C14DD"/>
    <w:rsid w:val="001C1E41"/>
    <w:rsid w:val="001C253A"/>
    <w:rsid w:val="001C25DC"/>
    <w:rsid w:val="001C2DAC"/>
    <w:rsid w:val="001C421D"/>
    <w:rsid w:val="001C4556"/>
    <w:rsid w:val="001C49D7"/>
    <w:rsid w:val="001C5683"/>
    <w:rsid w:val="001C666B"/>
    <w:rsid w:val="001C6BB5"/>
    <w:rsid w:val="001C6E73"/>
    <w:rsid w:val="001C7658"/>
    <w:rsid w:val="001C7BA3"/>
    <w:rsid w:val="001C7E18"/>
    <w:rsid w:val="001C7F83"/>
    <w:rsid w:val="001D009E"/>
    <w:rsid w:val="001D00A3"/>
    <w:rsid w:val="001D0867"/>
    <w:rsid w:val="001D0AFD"/>
    <w:rsid w:val="001D1056"/>
    <w:rsid w:val="001D159E"/>
    <w:rsid w:val="001D1D4C"/>
    <w:rsid w:val="001D1F57"/>
    <w:rsid w:val="001D29C4"/>
    <w:rsid w:val="001D2F61"/>
    <w:rsid w:val="001D30BC"/>
    <w:rsid w:val="001D4816"/>
    <w:rsid w:val="001D4FE9"/>
    <w:rsid w:val="001D52FE"/>
    <w:rsid w:val="001D55AD"/>
    <w:rsid w:val="001D572C"/>
    <w:rsid w:val="001D5CAA"/>
    <w:rsid w:val="001D5DDE"/>
    <w:rsid w:val="001D67ED"/>
    <w:rsid w:val="001D67F5"/>
    <w:rsid w:val="001D6942"/>
    <w:rsid w:val="001D7185"/>
    <w:rsid w:val="001E0AC7"/>
    <w:rsid w:val="001E0EBE"/>
    <w:rsid w:val="001E12EB"/>
    <w:rsid w:val="001E1835"/>
    <w:rsid w:val="001E1D44"/>
    <w:rsid w:val="001E26B1"/>
    <w:rsid w:val="001E40C5"/>
    <w:rsid w:val="001E433E"/>
    <w:rsid w:val="001E497C"/>
    <w:rsid w:val="001E4B20"/>
    <w:rsid w:val="001E51A4"/>
    <w:rsid w:val="001E606B"/>
    <w:rsid w:val="001E7E89"/>
    <w:rsid w:val="001F0A0E"/>
    <w:rsid w:val="001F0C31"/>
    <w:rsid w:val="001F0E05"/>
    <w:rsid w:val="001F0E67"/>
    <w:rsid w:val="001F1923"/>
    <w:rsid w:val="001F1B9B"/>
    <w:rsid w:val="001F229B"/>
    <w:rsid w:val="001F2368"/>
    <w:rsid w:val="001F28F6"/>
    <w:rsid w:val="001F2996"/>
    <w:rsid w:val="001F2D9E"/>
    <w:rsid w:val="001F3082"/>
    <w:rsid w:val="001F38CB"/>
    <w:rsid w:val="001F3B32"/>
    <w:rsid w:val="001F3D4A"/>
    <w:rsid w:val="001F3E02"/>
    <w:rsid w:val="001F3EE8"/>
    <w:rsid w:val="001F4AF2"/>
    <w:rsid w:val="001F4E98"/>
    <w:rsid w:val="001F5800"/>
    <w:rsid w:val="001F5B3F"/>
    <w:rsid w:val="001F5DAE"/>
    <w:rsid w:val="001F6B7D"/>
    <w:rsid w:val="001F6FED"/>
    <w:rsid w:val="001F770D"/>
    <w:rsid w:val="001F7DF8"/>
    <w:rsid w:val="002006CE"/>
    <w:rsid w:val="00200833"/>
    <w:rsid w:val="00200A45"/>
    <w:rsid w:val="00201089"/>
    <w:rsid w:val="00201682"/>
    <w:rsid w:val="00201690"/>
    <w:rsid w:val="002019AD"/>
    <w:rsid w:val="002020A9"/>
    <w:rsid w:val="00202998"/>
    <w:rsid w:val="002030C4"/>
    <w:rsid w:val="00203358"/>
    <w:rsid w:val="00203A79"/>
    <w:rsid w:val="00203FAA"/>
    <w:rsid w:val="00204537"/>
    <w:rsid w:val="00204A55"/>
    <w:rsid w:val="00204C2A"/>
    <w:rsid w:val="00204EF9"/>
    <w:rsid w:val="00205875"/>
    <w:rsid w:val="00206DD1"/>
    <w:rsid w:val="0020769E"/>
    <w:rsid w:val="002101E7"/>
    <w:rsid w:val="00210299"/>
    <w:rsid w:val="00210814"/>
    <w:rsid w:val="00211334"/>
    <w:rsid w:val="00211519"/>
    <w:rsid w:val="002118A2"/>
    <w:rsid w:val="00212060"/>
    <w:rsid w:val="0021298E"/>
    <w:rsid w:val="00212B2F"/>
    <w:rsid w:val="00212B46"/>
    <w:rsid w:val="0021365D"/>
    <w:rsid w:val="00213E1D"/>
    <w:rsid w:val="002142BC"/>
    <w:rsid w:val="00214E87"/>
    <w:rsid w:val="00215178"/>
    <w:rsid w:val="0021572B"/>
    <w:rsid w:val="0021607A"/>
    <w:rsid w:val="002160AA"/>
    <w:rsid w:val="002160ED"/>
    <w:rsid w:val="002161EF"/>
    <w:rsid w:val="002165EE"/>
    <w:rsid w:val="002167ED"/>
    <w:rsid w:val="00217BC7"/>
    <w:rsid w:val="00220492"/>
    <w:rsid w:val="00220ACE"/>
    <w:rsid w:val="00220C57"/>
    <w:rsid w:val="00221381"/>
    <w:rsid w:val="00221E6C"/>
    <w:rsid w:val="00221E7C"/>
    <w:rsid w:val="002220A6"/>
    <w:rsid w:val="002221CE"/>
    <w:rsid w:val="0022260E"/>
    <w:rsid w:val="002229A6"/>
    <w:rsid w:val="00223669"/>
    <w:rsid w:val="002236B2"/>
    <w:rsid w:val="002244E6"/>
    <w:rsid w:val="0022495D"/>
    <w:rsid w:val="00224AB2"/>
    <w:rsid w:val="002255FD"/>
    <w:rsid w:val="00225963"/>
    <w:rsid w:val="002259FC"/>
    <w:rsid w:val="00225FF0"/>
    <w:rsid w:val="002263FF"/>
    <w:rsid w:val="00226AD4"/>
    <w:rsid w:val="00227140"/>
    <w:rsid w:val="002273C7"/>
    <w:rsid w:val="00227CC9"/>
    <w:rsid w:val="0023029C"/>
    <w:rsid w:val="00230400"/>
    <w:rsid w:val="00230BFC"/>
    <w:rsid w:val="0023149E"/>
    <w:rsid w:val="00232ECC"/>
    <w:rsid w:val="002332B4"/>
    <w:rsid w:val="00233C42"/>
    <w:rsid w:val="00233FBB"/>
    <w:rsid w:val="00234218"/>
    <w:rsid w:val="00235001"/>
    <w:rsid w:val="00235276"/>
    <w:rsid w:val="0023565D"/>
    <w:rsid w:val="00235744"/>
    <w:rsid w:val="0023589A"/>
    <w:rsid w:val="00236017"/>
    <w:rsid w:val="00236084"/>
    <w:rsid w:val="0023634B"/>
    <w:rsid w:val="00236719"/>
    <w:rsid w:val="00236C5C"/>
    <w:rsid w:val="002403A5"/>
    <w:rsid w:val="0024046E"/>
    <w:rsid w:val="00240563"/>
    <w:rsid w:val="00240E84"/>
    <w:rsid w:val="002411B7"/>
    <w:rsid w:val="00241882"/>
    <w:rsid w:val="0024202D"/>
    <w:rsid w:val="002421B8"/>
    <w:rsid w:val="00242F7D"/>
    <w:rsid w:val="002433F4"/>
    <w:rsid w:val="00243CAB"/>
    <w:rsid w:val="002441FF"/>
    <w:rsid w:val="00244441"/>
    <w:rsid w:val="00244DC6"/>
    <w:rsid w:val="002453D3"/>
    <w:rsid w:val="0024569F"/>
    <w:rsid w:val="0024579F"/>
    <w:rsid w:val="0024585B"/>
    <w:rsid w:val="00246184"/>
    <w:rsid w:val="002465B2"/>
    <w:rsid w:val="00246AC7"/>
    <w:rsid w:val="00246B7F"/>
    <w:rsid w:val="0024709C"/>
    <w:rsid w:val="0024769D"/>
    <w:rsid w:val="00247EE5"/>
    <w:rsid w:val="00250230"/>
    <w:rsid w:val="0025028F"/>
    <w:rsid w:val="00250949"/>
    <w:rsid w:val="00250CDB"/>
    <w:rsid w:val="00251154"/>
    <w:rsid w:val="0025295C"/>
    <w:rsid w:val="00253924"/>
    <w:rsid w:val="00254741"/>
    <w:rsid w:val="00255495"/>
    <w:rsid w:val="00255945"/>
    <w:rsid w:val="00255F73"/>
    <w:rsid w:val="002566FD"/>
    <w:rsid w:val="00256856"/>
    <w:rsid w:val="00256CEE"/>
    <w:rsid w:val="00256FC0"/>
    <w:rsid w:val="002571DB"/>
    <w:rsid w:val="00257C9F"/>
    <w:rsid w:val="00257D7F"/>
    <w:rsid w:val="002604AB"/>
    <w:rsid w:val="0026062A"/>
    <w:rsid w:val="002609B7"/>
    <w:rsid w:val="00260F6C"/>
    <w:rsid w:val="002619A6"/>
    <w:rsid w:val="00261DA3"/>
    <w:rsid w:val="0026218F"/>
    <w:rsid w:val="00262944"/>
    <w:rsid w:val="00262C80"/>
    <w:rsid w:val="00263290"/>
    <w:rsid w:val="002637E4"/>
    <w:rsid w:val="00263B6B"/>
    <w:rsid w:val="002642E5"/>
    <w:rsid w:val="00264459"/>
    <w:rsid w:val="0026492F"/>
    <w:rsid w:val="00265085"/>
    <w:rsid w:val="00265601"/>
    <w:rsid w:val="002658E6"/>
    <w:rsid w:val="00265D83"/>
    <w:rsid w:val="00265E23"/>
    <w:rsid w:val="0026609C"/>
    <w:rsid w:val="00266410"/>
    <w:rsid w:val="00267C55"/>
    <w:rsid w:val="00267DE9"/>
    <w:rsid w:val="00267E51"/>
    <w:rsid w:val="00267EEE"/>
    <w:rsid w:val="00271390"/>
    <w:rsid w:val="00272928"/>
    <w:rsid w:val="00272965"/>
    <w:rsid w:val="00272ADE"/>
    <w:rsid w:val="00272CEC"/>
    <w:rsid w:val="0027353A"/>
    <w:rsid w:val="00273CDC"/>
    <w:rsid w:val="002740D4"/>
    <w:rsid w:val="002741AA"/>
    <w:rsid w:val="0027427F"/>
    <w:rsid w:val="00274855"/>
    <w:rsid w:val="00275033"/>
    <w:rsid w:val="002751D3"/>
    <w:rsid w:val="0027536C"/>
    <w:rsid w:val="002760D3"/>
    <w:rsid w:val="002761FE"/>
    <w:rsid w:val="00276299"/>
    <w:rsid w:val="00276637"/>
    <w:rsid w:val="0027718A"/>
    <w:rsid w:val="002771A0"/>
    <w:rsid w:val="002778DF"/>
    <w:rsid w:val="002805BA"/>
    <w:rsid w:val="002813FC"/>
    <w:rsid w:val="002818CC"/>
    <w:rsid w:val="00281B2A"/>
    <w:rsid w:val="00281B4E"/>
    <w:rsid w:val="00281C10"/>
    <w:rsid w:val="00281EAC"/>
    <w:rsid w:val="00282087"/>
    <w:rsid w:val="0028228C"/>
    <w:rsid w:val="0028239E"/>
    <w:rsid w:val="00282669"/>
    <w:rsid w:val="002826C7"/>
    <w:rsid w:val="0028302E"/>
    <w:rsid w:val="002835C8"/>
    <w:rsid w:val="0028363D"/>
    <w:rsid w:val="0028366C"/>
    <w:rsid w:val="00283A2C"/>
    <w:rsid w:val="00283D5E"/>
    <w:rsid w:val="002849D4"/>
    <w:rsid w:val="00285020"/>
    <w:rsid w:val="0028534F"/>
    <w:rsid w:val="00285458"/>
    <w:rsid w:val="00286798"/>
    <w:rsid w:val="00286941"/>
    <w:rsid w:val="00286E18"/>
    <w:rsid w:val="00290C44"/>
    <w:rsid w:val="00290F24"/>
    <w:rsid w:val="0029105C"/>
    <w:rsid w:val="0029189A"/>
    <w:rsid w:val="00291FCA"/>
    <w:rsid w:val="002922D1"/>
    <w:rsid w:val="00292579"/>
    <w:rsid w:val="00292C9F"/>
    <w:rsid w:val="0029320B"/>
    <w:rsid w:val="00294D8C"/>
    <w:rsid w:val="00294E75"/>
    <w:rsid w:val="00295553"/>
    <w:rsid w:val="00296BE0"/>
    <w:rsid w:val="002977AD"/>
    <w:rsid w:val="00297D09"/>
    <w:rsid w:val="00297F0A"/>
    <w:rsid w:val="00297F24"/>
    <w:rsid w:val="002A069C"/>
    <w:rsid w:val="002A0B26"/>
    <w:rsid w:val="002A10EE"/>
    <w:rsid w:val="002A240B"/>
    <w:rsid w:val="002A2A46"/>
    <w:rsid w:val="002A2B8F"/>
    <w:rsid w:val="002A2F2C"/>
    <w:rsid w:val="002A3F33"/>
    <w:rsid w:val="002A49BD"/>
    <w:rsid w:val="002A4E58"/>
    <w:rsid w:val="002A6281"/>
    <w:rsid w:val="002A630A"/>
    <w:rsid w:val="002A64BE"/>
    <w:rsid w:val="002A66A8"/>
    <w:rsid w:val="002A66DC"/>
    <w:rsid w:val="002A6750"/>
    <w:rsid w:val="002A6CED"/>
    <w:rsid w:val="002A6D8C"/>
    <w:rsid w:val="002A6E78"/>
    <w:rsid w:val="002A6F95"/>
    <w:rsid w:val="002A7164"/>
    <w:rsid w:val="002A744B"/>
    <w:rsid w:val="002A749A"/>
    <w:rsid w:val="002A7567"/>
    <w:rsid w:val="002A7900"/>
    <w:rsid w:val="002A7B52"/>
    <w:rsid w:val="002B0030"/>
    <w:rsid w:val="002B039F"/>
    <w:rsid w:val="002B0FE4"/>
    <w:rsid w:val="002B1208"/>
    <w:rsid w:val="002B137F"/>
    <w:rsid w:val="002B237B"/>
    <w:rsid w:val="002B252A"/>
    <w:rsid w:val="002B2ACF"/>
    <w:rsid w:val="002B36CF"/>
    <w:rsid w:val="002B3FC4"/>
    <w:rsid w:val="002B40F5"/>
    <w:rsid w:val="002B4211"/>
    <w:rsid w:val="002B56CD"/>
    <w:rsid w:val="002B5AB3"/>
    <w:rsid w:val="002B5B55"/>
    <w:rsid w:val="002B665C"/>
    <w:rsid w:val="002B6C13"/>
    <w:rsid w:val="002B7EEB"/>
    <w:rsid w:val="002C00D5"/>
    <w:rsid w:val="002C032C"/>
    <w:rsid w:val="002C04A1"/>
    <w:rsid w:val="002C0989"/>
    <w:rsid w:val="002C143C"/>
    <w:rsid w:val="002C1627"/>
    <w:rsid w:val="002C1C78"/>
    <w:rsid w:val="002C1F67"/>
    <w:rsid w:val="002C30A5"/>
    <w:rsid w:val="002C3C66"/>
    <w:rsid w:val="002C3F07"/>
    <w:rsid w:val="002C4644"/>
    <w:rsid w:val="002C46E3"/>
    <w:rsid w:val="002C4E4E"/>
    <w:rsid w:val="002C5023"/>
    <w:rsid w:val="002C558F"/>
    <w:rsid w:val="002C5B97"/>
    <w:rsid w:val="002C5FDF"/>
    <w:rsid w:val="002C6907"/>
    <w:rsid w:val="002D044D"/>
    <w:rsid w:val="002D094F"/>
    <w:rsid w:val="002D09C8"/>
    <w:rsid w:val="002D0BF7"/>
    <w:rsid w:val="002D0F29"/>
    <w:rsid w:val="002D13B3"/>
    <w:rsid w:val="002D18FF"/>
    <w:rsid w:val="002D1A2C"/>
    <w:rsid w:val="002D2ED8"/>
    <w:rsid w:val="002D2FF8"/>
    <w:rsid w:val="002D31FF"/>
    <w:rsid w:val="002D3B05"/>
    <w:rsid w:val="002D3F73"/>
    <w:rsid w:val="002D44C5"/>
    <w:rsid w:val="002D45D6"/>
    <w:rsid w:val="002D4D24"/>
    <w:rsid w:val="002D6690"/>
    <w:rsid w:val="002D67B3"/>
    <w:rsid w:val="002D68EC"/>
    <w:rsid w:val="002D6C6B"/>
    <w:rsid w:val="002D7010"/>
    <w:rsid w:val="002D70E2"/>
    <w:rsid w:val="002D73BA"/>
    <w:rsid w:val="002E009E"/>
    <w:rsid w:val="002E0A20"/>
    <w:rsid w:val="002E182D"/>
    <w:rsid w:val="002E25CD"/>
    <w:rsid w:val="002E2723"/>
    <w:rsid w:val="002E2844"/>
    <w:rsid w:val="002E3DB3"/>
    <w:rsid w:val="002E459D"/>
    <w:rsid w:val="002E4B29"/>
    <w:rsid w:val="002E4EB4"/>
    <w:rsid w:val="002E6AF0"/>
    <w:rsid w:val="002E6B7F"/>
    <w:rsid w:val="002E7563"/>
    <w:rsid w:val="002E7BDF"/>
    <w:rsid w:val="002E7CFD"/>
    <w:rsid w:val="002F1514"/>
    <w:rsid w:val="002F253D"/>
    <w:rsid w:val="002F3002"/>
    <w:rsid w:val="002F35E9"/>
    <w:rsid w:val="002F3B78"/>
    <w:rsid w:val="002F3D6A"/>
    <w:rsid w:val="002F4B2C"/>
    <w:rsid w:val="002F4B95"/>
    <w:rsid w:val="002F573F"/>
    <w:rsid w:val="002F58F0"/>
    <w:rsid w:val="002F5ACD"/>
    <w:rsid w:val="002F6238"/>
    <w:rsid w:val="002F6887"/>
    <w:rsid w:val="002F6ACD"/>
    <w:rsid w:val="002F6D85"/>
    <w:rsid w:val="002F72B7"/>
    <w:rsid w:val="002F734B"/>
    <w:rsid w:val="002F78CB"/>
    <w:rsid w:val="002F7AA7"/>
    <w:rsid w:val="002F7D09"/>
    <w:rsid w:val="0030009C"/>
    <w:rsid w:val="00300311"/>
    <w:rsid w:val="0030047A"/>
    <w:rsid w:val="003007EE"/>
    <w:rsid w:val="00300A58"/>
    <w:rsid w:val="003017C6"/>
    <w:rsid w:val="003019D8"/>
    <w:rsid w:val="0030230A"/>
    <w:rsid w:val="003026E6"/>
    <w:rsid w:val="00302BBE"/>
    <w:rsid w:val="00302C20"/>
    <w:rsid w:val="00304824"/>
    <w:rsid w:val="00304EE8"/>
    <w:rsid w:val="00304F4F"/>
    <w:rsid w:val="00304F9E"/>
    <w:rsid w:val="003053C6"/>
    <w:rsid w:val="003063EE"/>
    <w:rsid w:val="003065C5"/>
    <w:rsid w:val="00306CCF"/>
    <w:rsid w:val="00306DB4"/>
    <w:rsid w:val="0030721E"/>
    <w:rsid w:val="0030754E"/>
    <w:rsid w:val="0031008D"/>
    <w:rsid w:val="003101DB"/>
    <w:rsid w:val="0031051C"/>
    <w:rsid w:val="00310CDA"/>
    <w:rsid w:val="00311121"/>
    <w:rsid w:val="003112C9"/>
    <w:rsid w:val="003112DF"/>
    <w:rsid w:val="0031170F"/>
    <w:rsid w:val="00312B6A"/>
    <w:rsid w:val="00313112"/>
    <w:rsid w:val="00313F57"/>
    <w:rsid w:val="00314C0D"/>
    <w:rsid w:val="003154EB"/>
    <w:rsid w:val="0031550A"/>
    <w:rsid w:val="00315592"/>
    <w:rsid w:val="00315769"/>
    <w:rsid w:val="00315870"/>
    <w:rsid w:val="00315BA6"/>
    <w:rsid w:val="00315BD1"/>
    <w:rsid w:val="00315C93"/>
    <w:rsid w:val="003160D3"/>
    <w:rsid w:val="003164C5"/>
    <w:rsid w:val="00316CB2"/>
    <w:rsid w:val="00317A37"/>
    <w:rsid w:val="00317A68"/>
    <w:rsid w:val="00317C55"/>
    <w:rsid w:val="00317D59"/>
    <w:rsid w:val="00320F08"/>
    <w:rsid w:val="00322114"/>
    <w:rsid w:val="003221D6"/>
    <w:rsid w:val="00322741"/>
    <w:rsid w:val="0032284F"/>
    <w:rsid w:val="00322E80"/>
    <w:rsid w:val="00324057"/>
    <w:rsid w:val="003242BA"/>
    <w:rsid w:val="003243AA"/>
    <w:rsid w:val="003247D0"/>
    <w:rsid w:val="00324ADF"/>
    <w:rsid w:val="00325F55"/>
    <w:rsid w:val="00326CCF"/>
    <w:rsid w:val="00326F5E"/>
    <w:rsid w:val="0032719F"/>
    <w:rsid w:val="00327304"/>
    <w:rsid w:val="0032751B"/>
    <w:rsid w:val="00330494"/>
    <w:rsid w:val="00331948"/>
    <w:rsid w:val="003319CC"/>
    <w:rsid w:val="0033242F"/>
    <w:rsid w:val="003327D0"/>
    <w:rsid w:val="00332800"/>
    <w:rsid w:val="003328C2"/>
    <w:rsid w:val="00332EAD"/>
    <w:rsid w:val="00332EC4"/>
    <w:rsid w:val="00332F7B"/>
    <w:rsid w:val="00333004"/>
    <w:rsid w:val="0033404C"/>
    <w:rsid w:val="0033411C"/>
    <w:rsid w:val="0033488B"/>
    <w:rsid w:val="003349D2"/>
    <w:rsid w:val="00334B30"/>
    <w:rsid w:val="00334FFF"/>
    <w:rsid w:val="003359D1"/>
    <w:rsid w:val="00335D86"/>
    <w:rsid w:val="00336024"/>
    <w:rsid w:val="003368DB"/>
    <w:rsid w:val="00336A7E"/>
    <w:rsid w:val="00336C32"/>
    <w:rsid w:val="00336CF4"/>
    <w:rsid w:val="00336E1F"/>
    <w:rsid w:val="00337294"/>
    <w:rsid w:val="00337C2A"/>
    <w:rsid w:val="00340048"/>
    <w:rsid w:val="003404EB"/>
    <w:rsid w:val="003406F5"/>
    <w:rsid w:val="00340987"/>
    <w:rsid w:val="003409C8"/>
    <w:rsid w:val="00340A17"/>
    <w:rsid w:val="00340DC1"/>
    <w:rsid w:val="00341748"/>
    <w:rsid w:val="00341992"/>
    <w:rsid w:val="00341E83"/>
    <w:rsid w:val="0034243F"/>
    <w:rsid w:val="0034295B"/>
    <w:rsid w:val="003440BA"/>
    <w:rsid w:val="003446CC"/>
    <w:rsid w:val="00345031"/>
    <w:rsid w:val="00345B16"/>
    <w:rsid w:val="00347195"/>
    <w:rsid w:val="00347439"/>
    <w:rsid w:val="00347976"/>
    <w:rsid w:val="0035026C"/>
    <w:rsid w:val="00350713"/>
    <w:rsid w:val="00350F38"/>
    <w:rsid w:val="00350FEF"/>
    <w:rsid w:val="0035120B"/>
    <w:rsid w:val="0035250C"/>
    <w:rsid w:val="00352637"/>
    <w:rsid w:val="00352862"/>
    <w:rsid w:val="00352E09"/>
    <w:rsid w:val="003530AF"/>
    <w:rsid w:val="0035361C"/>
    <w:rsid w:val="00353F1C"/>
    <w:rsid w:val="003541BE"/>
    <w:rsid w:val="00354334"/>
    <w:rsid w:val="00354814"/>
    <w:rsid w:val="00354830"/>
    <w:rsid w:val="00354E35"/>
    <w:rsid w:val="00354F49"/>
    <w:rsid w:val="00354FFD"/>
    <w:rsid w:val="003559B5"/>
    <w:rsid w:val="00355B08"/>
    <w:rsid w:val="003568E6"/>
    <w:rsid w:val="0035756B"/>
    <w:rsid w:val="0035784A"/>
    <w:rsid w:val="00360026"/>
    <w:rsid w:val="0036090A"/>
    <w:rsid w:val="003609A6"/>
    <w:rsid w:val="00360B43"/>
    <w:rsid w:val="00360F3A"/>
    <w:rsid w:val="003614BA"/>
    <w:rsid w:val="0036164C"/>
    <w:rsid w:val="00361A9A"/>
    <w:rsid w:val="00361DBF"/>
    <w:rsid w:val="00362024"/>
    <w:rsid w:val="0036215F"/>
    <w:rsid w:val="003622EE"/>
    <w:rsid w:val="0036249A"/>
    <w:rsid w:val="0036297C"/>
    <w:rsid w:val="003637E4"/>
    <w:rsid w:val="0036393A"/>
    <w:rsid w:val="00363A6B"/>
    <w:rsid w:val="00363DEB"/>
    <w:rsid w:val="003647FD"/>
    <w:rsid w:val="003660ED"/>
    <w:rsid w:val="0036663D"/>
    <w:rsid w:val="003669C7"/>
    <w:rsid w:val="003672EF"/>
    <w:rsid w:val="00367746"/>
    <w:rsid w:val="003677D2"/>
    <w:rsid w:val="00367DA2"/>
    <w:rsid w:val="003703A1"/>
    <w:rsid w:val="003705AF"/>
    <w:rsid w:val="003708FE"/>
    <w:rsid w:val="0037221E"/>
    <w:rsid w:val="003723D1"/>
    <w:rsid w:val="00372649"/>
    <w:rsid w:val="0037279E"/>
    <w:rsid w:val="00372C99"/>
    <w:rsid w:val="0037326B"/>
    <w:rsid w:val="00373DBC"/>
    <w:rsid w:val="003742DF"/>
    <w:rsid w:val="0037558F"/>
    <w:rsid w:val="00376285"/>
    <w:rsid w:val="0037733C"/>
    <w:rsid w:val="003773E0"/>
    <w:rsid w:val="00377BC5"/>
    <w:rsid w:val="00377FAE"/>
    <w:rsid w:val="0038024C"/>
    <w:rsid w:val="00380485"/>
    <w:rsid w:val="003808F4"/>
    <w:rsid w:val="0038158D"/>
    <w:rsid w:val="00381BFD"/>
    <w:rsid w:val="003821A1"/>
    <w:rsid w:val="0038227C"/>
    <w:rsid w:val="00382977"/>
    <w:rsid w:val="00382E5C"/>
    <w:rsid w:val="003834D8"/>
    <w:rsid w:val="003834F7"/>
    <w:rsid w:val="003836D8"/>
    <w:rsid w:val="00383AF3"/>
    <w:rsid w:val="00384104"/>
    <w:rsid w:val="00384465"/>
    <w:rsid w:val="00384725"/>
    <w:rsid w:val="003849CF"/>
    <w:rsid w:val="00384C38"/>
    <w:rsid w:val="00384E26"/>
    <w:rsid w:val="00384F21"/>
    <w:rsid w:val="0038505F"/>
    <w:rsid w:val="003859D9"/>
    <w:rsid w:val="00385E16"/>
    <w:rsid w:val="0038641D"/>
    <w:rsid w:val="0038657A"/>
    <w:rsid w:val="00386DE3"/>
    <w:rsid w:val="00386F3F"/>
    <w:rsid w:val="003876FE"/>
    <w:rsid w:val="00387EA2"/>
    <w:rsid w:val="0039054B"/>
    <w:rsid w:val="0039149A"/>
    <w:rsid w:val="003916A1"/>
    <w:rsid w:val="003922CF"/>
    <w:rsid w:val="0039285C"/>
    <w:rsid w:val="00392EC2"/>
    <w:rsid w:val="003935C5"/>
    <w:rsid w:val="00393B56"/>
    <w:rsid w:val="00393B8A"/>
    <w:rsid w:val="00394CF0"/>
    <w:rsid w:val="00394D0A"/>
    <w:rsid w:val="00394F1E"/>
    <w:rsid w:val="00395AD1"/>
    <w:rsid w:val="00395C99"/>
    <w:rsid w:val="0039661E"/>
    <w:rsid w:val="00396648"/>
    <w:rsid w:val="003967B2"/>
    <w:rsid w:val="0039687B"/>
    <w:rsid w:val="003968A3"/>
    <w:rsid w:val="00396A0F"/>
    <w:rsid w:val="00396CD3"/>
    <w:rsid w:val="003972BF"/>
    <w:rsid w:val="003973CB"/>
    <w:rsid w:val="003A0319"/>
    <w:rsid w:val="003A0399"/>
    <w:rsid w:val="003A0C10"/>
    <w:rsid w:val="003A0DAF"/>
    <w:rsid w:val="003A107E"/>
    <w:rsid w:val="003A1188"/>
    <w:rsid w:val="003A1703"/>
    <w:rsid w:val="003A1D99"/>
    <w:rsid w:val="003A2A90"/>
    <w:rsid w:val="003A2E15"/>
    <w:rsid w:val="003A2EAE"/>
    <w:rsid w:val="003A2F67"/>
    <w:rsid w:val="003A3718"/>
    <w:rsid w:val="003A42F2"/>
    <w:rsid w:val="003A43D4"/>
    <w:rsid w:val="003A4650"/>
    <w:rsid w:val="003A53E6"/>
    <w:rsid w:val="003A59C9"/>
    <w:rsid w:val="003A61EF"/>
    <w:rsid w:val="003A6B4D"/>
    <w:rsid w:val="003A6F40"/>
    <w:rsid w:val="003B0295"/>
    <w:rsid w:val="003B0498"/>
    <w:rsid w:val="003B0AFE"/>
    <w:rsid w:val="003B14CD"/>
    <w:rsid w:val="003B1F28"/>
    <w:rsid w:val="003B229B"/>
    <w:rsid w:val="003B2683"/>
    <w:rsid w:val="003B26C6"/>
    <w:rsid w:val="003B29F4"/>
    <w:rsid w:val="003B2CC8"/>
    <w:rsid w:val="003B385C"/>
    <w:rsid w:val="003B4D42"/>
    <w:rsid w:val="003B4F33"/>
    <w:rsid w:val="003B525F"/>
    <w:rsid w:val="003B54D8"/>
    <w:rsid w:val="003B5C93"/>
    <w:rsid w:val="003B6B43"/>
    <w:rsid w:val="003B754F"/>
    <w:rsid w:val="003B7AFB"/>
    <w:rsid w:val="003C0065"/>
    <w:rsid w:val="003C01BA"/>
    <w:rsid w:val="003C03E5"/>
    <w:rsid w:val="003C0BCA"/>
    <w:rsid w:val="003C10E4"/>
    <w:rsid w:val="003C373D"/>
    <w:rsid w:val="003C37DC"/>
    <w:rsid w:val="003C3B4A"/>
    <w:rsid w:val="003C48D8"/>
    <w:rsid w:val="003C4A63"/>
    <w:rsid w:val="003C4C08"/>
    <w:rsid w:val="003C4C34"/>
    <w:rsid w:val="003C5320"/>
    <w:rsid w:val="003C6366"/>
    <w:rsid w:val="003C6A07"/>
    <w:rsid w:val="003D0211"/>
    <w:rsid w:val="003D0324"/>
    <w:rsid w:val="003D0656"/>
    <w:rsid w:val="003D107E"/>
    <w:rsid w:val="003D177C"/>
    <w:rsid w:val="003D363B"/>
    <w:rsid w:val="003D394D"/>
    <w:rsid w:val="003D3C64"/>
    <w:rsid w:val="003D3F6D"/>
    <w:rsid w:val="003D4995"/>
    <w:rsid w:val="003D4CD7"/>
    <w:rsid w:val="003D4CFB"/>
    <w:rsid w:val="003D5B3E"/>
    <w:rsid w:val="003D6405"/>
    <w:rsid w:val="003D7444"/>
    <w:rsid w:val="003E004C"/>
    <w:rsid w:val="003E0285"/>
    <w:rsid w:val="003E0380"/>
    <w:rsid w:val="003E03C1"/>
    <w:rsid w:val="003E1765"/>
    <w:rsid w:val="003E20F9"/>
    <w:rsid w:val="003E25A6"/>
    <w:rsid w:val="003E2B2F"/>
    <w:rsid w:val="003E2B3E"/>
    <w:rsid w:val="003E445A"/>
    <w:rsid w:val="003E46B1"/>
    <w:rsid w:val="003E4836"/>
    <w:rsid w:val="003E4D83"/>
    <w:rsid w:val="003E51CC"/>
    <w:rsid w:val="003E52EF"/>
    <w:rsid w:val="003E7588"/>
    <w:rsid w:val="003E7A72"/>
    <w:rsid w:val="003E7FA8"/>
    <w:rsid w:val="003F02EC"/>
    <w:rsid w:val="003F1794"/>
    <w:rsid w:val="003F1D4A"/>
    <w:rsid w:val="003F228C"/>
    <w:rsid w:val="003F2769"/>
    <w:rsid w:val="003F3668"/>
    <w:rsid w:val="003F39BC"/>
    <w:rsid w:val="003F5812"/>
    <w:rsid w:val="003F592B"/>
    <w:rsid w:val="003F610B"/>
    <w:rsid w:val="003F6CAB"/>
    <w:rsid w:val="00400369"/>
    <w:rsid w:val="004006B5"/>
    <w:rsid w:val="00400F27"/>
    <w:rsid w:val="0040180E"/>
    <w:rsid w:val="00401BAE"/>
    <w:rsid w:val="00402216"/>
    <w:rsid w:val="00402D21"/>
    <w:rsid w:val="00402E75"/>
    <w:rsid w:val="00403164"/>
    <w:rsid w:val="004038BC"/>
    <w:rsid w:val="004047A1"/>
    <w:rsid w:val="004047EB"/>
    <w:rsid w:val="004049D0"/>
    <w:rsid w:val="00404CB1"/>
    <w:rsid w:val="00404F27"/>
    <w:rsid w:val="004050B9"/>
    <w:rsid w:val="0040547C"/>
    <w:rsid w:val="00406BF8"/>
    <w:rsid w:val="00406C58"/>
    <w:rsid w:val="00406E20"/>
    <w:rsid w:val="00410418"/>
    <w:rsid w:val="0041046A"/>
    <w:rsid w:val="004122C5"/>
    <w:rsid w:val="0041260D"/>
    <w:rsid w:val="0041318D"/>
    <w:rsid w:val="004131E7"/>
    <w:rsid w:val="0041354C"/>
    <w:rsid w:val="00413591"/>
    <w:rsid w:val="004137AA"/>
    <w:rsid w:val="00413992"/>
    <w:rsid w:val="00413B43"/>
    <w:rsid w:val="0041405B"/>
    <w:rsid w:val="0041435E"/>
    <w:rsid w:val="00415346"/>
    <w:rsid w:val="004153BE"/>
    <w:rsid w:val="0041670A"/>
    <w:rsid w:val="004217B3"/>
    <w:rsid w:val="0042194D"/>
    <w:rsid w:val="00421FB4"/>
    <w:rsid w:val="004220EE"/>
    <w:rsid w:val="004224C4"/>
    <w:rsid w:val="004225FC"/>
    <w:rsid w:val="004227CB"/>
    <w:rsid w:val="00423895"/>
    <w:rsid w:val="00423FB3"/>
    <w:rsid w:val="0042427B"/>
    <w:rsid w:val="0042454F"/>
    <w:rsid w:val="0042489A"/>
    <w:rsid w:val="00424AF3"/>
    <w:rsid w:val="004258BE"/>
    <w:rsid w:val="00425BB9"/>
    <w:rsid w:val="00425E81"/>
    <w:rsid w:val="004263E8"/>
    <w:rsid w:val="004265F8"/>
    <w:rsid w:val="004266D2"/>
    <w:rsid w:val="004268E6"/>
    <w:rsid w:val="004274EB"/>
    <w:rsid w:val="00427CDE"/>
    <w:rsid w:val="004300DC"/>
    <w:rsid w:val="00430445"/>
    <w:rsid w:val="00431577"/>
    <w:rsid w:val="004324EF"/>
    <w:rsid w:val="004335EB"/>
    <w:rsid w:val="004339F8"/>
    <w:rsid w:val="004355B1"/>
    <w:rsid w:val="00435B24"/>
    <w:rsid w:val="00436D0E"/>
    <w:rsid w:val="0043740F"/>
    <w:rsid w:val="0044073F"/>
    <w:rsid w:val="00440E9D"/>
    <w:rsid w:val="00441098"/>
    <w:rsid w:val="00441303"/>
    <w:rsid w:val="00441F5D"/>
    <w:rsid w:val="004422DC"/>
    <w:rsid w:val="00442324"/>
    <w:rsid w:val="0044282D"/>
    <w:rsid w:val="00442925"/>
    <w:rsid w:val="00443097"/>
    <w:rsid w:val="00443812"/>
    <w:rsid w:val="00443908"/>
    <w:rsid w:val="00443AE9"/>
    <w:rsid w:val="004441E9"/>
    <w:rsid w:val="0044420C"/>
    <w:rsid w:val="00444215"/>
    <w:rsid w:val="004443C9"/>
    <w:rsid w:val="0044462A"/>
    <w:rsid w:val="00444819"/>
    <w:rsid w:val="0044489D"/>
    <w:rsid w:val="00445521"/>
    <w:rsid w:val="0044582C"/>
    <w:rsid w:val="00445E3A"/>
    <w:rsid w:val="00445FE3"/>
    <w:rsid w:val="0044690A"/>
    <w:rsid w:val="00446F96"/>
    <w:rsid w:val="0044766C"/>
    <w:rsid w:val="00447B6C"/>
    <w:rsid w:val="00450230"/>
    <w:rsid w:val="0045064F"/>
    <w:rsid w:val="00451127"/>
    <w:rsid w:val="0045117A"/>
    <w:rsid w:val="00451276"/>
    <w:rsid w:val="00451700"/>
    <w:rsid w:val="00451C50"/>
    <w:rsid w:val="00451E36"/>
    <w:rsid w:val="0045236A"/>
    <w:rsid w:val="0045284B"/>
    <w:rsid w:val="00452D5C"/>
    <w:rsid w:val="00453298"/>
    <w:rsid w:val="00453524"/>
    <w:rsid w:val="00454509"/>
    <w:rsid w:val="00454967"/>
    <w:rsid w:val="00454D8C"/>
    <w:rsid w:val="004551ED"/>
    <w:rsid w:val="004556E4"/>
    <w:rsid w:val="00455DA7"/>
    <w:rsid w:val="00456E45"/>
    <w:rsid w:val="00457331"/>
    <w:rsid w:val="00457415"/>
    <w:rsid w:val="00457C37"/>
    <w:rsid w:val="00457E26"/>
    <w:rsid w:val="00460675"/>
    <w:rsid w:val="004607A3"/>
    <w:rsid w:val="00460947"/>
    <w:rsid w:val="0046097B"/>
    <w:rsid w:val="00460A40"/>
    <w:rsid w:val="00460E78"/>
    <w:rsid w:val="0046111E"/>
    <w:rsid w:val="00462BAF"/>
    <w:rsid w:val="00462C39"/>
    <w:rsid w:val="00463100"/>
    <w:rsid w:val="00463B42"/>
    <w:rsid w:val="00464689"/>
    <w:rsid w:val="00464DDF"/>
    <w:rsid w:val="00464EBF"/>
    <w:rsid w:val="00466D1C"/>
    <w:rsid w:val="00466DAF"/>
    <w:rsid w:val="00467BD0"/>
    <w:rsid w:val="00470B05"/>
    <w:rsid w:val="00470F70"/>
    <w:rsid w:val="00471D4B"/>
    <w:rsid w:val="00472531"/>
    <w:rsid w:val="00472E4A"/>
    <w:rsid w:val="004735A9"/>
    <w:rsid w:val="00473C44"/>
    <w:rsid w:val="00473D90"/>
    <w:rsid w:val="00473DD1"/>
    <w:rsid w:val="00474DF9"/>
    <w:rsid w:val="00474EC9"/>
    <w:rsid w:val="00475356"/>
    <w:rsid w:val="00475699"/>
    <w:rsid w:val="0047573B"/>
    <w:rsid w:val="004758C9"/>
    <w:rsid w:val="00476CCF"/>
    <w:rsid w:val="00477CE2"/>
    <w:rsid w:val="00477EF6"/>
    <w:rsid w:val="00480140"/>
    <w:rsid w:val="00480DA5"/>
    <w:rsid w:val="004811D8"/>
    <w:rsid w:val="0048131A"/>
    <w:rsid w:val="004814EC"/>
    <w:rsid w:val="004818E1"/>
    <w:rsid w:val="0048212E"/>
    <w:rsid w:val="00482A27"/>
    <w:rsid w:val="00483C0C"/>
    <w:rsid w:val="00484030"/>
    <w:rsid w:val="00485180"/>
    <w:rsid w:val="004866B9"/>
    <w:rsid w:val="00490491"/>
    <w:rsid w:val="004906F4"/>
    <w:rsid w:val="0049120E"/>
    <w:rsid w:val="0049135F"/>
    <w:rsid w:val="004915B0"/>
    <w:rsid w:val="00491736"/>
    <w:rsid w:val="00491879"/>
    <w:rsid w:val="00491C6E"/>
    <w:rsid w:val="00492364"/>
    <w:rsid w:val="004929F4"/>
    <w:rsid w:val="00492E98"/>
    <w:rsid w:val="00493392"/>
    <w:rsid w:val="00493660"/>
    <w:rsid w:val="004938DE"/>
    <w:rsid w:val="00493D29"/>
    <w:rsid w:val="00494276"/>
    <w:rsid w:val="0049493D"/>
    <w:rsid w:val="00494C20"/>
    <w:rsid w:val="00494C62"/>
    <w:rsid w:val="00494F53"/>
    <w:rsid w:val="00496E4C"/>
    <w:rsid w:val="00497A3D"/>
    <w:rsid w:val="004A01D4"/>
    <w:rsid w:val="004A05BC"/>
    <w:rsid w:val="004A1032"/>
    <w:rsid w:val="004A1A0F"/>
    <w:rsid w:val="004A21AA"/>
    <w:rsid w:val="004A23CF"/>
    <w:rsid w:val="004A2AD0"/>
    <w:rsid w:val="004A2B6F"/>
    <w:rsid w:val="004A31D3"/>
    <w:rsid w:val="004A394C"/>
    <w:rsid w:val="004A3D87"/>
    <w:rsid w:val="004A43D2"/>
    <w:rsid w:val="004A4654"/>
    <w:rsid w:val="004A47C5"/>
    <w:rsid w:val="004A4964"/>
    <w:rsid w:val="004A498B"/>
    <w:rsid w:val="004A5250"/>
    <w:rsid w:val="004A5A1C"/>
    <w:rsid w:val="004A5BE8"/>
    <w:rsid w:val="004A6C13"/>
    <w:rsid w:val="004A6F87"/>
    <w:rsid w:val="004A7096"/>
    <w:rsid w:val="004A7C17"/>
    <w:rsid w:val="004A7D80"/>
    <w:rsid w:val="004B0028"/>
    <w:rsid w:val="004B01C2"/>
    <w:rsid w:val="004B067D"/>
    <w:rsid w:val="004B1273"/>
    <w:rsid w:val="004B16BB"/>
    <w:rsid w:val="004B18A5"/>
    <w:rsid w:val="004B19B8"/>
    <w:rsid w:val="004B19BF"/>
    <w:rsid w:val="004B1E79"/>
    <w:rsid w:val="004B2493"/>
    <w:rsid w:val="004B4310"/>
    <w:rsid w:val="004B435A"/>
    <w:rsid w:val="004B4680"/>
    <w:rsid w:val="004B52CC"/>
    <w:rsid w:val="004B583A"/>
    <w:rsid w:val="004B59AA"/>
    <w:rsid w:val="004B5BAA"/>
    <w:rsid w:val="004B5FD5"/>
    <w:rsid w:val="004B6835"/>
    <w:rsid w:val="004B6FEF"/>
    <w:rsid w:val="004B7159"/>
    <w:rsid w:val="004B7F55"/>
    <w:rsid w:val="004C08AC"/>
    <w:rsid w:val="004C0FAE"/>
    <w:rsid w:val="004C137E"/>
    <w:rsid w:val="004C1595"/>
    <w:rsid w:val="004C1706"/>
    <w:rsid w:val="004C1F34"/>
    <w:rsid w:val="004C3D99"/>
    <w:rsid w:val="004C4146"/>
    <w:rsid w:val="004C4E67"/>
    <w:rsid w:val="004C5057"/>
    <w:rsid w:val="004C533A"/>
    <w:rsid w:val="004C695B"/>
    <w:rsid w:val="004C7A96"/>
    <w:rsid w:val="004C7EDA"/>
    <w:rsid w:val="004D14E1"/>
    <w:rsid w:val="004D1B97"/>
    <w:rsid w:val="004D1FC0"/>
    <w:rsid w:val="004D2AAD"/>
    <w:rsid w:val="004D32FC"/>
    <w:rsid w:val="004D3911"/>
    <w:rsid w:val="004D3E6F"/>
    <w:rsid w:val="004D4140"/>
    <w:rsid w:val="004D4652"/>
    <w:rsid w:val="004D4B91"/>
    <w:rsid w:val="004D4D6A"/>
    <w:rsid w:val="004D51B2"/>
    <w:rsid w:val="004D51E5"/>
    <w:rsid w:val="004D5CAF"/>
    <w:rsid w:val="004D5E00"/>
    <w:rsid w:val="004D606C"/>
    <w:rsid w:val="004D615D"/>
    <w:rsid w:val="004D632D"/>
    <w:rsid w:val="004D6849"/>
    <w:rsid w:val="004D6B8F"/>
    <w:rsid w:val="004D6C39"/>
    <w:rsid w:val="004D7143"/>
    <w:rsid w:val="004D73E8"/>
    <w:rsid w:val="004E0479"/>
    <w:rsid w:val="004E07AD"/>
    <w:rsid w:val="004E0CD5"/>
    <w:rsid w:val="004E1121"/>
    <w:rsid w:val="004E16C0"/>
    <w:rsid w:val="004E178F"/>
    <w:rsid w:val="004E2A13"/>
    <w:rsid w:val="004E3040"/>
    <w:rsid w:val="004E3143"/>
    <w:rsid w:val="004E33D3"/>
    <w:rsid w:val="004E3584"/>
    <w:rsid w:val="004E3BC6"/>
    <w:rsid w:val="004E3CDD"/>
    <w:rsid w:val="004E3FDE"/>
    <w:rsid w:val="004E4CDE"/>
    <w:rsid w:val="004E4FE7"/>
    <w:rsid w:val="004E51BE"/>
    <w:rsid w:val="004E558A"/>
    <w:rsid w:val="004E5A70"/>
    <w:rsid w:val="004E6FCF"/>
    <w:rsid w:val="004E792F"/>
    <w:rsid w:val="004E79E1"/>
    <w:rsid w:val="004F06CE"/>
    <w:rsid w:val="004F133A"/>
    <w:rsid w:val="004F14D3"/>
    <w:rsid w:val="004F14F3"/>
    <w:rsid w:val="004F16C4"/>
    <w:rsid w:val="004F1C72"/>
    <w:rsid w:val="004F2383"/>
    <w:rsid w:val="004F293D"/>
    <w:rsid w:val="004F2AB1"/>
    <w:rsid w:val="004F2ED7"/>
    <w:rsid w:val="004F2F57"/>
    <w:rsid w:val="004F347B"/>
    <w:rsid w:val="004F3BA2"/>
    <w:rsid w:val="004F443E"/>
    <w:rsid w:val="004F49F4"/>
    <w:rsid w:val="004F5AC2"/>
    <w:rsid w:val="004F5EA5"/>
    <w:rsid w:val="004F5FCC"/>
    <w:rsid w:val="004F700D"/>
    <w:rsid w:val="004F706B"/>
    <w:rsid w:val="00500A9D"/>
    <w:rsid w:val="00500D80"/>
    <w:rsid w:val="00500F0A"/>
    <w:rsid w:val="00500F17"/>
    <w:rsid w:val="005012EB"/>
    <w:rsid w:val="0050145E"/>
    <w:rsid w:val="005014EF"/>
    <w:rsid w:val="005017B5"/>
    <w:rsid w:val="00501934"/>
    <w:rsid w:val="00501E21"/>
    <w:rsid w:val="00502480"/>
    <w:rsid w:val="005027FD"/>
    <w:rsid w:val="00502CB5"/>
    <w:rsid w:val="00502D56"/>
    <w:rsid w:val="00503773"/>
    <w:rsid w:val="005038F4"/>
    <w:rsid w:val="00504620"/>
    <w:rsid w:val="005049BF"/>
    <w:rsid w:val="00504B5F"/>
    <w:rsid w:val="00504D37"/>
    <w:rsid w:val="00504FA6"/>
    <w:rsid w:val="005052D5"/>
    <w:rsid w:val="00506237"/>
    <w:rsid w:val="005067E7"/>
    <w:rsid w:val="00506A2B"/>
    <w:rsid w:val="0050787B"/>
    <w:rsid w:val="0050794D"/>
    <w:rsid w:val="0051012B"/>
    <w:rsid w:val="0051017D"/>
    <w:rsid w:val="00510B89"/>
    <w:rsid w:val="00511AB3"/>
    <w:rsid w:val="0051201A"/>
    <w:rsid w:val="00512B64"/>
    <w:rsid w:val="00512D87"/>
    <w:rsid w:val="00512FC8"/>
    <w:rsid w:val="00513745"/>
    <w:rsid w:val="005137B7"/>
    <w:rsid w:val="00513886"/>
    <w:rsid w:val="00513B90"/>
    <w:rsid w:val="00513DEA"/>
    <w:rsid w:val="00513F6A"/>
    <w:rsid w:val="0051488B"/>
    <w:rsid w:val="00514FBF"/>
    <w:rsid w:val="005157A9"/>
    <w:rsid w:val="005165DF"/>
    <w:rsid w:val="0051676C"/>
    <w:rsid w:val="00517171"/>
    <w:rsid w:val="00517178"/>
    <w:rsid w:val="00517A98"/>
    <w:rsid w:val="00517CF6"/>
    <w:rsid w:val="0052032B"/>
    <w:rsid w:val="005203A2"/>
    <w:rsid w:val="00520ABB"/>
    <w:rsid w:val="00520B79"/>
    <w:rsid w:val="00520E63"/>
    <w:rsid w:val="00521598"/>
    <w:rsid w:val="00521F0A"/>
    <w:rsid w:val="0052218C"/>
    <w:rsid w:val="00522C6F"/>
    <w:rsid w:val="005230DA"/>
    <w:rsid w:val="0052314A"/>
    <w:rsid w:val="00523829"/>
    <w:rsid w:val="00523C7F"/>
    <w:rsid w:val="00523D38"/>
    <w:rsid w:val="00523D3B"/>
    <w:rsid w:val="00523DF1"/>
    <w:rsid w:val="00524137"/>
    <w:rsid w:val="00524212"/>
    <w:rsid w:val="005245B4"/>
    <w:rsid w:val="00524CB0"/>
    <w:rsid w:val="00524DF9"/>
    <w:rsid w:val="00524F32"/>
    <w:rsid w:val="00525D7A"/>
    <w:rsid w:val="00526003"/>
    <w:rsid w:val="005260DB"/>
    <w:rsid w:val="005261E3"/>
    <w:rsid w:val="005276A0"/>
    <w:rsid w:val="00527DC8"/>
    <w:rsid w:val="00530345"/>
    <w:rsid w:val="00530BEC"/>
    <w:rsid w:val="00530C5E"/>
    <w:rsid w:val="00530F7D"/>
    <w:rsid w:val="005310E9"/>
    <w:rsid w:val="00531EBB"/>
    <w:rsid w:val="005325B0"/>
    <w:rsid w:val="00532A71"/>
    <w:rsid w:val="00532C0E"/>
    <w:rsid w:val="0053306C"/>
    <w:rsid w:val="00533609"/>
    <w:rsid w:val="005336C7"/>
    <w:rsid w:val="00533A72"/>
    <w:rsid w:val="00533FE9"/>
    <w:rsid w:val="00534794"/>
    <w:rsid w:val="00534EE4"/>
    <w:rsid w:val="00535176"/>
    <w:rsid w:val="00535BD2"/>
    <w:rsid w:val="00535E7B"/>
    <w:rsid w:val="00536582"/>
    <w:rsid w:val="00536953"/>
    <w:rsid w:val="005373DA"/>
    <w:rsid w:val="005379A4"/>
    <w:rsid w:val="00537C5F"/>
    <w:rsid w:val="00540248"/>
    <w:rsid w:val="005403FC"/>
    <w:rsid w:val="0054137C"/>
    <w:rsid w:val="00541675"/>
    <w:rsid w:val="00541DAE"/>
    <w:rsid w:val="00541DC6"/>
    <w:rsid w:val="00542C07"/>
    <w:rsid w:val="00542D92"/>
    <w:rsid w:val="00544674"/>
    <w:rsid w:val="00544ACA"/>
    <w:rsid w:val="00544B31"/>
    <w:rsid w:val="00545BD2"/>
    <w:rsid w:val="00545E83"/>
    <w:rsid w:val="00546C3B"/>
    <w:rsid w:val="00546C8A"/>
    <w:rsid w:val="00546E9B"/>
    <w:rsid w:val="005474F9"/>
    <w:rsid w:val="0055059D"/>
    <w:rsid w:val="0055097D"/>
    <w:rsid w:val="00550EC6"/>
    <w:rsid w:val="00551354"/>
    <w:rsid w:val="0055180D"/>
    <w:rsid w:val="00552379"/>
    <w:rsid w:val="00552A95"/>
    <w:rsid w:val="00552E16"/>
    <w:rsid w:val="00553156"/>
    <w:rsid w:val="00553385"/>
    <w:rsid w:val="0055339A"/>
    <w:rsid w:val="0055403C"/>
    <w:rsid w:val="00554FB1"/>
    <w:rsid w:val="00555721"/>
    <w:rsid w:val="0055672B"/>
    <w:rsid w:val="00557472"/>
    <w:rsid w:val="00557896"/>
    <w:rsid w:val="00557D64"/>
    <w:rsid w:val="005606FA"/>
    <w:rsid w:val="00560F89"/>
    <w:rsid w:val="005610D7"/>
    <w:rsid w:val="005613C3"/>
    <w:rsid w:val="00561F0E"/>
    <w:rsid w:val="0056200C"/>
    <w:rsid w:val="00562C3B"/>
    <w:rsid w:val="00562C82"/>
    <w:rsid w:val="005637E9"/>
    <w:rsid w:val="00563852"/>
    <w:rsid w:val="00563A2D"/>
    <w:rsid w:val="00563D45"/>
    <w:rsid w:val="005646E9"/>
    <w:rsid w:val="00564AFC"/>
    <w:rsid w:val="00564B32"/>
    <w:rsid w:val="00564C7D"/>
    <w:rsid w:val="0056541B"/>
    <w:rsid w:val="0056556E"/>
    <w:rsid w:val="00565FAF"/>
    <w:rsid w:val="0056753A"/>
    <w:rsid w:val="00567641"/>
    <w:rsid w:val="005679B6"/>
    <w:rsid w:val="0057043E"/>
    <w:rsid w:val="00570574"/>
    <w:rsid w:val="005719EA"/>
    <w:rsid w:val="005723C6"/>
    <w:rsid w:val="0057279D"/>
    <w:rsid w:val="005749A6"/>
    <w:rsid w:val="00574B34"/>
    <w:rsid w:val="00575D22"/>
    <w:rsid w:val="00576423"/>
    <w:rsid w:val="005767BF"/>
    <w:rsid w:val="00576902"/>
    <w:rsid w:val="00576B6F"/>
    <w:rsid w:val="0058095B"/>
    <w:rsid w:val="00582392"/>
    <w:rsid w:val="005825CA"/>
    <w:rsid w:val="00582851"/>
    <w:rsid w:val="00583191"/>
    <w:rsid w:val="005834B2"/>
    <w:rsid w:val="005841A2"/>
    <w:rsid w:val="00584F60"/>
    <w:rsid w:val="00585520"/>
    <w:rsid w:val="00585BAE"/>
    <w:rsid w:val="005864A8"/>
    <w:rsid w:val="00587188"/>
    <w:rsid w:val="005876E5"/>
    <w:rsid w:val="00590B15"/>
    <w:rsid w:val="0059135E"/>
    <w:rsid w:val="00591527"/>
    <w:rsid w:val="005915BA"/>
    <w:rsid w:val="00591783"/>
    <w:rsid w:val="00591A34"/>
    <w:rsid w:val="00591D19"/>
    <w:rsid w:val="00592794"/>
    <w:rsid w:val="00592AD6"/>
    <w:rsid w:val="0059401A"/>
    <w:rsid w:val="0059465E"/>
    <w:rsid w:val="00595B07"/>
    <w:rsid w:val="00595CAC"/>
    <w:rsid w:val="00595F18"/>
    <w:rsid w:val="0059604A"/>
    <w:rsid w:val="005962E9"/>
    <w:rsid w:val="00596D39"/>
    <w:rsid w:val="005972CB"/>
    <w:rsid w:val="005973DF"/>
    <w:rsid w:val="00597F28"/>
    <w:rsid w:val="005A12D7"/>
    <w:rsid w:val="005A16A6"/>
    <w:rsid w:val="005A17C5"/>
    <w:rsid w:val="005A1914"/>
    <w:rsid w:val="005A2A71"/>
    <w:rsid w:val="005A33A1"/>
    <w:rsid w:val="005A5068"/>
    <w:rsid w:val="005A51A9"/>
    <w:rsid w:val="005A5789"/>
    <w:rsid w:val="005A59F7"/>
    <w:rsid w:val="005A5DFB"/>
    <w:rsid w:val="005A5F95"/>
    <w:rsid w:val="005A6DB9"/>
    <w:rsid w:val="005A714D"/>
    <w:rsid w:val="005A7719"/>
    <w:rsid w:val="005A7E8C"/>
    <w:rsid w:val="005B0362"/>
    <w:rsid w:val="005B0ED9"/>
    <w:rsid w:val="005B1280"/>
    <w:rsid w:val="005B1470"/>
    <w:rsid w:val="005B19E1"/>
    <w:rsid w:val="005B1B84"/>
    <w:rsid w:val="005B1D5A"/>
    <w:rsid w:val="005B1E22"/>
    <w:rsid w:val="005B27A4"/>
    <w:rsid w:val="005B309B"/>
    <w:rsid w:val="005B3897"/>
    <w:rsid w:val="005B3EDF"/>
    <w:rsid w:val="005B467E"/>
    <w:rsid w:val="005B46D9"/>
    <w:rsid w:val="005B4D2F"/>
    <w:rsid w:val="005B5A8C"/>
    <w:rsid w:val="005B5CBF"/>
    <w:rsid w:val="005B5D6B"/>
    <w:rsid w:val="005C01B9"/>
    <w:rsid w:val="005C0DB9"/>
    <w:rsid w:val="005C151A"/>
    <w:rsid w:val="005C177C"/>
    <w:rsid w:val="005C19B1"/>
    <w:rsid w:val="005C1EC7"/>
    <w:rsid w:val="005C21F8"/>
    <w:rsid w:val="005C2687"/>
    <w:rsid w:val="005C2B07"/>
    <w:rsid w:val="005C2FB3"/>
    <w:rsid w:val="005C3029"/>
    <w:rsid w:val="005C3216"/>
    <w:rsid w:val="005C3DEC"/>
    <w:rsid w:val="005C4505"/>
    <w:rsid w:val="005C464A"/>
    <w:rsid w:val="005C4D61"/>
    <w:rsid w:val="005C4DFC"/>
    <w:rsid w:val="005C52CE"/>
    <w:rsid w:val="005C573C"/>
    <w:rsid w:val="005C57AF"/>
    <w:rsid w:val="005C5C65"/>
    <w:rsid w:val="005C5F79"/>
    <w:rsid w:val="005C616B"/>
    <w:rsid w:val="005C63E8"/>
    <w:rsid w:val="005C7C6A"/>
    <w:rsid w:val="005D0359"/>
    <w:rsid w:val="005D0FB5"/>
    <w:rsid w:val="005D10C0"/>
    <w:rsid w:val="005D1FC8"/>
    <w:rsid w:val="005D308A"/>
    <w:rsid w:val="005D3798"/>
    <w:rsid w:val="005D40CE"/>
    <w:rsid w:val="005D4508"/>
    <w:rsid w:val="005D49C8"/>
    <w:rsid w:val="005D5201"/>
    <w:rsid w:val="005D5447"/>
    <w:rsid w:val="005D578C"/>
    <w:rsid w:val="005D5BAA"/>
    <w:rsid w:val="005D6E98"/>
    <w:rsid w:val="005D7CBA"/>
    <w:rsid w:val="005D7F3D"/>
    <w:rsid w:val="005E02F3"/>
    <w:rsid w:val="005E0763"/>
    <w:rsid w:val="005E0974"/>
    <w:rsid w:val="005E0CD6"/>
    <w:rsid w:val="005E1195"/>
    <w:rsid w:val="005E1C21"/>
    <w:rsid w:val="005E1EED"/>
    <w:rsid w:val="005E2AFF"/>
    <w:rsid w:val="005E345C"/>
    <w:rsid w:val="005E3973"/>
    <w:rsid w:val="005E3B1E"/>
    <w:rsid w:val="005E4CC9"/>
    <w:rsid w:val="005E4DFF"/>
    <w:rsid w:val="005E5077"/>
    <w:rsid w:val="005E5093"/>
    <w:rsid w:val="005E56F1"/>
    <w:rsid w:val="005E6C34"/>
    <w:rsid w:val="005F00F2"/>
    <w:rsid w:val="005F0B1D"/>
    <w:rsid w:val="005F0E9B"/>
    <w:rsid w:val="005F1655"/>
    <w:rsid w:val="005F2317"/>
    <w:rsid w:val="005F3141"/>
    <w:rsid w:val="005F32E6"/>
    <w:rsid w:val="005F4161"/>
    <w:rsid w:val="005F43F7"/>
    <w:rsid w:val="005F4485"/>
    <w:rsid w:val="005F48E6"/>
    <w:rsid w:val="005F49C5"/>
    <w:rsid w:val="005F4B9F"/>
    <w:rsid w:val="005F4D78"/>
    <w:rsid w:val="005F5018"/>
    <w:rsid w:val="005F51C1"/>
    <w:rsid w:val="005F53A0"/>
    <w:rsid w:val="005F5D5A"/>
    <w:rsid w:val="005F5FF3"/>
    <w:rsid w:val="005F68F9"/>
    <w:rsid w:val="0060000F"/>
    <w:rsid w:val="006005E6"/>
    <w:rsid w:val="00600BA1"/>
    <w:rsid w:val="00600CD4"/>
    <w:rsid w:val="006011A4"/>
    <w:rsid w:val="00601595"/>
    <w:rsid w:val="00601B01"/>
    <w:rsid w:val="00601B94"/>
    <w:rsid w:val="006024F0"/>
    <w:rsid w:val="00602C03"/>
    <w:rsid w:val="0060311E"/>
    <w:rsid w:val="006031A7"/>
    <w:rsid w:val="0060441A"/>
    <w:rsid w:val="00604507"/>
    <w:rsid w:val="0060457A"/>
    <w:rsid w:val="006047E6"/>
    <w:rsid w:val="006047F6"/>
    <w:rsid w:val="00605300"/>
    <w:rsid w:val="006074BD"/>
    <w:rsid w:val="00607570"/>
    <w:rsid w:val="00607B72"/>
    <w:rsid w:val="006102EF"/>
    <w:rsid w:val="00611148"/>
    <w:rsid w:val="006116F4"/>
    <w:rsid w:val="00612023"/>
    <w:rsid w:val="00612952"/>
    <w:rsid w:val="0061299C"/>
    <w:rsid w:val="00612E31"/>
    <w:rsid w:val="00612E36"/>
    <w:rsid w:val="00613815"/>
    <w:rsid w:val="006138A2"/>
    <w:rsid w:val="00613C69"/>
    <w:rsid w:val="00614089"/>
    <w:rsid w:val="00614ABB"/>
    <w:rsid w:val="00615552"/>
    <w:rsid w:val="0061586A"/>
    <w:rsid w:val="006173CE"/>
    <w:rsid w:val="00617F70"/>
    <w:rsid w:val="00620674"/>
    <w:rsid w:val="006207F6"/>
    <w:rsid w:val="006210B1"/>
    <w:rsid w:val="006211FB"/>
    <w:rsid w:val="00621B6D"/>
    <w:rsid w:val="00621DC3"/>
    <w:rsid w:val="00622759"/>
    <w:rsid w:val="00622D63"/>
    <w:rsid w:val="00623750"/>
    <w:rsid w:val="006240BB"/>
    <w:rsid w:val="00624355"/>
    <w:rsid w:val="006243D1"/>
    <w:rsid w:val="00624564"/>
    <w:rsid w:val="006258A8"/>
    <w:rsid w:val="00625AD1"/>
    <w:rsid w:val="00625C5A"/>
    <w:rsid w:val="0062766B"/>
    <w:rsid w:val="00627986"/>
    <w:rsid w:val="00627ACF"/>
    <w:rsid w:val="006301C2"/>
    <w:rsid w:val="006304C6"/>
    <w:rsid w:val="00630614"/>
    <w:rsid w:val="00630ED3"/>
    <w:rsid w:val="00631713"/>
    <w:rsid w:val="00631CB1"/>
    <w:rsid w:val="006323C1"/>
    <w:rsid w:val="00632917"/>
    <w:rsid w:val="00633E3F"/>
    <w:rsid w:val="00633FA7"/>
    <w:rsid w:val="006341A5"/>
    <w:rsid w:val="006342B5"/>
    <w:rsid w:val="00634882"/>
    <w:rsid w:val="00634A84"/>
    <w:rsid w:val="00634C7A"/>
    <w:rsid w:val="00635131"/>
    <w:rsid w:val="00636157"/>
    <w:rsid w:val="006362D7"/>
    <w:rsid w:val="0063686F"/>
    <w:rsid w:val="00636C75"/>
    <w:rsid w:val="00636F36"/>
    <w:rsid w:val="00636FCF"/>
    <w:rsid w:val="0063705A"/>
    <w:rsid w:val="00637127"/>
    <w:rsid w:val="0063756B"/>
    <w:rsid w:val="00637AAD"/>
    <w:rsid w:val="00637DE0"/>
    <w:rsid w:val="0064017A"/>
    <w:rsid w:val="006401C0"/>
    <w:rsid w:val="00640465"/>
    <w:rsid w:val="0064092F"/>
    <w:rsid w:val="00640BB1"/>
    <w:rsid w:val="0064101E"/>
    <w:rsid w:val="0064126A"/>
    <w:rsid w:val="0064206F"/>
    <w:rsid w:val="006430B6"/>
    <w:rsid w:val="00643346"/>
    <w:rsid w:val="006433BF"/>
    <w:rsid w:val="00643401"/>
    <w:rsid w:val="00643B60"/>
    <w:rsid w:val="00644D66"/>
    <w:rsid w:val="006458F6"/>
    <w:rsid w:val="006467B2"/>
    <w:rsid w:val="0064691B"/>
    <w:rsid w:val="006479B9"/>
    <w:rsid w:val="006479D6"/>
    <w:rsid w:val="00647F4C"/>
    <w:rsid w:val="00647FD0"/>
    <w:rsid w:val="00650607"/>
    <w:rsid w:val="006525FA"/>
    <w:rsid w:val="00652DC4"/>
    <w:rsid w:val="00652E37"/>
    <w:rsid w:val="00653608"/>
    <w:rsid w:val="00653840"/>
    <w:rsid w:val="006541D3"/>
    <w:rsid w:val="0065443F"/>
    <w:rsid w:val="00655044"/>
    <w:rsid w:val="0065569A"/>
    <w:rsid w:val="006557BA"/>
    <w:rsid w:val="00656E22"/>
    <w:rsid w:val="0065713F"/>
    <w:rsid w:val="0065717E"/>
    <w:rsid w:val="006576E3"/>
    <w:rsid w:val="00657D70"/>
    <w:rsid w:val="006605FC"/>
    <w:rsid w:val="0066098F"/>
    <w:rsid w:val="006609AF"/>
    <w:rsid w:val="00660E5C"/>
    <w:rsid w:val="0066171E"/>
    <w:rsid w:val="00661967"/>
    <w:rsid w:val="006623A7"/>
    <w:rsid w:val="0066263C"/>
    <w:rsid w:val="0066288D"/>
    <w:rsid w:val="00662A67"/>
    <w:rsid w:val="00662A72"/>
    <w:rsid w:val="00663678"/>
    <w:rsid w:val="00663CDE"/>
    <w:rsid w:val="00664A9E"/>
    <w:rsid w:val="006651E2"/>
    <w:rsid w:val="006659D9"/>
    <w:rsid w:val="00666923"/>
    <w:rsid w:val="00666BB2"/>
    <w:rsid w:val="006672A3"/>
    <w:rsid w:val="006672F7"/>
    <w:rsid w:val="006677AA"/>
    <w:rsid w:val="0067046D"/>
    <w:rsid w:val="0067060A"/>
    <w:rsid w:val="006719B7"/>
    <w:rsid w:val="00671B36"/>
    <w:rsid w:val="00673231"/>
    <w:rsid w:val="00673895"/>
    <w:rsid w:val="00673A04"/>
    <w:rsid w:val="00673E3D"/>
    <w:rsid w:val="006742A3"/>
    <w:rsid w:val="006747A7"/>
    <w:rsid w:val="00675144"/>
    <w:rsid w:val="00675D9C"/>
    <w:rsid w:val="00676D2B"/>
    <w:rsid w:val="00676F06"/>
    <w:rsid w:val="006800D0"/>
    <w:rsid w:val="00680FE9"/>
    <w:rsid w:val="006814B9"/>
    <w:rsid w:val="00681562"/>
    <w:rsid w:val="00681EC6"/>
    <w:rsid w:val="00681F66"/>
    <w:rsid w:val="006839A2"/>
    <w:rsid w:val="00683DCE"/>
    <w:rsid w:val="00684C93"/>
    <w:rsid w:val="00684D27"/>
    <w:rsid w:val="006850F6"/>
    <w:rsid w:val="006859E9"/>
    <w:rsid w:val="006860AD"/>
    <w:rsid w:val="006863EB"/>
    <w:rsid w:val="006868FA"/>
    <w:rsid w:val="00687BEF"/>
    <w:rsid w:val="00690563"/>
    <w:rsid w:val="006908B8"/>
    <w:rsid w:val="00691563"/>
    <w:rsid w:val="006918BA"/>
    <w:rsid w:val="00692D9C"/>
    <w:rsid w:val="00694796"/>
    <w:rsid w:val="00694B6B"/>
    <w:rsid w:val="00694D02"/>
    <w:rsid w:val="00695AF6"/>
    <w:rsid w:val="00695FBD"/>
    <w:rsid w:val="0069649A"/>
    <w:rsid w:val="00697000"/>
    <w:rsid w:val="00697250"/>
    <w:rsid w:val="0069733B"/>
    <w:rsid w:val="0069769F"/>
    <w:rsid w:val="00697D03"/>
    <w:rsid w:val="00697D8E"/>
    <w:rsid w:val="006A05F8"/>
    <w:rsid w:val="006A087A"/>
    <w:rsid w:val="006A0FFA"/>
    <w:rsid w:val="006A1B3D"/>
    <w:rsid w:val="006A2B76"/>
    <w:rsid w:val="006A2E93"/>
    <w:rsid w:val="006A31C4"/>
    <w:rsid w:val="006A35DC"/>
    <w:rsid w:val="006A37FA"/>
    <w:rsid w:val="006A39F2"/>
    <w:rsid w:val="006A3B8F"/>
    <w:rsid w:val="006A3F64"/>
    <w:rsid w:val="006A4179"/>
    <w:rsid w:val="006A4576"/>
    <w:rsid w:val="006A4980"/>
    <w:rsid w:val="006A4D82"/>
    <w:rsid w:val="006A502B"/>
    <w:rsid w:val="006A564B"/>
    <w:rsid w:val="006A688C"/>
    <w:rsid w:val="006A69D7"/>
    <w:rsid w:val="006A7C11"/>
    <w:rsid w:val="006B01EC"/>
    <w:rsid w:val="006B0628"/>
    <w:rsid w:val="006B096C"/>
    <w:rsid w:val="006B0C5F"/>
    <w:rsid w:val="006B11FA"/>
    <w:rsid w:val="006B1657"/>
    <w:rsid w:val="006B1EA1"/>
    <w:rsid w:val="006B1EAD"/>
    <w:rsid w:val="006B300E"/>
    <w:rsid w:val="006B35C5"/>
    <w:rsid w:val="006B3886"/>
    <w:rsid w:val="006B47FA"/>
    <w:rsid w:val="006B5217"/>
    <w:rsid w:val="006B52D1"/>
    <w:rsid w:val="006B5392"/>
    <w:rsid w:val="006B5584"/>
    <w:rsid w:val="006B65FD"/>
    <w:rsid w:val="006B6C44"/>
    <w:rsid w:val="006B719C"/>
    <w:rsid w:val="006C0350"/>
    <w:rsid w:val="006C0809"/>
    <w:rsid w:val="006C1C23"/>
    <w:rsid w:val="006C1CFF"/>
    <w:rsid w:val="006C2009"/>
    <w:rsid w:val="006C2059"/>
    <w:rsid w:val="006C2C43"/>
    <w:rsid w:val="006C2D84"/>
    <w:rsid w:val="006C2EA2"/>
    <w:rsid w:val="006C3236"/>
    <w:rsid w:val="006C3567"/>
    <w:rsid w:val="006C3F03"/>
    <w:rsid w:val="006C4B15"/>
    <w:rsid w:val="006C4E7F"/>
    <w:rsid w:val="006C50D3"/>
    <w:rsid w:val="006C51FF"/>
    <w:rsid w:val="006C5A35"/>
    <w:rsid w:val="006C6336"/>
    <w:rsid w:val="006C633B"/>
    <w:rsid w:val="006C6B0C"/>
    <w:rsid w:val="006C7236"/>
    <w:rsid w:val="006C741D"/>
    <w:rsid w:val="006C76C2"/>
    <w:rsid w:val="006D0326"/>
    <w:rsid w:val="006D0C34"/>
    <w:rsid w:val="006D152A"/>
    <w:rsid w:val="006D27DB"/>
    <w:rsid w:val="006D2E37"/>
    <w:rsid w:val="006D325C"/>
    <w:rsid w:val="006D3370"/>
    <w:rsid w:val="006D4D4F"/>
    <w:rsid w:val="006D51C8"/>
    <w:rsid w:val="006D529B"/>
    <w:rsid w:val="006D5394"/>
    <w:rsid w:val="006D5A68"/>
    <w:rsid w:val="006D5AD1"/>
    <w:rsid w:val="006D5B26"/>
    <w:rsid w:val="006D6186"/>
    <w:rsid w:val="006D64D0"/>
    <w:rsid w:val="006D76B6"/>
    <w:rsid w:val="006D7DF7"/>
    <w:rsid w:val="006D7FAD"/>
    <w:rsid w:val="006E06CB"/>
    <w:rsid w:val="006E1395"/>
    <w:rsid w:val="006E1E68"/>
    <w:rsid w:val="006E1FFF"/>
    <w:rsid w:val="006E27F8"/>
    <w:rsid w:val="006E2C0F"/>
    <w:rsid w:val="006E32DF"/>
    <w:rsid w:val="006E34F8"/>
    <w:rsid w:val="006E39D7"/>
    <w:rsid w:val="006E3AD7"/>
    <w:rsid w:val="006E467A"/>
    <w:rsid w:val="006E4FDB"/>
    <w:rsid w:val="006E555C"/>
    <w:rsid w:val="006E5634"/>
    <w:rsid w:val="006E56DE"/>
    <w:rsid w:val="006E648E"/>
    <w:rsid w:val="006E666F"/>
    <w:rsid w:val="006E67F9"/>
    <w:rsid w:val="006E699D"/>
    <w:rsid w:val="006E69DF"/>
    <w:rsid w:val="006E6A0D"/>
    <w:rsid w:val="006E6EF2"/>
    <w:rsid w:val="006E798D"/>
    <w:rsid w:val="006E7D69"/>
    <w:rsid w:val="006F0456"/>
    <w:rsid w:val="006F052A"/>
    <w:rsid w:val="006F0B3C"/>
    <w:rsid w:val="006F0DA2"/>
    <w:rsid w:val="006F0E3E"/>
    <w:rsid w:val="006F19AF"/>
    <w:rsid w:val="006F232A"/>
    <w:rsid w:val="006F24C6"/>
    <w:rsid w:val="006F3697"/>
    <w:rsid w:val="006F3CD9"/>
    <w:rsid w:val="006F4163"/>
    <w:rsid w:val="006F4274"/>
    <w:rsid w:val="006F4479"/>
    <w:rsid w:val="006F4793"/>
    <w:rsid w:val="006F4991"/>
    <w:rsid w:val="006F49D5"/>
    <w:rsid w:val="006F50D7"/>
    <w:rsid w:val="006F5242"/>
    <w:rsid w:val="006F5CDD"/>
    <w:rsid w:val="006F7A8E"/>
    <w:rsid w:val="006F7AEF"/>
    <w:rsid w:val="00700DFB"/>
    <w:rsid w:val="007010C3"/>
    <w:rsid w:val="007010FB"/>
    <w:rsid w:val="00701733"/>
    <w:rsid w:val="00701E06"/>
    <w:rsid w:val="00701EB1"/>
    <w:rsid w:val="007029F5"/>
    <w:rsid w:val="0070353D"/>
    <w:rsid w:val="00703D38"/>
    <w:rsid w:val="0070461A"/>
    <w:rsid w:val="00704923"/>
    <w:rsid w:val="007055D6"/>
    <w:rsid w:val="0070568A"/>
    <w:rsid w:val="00706840"/>
    <w:rsid w:val="0070684F"/>
    <w:rsid w:val="007071EE"/>
    <w:rsid w:val="007073E4"/>
    <w:rsid w:val="007076C9"/>
    <w:rsid w:val="0071013D"/>
    <w:rsid w:val="00710753"/>
    <w:rsid w:val="0071090E"/>
    <w:rsid w:val="007118B6"/>
    <w:rsid w:val="00712882"/>
    <w:rsid w:val="00712895"/>
    <w:rsid w:val="00712986"/>
    <w:rsid w:val="0071298D"/>
    <w:rsid w:val="00712F97"/>
    <w:rsid w:val="00712FCD"/>
    <w:rsid w:val="00713047"/>
    <w:rsid w:val="00714288"/>
    <w:rsid w:val="007142AD"/>
    <w:rsid w:val="00714938"/>
    <w:rsid w:val="00714E3D"/>
    <w:rsid w:val="00715505"/>
    <w:rsid w:val="00715F4B"/>
    <w:rsid w:val="0071610E"/>
    <w:rsid w:val="007167E1"/>
    <w:rsid w:val="00716BA5"/>
    <w:rsid w:val="007176E1"/>
    <w:rsid w:val="00717880"/>
    <w:rsid w:val="00717DCF"/>
    <w:rsid w:val="00717F47"/>
    <w:rsid w:val="0072194B"/>
    <w:rsid w:val="00722043"/>
    <w:rsid w:val="0072294C"/>
    <w:rsid w:val="00722A2E"/>
    <w:rsid w:val="0072398A"/>
    <w:rsid w:val="00723B1A"/>
    <w:rsid w:val="007244BC"/>
    <w:rsid w:val="00725B3E"/>
    <w:rsid w:val="00725C17"/>
    <w:rsid w:val="0072641A"/>
    <w:rsid w:val="00726686"/>
    <w:rsid w:val="00727349"/>
    <w:rsid w:val="0072742A"/>
    <w:rsid w:val="00727934"/>
    <w:rsid w:val="00727B7A"/>
    <w:rsid w:val="00727E98"/>
    <w:rsid w:val="00727FFB"/>
    <w:rsid w:val="00730397"/>
    <w:rsid w:val="0073045F"/>
    <w:rsid w:val="007307CD"/>
    <w:rsid w:val="007312FD"/>
    <w:rsid w:val="00731431"/>
    <w:rsid w:val="00731789"/>
    <w:rsid w:val="007317D9"/>
    <w:rsid w:val="00731A0B"/>
    <w:rsid w:val="007320B7"/>
    <w:rsid w:val="007320F1"/>
    <w:rsid w:val="0073236A"/>
    <w:rsid w:val="0073249A"/>
    <w:rsid w:val="007329E1"/>
    <w:rsid w:val="007345DF"/>
    <w:rsid w:val="00734856"/>
    <w:rsid w:val="00734F19"/>
    <w:rsid w:val="00734F61"/>
    <w:rsid w:val="007363CF"/>
    <w:rsid w:val="00736BA0"/>
    <w:rsid w:val="00736D3C"/>
    <w:rsid w:val="00737105"/>
    <w:rsid w:val="00737826"/>
    <w:rsid w:val="00737BDE"/>
    <w:rsid w:val="00737E9B"/>
    <w:rsid w:val="00737EAC"/>
    <w:rsid w:val="00737FB6"/>
    <w:rsid w:val="0074026B"/>
    <w:rsid w:val="0074097E"/>
    <w:rsid w:val="00741045"/>
    <w:rsid w:val="007412DF"/>
    <w:rsid w:val="0074175F"/>
    <w:rsid w:val="007418D3"/>
    <w:rsid w:val="007423CF"/>
    <w:rsid w:val="00742536"/>
    <w:rsid w:val="007428CB"/>
    <w:rsid w:val="007437DA"/>
    <w:rsid w:val="00743D1A"/>
    <w:rsid w:val="007445D0"/>
    <w:rsid w:val="0074497A"/>
    <w:rsid w:val="00744E45"/>
    <w:rsid w:val="00745295"/>
    <w:rsid w:val="007455CA"/>
    <w:rsid w:val="00745718"/>
    <w:rsid w:val="0074643B"/>
    <w:rsid w:val="00747F05"/>
    <w:rsid w:val="00750CB9"/>
    <w:rsid w:val="00751291"/>
    <w:rsid w:val="00751296"/>
    <w:rsid w:val="007517CE"/>
    <w:rsid w:val="00751A6E"/>
    <w:rsid w:val="007520E3"/>
    <w:rsid w:val="00752AD3"/>
    <w:rsid w:val="00752DD8"/>
    <w:rsid w:val="00752EB3"/>
    <w:rsid w:val="00753DB4"/>
    <w:rsid w:val="00753EAB"/>
    <w:rsid w:val="00754DDB"/>
    <w:rsid w:val="007551CF"/>
    <w:rsid w:val="00755246"/>
    <w:rsid w:val="0075583B"/>
    <w:rsid w:val="00755B28"/>
    <w:rsid w:val="00755D69"/>
    <w:rsid w:val="0075778B"/>
    <w:rsid w:val="00757A5B"/>
    <w:rsid w:val="00757F9A"/>
    <w:rsid w:val="00757FAD"/>
    <w:rsid w:val="00760384"/>
    <w:rsid w:val="00760DF5"/>
    <w:rsid w:val="00761FA1"/>
    <w:rsid w:val="0076294A"/>
    <w:rsid w:val="00762EF9"/>
    <w:rsid w:val="00762F73"/>
    <w:rsid w:val="00763242"/>
    <w:rsid w:val="00763379"/>
    <w:rsid w:val="00763FA7"/>
    <w:rsid w:val="0076468D"/>
    <w:rsid w:val="00764859"/>
    <w:rsid w:val="00764A23"/>
    <w:rsid w:val="007651A2"/>
    <w:rsid w:val="007658E8"/>
    <w:rsid w:val="00765DFE"/>
    <w:rsid w:val="00765F9B"/>
    <w:rsid w:val="0076627F"/>
    <w:rsid w:val="00766950"/>
    <w:rsid w:val="00766B58"/>
    <w:rsid w:val="0076756B"/>
    <w:rsid w:val="00767915"/>
    <w:rsid w:val="00767AC9"/>
    <w:rsid w:val="00770BD4"/>
    <w:rsid w:val="007714E0"/>
    <w:rsid w:val="00771CAB"/>
    <w:rsid w:val="00772216"/>
    <w:rsid w:val="00772254"/>
    <w:rsid w:val="007729CE"/>
    <w:rsid w:val="00772BBD"/>
    <w:rsid w:val="00773FEE"/>
    <w:rsid w:val="007743BF"/>
    <w:rsid w:val="00774BE7"/>
    <w:rsid w:val="00774DC4"/>
    <w:rsid w:val="00775919"/>
    <w:rsid w:val="00775AA7"/>
    <w:rsid w:val="00775C50"/>
    <w:rsid w:val="00775CCC"/>
    <w:rsid w:val="00776CAC"/>
    <w:rsid w:val="007776AD"/>
    <w:rsid w:val="00777787"/>
    <w:rsid w:val="00780420"/>
    <w:rsid w:val="0078106C"/>
    <w:rsid w:val="00781137"/>
    <w:rsid w:val="00781E14"/>
    <w:rsid w:val="007820D3"/>
    <w:rsid w:val="0078237F"/>
    <w:rsid w:val="007826CD"/>
    <w:rsid w:val="00782737"/>
    <w:rsid w:val="0078303C"/>
    <w:rsid w:val="007830FD"/>
    <w:rsid w:val="0078344B"/>
    <w:rsid w:val="00783FE6"/>
    <w:rsid w:val="00784877"/>
    <w:rsid w:val="007849FB"/>
    <w:rsid w:val="00785057"/>
    <w:rsid w:val="0078513A"/>
    <w:rsid w:val="007853DC"/>
    <w:rsid w:val="00785BCC"/>
    <w:rsid w:val="00785BE2"/>
    <w:rsid w:val="007865B2"/>
    <w:rsid w:val="007865E8"/>
    <w:rsid w:val="00786879"/>
    <w:rsid w:val="007868CF"/>
    <w:rsid w:val="00786949"/>
    <w:rsid w:val="00786E10"/>
    <w:rsid w:val="00787409"/>
    <w:rsid w:val="00787446"/>
    <w:rsid w:val="00787A66"/>
    <w:rsid w:val="00790192"/>
    <w:rsid w:val="00790621"/>
    <w:rsid w:val="0079081B"/>
    <w:rsid w:val="00791285"/>
    <w:rsid w:val="00791C2C"/>
    <w:rsid w:val="00794376"/>
    <w:rsid w:val="0079483B"/>
    <w:rsid w:val="00794D83"/>
    <w:rsid w:val="00794EEB"/>
    <w:rsid w:val="00794F8C"/>
    <w:rsid w:val="007954DE"/>
    <w:rsid w:val="007959A9"/>
    <w:rsid w:val="007963C9"/>
    <w:rsid w:val="007965FB"/>
    <w:rsid w:val="007974D1"/>
    <w:rsid w:val="007A079D"/>
    <w:rsid w:val="007A0AB3"/>
    <w:rsid w:val="007A1BB8"/>
    <w:rsid w:val="007A1C56"/>
    <w:rsid w:val="007A1F06"/>
    <w:rsid w:val="007A1F7A"/>
    <w:rsid w:val="007A2973"/>
    <w:rsid w:val="007A39C4"/>
    <w:rsid w:val="007A3A12"/>
    <w:rsid w:val="007A4A8C"/>
    <w:rsid w:val="007A5788"/>
    <w:rsid w:val="007A61CD"/>
    <w:rsid w:val="007A6E4D"/>
    <w:rsid w:val="007A710E"/>
    <w:rsid w:val="007A74FB"/>
    <w:rsid w:val="007A75F2"/>
    <w:rsid w:val="007A76FA"/>
    <w:rsid w:val="007A7B70"/>
    <w:rsid w:val="007A7BF3"/>
    <w:rsid w:val="007B04F2"/>
    <w:rsid w:val="007B0D3B"/>
    <w:rsid w:val="007B17CF"/>
    <w:rsid w:val="007B1DB3"/>
    <w:rsid w:val="007B1E27"/>
    <w:rsid w:val="007B212D"/>
    <w:rsid w:val="007B2568"/>
    <w:rsid w:val="007B275D"/>
    <w:rsid w:val="007B2999"/>
    <w:rsid w:val="007B2B77"/>
    <w:rsid w:val="007B2CF8"/>
    <w:rsid w:val="007B40A9"/>
    <w:rsid w:val="007B4484"/>
    <w:rsid w:val="007B4B5A"/>
    <w:rsid w:val="007B4DD7"/>
    <w:rsid w:val="007B4DE0"/>
    <w:rsid w:val="007B540F"/>
    <w:rsid w:val="007B57FA"/>
    <w:rsid w:val="007B6AD2"/>
    <w:rsid w:val="007B6B32"/>
    <w:rsid w:val="007B715B"/>
    <w:rsid w:val="007B7E5E"/>
    <w:rsid w:val="007B7F30"/>
    <w:rsid w:val="007C0DEE"/>
    <w:rsid w:val="007C0FEA"/>
    <w:rsid w:val="007C1DBE"/>
    <w:rsid w:val="007C1E0E"/>
    <w:rsid w:val="007C2697"/>
    <w:rsid w:val="007C3482"/>
    <w:rsid w:val="007C45C5"/>
    <w:rsid w:val="007C4D16"/>
    <w:rsid w:val="007C5A91"/>
    <w:rsid w:val="007C5D3E"/>
    <w:rsid w:val="007C5E9F"/>
    <w:rsid w:val="007C6063"/>
    <w:rsid w:val="007C6069"/>
    <w:rsid w:val="007C623B"/>
    <w:rsid w:val="007C6C26"/>
    <w:rsid w:val="007C70D7"/>
    <w:rsid w:val="007C7DE0"/>
    <w:rsid w:val="007D082B"/>
    <w:rsid w:val="007D0B56"/>
    <w:rsid w:val="007D127D"/>
    <w:rsid w:val="007D2728"/>
    <w:rsid w:val="007D28C2"/>
    <w:rsid w:val="007D29D7"/>
    <w:rsid w:val="007D2BD6"/>
    <w:rsid w:val="007D3827"/>
    <w:rsid w:val="007D3A20"/>
    <w:rsid w:val="007D4064"/>
    <w:rsid w:val="007D5992"/>
    <w:rsid w:val="007D5C7A"/>
    <w:rsid w:val="007D6B80"/>
    <w:rsid w:val="007D711B"/>
    <w:rsid w:val="007D7412"/>
    <w:rsid w:val="007D77E6"/>
    <w:rsid w:val="007E0337"/>
    <w:rsid w:val="007E1530"/>
    <w:rsid w:val="007E15EC"/>
    <w:rsid w:val="007E172A"/>
    <w:rsid w:val="007E1A8B"/>
    <w:rsid w:val="007E1F5D"/>
    <w:rsid w:val="007E323E"/>
    <w:rsid w:val="007E3867"/>
    <w:rsid w:val="007E4CAA"/>
    <w:rsid w:val="007E4D81"/>
    <w:rsid w:val="007E4DC9"/>
    <w:rsid w:val="007E4E5D"/>
    <w:rsid w:val="007E58C8"/>
    <w:rsid w:val="007E5AB0"/>
    <w:rsid w:val="007E5F08"/>
    <w:rsid w:val="007E6A05"/>
    <w:rsid w:val="007E6E93"/>
    <w:rsid w:val="007E6F8D"/>
    <w:rsid w:val="007E799D"/>
    <w:rsid w:val="007E7FAA"/>
    <w:rsid w:val="007F04DF"/>
    <w:rsid w:val="007F123E"/>
    <w:rsid w:val="007F150E"/>
    <w:rsid w:val="007F1A45"/>
    <w:rsid w:val="007F21FB"/>
    <w:rsid w:val="007F27C1"/>
    <w:rsid w:val="007F2936"/>
    <w:rsid w:val="007F295C"/>
    <w:rsid w:val="007F3B5C"/>
    <w:rsid w:val="007F47DF"/>
    <w:rsid w:val="007F48F1"/>
    <w:rsid w:val="007F5065"/>
    <w:rsid w:val="007F5120"/>
    <w:rsid w:val="007F51BB"/>
    <w:rsid w:val="007F55C0"/>
    <w:rsid w:val="007F6627"/>
    <w:rsid w:val="007F6B7B"/>
    <w:rsid w:val="007F6BED"/>
    <w:rsid w:val="007F7A17"/>
    <w:rsid w:val="008000E0"/>
    <w:rsid w:val="00800BD8"/>
    <w:rsid w:val="00800C53"/>
    <w:rsid w:val="00801117"/>
    <w:rsid w:val="0080134E"/>
    <w:rsid w:val="0080236E"/>
    <w:rsid w:val="00803A7D"/>
    <w:rsid w:val="008040A6"/>
    <w:rsid w:val="00804257"/>
    <w:rsid w:val="008042E3"/>
    <w:rsid w:val="008044CB"/>
    <w:rsid w:val="00804AD0"/>
    <w:rsid w:val="008052C1"/>
    <w:rsid w:val="00805735"/>
    <w:rsid w:val="00805A96"/>
    <w:rsid w:val="00805B52"/>
    <w:rsid w:val="00806599"/>
    <w:rsid w:val="00807099"/>
    <w:rsid w:val="00807214"/>
    <w:rsid w:val="00807848"/>
    <w:rsid w:val="00807F1B"/>
    <w:rsid w:val="0081027C"/>
    <w:rsid w:val="00810577"/>
    <w:rsid w:val="00810D84"/>
    <w:rsid w:val="008118DC"/>
    <w:rsid w:val="00811A69"/>
    <w:rsid w:val="00812EEA"/>
    <w:rsid w:val="008134FF"/>
    <w:rsid w:val="008148EF"/>
    <w:rsid w:val="00814DE7"/>
    <w:rsid w:val="00814E39"/>
    <w:rsid w:val="00815B58"/>
    <w:rsid w:val="00815EE4"/>
    <w:rsid w:val="00815FA5"/>
    <w:rsid w:val="00816D26"/>
    <w:rsid w:val="00816DEB"/>
    <w:rsid w:val="00816FEB"/>
    <w:rsid w:val="00817464"/>
    <w:rsid w:val="0081773C"/>
    <w:rsid w:val="00817B23"/>
    <w:rsid w:val="00817CEB"/>
    <w:rsid w:val="00820275"/>
    <w:rsid w:val="008225ED"/>
    <w:rsid w:val="00822761"/>
    <w:rsid w:val="00822B02"/>
    <w:rsid w:val="00822FCB"/>
    <w:rsid w:val="0082343C"/>
    <w:rsid w:val="008235F0"/>
    <w:rsid w:val="00823E6B"/>
    <w:rsid w:val="00823E78"/>
    <w:rsid w:val="008243C8"/>
    <w:rsid w:val="00824D9E"/>
    <w:rsid w:val="00825771"/>
    <w:rsid w:val="00825B96"/>
    <w:rsid w:val="00826AAD"/>
    <w:rsid w:val="00826E13"/>
    <w:rsid w:val="008270F2"/>
    <w:rsid w:val="008275BF"/>
    <w:rsid w:val="00827F1C"/>
    <w:rsid w:val="00827FB9"/>
    <w:rsid w:val="008305A3"/>
    <w:rsid w:val="00830891"/>
    <w:rsid w:val="00831000"/>
    <w:rsid w:val="0083123F"/>
    <w:rsid w:val="00831817"/>
    <w:rsid w:val="00832208"/>
    <w:rsid w:val="008324E9"/>
    <w:rsid w:val="00832964"/>
    <w:rsid w:val="00832D3F"/>
    <w:rsid w:val="008330C7"/>
    <w:rsid w:val="00834B56"/>
    <w:rsid w:val="00834FE7"/>
    <w:rsid w:val="00835457"/>
    <w:rsid w:val="008356C7"/>
    <w:rsid w:val="008359C2"/>
    <w:rsid w:val="00835AF2"/>
    <w:rsid w:val="00835E5D"/>
    <w:rsid w:val="00835EA9"/>
    <w:rsid w:val="008360E2"/>
    <w:rsid w:val="008360E9"/>
    <w:rsid w:val="00836577"/>
    <w:rsid w:val="00837576"/>
    <w:rsid w:val="00837DD0"/>
    <w:rsid w:val="00837E4D"/>
    <w:rsid w:val="00840E00"/>
    <w:rsid w:val="00841029"/>
    <w:rsid w:val="008410C2"/>
    <w:rsid w:val="008411FB"/>
    <w:rsid w:val="0084167C"/>
    <w:rsid w:val="00841943"/>
    <w:rsid w:val="00842BF1"/>
    <w:rsid w:val="00843C01"/>
    <w:rsid w:val="00845246"/>
    <w:rsid w:val="00845304"/>
    <w:rsid w:val="00845339"/>
    <w:rsid w:val="0084580F"/>
    <w:rsid w:val="00845D30"/>
    <w:rsid w:val="008463F5"/>
    <w:rsid w:val="00846BA9"/>
    <w:rsid w:val="00846F9D"/>
    <w:rsid w:val="008477C4"/>
    <w:rsid w:val="008507C1"/>
    <w:rsid w:val="00850B00"/>
    <w:rsid w:val="00850D5C"/>
    <w:rsid w:val="0085149A"/>
    <w:rsid w:val="00851B6A"/>
    <w:rsid w:val="00851F67"/>
    <w:rsid w:val="00852D25"/>
    <w:rsid w:val="00853C09"/>
    <w:rsid w:val="00853ED8"/>
    <w:rsid w:val="008550A5"/>
    <w:rsid w:val="008553C5"/>
    <w:rsid w:val="00855BB5"/>
    <w:rsid w:val="0085638E"/>
    <w:rsid w:val="0085655B"/>
    <w:rsid w:val="00856683"/>
    <w:rsid w:val="008571AE"/>
    <w:rsid w:val="00857698"/>
    <w:rsid w:val="0085784B"/>
    <w:rsid w:val="00857989"/>
    <w:rsid w:val="008611CC"/>
    <w:rsid w:val="00861561"/>
    <w:rsid w:val="00861874"/>
    <w:rsid w:val="00862487"/>
    <w:rsid w:val="00862AFA"/>
    <w:rsid w:val="00862D4E"/>
    <w:rsid w:val="00863070"/>
    <w:rsid w:val="0086331E"/>
    <w:rsid w:val="00863B76"/>
    <w:rsid w:val="00863E16"/>
    <w:rsid w:val="00863E20"/>
    <w:rsid w:val="00863E9C"/>
    <w:rsid w:val="00863F62"/>
    <w:rsid w:val="0086452E"/>
    <w:rsid w:val="00865B84"/>
    <w:rsid w:val="008662BA"/>
    <w:rsid w:val="00866945"/>
    <w:rsid w:val="00867291"/>
    <w:rsid w:val="00867DEC"/>
    <w:rsid w:val="00870284"/>
    <w:rsid w:val="0087170E"/>
    <w:rsid w:val="00871B9B"/>
    <w:rsid w:val="008724AE"/>
    <w:rsid w:val="00872843"/>
    <w:rsid w:val="008735D9"/>
    <w:rsid w:val="0087377B"/>
    <w:rsid w:val="00873A51"/>
    <w:rsid w:val="00873DD8"/>
    <w:rsid w:val="0087489A"/>
    <w:rsid w:val="00874B36"/>
    <w:rsid w:val="00874D3F"/>
    <w:rsid w:val="00874E45"/>
    <w:rsid w:val="008751E5"/>
    <w:rsid w:val="00875568"/>
    <w:rsid w:val="00875A71"/>
    <w:rsid w:val="00875DCD"/>
    <w:rsid w:val="00875F3F"/>
    <w:rsid w:val="00876119"/>
    <w:rsid w:val="00876950"/>
    <w:rsid w:val="00876AFB"/>
    <w:rsid w:val="00876FED"/>
    <w:rsid w:val="00877211"/>
    <w:rsid w:val="00877718"/>
    <w:rsid w:val="00877CA3"/>
    <w:rsid w:val="008801A2"/>
    <w:rsid w:val="008819F3"/>
    <w:rsid w:val="00881D4A"/>
    <w:rsid w:val="00881FE8"/>
    <w:rsid w:val="00882208"/>
    <w:rsid w:val="008828A0"/>
    <w:rsid w:val="00882FEA"/>
    <w:rsid w:val="008843FB"/>
    <w:rsid w:val="00884864"/>
    <w:rsid w:val="00884A92"/>
    <w:rsid w:val="00884B46"/>
    <w:rsid w:val="0088524C"/>
    <w:rsid w:val="00885513"/>
    <w:rsid w:val="00885A68"/>
    <w:rsid w:val="00885BFF"/>
    <w:rsid w:val="00885E6F"/>
    <w:rsid w:val="00886092"/>
    <w:rsid w:val="00886D24"/>
    <w:rsid w:val="0088750E"/>
    <w:rsid w:val="008876A2"/>
    <w:rsid w:val="00887AC6"/>
    <w:rsid w:val="00887C23"/>
    <w:rsid w:val="008909C5"/>
    <w:rsid w:val="008914FF"/>
    <w:rsid w:val="00891875"/>
    <w:rsid w:val="00891B2D"/>
    <w:rsid w:val="00891BC1"/>
    <w:rsid w:val="00891DF2"/>
    <w:rsid w:val="00891E4E"/>
    <w:rsid w:val="008920BE"/>
    <w:rsid w:val="008922CA"/>
    <w:rsid w:val="00892439"/>
    <w:rsid w:val="0089256A"/>
    <w:rsid w:val="008926B2"/>
    <w:rsid w:val="00892858"/>
    <w:rsid w:val="008937E2"/>
    <w:rsid w:val="00893F80"/>
    <w:rsid w:val="008940EA"/>
    <w:rsid w:val="008949EF"/>
    <w:rsid w:val="00894DEF"/>
    <w:rsid w:val="00894F2B"/>
    <w:rsid w:val="00895315"/>
    <w:rsid w:val="008957EC"/>
    <w:rsid w:val="0089587D"/>
    <w:rsid w:val="008968DE"/>
    <w:rsid w:val="008974D5"/>
    <w:rsid w:val="00897B9A"/>
    <w:rsid w:val="008A0E91"/>
    <w:rsid w:val="008A1109"/>
    <w:rsid w:val="008A165E"/>
    <w:rsid w:val="008A1C82"/>
    <w:rsid w:val="008A1F2F"/>
    <w:rsid w:val="008A1F5F"/>
    <w:rsid w:val="008A24C5"/>
    <w:rsid w:val="008A259A"/>
    <w:rsid w:val="008A268B"/>
    <w:rsid w:val="008A2B75"/>
    <w:rsid w:val="008A2E18"/>
    <w:rsid w:val="008A31A5"/>
    <w:rsid w:val="008A3A62"/>
    <w:rsid w:val="008A3B38"/>
    <w:rsid w:val="008A3BEF"/>
    <w:rsid w:val="008A4535"/>
    <w:rsid w:val="008A4799"/>
    <w:rsid w:val="008A49AF"/>
    <w:rsid w:val="008A4A62"/>
    <w:rsid w:val="008A4EBF"/>
    <w:rsid w:val="008A51BE"/>
    <w:rsid w:val="008A5CE7"/>
    <w:rsid w:val="008A5E3E"/>
    <w:rsid w:val="008A6C77"/>
    <w:rsid w:val="008A6CCD"/>
    <w:rsid w:val="008A6F79"/>
    <w:rsid w:val="008A704E"/>
    <w:rsid w:val="008B0099"/>
    <w:rsid w:val="008B01F1"/>
    <w:rsid w:val="008B0E5C"/>
    <w:rsid w:val="008B0FE0"/>
    <w:rsid w:val="008B10A0"/>
    <w:rsid w:val="008B1AC5"/>
    <w:rsid w:val="008B1ACB"/>
    <w:rsid w:val="008B1D45"/>
    <w:rsid w:val="008B2265"/>
    <w:rsid w:val="008B22E9"/>
    <w:rsid w:val="008B252E"/>
    <w:rsid w:val="008B2689"/>
    <w:rsid w:val="008B3028"/>
    <w:rsid w:val="008B3AFD"/>
    <w:rsid w:val="008B4BD2"/>
    <w:rsid w:val="008B5019"/>
    <w:rsid w:val="008B5176"/>
    <w:rsid w:val="008B652E"/>
    <w:rsid w:val="008B66F6"/>
    <w:rsid w:val="008B7199"/>
    <w:rsid w:val="008B7A2E"/>
    <w:rsid w:val="008B7D65"/>
    <w:rsid w:val="008C046F"/>
    <w:rsid w:val="008C0FFE"/>
    <w:rsid w:val="008C15D6"/>
    <w:rsid w:val="008C1960"/>
    <w:rsid w:val="008C1A93"/>
    <w:rsid w:val="008C2004"/>
    <w:rsid w:val="008C254C"/>
    <w:rsid w:val="008C2B0B"/>
    <w:rsid w:val="008C2C7D"/>
    <w:rsid w:val="008C3187"/>
    <w:rsid w:val="008C3B80"/>
    <w:rsid w:val="008C3C63"/>
    <w:rsid w:val="008C3E2E"/>
    <w:rsid w:val="008C4658"/>
    <w:rsid w:val="008C5C16"/>
    <w:rsid w:val="008C6379"/>
    <w:rsid w:val="008C6959"/>
    <w:rsid w:val="008C7121"/>
    <w:rsid w:val="008C7CC3"/>
    <w:rsid w:val="008C7D84"/>
    <w:rsid w:val="008D03BA"/>
    <w:rsid w:val="008D1005"/>
    <w:rsid w:val="008D1583"/>
    <w:rsid w:val="008D2411"/>
    <w:rsid w:val="008D25C3"/>
    <w:rsid w:val="008D2876"/>
    <w:rsid w:val="008D2D23"/>
    <w:rsid w:val="008D30CA"/>
    <w:rsid w:val="008D3154"/>
    <w:rsid w:val="008D3247"/>
    <w:rsid w:val="008D3CDE"/>
    <w:rsid w:val="008D4564"/>
    <w:rsid w:val="008D4997"/>
    <w:rsid w:val="008D5637"/>
    <w:rsid w:val="008D58EF"/>
    <w:rsid w:val="008D5E08"/>
    <w:rsid w:val="008D6775"/>
    <w:rsid w:val="008D6C92"/>
    <w:rsid w:val="008D7578"/>
    <w:rsid w:val="008D7801"/>
    <w:rsid w:val="008D7A8D"/>
    <w:rsid w:val="008D7C74"/>
    <w:rsid w:val="008E018C"/>
    <w:rsid w:val="008E0D93"/>
    <w:rsid w:val="008E2267"/>
    <w:rsid w:val="008E229E"/>
    <w:rsid w:val="008E2BAF"/>
    <w:rsid w:val="008E37D1"/>
    <w:rsid w:val="008E3D1D"/>
    <w:rsid w:val="008E3E05"/>
    <w:rsid w:val="008E41A1"/>
    <w:rsid w:val="008E464D"/>
    <w:rsid w:val="008E4825"/>
    <w:rsid w:val="008E53D0"/>
    <w:rsid w:val="008E5420"/>
    <w:rsid w:val="008E5605"/>
    <w:rsid w:val="008E58B7"/>
    <w:rsid w:val="008E590C"/>
    <w:rsid w:val="008E59DD"/>
    <w:rsid w:val="008E5BCE"/>
    <w:rsid w:val="008E5C21"/>
    <w:rsid w:val="008E654A"/>
    <w:rsid w:val="008E6575"/>
    <w:rsid w:val="008E68B1"/>
    <w:rsid w:val="008E763A"/>
    <w:rsid w:val="008E787A"/>
    <w:rsid w:val="008E7E59"/>
    <w:rsid w:val="008F033B"/>
    <w:rsid w:val="008F0F33"/>
    <w:rsid w:val="008F0F81"/>
    <w:rsid w:val="008F1A30"/>
    <w:rsid w:val="008F1A93"/>
    <w:rsid w:val="008F208E"/>
    <w:rsid w:val="008F243B"/>
    <w:rsid w:val="008F2633"/>
    <w:rsid w:val="008F2B71"/>
    <w:rsid w:val="008F327F"/>
    <w:rsid w:val="008F34CD"/>
    <w:rsid w:val="008F45CE"/>
    <w:rsid w:val="008F4E52"/>
    <w:rsid w:val="008F4EF0"/>
    <w:rsid w:val="008F5156"/>
    <w:rsid w:val="008F58E9"/>
    <w:rsid w:val="008F669C"/>
    <w:rsid w:val="008F6BEB"/>
    <w:rsid w:val="008F72E9"/>
    <w:rsid w:val="009003DF"/>
    <w:rsid w:val="00900B53"/>
    <w:rsid w:val="00900C4F"/>
    <w:rsid w:val="00900D60"/>
    <w:rsid w:val="009010EC"/>
    <w:rsid w:val="00901527"/>
    <w:rsid w:val="00901630"/>
    <w:rsid w:val="00902709"/>
    <w:rsid w:val="00902BD6"/>
    <w:rsid w:val="00902C1F"/>
    <w:rsid w:val="00902D5D"/>
    <w:rsid w:val="0090317B"/>
    <w:rsid w:val="00903398"/>
    <w:rsid w:val="00903669"/>
    <w:rsid w:val="00903801"/>
    <w:rsid w:val="00903946"/>
    <w:rsid w:val="00903DAD"/>
    <w:rsid w:val="00903EEB"/>
    <w:rsid w:val="00904C85"/>
    <w:rsid w:val="0090564F"/>
    <w:rsid w:val="009057F1"/>
    <w:rsid w:val="00905E1E"/>
    <w:rsid w:val="009063FF"/>
    <w:rsid w:val="0090687A"/>
    <w:rsid w:val="0090724B"/>
    <w:rsid w:val="009078D2"/>
    <w:rsid w:val="00907A82"/>
    <w:rsid w:val="009101CD"/>
    <w:rsid w:val="00910596"/>
    <w:rsid w:val="0091064F"/>
    <w:rsid w:val="00910AFC"/>
    <w:rsid w:val="00910E97"/>
    <w:rsid w:val="00910F25"/>
    <w:rsid w:val="009111A4"/>
    <w:rsid w:val="009117CB"/>
    <w:rsid w:val="009124DE"/>
    <w:rsid w:val="0091286E"/>
    <w:rsid w:val="00912B4D"/>
    <w:rsid w:val="00912C17"/>
    <w:rsid w:val="00913200"/>
    <w:rsid w:val="009148CA"/>
    <w:rsid w:val="0091493D"/>
    <w:rsid w:val="00914C89"/>
    <w:rsid w:val="009152C5"/>
    <w:rsid w:val="009154E3"/>
    <w:rsid w:val="00915753"/>
    <w:rsid w:val="00915B77"/>
    <w:rsid w:val="00915BB8"/>
    <w:rsid w:val="00916015"/>
    <w:rsid w:val="00916148"/>
    <w:rsid w:val="00916D77"/>
    <w:rsid w:val="0091781F"/>
    <w:rsid w:val="0091789A"/>
    <w:rsid w:val="009201CF"/>
    <w:rsid w:val="009201E5"/>
    <w:rsid w:val="0092054E"/>
    <w:rsid w:val="00920C14"/>
    <w:rsid w:val="00920ECE"/>
    <w:rsid w:val="00921CA5"/>
    <w:rsid w:val="009246A9"/>
    <w:rsid w:val="00924C47"/>
    <w:rsid w:val="00924E42"/>
    <w:rsid w:val="0092585B"/>
    <w:rsid w:val="00925DBA"/>
    <w:rsid w:val="00925F20"/>
    <w:rsid w:val="00925F9F"/>
    <w:rsid w:val="00926146"/>
    <w:rsid w:val="00926E80"/>
    <w:rsid w:val="009273BD"/>
    <w:rsid w:val="00927B33"/>
    <w:rsid w:val="00927B5F"/>
    <w:rsid w:val="00927B8C"/>
    <w:rsid w:val="00927CFA"/>
    <w:rsid w:val="00930009"/>
    <w:rsid w:val="00930571"/>
    <w:rsid w:val="00930970"/>
    <w:rsid w:val="00930BBC"/>
    <w:rsid w:val="009310D8"/>
    <w:rsid w:val="00931519"/>
    <w:rsid w:val="0093172D"/>
    <w:rsid w:val="0093183A"/>
    <w:rsid w:val="00931E04"/>
    <w:rsid w:val="00932BF2"/>
    <w:rsid w:val="00933867"/>
    <w:rsid w:val="009339B2"/>
    <w:rsid w:val="00933AB4"/>
    <w:rsid w:val="00933C84"/>
    <w:rsid w:val="00933F60"/>
    <w:rsid w:val="009352C2"/>
    <w:rsid w:val="0093545E"/>
    <w:rsid w:val="0093563D"/>
    <w:rsid w:val="00936984"/>
    <w:rsid w:val="00936E8B"/>
    <w:rsid w:val="009370BE"/>
    <w:rsid w:val="00940582"/>
    <w:rsid w:val="00940645"/>
    <w:rsid w:val="0094069B"/>
    <w:rsid w:val="0094087B"/>
    <w:rsid w:val="00941F2D"/>
    <w:rsid w:val="00942204"/>
    <w:rsid w:val="0094255F"/>
    <w:rsid w:val="00943111"/>
    <w:rsid w:val="009431D4"/>
    <w:rsid w:val="00943ADC"/>
    <w:rsid w:val="00944A06"/>
    <w:rsid w:val="00944A4F"/>
    <w:rsid w:val="00946349"/>
    <w:rsid w:val="00946448"/>
    <w:rsid w:val="00946453"/>
    <w:rsid w:val="00946C6C"/>
    <w:rsid w:val="00946DE2"/>
    <w:rsid w:val="00947046"/>
    <w:rsid w:val="009479E8"/>
    <w:rsid w:val="00950587"/>
    <w:rsid w:val="009509DE"/>
    <w:rsid w:val="00952115"/>
    <w:rsid w:val="00952225"/>
    <w:rsid w:val="00952459"/>
    <w:rsid w:val="009524AE"/>
    <w:rsid w:val="0095250A"/>
    <w:rsid w:val="00952956"/>
    <w:rsid w:val="00952C89"/>
    <w:rsid w:val="00954574"/>
    <w:rsid w:val="0095465B"/>
    <w:rsid w:val="00954745"/>
    <w:rsid w:val="00954E8D"/>
    <w:rsid w:val="0095507F"/>
    <w:rsid w:val="00955356"/>
    <w:rsid w:val="009556D2"/>
    <w:rsid w:val="00956163"/>
    <w:rsid w:val="00956268"/>
    <w:rsid w:val="0095675A"/>
    <w:rsid w:val="00956A20"/>
    <w:rsid w:val="00957474"/>
    <w:rsid w:val="00957BC2"/>
    <w:rsid w:val="009616EB"/>
    <w:rsid w:val="00961913"/>
    <w:rsid w:val="00961B0E"/>
    <w:rsid w:val="00961D3F"/>
    <w:rsid w:val="00961EEC"/>
    <w:rsid w:val="00962159"/>
    <w:rsid w:val="00962496"/>
    <w:rsid w:val="00962633"/>
    <w:rsid w:val="00962A11"/>
    <w:rsid w:val="00962B8C"/>
    <w:rsid w:val="00963E3F"/>
    <w:rsid w:val="0096428C"/>
    <w:rsid w:val="0096451B"/>
    <w:rsid w:val="009647EF"/>
    <w:rsid w:val="00965733"/>
    <w:rsid w:val="00966037"/>
    <w:rsid w:val="00967100"/>
    <w:rsid w:val="0096719D"/>
    <w:rsid w:val="00967AE5"/>
    <w:rsid w:val="00967AE7"/>
    <w:rsid w:val="00970008"/>
    <w:rsid w:val="009701F1"/>
    <w:rsid w:val="00971631"/>
    <w:rsid w:val="00971BE4"/>
    <w:rsid w:val="00971C49"/>
    <w:rsid w:val="00971D63"/>
    <w:rsid w:val="00971FDE"/>
    <w:rsid w:val="0097229C"/>
    <w:rsid w:val="00972CA3"/>
    <w:rsid w:val="009732BA"/>
    <w:rsid w:val="009735E3"/>
    <w:rsid w:val="0097372C"/>
    <w:rsid w:val="00973851"/>
    <w:rsid w:val="009746DC"/>
    <w:rsid w:val="00974C64"/>
    <w:rsid w:val="009750A9"/>
    <w:rsid w:val="0097592D"/>
    <w:rsid w:val="00975BD0"/>
    <w:rsid w:val="00976118"/>
    <w:rsid w:val="009765EC"/>
    <w:rsid w:val="00977E52"/>
    <w:rsid w:val="0098053D"/>
    <w:rsid w:val="009806B3"/>
    <w:rsid w:val="0098117B"/>
    <w:rsid w:val="009818A0"/>
    <w:rsid w:val="0098209C"/>
    <w:rsid w:val="00982544"/>
    <w:rsid w:val="0098266C"/>
    <w:rsid w:val="00982753"/>
    <w:rsid w:val="00983D1F"/>
    <w:rsid w:val="00983FDE"/>
    <w:rsid w:val="0098409F"/>
    <w:rsid w:val="0098473D"/>
    <w:rsid w:val="00984B0D"/>
    <w:rsid w:val="00984DF1"/>
    <w:rsid w:val="00984E75"/>
    <w:rsid w:val="009851D2"/>
    <w:rsid w:val="00985A77"/>
    <w:rsid w:val="00985FC7"/>
    <w:rsid w:val="00986214"/>
    <w:rsid w:val="00986352"/>
    <w:rsid w:val="00986984"/>
    <w:rsid w:val="00987476"/>
    <w:rsid w:val="0098765E"/>
    <w:rsid w:val="00987976"/>
    <w:rsid w:val="00987A4C"/>
    <w:rsid w:val="00987D37"/>
    <w:rsid w:val="00987F74"/>
    <w:rsid w:val="009910AC"/>
    <w:rsid w:val="009913B1"/>
    <w:rsid w:val="00991768"/>
    <w:rsid w:val="00991966"/>
    <w:rsid w:val="009919C0"/>
    <w:rsid w:val="0099260C"/>
    <w:rsid w:val="00992EC7"/>
    <w:rsid w:val="009938C4"/>
    <w:rsid w:val="00994427"/>
    <w:rsid w:val="0099469B"/>
    <w:rsid w:val="009948B7"/>
    <w:rsid w:val="0099517A"/>
    <w:rsid w:val="009951BE"/>
    <w:rsid w:val="0099532E"/>
    <w:rsid w:val="00995693"/>
    <w:rsid w:val="009957B2"/>
    <w:rsid w:val="00995A7A"/>
    <w:rsid w:val="00996023"/>
    <w:rsid w:val="00996DE2"/>
    <w:rsid w:val="009A00D1"/>
    <w:rsid w:val="009A0474"/>
    <w:rsid w:val="009A0486"/>
    <w:rsid w:val="009A04DE"/>
    <w:rsid w:val="009A09FE"/>
    <w:rsid w:val="009A12ED"/>
    <w:rsid w:val="009A1465"/>
    <w:rsid w:val="009A19FF"/>
    <w:rsid w:val="009A3230"/>
    <w:rsid w:val="009A38B0"/>
    <w:rsid w:val="009A4155"/>
    <w:rsid w:val="009A5D8C"/>
    <w:rsid w:val="009A64A8"/>
    <w:rsid w:val="009A691A"/>
    <w:rsid w:val="009A6D4E"/>
    <w:rsid w:val="009A6EFB"/>
    <w:rsid w:val="009B00BA"/>
    <w:rsid w:val="009B01B5"/>
    <w:rsid w:val="009B09E8"/>
    <w:rsid w:val="009B2671"/>
    <w:rsid w:val="009B274F"/>
    <w:rsid w:val="009B364C"/>
    <w:rsid w:val="009B410A"/>
    <w:rsid w:val="009B4572"/>
    <w:rsid w:val="009B51D8"/>
    <w:rsid w:val="009B5D39"/>
    <w:rsid w:val="009B60D2"/>
    <w:rsid w:val="009B63FF"/>
    <w:rsid w:val="009B6571"/>
    <w:rsid w:val="009B6833"/>
    <w:rsid w:val="009C020E"/>
    <w:rsid w:val="009C034A"/>
    <w:rsid w:val="009C07F3"/>
    <w:rsid w:val="009C120E"/>
    <w:rsid w:val="009C147B"/>
    <w:rsid w:val="009C185D"/>
    <w:rsid w:val="009C1EB7"/>
    <w:rsid w:val="009C1F49"/>
    <w:rsid w:val="009C3099"/>
    <w:rsid w:val="009C337F"/>
    <w:rsid w:val="009C5468"/>
    <w:rsid w:val="009C5996"/>
    <w:rsid w:val="009C5AFA"/>
    <w:rsid w:val="009C6244"/>
    <w:rsid w:val="009C68E0"/>
    <w:rsid w:val="009C6AE6"/>
    <w:rsid w:val="009C7F63"/>
    <w:rsid w:val="009C7FA3"/>
    <w:rsid w:val="009D0070"/>
    <w:rsid w:val="009D0505"/>
    <w:rsid w:val="009D0B38"/>
    <w:rsid w:val="009D0CBA"/>
    <w:rsid w:val="009D15B8"/>
    <w:rsid w:val="009D1978"/>
    <w:rsid w:val="009D20DC"/>
    <w:rsid w:val="009D21F5"/>
    <w:rsid w:val="009D26A4"/>
    <w:rsid w:val="009D2F4E"/>
    <w:rsid w:val="009D3D33"/>
    <w:rsid w:val="009D40FB"/>
    <w:rsid w:val="009D43A3"/>
    <w:rsid w:val="009D4993"/>
    <w:rsid w:val="009D5341"/>
    <w:rsid w:val="009D5CDD"/>
    <w:rsid w:val="009D6973"/>
    <w:rsid w:val="009D6E79"/>
    <w:rsid w:val="009D7006"/>
    <w:rsid w:val="009D7337"/>
    <w:rsid w:val="009D73B1"/>
    <w:rsid w:val="009D75D5"/>
    <w:rsid w:val="009D7A73"/>
    <w:rsid w:val="009D7D00"/>
    <w:rsid w:val="009E0111"/>
    <w:rsid w:val="009E0D53"/>
    <w:rsid w:val="009E156C"/>
    <w:rsid w:val="009E17F5"/>
    <w:rsid w:val="009E183D"/>
    <w:rsid w:val="009E201D"/>
    <w:rsid w:val="009E2894"/>
    <w:rsid w:val="009E3C7D"/>
    <w:rsid w:val="009E4149"/>
    <w:rsid w:val="009E43E5"/>
    <w:rsid w:val="009E4435"/>
    <w:rsid w:val="009E45D2"/>
    <w:rsid w:val="009E4B6E"/>
    <w:rsid w:val="009E52DB"/>
    <w:rsid w:val="009E5437"/>
    <w:rsid w:val="009E5881"/>
    <w:rsid w:val="009E5F8B"/>
    <w:rsid w:val="009E61EA"/>
    <w:rsid w:val="009E61EB"/>
    <w:rsid w:val="009E6EDE"/>
    <w:rsid w:val="009E7049"/>
    <w:rsid w:val="009F020E"/>
    <w:rsid w:val="009F09BE"/>
    <w:rsid w:val="009F09EC"/>
    <w:rsid w:val="009F1448"/>
    <w:rsid w:val="009F15DD"/>
    <w:rsid w:val="009F1E31"/>
    <w:rsid w:val="009F21D0"/>
    <w:rsid w:val="009F23DD"/>
    <w:rsid w:val="009F2BFC"/>
    <w:rsid w:val="009F3212"/>
    <w:rsid w:val="009F37ED"/>
    <w:rsid w:val="009F3AA7"/>
    <w:rsid w:val="009F3BB2"/>
    <w:rsid w:val="009F3FB3"/>
    <w:rsid w:val="009F400F"/>
    <w:rsid w:val="009F47D5"/>
    <w:rsid w:val="009F4A8A"/>
    <w:rsid w:val="009F50C9"/>
    <w:rsid w:val="009F59CE"/>
    <w:rsid w:val="009F6B1C"/>
    <w:rsid w:val="009F779A"/>
    <w:rsid w:val="00A0006F"/>
    <w:rsid w:val="00A00391"/>
    <w:rsid w:val="00A01763"/>
    <w:rsid w:val="00A01F1A"/>
    <w:rsid w:val="00A0222B"/>
    <w:rsid w:val="00A04176"/>
    <w:rsid w:val="00A04C95"/>
    <w:rsid w:val="00A04E6D"/>
    <w:rsid w:val="00A05351"/>
    <w:rsid w:val="00A0541C"/>
    <w:rsid w:val="00A05564"/>
    <w:rsid w:val="00A055A3"/>
    <w:rsid w:val="00A05F69"/>
    <w:rsid w:val="00A06134"/>
    <w:rsid w:val="00A0692F"/>
    <w:rsid w:val="00A06D4D"/>
    <w:rsid w:val="00A07159"/>
    <w:rsid w:val="00A075DF"/>
    <w:rsid w:val="00A0784C"/>
    <w:rsid w:val="00A07DD7"/>
    <w:rsid w:val="00A104BB"/>
    <w:rsid w:val="00A10D95"/>
    <w:rsid w:val="00A117E7"/>
    <w:rsid w:val="00A11966"/>
    <w:rsid w:val="00A11BCB"/>
    <w:rsid w:val="00A11D3E"/>
    <w:rsid w:val="00A127A9"/>
    <w:rsid w:val="00A1365F"/>
    <w:rsid w:val="00A13C1D"/>
    <w:rsid w:val="00A140A0"/>
    <w:rsid w:val="00A1437A"/>
    <w:rsid w:val="00A14E62"/>
    <w:rsid w:val="00A15CC4"/>
    <w:rsid w:val="00A15D39"/>
    <w:rsid w:val="00A15F00"/>
    <w:rsid w:val="00A160FB"/>
    <w:rsid w:val="00A1758B"/>
    <w:rsid w:val="00A17CF2"/>
    <w:rsid w:val="00A204E2"/>
    <w:rsid w:val="00A20795"/>
    <w:rsid w:val="00A20891"/>
    <w:rsid w:val="00A20C49"/>
    <w:rsid w:val="00A20FB3"/>
    <w:rsid w:val="00A21855"/>
    <w:rsid w:val="00A21941"/>
    <w:rsid w:val="00A21BB4"/>
    <w:rsid w:val="00A21C2C"/>
    <w:rsid w:val="00A21C37"/>
    <w:rsid w:val="00A21E61"/>
    <w:rsid w:val="00A22078"/>
    <w:rsid w:val="00A22451"/>
    <w:rsid w:val="00A2252F"/>
    <w:rsid w:val="00A22576"/>
    <w:rsid w:val="00A225A4"/>
    <w:rsid w:val="00A22D8D"/>
    <w:rsid w:val="00A234C1"/>
    <w:rsid w:val="00A23AC9"/>
    <w:rsid w:val="00A2438D"/>
    <w:rsid w:val="00A24BDF"/>
    <w:rsid w:val="00A25682"/>
    <w:rsid w:val="00A25856"/>
    <w:rsid w:val="00A25CF4"/>
    <w:rsid w:val="00A25E2E"/>
    <w:rsid w:val="00A26193"/>
    <w:rsid w:val="00A268A9"/>
    <w:rsid w:val="00A26A41"/>
    <w:rsid w:val="00A27E80"/>
    <w:rsid w:val="00A301FC"/>
    <w:rsid w:val="00A3023B"/>
    <w:rsid w:val="00A30AE0"/>
    <w:rsid w:val="00A31838"/>
    <w:rsid w:val="00A31BB5"/>
    <w:rsid w:val="00A31C64"/>
    <w:rsid w:val="00A32451"/>
    <w:rsid w:val="00A32BC7"/>
    <w:rsid w:val="00A3351C"/>
    <w:rsid w:val="00A33C81"/>
    <w:rsid w:val="00A3412E"/>
    <w:rsid w:val="00A34C05"/>
    <w:rsid w:val="00A34C7C"/>
    <w:rsid w:val="00A34F0F"/>
    <w:rsid w:val="00A3520D"/>
    <w:rsid w:val="00A3532F"/>
    <w:rsid w:val="00A35ED6"/>
    <w:rsid w:val="00A372AB"/>
    <w:rsid w:val="00A37471"/>
    <w:rsid w:val="00A40145"/>
    <w:rsid w:val="00A40604"/>
    <w:rsid w:val="00A40889"/>
    <w:rsid w:val="00A41524"/>
    <w:rsid w:val="00A41BF9"/>
    <w:rsid w:val="00A41FDC"/>
    <w:rsid w:val="00A42809"/>
    <w:rsid w:val="00A42C60"/>
    <w:rsid w:val="00A42CB5"/>
    <w:rsid w:val="00A430C3"/>
    <w:rsid w:val="00A437FD"/>
    <w:rsid w:val="00A44364"/>
    <w:rsid w:val="00A4528C"/>
    <w:rsid w:val="00A45758"/>
    <w:rsid w:val="00A45F8C"/>
    <w:rsid w:val="00A46D7B"/>
    <w:rsid w:val="00A4745A"/>
    <w:rsid w:val="00A47C2A"/>
    <w:rsid w:val="00A505B8"/>
    <w:rsid w:val="00A50D6A"/>
    <w:rsid w:val="00A52E11"/>
    <w:rsid w:val="00A5399E"/>
    <w:rsid w:val="00A53FF4"/>
    <w:rsid w:val="00A541EB"/>
    <w:rsid w:val="00A5460C"/>
    <w:rsid w:val="00A54D0D"/>
    <w:rsid w:val="00A54DC9"/>
    <w:rsid w:val="00A55B9E"/>
    <w:rsid w:val="00A56152"/>
    <w:rsid w:val="00A566C3"/>
    <w:rsid w:val="00A56AEE"/>
    <w:rsid w:val="00A56C52"/>
    <w:rsid w:val="00A56D09"/>
    <w:rsid w:val="00A57073"/>
    <w:rsid w:val="00A575A5"/>
    <w:rsid w:val="00A57A77"/>
    <w:rsid w:val="00A57D5C"/>
    <w:rsid w:val="00A57ED1"/>
    <w:rsid w:val="00A60220"/>
    <w:rsid w:val="00A60321"/>
    <w:rsid w:val="00A6051C"/>
    <w:rsid w:val="00A60706"/>
    <w:rsid w:val="00A6138C"/>
    <w:rsid w:val="00A614B5"/>
    <w:rsid w:val="00A617F3"/>
    <w:rsid w:val="00A61853"/>
    <w:rsid w:val="00A6194B"/>
    <w:rsid w:val="00A61F65"/>
    <w:rsid w:val="00A62E9C"/>
    <w:rsid w:val="00A63326"/>
    <w:rsid w:val="00A6338D"/>
    <w:rsid w:val="00A64D32"/>
    <w:rsid w:val="00A64D9D"/>
    <w:rsid w:val="00A6587D"/>
    <w:rsid w:val="00A66C7F"/>
    <w:rsid w:val="00A67128"/>
    <w:rsid w:val="00A672E1"/>
    <w:rsid w:val="00A67AF5"/>
    <w:rsid w:val="00A700FF"/>
    <w:rsid w:val="00A70A5E"/>
    <w:rsid w:val="00A71CF0"/>
    <w:rsid w:val="00A7203B"/>
    <w:rsid w:val="00A724CA"/>
    <w:rsid w:val="00A726EE"/>
    <w:rsid w:val="00A72DCA"/>
    <w:rsid w:val="00A73848"/>
    <w:rsid w:val="00A74277"/>
    <w:rsid w:val="00A743D5"/>
    <w:rsid w:val="00A745DB"/>
    <w:rsid w:val="00A74B60"/>
    <w:rsid w:val="00A75002"/>
    <w:rsid w:val="00A751F5"/>
    <w:rsid w:val="00A75FB8"/>
    <w:rsid w:val="00A76554"/>
    <w:rsid w:val="00A76667"/>
    <w:rsid w:val="00A7786E"/>
    <w:rsid w:val="00A805B4"/>
    <w:rsid w:val="00A8072D"/>
    <w:rsid w:val="00A8095E"/>
    <w:rsid w:val="00A8162F"/>
    <w:rsid w:val="00A8243C"/>
    <w:rsid w:val="00A82B00"/>
    <w:rsid w:val="00A837A4"/>
    <w:rsid w:val="00A8439D"/>
    <w:rsid w:val="00A8461F"/>
    <w:rsid w:val="00A8499A"/>
    <w:rsid w:val="00A86260"/>
    <w:rsid w:val="00A86886"/>
    <w:rsid w:val="00A86B29"/>
    <w:rsid w:val="00A87138"/>
    <w:rsid w:val="00A8793B"/>
    <w:rsid w:val="00A879DA"/>
    <w:rsid w:val="00A9028B"/>
    <w:rsid w:val="00A904A0"/>
    <w:rsid w:val="00A905F6"/>
    <w:rsid w:val="00A91597"/>
    <w:rsid w:val="00A91A76"/>
    <w:rsid w:val="00A92C8D"/>
    <w:rsid w:val="00A92E72"/>
    <w:rsid w:val="00A938FC"/>
    <w:rsid w:val="00A94294"/>
    <w:rsid w:val="00A947FA"/>
    <w:rsid w:val="00A94833"/>
    <w:rsid w:val="00A94973"/>
    <w:rsid w:val="00A94A13"/>
    <w:rsid w:val="00A94A4F"/>
    <w:rsid w:val="00A9537B"/>
    <w:rsid w:val="00A9543D"/>
    <w:rsid w:val="00A96351"/>
    <w:rsid w:val="00A96993"/>
    <w:rsid w:val="00A96CFC"/>
    <w:rsid w:val="00A97BA8"/>
    <w:rsid w:val="00AA0741"/>
    <w:rsid w:val="00AA0766"/>
    <w:rsid w:val="00AA0996"/>
    <w:rsid w:val="00AA16ED"/>
    <w:rsid w:val="00AA1923"/>
    <w:rsid w:val="00AA3106"/>
    <w:rsid w:val="00AA3398"/>
    <w:rsid w:val="00AA3641"/>
    <w:rsid w:val="00AA4D7F"/>
    <w:rsid w:val="00AA6505"/>
    <w:rsid w:val="00AA65E5"/>
    <w:rsid w:val="00AA6641"/>
    <w:rsid w:val="00AA6C8F"/>
    <w:rsid w:val="00AA7206"/>
    <w:rsid w:val="00AA7574"/>
    <w:rsid w:val="00AA7F52"/>
    <w:rsid w:val="00AB09ED"/>
    <w:rsid w:val="00AB1140"/>
    <w:rsid w:val="00AB1597"/>
    <w:rsid w:val="00AB15F9"/>
    <w:rsid w:val="00AB1704"/>
    <w:rsid w:val="00AB201D"/>
    <w:rsid w:val="00AB239B"/>
    <w:rsid w:val="00AB304D"/>
    <w:rsid w:val="00AB3147"/>
    <w:rsid w:val="00AB3C4E"/>
    <w:rsid w:val="00AB3CB8"/>
    <w:rsid w:val="00AB3F28"/>
    <w:rsid w:val="00AB4CA4"/>
    <w:rsid w:val="00AB4DF2"/>
    <w:rsid w:val="00AB502E"/>
    <w:rsid w:val="00AB51FF"/>
    <w:rsid w:val="00AB582E"/>
    <w:rsid w:val="00AB68E5"/>
    <w:rsid w:val="00AC0EC6"/>
    <w:rsid w:val="00AC119D"/>
    <w:rsid w:val="00AC11F8"/>
    <w:rsid w:val="00AC28AA"/>
    <w:rsid w:val="00AC2B80"/>
    <w:rsid w:val="00AC3B7E"/>
    <w:rsid w:val="00AC4193"/>
    <w:rsid w:val="00AC4512"/>
    <w:rsid w:val="00AC57D4"/>
    <w:rsid w:val="00AC5E60"/>
    <w:rsid w:val="00AC604B"/>
    <w:rsid w:val="00AC60B5"/>
    <w:rsid w:val="00AC6A06"/>
    <w:rsid w:val="00AC6CE3"/>
    <w:rsid w:val="00AC72CE"/>
    <w:rsid w:val="00AC7322"/>
    <w:rsid w:val="00AC745D"/>
    <w:rsid w:val="00AC7D2C"/>
    <w:rsid w:val="00AC7EC9"/>
    <w:rsid w:val="00AD0265"/>
    <w:rsid w:val="00AD1A1B"/>
    <w:rsid w:val="00AD29E0"/>
    <w:rsid w:val="00AD331C"/>
    <w:rsid w:val="00AD3933"/>
    <w:rsid w:val="00AD4081"/>
    <w:rsid w:val="00AD4817"/>
    <w:rsid w:val="00AD4F46"/>
    <w:rsid w:val="00AD55B4"/>
    <w:rsid w:val="00AD57DD"/>
    <w:rsid w:val="00AD7AE6"/>
    <w:rsid w:val="00AD7F15"/>
    <w:rsid w:val="00AE03A8"/>
    <w:rsid w:val="00AE0AF8"/>
    <w:rsid w:val="00AE0E79"/>
    <w:rsid w:val="00AE1B4B"/>
    <w:rsid w:val="00AE1E96"/>
    <w:rsid w:val="00AE246F"/>
    <w:rsid w:val="00AE2A13"/>
    <w:rsid w:val="00AE2F03"/>
    <w:rsid w:val="00AE35B7"/>
    <w:rsid w:val="00AE3A92"/>
    <w:rsid w:val="00AE4254"/>
    <w:rsid w:val="00AE460B"/>
    <w:rsid w:val="00AE50BC"/>
    <w:rsid w:val="00AE5643"/>
    <w:rsid w:val="00AE5670"/>
    <w:rsid w:val="00AE676C"/>
    <w:rsid w:val="00AE68B7"/>
    <w:rsid w:val="00AE6919"/>
    <w:rsid w:val="00AE6BE1"/>
    <w:rsid w:val="00AE78BF"/>
    <w:rsid w:val="00AF040F"/>
    <w:rsid w:val="00AF06DC"/>
    <w:rsid w:val="00AF08B4"/>
    <w:rsid w:val="00AF1869"/>
    <w:rsid w:val="00AF1BA9"/>
    <w:rsid w:val="00AF2854"/>
    <w:rsid w:val="00AF3664"/>
    <w:rsid w:val="00AF395F"/>
    <w:rsid w:val="00AF3CD7"/>
    <w:rsid w:val="00AF40DE"/>
    <w:rsid w:val="00AF423A"/>
    <w:rsid w:val="00AF439E"/>
    <w:rsid w:val="00AF4475"/>
    <w:rsid w:val="00AF45A9"/>
    <w:rsid w:val="00AF4639"/>
    <w:rsid w:val="00AF5195"/>
    <w:rsid w:val="00AF6960"/>
    <w:rsid w:val="00AF6BD6"/>
    <w:rsid w:val="00AF6FC5"/>
    <w:rsid w:val="00B0049F"/>
    <w:rsid w:val="00B0063A"/>
    <w:rsid w:val="00B01133"/>
    <w:rsid w:val="00B01275"/>
    <w:rsid w:val="00B01B34"/>
    <w:rsid w:val="00B01FC3"/>
    <w:rsid w:val="00B02E9D"/>
    <w:rsid w:val="00B030B0"/>
    <w:rsid w:val="00B03C96"/>
    <w:rsid w:val="00B04822"/>
    <w:rsid w:val="00B0563D"/>
    <w:rsid w:val="00B05C70"/>
    <w:rsid w:val="00B05F90"/>
    <w:rsid w:val="00B06418"/>
    <w:rsid w:val="00B06C62"/>
    <w:rsid w:val="00B07248"/>
    <w:rsid w:val="00B07281"/>
    <w:rsid w:val="00B073E4"/>
    <w:rsid w:val="00B07E4A"/>
    <w:rsid w:val="00B10BD5"/>
    <w:rsid w:val="00B119BE"/>
    <w:rsid w:val="00B12107"/>
    <w:rsid w:val="00B129DC"/>
    <w:rsid w:val="00B14B2E"/>
    <w:rsid w:val="00B158B7"/>
    <w:rsid w:val="00B15E95"/>
    <w:rsid w:val="00B16879"/>
    <w:rsid w:val="00B16C60"/>
    <w:rsid w:val="00B1714E"/>
    <w:rsid w:val="00B173AF"/>
    <w:rsid w:val="00B17E47"/>
    <w:rsid w:val="00B2037F"/>
    <w:rsid w:val="00B20945"/>
    <w:rsid w:val="00B20ACE"/>
    <w:rsid w:val="00B212F9"/>
    <w:rsid w:val="00B22700"/>
    <w:rsid w:val="00B22CB7"/>
    <w:rsid w:val="00B22FD9"/>
    <w:rsid w:val="00B245C2"/>
    <w:rsid w:val="00B24DD9"/>
    <w:rsid w:val="00B24E4F"/>
    <w:rsid w:val="00B2571C"/>
    <w:rsid w:val="00B261D1"/>
    <w:rsid w:val="00B26592"/>
    <w:rsid w:val="00B26786"/>
    <w:rsid w:val="00B26C75"/>
    <w:rsid w:val="00B279F5"/>
    <w:rsid w:val="00B3017A"/>
    <w:rsid w:val="00B316F7"/>
    <w:rsid w:val="00B31BD4"/>
    <w:rsid w:val="00B31FA8"/>
    <w:rsid w:val="00B32125"/>
    <w:rsid w:val="00B34A12"/>
    <w:rsid w:val="00B35505"/>
    <w:rsid w:val="00B35D9A"/>
    <w:rsid w:val="00B362BC"/>
    <w:rsid w:val="00B36791"/>
    <w:rsid w:val="00B36F04"/>
    <w:rsid w:val="00B372A9"/>
    <w:rsid w:val="00B376DD"/>
    <w:rsid w:val="00B4004D"/>
    <w:rsid w:val="00B41645"/>
    <w:rsid w:val="00B4246C"/>
    <w:rsid w:val="00B42DDF"/>
    <w:rsid w:val="00B431B4"/>
    <w:rsid w:val="00B43FE4"/>
    <w:rsid w:val="00B4445C"/>
    <w:rsid w:val="00B4450C"/>
    <w:rsid w:val="00B446D3"/>
    <w:rsid w:val="00B44903"/>
    <w:rsid w:val="00B44BA8"/>
    <w:rsid w:val="00B453C3"/>
    <w:rsid w:val="00B455AF"/>
    <w:rsid w:val="00B45B3A"/>
    <w:rsid w:val="00B461DC"/>
    <w:rsid w:val="00B46809"/>
    <w:rsid w:val="00B46D91"/>
    <w:rsid w:val="00B476D0"/>
    <w:rsid w:val="00B47A32"/>
    <w:rsid w:val="00B47BEB"/>
    <w:rsid w:val="00B47C45"/>
    <w:rsid w:val="00B5051F"/>
    <w:rsid w:val="00B50E2D"/>
    <w:rsid w:val="00B50E4D"/>
    <w:rsid w:val="00B50FB1"/>
    <w:rsid w:val="00B512AF"/>
    <w:rsid w:val="00B51731"/>
    <w:rsid w:val="00B5211E"/>
    <w:rsid w:val="00B5212E"/>
    <w:rsid w:val="00B52271"/>
    <w:rsid w:val="00B52912"/>
    <w:rsid w:val="00B531F2"/>
    <w:rsid w:val="00B53CEF"/>
    <w:rsid w:val="00B53EC3"/>
    <w:rsid w:val="00B54031"/>
    <w:rsid w:val="00B544F2"/>
    <w:rsid w:val="00B54BCE"/>
    <w:rsid w:val="00B54D58"/>
    <w:rsid w:val="00B556F3"/>
    <w:rsid w:val="00B55D8A"/>
    <w:rsid w:val="00B55EEB"/>
    <w:rsid w:val="00B55F33"/>
    <w:rsid w:val="00B573B3"/>
    <w:rsid w:val="00B577C5"/>
    <w:rsid w:val="00B57BFC"/>
    <w:rsid w:val="00B6006D"/>
    <w:rsid w:val="00B600D6"/>
    <w:rsid w:val="00B60CE9"/>
    <w:rsid w:val="00B6109E"/>
    <w:rsid w:val="00B61B46"/>
    <w:rsid w:val="00B62BF3"/>
    <w:rsid w:val="00B63244"/>
    <w:rsid w:val="00B64534"/>
    <w:rsid w:val="00B64645"/>
    <w:rsid w:val="00B649FA"/>
    <w:rsid w:val="00B6562E"/>
    <w:rsid w:val="00B66280"/>
    <w:rsid w:val="00B66363"/>
    <w:rsid w:val="00B665F4"/>
    <w:rsid w:val="00B666FF"/>
    <w:rsid w:val="00B66968"/>
    <w:rsid w:val="00B669D9"/>
    <w:rsid w:val="00B66B8F"/>
    <w:rsid w:val="00B66BB9"/>
    <w:rsid w:val="00B670C8"/>
    <w:rsid w:val="00B676DF"/>
    <w:rsid w:val="00B703FA"/>
    <w:rsid w:val="00B714F6"/>
    <w:rsid w:val="00B715A5"/>
    <w:rsid w:val="00B72D05"/>
    <w:rsid w:val="00B7320E"/>
    <w:rsid w:val="00B73570"/>
    <w:rsid w:val="00B738A4"/>
    <w:rsid w:val="00B73BAA"/>
    <w:rsid w:val="00B73E33"/>
    <w:rsid w:val="00B74B70"/>
    <w:rsid w:val="00B74EF2"/>
    <w:rsid w:val="00B752FE"/>
    <w:rsid w:val="00B7562E"/>
    <w:rsid w:val="00B75851"/>
    <w:rsid w:val="00B76742"/>
    <w:rsid w:val="00B76765"/>
    <w:rsid w:val="00B767FE"/>
    <w:rsid w:val="00B7681A"/>
    <w:rsid w:val="00B80530"/>
    <w:rsid w:val="00B80B1E"/>
    <w:rsid w:val="00B81225"/>
    <w:rsid w:val="00B81AEE"/>
    <w:rsid w:val="00B822DE"/>
    <w:rsid w:val="00B82B1B"/>
    <w:rsid w:val="00B832BF"/>
    <w:rsid w:val="00B83315"/>
    <w:rsid w:val="00B835A6"/>
    <w:rsid w:val="00B836EF"/>
    <w:rsid w:val="00B839A5"/>
    <w:rsid w:val="00B83D84"/>
    <w:rsid w:val="00B8494C"/>
    <w:rsid w:val="00B84A48"/>
    <w:rsid w:val="00B84AE6"/>
    <w:rsid w:val="00B84CA0"/>
    <w:rsid w:val="00B84D58"/>
    <w:rsid w:val="00B8544C"/>
    <w:rsid w:val="00B85A1C"/>
    <w:rsid w:val="00B85D22"/>
    <w:rsid w:val="00B85DEF"/>
    <w:rsid w:val="00B85E64"/>
    <w:rsid w:val="00B86946"/>
    <w:rsid w:val="00B87EB1"/>
    <w:rsid w:val="00B90278"/>
    <w:rsid w:val="00B90F15"/>
    <w:rsid w:val="00B91055"/>
    <w:rsid w:val="00B9206E"/>
    <w:rsid w:val="00B920B5"/>
    <w:rsid w:val="00B929C3"/>
    <w:rsid w:val="00B94B20"/>
    <w:rsid w:val="00B95713"/>
    <w:rsid w:val="00B96A2E"/>
    <w:rsid w:val="00B96BDD"/>
    <w:rsid w:val="00B96ED8"/>
    <w:rsid w:val="00B96FEE"/>
    <w:rsid w:val="00B97414"/>
    <w:rsid w:val="00BA0523"/>
    <w:rsid w:val="00BA0CCE"/>
    <w:rsid w:val="00BA0F9B"/>
    <w:rsid w:val="00BA13A6"/>
    <w:rsid w:val="00BA13E4"/>
    <w:rsid w:val="00BA14F1"/>
    <w:rsid w:val="00BA1C5B"/>
    <w:rsid w:val="00BA26E2"/>
    <w:rsid w:val="00BA3B8E"/>
    <w:rsid w:val="00BA4695"/>
    <w:rsid w:val="00BA4D27"/>
    <w:rsid w:val="00BA4E5C"/>
    <w:rsid w:val="00BA51B1"/>
    <w:rsid w:val="00BA5E26"/>
    <w:rsid w:val="00BA60E2"/>
    <w:rsid w:val="00BA62C3"/>
    <w:rsid w:val="00BA69D3"/>
    <w:rsid w:val="00BA69FC"/>
    <w:rsid w:val="00BA6CDD"/>
    <w:rsid w:val="00BA774C"/>
    <w:rsid w:val="00BB0174"/>
    <w:rsid w:val="00BB03F3"/>
    <w:rsid w:val="00BB08F5"/>
    <w:rsid w:val="00BB0CD5"/>
    <w:rsid w:val="00BB1F99"/>
    <w:rsid w:val="00BB2461"/>
    <w:rsid w:val="00BB3270"/>
    <w:rsid w:val="00BB43D0"/>
    <w:rsid w:val="00BB5ACD"/>
    <w:rsid w:val="00BB5B95"/>
    <w:rsid w:val="00BB5BEB"/>
    <w:rsid w:val="00BB5DEE"/>
    <w:rsid w:val="00BB619E"/>
    <w:rsid w:val="00BB62E8"/>
    <w:rsid w:val="00BB6C8A"/>
    <w:rsid w:val="00BB70CA"/>
    <w:rsid w:val="00BB7660"/>
    <w:rsid w:val="00BC095D"/>
    <w:rsid w:val="00BC0BB0"/>
    <w:rsid w:val="00BC0EB5"/>
    <w:rsid w:val="00BC1CA4"/>
    <w:rsid w:val="00BC3061"/>
    <w:rsid w:val="00BC353B"/>
    <w:rsid w:val="00BC3E33"/>
    <w:rsid w:val="00BC4664"/>
    <w:rsid w:val="00BC4984"/>
    <w:rsid w:val="00BC4E52"/>
    <w:rsid w:val="00BC59DC"/>
    <w:rsid w:val="00BC5C93"/>
    <w:rsid w:val="00BC5DBE"/>
    <w:rsid w:val="00BC62B4"/>
    <w:rsid w:val="00BC678E"/>
    <w:rsid w:val="00BC67BF"/>
    <w:rsid w:val="00BC6AB8"/>
    <w:rsid w:val="00BC75F2"/>
    <w:rsid w:val="00BC7741"/>
    <w:rsid w:val="00BC7BD6"/>
    <w:rsid w:val="00BC7DA1"/>
    <w:rsid w:val="00BD0378"/>
    <w:rsid w:val="00BD04FC"/>
    <w:rsid w:val="00BD084D"/>
    <w:rsid w:val="00BD120E"/>
    <w:rsid w:val="00BD16B7"/>
    <w:rsid w:val="00BD1E99"/>
    <w:rsid w:val="00BD230B"/>
    <w:rsid w:val="00BD383E"/>
    <w:rsid w:val="00BD3B49"/>
    <w:rsid w:val="00BD4464"/>
    <w:rsid w:val="00BD4C68"/>
    <w:rsid w:val="00BD4D3F"/>
    <w:rsid w:val="00BD5284"/>
    <w:rsid w:val="00BD633C"/>
    <w:rsid w:val="00BD6413"/>
    <w:rsid w:val="00BD65E9"/>
    <w:rsid w:val="00BD68F0"/>
    <w:rsid w:val="00BD7058"/>
    <w:rsid w:val="00BD7606"/>
    <w:rsid w:val="00BD7AA5"/>
    <w:rsid w:val="00BD7B3D"/>
    <w:rsid w:val="00BD7B5B"/>
    <w:rsid w:val="00BD7B9D"/>
    <w:rsid w:val="00BE0752"/>
    <w:rsid w:val="00BE1288"/>
    <w:rsid w:val="00BE2042"/>
    <w:rsid w:val="00BE243B"/>
    <w:rsid w:val="00BE29A7"/>
    <w:rsid w:val="00BE2D37"/>
    <w:rsid w:val="00BE31AB"/>
    <w:rsid w:val="00BE3224"/>
    <w:rsid w:val="00BE3E20"/>
    <w:rsid w:val="00BE4212"/>
    <w:rsid w:val="00BE42BC"/>
    <w:rsid w:val="00BE470C"/>
    <w:rsid w:val="00BE48BC"/>
    <w:rsid w:val="00BE4C13"/>
    <w:rsid w:val="00BE52E9"/>
    <w:rsid w:val="00BE5323"/>
    <w:rsid w:val="00BE5735"/>
    <w:rsid w:val="00BE5BC0"/>
    <w:rsid w:val="00BE5E82"/>
    <w:rsid w:val="00BE6748"/>
    <w:rsid w:val="00BE7CA4"/>
    <w:rsid w:val="00BE7D64"/>
    <w:rsid w:val="00BF0206"/>
    <w:rsid w:val="00BF0501"/>
    <w:rsid w:val="00BF0853"/>
    <w:rsid w:val="00BF087A"/>
    <w:rsid w:val="00BF0A3E"/>
    <w:rsid w:val="00BF0AF8"/>
    <w:rsid w:val="00BF16F3"/>
    <w:rsid w:val="00BF19C0"/>
    <w:rsid w:val="00BF1BFE"/>
    <w:rsid w:val="00BF1C95"/>
    <w:rsid w:val="00BF2331"/>
    <w:rsid w:val="00BF2ACE"/>
    <w:rsid w:val="00BF3D8D"/>
    <w:rsid w:val="00BF42F9"/>
    <w:rsid w:val="00BF53F6"/>
    <w:rsid w:val="00BF572D"/>
    <w:rsid w:val="00BF5DC9"/>
    <w:rsid w:val="00BF6F9E"/>
    <w:rsid w:val="00BF7E24"/>
    <w:rsid w:val="00C011CA"/>
    <w:rsid w:val="00C01338"/>
    <w:rsid w:val="00C013B1"/>
    <w:rsid w:val="00C01502"/>
    <w:rsid w:val="00C01DFE"/>
    <w:rsid w:val="00C022D3"/>
    <w:rsid w:val="00C026C9"/>
    <w:rsid w:val="00C0287E"/>
    <w:rsid w:val="00C02C66"/>
    <w:rsid w:val="00C02DE0"/>
    <w:rsid w:val="00C03129"/>
    <w:rsid w:val="00C032ED"/>
    <w:rsid w:val="00C0382D"/>
    <w:rsid w:val="00C03966"/>
    <w:rsid w:val="00C0410A"/>
    <w:rsid w:val="00C0467A"/>
    <w:rsid w:val="00C04AAC"/>
    <w:rsid w:val="00C04CF7"/>
    <w:rsid w:val="00C04FF7"/>
    <w:rsid w:val="00C0773B"/>
    <w:rsid w:val="00C078F1"/>
    <w:rsid w:val="00C07B74"/>
    <w:rsid w:val="00C10A5E"/>
    <w:rsid w:val="00C11239"/>
    <w:rsid w:val="00C1162C"/>
    <w:rsid w:val="00C11951"/>
    <w:rsid w:val="00C11B62"/>
    <w:rsid w:val="00C131BD"/>
    <w:rsid w:val="00C13A2F"/>
    <w:rsid w:val="00C13F26"/>
    <w:rsid w:val="00C13FE1"/>
    <w:rsid w:val="00C140EC"/>
    <w:rsid w:val="00C14828"/>
    <w:rsid w:val="00C15443"/>
    <w:rsid w:val="00C15BD5"/>
    <w:rsid w:val="00C15FC6"/>
    <w:rsid w:val="00C169B1"/>
    <w:rsid w:val="00C17417"/>
    <w:rsid w:val="00C17CAB"/>
    <w:rsid w:val="00C20249"/>
    <w:rsid w:val="00C2072E"/>
    <w:rsid w:val="00C2075D"/>
    <w:rsid w:val="00C20889"/>
    <w:rsid w:val="00C208DD"/>
    <w:rsid w:val="00C20FBA"/>
    <w:rsid w:val="00C214CD"/>
    <w:rsid w:val="00C21EA2"/>
    <w:rsid w:val="00C23734"/>
    <w:rsid w:val="00C240D1"/>
    <w:rsid w:val="00C24521"/>
    <w:rsid w:val="00C24A6D"/>
    <w:rsid w:val="00C24AC2"/>
    <w:rsid w:val="00C24B76"/>
    <w:rsid w:val="00C24C5D"/>
    <w:rsid w:val="00C26812"/>
    <w:rsid w:val="00C26C7A"/>
    <w:rsid w:val="00C30431"/>
    <w:rsid w:val="00C3099B"/>
    <w:rsid w:val="00C30BCF"/>
    <w:rsid w:val="00C30C63"/>
    <w:rsid w:val="00C312AD"/>
    <w:rsid w:val="00C31C29"/>
    <w:rsid w:val="00C321CA"/>
    <w:rsid w:val="00C32533"/>
    <w:rsid w:val="00C33CB8"/>
    <w:rsid w:val="00C34705"/>
    <w:rsid w:val="00C352BB"/>
    <w:rsid w:val="00C352DE"/>
    <w:rsid w:val="00C35403"/>
    <w:rsid w:val="00C35F43"/>
    <w:rsid w:val="00C36E61"/>
    <w:rsid w:val="00C374E6"/>
    <w:rsid w:val="00C378A1"/>
    <w:rsid w:val="00C37FFC"/>
    <w:rsid w:val="00C401AB"/>
    <w:rsid w:val="00C40DA0"/>
    <w:rsid w:val="00C4181F"/>
    <w:rsid w:val="00C42330"/>
    <w:rsid w:val="00C42697"/>
    <w:rsid w:val="00C436A2"/>
    <w:rsid w:val="00C437D1"/>
    <w:rsid w:val="00C43A69"/>
    <w:rsid w:val="00C4415B"/>
    <w:rsid w:val="00C4477F"/>
    <w:rsid w:val="00C448EB"/>
    <w:rsid w:val="00C44CF4"/>
    <w:rsid w:val="00C44D4F"/>
    <w:rsid w:val="00C45698"/>
    <w:rsid w:val="00C4583F"/>
    <w:rsid w:val="00C4586F"/>
    <w:rsid w:val="00C45EAB"/>
    <w:rsid w:val="00C472F1"/>
    <w:rsid w:val="00C4765D"/>
    <w:rsid w:val="00C4766D"/>
    <w:rsid w:val="00C47878"/>
    <w:rsid w:val="00C505CD"/>
    <w:rsid w:val="00C507B8"/>
    <w:rsid w:val="00C50BE4"/>
    <w:rsid w:val="00C51D34"/>
    <w:rsid w:val="00C51E49"/>
    <w:rsid w:val="00C52196"/>
    <w:rsid w:val="00C5222A"/>
    <w:rsid w:val="00C52B4A"/>
    <w:rsid w:val="00C53064"/>
    <w:rsid w:val="00C536B9"/>
    <w:rsid w:val="00C538FE"/>
    <w:rsid w:val="00C5496F"/>
    <w:rsid w:val="00C54D63"/>
    <w:rsid w:val="00C55198"/>
    <w:rsid w:val="00C5538E"/>
    <w:rsid w:val="00C5546F"/>
    <w:rsid w:val="00C55831"/>
    <w:rsid w:val="00C55979"/>
    <w:rsid w:val="00C55D2B"/>
    <w:rsid w:val="00C56070"/>
    <w:rsid w:val="00C56DA0"/>
    <w:rsid w:val="00C60340"/>
    <w:rsid w:val="00C603E9"/>
    <w:rsid w:val="00C606E1"/>
    <w:rsid w:val="00C61AD0"/>
    <w:rsid w:val="00C61FAC"/>
    <w:rsid w:val="00C620F4"/>
    <w:rsid w:val="00C62DA1"/>
    <w:rsid w:val="00C632A7"/>
    <w:rsid w:val="00C64194"/>
    <w:rsid w:val="00C646D9"/>
    <w:rsid w:val="00C648B2"/>
    <w:rsid w:val="00C65D2E"/>
    <w:rsid w:val="00C6652A"/>
    <w:rsid w:val="00C66860"/>
    <w:rsid w:val="00C66A42"/>
    <w:rsid w:val="00C67027"/>
    <w:rsid w:val="00C674C2"/>
    <w:rsid w:val="00C67C92"/>
    <w:rsid w:val="00C7024D"/>
    <w:rsid w:val="00C702D0"/>
    <w:rsid w:val="00C70368"/>
    <w:rsid w:val="00C71157"/>
    <w:rsid w:val="00C724A0"/>
    <w:rsid w:val="00C72B4E"/>
    <w:rsid w:val="00C72C73"/>
    <w:rsid w:val="00C73052"/>
    <w:rsid w:val="00C7323D"/>
    <w:rsid w:val="00C7334C"/>
    <w:rsid w:val="00C7340F"/>
    <w:rsid w:val="00C74008"/>
    <w:rsid w:val="00C741C5"/>
    <w:rsid w:val="00C75092"/>
    <w:rsid w:val="00C75F51"/>
    <w:rsid w:val="00C76E89"/>
    <w:rsid w:val="00C772D7"/>
    <w:rsid w:val="00C77554"/>
    <w:rsid w:val="00C775B8"/>
    <w:rsid w:val="00C804B2"/>
    <w:rsid w:val="00C80CA0"/>
    <w:rsid w:val="00C80FA9"/>
    <w:rsid w:val="00C811B2"/>
    <w:rsid w:val="00C81B8C"/>
    <w:rsid w:val="00C8249B"/>
    <w:rsid w:val="00C82983"/>
    <w:rsid w:val="00C83972"/>
    <w:rsid w:val="00C83E07"/>
    <w:rsid w:val="00C84033"/>
    <w:rsid w:val="00C84D46"/>
    <w:rsid w:val="00C85302"/>
    <w:rsid w:val="00C85A75"/>
    <w:rsid w:val="00C85CF8"/>
    <w:rsid w:val="00C86106"/>
    <w:rsid w:val="00C86BF5"/>
    <w:rsid w:val="00C86E4D"/>
    <w:rsid w:val="00C86FE6"/>
    <w:rsid w:val="00C87C00"/>
    <w:rsid w:val="00C91664"/>
    <w:rsid w:val="00C919EB"/>
    <w:rsid w:val="00C91A7A"/>
    <w:rsid w:val="00C91E95"/>
    <w:rsid w:val="00C91FBB"/>
    <w:rsid w:val="00C92A4A"/>
    <w:rsid w:val="00C932CA"/>
    <w:rsid w:val="00C9332A"/>
    <w:rsid w:val="00C936B4"/>
    <w:rsid w:val="00C937B2"/>
    <w:rsid w:val="00C94089"/>
    <w:rsid w:val="00C94522"/>
    <w:rsid w:val="00C94668"/>
    <w:rsid w:val="00C94F55"/>
    <w:rsid w:val="00C95523"/>
    <w:rsid w:val="00C9590D"/>
    <w:rsid w:val="00C95BDC"/>
    <w:rsid w:val="00C95E14"/>
    <w:rsid w:val="00C9618E"/>
    <w:rsid w:val="00C967DF"/>
    <w:rsid w:val="00C96CAE"/>
    <w:rsid w:val="00C96DAC"/>
    <w:rsid w:val="00C973BA"/>
    <w:rsid w:val="00C97EB1"/>
    <w:rsid w:val="00CA0673"/>
    <w:rsid w:val="00CA06CC"/>
    <w:rsid w:val="00CA0EC9"/>
    <w:rsid w:val="00CA0FB4"/>
    <w:rsid w:val="00CA12FA"/>
    <w:rsid w:val="00CA1A07"/>
    <w:rsid w:val="00CA21CF"/>
    <w:rsid w:val="00CA26E3"/>
    <w:rsid w:val="00CA388B"/>
    <w:rsid w:val="00CA38BB"/>
    <w:rsid w:val="00CA38CB"/>
    <w:rsid w:val="00CA3ED8"/>
    <w:rsid w:val="00CA417E"/>
    <w:rsid w:val="00CA47A5"/>
    <w:rsid w:val="00CA5938"/>
    <w:rsid w:val="00CA5B53"/>
    <w:rsid w:val="00CA5B7B"/>
    <w:rsid w:val="00CA66B4"/>
    <w:rsid w:val="00CA7490"/>
    <w:rsid w:val="00CB061E"/>
    <w:rsid w:val="00CB1028"/>
    <w:rsid w:val="00CB10EA"/>
    <w:rsid w:val="00CB1750"/>
    <w:rsid w:val="00CB17A2"/>
    <w:rsid w:val="00CB1F10"/>
    <w:rsid w:val="00CB204F"/>
    <w:rsid w:val="00CB20FC"/>
    <w:rsid w:val="00CB3A1C"/>
    <w:rsid w:val="00CB3E28"/>
    <w:rsid w:val="00CB4579"/>
    <w:rsid w:val="00CB4702"/>
    <w:rsid w:val="00CB531C"/>
    <w:rsid w:val="00CB6112"/>
    <w:rsid w:val="00CB6277"/>
    <w:rsid w:val="00CB6ED7"/>
    <w:rsid w:val="00CB7022"/>
    <w:rsid w:val="00CB7370"/>
    <w:rsid w:val="00CB7517"/>
    <w:rsid w:val="00CC0008"/>
    <w:rsid w:val="00CC0523"/>
    <w:rsid w:val="00CC080B"/>
    <w:rsid w:val="00CC0A5E"/>
    <w:rsid w:val="00CC0C20"/>
    <w:rsid w:val="00CC2513"/>
    <w:rsid w:val="00CC3B45"/>
    <w:rsid w:val="00CC3D52"/>
    <w:rsid w:val="00CC42A0"/>
    <w:rsid w:val="00CC4CA1"/>
    <w:rsid w:val="00CC575A"/>
    <w:rsid w:val="00CC5C12"/>
    <w:rsid w:val="00CC5FE2"/>
    <w:rsid w:val="00CC68F0"/>
    <w:rsid w:val="00CC6D8D"/>
    <w:rsid w:val="00CC7952"/>
    <w:rsid w:val="00CC7BCC"/>
    <w:rsid w:val="00CD0033"/>
    <w:rsid w:val="00CD01DC"/>
    <w:rsid w:val="00CD026E"/>
    <w:rsid w:val="00CD064C"/>
    <w:rsid w:val="00CD06C8"/>
    <w:rsid w:val="00CD06F8"/>
    <w:rsid w:val="00CD0804"/>
    <w:rsid w:val="00CD0A04"/>
    <w:rsid w:val="00CD1EA0"/>
    <w:rsid w:val="00CD2866"/>
    <w:rsid w:val="00CD2A14"/>
    <w:rsid w:val="00CD3491"/>
    <w:rsid w:val="00CD3C43"/>
    <w:rsid w:val="00CD400C"/>
    <w:rsid w:val="00CD41A5"/>
    <w:rsid w:val="00CD4895"/>
    <w:rsid w:val="00CD4AB7"/>
    <w:rsid w:val="00CD4C42"/>
    <w:rsid w:val="00CD51ED"/>
    <w:rsid w:val="00CD57D7"/>
    <w:rsid w:val="00CD593D"/>
    <w:rsid w:val="00CE0036"/>
    <w:rsid w:val="00CE0329"/>
    <w:rsid w:val="00CE0521"/>
    <w:rsid w:val="00CE1C7D"/>
    <w:rsid w:val="00CE256A"/>
    <w:rsid w:val="00CE3F30"/>
    <w:rsid w:val="00CE3F4B"/>
    <w:rsid w:val="00CE4C79"/>
    <w:rsid w:val="00CE595A"/>
    <w:rsid w:val="00CE67BB"/>
    <w:rsid w:val="00CE70C1"/>
    <w:rsid w:val="00CE710B"/>
    <w:rsid w:val="00CE710E"/>
    <w:rsid w:val="00CE7813"/>
    <w:rsid w:val="00CE7B98"/>
    <w:rsid w:val="00CF02CB"/>
    <w:rsid w:val="00CF034F"/>
    <w:rsid w:val="00CF03C3"/>
    <w:rsid w:val="00CF0D20"/>
    <w:rsid w:val="00CF18CB"/>
    <w:rsid w:val="00CF1EC9"/>
    <w:rsid w:val="00CF204B"/>
    <w:rsid w:val="00CF2224"/>
    <w:rsid w:val="00CF2E30"/>
    <w:rsid w:val="00CF2FB3"/>
    <w:rsid w:val="00CF3012"/>
    <w:rsid w:val="00CF3429"/>
    <w:rsid w:val="00CF34E6"/>
    <w:rsid w:val="00CF3B88"/>
    <w:rsid w:val="00CF3B90"/>
    <w:rsid w:val="00CF4A9C"/>
    <w:rsid w:val="00CF502B"/>
    <w:rsid w:val="00CF530E"/>
    <w:rsid w:val="00CF53CF"/>
    <w:rsid w:val="00CF5985"/>
    <w:rsid w:val="00CF5F50"/>
    <w:rsid w:val="00CF6452"/>
    <w:rsid w:val="00CF664B"/>
    <w:rsid w:val="00CF66A2"/>
    <w:rsid w:val="00CF6D72"/>
    <w:rsid w:val="00D00468"/>
    <w:rsid w:val="00D019EC"/>
    <w:rsid w:val="00D01AB1"/>
    <w:rsid w:val="00D023FF"/>
    <w:rsid w:val="00D02A2B"/>
    <w:rsid w:val="00D03A48"/>
    <w:rsid w:val="00D04638"/>
    <w:rsid w:val="00D059BE"/>
    <w:rsid w:val="00D05C25"/>
    <w:rsid w:val="00D06352"/>
    <w:rsid w:val="00D063B6"/>
    <w:rsid w:val="00D06685"/>
    <w:rsid w:val="00D07778"/>
    <w:rsid w:val="00D07C34"/>
    <w:rsid w:val="00D10015"/>
    <w:rsid w:val="00D1089A"/>
    <w:rsid w:val="00D10986"/>
    <w:rsid w:val="00D12096"/>
    <w:rsid w:val="00D12B69"/>
    <w:rsid w:val="00D1381C"/>
    <w:rsid w:val="00D14393"/>
    <w:rsid w:val="00D145EE"/>
    <w:rsid w:val="00D14D3C"/>
    <w:rsid w:val="00D15045"/>
    <w:rsid w:val="00D15A88"/>
    <w:rsid w:val="00D15F31"/>
    <w:rsid w:val="00D160BE"/>
    <w:rsid w:val="00D1664F"/>
    <w:rsid w:val="00D16C32"/>
    <w:rsid w:val="00D16D4A"/>
    <w:rsid w:val="00D17B63"/>
    <w:rsid w:val="00D20CE6"/>
    <w:rsid w:val="00D20F0D"/>
    <w:rsid w:val="00D21C38"/>
    <w:rsid w:val="00D225CB"/>
    <w:rsid w:val="00D227CA"/>
    <w:rsid w:val="00D22CCA"/>
    <w:rsid w:val="00D23334"/>
    <w:rsid w:val="00D236EC"/>
    <w:rsid w:val="00D23E1C"/>
    <w:rsid w:val="00D23E7C"/>
    <w:rsid w:val="00D24A24"/>
    <w:rsid w:val="00D25101"/>
    <w:rsid w:val="00D252D3"/>
    <w:rsid w:val="00D257C0"/>
    <w:rsid w:val="00D25CD6"/>
    <w:rsid w:val="00D25EC9"/>
    <w:rsid w:val="00D26030"/>
    <w:rsid w:val="00D263DF"/>
    <w:rsid w:val="00D270AC"/>
    <w:rsid w:val="00D272B0"/>
    <w:rsid w:val="00D278BF"/>
    <w:rsid w:val="00D279F5"/>
    <w:rsid w:val="00D27B29"/>
    <w:rsid w:val="00D27F6B"/>
    <w:rsid w:val="00D30546"/>
    <w:rsid w:val="00D31F68"/>
    <w:rsid w:val="00D3250C"/>
    <w:rsid w:val="00D330E0"/>
    <w:rsid w:val="00D337F2"/>
    <w:rsid w:val="00D339C7"/>
    <w:rsid w:val="00D33D62"/>
    <w:rsid w:val="00D34576"/>
    <w:rsid w:val="00D34D8C"/>
    <w:rsid w:val="00D35743"/>
    <w:rsid w:val="00D35A7D"/>
    <w:rsid w:val="00D35BA7"/>
    <w:rsid w:val="00D35E93"/>
    <w:rsid w:val="00D35F66"/>
    <w:rsid w:val="00D3651A"/>
    <w:rsid w:val="00D36589"/>
    <w:rsid w:val="00D36D99"/>
    <w:rsid w:val="00D404A7"/>
    <w:rsid w:val="00D40729"/>
    <w:rsid w:val="00D408AD"/>
    <w:rsid w:val="00D40D70"/>
    <w:rsid w:val="00D40D76"/>
    <w:rsid w:val="00D40F2B"/>
    <w:rsid w:val="00D41050"/>
    <w:rsid w:val="00D417C9"/>
    <w:rsid w:val="00D41DAD"/>
    <w:rsid w:val="00D428DF"/>
    <w:rsid w:val="00D42F09"/>
    <w:rsid w:val="00D43156"/>
    <w:rsid w:val="00D432A1"/>
    <w:rsid w:val="00D43732"/>
    <w:rsid w:val="00D43EB6"/>
    <w:rsid w:val="00D43EFA"/>
    <w:rsid w:val="00D44369"/>
    <w:rsid w:val="00D45529"/>
    <w:rsid w:val="00D45FF8"/>
    <w:rsid w:val="00D47146"/>
    <w:rsid w:val="00D5044E"/>
    <w:rsid w:val="00D5056E"/>
    <w:rsid w:val="00D50698"/>
    <w:rsid w:val="00D50702"/>
    <w:rsid w:val="00D511BA"/>
    <w:rsid w:val="00D512A9"/>
    <w:rsid w:val="00D512ED"/>
    <w:rsid w:val="00D51651"/>
    <w:rsid w:val="00D51F95"/>
    <w:rsid w:val="00D53EB5"/>
    <w:rsid w:val="00D54753"/>
    <w:rsid w:val="00D54FFE"/>
    <w:rsid w:val="00D56A8E"/>
    <w:rsid w:val="00D56C32"/>
    <w:rsid w:val="00D56C66"/>
    <w:rsid w:val="00D575BB"/>
    <w:rsid w:val="00D5795C"/>
    <w:rsid w:val="00D6045C"/>
    <w:rsid w:val="00D610F1"/>
    <w:rsid w:val="00D613F4"/>
    <w:rsid w:val="00D62031"/>
    <w:rsid w:val="00D622EE"/>
    <w:rsid w:val="00D62B1E"/>
    <w:rsid w:val="00D62B66"/>
    <w:rsid w:val="00D6302D"/>
    <w:rsid w:val="00D63371"/>
    <w:rsid w:val="00D63ECF"/>
    <w:rsid w:val="00D64099"/>
    <w:rsid w:val="00D640EC"/>
    <w:rsid w:val="00D6435F"/>
    <w:rsid w:val="00D66AB4"/>
    <w:rsid w:val="00D66DD9"/>
    <w:rsid w:val="00D66E4D"/>
    <w:rsid w:val="00D67445"/>
    <w:rsid w:val="00D67968"/>
    <w:rsid w:val="00D70BAE"/>
    <w:rsid w:val="00D71091"/>
    <w:rsid w:val="00D71481"/>
    <w:rsid w:val="00D714F4"/>
    <w:rsid w:val="00D720BD"/>
    <w:rsid w:val="00D728A9"/>
    <w:rsid w:val="00D73038"/>
    <w:rsid w:val="00D7376F"/>
    <w:rsid w:val="00D73FD6"/>
    <w:rsid w:val="00D75274"/>
    <w:rsid w:val="00D76A01"/>
    <w:rsid w:val="00D76A21"/>
    <w:rsid w:val="00D772BF"/>
    <w:rsid w:val="00D77545"/>
    <w:rsid w:val="00D77576"/>
    <w:rsid w:val="00D77687"/>
    <w:rsid w:val="00D800BD"/>
    <w:rsid w:val="00D8032F"/>
    <w:rsid w:val="00D80568"/>
    <w:rsid w:val="00D809B9"/>
    <w:rsid w:val="00D80CEA"/>
    <w:rsid w:val="00D80F10"/>
    <w:rsid w:val="00D81323"/>
    <w:rsid w:val="00D81C2D"/>
    <w:rsid w:val="00D82AC2"/>
    <w:rsid w:val="00D82D9B"/>
    <w:rsid w:val="00D82FAA"/>
    <w:rsid w:val="00D83067"/>
    <w:rsid w:val="00D8314A"/>
    <w:rsid w:val="00D841F6"/>
    <w:rsid w:val="00D848CD"/>
    <w:rsid w:val="00D84C71"/>
    <w:rsid w:val="00D84E98"/>
    <w:rsid w:val="00D8515B"/>
    <w:rsid w:val="00D85925"/>
    <w:rsid w:val="00D859B0"/>
    <w:rsid w:val="00D85CF9"/>
    <w:rsid w:val="00D85D49"/>
    <w:rsid w:val="00D85D6D"/>
    <w:rsid w:val="00D85E8A"/>
    <w:rsid w:val="00D87BE7"/>
    <w:rsid w:val="00D87FA4"/>
    <w:rsid w:val="00D902E2"/>
    <w:rsid w:val="00D9119D"/>
    <w:rsid w:val="00D91F43"/>
    <w:rsid w:val="00D92C20"/>
    <w:rsid w:val="00D93197"/>
    <w:rsid w:val="00D93462"/>
    <w:rsid w:val="00D93722"/>
    <w:rsid w:val="00D9390B"/>
    <w:rsid w:val="00D93C86"/>
    <w:rsid w:val="00D95608"/>
    <w:rsid w:val="00D9690E"/>
    <w:rsid w:val="00D96E55"/>
    <w:rsid w:val="00D9719B"/>
    <w:rsid w:val="00D97D10"/>
    <w:rsid w:val="00DA04A2"/>
    <w:rsid w:val="00DA04A4"/>
    <w:rsid w:val="00DA074F"/>
    <w:rsid w:val="00DA1147"/>
    <w:rsid w:val="00DA11A0"/>
    <w:rsid w:val="00DA16E6"/>
    <w:rsid w:val="00DA19AA"/>
    <w:rsid w:val="00DA1E97"/>
    <w:rsid w:val="00DA215C"/>
    <w:rsid w:val="00DA242A"/>
    <w:rsid w:val="00DA254F"/>
    <w:rsid w:val="00DA25E5"/>
    <w:rsid w:val="00DA2E9B"/>
    <w:rsid w:val="00DA3F21"/>
    <w:rsid w:val="00DA4042"/>
    <w:rsid w:val="00DA4735"/>
    <w:rsid w:val="00DA4BA7"/>
    <w:rsid w:val="00DA4BF1"/>
    <w:rsid w:val="00DA4EEA"/>
    <w:rsid w:val="00DA5109"/>
    <w:rsid w:val="00DA55A7"/>
    <w:rsid w:val="00DA5744"/>
    <w:rsid w:val="00DA5A64"/>
    <w:rsid w:val="00DA5ABF"/>
    <w:rsid w:val="00DA6533"/>
    <w:rsid w:val="00DA65DF"/>
    <w:rsid w:val="00DA79D4"/>
    <w:rsid w:val="00DA7AA8"/>
    <w:rsid w:val="00DA7EE8"/>
    <w:rsid w:val="00DB0061"/>
    <w:rsid w:val="00DB031D"/>
    <w:rsid w:val="00DB03A9"/>
    <w:rsid w:val="00DB123C"/>
    <w:rsid w:val="00DB16CA"/>
    <w:rsid w:val="00DB185E"/>
    <w:rsid w:val="00DB1DB9"/>
    <w:rsid w:val="00DB29F7"/>
    <w:rsid w:val="00DB2ABD"/>
    <w:rsid w:val="00DB2F70"/>
    <w:rsid w:val="00DB33F6"/>
    <w:rsid w:val="00DB40DD"/>
    <w:rsid w:val="00DB487F"/>
    <w:rsid w:val="00DB4942"/>
    <w:rsid w:val="00DB505B"/>
    <w:rsid w:val="00DB57EF"/>
    <w:rsid w:val="00DB61DC"/>
    <w:rsid w:val="00DB6E90"/>
    <w:rsid w:val="00DB6F90"/>
    <w:rsid w:val="00DB7898"/>
    <w:rsid w:val="00DB7A36"/>
    <w:rsid w:val="00DC00A1"/>
    <w:rsid w:val="00DC0968"/>
    <w:rsid w:val="00DC1956"/>
    <w:rsid w:val="00DC1B12"/>
    <w:rsid w:val="00DC1DBD"/>
    <w:rsid w:val="00DC333A"/>
    <w:rsid w:val="00DC3544"/>
    <w:rsid w:val="00DC3E48"/>
    <w:rsid w:val="00DC51C0"/>
    <w:rsid w:val="00DC5C81"/>
    <w:rsid w:val="00DC61C4"/>
    <w:rsid w:val="00DC621F"/>
    <w:rsid w:val="00DC644F"/>
    <w:rsid w:val="00DC656E"/>
    <w:rsid w:val="00DC6691"/>
    <w:rsid w:val="00DC6A6C"/>
    <w:rsid w:val="00DC6B12"/>
    <w:rsid w:val="00DC74EF"/>
    <w:rsid w:val="00DC7C62"/>
    <w:rsid w:val="00DC7E4D"/>
    <w:rsid w:val="00DD06CF"/>
    <w:rsid w:val="00DD1925"/>
    <w:rsid w:val="00DD19EE"/>
    <w:rsid w:val="00DD2C0A"/>
    <w:rsid w:val="00DD34B5"/>
    <w:rsid w:val="00DD419B"/>
    <w:rsid w:val="00DD4654"/>
    <w:rsid w:val="00DD7D14"/>
    <w:rsid w:val="00DD7EA1"/>
    <w:rsid w:val="00DE0CB1"/>
    <w:rsid w:val="00DE12A8"/>
    <w:rsid w:val="00DE1360"/>
    <w:rsid w:val="00DE15A8"/>
    <w:rsid w:val="00DE1871"/>
    <w:rsid w:val="00DE1AB4"/>
    <w:rsid w:val="00DE2433"/>
    <w:rsid w:val="00DE2759"/>
    <w:rsid w:val="00DE2CC2"/>
    <w:rsid w:val="00DE2CC6"/>
    <w:rsid w:val="00DE35BB"/>
    <w:rsid w:val="00DE37A7"/>
    <w:rsid w:val="00DE529F"/>
    <w:rsid w:val="00DE56C1"/>
    <w:rsid w:val="00DE5DC3"/>
    <w:rsid w:val="00DE5E7E"/>
    <w:rsid w:val="00DE5FCA"/>
    <w:rsid w:val="00DE698B"/>
    <w:rsid w:val="00DE7BCF"/>
    <w:rsid w:val="00DE7C48"/>
    <w:rsid w:val="00DE7DC2"/>
    <w:rsid w:val="00DF0B39"/>
    <w:rsid w:val="00DF13AE"/>
    <w:rsid w:val="00DF14B9"/>
    <w:rsid w:val="00DF2B8F"/>
    <w:rsid w:val="00DF3128"/>
    <w:rsid w:val="00DF34EE"/>
    <w:rsid w:val="00DF40C3"/>
    <w:rsid w:val="00DF49A1"/>
    <w:rsid w:val="00DF4CE7"/>
    <w:rsid w:val="00DF545B"/>
    <w:rsid w:val="00DF5761"/>
    <w:rsid w:val="00DF59FD"/>
    <w:rsid w:val="00DF62DB"/>
    <w:rsid w:val="00DF6752"/>
    <w:rsid w:val="00DF755E"/>
    <w:rsid w:val="00DF7DD3"/>
    <w:rsid w:val="00E000A7"/>
    <w:rsid w:val="00E003AF"/>
    <w:rsid w:val="00E005C0"/>
    <w:rsid w:val="00E00B84"/>
    <w:rsid w:val="00E0135D"/>
    <w:rsid w:val="00E01DBB"/>
    <w:rsid w:val="00E0228D"/>
    <w:rsid w:val="00E02406"/>
    <w:rsid w:val="00E0367A"/>
    <w:rsid w:val="00E04353"/>
    <w:rsid w:val="00E049C3"/>
    <w:rsid w:val="00E05A08"/>
    <w:rsid w:val="00E05A5D"/>
    <w:rsid w:val="00E05DAC"/>
    <w:rsid w:val="00E05F76"/>
    <w:rsid w:val="00E0712E"/>
    <w:rsid w:val="00E0728C"/>
    <w:rsid w:val="00E077E8"/>
    <w:rsid w:val="00E10AE9"/>
    <w:rsid w:val="00E10D8E"/>
    <w:rsid w:val="00E10E25"/>
    <w:rsid w:val="00E110A5"/>
    <w:rsid w:val="00E11280"/>
    <w:rsid w:val="00E11631"/>
    <w:rsid w:val="00E11E6C"/>
    <w:rsid w:val="00E12175"/>
    <w:rsid w:val="00E12DB5"/>
    <w:rsid w:val="00E133AC"/>
    <w:rsid w:val="00E14B50"/>
    <w:rsid w:val="00E1504A"/>
    <w:rsid w:val="00E15B39"/>
    <w:rsid w:val="00E15B3B"/>
    <w:rsid w:val="00E160BF"/>
    <w:rsid w:val="00E1646D"/>
    <w:rsid w:val="00E16DEC"/>
    <w:rsid w:val="00E16FED"/>
    <w:rsid w:val="00E17062"/>
    <w:rsid w:val="00E20037"/>
    <w:rsid w:val="00E20249"/>
    <w:rsid w:val="00E20367"/>
    <w:rsid w:val="00E207AD"/>
    <w:rsid w:val="00E213B0"/>
    <w:rsid w:val="00E21BB2"/>
    <w:rsid w:val="00E223AF"/>
    <w:rsid w:val="00E2297E"/>
    <w:rsid w:val="00E2370E"/>
    <w:rsid w:val="00E238C4"/>
    <w:rsid w:val="00E23B0D"/>
    <w:rsid w:val="00E23D64"/>
    <w:rsid w:val="00E23FE0"/>
    <w:rsid w:val="00E2413A"/>
    <w:rsid w:val="00E24897"/>
    <w:rsid w:val="00E24DB0"/>
    <w:rsid w:val="00E2598B"/>
    <w:rsid w:val="00E26385"/>
    <w:rsid w:val="00E2670B"/>
    <w:rsid w:val="00E26AD6"/>
    <w:rsid w:val="00E26B0B"/>
    <w:rsid w:val="00E27D6A"/>
    <w:rsid w:val="00E27DC0"/>
    <w:rsid w:val="00E30191"/>
    <w:rsid w:val="00E304E9"/>
    <w:rsid w:val="00E3076C"/>
    <w:rsid w:val="00E30DAE"/>
    <w:rsid w:val="00E31156"/>
    <w:rsid w:val="00E31B21"/>
    <w:rsid w:val="00E31B4C"/>
    <w:rsid w:val="00E31F13"/>
    <w:rsid w:val="00E32840"/>
    <w:rsid w:val="00E32C5E"/>
    <w:rsid w:val="00E32CE0"/>
    <w:rsid w:val="00E335FC"/>
    <w:rsid w:val="00E33BB3"/>
    <w:rsid w:val="00E355F7"/>
    <w:rsid w:val="00E364E8"/>
    <w:rsid w:val="00E36535"/>
    <w:rsid w:val="00E368D1"/>
    <w:rsid w:val="00E36B51"/>
    <w:rsid w:val="00E37223"/>
    <w:rsid w:val="00E37E0B"/>
    <w:rsid w:val="00E4223E"/>
    <w:rsid w:val="00E4396A"/>
    <w:rsid w:val="00E43B69"/>
    <w:rsid w:val="00E4454E"/>
    <w:rsid w:val="00E44DF6"/>
    <w:rsid w:val="00E450CD"/>
    <w:rsid w:val="00E4578B"/>
    <w:rsid w:val="00E45AAD"/>
    <w:rsid w:val="00E465F8"/>
    <w:rsid w:val="00E47BFE"/>
    <w:rsid w:val="00E5022D"/>
    <w:rsid w:val="00E505B7"/>
    <w:rsid w:val="00E507E6"/>
    <w:rsid w:val="00E50A93"/>
    <w:rsid w:val="00E50B77"/>
    <w:rsid w:val="00E5191E"/>
    <w:rsid w:val="00E51C7A"/>
    <w:rsid w:val="00E51D75"/>
    <w:rsid w:val="00E5236F"/>
    <w:rsid w:val="00E52414"/>
    <w:rsid w:val="00E53276"/>
    <w:rsid w:val="00E53973"/>
    <w:rsid w:val="00E53A3F"/>
    <w:rsid w:val="00E54606"/>
    <w:rsid w:val="00E5511D"/>
    <w:rsid w:val="00E553E8"/>
    <w:rsid w:val="00E5628A"/>
    <w:rsid w:val="00E565C5"/>
    <w:rsid w:val="00E56EFE"/>
    <w:rsid w:val="00E57752"/>
    <w:rsid w:val="00E5776C"/>
    <w:rsid w:val="00E57E50"/>
    <w:rsid w:val="00E610A3"/>
    <w:rsid w:val="00E61BAE"/>
    <w:rsid w:val="00E62C85"/>
    <w:rsid w:val="00E63A2B"/>
    <w:rsid w:val="00E63FBD"/>
    <w:rsid w:val="00E64954"/>
    <w:rsid w:val="00E64F60"/>
    <w:rsid w:val="00E6561A"/>
    <w:rsid w:val="00E65936"/>
    <w:rsid w:val="00E6645B"/>
    <w:rsid w:val="00E67CA2"/>
    <w:rsid w:val="00E70105"/>
    <w:rsid w:val="00E70227"/>
    <w:rsid w:val="00E708C2"/>
    <w:rsid w:val="00E70917"/>
    <w:rsid w:val="00E71167"/>
    <w:rsid w:val="00E71781"/>
    <w:rsid w:val="00E71A49"/>
    <w:rsid w:val="00E71F2B"/>
    <w:rsid w:val="00E7216C"/>
    <w:rsid w:val="00E721C1"/>
    <w:rsid w:val="00E7277D"/>
    <w:rsid w:val="00E728CB"/>
    <w:rsid w:val="00E731BF"/>
    <w:rsid w:val="00E734D8"/>
    <w:rsid w:val="00E74087"/>
    <w:rsid w:val="00E740CD"/>
    <w:rsid w:val="00E741F3"/>
    <w:rsid w:val="00E745BE"/>
    <w:rsid w:val="00E74A78"/>
    <w:rsid w:val="00E750EA"/>
    <w:rsid w:val="00E75382"/>
    <w:rsid w:val="00E75880"/>
    <w:rsid w:val="00E764DE"/>
    <w:rsid w:val="00E76B41"/>
    <w:rsid w:val="00E77214"/>
    <w:rsid w:val="00E77A6F"/>
    <w:rsid w:val="00E77B55"/>
    <w:rsid w:val="00E77E72"/>
    <w:rsid w:val="00E77F9C"/>
    <w:rsid w:val="00E80348"/>
    <w:rsid w:val="00E80B78"/>
    <w:rsid w:val="00E80BD4"/>
    <w:rsid w:val="00E8253C"/>
    <w:rsid w:val="00E82F4C"/>
    <w:rsid w:val="00E83848"/>
    <w:rsid w:val="00E83CD1"/>
    <w:rsid w:val="00E84D61"/>
    <w:rsid w:val="00E856E4"/>
    <w:rsid w:val="00E86A05"/>
    <w:rsid w:val="00E875C8"/>
    <w:rsid w:val="00E878C3"/>
    <w:rsid w:val="00E87FE7"/>
    <w:rsid w:val="00E9006D"/>
    <w:rsid w:val="00E90590"/>
    <w:rsid w:val="00E9080F"/>
    <w:rsid w:val="00E91043"/>
    <w:rsid w:val="00E9122A"/>
    <w:rsid w:val="00E91FD5"/>
    <w:rsid w:val="00E91FF4"/>
    <w:rsid w:val="00E931A5"/>
    <w:rsid w:val="00E93438"/>
    <w:rsid w:val="00E9392A"/>
    <w:rsid w:val="00E94F1D"/>
    <w:rsid w:val="00E954E2"/>
    <w:rsid w:val="00E95930"/>
    <w:rsid w:val="00E9643A"/>
    <w:rsid w:val="00E96D24"/>
    <w:rsid w:val="00E97335"/>
    <w:rsid w:val="00EA048E"/>
    <w:rsid w:val="00EA0DB7"/>
    <w:rsid w:val="00EA0E50"/>
    <w:rsid w:val="00EA12DC"/>
    <w:rsid w:val="00EA151B"/>
    <w:rsid w:val="00EA1867"/>
    <w:rsid w:val="00EA2CEB"/>
    <w:rsid w:val="00EA4137"/>
    <w:rsid w:val="00EA4476"/>
    <w:rsid w:val="00EA49E9"/>
    <w:rsid w:val="00EA5230"/>
    <w:rsid w:val="00EA53A8"/>
    <w:rsid w:val="00EA5458"/>
    <w:rsid w:val="00EA5638"/>
    <w:rsid w:val="00EA5647"/>
    <w:rsid w:val="00EA5759"/>
    <w:rsid w:val="00EA581E"/>
    <w:rsid w:val="00EA6699"/>
    <w:rsid w:val="00EA77C7"/>
    <w:rsid w:val="00EA7985"/>
    <w:rsid w:val="00EA7AA6"/>
    <w:rsid w:val="00EA7CD8"/>
    <w:rsid w:val="00EA7CF5"/>
    <w:rsid w:val="00EB02AC"/>
    <w:rsid w:val="00EB0B95"/>
    <w:rsid w:val="00EB12C0"/>
    <w:rsid w:val="00EB16A2"/>
    <w:rsid w:val="00EB16C6"/>
    <w:rsid w:val="00EB1995"/>
    <w:rsid w:val="00EB1A33"/>
    <w:rsid w:val="00EB1F44"/>
    <w:rsid w:val="00EB2047"/>
    <w:rsid w:val="00EB2615"/>
    <w:rsid w:val="00EB26ED"/>
    <w:rsid w:val="00EB27D3"/>
    <w:rsid w:val="00EB2F99"/>
    <w:rsid w:val="00EB2FD0"/>
    <w:rsid w:val="00EB37CE"/>
    <w:rsid w:val="00EB39A8"/>
    <w:rsid w:val="00EB3C71"/>
    <w:rsid w:val="00EB3E6A"/>
    <w:rsid w:val="00EB402A"/>
    <w:rsid w:val="00EB5300"/>
    <w:rsid w:val="00EB6B0B"/>
    <w:rsid w:val="00EB72C4"/>
    <w:rsid w:val="00EB73BD"/>
    <w:rsid w:val="00EB7758"/>
    <w:rsid w:val="00EB778F"/>
    <w:rsid w:val="00EB7A0C"/>
    <w:rsid w:val="00EB7C98"/>
    <w:rsid w:val="00EC10C8"/>
    <w:rsid w:val="00EC1542"/>
    <w:rsid w:val="00EC250C"/>
    <w:rsid w:val="00EC2567"/>
    <w:rsid w:val="00EC2745"/>
    <w:rsid w:val="00EC34F6"/>
    <w:rsid w:val="00EC38FF"/>
    <w:rsid w:val="00EC3CF0"/>
    <w:rsid w:val="00EC4685"/>
    <w:rsid w:val="00EC53F1"/>
    <w:rsid w:val="00EC55CA"/>
    <w:rsid w:val="00EC55D0"/>
    <w:rsid w:val="00EC5688"/>
    <w:rsid w:val="00EC5BB6"/>
    <w:rsid w:val="00EC5EC6"/>
    <w:rsid w:val="00EC6CD5"/>
    <w:rsid w:val="00EC6D59"/>
    <w:rsid w:val="00EC7FA7"/>
    <w:rsid w:val="00ED01BC"/>
    <w:rsid w:val="00ED0A62"/>
    <w:rsid w:val="00ED0B04"/>
    <w:rsid w:val="00ED0B2B"/>
    <w:rsid w:val="00ED1083"/>
    <w:rsid w:val="00ED15A7"/>
    <w:rsid w:val="00ED1F44"/>
    <w:rsid w:val="00ED1F73"/>
    <w:rsid w:val="00ED25E5"/>
    <w:rsid w:val="00ED2DF3"/>
    <w:rsid w:val="00ED2F4B"/>
    <w:rsid w:val="00ED309C"/>
    <w:rsid w:val="00ED3730"/>
    <w:rsid w:val="00ED3B57"/>
    <w:rsid w:val="00ED3CD5"/>
    <w:rsid w:val="00ED46EE"/>
    <w:rsid w:val="00ED4868"/>
    <w:rsid w:val="00ED53FF"/>
    <w:rsid w:val="00ED585B"/>
    <w:rsid w:val="00ED5946"/>
    <w:rsid w:val="00ED5C4A"/>
    <w:rsid w:val="00ED66CD"/>
    <w:rsid w:val="00ED6CC4"/>
    <w:rsid w:val="00ED7230"/>
    <w:rsid w:val="00EE012B"/>
    <w:rsid w:val="00EE02FA"/>
    <w:rsid w:val="00EE103D"/>
    <w:rsid w:val="00EE1188"/>
    <w:rsid w:val="00EE15E6"/>
    <w:rsid w:val="00EE24FC"/>
    <w:rsid w:val="00EE2D06"/>
    <w:rsid w:val="00EE3226"/>
    <w:rsid w:val="00EE4334"/>
    <w:rsid w:val="00EE453F"/>
    <w:rsid w:val="00EE50CB"/>
    <w:rsid w:val="00EE568D"/>
    <w:rsid w:val="00EE5C6C"/>
    <w:rsid w:val="00EE65A8"/>
    <w:rsid w:val="00EE6835"/>
    <w:rsid w:val="00EE69B0"/>
    <w:rsid w:val="00EE6AE3"/>
    <w:rsid w:val="00EE762E"/>
    <w:rsid w:val="00EE7632"/>
    <w:rsid w:val="00EE77F8"/>
    <w:rsid w:val="00EE7997"/>
    <w:rsid w:val="00EE7BBF"/>
    <w:rsid w:val="00EE7D73"/>
    <w:rsid w:val="00EE7D94"/>
    <w:rsid w:val="00EF15C1"/>
    <w:rsid w:val="00EF214C"/>
    <w:rsid w:val="00EF22B2"/>
    <w:rsid w:val="00EF2BA7"/>
    <w:rsid w:val="00EF2E40"/>
    <w:rsid w:val="00EF329F"/>
    <w:rsid w:val="00EF32D1"/>
    <w:rsid w:val="00EF3565"/>
    <w:rsid w:val="00EF394F"/>
    <w:rsid w:val="00EF3B4F"/>
    <w:rsid w:val="00EF4755"/>
    <w:rsid w:val="00EF475C"/>
    <w:rsid w:val="00EF4EC8"/>
    <w:rsid w:val="00EF4F41"/>
    <w:rsid w:val="00EF59B5"/>
    <w:rsid w:val="00EF5A86"/>
    <w:rsid w:val="00EF6263"/>
    <w:rsid w:val="00EF75E0"/>
    <w:rsid w:val="00EF75FC"/>
    <w:rsid w:val="00EF78F5"/>
    <w:rsid w:val="00EF7A3F"/>
    <w:rsid w:val="00EF7EE9"/>
    <w:rsid w:val="00F00C61"/>
    <w:rsid w:val="00F015AC"/>
    <w:rsid w:val="00F01DE9"/>
    <w:rsid w:val="00F028FA"/>
    <w:rsid w:val="00F02F86"/>
    <w:rsid w:val="00F02FF8"/>
    <w:rsid w:val="00F03CB4"/>
    <w:rsid w:val="00F04C96"/>
    <w:rsid w:val="00F04DB2"/>
    <w:rsid w:val="00F0535C"/>
    <w:rsid w:val="00F06007"/>
    <w:rsid w:val="00F060A6"/>
    <w:rsid w:val="00F0616C"/>
    <w:rsid w:val="00F06733"/>
    <w:rsid w:val="00F06F1B"/>
    <w:rsid w:val="00F071EB"/>
    <w:rsid w:val="00F077F0"/>
    <w:rsid w:val="00F078F3"/>
    <w:rsid w:val="00F07A71"/>
    <w:rsid w:val="00F10039"/>
    <w:rsid w:val="00F10E2C"/>
    <w:rsid w:val="00F10F48"/>
    <w:rsid w:val="00F121A4"/>
    <w:rsid w:val="00F12903"/>
    <w:rsid w:val="00F13344"/>
    <w:rsid w:val="00F13C5E"/>
    <w:rsid w:val="00F13D64"/>
    <w:rsid w:val="00F145DC"/>
    <w:rsid w:val="00F15800"/>
    <w:rsid w:val="00F15E90"/>
    <w:rsid w:val="00F1613E"/>
    <w:rsid w:val="00F16413"/>
    <w:rsid w:val="00F165F7"/>
    <w:rsid w:val="00F168C7"/>
    <w:rsid w:val="00F1711E"/>
    <w:rsid w:val="00F1715E"/>
    <w:rsid w:val="00F171FE"/>
    <w:rsid w:val="00F2022B"/>
    <w:rsid w:val="00F20F68"/>
    <w:rsid w:val="00F210E5"/>
    <w:rsid w:val="00F21AA1"/>
    <w:rsid w:val="00F21B29"/>
    <w:rsid w:val="00F21BC8"/>
    <w:rsid w:val="00F22055"/>
    <w:rsid w:val="00F22C6B"/>
    <w:rsid w:val="00F2360C"/>
    <w:rsid w:val="00F23D09"/>
    <w:rsid w:val="00F24815"/>
    <w:rsid w:val="00F2487A"/>
    <w:rsid w:val="00F2590B"/>
    <w:rsid w:val="00F259DF"/>
    <w:rsid w:val="00F25B9C"/>
    <w:rsid w:val="00F261A9"/>
    <w:rsid w:val="00F26317"/>
    <w:rsid w:val="00F265DB"/>
    <w:rsid w:val="00F2664B"/>
    <w:rsid w:val="00F2679E"/>
    <w:rsid w:val="00F268D9"/>
    <w:rsid w:val="00F27224"/>
    <w:rsid w:val="00F27A22"/>
    <w:rsid w:val="00F305F6"/>
    <w:rsid w:val="00F30D2B"/>
    <w:rsid w:val="00F31016"/>
    <w:rsid w:val="00F32021"/>
    <w:rsid w:val="00F32234"/>
    <w:rsid w:val="00F3278D"/>
    <w:rsid w:val="00F329D1"/>
    <w:rsid w:val="00F32F3E"/>
    <w:rsid w:val="00F333C9"/>
    <w:rsid w:val="00F333D0"/>
    <w:rsid w:val="00F33477"/>
    <w:rsid w:val="00F33842"/>
    <w:rsid w:val="00F34969"/>
    <w:rsid w:val="00F34ED0"/>
    <w:rsid w:val="00F35133"/>
    <w:rsid w:val="00F357C7"/>
    <w:rsid w:val="00F3604F"/>
    <w:rsid w:val="00F37650"/>
    <w:rsid w:val="00F37660"/>
    <w:rsid w:val="00F378C8"/>
    <w:rsid w:val="00F37D47"/>
    <w:rsid w:val="00F37DAB"/>
    <w:rsid w:val="00F37EB7"/>
    <w:rsid w:val="00F417E7"/>
    <w:rsid w:val="00F41B82"/>
    <w:rsid w:val="00F41DB5"/>
    <w:rsid w:val="00F41E39"/>
    <w:rsid w:val="00F4221F"/>
    <w:rsid w:val="00F42253"/>
    <w:rsid w:val="00F4338C"/>
    <w:rsid w:val="00F4368E"/>
    <w:rsid w:val="00F436C3"/>
    <w:rsid w:val="00F43C1E"/>
    <w:rsid w:val="00F43C84"/>
    <w:rsid w:val="00F443BD"/>
    <w:rsid w:val="00F44B19"/>
    <w:rsid w:val="00F44B54"/>
    <w:rsid w:val="00F44C0A"/>
    <w:rsid w:val="00F454D9"/>
    <w:rsid w:val="00F4564F"/>
    <w:rsid w:val="00F47A87"/>
    <w:rsid w:val="00F5027A"/>
    <w:rsid w:val="00F50403"/>
    <w:rsid w:val="00F5040B"/>
    <w:rsid w:val="00F50A74"/>
    <w:rsid w:val="00F52544"/>
    <w:rsid w:val="00F5278B"/>
    <w:rsid w:val="00F5296D"/>
    <w:rsid w:val="00F52ABE"/>
    <w:rsid w:val="00F53963"/>
    <w:rsid w:val="00F53C8F"/>
    <w:rsid w:val="00F53FE3"/>
    <w:rsid w:val="00F53FF4"/>
    <w:rsid w:val="00F54074"/>
    <w:rsid w:val="00F543CA"/>
    <w:rsid w:val="00F5473D"/>
    <w:rsid w:val="00F54D56"/>
    <w:rsid w:val="00F558C2"/>
    <w:rsid w:val="00F55D68"/>
    <w:rsid w:val="00F55F76"/>
    <w:rsid w:val="00F568CB"/>
    <w:rsid w:val="00F570FA"/>
    <w:rsid w:val="00F60C31"/>
    <w:rsid w:val="00F61288"/>
    <w:rsid w:val="00F6136F"/>
    <w:rsid w:val="00F61A64"/>
    <w:rsid w:val="00F61AE3"/>
    <w:rsid w:val="00F61B5A"/>
    <w:rsid w:val="00F6241E"/>
    <w:rsid w:val="00F63211"/>
    <w:rsid w:val="00F634D6"/>
    <w:rsid w:val="00F63D31"/>
    <w:rsid w:val="00F650B2"/>
    <w:rsid w:val="00F65286"/>
    <w:rsid w:val="00F6564E"/>
    <w:rsid w:val="00F660E8"/>
    <w:rsid w:val="00F67538"/>
    <w:rsid w:val="00F675FC"/>
    <w:rsid w:val="00F701BC"/>
    <w:rsid w:val="00F70624"/>
    <w:rsid w:val="00F70755"/>
    <w:rsid w:val="00F7088E"/>
    <w:rsid w:val="00F710BB"/>
    <w:rsid w:val="00F71960"/>
    <w:rsid w:val="00F71AD3"/>
    <w:rsid w:val="00F724F7"/>
    <w:rsid w:val="00F72C92"/>
    <w:rsid w:val="00F73A6F"/>
    <w:rsid w:val="00F74475"/>
    <w:rsid w:val="00F74496"/>
    <w:rsid w:val="00F7459E"/>
    <w:rsid w:val="00F74E13"/>
    <w:rsid w:val="00F76630"/>
    <w:rsid w:val="00F767F1"/>
    <w:rsid w:val="00F77593"/>
    <w:rsid w:val="00F7789B"/>
    <w:rsid w:val="00F77EAB"/>
    <w:rsid w:val="00F803B7"/>
    <w:rsid w:val="00F806E9"/>
    <w:rsid w:val="00F82BE4"/>
    <w:rsid w:val="00F831F8"/>
    <w:rsid w:val="00F84520"/>
    <w:rsid w:val="00F84AC5"/>
    <w:rsid w:val="00F84B59"/>
    <w:rsid w:val="00F84C83"/>
    <w:rsid w:val="00F854A9"/>
    <w:rsid w:val="00F85508"/>
    <w:rsid w:val="00F856EC"/>
    <w:rsid w:val="00F86862"/>
    <w:rsid w:val="00F87335"/>
    <w:rsid w:val="00F87399"/>
    <w:rsid w:val="00F9022A"/>
    <w:rsid w:val="00F90B09"/>
    <w:rsid w:val="00F90FBD"/>
    <w:rsid w:val="00F91402"/>
    <w:rsid w:val="00F91F1B"/>
    <w:rsid w:val="00F92FCE"/>
    <w:rsid w:val="00F939FD"/>
    <w:rsid w:val="00F93C98"/>
    <w:rsid w:val="00F94D2F"/>
    <w:rsid w:val="00F94DB1"/>
    <w:rsid w:val="00F95897"/>
    <w:rsid w:val="00F95AF6"/>
    <w:rsid w:val="00F95DD0"/>
    <w:rsid w:val="00F9758D"/>
    <w:rsid w:val="00F97DCE"/>
    <w:rsid w:val="00FA0935"/>
    <w:rsid w:val="00FA0FFA"/>
    <w:rsid w:val="00FA1309"/>
    <w:rsid w:val="00FA15A2"/>
    <w:rsid w:val="00FA1F4B"/>
    <w:rsid w:val="00FA225F"/>
    <w:rsid w:val="00FA2483"/>
    <w:rsid w:val="00FA391C"/>
    <w:rsid w:val="00FA3A14"/>
    <w:rsid w:val="00FA3AFD"/>
    <w:rsid w:val="00FA3B3E"/>
    <w:rsid w:val="00FA4A47"/>
    <w:rsid w:val="00FA4AF3"/>
    <w:rsid w:val="00FA4B3F"/>
    <w:rsid w:val="00FA5720"/>
    <w:rsid w:val="00FA64E9"/>
    <w:rsid w:val="00FA653E"/>
    <w:rsid w:val="00FA6A03"/>
    <w:rsid w:val="00FA70B7"/>
    <w:rsid w:val="00FA74DC"/>
    <w:rsid w:val="00FA7E47"/>
    <w:rsid w:val="00FB00B1"/>
    <w:rsid w:val="00FB057C"/>
    <w:rsid w:val="00FB0A96"/>
    <w:rsid w:val="00FB2620"/>
    <w:rsid w:val="00FB291C"/>
    <w:rsid w:val="00FB2ECE"/>
    <w:rsid w:val="00FB3013"/>
    <w:rsid w:val="00FB315B"/>
    <w:rsid w:val="00FB335C"/>
    <w:rsid w:val="00FB5024"/>
    <w:rsid w:val="00FB5128"/>
    <w:rsid w:val="00FB5F25"/>
    <w:rsid w:val="00FB62F4"/>
    <w:rsid w:val="00FB652C"/>
    <w:rsid w:val="00FB6748"/>
    <w:rsid w:val="00FB6C2D"/>
    <w:rsid w:val="00FC0845"/>
    <w:rsid w:val="00FC154E"/>
    <w:rsid w:val="00FC1ADC"/>
    <w:rsid w:val="00FC1EFE"/>
    <w:rsid w:val="00FC291C"/>
    <w:rsid w:val="00FC2C5E"/>
    <w:rsid w:val="00FC3440"/>
    <w:rsid w:val="00FC3453"/>
    <w:rsid w:val="00FC3AAF"/>
    <w:rsid w:val="00FC3B5D"/>
    <w:rsid w:val="00FC4DE6"/>
    <w:rsid w:val="00FC4F84"/>
    <w:rsid w:val="00FC50EA"/>
    <w:rsid w:val="00FC5162"/>
    <w:rsid w:val="00FC5266"/>
    <w:rsid w:val="00FC5285"/>
    <w:rsid w:val="00FC59F6"/>
    <w:rsid w:val="00FC5CB0"/>
    <w:rsid w:val="00FC5F08"/>
    <w:rsid w:val="00FC64EA"/>
    <w:rsid w:val="00FC6EA6"/>
    <w:rsid w:val="00FC6F5D"/>
    <w:rsid w:val="00FD0ABF"/>
    <w:rsid w:val="00FD1026"/>
    <w:rsid w:val="00FD1B89"/>
    <w:rsid w:val="00FD1BB7"/>
    <w:rsid w:val="00FD1BD3"/>
    <w:rsid w:val="00FD24A0"/>
    <w:rsid w:val="00FD322A"/>
    <w:rsid w:val="00FD3700"/>
    <w:rsid w:val="00FD3F0A"/>
    <w:rsid w:val="00FD4D93"/>
    <w:rsid w:val="00FD5372"/>
    <w:rsid w:val="00FD55E3"/>
    <w:rsid w:val="00FD5FC6"/>
    <w:rsid w:val="00FD649E"/>
    <w:rsid w:val="00FD6726"/>
    <w:rsid w:val="00FD67FD"/>
    <w:rsid w:val="00FD6A46"/>
    <w:rsid w:val="00FD6FBF"/>
    <w:rsid w:val="00FD7937"/>
    <w:rsid w:val="00FD7AB7"/>
    <w:rsid w:val="00FE011B"/>
    <w:rsid w:val="00FE0915"/>
    <w:rsid w:val="00FE0ACD"/>
    <w:rsid w:val="00FE16E4"/>
    <w:rsid w:val="00FE1711"/>
    <w:rsid w:val="00FE2065"/>
    <w:rsid w:val="00FE275E"/>
    <w:rsid w:val="00FE29F0"/>
    <w:rsid w:val="00FE3135"/>
    <w:rsid w:val="00FE3320"/>
    <w:rsid w:val="00FE3434"/>
    <w:rsid w:val="00FE3914"/>
    <w:rsid w:val="00FE3DAB"/>
    <w:rsid w:val="00FE3EAC"/>
    <w:rsid w:val="00FE4EB6"/>
    <w:rsid w:val="00FE5154"/>
    <w:rsid w:val="00FE536E"/>
    <w:rsid w:val="00FE53A2"/>
    <w:rsid w:val="00FE560D"/>
    <w:rsid w:val="00FE704A"/>
    <w:rsid w:val="00FE740C"/>
    <w:rsid w:val="00FE7DB2"/>
    <w:rsid w:val="00FE7FD3"/>
    <w:rsid w:val="00FF0111"/>
    <w:rsid w:val="00FF01DD"/>
    <w:rsid w:val="00FF02D0"/>
    <w:rsid w:val="00FF04AA"/>
    <w:rsid w:val="00FF0CB9"/>
    <w:rsid w:val="00FF0EE9"/>
    <w:rsid w:val="00FF1142"/>
    <w:rsid w:val="00FF18EE"/>
    <w:rsid w:val="00FF1C0E"/>
    <w:rsid w:val="00FF247A"/>
    <w:rsid w:val="00FF3B97"/>
    <w:rsid w:val="00FF4D6E"/>
    <w:rsid w:val="00FF50A4"/>
    <w:rsid w:val="00FF570E"/>
    <w:rsid w:val="00FF58B6"/>
    <w:rsid w:val="00FF611B"/>
    <w:rsid w:val="00FF61C1"/>
    <w:rsid w:val="00FF6CCC"/>
    <w:rsid w:val="00FF7207"/>
    <w:rsid w:val="00FF756E"/>
    <w:rsid w:val="00FF7CF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4EA8BF-B533-48B3-8BFF-8D0239F54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6860"/>
    <w:pPr>
      <w:jc w:val="both"/>
    </w:pPr>
    <w:rPr>
      <w:rFonts w:ascii="Verdana" w:hAnsi="Verdana"/>
      <w:szCs w:val="22"/>
      <w:lang w:eastAsia="en-US"/>
    </w:rPr>
  </w:style>
  <w:style w:type="paragraph" w:styleId="Heading1">
    <w:name w:val="heading 1"/>
    <w:basedOn w:val="Normal"/>
    <w:next w:val="Normal"/>
    <w:link w:val="Heading1Char"/>
    <w:autoRedefine/>
    <w:uiPriority w:val="9"/>
    <w:qFormat/>
    <w:rsid w:val="008A2B75"/>
    <w:pPr>
      <w:spacing w:before="100" w:beforeAutospacing="1" w:after="100" w:afterAutospacing="1"/>
      <w:jc w:val="left"/>
      <w:outlineLvl w:val="0"/>
    </w:pPr>
    <w:rPr>
      <w:rFonts w:eastAsia="Times New Roman"/>
      <w:b/>
      <w:bCs/>
      <w:kern w:val="36"/>
      <w:szCs w:val="48"/>
      <w:lang w:val="x-none" w:eastAsia="x-none"/>
    </w:rPr>
  </w:style>
  <w:style w:type="paragraph" w:styleId="Heading2">
    <w:name w:val="heading 2"/>
    <w:basedOn w:val="Normal"/>
    <w:link w:val="Heading2Char"/>
    <w:uiPriority w:val="9"/>
    <w:qFormat/>
    <w:rsid w:val="00A22D8D"/>
    <w:pPr>
      <w:spacing w:before="100" w:beforeAutospacing="1" w:after="100" w:afterAutospacing="1"/>
      <w:jc w:val="left"/>
      <w:outlineLvl w:val="1"/>
    </w:pPr>
    <w:rPr>
      <w:rFonts w:ascii="Times New Roman" w:eastAsia="Times New Roman" w:hAnsi="Times New Roman"/>
      <w:b/>
      <w:bCs/>
      <w:sz w:val="36"/>
      <w:szCs w:val="36"/>
      <w:lang w:val="x-none" w:eastAsia="es-AR"/>
    </w:rPr>
  </w:style>
  <w:style w:type="paragraph" w:styleId="Heading3">
    <w:name w:val="heading 3"/>
    <w:basedOn w:val="Normal"/>
    <w:link w:val="Heading3Char"/>
    <w:uiPriority w:val="9"/>
    <w:qFormat/>
    <w:rsid w:val="00A22D8D"/>
    <w:pPr>
      <w:spacing w:before="100" w:beforeAutospacing="1" w:after="100" w:afterAutospacing="1"/>
      <w:jc w:val="left"/>
      <w:outlineLvl w:val="2"/>
    </w:pPr>
    <w:rPr>
      <w:rFonts w:ascii="Times New Roman" w:eastAsia="Times New Roman" w:hAnsi="Times New Roman"/>
      <w:b/>
      <w:bCs/>
      <w:sz w:val="27"/>
      <w:szCs w:val="27"/>
      <w:lang w:val="x-none" w:eastAsia="es-AR"/>
    </w:rPr>
  </w:style>
  <w:style w:type="paragraph" w:styleId="Heading4">
    <w:name w:val="heading 4"/>
    <w:basedOn w:val="Normal"/>
    <w:next w:val="Normal"/>
    <w:link w:val="Heading4Char"/>
    <w:uiPriority w:val="9"/>
    <w:semiHidden/>
    <w:unhideWhenUsed/>
    <w:qFormat/>
    <w:rsid w:val="00662A67"/>
    <w:pPr>
      <w:keepNext/>
      <w:spacing w:before="240" w:after="60"/>
      <w:outlineLvl w:val="3"/>
    </w:pPr>
    <w:rPr>
      <w:rFonts w:ascii="Calibri" w:eastAsia="Times New Roman" w:hAnsi="Calibri"/>
      <w:b/>
      <w:bCs/>
      <w:sz w:val="28"/>
      <w:szCs w:val="28"/>
      <w:lang w:val="x-none"/>
    </w:rPr>
  </w:style>
  <w:style w:type="paragraph" w:styleId="Heading5">
    <w:name w:val="heading 5"/>
    <w:basedOn w:val="Normal"/>
    <w:next w:val="Normal"/>
    <w:link w:val="Heading5Char"/>
    <w:uiPriority w:val="9"/>
    <w:semiHidden/>
    <w:unhideWhenUsed/>
    <w:qFormat/>
    <w:rsid w:val="00A204E2"/>
    <w:p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uiPriority w:val="9"/>
    <w:unhideWhenUsed/>
    <w:qFormat/>
    <w:rsid w:val="00662A67"/>
    <w:pPr>
      <w:spacing w:before="240" w:after="60"/>
      <w:outlineLvl w:val="5"/>
    </w:pPr>
    <w:rPr>
      <w:rFonts w:ascii="Calibri" w:eastAsia="Times New Roman" w:hAnsi="Calibri"/>
      <w:b/>
      <w:bCs/>
      <w:sz w:val="22"/>
      <w:lang w:val="x-none"/>
    </w:rPr>
  </w:style>
  <w:style w:type="paragraph" w:styleId="Heading7">
    <w:name w:val="heading 7"/>
    <w:basedOn w:val="Normal"/>
    <w:next w:val="Normal"/>
    <w:link w:val="Heading7Char"/>
    <w:uiPriority w:val="9"/>
    <w:unhideWhenUsed/>
    <w:qFormat/>
    <w:rsid w:val="00AE03A8"/>
    <w:pPr>
      <w:spacing w:before="240" w:after="60"/>
      <w:outlineLvl w:val="6"/>
    </w:pPr>
    <w:rPr>
      <w:rFonts w:ascii="Calibri" w:eastAsia="Times New Roman" w:hAnsi="Calibri"/>
      <w:sz w:val="24"/>
      <w:szCs w:val="24"/>
      <w:lang w:val="x-none"/>
    </w:rPr>
  </w:style>
  <w:style w:type="paragraph" w:styleId="Heading8">
    <w:name w:val="heading 8"/>
    <w:basedOn w:val="Normal"/>
    <w:next w:val="Normal"/>
    <w:link w:val="Heading8Char"/>
    <w:uiPriority w:val="9"/>
    <w:unhideWhenUsed/>
    <w:qFormat/>
    <w:rsid w:val="00AE03A8"/>
    <w:pPr>
      <w:spacing w:before="240" w:after="60"/>
      <w:outlineLvl w:val="7"/>
    </w:pPr>
    <w:rPr>
      <w:rFonts w:ascii="Calibri" w:eastAsia="Times New Roman" w:hAnsi="Calibri"/>
      <w:i/>
      <w:iCs/>
      <w:sz w:val="24"/>
      <w:szCs w:val="24"/>
      <w:lang w:val="x-none"/>
    </w:rPr>
  </w:style>
  <w:style w:type="paragraph" w:styleId="Heading9">
    <w:name w:val="heading 9"/>
    <w:basedOn w:val="Normal"/>
    <w:next w:val="Normal"/>
    <w:link w:val="Heading9Char"/>
    <w:uiPriority w:val="9"/>
    <w:unhideWhenUsed/>
    <w:qFormat/>
    <w:rsid w:val="00AE03A8"/>
    <w:pPr>
      <w:spacing w:before="240" w:after="60"/>
      <w:outlineLvl w:val="8"/>
    </w:pPr>
    <w:rPr>
      <w:rFonts w:ascii="Calibri Light" w:eastAsia="Times New Roman" w:hAnsi="Calibri Light"/>
      <w:sz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A2B75"/>
    <w:rPr>
      <w:rFonts w:ascii="Verdana" w:eastAsia="Times New Roman" w:hAnsi="Verdana"/>
      <w:b/>
      <w:bCs/>
      <w:kern w:val="36"/>
      <w:szCs w:val="48"/>
    </w:rPr>
  </w:style>
  <w:style w:type="character" w:customStyle="1" w:styleId="Heading2Char">
    <w:name w:val="Heading 2 Char"/>
    <w:link w:val="Heading2"/>
    <w:uiPriority w:val="9"/>
    <w:rsid w:val="00A22D8D"/>
    <w:rPr>
      <w:rFonts w:ascii="Times New Roman" w:eastAsia="Times New Roman" w:hAnsi="Times New Roman" w:cs="Times New Roman"/>
      <w:b/>
      <w:bCs/>
      <w:sz w:val="36"/>
      <w:szCs w:val="36"/>
      <w:lang w:eastAsia="es-AR"/>
    </w:rPr>
  </w:style>
  <w:style w:type="character" w:customStyle="1" w:styleId="Heading3Char">
    <w:name w:val="Heading 3 Char"/>
    <w:link w:val="Heading3"/>
    <w:uiPriority w:val="9"/>
    <w:rsid w:val="00A22D8D"/>
    <w:rPr>
      <w:rFonts w:ascii="Times New Roman" w:eastAsia="Times New Roman" w:hAnsi="Times New Roman" w:cs="Times New Roman"/>
      <w:b/>
      <w:bCs/>
      <w:sz w:val="27"/>
      <w:szCs w:val="27"/>
      <w:lang w:eastAsia="es-AR"/>
    </w:rPr>
  </w:style>
  <w:style w:type="character" w:customStyle="1" w:styleId="Heading4Char">
    <w:name w:val="Heading 4 Char"/>
    <w:link w:val="Heading4"/>
    <w:uiPriority w:val="9"/>
    <w:semiHidden/>
    <w:rsid w:val="00662A67"/>
    <w:rPr>
      <w:rFonts w:ascii="Calibri" w:eastAsia="Times New Roman" w:hAnsi="Calibri" w:cs="Times New Roman"/>
      <w:b/>
      <w:bCs/>
      <w:sz w:val="28"/>
      <w:szCs w:val="28"/>
      <w:lang w:eastAsia="en-US"/>
    </w:rPr>
  </w:style>
  <w:style w:type="character" w:customStyle="1" w:styleId="Heading5Char">
    <w:name w:val="Heading 5 Char"/>
    <w:link w:val="Heading5"/>
    <w:uiPriority w:val="9"/>
    <w:semiHidden/>
    <w:rsid w:val="00A204E2"/>
    <w:rPr>
      <w:rFonts w:eastAsia="Times New Roman"/>
      <w:b/>
      <w:bCs/>
      <w:i/>
      <w:iCs/>
      <w:sz w:val="26"/>
      <w:szCs w:val="26"/>
      <w:lang w:eastAsia="en-US"/>
    </w:rPr>
  </w:style>
  <w:style w:type="character" w:customStyle="1" w:styleId="Heading6Char">
    <w:name w:val="Heading 6 Char"/>
    <w:link w:val="Heading6"/>
    <w:uiPriority w:val="9"/>
    <w:rsid w:val="00662A67"/>
    <w:rPr>
      <w:rFonts w:ascii="Calibri" w:eastAsia="Times New Roman" w:hAnsi="Calibri" w:cs="Times New Roman"/>
      <w:b/>
      <w:bCs/>
      <w:sz w:val="22"/>
      <w:szCs w:val="22"/>
      <w:lang w:eastAsia="en-US"/>
    </w:rPr>
  </w:style>
  <w:style w:type="character" w:customStyle="1" w:styleId="Heading7Char">
    <w:name w:val="Heading 7 Char"/>
    <w:link w:val="Heading7"/>
    <w:uiPriority w:val="9"/>
    <w:rsid w:val="00AE03A8"/>
    <w:rPr>
      <w:rFonts w:ascii="Calibri" w:eastAsia="Times New Roman" w:hAnsi="Calibri" w:cs="Times New Roman"/>
      <w:sz w:val="24"/>
      <w:szCs w:val="24"/>
      <w:lang w:eastAsia="en-US"/>
    </w:rPr>
  </w:style>
  <w:style w:type="character" w:customStyle="1" w:styleId="Heading8Char">
    <w:name w:val="Heading 8 Char"/>
    <w:link w:val="Heading8"/>
    <w:uiPriority w:val="9"/>
    <w:rsid w:val="00AE03A8"/>
    <w:rPr>
      <w:rFonts w:ascii="Calibri" w:eastAsia="Times New Roman" w:hAnsi="Calibri" w:cs="Times New Roman"/>
      <w:i/>
      <w:iCs/>
      <w:sz w:val="24"/>
      <w:szCs w:val="24"/>
      <w:lang w:eastAsia="en-US"/>
    </w:rPr>
  </w:style>
  <w:style w:type="character" w:customStyle="1" w:styleId="Heading9Char">
    <w:name w:val="Heading 9 Char"/>
    <w:link w:val="Heading9"/>
    <w:uiPriority w:val="9"/>
    <w:rsid w:val="00AE03A8"/>
    <w:rPr>
      <w:rFonts w:ascii="Calibri Light" w:eastAsia="Times New Roman" w:hAnsi="Calibri Light" w:cs="Times New Roman"/>
      <w:sz w:val="22"/>
      <w:szCs w:val="22"/>
      <w:lang w:eastAsia="en-US"/>
    </w:rPr>
  </w:style>
  <w:style w:type="character" w:styleId="Hyperlink">
    <w:name w:val="Hyperlink"/>
    <w:uiPriority w:val="99"/>
    <w:semiHidden/>
    <w:unhideWhenUsed/>
    <w:rsid w:val="00A22D8D"/>
    <w:rPr>
      <w:color w:val="0000FF"/>
      <w:u w:val="single"/>
    </w:rPr>
  </w:style>
  <w:style w:type="character" w:styleId="FootnoteReference">
    <w:name w:val="footnote reference"/>
    <w:aliases w:val="Footnotes refss,Texto de nota al pie,Appel note de bas de page"/>
    <w:semiHidden/>
    <w:unhideWhenUsed/>
    <w:rsid w:val="00C66860"/>
    <w:rPr>
      <w:rFonts w:ascii="Verdana" w:hAnsi="Verdana"/>
      <w:sz w:val="20"/>
      <w:vertAlign w:val="superscript"/>
    </w:rPr>
  </w:style>
  <w:style w:type="paragraph" w:styleId="BodyText">
    <w:name w:val="Body Text"/>
    <w:basedOn w:val="Normal"/>
    <w:link w:val="BodyTextChar"/>
    <w:uiPriority w:val="99"/>
    <w:semiHidden/>
    <w:unhideWhenUsed/>
    <w:rsid w:val="00A22D8D"/>
    <w:pPr>
      <w:spacing w:before="100" w:beforeAutospacing="1" w:after="100" w:afterAutospacing="1"/>
      <w:jc w:val="left"/>
    </w:pPr>
    <w:rPr>
      <w:rFonts w:ascii="Times New Roman" w:eastAsia="Times New Roman" w:hAnsi="Times New Roman"/>
      <w:sz w:val="24"/>
      <w:szCs w:val="24"/>
      <w:lang w:val="x-none" w:eastAsia="es-AR"/>
    </w:rPr>
  </w:style>
  <w:style w:type="character" w:customStyle="1" w:styleId="BodyTextChar">
    <w:name w:val="Body Text Char"/>
    <w:link w:val="BodyText"/>
    <w:uiPriority w:val="99"/>
    <w:semiHidden/>
    <w:rsid w:val="00A22D8D"/>
    <w:rPr>
      <w:rFonts w:ascii="Times New Roman" w:eastAsia="Times New Roman" w:hAnsi="Times New Roman" w:cs="Times New Roman"/>
      <w:sz w:val="24"/>
      <w:szCs w:val="24"/>
      <w:lang w:eastAsia="es-AR"/>
    </w:rPr>
  </w:style>
  <w:style w:type="paragraph" w:styleId="BodyTextIndent">
    <w:name w:val="Body Text Indent"/>
    <w:basedOn w:val="Normal"/>
    <w:link w:val="BodyTextIndentChar"/>
    <w:uiPriority w:val="99"/>
    <w:semiHidden/>
    <w:unhideWhenUsed/>
    <w:rsid w:val="00A22D8D"/>
    <w:pPr>
      <w:spacing w:before="100" w:beforeAutospacing="1" w:after="100" w:afterAutospacing="1"/>
      <w:jc w:val="left"/>
    </w:pPr>
    <w:rPr>
      <w:rFonts w:ascii="Times New Roman" w:eastAsia="Times New Roman" w:hAnsi="Times New Roman"/>
      <w:sz w:val="24"/>
      <w:szCs w:val="24"/>
      <w:lang w:val="x-none" w:eastAsia="es-AR"/>
    </w:rPr>
  </w:style>
  <w:style w:type="character" w:customStyle="1" w:styleId="BodyTextIndentChar">
    <w:name w:val="Body Text Indent Char"/>
    <w:link w:val="BodyTextIndent"/>
    <w:uiPriority w:val="99"/>
    <w:semiHidden/>
    <w:rsid w:val="00A22D8D"/>
    <w:rPr>
      <w:rFonts w:ascii="Times New Roman" w:eastAsia="Times New Roman" w:hAnsi="Times New Roman" w:cs="Times New Roman"/>
      <w:sz w:val="24"/>
      <w:szCs w:val="24"/>
      <w:lang w:eastAsia="es-AR"/>
    </w:rPr>
  </w:style>
  <w:style w:type="paragraph" w:styleId="FootnoteText">
    <w:name w:val="footnote text"/>
    <w:aliases w:val="Footnote Text Char Char Char Char Char,Footnote Text Char Char Char Char,Footnote reference,FA Fu,footnote text,Footnote Text Char Char Char,Footnote Text Cha,FA Fußnotentext,FA Fuﬂnotentext,Footnote Text Char Char,Ca"/>
    <w:basedOn w:val="Normal"/>
    <w:link w:val="FootnoteTextChar"/>
    <w:unhideWhenUsed/>
    <w:rsid w:val="00A22D8D"/>
    <w:pPr>
      <w:spacing w:before="100" w:beforeAutospacing="1" w:after="100" w:afterAutospacing="1"/>
      <w:jc w:val="left"/>
    </w:pPr>
    <w:rPr>
      <w:rFonts w:ascii="Times New Roman" w:eastAsia="Times New Roman" w:hAnsi="Times New Roman"/>
      <w:sz w:val="24"/>
      <w:szCs w:val="24"/>
      <w:lang w:val="x-none" w:eastAsia="es-AR"/>
    </w:rPr>
  </w:style>
  <w:style w:type="character" w:customStyle="1" w:styleId="FootnoteTextChar">
    <w:name w:val="Footnote Text Char"/>
    <w:aliases w:val="Footnote Text Char Char Char Char Char Char,Footnote Text Char Char Char Char Char1,Footnote reference Char,FA Fu Char,footnote text Char,Footnote Text Char Char Char Char1,Footnote Text Cha Char,FA Fußnotentext Char,Ca Char"/>
    <w:link w:val="FootnoteText"/>
    <w:uiPriority w:val="99"/>
    <w:rsid w:val="00A22D8D"/>
    <w:rPr>
      <w:rFonts w:ascii="Times New Roman" w:eastAsia="Times New Roman" w:hAnsi="Times New Roman" w:cs="Times New Roman"/>
      <w:sz w:val="24"/>
      <w:szCs w:val="24"/>
      <w:lang w:eastAsia="es-AR"/>
    </w:rPr>
  </w:style>
  <w:style w:type="paragraph" w:styleId="NormalWeb">
    <w:name w:val="Normal (Web)"/>
    <w:basedOn w:val="Normal"/>
    <w:uiPriority w:val="99"/>
    <w:semiHidden/>
    <w:unhideWhenUsed/>
    <w:rsid w:val="00A22D8D"/>
    <w:pPr>
      <w:spacing w:before="100" w:beforeAutospacing="1" w:after="100" w:afterAutospacing="1"/>
      <w:jc w:val="left"/>
    </w:pPr>
    <w:rPr>
      <w:rFonts w:ascii="Times New Roman" w:eastAsia="Times New Roman" w:hAnsi="Times New Roman"/>
      <w:sz w:val="24"/>
      <w:szCs w:val="24"/>
      <w:lang w:eastAsia="es-AR"/>
    </w:rPr>
  </w:style>
  <w:style w:type="paragraph" w:styleId="Header">
    <w:name w:val="header"/>
    <w:basedOn w:val="Normal"/>
    <w:link w:val="HeaderChar"/>
    <w:uiPriority w:val="99"/>
    <w:unhideWhenUsed/>
    <w:rsid w:val="007B2999"/>
    <w:pPr>
      <w:tabs>
        <w:tab w:val="center" w:pos="4419"/>
        <w:tab w:val="right" w:pos="8838"/>
      </w:tabs>
    </w:pPr>
    <w:rPr>
      <w:rFonts w:ascii="Calibri" w:hAnsi="Calibri"/>
      <w:sz w:val="22"/>
      <w:lang w:val="x-none"/>
    </w:rPr>
  </w:style>
  <w:style w:type="character" w:customStyle="1" w:styleId="HeaderChar">
    <w:name w:val="Header Char"/>
    <w:link w:val="Header"/>
    <w:uiPriority w:val="99"/>
    <w:rsid w:val="007B2999"/>
    <w:rPr>
      <w:sz w:val="22"/>
      <w:szCs w:val="22"/>
      <w:lang w:eastAsia="en-US"/>
    </w:rPr>
  </w:style>
  <w:style w:type="paragraph" w:styleId="Footer">
    <w:name w:val="footer"/>
    <w:basedOn w:val="Normal"/>
    <w:link w:val="FooterChar"/>
    <w:autoRedefine/>
    <w:uiPriority w:val="99"/>
    <w:unhideWhenUsed/>
    <w:qFormat/>
    <w:rsid w:val="0021298E"/>
    <w:pPr>
      <w:tabs>
        <w:tab w:val="center" w:pos="4419"/>
        <w:tab w:val="right" w:pos="8838"/>
      </w:tabs>
    </w:pPr>
    <w:rPr>
      <w:vertAlign w:val="superscript"/>
      <w:lang w:val="x-none"/>
    </w:rPr>
  </w:style>
  <w:style w:type="character" w:customStyle="1" w:styleId="FooterChar">
    <w:name w:val="Footer Char"/>
    <w:link w:val="Footer"/>
    <w:uiPriority w:val="99"/>
    <w:rsid w:val="0021298E"/>
    <w:rPr>
      <w:rFonts w:ascii="Verdana" w:hAnsi="Verdana"/>
      <w:szCs w:val="22"/>
      <w:vertAlign w:val="superscript"/>
      <w:lang w:eastAsia="en-US"/>
    </w:rPr>
  </w:style>
  <w:style w:type="character" w:styleId="SubtleReference">
    <w:name w:val="Subtle Reference"/>
    <w:uiPriority w:val="31"/>
    <w:qFormat/>
    <w:rsid w:val="007B2999"/>
    <w:rPr>
      <w:rFonts w:ascii="Verdana" w:hAnsi="Verdana"/>
      <w:dstrike w:val="0"/>
      <w:color w:val="auto"/>
      <w:spacing w:val="0"/>
      <w:position w:val="0"/>
      <w:sz w:val="16"/>
      <w:u w:val="none"/>
      <w:bdr w:val="none" w:sz="0" w:space="0" w:color="auto"/>
    </w:rPr>
  </w:style>
  <w:style w:type="character" w:customStyle="1" w:styleId="apple-converted-space">
    <w:name w:val="apple-converted-space"/>
    <w:rsid w:val="0071610E"/>
  </w:style>
  <w:style w:type="paragraph" w:styleId="NoSpacing">
    <w:name w:val="No Spacing"/>
    <w:uiPriority w:val="1"/>
    <w:qFormat/>
    <w:rsid w:val="0071610E"/>
    <w:pPr>
      <w:jc w:val="both"/>
    </w:pPr>
    <w:rPr>
      <w:rFonts w:ascii="Verdana" w:hAnsi="Verdana"/>
      <w:szCs w:val="22"/>
      <w:lang w:eastAsia="en-US"/>
    </w:rPr>
  </w:style>
  <w:style w:type="paragraph" w:styleId="BodyTextIndent2">
    <w:name w:val="Body Text Indent 2"/>
    <w:basedOn w:val="Normal"/>
    <w:link w:val="BodyTextIndent2Char"/>
    <w:uiPriority w:val="99"/>
    <w:semiHidden/>
    <w:unhideWhenUsed/>
    <w:rsid w:val="00662A67"/>
    <w:pPr>
      <w:spacing w:after="120" w:line="480" w:lineRule="auto"/>
      <w:ind w:left="283"/>
    </w:pPr>
    <w:rPr>
      <w:lang w:val="x-none"/>
    </w:rPr>
  </w:style>
  <w:style w:type="character" w:customStyle="1" w:styleId="BodyTextIndent2Char">
    <w:name w:val="Body Text Indent 2 Char"/>
    <w:link w:val="BodyTextIndent2"/>
    <w:uiPriority w:val="99"/>
    <w:semiHidden/>
    <w:rsid w:val="00662A67"/>
    <w:rPr>
      <w:rFonts w:ascii="Verdana" w:hAnsi="Verdana"/>
      <w:szCs w:val="22"/>
      <w:lang w:eastAsia="en-US"/>
    </w:rPr>
  </w:style>
  <w:style w:type="paragraph" w:styleId="BodyTextIndent3">
    <w:name w:val="Body Text Indent 3"/>
    <w:basedOn w:val="Normal"/>
    <w:link w:val="BodyTextIndent3Char"/>
    <w:uiPriority w:val="99"/>
    <w:semiHidden/>
    <w:unhideWhenUsed/>
    <w:rsid w:val="00662A67"/>
    <w:pPr>
      <w:spacing w:after="120"/>
      <w:ind w:left="283"/>
    </w:pPr>
    <w:rPr>
      <w:sz w:val="16"/>
      <w:szCs w:val="16"/>
      <w:lang w:val="x-none"/>
    </w:rPr>
  </w:style>
  <w:style w:type="character" w:customStyle="1" w:styleId="BodyTextIndent3Char">
    <w:name w:val="Body Text Indent 3 Char"/>
    <w:link w:val="BodyTextIndent3"/>
    <w:uiPriority w:val="99"/>
    <w:semiHidden/>
    <w:rsid w:val="00662A67"/>
    <w:rPr>
      <w:rFonts w:ascii="Verdana" w:hAnsi="Verdana"/>
      <w:sz w:val="16"/>
      <w:szCs w:val="16"/>
      <w:lang w:eastAsia="en-US"/>
    </w:rPr>
  </w:style>
  <w:style w:type="paragraph" w:customStyle="1" w:styleId="Puesto">
    <w:name w:val="Puesto"/>
    <w:basedOn w:val="Normal"/>
    <w:link w:val="PuestoCar"/>
    <w:uiPriority w:val="10"/>
    <w:qFormat/>
    <w:rsid w:val="00662A67"/>
    <w:pPr>
      <w:spacing w:before="100" w:beforeAutospacing="1" w:after="100" w:afterAutospacing="1"/>
      <w:jc w:val="left"/>
    </w:pPr>
    <w:rPr>
      <w:rFonts w:ascii="Times New Roman" w:eastAsia="Times New Roman" w:hAnsi="Times New Roman"/>
      <w:sz w:val="24"/>
      <w:szCs w:val="24"/>
      <w:lang w:val="x-none" w:eastAsia="x-none"/>
    </w:rPr>
  </w:style>
  <w:style w:type="character" w:customStyle="1" w:styleId="PuestoCar">
    <w:name w:val="Puesto Car"/>
    <w:link w:val="Puesto"/>
    <w:uiPriority w:val="10"/>
    <w:rsid w:val="00662A67"/>
    <w:rPr>
      <w:rFonts w:ascii="Times New Roman" w:eastAsia="Times New Roman" w:hAnsi="Times New Roman"/>
      <w:sz w:val="24"/>
      <w:szCs w:val="24"/>
    </w:rPr>
  </w:style>
  <w:style w:type="paragraph" w:styleId="Subtitle">
    <w:name w:val="Subtitle"/>
    <w:basedOn w:val="Normal"/>
    <w:link w:val="SubtitleChar"/>
    <w:uiPriority w:val="11"/>
    <w:qFormat/>
    <w:rsid w:val="00662A67"/>
    <w:pPr>
      <w:spacing w:before="100" w:beforeAutospacing="1" w:after="100" w:afterAutospacing="1"/>
      <w:jc w:val="left"/>
    </w:pPr>
    <w:rPr>
      <w:rFonts w:ascii="Times New Roman" w:eastAsia="Times New Roman" w:hAnsi="Times New Roman"/>
      <w:sz w:val="24"/>
      <w:szCs w:val="24"/>
      <w:lang w:val="x-none" w:eastAsia="x-none"/>
    </w:rPr>
  </w:style>
  <w:style w:type="character" w:customStyle="1" w:styleId="SubtitleChar">
    <w:name w:val="Subtitle Char"/>
    <w:link w:val="Subtitle"/>
    <w:uiPriority w:val="11"/>
    <w:rsid w:val="00662A67"/>
    <w:rPr>
      <w:rFonts w:ascii="Times New Roman" w:eastAsia="Times New Roman" w:hAnsi="Times New Roman"/>
      <w:sz w:val="24"/>
      <w:szCs w:val="24"/>
    </w:rPr>
  </w:style>
  <w:style w:type="paragraph" w:styleId="BlockText">
    <w:name w:val="Block Text"/>
    <w:basedOn w:val="Normal"/>
    <w:uiPriority w:val="99"/>
    <w:unhideWhenUsed/>
    <w:rsid w:val="00662A67"/>
    <w:pPr>
      <w:spacing w:before="100" w:beforeAutospacing="1" w:after="100" w:afterAutospacing="1"/>
      <w:jc w:val="left"/>
    </w:pPr>
    <w:rPr>
      <w:rFonts w:ascii="Times New Roman" w:eastAsia="Times New Roman" w:hAnsi="Times New Roman"/>
      <w:sz w:val="24"/>
      <w:szCs w:val="24"/>
      <w:lang w:eastAsia="es-AR"/>
    </w:rPr>
  </w:style>
  <w:style w:type="paragraph" w:styleId="BodyText3">
    <w:name w:val="Body Text 3"/>
    <w:basedOn w:val="Normal"/>
    <w:link w:val="BodyText3Char"/>
    <w:uiPriority w:val="99"/>
    <w:semiHidden/>
    <w:unhideWhenUsed/>
    <w:rsid w:val="00AE03A8"/>
    <w:pPr>
      <w:spacing w:after="120"/>
    </w:pPr>
    <w:rPr>
      <w:sz w:val="16"/>
      <w:szCs w:val="16"/>
      <w:lang w:val="x-none"/>
    </w:rPr>
  </w:style>
  <w:style w:type="character" w:customStyle="1" w:styleId="BodyText3Char">
    <w:name w:val="Body Text 3 Char"/>
    <w:link w:val="BodyText3"/>
    <w:uiPriority w:val="99"/>
    <w:semiHidden/>
    <w:rsid w:val="00AE03A8"/>
    <w:rPr>
      <w:rFonts w:ascii="Verdana" w:hAnsi="Verdana"/>
      <w:sz w:val="16"/>
      <w:szCs w:val="16"/>
      <w:lang w:eastAsia="en-US"/>
    </w:rPr>
  </w:style>
  <w:style w:type="character" w:styleId="FollowedHyperlink">
    <w:name w:val="FollowedHyperlink"/>
    <w:uiPriority w:val="99"/>
    <w:semiHidden/>
    <w:unhideWhenUsed/>
    <w:rsid w:val="00AE03A8"/>
    <w:rPr>
      <w:color w:val="800080"/>
      <w:u w:val="single"/>
    </w:rPr>
  </w:style>
  <w:style w:type="paragraph" w:customStyle="1" w:styleId="Citalarga">
    <w:name w:val="Cita larga"/>
    <w:basedOn w:val="Normal"/>
    <w:next w:val="Normal"/>
    <w:qFormat/>
    <w:rsid w:val="004B19B8"/>
    <w:pPr>
      <w:ind w:left="708"/>
    </w:pPr>
    <w:rPr>
      <w:lang w:val="es-ES_tradnl"/>
    </w:rPr>
  </w:style>
  <w:style w:type="paragraph" w:customStyle="1" w:styleId="PIEdePAG">
    <w:name w:val="PIE de PAG"/>
    <w:basedOn w:val="NoSpacing"/>
    <w:autoRedefine/>
    <w:qFormat/>
    <w:rsid w:val="00EF5A86"/>
    <w:rPr>
      <w:sz w:val="16"/>
      <w:lang w:val="es-ES_tradnl"/>
    </w:rPr>
  </w:style>
  <w:style w:type="paragraph" w:styleId="Quote">
    <w:name w:val="Quote"/>
    <w:basedOn w:val="Normal"/>
    <w:next w:val="Normal"/>
    <w:link w:val="QuoteChar"/>
    <w:uiPriority w:val="29"/>
    <w:qFormat/>
    <w:rsid w:val="0021298E"/>
    <w:pPr>
      <w:spacing w:before="200" w:after="160"/>
      <w:ind w:left="864" w:right="864"/>
    </w:pPr>
    <w:rPr>
      <w:iCs/>
      <w:vertAlign w:val="superscript"/>
      <w:lang w:val="x-none"/>
    </w:rPr>
  </w:style>
  <w:style w:type="character" w:customStyle="1" w:styleId="QuoteChar">
    <w:name w:val="Quote Char"/>
    <w:link w:val="Quote"/>
    <w:uiPriority w:val="29"/>
    <w:rsid w:val="0021298E"/>
    <w:rPr>
      <w:rFonts w:ascii="Verdana" w:hAnsi="Verdana"/>
      <w:iCs/>
      <w:szCs w:val="22"/>
      <w:vertAlign w:val="superscript"/>
      <w:lang w:eastAsia="en-US"/>
    </w:rPr>
  </w:style>
  <w:style w:type="character" w:styleId="Strong">
    <w:name w:val="Strong"/>
    <w:uiPriority w:val="22"/>
    <w:qFormat/>
    <w:rsid w:val="00BC5DBE"/>
    <w:rPr>
      <w:b/>
      <w:bCs/>
    </w:rPr>
  </w:style>
  <w:style w:type="character" w:customStyle="1" w:styleId="TtuloCar">
    <w:name w:val="Título Car"/>
    <w:uiPriority w:val="10"/>
    <w:rsid w:val="00E32C5E"/>
    <w:rPr>
      <w:rFonts w:ascii="Times New Roman" w:eastAsia="Times New Roman" w:hAnsi="Times New Roman"/>
      <w:sz w:val="24"/>
      <w:szCs w:val="24"/>
    </w:rPr>
  </w:style>
  <w:style w:type="paragraph" w:styleId="EndnoteText">
    <w:name w:val="endnote text"/>
    <w:basedOn w:val="Normal"/>
    <w:link w:val="EndnoteTextChar"/>
    <w:uiPriority w:val="99"/>
    <w:unhideWhenUsed/>
    <w:rsid w:val="00E32C5E"/>
    <w:pPr>
      <w:spacing w:before="100" w:beforeAutospacing="1" w:after="100" w:afterAutospacing="1"/>
      <w:jc w:val="left"/>
    </w:pPr>
    <w:rPr>
      <w:rFonts w:ascii="Times New Roman" w:eastAsia="Times New Roman" w:hAnsi="Times New Roman"/>
      <w:sz w:val="24"/>
      <w:szCs w:val="24"/>
      <w:lang w:eastAsia="es-AR"/>
    </w:rPr>
  </w:style>
  <w:style w:type="character" w:customStyle="1" w:styleId="EndnoteTextChar">
    <w:name w:val="Endnote Text Char"/>
    <w:link w:val="EndnoteText"/>
    <w:uiPriority w:val="99"/>
    <w:rsid w:val="00E32C5E"/>
    <w:rPr>
      <w:rFonts w:ascii="Times New Roman" w:eastAsia="Times New Roman" w:hAnsi="Times New Roman"/>
      <w:sz w:val="24"/>
      <w:szCs w:val="24"/>
    </w:rPr>
  </w:style>
  <w:style w:type="character" w:customStyle="1" w:styleId="BodyText2Char">
    <w:name w:val="Body Text 2 Char"/>
    <w:link w:val="BodyText2"/>
    <w:uiPriority w:val="99"/>
    <w:semiHidden/>
    <w:rsid w:val="00A204E2"/>
    <w:rPr>
      <w:rFonts w:ascii="Verdana" w:hAnsi="Verdana"/>
      <w:szCs w:val="22"/>
      <w:lang w:eastAsia="en-US"/>
    </w:rPr>
  </w:style>
  <w:style w:type="paragraph" w:styleId="BodyText2">
    <w:name w:val="Body Text 2"/>
    <w:basedOn w:val="Normal"/>
    <w:link w:val="BodyText2Char"/>
    <w:uiPriority w:val="99"/>
    <w:semiHidden/>
    <w:unhideWhenUsed/>
    <w:rsid w:val="00A204E2"/>
    <w:pPr>
      <w:spacing w:after="120" w:line="480" w:lineRule="auto"/>
    </w:pPr>
  </w:style>
  <w:style w:type="character" w:styleId="Emphasis">
    <w:name w:val="Emphasis"/>
    <w:uiPriority w:val="20"/>
    <w:qFormat/>
    <w:rsid w:val="00A204E2"/>
    <w:rPr>
      <w:i/>
      <w:iCs/>
    </w:rPr>
  </w:style>
  <w:style w:type="paragraph" w:customStyle="1" w:styleId="h3">
    <w:name w:val="h3"/>
    <w:basedOn w:val="Normal"/>
    <w:rsid w:val="00A204E2"/>
    <w:pPr>
      <w:spacing w:before="100" w:beforeAutospacing="1" w:after="100" w:afterAutospacing="1"/>
      <w:jc w:val="left"/>
    </w:pPr>
    <w:rPr>
      <w:rFonts w:ascii="Times New Roman" w:eastAsia="Times New Roman" w:hAnsi="Times New Roman"/>
      <w:sz w:val="24"/>
      <w:szCs w:val="24"/>
      <w:lang w:eastAsia="es-AR"/>
    </w:rPr>
  </w:style>
  <w:style w:type="paragraph" w:styleId="List2">
    <w:name w:val="List 2"/>
    <w:basedOn w:val="Normal"/>
    <w:uiPriority w:val="99"/>
    <w:semiHidden/>
    <w:unhideWhenUsed/>
    <w:rsid w:val="00775C50"/>
    <w:pPr>
      <w:spacing w:before="100" w:beforeAutospacing="1" w:after="100" w:afterAutospacing="1"/>
      <w:jc w:val="left"/>
    </w:pPr>
    <w:rPr>
      <w:rFonts w:ascii="Times New Roman" w:eastAsia="Times New Roman" w:hAnsi="Times New Roman"/>
      <w:sz w:val="24"/>
      <w:szCs w:val="24"/>
      <w:lang w:eastAsia="es-AR"/>
    </w:rPr>
  </w:style>
  <w:style w:type="character" w:customStyle="1" w:styleId="TitleChar">
    <w:name w:val="Title Char"/>
    <w:link w:val="Title"/>
    <w:uiPriority w:val="10"/>
    <w:rsid w:val="00FE560D"/>
    <w:rPr>
      <w:rFonts w:ascii="Times New Roman" w:eastAsia="Times New Roman" w:hAnsi="Times New Roman"/>
      <w:sz w:val="24"/>
      <w:szCs w:val="24"/>
    </w:rPr>
  </w:style>
  <w:style w:type="paragraph" w:styleId="ListParagraph">
    <w:name w:val="List Paragraph"/>
    <w:basedOn w:val="Normal"/>
    <w:uiPriority w:val="34"/>
    <w:qFormat/>
    <w:rsid w:val="00FE560D"/>
    <w:pPr>
      <w:ind w:left="720"/>
      <w:contextualSpacing/>
    </w:pPr>
  </w:style>
  <w:style w:type="character" w:styleId="EndnoteReference">
    <w:name w:val="endnote reference"/>
    <w:uiPriority w:val="99"/>
    <w:semiHidden/>
    <w:unhideWhenUsed/>
    <w:rsid w:val="00FE560D"/>
  </w:style>
  <w:style w:type="character" w:customStyle="1" w:styleId="charchar">
    <w:name w:val="charchar"/>
    <w:rsid w:val="00FE560D"/>
  </w:style>
  <w:style w:type="character" w:customStyle="1" w:styleId="heading2charcharchar">
    <w:name w:val="heading2charcharchar"/>
    <w:rsid w:val="00FE560D"/>
  </w:style>
  <w:style w:type="paragraph" w:styleId="PlainText">
    <w:name w:val="Plain Text"/>
    <w:basedOn w:val="Normal"/>
    <w:link w:val="PlainTextChar"/>
    <w:uiPriority w:val="99"/>
    <w:semiHidden/>
    <w:unhideWhenUsed/>
    <w:rsid w:val="00FE560D"/>
    <w:pPr>
      <w:spacing w:before="100" w:beforeAutospacing="1" w:after="100" w:afterAutospacing="1"/>
      <w:jc w:val="left"/>
    </w:pPr>
    <w:rPr>
      <w:rFonts w:ascii="Times New Roman" w:eastAsia="Times New Roman" w:hAnsi="Times New Roman"/>
      <w:sz w:val="24"/>
      <w:szCs w:val="24"/>
      <w:lang w:eastAsia="es-AR"/>
    </w:rPr>
  </w:style>
  <w:style w:type="character" w:customStyle="1" w:styleId="PlainTextChar">
    <w:name w:val="Plain Text Char"/>
    <w:link w:val="PlainText"/>
    <w:uiPriority w:val="99"/>
    <w:semiHidden/>
    <w:rsid w:val="00FE560D"/>
    <w:rPr>
      <w:rFonts w:ascii="Times New Roman" w:eastAsia="Times New Roman" w:hAnsi="Times New Roman"/>
      <w:sz w:val="24"/>
      <w:szCs w:val="24"/>
    </w:rPr>
  </w:style>
  <w:style w:type="paragraph" w:customStyle="1" w:styleId="blockquote">
    <w:name w:val="blockquote"/>
    <w:basedOn w:val="Normal"/>
    <w:rsid w:val="00FE560D"/>
    <w:pPr>
      <w:spacing w:before="100" w:beforeAutospacing="1" w:after="100" w:afterAutospacing="1"/>
      <w:jc w:val="left"/>
    </w:pPr>
    <w:rPr>
      <w:rFonts w:ascii="Times New Roman" w:eastAsia="Times New Roman" w:hAnsi="Times New Roman"/>
      <w:sz w:val="24"/>
      <w:szCs w:val="24"/>
      <w:lang w:eastAsia="es-AR"/>
    </w:rPr>
  </w:style>
  <w:style w:type="paragraph" w:styleId="Title">
    <w:name w:val="Title"/>
    <w:basedOn w:val="Normal"/>
    <w:link w:val="TitleChar"/>
    <w:uiPriority w:val="10"/>
    <w:qFormat/>
    <w:rsid w:val="00634C7A"/>
    <w:pPr>
      <w:spacing w:before="100" w:beforeAutospacing="1" w:after="100" w:afterAutospacing="1"/>
      <w:jc w:val="left"/>
    </w:pPr>
    <w:rPr>
      <w:rFonts w:ascii="Times New Roman" w:eastAsia="Times New Roman" w:hAnsi="Times New Roman"/>
      <w:sz w:val="24"/>
      <w:szCs w:val="24"/>
      <w:lang w:eastAsia="es-AR"/>
    </w:rPr>
  </w:style>
  <w:style w:type="character" w:customStyle="1" w:styleId="TtuloCar2">
    <w:name w:val="Título Car2"/>
    <w:basedOn w:val="DefaultParagraphFont"/>
    <w:uiPriority w:val="10"/>
    <w:rsid w:val="00634C7A"/>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Heading2CharChar">
    <w:name w:val="Heading 2 Char Char"/>
    <w:basedOn w:val="DefaultParagraphFont"/>
    <w:rsid w:val="00453524"/>
    <w:rPr>
      <w:rFonts w:ascii="Univers" w:hAnsi="Univers"/>
      <w:b/>
      <w:bCs/>
      <w:sz w:val="22"/>
      <w:szCs w:val="22"/>
      <w:lang w:val="en-US" w:eastAsia="en-US" w:bidi="ar-SA"/>
    </w:rPr>
  </w:style>
  <w:style w:type="character" w:customStyle="1" w:styleId="TextonotapieCar1">
    <w:name w:val="Texto nota pie Car1"/>
    <w:aliases w:val="Footnote Text Char Char Char Char Char Car,Footnote Text Char Char Char Char Car,Footnote reference Car,FA Fu Car,footnote text Car,Footnote Text Char Char Char Car,Footnote Text Cha Car,FA Fußnotentext Car,FA Fuﬂnotentext Car,Ca Car"/>
    <w:basedOn w:val="DefaultParagraphFont"/>
    <w:semiHidden/>
    <w:locked/>
    <w:rsid w:val="00453524"/>
    <w:rPr>
      <w:rFonts w:eastAsia="MS Mincho"/>
      <w:lang w:val="es-AR" w:eastAsia="en-US" w:bidi="ar-SA"/>
    </w:rPr>
  </w:style>
  <w:style w:type="character" w:styleId="CommentReference">
    <w:name w:val="annotation reference"/>
    <w:basedOn w:val="DefaultParagraphFont"/>
    <w:semiHidden/>
    <w:rsid w:val="00453524"/>
    <w:rPr>
      <w:sz w:val="16"/>
      <w:szCs w:val="16"/>
    </w:rPr>
  </w:style>
  <w:style w:type="paragraph" w:customStyle="1" w:styleId="ListParagraph1">
    <w:name w:val="List Paragraph1"/>
    <w:basedOn w:val="Normal"/>
    <w:rsid w:val="002A630A"/>
    <w:pPr>
      <w:ind w:left="720"/>
      <w:jc w:val="left"/>
    </w:pPr>
    <w:rPr>
      <w:rFonts w:ascii="Times New Roman" w:eastAsia="MS Mincho"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63942">
      <w:bodyDiv w:val="1"/>
      <w:marLeft w:val="0"/>
      <w:marRight w:val="0"/>
      <w:marTop w:val="0"/>
      <w:marBottom w:val="0"/>
      <w:divBdr>
        <w:top w:val="none" w:sz="0" w:space="0" w:color="auto"/>
        <w:left w:val="none" w:sz="0" w:space="0" w:color="auto"/>
        <w:bottom w:val="none" w:sz="0" w:space="0" w:color="auto"/>
        <w:right w:val="none" w:sz="0" w:space="0" w:color="auto"/>
      </w:divBdr>
      <w:divsChild>
        <w:div w:id="127626912">
          <w:marLeft w:val="0"/>
          <w:marRight w:val="0"/>
          <w:marTop w:val="0"/>
          <w:marBottom w:val="0"/>
          <w:divBdr>
            <w:top w:val="none" w:sz="0" w:space="0" w:color="auto"/>
            <w:left w:val="none" w:sz="0" w:space="0" w:color="auto"/>
            <w:bottom w:val="none" w:sz="0" w:space="0" w:color="auto"/>
            <w:right w:val="none" w:sz="0" w:space="0" w:color="auto"/>
          </w:divBdr>
        </w:div>
        <w:div w:id="621496328">
          <w:marLeft w:val="0"/>
          <w:marRight w:val="0"/>
          <w:marTop w:val="0"/>
          <w:marBottom w:val="0"/>
          <w:divBdr>
            <w:top w:val="none" w:sz="0" w:space="0" w:color="auto"/>
            <w:left w:val="none" w:sz="0" w:space="0" w:color="auto"/>
            <w:bottom w:val="none" w:sz="0" w:space="0" w:color="auto"/>
            <w:right w:val="none" w:sz="0" w:space="0" w:color="auto"/>
          </w:divBdr>
        </w:div>
        <w:div w:id="1799298404">
          <w:marLeft w:val="0"/>
          <w:marRight w:val="0"/>
          <w:marTop w:val="0"/>
          <w:marBottom w:val="0"/>
          <w:divBdr>
            <w:top w:val="none" w:sz="0" w:space="0" w:color="auto"/>
            <w:left w:val="none" w:sz="0" w:space="0" w:color="auto"/>
            <w:bottom w:val="none" w:sz="0" w:space="0" w:color="auto"/>
            <w:right w:val="none" w:sz="0" w:space="0" w:color="auto"/>
          </w:divBdr>
        </w:div>
        <w:div w:id="1840777310">
          <w:marLeft w:val="0"/>
          <w:marRight w:val="0"/>
          <w:marTop w:val="0"/>
          <w:marBottom w:val="0"/>
          <w:divBdr>
            <w:top w:val="none" w:sz="0" w:space="0" w:color="auto"/>
            <w:left w:val="none" w:sz="0" w:space="0" w:color="auto"/>
            <w:bottom w:val="none" w:sz="0" w:space="0" w:color="auto"/>
            <w:right w:val="none" w:sz="0" w:space="0" w:color="auto"/>
          </w:divBdr>
        </w:div>
        <w:div w:id="2003390262">
          <w:marLeft w:val="0"/>
          <w:marRight w:val="0"/>
          <w:marTop w:val="0"/>
          <w:marBottom w:val="0"/>
          <w:divBdr>
            <w:top w:val="none" w:sz="0" w:space="0" w:color="auto"/>
            <w:left w:val="none" w:sz="0" w:space="0" w:color="auto"/>
            <w:bottom w:val="none" w:sz="0" w:space="0" w:color="auto"/>
            <w:right w:val="none" w:sz="0" w:space="0" w:color="auto"/>
          </w:divBdr>
        </w:div>
      </w:divsChild>
    </w:div>
    <w:div w:id="315304871">
      <w:bodyDiv w:val="1"/>
      <w:marLeft w:val="0"/>
      <w:marRight w:val="0"/>
      <w:marTop w:val="0"/>
      <w:marBottom w:val="0"/>
      <w:divBdr>
        <w:top w:val="none" w:sz="0" w:space="0" w:color="auto"/>
        <w:left w:val="none" w:sz="0" w:space="0" w:color="auto"/>
        <w:bottom w:val="none" w:sz="0" w:space="0" w:color="auto"/>
        <w:right w:val="none" w:sz="0" w:space="0" w:color="auto"/>
      </w:divBdr>
    </w:div>
    <w:div w:id="365373266">
      <w:bodyDiv w:val="1"/>
      <w:marLeft w:val="0"/>
      <w:marRight w:val="0"/>
      <w:marTop w:val="0"/>
      <w:marBottom w:val="0"/>
      <w:divBdr>
        <w:top w:val="none" w:sz="0" w:space="0" w:color="auto"/>
        <w:left w:val="none" w:sz="0" w:space="0" w:color="auto"/>
        <w:bottom w:val="none" w:sz="0" w:space="0" w:color="auto"/>
        <w:right w:val="none" w:sz="0" w:space="0" w:color="auto"/>
      </w:divBdr>
      <w:divsChild>
        <w:div w:id="175773740">
          <w:marLeft w:val="0"/>
          <w:marRight w:val="0"/>
          <w:marTop w:val="0"/>
          <w:marBottom w:val="0"/>
          <w:divBdr>
            <w:top w:val="none" w:sz="0" w:space="0" w:color="auto"/>
            <w:left w:val="none" w:sz="0" w:space="0" w:color="auto"/>
            <w:bottom w:val="none" w:sz="0" w:space="0" w:color="auto"/>
            <w:right w:val="none" w:sz="0" w:space="0" w:color="auto"/>
          </w:divBdr>
        </w:div>
        <w:div w:id="961306778">
          <w:marLeft w:val="0"/>
          <w:marRight w:val="0"/>
          <w:marTop w:val="0"/>
          <w:marBottom w:val="0"/>
          <w:divBdr>
            <w:top w:val="none" w:sz="0" w:space="0" w:color="auto"/>
            <w:left w:val="none" w:sz="0" w:space="0" w:color="auto"/>
            <w:bottom w:val="none" w:sz="0" w:space="0" w:color="auto"/>
            <w:right w:val="none" w:sz="0" w:space="0" w:color="auto"/>
          </w:divBdr>
        </w:div>
        <w:div w:id="1324117489">
          <w:marLeft w:val="0"/>
          <w:marRight w:val="0"/>
          <w:marTop w:val="0"/>
          <w:marBottom w:val="0"/>
          <w:divBdr>
            <w:top w:val="none" w:sz="0" w:space="0" w:color="auto"/>
            <w:left w:val="none" w:sz="0" w:space="0" w:color="auto"/>
            <w:bottom w:val="none" w:sz="0" w:space="0" w:color="auto"/>
            <w:right w:val="none" w:sz="0" w:space="0" w:color="auto"/>
          </w:divBdr>
        </w:div>
        <w:div w:id="1343048103">
          <w:marLeft w:val="0"/>
          <w:marRight w:val="0"/>
          <w:marTop w:val="0"/>
          <w:marBottom w:val="0"/>
          <w:divBdr>
            <w:top w:val="none" w:sz="0" w:space="0" w:color="auto"/>
            <w:left w:val="none" w:sz="0" w:space="0" w:color="auto"/>
            <w:bottom w:val="none" w:sz="0" w:space="0" w:color="auto"/>
            <w:right w:val="none" w:sz="0" w:space="0" w:color="auto"/>
          </w:divBdr>
        </w:div>
        <w:div w:id="1550262007">
          <w:marLeft w:val="0"/>
          <w:marRight w:val="0"/>
          <w:marTop w:val="0"/>
          <w:marBottom w:val="0"/>
          <w:divBdr>
            <w:top w:val="none" w:sz="0" w:space="0" w:color="auto"/>
            <w:left w:val="none" w:sz="0" w:space="0" w:color="auto"/>
            <w:bottom w:val="none" w:sz="0" w:space="0" w:color="auto"/>
            <w:right w:val="none" w:sz="0" w:space="0" w:color="auto"/>
          </w:divBdr>
        </w:div>
      </w:divsChild>
    </w:div>
    <w:div w:id="459223630">
      <w:bodyDiv w:val="1"/>
      <w:marLeft w:val="0"/>
      <w:marRight w:val="0"/>
      <w:marTop w:val="0"/>
      <w:marBottom w:val="0"/>
      <w:divBdr>
        <w:top w:val="none" w:sz="0" w:space="0" w:color="auto"/>
        <w:left w:val="none" w:sz="0" w:space="0" w:color="auto"/>
        <w:bottom w:val="none" w:sz="0" w:space="0" w:color="auto"/>
        <w:right w:val="none" w:sz="0" w:space="0" w:color="auto"/>
      </w:divBdr>
      <w:divsChild>
        <w:div w:id="2087800618">
          <w:marLeft w:val="0"/>
          <w:marRight w:val="0"/>
          <w:marTop w:val="0"/>
          <w:marBottom w:val="0"/>
          <w:divBdr>
            <w:top w:val="none" w:sz="0" w:space="0" w:color="auto"/>
            <w:left w:val="none" w:sz="0" w:space="0" w:color="auto"/>
            <w:bottom w:val="none" w:sz="0" w:space="0" w:color="auto"/>
            <w:right w:val="none" w:sz="0" w:space="0" w:color="auto"/>
          </w:divBdr>
          <w:divsChild>
            <w:div w:id="6948899">
              <w:marLeft w:val="0"/>
              <w:marRight w:val="0"/>
              <w:marTop w:val="0"/>
              <w:marBottom w:val="0"/>
              <w:divBdr>
                <w:top w:val="none" w:sz="0" w:space="0" w:color="auto"/>
                <w:left w:val="none" w:sz="0" w:space="0" w:color="auto"/>
                <w:bottom w:val="none" w:sz="0" w:space="0" w:color="auto"/>
                <w:right w:val="none" w:sz="0" w:space="0" w:color="auto"/>
              </w:divBdr>
            </w:div>
            <w:div w:id="418910548">
              <w:marLeft w:val="0"/>
              <w:marRight w:val="0"/>
              <w:marTop w:val="0"/>
              <w:marBottom w:val="0"/>
              <w:divBdr>
                <w:top w:val="none" w:sz="0" w:space="0" w:color="auto"/>
                <w:left w:val="none" w:sz="0" w:space="0" w:color="auto"/>
                <w:bottom w:val="none" w:sz="0" w:space="0" w:color="auto"/>
                <w:right w:val="none" w:sz="0" w:space="0" w:color="auto"/>
              </w:divBdr>
            </w:div>
            <w:div w:id="618029159">
              <w:marLeft w:val="0"/>
              <w:marRight w:val="0"/>
              <w:marTop w:val="0"/>
              <w:marBottom w:val="0"/>
              <w:divBdr>
                <w:top w:val="none" w:sz="0" w:space="0" w:color="auto"/>
                <w:left w:val="none" w:sz="0" w:space="0" w:color="auto"/>
                <w:bottom w:val="none" w:sz="0" w:space="0" w:color="auto"/>
                <w:right w:val="none" w:sz="0" w:space="0" w:color="auto"/>
              </w:divBdr>
            </w:div>
            <w:div w:id="621031874">
              <w:marLeft w:val="0"/>
              <w:marRight w:val="0"/>
              <w:marTop w:val="0"/>
              <w:marBottom w:val="0"/>
              <w:divBdr>
                <w:top w:val="none" w:sz="0" w:space="0" w:color="auto"/>
                <w:left w:val="none" w:sz="0" w:space="0" w:color="auto"/>
                <w:bottom w:val="none" w:sz="0" w:space="0" w:color="auto"/>
                <w:right w:val="none" w:sz="0" w:space="0" w:color="auto"/>
              </w:divBdr>
            </w:div>
            <w:div w:id="821502439">
              <w:marLeft w:val="0"/>
              <w:marRight w:val="0"/>
              <w:marTop w:val="0"/>
              <w:marBottom w:val="0"/>
              <w:divBdr>
                <w:top w:val="none" w:sz="0" w:space="0" w:color="auto"/>
                <w:left w:val="none" w:sz="0" w:space="0" w:color="auto"/>
                <w:bottom w:val="none" w:sz="0" w:space="0" w:color="auto"/>
                <w:right w:val="none" w:sz="0" w:space="0" w:color="auto"/>
              </w:divBdr>
            </w:div>
            <w:div w:id="1238321624">
              <w:marLeft w:val="0"/>
              <w:marRight w:val="0"/>
              <w:marTop w:val="0"/>
              <w:marBottom w:val="0"/>
              <w:divBdr>
                <w:top w:val="none" w:sz="0" w:space="0" w:color="auto"/>
                <w:left w:val="none" w:sz="0" w:space="0" w:color="auto"/>
                <w:bottom w:val="none" w:sz="0" w:space="0" w:color="auto"/>
                <w:right w:val="none" w:sz="0" w:space="0" w:color="auto"/>
              </w:divBdr>
            </w:div>
            <w:div w:id="1297372450">
              <w:marLeft w:val="0"/>
              <w:marRight w:val="0"/>
              <w:marTop w:val="0"/>
              <w:marBottom w:val="0"/>
              <w:divBdr>
                <w:top w:val="none" w:sz="0" w:space="0" w:color="auto"/>
                <w:left w:val="none" w:sz="0" w:space="0" w:color="auto"/>
                <w:bottom w:val="none" w:sz="0" w:space="0" w:color="auto"/>
                <w:right w:val="none" w:sz="0" w:space="0" w:color="auto"/>
              </w:divBdr>
            </w:div>
            <w:div w:id="1890073728">
              <w:marLeft w:val="0"/>
              <w:marRight w:val="0"/>
              <w:marTop w:val="0"/>
              <w:marBottom w:val="0"/>
              <w:divBdr>
                <w:top w:val="none" w:sz="0" w:space="0" w:color="auto"/>
                <w:left w:val="none" w:sz="0" w:space="0" w:color="auto"/>
                <w:bottom w:val="none" w:sz="0" w:space="0" w:color="auto"/>
                <w:right w:val="none" w:sz="0" w:space="0" w:color="auto"/>
              </w:divBdr>
            </w:div>
            <w:div w:id="190094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340738">
      <w:bodyDiv w:val="1"/>
      <w:marLeft w:val="0"/>
      <w:marRight w:val="0"/>
      <w:marTop w:val="0"/>
      <w:marBottom w:val="0"/>
      <w:divBdr>
        <w:top w:val="none" w:sz="0" w:space="0" w:color="auto"/>
        <w:left w:val="none" w:sz="0" w:space="0" w:color="auto"/>
        <w:bottom w:val="none" w:sz="0" w:space="0" w:color="auto"/>
        <w:right w:val="none" w:sz="0" w:space="0" w:color="auto"/>
      </w:divBdr>
      <w:divsChild>
        <w:div w:id="1885025124">
          <w:marLeft w:val="0"/>
          <w:marRight w:val="0"/>
          <w:marTop w:val="0"/>
          <w:marBottom w:val="0"/>
          <w:divBdr>
            <w:top w:val="none" w:sz="0" w:space="0" w:color="auto"/>
            <w:left w:val="none" w:sz="0" w:space="0" w:color="auto"/>
            <w:bottom w:val="none" w:sz="0" w:space="0" w:color="auto"/>
            <w:right w:val="none" w:sz="0" w:space="0" w:color="auto"/>
          </w:divBdr>
          <w:divsChild>
            <w:div w:id="307825197">
              <w:marLeft w:val="0"/>
              <w:marRight w:val="0"/>
              <w:marTop w:val="0"/>
              <w:marBottom w:val="0"/>
              <w:divBdr>
                <w:top w:val="none" w:sz="0" w:space="0" w:color="auto"/>
                <w:left w:val="none" w:sz="0" w:space="0" w:color="auto"/>
                <w:bottom w:val="none" w:sz="0" w:space="0" w:color="auto"/>
                <w:right w:val="none" w:sz="0" w:space="0" w:color="auto"/>
              </w:divBdr>
            </w:div>
            <w:div w:id="2111310379">
              <w:marLeft w:val="0"/>
              <w:marRight w:val="0"/>
              <w:marTop w:val="0"/>
              <w:marBottom w:val="0"/>
              <w:divBdr>
                <w:top w:val="none" w:sz="0" w:space="0" w:color="auto"/>
                <w:left w:val="none" w:sz="0" w:space="0" w:color="auto"/>
                <w:bottom w:val="none" w:sz="0" w:space="0" w:color="auto"/>
                <w:right w:val="none" w:sz="0" w:space="0" w:color="auto"/>
              </w:divBdr>
            </w:div>
            <w:div w:id="368605497">
              <w:marLeft w:val="0"/>
              <w:marRight w:val="0"/>
              <w:marTop w:val="0"/>
              <w:marBottom w:val="0"/>
              <w:divBdr>
                <w:top w:val="none" w:sz="0" w:space="0" w:color="auto"/>
                <w:left w:val="none" w:sz="0" w:space="0" w:color="auto"/>
                <w:bottom w:val="none" w:sz="0" w:space="0" w:color="auto"/>
                <w:right w:val="none" w:sz="0" w:space="0" w:color="auto"/>
              </w:divBdr>
            </w:div>
            <w:div w:id="737753247">
              <w:marLeft w:val="0"/>
              <w:marRight w:val="0"/>
              <w:marTop w:val="0"/>
              <w:marBottom w:val="0"/>
              <w:divBdr>
                <w:top w:val="none" w:sz="0" w:space="0" w:color="auto"/>
                <w:left w:val="none" w:sz="0" w:space="0" w:color="auto"/>
                <w:bottom w:val="none" w:sz="0" w:space="0" w:color="auto"/>
                <w:right w:val="none" w:sz="0" w:space="0" w:color="auto"/>
              </w:divBdr>
            </w:div>
            <w:div w:id="1398479802">
              <w:marLeft w:val="0"/>
              <w:marRight w:val="0"/>
              <w:marTop w:val="0"/>
              <w:marBottom w:val="0"/>
              <w:divBdr>
                <w:top w:val="none" w:sz="0" w:space="0" w:color="auto"/>
                <w:left w:val="none" w:sz="0" w:space="0" w:color="auto"/>
                <w:bottom w:val="none" w:sz="0" w:space="0" w:color="auto"/>
                <w:right w:val="none" w:sz="0" w:space="0" w:color="auto"/>
              </w:divBdr>
            </w:div>
            <w:div w:id="823014651">
              <w:marLeft w:val="0"/>
              <w:marRight w:val="0"/>
              <w:marTop w:val="0"/>
              <w:marBottom w:val="0"/>
              <w:divBdr>
                <w:top w:val="none" w:sz="0" w:space="0" w:color="auto"/>
                <w:left w:val="none" w:sz="0" w:space="0" w:color="auto"/>
                <w:bottom w:val="none" w:sz="0" w:space="0" w:color="auto"/>
                <w:right w:val="none" w:sz="0" w:space="0" w:color="auto"/>
              </w:divBdr>
            </w:div>
            <w:div w:id="595871020">
              <w:marLeft w:val="0"/>
              <w:marRight w:val="0"/>
              <w:marTop w:val="0"/>
              <w:marBottom w:val="0"/>
              <w:divBdr>
                <w:top w:val="none" w:sz="0" w:space="0" w:color="auto"/>
                <w:left w:val="none" w:sz="0" w:space="0" w:color="auto"/>
                <w:bottom w:val="none" w:sz="0" w:space="0" w:color="auto"/>
                <w:right w:val="none" w:sz="0" w:space="0" w:color="auto"/>
              </w:divBdr>
            </w:div>
            <w:div w:id="1328288172">
              <w:marLeft w:val="0"/>
              <w:marRight w:val="0"/>
              <w:marTop w:val="0"/>
              <w:marBottom w:val="0"/>
              <w:divBdr>
                <w:top w:val="none" w:sz="0" w:space="0" w:color="auto"/>
                <w:left w:val="none" w:sz="0" w:space="0" w:color="auto"/>
                <w:bottom w:val="none" w:sz="0" w:space="0" w:color="auto"/>
                <w:right w:val="none" w:sz="0" w:space="0" w:color="auto"/>
              </w:divBdr>
            </w:div>
            <w:div w:id="2045054768">
              <w:marLeft w:val="0"/>
              <w:marRight w:val="0"/>
              <w:marTop w:val="0"/>
              <w:marBottom w:val="0"/>
              <w:divBdr>
                <w:top w:val="none" w:sz="0" w:space="0" w:color="auto"/>
                <w:left w:val="none" w:sz="0" w:space="0" w:color="auto"/>
                <w:bottom w:val="none" w:sz="0" w:space="0" w:color="auto"/>
                <w:right w:val="none" w:sz="0" w:space="0" w:color="auto"/>
              </w:divBdr>
            </w:div>
            <w:div w:id="1116634118">
              <w:marLeft w:val="0"/>
              <w:marRight w:val="0"/>
              <w:marTop w:val="0"/>
              <w:marBottom w:val="0"/>
              <w:divBdr>
                <w:top w:val="none" w:sz="0" w:space="0" w:color="auto"/>
                <w:left w:val="none" w:sz="0" w:space="0" w:color="auto"/>
                <w:bottom w:val="none" w:sz="0" w:space="0" w:color="auto"/>
                <w:right w:val="none" w:sz="0" w:space="0" w:color="auto"/>
              </w:divBdr>
            </w:div>
            <w:div w:id="411465072">
              <w:marLeft w:val="0"/>
              <w:marRight w:val="0"/>
              <w:marTop w:val="0"/>
              <w:marBottom w:val="0"/>
              <w:divBdr>
                <w:top w:val="none" w:sz="0" w:space="0" w:color="auto"/>
                <w:left w:val="none" w:sz="0" w:space="0" w:color="auto"/>
                <w:bottom w:val="none" w:sz="0" w:space="0" w:color="auto"/>
                <w:right w:val="none" w:sz="0" w:space="0" w:color="auto"/>
              </w:divBdr>
            </w:div>
            <w:div w:id="117920097">
              <w:marLeft w:val="0"/>
              <w:marRight w:val="0"/>
              <w:marTop w:val="0"/>
              <w:marBottom w:val="0"/>
              <w:divBdr>
                <w:top w:val="none" w:sz="0" w:space="0" w:color="auto"/>
                <w:left w:val="none" w:sz="0" w:space="0" w:color="auto"/>
                <w:bottom w:val="none" w:sz="0" w:space="0" w:color="auto"/>
                <w:right w:val="none" w:sz="0" w:space="0" w:color="auto"/>
              </w:divBdr>
            </w:div>
            <w:div w:id="493374709">
              <w:marLeft w:val="0"/>
              <w:marRight w:val="0"/>
              <w:marTop w:val="0"/>
              <w:marBottom w:val="0"/>
              <w:divBdr>
                <w:top w:val="none" w:sz="0" w:space="0" w:color="auto"/>
                <w:left w:val="none" w:sz="0" w:space="0" w:color="auto"/>
                <w:bottom w:val="none" w:sz="0" w:space="0" w:color="auto"/>
                <w:right w:val="none" w:sz="0" w:space="0" w:color="auto"/>
              </w:divBdr>
            </w:div>
            <w:div w:id="2065133158">
              <w:marLeft w:val="0"/>
              <w:marRight w:val="0"/>
              <w:marTop w:val="0"/>
              <w:marBottom w:val="0"/>
              <w:divBdr>
                <w:top w:val="none" w:sz="0" w:space="0" w:color="auto"/>
                <w:left w:val="none" w:sz="0" w:space="0" w:color="auto"/>
                <w:bottom w:val="none" w:sz="0" w:space="0" w:color="auto"/>
                <w:right w:val="none" w:sz="0" w:space="0" w:color="auto"/>
              </w:divBdr>
            </w:div>
            <w:div w:id="1571043209">
              <w:marLeft w:val="0"/>
              <w:marRight w:val="0"/>
              <w:marTop w:val="0"/>
              <w:marBottom w:val="0"/>
              <w:divBdr>
                <w:top w:val="none" w:sz="0" w:space="0" w:color="auto"/>
                <w:left w:val="none" w:sz="0" w:space="0" w:color="auto"/>
                <w:bottom w:val="none" w:sz="0" w:space="0" w:color="auto"/>
                <w:right w:val="none" w:sz="0" w:space="0" w:color="auto"/>
              </w:divBdr>
            </w:div>
            <w:div w:id="315107896">
              <w:marLeft w:val="0"/>
              <w:marRight w:val="0"/>
              <w:marTop w:val="0"/>
              <w:marBottom w:val="0"/>
              <w:divBdr>
                <w:top w:val="none" w:sz="0" w:space="0" w:color="auto"/>
                <w:left w:val="none" w:sz="0" w:space="0" w:color="auto"/>
                <w:bottom w:val="none" w:sz="0" w:space="0" w:color="auto"/>
                <w:right w:val="none" w:sz="0" w:space="0" w:color="auto"/>
              </w:divBdr>
            </w:div>
            <w:div w:id="992680344">
              <w:marLeft w:val="0"/>
              <w:marRight w:val="0"/>
              <w:marTop w:val="0"/>
              <w:marBottom w:val="0"/>
              <w:divBdr>
                <w:top w:val="none" w:sz="0" w:space="0" w:color="auto"/>
                <w:left w:val="none" w:sz="0" w:space="0" w:color="auto"/>
                <w:bottom w:val="none" w:sz="0" w:space="0" w:color="auto"/>
                <w:right w:val="none" w:sz="0" w:space="0" w:color="auto"/>
              </w:divBdr>
            </w:div>
            <w:div w:id="1600797817">
              <w:marLeft w:val="0"/>
              <w:marRight w:val="0"/>
              <w:marTop w:val="0"/>
              <w:marBottom w:val="0"/>
              <w:divBdr>
                <w:top w:val="none" w:sz="0" w:space="0" w:color="auto"/>
                <w:left w:val="none" w:sz="0" w:space="0" w:color="auto"/>
                <w:bottom w:val="none" w:sz="0" w:space="0" w:color="auto"/>
                <w:right w:val="none" w:sz="0" w:space="0" w:color="auto"/>
              </w:divBdr>
            </w:div>
            <w:div w:id="277030871">
              <w:marLeft w:val="0"/>
              <w:marRight w:val="0"/>
              <w:marTop w:val="0"/>
              <w:marBottom w:val="0"/>
              <w:divBdr>
                <w:top w:val="none" w:sz="0" w:space="0" w:color="auto"/>
                <w:left w:val="none" w:sz="0" w:space="0" w:color="auto"/>
                <w:bottom w:val="none" w:sz="0" w:space="0" w:color="auto"/>
                <w:right w:val="none" w:sz="0" w:space="0" w:color="auto"/>
              </w:divBdr>
            </w:div>
            <w:div w:id="5085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203121">
      <w:bodyDiv w:val="1"/>
      <w:marLeft w:val="0"/>
      <w:marRight w:val="0"/>
      <w:marTop w:val="0"/>
      <w:marBottom w:val="0"/>
      <w:divBdr>
        <w:top w:val="none" w:sz="0" w:space="0" w:color="auto"/>
        <w:left w:val="none" w:sz="0" w:space="0" w:color="auto"/>
        <w:bottom w:val="none" w:sz="0" w:space="0" w:color="auto"/>
        <w:right w:val="none" w:sz="0" w:space="0" w:color="auto"/>
      </w:divBdr>
      <w:divsChild>
        <w:div w:id="641082331">
          <w:marLeft w:val="0"/>
          <w:marRight w:val="0"/>
          <w:marTop w:val="0"/>
          <w:marBottom w:val="0"/>
          <w:divBdr>
            <w:top w:val="none" w:sz="0" w:space="0" w:color="auto"/>
            <w:left w:val="none" w:sz="0" w:space="0" w:color="auto"/>
            <w:bottom w:val="none" w:sz="0" w:space="0" w:color="auto"/>
            <w:right w:val="none" w:sz="0" w:space="0" w:color="auto"/>
          </w:divBdr>
          <w:divsChild>
            <w:div w:id="688264281">
              <w:marLeft w:val="0"/>
              <w:marRight w:val="0"/>
              <w:marTop w:val="0"/>
              <w:marBottom w:val="0"/>
              <w:divBdr>
                <w:top w:val="none" w:sz="0" w:space="0" w:color="auto"/>
                <w:left w:val="none" w:sz="0" w:space="0" w:color="auto"/>
                <w:bottom w:val="none" w:sz="0" w:space="0" w:color="auto"/>
                <w:right w:val="none" w:sz="0" w:space="0" w:color="auto"/>
              </w:divBdr>
            </w:div>
            <w:div w:id="983511495">
              <w:marLeft w:val="0"/>
              <w:marRight w:val="0"/>
              <w:marTop w:val="0"/>
              <w:marBottom w:val="0"/>
              <w:divBdr>
                <w:top w:val="none" w:sz="0" w:space="0" w:color="auto"/>
                <w:left w:val="none" w:sz="0" w:space="0" w:color="auto"/>
                <w:bottom w:val="none" w:sz="0" w:space="0" w:color="auto"/>
                <w:right w:val="none" w:sz="0" w:space="0" w:color="auto"/>
              </w:divBdr>
            </w:div>
            <w:div w:id="122699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808542">
      <w:bodyDiv w:val="1"/>
      <w:marLeft w:val="0"/>
      <w:marRight w:val="0"/>
      <w:marTop w:val="0"/>
      <w:marBottom w:val="0"/>
      <w:divBdr>
        <w:top w:val="none" w:sz="0" w:space="0" w:color="auto"/>
        <w:left w:val="none" w:sz="0" w:space="0" w:color="auto"/>
        <w:bottom w:val="none" w:sz="0" w:space="0" w:color="auto"/>
        <w:right w:val="none" w:sz="0" w:space="0" w:color="auto"/>
      </w:divBdr>
      <w:divsChild>
        <w:div w:id="1108263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0511831">
          <w:blockQuote w:val="1"/>
          <w:marLeft w:val="720"/>
          <w:marRight w:val="720"/>
          <w:marTop w:val="100"/>
          <w:marBottom w:val="100"/>
          <w:divBdr>
            <w:top w:val="none" w:sz="0" w:space="0" w:color="auto"/>
            <w:left w:val="none" w:sz="0" w:space="0" w:color="auto"/>
            <w:bottom w:val="none" w:sz="0" w:space="0" w:color="auto"/>
            <w:right w:val="none" w:sz="0" w:space="0" w:color="auto"/>
          </w:divBdr>
        </w:div>
        <w:div w:id="205533759">
          <w:blockQuote w:val="1"/>
          <w:marLeft w:val="720"/>
          <w:marRight w:val="720"/>
          <w:marTop w:val="100"/>
          <w:marBottom w:val="100"/>
          <w:divBdr>
            <w:top w:val="none" w:sz="0" w:space="0" w:color="auto"/>
            <w:left w:val="none" w:sz="0" w:space="0" w:color="auto"/>
            <w:bottom w:val="none" w:sz="0" w:space="0" w:color="auto"/>
            <w:right w:val="none" w:sz="0" w:space="0" w:color="auto"/>
          </w:divBdr>
        </w:div>
        <w:div w:id="529877639">
          <w:blockQuote w:val="1"/>
          <w:marLeft w:val="720"/>
          <w:marRight w:val="720"/>
          <w:marTop w:val="100"/>
          <w:marBottom w:val="100"/>
          <w:divBdr>
            <w:top w:val="none" w:sz="0" w:space="0" w:color="auto"/>
            <w:left w:val="none" w:sz="0" w:space="0" w:color="auto"/>
            <w:bottom w:val="none" w:sz="0" w:space="0" w:color="auto"/>
            <w:right w:val="none" w:sz="0" w:space="0" w:color="auto"/>
          </w:divBdr>
        </w:div>
        <w:div w:id="855191105">
          <w:blockQuote w:val="1"/>
          <w:marLeft w:val="720"/>
          <w:marRight w:val="720"/>
          <w:marTop w:val="100"/>
          <w:marBottom w:val="100"/>
          <w:divBdr>
            <w:top w:val="none" w:sz="0" w:space="0" w:color="auto"/>
            <w:left w:val="none" w:sz="0" w:space="0" w:color="auto"/>
            <w:bottom w:val="none" w:sz="0" w:space="0" w:color="auto"/>
            <w:right w:val="none" w:sz="0" w:space="0" w:color="auto"/>
          </w:divBdr>
        </w:div>
        <w:div w:id="863521142">
          <w:blockQuote w:val="1"/>
          <w:marLeft w:val="720"/>
          <w:marRight w:val="720"/>
          <w:marTop w:val="100"/>
          <w:marBottom w:val="100"/>
          <w:divBdr>
            <w:top w:val="none" w:sz="0" w:space="0" w:color="auto"/>
            <w:left w:val="none" w:sz="0" w:space="0" w:color="auto"/>
            <w:bottom w:val="none" w:sz="0" w:space="0" w:color="auto"/>
            <w:right w:val="none" w:sz="0" w:space="0" w:color="auto"/>
          </w:divBdr>
        </w:div>
        <w:div w:id="1030297593">
          <w:blockQuote w:val="1"/>
          <w:marLeft w:val="720"/>
          <w:marRight w:val="720"/>
          <w:marTop w:val="100"/>
          <w:marBottom w:val="100"/>
          <w:divBdr>
            <w:top w:val="none" w:sz="0" w:space="0" w:color="auto"/>
            <w:left w:val="none" w:sz="0" w:space="0" w:color="auto"/>
            <w:bottom w:val="none" w:sz="0" w:space="0" w:color="auto"/>
            <w:right w:val="none" w:sz="0" w:space="0" w:color="auto"/>
          </w:divBdr>
        </w:div>
        <w:div w:id="1142306494">
          <w:blockQuote w:val="1"/>
          <w:marLeft w:val="720"/>
          <w:marRight w:val="720"/>
          <w:marTop w:val="100"/>
          <w:marBottom w:val="100"/>
          <w:divBdr>
            <w:top w:val="none" w:sz="0" w:space="0" w:color="auto"/>
            <w:left w:val="none" w:sz="0" w:space="0" w:color="auto"/>
            <w:bottom w:val="none" w:sz="0" w:space="0" w:color="auto"/>
            <w:right w:val="none" w:sz="0" w:space="0" w:color="auto"/>
          </w:divBdr>
        </w:div>
        <w:div w:id="1159418230">
          <w:blockQuote w:val="1"/>
          <w:marLeft w:val="720"/>
          <w:marRight w:val="720"/>
          <w:marTop w:val="100"/>
          <w:marBottom w:val="100"/>
          <w:divBdr>
            <w:top w:val="none" w:sz="0" w:space="0" w:color="auto"/>
            <w:left w:val="none" w:sz="0" w:space="0" w:color="auto"/>
            <w:bottom w:val="none" w:sz="0" w:space="0" w:color="auto"/>
            <w:right w:val="none" w:sz="0" w:space="0" w:color="auto"/>
          </w:divBdr>
        </w:div>
        <w:div w:id="1459911425">
          <w:blockQuote w:val="1"/>
          <w:marLeft w:val="720"/>
          <w:marRight w:val="720"/>
          <w:marTop w:val="100"/>
          <w:marBottom w:val="100"/>
          <w:divBdr>
            <w:top w:val="none" w:sz="0" w:space="0" w:color="auto"/>
            <w:left w:val="none" w:sz="0" w:space="0" w:color="auto"/>
            <w:bottom w:val="none" w:sz="0" w:space="0" w:color="auto"/>
            <w:right w:val="none" w:sz="0" w:space="0" w:color="auto"/>
          </w:divBdr>
        </w:div>
        <w:div w:id="16229607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48460700">
          <w:blockQuote w:val="1"/>
          <w:marLeft w:val="720"/>
          <w:marRight w:val="720"/>
          <w:marTop w:val="100"/>
          <w:marBottom w:val="100"/>
          <w:divBdr>
            <w:top w:val="none" w:sz="0" w:space="0" w:color="auto"/>
            <w:left w:val="none" w:sz="0" w:space="0" w:color="auto"/>
            <w:bottom w:val="none" w:sz="0" w:space="0" w:color="auto"/>
            <w:right w:val="none" w:sz="0" w:space="0" w:color="auto"/>
          </w:divBdr>
        </w:div>
        <w:div w:id="1869222520">
          <w:blockQuote w:val="1"/>
          <w:marLeft w:val="720"/>
          <w:marRight w:val="720"/>
          <w:marTop w:val="100"/>
          <w:marBottom w:val="100"/>
          <w:divBdr>
            <w:top w:val="none" w:sz="0" w:space="0" w:color="auto"/>
            <w:left w:val="none" w:sz="0" w:space="0" w:color="auto"/>
            <w:bottom w:val="none" w:sz="0" w:space="0" w:color="auto"/>
            <w:right w:val="none" w:sz="0" w:space="0" w:color="auto"/>
          </w:divBdr>
        </w:div>
        <w:div w:id="1993680932">
          <w:blockQuote w:val="1"/>
          <w:marLeft w:val="720"/>
          <w:marRight w:val="720"/>
          <w:marTop w:val="100"/>
          <w:marBottom w:val="100"/>
          <w:divBdr>
            <w:top w:val="none" w:sz="0" w:space="0" w:color="auto"/>
            <w:left w:val="none" w:sz="0" w:space="0" w:color="auto"/>
            <w:bottom w:val="none" w:sz="0" w:space="0" w:color="auto"/>
            <w:right w:val="none" w:sz="0" w:space="0" w:color="auto"/>
          </w:divBdr>
        </w:div>
        <w:div w:id="21382541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5948042">
      <w:bodyDiv w:val="1"/>
      <w:marLeft w:val="0"/>
      <w:marRight w:val="0"/>
      <w:marTop w:val="0"/>
      <w:marBottom w:val="0"/>
      <w:divBdr>
        <w:top w:val="none" w:sz="0" w:space="0" w:color="auto"/>
        <w:left w:val="none" w:sz="0" w:space="0" w:color="auto"/>
        <w:bottom w:val="none" w:sz="0" w:space="0" w:color="auto"/>
        <w:right w:val="none" w:sz="0" w:space="0" w:color="auto"/>
      </w:divBdr>
      <w:divsChild>
        <w:div w:id="1364938308">
          <w:marLeft w:val="0"/>
          <w:marRight w:val="0"/>
          <w:marTop w:val="0"/>
          <w:marBottom w:val="0"/>
          <w:divBdr>
            <w:top w:val="none" w:sz="0" w:space="0" w:color="auto"/>
            <w:left w:val="none" w:sz="0" w:space="0" w:color="auto"/>
            <w:bottom w:val="none" w:sz="0" w:space="0" w:color="auto"/>
            <w:right w:val="none" w:sz="0" w:space="0" w:color="auto"/>
          </w:divBdr>
          <w:divsChild>
            <w:div w:id="57559058">
              <w:marLeft w:val="0"/>
              <w:marRight w:val="0"/>
              <w:marTop w:val="0"/>
              <w:marBottom w:val="0"/>
              <w:divBdr>
                <w:top w:val="none" w:sz="0" w:space="0" w:color="auto"/>
                <w:left w:val="none" w:sz="0" w:space="0" w:color="auto"/>
                <w:bottom w:val="none" w:sz="0" w:space="0" w:color="auto"/>
                <w:right w:val="none" w:sz="0" w:space="0" w:color="auto"/>
              </w:divBdr>
            </w:div>
            <w:div w:id="92211870">
              <w:marLeft w:val="0"/>
              <w:marRight w:val="0"/>
              <w:marTop w:val="0"/>
              <w:marBottom w:val="0"/>
              <w:divBdr>
                <w:top w:val="none" w:sz="0" w:space="0" w:color="auto"/>
                <w:left w:val="none" w:sz="0" w:space="0" w:color="auto"/>
                <w:bottom w:val="none" w:sz="0" w:space="0" w:color="auto"/>
                <w:right w:val="none" w:sz="0" w:space="0" w:color="auto"/>
              </w:divBdr>
            </w:div>
            <w:div w:id="93329784">
              <w:marLeft w:val="0"/>
              <w:marRight w:val="0"/>
              <w:marTop w:val="0"/>
              <w:marBottom w:val="0"/>
              <w:divBdr>
                <w:top w:val="none" w:sz="0" w:space="0" w:color="auto"/>
                <w:left w:val="none" w:sz="0" w:space="0" w:color="auto"/>
                <w:bottom w:val="none" w:sz="0" w:space="0" w:color="auto"/>
                <w:right w:val="none" w:sz="0" w:space="0" w:color="auto"/>
              </w:divBdr>
            </w:div>
            <w:div w:id="660499912">
              <w:marLeft w:val="0"/>
              <w:marRight w:val="0"/>
              <w:marTop w:val="0"/>
              <w:marBottom w:val="0"/>
              <w:divBdr>
                <w:top w:val="none" w:sz="0" w:space="0" w:color="auto"/>
                <w:left w:val="none" w:sz="0" w:space="0" w:color="auto"/>
                <w:bottom w:val="none" w:sz="0" w:space="0" w:color="auto"/>
                <w:right w:val="none" w:sz="0" w:space="0" w:color="auto"/>
              </w:divBdr>
            </w:div>
            <w:div w:id="1095369468">
              <w:marLeft w:val="0"/>
              <w:marRight w:val="0"/>
              <w:marTop w:val="0"/>
              <w:marBottom w:val="0"/>
              <w:divBdr>
                <w:top w:val="none" w:sz="0" w:space="0" w:color="auto"/>
                <w:left w:val="none" w:sz="0" w:space="0" w:color="auto"/>
                <w:bottom w:val="none" w:sz="0" w:space="0" w:color="auto"/>
                <w:right w:val="none" w:sz="0" w:space="0" w:color="auto"/>
              </w:divBdr>
            </w:div>
            <w:div w:id="186694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110647">
      <w:bodyDiv w:val="1"/>
      <w:marLeft w:val="0"/>
      <w:marRight w:val="0"/>
      <w:marTop w:val="0"/>
      <w:marBottom w:val="0"/>
      <w:divBdr>
        <w:top w:val="none" w:sz="0" w:space="0" w:color="auto"/>
        <w:left w:val="none" w:sz="0" w:space="0" w:color="auto"/>
        <w:bottom w:val="none" w:sz="0" w:space="0" w:color="auto"/>
        <w:right w:val="none" w:sz="0" w:space="0" w:color="auto"/>
      </w:divBdr>
      <w:divsChild>
        <w:div w:id="1470786122">
          <w:marLeft w:val="0"/>
          <w:marRight w:val="0"/>
          <w:marTop w:val="0"/>
          <w:marBottom w:val="0"/>
          <w:divBdr>
            <w:top w:val="none" w:sz="0" w:space="0" w:color="auto"/>
            <w:left w:val="none" w:sz="0" w:space="0" w:color="auto"/>
            <w:bottom w:val="none" w:sz="0" w:space="0" w:color="auto"/>
            <w:right w:val="none" w:sz="0" w:space="0" w:color="auto"/>
          </w:divBdr>
          <w:divsChild>
            <w:div w:id="59211299">
              <w:marLeft w:val="0"/>
              <w:marRight w:val="0"/>
              <w:marTop w:val="0"/>
              <w:marBottom w:val="0"/>
              <w:divBdr>
                <w:top w:val="none" w:sz="0" w:space="0" w:color="auto"/>
                <w:left w:val="none" w:sz="0" w:space="0" w:color="auto"/>
                <w:bottom w:val="none" w:sz="0" w:space="0" w:color="auto"/>
                <w:right w:val="none" w:sz="0" w:space="0" w:color="auto"/>
              </w:divBdr>
            </w:div>
            <w:div w:id="103431050">
              <w:marLeft w:val="0"/>
              <w:marRight w:val="0"/>
              <w:marTop w:val="0"/>
              <w:marBottom w:val="0"/>
              <w:divBdr>
                <w:top w:val="none" w:sz="0" w:space="0" w:color="auto"/>
                <w:left w:val="none" w:sz="0" w:space="0" w:color="auto"/>
                <w:bottom w:val="none" w:sz="0" w:space="0" w:color="auto"/>
                <w:right w:val="none" w:sz="0" w:space="0" w:color="auto"/>
              </w:divBdr>
            </w:div>
            <w:div w:id="496194445">
              <w:marLeft w:val="0"/>
              <w:marRight w:val="0"/>
              <w:marTop w:val="0"/>
              <w:marBottom w:val="0"/>
              <w:divBdr>
                <w:top w:val="none" w:sz="0" w:space="0" w:color="auto"/>
                <w:left w:val="none" w:sz="0" w:space="0" w:color="auto"/>
                <w:bottom w:val="none" w:sz="0" w:space="0" w:color="auto"/>
                <w:right w:val="none" w:sz="0" w:space="0" w:color="auto"/>
              </w:divBdr>
            </w:div>
            <w:div w:id="695692404">
              <w:marLeft w:val="0"/>
              <w:marRight w:val="0"/>
              <w:marTop w:val="0"/>
              <w:marBottom w:val="0"/>
              <w:divBdr>
                <w:top w:val="none" w:sz="0" w:space="0" w:color="auto"/>
                <w:left w:val="none" w:sz="0" w:space="0" w:color="auto"/>
                <w:bottom w:val="none" w:sz="0" w:space="0" w:color="auto"/>
                <w:right w:val="none" w:sz="0" w:space="0" w:color="auto"/>
              </w:divBdr>
            </w:div>
            <w:div w:id="790829318">
              <w:marLeft w:val="0"/>
              <w:marRight w:val="0"/>
              <w:marTop w:val="0"/>
              <w:marBottom w:val="0"/>
              <w:divBdr>
                <w:top w:val="none" w:sz="0" w:space="0" w:color="auto"/>
                <w:left w:val="none" w:sz="0" w:space="0" w:color="auto"/>
                <w:bottom w:val="none" w:sz="0" w:space="0" w:color="auto"/>
                <w:right w:val="none" w:sz="0" w:space="0" w:color="auto"/>
              </w:divBdr>
            </w:div>
            <w:div w:id="916281864">
              <w:marLeft w:val="0"/>
              <w:marRight w:val="0"/>
              <w:marTop w:val="0"/>
              <w:marBottom w:val="0"/>
              <w:divBdr>
                <w:top w:val="none" w:sz="0" w:space="0" w:color="auto"/>
                <w:left w:val="none" w:sz="0" w:space="0" w:color="auto"/>
                <w:bottom w:val="none" w:sz="0" w:space="0" w:color="auto"/>
                <w:right w:val="none" w:sz="0" w:space="0" w:color="auto"/>
              </w:divBdr>
            </w:div>
            <w:div w:id="1117600795">
              <w:marLeft w:val="0"/>
              <w:marRight w:val="0"/>
              <w:marTop w:val="0"/>
              <w:marBottom w:val="0"/>
              <w:divBdr>
                <w:top w:val="none" w:sz="0" w:space="0" w:color="auto"/>
                <w:left w:val="none" w:sz="0" w:space="0" w:color="auto"/>
                <w:bottom w:val="none" w:sz="0" w:space="0" w:color="auto"/>
                <w:right w:val="none" w:sz="0" w:space="0" w:color="auto"/>
              </w:divBdr>
            </w:div>
            <w:div w:id="1336419064">
              <w:marLeft w:val="0"/>
              <w:marRight w:val="0"/>
              <w:marTop w:val="0"/>
              <w:marBottom w:val="0"/>
              <w:divBdr>
                <w:top w:val="none" w:sz="0" w:space="0" w:color="auto"/>
                <w:left w:val="none" w:sz="0" w:space="0" w:color="auto"/>
                <w:bottom w:val="none" w:sz="0" w:space="0" w:color="auto"/>
                <w:right w:val="none" w:sz="0" w:space="0" w:color="auto"/>
              </w:divBdr>
            </w:div>
            <w:div w:id="1526477539">
              <w:marLeft w:val="0"/>
              <w:marRight w:val="0"/>
              <w:marTop w:val="0"/>
              <w:marBottom w:val="0"/>
              <w:divBdr>
                <w:top w:val="none" w:sz="0" w:space="0" w:color="auto"/>
                <w:left w:val="none" w:sz="0" w:space="0" w:color="auto"/>
                <w:bottom w:val="none" w:sz="0" w:space="0" w:color="auto"/>
                <w:right w:val="none" w:sz="0" w:space="0" w:color="auto"/>
              </w:divBdr>
            </w:div>
            <w:div w:id="1892576237">
              <w:marLeft w:val="0"/>
              <w:marRight w:val="0"/>
              <w:marTop w:val="0"/>
              <w:marBottom w:val="0"/>
              <w:divBdr>
                <w:top w:val="none" w:sz="0" w:space="0" w:color="auto"/>
                <w:left w:val="none" w:sz="0" w:space="0" w:color="auto"/>
                <w:bottom w:val="none" w:sz="0" w:space="0" w:color="auto"/>
                <w:right w:val="none" w:sz="0" w:space="0" w:color="auto"/>
              </w:divBdr>
            </w:div>
            <w:div w:id="200889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567324">
      <w:bodyDiv w:val="1"/>
      <w:marLeft w:val="0"/>
      <w:marRight w:val="0"/>
      <w:marTop w:val="0"/>
      <w:marBottom w:val="0"/>
      <w:divBdr>
        <w:top w:val="none" w:sz="0" w:space="0" w:color="auto"/>
        <w:left w:val="none" w:sz="0" w:space="0" w:color="auto"/>
        <w:bottom w:val="none" w:sz="0" w:space="0" w:color="auto"/>
        <w:right w:val="none" w:sz="0" w:space="0" w:color="auto"/>
      </w:divBdr>
      <w:divsChild>
        <w:div w:id="1972251803">
          <w:marLeft w:val="0"/>
          <w:marRight w:val="0"/>
          <w:marTop w:val="0"/>
          <w:marBottom w:val="0"/>
          <w:divBdr>
            <w:top w:val="none" w:sz="0" w:space="0" w:color="auto"/>
            <w:left w:val="none" w:sz="0" w:space="0" w:color="auto"/>
            <w:bottom w:val="none" w:sz="0" w:space="0" w:color="auto"/>
            <w:right w:val="none" w:sz="0" w:space="0" w:color="auto"/>
          </w:divBdr>
          <w:divsChild>
            <w:div w:id="260455696">
              <w:marLeft w:val="0"/>
              <w:marRight w:val="0"/>
              <w:marTop w:val="0"/>
              <w:marBottom w:val="0"/>
              <w:divBdr>
                <w:top w:val="none" w:sz="0" w:space="0" w:color="auto"/>
                <w:left w:val="none" w:sz="0" w:space="0" w:color="auto"/>
                <w:bottom w:val="none" w:sz="0" w:space="0" w:color="auto"/>
                <w:right w:val="none" w:sz="0" w:space="0" w:color="auto"/>
              </w:divBdr>
            </w:div>
            <w:div w:id="290868042">
              <w:marLeft w:val="0"/>
              <w:marRight w:val="0"/>
              <w:marTop w:val="0"/>
              <w:marBottom w:val="0"/>
              <w:divBdr>
                <w:top w:val="none" w:sz="0" w:space="0" w:color="auto"/>
                <w:left w:val="none" w:sz="0" w:space="0" w:color="auto"/>
                <w:bottom w:val="none" w:sz="0" w:space="0" w:color="auto"/>
                <w:right w:val="none" w:sz="0" w:space="0" w:color="auto"/>
              </w:divBdr>
            </w:div>
            <w:div w:id="526872784">
              <w:marLeft w:val="0"/>
              <w:marRight w:val="0"/>
              <w:marTop w:val="0"/>
              <w:marBottom w:val="0"/>
              <w:divBdr>
                <w:top w:val="none" w:sz="0" w:space="0" w:color="auto"/>
                <w:left w:val="none" w:sz="0" w:space="0" w:color="auto"/>
                <w:bottom w:val="none" w:sz="0" w:space="0" w:color="auto"/>
                <w:right w:val="none" w:sz="0" w:space="0" w:color="auto"/>
              </w:divBdr>
            </w:div>
            <w:div w:id="784613600">
              <w:marLeft w:val="0"/>
              <w:marRight w:val="0"/>
              <w:marTop w:val="0"/>
              <w:marBottom w:val="0"/>
              <w:divBdr>
                <w:top w:val="none" w:sz="0" w:space="0" w:color="auto"/>
                <w:left w:val="none" w:sz="0" w:space="0" w:color="auto"/>
                <w:bottom w:val="none" w:sz="0" w:space="0" w:color="auto"/>
                <w:right w:val="none" w:sz="0" w:space="0" w:color="auto"/>
              </w:divBdr>
            </w:div>
            <w:div w:id="947926399">
              <w:marLeft w:val="0"/>
              <w:marRight w:val="0"/>
              <w:marTop w:val="0"/>
              <w:marBottom w:val="0"/>
              <w:divBdr>
                <w:top w:val="none" w:sz="0" w:space="0" w:color="auto"/>
                <w:left w:val="none" w:sz="0" w:space="0" w:color="auto"/>
                <w:bottom w:val="none" w:sz="0" w:space="0" w:color="auto"/>
                <w:right w:val="none" w:sz="0" w:space="0" w:color="auto"/>
              </w:divBdr>
            </w:div>
            <w:div w:id="1197427218">
              <w:marLeft w:val="0"/>
              <w:marRight w:val="0"/>
              <w:marTop w:val="0"/>
              <w:marBottom w:val="0"/>
              <w:divBdr>
                <w:top w:val="none" w:sz="0" w:space="0" w:color="auto"/>
                <w:left w:val="none" w:sz="0" w:space="0" w:color="auto"/>
                <w:bottom w:val="none" w:sz="0" w:space="0" w:color="auto"/>
                <w:right w:val="none" w:sz="0" w:space="0" w:color="auto"/>
              </w:divBdr>
            </w:div>
            <w:div w:id="1382317423">
              <w:marLeft w:val="0"/>
              <w:marRight w:val="0"/>
              <w:marTop w:val="0"/>
              <w:marBottom w:val="0"/>
              <w:divBdr>
                <w:top w:val="none" w:sz="0" w:space="0" w:color="auto"/>
                <w:left w:val="none" w:sz="0" w:space="0" w:color="auto"/>
                <w:bottom w:val="none" w:sz="0" w:space="0" w:color="auto"/>
                <w:right w:val="none" w:sz="0" w:space="0" w:color="auto"/>
              </w:divBdr>
            </w:div>
            <w:div w:id="193169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877652">
      <w:bodyDiv w:val="1"/>
      <w:marLeft w:val="0"/>
      <w:marRight w:val="0"/>
      <w:marTop w:val="0"/>
      <w:marBottom w:val="0"/>
      <w:divBdr>
        <w:top w:val="none" w:sz="0" w:space="0" w:color="auto"/>
        <w:left w:val="none" w:sz="0" w:space="0" w:color="auto"/>
        <w:bottom w:val="none" w:sz="0" w:space="0" w:color="auto"/>
        <w:right w:val="none" w:sz="0" w:space="0" w:color="auto"/>
      </w:divBdr>
      <w:divsChild>
        <w:div w:id="1869053766">
          <w:marLeft w:val="0"/>
          <w:marRight w:val="0"/>
          <w:marTop w:val="0"/>
          <w:marBottom w:val="0"/>
          <w:divBdr>
            <w:top w:val="none" w:sz="0" w:space="0" w:color="auto"/>
            <w:left w:val="none" w:sz="0" w:space="0" w:color="auto"/>
            <w:bottom w:val="none" w:sz="0" w:space="0" w:color="auto"/>
            <w:right w:val="none" w:sz="0" w:space="0" w:color="auto"/>
          </w:divBdr>
          <w:divsChild>
            <w:div w:id="68888494">
              <w:marLeft w:val="0"/>
              <w:marRight w:val="0"/>
              <w:marTop w:val="0"/>
              <w:marBottom w:val="0"/>
              <w:divBdr>
                <w:top w:val="none" w:sz="0" w:space="0" w:color="auto"/>
                <w:left w:val="none" w:sz="0" w:space="0" w:color="auto"/>
                <w:bottom w:val="none" w:sz="0" w:space="0" w:color="auto"/>
                <w:right w:val="none" w:sz="0" w:space="0" w:color="auto"/>
              </w:divBdr>
            </w:div>
            <w:div w:id="309599549">
              <w:marLeft w:val="0"/>
              <w:marRight w:val="0"/>
              <w:marTop w:val="0"/>
              <w:marBottom w:val="0"/>
              <w:divBdr>
                <w:top w:val="none" w:sz="0" w:space="0" w:color="auto"/>
                <w:left w:val="none" w:sz="0" w:space="0" w:color="auto"/>
                <w:bottom w:val="none" w:sz="0" w:space="0" w:color="auto"/>
                <w:right w:val="none" w:sz="0" w:space="0" w:color="auto"/>
              </w:divBdr>
            </w:div>
            <w:div w:id="314114755">
              <w:marLeft w:val="0"/>
              <w:marRight w:val="0"/>
              <w:marTop w:val="0"/>
              <w:marBottom w:val="0"/>
              <w:divBdr>
                <w:top w:val="none" w:sz="0" w:space="0" w:color="auto"/>
                <w:left w:val="none" w:sz="0" w:space="0" w:color="auto"/>
                <w:bottom w:val="none" w:sz="0" w:space="0" w:color="auto"/>
                <w:right w:val="none" w:sz="0" w:space="0" w:color="auto"/>
              </w:divBdr>
            </w:div>
            <w:div w:id="644045872">
              <w:marLeft w:val="0"/>
              <w:marRight w:val="0"/>
              <w:marTop w:val="0"/>
              <w:marBottom w:val="0"/>
              <w:divBdr>
                <w:top w:val="none" w:sz="0" w:space="0" w:color="auto"/>
                <w:left w:val="none" w:sz="0" w:space="0" w:color="auto"/>
                <w:bottom w:val="none" w:sz="0" w:space="0" w:color="auto"/>
                <w:right w:val="none" w:sz="0" w:space="0" w:color="auto"/>
              </w:divBdr>
            </w:div>
            <w:div w:id="1010449666">
              <w:marLeft w:val="0"/>
              <w:marRight w:val="0"/>
              <w:marTop w:val="0"/>
              <w:marBottom w:val="0"/>
              <w:divBdr>
                <w:top w:val="none" w:sz="0" w:space="0" w:color="auto"/>
                <w:left w:val="none" w:sz="0" w:space="0" w:color="auto"/>
                <w:bottom w:val="none" w:sz="0" w:space="0" w:color="auto"/>
                <w:right w:val="none" w:sz="0" w:space="0" w:color="auto"/>
              </w:divBdr>
            </w:div>
            <w:div w:id="1056393334">
              <w:marLeft w:val="0"/>
              <w:marRight w:val="0"/>
              <w:marTop w:val="0"/>
              <w:marBottom w:val="0"/>
              <w:divBdr>
                <w:top w:val="none" w:sz="0" w:space="0" w:color="auto"/>
                <w:left w:val="none" w:sz="0" w:space="0" w:color="auto"/>
                <w:bottom w:val="none" w:sz="0" w:space="0" w:color="auto"/>
                <w:right w:val="none" w:sz="0" w:space="0" w:color="auto"/>
              </w:divBdr>
            </w:div>
            <w:div w:id="1293250167">
              <w:marLeft w:val="0"/>
              <w:marRight w:val="0"/>
              <w:marTop w:val="0"/>
              <w:marBottom w:val="0"/>
              <w:divBdr>
                <w:top w:val="none" w:sz="0" w:space="0" w:color="auto"/>
                <w:left w:val="none" w:sz="0" w:space="0" w:color="auto"/>
                <w:bottom w:val="none" w:sz="0" w:space="0" w:color="auto"/>
                <w:right w:val="none" w:sz="0" w:space="0" w:color="auto"/>
              </w:divBdr>
            </w:div>
            <w:div w:id="1331103438">
              <w:marLeft w:val="0"/>
              <w:marRight w:val="0"/>
              <w:marTop w:val="0"/>
              <w:marBottom w:val="0"/>
              <w:divBdr>
                <w:top w:val="none" w:sz="0" w:space="0" w:color="auto"/>
                <w:left w:val="none" w:sz="0" w:space="0" w:color="auto"/>
                <w:bottom w:val="none" w:sz="0" w:space="0" w:color="auto"/>
                <w:right w:val="none" w:sz="0" w:space="0" w:color="auto"/>
              </w:divBdr>
            </w:div>
            <w:div w:id="1596090015">
              <w:marLeft w:val="0"/>
              <w:marRight w:val="0"/>
              <w:marTop w:val="0"/>
              <w:marBottom w:val="0"/>
              <w:divBdr>
                <w:top w:val="none" w:sz="0" w:space="0" w:color="auto"/>
                <w:left w:val="none" w:sz="0" w:space="0" w:color="auto"/>
                <w:bottom w:val="none" w:sz="0" w:space="0" w:color="auto"/>
                <w:right w:val="none" w:sz="0" w:space="0" w:color="auto"/>
              </w:divBdr>
            </w:div>
            <w:div w:id="1746104816">
              <w:marLeft w:val="0"/>
              <w:marRight w:val="0"/>
              <w:marTop w:val="0"/>
              <w:marBottom w:val="0"/>
              <w:divBdr>
                <w:top w:val="none" w:sz="0" w:space="0" w:color="auto"/>
                <w:left w:val="none" w:sz="0" w:space="0" w:color="auto"/>
                <w:bottom w:val="none" w:sz="0" w:space="0" w:color="auto"/>
                <w:right w:val="none" w:sz="0" w:space="0" w:color="auto"/>
              </w:divBdr>
            </w:div>
            <w:div w:id="1769040786">
              <w:marLeft w:val="0"/>
              <w:marRight w:val="0"/>
              <w:marTop w:val="0"/>
              <w:marBottom w:val="0"/>
              <w:divBdr>
                <w:top w:val="none" w:sz="0" w:space="0" w:color="auto"/>
                <w:left w:val="none" w:sz="0" w:space="0" w:color="auto"/>
                <w:bottom w:val="none" w:sz="0" w:space="0" w:color="auto"/>
                <w:right w:val="none" w:sz="0" w:space="0" w:color="auto"/>
              </w:divBdr>
            </w:div>
            <w:div w:id="1975021600">
              <w:marLeft w:val="0"/>
              <w:marRight w:val="0"/>
              <w:marTop w:val="0"/>
              <w:marBottom w:val="0"/>
              <w:divBdr>
                <w:top w:val="none" w:sz="0" w:space="0" w:color="auto"/>
                <w:left w:val="none" w:sz="0" w:space="0" w:color="auto"/>
                <w:bottom w:val="none" w:sz="0" w:space="0" w:color="auto"/>
                <w:right w:val="none" w:sz="0" w:space="0" w:color="auto"/>
              </w:divBdr>
            </w:div>
            <w:div w:id="210845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620277">
      <w:bodyDiv w:val="1"/>
      <w:marLeft w:val="0"/>
      <w:marRight w:val="0"/>
      <w:marTop w:val="0"/>
      <w:marBottom w:val="0"/>
      <w:divBdr>
        <w:top w:val="none" w:sz="0" w:space="0" w:color="auto"/>
        <w:left w:val="none" w:sz="0" w:space="0" w:color="auto"/>
        <w:bottom w:val="none" w:sz="0" w:space="0" w:color="auto"/>
        <w:right w:val="none" w:sz="0" w:space="0" w:color="auto"/>
      </w:divBdr>
      <w:divsChild>
        <w:div w:id="1954438686">
          <w:marLeft w:val="0"/>
          <w:marRight w:val="0"/>
          <w:marTop w:val="0"/>
          <w:marBottom w:val="0"/>
          <w:divBdr>
            <w:top w:val="none" w:sz="0" w:space="0" w:color="auto"/>
            <w:left w:val="none" w:sz="0" w:space="0" w:color="auto"/>
            <w:bottom w:val="none" w:sz="0" w:space="0" w:color="auto"/>
            <w:right w:val="none" w:sz="0" w:space="0" w:color="auto"/>
          </w:divBdr>
          <w:divsChild>
            <w:div w:id="1444032753">
              <w:marLeft w:val="0"/>
              <w:marRight w:val="0"/>
              <w:marTop w:val="0"/>
              <w:marBottom w:val="0"/>
              <w:divBdr>
                <w:top w:val="none" w:sz="0" w:space="0" w:color="auto"/>
                <w:left w:val="none" w:sz="0" w:space="0" w:color="auto"/>
                <w:bottom w:val="none" w:sz="0" w:space="0" w:color="auto"/>
                <w:right w:val="none" w:sz="0" w:space="0" w:color="auto"/>
              </w:divBdr>
            </w:div>
            <w:div w:id="430660698">
              <w:marLeft w:val="0"/>
              <w:marRight w:val="0"/>
              <w:marTop w:val="0"/>
              <w:marBottom w:val="0"/>
              <w:divBdr>
                <w:top w:val="none" w:sz="0" w:space="0" w:color="auto"/>
                <w:left w:val="none" w:sz="0" w:space="0" w:color="auto"/>
                <w:bottom w:val="none" w:sz="0" w:space="0" w:color="auto"/>
                <w:right w:val="none" w:sz="0" w:space="0" w:color="auto"/>
              </w:divBdr>
            </w:div>
            <w:div w:id="172260791">
              <w:marLeft w:val="0"/>
              <w:marRight w:val="0"/>
              <w:marTop w:val="0"/>
              <w:marBottom w:val="0"/>
              <w:divBdr>
                <w:top w:val="none" w:sz="0" w:space="0" w:color="auto"/>
                <w:left w:val="none" w:sz="0" w:space="0" w:color="auto"/>
                <w:bottom w:val="none" w:sz="0" w:space="0" w:color="auto"/>
                <w:right w:val="none" w:sz="0" w:space="0" w:color="auto"/>
              </w:divBdr>
            </w:div>
            <w:div w:id="116028540">
              <w:marLeft w:val="0"/>
              <w:marRight w:val="0"/>
              <w:marTop w:val="0"/>
              <w:marBottom w:val="0"/>
              <w:divBdr>
                <w:top w:val="none" w:sz="0" w:space="0" w:color="auto"/>
                <w:left w:val="none" w:sz="0" w:space="0" w:color="auto"/>
                <w:bottom w:val="none" w:sz="0" w:space="0" w:color="auto"/>
                <w:right w:val="none" w:sz="0" w:space="0" w:color="auto"/>
              </w:divBdr>
            </w:div>
            <w:div w:id="1794668071">
              <w:marLeft w:val="0"/>
              <w:marRight w:val="0"/>
              <w:marTop w:val="0"/>
              <w:marBottom w:val="0"/>
              <w:divBdr>
                <w:top w:val="none" w:sz="0" w:space="0" w:color="auto"/>
                <w:left w:val="none" w:sz="0" w:space="0" w:color="auto"/>
                <w:bottom w:val="none" w:sz="0" w:space="0" w:color="auto"/>
                <w:right w:val="none" w:sz="0" w:space="0" w:color="auto"/>
              </w:divBdr>
            </w:div>
            <w:div w:id="1633445108">
              <w:marLeft w:val="0"/>
              <w:marRight w:val="0"/>
              <w:marTop w:val="0"/>
              <w:marBottom w:val="0"/>
              <w:divBdr>
                <w:top w:val="none" w:sz="0" w:space="0" w:color="auto"/>
                <w:left w:val="none" w:sz="0" w:space="0" w:color="auto"/>
                <w:bottom w:val="none" w:sz="0" w:space="0" w:color="auto"/>
                <w:right w:val="none" w:sz="0" w:space="0" w:color="auto"/>
              </w:divBdr>
            </w:div>
            <w:div w:id="486753821">
              <w:marLeft w:val="0"/>
              <w:marRight w:val="0"/>
              <w:marTop w:val="0"/>
              <w:marBottom w:val="0"/>
              <w:divBdr>
                <w:top w:val="none" w:sz="0" w:space="0" w:color="auto"/>
                <w:left w:val="none" w:sz="0" w:space="0" w:color="auto"/>
                <w:bottom w:val="none" w:sz="0" w:space="0" w:color="auto"/>
                <w:right w:val="none" w:sz="0" w:space="0" w:color="auto"/>
              </w:divBdr>
            </w:div>
            <w:div w:id="1832598336">
              <w:marLeft w:val="0"/>
              <w:marRight w:val="0"/>
              <w:marTop w:val="0"/>
              <w:marBottom w:val="0"/>
              <w:divBdr>
                <w:top w:val="none" w:sz="0" w:space="0" w:color="auto"/>
                <w:left w:val="none" w:sz="0" w:space="0" w:color="auto"/>
                <w:bottom w:val="none" w:sz="0" w:space="0" w:color="auto"/>
                <w:right w:val="none" w:sz="0" w:space="0" w:color="auto"/>
              </w:divBdr>
            </w:div>
            <w:div w:id="653145503">
              <w:marLeft w:val="0"/>
              <w:marRight w:val="0"/>
              <w:marTop w:val="0"/>
              <w:marBottom w:val="0"/>
              <w:divBdr>
                <w:top w:val="none" w:sz="0" w:space="0" w:color="auto"/>
                <w:left w:val="none" w:sz="0" w:space="0" w:color="auto"/>
                <w:bottom w:val="none" w:sz="0" w:space="0" w:color="auto"/>
                <w:right w:val="none" w:sz="0" w:space="0" w:color="auto"/>
              </w:divBdr>
            </w:div>
            <w:div w:id="428308607">
              <w:marLeft w:val="0"/>
              <w:marRight w:val="0"/>
              <w:marTop w:val="0"/>
              <w:marBottom w:val="0"/>
              <w:divBdr>
                <w:top w:val="none" w:sz="0" w:space="0" w:color="auto"/>
                <w:left w:val="none" w:sz="0" w:space="0" w:color="auto"/>
                <w:bottom w:val="none" w:sz="0" w:space="0" w:color="auto"/>
                <w:right w:val="none" w:sz="0" w:space="0" w:color="auto"/>
              </w:divBdr>
            </w:div>
            <w:div w:id="1033647995">
              <w:marLeft w:val="0"/>
              <w:marRight w:val="0"/>
              <w:marTop w:val="0"/>
              <w:marBottom w:val="0"/>
              <w:divBdr>
                <w:top w:val="none" w:sz="0" w:space="0" w:color="auto"/>
                <w:left w:val="none" w:sz="0" w:space="0" w:color="auto"/>
                <w:bottom w:val="none" w:sz="0" w:space="0" w:color="auto"/>
                <w:right w:val="none" w:sz="0" w:space="0" w:color="auto"/>
              </w:divBdr>
            </w:div>
            <w:div w:id="2003002607">
              <w:marLeft w:val="0"/>
              <w:marRight w:val="0"/>
              <w:marTop w:val="0"/>
              <w:marBottom w:val="0"/>
              <w:divBdr>
                <w:top w:val="none" w:sz="0" w:space="0" w:color="auto"/>
                <w:left w:val="none" w:sz="0" w:space="0" w:color="auto"/>
                <w:bottom w:val="none" w:sz="0" w:space="0" w:color="auto"/>
                <w:right w:val="none" w:sz="0" w:space="0" w:color="auto"/>
              </w:divBdr>
            </w:div>
            <w:div w:id="1009285832">
              <w:marLeft w:val="0"/>
              <w:marRight w:val="0"/>
              <w:marTop w:val="0"/>
              <w:marBottom w:val="0"/>
              <w:divBdr>
                <w:top w:val="none" w:sz="0" w:space="0" w:color="auto"/>
                <w:left w:val="none" w:sz="0" w:space="0" w:color="auto"/>
                <w:bottom w:val="none" w:sz="0" w:space="0" w:color="auto"/>
                <w:right w:val="none" w:sz="0" w:space="0" w:color="auto"/>
              </w:divBdr>
            </w:div>
            <w:div w:id="2064518002">
              <w:marLeft w:val="0"/>
              <w:marRight w:val="0"/>
              <w:marTop w:val="0"/>
              <w:marBottom w:val="0"/>
              <w:divBdr>
                <w:top w:val="none" w:sz="0" w:space="0" w:color="auto"/>
                <w:left w:val="none" w:sz="0" w:space="0" w:color="auto"/>
                <w:bottom w:val="none" w:sz="0" w:space="0" w:color="auto"/>
                <w:right w:val="none" w:sz="0" w:space="0" w:color="auto"/>
              </w:divBdr>
            </w:div>
            <w:div w:id="625964765">
              <w:marLeft w:val="0"/>
              <w:marRight w:val="0"/>
              <w:marTop w:val="0"/>
              <w:marBottom w:val="0"/>
              <w:divBdr>
                <w:top w:val="none" w:sz="0" w:space="0" w:color="auto"/>
                <w:left w:val="none" w:sz="0" w:space="0" w:color="auto"/>
                <w:bottom w:val="none" w:sz="0" w:space="0" w:color="auto"/>
                <w:right w:val="none" w:sz="0" w:space="0" w:color="auto"/>
              </w:divBdr>
            </w:div>
            <w:div w:id="903568437">
              <w:marLeft w:val="0"/>
              <w:marRight w:val="0"/>
              <w:marTop w:val="0"/>
              <w:marBottom w:val="0"/>
              <w:divBdr>
                <w:top w:val="none" w:sz="0" w:space="0" w:color="auto"/>
                <w:left w:val="none" w:sz="0" w:space="0" w:color="auto"/>
                <w:bottom w:val="none" w:sz="0" w:space="0" w:color="auto"/>
                <w:right w:val="none" w:sz="0" w:space="0" w:color="auto"/>
              </w:divBdr>
            </w:div>
            <w:div w:id="234634636">
              <w:marLeft w:val="0"/>
              <w:marRight w:val="0"/>
              <w:marTop w:val="0"/>
              <w:marBottom w:val="0"/>
              <w:divBdr>
                <w:top w:val="none" w:sz="0" w:space="0" w:color="auto"/>
                <w:left w:val="none" w:sz="0" w:space="0" w:color="auto"/>
                <w:bottom w:val="none" w:sz="0" w:space="0" w:color="auto"/>
                <w:right w:val="none" w:sz="0" w:space="0" w:color="auto"/>
              </w:divBdr>
            </w:div>
            <w:div w:id="1059595555">
              <w:marLeft w:val="0"/>
              <w:marRight w:val="0"/>
              <w:marTop w:val="0"/>
              <w:marBottom w:val="0"/>
              <w:divBdr>
                <w:top w:val="none" w:sz="0" w:space="0" w:color="auto"/>
                <w:left w:val="none" w:sz="0" w:space="0" w:color="auto"/>
                <w:bottom w:val="none" w:sz="0" w:space="0" w:color="auto"/>
                <w:right w:val="none" w:sz="0" w:space="0" w:color="auto"/>
              </w:divBdr>
            </w:div>
            <w:div w:id="1367294248">
              <w:marLeft w:val="0"/>
              <w:marRight w:val="0"/>
              <w:marTop w:val="0"/>
              <w:marBottom w:val="0"/>
              <w:divBdr>
                <w:top w:val="none" w:sz="0" w:space="0" w:color="auto"/>
                <w:left w:val="none" w:sz="0" w:space="0" w:color="auto"/>
                <w:bottom w:val="none" w:sz="0" w:space="0" w:color="auto"/>
                <w:right w:val="none" w:sz="0" w:space="0" w:color="auto"/>
              </w:divBdr>
            </w:div>
            <w:div w:id="116975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975660">
      <w:bodyDiv w:val="1"/>
      <w:marLeft w:val="0"/>
      <w:marRight w:val="0"/>
      <w:marTop w:val="0"/>
      <w:marBottom w:val="0"/>
      <w:divBdr>
        <w:top w:val="none" w:sz="0" w:space="0" w:color="auto"/>
        <w:left w:val="none" w:sz="0" w:space="0" w:color="auto"/>
        <w:bottom w:val="none" w:sz="0" w:space="0" w:color="auto"/>
        <w:right w:val="none" w:sz="0" w:space="0" w:color="auto"/>
      </w:divBdr>
      <w:divsChild>
        <w:div w:id="910196574">
          <w:marLeft w:val="0"/>
          <w:marRight w:val="0"/>
          <w:marTop w:val="0"/>
          <w:marBottom w:val="0"/>
          <w:divBdr>
            <w:top w:val="none" w:sz="0" w:space="0" w:color="auto"/>
            <w:left w:val="none" w:sz="0" w:space="0" w:color="auto"/>
            <w:bottom w:val="none" w:sz="0" w:space="0" w:color="auto"/>
            <w:right w:val="none" w:sz="0" w:space="0" w:color="auto"/>
          </w:divBdr>
          <w:divsChild>
            <w:div w:id="55399956">
              <w:marLeft w:val="0"/>
              <w:marRight w:val="0"/>
              <w:marTop w:val="0"/>
              <w:marBottom w:val="0"/>
              <w:divBdr>
                <w:top w:val="none" w:sz="0" w:space="0" w:color="auto"/>
                <w:left w:val="none" w:sz="0" w:space="0" w:color="auto"/>
                <w:bottom w:val="none" w:sz="0" w:space="0" w:color="auto"/>
                <w:right w:val="none" w:sz="0" w:space="0" w:color="auto"/>
              </w:divBdr>
            </w:div>
            <w:div w:id="92670162">
              <w:marLeft w:val="0"/>
              <w:marRight w:val="0"/>
              <w:marTop w:val="0"/>
              <w:marBottom w:val="0"/>
              <w:divBdr>
                <w:top w:val="none" w:sz="0" w:space="0" w:color="auto"/>
                <w:left w:val="none" w:sz="0" w:space="0" w:color="auto"/>
                <w:bottom w:val="none" w:sz="0" w:space="0" w:color="auto"/>
                <w:right w:val="none" w:sz="0" w:space="0" w:color="auto"/>
              </w:divBdr>
            </w:div>
            <w:div w:id="97526305">
              <w:marLeft w:val="0"/>
              <w:marRight w:val="0"/>
              <w:marTop w:val="0"/>
              <w:marBottom w:val="0"/>
              <w:divBdr>
                <w:top w:val="none" w:sz="0" w:space="0" w:color="auto"/>
                <w:left w:val="none" w:sz="0" w:space="0" w:color="auto"/>
                <w:bottom w:val="none" w:sz="0" w:space="0" w:color="auto"/>
                <w:right w:val="none" w:sz="0" w:space="0" w:color="auto"/>
              </w:divBdr>
            </w:div>
            <w:div w:id="141585231">
              <w:marLeft w:val="0"/>
              <w:marRight w:val="0"/>
              <w:marTop w:val="0"/>
              <w:marBottom w:val="0"/>
              <w:divBdr>
                <w:top w:val="none" w:sz="0" w:space="0" w:color="auto"/>
                <w:left w:val="none" w:sz="0" w:space="0" w:color="auto"/>
                <w:bottom w:val="none" w:sz="0" w:space="0" w:color="auto"/>
                <w:right w:val="none" w:sz="0" w:space="0" w:color="auto"/>
              </w:divBdr>
            </w:div>
            <w:div w:id="228224623">
              <w:marLeft w:val="0"/>
              <w:marRight w:val="0"/>
              <w:marTop w:val="0"/>
              <w:marBottom w:val="0"/>
              <w:divBdr>
                <w:top w:val="none" w:sz="0" w:space="0" w:color="auto"/>
                <w:left w:val="none" w:sz="0" w:space="0" w:color="auto"/>
                <w:bottom w:val="none" w:sz="0" w:space="0" w:color="auto"/>
                <w:right w:val="none" w:sz="0" w:space="0" w:color="auto"/>
              </w:divBdr>
            </w:div>
            <w:div w:id="242297972">
              <w:marLeft w:val="0"/>
              <w:marRight w:val="0"/>
              <w:marTop w:val="0"/>
              <w:marBottom w:val="0"/>
              <w:divBdr>
                <w:top w:val="none" w:sz="0" w:space="0" w:color="auto"/>
                <w:left w:val="none" w:sz="0" w:space="0" w:color="auto"/>
                <w:bottom w:val="none" w:sz="0" w:space="0" w:color="auto"/>
                <w:right w:val="none" w:sz="0" w:space="0" w:color="auto"/>
              </w:divBdr>
            </w:div>
            <w:div w:id="271671447">
              <w:marLeft w:val="0"/>
              <w:marRight w:val="0"/>
              <w:marTop w:val="0"/>
              <w:marBottom w:val="0"/>
              <w:divBdr>
                <w:top w:val="none" w:sz="0" w:space="0" w:color="auto"/>
                <w:left w:val="none" w:sz="0" w:space="0" w:color="auto"/>
                <w:bottom w:val="none" w:sz="0" w:space="0" w:color="auto"/>
                <w:right w:val="none" w:sz="0" w:space="0" w:color="auto"/>
              </w:divBdr>
            </w:div>
            <w:div w:id="292059900">
              <w:marLeft w:val="0"/>
              <w:marRight w:val="0"/>
              <w:marTop w:val="0"/>
              <w:marBottom w:val="0"/>
              <w:divBdr>
                <w:top w:val="none" w:sz="0" w:space="0" w:color="auto"/>
                <w:left w:val="none" w:sz="0" w:space="0" w:color="auto"/>
                <w:bottom w:val="none" w:sz="0" w:space="0" w:color="auto"/>
                <w:right w:val="none" w:sz="0" w:space="0" w:color="auto"/>
              </w:divBdr>
            </w:div>
            <w:div w:id="303046355">
              <w:marLeft w:val="0"/>
              <w:marRight w:val="0"/>
              <w:marTop w:val="0"/>
              <w:marBottom w:val="0"/>
              <w:divBdr>
                <w:top w:val="none" w:sz="0" w:space="0" w:color="auto"/>
                <w:left w:val="none" w:sz="0" w:space="0" w:color="auto"/>
                <w:bottom w:val="none" w:sz="0" w:space="0" w:color="auto"/>
                <w:right w:val="none" w:sz="0" w:space="0" w:color="auto"/>
              </w:divBdr>
            </w:div>
            <w:div w:id="323432973">
              <w:marLeft w:val="0"/>
              <w:marRight w:val="0"/>
              <w:marTop w:val="0"/>
              <w:marBottom w:val="0"/>
              <w:divBdr>
                <w:top w:val="none" w:sz="0" w:space="0" w:color="auto"/>
                <w:left w:val="none" w:sz="0" w:space="0" w:color="auto"/>
                <w:bottom w:val="none" w:sz="0" w:space="0" w:color="auto"/>
                <w:right w:val="none" w:sz="0" w:space="0" w:color="auto"/>
              </w:divBdr>
            </w:div>
            <w:div w:id="331959078">
              <w:marLeft w:val="0"/>
              <w:marRight w:val="0"/>
              <w:marTop w:val="0"/>
              <w:marBottom w:val="0"/>
              <w:divBdr>
                <w:top w:val="none" w:sz="0" w:space="0" w:color="auto"/>
                <w:left w:val="none" w:sz="0" w:space="0" w:color="auto"/>
                <w:bottom w:val="none" w:sz="0" w:space="0" w:color="auto"/>
                <w:right w:val="none" w:sz="0" w:space="0" w:color="auto"/>
              </w:divBdr>
            </w:div>
            <w:div w:id="348873358">
              <w:marLeft w:val="0"/>
              <w:marRight w:val="0"/>
              <w:marTop w:val="0"/>
              <w:marBottom w:val="0"/>
              <w:divBdr>
                <w:top w:val="none" w:sz="0" w:space="0" w:color="auto"/>
                <w:left w:val="none" w:sz="0" w:space="0" w:color="auto"/>
                <w:bottom w:val="none" w:sz="0" w:space="0" w:color="auto"/>
                <w:right w:val="none" w:sz="0" w:space="0" w:color="auto"/>
              </w:divBdr>
            </w:div>
            <w:div w:id="431903132">
              <w:marLeft w:val="0"/>
              <w:marRight w:val="0"/>
              <w:marTop w:val="0"/>
              <w:marBottom w:val="0"/>
              <w:divBdr>
                <w:top w:val="none" w:sz="0" w:space="0" w:color="auto"/>
                <w:left w:val="none" w:sz="0" w:space="0" w:color="auto"/>
                <w:bottom w:val="none" w:sz="0" w:space="0" w:color="auto"/>
                <w:right w:val="none" w:sz="0" w:space="0" w:color="auto"/>
              </w:divBdr>
            </w:div>
            <w:div w:id="508716814">
              <w:marLeft w:val="0"/>
              <w:marRight w:val="0"/>
              <w:marTop w:val="0"/>
              <w:marBottom w:val="0"/>
              <w:divBdr>
                <w:top w:val="none" w:sz="0" w:space="0" w:color="auto"/>
                <w:left w:val="none" w:sz="0" w:space="0" w:color="auto"/>
                <w:bottom w:val="none" w:sz="0" w:space="0" w:color="auto"/>
                <w:right w:val="none" w:sz="0" w:space="0" w:color="auto"/>
              </w:divBdr>
            </w:div>
            <w:div w:id="563297475">
              <w:marLeft w:val="0"/>
              <w:marRight w:val="0"/>
              <w:marTop w:val="0"/>
              <w:marBottom w:val="0"/>
              <w:divBdr>
                <w:top w:val="none" w:sz="0" w:space="0" w:color="auto"/>
                <w:left w:val="none" w:sz="0" w:space="0" w:color="auto"/>
                <w:bottom w:val="none" w:sz="0" w:space="0" w:color="auto"/>
                <w:right w:val="none" w:sz="0" w:space="0" w:color="auto"/>
              </w:divBdr>
            </w:div>
            <w:div w:id="615868610">
              <w:marLeft w:val="0"/>
              <w:marRight w:val="0"/>
              <w:marTop w:val="0"/>
              <w:marBottom w:val="0"/>
              <w:divBdr>
                <w:top w:val="none" w:sz="0" w:space="0" w:color="auto"/>
                <w:left w:val="none" w:sz="0" w:space="0" w:color="auto"/>
                <w:bottom w:val="none" w:sz="0" w:space="0" w:color="auto"/>
                <w:right w:val="none" w:sz="0" w:space="0" w:color="auto"/>
              </w:divBdr>
            </w:div>
            <w:div w:id="618535523">
              <w:marLeft w:val="0"/>
              <w:marRight w:val="0"/>
              <w:marTop w:val="0"/>
              <w:marBottom w:val="0"/>
              <w:divBdr>
                <w:top w:val="none" w:sz="0" w:space="0" w:color="auto"/>
                <w:left w:val="none" w:sz="0" w:space="0" w:color="auto"/>
                <w:bottom w:val="none" w:sz="0" w:space="0" w:color="auto"/>
                <w:right w:val="none" w:sz="0" w:space="0" w:color="auto"/>
              </w:divBdr>
            </w:div>
            <w:div w:id="651720108">
              <w:marLeft w:val="0"/>
              <w:marRight w:val="0"/>
              <w:marTop w:val="0"/>
              <w:marBottom w:val="0"/>
              <w:divBdr>
                <w:top w:val="none" w:sz="0" w:space="0" w:color="auto"/>
                <w:left w:val="none" w:sz="0" w:space="0" w:color="auto"/>
                <w:bottom w:val="none" w:sz="0" w:space="0" w:color="auto"/>
                <w:right w:val="none" w:sz="0" w:space="0" w:color="auto"/>
              </w:divBdr>
            </w:div>
            <w:div w:id="672798418">
              <w:marLeft w:val="0"/>
              <w:marRight w:val="0"/>
              <w:marTop w:val="0"/>
              <w:marBottom w:val="0"/>
              <w:divBdr>
                <w:top w:val="none" w:sz="0" w:space="0" w:color="auto"/>
                <w:left w:val="none" w:sz="0" w:space="0" w:color="auto"/>
                <w:bottom w:val="none" w:sz="0" w:space="0" w:color="auto"/>
                <w:right w:val="none" w:sz="0" w:space="0" w:color="auto"/>
              </w:divBdr>
            </w:div>
            <w:div w:id="688525235">
              <w:marLeft w:val="0"/>
              <w:marRight w:val="0"/>
              <w:marTop w:val="0"/>
              <w:marBottom w:val="0"/>
              <w:divBdr>
                <w:top w:val="none" w:sz="0" w:space="0" w:color="auto"/>
                <w:left w:val="none" w:sz="0" w:space="0" w:color="auto"/>
                <w:bottom w:val="none" w:sz="0" w:space="0" w:color="auto"/>
                <w:right w:val="none" w:sz="0" w:space="0" w:color="auto"/>
              </w:divBdr>
            </w:div>
            <w:div w:id="708385137">
              <w:marLeft w:val="0"/>
              <w:marRight w:val="0"/>
              <w:marTop w:val="0"/>
              <w:marBottom w:val="0"/>
              <w:divBdr>
                <w:top w:val="none" w:sz="0" w:space="0" w:color="auto"/>
                <w:left w:val="none" w:sz="0" w:space="0" w:color="auto"/>
                <w:bottom w:val="none" w:sz="0" w:space="0" w:color="auto"/>
                <w:right w:val="none" w:sz="0" w:space="0" w:color="auto"/>
              </w:divBdr>
            </w:div>
            <w:div w:id="739133760">
              <w:marLeft w:val="0"/>
              <w:marRight w:val="0"/>
              <w:marTop w:val="0"/>
              <w:marBottom w:val="0"/>
              <w:divBdr>
                <w:top w:val="none" w:sz="0" w:space="0" w:color="auto"/>
                <w:left w:val="none" w:sz="0" w:space="0" w:color="auto"/>
                <w:bottom w:val="none" w:sz="0" w:space="0" w:color="auto"/>
                <w:right w:val="none" w:sz="0" w:space="0" w:color="auto"/>
              </w:divBdr>
            </w:div>
            <w:div w:id="778138961">
              <w:marLeft w:val="0"/>
              <w:marRight w:val="0"/>
              <w:marTop w:val="0"/>
              <w:marBottom w:val="0"/>
              <w:divBdr>
                <w:top w:val="none" w:sz="0" w:space="0" w:color="auto"/>
                <w:left w:val="none" w:sz="0" w:space="0" w:color="auto"/>
                <w:bottom w:val="none" w:sz="0" w:space="0" w:color="auto"/>
                <w:right w:val="none" w:sz="0" w:space="0" w:color="auto"/>
              </w:divBdr>
            </w:div>
            <w:div w:id="785930040">
              <w:marLeft w:val="0"/>
              <w:marRight w:val="0"/>
              <w:marTop w:val="0"/>
              <w:marBottom w:val="0"/>
              <w:divBdr>
                <w:top w:val="none" w:sz="0" w:space="0" w:color="auto"/>
                <w:left w:val="none" w:sz="0" w:space="0" w:color="auto"/>
                <w:bottom w:val="none" w:sz="0" w:space="0" w:color="auto"/>
                <w:right w:val="none" w:sz="0" w:space="0" w:color="auto"/>
              </w:divBdr>
            </w:div>
            <w:div w:id="798451422">
              <w:marLeft w:val="0"/>
              <w:marRight w:val="0"/>
              <w:marTop w:val="0"/>
              <w:marBottom w:val="0"/>
              <w:divBdr>
                <w:top w:val="none" w:sz="0" w:space="0" w:color="auto"/>
                <w:left w:val="none" w:sz="0" w:space="0" w:color="auto"/>
                <w:bottom w:val="none" w:sz="0" w:space="0" w:color="auto"/>
                <w:right w:val="none" w:sz="0" w:space="0" w:color="auto"/>
              </w:divBdr>
            </w:div>
            <w:div w:id="810946161">
              <w:marLeft w:val="0"/>
              <w:marRight w:val="0"/>
              <w:marTop w:val="0"/>
              <w:marBottom w:val="0"/>
              <w:divBdr>
                <w:top w:val="none" w:sz="0" w:space="0" w:color="auto"/>
                <w:left w:val="none" w:sz="0" w:space="0" w:color="auto"/>
                <w:bottom w:val="none" w:sz="0" w:space="0" w:color="auto"/>
                <w:right w:val="none" w:sz="0" w:space="0" w:color="auto"/>
              </w:divBdr>
            </w:div>
            <w:div w:id="864028180">
              <w:marLeft w:val="0"/>
              <w:marRight w:val="0"/>
              <w:marTop w:val="0"/>
              <w:marBottom w:val="0"/>
              <w:divBdr>
                <w:top w:val="none" w:sz="0" w:space="0" w:color="auto"/>
                <w:left w:val="none" w:sz="0" w:space="0" w:color="auto"/>
                <w:bottom w:val="none" w:sz="0" w:space="0" w:color="auto"/>
                <w:right w:val="none" w:sz="0" w:space="0" w:color="auto"/>
              </w:divBdr>
            </w:div>
            <w:div w:id="874123390">
              <w:marLeft w:val="0"/>
              <w:marRight w:val="0"/>
              <w:marTop w:val="0"/>
              <w:marBottom w:val="0"/>
              <w:divBdr>
                <w:top w:val="none" w:sz="0" w:space="0" w:color="auto"/>
                <w:left w:val="none" w:sz="0" w:space="0" w:color="auto"/>
                <w:bottom w:val="none" w:sz="0" w:space="0" w:color="auto"/>
                <w:right w:val="none" w:sz="0" w:space="0" w:color="auto"/>
              </w:divBdr>
            </w:div>
            <w:div w:id="889465409">
              <w:marLeft w:val="0"/>
              <w:marRight w:val="0"/>
              <w:marTop w:val="0"/>
              <w:marBottom w:val="0"/>
              <w:divBdr>
                <w:top w:val="none" w:sz="0" w:space="0" w:color="auto"/>
                <w:left w:val="none" w:sz="0" w:space="0" w:color="auto"/>
                <w:bottom w:val="none" w:sz="0" w:space="0" w:color="auto"/>
                <w:right w:val="none" w:sz="0" w:space="0" w:color="auto"/>
              </w:divBdr>
            </w:div>
            <w:div w:id="915671268">
              <w:marLeft w:val="0"/>
              <w:marRight w:val="0"/>
              <w:marTop w:val="0"/>
              <w:marBottom w:val="0"/>
              <w:divBdr>
                <w:top w:val="none" w:sz="0" w:space="0" w:color="auto"/>
                <w:left w:val="none" w:sz="0" w:space="0" w:color="auto"/>
                <w:bottom w:val="none" w:sz="0" w:space="0" w:color="auto"/>
                <w:right w:val="none" w:sz="0" w:space="0" w:color="auto"/>
              </w:divBdr>
            </w:div>
            <w:div w:id="1011179167">
              <w:marLeft w:val="0"/>
              <w:marRight w:val="0"/>
              <w:marTop w:val="0"/>
              <w:marBottom w:val="0"/>
              <w:divBdr>
                <w:top w:val="none" w:sz="0" w:space="0" w:color="auto"/>
                <w:left w:val="none" w:sz="0" w:space="0" w:color="auto"/>
                <w:bottom w:val="none" w:sz="0" w:space="0" w:color="auto"/>
                <w:right w:val="none" w:sz="0" w:space="0" w:color="auto"/>
              </w:divBdr>
            </w:div>
            <w:div w:id="1040401178">
              <w:marLeft w:val="0"/>
              <w:marRight w:val="0"/>
              <w:marTop w:val="0"/>
              <w:marBottom w:val="0"/>
              <w:divBdr>
                <w:top w:val="none" w:sz="0" w:space="0" w:color="auto"/>
                <w:left w:val="none" w:sz="0" w:space="0" w:color="auto"/>
                <w:bottom w:val="none" w:sz="0" w:space="0" w:color="auto"/>
                <w:right w:val="none" w:sz="0" w:space="0" w:color="auto"/>
              </w:divBdr>
            </w:div>
            <w:div w:id="1056516774">
              <w:marLeft w:val="0"/>
              <w:marRight w:val="0"/>
              <w:marTop w:val="0"/>
              <w:marBottom w:val="0"/>
              <w:divBdr>
                <w:top w:val="none" w:sz="0" w:space="0" w:color="auto"/>
                <w:left w:val="none" w:sz="0" w:space="0" w:color="auto"/>
                <w:bottom w:val="none" w:sz="0" w:space="0" w:color="auto"/>
                <w:right w:val="none" w:sz="0" w:space="0" w:color="auto"/>
              </w:divBdr>
            </w:div>
            <w:div w:id="1085418010">
              <w:marLeft w:val="0"/>
              <w:marRight w:val="0"/>
              <w:marTop w:val="0"/>
              <w:marBottom w:val="0"/>
              <w:divBdr>
                <w:top w:val="none" w:sz="0" w:space="0" w:color="auto"/>
                <w:left w:val="none" w:sz="0" w:space="0" w:color="auto"/>
                <w:bottom w:val="none" w:sz="0" w:space="0" w:color="auto"/>
                <w:right w:val="none" w:sz="0" w:space="0" w:color="auto"/>
              </w:divBdr>
            </w:div>
            <w:div w:id="1093861797">
              <w:marLeft w:val="0"/>
              <w:marRight w:val="0"/>
              <w:marTop w:val="0"/>
              <w:marBottom w:val="0"/>
              <w:divBdr>
                <w:top w:val="none" w:sz="0" w:space="0" w:color="auto"/>
                <w:left w:val="none" w:sz="0" w:space="0" w:color="auto"/>
                <w:bottom w:val="none" w:sz="0" w:space="0" w:color="auto"/>
                <w:right w:val="none" w:sz="0" w:space="0" w:color="auto"/>
              </w:divBdr>
            </w:div>
            <w:div w:id="1110930262">
              <w:marLeft w:val="0"/>
              <w:marRight w:val="0"/>
              <w:marTop w:val="0"/>
              <w:marBottom w:val="0"/>
              <w:divBdr>
                <w:top w:val="none" w:sz="0" w:space="0" w:color="auto"/>
                <w:left w:val="none" w:sz="0" w:space="0" w:color="auto"/>
                <w:bottom w:val="none" w:sz="0" w:space="0" w:color="auto"/>
                <w:right w:val="none" w:sz="0" w:space="0" w:color="auto"/>
              </w:divBdr>
            </w:div>
            <w:div w:id="1140730521">
              <w:marLeft w:val="0"/>
              <w:marRight w:val="0"/>
              <w:marTop w:val="0"/>
              <w:marBottom w:val="0"/>
              <w:divBdr>
                <w:top w:val="none" w:sz="0" w:space="0" w:color="auto"/>
                <w:left w:val="none" w:sz="0" w:space="0" w:color="auto"/>
                <w:bottom w:val="none" w:sz="0" w:space="0" w:color="auto"/>
                <w:right w:val="none" w:sz="0" w:space="0" w:color="auto"/>
              </w:divBdr>
            </w:div>
            <w:div w:id="1149126570">
              <w:marLeft w:val="0"/>
              <w:marRight w:val="0"/>
              <w:marTop w:val="0"/>
              <w:marBottom w:val="0"/>
              <w:divBdr>
                <w:top w:val="none" w:sz="0" w:space="0" w:color="auto"/>
                <w:left w:val="none" w:sz="0" w:space="0" w:color="auto"/>
                <w:bottom w:val="none" w:sz="0" w:space="0" w:color="auto"/>
                <w:right w:val="none" w:sz="0" w:space="0" w:color="auto"/>
              </w:divBdr>
            </w:div>
            <w:div w:id="1184436677">
              <w:marLeft w:val="0"/>
              <w:marRight w:val="0"/>
              <w:marTop w:val="0"/>
              <w:marBottom w:val="0"/>
              <w:divBdr>
                <w:top w:val="none" w:sz="0" w:space="0" w:color="auto"/>
                <w:left w:val="none" w:sz="0" w:space="0" w:color="auto"/>
                <w:bottom w:val="none" w:sz="0" w:space="0" w:color="auto"/>
                <w:right w:val="none" w:sz="0" w:space="0" w:color="auto"/>
              </w:divBdr>
            </w:div>
            <w:div w:id="1198784663">
              <w:marLeft w:val="0"/>
              <w:marRight w:val="0"/>
              <w:marTop w:val="0"/>
              <w:marBottom w:val="0"/>
              <w:divBdr>
                <w:top w:val="none" w:sz="0" w:space="0" w:color="auto"/>
                <w:left w:val="none" w:sz="0" w:space="0" w:color="auto"/>
                <w:bottom w:val="none" w:sz="0" w:space="0" w:color="auto"/>
                <w:right w:val="none" w:sz="0" w:space="0" w:color="auto"/>
              </w:divBdr>
            </w:div>
            <w:div w:id="1252396434">
              <w:marLeft w:val="0"/>
              <w:marRight w:val="0"/>
              <w:marTop w:val="0"/>
              <w:marBottom w:val="0"/>
              <w:divBdr>
                <w:top w:val="none" w:sz="0" w:space="0" w:color="auto"/>
                <w:left w:val="none" w:sz="0" w:space="0" w:color="auto"/>
                <w:bottom w:val="none" w:sz="0" w:space="0" w:color="auto"/>
                <w:right w:val="none" w:sz="0" w:space="0" w:color="auto"/>
              </w:divBdr>
            </w:div>
            <w:div w:id="1272472117">
              <w:marLeft w:val="0"/>
              <w:marRight w:val="0"/>
              <w:marTop w:val="0"/>
              <w:marBottom w:val="0"/>
              <w:divBdr>
                <w:top w:val="none" w:sz="0" w:space="0" w:color="auto"/>
                <w:left w:val="none" w:sz="0" w:space="0" w:color="auto"/>
                <w:bottom w:val="none" w:sz="0" w:space="0" w:color="auto"/>
                <w:right w:val="none" w:sz="0" w:space="0" w:color="auto"/>
              </w:divBdr>
            </w:div>
            <w:div w:id="1359627170">
              <w:marLeft w:val="0"/>
              <w:marRight w:val="0"/>
              <w:marTop w:val="0"/>
              <w:marBottom w:val="0"/>
              <w:divBdr>
                <w:top w:val="none" w:sz="0" w:space="0" w:color="auto"/>
                <w:left w:val="none" w:sz="0" w:space="0" w:color="auto"/>
                <w:bottom w:val="none" w:sz="0" w:space="0" w:color="auto"/>
                <w:right w:val="none" w:sz="0" w:space="0" w:color="auto"/>
              </w:divBdr>
            </w:div>
            <w:div w:id="1448962043">
              <w:marLeft w:val="0"/>
              <w:marRight w:val="0"/>
              <w:marTop w:val="0"/>
              <w:marBottom w:val="0"/>
              <w:divBdr>
                <w:top w:val="none" w:sz="0" w:space="0" w:color="auto"/>
                <w:left w:val="none" w:sz="0" w:space="0" w:color="auto"/>
                <w:bottom w:val="none" w:sz="0" w:space="0" w:color="auto"/>
                <w:right w:val="none" w:sz="0" w:space="0" w:color="auto"/>
              </w:divBdr>
            </w:div>
            <w:div w:id="1571307365">
              <w:marLeft w:val="0"/>
              <w:marRight w:val="0"/>
              <w:marTop w:val="0"/>
              <w:marBottom w:val="0"/>
              <w:divBdr>
                <w:top w:val="none" w:sz="0" w:space="0" w:color="auto"/>
                <w:left w:val="none" w:sz="0" w:space="0" w:color="auto"/>
                <w:bottom w:val="none" w:sz="0" w:space="0" w:color="auto"/>
                <w:right w:val="none" w:sz="0" w:space="0" w:color="auto"/>
              </w:divBdr>
            </w:div>
            <w:div w:id="1664745525">
              <w:marLeft w:val="0"/>
              <w:marRight w:val="0"/>
              <w:marTop w:val="0"/>
              <w:marBottom w:val="0"/>
              <w:divBdr>
                <w:top w:val="none" w:sz="0" w:space="0" w:color="auto"/>
                <w:left w:val="none" w:sz="0" w:space="0" w:color="auto"/>
                <w:bottom w:val="none" w:sz="0" w:space="0" w:color="auto"/>
                <w:right w:val="none" w:sz="0" w:space="0" w:color="auto"/>
              </w:divBdr>
            </w:div>
            <w:div w:id="176183400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 w:id="1848323973">
              <w:marLeft w:val="0"/>
              <w:marRight w:val="0"/>
              <w:marTop w:val="0"/>
              <w:marBottom w:val="0"/>
              <w:divBdr>
                <w:top w:val="none" w:sz="0" w:space="0" w:color="auto"/>
                <w:left w:val="none" w:sz="0" w:space="0" w:color="auto"/>
                <w:bottom w:val="none" w:sz="0" w:space="0" w:color="auto"/>
                <w:right w:val="none" w:sz="0" w:space="0" w:color="auto"/>
              </w:divBdr>
            </w:div>
            <w:div w:id="1944609363">
              <w:marLeft w:val="0"/>
              <w:marRight w:val="0"/>
              <w:marTop w:val="0"/>
              <w:marBottom w:val="0"/>
              <w:divBdr>
                <w:top w:val="none" w:sz="0" w:space="0" w:color="auto"/>
                <w:left w:val="none" w:sz="0" w:space="0" w:color="auto"/>
                <w:bottom w:val="none" w:sz="0" w:space="0" w:color="auto"/>
                <w:right w:val="none" w:sz="0" w:space="0" w:color="auto"/>
              </w:divBdr>
            </w:div>
            <w:div w:id="2031106804">
              <w:marLeft w:val="0"/>
              <w:marRight w:val="0"/>
              <w:marTop w:val="0"/>
              <w:marBottom w:val="0"/>
              <w:divBdr>
                <w:top w:val="none" w:sz="0" w:space="0" w:color="auto"/>
                <w:left w:val="none" w:sz="0" w:space="0" w:color="auto"/>
                <w:bottom w:val="none" w:sz="0" w:space="0" w:color="auto"/>
                <w:right w:val="none" w:sz="0" w:space="0" w:color="auto"/>
              </w:divBdr>
            </w:div>
            <w:div w:id="205103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496509">
      <w:bodyDiv w:val="1"/>
      <w:marLeft w:val="0"/>
      <w:marRight w:val="0"/>
      <w:marTop w:val="0"/>
      <w:marBottom w:val="0"/>
      <w:divBdr>
        <w:top w:val="none" w:sz="0" w:space="0" w:color="auto"/>
        <w:left w:val="none" w:sz="0" w:space="0" w:color="auto"/>
        <w:bottom w:val="none" w:sz="0" w:space="0" w:color="auto"/>
        <w:right w:val="none" w:sz="0" w:space="0" w:color="auto"/>
      </w:divBdr>
      <w:divsChild>
        <w:div w:id="819493262">
          <w:marLeft w:val="0"/>
          <w:marRight w:val="0"/>
          <w:marTop w:val="0"/>
          <w:marBottom w:val="0"/>
          <w:divBdr>
            <w:top w:val="none" w:sz="0" w:space="0" w:color="auto"/>
            <w:left w:val="none" w:sz="0" w:space="0" w:color="auto"/>
            <w:bottom w:val="none" w:sz="0" w:space="0" w:color="auto"/>
            <w:right w:val="none" w:sz="0" w:space="0" w:color="auto"/>
          </w:divBdr>
        </w:div>
        <w:div w:id="836724434">
          <w:marLeft w:val="0"/>
          <w:marRight w:val="0"/>
          <w:marTop w:val="0"/>
          <w:marBottom w:val="0"/>
          <w:divBdr>
            <w:top w:val="none" w:sz="0" w:space="0" w:color="auto"/>
            <w:left w:val="none" w:sz="0" w:space="0" w:color="auto"/>
            <w:bottom w:val="none" w:sz="0" w:space="0" w:color="auto"/>
            <w:right w:val="none" w:sz="0" w:space="0" w:color="auto"/>
          </w:divBdr>
        </w:div>
        <w:div w:id="855078956">
          <w:marLeft w:val="0"/>
          <w:marRight w:val="0"/>
          <w:marTop w:val="0"/>
          <w:marBottom w:val="0"/>
          <w:divBdr>
            <w:top w:val="none" w:sz="0" w:space="0" w:color="auto"/>
            <w:left w:val="none" w:sz="0" w:space="0" w:color="auto"/>
            <w:bottom w:val="none" w:sz="0" w:space="0" w:color="auto"/>
            <w:right w:val="none" w:sz="0" w:space="0" w:color="auto"/>
          </w:divBdr>
        </w:div>
        <w:div w:id="1847554099">
          <w:marLeft w:val="0"/>
          <w:marRight w:val="0"/>
          <w:marTop w:val="0"/>
          <w:marBottom w:val="0"/>
          <w:divBdr>
            <w:top w:val="none" w:sz="0" w:space="0" w:color="auto"/>
            <w:left w:val="none" w:sz="0" w:space="0" w:color="auto"/>
            <w:bottom w:val="none" w:sz="0" w:space="0" w:color="auto"/>
            <w:right w:val="none" w:sz="0" w:space="0" w:color="auto"/>
          </w:divBdr>
        </w:div>
        <w:div w:id="18677879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cidh.oas.org/prensa/publichearings/advanced.aspx?Lang=ES" TargetMode="External"/><Relationship Id="rId1" Type="http://schemas.openxmlformats.org/officeDocument/2006/relationships/hyperlink" Target="http://www.cidh.oas.org/prensa/publichearings/advanced.aspx?Lang=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BC0F76-D5F2-4FD3-85F4-1857A29D7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6083</Words>
  <Characters>33462</Characters>
  <Application>Microsoft Office Word</Application>
  <DocSecurity>0</DocSecurity>
  <Lines>278</Lines>
  <Paragraphs>78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39467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Javier Alberto Melgar Molina</cp:lastModifiedBy>
  <cp:revision>2</cp:revision>
  <dcterms:created xsi:type="dcterms:W3CDTF">2017-09-14T01:12:00Z</dcterms:created>
  <dcterms:modified xsi:type="dcterms:W3CDTF">2017-09-14T01:12:00Z</dcterms:modified>
</cp:coreProperties>
</file>