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869" w:rsidRDefault="00B01869" w:rsidP="00B3599C">
      <w:pPr>
        <w:spacing w:after="0" w:line="240" w:lineRule="auto"/>
        <w:jc w:val="center"/>
        <w:rPr>
          <w:rFonts w:ascii="Verdana" w:eastAsia="Times New Roman" w:hAnsi="Verdana" w:cs="Verdana"/>
          <w:b/>
          <w:bCs/>
          <w:caps/>
          <w:snapToGrid w:val="0"/>
          <w:sz w:val="20"/>
          <w:szCs w:val="20"/>
          <w:lang w:val="pt-BR" w:eastAsia="es-ES"/>
        </w:rPr>
      </w:pPr>
    </w:p>
    <w:p w:rsidR="00540AC3" w:rsidRPr="00BF47F9" w:rsidRDefault="00540AC3" w:rsidP="00B3599C">
      <w:pPr>
        <w:spacing w:after="0" w:line="240" w:lineRule="auto"/>
        <w:jc w:val="center"/>
        <w:rPr>
          <w:rFonts w:ascii="Verdana" w:eastAsia="Times New Roman" w:hAnsi="Verdana" w:cs="Verdana"/>
          <w:b/>
          <w:bCs/>
          <w:caps/>
          <w:snapToGrid w:val="0"/>
          <w:sz w:val="20"/>
          <w:szCs w:val="20"/>
          <w:lang w:val="pt-BR" w:eastAsia="es-ES"/>
        </w:rPr>
      </w:pPr>
      <w:r w:rsidRPr="00BF47F9">
        <w:rPr>
          <w:rFonts w:ascii="Verdana" w:eastAsia="Times New Roman" w:hAnsi="Verdana" w:cs="Verdana"/>
          <w:b/>
          <w:bCs/>
          <w:caps/>
          <w:snapToGrid w:val="0"/>
          <w:sz w:val="20"/>
          <w:szCs w:val="20"/>
          <w:lang w:val="pt-BR" w:eastAsia="es-ES"/>
        </w:rPr>
        <w:t>Corte Interamericana de DIREITOS Humanos</w:t>
      </w:r>
    </w:p>
    <w:p w:rsidR="00540AC3" w:rsidRPr="00BF47F9" w:rsidRDefault="00540AC3" w:rsidP="00B3599C">
      <w:pPr>
        <w:spacing w:after="0" w:line="240" w:lineRule="auto"/>
        <w:jc w:val="center"/>
        <w:rPr>
          <w:rFonts w:ascii="Verdana" w:eastAsia="Times New Roman" w:hAnsi="Verdana" w:cs="Verdana"/>
          <w:b/>
          <w:bCs/>
          <w:caps/>
          <w:snapToGrid w:val="0"/>
          <w:sz w:val="20"/>
          <w:szCs w:val="20"/>
          <w:lang w:val="pt-BR" w:eastAsia="es-ES"/>
        </w:rPr>
      </w:pPr>
    </w:p>
    <w:p w:rsidR="00540AC3" w:rsidRPr="00BF47F9" w:rsidRDefault="00540AC3" w:rsidP="00B3599C">
      <w:pPr>
        <w:spacing w:after="0" w:line="240" w:lineRule="auto"/>
        <w:jc w:val="center"/>
        <w:rPr>
          <w:rFonts w:ascii="Verdana" w:eastAsia="Times New Roman" w:hAnsi="Verdana" w:cs="Verdana"/>
          <w:b/>
          <w:bCs/>
          <w:caps/>
          <w:snapToGrid w:val="0"/>
          <w:sz w:val="20"/>
          <w:szCs w:val="20"/>
          <w:lang w:val="pt-BR" w:eastAsia="es-ES"/>
        </w:rPr>
      </w:pPr>
      <w:r w:rsidRPr="00BF47F9">
        <w:rPr>
          <w:rFonts w:ascii="Verdana" w:eastAsia="Times New Roman" w:hAnsi="Verdana" w:cs="Verdana"/>
          <w:b/>
          <w:bCs/>
          <w:caps/>
          <w:snapToGrid w:val="0"/>
          <w:sz w:val="20"/>
          <w:szCs w:val="20"/>
          <w:lang w:val="pt-BR" w:eastAsia="es-ES"/>
        </w:rPr>
        <w:t xml:space="preserve">CASO TRABALHADORES DA FAZENDA BRASIL VERDE </w:t>
      </w:r>
      <w:r w:rsidRPr="00BF47F9">
        <w:rPr>
          <w:rFonts w:ascii="Verdana" w:eastAsia="Times New Roman" w:hAnsi="Verdana" w:cs="Verdana"/>
          <w:b/>
          <w:bCs/>
          <w:i/>
          <w:caps/>
          <w:snapToGrid w:val="0"/>
          <w:sz w:val="20"/>
          <w:szCs w:val="20"/>
          <w:lang w:val="pt-BR" w:eastAsia="es-ES"/>
        </w:rPr>
        <w:t>VS.</w:t>
      </w:r>
      <w:r w:rsidRPr="00BF47F9">
        <w:rPr>
          <w:rFonts w:ascii="Verdana" w:eastAsia="Times New Roman" w:hAnsi="Verdana" w:cs="Verdana"/>
          <w:b/>
          <w:bCs/>
          <w:caps/>
          <w:snapToGrid w:val="0"/>
          <w:sz w:val="20"/>
          <w:szCs w:val="20"/>
          <w:lang w:val="pt-BR" w:eastAsia="es-ES"/>
        </w:rPr>
        <w:t xml:space="preserve"> BRASIL</w:t>
      </w:r>
    </w:p>
    <w:p w:rsidR="00540AC3" w:rsidRPr="00BF47F9" w:rsidRDefault="00540AC3" w:rsidP="00B3599C">
      <w:pPr>
        <w:spacing w:after="0" w:line="240" w:lineRule="auto"/>
        <w:jc w:val="center"/>
        <w:rPr>
          <w:rFonts w:ascii="Verdana" w:eastAsia="Times New Roman" w:hAnsi="Verdana" w:cs="Verdana"/>
          <w:b/>
          <w:bCs/>
          <w:snapToGrid w:val="0"/>
          <w:sz w:val="20"/>
          <w:szCs w:val="20"/>
          <w:lang w:val="pt-BR" w:eastAsia="es-ES"/>
        </w:rPr>
      </w:pPr>
    </w:p>
    <w:p w:rsidR="00540AC3" w:rsidRPr="00BF47F9" w:rsidRDefault="00540AC3" w:rsidP="00B3599C">
      <w:pPr>
        <w:spacing w:after="0" w:line="240" w:lineRule="auto"/>
        <w:jc w:val="center"/>
        <w:rPr>
          <w:rFonts w:ascii="Verdana" w:eastAsia="Times New Roman" w:hAnsi="Verdana"/>
          <w:b/>
          <w:bCs/>
          <w:caps/>
          <w:snapToGrid w:val="0"/>
          <w:sz w:val="20"/>
          <w:szCs w:val="20"/>
          <w:lang w:val="pt-BR" w:eastAsia="es-ES"/>
        </w:rPr>
      </w:pPr>
      <w:r w:rsidRPr="00BF47F9">
        <w:rPr>
          <w:rFonts w:ascii="Verdana" w:eastAsia="Times New Roman" w:hAnsi="Verdana" w:cs="Verdana"/>
          <w:b/>
          <w:bCs/>
          <w:snapToGrid w:val="0"/>
          <w:sz w:val="20"/>
          <w:szCs w:val="20"/>
          <w:lang w:val="pt-BR" w:eastAsia="es-ES"/>
        </w:rPr>
        <w:t xml:space="preserve">SENTENÇA DE </w:t>
      </w:r>
      <w:r w:rsidR="0078129F">
        <w:rPr>
          <w:rFonts w:ascii="Verdana" w:eastAsia="Times New Roman" w:hAnsi="Verdana" w:cs="Verdana"/>
          <w:b/>
          <w:bCs/>
          <w:snapToGrid w:val="0"/>
          <w:sz w:val="20"/>
          <w:szCs w:val="20"/>
          <w:lang w:val="pt-BR" w:eastAsia="es-ES"/>
        </w:rPr>
        <w:t>22</w:t>
      </w:r>
      <w:r w:rsidRPr="00BF47F9">
        <w:rPr>
          <w:rFonts w:ascii="Verdana" w:eastAsia="Times New Roman" w:hAnsi="Verdana" w:cs="Verdana"/>
          <w:b/>
          <w:bCs/>
          <w:snapToGrid w:val="0"/>
          <w:sz w:val="20"/>
          <w:szCs w:val="20"/>
          <w:lang w:val="pt-BR" w:eastAsia="es-ES"/>
        </w:rPr>
        <w:t xml:space="preserve"> DE </w:t>
      </w:r>
      <w:r w:rsidR="00B01869">
        <w:rPr>
          <w:rFonts w:ascii="Verdana" w:eastAsia="Times New Roman" w:hAnsi="Verdana" w:cs="Verdana"/>
          <w:b/>
          <w:bCs/>
          <w:snapToGrid w:val="0"/>
          <w:sz w:val="20"/>
          <w:szCs w:val="20"/>
          <w:lang w:val="pt-BR" w:eastAsia="es-ES"/>
        </w:rPr>
        <w:t>AGOSTO DE 2017</w:t>
      </w:r>
    </w:p>
    <w:p w:rsidR="00540AC3" w:rsidRPr="00BF47F9" w:rsidRDefault="00540AC3" w:rsidP="00B3599C">
      <w:pPr>
        <w:spacing w:after="0" w:line="240" w:lineRule="auto"/>
        <w:jc w:val="center"/>
        <w:rPr>
          <w:rFonts w:ascii="Verdana" w:hAnsi="Verdana"/>
          <w:b/>
          <w:i/>
          <w:caps/>
          <w:snapToGrid w:val="0"/>
          <w:sz w:val="20"/>
          <w:szCs w:val="20"/>
          <w:lang w:val="pt-BR"/>
        </w:rPr>
      </w:pPr>
      <w:r w:rsidRPr="00BF47F9">
        <w:rPr>
          <w:rFonts w:ascii="Verdana" w:eastAsia="Times New Roman" w:hAnsi="Verdana" w:cs="Verdana"/>
          <w:b/>
          <w:bCs/>
          <w:i/>
          <w:iCs/>
          <w:snapToGrid w:val="0"/>
          <w:sz w:val="20"/>
          <w:szCs w:val="20"/>
          <w:lang w:val="pt-BR" w:eastAsia="es-ES"/>
        </w:rPr>
        <w:t>(</w:t>
      </w:r>
      <w:r w:rsidR="009009DF">
        <w:rPr>
          <w:rFonts w:ascii="Verdana" w:eastAsia="Times New Roman" w:hAnsi="Verdana" w:cs="Verdana"/>
          <w:b/>
          <w:bCs/>
          <w:i/>
          <w:iCs/>
          <w:snapToGrid w:val="0"/>
          <w:sz w:val="20"/>
          <w:szCs w:val="20"/>
          <w:lang w:val="pt-BR" w:eastAsia="es-ES"/>
        </w:rPr>
        <w:t xml:space="preserve">Interpretação da Sentença de </w:t>
      </w:r>
      <w:r w:rsidRPr="00BF47F9">
        <w:rPr>
          <w:rFonts w:ascii="Verdana" w:eastAsia="Times New Roman" w:hAnsi="Verdana" w:cs="Verdana"/>
          <w:b/>
          <w:bCs/>
          <w:i/>
          <w:iCs/>
          <w:snapToGrid w:val="0"/>
          <w:sz w:val="20"/>
          <w:szCs w:val="20"/>
          <w:lang w:val="pt-BR" w:eastAsia="es-ES"/>
        </w:rPr>
        <w:t>Exceções Preliminares, Mérito, Reparações e Custas</w:t>
      </w:r>
      <w:r w:rsidRPr="00BF47F9">
        <w:rPr>
          <w:rFonts w:ascii="Verdana" w:hAnsi="Verdana"/>
          <w:b/>
          <w:i/>
          <w:caps/>
          <w:snapToGrid w:val="0"/>
          <w:sz w:val="20"/>
          <w:szCs w:val="20"/>
          <w:lang w:val="pt-BR"/>
        </w:rPr>
        <w:t>)</w:t>
      </w:r>
    </w:p>
    <w:p w:rsidR="00540AC3" w:rsidRPr="00BF47F9" w:rsidRDefault="00540AC3" w:rsidP="00B3599C">
      <w:pPr>
        <w:spacing w:after="0" w:line="240" w:lineRule="auto"/>
        <w:jc w:val="center"/>
        <w:rPr>
          <w:rFonts w:ascii="Verdana" w:hAnsi="Verdana"/>
          <w:b/>
          <w:i/>
          <w:caps/>
          <w:snapToGrid w:val="0"/>
          <w:sz w:val="20"/>
          <w:szCs w:val="20"/>
          <w:lang w:val="pt-BR"/>
        </w:rPr>
      </w:pPr>
    </w:p>
    <w:p w:rsidR="00540AC3" w:rsidRPr="00BF47F9" w:rsidRDefault="00540AC3" w:rsidP="00B3599C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val="pt-BR"/>
        </w:rPr>
      </w:pPr>
    </w:p>
    <w:p w:rsidR="00540AC3" w:rsidRPr="00BF47F9" w:rsidRDefault="00540AC3" w:rsidP="00B3599C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val="pt-BR"/>
        </w:rPr>
      </w:pP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697DFE">
        <w:rPr>
          <w:rFonts w:ascii="Verdana" w:hAnsi="Verdana"/>
          <w:sz w:val="20"/>
          <w:szCs w:val="20"/>
          <w:lang w:val="pt-BR"/>
        </w:rPr>
        <w:t xml:space="preserve">No caso </w:t>
      </w:r>
      <w:r w:rsidRPr="00697DFE">
        <w:rPr>
          <w:rFonts w:ascii="Verdana" w:hAnsi="Verdana"/>
          <w:i/>
          <w:sz w:val="20"/>
          <w:szCs w:val="20"/>
          <w:lang w:val="pt-BR"/>
        </w:rPr>
        <w:t>Trabalhadores da Fazenda Brasil Verde</w:t>
      </w:r>
      <w:r w:rsidRPr="00697DFE">
        <w:rPr>
          <w:rFonts w:ascii="Verdana" w:hAnsi="Verdana"/>
          <w:sz w:val="20"/>
          <w:szCs w:val="20"/>
          <w:lang w:val="pt-BR"/>
        </w:rPr>
        <w:t>,</w:t>
      </w: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697DFE">
        <w:rPr>
          <w:rFonts w:ascii="Verdana" w:hAnsi="Verdana"/>
          <w:sz w:val="20"/>
          <w:szCs w:val="20"/>
          <w:lang w:val="pt-BR"/>
        </w:rPr>
        <w:t>a Corte Interamericana de Direitos Humanos (doravante denominada “a Corte Interamericana”, “a Corte” ou “o Tribunal”), integrada pelos seguintes juízes</w:t>
      </w:r>
      <w:r w:rsidRPr="00BF47F9">
        <w:rPr>
          <w:rStyle w:val="Refdenotaalpie"/>
          <w:sz w:val="20"/>
          <w:szCs w:val="20"/>
        </w:rPr>
        <w:footnoteReference w:id="1"/>
      </w:r>
      <w:r w:rsidRPr="00697DFE">
        <w:rPr>
          <w:rFonts w:ascii="Verdana" w:hAnsi="Verdana"/>
          <w:sz w:val="20"/>
          <w:szCs w:val="20"/>
          <w:lang w:val="pt-BR"/>
        </w:rPr>
        <w:t>:</w:t>
      </w: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697DFE">
        <w:rPr>
          <w:rFonts w:ascii="Verdana" w:hAnsi="Verdana"/>
          <w:sz w:val="20"/>
          <w:szCs w:val="20"/>
          <w:lang w:val="pt-BR"/>
        </w:rPr>
        <w:t>Eduardo Ferrer Mac-Gregor Poisot, Presidente em exercício;</w:t>
      </w: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697DFE">
        <w:rPr>
          <w:rFonts w:ascii="Verdana" w:hAnsi="Verdana"/>
          <w:sz w:val="20"/>
          <w:szCs w:val="20"/>
          <w:lang w:val="pt-BR"/>
        </w:rPr>
        <w:t>Eduardo Vio Grossi, Vice-Presidente em exercício;</w:t>
      </w: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697DFE">
        <w:rPr>
          <w:rFonts w:ascii="Verdana" w:hAnsi="Verdana"/>
          <w:sz w:val="20"/>
          <w:szCs w:val="20"/>
          <w:lang w:val="pt-BR"/>
        </w:rPr>
        <w:t>Humberto Antônio Sierra Porto, Juiz;</w:t>
      </w: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697DFE">
        <w:rPr>
          <w:rFonts w:ascii="Verdana" w:hAnsi="Verdana"/>
          <w:sz w:val="20"/>
          <w:szCs w:val="20"/>
          <w:lang w:val="pt-BR"/>
        </w:rPr>
        <w:t>Elizabeth Odio Benito, Juíza;</w:t>
      </w: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697DFE">
        <w:rPr>
          <w:rFonts w:ascii="Verdana" w:hAnsi="Verdana"/>
          <w:sz w:val="20"/>
          <w:szCs w:val="20"/>
          <w:lang w:val="pt-BR"/>
        </w:rPr>
        <w:t>Eugenio Raúl Zaffaroni, Juiz, e</w:t>
      </w: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697DFE">
        <w:rPr>
          <w:rFonts w:ascii="Verdana" w:hAnsi="Verdana"/>
          <w:sz w:val="20"/>
          <w:szCs w:val="20"/>
          <w:lang w:val="pt-BR"/>
        </w:rPr>
        <w:t xml:space="preserve">L. Patricio Pazmiño Freire, Juiz; </w:t>
      </w: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697DFE">
        <w:rPr>
          <w:rFonts w:ascii="Verdana" w:hAnsi="Verdana"/>
          <w:sz w:val="20"/>
          <w:szCs w:val="20"/>
          <w:lang w:val="pt-BR"/>
        </w:rPr>
        <w:t xml:space="preserve">presentes, ademais, </w:t>
      </w: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697DFE">
        <w:rPr>
          <w:rFonts w:ascii="Verdana" w:hAnsi="Verdana"/>
          <w:sz w:val="20"/>
          <w:szCs w:val="20"/>
          <w:lang w:val="pt-BR"/>
        </w:rPr>
        <w:t>Pablo Saavedra Alessandri, Secretário</w:t>
      </w:r>
      <w:r w:rsidR="00764A2A">
        <w:rPr>
          <w:rStyle w:val="Refdenotaalpie"/>
          <w:szCs w:val="20"/>
          <w:lang w:val="pt-BR"/>
        </w:rPr>
        <w:footnoteReference w:id="2"/>
      </w:r>
      <w:r w:rsidRPr="00697DFE">
        <w:rPr>
          <w:rFonts w:ascii="Verdana" w:hAnsi="Verdana"/>
          <w:sz w:val="20"/>
          <w:szCs w:val="20"/>
          <w:lang w:val="pt-BR"/>
        </w:rPr>
        <w:t xml:space="preserve">; </w:t>
      </w:r>
    </w:p>
    <w:p w:rsidR="00540AC3" w:rsidRPr="00697DFE" w:rsidRDefault="00540AC3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:rsidR="00B01869" w:rsidRDefault="00764A2A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>
        <w:rPr>
          <w:rFonts w:ascii="Verdana" w:hAnsi="Verdana"/>
          <w:sz w:val="20"/>
          <w:szCs w:val="20"/>
          <w:lang w:val="pt-BR"/>
        </w:rPr>
        <w:t xml:space="preserve">em conformidade com </w:t>
      </w:r>
      <w:r w:rsidR="00540AC3" w:rsidRPr="00697DFE">
        <w:rPr>
          <w:rFonts w:ascii="Verdana" w:hAnsi="Verdana"/>
          <w:sz w:val="20"/>
          <w:szCs w:val="20"/>
          <w:lang w:val="pt-BR"/>
        </w:rPr>
        <w:t>o artigo 67 da Convenção Americana sobre Direitos Humanos (doravante “a Convenção Americana”</w:t>
      </w:r>
      <w:r>
        <w:rPr>
          <w:rFonts w:ascii="Verdana" w:hAnsi="Verdana"/>
          <w:sz w:val="20"/>
          <w:szCs w:val="20"/>
          <w:lang w:val="pt-BR"/>
        </w:rPr>
        <w:t xml:space="preserve"> ou “a Convenção”) e o artigo 68</w:t>
      </w:r>
      <w:r w:rsidR="00540AC3" w:rsidRPr="00697DFE">
        <w:rPr>
          <w:rFonts w:ascii="Verdana" w:hAnsi="Verdana"/>
          <w:sz w:val="20"/>
          <w:szCs w:val="20"/>
          <w:lang w:val="pt-BR"/>
        </w:rPr>
        <w:t xml:space="preserve"> do Regulamento da Cor</w:t>
      </w:r>
      <w:r w:rsidR="00BF47F9" w:rsidRPr="00697DFE">
        <w:rPr>
          <w:rFonts w:ascii="Verdana" w:hAnsi="Verdana"/>
          <w:sz w:val="20"/>
          <w:szCs w:val="20"/>
          <w:lang w:val="pt-BR"/>
        </w:rPr>
        <w:t>te (doravante “o Regulamento”)</w:t>
      </w:r>
      <w:r w:rsidR="00540AC3" w:rsidRPr="00697DFE">
        <w:rPr>
          <w:rFonts w:ascii="Verdana" w:hAnsi="Verdana"/>
          <w:sz w:val="20"/>
          <w:szCs w:val="20"/>
          <w:lang w:val="pt-BR"/>
        </w:rPr>
        <w:t xml:space="preserve">, resolve a demanda de interpretação da Sentença de exceções preliminares, mérito, reparações e custas proferida pelo Tribunal em </w:t>
      </w:r>
      <w:r w:rsidR="00BF47F9" w:rsidRPr="00697DFE">
        <w:rPr>
          <w:rFonts w:ascii="Verdana" w:hAnsi="Verdana"/>
          <w:sz w:val="20"/>
          <w:szCs w:val="20"/>
          <w:lang w:val="pt-BR"/>
        </w:rPr>
        <w:t>20 de outubro de 2016</w:t>
      </w:r>
      <w:r w:rsidR="00540AC3" w:rsidRPr="00697DFE">
        <w:rPr>
          <w:rFonts w:ascii="Verdana" w:hAnsi="Verdana"/>
          <w:sz w:val="20"/>
          <w:szCs w:val="20"/>
          <w:lang w:val="pt-BR"/>
        </w:rPr>
        <w:t xml:space="preserve"> no presente caso (doravante “a Sentença”) interposta em </w:t>
      </w:r>
      <w:r w:rsidR="00BF47F9" w:rsidRPr="00697DFE">
        <w:rPr>
          <w:rFonts w:ascii="Verdana" w:hAnsi="Verdana"/>
          <w:sz w:val="20"/>
          <w:szCs w:val="20"/>
          <w:lang w:val="pt-BR"/>
        </w:rPr>
        <w:t>15 de março de</w:t>
      </w:r>
      <w:r>
        <w:rPr>
          <w:rFonts w:ascii="Verdana" w:hAnsi="Verdana"/>
          <w:sz w:val="20"/>
          <w:szCs w:val="20"/>
          <w:lang w:val="pt-BR"/>
        </w:rPr>
        <w:t xml:space="preserve"> 2</w:t>
      </w:r>
      <w:r w:rsidR="00BF47F9" w:rsidRPr="00697DFE">
        <w:rPr>
          <w:rFonts w:ascii="Verdana" w:hAnsi="Verdana"/>
          <w:sz w:val="20"/>
          <w:szCs w:val="20"/>
          <w:lang w:val="pt-BR"/>
        </w:rPr>
        <w:t>017 pel</w:t>
      </w:r>
      <w:r w:rsidR="00CE71B4">
        <w:rPr>
          <w:rFonts w:ascii="Verdana" w:hAnsi="Verdana"/>
          <w:sz w:val="20"/>
          <w:szCs w:val="20"/>
          <w:lang w:val="pt-BR"/>
        </w:rPr>
        <w:t>a República Federativa d</w:t>
      </w:r>
      <w:r w:rsidR="00BF47F9" w:rsidRPr="00697DFE">
        <w:rPr>
          <w:rFonts w:ascii="Verdana" w:hAnsi="Verdana"/>
          <w:sz w:val="20"/>
          <w:szCs w:val="20"/>
          <w:lang w:val="pt-BR"/>
        </w:rPr>
        <w:t xml:space="preserve">o </w:t>
      </w:r>
      <w:r w:rsidR="00CE71B4">
        <w:rPr>
          <w:rFonts w:ascii="Verdana" w:hAnsi="Verdana"/>
          <w:sz w:val="20"/>
          <w:szCs w:val="20"/>
          <w:lang w:val="pt-BR"/>
        </w:rPr>
        <w:t xml:space="preserve">Brasil </w:t>
      </w:r>
      <w:r w:rsidR="00BF47F9" w:rsidRPr="00697DFE">
        <w:rPr>
          <w:rFonts w:ascii="Verdana" w:hAnsi="Verdana"/>
          <w:sz w:val="20"/>
          <w:szCs w:val="20"/>
          <w:lang w:val="pt-BR"/>
        </w:rPr>
        <w:t>(doravante “Estado</w:t>
      </w:r>
      <w:r w:rsidR="00540AC3" w:rsidRPr="00697DFE">
        <w:rPr>
          <w:rFonts w:ascii="Verdana" w:hAnsi="Verdana"/>
          <w:sz w:val="20"/>
          <w:szCs w:val="20"/>
          <w:lang w:val="pt-BR"/>
        </w:rPr>
        <w:t>”</w:t>
      </w:r>
      <w:r w:rsidR="00CE71B4">
        <w:rPr>
          <w:rFonts w:ascii="Verdana" w:hAnsi="Verdana"/>
          <w:sz w:val="20"/>
          <w:szCs w:val="20"/>
          <w:lang w:val="pt-BR"/>
        </w:rPr>
        <w:t xml:space="preserve"> ou “Brasil”</w:t>
      </w:r>
      <w:r w:rsidR="00540AC3" w:rsidRPr="00697DFE">
        <w:rPr>
          <w:rFonts w:ascii="Verdana" w:hAnsi="Verdana"/>
          <w:sz w:val="20"/>
          <w:szCs w:val="20"/>
          <w:lang w:val="pt-BR"/>
        </w:rPr>
        <w:t>).</w:t>
      </w:r>
    </w:p>
    <w:p w:rsidR="00B01869" w:rsidRDefault="00B01869" w:rsidP="00B3599C">
      <w:pPr>
        <w:rPr>
          <w:rFonts w:ascii="Verdana" w:hAnsi="Verdana"/>
          <w:sz w:val="20"/>
          <w:szCs w:val="20"/>
          <w:lang w:val="pt-BR"/>
        </w:rPr>
      </w:pPr>
      <w:r>
        <w:rPr>
          <w:rFonts w:ascii="Verdana" w:hAnsi="Verdana"/>
          <w:sz w:val="20"/>
          <w:szCs w:val="20"/>
          <w:lang w:val="pt-BR"/>
        </w:rPr>
        <w:br w:type="page"/>
      </w:r>
    </w:p>
    <w:p w:rsidR="00FA0E20" w:rsidRPr="00697DFE" w:rsidRDefault="00FA0E20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:rsidR="00BF47F9" w:rsidRPr="00697DFE" w:rsidRDefault="00BF47F9" w:rsidP="00B3599C">
      <w:pPr>
        <w:pStyle w:val="Ttulo1"/>
        <w:tabs>
          <w:tab w:val="clear" w:pos="567"/>
        </w:tabs>
      </w:pPr>
      <w:r w:rsidRPr="00697DFE">
        <w:t>I</w:t>
      </w:r>
    </w:p>
    <w:p w:rsidR="00BF47F9" w:rsidRPr="00697DFE" w:rsidRDefault="00B01869" w:rsidP="00B3599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" w:hAnsi="Verdana"/>
          <w:sz w:val="20"/>
          <w:szCs w:val="20"/>
          <w:lang w:val="pt-BR" w:eastAsia="es-ES"/>
        </w:rPr>
      </w:pPr>
      <w:r>
        <w:rPr>
          <w:rFonts w:ascii="Verdana" w:hAnsi="Verdana" w:cs="Verdana"/>
          <w:b/>
          <w:bCs/>
          <w:sz w:val="20"/>
          <w:szCs w:val="20"/>
          <w:lang w:val="pt-BR"/>
        </w:rPr>
        <w:t>APRESENTA</w:t>
      </w:r>
      <w:r w:rsidR="006B0B70">
        <w:rPr>
          <w:rFonts w:ascii="Verdana" w:hAnsi="Verdana" w:cs="Verdana"/>
          <w:b/>
          <w:bCs/>
          <w:sz w:val="20"/>
          <w:szCs w:val="20"/>
          <w:lang w:val="pt-BR"/>
        </w:rPr>
        <w:t xml:space="preserve">ÇÃO DO PEDIDO </w:t>
      </w:r>
      <w:r w:rsidR="00BF47F9" w:rsidRPr="00697DFE">
        <w:rPr>
          <w:rFonts w:ascii="Verdana" w:hAnsi="Verdana" w:cs="Verdana"/>
          <w:b/>
          <w:bCs/>
          <w:sz w:val="20"/>
          <w:szCs w:val="20"/>
          <w:lang w:val="pt-BR"/>
        </w:rPr>
        <w:t xml:space="preserve">DE INTERPRETAÇÃO E PROCEDIMENTO PERANTE A CORTE </w:t>
      </w:r>
    </w:p>
    <w:p w:rsidR="00BF47F9" w:rsidRPr="00697DFE" w:rsidRDefault="00BF47F9" w:rsidP="00B3599C">
      <w:pPr>
        <w:spacing w:after="0" w:line="240" w:lineRule="auto"/>
        <w:jc w:val="both"/>
        <w:rPr>
          <w:rFonts w:ascii="Verdana" w:eastAsia="Times" w:hAnsi="Verdana"/>
          <w:sz w:val="20"/>
          <w:szCs w:val="20"/>
          <w:lang w:val="pt-BR"/>
        </w:rPr>
      </w:pPr>
    </w:p>
    <w:p w:rsidR="00BF47F9" w:rsidRDefault="00697DFE" w:rsidP="00B3599C">
      <w:pPr>
        <w:numPr>
          <w:ilvl w:val="0"/>
          <w:numId w:val="2"/>
        </w:numPr>
        <w:tabs>
          <w:tab w:val="clear" w:pos="1247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  <w:r w:rsidRPr="00697DFE">
        <w:rPr>
          <w:rFonts w:ascii="Verdana" w:hAnsi="Verdana" w:cs="Verdana"/>
          <w:sz w:val="20"/>
          <w:szCs w:val="20"/>
          <w:lang w:val="pt-BR"/>
        </w:rPr>
        <w:t>E</w:t>
      </w:r>
      <w:r>
        <w:rPr>
          <w:rFonts w:ascii="Verdana" w:hAnsi="Verdana" w:cs="Verdana"/>
          <w:sz w:val="20"/>
          <w:szCs w:val="20"/>
          <w:lang w:val="pt-BR"/>
        </w:rPr>
        <w:t>m 20 de outubro de 2016, a Corte proferiu a Sentença</w:t>
      </w:r>
      <w:r w:rsidR="0082202E">
        <w:rPr>
          <w:rFonts w:ascii="Verdana" w:hAnsi="Verdana" w:cs="Verdana"/>
          <w:sz w:val="20"/>
          <w:szCs w:val="20"/>
          <w:lang w:val="pt-BR"/>
        </w:rPr>
        <w:t xml:space="preserve"> </w:t>
      </w:r>
      <w:r w:rsidR="0082202E" w:rsidRPr="00697DFE">
        <w:rPr>
          <w:rFonts w:ascii="Verdana" w:hAnsi="Verdana"/>
          <w:sz w:val="20"/>
          <w:szCs w:val="20"/>
          <w:lang w:val="pt-BR"/>
        </w:rPr>
        <w:t>de exceções preliminares, mérito, reparações e custas</w:t>
      </w:r>
      <w:r>
        <w:rPr>
          <w:rFonts w:ascii="Verdana" w:hAnsi="Verdana" w:cs="Verdana"/>
          <w:sz w:val="20"/>
          <w:szCs w:val="20"/>
          <w:lang w:val="pt-BR"/>
        </w:rPr>
        <w:t xml:space="preserve">, da qual foram notificadas as partes e a Comissão Interamericana de Direitos Humanos (doravante “Comissão Interamericana” ou “Comissão”) em </w:t>
      </w:r>
      <w:r w:rsidR="00105799">
        <w:rPr>
          <w:rFonts w:ascii="Verdana" w:hAnsi="Verdana" w:cs="Verdana"/>
          <w:sz w:val="20"/>
          <w:szCs w:val="20"/>
          <w:lang w:val="pt-BR"/>
        </w:rPr>
        <w:t>15 de dezembro de 2016.</w:t>
      </w:r>
    </w:p>
    <w:p w:rsidR="00DF76B2" w:rsidRDefault="00DF76B2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BF47F9" w:rsidRDefault="00697DFE" w:rsidP="00B3599C">
      <w:pPr>
        <w:numPr>
          <w:ilvl w:val="0"/>
          <w:numId w:val="2"/>
        </w:numPr>
        <w:tabs>
          <w:tab w:val="clear" w:pos="1247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  <w:r w:rsidRPr="00404C5B">
        <w:rPr>
          <w:rFonts w:ascii="Verdana" w:hAnsi="Verdana" w:cs="Verdana"/>
          <w:sz w:val="20"/>
          <w:szCs w:val="20"/>
          <w:lang w:val="pt-BR"/>
        </w:rPr>
        <w:t>Em</w:t>
      </w:r>
      <w:r w:rsidR="000E5CE2">
        <w:rPr>
          <w:rFonts w:ascii="Verdana" w:hAnsi="Verdana" w:cs="Verdana"/>
          <w:sz w:val="20"/>
          <w:szCs w:val="20"/>
          <w:lang w:val="pt-BR"/>
        </w:rPr>
        <w:t xml:space="preserve"> 15 de março de 2017</w:t>
      </w:r>
      <w:r w:rsidR="008425A3">
        <w:rPr>
          <w:rFonts w:ascii="Verdana" w:hAnsi="Verdana" w:cs="Verdana"/>
          <w:sz w:val="20"/>
          <w:szCs w:val="20"/>
          <w:lang w:val="pt-BR"/>
        </w:rPr>
        <w:t xml:space="preserve">, </w:t>
      </w:r>
      <w:r w:rsidR="00CE71B4">
        <w:rPr>
          <w:rFonts w:ascii="Verdana" w:hAnsi="Verdana" w:cs="Verdana"/>
          <w:sz w:val="20"/>
          <w:szCs w:val="20"/>
          <w:lang w:val="pt-BR"/>
        </w:rPr>
        <w:t xml:space="preserve">o </w:t>
      </w:r>
      <w:r w:rsidR="008425A3">
        <w:rPr>
          <w:rFonts w:ascii="Verdana" w:hAnsi="Verdana" w:cs="Verdana"/>
          <w:sz w:val="20"/>
          <w:szCs w:val="20"/>
          <w:lang w:val="pt-BR"/>
        </w:rPr>
        <w:t xml:space="preserve">Brasil </w:t>
      </w:r>
      <w:r w:rsidRPr="00404C5B">
        <w:rPr>
          <w:rFonts w:ascii="Verdana" w:hAnsi="Verdana" w:cs="Verdana"/>
          <w:sz w:val="20"/>
          <w:szCs w:val="20"/>
          <w:lang w:val="pt-BR"/>
        </w:rPr>
        <w:t xml:space="preserve">apresentou uma demanda de interpretação, </w:t>
      </w:r>
      <w:r w:rsidR="00764A2A">
        <w:rPr>
          <w:rFonts w:ascii="Verdana" w:hAnsi="Verdana" w:cs="Verdana"/>
          <w:sz w:val="20"/>
          <w:szCs w:val="20"/>
          <w:lang w:val="pt-BR"/>
        </w:rPr>
        <w:t xml:space="preserve">de acordo com </w:t>
      </w:r>
      <w:r w:rsidRPr="00404C5B">
        <w:rPr>
          <w:rFonts w:ascii="Verdana" w:hAnsi="Verdana" w:cs="Verdana"/>
          <w:sz w:val="20"/>
          <w:szCs w:val="20"/>
          <w:lang w:val="pt-BR"/>
        </w:rPr>
        <w:t xml:space="preserve">os artigos 67 da Convenção e </w:t>
      </w:r>
      <w:r w:rsidR="004C5C27">
        <w:rPr>
          <w:rFonts w:ascii="Verdana" w:hAnsi="Verdana" w:cs="Verdana"/>
          <w:sz w:val="20"/>
          <w:szCs w:val="20"/>
          <w:lang w:val="pt-BR"/>
        </w:rPr>
        <w:t>68</w:t>
      </w:r>
      <w:r w:rsidRPr="00404C5B">
        <w:rPr>
          <w:rFonts w:ascii="Verdana" w:hAnsi="Verdana" w:cs="Verdana"/>
          <w:sz w:val="20"/>
          <w:szCs w:val="20"/>
          <w:lang w:val="pt-BR"/>
        </w:rPr>
        <w:t xml:space="preserve"> do Regulamento</w:t>
      </w:r>
      <w:r w:rsidR="00CC088E" w:rsidRPr="00404C5B">
        <w:rPr>
          <w:rFonts w:ascii="Verdana" w:hAnsi="Verdana" w:cs="Verdana"/>
          <w:sz w:val="20"/>
          <w:szCs w:val="20"/>
          <w:lang w:val="pt-BR"/>
        </w:rPr>
        <w:t xml:space="preserve">, sobre </w:t>
      </w:r>
      <w:r w:rsidR="00404C5B">
        <w:rPr>
          <w:rFonts w:ascii="Verdana" w:hAnsi="Verdana" w:cs="Verdana"/>
          <w:sz w:val="20"/>
          <w:szCs w:val="20"/>
          <w:lang w:val="pt-BR"/>
        </w:rPr>
        <w:t>o</w:t>
      </w:r>
      <w:r w:rsidR="00CC088E" w:rsidRPr="00404C5B">
        <w:rPr>
          <w:rFonts w:ascii="Verdana" w:hAnsi="Verdana" w:cs="Verdana"/>
          <w:sz w:val="20"/>
          <w:szCs w:val="20"/>
          <w:lang w:val="pt-BR"/>
        </w:rPr>
        <w:t xml:space="preserve"> pagamento de custas e gastos</w:t>
      </w:r>
      <w:r w:rsidR="00404C5B">
        <w:rPr>
          <w:rFonts w:ascii="Verdana" w:hAnsi="Verdana" w:cs="Verdana"/>
          <w:sz w:val="20"/>
          <w:szCs w:val="20"/>
          <w:lang w:val="pt-BR"/>
        </w:rPr>
        <w:t xml:space="preserve"> e</w:t>
      </w:r>
      <w:r w:rsidR="00CC088E" w:rsidRPr="00404C5B">
        <w:rPr>
          <w:rFonts w:ascii="Verdana" w:hAnsi="Verdana" w:cs="Verdana"/>
          <w:sz w:val="20"/>
          <w:szCs w:val="20"/>
          <w:lang w:val="pt-BR"/>
        </w:rPr>
        <w:t xml:space="preserve"> </w:t>
      </w:r>
      <w:r w:rsidR="00404C5B">
        <w:rPr>
          <w:rFonts w:ascii="Verdana" w:hAnsi="Verdana" w:cs="Verdana"/>
          <w:sz w:val="20"/>
          <w:szCs w:val="20"/>
          <w:lang w:val="pt-BR"/>
        </w:rPr>
        <w:t>a</w:t>
      </w:r>
      <w:r w:rsidR="00CC088E" w:rsidRPr="00404C5B">
        <w:rPr>
          <w:rFonts w:ascii="Verdana" w:hAnsi="Verdana" w:cs="Verdana"/>
          <w:sz w:val="20"/>
          <w:szCs w:val="20"/>
          <w:lang w:val="pt-BR"/>
        </w:rPr>
        <w:t xml:space="preserve"> modalidade de cumprimento dos pagamentos ordenados. </w:t>
      </w:r>
      <w:r w:rsidR="00CE71B4">
        <w:rPr>
          <w:rFonts w:ascii="Verdana" w:hAnsi="Verdana" w:cs="Verdana"/>
          <w:sz w:val="20"/>
          <w:szCs w:val="20"/>
          <w:lang w:val="pt-BR"/>
        </w:rPr>
        <w:t>E</w:t>
      </w:r>
      <w:r w:rsidR="00CC088E" w:rsidRPr="00404C5B">
        <w:rPr>
          <w:rFonts w:ascii="Verdana" w:hAnsi="Verdana" w:cs="Verdana"/>
          <w:sz w:val="20"/>
          <w:szCs w:val="20"/>
          <w:lang w:val="pt-BR"/>
        </w:rPr>
        <w:t>s</w:t>
      </w:r>
      <w:r w:rsidR="00CE71B4">
        <w:rPr>
          <w:rFonts w:ascii="Verdana" w:hAnsi="Verdana" w:cs="Verdana"/>
          <w:sz w:val="20"/>
          <w:szCs w:val="20"/>
          <w:lang w:val="pt-BR"/>
        </w:rPr>
        <w:t>pecificamente, o Estado solicitou</w:t>
      </w:r>
      <w:r w:rsidR="00CC088E" w:rsidRPr="00404C5B">
        <w:rPr>
          <w:rFonts w:ascii="Verdana" w:hAnsi="Verdana" w:cs="Verdana"/>
          <w:sz w:val="20"/>
          <w:szCs w:val="20"/>
          <w:lang w:val="pt-BR"/>
        </w:rPr>
        <w:t xml:space="preserve"> que a Corte</w:t>
      </w:r>
      <w:r w:rsidR="00705A32">
        <w:rPr>
          <w:rFonts w:ascii="Verdana" w:hAnsi="Verdana" w:cs="Verdana"/>
          <w:sz w:val="20"/>
          <w:szCs w:val="20"/>
          <w:lang w:val="pt-BR"/>
        </w:rPr>
        <w:t xml:space="preserve"> esclareça</w:t>
      </w:r>
      <w:r w:rsidR="00404C5B">
        <w:rPr>
          <w:rFonts w:ascii="Verdana" w:hAnsi="Verdana" w:cs="Verdana"/>
          <w:sz w:val="20"/>
          <w:szCs w:val="20"/>
          <w:lang w:val="pt-BR"/>
        </w:rPr>
        <w:t>:</w:t>
      </w:r>
      <w:r w:rsidR="00CC088E" w:rsidRPr="00404C5B">
        <w:rPr>
          <w:rFonts w:ascii="Verdana" w:hAnsi="Verdana" w:cs="Verdana"/>
          <w:sz w:val="20"/>
          <w:szCs w:val="20"/>
          <w:lang w:val="pt-BR"/>
        </w:rPr>
        <w:t xml:space="preserve"> </w:t>
      </w:r>
      <w:r w:rsidR="00404C5B">
        <w:rPr>
          <w:rFonts w:ascii="Verdana" w:hAnsi="Verdana" w:cs="Verdana"/>
          <w:sz w:val="20"/>
          <w:szCs w:val="20"/>
          <w:lang w:val="pt-BR"/>
        </w:rPr>
        <w:t xml:space="preserve">i) </w:t>
      </w:r>
      <w:r w:rsidR="00CC088E" w:rsidRPr="00404C5B">
        <w:rPr>
          <w:rFonts w:ascii="Verdana" w:hAnsi="Verdana" w:cs="Verdana"/>
          <w:sz w:val="20"/>
          <w:szCs w:val="20"/>
          <w:lang w:val="pt-BR"/>
        </w:rPr>
        <w:t xml:space="preserve">as bases </w:t>
      </w:r>
      <w:r w:rsidR="00CE71B4">
        <w:rPr>
          <w:rFonts w:ascii="Verdana" w:hAnsi="Verdana" w:cs="Verdana"/>
          <w:sz w:val="20"/>
          <w:szCs w:val="20"/>
          <w:lang w:val="pt-BR"/>
        </w:rPr>
        <w:t xml:space="preserve">usadas </w:t>
      </w:r>
      <w:r w:rsidR="00CC088E" w:rsidRPr="00404C5B">
        <w:rPr>
          <w:rFonts w:ascii="Verdana" w:hAnsi="Verdana" w:cs="Verdana"/>
          <w:sz w:val="20"/>
          <w:szCs w:val="20"/>
          <w:lang w:val="pt-BR"/>
        </w:rPr>
        <w:t xml:space="preserve">para o pagamento </w:t>
      </w:r>
      <w:r w:rsidR="00F3565E">
        <w:rPr>
          <w:rFonts w:ascii="Verdana" w:hAnsi="Verdana" w:cs="Verdana"/>
          <w:sz w:val="20"/>
          <w:szCs w:val="20"/>
          <w:lang w:val="pt-BR"/>
        </w:rPr>
        <w:t xml:space="preserve">das custas e gastos à </w:t>
      </w:r>
      <w:r w:rsidR="00CC088E" w:rsidRPr="00404C5B">
        <w:rPr>
          <w:rFonts w:ascii="Verdana" w:hAnsi="Verdana" w:cs="Verdana"/>
          <w:sz w:val="20"/>
          <w:szCs w:val="20"/>
          <w:lang w:val="pt-BR"/>
        </w:rPr>
        <w:t>entidade representante Comissão Pastoral da Terra (CPT</w:t>
      </w:r>
      <w:r w:rsidR="00404C5B">
        <w:rPr>
          <w:rFonts w:ascii="Verdana" w:hAnsi="Verdana" w:cs="Verdana"/>
          <w:sz w:val="20"/>
          <w:szCs w:val="20"/>
          <w:lang w:val="pt-BR"/>
        </w:rPr>
        <w:t xml:space="preserve">); ii) </w:t>
      </w:r>
      <w:r w:rsidR="00DF76B2">
        <w:rPr>
          <w:rFonts w:ascii="Verdana" w:hAnsi="Verdana" w:cs="Verdana"/>
          <w:sz w:val="20"/>
          <w:szCs w:val="20"/>
          <w:lang w:val="pt-BR"/>
        </w:rPr>
        <w:t>se o prazo de um ano definido pela Corte para o cumprimento da Sentença se refere a</w:t>
      </w:r>
      <w:r w:rsidR="00764A2A">
        <w:rPr>
          <w:rFonts w:ascii="Verdana" w:hAnsi="Verdana" w:cs="Verdana"/>
          <w:sz w:val="20"/>
          <w:szCs w:val="20"/>
          <w:lang w:val="pt-BR"/>
        </w:rPr>
        <w:t>os</w:t>
      </w:r>
      <w:r w:rsidR="00DF76B2">
        <w:rPr>
          <w:rFonts w:ascii="Verdana" w:hAnsi="Verdana" w:cs="Verdana"/>
          <w:sz w:val="20"/>
          <w:szCs w:val="20"/>
          <w:lang w:val="pt-BR"/>
        </w:rPr>
        <w:t xml:space="preserve"> beneficiários vivos e cujos dados de contato for possível obter</w:t>
      </w:r>
      <w:r w:rsidR="00764A2A">
        <w:rPr>
          <w:rFonts w:ascii="Verdana" w:hAnsi="Verdana" w:cs="Verdana"/>
          <w:sz w:val="20"/>
          <w:szCs w:val="20"/>
          <w:lang w:val="pt-BR"/>
        </w:rPr>
        <w:t xml:space="preserve">, e como se daria o pagamento caso algum dos beneficiários viesse a falecer antes do pagamento da indenização; </w:t>
      </w:r>
      <w:r w:rsidR="00DF76B2">
        <w:rPr>
          <w:rFonts w:ascii="Verdana" w:hAnsi="Verdana" w:cs="Verdana"/>
          <w:sz w:val="20"/>
          <w:szCs w:val="20"/>
          <w:lang w:val="pt-BR"/>
        </w:rPr>
        <w:t xml:space="preserve">iii) se o depósito em instituição financeira brasileira solvente pode ser feito em reais, utilizando-se o câmbio do dia anterior ao do depósito; iv) se os juros de mora devem incidir sobre o valor da indenização já convertida </w:t>
      </w:r>
      <w:r w:rsidR="00764A2A">
        <w:rPr>
          <w:rFonts w:ascii="Verdana" w:hAnsi="Verdana" w:cs="Verdana"/>
          <w:sz w:val="20"/>
          <w:szCs w:val="20"/>
          <w:lang w:val="pt-BR"/>
        </w:rPr>
        <w:t xml:space="preserve">em </w:t>
      </w:r>
      <w:r w:rsidR="00DF76B2">
        <w:rPr>
          <w:rFonts w:ascii="Verdana" w:hAnsi="Verdana" w:cs="Verdana"/>
          <w:sz w:val="20"/>
          <w:szCs w:val="20"/>
          <w:lang w:val="pt-BR"/>
        </w:rPr>
        <w:t>reais, na data em que se inicie eventual mora</w:t>
      </w:r>
      <w:r w:rsidR="00705A32">
        <w:rPr>
          <w:rFonts w:ascii="Verdana" w:hAnsi="Verdana" w:cs="Verdana"/>
          <w:sz w:val="20"/>
          <w:szCs w:val="20"/>
          <w:lang w:val="pt-BR"/>
        </w:rPr>
        <w:t>,</w:t>
      </w:r>
      <w:r w:rsidR="00DF76B2">
        <w:rPr>
          <w:rFonts w:ascii="Verdana" w:hAnsi="Verdana" w:cs="Verdana"/>
          <w:sz w:val="20"/>
          <w:szCs w:val="20"/>
          <w:lang w:val="pt-BR"/>
        </w:rPr>
        <w:t xml:space="preserve"> e v) se a e</w:t>
      </w:r>
      <w:r w:rsidR="00705A32">
        <w:rPr>
          <w:rFonts w:ascii="Verdana" w:hAnsi="Verdana" w:cs="Verdana"/>
          <w:sz w:val="20"/>
          <w:szCs w:val="20"/>
          <w:lang w:val="pt-BR"/>
        </w:rPr>
        <w:t>xpressão “juros bancários” do parágrafo</w:t>
      </w:r>
      <w:r w:rsidR="00DF76B2">
        <w:rPr>
          <w:rFonts w:ascii="Verdana" w:hAnsi="Verdana" w:cs="Verdana"/>
          <w:sz w:val="20"/>
          <w:szCs w:val="20"/>
          <w:lang w:val="pt-BR"/>
        </w:rPr>
        <w:t xml:space="preserve"> 501 da Sentença deve ser interpretada em consonância com a legislação interna aplicável aos entes públicos.</w:t>
      </w:r>
    </w:p>
    <w:p w:rsidR="008425A3" w:rsidRDefault="008425A3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4C5C27" w:rsidRDefault="008425A3" w:rsidP="00B3599C">
      <w:pPr>
        <w:numPr>
          <w:ilvl w:val="0"/>
          <w:numId w:val="2"/>
        </w:numPr>
        <w:tabs>
          <w:tab w:val="clear" w:pos="1247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  <w:r w:rsidRPr="00CC7B5F">
        <w:rPr>
          <w:rFonts w:ascii="Verdana" w:hAnsi="Verdana" w:cs="Verdana"/>
          <w:sz w:val="20"/>
          <w:szCs w:val="20"/>
          <w:lang w:val="pt-BR"/>
        </w:rPr>
        <w:t>Em</w:t>
      </w:r>
      <w:r w:rsidR="00061DA0">
        <w:rPr>
          <w:rFonts w:ascii="Verdana" w:hAnsi="Verdana" w:cs="Verdana"/>
          <w:sz w:val="20"/>
          <w:szCs w:val="20"/>
          <w:lang w:val="pt-BR"/>
        </w:rPr>
        <w:t xml:space="preserve"> 16 de março de 2017</w:t>
      </w:r>
      <w:r w:rsidR="00764A2A">
        <w:rPr>
          <w:rFonts w:ascii="Verdana" w:hAnsi="Verdana" w:cs="Verdana"/>
          <w:sz w:val="20"/>
          <w:szCs w:val="20"/>
          <w:lang w:val="pt-BR"/>
        </w:rPr>
        <w:t>, conforme disposto no artigo 68</w:t>
      </w:r>
      <w:r w:rsidRPr="00CC7B5F">
        <w:rPr>
          <w:rFonts w:ascii="Verdana" w:hAnsi="Verdana" w:cs="Verdana"/>
          <w:sz w:val="20"/>
          <w:szCs w:val="20"/>
          <w:lang w:val="pt-BR"/>
        </w:rPr>
        <w:t>.2 do Regulamento, a Secretaria da Corte transmitiu uma cóp</w:t>
      </w:r>
      <w:r w:rsidR="00CC7B5F" w:rsidRPr="00CC7B5F">
        <w:rPr>
          <w:rFonts w:ascii="Verdana" w:hAnsi="Verdana" w:cs="Verdana"/>
          <w:sz w:val="20"/>
          <w:szCs w:val="20"/>
          <w:lang w:val="pt-BR"/>
        </w:rPr>
        <w:t>ia da demanda de interpretação aos representantes</w:t>
      </w:r>
      <w:r w:rsidR="00705A32">
        <w:rPr>
          <w:rFonts w:ascii="Verdana" w:hAnsi="Verdana" w:cs="Verdana"/>
          <w:sz w:val="20"/>
          <w:szCs w:val="20"/>
          <w:lang w:val="pt-BR"/>
        </w:rPr>
        <w:t xml:space="preserve"> das vítimas</w:t>
      </w:r>
      <w:r w:rsidR="00CC7B5F" w:rsidRPr="00CC7B5F">
        <w:rPr>
          <w:rFonts w:ascii="Verdana" w:hAnsi="Verdana" w:cs="Verdana"/>
          <w:sz w:val="20"/>
          <w:szCs w:val="20"/>
          <w:lang w:val="pt-BR"/>
        </w:rPr>
        <w:t xml:space="preserve"> e à Comissão Interamericana</w:t>
      </w:r>
      <w:r w:rsidR="00705A32">
        <w:rPr>
          <w:rFonts w:ascii="Verdana" w:hAnsi="Verdana" w:cs="Verdana"/>
          <w:sz w:val="20"/>
          <w:szCs w:val="20"/>
          <w:lang w:val="pt-BR"/>
        </w:rPr>
        <w:t xml:space="preserve"> de Direitos Humanos</w:t>
      </w:r>
      <w:r w:rsidR="00CC7B5F" w:rsidRPr="00CC7B5F">
        <w:rPr>
          <w:rFonts w:ascii="Verdana" w:hAnsi="Verdana" w:cs="Verdana"/>
          <w:sz w:val="20"/>
          <w:szCs w:val="20"/>
          <w:lang w:val="pt-BR"/>
        </w:rPr>
        <w:t>.</w:t>
      </w:r>
      <w:r w:rsidR="004C5C27">
        <w:rPr>
          <w:rFonts w:ascii="Verdana" w:hAnsi="Verdana" w:cs="Verdana"/>
          <w:sz w:val="20"/>
          <w:szCs w:val="20"/>
          <w:lang w:val="pt-BR"/>
        </w:rPr>
        <w:t xml:space="preserve"> Além disso, informou que</w:t>
      </w:r>
      <w:r w:rsidR="00705A32">
        <w:rPr>
          <w:rFonts w:ascii="Verdana" w:hAnsi="Verdana" w:cs="Verdana"/>
          <w:sz w:val="20"/>
          <w:szCs w:val="20"/>
          <w:lang w:val="pt-BR"/>
        </w:rPr>
        <w:t>,</w:t>
      </w:r>
      <w:r w:rsidR="004C5C27">
        <w:rPr>
          <w:rFonts w:ascii="Verdana" w:hAnsi="Verdana" w:cs="Verdana"/>
          <w:sz w:val="20"/>
          <w:szCs w:val="20"/>
          <w:lang w:val="pt-BR"/>
        </w:rPr>
        <w:t xml:space="preserve"> em conformidade com o </w:t>
      </w:r>
      <w:r w:rsidR="00764A2A">
        <w:rPr>
          <w:rFonts w:ascii="Verdana" w:hAnsi="Verdana" w:cs="Verdana"/>
          <w:sz w:val="20"/>
          <w:szCs w:val="20"/>
          <w:lang w:val="pt-BR"/>
        </w:rPr>
        <w:t xml:space="preserve">mencionado </w:t>
      </w:r>
      <w:r w:rsidR="004C5C27">
        <w:rPr>
          <w:rFonts w:ascii="Verdana" w:hAnsi="Verdana" w:cs="Verdana"/>
          <w:sz w:val="20"/>
          <w:szCs w:val="20"/>
          <w:lang w:val="pt-BR"/>
        </w:rPr>
        <w:t>artigo do Regulamento e seguindo instruções do Presidente em exercício para o presente caso, os representantes das vítimas e a Comissão Interamericana conta</w:t>
      </w:r>
      <w:r w:rsidR="00705A32">
        <w:rPr>
          <w:rFonts w:ascii="Verdana" w:hAnsi="Verdana" w:cs="Verdana"/>
          <w:sz w:val="20"/>
          <w:szCs w:val="20"/>
          <w:lang w:val="pt-BR"/>
        </w:rPr>
        <w:t xml:space="preserve">riam </w:t>
      </w:r>
      <w:r w:rsidR="004C5C27">
        <w:rPr>
          <w:rFonts w:ascii="Verdana" w:hAnsi="Verdana" w:cs="Verdana"/>
          <w:sz w:val="20"/>
          <w:szCs w:val="20"/>
          <w:lang w:val="pt-BR"/>
        </w:rPr>
        <w:t>com um prazo até o dia 17 de abril do mesmo ano para apresentar as observações escritas que considerassem pertinentes em relação às solicitações do Estado.</w:t>
      </w:r>
    </w:p>
    <w:p w:rsidR="00CC7B5F" w:rsidRPr="00CC7B5F" w:rsidRDefault="00CC7B5F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123A3C" w:rsidRDefault="00CC7B5F" w:rsidP="00B3599C">
      <w:pPr>
        <w:numPr>
          <w:ilvl w:val="0"/>
          <w:numId w:val="2"/>
        </w:numPr>
        <w:tabs>
          <w:tab w:val="clear" w:pos="1247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  <w:r w:rsidRPr="00123A3C">
        <w:rPr>
          <w:rFonts w:ascii="Verdana" w:hAnsi="Verdana" w:cs="Verdana"/>
          <w:sz w:val="20"/>
          <w:szCs w:val="20"/>
          <w:lang w:val="pt-BR"/>
        </w:rPr>
        <w:t xml:space="preserve">Em </w:t>
      </w:r>
      <w:r w:rsidR="00061DA0">
        <w:rPr>
          <w:rFonts w:ascii="Verdana" w:hAnsi="Verdana" w:cs="Verdana"/>
          <w:sz w:val="20"/>
          <w:szCs w:val="20"/>
          <w:lang w:val="pt-BR"/>
        </w:rPr>
        <w:t>17 e 25 de abril de 2017</w:t>
      </w:r>
      <w:r w:rsidR="00AC31E8" w:rsidRPr="00123A3C">
        <w:rPr>
          <w:rFonts w:ascii="Verdana" w:hAnsi="Verdana" w:cs="Verdana"/>
          <w:sz w:val="20"/>
          <w:szCs w:val="20"/>
          <w:lang w:val="pt-BR"/>
        </w:rPr>
        <w:t>,</w:t>
      </w:r>
      <w:r w:rsidRPr="00123A3C">
        <w:rPr>
          <w:rFonts w:ascii="Verdana" w:hAnsi="Verdana" w:cs="Verdana"/>
          <w:sz w:val="20"/>
          <w:szCs w:val="20"/>
          <w:lang w:val="pt-BR"/>
        </w:rPr>
        <w:t xml:space="preserve"> os representantes </w:t>
      </w:r>
      <w:r w:rsidR="006B0B70">
        <w:rPr>
          <w:rFonts w:ascii="Verdana" w:hAnsi="Verdana" w:cs="Verdana"/>
          <w:sz w:val="20"/>
          <w:szCs w:val="20"/>
          <w:lang w:val="pt-BR"/>
        </w:rPr>
        <w:t>e a Comissão</w:t>
      </w:r>
      <w:r w:rsidR="00061DA0">
        <w:rPr>
          <w:rFonts w:ascii="Verdana" w:hAnsi="Verdana" w:cs="Verdana"/>
          <w:sz w:val="20"/>
          <w:szCs w:val="20"/>
          <w:lang w:val="pt-BR"/>
        </w:rPr>
        <w:t xml:space="preserve"> (que solicitou prorrogação</w:t>
      </w:r>
      <w:r w:rsidR="004C5C27">
        <w:rPr>
          <w:rFonts w:ascii="Verdana" w:hAnsi="Verdana" w:cs="Verdana"/>
          <w:sz w:val="20"/>
          <w:szCs w:val="20"/>
          <w:lang w:val="pt-BR"/>
        </w:rPr>
        <w:t xml:space="preserve"> do prazo em </w:t>
      </w:r>
      <w:r w:rsidR="00C37A59">
        <w:rPr>
          <w:rFonts w:ascii="Verdana" w:hAnsi="Verdana" w:cs="Verdana"/>
          <w:sz w:val="20"/>
          <w:szCs w:val="20"/>
          <w:lang w:val="pt-BR"/>
        </w:rPr>
        <w:t>uma semana, a qual foi concedida pela Corte)</w:t>
      </w:r>
      <w:r w:rsidR="006B0B70">
        <w:rPr>
          <w:rFonts w:ascii="Verdana" w:hAnsi="Verdana" w:cs="Verdana"/>
          <w:sz w:val="20"/>
          <w:szCs w:val="20"/>
          <w:lang w:val="pt-BR"/>
        </w:rPr>
        <w:t xml:space="preserve">, respectivamente, </w:t>
      </w:r>
      <w:r w:rsidRPr="00123A3C">
        <w:rPr>
          <w:rFonts w:ascii="Verdana" w:hAnsi="Verdana" w:cs="Verdana"/>
          <w:sz w:val="20"/>
          <w:szCs w:val="20"/>
          <w:lang w:val="pt-BR"/>
        </w:rPr>
        <w:t xml:space="preserve">apresentaram suas </w:t>
      </w:r>
      <w:r w:rsidR="00705A32">
        <w:rPr>
          <w:rFonts w:ascii="Verdana" w:hAnsi="Verdana" w:cs="Verdana"/>
          <w:sz w:val="20"/>
          <w:szCs w:val="20"/>
          <w:lang w:val="pt-BR"/>
        </w:rPr>
        <w:t xml:space="preserve">observações </w:t>
      </w:r>
      <w:r w:rsidRPr="00123A3C">
        <w:rPr>
          <w:rFonts w:ascii="Verdana" w:hAnsi="Verdana" w:cs="Verdana"/>
          <w:sz w:val="20"/>
          <w:szCs w:val="20"/>
          <w:lang w:val="pt-BR"/>
        </w:rPr>
        <w:t>e</w:t>
      </w:r>
      <w:r w:rsidR="006B0B70">
        <w:rPr>
          <w:rFonts w:ascii="Verdana" w:hAnsi="Verdana" w:cs="Verdana"/>
          <w:sz w:val="20"/>
          <w:szCs w:val="20"/>
          <w:lang w:val="pt-BR"/>
        </w:rPr>
        <w:t>scritas.</w:t>
      </w:r>
    </w:p>
    <w:p w:rsidR="00123A3C" w:rsidRPr="00123A3C" w:rsidRDefault="00123A3C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BF47F9" w:rsidRPr="00697DFE" w:rsidRDefault="00BF47F9" w:rsidP="00B3599C">
      <w:pPr>
        <w:spacing w:after="0" w:line="240" w:lineRule="auto"/>
        <w:jc w:val="center"/>
        <w:rPr>
          <w:rFonts w:ascii="Verdana" w:eastAsia="Times" w:hAnsi="Verdana"/>
          <w:b/>
          <w:bCs/>
          <w:sz w:val="20"/>
          <w:szCs w:val="20"/>
          <w:lang w:val="pt-BR"/>
        </w:rPr>
      </w:pPr>
      <w:r w:rsidRPr="00697DFE">
        <w:rPr>
          <w:rFonts w:ascii="Verdana" w:eastAsia="Times" w:hAnsi="Verdana"/>
          <w:b/>
          <w:bCs/>
          <w:sz w:val="20"/>
          <w:szCs w:val="20"/>
          <w:lang w:val="pt-BR"/>
        </w:rPr>
        <w:t>II</w:t>
      </w:r>
    </w:p>
    <w:p w:rsidR="00BF47F9" w:rsidRDefault="00BF47F9" w:rsidP="00B3599C">
      <w:pPr>
        <w:spacing w:after="0" w:line="240" w:lineRule="auto"/>
        <w:jc w:val="center"/>
        <w:rPr>
          <w:rFonts w:ascii="Verdana" w:eastAsia="Times" w:hAnsi="Verdana"/>
          <w:b/>
          <w:bCs/>
          <w:sz w:val="20"/>
          <w:szCs w:val="20"/>
          <w:lang w:val="pt-BR"/>
        </w:rPr>
      </w:pPr>
      <w:r w:rsidRPr="00697DFE">
        <w:rPr>
          <w:rFonts w:ascii="Verdana" w:eastAsia="Times" w:hAnsi="Verdana"/>
          <w:b/>
          <w:bCs/>
          <w:sz w:val="20"/>
          <w:szCs w:val="20"/>
          <w:lang w:val="pt-BR"/>
        </w:rPr>
        <w:t>COMPETÊNCIA E COMPOSIÇÃO DA CORTE</w:t>
      </w:r>
    </w:p>
    <w:p w:rsidR="00123A3C" w:rsidRPr="00697DFE" w:rsidRDefault="00123A3C" w:rsidP="00B3599C">
      <w:pPr>
        <w:spacing w:after="0" w:line="240" w:lineRule="auto"/>
        <w:jc w:val="center"/>
        <w:rPr>
          <w:rFonts w:ascii="Verdana" w:eastAsia="Times" w:hAnsi="Verdana"/>
          <w:b/>
          <w:bCs/>
          <w:sz w:val="20"/>
          <w:szCs w:val="20"/>
          <w:lang w:val="pt-BR"/>
        </w:rPr>
      </w:pPr>
    </w:p>
    <w:p w:rsidR="00BF47F9" w:rsidRDefault="00123A3C" w:rsidP="00B3599C">
      <w:pPr>
        <w:pStyle w:val="Prrafodelista"/>
        <w:numPr>
          <w:ilvl w:val="0"/>
          <w:numId w:val="2"/>
        </w:numPr>
        <w:tabs>
          <w:tab w:val="clear" w:pos="1247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  <w:lang w:val="pt-BR"/>
        </w:rPr>
      </w:pPr>
      <w:r w:rsidRPr="00123A3C">
        <w:rPr>
          <w:rFonts w:ascii="Verdana" w:hAnsi="Verdana" w:cs="Verdana"/>
          <w:sz w:val="20"/>
          <w:szCs w:val="20"/>
          <w:lang w:val="pt-BR"/>
        </w:rPr>
        <w:t>O artigo 67 da Convenção estabelece que</w:t>
      </w:r>
      <w:r>
        <w:rPr>
          <w:rFonts w:ascii="Verdana" w:hAnsi="Verdana" w:cs="Verdana"/>
          <w:sz w:val="20"/>
          <w:szCs w:val="20"/>
          <w:lang w:val="pt-BR"/>
        </w:rPr>
        <w:t>:</w:t>
      </w:r>
    </w:p>
    <w:p w:rsidR="00123A3C" w:rsidRDefault="00123A3C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123A3C" w:rsidRPr="00CE71B4" w:rsidRDefault="00764A2A" w:rsidP="00CE71B4">
      <w:pPr>
        <w:pStyle w:val="Textodebloque"/>
      </w:pPr>
      <w:r w:rsidRPr="00764A2A">
        <w:t>A sentença da Corte será definitiva e inapelável. Em caso de divergência sobre o sentido ou alcance da sentença, a Corte interpretá-la-á, a pedido de qualquer das partes, desde que o pedido seja apresentado dentro de noventa dias a partir da data da notificação da sentença.</w:t>
      </w:r>
    </w:p>
    <w:p w:rsidR="00123A3C" w:rsidRPr="00123A3C" w:rsidRDefault="00123A3C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BF47F9" w:rsidRPr="008E6A2C" w:rsidRDefault="00764A2A" w:rsidP="00B3599C">
      <w:pPr>
        <w:pStyle w:val="Prrafodelista"/>
        <w:numPr>
          <w:ilvl w:val="0"/>
          <w:numId w:val="2"/>
        </w:numPr>
        <w:tabs>
          <w:tab w:val="clear" w:pos="1247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  <w:lang w:val="pt-BR"/>
        </w:rPr>
        <w:t xml:space="preserve">De acordo com </w:t>
      </w:r>
      <w:r w:rsidR="008E6A2C" w:rsidRPr="008E6A2C">
        <w:rPr>
          <w:rFonts w:ascii="Verdana" w:hAnsi="Verdana" w:cs="Verdana"/>
          <w:sz w:val="20"/>
          <w:szCs w:val="20"/>
          <w:lang w:val="pt-BR"/>
        </w:rPr>
        <w:t xml:space="preserve">o artigo citado, a Corte </w:t>
      </w:r>
      <w:r w:rsidR="008E6A2C">
        <w:rPr>
          <w:rFonts w:ascii="Verdana" w:hAnsi="Verdana" w:cs="Verdana"/>
          <w:sz w:val="20"/>
          <w:szCs w:val="20"/>
          <w:lang w:val="pt-BR"/>
        </w:rPr>
        <w:t xml:space="preserve">é competente para interpretar suas decisões. Para realizar o exame da demanda de interpretação e resolver o que corresponda a esse respeito, o Tribunal deve conservar, se possível, a mesma composição que tinha ao </w:t>
      </w:r>
      <w:r w:rsidR="00CE71B4">
        <w:rPr>
          <w:rFonts w:ascii="Verdana" w:hAnsi="Verdana" w:cs="Verdana"/>
          <w:sz w:val="20"/>
          <w:szCs w:val="20"/>
          <w:lang w:val="pt-BR"/>
        </w:rPr>
        <w:t>proferir</w:t>
      </w:r>
      <w:r w:rsidR="008E6A2C">
        <w:rPr>
          <w:rFonts w:ascii="Verdana" w:hAnsi="Verdana" w:cs="Verdana"/>
          <w:sz w:val="20"/>
          <w:szCs w:val="20"/>
          <w:lang w:val="pt-BR"/>
        </w:rPr>
        <w:t xml:space="preserve"> a Sentença respectiva, de acordo com o artigo </w:t>
      </w:r>
      <w:r w:rsidR="004C5C27">
        <w:rPr>
          <w:rFonts w:ascii="Verdana" w:hAnsi="Verdana" w:cs="Verdana"/>
          <w:sz w:val="20"/>
          <w:szCs w:val="20"/>
          <w:lang w:val="pt-BR"/>
        </w:rPr>
        <w:t>68.3</w:t>
      </w:r>
      <w:r w:rsidR="008E6A2C">
        <w:rPr>
          <w:rFonts w:ascii="Verdana" w:hAnsi="Verdana" w:cs="Verdana"/>
          <w:sz w:val="20"/>
          <w:szCs w:val="20"/>
          <w:lang w:val="pt-BR"/>
        </w:rPr>
        <w:t xml:space="preserve"> do Regulamento</w:t>
      </w:r>
      <w:r w:rsidR="00273D1D">
        <w:rPr>
          <w:rStyle w:val="Refdenotaalpie"/>
          <w:rFonts w:cs="Verdana"/>
          <w:sz w:val="20"/>
          <w:szCs w:val="20"/>
          <w:lang w:val="pt-BR"/>
        </w:rPr>
        <w:footnoteReference w:id="3"/>
      </w:r>
      <w:r w:rsidR="008E6A2C">
        <w:rPr>
          <w:rFonts w:ascii="Verdana" w:hAnsi="Verdana" w:cs="Verdana"/>
          <w:sz w:val="20"/>
          <w:szCs w:val="20"/>
          <w:lang w:val="pt-BR"/>
        </w:rPr>
        <w:t xml:space="preserve">. Nesta ocasião, a </w:t>
      </w:r>
      <w:r w:rsidR="008E6A2C">
        <w:rPr>
          <w:rFonts w:ascii="Verdana" w:hAnsi="Verdana" w:cs="Verdana"/>
          <w:sz w:val="20"/>
          <w:szCs w:val="20"/>
          <w:lang w:val="pt-BR"/>
        </w:rPr>
        <w:lastRenderedPageBreak/>
        <w:t xml:space="preserve">Corte está integrada pelos </w:t>
      </w:r>
      <w:r w:rsidR="00273D1D">
        <w:rPr>
          <w:rFonts w:ascii="Verdana" w:hAnsi="Verdana" w:cs="Verdana"/>
          <w:sz w:val="20"/>
          <w:szCs w:val="20"/>
          <w:lang w:val="pt-BR"/>
        </w:rPr>
        <w:t xml:space="preserve">mesmos </w:t>
      </w:r>
      <w:r w:rsidR="008E6A2C">
        <w:rPr>
          <w:rFonts w:ascii="Verdana" w:hAnsi="Verdana" w:cs="Verdana"/>
          <w:sz w:val="20"/>
          <w:szCs w:val="20"/>
          <w:lang w:val="pt-BR"/>
        </w:rPr>
        <w:t xml:space="preserve">juízes que </w:t>
      </w:r>
      <w:r w:rsidR="00273D1D">
        <w:rPr>
          <w:rFonts w:ascii="Verdana" w:hAnsi="Verdana" w:cs="Verdana"/>
          <w:sz w:val="20"/>
          <w:szCs w:val="20"/>
          <w:lang w:val="pt-BR"/>
        </w:rPr>
        <w:t xml:space="preserve">proferiram </w:t>
      </w:r>
      <w:r w:rsidR="008E6A2C">
        <w:rPr>
          <w:rFonts w:ascii="Verdana" w:hAnsi="Verdana" w:cs="Verdana"/>
          <w:sz w:val="20"/>
          <w:szCs w:val="20"/>
          <w:lang w:val="pt-BR"/>
        </w:rPr>
        <w:t>a Sentença cuja interpretação foi solicitada pelo Estado.</w:t>
      </w:r>
    </w:p>
    <w:p w:rsidR="00BF47F9" w:rsidRPr="008E6A2C" w:rsidRDefault="00BF47F9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BF47F9" w:rsidRPr="00BF47F9" w:rsidRDefault="00BF47F9" w:rsidP="00B359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  <w:r w:rsidRPr="00BF47F9">
        <w:rPr>
          <w:rFonts w:ascii="Verdana" w:hAnsi="Verdana" w:cs="Verdana"/>
          <w:b/>
          <w:sz w:val="20"/>
          <w:szCs w:val="20"/>
        </w:rPr>
        <w:t>III</w:t>
      </w:r>
    </w:p>
    <w:p w:rsidR="00BF47F9" w:rsidRPr="00BF47F9" w:rsidRDefault="00BF47F9" w:rsidP="00B359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  <w:r w:rsidRPr="00BF47F9">
        <w:rPr>
          <w:rFonts w:ascii="Verdana" w:hAnsi="Verdana" w:cs="Verdana"/>
          <w:b/>
          <w:sz w:val="20"/>
          <w:szCs w:val="20"/>
        </w:rPr>
        <w:t>ADMISSIBILIDADE</w:t>
      </w:r>
    </w:p>
    <w:p w:rsidR="00BF47F9" w:rsidRPr="00BF47F9" w:rsidRDefault="00BF47F9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BF47F9" w:rsidRPr="005B671D" w:rsidRDefault="008E6A2C" w:rsidP="00B3599C">
      <w:pPr>
        <w:pStyle w:val="Prrafodelista"/>
        <w:numPr>
          <w:ilvl w:val="0"/>
          <w:numId w:val="2"/>
        </w:numPr>
        <w:tabs>
          <w:tab w:val="clear" w:pos="1247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  <w:lang w:val="pt-BR"/>
        </w:rPr>
      </w:pPr>
      <w:r w:rsidRPr="005B671D">
        <w:rPr>
          <w:rFonts w:ascii="Verdana" w:hAnsi="Verdana" w:cs="Verdana"/>
          <w:sz w:val="20"/>
          <w:szCs w:val="20"/>
          <w:lang w:val="pt-BR"/>
        </w:rPr>
        <w:t>Cabe à Corte verificar se a demanda de interpretação cumpre os requisitos estabelecidos nas normas aplicáveis, a saber, o artigo 67 da Convenção, anteriormente citado, e o a</w:t>
      </w:r>
      <w:r w:rsidR="006B0B70" w:rsidRPr="005B671D">
        <w:rPr>
          <w:rFonts w:ascii="Verdana" w:hAnsi="Verdana" w:cs="Verdana"/>
          <w:sz w:val="20"/>
          <w:szCs w:val="20"/>
          <w:lang w:val="pt-BR"/>
        </w:rPr>
        <w:t>rtigo 68</w:t>
      </w:r>
      <w:r w:rsidRPr="005B671D">
        <w:rPr>
          <w:rFonts w:ascii="Verdana" w:hAnsi="Verdana" w:cs="Verdana"/>
          <w:sz w:val="20"/>
          <w:szCs w:val="20"/>
          <w:lang w:val="pt-BR"/>
        </w:rPr>
        <w:t xml:space="preserve"> do Regulamento que dispõe, quanto à matéria em exame, que:</w:t>
      </w:r>
    </w:p>
    <w:p w:rsidR="008E6A2C" w:rsidRPr="005B671D" w:rsidRDefault="008E6A2C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8E6A2C" w:rsidRPr="00CE71B4" w:rsidRDefault="008E6A2C" w:rsidP="00B3599C">
      <w:pPr>
        <w:autoSpaceDE w:val="0"/>
        <w:autoSpaceDN w:val="0"/>
        <w:adjustRightInd w:val="0"/>
        <w:spacing w:after="0" w:line="240" w:lineRule="auto"/>
        <w:ind w:left="720" w:right="576"/>
        <w:jc w:val="both"/>
        <w:rPr>
          <w:rFonts w:ascii="Verdana" w:hAnsi="Verdana"/>
          <w:sz w:val="18"/>
          <w:szCs w:val="18"/>
          <w:lang w:val="pt-BR"/>
        </w:rPr>
      </w:pPr>
      <w:r w:rsidRPr="00CE71B4">
        <w:rPr>
          <w:rFonts w:ascii="Verdana" w:hAnsi="Verdana"/>
          <w:sz w:val="18"/>
          <w:szCs w:val="18"/>
          <w:lang w:val="pt-BR"/>
        </w:rPr>
        <w:t xml:space="preserve">1. </w:t>
      </w:r>
      <w:r w:rsidR="00A34583" w:rsidRPr="00A34583">
        <w:rPr>
          <w:rFonts w:ascii="Verdana" w:hAnsi="Verdana"/>
          <w:sz w:val="18"/>
          <w:szCs w:val="18"/>
          <w:lang w:val="pt-BR"/>
        </w:rPr>
        <w:t>O pedido de interpretação a que se refere o artigo 67 da Convenção poderá ser formulado em relação às sentenças de exceções preliminares, mérito ou reparações e custas e se apresentará na Secretaria da Corte, cabendo nela indicar com precisão as questões relativas ao sentido ou ao alcance da sentença cuja interpretação é solicitada</w:t>
      </w:r>
      <w:r w:rsidRPr="00CE71B4">
        <w:rPr>
          <w:rFonts w:ascii="Verdana" w:hAnsi="Verdana"/>
          <w:sz w:val="18"/>
          <w:szCs w:val="18"/>
          <w:lang w:val="pt-BR"/>
        </w:rPr>
        <w:t>.</w:t>
      </w:r>
    </w:p>
    <w:p w:rsidR="008E6A2C" w:rsidRPr="00CE71B4" w:rsidRDefault="008E6A2C" w:rsidP="00B3599C">
      <w:pPr>
        <w:autoSpaceDE w:val="0"/>
        <w:autoSpaceDN w:val="0"/>
        <w:adjustRightInd w:val="0"/>
        <w:spacing w:after="0" w:line="240" w:lineRule="auto"/>
        <w:ind w:left="720" w:right="576"/>
        <w:jc w:val="both"/>
        <w:rPr>
          <w:rFonts w:ascii="Verdana" w:hAnsi="Verdana"/>
          <w:sz w:val="18"/>
          <w:szCs w:val="18"/>
          <w:lang w:val="pt-BR"/>
        </w:rPr>
      </w:pPr>
    </w:p>
    <w:p w:rsidR="008E6A2C" w:rsidRPr="00CE71B4" w:rsidRDefault="008E6A2C" w:rsidP="00B3599C">
      <w:pPr>
        <w:autoSpaceDE w:val="0"/>
        <w:autoSpaceDN w:val="0"/>
        <w:adjustRightInd w:val="0"/>
        <w:spacing w:after="0" w:line="240" w:lineRule="auto"/>
        <w:ind w:left="720" w:right="576"/>
        <w:jc w:val="both"/>
        <w:rPr>
          <w:rFonts w:ascii="Verdana" w:hAnsi="Verdana"/>
          <w:sz w:val="18"/>
          <w:szCs w:val="18"/>
          <w:lang w:val="pt-BR"/>
        </w:rPr>
      </w:pPr>
      <w:r w:rsidRPr="00CE71B4">
        <w:rPr>
          <w:rFonts w:ascii="Verdana" w:hAnsi="Verdana"/>
          <w:sz w:val="18"/>
          <w:szCs w:val="18"/>
          <w:lang w:val="pt-BR"/>
        </w:rPr>
        <w:t xml:space="preserve">[…] </w:t>
      </w:r>
    </w:p>
    <w:p w:rsidR="008E6A2C" w:rsidRPr="00CE71B4" w:rsidRDefault="008E6A2C" w:rsidP="00B3599C">
      <w:pPr>
        <w:autoSpaceDE w:val="0"/>
        <w:autoSpaceDN w:val="0"/>
        <w:adjustRightInd w:val="0"/>
        <w:spacing w:after="0" w:line="240" w:lineRule="auto"/>
        <w:ind w:left="720" w:right="576"/>
        <w:jc w:val="both"/>
        <w:rPr>
          <w:rFonts w:ascii="Verdana" w:hAnsi="Verdana"/>
          <w:sz w:val="18"/>
          <w:szCs w:val="18"/>
          <w:lang w:val="pt-BR"/>
        </w:rPr>
      </w:pPr>
    </w:p>
    <w:p w:rsidR="008E6A2C" w:rsidRPr="00CE71B4" w:rsidRDefault="008E6A2C" w:rsidP="00B3599C">
      <w:pPr>
        <w:autoSpaceDE w:val="0"/>
        <w:autoSpaceDN w:val="0"/>
        <w:adjustRightInd w:val="0"/>
        <w:spacing w:after="0" w:line="240" w:lineRule="auto"/>
        <w:ind w:left="720" w:right="576"/>
        <w:jc w:val="both"/>
        <w:rPr>
          <w:rFonts w:ascii="Verdana" w:hAnsi="Verdana"/>
          <w:sz w:val="18"/>
          <w:szCs w:val="18"/>
          <w:lang w:val="pt-BR"/>
        </w:rPr>
      </w:pPr>
      <w:r w:rsidRPr="00CE71B4">
        <w:rPr>
          <w:rFonts w:ascii="Verdana" w:hAnsi="Verdana"/>
          <w:sz w:val="18"/>
          <w:szCs w:val="18"/>
          <w:lang w:val="pt-BR"/>
        </w:rPr>
        <w:t xml:space="preserve">4. </w:t>
      </w:r>
      <w:r w:rsidR="00A34583" w:rsidRPr="00A34583">
        <w:rPr>
          <w:rFonts w:ascii="Verdana" w:hAnsi="Verdana"/>
          <w:sz w:val="18"/>
          <w:szCs w:val="18"/>
          <w:lang w:val="pt-BR"/>
        </w:rPr>
        <w:t>O pedido de interpretação não exercerá efeito suspensivo sobre a execução da sentença</w:t>
      </w:r>
      <w:r w:rsidRPr="00CE71B4">
        <w:rPr>
          <w:rFonts w:ascii="Verdana" w:hAnsi="Verdana"/>
          <w:sz w:val="18"/>
          <w:szCs w:val="18"/>
          <w:lang w:val="pt-BR"/>
        </w:rPr>
        <w:t xml:space="preserve">. </w:t>
      </w:r>
    </w:p>
    <w:p w:rsidR="008E6A2C" w:rsidRPr="00CE71B4" w:rsidRDefault="008E6A2C" w:rsidP="00B3599C">
      <w:pPr>
        <w:autoSpaceDE w:val="0"/>
        <w:autoSpaceDN w:val="0"/>
        <w:adjustRightInd w:val="0"/>
        <w:spacing w:after="0" w:line="240" w:lineRule="auto"/>
        <w:ind w:left="720" w:right="576"/>
        <w:jc w:val="both"/>
        <w:rPr>
          <w:rFonts w:ascii="Verdana" w:hAnsi="Verdana"/>
          <w:sz w:val="18"/>
          <w:szCs w:val="18"/>
          <w:lang w:val="pt-BR"/>
        </w:rPr>
      </w:pPr>
    </w:p>
    <w:p w:rsidR="008E6A2C" w:rsidRDefault="008E6A2C" w:rsidP="00CE71B4">
      <w:pPr>
        <w:autoSpaceDE w:val="0"/>
        <w:autoSpaceDN w:val="0"/>
        <w:adjustRightInd w:val="0"/>
        <w:spacing w:after="0" w:line="240" w:lineRule="auto"/>
        <w:ind w:left="720" w:right="576"/>
        <w:jc w:val="both"/>
        <w:rPr>
          <w:rFonts w:ascii="Verdana" w:hAnsi="Verdana"/>
          <w:sz w:val="18"/>
          <w:szCs w:val="18"/>
          <w:lang w:val="pt-BR"/>
        </w:rPr>
      </w:pPr>
      <w:r w:rsidRPr="00CE71B4">
        <w:rPr>
          <w:rFonts w:ascii="Verdana" w:hAnsi="Verdana"/>
          <w:sz w:val="18"/>
          <w:szCs w:val="18"/>
          <w:lang w:val="pt-BR"/>
        </w:rPr>
        <w:t xml:space="preserve">5. </w:t>
      </w:r>
      <w:r w:rsidR="00A34583" w:rsidRPr="00A34583">
        <w:rPr>
          <w:rFonts w:ascii="Verdana" w:hAnsi="Verdana"/>
          <w:sz w:val="18"/>
          <w:szCs w:val="18"/>
          <w:lang w:val="pt-BR"/>
        </w:rPr>
        <w:t>A Corte determinará o procedimento a ser seguido e decidirá mediante sentença</w:t>
      </w:r>
      <w:r w:rsidRPr="00CE71B4">
        <w:rPr>
          <w:rFonts w:ascii="Verdana" w:hAnsi="Verdana"/>
          <w:sz w:val="18"/>
          <w:szCs w:val="18"/>
          <w:lang w:val="pt-BR"/>
        </w:rPr>
        <w:t>.</w:t>
      </w:r>
    </w:p>
    <w:p w:rsidR="005815D6" w:rsidRPr="005B671D" w:rsidRDefault="005815D6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BF47F9" w:rsidRDefault="008E6A2C" w:rsidP="00B3599C">
      <w:pPr>
        <w:pStyle w:val="Prrafodelista"/>
        <w:numPr>
          <w:ilvl w:val="0"/>
          <w:numId w:val="2"/>
        </w:numPr>
        <w:tabs>
          <w:tab w:val="clear" w:pos="1247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  <w:lang w:val="pt-BR"/>
        </w:rPr>
      </w:pPr>
      <w:r w:rsidRPr="005B671D">
        <w:rPr>
          <w:rFonts w:ascii="Verdana" w:hAnsi="Verdana" w:cs="Verdana"/>
          <w:sz w:val="20"/>
          <w:szCs w:val="20"/>
          <w:lang w:val="pt-BR"/>
        </w:rPr>
        <w:t>Além disso, o artigo 31.3 do</w:t>
      </w:r>
      <w:r w:rsidRPr="008E6A2C">
        <w:rPr>
          <w:rFonts w:ascii="Verdana" w:hAnsi="Verdana" w:cs="Verdana"/>
          <w:sz w:val="20"/>
          <w:szCs w:val="20"/>
          <w:lang w:val="pt-BR"/>
        </w:rPr>
        <w:t xml:space="preserve"> Regulamento </w:t>
      </w:r>
      <w:r>
        <w:rPr>
          <w:rFonts w:ascii="Verdana" w:hAnsi="Verdana" w:cs="Verdana"/>
          <w:sz w:val="20"/>
          <w:szCs w:val="20"/>
          <w:lang w:val="pt-BR"/>
        </w:rPr>
        <w:t xml:space="preserve">estabelece que “[c]ontra as sentenças e resoluções da Corte não </w:t>
      </w:r>
      <w:r w:rsidR="00A34583" w:rsidRPr="00A34583">
        <w:rPr>
          <w:rFonts w:ascii="Verdana" w:hAnsi="Verdana" w:cs="Verdana"/>
          <w:sz w:val="20"/>
          <w:szCs w:val="20"/>
          <w:lang w:val="pt-BR"/>
        </w:rPr>
        <w:t>procede nenhum meio de impugnação</w:t>
      </w:r>
      <w:r>
        <w:rPr>
          <w:rFonts w:ascii="Verdana" w:hAnsi="Verdana" w:cs="Verdana"/>
          <w:sz w:val="20"/>
          <w:szCs w:val="20"/>
          <w:lang w:val="pt-BR"/>
        </w:rPr>
        <w:t>”.</w:t>
      </w:r>
    </w:p>
    <w:p w:rsidR="008D08A7" w:rsidRPr="008D08A7" w:rsidRDefault="008D08A7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8E6A2C" w:rsidRDefault="008D08A7" w:rsidP="00B3599C">
      <w:pPr>
        <w:pStyle w:val="Prrafodelista"/>
        <w:numPr>
          <w:ilvl w:val="0"/>
          <w:numId w:val="2"/>
        </w:numPr>
        <w:tabs>
          <w:tab w:val="clear" w:pos="1247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  <w:lang w:val="pt-BR"/>
        </w:rPr>
        <w:t xml:space="preserve">A Corte observa que </w:t>
      </w:r>
      <w:r w:rsidR="00E6207A">
        <w:rPr>
          <w:rFonts w:ascii="Verdana" w:hAnsi="Verdana" w:cs="Verdana"/>
          <w:sz w:val="20"/>
          <w:szCs w:val="20"/>
          <w:lang w:val="pt-BR"/>
        </w:rPr>
        <w:t>o Estado interpôs</w:t>
      </w:r>
      <w:r>
        <w:rPr>
          <w:rFonts w:ascii="Verdana" w:hAnsi="Verdana" w:cs="Verdana"/>
          <w:sz w:val="20"/>
          <w:szCs w:val="20"/>
          <w:lang w:val="pt-BR"/>
        </w:rPr>
        <w:t xml:space="preserve"> a demanda de interpretação no prazo estabelecido no artigo 67 da Convenção, uma vez que a mesma foi apresentada no dia</w:t>
      </w:r>
      <w:r w:rsidR="00105799">
        <w:rPr>
          <w:rFonts w:ascii="Verdana" w:hAnsi="Verdana" w:cs="Verdana"/>
          <w:sz w:val="20"/>
          <w:szCs w:val="20"/>
          <w:lang w:val="pt-BR"/>
        </w:rPr>
        <w:t xml:space="preserve"> 15 de março de 2017</w:t>
      </w:r>
      <w:r>
        <w:rPr>
          <w:rFonts w:ascii="Verdana" w:hAnsi="Verdana" w:cs="Verdana"/>
          <w:sz w:val="20"/>
          <w:szCs w:val="20"/>
          <w:lang w:val="pt-BR"/>
        </w:rPr>
        <w:t xml:space="preserve"> e as partes foram notificadas da Sentença em</w:t>
      </w:r>
      <w:r w:rsidR="00105799">
        <w:rPr>
          <w:rFonts w:ascii="Verdana" w:hAnsi="Verdana" w:cs="Verdana"/>
          <w:sz w:val="20"/>
          <w:szCs w:val="20"/>
          <w:lang w:val="pt-BR"/>
        </w:rPr>
        <w:t xml:space="preserve"> 15 de dezembro de 2016</w:t>
      </w:r>
      <w:r>
        <w:rPr>
          <w:rFonts w:ascii="Verdana" w:hAnsi="Verdana" w:cs="Verdana"/>
          <w:sz w:val="20"/>
          <w:szCs w:val="20"/>
          <w:lang w:val="pt-BR"/>
        </w:rPr>
        <w:t>.</w:t>
      </w:r>
      <w:r w:rsidR="00E6207A">
        <w:rPr>
          <w:rFonts w:ascii="Verdana" w:hAnsi="Verdana" w:cs="Verdana"/>
          <w:sz w:val="20"/>
          <w:szCs w:val="20"/>
          <w:lang w:val="pt-BR"/>
        </w:rPr>
        <w:t xml:space="preserve"> Portanto, a solicitação </w:t>
      </w:r>
      <w:r w:rsidR="00CE71B4">
        <w:rPr>
          <w:rFonts w:ascii="Verdana" w:hAnsi="Verdana" w:cs="Verdana"/>
          <w:sz w:val="20"/>
          <w:szCs w:val="20"/>
          <w:lang w:val="pt-BR"/>
        </w:rPr>
        <w:t>é</w:t>
      </w:r>
      <w:r w:rsidR="00E6207A">
        <w:rPr>
          <w:rFonts w:ascii="Verdana" w:hAnsi="Verdana" w:cs="Verdana"/>
          <w:sz w:val="20"/>
          <w:szCs w:val="20"/>
          <w:lang w:val="pt-BR"/>
        </w:rPr>
        <w:t xml:space="preserve"> admissível </w:t>
      </w:r>
      <w:r w:rsidR="009009DF">
        <w:rPr>
          <w:rFonts w:ascii="Verdana" w:hAnsi="Verdana" w:cs="Verdana"/>
          <w:sz w:val="20"/>
          <w:szCs w:val="20"/>
          <w:lang w:val="pt-BR"/>
        </w:rPr>
        <w:t xml:space="preserve">no que se refere ao </w:t>
      </w:r>
      <w:r w:rsidR="00CE71B4">
        <w:rPr>
          <w:rFonts w:ascii="Verdana" w:hAnsi="Verdana" w:cs="Verdana"/>
          <w:sz w:val="20"/>
          <w:szCs w:val="20"/>
          <w:lang w:val="pt-BR"/>
        </w:rPr>
        <w:t>prazo</w:t>
      </w:r>
      <w:r w:rsidR="009009DF">
        <w:rPr>
          <w:rFonts w:ascii="Verdana" w:hAnsi="Verdana" w:cs="Verdana"/>
          <w:sz w:val="20"/>
          <w:szCs w:val="20"/>
          <w:lang w:val="pt-BR"/>
        </w:rPr>
        <w:t xml:space="preserve"> em que foi apresentada. Quanto aos demais requisitos, a Corte realizará a </w:t>
      </w:r>
      <w:r w:rsidR="00CE71B4">
        <w:rPr>
          <w:rFonts w:ascii="Verdana" w:hAnsi="Verdana" w:cs="Verdana"/>
          <w:sz w:val="20"/>
          <w:szCs w:val="20"/>
          <w:lang w:val="pt-BR"/>
        </w:rPr>
        <w:t xml:space="preserve">respectiva </w:t>
      </w:r>
      <w:r w:rsidR="009009DF">
        <w:rPr>
          <w:rFonts w:ascii="Verdana" w:hAnsi="Verdana" w:cs="Verdana"/>
          <w:sz w:val="20"/>
          <w:szCs w:val="20"/>
          <w:lang w:val="pt-BR"/>
        </w:rPr>
        <w:t xml:space="preserve">análise </w:t>
      </w:r>
      <w:r w:rsidR="0011627A">
        <w:rPr>
          <w:rFonts w:ascii="Verdana" w:hAnsi="Verdana" w:cs="Verdana"/>
          <w:sz w:val="20"/>
          <w:szCs w:val="20"/>
          <w:lang w:val="pt-BR"/>
        </w:rPr>
        <w:t>de mérito</w:t>
      </w:r>
      <w:r w:rsidR="009009DF">
        <w:rPr>
          <w:rFonts w:ascii="Verdana" w:hAnsi="Verdana" w:cs="Verdana"/>
          <w:sz w:val="20"/>
          <w:szCs w:val="20"/>
          <w:lang w:val="pt-BR"/>
        </w:rPr>
        <w:t xml:space="preserve"> do presente pedido de interpretação no próximo capítulo.</w:t>
      </w:r>
    </w:p>
    <w:p w:rsidR="00BF47F9" w:rsidRPr="008D08A7" w:rsidRDefault="00BF47F9" w:rsidP="00B3599C">
      <w:pPr>
        <w:spacing w:after="0" w:line="240" w:lineRule="auto"/>
        <w:jc w:val="both"/>
        <w:rPr>
          <w:rFonts w:ascii="Verdana" w:eastAsia="Times" w:hAnsi="Verdana"/>
          <w:sz w:val="20"/>
          <w:szCs w:val="20"/>
          <w:u w:val="single"/>
          <w:lang w:val="pt-BR"/>
        </w:rPr>
      </w:pPr>
    </w:p>
    <w:p w:rsidR="00BF47F9" w:rsidRPr="009009DF" w:rsidRDefault="00BF47F9" w:rsidP="00B3599C">
      <w:pPr>
        <w:spacing w:after="0" w:line="240" w:lineRule="auto"/>
        <w:jc w:val="center"/>
        <w:rPr>
          <w:rFonts w:ascii="Verdana" w:eastAsia="Times" w:hAnsi="Verdana"/>
          <w:b/>
          <w:sz w:val="20"/>
          <w:szCs w:val="20"/>
          <w:lang w:val="pt-BR"/>
        </w:rPr>
      </w:pPr>
      <w:r w:rsidRPr="009009DF">
        <w:rPr>
          <w:rFonts w:ascii="Verdana" w:eastAsia="Times" w:hAnsi="Verdana"/>
          <w:b/>
          <w:sz w:val="20"/>
          <w:szCs w:val="20"/>
          <w:lang w:val="pt-BR"/>
        </w:rPr>
        <w:t>IV</w:t>
      </w:r>
    </w:p>
    <w:p w:rsidR="00BF47F9" w:rsidRPr="00697DFE" w:rsidRDefault="00BF47F9" w:rsidP="00B359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aps/>
          <w:sz w:val="20"/>
          <w:szCs w:val="20"/>
          <w:lang w:val="pt-BR"/>
        </w:rPr>
      </w:pPr>
      <w:r w:rsidRPr="00697DFE">
        <w:rPr>
          <w:rFonts w:ascii="Verdana" w:hAnsi="Verdana" w:cs="Verdana"/>
          <w:b/>
          <w:caps/>
          <w:sz w:val="20"/>
          <w:szCs w:val="20"/>
          <w:lang w:val="pt-BR"/>
        </w:rPr>
        <w:t xml:space="preserve">análise da procedência </w:t>
      </w:r>
      <w:r w:rsidR="009009DF">
        <w:rPr>
          <w:rFonts w:ascii="Verdana" w:hAnsi="Verdana" w:cs="Verdana"/>
          <w:b/>
          <w:caps/>
          <w:sz w:val="20"/>
          <w:szCs w:val="20"/>
          <w:lang w:val="pt-BR"/>
        </w:rPr>
        <w:t>DOS PEDIDOS</w:t>
      </w:r>
      <w:r w:rsidRPr="00697DFE">
        <w:rPr>
          <w:rFonts w:ascii="Verdana" w:hAnsi="Verdana" w:cs="Verdana"/>
          <w:b/>
          <w:caps/>
          <w:sz w:val="20"/>
          <w:szCs w:val="20"/>
          <w:lang w:val="pt-BR"/>
        </w:rPr>
        <w:t xml:space="preserve"> de interpretação</w:t>
      </w:r>
    </w:p>
    <w:p w:rsidR="00BF47F9" w:rsidRPr="00697DFE" w:rsidRDefault="00BF47F9" w:rsidP="00B359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aps/>
          <w:sz w:val="20"/>
          <w:szCs w:val="20"/>
          <w:lang w:val="pt-BR"/>
        </w:rPr>
      </w:pPr>
    </w:p>
    <w:p w:rsidR="009009DF" w:rsidRDefault="009009DF" w:rsidP="00B3599C">
      <w:pPr>
        <w:pStyle w:val="Prrafodelista"/>
        <w:numPr>
          <w:ilvl w:val="0"/>
          <w:numId w:val="2"/>
        </w:numPr>
        <w:tabs>
          <w:tab w:val="clear" w:pos="1247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  <w:lang w:val="pt-BR"/>
        </w:rPr>
      </w:pPr>
      <w:r w:rsidRPr="009009DF">
        <w:rPr>
          <w:rFonts w:ascii="Verdana" w:hAnsi="Verdana" w:cs="Verdana"/>
          <w:sz w:val="20"/>
          <w:szCs w:val="20"/>
          <w:lang w:val="pt-BR"/>
        </w:rPr>
        <w:t xml:space="preserve">A seguir a Corte analisará os pedidos do Estado para determinar se, de acordo com a normativa e os </w:t>
      </w:r>
      <w:r w:rsidR="00560475">
        <w:rPr>
          <w:rFonts w:ascii="Verdana" w:hAnsi="Verdana" w:cs="Verdana"/>
          <w:sz w:val="20"/>
          <w:szCs w:val="20"/>
          <w:lang w:val="pt-BR"/>
        </w:rPr>
        <w:t xml:space="preserve">padrões </w:t>
      </w:r>
      <w:r>
        <w:rPr>
          <w:rFonts w:ascii="Verdana" w:hAnsi="Verdana" w:cs="Verdana"/>
          <w:sz w:val="20"/>
          <w:szCs w:val="20"/>
          <w:lang w:val="pt-BR"/>
        </w:rPr>
        <w:t xml:space="preserve">desenvolvidos </w:t>
      </w:r>
      <w:r w:rsidR="00560475">
        <w:rPr>
          <w:rFonts w:ascii="Verdana" w:hAnsi="Verdana" w:cs="Verdana"/>
          <w:sz w:val="20"/>
          <w:szCs w:val="20"/>
          <w:lang w:val="pt-BR"/>
        </w:rPr>
        <w:t>em su</w:t>
      </w:r>
      <w:r>
        <w:rPr>
          <w:rFonts w:ascii="Verdana" w:hAnsi="Verdana" w:cs="Verdana"/>
          <w:sz w:val="20"/>
          <w:szCs w:val="20"/>
          <w:lang w:val="pt-BR"/>
        </w:rPr>
        <w:t>a jurisprudência, procede esclarecer o sentido de determinados pontos da Sentença.</w:t>
      </w:r>
    </w:p>
    <w:p w:rsidR="009009DF" w:rsidRPr="009009DF" w:rsidRDefault="009009DF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BF47F9" w:rsidRDefault="006B0B70" w:rsidP="00B3599C">
      <w:pPr>
        <w:pStyle w:val="Prrafodelista"/>
        <w:numPr>
          <w:ilvl w:val="0"/>
          <w:numId w:val="2"/>
        </w:numPr>
        <w:tabs>
          <w:tab w:val="clear" w:pos="1247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  <w:lang w:val="pt-BR"/>
        </w:rPr>
      </w:pPr>
      <w:r w:rsidRPr="006B0B70">
        <w:rPr>
          <w:rFonts w:ascii="Verdana" w:hAnsi="Verdana" w:cs="Verdana"/>
          <w:sz w:val="20"/>
          <w:szCs w:val="20"/>
          <w:lang w:val="pt-BR"/>
        </w:rPr>
        <w:t>Para</w:t>
      </w:r>
      <w:r w:rsidR="00E045EB">
        <w:rPr>
          <w:rFonts w:ascii="Verdana" w:hAnsi="Verdana" w:cs="Verdana"/>
          <w:sz w:val="20"/>
          <w:szCs w:val="20"/>
          <w:lang w:val="pt-BR"/>
        </w:rPr>
        <w:t xml:space="preserve"> analis</w:t>
      </w:r>
      <w:r w:rsidRPr="006B0B70">
        <w:rPr>
          <w:rFonts w:ascii="Verdana" w:hAnsi="Verdana" w:cs="Verdana"/>
          <w:sz w:val="20"/>
          <w:szCs w:val="20"/>
          <w:lang w:val="pt-BR"/>
        </w:rPr>
        <w:t>ar a procedência dos pedido</w:t>
      </w:r>
      <w:r>
        <w:rPr>
          <w:rFonts w:ascii="Verdana" w:hAnsi="Verdana" w:cs="Verdana"/>
          <w:sz w:val="20"/>
          <w:szCs w:val="20"/>
          <w:lang w:val="pt-BR"/>
        </w:rPr>
        <w:t xml:space="preserve">s do Estado, a Corte leva em consideração sua jurisprudência constante, </w:t>
      </w:r>
      <w:r w:rsidR="00953600">
        <w:rPr>
          <w:rFonts w:ascii="Verdana" w:hAnsi="Verdana" w:cs="Verdana"/>
          <w:sz w:val="20"/>
          <w:szCs w:val="20"/>
          <w:lang w:val="pt-BR"/>
        </w:rPr>
        <w:t xml:space="preserve">a respeito de que um pedido de interpretação de sentença não pode ser utilizado como meio de impugnação da decisão cuja interpretação se requer. Esse pedido </w:t>
      </w:r>
      <w:r w:rsidR="00560475">
        <w:rPr>
          <w:rFonts w:ascii="Verdana" w:hAnsi="Verdana" w:cs="Verdana"/>
          <w:sz w:val="20"/>
          <w:szCs w:val="20"/>
          <w:lang w:val="pt-BR"/>
        </w:rPr>
        <w:t>deve ter</w:t>
      </w:r>
      <w:r w:rsidR="00953600">
        <w:rPr>
          <w:rFonts w:ascii="Verdana" w:hAnsi="Verdana" w:cs="Verdana"/>
          <w:sz w:val="20"/>
          <w:szCs w:val="20"/>
          <w:lang w:val="pt-BR"/>
        </w:rPr>
        <w:t xml:space="preserve"> como objeto, exclusivamente, determinar o sentido de uma sentença quando alguma das partes sustenta que o texto de seus pontos resolutivos ou de suas considerações carece de claridade ou precisão</w:t>
      </w:r>
      <w:r w:rsidR="00560475">
        <w:rPr>
          <w:rFonts w:ascii="Verdana" w:hAnsi="Verdana" w:cs="Verdana"/>
          <w:sz w:val="20"/>
          <w:szCs w:val="20"/>
          <w:lang w:val="pt-BR"/>
        </w:rPr>
        <w:t xml:space="preserve">, sempre e quando essas considerações </w:t>
      </w:r>
      <w:r w:rsidR="00560475">
        <w:rPr>
          <w:rFonts w:ascii="Verdana" w:hAnsi="Verdana" w:cs="Verdana"/>
          <w:sz w:val="20"/>
          <w:szCs w:val="20"/>
          <w:lang w:val="pt-BR"/>
        </w:rPr>
        <w:lastRenderedPageBreak/>
        <w:t>incidam na parte resolutiva da Sentença</w:t>
      </w:r>
      <w:r w:rsidR="00E92A4B">
        <w:rPr>
          <w:rFonts w:ascii="Verdana" w:hAnsi="Verdana" w:cs="Verdana"/>
          <w:sz w:val="20"/>
          <w:szCs w:val="20"/>
          <w:lang w:val="pt-BR"/>
        </w:rPr>
        <w:t>.</w:t>
      </w:r>
      <w:r w:rsidR="00560475">
        <w:rPr>
          <w:rStyle w:val="Refdenotaalpie"/>
          <w:rFonts w:cs="Verdana"/>
          <w:sz w:val="20"/>
          <w:szCs w:val="20"/>
          <w:lang w:val="pt-BR"/>
        </w:rPr>
        <w:footnoteReference w:id="4"/>
      </w:r>
      <w:r w:rsidR="00953600">
        <w:rPr>
          <w:rFonts w:ascii="Verdana" w:hAnsi="Verdana" w:cs="Verdana"/>
          <w:sz w:val="20"/>
          <w:szCs w:val="20"/>
          <w:lang w:val="pt-BR"/>
        </w:rPr>
        <w:t xml:space="preserve"> Portanto, não se pode solicitar a modificação ou anulação da respectiva sentença </w:t>
      </w:r>
      <w:r w:rsidR="002B09B1">
        <w:rPr>
          <w:rFonts w:ascii="Verdana" w:hAnsi="Verdana" w:cs="Verdana"/>
          <w:sz w:val="20"/>
          <w:szCs w:val="20"/>
          <w:lang w:val="pt-BR"/>
        </w:rPr>
        <w:t>através de um pedido de interpretação</w:t>
      </w:r>
      <w:r w:rsidR="00E92A4B">
        <w:rPr>
          <w:rFonts w:ascii="Verdana" w:hAnsi="Verdana" w:cs="Verdana"/>
          <w:sz w:val="20"/>
          <w:szCs w:val="20"/>
          <w:lang w:val="pt-BR"/>
        </w:rPr>
        <w:t>.</w:t>
      </w:r>
      <w:r w:rsidR="00560475" w:rsidRPr="00E92A4B">
        <w:rPr>
          <w:rStyle w:val="Refdenotaalpie"/>
          <w:rFonts w:cs="Verdana"/>
          <w:sz w:val="20"/>
          <w:szCs w:val="20"/>
          <w:lang w:val="pt-BR"/>
        </w:rPr>
        <w:footnoteReference w:id="5"/>
      </w:r>
      <w:r w:rsidR="00B22E90">
        <w:rPr>
          <w:rFonts w:ascii="Verdana" w:hAnsi="Verdana" w:cs="Verdana"/>
          <w:sz w:val="20"/>
          <w:szCs w:val="20"/>
          <w:lang w:val="pt-BR"/>
        </w:rPr>
        <w:t xml:space="preserve"> </w:t>
      </w:r>
    </w:p>
    <w:p w:rsidR="002B09B1" w:rsidRPr="002B09B1" w:rsidRDefault="002B09B1" w:rsidP="00B3599C">
      <w:pPr>
        <w:pStyle w:val="Prrafodelista"/>
        <w:spacing w:after="0" w:line="240" w:lineRule="auto"/>
        <w:contextualSpacing w:val="0"/>
        <w:rPr>
          <w:rFonts w:ascii="Verdana" w:hAnsi="Verdana" w:cs="Verdana"/>
          <w:sz w:val="20"/>
          <w:szCs w:val="20"/>
          <w:lang w:val="pt-BR"/>
        </w:rPr>
      </w:pPr>
    </w:p>
    <w:p w:rsidR="0011627A" w:rsidRDefault="002B09B1" w:rsidP="00B3599C">
      <w:pPr>
        <w:pStyle w:val="Prrafodelista"/>
        <w:numPr>
          <w:ilvl w:val="0"/>
          <w:numId w:val="2"/>
        </w:numPr>
        <w:tabs>
          <w:tab w:val="clear" w:pos="1247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  <w:lang w:val="pt-BR"/>
        </w:rPr>
        <w:t xml:space="preserve">Adicionalmente, a Corte já sustentou a improcedência de se utilizar um pedido de interpretação para submeter questões de fato e de direito que já foram </w:t>
      </w:r>
      <w:r w:rsidR="00CE71B4">
        <w:rPr>
          <w:rFonts w:ascii="Verdana" w:hAnsi="Verdana" w:cs="Verdana"/>
          <w:sz w:val="20"/>
          <w:szCs w:val="20"/>
          <w:lang w:val="pt-BR"/>
        </w:rPr>
        <w:t>debatidas</w:t>
      </w:r>
      <w:r>
        <w:rPr>
          <w:rFonts w:ascii="Verdana" w:hAnsi="Verdana" w:cs="Verdana"/>
          <w:sz w:val="20"/>
          <w:szCs w:val="20"/>
          <w:lang w:val="pt-BR"/>
        </w:rPr>
        <w:t xml:space="preserve"> no momento processual </w:t>
      </w:r>
      <w:r w:rsidR="00A34583">
        <w:rPr>
          <w:rFonts w:ascii="Verdana" w:hAnsi="Verdana" w:cs="Verdana"/>
          <w:sz w:val="20"/>
          <w:szCs w:val="20"/>
          <w:lang w:val="pt-BR"/>
        </w:rPr>
        <w:t>oportuno</w:t>
      </w:r>
      <w:r>
        <w:rPr>
          <w:rFonts w:ascii="Verdana" w:hAnsi="Verdana" w:cs="Verdana"/>
          <w:sz w:val="20"/>
          <w:szCs w:val="20"/>
          <w:lang w:val="pt-BR"/>
        </w:rPr>
        <w:t xml:space="preserve"> e sobre as quais a Corte </w:t>
      </w:r>
      <w:r w:rsidR="0011627A">
        <w:rPr>
          <w:rFonts w:ascii="Verdana" w:hAnsi="Verdana" w:cs="Verdana"/>
          <w:sz w:val="20"/>
          <w:szCs w:val="20"/>
          <w:lang w:val="pt-BR"/>
        </w:rPr>
        <w:t>já adotou uma deci</w:t>
      </w:r>
      <w:r w:rsidR="0011627A" w:rsidRPr="00E92A4B">
        <w:rPr>
          <w:rFonts w:ascii="Verdana" w:hAnsi="Verdana" w:cs="Verdana"/>
          <w:sz w:val="20"/>
          <w:szCs w:val="20"/>
          <w:lang w:val="pt-BR"/>
        </w:rPr>
        <w:t>são</w:t>
      </w:r>
      <w:r w:rsidR="00E92A4B" w:rsidRPr="00E92A4B">
        <w:rPr>
          <w:rFonts w:ascii="Verdana" w:hAnsi="Verdana" w:cs="Verdana"/>
          <w:sz w:val="20"/>
          <w:szCs w:val="20"/>
          <w:lang w:val="pt-BR"/>
        </w:rPr>
        <w:t>,</w:t>
      </w:r>
      <w:r w:rsidR="00560475" w:rsidRPr="00E92A4B">
        <w:rPr>
          <w:rStyle w:val="Refdenotaalpie"/>
          <w:rFonts w:cs="Verdana"/>
          <w:sz w:val="20"/>
          <w:szCs w:val="20"/>
          <w:lang w:val="pt-BR"/>
        </w:rPr>
        <w:footnoteReference w:id="6"/>
      </w:r>
      <w:r w:rsidR="0011627A" w:rsidRPr="00E92A4B">
        <w:rPr>
          <w:rFonts w:ascii="Verdana" w:hAnsi="Verdana" w:cs="Verdana"/>
          <w:sz w:val="20"/>
          <w:szCs w:val="20"/>
          <w:lang w:val="pt-BR"/>
        </w:rPr>
        <w:t xml:space="preserve"> bem como para pretender que a Corte valore novamente questões que já foram resolvidas pela mesma na Sentença</w:t>
      </w:r>
      <w:r w:rsidR="00E92A4B" w:rsidRPr="00E92A4B">
        <w:rPr>
          <w:rFonts w:ascii="Verdana" w:hAnsi="Verdana" w:cs="Verdana"/>
          <w:sz w:val="20"/>
          <w:szCs w:val="20"/>
          <w:lang w:val="pt-BR"/>
        </w:rPr>
        <w:t>.</w:t>
      </w:r>
      <w:r w:rsidR="00560475" w:rsidRPr="00E92A4B">
        <w:rPr>
          <w:rStyle w:val="Refdenotaalpie"/>
          <w:rFonts w:cs="Verdana"/>
          <w:sz w:val="20"/>
          <w:szCs w:val="20"/>
          <w:lang w:val="pt-BR"/>
        </w:rPr>
        <w:footnoteReference w:id="7"/>
      </w:r>
      <w:r w:rsidR="0011627A" w:rsidRPr="00E92A4B">
        <w:rPr>
          <w:rFonts w:ascii="Verdana" w:hAnsi="Verdana" w:cs="Verdana"/>
          <w:sz w:val="20"/>
          <w:szCs w:val="20"/>
          <w:lang w:val="pt-BR"/>
        </w:rPr>
        <w:t xml:space="preserve"> Da mesma forma, por esta via tampouco se pode tentar </w:t>
      </w:r>
      <w:r w:rsidR="001E7AA8" w:rsidRPr="00E92A4B">
        <w:rPr>
          <w:rFonts w:ascii="Verdana" w:hAnsi="Verdana" w:cs="Verdana"/>
          <w:sz w:val="20"/>
          <w:szCs w:val="20"/>
          <w:lang w:val="pt-BR"/>
        </w:rPr>
        <w:t>a ampliação d</w:t>
      </w:r>
      <w:r w:rsidR="0011627A" w:rsidRPr="00E92A4B">
        <w:rPr>
          <w:rFonts w:ascii="Verdana" w:hAnsi="Verdana" w:cs="Verdana"/>
          <w:sz w:val="20"/>
          <w:szCs w:val="20"/>
          <w:lang w:val="pt-BR"/>
        </w:rPr>
        <w:t>o alcance de uma medida de reparação ordenada oportunamente</w:t>
      </w:r>
      <w:r w:rsidR="00E92A4B" w:rsidRPr="00E92A4B">
        <w:rPr>
          <w:rFonts w:ascii="Verdana" w:hAnsi="Verdana" w:cs="Verdana"/>
          <w:sz w:val="20"/>
          <w:szCs w:val="20"/>
          <w:lang w:val="pt-BR"/>
        </w:rPr>
        <w:t>.</w:t>
      </w:r>
      <w:r w:rsidR="001E7AA8" w:rsidRPr="00E92A4B">
        <w:rPr>
          <w:rStyle w:val="Refdenotaalpie"/>
          <w:rFonts w:cs="Verdana"/>
          <w:sz w:val="20"/>
          <w:szCs w:val="20"/>
          <w:lang w:val="pt-BR"/>
        </w:rPr>
        <w:footnoteReference w:id="8"/>
      </w:r>
      <w:r w:rsidR="0011627A" w:rsidRPr="00E92A4B">
        <w:rPr>
          <w:rFonts w:ascii="Verdana" w:hAnsi="Verdana" w:cs="Verdana"/>
          <w:sz w:val="20"/>
          <w:szCs w:val="20"/>
          <w:lang w:val="pt-BR"/>
        </w:rPr>
        <w:t xml:space="preserve"> Diante deste entendimento, a Corte examinará as questões </w:t>
      </w:r>
      <w:r w:rsidR="00CE71B4">
        <w:rPr>
          <w:rFonts w:ascii="Verdana" w:hAnsi="Verdana" w:cs="Verdana"/>
          <w:sz w:val="20"/>
          <w:szCs w:val="20"/>
          <w:lang w:val="pt-BR"/>
        </w:rPr>
        <w:t xml:space="preserve">propostas </w:t>
      </w:r>
      <w:r w:rsidR="0011627A" w:rsidRPr="00E92A4B">
        <w:rPr>
          <w:rFonts w:ascii="Verdana" w:hAnsi="Verdana" w:cs="Verdana"/>
          <w:sz w:val="20"/>
          <w:szCs w:val="20"/>
          <w:lang w:val="pt-BR"/>
        </w:rPr>
        <w:t>pelo Estado</w:t>
      </w:r>
      <w:r w:rsidR="001E7AA8" w:rsidRPr="00E92A4B">
        <w:rPr>
          <w:rFonts w:ascii="Verdana" w:hAnsi="Verdana" w:cs="Verdana"/>
          <w:sz w:val="20"/>
          <w:szCs w:val="20"/>
          <w:lang w:val="pt-BR"/>
        </w:rPr>
        <w:t>, bem como as observações da Comissão e dos representantes, e determinará sua procedência</w:t>
      </w:r>
      <w:r w:rsidR="0011627A">
        <w:rPr>
          <w:rFonts w:ascii="Verdana" w:hAnsi="Verdana" w:cs="Verdana"/>
          <w:sz w:val="20"/>
          <w:szCs w:val="20"/>
          <w:lang w:val="pt-BR"/>
        </w:rPr>
        <w:t>.</w:t>
      </w:r>
    </w:p>
    <w:p w:rsidR="0011627A" w:rsidRPr="0011627A" w:rsidRDefault="0011627A" w:rsidP="00B3599C">
      <w:pPr>
        <w:pStyle w:val="Prrafodelista"/>
        <w:spacing w:after="0" w:line="240" w:lineRule="auto"/>
        <w:contextualSpacing w:val="0"/>
        <w:rPr>
          <w:rFonts w:ascii="Verdana" w:hAnsi="Verdana" w:cs="Verdana"/>
          <w:sz w:val="20"/>
          <w:szCs w:val="20"/>
          <w:lang w:val="pt-BR"/>
        </w:rPr>
      </w:pPr>
    </w:p>
    <w:p w:rsidR="0011627A" w:rsidRDefault="0011627A" w:rsidP="00B3599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/>
          <w:smallCaps/>
          <w:sz w:val="20"/>
          <w:szCs w:val="20"/>
          <w:lang w:val="pt-BR"/>
        </w:rPr>
      </w:pPr>
      <w:r>
        <w:rPr>
          <w:rFonts w:ascii="Verdana" w:hAnsi="Verdana"/>
          <w:b/>
          <w:smallCaps/>
          <w:sz w:val="20"/>
          <w:szCs w:val="20"/>
          <w:lang w:val="pt-BR"/>
        </w:rPr>
        <w:t>PAGAMENTO DE CUSTAS E GASTOS</w:t>
      </w:r>
    </w:p>
    <w:p w:rsidR="005815D6" w:rsidRDefault="005815D6" w:rsidP="00B3599C">
      <w:pPr>
        <w:widowControl w:val="0"/>
        <w:spacing w:after="0" w:line="240" w:lineRule="auto"/>
        <w:ind w:left="720"/>
        <w:jc w:val="both"/>
        <w:rPr>
          <w:rFonts w:ascii="Verdana" w:hAnsi="Verdana"/>
          <w:b/>
          <w:smallCaps/>
          <w:sz w:val="20"/>
          <w:szCs w:val="20"/>
          <w:lang w:val="pt-BR"/>
        </w:rPr>
      </w:pPr>
    </w:p>
    <w:p w:rsidR="00D37BA0" w:rsidRPr="0051410C" w:rsidRDefault="00CE71B4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>
        <w:rPr>
          <w:rFonts w:ascii="Verdana" w:hAnsi="Verdana"/>
          <w:sz w:val="20"/>
          <w:szCs w:val="20"/>
          <w:lang w:val="pt-BR"/>
        </w:rPr>
        <w:t>O</w:t>
      </w:r>
      <w:r w:rsidR="0011627A" w:rsidRPr="0051410C">
        <w:rPr>
          <w:rFonts w:ascii="Verdana" w:hAnsi="Verdana"/>
          <w:sz w:val="20"/>
          <w:szCs w:val="20"/>
          <w:lang w:val="pt-BR"/>
        </w:rPr>
        <w:t xml:space="preserve"> parágrafo 491 da sentença da Corte</w:t>
      </w:r>
      <w:r>
        <w:rPr>
          <w:rFonts w:ascii="Verdana" w:hAnsi="Verdana"/>
          <w:sz w:val="20"/>
          <w:szCs w:val="20"/>
          <w:lang w:val="pt-BR"/>
        </w:rPr>
        <w:t xml:space="preserve"> estabelece que os gastos e custas d</w:t>
      </w:r>
      <w:r w:rsidR="0011627A" w:rsidRPr="0051410C">
        <w:rPr>
          <w:rFonts w:ascii="Verdana" w:hAnsi="Verdana"/>
          <w:sz w:val="20"/>
          <w:szCs w:val="20"/>
          <w:lang w:val="pt-BR"/>
        </w:rPr>
        <w:t xml:space="preserve">a Comissão Pastoral da Terra (CPT) corresponderam a US$139,66. </w:t>
      </w:r>
      <w:r w:rsidR="0051410C" w:rsidRPr="0051410C">
        <w:rPr>
          <w:rFonts w:ascii="Verdana" w:hAnsi="Verdana"/>
          <w:sz w:val="20"/>
          <w:szCs w:val="20"/>
          <w:lang w:val="pt-BR"/>
        </w:rPr>
        <w:t>No parágrafo 495 da Sentença, a</w:t>
      </w:r>
      <w:r w:rsidR="0011627A" w:rsidRPr="0051410C">
        <w:rPr>
          <w:rFonts w:ascii="Verdana" w:hAnsi="Verdana"/>
          <w:sz w:val="20"/>
          <w:szCs w:val="20"/>
          <w:lang w:val="pt-BR"/>
        </w:rPr>
        <w:t xml:space="preserve"> Corte determinou</w:t>
      </w:r>
      <w:r w:rsidR="0051410C" w:rsidRPr="0051410C">
        <w:rPr>
          <w:rFonts w:ascii="Verdana" w:hAnsi="Verdana"/>
          <w:sz w:val="20"/>
          <w:szCs w:val="20"/>
          <w:lang w:val="pt-BR"/>
        </w:rPr>
        <w:t xml:space="preserve"> o pagamento</w:t>
      </w:r>
      <w:r w:rsidR="0011627A" w:rsidRPr="0051410C">
        <w:rPr>
          <w:rFonts w:ascii="Verdana" w:hAnsi="Verdana"/>
          <w:sz w:val="20"/>
          <w:szCs w:val="20"/>
          <w:lang w:val="pt-BR"/>
        </w:rPr>
        <w:t xml:space="preserve">, </w:t>
      </w:r>
      <w:r w:rsidR="009D5461">
        <w:rPr>
          <w:rFonts w:ascii="Verdana" w:hAnsi="Verdana"/>
          <w:sz w:val="20"/>
          <w:szCs w:val="20"/>
          <w:lang w:val="pt-BR"/>
        </w:rPr>
        <w:t>em</w:t>
      </w:r>
      <w:r w:rsidR="0011627A" w:rsidRPr="0051410C">
        <w:rPr>
          <w:rFonts w:ascii="Verdana" w:hAnsi="Verdana"/>
          <w:sz w:val="20"/>
          <w:szCs w:val="20"/>
          <w:lang w:val="pt-BR"/>
        </w:rPr>
        <w:t xml:space="preserve"> equidade, de US$5.000,00 à CPT.</w:t>
      </w:r>
      <w:r w:rsidR="00D37BA0" w:rsidRPr="0051410C">
        <w:rPr>
          <w:rFonts w:ascii="Verdana" w:hAnsi="Verdana"/>
          <w:sz w:val="20"/>
          <w:szCs w:val="20"/>
          <w:lang w:val="pt-BR"/>
        </w:rPr>
        <w:t xml:space="preserve"> Sobre o valor fixado, o </w:t>
      </w:r>
      <w:r w:rsidR="00D37BA0" w:rsidRPr="0051410C">
        <w:rPr>
          <w:rFonts w:ascii="Verdana" w:hAnsi="Verdana"/>
          <w:b/>
          <w:i/>
          <w:sz w:val="20"/>
          <w:szCs w:val="20"/>
          <w:lang w:val="pt-BR"/>
        </w:rPr>
        <w:t xml:space="preserve">Estado </w:t>
      </w:r>
      <w:r w:rsidR="0051410C" w:rsidRPr="0051410C">
        <w:rPr>
          <w:rFonts w:ascii="Verdana" w:hAnsi="Verdana"/>
          <w:sz w:val="20"/>
          <w:szCs w:val="20"/>
          <w:lang w:val="pt-BR"/>
        </w:rPr>
        <w:t>afirmou</w:t>
      </w:r>
      <w:r w:rsidR="00D37BA0" w:rsidRPr="0051410C">
        <w:rPr>
          <w:rFonts w:ascii="Verdana" w:hAnsi="Verdana"/>
          <w:sz w:val="20"/>
          <w:szCs w:val="20"/>
          <w:lang w:val="pt-BR"/>
        </w:rPr>
        <w:t>:</w:t>
      </w:r>
    </w:p>
    <w:p w:rsidR="00D37BA0" w:rsidRPr="0051410C" w:rsidRDefault="00D37BA0" w:rsidP="00D37BA0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D37BA0" w:rsidRPr="0051410C" w:rsidRDefault="0051410C" w:rsidP="00D37BA0">
      <w:pPr>
        <w:pStyle w:val="Prrafodelista"/>
        <w:spacing w:after="0" w:line="240" w:lineRule="auto"/>
        <w:ind w:right="576"/>
        <w:jc w:val="both"/>
        <w:rPr>
          <w:rFonts w:ascii="Verdana" w:hAnsi="Verdana"/>
          <w:sz w:val="18"/>
          <w:szCs w:val="18"/>
          <w:lang w:val="pt-BR"/>
        </w:rPr>
      </w:pPr>
      <w:r w:rsidRPr="0051410C">
        <w:rPr>
          <w:rFonts w:ascii="Verdana" w:hAnsi="Verdana"/>
          <w:sz w:val="18"/>
          <w:szCs w:val="18"/>
          <w:lang w:val="pt-BR"/>
        </w:rPr>
        <w:t>[</w:t>
      </w:r>
      <w:r w:rsidR="00D37BA0" w:rsidRPr="0051410C">
        <w:rPr>
          <w:rFonts w:ascii="Verdana" w:hAnsi="Verdana"/>
          <w:sz w:val="18"/>
          <w:szCs w:val="18"/>
          <w:lang w:val="pt-BR"/>
        </w:rPr>
        <w:t>...</w:t>
      </w:r>
      <w:r w:rsidRPr="0051410C">
        <w:rPr>
          <w:rFonts w:ascii="Verdana" w:hAnsi="Verdana"/>
          <w:sz w:val="18"/>
          <w:szCs w:val="18"/>
          <w:lang w:val="pt-BR"/>
        </w:rPr>
        <w:t xml:space="preserve">] </w:t>
      </w:r>
      <w:r w:rsidR="00D37BA0" w:rsidRPr="0051410C">
        <w:rPr>
          <w:rFonts w:ascii="Verdana" w:hAnsi="Verdana"/>
          <w:sz w:val="18"/>
          <w:szCs w:val="18"/>
          <w:lang w:val="pt-BR"/>
        </w:rPr>
        <w:t>sem menosprezar o relevante papel da CPT, entende-se que, diante do montante solicitado, a fixação de US$ 5.000,00 não é compatível, ainda que feita por equidade.</w:t>
      </w:r>
      <w:r w:rsidR="00CA0C87" w:rsidRPr="0051410C">
        <w:rPr>
          <w:rFonts w:ascii="Verdana" w:hAnsi="Verdana"/>
          <w:sz w:val="18"/>
          <w:szCs w:val="18"/>
          <w:lang w:val="pt-BR"/>
        </w:rPr>
        <w:t xml:space="preserve"> </w:t>
      </w:r>
    </w:p>
    <w:p w:rsidR="00D37BA0" w:rsidRPr="0051410C" w:rsidRDefault="00D37BA0" w:rsidP="00D37BA0">
      <w:pPr>
        <w:spacing w:after="0" w:line="240" w:lineRule="auto"/>
        <w:ind w:right="576"/>
        <w:jc w:val="both"/>
        <w:rPr>
          <w:rFonts w:ascii="Verdana" w:hAnsi="Verdana"/>
          <w:sz w:val="20"/>
          <w:szCs w:val="20"/>
          <w:lang w:val="pt-BR"/>
        </w:rPr>
      </w:pPr>
    </w:p>
    <w:p w:rsidR="00D37BA0" w:rsidRPr="0051410C" w:rsidRDefault="009D5461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>
        <w:rPr>
          <w:rFonts w:ascii="Verdana" w:hAnsi="Verdana"/>
          <w:sz w:val="20"/>
          <w:szCs w:val="20"/>
          <w:lang w:val="pt-BR"/>
        </w:rPr>
        <w:t>Portanto, s</w:t>
      </w:r>
      <w:r w:rsidR="00CA0C87" w:rsidRPr="0051410C">
        <w:rPr>
          <w:rFonts w:ascii="Verdana" w:hAnsi="Verdana"/>
          <w:sz w:val="20"/>
          <w:szCs w:val="20"/>
          <w:lang w:val="pt-BR"/>
        </w:rPr>
        <w:t>olicitou</w:t>
      </w:r>
      <w:r w:rsidR="00D37BA0" w:rsidRPr="0051410C">
        <w:rPr>
          <w:rFonts w:ascii="Verdana" w:hAnsi="Verdana"/>
          <w:sz w:val="20"/>
          <w:szCs w:val="20"/>
          <w:lang w:val="pt-BR"/>
        </w:rPr>
        <w:t xml:space="preserve"> que a Corte esclareça as bases usadas para fixar o montante a ser pago à CPT</w:t>
      </w:r>
      <w:r>
        <w:rPr>
          <w:rFonts w:ascii="Verdana" w:hAnsi="Verdana"/>
          <w:sz w:val="20"/>
          <w:szCs w:val="20"/>
          <w:lang w:val="pt-BR"/>
        </w:rPr>
        <w:t xml:space="preserve">, e se for o caso proceder a adequar o montante. </w:t>
      </w:r>
    </w:p>
    <w:p w:rsidR="005815D6" w:rsidRDefault="005815D6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5815D6" w:rsidRPr="005815D6" w:rsidRDefault="0011627A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11627A">
        <w:rPr>
          <w:rFonts w:ascii="Verdana" w:hAnsi="Verdana"/>
          <w:sz w:val="20"/>
          <w:szCs w:val="20"/>
          <w:lang w:val="pt-BR"/>
        </w:rPr>
        <w:t xml:space="preserve">Os </w:t>
      </w:r>
      <w:r w:rsidRPr="00D37BA0">
        <w:rPr>
          <w:rFonts w:ascii="Verdana" w:hAnsi="Verdana"/>
          <w:b/>
          <w:i/>
          <w:sz w:val="20"/>
          <w:szCs w:val="20"/>
          <w:lang w:val="pt-BR"/>
        </w:rPr>
        <w:t>representantes</w:t>
      </w:r>
      <w:r w:rsidRPr="00D37BA0">
        <w:rPr>
          <w:rFonts w:ascii="Verdana" w:hAnsi="Verdana"/>
          <w:sz w:val="20"/>
          <w:szCs w:val="20"/>
          <w:lang w:val="pt-BR"/>
        </w:rPr>
        <w:t xml:space="preserve"> </w:t>
      </w:r>
      <w:r w:rsidRPr="0011627A">
        <w:rPr>
          <w:rFonts w:ascii="Verdana" w:hAnsi="Verdana"/>
          <w:sz w:val="20"/>
          <w:szCs w:val="20"/>
          <w:lang w:val="pt-BR"/>
        </w:rPr>
        <w:t>afirma</w:t>
      </w:r>
      <w:r w:rsidR="00B3599C">
        <w:rPr>
          <w:rFonts w:ascii="Verdana" w:hAnsi="Verdana"/>
          <w:sz w:val="20"/>
          <w:szCs w:val="20"/>
          <w:lang w:val="pt-BR"/>
        </w:rPr>
        <w:t>ra</w:t>
      </w:r>
      <w:r w:rsidRPr="0011627A">
        <w:rPr>
          <w:rFonts w:ascii="Verdana" w:hAnsi="Verdana"/>
          <w:sz w:val="20"/>
          <w:szCs w:val="20"/>
          <w:lang w:val="pt-BR"/>
        </w:rPr>
        <w:t>m que a decisão da Corte foi</w:t>
      </w:r>
      <w:r w:rsidR="00B22E90">
        <w:rPr>
          <w:rFonts w:ascii="Verdana" w:hAnsi="Verdana"/>
          <w:sz w:val="20"/>
          <w:szCs w:val="20"/>
          <w:lang w:val="pt-BR"/>
        </w:rPr>
        <w:t xml:space="preserve"> clara e precisa em seu parágraf</w:t>
      </w:r>
      <w:r w:rsidRPr="0011627A">
        <w:rPr>
          <w:rFonts w:ascii="Verdana" w:hAnsi="Verdana"/>
          <w:sz w:val="20"/>
          <w:szCs w:val="20"/>
          <w:lang w:val="pt-BR"/>
        </w:rPr>
        <w:t>o 495</w:t>
      </w:r>
      <w:r w:rsidR="009D5461">
        <w:rPr>
          <w:rFonts w:ascii="Verdana" w:hAnsi="Verdana"/>
          <w:sz w:val="20"/>
          <w:szCs w:val="20"/>
          <w:lang w:val="pt-BR"/>
        </w:rPr>
        <w:t>,</w:t>
      </w:r>
      <w:r w:rsidRPr="0011627A">
        <w:rPr>
          <w:rFonts w:ascii="Verdana" w:hAnsi="Verdana"/>
          <w:sz w:val="20"/>
          <w:szCs w:val="20"/>
          <w:lang w:val="pt-BR"/>
        </w:rPr>
        <w:t xml:space="preserve"> ao determinar que os montantes foram determinados a partir da análise dos antecedentes apresentados. Afirm</w:t>
      </w:r>
      <w:r w:rsidR="00CE71B4">
        <w:rPr>
          <w:rFonts w:ascii="Verdana" w:hAnsi="Verdana"/>
          <w:sz w:val="20"/>
          <w:szCs w:val="20"/>
          <w:lang w:val="pt-BR"/>
        </w:rPr>
        <w:t>a</w:t>
      </w:r>
      <w:r w:rsidR="00B3599C">
        <w:rPr>
          <w:rFonts w:ascii="Verdana" w:hAnsi="Verdana"/>
          <w:sz w:val="20"/>
          <w:szCs w:val="20"/>
          <w:lang w:val="pt-BR"/>
        </w:rPr>
        <w:t>r</w:t>
      </w:r>
      <w:r w:rsidRPr="0011627A">
        <w:rPr>
          <w:rFonts w:ascii="Verdana" w:hAnsi="Verdana"/>
          <w:sz w:val="20"/>
          <w:szCs w:val="20"/>
          <w:lang w:val="pt-BR"/>
        </w:rPr>
        <w:t>am que a Corte fixou o referido valor com base não apenas na prova relativa às custas, mas com toda informação relevante apresentada durante o processo. Assim, o pedido do Estado não se destinaria ao esclarecimento ou elucidação de aspecto relativo à sentença</w:t>
      </w:r>
      <w:r w:rsidR="00B22E90">
        <w:rPr>
          <w:rFonts w:ascii="Verdana" w:hAnsi="Verdana"/>
          <w:sz w:val="20"/>
          <w:szCs w:val="20"/>
          <w:lang w:val="pt-BR"/>
        </w:rPr>
        <w:t>,</w:t>
      </w:r>
      <w:r w:rsidRPr="0011627A">
        <w:rPr>
          <w:rFonts w:ascii="Verdana" w:hAnsi="Verdana"/>
          <w:sz w:val="20"/>
          <w:szCs w:val="20"/>
          <w:lang w:val="pt-BR"/>
        </w:rPr>
        <w:t xml:space="preserve"> mas almejaria modificação do julgado, razão pela qual defendem que o pedido deve ser rejeitado.</w:t>
      </w:r>
      <w:r w:rsidR="00B3599C">
        <w:rPr>
          <w:rFonts w:ascii="Verdana" w:hAnsi="Verdana"/>
          <w:sz w:val="20"/>
          <w:szCs w:val="20"/>
          <w:lang w:val="pt-BR"/>
        </w:rPr>
        <w:t xml:space="preserve"> </w:t>
      </w:r>
    </w:p>
    <w:p w:rsidR="005815D6" w:rsidRPr="0011627A" w:rsidRDefault="005815D6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11627A" w:rsidRDefault="0011627A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11627A">
        <w:rPr>
          <w:rFonts w:ascii="Verdana" w:hAnsi="Verdana"/>
          <w:sz w:val="20"/>
          <w:szCs w:val="20"/>
          <w:lang w:val="pt-BR"/>
        </w:rPr>
        <w:t>Além disso, afirma</w:t>
      </w:r>
      <w:r w:rsidR="00B3599C">
        <w:rPr>
          <w:rFonts w:ascii="Verdana" w:hAnsi="Verdana"/>
          <w:sz w:val="20"/>
          <w:szCs w:val="20"/>
          <w:lang w:val="pt-BR"/>
        </w:rPr>
        <w:t>ra</w:t>
      </w:r>
      <w:r w:rsidRPr="0011627A">
        <w:rPr>
          <w:rFonts w:ascii="Verdana" w:hAnsi="Verdana"/>
          <w:sz w:val="20"/>
          <w:szCs w:val="20"/>
          <w:lang w:val="pt-BR"/>
        </w:rPr>
        <w:t xml:space="preserve">m que a CPT é uma entidade que atua há mais de 40 anos na defesa dos trabalhadores rurais, mas que não possui expertise e prática no litígio internacional, razão pela qual não pôde prever que todos os recibos referentes aos gastos relacionados ao caso seriam necessários para </w:t>
      </w:r>
      <w:r w:rsidR="00841794">
        <w:rPr>
          <w:rFonts w:ascii="Verdana" w:hAnsi="Verdana"/>
          <w:sz w:val="20"/>
          <w:szCs w:val="20"/>
          <w:lang w:val="pt-BR"/>
        </w:rPr>
        <w:t xml:space="preserve">sua </w:t>
      </w:r>
      <w:r w:rsidRPr="0011627A">
        <w:rPr>
          <w:rFonts w:ascii="Verdana" w:hAnsi="Verdana"/>
          <w:sz w:val="20"/>
          <w:szCs w:val="20"/>
          <w:lang w:val="pt-BR"/>
        </w:rPr>
        <w:t xml:space="preserve">comprovação. </w:t>
      </w:r>
      <w:r w:rsidR="00B3599C">
        <w:rPr>
          <w:rFonts w:ascii="Verdana" w:hAnsi="Verdana"/>
          <w:sz w:val="20"/>
          <w:szCs w:val="20"/>
          <w:lang w:val="pt-BR"/>
        </w:rPr>
        <w:t xml:space="preserve">Destacaram, </w:t>
      </w:r>
      <w:r w:rsidRPr="0011627A">
        <w:rPr>
          <w:rFonts w:ascii="Verdana" w:hAnsi="Verdana"/>
          <w:sz w:val="20"/>
          <w:szCs w:val="20"/>
          <w:lang w:val="pt-BR"/>
        </w:rPr>
        <w:t>também</w:t>
      </w:r>
      <w:r w:rsidR="00B3599C">
        <w:rPr>
          <w:rFonts w:ascii="Verdana" w:hAnsi="Verdana"/>
          <w:sz w:val="20"/>
          <w:szCs w:val="20"/>
          <w:lang w:val="pt-BR"/>
        </w:rPr>
        <w:t>,</w:t>
      </w:r>
      <w:r w:rsidRPr="0011627A">
        <w:rPr>
          <w:rFonts w:ascii="Verdana" w:hAnsi="Verdana"/>
          <w:sz w:val="20"/>
          <w:szCs w:val="20"/>
          <w:lang w:val="pt-BR"/>
        </w:rPr>
        <w:t xml:space="preserve"> que restou claro na sentença que a Corte apreciou não apenas a documentação aportada, mas levou em consideração a larga trajetória de acompanhamento da CPT às vítimas.</w:t>
      </w:r>
      <w:r w:rsidR="00B3599C">
        <w:rPr>
          <w:rFonts w:ascii="Verdana" w:hAnsi="Verdana"/>
          <w:sz w:val="20"/>
          <w:szCs w:val="20"/>
          <w:lang w:val="pt-BR"/>
        </w:rPr>
        <w:t xml:space="preserve"> </w:t>
      </w:r>
    </w:p>
    <w:p w:rsidR="00B3599C" w:rsidRPr="00B3599C" w:rsidRDefault="00B3599C" w:rsidP="00B3599C">
      <w:pPr>
        <w:pStyle w:val="Prrafodelista"/>
        <w:rPr>
          <w:rFonts w:ascii="Verdana" w:hAnsi="Verdana"/>
          <w:sz w:val="20"/>
          <w:szCs w:val="20"/>
          <w:lang w:val="pt-BR"/>
        </w:rPr>
      </w:pPr>
    </w:p>
    <w:p w:rsidR="00B3599C" w:rsidRPr="0051410C" w:rsidRDefault="004C6ECA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51410C">
        <w:rPr>
          <w:rFonts w:ascii="Verdana" w:hAnsi="Verdana"/>
          <w:sz w:val="20"/>
          <w:szCs w:val="20"/>
          <w:lang w:val="pt-BR"/>
        </w:rPr>
        <w:lastRenderedPageBreak/>
        <w:t xml:space="preserve">A </w:t>
      </w:r>
      <w:r w:rsidRPr="0051410C">
        <w:rPr>
          <w:rFonts w:ascii="Verdana" w:hAnsi="Verdana"/>
          <w:b/>
          <w:i/>
          <w:sz w:val="20"/>
          <w:szCs w:val="20"/>
          <w:lang w:val="pt-BR"/>
        </w:rPr>
        <w:t>Comissão</w:t>
      </w:r>
      <w:r w:rsidRPr="0051410C">
        <w:rPr>
          <w:rFonts w:ascii="Verdana" w:hAnsi="Verdana"/>
          <w:sz w:val="20"/>
          <w:szCs w:val="20"/>
          <w:lang w:val="pt-BR"/>
        </w:rPr>
        <w:t xml:space="preserve"> consider</w:t>
      </w:r>
      <w:r w:rsidR="0051410C" w:rsidRPr="0051410C">
        <w:rPr>
          <w:rFonts w:ascii="Verdana" w:hAnsi="Verdana"/>
          <w:sz w:val="20"/>
          <w:szCs w:val="20"/>
          <w:lang w:val="pt-BR"/>
        </w:rPr>
        <w:t>ou</w:t>
      </w:r>
      <w:r w:rsidRPr="0051410C">
        <w:rPr>
          <w:rFonts w:ascii="Verdana" w:hAnsi="Verdana"/>
          <w:sz w:val="20"/>
          <w:szCs w:val="20"/>
          <w:lang w:val="pt-BR"/>
        </w:rPr>
        <w:t xml:space="preserve"> que </w:t>
      </w:r>
      <w:r w:rsidR="0051410C" w:rsidRPr="0051410C">
        <w:rPr>
          <w:rFonts w:ascii="Verdana" w:hAnsi="Verdana"/>
          <w:sz w:val="20"/>
          <w:szCs w:val="20"/>
          <w:lang w:val="pt-BR"/>
        </w:rPr>
        <w:t xml:space="preserve">o pedido </w:t>
      </w:r>
      <w:r w:rsidRPr="0051410C">
        <w:rPr>
          <w:rFonts w:ascii="Verdana" w:hAnsi="Verdana"/>
          <w:sz w:val="20"/>
          <w:szCs w:val="20"/>
          <w:lang w:val="pt-BR"/>
        </w:rPr>
        <w:t>do Estad</w:t>
      </w:r>
      <w:r w:rsidR="0051410C">
        <w:rPr>
          <w:rFonts w:ascii="Verdana" w:hAnsi="Verdana"/>
          <w:sz w:val="20"/>
          <w:szCs w:val="20"/>
          <w:lang w:val="pt-BR"/>
        </w:rPr>
        <w:t>o se relaciona com aspectos da S</w:t>
      </w:r>
      <w:r w:rsidRPr="0051410C">
        <w:rPr>
          <w:rFonts w:ascii="Verdana" w:hAnsi="Verdana"/>
          <w:sz w:val="20"/>
          <w:szCs w:val="20"/>
          <w:lang w:val="pt-BR"/>
        </w:rPr>
        <w:t>entença que não justificam um pronunciamento adicional no contexto de uma demanda de interpr</w:t>
      </w:r>
      <w:r w:rsidR="0051410C">
        <w:rPr>
          <w:rFonts w:ascii="Verdana" w:hAnsi="Verdana"/>
          <w:sz w:val="20"/>
          <w:szCs w:val="20"/>
          <w:lang w:val="pt-BR"/>
        </w:rPr>
        <w:t>etação. Nesse sentido, considerou</w:t>
      </w:r>
      <w:r w:rsidRPr="0051410C">
        <w:rPr>
          <w:rFonts w:ascii="Verdana" w:hAnsi="Verdana"/>
          <w:sz w:val="20"/>
          <w:szCs w:val="20"/>
          <w:lang w:val="pt-BR"/>
        </w:rPr>
        <w:t xml:space="preserve"> que as informações solicitadas pelo Estado a respeito das modalidades dos pagamentos à luz de eventuais cenários são aspectos que podem ser analisados e precisados pela Corte no </w:t>
      </w:r>
      <w:r w:rsidR="00841794">
        <w:rPr>
          <w:rFonts w:ascii="Verdana" w:hAnsi="Verdana"/>
          <w:sz w:val="20"/>
          <w:szCs w:val="20"/>
          <w:lang w:val="pt-BR"/>
        </w:rPr>
        <w:t>âmbito</w:t>
      </w:r>
      <w:r w:rsidRPr="0051410C">
        <w:rPr>
          <w:rFonts w:ascii="Verdana" w:hAnsi="Verdana"/>
          <w:sz w:val="20"/>
          <w:szCs w:val="20"/>
          <w:lang w:val="pt-BR"/>
        </w:rPr>
        <w:t xml:space="preserve"> de supervi</w:t>
      </w:r>
      <w:r w:rsidR="00377861">
        <w:rPr>
          <w:rFonts w:ascii="Verdana" w:hAnsi="Verdana"/>
          <w:sz w:val="20"/>
          <w:szCs w:val="20"/>
          <w:lang w:val="pt-BR"/>
        </w:rPr>
        <w:t>são de cumprimento de Sentença.</w:t>
      </w:r>
    </w:p>
    <w:p w:rsidR="00B3599C" w:rsidRDefault="00B3599C" w:rsidP="00B3599C">
      <w:pPr>
        <w:spacing w:after="0" w:line="240" w:lineRule="auto"/>
        <w:jc w:val="both"/>
        <w:rPr>
          <w:rFonts w:ascii="Verdana" w:hAnsi="Verdana"/>
          <w:i/>
          <w:color w:val="FF0000"/>
          <w:sz w:val="20"/>
          <w:szCs w:val="20"/>
          <w:lang w:val="pt-BR"/>
        </w:rPr>
      </w:pPr>
    </w:p>
    <w:p w:rsidR="0011627A" w:rsidRPr="00B3599C" w:rsidRDefault="0011627A" w:rsidP="00B3599C">
      <w:pPr>
        <w:pStyle w:val="Ttulo2"/>
      </w:pPr>
      <w:r w:rsidRPr="00B3599C">
        <w:t>Considerações da Corte</w:t>
      </w:r>
    </w:p>
    <w:p w:rsidR="00B3599C" w:rsidRDefault="00B3599C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11627A" w:rsidRDefault="0011627A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11627A">
        <w:rPr>
          <w:rFonts w:ascii="Verdana" w:hAnsi="Verdana"/>
          <w:sz w:val="20"/>
          <w:szCs w:val="20"/>
          <w:lang w:val="pt-BR"/>
        </w:rPr>
        <w:t>A Corte reitera que a determinação das custas e gastos</w:t>
      </w:r>
      <w:r w:rsidR="007033CD">
        <w:rPr>
          <w:rFonts w:ascii="Verdana" w:hAnsi="Verdana"/>
          <w:sz w:val="20"/>
          <w:szCs w:val="20"/>
          <w:lang w:val="pt-BR"/>
        </w:rPr>
        <w:t xml:space="preserve"> foi realizada </w:t>
      </w:r>
      <w:r w:rsidRPr="0011627A">
        <w:rPr>
          <w:rFonts w:ascii="Verdana" w:hAnsi="Verdana"/>
          <w:sz w:val="20"/>
          <w:szCs w:val="20"/>
          <w:lang w:val="pt-BR"/>
        </w:rPr>
        <w:t xml:space="preserve">com base nas provas apresentadas durante o processo, à luz da Convenção Americana e dos princípios que a embasam. A Corte estabeleceu </w:t>
      </w:r>
      <w:r w:rsidR="004F30FD">
        <w:rPr>
          <w:rFonts w:ascii="Verdana" w:hAnsi="Verdana"/>
          <w:sz w:val="20"/>
          <w:szCs w:val="20"/>
          <w:lang w:val="pt-BR"/>
        </w:rPr>
        <w:t xml:space="preserve">nos </w:t>
      </w:r>
      <w:r w:rsidRPr="0011627A">
        <w:rPr>
          <w:rFonts w:ascii="Verdana" w:hAnsi="Verdana"/>
          <w:sz w:val="20"/>
          <w:szCs w:val="20"/>
          <w:lang w:val="pt-BR"/>
        </w:rPr>
        <w:t>parágrafos 494 e 495</w:t>
      </w:r>
      <w:r w:rsidR="004F30FD">
        <w:rPr>
          <w:rFonts w:ascii="Verdana" w:hAnsi="Verdana"/>
          <w:sz w:val="20"/>
          <w:szCs w:val="20"/>
          <w:lang w:val="pt-BR"/>
        </w:rPr>
        <w:t xml:space="preserve"> da Sentença</w:t>
      </w:r>
      <w:r w:rsidRPr="0011627A">
        <w:rPr>
          <w:rFonts w:ascii="Verdana" w:hAnsi="Verdana"/>
          <w:sz w:val="20"/>
          <w:szCs w:val="20"/>
          <w:lang w:val="pt-BR"/>
        </w:rPr>
        <w:t>:</w:t>
      </w:r>
    </w:p>
    <w:p w:rsidR="0011627A" w:rsidRDefault="0011627A" w:rsidP="00B3599C">
      <w:pPr>
        <w:pStyle w:val="Prrafodelista"/>
        <w:spacing w:after="0" w:line="240" w:lineRule="auto"/>
        <w:ind w:left="576"/>
        <w:contextualSpacing w:val="0"/>
        <w:jc w:val="both"/>
        <w:rPr>
          <w:rFonts w:ascii="Verdana" w:hAnsi="Verdana"/>
          <w:sz w:val="16"/>
          <w:szCs w:val="16"/>
          <w:lang w:val="pt-BR"/>
        </w:rPr>
      </w:pPr>
    </w:p>
    <w:p w:rsidR="0011627A" w:rsidRPr="00B3599C" w:rsidRDefault="0011627A" w:rsidP="00B3599C">
      <w:pPr>
        <w:pStyle w:val="Prrafodelista"/>
        <w:spacing w:after="0" w:line="240" w:lineRule="auto"/>
        <w:ind w:right="576"/>
        <w:contextualSpacing w:val="0"/>
        <w:jc w:val="both"/>
        <w:rPr>
          <w:rFonts w:ascii="Verdana" w:hAnsi="Verdana"/>
          <w:sz w:val="18"/>
          <w:szCs w:val="18"/>
          <w:lang w:val="pt-BR"/>
        </w:rPr>
      </w:pPr>
      <w:r w:rsidRPr="00B3599C">
        <w:rPr>
          <w:rFonts w:ascii="Verdana" w:hAnsi="Verdana"/>
          <w:sz w:val="18"/>
          <w:szCs w:val="18"/>
          <w:lang w:val="pt-BR"/>
        </w:rPr>
        <w:t xml:space="preserve">494. </w:t>
      </w:r>
      <w:r w:rsidR="001146D5" w:rsidRPr="001146D5">
        <w:rPr>
          <w:rFonts w:ascii="Verdana" w:hAnsi="Verdana"/>
          <w:sz w:val="18"/>
          <w:szCs w:val="18"/>
          <w:lang w:val="pt-BR"/>
        </w:rPr>
        <w:t>A Corte reitera que, em conformidade com sua jurisprudência, as custas e gastos fazem parte do conceito de reparação, toda vez que as atividades realizadas pelas vítimas com o fim de obter justiça, tanto no âmbito nacional como internacional, implicam em gastos que devem ser compensados quando a responsabilidade internacional do Estado é declarada mediante uma sentença condenatória. Quanto ao reembolso de gastos, corresponde à Corte apreciar prudentemente o seu alcance, o qual compreende os gastos gerados perante as autoridades da jurisdição interna e durante o curso do processo perante o Sistema Interamericano, levando em consideração as circunstâncias do caso concreto e a natureza da jurisdição internacional de proteção dos direitos humanos. Esta apreciação pode ser realizada com base no princípio de equidade e tendo em vista os gastos indicados pelas partes, sempre que seu quantum seja razoável</w:t>
      </w:r>
      <w:r w:rsidRPr="00B3599C">
        <w:rPr>
          <w:rFonts w:ascii="Verdana" w:hAnsi="Verdana"/>
          <w:sz w:val="18"/>
          <w:szCs w:val="18"/>
          <w:lang w:val="pt-BR"/>
        </w:rPr>
        <w:t>.</w:t>
      </w:r>
      <w:r w:rsidR="001146D5">
        <w:rPr>
          <w:rFonts w:ascii="Verdana" w:hAnsi="Verdana"/>
          <w:sz w:val="18"/>
          <w:szCs w:val="18"/>
          <w:lang w:val="pt-BR"/>
        </w:rPr>
        <w:t>[...]</w:t>
      </w:r>
      <w:r w:rsidRPr="00B3599C">
        <w:rPr>
          <w:rFonts w:ascii="Verdana" w:hAnsi="Verdana"/>
          <w:sz w:val="18"/>
          <w:szCs w:val="18"/>
          <w:lang w:val="pt-BR"/>
        </w:rPr>
        <w:t xml:space="preserve"> </w:t>
      </w:r>
      <w:r w:rsidR="001146D5" w:rsidRPr="001146D5">
        <w:rPr>
          <w:rFonts w:ascii="Verdana" w:hAnsi="Verdana"/>
          <w:sz w:val="18"/>
          <w:szCs w:val="18"/>
          <w:lang w:val="pt-BR"/>
        </w:rPr>
        <w:t>Como indicou em outras ocasiões, a Corte recorda que não é suficiente o envio de documentos probatórios, mas requer-se das partes uma argumentação que relacione a prova ao fato que se considera representado e que, no caso de alegados desembolsos econômicos, sejam estabelecidas com clareza as quantias e a justificação dos mesmos</w:t>
      </w:r>
      <w:r w:rsidRPr="00B3599C">
        <w:rPr>
          <w:rFonts w:ascii="Verdana" w:hAnsi="Verdana"/>
          <w:sz w:val="18"/>
          <w:szCs w:val="18"/>
          <w:lang w:val="pt-BR"/>
        </w:rPr>
        <w:t>.</w:t>
      </w:r>
    </w:p>
    <w:p w:rsidR="0011627A" w:rsidRPr="00B3599C" w:rsidRDefault="0011627A" w:rsidP="00B3599C">
      <w:pPr>
        <w:pStyle w:val="Prrafodelista"/>
        <w:spacing w:after="0" w:line="240" w:lineRule="auto"/>
        <w:ind w:right="576"/>
        <w:contextualSpacing w:val="0"/>
        <w:jc w:val="both"/>
        <w:rPr>
          <w:rFonts w:ascii="Verdana" w:hAnsi="Verdana"/>
          <w:sz w:val="18"/>
          <w:szCs w:val="18"/>
          <w:lang w:val="pt-BR"/>
        </w:rPr>
      </w:pPr>
    </w:p>
    <w:p w:rsidR="0011627A" w:rsidRPr="00B3599C" w:rsidRDefault="0011627A" w:rsidP="00B3599C">
      <w:pPr>
        <w:pStyle w:val="Prrafodelista"/>
        <w:spacing w:after="0" w:line="240" w:lineRule="auto"/>
        <w:ind w:right="576"/>
        <w:contextualSpacing w:val="0"/>
        <w:jc w:val="both"/>
        <w:rPr>
          <w:rFonts w:ascii="Verdana" w:hAnsi="Verdana"/>
          <w:sz w:val="18"/>
          <w:szCs w:val="18"/>
          <w:lang w:val="pt-BR"/>
        </w:rPr>
      </w:pPr>
      <w:r w:rsidRPr="00B3599C">
        <w:rPr>
          <w:rFonts w:ascii="Verdana" w:hAnsi="Verdana"/>
          <w:sz w:val="18"/>
          <w:szCs w:val="18"/>
          <w:lang w:val="pt-BR"/>
        </w:rPr>
        <w:t xml:space="preserve">495. </w:t>
      </w:r>
      <w:r w:rsidR="001146D5" w:rsidRPr="001146D5">
        <w:rPr>
          <w:rFonts w:ascii="Verdana" w:hAnsi="Verdana"/>
          <w:sz w:val="18"/>
          <w:szCs w:val="18"/>
          <w:lang w:val="pt-BR"/>
        </w:rPr>
        <w:t>A partir da análise dos antecedentes apresentados, a Corte conclui que alguns montantes solicitados se encontram justificados e comprovados. Em consequência, a Corte determina, em equidade, que o Estado deve pagar a soma de US$5.000,00 (cinco mil dólares dos Estados Unidos da América) à CPT e US$50.000,00 (cinquenta mil dólares dos Estados Unidos da América) ao CEJIL</w:t>
      </w:r>
      <w:r w:rsidRPr="00B3599C">
        <w:rPr>
          <w:rFonts w:ascii="Verdana" w:hAnsi="Verdana"/>
          <w:sz w:val="18"/>
          <w:szCs w:val="18"/>
          <w:lang w:val="pt-BR"/>
        </w:rPr>
        <w:t>.</w:t>
      </w:r>
    </w:p>
    <w:p w:rsidR="0011627A" w:rsidRPr="0011627A" w:rsidRDefault="0011627A" w:rsidP="00B3599C">
      <w:pPr>
        <w:widowControl w:val="0"/>
        <w:spacing w:after="0" w:line="240" w:lineRule="auto"/>
        <w:jc w:val="both"/>
        <w:rPr>
          <w:rFonts w:ascii="Verdana" w:hAnsi="Verdana"/>
          <w:b/>
          <w:smallCaps/>
          <w:sz w:val="20"/>
          <w:szCs w:val="20"/>
          <w:lang w:val="pt-BR"/>
        </w:rPr>
      </w:pPr>
    </w:p>
    <w:p w:rsidR="00E92A4B" w:rsidRDefault="001146D5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>
        <w:rPr>
          <w:rFonts w:ascii="Verdana" w:hAnsi="Verdana"/>
          <w:sz w:val="20"/>
          <w:szCs w:val="20"/>
          <w:lang w:val="pt-BR"/>
        </w:rPr>
        <w:t xml:space="preserve">Em seu pedido de interpretação, o </w:t>
      </w:r>
      <w:r w:rsidR="0011627A" w:rsidRPr="0011627A">
        <w:rPr>
          <w:rFonts w:ascii="Verdana" w:hAnsi="Verdana"/>
          <w:sz w:val="20"/>
          <w:szCs w:val="20"/>
          <w:lang w:val="pt-BR"/>
        </w:rPr>
        <w:t xml:space="preserve">Estado apresentou um questionamento </w:t>
      </w:r>
      <w:r>
        <w:rPr>
          <w:rFonts w:ascii="Verdana" w:hAnsi="Verdana"/>
          <w:sz w:val="20"/>
          <w:szCs w:val="20"/>
          <w:lang w:val="pt-BR"/>
        </w:rPr>
        <w:t xml:space="preserve">sobre </w:t>
      </w:r>
      <w:r w:rsidR="0011627A" w:rsidRPr="0011627A">
        <w:rPr>
          <w:rFonts w:ascii="Verdana" w:hAnsi="Verdana"/>
          <w:sz w:val="20"/>
          <w:szCs w:val="20"/>
          <w:lang w:val="pt-BR"/>
        </w:rPr>
        <w:t xml:space="preserve">os critérios utilizados por este Tribunal ao ordenar os montantes devidos na Sentença. Trata-se de um </w:t>
      </w:r>
      <w:r w:rsidR="0051410C">
        <w:rPr>
          <w:rFonts w:ascii="Verdana" w:hAnsi="Verdana"/>
          <w:sz w:val="20"/>
          <w:szCs w:val="20"/>
          <w:lang w:val="pt-BR"/>
        </w:rPr>
        <w:t xml:space="preserve">desacordo com a quantia fixada para </w:t>
      </w:r>
      <w:r w:rsidR="0011627A" w:rsidRPr="0011627A">
        <w:rPr>
          <w:rFonts w:ascii="Verdana" w:hAnsi="Verdana"/>
          <w:sz w:val="20"/>
          <w:szCs w:val="20"/>
          <w:lang w:val="pt-BR"/>
        </w:rPr>
        <w:t xml:space="preserve">o pagamento da CPT. No entanto, a Corte considera que os parágrafos transcritos se referem com clareza aos critérios usados para a determinação de custas e gastos, com base nas provas </w:t>
      </w:r>
      <w:r>
        <w:rPr>
          <w:rFonts w:ascii="Verdana" w:hAnsi="Verdana"/>
          <w:sz w:val="20"/>
          <w:szCs w:val="20"/>
          <w:lang w:val="pt-BR"/>
        </w:rPr>
        <w:t xml:space="preserve">indicadas </w:t>
      </w:r>
      <w:r w:rsidR="0011627A" w:rsidRPr="0011627A">
        <w:rPr>
          <w:rFonts w:ascii="Verdana" w:hAnsi="Verdana"/>
          <w:sz w:val="20"/>
          <w:szCs w:val="20"/>
          <w:lang w:val="pt-BR"/>
        </w:rPr>
        <w:t>pelos representantes, na equidade e razoabilidade. É jurisprudência</w:t>
      </w:r>
      <w:r w:rsidR="00F3565E">
        <w:rPr>
          <w:rFonts w:ascii="Verdana" w:hAnsi="Verdana"/>
          <w:sz w:val="20"/>
          <w:szCs w:val="20"/>
          <w:lang w:val="pt-BR"/>
        </w:rPr>
        <w:t xml:space="preserve"> reiterada</w:t>
      </w:r>
      <w:r w:rsidR="0011627A" w:rsidRPr="0011627A">
        <w:rPr>
          <w:rFonts w:ascii="Verdana" w:hAnsi="Verdana"/>
          <w:sz w:val="20"/>
          <w:szCs w:val="20"/>
          <w:lang w:val="pt-BR"/>
        </w:rPr>
        <w:t xml:space="preserve"> des</w:t>
      </w:r>
      <w:r w:rsidR="00F3565E">
        <w:rPr>
          <w:rFonts w:ascii="Verdana" w:hAnsi="Verdana"/>
          <w:sz w:val="20"/>
          <w:szCs w:val="20"/>
          <w:lang w:val="pt-BR"/>
        </w:rPr>
        <w:t>t</w:t>
      </w:r>
      <w:r w:rsidR="0011627A" w:rsidRPr="0011627A">
        <w:rPr>
          <w:rFonts w:ascii="Verdana" w:hAnsi="Verdana"/>
          <w:sz w:val="20"/>
          <w:szCs w:val="20"/>
          <w:lang w:val="pt-BR"/>
        </w:rPr>
        <w:t>e Tribunal a fixação de custas e gastos dessa maneira</w:t>
      </w:r>
      <w:r w:rsidR="00B3599C">
        <w:rPr>
          <w:rFonts w:ascii="Verdana" w:hAnsi="Verdana"/>
          <w:sz w:val="20"/>
          <w:szCs w:val="20"/>
          <w:lang w:val="pt-BR"/>
        </w:rPr>
        <w:t>.</w:t>
      </w:r>
      <w:r w:rsidR="0011627A">
        <w:rPr>
          <w:rStyle w:val="Refdenotaalpie"/>
          <w:sz w:val="20"/>
          <w:szCs w:val="20"/>
          <w:lang w:val="pt-BR"/>
        </w:rPr>
        <w:footnoteReference w:id="9"/>
      </w:r>
      <w:r w:rsidR="0011627A" w:rsidRPr="0011627A">
        <w:rPr>
          <w:rFonts w:ascii="Verdana" w:hAnsi="Verdana"/>
          <w:sz w:val="20"/>
          <w:szCs w:val="20"/>
          <w:lang w:val="pt-BR"/>
        </w:rPr>
        <w:t xml:space="preserve"> </w:t>
      </w:r>
    </w:p>
    <w:p w:rsidR="00E92A4B" w:rsidRDefault="00E92A4B" w:rsidP="00C12B1B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DE08D8" w:rsidRDefault="0011627A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11627A">
        <w:rPr>
          <w:rFonts w:ascii="Verdana" w:hAnsi="Verdana"/>
          <w:sz w:val="20"/>
          <w:szCs w:val="20"/>
          <w:lang w:val="pt-BR"/>
        </w:rPr>
        <w:t>Por essa razão, o Trib</w:t>
      </w:r>
      <w:r w:rsidR="00841794">
        <w:rPr>
          <w:rFonts w:ascii="Verdana" w:hAnsi="Verdana"/>
          <w:sz w:val="20"/>
          <w:szCs w:val="20"/>
          <w:lang w:val="pt-BR"/>
        </w:rPr>
        <w:t xml:space="preserve">unal fixou de maneira autônoma o valor </w:t>
      </w:r>
      <w:r w:rsidRPr="0011627A">
        <w:rPr>
          <w:rFonts w:ascii="Verdana" w:hAnsi="Verdana"/>
          <w:sz w:val="20"/>
          <w:szCs w:val="20"/>
          <w:lang w:val="pt-BR"/>
        </w:rPr>
        <w:t>correspondent</w:t>
      </w:r>
      <w:r w:rsidR="00841794">
        <w:rPr>
          <w:rFonts w:ascii="Verdana" w:hAnsi="Verdana"/>
          <w:sz w:val="20"/>
          <w:szCs w:val="20"/>
          <w:lang w:val="pt-BR"/>
        </w:rPr>
        <w:t>e a ser pago</w:t>
      </w:r>
      <w:r w:rsidR="00B3599C">
        <w:rPr>
          <w:rFonts w:ascii="Verdana" w:hAnsi="Verdana"/>
          <w:sz w:val="20"/>
          <w:szCs w:val="20"/>
          <w:lang w:val="pt-BR"/>
        </w:rPr>
        <w:t xml:space="preserve"> aos representantes</w:t>
      </w:r>
      <w:r w:rsidRPr="0011627A">
        <w:rPr>
          <w:rFonts w:ascii="Verdana" w:hAnsi="Verdana"/>
          <w:sz w:val="20"/>
          <w:szCs w:val="20"/>
          <w:lang w:val="pt-BR"/>
        </w:rPr>
        <w:t xml:space="preserve"> e</w:t>
      </w:r>
      <w:r w:rsidR="00B3599C">
        <w:rPr>
          <w:rFonts w:ascii="Verdana" w:hAnsi="Verdana"/>
          <w:sz w:val="20"/>
          <w:szCs w:val="20"/>
          <w:lang w:val="pt-BR"/>
        </w:rPr>
        <w:t>,</w:t>
      </w:r>
      <w:r w:rsidRPr="0011627A">
        <w:rPr>
          <w:rFonts w:ascii="Verdana" w:hAnsi="Verdana"/>
          <w:sz w:val="20"/>
          <w:szCs w:val="20"/>
          <w:lang w:val="pt-BR"/>
        </w:rPr>
        <w:t xml:space="preserve"> portanto</w:t>
      </w:r>
      <w:r w:rsidR="00B3599C">
        <w:rPr>
          <w:rFonts w:ascii="Verdana" w:hAnsi="Verdana"/>
          <w:sz w:val="20"/>
          <w:szCs w:val="20"/>
          <w:lang w:val="pt-BR"/>
        </w:rPr>
        <w:t>,</w:t>
      </w:r>
      <w:r w:rsidRPr="0011627A">
        <w:rPr>
          <w:rFonts w:ascii="Verdana" w:hAnsi="Verdana"/>
          <w:sz w:val="20"/>
          <w:szCs w:val="20"/>
          <w:lang w:val="pt-BR"/>
        </w:rPr>
        <w:t xml:space="preserve"> não considera que esclarecimentos adicionais sejam adequados ou necessários</w:t>
      </w:r>
      <w:r w:rsidR="00C12B1B">
        <w:rPr>
          <w:rFonts w:ascii="Verdana" w:hAnsi="Verdana"/>
          <w:sz w:val="20"/>
          <w:szCs w:val="20"/>
          <w:lang w:val="pt-BR"/>
        </w:rPr>
        <w:t xml:space="preserve"> e rejeita este pedido de interpretação. </w:t>
      </w:r>
    </w:p>
    <w:p w:rsidR="005815D6" w:rsidRPr="00DE08D8" w:rsidRDefault="005815D6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11627A" w:rsidRDefault="0011627A" w:rsidP="00B3599C">
      <w:pPr>
        <w:pStyle w:val="Prrafodelista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Verdana" w:hAnsi="Verdana"/>
          <w:b/>
          <w:smallCaps/>
          <w:sz w:val="20"/>
          <w:szCs w:val="20"/>
          <w:lang w:val="pt-BR"/>
        </w:rPr>
      </w:pPr>
      <w:r w:rsidRPr="0011627A">
        <w:rPr>
          <w:rFonts w:ascii="Verdana" w:hAnsi="Verdana"/>
          <w:b/>
          <w:smallCaps/>
          <w:sz w:val="20"/>
          <w:szCs w:val="20"/>
          <w:lang w:val="pt-BR"/>
        </w:rPr>
        <w:t>MODALIDADE DE CUMPRIMENTO DOS PAGAMENTOS ORDENADOS</w:t>
      </w:r>
    </w:p>
    <w:p w:rsidR="005815D6" w:rsidRDefault="005815D6" w:rsidP="00B3599C">
      <w:pPr>
        <w:pStyle w:val="Prrafodelista"/>
        <w:widowControl w:val="0"/>
        <w:spacing w:after="0" w:line="240" w:lineRule="auto"/>
        <w:contextualSpacing w:val="0"/>
        <w:jc w:val="both"/>
        <w:rPr>
          <w:rFonts w:ascii="Verdana" w:hAnsi="Verdana"/>
          <w:b/>
          <w:smallCaps/>
          <w:sz w:val="20"/>
          <w:szCs w:val="20"/>
          <w:lang w:val="pt-BR"/>
        </w:rPr>
      </w:pPr>
    </w:p>
    <w:p w:rsidR="0011627A" w:rsidRPr="005161EC" w:rsidRDefault="0011627A" w:rsidP="00B3599C">
      <w:pPr>
        <w:widowControl w:val="0"/>
        <w:spacing w:after="0" w:line="240" w:lineRule="auto"/>
        <w:ind w:left="720"/>
        <w:jc w:val="both"/>
        <w:rPr>
          <w:rFonts w:ascii="Verdana Bold" w:hAnsi="Verdana Bold"/>
          <w:b/>
          <w:sz w:val="20"/>
          <w:szCs w:val="20"/>
          <w:lang w:val="pt-BR"/>
        </w:rPr>
      </w:pPr>
      <w:r w:rsidRPr="005161EC">
        <w:rPr>
          <w:rFonts w:ascii="Verdana" w:hAnsi="Verdana"/>
          <w:b/>
          <w:sz w:val="20"/>
          <w:szCs w:val="20"/>
          <w:lang w:val="pt-BR"/>
        </w:rPr>
        <w:t xml:space="preserve">B.1. </w:t>
      </w:r>
      <w:r w:rsidRPr="005161EC">
        <w:rPr>
          <w:rFonts w:ascii="Verdana Bold" w:hAnsi="Verdana Bold"/>
          <w:b/>
          <w:sz w:val="20"/>
          <w:szCs w:val="20"/>
          <w:lang w:val="pt-BR"/>
        </w:rPr>
        <w:t>Sobre o prazo</w:t>
      </w:r>
    </w:p>
    <w:p w:rsidR="0011627A" w:rsidRDefault="0011627A" w:rsidP="00B3599C">
      <w:pPr>
        <w:widowControl w:val="0"/>
        <w:spacing w:after="0" w:line="240" w:lineRule="auto"/>
        <w:jc w:val="both"/>
        <w:rPr>
          <w:rFonts w:ascii="Verdana" w:hAnsi="Verdana"/>
          <w:b/>
          <w:smallCaps/>
          <w:sz w:val="20"/>
          <w:szCs w:val="20"/>
          <w:lang w:val="pt-BR"/>
        </w:rPr>
      </w:pPr>
    </w:p>
    <w:p w:rsidR="00CC7CC3" w:rsidRPr="00535FC6" w:rsidRDefault="00CC7CC3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535FC6">
        <w:rPr>
          <w:rFonts w:ascii="Verdana" w:hAnsi="Verdana"/>
          <w:sz w:val="20"/>
          <w:szCs w:val="20"/>
          <w:lang w:val="pt-BR"/>
        </w:rPr>
        <w:lastRenderedPageBreak/>
        <w:t>No parágrafo 496 da sentença, a Corte indicou que o Estado deverá realizar o pagamento das indenizações a título de dano imaterial e por restituição de custas e gastos estabelecidos diretamente às pessoas e organizações indicadas, dentro do prazo de um ano, contado a partir da notificação da sentença.</w:t>
      </w:r>
    </w:p>
    <w:p w:rsidR="00CC7CC3" w:rsidRPr="00535FC6" w:rsidRDefault="00CC7CC3" w:rsidP="00CC7CC3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:rsidR="008B0E24" w:rsidRPr="00535FC6" w:rsidRDefault="00CC7CC3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535FC6">
        <w:rPr>
          <w:rFonts w:ascii="Verdana" w:hAnsi="Verdana"/>
          <w:sz w:val="20"/>
          <w:szCs w:val="20"/>
          <w:lang w:val="pt-BR"/>
        </w:rPr>
        <w:t xml:space="preserve">O </w:t>
      </w:r>
      <w:r w:rsidRPr="00535FC6">
        <w:rPr>
          <w:rFonts w:ascii="Verdana" w:hAnsi="Verdana"/>
          <w:b/>
          <w:i/>
          <w:sz w:val="20"/>
          <w:szCs w:val="20"/>
          <w:lang w:val="pt-BR"/>
        </w:rPr>
        <w:t>Estado</w:t>
      </w:r>
      <w:r w:rsidRPr="00535FC6">
        <w:rPr>
          <w:rFonts w:ascii="Verdana" w:hAnsi="Verdana"/>
          <w:sz w:val="20"/>
          <w:szCs w:val="20"/>
          <w:lang w:val="pt-BR"/>
        </w:rPr>
        <w:t xml:space="preserve"> afirmou que “as dificuldades </w:t>
      </w:r>
      <w:r w:rsidR="008B0E24" w:rsidRPr="00535FC6">
        <w:rPr>
          <w:rFonts w:ascii="Verdana" w:hAnsi="Verdana"/>
          <w:sz w:val="20"/>
          <w:szCs w:val="20"/>
          <w:lang w:val="pt-BR"/>
        </w:rPr>
        <w:t>em identificar e localizar os beneficiários das indenizações podem gerar empecilhos ao cumprimento da obrigação no prazo assinalado”</w:t>
      </w:r>
      <w:r w:rsidR="00535FC6" w:rsidRPr="00535FC6">
        <w:rPr>
          <w:rFonts w:ascii="Verdana" w:hAnsi="Verdana"/>
          <w:sz w:val="20"/>
          <w:szCs w:val="20"/>
          <w:lang w:val="pt-BR"/>
        </w:rPr>
        <w:t>. Solicitou</w:t>
      </w:r>
      <w:r w:rsidR="008B0E24" w:rsidRPr="00535FC6">
        <w:rPr>
          <w:rFonts w:ascii="Verdana" w:hAnsi="Verdana"/>
          <w:sz w:val="20"/>
          <w:szCs w:val="20"/>
          <w:lang w:val="pt-BR"/>
        </w:rPr>
        <w:t xml:space="preserve">, assim, o esclarecimento de que esse prazo se refere às hipóteses de beneficiários vivos e cujos dados de contato foi possível obter, seja por meio dos representantes, seja por meio de iniciativas do Estado. </w:t>
      </w:r>
    </w:p>
    <w:p w:rsidR="008B0E24" w:rsidRPr="00535FC6" w:rsidRDefault="008B0E24" w:rsidP="008B0E24">
      <w:pPr>
        <w:pStyle w:val="Prrafodelista"/>
        <w:rPr>
          <w:rFonts w:ascii="Verdana" w:hAnsi="Verdana"/>
          <w:sz w:val="20"/>
          <w:szCs w:val="20"/>
          <w:lang w:val="pt-BR"/>
        </w:rPr>
      </w:pPr>
    </w:p>
    <w:p w:rsidR="008B0E24" w:rsidRPr="00535FC6" w:rsidRDefault="0011627A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535FC6">
        <w:rPr>
          <w:rFonts w:ascii="Verdana" w:hAnsi="Verdana"/>
          <w:sz w:val="20"/>
          <w:szCs w:val="20"/>
          <w:lang w:val="pt-BR"/>
        </w:rPr>
        <w:t>A</w:t>
      </w:r>
      <w:r w:rsidR="00535FC6" w:rsidRPr="00535FC6">
        <w:rPr>
          <w:rFonts w:ascii="Verdana" w:hAnsi="Verdana"/>
          <w:sz w:val="20"/>
          <w:szCs w:val="20"/>
          <w:lang w:val="pt-BR"/>
        </w:rPr>
        <w:t>lém disso, no parágrafo 497 da S</w:t>
      </w:r>
      <w:r w:rsidRPr="00535FC6">
        <w:rPr>
          <w:rFonts w:ascii="Verdana" w:hAnsi="Verdana"/>
          <w:sz w:val="20"/>
          <w:szCs w:val="20"/>
          <w:lang w:val="pt-BR"/>
        </w:rPr>
        <w:t xml:space="preserve">entença consta que, caso algum dos beneficiários tenha falecido ou venha a falecer antes de que sejam pagas as respectivas indenizações, estas serão feitas diretamente aos herdeiros, “conforme o direito interno aplicável”. </w:t>
      </w:r>
    </w:p>
    <w:p w:rsidR="008B0E24" w:rsidRPr="00535FC6" w:rsidRDefault="008B0E24" w:rsidP="008B0E24">
      <w:pPr>
        <w:pStyle w:val="Prrafodelista"/>
        <w:rPr>
          <w:rFonts w:ascii="Verdana" w:hAnsi="Verdana"/>
          <w:sz w:val="20"/>
          <w:szCs w:val="20"/>
          <w:lang w:val="pt-BR"/>
        </w:rPr>
      </w:pPr>
    </w:p>
    <w:p w:rsidR="008B0E24" w:rsidRPr="00535FC6" w:rsidRDefault="0011627A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535FC6">
        <w:rPr>
          <w:rFonts w:ascii="Verdana" w:hAnsi="Verdana"/>
          <w:sz w:val="20"/>
          <w:szCs w:val="20"/>
          <w:lang w:val="pt-BR"/>
        </w:rPr>
        <w:t xml:space="preserve">Para o Estado, a expressão entre aspas exclui a aplicação do prazo de um ano, uma vez que </w:t>
      </w:r>
      <w:r w:rsidR="008B0E24" w:rsidRPr="00535FC6">
        <w:rPr>
          <w:rFonts w:ascii="Verdana" w:hAnsi="Verdana"/>
          <w:sz w:val="20"/>
          <w:szCs w:val="20"/>
          <w:lang w:val="pt-BR"/>
        </w:rPr>
        <w:t>“</w:t>
      </w:r>
      <w:r w:rsidRPr="00535FC6">
        <w:rPr>
          <w:rFonts w:ascii="Verdana" w:hAnsi="Verdana"/>
          <w:sz w:val="20"/>
          <w:szCs w:val="20"/>
          <w:lang w:val="pt-BR"/>
        </w:rPr>
        <w:t>os procedimentos necessários para análise da vocação hereditária e definição de quotas-parte, conforme o direito interno, podem demandar tempo superior</w:t>
      </w:r>
      <w:r w:rsidR="008B0E24" w:rsidRPr="00535FC6">
        <w:rPr>
          <w:rFonts w:ascii="Verdana" w:hAnsi="Verdana"/>
          <w:sz w:val="20"/>
          <w:szCs w:val="20"/>
          <w:lang w:val="pt-BR"/>
        </w:rPr>
        <w:t xml:space="preserve"> ao prazo de um ano indicado”</w:t>
      </w:r>
      <w:r w:rsidR="00CB1636" w:rsidRPr="00535FC6">
        <w:rPr>
          <w:rFonts w:ascii="Verdana" w:hAnsi="Verdana"/>
          <w:sz w:val="20"/>
          <w:szCs w:val="20"/>
          <w:lang w:val="pt-BR"/>
        </w:rPr>
        <w:t>.</w:t>
      </w:r>
      <w:r w:rsidR="008B0E24" w:rsidRPr="00535FC6">
        <w:rPr>
          <w:rFonts w:ascii="Verdana" w:hAnsi="Verdana"/>
          <w:sz w:val="20"/>
          <w:szCs w:val="20"/>
          <w:lang w:val="pt-BR"/>
        </w:rPr>
        <w:t xml:space="preserve"> Ademais, o Estado ressaltou que “em alguns casos a própria identificação dos possíveis herdeiros e a obtenção de seus dados pode demandar tempo que torne inviável o cumprimento da obrigação no mesmo prazo indicado no parágrafo 496”</w:t>
      </w:r>
      <w:r w:rsidR="00185C5F" w:rsidRPr="00535FC6">
        <w:rPr>
          <w:rFonts w:ascii="Verdana" w:hAnsi="Verdana"/>
          <w:sz w:val="20"/>
          <w:szCs w:val="20"/>
          <w:lang w:val="pt-BR"/>
        </w:rPr>
        <w:t>.</w:t>
      </w:r>
      <w:r w:rsidR="008B0E24" w:rsidRPr="00535FC6">
        <w:rPr>
          <w:rFonts w:ascii="Verdana" w:hAnsi="Verdana"/>
          <w:sz w:val="20"/>
          <w:szCs w:val="20"/>
          <w:lang w:val="pt-BR"/>
        </w:rPr>
        <w:t xml:space="preserve"> </w:t>
      </w:r>
    </w:p>
    <w:p w:rsidR="008B0E24" w:rsidRPr="00535FC6" w:rsidRDefault="008B0E24" w:rsidP="008B0E24">
      <w:pPr>
        <w:pStyle w:val="Prrafodelista"/>
        <w:rPr>
          <w:rFonts w:ascii="Verdana" w:hAnsi="Verdana"/>
          <w:sz w:val="20"/>
          <w:szCs w:val="20"/>
          <w:lang w:val="pt-BR"/>
        </w:rPr>
      </w:pPr>
    </w:p>
    <w:p w:rsidR="0011627A" w:rsidRPr="00535FC6" w:rsidRDefault="00CB1636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535FC6">
        <w:rPr>
          <w:rFonts w:ascii="Verdana" w:hAnsi="Verdana"/>
          <w:sz w:val="20"/>
          <w:szCs w:val="20"/>
          <w:lang w:val="pt-BR"/>
        </w:rPr>
        <w:t>O Estado solicitou</w:t>
      </w:r>
      <w:r w:rsidR="008B0E24" w:rsidRPr="00535FC6">
        <w:rPr>
          <w:rFonts w:ascii="Verdana" w:hAnsi="Verdana"/>
          <w:sz w:val="20"/>
          <w:szCs w:val="20"/>
          <w:lang w:val="pt-BR"/>
        </w:rPr>
        <w:t>, então,</w:t>
      </w:r>
      <w:r w:rsidR="0011627A" w:rsidRPr="00535FC6">
        <w:rPr>
          <w:rFonts w:ascii="Verdana" w:hAnsi="Verdana"/>
          <w:sz w:val="20"/>
          <w:szCs w:val="20"/>
          <w:lang w:val="pt-BR"/>
        </w:rPr>
        <w:t xml:space="preserve"> esclarecimento sobre esse ponto, considerando as peculiaridades que incidem caso algum dos beneficiários tenha falecido ou venha a falecer antes de que sejam pagas as respectivas indenizações</w:t>
      </w:r>
      <w:r w:rsidR="00185C5F" w:rsidRPr="00535FC6">
        <w:rPr>
          <w:rFonts w:ascii="Verdana" w:hAnsi="Verdana"/>
          <w:sz w:val="20"/>
          <w:szCs w:val="20"/>
          <w:lang w:val="pt-BR"/>
        </w:rPr>
        <w:t>.</w:t>
      </w:r>
      <w:r w:rsidR="0011627A" w:rsidRPr="00535FC6">
        <w:rPr>
          <w:rFonts w:ascii="Verdana" w:hAnsi="Verdana"/>
          <w:sz w:val="20"/>
          <w:szCs w:val="20"/>
          <w:lang w:val="pt-BR"/>
        </w:rPr>
        <w:t xml:space="preserve"> </w:t>
      </w:r>
    </w:p>
    <w:p w:rsidR="0011627A" w:rsidRPr="0011627A" w:rsidRDefault="0011627A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11627A" w:rsidRDefault="0011627A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11627A">
        <w:rPr>
          <w:rFonts w:ascii="Verdana" w:hAnsi="Verdana"/>
          <w:sz w:val="20"/>
          <w:szCs w:val="20"/>
          <w:lang w:val="pt-BR"/>
        </w:rPr>
        <w:t xml:space="preserve">Os </w:t>
      </w:r>
      <w:r w:rsidRPr="00CB1636">
        <w:rPr>
          <w:rFonts w:ascii="Verdana" w:hAnsi="Verdana"/>
          <w:b/>
          <w:i/>
          <w:sz w:val="20"/>
          <w:szCs w:val="20"/>
          <w:lang w:val="pt-BR"/>
        </w:rPr>
        <w:t>representantes</w:t>
      </w:r>
      <w:r w:rsidRPr="0011627A">
        <w:rPr>
          <w:rFonts w:ascii="Verdana" w:hAnsi="Verdana"/>
          <w:sz w:val="20"/>
          <w:szCs w:val="20"/>
          <w:lang w:val="pt-BR"/>
        </w:rPr>
        <w:t xml:space="preserve"> ressalta</w:t>
      </w:r>
      <w:r w:rsidR="00CB1636">
        <w:rPr>
          <w:rFonts w:ascii="Verdana" w:hAnsi="Verdana"/>
          <w:sz w:val="20"/>
          <w:szCs w:val="20"/>
          <w:lang w:val="pt-BR"/>
        </w:rPr>
        <w:t>ra</w:t>
      </w:r>
      <w:r w:rsidRPr="0011627A">
        <w:rPr>
          <w:rFonts w:ascii="Verdana" w:hAnsi="Verdana"/>
          <w:sz w:val="20"/>
          <w:szCs w:val="20"/>
          <w:lang w:val="pt-BR"/>
        </w:rPr>
        <w:t xml:space="preserve">m que qualquer eventual dificuldade </w:t>
      </w:r>
      <w:r w:rsidR="00CB1636">
        <w:rPr>
          <w:rFonts w:ascii="Verdana" w:hAnsi="Verdana"/>
          <w:sz w:val="20"/>
          <w:szCs w:val="20"/>
          <w:lang w:val="pt-BR"/>
        </w:rPr>
        <w:t>d</w:t>
      </w:r>
      <w:r w:rsidRPr="0011627A">
        <w:rPr>
          <w:rFonts w:ascii="Verdana" w:hAnsi="Verdana"/>
          <w:sz w:val="20"/>
          <w:szCs w:val="20"/>
          <w:lang w:val="pt-BR"/>
        </w:rPr>
        <w:t>o Estado para cumprir com os prazos estabelecidos pela Corte deve ser solucionada durante o processo de supervisão de cumprimento de sentença. Afirma</w:t>
      </w:r>
      <w:r w:rsidR="00CB1636">
        <w:rPr>
          <w:rFonts w:ascii="Verdana" w:hAnsi="Verdana"/>
          <w:sz w:val="20"/>
          <w:szCs w:val="20"/>
          <w:lang w:val="pt-BR"/>
        </w:rPr>
        <w:t>ra</w:t>
      </w:r>
      <w:r w:rsidRPr="0011627A">
        <w:rPr>
          <w:rFonts w:ascii="Verdana" w:hAnsi="Verdana"/>
          <w:sz w:val="20"/>
          <w:szCs w:val="20"/>
          <w:lang w:val="pt-BR"/>
        </w:rPr>
        <w:t xml:space="preserve">m também que o Estado, até o momento, não </w:t>
      </w:r>
      <w:r w:rsidR="00CB1636">
        <w:rPr>
          <w:rFonts w:ascii="Verdana" w:hAnsi="Verdana"/>
          <w:sz w:val="20"/>
          <w:szCs w:val="20"/>
          <w:lang w:val="pt-BR"/>
        </w:rPr>
        <w:t>havia</w:t>
      </w:r>
      <w:r w:rsidRPr="0011627A">
        <w:rPr>
          <w:rFonts w:ascii="Verdana" w:hAnsi="Verdana"/>
          <w:sz w:val="20"/>
          <w:szCs w:val="20"/>
          <w:lang w:val="pt-BR"/>
        </w:rPr>
        <w:t xml:space="preserve"> adotado medidas ou mecanismos para localizar as vítimas, nem iniciado os trâmites para realizar o pagamento da reparação </w:t>
      </w:r>
      <w:r w:rsidR="00CB1636">
        <w:rPr>
          <w:rFonts w:ascii="Verdana" w:hAnsi="Verdana"/>
          <w:sz w:val="20"/>
          <w:szCs w:val="20"/>
          <w:lang w:val="pt-BR"/>
        </w:rPr>
        <w:t>à</w:t>
      </w:r>
      <w:r w:rsidRPr="0011627A">
        <w:rPr>
          <w:rFonts w:ascii="Verdana" w:hAnsi="Verdana"/>
          <w:sz w:val="20"/>
          <w:szCs w:val="20"/>
          <w:lang w:val="pt-BR"/>
        </w:rPr>
        <w:t xml:space="preserve">s vítimas representadas pelos peticionários, que são conhecidas e já foram localizadas. </w:t>
      </w:r>
      <w:r w:rsidR="00535FC6">
        <w:rPr>
          <w:rFonts w:ascii="Verdana" w:hAnsi="Verdana"/>
          <w:sz w:val="20"/>
          <w:szCs w:val="20"/>
          <w:lang w:val="pt-BR"/>
        </w:rPr>
        <w:t>Indicaram</w:t>
      </w:r>
      <w:r w:rsidRPr="0011627A">
        <w:rPr>
          <w:rFonts w:ascii="Verdana" w:hAnsi="Verdana"/>
          <w:sz w:val="20"/>
          <w:szCs w:val="20"/>
          <w:lang w:val="pt-BR"/>
        </w:rPr>
        <w:t xml:space="preserve"> que o Estado está suscitando</w:t>
      </w:r>
      <w:r w:rsidR="00CB1636">
        <w:rPr>
          <w:rFonts w:ascii="Verdana" w:hAnsi="Verdana"/>
          <w:sz w:val="20"/>
          <w:szCs w:val="20"/>
          <w:lang w:val="pt-BR"/>
        </w:rPr>
        <w:t>,</w:t>
      </w:r>
      <w:r w:rsidRPr="0011627A">
        <w:rPr>
          <w:rFonts w:ascii="Verdana" w:hAnsi="Verdana"/>
          <w:sz w:val="20"/>
          <w:szCs w:val="20"/>
          <w:lang w:val="pt-BR"/>
        </w:rPr>
        <w:t xml:space="preserve"> </w:t>
      </w:r>
      <w:r w:rsidRPr="0011627A">
        <w:rPr>
          <w:rFonts w:ascii="Verdana" w:hAnsi="Verdana"/>
          <w:i/>
          <w:sz w:val="20"/>
          <w:szCs w:val="20"/>
          <w:lang w:val="pt-BR"/>
        </w:rPr>
        <w:t>a priori</w:t>
      </w:r>
      <w:r w:rsidR="00CB1636">
        <w:rPr>
          <w:rFonts w:ascii="Verdana" w:hAnsi="Verdana"/>
          <w:i/>
          <w:sz w:val="20"/>
          <w:szCs w:val="20"/>
          <w:lang w:val="pt-BR"/>
        </w:rPr>
        <w:t>,</w:t>
      </w:r>
      <w:r w:rsidRPr="0011627A">
        <w:rPr>
          <w:rFonts w:ascii="Verdana" w:hAnsi="Verdana"/>
          <w:sz w:val="20"/>
          <w:szCs w:val="20"/>
          <w:lang w:val="pt-BR"/>
        </w:rPr>
        <w:t xml:space="preserve"> obstáculos não comprovados para o cumprimento da sentença. Os representantes </w:t>
      </w:r>
      <w:r w:rsidR="00CB1636">
        <w:rPr>
          <w:rFonts w:ascii="Verdana" w:hAnsi="Verdana"/>
          <w:sz w:val="20"/>
          <w:szCs w:val="20"/>
          <w:lang w:val="pt-BR"/>
        </w:rPr>
        <w:t>mencionaram</w:t>
      </w:r>
      <w:r w:rsidRPr="0011627A">
        <w:rPr>
          <w:rFonts w:ascii="Verdana" w:hAnsi="Verdana"/>
          <w:sz w:val="20"/>
          <w:szCs w:val="20"/>
          <w:lang w:val="pt-BR"/>
        </w:rPr>
        <w:t>, ainda, não haver dificuldade de localização de boa parte das vítimas, uma vez que estas residem, em sua maioria, no mesmo Estado e estão acessíveis por meio dos peticionários</w:t>
      </w:r>
      <w:r w:rsidR="00CA6B7A">
        <w:rPr>
          <w:rFonts w:ascii="Verdana" w:hAnsi="Verdana"/>
          <w:sz w:val="20"/>
          <w:szCs w:val="20"/>
          <w:lang w:val="pt-BR"/>
        </w:rPr>
        <w:t>.</w:t>
      </w:r>
    </w:p>
    <w:p w:rsidR="00CB1636" w:rsidRPr="0011627A" w:rsidRDefault="00CB1636" w:rsidP="00CB1636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11627A" w:rsidRDefault="0011627A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11627A">
        <w:rPr>
          <w:rFonts w:ascii="Verdana" w:hAnsi="Verdana"/>
          <w:sz w:val="20"/>
          <w:szCs w:val="20"/>
          <w:lang w:val="pt-BR"/>
        </w:rPr>
        <w:t>Afirma</w:t>
      </w:r>
      <w:r w:rsidR="00CB1636">
        <w:rPr>
          <w:rFonts w:ascii="Verdana" w:hAnsi="Verdana"/>
          <w:sz w:val="20"/>
          <w:szCs w:val="20"/>
          <w:lang w:val="pt-BR"/>
        </w:rPr>
        <w:t>ra</w:t>
      </w:r>
      <w:r w:rsidRPr="0011627A">
        <w:rPr>
          <w:rFonts w:ascii="Verdana" w:hAnsi="Verdana"/>
          <w:sz w:val="20"/>
          <w:szCs w:val="20"/>
          <w:lang w:val="pt-BR"/>
        </w:rPr>
        <w:t xml:space="preserve">m, ademais, que o CEJIL realizou </w:t>
      </w:r>
      <w:r w:rsidR="00384DB3">
        <w:rPr>
          <w:rFonts w:ascii="Verdana" w:hAnsi="Verdana"/>
          <w:sz w:val="20"/>
          <w:szCs w:val="20"/>
          <w:lang w:val="pt-BR"/>
        </w:rPr>
        <w:t xml:space="preserve">uma </w:t>
      </w:r>
      <w:r w:rsidRPr="0011627A">
        <w:rPr>
          <w:rFonts w:ascii="Verdana" w:hAnsi="Verdana"/>
          <w:sz w:val="20"/>
          <w:szCs w:val="20"/>
          <w:lang w:val="pt-BR"/>
        </w:rPr>
        <w:t xml:space="preserve">diligência </w:t>
      </w:r>
      <w:r w:rsidRPr="0011627A">
        <w:rPr>
          <w:rFonts w:ascii="Verdana" w:hAnsi="Verdana"/>
          <w:i/>
          <w:sz w:val="20"/>
          <w:szCs w:val="20"/>
          <w:lang w:val="pt-BR"/>
        </w:rPr>
        <w:t>in situ</w:t>
      </w:r>
      <w:r w:rsidRPr="0011627A">
        <w:rPr>
          <w:rFonts w:ascii="Verdana" w:hAnsi="Verdana"/>
          <w:sz w:val="20"/>
          <w:szCs w:val="20"/>
          <w:lang w:val="pt-BR"/>
        </w:rPr>
        <w:t xml:space="preserve"> para informar as vítimas do presente caso acerca da sentença da Corte e logrou encontrar as vítimas representadas pela organização em sua totalidade, tendo</w:t>
      </w:r>
      <w:r w:rsidR="00384DB3">
        <w:rPr>
          <w:rFonts w:ascii="Verdana" w:hAnsi="Verdana"/>
          <w:sz w:val="20"/>
          <w:szCs w:val="20"/>
          <w:lang w:val="pt-BR"/>
        </w:rPr>
        <w:t>,</w:t>
      </w:r>
      <w:r w:rsidRPr="0011627A">
        <w:rPr>
          <w:rFonts w:ascii="Verdana" w:hAnsi="Verdana"/>
          <w:sz w:val="20"/>
          <w:szCs w:val="20"/>
          <w:lang w:val="pt-BR"/>
        </w:rPr>
        <w:t xml:space="preserve"> inclusive</w:t>
      </w:r>
      <w:r w:rsidR="00384DB3">
        <w:rPr>
          <w:rFonts w:ascii="Verdana" w:hAnsi="Verdana"/>
          <w:sz w:val="20"/>
          <w:szCs w:val="20"/>
          <w:lang w:val="pt-BR"/>
        </w:rPr>
        <w:t>,</w:t>
      </w:r>
      <w:r w:rsidRPr="0011627A">
        <w:rPr>
          <w:rFonts w:ascii="Verdana" w:hAnsi="Verdana"/>
          <w:sz w:val="20"/>
          <w:szCs w:val="20"/>
          <w:lang w:val="pt-BR"/>
        </w:rPr>
        <w:t xml:space="preserve"> </w:t>
      </w:r>
      <w:r w:rsidR="00384DB3">
        <w:rPr>
          <w:rFonts w:ascii="Verdana" w:hAnsi="Verdana"/>
          <w:sz w:val="20"/>
          <w:szCs w:val="20"/>
          <w:lang w:val="pt-BR"/>
        </w:rPr>
        <w:t xml:space="preserve">contatado </w:t>
      </w:r>
      <w:r w:rsidRPr="0011627A">
        <w:rPr>
          <w:rFonts w:ascii="Verdana" w:hAnsi="Verdana"/>
          <w:sz w:val="20"/>
          <w:szCs w:val="20"/>
          <w:lang w:val="pt-BR"/>
        </w:rPr>
        <w:t xml:space="preserve">outras vítimas que compareceram </w:t>
      </w:r>
      <w:r w:rsidR="00384DB3">
        <w:rPr>
          <w:rFonts w:ascii="Verdana" w:hAnsi="Verdana"/>
          <w:sz w:val="20"/>
          <w:szCs w:val="20"/>
          <w:lang w:val="pt-BR"/>
        </w:rPr>
        <w:t>a</w:t>
      </w:r>
      <w:r w:rsidRPr="0011627A">
        <w:rPr>
          <w:rFonts w:ascii="Verdana" w:hAnsi="Verdana"/>
          <w:sz w:val="20"/>
          <w:szCs w:val="20"/>
          <w:lang w:val="pt-BR"/>
        </w:rPr>
        <w:t xml:space="preserve"> uma reunião realizada no </w:t>
      </w:r>
      <w:r w:rsidR="00384DB3">
        <w:rPr>
          <w:rFonts w:ascii="Verdana" w:hAnsi="Verdana"/>
          <w:sz w:val="20"/>
          <w:szCs w:val="20"/>
          <w:lang w:val="pt-BR"/>
        </w:rPr>
        <w:t xml:space="preserve">Estado do </w:t>
      </w:r>
      <w:r w:rsidR="00CA6B7A">
        <w:rPr>
          <w:rFonts w:ascii="Verdana" w:hAnsi="Verdana"/>
          <w:sz w:val="20"/>
          <w:szCs w:val="20"/>
          <w:lang w:val="pt-BR"/>
        </w:rPr>
        <w:t>Piauí.</w:t>
      </w:r>
    </w:p>
    <w:p w:rsidR="005815D6" w:rsidRPr="0011627A" w:rsidRDefault="005815D6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384DB3" w:rsidRDefault="0011627A" w:rsidP="00384DB3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11627A">
        <w:rPr>
          <w:rFonts w:ascii="Verdana" w:hAnsi="Verdana"/>
          <w:sz w:val="20"/>
          <w:szCs w:val="20"/>
          <w:lang w:val="pt-BR"/>
        </w:rPr>
        <w:t xml:space="preserve">Sobre o argumento do Estado de que nos casos de beneficiários já falecidos o pagamento das indenizações dependeria da conclusão de procedimentos sucessórios, os representantes </w:t>
      </w:r>
      <w:r w:rsidR="00CB1636">
        <w:rPr>
          <w:rFonts w:ascii="Verdana" w:hAnsi="Verdana"/>
          <w:sz w:val="20"/>
          <w:szCs w:val="20"/>
          <w:lang w:val="pt-BR"/>
        </w:rPr>
        <w:t>indicaram</w:t>
      </w:r>
      <w:r w:rsidRPr="0011627A">
        <w:rPr>
          <w:rFonts w:ascii="Verdana" w:hAnsi="Verdana"/>
          <w:sz w:val="20"/>
          <w:szCs w:val="20"/>
          <w:lang w:val="pt-BR"/>
        </w:rPr>
        <w:t xml:space="preserve"> que um Estado não pode alegar razões de ordem interna para deixar de assumir uma responsabilidade internacional estabelecida pela Corte. Ainda, esclarece</w:t>
      </w:r>
      <w:r w:rsidR="00535FC6">
        <w:rPr>
          <w:rFonts w:ascii="Verdana" w:hAnsi="Verdana"/>
          <w:sz w:val="20"/>
          <w:szCs w:val="20"/>
          <w:lang w:val="pt-BR"/>
        </w:rPr>
        <w:t>ra</w:t>
      </w:r>
      <w:r w:rsidRPr="0011627A">
        <w:rPr>
          <w:rFonts w:ascii="Verdana" w:hAnsi="Verdana"/>
          <w:sz w:val="20"/>
          <w:szCs w:val="20"/>
          <w:lang w:val="pt-BR"/>
        </w:rPr>
        <w:t>m que não há exigência de que se concluam os respect</w:t>
      </w:r>
      <w:r w:rsidR="00CB1636">
        <w:rPr>
          <w:rFonts w:ascii="Verdana" w:hAnsi="Verdana"/>
          <w:sz w:val="20"/>
          <w:szCs w:val="20"/>
          <w:lang w:val="pt-BR"/>
        </w:rPr>
        <w:t>iv</w:t>
      </w:r>
      <w:r w:rsidRPr="0011627A">
        <w:rPr>
          <w:rFonts w:ascii="Verdana" w:hAnsi="Verdana"/>
          <w:sz w:val="20"/>
          <w:szCs w:val="20"/>
          <w:lang w:val="pt-BR"/>
        </w:rPr>
        <w:t>os processos para a realização do depósito. Ressalta</w:t>
      </w:r>
      <w:r w:rsidR="00384DB3">
        <w:rPr>
          <w:rFonts w:ascii="Verdana" w:hAnsi="Verdana"/>
          <w:sz w:val="20"/>
          <w:szCs w:val="20"/>
          <w:lang w:val="pt-BR"/>
        </w:rPr>
        <w:t>ra</w:t>
      </w:r>
      <w:r w:rsidRPr="0011627A">
        <w:rPr>
          <w:rFonts w:ascii="Verdana" w:hAnsi="Verdana"/>
          <w:sz w:val="20"/>
          <w:szCs w:val="20"/>
          <w:lang w:val="pt-BR"/>
        </w:rPr>
        <w:t>m que é importante que, no caso em que as indenizações forem depositadas judicialmente, a atualização do valor e juros de mora deverão incidir até o efetivo recebimento, uma vez que o valor depositado não esta</w:t>
      </w:r>
      <w:r w:rsidR="001146D5">
        <w:rPr>
          <w:rFonts w:ascii="Verdana" w:hAnsi="Verdana"/>
          <w:sz w:val="20"/>
          <w:szCs w:val="20"/>
          <w:lang w:val="pt-BR"/>
        </w:rPr>
        <w:t>ria ainda disponível às vítimas.</w:t>
      </w:r>
    </w:p>
    <w:p w:rsidR="00384DB3" w:rsidRPr="00384DB3" w:rsidRDefault="00384DB3" w:rsidP="00384DB3">
      <w:pPr>
        <w:pStyle w:val="Prrafodelista"/>
        <w:rPr>
          <w:rFonts w:ascii="Verdana" w:hAnsi="Verdana"/>
          <w:sz w:val="20"/>
          <w:szCs w:val="20"/>
          <w:lang w:val="pt-BR"/>
        </w:rPr>
      </w:pPr>
    </w:p>
    <w:p w:rsidR="00384DB3" w:rsidRPr="00535FC6" w:rsidRDefault="00CA6B7A" w:rsidP="00384DB3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535FC6">
        <w:rPr>
          <w:rFonts w:ascii="Verdana" w:hAnsi="Verdana"/>
          <w:sz w:val="20"/>
          <w:szCs w:val="20"/>
          <w:lang w:val="pt-BR"/>
        </w:rPr>
        <w:lastRenderedPageBreak/>
        <w:t xml:space="preserve">A </w:t>
      </w:r>
      <w:r w:rsidRPr="001146D5">
        <w:rPr>
          <w:rFonts w:ascii="Verdana" w:hAnsi="Verdana"/>
          <w:b/>
          <w:i/>
          <w:sz w:val="20"/>
          <w:szCs w:val="20"/>
          <w:lang w:val="pt-BR"/>
        </w:rPr>
        <w:t>Comissão</w:t>
      </w:r>
      <w:r w:rsidRPr="00535FC6">
        <w:rPr>
          <w:rFonts w:ascii="Verdana" w:hAnsi="Verdana"/>
          <w:sz w:val="20"/>
          <w:szCs w:val="20"/>
          <w:lang w:val="pt-BR"/>
        </w:rPr>
        <w:t xml:space="preserve"> afirm</w:t>
      </w:r>
      <w:r w:rsidR="00535FC6">
        <w:rPr>
          <w:rFonts w:ascii="Verdana" w:hAnsi="Verdana"/>
          <w:sz w:val="20"/>
          <w:szCs w:val="20"/>
          <w:lang w:val="pt-BR"/>
        </w:rPr>
        <w:t xml:space="preserve">ou </w:t>
      </w:r>
      <w:r w:rsidRPr="00535FC6">
        <w:rPr>
          <w:rFonts w:ascii="Verdana" w:hAnsi="Verdana"/>
          <w:sz w:val="20"/>
          <w:szCs w:val="20"/>
          <w:lang w:val="pt-BR"/>
        </w:rPr>
        <w:t xml:space="preserve">que </w:t>
      </w:r>
      <w:r w:rsidR="001146D5">
        <w:rPr>
          <w:rFonts w:ascii="Verdana" w:hAnsi="Verdana"/>
          <w:sz w:val="20"/>
          <w:szCs w:val="20"/>
          <w:lang w:val="pt-BR"/>
        </w:rPr>
        <w:t xml:space="preserve">o pedido </w:t>
      </w:r>
      <w:r w:rsidRPr="00535FC6">
        <w:rPr>
          <w:rFonts w:ascii="Verdana" w:hAnsi="Verdana"/>
          <w:sz w:val="20"/>
          <w:szCs w:val="20"/>
          <w:lang w:val="pt-BR"/>
        </w:rPr>
        <w:t>do Estad</w:t>
      </w:r>
      <w:r w:rsidR="00535FC6">
        <w:rPr>
          <w:rFonts w:ascii="Verdana" w:hAnsi="Verdana"/>
          <w:sz w:val="20"/>
          <w:szCs w:val="20"/>
          <w:lang w:val="pt-BR"/>
        </w:rPr>
        <w:t>o se relaciona com aspectos da S</w:t>
      </w:r>
      <w:r w:rsidRPr="00535FC6">
        <w:rPr>
          <w:rFonts w:ascii="Verdana" w:hAnsi="Verdana"/>
          <w:sz w:val="20"/>
          <w:szCs w:val="20"/>
          <w:lang w:val="pt-BR"/>
        </w:rPr>
        <w:t>entença que não justificam um pronunciamento adicional no contexto de uma demanda de interpretação e devem ser tratados durante a supervisão de cumprimento de Sentença.</w:t>
      </w:r>
    </w:p>
    <w:p w:rsidR="0011627A" w:rsidRDefault="0011627A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306C19" w:rsidRPr="00CB1636" w:rsidRDefault="00306C19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b/>
          <w:i/>
          <w:sz w:val="20"/>
          <w:szCs w:val="20"/>
          <w:lang w:val="pt-BR"/>
        </w:rPr>
      </w:pPr>
      <w:r w:rsidRPr="00CB1636">
        <w:rPr>
          <w:rFonts w:ascii="Verdana" w:hAnsi="Verdana"/>
          <w:b/>
          <w:i/>
          <w:sz w:val="20"/>
          <w:szCs w:val="20"/>
          <w:lang w:val="pt-BR"/>
        </w:rPr>
        <w:t>Considerações da Corte</w:t>
      </w:r>
    </w:p>
    <w:p w:rsidR="00306C19" w:rsidRDefault="00306C19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306C19" w:rsidRPr="00306C19" w:rsidRDefault="00384DB3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>
        <w:rPr>
          <w:rFonts w:ascii="Verdana" w:hAnsi="Verdana"/>
          <w:sz w:val="20"/>
          <w:szCs w:val="20"/>
          <w:lang w:val="pt-BR"/>
        </w:rPr>
        <w:t xml:space="preserve">Em sua Sentença a </w:t>
      </w:r>
      <w:r w:rsidR="00306C19" w:rsidRPr="00306C19">
        <w:rPr>
          <w:rFonts w:ascii="Verdana" w:hAnsi="Verdana"/>
          <w:sz w:val="20"/>
          <w:szCs w:val="20"/>
          <w:lang w:val="pt-BR"/>
        </w:rPr>
        <w:t xml:space="preserve">Corte </w:t>
      </w:r>
      <w:r>
        <w:rPr>
          <w:rFonts w:ascii="Verdana" w:hAnsi="Verdana"/>
          <w:sz w:val="20"/>
          <w:szCs w:val="20"/>
          <w:lang w:val="pt-BR"/>
        </w:rPr>
        <w:t xml:space="preserve">estabeleceu que: </w:t>
      </w:r>
    </w:p>
    <w:p w:rsidR="00306C19" w:rsidRDefault="00306C19" w:rsidP="00B3599C">
      <w:pPr>
        <w:pStyle w:val="Prrafodelista"/>
        <w:spacing w:after="0" w:line="240" w:lineRule="auto"/>
        <w:ind w:left="576"/>
        <w:contextualSpacing w:val="0"/>
        <w:jc w:val="both"/>
        <w:rPr>
          <w:rFonts w:ascii="Verdana" w:hAnsi="Verdana"/>
          <w:sz w:val="18"/>
          <w:szCs w:val="18"/>
          <w:lang w:val="pt-BR"/>
        </w:rPr>
      </w:pPr>
    </w:p>
    <w:p w:rsidR="00306C19" w:rsidRDefault="00306C19" w:rsidP="00B3599C">
      <w:pPr>
        <w:pStyle w:val="Prrafodelista"/>
        <w:spacing w:after="0" w:line="240" w:lineRule="auto"/>
        <w:ind w:right="576"/>
        <w:contextualSpacing w:val="0"/>
        <w:jc w:val="both"/>
        <w:rPr>
          <w:rFonts w:ascii="Verdana" w:hAnsi="Verdana"/>
          <w:sz w:val="18"/>
          <w:szCs w:val="18"/>
          <w:lang w:val="pt-BR"/>
        </w:rPr>
      </w:pPr>
      <w:r w:rsidRPr="00306C19">
        <w:rPr>
          <w:rFonts w:ascii="Verdana" w:hAnsi="Verdana"/>
          <w:sz w:val="18"/>
          <w:szCs w:val="18"/>
          <w:lang w:val="pt-BR"/>
        </w:rPr>
        <w:t xml:space="preserve">496. </w:t>
      </w:r>
      <w:r w:rsidR="001146D5" w:rsidRPr="001146D5">
        <w:rPr>
          <w:rFonts w:ascii="Verdana" w:hAnsi="Verdana"/>
          <w:sz w:val="18"/>
          <w:szCs w:val="18"/>
          <w:lang w:val="pt-BR"/>
        </w:rPr>
        <w:t>O Estado deverá realizar o pagamento das indenizações a título de dano imaterial e por restituição de custas e gastos estabelecidos na presente Sentença diretamente às pessoas e organizações indicadas na mesma, dentro do prazo de um ano, contado a partir da notificação da presente Sentença, nos termos dos parágrafos seguintes</w:t>
      </w:r>
      <w:r w:rsidRPr="00306C19">
        <w:rPr>
          <w:rFonts w:ascii="Verdana" w:hAnsi="Verdana"/>
          <w:sz w:val="18"/>
          <w:szCs w:val="18"/>
          <w:lang w:val="pt-BR"/>
        </w:rPr>
        <w:t>.</w:t>
      </w:r>
    </w:p>
    <w:p w:rsidR="00306C19" w:rsidRPr="00306C19" w:rsidRDefault="00306C19" w:rsidP="00B3599C">
      <w:pPr>
        <w:pStyle w:val="Prrafodelista"/>
        <w:spacing w:after="0" w:line="240" w:lineRule="auto"/>
        <w:ind w:right="576"/>
        <w:contextualSpacing w:val="0"/>
        <w:jc w:val="both"/>
        <w:rPr>
          <w:rFonts w:ascii="Verdana" w:hAnsi="Verdana"/>
          <w:sz w:val="18"/>
          <w:szCs w:val="18"/>
          <w:lang w:val="pt-BR"/>
        </w:rPr>
      </w:pPr>
    </w:p>
    <w:p w:rsidR="00306C19" w:rsidRDefault="00306C19" w:rsidP="00B3599C">
      <w:pPr>
        <w:pStyle w:val="Prrafodelista"/>
        <w:spacing w:after="0" w:line="240" w:lineRule="auto"/>
        <w:ind w:right="576"/>
        <w:contextualSpacing w:val="0"/>
        <w:jc w:val="both"/>
        <w:rPr>
          <w:rFonts w:ascii="Verdana" w:hAnsi="Verdana"/>
          <w:sz w:val="18"/>
          <w:szCs w:val="18"/>
          <w:lang w:val="pt-BR"/>
        </w:rPr>
      </w:pPr>
      <w:r w:rsidRPr="00306C19">
        <w:rPr>
          <w:rFonts w:ascii="Verdana" w:hAnsi="Verdana"/>
          <w:sz w:val="18"/>
          <w:szCs w:val="18"/>
          <w:lang w:val="pt-BR"/>
        </w:rPr>
        <w:t xml:space="preserve">497. </w:t>
      </w:r>
      <w:r w:rsidR="001146D5" w:rsidRPr="001146D5">
        <w:rPr>
          <w:rFonts w:ascii="Verdana" w:hAnsi="Verdana"/>
          <w:sz w:val="18"/>
          <w:szCs w:val="18"/>
          <w:lang w:val="pt-BR"/>
        </w:rPr>
        <w:t>Caso algum dos beneficiários tenha falecido ou venha a falecer antes de que sejam pagas as respectivas indenizações, estas serão feitas diretamente aos seus herdeiros, conforme o direito interno aplicável</w:t>
      </w:r>
      <w:r w:rsidRPr="00306C19">
        <w:rPr>
          <w:rFonts w:ascii="Verdana" w:hAnsi="Verdana"/>
          <w:sz w:val="18"/>
          <w:szCs w:val="18"/>
          <w:lang w:val="pt-BR"/>
        </w:rPr>
        <w:t>.</w:t>
      </w:r>
    </w:p>
    <w:p w:rsidR="00306C19" w:rsidRPr="00306C19" w:rsidRDefault="00306C19" w:rsidP="00B3599C">
      <w:pPr>
        <w:pStyle w:val="Prrafodelista"/>
        <w:spacing w:after="0" w:line="240" w:lineRule="auto"/>
        <w:ind w:right="576"/>
        <w:contextualSpacing w:val="0"/>
        <w:jc w:val="both"/>
        <w:rPr>
          <w:rFonts w:ascii="Verdana" w:hAnsi="Verdana"/>
          <w:sz w:val="18"/>
          <w:szCs w:val="18"/>
          <w:lang w:val="pt-BR"/>
        </w:rPr>
      </w:pPr>
    </w:p>
    <w:p w:rsidR="00306C19" w:rsidRDefault="00306C19" w:rsidP="00B3599C">
      <w:pPr>
        <w:pStyle w:val="Prrafodelista"/>
        <w:spacing w:after="0" w:line="240" w:lineRule="auto"/>
        <w:ind w:right="576"/>
        <w:contextualSpacing w:val="0"/>
        <w:jc w:val="both"/>
        <w:rPr>
          <w:rFonts w:ascii="Verdana" w:hAnsi="Verdana"/>
          <w:sz w:val="18"/>
          <w:szCs w:val="18"/>
          <w:lang w:val="pt-BR"/>
        </w:rPr>
      </w:pPr>
      <w:r w:rsidRPr="00306C19">
        <w:rPr>
          <w:rFonts w:ascii="Verdana" w:hAnsi="Verdana"/>
          <w:sz w:val="18"/>
          <w:szCs w:val="18"/>
          <w:lang w:val="pt-BR"/>
        </w:rPr>
        <w:t xml:space="preserve">498. </w:t>
      </w:r>
      <w:r w:rsidR="001146D5" w:rsidRPr="001146D5">
        <w:rPr>
          <w:rFonts w:ascii="Verdana" w:hAnsi="Verdana"/>
          <w:sz w:val="18"/>
          <w:szCs w:val="18"/>
          <w:lang w:val="pt-BR"/>
        </w:rPr>
        <w:t>O Estado deve cumprir as obrigações monetárias, mediante o pagamento em dólares dos Estados Unidos da América, ou o equivalente em moeda brasileira, utilizando, para o cálculo respectivo, o tipo de câmbio vigente na bolsa de Nova York, Estados Unidos da América, no dia anterior ao pagamento</w:t>
      </w:r>
      <w:r w:rsidRPr="00306C19">
        <w:rPr>
          <w:rFonts w:ascii="Verdana" w:hAnsi="Verdana"/>
          <w:sz w:val="18"/>
          <w:szCs w:val="18"/>
          <w:lang w:val="pt-BR"/>
        </w:rPr>
        <w:t>.</w:t>
      </w:r>
    </w:p>
    <w:p w:rsidR="00306C19" w:rsidRPr="00306C19" w:rsidRDefault="00306C19" w:rsidP="00B3599C">
      <w:pPr>
        <w:pStyle w:val="Prrafodelista"/>
        <w:spacing w:after="0" w:line="240" w:lineRule="auto"/>
        <w:ind w:left="576"/>
        <w:contextualSpacing w:val="0"/>
        <w:jc w:val="both"/>
        <w:rPr>
          <w:rFonts w:ascii="Verdana" w:hAnsi="Verdana"/>
          <w:sz w:val="18"/>
          <w:szCs w:val="18"/>
          <w:lang w:val="pt-BR"/>
        </w:rPr>
      </w:pPr>
    </w:p>
    <w:p w:rsidR="002435F9" w:rsidRPr="00535FC6" w:rsidRDefault="002435F9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535FC6">
        <w:rPr>
          <w:rFonts w:ascii="Verdana" w:hAnsi="Verdana"/>
          <w:sz w:val="20"/>
          <w:szCs w:val="20"/>
          <w:lang w:val="pt-BR"/>
        </w:rPr>
        <w:t xml:space="preserve">A Corte considera que os parágrafos 496, 497 e 498 da Sentença deixam claras as modalidades em que o Estado deve realizar o pagamento das indenizações, inclusive abordando a questão temporal que se deve observar. Ou seja, o prazo </w:t>
      </w:r>
      <w:r w:rsidR="000F45CC">
        <w:rPr>
          <w:rFonts w:ascii="Verdana" w:hAnsi="Verdana"/>
          <w:sz w:val="20"/>
          <w:szCs w:val="20"/>
          <w:lang w:val="pt-BR"/>
        </w:rPr>
        <w:t xml:space="preserve">previsto </w:t>
      </w:r>
      <w:r w:rsidRPr="00535FC6">
        <w:rPr>
          <w:rFonts w:ascii="Verdana" w:hAnsi="Verdana"/>
          <w:sz w:val="20"/>
          <w:szCs w:val="20"/>
          <w:lang w:val="pt-BR"/>
        </w:rPr>
        <w:t>para os devidos pagamentos, como se depreende do parágrafo 496, é de um ano, contado a partir da notificação da Sentença.</w:t>
      </w:r>
    </w:p>
    <w:p w:rsidR="002435F9" w:rsidRPr="00535FC6" w:rsidRDefault="002435F9" w:rsidP="002435F9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6603B9" w:rsidRPr="00535FC6" w:rsidRDefault="001146D5" w:rsidP="006603B9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>
        <w:rPr>
          <w:rFonts w:ascii="Verdana" w:hAnsi="Verdana"/>
          <w:sz w:val="20"/>
          <w:szCs w:val="20"/>
          <w:lang w:val="pt-BR"/>
        </w:rPr>
        <w:t>Entretanto, n</w:t>
      </w:r>
      <w:r w:rsidR="006603B9" w:rsidRPr="00535FC6">
        <w:rPr>
          <w:rFonts w:ascii="Verdana" w:hAnsi="Verdana"/>
          <w:sz w:val="20"/>
          <w:szCs w:val="20"/>
          <w:lang w:val="pt-BR"/>
        </w:rPr>
        <w:t>o presente caso</w:t>
      </w:r>
      <w:r>
        <w:rPr>
          <w:rFonts w:ascii="Verdana" w:hAnsi="Verdana"/>
          <w:sz w:val="20"/>
          <w:szCs w:val="20"/>
          <w:lang w:val="pt-BR"/>
        </w:rPr>
        <w:t xml:space="preserve"> </w:t>
      </w:r>
      <w:r w:rsidR="006603B9" w:rsidRPr="00535FC6">
        <w:rPr>
          <w:rFonts w:ascii="Verdana" w:hAnsi="Verdana"/>
          <w:sz w:val="20"/>
          <w:szCs w:val="20"/>
          <w:lang w:val="pt-BR"/>
        </w:rPr>
        <w:t>e</w:t>
      </w:r>
      <w:r w:rsidR="00306C19" w:rsidRPr="00535FC6">
        <w:rPr>
          <w:rFonts w:ascii="Verdana" w:hAnsi="Verdana"/>
          <w:sz w:val="20"/>
          <w:szCs w:val="20"/>
          <w:lang w:val="pt-BR"/>
        </w:rPr>
        <w:t xml:space="preserve">ntende-se que </w:t>
      </w:r>
      <w:r w:rsidR="006603B9" w:rsidRPr="00535FC6">
        <w:rPr>
          <w:rFonts w:ascii="Verdana" w:hAnsi="Verdana"/>
          <w:sz w:val="20"/>
          <w:szCs w:val="20"/>
          <w:lang w:val="pt-BR"/>
        </w:rPr>
        <w:t>na situação trazida pelo parágrafo 497 (na qual algum dos beneficiários tenha falecido ou venha a falecer antes de que sejam pagas as devidas indenizações), deve</w:t>
      </w:r>
      <w:r w:rsidR="000F45CC">
        <w:rPr>
          <w:rFonts w:ascii="Verdana" w:hAnsi="Verdana"/>
          <w:sz w:val="20"/>
          <w:szCs w:val="20"/>
          <w:lang w:val="pt-BR"/>
        </w:rPr>
        <w:t xml:space="preserve">m ser realizadas </w:t>
      </w:r>
      <w:r w:rsidR="006603B9" w:rsidRPr="00535FC6">
        <w:rPr>
          <w:rFonts w:ascii="Verdana" w:hAnsi="Verdana"/>
          <w:sz w:val="20"/>
          <w:szCs w:val="20"/>
          <w:lang w:val="pt-BR"/>
        </w:rPr>
        <w:t xml:space="preserve">as diligências </w:t>
      </w:r>
      <w:r w:rsidR="00CD3CBA">
        <w:rPr>
          <w:rFonts w:ascii="Verdana" w:hAnsi="Verdana"/>
          <w:sz w:val="20"/>
          <w:szCs w:val="20"/>
          <w:lang w:val="pt-BR"/>
        </w:rPr>
        <w:t>previstas no direito interno</w:t>
      </w:r>
      <w:r w:rsidR="006603B9" w:rsidRPr="00535FC6">
        <w:rPr>
          <w:rFonts w:ascii="Verdana" w:hAnsi="Verdana"/>
          <w:sz w:val="20"/>
          <w:szCs w:val="20"/>
          <w:lang w:val="pt-BR"/>
        </w:rPr>
        <w:t xml:space="preserve"> para que seja garantida a efetiva identificação dos herdeiros dos beneficiários a </w:t>
      </w:r>
      <w:r w:rsidR="00CD3CBA">
        <w:rPr>
          <w:rFonts w:ascii="Verdana" w:hAnsi="Verdana"/>
          <w:sz w:val="20"/>
          <w:szCs w:val="20"/>
          <w:lang w:val="pt-BR"/>
        </w:rPr>
        <w:t xml:space="preserve">quem corresponde receber </w:t>
      </w:r>
      <w:r w:rsidR="006603B9" w:rsidRPr="00535FC6">
        <w:rPr>
          <w:rFonts w:ascii="Verdana" w:hAnsi="Verdana"/>
          <w:sz w:val="20"/>
          <w:szCs w:val="20"/>
          <w:lang w:val="pt-BR"/>
        </w:rPr>
        <w:t xml:space="preserve">a indenização. </w:t>
      </w:r>
    </w:p>
    <w:p w:rsidR="006603B9" w:rsidRPr="00535FC6" w:rsidRDefault="006603B9" w:rsidP="006603B9">
      <w:pPr>
        <w:pStyle w:val="Prrafodelista"/>
        <w:rPr>
          <w:rFonts w:ascii="Verdana" w:hAnsi="Verdana"/>
          <w:sz w:val="20"/>
          <w:szCs w:val="20"/>
          <w:lang w:val="pt-BR"/>
        </w:rPr>
      </w:pPr>
    </w:p>
    <w:p w:rsidR="0078129F" w:rsidRDefault="006603B9" w:rsidP="006603B9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535FC6">
        <w:rPr>
          <w:rFonts w:ascii="Verdana" w:hAnsi="Verdana"/>
          <w:sz w:val="20"/>
          <w:szCs w:val="20"/>
          <w:lang w:val="pt-BR"/>
        </w:rPr>
        <w:t xml:space="preserve">Depreende-se, portanto, que os herdeiros </w:t>
      </w:r>
      <w:r w:rsidR="004E6D01">
        <w:rPr>
          <w:rFonts w:ascii="Verdana" w:hAnsi="Verdana"/>
          <w:sz w:val="20"/>
          <w:szCs w:val="20"/>
          <w:lang w:val="pt-BR"/>
        </w:rPr>
        <w:t>dos</w:t>
      </w:r>
      <w:r w:rsidRPr="00535FC6">
        <w:rPr>
          <w:rFonts w:ascii="Verdana" w:hAnsi="Verdana"/>
          <w:sz w:val="20"/>
          <w:szCs w:val="20"/>
          <w:lang w:val="pt-BR"/>
        </w:rPr>
        <w:t xml:space="preserve"> beneficiários devem ser </w:t>
      </w:r>
      <w:r w:rsidR="000F45CC">
        <w:rPr>
          <w:rFonts w:ascii="Verdana" w:hAnsi="Verdana"/>
          <w:sz w:val="20"/>
          <w:szCs w:val="20"/>
          <w:lang w:val="pt-BR"/>
        </w:rPr>
        <w:t>previamente</w:t>
      </w:r>
      <w:r w:rsidRPr="00535FC6">
        <w:rPr>
          <w:rFonts w:ascii="Verdana" w:hAnsi="Verdana"/>
          <w:sz w:val="20"/>
          <w:szCs w:val="20"/>
          <w:lang w:val="pt-BR"/>
        </w:rPr>
        <w:t xml:space="preserve"> identificados de acordo com o direito interno para que possam receber a indenização. </w:t>
      </w:r>
      <w:r w:rsidR="0078129F">
        <w:rPr>
          <w:rFonts w:ascii="Verdana" w:hAnsi="Verdana"/>
          <w:sz w:val="20"/>
          <w:szCs w:val="20"/>
          <w:lang w:val="pt-BR"/>
        </w:rPr>
        <w:t>N</w:t>
      </w:r>
      <w:r w:rsidR="004E6D01">
        <w:rPr>
          <w:rFonts w:ascii="Verdana" w:hAnsi="Verdana"/>
          <w:sz w:val="20"/>
          <w:szCs w:val="20"/>
          <w:lang w:val="pt-BR"/>
        </w:rPr>
        <w:t>esse sentido</w:t>
      </w:r>
      <w:r w:rsidRPr="00535FC6">
        <w:rPr>
          <w:rFonts w:ascii="Verdana" w:hAnsi="Verdana"/>
          <w:sz w:val="20"/>
          <w:szCs w:val="20"/>
          <w:lang w:val="pt-BR"/>
        </w:rPr>
        <w:t xml:space="preserve">, </w:t>
      </w:r>
      <w:r w:rsidR="0078129F">
        <w:rPr>
          <w:rFonts w:ascii="Verdana" w:hAnsi="Verdana"/>
          <w:sz w:val="20"/>
          <w:szCs w:val="20"/>
          <w:lang w:val="pt-BR"/>
        </w:rPr>
        <w:t xml:space="preserve">se dentro do prazo de um ano indicado no parágrafo </w:t>
      </w:r>
      <w:r w:rsidR="004E6D01">
        <w:rPr>
          <w:rFonts w:ascii="Verdana" w:hAnsi="Verdana"/>
          <w:sz w:val="20"/>
          <w:szCs w:val="20"/>
          <w:lang w:val="pt-BR"/>
        </w:rPr>
        <w:t xml:space="preserve">496 não </w:t>
      </w:r>
      <w:r w:rsidR="0078129F">
        <w:rPr>
          <w:rFonts w:ascii="Verdana" w:hAnsi="Verdana"/>
          <w:sz w:val="20"/>
          <w:szCs w:val="20"/>
          <w:lang w:val="pt-BR"/>
        </w:rPr>
        <w:t xml:space="preserve">tenha </w:t>
      </w:r>
      <w:r w:rsidR="000F45CC">
        <w:rPr>
          <w:rFonts w:ascii="Verdana" w:hAnsi="Verdana"/>
          <w:sz w:val="20"/>
          <w:szCs w:val="20"/>
          <w:lang w:val="pt-BR"/>
        </w:rPr>
        <w:t xml:space="preserve">ocorrido esta </w:t>
      </w:r>
      <w:r w:rsidR="003F071A">
        <w:rPr>
          <w:rFonts w:ascii="Verdana" w:hAnsi="Verdana"/>
          <w:sz w:val="20"/>
          <w:szCs w:val="20"/>
          <w:lang w:val="pt-BR"/>
        </w:rPr>
        <w:t>determinação de acordo com o direito interno</w:t>
      </w:r>
      <w:r w:rsidR="000F45CC">
        <w:rPr>
          <w:rFonts w:ascii="Verdana" w:hAnsi="Verdana"/>
          <w:sz w:val="20"/>
          <w:szCs w:val="20"/>
          <w:lang w:val="pt-BR"/>
        </w:rPr>
        <w:t xml:space="preserve">, </w:t>
      </w:r>
      <w:r w:rsidR="0078129F">
        <w:rPr>
          <w:rFonts w:ascii="Verdana" w:hAnsi="Verdana"/>
          <w:sz w:val="20"/>
          <w:szCs w:val="20"/>
          <w:lang w:val="pt-BR"/>
        </w:rPr>
        <w:t xml:space="preserve">o valor da indemnização deverá ser depositado judicialmente em conformidade com a legislação brasileira aplicável. Uma vez que o procedimento </w:t>
      </w:r>
      <w:r w:rsidR="000F45CC">
        <w:rPr>
          <w:rFonts w:ascii="Verdana" w:hAnsi="Verdana"/>
          <w:sz w:val="20"/>
          <w:szCs w:val="20"/>
          <w:lang w:val="pt-BR"/>
        </w:rPr>
        <w:t xml:space="preserve">interno </w:t>
      </w:r>
      <w:r w:rsidR="0078129F">
        <w:rPr>
          <w:rFonts w:ascii="Verdana" w:hAnsi="Verdana"/>
          <w:sz w:val="20"/>
          <w:szCs w:val="20"/>
          <w:lang w:val="pt-BR"/>
        </w:rPr>
        <w:t xml:space="preserve">para a determinação dos herdeiros tenha concluído, o Estado garantirá </w:t>
      </w:r>
      <w:r w:rsidR="000F45CC">
        <w:rPr>
          <w:rFonts w:ascii="Verdana" w:hAnsi="Verdana"/>
          <w:sz w:val="20"/>
          <w:szCs w:val="20"/>
          <w:lang w:val="pt-BR"/>
        </w:rPr>
        <w:t xml:space="preserve">que lhes sejam entregues </w:t>
      </w:r>
      <w:r w:rsidR="0078129F">
        <w:rPr>
          <w:rFonts w:ascii="Verdana" w:hAnsi="Verdana"/>
          <w:sz w:val="20"/>
          <w:szCs w:val="20"/>
          <w:lang w:val="pt-BR"/>
        </w:rPr>
        <w:t xml:space="preserve">os valores depositados, acrescidos dos juros </w:t>
      </w:r>
      <w:r w:rsidR="000F45CC">
        <w:rPr>
          <w:rFonts w:ascii="Verdana" w:hAnsi="Verdana"/>
          <w:sz w:val="20"/>
          <w:szCs w:val="20"/>
          <w:lang w:val="pt-BR"/>
        </w:rPr>
        <w:t>gerados</w:t>
      </w:r>
      <w:r w:rsidR="0078129F">
        <w:rPr>
          <w:rFonts w:ascii="Verdana" w:hAnsi="Verdana"/>
          <w:sz w:val="20"/>
          <w:szCs w:val="20"/>
          <w:lang w:val="pt-BR"/>
        </w:rPr>
        <w:t xml:space="preserve">. </w:t>
      </w:r>
    </w:p>
    <w:p w:rsidR="00190B49" w:rsidRPr="000F45CC" w:rsidRDefault="00190B49" w:rsidP="00190B49">
      <w:pPr>
        <w:pStyle w:val="Prrafodelista"/>
        <w:rPr>
          <w:rFonts w:ascii="Verdana" w:hAnsi="Verdana"/>
          <w:sz w:val="20"/>
          <w:szCs w:val="20"/>
          <w:lang w:val="pt-BR"/>
        </w:rPr>
      </w:pPr>
    </w:p>
    <w:p w:rsidR="00306C19" w:rsidRPr="005161EC" w:rsidRDefault="00306C19" w:rsidP="00B3599C">
      <w:pPr>
        <w:pStyle w:val="Prrafodelista"/>
        <w:widowControl w:val="0"/>
        <w:spacing w:after="0" w:line="240" w:lineRule="auto"/>
        <w:contextualSpacing w:val="0"/>
        <w:jc w:val="both"/>
        <w:rPr>
          <w:rFonts w:ascii="Verdana" w:hAnsi="Verdana"/>
          <w:b/>
          <w:sz w:val="20"/>
          <w:szCs w:val="20"/>
          <w:lang w:val="pt-BR"/>
        </w:rPr>
      </w:pPr>
      <w:r w:rsidRPr="005161EC">
        <w:rPr>
          <w:rFonts w:ascii="Verdana" w:hAnsi="Verdana"/>
          <w:b/>
          <w:sz w:val="20"/>
          <w:szCs w:val="20"/>
          <w:lang w:val="pt-BR"/>
        </w:rPr>
        <w:t xml:space="preserve">B.2. </w:t>
      </w:r>
      <w:r w:rsidRPr="005161EC">
        <w:rPr>
          <w:rFonts w:ascii="Verdana Bold" w:hAnsi="Verdana Bold"/>
          <w:b/>
          <w:sz w:val="20"/>
          <w:szCs w:val="20"/>
          <w:lang w:val="pt-BR"/>
        </w:rPr>
        <w:t>Cumprimento do pagamento</w:t>
      </w:r>
    </w:p>
    <w:p w:rsidR="008C114C" w:rsidRPr="008C114C" w:rsidRDefault="008C114C" w:rsidP="00B3599C">
      <w:pPr>
        <w:widowControl w:val="0"/>
        <w:spacing w:after="0" w:line="240" w:lineRule="auto"/>
        <w:jc w:val="both"/>
        <w:rPr>
          <w:rFonts w:ascii="Verdana" w:hAnsi="Verdana"/>
          <w:b/>
          <w:sz w:val="20"/>
          <w:szCs w:val="20"/>
          <w:lang w:val="pt-BR"/>
        </w:rPr>
      </w:pPr>
    </w:p>
    <w:p w:rsidR="00306C19" w:rsidRDefault="00306C19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306C19">
        <w:rPr>
          <w:rFonts w:ascii="Verdana" w:hAnsi="Verdana"/>
          <w:sz w:val="20"/>
          <w:szCs w:val="20"/>
          <w:lang w:val="pt-BR"/>
        </w:rPr>
        <w:t xml:space="preserve">A sentença trata, no parágrafo 499, sobre a previsão de depósito do valor da indenização em dólares dos Estados Unidos da América em conta ou certificado de depósito em uma instituição financeira brasileira solvente. O </w:t>
      </w:r>
      <w:r w:rsidRPr="00F3739F">
        <w:rPr>
          <w:rFonts w:ascii="Verdana" w:hAnsi="Verdana"/>
          <w:b/>
          <w:i/>
          <w:sz w:val="20"/>
          <w:szCs w:val="20"/>
          <w:lang w:val="pt-BR"/>
        </w:rPr>
        <w:t>Estado</w:t>
      </w:r>
      <w:r w:rsidRPr="00306C19">
        <w:rPr>
          <w:rFonts w:ascii="Verdana" w:hAnsi="Verdana"/>
          <w:sz w:val="20"/>
          <w:szCs w:val="20"/>
          <w:lang w:val="pt-BR"/>
        </w:rPr>
        <w:t xml:space="preserve"> </w:t>
      </w:r>
      <w:r w:rsidR="00384DB3">
        <w:rPr>
          <w:rFonts w:ascii="Verdana" w:hAnsi="Verdana"/>
          <w:sz w:val="20"/>
          <w:szCs w:val="20"/>
          <w:lang w:val="pt-BR"/>
        </w:rPr>
        <w:t>argumentou</w:t>
      </w:r>
      <w:r w:rsidRPr="00306C19">
        <w:rPr>
          <w:rFonts w:ascii="Verdana" w:hAnsi="Verdana"/>
          <w:sz w:val="20"/>
          <w:szCs w:val="20"/>
          <w:lang w:val="pt-BR"/>
        </w:rPr>
        <w:t xml:space="preserve"> que, no Brasil, a moeda nacional tem curso forçado e não há livre conversibilidade. Assim, as operações com moeda estrangeira estão restritas a casos específicos, via de regra relacionados a alguma operação com o exterior. O Estado solicit</w:t>
      </w:r>
      <w:r w:rsidR="00384DB3">
        <w:rPr>
          <w:rFonts w:ascii="Verdana" w:hAnsi="Verdana"/>
          <w:sz w:val="20"/>
          <w:szCs w:val="20"/>
          <w:lang w:val="pt-BR"/>
        </w:rPr>
        <w:t>ou</w:t>
      </w:r>
      <w:r w:rsidRPr="00306C19">
        <w:rPr>
          <w:rFonts w:ascii="Verdana" w:hAnsi="Verdana"/>
          <w:sz w:val="20"/>
          <w:szCs w:val="20"/>
          <w:lang w:val="pt-BR"/>
        </w:rPr>
        <w:t xml:space="preserve"> esclarecimento à Corte no sentido de que o depósito em instituição financeira brasileira solvente pode ser feito em reais, utilizando-se o câmbio</w:t>
      </w:r>
      <w:r w:rsidR="00C85EE7">
        <w:rPr>
          <w:rFonts w:ascii="Verdana" w:hAnsi="Verdana"/>
          <w:sz w:val="20"/>
          <w:szCs w:val="20"/>
          <w:lang w:val="pt-BR"/>
        </w:rPr>
        <w:t xml:space="preserve"> do dia anterior ao do depósito. </w:t>
      </w:r>
    </w:p>
    <w:p w:rsidR="005815D6" w:rsidRPr="00306C19" w:rsidRDefault="005815D6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306C19" w:rsidRDefault="00306C19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306C19">
        <w:rPr>
          <w:rFonts w:ascii="Verdana" w:hAnsi="Verdana"/>
          <w:sz w:val="20"/>
          <w:szCs w:val="20"/>
          <w:lang w:val="pt-BR"/>
        </w:rPr>
        <w:lastRenderedPageBreak/>
        <w:t xml:space="preserve">Os </w:t>
      </w:r>
      <w:r w:rsidRPr="00F3739F">
        <w:rPr>
          <w:rFonts w:ascii="Verdana" w:hAnsi="Verdana"/>
          <w:b/>
          <w:i/>
          <w:sz w:val="20"/>
          <w:szCs w:val="20"/>
          <w:lang w:val="pt-BR"/>
        </w:rPr>
        <w:t>representantes</w:t>
      </w:r>
      <w:r w:rsidRPr="00306C19">
        <w:rPr>
          <w:rFonts w:ascii="Verdana" w:hAnsi="Verdana"/>
          <w:sz w:val="20"/>
          <w:szCs w:val="20"/>
          <w:lang w:val="pt-BR"/>
        </w:rPr>
        <w:t xml:space="preserve"> </w:t>
      </w:r>
      <w:r w:rsidR="00384DB3">
        <w:rPr>
          <w:rFonts w:ascii="Verdana" w:hAnsi="Verdana"/>
          <w:sz w:val="20"/>
          <w:szCs w:val="20"/>
          <w:lang w:val="pt-BR"/>
        </w:rPr>
        <w:t xml:space="preserve">consideraram </w:t>
      </w:r>
      <w:r w:rsidRPr="00306C19">
        <w:rPr>
          <w:rFonts w:ascii="Verdana" w:hAnsi="Verdana"/>
          <w:sz w:val="20"/>
          <w:szCs w:val="20"/>
          <w:lang w:val="pt-BR"/>
        </w:rPr>
        <w:t xml:space="preserve">que </w:t>
      </w:r>
      <w:r w:rsidR="00384DB3">
        <w:rPr>
          <w:rFonts w:ascii="Verdana" w:hAnsi="Verdana"/>
          <w:sz w:val="20"/>
          <w:szCs w:val="20"/>
          <w:lang w:val="pt-BR"/>
        </w:rPr>
        <w:t xml:space="preserve">este </w:t>
      </w:r>
      <w:r w:rsidRPr="00306C19">
        <w:rPr>
          <w:rFonts w:ascii="Verdana" w:hAnsi="Verdana"/>
          <w:sz w:val="20"/>
          <w:szCs w:val="20"/>
          <w:lang w:val="pt-BR"/>
        </w:rPr>
        <w:t>tema não necessita de nova manifestação da Corte, uma vez que a sentença resta clara em seus parágrafos 498 a 501.</w:t>
      </w:r>
    </w:p>
    <w:p w:rsidR="00C85EE7" w:rsidRPr="00C85EE7" w:rsidRDefault="00C85EE7" w:rsidP="00C85EE7">
      <w:pPr>
        <w:pStyle w:val="Prrafodelista"/>
        <w:rPr>
          <w:rFonts w:ascii="Verdana" w:hAnsi="Verdana"/>
          <w:sz w:val="20"/>
          <w:szCs w:val="20"/>
          <w:lang w:val="pt-BR"/>
        </w:rPr>
      </w:pPr>
    </w:p>
    <w:p w:rsidR="00306C19" w:rsidRPr="00535FC6" w:rsidRDefault="00C85EE7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535FC6">
        <w:rPr>
          <w:rFonts w:ascii="Verdana" w:hAnsi="Verdana"/>
          <w:sz w:val="20"/>
          <w:szCs w:val="20"/>
          <w:lang w:val="pt-BR"/>
        </w:rPr>
        <w:t xml:space="preserve">A </w:t>
      </w:r>
      <w:r w:rsidRPr="00535FC6">
        <w:rPr>
          <w:rFonts w:ascii="Verdana" w:hAnsi="Verdana"/>
          <w:b/>
          <w:i/>
          <w:sz w:val="20"/>
          <w:szCs w:val="20"/>
          <w:lang w:val="pt-BR"/>
        </w:rPr>
        <w:t>Comissão</w:t>
      </w:r>
      <w:r w:rsidRPr="00535FC6">
        <w:rPr>
          <w:rFonts w:ascii="Verdana" w:hAnsi="Verdana"/>
          <w:sz w:val="20"/>
          <w:szCs w:val="20"/>
          <w:lang w:val="pt-BR"/>
        </w:rPr>
        <w:t xml:space="preserve"> </w:t>
      </w:r>
      <w:r w:rsidR="00CD3CBA">
        <w:rPr>
          <w:rFonts w:ascii="Verdana" w:hAnsi="Verdana"/>
          <w:sz w:val="20"/>
          <w:szCs w:val="20"/>
          <w:lang w:val="pt-BR"/>
        </w:rPr>
        <w:t xml:space="preserve">reiterou suas </w:t>
      </w:r>
      <w:r w:rsidR="0005290E" w:rsidRPr="00535FC6">
        <w:rPr>
          <w:rFonts w:ascii="Verdana" w:hAnsi="Verdana"/>
          <w:sz w:val="20"/>
          <w:szCs w:val="20"/>
          <w:lang w:val="pt-BR"/>
        </w:rPr>
        <w:t xml:space="preserve">observações a respeito </w:t>
      </w:r>
      <w:r w:rsidR="00CD3CBA">
        <w:rPr>
          <w:rFonts w:ascii="Verdana" w:hAnsi="Verdana"/>
          <w:sz w:val="20"/>
          <w:szCs w:val="20"/>
          <w:lang w:val="pt-BR"/>
        </w:rPr>
        <w:t xml:space="preserve">do </w:t>
      </w:r>
      <w:r w:rsidR="0005290E" w:rsidRPr="00535FC6">
        <w:rPr>
          <w:rFonts w:ascii="Verdana" w:hAnsi="Verdana"/>
          <w:sz w:val="20"/>
          <w:szCs w:val="20"/>
          <w:lang w:val="pt-BR"/>
        </w:rPr>
        <w:t>ponto</w:t>
      </w:r>
      <w:r w:rsidR="00CD3CBA">
        <w:rPr>
          <w:rFonts w:ascii="Verdana" w:hAnsi="Verdana"/>
          <w:sz w:val="20"/>
          <w:szCs w:val="20"/>
          <w:lang w:val="pt-BR"/>
        </w:rPr>
        <w:t xml:space="preserve"> anterior</w:t>
      </w:r>
      <w:r w:rsidRPr="00535FC6">
        <w:rPr>
          <w:rFonts w:ascii="Verdana" w:hAnsi="Verdana"/>
          <w:sz w:val="20"/>
          <w:szCs w:val="20"/>
          <w:lang w:val="pt-BR"/>
        </w:rPr>
        <w:t>.</w:t>
      </w:r>
    </w:p>
    <w:p w:rsidR="00C85EE7" w:rsidRPr="00C85EE7" w:rsidRDefault="00C85EE7" w:rsidP="00C85EE7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11627A" w:rsidRPr="005161EC" w:rsidRDefault="00306C19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b/>
          <w:i/>
          <w:sz w:val="20"/>
          <w:szCs w:val="20"/>
          <w:lang w:val="pt-BR"/>
        </w:rPr>
      </w:pPr>
      <w:r w:rsidRPr="005161EC">
        <w:rPr>
          <w:rFonts w:ascii="Verdana" w:hAnsi="Verdana"/>
          <w:b/>
          <w:i/>
          <w:sz w:val="20"/>
          <w:szCs w:val="20"/>
          <w:lang w:val="pt-BR"/>
        </w:rPr>
        <w:t>Considerações da Corte</w:t>
      </w:r>
    </w:p>
    <w:p w:rsidR="00306C19" w:rsidRDefault="00306C19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i/>
          <w:sz w:val="20"/>
          <w:szCs w:val="20"/>
          <w:lang w:val="pt-BR"/>
        </w:rPr>
      </w:pPr>
    </w:p>
    <w:p w:rsidR="00306C19" w:rsidRPr="00306C19" w:rsidRDefault="00306C19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306C19">
        <w:rPr>
          <w:rFonts w:ascii="Verdana" w:hAnsi="Verdana"/>
          <w:sz w:val="20"/>
          <w:szCs w:val="20"/>
          <w:lang w:val="pt-BR"/>
        </w:rPr>
        <w:t xml:space="preserve">A sentença da Corte </w:t>
      </w:r>
      <w:r w:rsidR="005161EC">
        <w:rPr>
          <w:rFonts w:ascii="Verdana" w:hAnsi="Verdana"/>
          <w:sz w:val="20"/>
          <w:szCs w:val="20"/>
          <w:lang w:val="pt-BR"/>
        </w:rPr>
        <w:t xml:space="preserve">estabeleceu </w:t>
      </w:r>
      <w:r w:rsidRPr="00306C19">
        <w:rPr>
          <w:rFonts w:ascii="Verdana" w:hAnsi="Verdana"/>
          <w:sz w:val="20"/>
          <w:szCs w:val="20"/>
          <w:lang w:val="pt-BR"/>
        </w:rPr>
        <w:t xml:space="preserve">as condições em que o pagamento </w:t>
      </w:r>
      <w:r w:rsidR="005161EC">
        <w:rPr>
          <w:rFonts w:ascii="Verdana" w:hAnsi="Verdana"/>
          <w:sz w:val="20"/>
          <w:szCs w:val="20"/>
          <w:lang w:val="pt-BR"/>
        </w:rPr>
        <w:t xml:space="preserve">as indenizações compensatórias </w:t>
      </w:r>
      <w:r w:rsidRPr="00306C19">
        <w:rPr>
          <w:rFonts w:ascii="Verdana" w:hAnsi="Verdana"/>
          <w:sz w:val="20"/>
          <w:szCs w:val="20"/>
          <w:lang w:val="pt-BR"/>
        </w:rPr>
        <w:t xml:space="preserve">deve ser realizado nos parágrafos 496 a </w:t>
      </w:r>
      <w:r w:rsidR="00841794">
        <w:rPr>
          <w:rFonts w:ascii="Verdana" w:hAnsi="Verdana"/>
          <w:sz w:val="20"/>
          <w:szCs w:val="20"/>
          <w:lang w:val="pt-BR"/>
        </w:rPr>
        <w:t>499</w:t>
      </w:r>
      <w:r w:rsidR="00580D52">
        <w:rPr>
          <w:rFonts w:ascii="Verdana" w:hAnsi="Verdana"/>
          <w:sz w:val="20"/>
          <w:szCs w:val="20"/>
          <w:lang w:val="pt-BR"/>
        </w:rPr>
        <w:t>.</w:t>
      </w:r>
    </w:p>
    <w:p w:rsidR="00306C19" w:rsidRPr="00244724" w:rsidRDefault="00306C19" w:rsidP="00B3599C">
      <w:pPr>
        <w:pStyle w:val="Prrafodelista"/>
        <w:autoSpaceDE w:val="0"/>
        <w:autoSpaceDN w:val="0"/>
        <w:adjustRightInd w:val="0"/>
        <w:spacing w:after="0" w:line="240" w:lineRule="auto"/>
        <w:ind w:left="576"/>
        <w:contextualSpacing w:val="0"/>
        <w:jc w:val="both"/>
        <w:rPr>
          <w:rFonts w:ascii="Verdana" w:eastAsiaTheme="minorHAnsi" w:hAnsi="Verdana" w:cs="Verdana"/>
          <w:sz w:val="18"/>
          <w:szCs w:val="18"/>
          <w:lang w:val="pt-BR"/>
        </w:rPr>
      </w:pPr>
    </w:p>
    <w:p w:rsidR="00306C19" w:rsidRPr="00244724" w:rsidRDefault="0005290E" w:rsidP="00F3739F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244724">
        <w:rPr>
          <w:rFonts w:ascii="Verdana" w:hAnsi="Verdana"/>
          <w:sz w:val="20"/>
          <w:szCs w:val="20"/>
          <w:lang w:val="pt-BR"/>
        </w:rPr>
        <w:t xml:space="preserve">A Corte considera </w:t>
      </w:r>
      <w:r w:rsidR="00F3739F" w:rsidRPr="00244724">
        <w:rPr>
          <w:rFonts w:ascii="Verdana" w:hAnsi="Verdana"/>
          <w:sz w:val="20"/>
          <w:szCs w:val="20"/>
          <w:lang w:val="pt-BR"/>
        </w:rPr>
        <w:t>que o</w:t>
      </w:r>
      <w:r w:rsidRPr="00244724">
        <w:rPr>
          <w:rFonts w:ascii="Verdana" w:hAnsi="Verdana"/>
          <w:sz w:val="20"/>
          <w:szCs w:val="20"/>
          <w:lang w:val="pt-BR"/>
        </w:rPr>
        <w:t xml:space="preserve"> ponto levantado pelo Estado está claro na Sentença, uma vez que d</w:t>
      </w:r>
      <w:r w:rsidR="00162F22" w:rsidRPr="00244724">
        <w:rPr>
          <w:rFonts w:ascii="Verdana" w:hAnsi="Verdana"/>
          <w:sz w:val="20"/>
          <w:szCs w:val="20"/>
          <w:lang w:val="pt-BR"/>
        </w:rPr>
        <w:t xml:space="preserve">a leitura do parágrafo 498 depreende-se que </w:t>
      </w:r>
      <w:r w:rsidR="00306C19" w:rsidRPr="00244724">
        <w:rPr>
          <w:rFonts w:ascii="Verdana" w:hAnsi="Verdana"/>
          <w:sz w:val="20"/>
          <w:szCs w:val="20"/>
          <w:lang w:val="pt-BR"/>
        </w:rPr>
        <w:t xml:space="preserve">os valores </w:t>
      </w:r>
      <w:r w:rsidR="005161EC" w:rsidRPr="00244724">
        <w:rPr>
          <w:rFonts w:ascii="Verdana" w:hAnsi="Verdana"/>
          <w:sz w:val="20"/>
          <w:szCs w:val="20"/>
          <w:lang w:val="pt-BR"/>
        </w:rPr>
        <w:t xml:space="preserve">determinados </w:t>
      </w:r>
      <w:r w:rsidR="00306C19" w:rsidRPr="00244724">
        <w:rPr>
          <w:rFonts w:ascii="Verdana" w:hAnsi="Verdana"/>
          <w:sz w:val="20"/>
          <w:szCs w:val="20"/>
          <w:lang w:val="pt-BR"/>
        </w:rPr>
        <w:t xml:space="preserve">em dólares </w:t>
      </w:r>
      <w:r w:rsidR="005161EC" w:rsidRPr="00244724">
        <w:rPr>
          <w:rFonts w:ascii="Verdana" w:hAnsi="Verdana"/>
          <w:sz w:val="20"/>
          <w:szCs w:val="20"/>
          <w:lang w:val="pt-BR"/>
        </w:rPr>
        <w:t xml:space="preserve">estadunidenses </w:t>
      </w:r>
      <w:r w:rsidR="00306C19" w:rsidRPr="00244724">
        <w:rPr>
          <w:rFonts w:ascii="Verdana" w:hAnsi="Verdana"/>
          <w:sz w:val="20"/>
          <w:szCs w:val="20"/>
          <w:lang w:val="pt-BR"/>
        </w:rPr>
        <w:t>pode</w:t>
      </w:r>
      <w:r w:rsidRPr="00244724">
        <w:rPr>
          <w:rFonts w:ascii="Verdana" w:hAnsi="Verdana"/>
          <w:sz w:val="20"/>
          <w:szCs w:val="20"/>
          <w:lang w:val="pt-BR"/>
        </w:rPr>
        <w:t xml:space="preserve">m ser pagos em moeda brasileira. </w:t>
      </w:r>
      <w:r w:rsidR="00535FC6" w:rsidRPr="00244724">
        <w:rPr>
          <w:rFonts w:ascii="Verdana" w:hAnsi="Verdana"/>
          <w:sz w:val="20"/>
          <w:szCs w:val="20"/>
          <w:lang w:val="pt-BR"/>
        </w:rPr>
        <w:t>Portanto, d</w:t>
      </w:r>
      <w:r w:rsidRPr="00244724">
        <w:rPr>
          <w:rFonts w:ascii="Verdana" w:hAnsi="Verdana"/>
          <w:sz w:val="20"/>
          <w:szCs w:val="20"/>
          <w:lang w:val="pt-BR"/>
        </w:rPr>
        <w:t>eve-se</w:t>
      </w:r>
      <w:r w:rsidR="00306C19" w:rsidRPr="00244724">
        <w:rPr>
          <w:rFonts w:ascii="Verdana" w:hAnsi="Verdana"/>
          <w:sz w:val="20"/>
          <w:szCs w:val="20"/>
          <w:lang w:val="pt-BR"/>
        </w:rPr>
        <w:t xml:space="preserve"> utiliza</w:t>
      </w:r>
      <w:r w:rsidRPr="00244724">
        <w:rPr>
          <w:rFonts w:ascii="Verdana" w:hAnsi="Verdana"/>
          <w:sz w:val="20"/>
          <w:szCs w:val="20"/>
          <w:lang w:val="pt-BR"/>
        </w:rPr>
        <w:t>r</w:t>
      </w:r>
      <w:r w:rsidR="00306C19" w:rsidRPr="00244724">
        <w:rPr>
          <w:rFonts w:ascii="Verdana" w:hAnsi="Verdana"/>
          <w:sz w:val="20"/>
          <w:szCs w:val="20"/>
          <w:lang w:val="pt-BR"/>
        </w:rPr>
        <w:t xml:space="preserve"> para o cálculo o tipo de câmbio vigente na bolsa de Nova York, Estados Unidos da América, no dia anterior ao pagamento.</w:t>
      </w:r>
    </w:p>
    <w:p w:rsidR="0005290E" w:rsidRPr="00244724" w:rsidRDefault="0005290E" w:rsidP="0005290E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05290E" w:rsidRPr="00244724" w:rsidRDefault="0005290E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244724">
        <w:rPr>
          <w:rFonts w:ascii="Verdana" w:hAnsi="Verdana"/>
          <w:sz w:val="20"/>
          <w:szCs w:val="20"/>
          <w:lang w:val="pt-BR"/>
        </w:rPr>
        <w:t xml:space="preserve">Portanto, a Corte </w:t>
      </w:r>
      <w:r w:rsidR="00841794">
        <w:rPr>
          <w:rFonts w:ascii="Verdana" w:hAnsi="Verdana"/>
          <w:sz w:val="20"/>
          <w:szCs w:val="20"/>
          <w:lang w:val="pt-BR"/>
        </w:rPr>
        <w:t xml:space="preserve">esclarece que o parágrafo 499 deve ser interpretado em consonância com seu parágrafo anterior, 498, no sentido de que caso o </w:t>
      </w:r>
      <w:r w:rsidRPr="00244724">
        <w:rPr>
          <w:rFonts w:ascii="Verdana" w:hAnsi="Verdana"/>
          <w:sz w:val="20"/>
          <w:szCs w:val="20"/>
          <w:lang w:val="pt-BR"/>
        </w:rPr>
        <w:t xml:space="preserve">pagamento </w:t>
      </w:r>
      <w:r w:rsidR="00F3739F" w:rsidRPr="00244724">
        <w:rPr>
          <w:rFonts w:ascii="Verdana" w:hAnsi="Verdana"/>
          <w:sz w:val="20"/>
          <w:szCs w:val="20"/>
          <w:lang w:val="pt-BR"/>
        </w:rPr>
        <w:t xml:space="preserve">dos valores </w:t>
      </w:r>
      <w:r w:rsidR="00841794">
        <w:rPr>
          <w:rFonts w:ascii="Verdana" w:hAnsi="Verdana"/>
          <w:sz w:val="20"/>
          <w:szCs w:val="20"/>
          <w:lang w:val="pt-BR"/>
        </w:rPr>
        <w:t xml:space="preserve">indicados </w:t>
      </w:r>
      <w:r w:rsidR="00244724" w:rsidRPr="00244724">
        <w:rPr>
          <w:rFonts w:ascii="Verdana" w:hAnsi="Verdana"/>
          <w:sz w:val="20"/>
          <w:szCs w:val="20"/>
          <w:lang w:val="pt-BR"/>
        </w:rPr>
        <w:t>em dólares dos Estados Unidos da América</w:t>
      </w:r>
      <w:r w:rsidR="00841794">
        <w:rPr>
          <w:rFonts w:ascii="Verdana" w:hAnsi="Verdana"/>
          <w:sz w:val="20"/>
          <w:szCs w:val="20"/>
          <w:lang w:val="pt-BR"/>
        </w:rPr>
        <w:t xml:space="preserve"> não possa ser feito nessa moeda</w:t>
      </w:r>
      <w:r w:rsidR="00244724" w:rsidRPr="00244724">
        <w:rPr>
          <w:rFonts w:ascii="Verdana" w:hAnsi="Verdana"/>
          <w:sz w:val="20"/>
          <w:szCs w:val="20"/>
          <w:lang w:val="pt-BR"/>
        </w:rPr>
        <w:t xml:space="preserve">, </w:t>
      </w:r>
      <w:r w:rsidR="00841794">
        <w:rPr>
          <w:rFonts w:ascii="Verdana" w:hAnsi="Verdana"/>
          <w:sz w:val="20"/>
          <w:szCs w:val="20"/>
          <w:lang w:val="pt-BR"/>
        </w:rPr>
        <w:t xml:space="preserve">deverá sê-lo em </w:t>
      </w:r>
      <w:r w:rsidR="00244724" w:rsidRPr="00244724">
        <w:rPr>
          <w:rFonts w:ascii="Verdana" w:hAnsi="Verdana"/>
          <w:sz w:val="20"/>
          <w:szCs w:val="20"/>
          <w:lang w:val="pt-BR"/>
        </w:rPr>
        <w:t xml:space="preserve">moeda brasileira, utilizando </w:t>
      </w:r>
      <w:r w:rsidR="00841794">
        <w:rPr>
          <w:rFonts w:ascii="Verdana" w:hAnsi="Verdana"/>
          <w:sz w:val="20"/>
          <w:szCs w:val="20"/>
          <w:lang w:val="pt-BR"/>
        </w:rPr>
        <w:t xml:space="preserve">para sua conversão </w:t>
      </w:r>
      <w:r w:rsidR="00244724" w:rsidRPr="00244724">
        <w:rPr>
          <w:rFonts w:ascii="Verdana" w:hAnsi="Verdana"/>
          <w:sz w:val="20"/>
          <w:szCs w:val="20"/>
          <w:lang w:val="pt-BR"/>
        </w:rPr>
        <w:t xml:space="preserve">o tipo de câmbio vigente na bolsa de Nova York, Estados Unidos da América, no dia anterior ao pagamento. </w:t>
      </w:r>
    </w:p>
    <w:p w:rsidR="00306C19" w:rsidRDefault="00306C19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306C19" w:rsidRPr="005161EC" w:rsidRDefault="00306C19" w:rsidP="00B3599C">
      <w:pPr>
        <w:pStyle w:val="Prrafodelista"/>
        <w:widowControl w:val="0"/>
        <w:spacing w:after="0" w:line="240" w:lineRule="auto"/>
        <w:contextualSpacing w:val="0"/>
        <w:jc w:val="both"/>
        <w:rPr>
          <w:rFonts w:ascii="Verdana Bold" w:hAnsi="Verdana Bold"/>
          <w:b/>
          <w:sz w:val="20"/>
          <w:szCs w:val="20"/>
          <w:lang w:val="pt-BR"/>
        </w:rPr>
      </w:pPr>
      <w:r w:rsidRPr="005161EC">
        <w:rPr>
          <w:rFonts w:ascii="Verdana Bold" w:hAnsi="Verdana Bold"/>
          <w:b/>
          <w:sz w:val="20"/>
          <w:szCs w:val="20"/>
          <w:lang w:val="pt-BR"/>
        </w:rPr>
        <w:t>B.3. Juros</w:t>
      </w:r>
    </w:p>
    <w:p w:rsidR="00306C19" w:rsidRPr="00306C19" w:rsidRDefault="00306C19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306C19" w:rsidRDefault="00306C19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306C19">
        <w:rPr>
          <w:rFonts w:ascii="Verdana" w:hAnsi="Verdana"/>
          <w:sz w:val="20"/>
          <w:szCs w:val="20"/>
          <w:lang w:val="pt-BR"/>
        </w:rPr>
        <w:t>A sentença estipulou, no parágrafo 501, qu</w:t>
      </w:r>
      <w:r w:rsidR="000F738E">
        <w:rPr>
          <w:rFonts w:ascii="Verdana" w:hAnsi="Verdana"/>
          <w:sz w:val="20"/>
          <w:szCs w:val="20"/>
          <w:lang w:val="pt-BR"/>
        </w:rPr>
        <w:t xml:space="preserve">e se o Estado incorrer em mora, </w:t>
      </w:r>
      <w:r w:rsidRPr="00306C19">
        <w:rPr>
          <w:rFonts w:ascii="Verdana" w:hAnsi="Verdana"/>
          <w:sz w:val="20"/>
          <w:szCs w:val="20"/>
          <w:lang w:val="pt-BR"/>
        </w:rPr>
        <w:t xml:space="preserve">deverá pagar juros sobre o montante devido, correspondentes aos juros bancários de mora na República Federativa do Brasil. O </w:t>
      </w:r>
      <w:r w:rsidRPr="00F3739F">
        <w:rPr>
          <w:rFonts w:ascii="Verdana" w:hAnsi="Verdana"/>
          <w:b/>
          <w:i/>
          <w:sz w:val="20"/>
          <w:szCs w:val="20"/>
          <w:lang w:val="pt-BR"/>
        </w:rPr>
        <w:t>Estado</w:t>
      </w:r>
      <w:r w:rsidRPr="00306C19">
        <w:rPr>
          <w:rFonts w:ascii="Verdana" w:hAnsi="Verdana"/>
          <w:sz w:val="20"/>
          <w:szCs w:val="20"/>
          <w:lang w:val="pt-BR"/>
        </w:rPr>
        <w:t xml:space="preserve"> solicit</w:t>
      </w:r>
      <w:r w:rsidR="005161EC">
        <w:rPr>
          <w:rFonts w:ascii="Verdana" w:hAnsi="Verdana"/>
          <w:sz w:val="20"/>
          <w:szCs w:val="20"/>
          <w:lang w:val="pt-BR"/>
        </w:rPr>
        <w:t>ou</w:t>
      </w:r>
      <w:r w:rsidRPr="00306C19">
        <w:rPr>
          <w:rFonts w:ascii="Verdana" w:hAnsi="Verdana"/>
          <w:sz w:val="20"/>
          <w:szCs w:val="20"/>
          <w:lang w:val="pt-BR"/>
        </w:rPr>
        <w:t xml:space="preserve"> esclarecimento sobre se o pagamento dos juros de mora devem incidir sobre o valor da indenização já convertido para reais, na data em que se </w:t>
      </w:r>
      <w:r w:rsidR="005161EC">
        <w:rPr>
          <w:rFonts w:ascii="Verdana" w:hAnsi="Verdana"/>
          <w:sz w:val="20"/>
          <w:szCs w:val="20"/>
          <w:lang w:val="pt-BR"/>
        </w:rPr>
        <w:t>inicie eventual mora. Esclareceu</w:t>
      </w:r>
      <w:r w:rsidRPr="00306C19">
        <w:rPr>
          <w:rFonts w:ascii="Verdana" w:hAnsi="Verdana"/>
          <w:sz w:val="20"/>
          <w:szCs w:val="20"/>
          <w:lang w:val="pt-BR"/>
        </w:rPr>
        <w:t xml:space="preserve"> tratar-se de precaução com o objetivo de </w:t>
      </w:r>
      <w:r w:rsidR="00F3565E">
        <w:rPr>
          <w:rFonts w:ascii="Verdana" w:hAnsi="Verdana"/>
          <w:sz w:val="20"/>
          <w:szCs w:val="20"/>
          <w:lang w:val="pt-BR"/>
        </w:rPr>
        <w:t>evitar uma</w:t>
      </w:r>
      <w:r w:rsidRPr="00306C19">
        <w:rPr>
          <w:rFonts w:ascii="Verdana" w:hAnsi="Verdana"/>
          <w:sz w:val="20"/>
          <w:szCs w:val="20"/>
          <w:lang w:val="pt-BR"/>
        </w:rPr>
        <w:t xml:space="preserve"> interpretação que resulte </w:t>
      </w:r>
      <w:r w:rsidR="00F3565E">
        <w:rPr>
          <w:rFonts w:ascii="Verdana" w:hAnsi="Verdana"/>
          <w:sz w:val="20"/>
          <w:szCs w:val="20"/>
          <w:lang w:val="pt-BR"/>
        </w:rPr>
        <w:t>na</w:t>
      </w:r>
      <w:r w:rsidRPr="00306C19">
        <w:rPr>
          <w:rFonts w:ascii="Verdana" w:hAnsi="Verdana"/>
          <w:sz w:val="20"/>
          <w:szCs w:val="20"/>
          <w:lang w:val="pt-BR"/>
        </w:rPr>
        <w:t xml:space="preserve"> aplicação de juros previstos para a moeda nacional ao dólar </w:t>
      </w:r>
      <w:r w:rsidR="005161EC">
        <w:rPr>
          <w:rFonts w:ascii="Verdana" w:hAnsi="Verdana"/>
          <w:sz w:val="20"/>
          <w:szCs w:val="20"/>
          <w:lang w:val="pt-BR"/>
        </w:rPr>
        <w:t xml:space="preserve">dos Estados Unidos </w:t>
      </w:r>
      <w:r w:rsidR="00CD3CBA">
        <w:rPr>
          <w:rFonts w:ascii="Verdana" w:hAnsi="Verdana"/>
          <w:sz w:val="20"/>
          <w:szCs w:val="20"/>
          <w:lang w:val="pt-BR"/>
        </w:rPr>
        <w:t>da América.</w:t>
      </w:r>
    </w:p>
    <w:p w:rsidR="005815D6" w:rsidRPr="00306C19" w:rsidRDefault="005815D6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306C19" w:rsidRDefault="00306C19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306C19">
        <w:rPr>
          <w:rFonts w:ascii="Verdana" w:hAnsi="Verdana"/>
          <w:sz w:val="20"/>
          <w:szCs w:val="20"/>
          <w:lang w:val="pt-BR"/>
        </w:rPr>
        <w:t xml:space="preserve">Ainda </w:t>
      </w:r>
      <w:r w:rsidR="005161EC">
        <w:rPr>
          <w:rFonts w:ascii="Verdana" w:hAnsi="Verdana"/>
          <w:sz w:val="20"/>
          <w:szCs w:val="20"/>
          <w:lang w:val="pt-BR"/>
        </w:rPr>
        <w:t>sobre os juros, o Estado observou</w:t>
      </w:r>
      <w:r w:rsidRPr="00306C19">
        <w:rPr>
          <w:rFonts w:ascii="Verdana" w:hAnsi="Verdana"/>
          <w:sz w:val="20"/>
          <w:szCs w:val="20"/>
          <w:lang w:val="pt-BR"/>
        </w:rPr>
        <w:t xml:space="preserve"> que o artigo 68.2 da Convenção Americana dispõe que a parte da sentença que determinar indenização compensatória poderá ser executada no país respectivo </w:t>
      </w:r>
      <w:r w:rsidR="005161EC">
        <w:rPr>
          <w:rFonts w:ascii="Verdana" w:hAnsi="Verdana"/>
          <w:sz w:val="20"/>
          <w:szCs w:val="20"/>
          <w:lang w:val="pt-BR"/>
        </w:rPr>
        <w:t xml:space="preserve">por meio do </w:t>
      </w:r>
      <w:r w:rsidRPr="00306C19">
        <w:rPr>
          <w:rFonts w:ascii="Verdana" w:hAnsi="Verdana"/>
          <w:sz w:val="20"/>
          <w:szCs w:val="20"/>
          <w:lang w:val="pt-BR"/>
        </w:rPr>
        <w:t>processo interno vigente para a execução de sentenças contra o Estado e que, nesse processo interno, o ente público (Fazenda Pública) fixa os juros moratórios segundo a remuneração da caderneta de poupança, conforme o artigo 1-F da Lei 9.494/19</w:t>
      </w:r>
      <w:r w:rsidR="00841A7F">
        <w:rPr>
          <w:rFonts w:ascii="Verdana" w:hAnsi="Verdana"/>
          <w:sz w:val="20"/>
          <w:szCs w:val="20"/>
          <w:lang w:val="pt-BR"/>
        </w:rPr>
        <w:t>9</w:t>
      </w:r>
      <w:r w:rsidRPr="00306C19">
        <w:rPr>
          <w:rFonts w:ascii="Verdana" w:hAnsi="Verdana"/>
          <w:sz w:val="20"/>
          <w:szCs w:val="20"/>
          <w:lang w:val="pt-BR"/>
        </w:rPr>
        <w:t>7</w:t>
      </w:r>
      <w:r w:rsidR="00CD3CBA">
        <w:rPr>
          <w:rFonts w:ascii="Verdana" w:hAnsi="Verdana"/>
          <w:sz w:val="20"/>
          <w:szCs w:val="20"/>
          <w:lang w:val="pt-BR"/>
        </w:rPr>
        <w:t>.</w:t>
      </w:r>
      <w:r>
        <w:rPr>
          <w:rStyle w:val="Refdenotaalpie"/>
          <w:sz w:val="20"/>
          <w:szCs w:val="20"/>
          <w:lang w:val="pt-BR"/>
        </w:rPr>
        <w:footnoteReference w:id="10"/>
      </w:r>
      <w:r w:rsidRPr="00306C19">
        <w:rPr>
          <w:rFonts w:ascii="Verdana" w:hAnsi="Verdana"/>
          <w:sz w:val="20"/>
          <w:szCs w:val="20"/>
          <w:lang w:val="pt-BR"/>
        </w:rPr>
        <w:t xml:space="preserve"> Diante disso, o Estado solicit</w:t>
      </w:r>
      <w:r w:rsidR="005161EC">
        <w:rPr>
          <w:rFonts w:ascii="Verdana" w:hAnsi="Verdana"/>
          <w:sz w:val="20"/>
          <w:szCs w:val="20"/>
          <w:lang w:val="pt-BR"/>
        </w:rPr>
        <w:t>ou</w:t>
      </w:r>
      <w:r w:rsidRPr="00306C19">
        <w:rPr>
          <w:rFonts w:ascii="Verdana" w:hAnsi="Verdana"/>
          <w:sz w:val="20"/>
          <w:szCs w:val="20"/>
          <w:lang w:val="pt-BR"/>
        </w:rPr>
        <w:t>, também, que se esclareça que a expressão “juros bancários”, citada no mesmo parágrafo 501 da sentença, deva ser interpretada em consonância com a legislação interna aplicável aos entes públicos</w:t>
      </w:r>
      <w:r w:rsidR="00547116">
        <w:rPr>
          <w:rFonts w:ascii="Verdana" w:hAnsi="Verdana"/>
          <w:sz w:val="20"/>
          <w:szCs w:val="20"/>
          <w:lang w:val="pt-BR"/>
        </w:rPr>
        <w:t>.</w:t>
      </w:r>
      <w:r w:rsidRPr="00306C19">
        <w:rPr>
          <w:rFonts w:ascii="Verdana" w:hAnsi="Verdana"/>
          <w:sz w:val="20"/>
          <w:szCs w:val="20"/>
          <w:lang w:val="pt-BR"/>
        </w:rPr>
        <w:t xml:space="preserve"> </w:t>
      </w:r>
    </w:p>
    <w:p w:rsidR="005161EC" w:rsidRPr="005161EC" w:rsidRDefault="005161EC" w:rsidP="005161EC">
      <w:pPr>
        <w:pStyle w:val="Prrafodelista"/>
        <w:rPr>
          <w:rFonts w:ascii="Verdana" w:hAnsi="Verdana"/>
          <w:sz w:val="20"/>
          <w:szCs w:val="20"/>
          <w:lang w:val="pt-BR"/>
        </w:rPr>
      </w:pPr>
    </w:p>
    <w:p w:rsidR="00547116" w:rsidRPr="00244724" w:rsidRDefault="00547116" w:rsidP="00547116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244724">
        <w:rPr>
          <w:rFonts w:ascii="Verdana" w:hAnsi="Verdana"/>
          <w:sz w:val="20"/>
          <w:szCs w:val="20"/>
          <w:lang w:val="pt-BR"/>
        </w:rPr>
        <w:t xml:space="preserve">Os </w:t>
      </w:r>
      <w:r w:rsidRPr="00244724">
        <w:rPr>
          <w:rFonts w:ascii="Verdana" w:hAnsi="Verdana"/>
          <w:b/>
          <w:i/>
          <w:sz w:val="20"/>
          <w:szCs w:val="20"/>
          <w:lang w:val="pt-BR"/>
        </w:rPr>
        <w:t>representantes</w:t>
      </w:r>
      <w:r w:rsidRPr="00244724">
        <w:rPr>
          <w:rFonts w:ascii="Verdana" w:hAnsi="Verdana"/>
          <w:sz w:val="20"/>
          <w:szCs w:val="20"/>
          <w:lang w:val="pt-BR"/>
        </w:rPr>
        <w:t xml:space="preserve"> e a </w:t>
      </w:r>
      <w:r w:rsidRPr="00244724">
        <w:rPr>
          <w:rFonts w:ascii="Verdana" w:hAnsi="Verdana"/>
          <w:b/>
          <w:i/>
          <w:sz w:val="20"/>
          <w:szCs w:val="20"/>
          <w:lang w:val="pt-BR"/>
        </w:rPr>
        <w:t>Comissão</w:t>
      </w:r>
      <w:r w:rsidRPr="00244724">
        <w:rPr>
          <w:rFonts w:ascii="Verdana" w:hAnsi="Verdana"/>
          <w:sz w:val="20"/>
          <w:szCs w:val="20"/>
          <w:lang w:val="pt-BR"/>
        </w:rPr>
        <w:t xml:space="preserve"> não apresentaram observações a respeito desse ponto.</w:t>
      </w:r>
    </w:p>
    <w:p w:rsidR="00306C19" w:rsidRDefault="00306C19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color w:val="FF0000"/>
          <w:sz w:val="20"/>
          <w:szCs w:val="20"/>
          <w:lang w:val="pt-BR"/>
        </w:rPr>
      </w:pPr>
    </w:p>
    <w:p w:rsidR="00306C19" w:rsidRPr="005161EC" w:rsidRDefault="00306C19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b/>
          <w:i/>
          <w:sz w:val="20"/>
          <w:szCs w:val="20"/>
          <w:lang w:val="pt-BR"/>
        </w:rPr>
      </w:pPr>
      <w:r w:rsidRPr="005161EC">
        <w:rPr>
          <w:rFonts w:ascii="Verdana" w:hAnsi="Verdana"/>
          <w:b/>
          <w:i/>
          <w:sz w:val="20"/>
          <w:szCs w:val="20"/>
          <w:lang w:val="pt-BR"/>
        </w:rPr>
        <w:t>Considerações da Corte</w:t>
      </w:r>
    </w:p>
    <w:p w:rsidR="00306C19" w:rsidRDefault="00306C19" w:rsidP="00B3599C">
      <w:pPr>
        <w:pStyle w:val="Prrafodelista"/>
        <w:spacing w:after="0" w:line="240" w:lineRule="auto"/>
        <w:ind w:left="0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306C19" w:rsidRPr="00306C19" w:rsidRDefault="00306C19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 w:rsidRPr="00306C19">
        <w:rPr>
          <w:rFonts w:ascii="Verdana" w:hAnsi="Verdana"/>
          <w:sz w:val="20"/>
          <w:szCs w:val="20"/>
          <w:lang w:val="pt-BR"/>
        </w:rPr>
        <w:t>De acordo com o parágrafo 501 da Sentença da Corte:</w:t>
      </w:r>
    </w:p>
    <w:p w:rsidR="00306C19" w:rsidRPr="00841794" w:rsidRDefault="00306C19" w:rsidP="00B3599C">
      <w:pPr>
        <w:pStyle w:val="Prrafodelista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Verdana" w:eastAsiaTheme="minorHAnsi" w:hAnsi="Verdana" w:cs="Verdana"/>
          <w:sz w:val="18"/>
          <w:szCs w:val="18"/>
          <w:lang w:val="pt-BR"/>
        </w:rPr>
      </w:pPr>
    </w:p>
    <w:p w:rsidR="00306C19" w:rsidRPr="00841794" w:rsidRDefault="00306C19" w:rsidP="00B3599C">
      <w:pPr>
        <w:pStyle w:val="Prrafodelista"/>
        <w:autoSpaceDE w:val="0"/>
        <w:autoSpaceDN w:val="0"/>
        <w:adjustRightInd w:val="0"/>
        <w:spacing w:after="0" w:line="240" w:lineRule="auto"/>
        <w:ind w:right="576"/>
        <w:contextualSpacing w:val="0"/>
        <w:jc w:val="both"/>
        <w:rPr>
          <w:rFonts w:ascii="Verdana" w:eastAsiaTheme="minorHAnsi" w:hAnsi="Verdana" w:cs="Verdana"/>
          <w:sz w:val="18"/>
          <w:szCs w:val="18"/>
          <w:lang w:val="pt-BR"/>
        </w:rPr>
      </w:pPr>
      <w:r w:rsidRPr="00841794">
        <w:rPr>
          <w:rFonts w:ascii="Verdana" w:eastAsiaTheme="minorHAnsi" w:hAnsi="Verdana" w:cs="Verdana"/>
          <w:sz w:val="18"/>
          <w:szCs w:val="18"/>
          <w:lang w:val="pt-BR"/>
        </w:rPr>
        <w:lastRenderedPageBreak/>
        <w:t xml:space="preserve">501. </w:t>
      </w:r>
      <w:r w:rsidR="00CD3CBA" w:rsidRPr="00CD3CBA">
        <w:rPr>
          <w:rFonts w:ascii="Verdana" w:eastAsiaTheme="minorHAnsi" w:hAnsi="Verdana" w:cs="Verdana"/>
          <w:sz w:val="18"/>
          <w:szCs w:val="18"/>
          <w:lang w:val="pt-BR"/>
        </w:rPr>
        <w:t>Caso o Estado incorra em mora, deverá pagar juros sobre o montante devido, correspondentes aos juros bancários de mora na República Federativa do Brasil</w:t>
      </w:r>
      <w:r w:rsidRPr="00841794">
        <w:rPr>
          <w:rFonts w:ascii="Verdana" w:eastAsiaTheme="minorHAnsi" w:hAnsi="Verdana" w:cs="Verdana"/>
          <w:sz w:val="18"/>
          <w:szCs w:val="18"/>
          <w:lang w:val="pt-BR"/>
        </w:rPr>
        <w:t>.</w:t>
      </w:r>
    </w:p>
    <w:p w:rsidR="00306C19" w:rsidRDefault="00306C19" w:rsidP="00B3599C">
      <w:pPr>
        <w:pStyle w:val="Prrafodelista"/>
        <w:autoSpaceDE w:val="0"/>
        <w:autoSpaceDN w:val="0"/>
        <w:adjustRightInd w:val="0"/>
        <w:spacing w:after="0" w:line="240" w:lineRule="auto"/>
        <w:ind w:left="576"/>
        <w:contextualSpacing w:val="0"/>
        <w:jc w:val="both"/>
        <w:rPr>
          <w:rFonts w:ascii="Verdana" w:eastAsiaTheme="minorHAnsi" w:hAnsi="Verdana" w:cs="Verdana"/>
          <w:sz w:val="16"/>
          <w:szCs w:val="16"/>
          <w:lang w:val="pt-BR"/>
        </w:rPr>
      </w:pPr>
    </w:p>
    <w:p w:rsidR="00806BFF" w:rsidRDefault="00953381" w:rsidP="00B3599C">
      <w:pPr>
        <w:pStyle w:val="Prrafodelista"/>
        <w:numPr>
          <w:ilvl w:val="0"/>
          <w:numId w:val="2"/>
        </w:numPr>
        <w:tabs>
          <w:tab w:val="clear" w:pos="1247"/>
        </w:tabs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>
        <w:rPr>
          <w:rFonts w:ascii="Verdana" w:hAnsi="Verdana"/>
          <w:sz w:val="20"/>
          <w:szCs w:val="20"/>
          <w:lang w:val="pt-BR"/>
        </w:rPr>
        <w:t>No que tange à primeira parte da consulta do Estado, a Corte esclarece que o</w:t>
      </w:r>
      <w:r w:rsidR="00244724">
        <w:rPr>
          <w:rFonts w:ascii="Verdana" w:hAnsi="Verdana"/>
          <w:sz w:val="20"/>
          <w:szCs w:val="20"/>
          <w:lang w:val="pt-BR"/>
        </w:rPr>
        <w:t xml:space="preserve"> parágrafo 501 deve ser interpretado em consonância com o parágrafo 498, o qual determina como será feito o pagamento da indenização em moeda brasileira. Desta forma, o</w:t>
      </w:r>
      <w:r w:rsidR="00306C19" w:rsidRPr="00306C19">
        <w:rPr>
          <w:rFonts w:ascii="Verdana" w:hAnsi="Verdana"/>
          <w:sz w:val="20"/>
          <w:szCs w:val="20"/>
          <w:lang w:val="pt-BR"/>
        </w:rPr>
        <w:t xml:space="preserve"> pagamento dos juros de mora deve ser calculado sobre o valor em reais, </w:t>
      </w:r>
      <w:r w:rsidR="0093619A">
        <w:rPr>
          <w:rFonts w:ascii="Verdana" w:hAnsi="Verdana"/>
          <w:sz w:val="20"/>
          <w:szCs w:val="20"/>
          <w:lang w:val="pt-BR"/>
        </w:rPr>
        <w:t>uma vez que tenham os valores determinados na Sentença tenham sido convertidos de dólar estadunidense a real</w:t>
      </w:r>
      <w:r w:rsidR="004F30FD">
        <w:rPr>
          <w:rFonts w:ascii="Verdana" w:hAnsi="Verdana"/>
          <w:sz w:val="20"/>
          <w:szCs w:val="20"/>
          <w:lang w:val="pt-BR"/>
        </w:rPr>
        <w:t xml:space="preserve"> brasileiro</w:t>
      </w:r>
      <w:r w:rsidR="0093619A">
        <w:rPr>
          <w:rFonts w:ascii="Verdana" w:hAnsi="Verdana"/>
          <w:sz w:val="20"/>
          <w:szCs w:val="20"/>
          <w:lang w:val="pt-BR"/>
        </w:rPr>
        <w:t xml:space="preserve">. </w:t>
      </w:r>
    </w:p>
    <w:p w:rsidR="00953381" w:rsidRDefault="00953381" w:rsidP="00953381">
      <w:pPr>
        <w:pStyle w:val="Prrafodelista"/>
        <w:spacing w:after="0" w:line="240" w:lineRule="auto"/>
        <w:ind w:left="0"/>
        <w:jc w:val="both"/>
        <w:rPr>
          <w:rFonts w:ascii="Verdana" w:hAnsi="Verdana"/>
          <w:sz w:val="20"/>
          <w:szCs w:val="20"/>
          <w:u w:val="single"/>
          <w:lang w:val="pt-BR"/>
        </w:rPr>
      </w:pPr>
    </w:p>
    <w:p w:rsidR="0093619A" w:rsidRPr="00953381" w:rsidRDefault="0093619A" w:rsidP="0093619A">
      <w:pPr>
        <w:pStyle w:val="Prrafodelista"/>
        <w:numPr>
          <w:ilvl w:val="0"/>
          <w:numId w:val="2"/>
        </w:numPr>
        <w:tabs>
          <w:tab w:val="clear" w:pos="1247"/>
          <w:tab w:val="num" w:pos="0"/>
        </w:tabs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953381">
        <w:rPr>
          <w:rFonts w:ascii="Verdana" w:hAnsi="Verdana"/>
          <w:sz w:val="20"/>
          <w:szCs w:val="20"/>
          <w:lang w:val="pt-BR"/>
        </w:rPr>
        <w:t xml:space="preserve">Sem prejuízo do anterior, a Corte considera que </w:t>
      </w:r>
      <w:r w:rsidR="00953381" w:rsidRPr="00953381">
        <w:rPr>
          <w:rFonts w:ascii="Verdana" w:hAnsi="Verdana"/>
          <w:sz w:val="20"/>
          <w:szCs w:val="20"/>
          <w:lang w:val="pt-BR"/>
        </w:rPr>
        <w:t xml:space="preserve">a segunda parte do </w:t>
      </w:r>
      <w:r w:rsidRPr="00953381">
        <w:rPr>
          <w:rFonts w:ascii="Verdana" w:hAnsi="Verdana"/>
          <w:sz w:val="20"/>
          <w:szCs w:val="20"/>
          <w:lang w:val="pt-BR"/>
        </w:rPr>
        <w:t>pedido do Estado</w:t>
      </w:r>
      <w:r w:rsidR="00953381" w:rsidRPr="00953381">
        <w:rPr>
          <w:rFonts w:ascii="Verdana" w:hAnsi="Verdana"/>
          <w:sz w:val="20"/>
          <w:szCs w:val="20"/>
          <w:lang w:val="pt-BR"/>
        </w:rPr>
        <w:t>, em relação ao tipo de juros bancários incidentes sobre o valor em mora</w:t>
      </w:r>
      <w:r w:rsidR="00CD3CBA">
        <w:rPr>
          <w:rFonts w:ascii="Verdana" w:hAnsi="Verdana"/>
          <w:sz w:val="20"/>
          <w:szCs w:val="20"/>
          <w:lang w:val="pt-BR"/>
        </w:rPr>
        <w:t>,</w:t>
      </w:r>
      <w:r w:rsidR="00953381" w:rsidRPr="00953381">
        <w:rPr>
          <w:rFonts w:ascii="Verdana" w:hAnsi="Verdana"/>
          <w:sz w:val="20"/>
          <w:szCs w:val="20"/>
          <w:lang w:val="pt-BR"/>
        </w:rPr>
        <w:t xml:space="preserve"> é um aspecto referente à supervisão do cumprimento da Sentença e não deve ser objeto de uma interpretação em abstrato por parte da Corte Interamericana nesta Sentença. </w:t>
      </w:r>
    </w:p>
    <w:p w:rsidR="00BF47F9" w:rsidRPr="00306C19" w:rsidRDefault="00BF47F9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BF47F9" w:rsidRPr="00953381" w:rsidRDefault="00BF47F9" w:rsidP="00B3599C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  <w:r w:rsidRPr="00953381">
        <w:rPr>
          <w:rFonts w:ascii="Verdana" w:hAnsi="Verdana"/>
          <w:b/>
          <w:sz w:val="20"/>
          <w:szCs w:val="20"/>
          <w:lang w:val="pt-BR"/>
        </w:rPr>
        <w:t>V</w:t>
      </w:r>
    </w:p>
    <w:p w:rsidR="00BF47F9" w:rsidRPr="00953381" w:rsidRDefault="00BF47F9" w:rsidP="00B3599C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  <w:r w:rsidRPr="00953381">
        <w:rPr>
          <w:rFonts w:ascii="Verdana" w:hAnsi="Verdana"/>
          <w:b/>
          <w:sz w:val="20"/>
          <w:szCs w:val="20"/>
          <w:lang w:val="pt-BR"/>
        </w:rPr>
        <w:t xml:space="preserve">PONTOS RESOLUTIVOS </w:t>
      </w:r>
    </w:p>
    <w:p w:rsidR="0093619A" w:rsidRPr="00953381" w:rsidRDefault="0093619A" w:rsidP="0093619A">
      <w:pPr>
        <w:pStyle w:val="Prrafodelista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Verdana" w:hAnsi="Verdana" w:cs="Verdana"/>
          <w:sz w:val="20"/>
          <w:szCs w:val="20"/>
          <w:lang w:val="pt-BR"/>
        </w:rPr>
      </w:pPr>
    </w:p>
    <w:p w:rsidR="00BF47F9" w:rsidRPr="00953381" w:rsidRDefault="0093619A" w:rsidP="00B3599C">
      <w:pPr>
        <w:pStyle w:val="Prrafodelista"/>
        <w:numPr>
          <w:ilvl w:val="0"/>
          <w:numId w:val="2"/>
        </w:numPr>
        <w:tabs>
          <w:tab w:val="clear" w:pos="1247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Verdana" w:hAnsi="Verdana" w:cs="Verdana"/>
          <w:sz w:val="20"/>
          <w:szCs w:val="20"/>
          <w:lang w:val="pt-BR"/>
        </w:rPr>
      </w:pPr>
      <w:r w:rsidRPr="00953381">
        <w:rPr>
          <w:rFonts w:ascii="Verdana" w:hAnsi="Verdana" w:cs="Verdana"/>
          <w:sz w:val="20"/>
          <w:szCs w:val="20"/>
          <w:lang w:val="pt-BR"/>
        </w:rPr>
        <w:t>Portanto</w:t>
      </w:r>
      <w:r w:rsidR="00BF47F9" w:rsidRPr="00953381">
        <w:rPr>
          <w:rFonts w:ascii="Verdana" w:hAnsi="Verdana" w:cs="Verdana"/>
          <w:sz w:val="20"/>
          <w:szCs w:val="20"/>
          <w:lang w:val="pt-BR"/>
        </w:rPr>
        <w:t>,</w:t>
      </w:r>
    </w:p>
    <w:p w:rsidR="00BF47F9" w:rsidRPr="00953381" w:rsidRDefault="00BF47F9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BF47F9" w:rsidRPr="00697DFE" w:rsidRDefault="008C114C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  <w:r w:rsidRPr="008C114C">
        <w:rPr>
          <w:rFonts w:ascii="Verdana" w:hAnsi="Verdana" w:cs="Verdana"/>
          <w:b/>
          <w:sz w:val="20"/>
          <w:szCs w:val="20"/>
          <w:lang w:val="pt-BR"/>
        </w:rPr>
        <w:t>A CORTE</w:t>
      </w:r>
      <w:r>
        <w:rPr>
          <w:rFonts w:ascii="Verdana" w:hAnsi="Verdana" w:cs="Verdana"/>
          <w:sz w:val="20"/>
          <w:szCs w:val="20"/>
          <w:lang w:val="pt-BR"/>
        </w:rPr>
        <w:t>,</w:t>
      </w:r>
    </w:p>
    <w:p w:rsidR="00BF47F9" w:rsidRPr="00697DFE" w:rsidRDefault="00BF47F9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BF47F9" w:rsidRPr="00697DFE" w:rsidRDefault="00CD3CBA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  <w:r>
        <w:rPr>
          <w:rFonts w:ascii="Verdana" w:hAnsi="Verdana" w:cs="Verdana"/>
          <w:sz w:val="20"/>
          <w:szCs w:val="20"/>
          <w:lang w:val="pt-BR"/>
        </w:rPr>
        <w:t xml:space="preserve">em conformidade com </w:t>
      </w:r>
      <w:r w:rsidR="00BF47F9" w:rsidRPr="00BE3154">
        <w:rPr>
          <w:rFonts w:ascii="Verdana" w:hAnsi="Verdana" w:cs="Verdana"/>
          <w:sz w:val="20"/>
          <w:szCs w:val="20"/>
          <w:lang w:val="pt-BR"/>
        </w:rPr>
        <w:t xml:space="preserve">o artigo 67 da Convenção Americana sobre Direitos Humanos e os artigos </w:t>
      </w:r>
      <w:r w:rsidR="00BE3154" w:rsidRPr="00BE3154">
        <w:rPr>
          <w:rFonts w:ascii="Verdana" w:hAnsi="Verdana" w:cs="Verdana"/>
          <w:sz w:val="20"/>
          <w:szCs w:val="20"/>
          <w:lang w:val="pt-BR"/>
        </w:rPr>
        <w:t>31</w:t>
      </w:r>
      <w:r w:rsidR="00BF47F9" w:rsidRPr="00BE3154">
        <w:rPr>
          <w:rFonts w:ascii="Verdana" w:hAnsi="Verdana" w:cs="Verdana"/>
          <w:sz w:val="20"/>
          <w:szCs w:val="20"/>
          <w:lang w:val="pt-BR"/>
        </w:rPr>
        <w:t xml:space="preserve">.3 e </w:t>
      </w:r>
      <w:r w:rsidR="00BE3154">
        <w:rPr>
          <w:rFonts w:ascii="Verdana" w:hAnsi="Verdana" w:cs="Verdana"/>
          <w:sz w:val="20"/>
          <w:szCs w:val="20"/>
          <w:lang w:val="pt-BR"/>
        </w:rPr>
        <w:t xml:space="preserve">68 </w:t>
      </w:r>
      <w:r w:rsidR="00BF47F9" w:rsidRPr="00697DFE">
        <w:rPr>
          <w:rFonts w:ascii="Verdana" w:hAnsi="Verdana" w:cs="Verdana"/>
          <w:sz w:val="20"/>
          <w:szCs w:val="20"/>
          <w:lang w:val="pt-BR"/>
        </w:rPr>
        <w:t xml:space="preserve"> do Regulamento, </w:t>
      </w:r>
    </w:p>
    <w:p w:rsidR="00BF47F9" w:rsidRPr="00697DFE" w:rsidRDefault="00BF47F9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BF47F9" w:rsidRPr="00BE3154" w:rsidRDefault="00BF47F9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  <w:lang w:val="pt-BR"/>
        </w:rPr>
      </w:pPr>
      <w:r w:rsidRPr="00BE3154">
        <w:rPr>
          <w:rFonts w:ascii="Verdana" w:hAnsi="Verdana" w:cs="Verdana"/>
          <w:b/>
          <w:sz w:val="20"/>
          <w:szCs w:val="20"/>
          <w:lang w:val="pt-BR"/>
        </w:rPr>
        <w:t>DECIDE:</w:t>
      </w:r>
    </w:p>
    <w:p w:rsidR="00BF47F9" w:rsidRPr="00BE3154" w:rsidRDefault="00BF47F9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BF47F9" w:rsidRPr="00BE3154" w:rsidRDefault="00BF47F9" w:rsidP="00B3599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  <w:r w:rsidRPr="00BE3154">
        <w:rPr>
          <w:rFonts w:ascii="Verdana" w:hAnsi="Verdana" w:cs="Verdana"/>
          <w:sz w:val="20"/>
          <w:szCs w:val="20"/>
          <w:lang w:val="pt-BR"/>
        </w:rPr>
        <w:t xml:space="preserve">Por </w:t>
      </w:r>
      <w:r w:rsidR="00BE3154">
        <w:rPr>
          <w:rFonts w:ascii="Verdana" w:hAnsi="Verdana" w:cs="Verdana"/>
          <w:sz w:val="20"/>
          <w:szCs w:val="20"/>
          <w:lang w:val="pt-BR"/>
        </w:rPr>
        <w:t>unanimidade,</w:t>
      </w:r>
    </w:p>
    <w:p w:rsidR="00BF47F9" w:rsidRPr="00BE3154" w:rsidRDefault="00BF47F9" w:rsidP="00B3599C">
      <w:pPr>
        <w:spacing w:after="0" w:line="240" w:lineRule="auto"/>
        <w:jc w:val="both"/>
        <w:rPr>
          <w:rFonts w:ascii="Verdana" w:hAnsi="Verdana" w:cs="Verdana"/>
          <w:sz w:val="20"/>
          <w:szCs w:val="20"/>
          <w:lang w:val="pt-BR"/>
        </w:rPr>
      </w:pPr>
    </w:p>
    <w:p w:rsidR="006A5B06" w:rsidRDefault="006A5B06" w:rsidP="00B3599C">
      <w:pPr>
        <w:pStyle w:val="Prrafode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>
        <w:rPr>
          <w:rFonts w:ascii="Verdana" w:hAnsi="Verdana"/>
          <w:sz w:val="20"/>
          <w:szCs w:val="20"/>
          <w:lang w:val="pt-BR"/>
        </w:rPr>
        <w:t>Declarar admissível a demanda de interpretação de Sentença de Exceções Preliminares, Mérito, Reparações e Custas no presente caso, interposta pelo Estado brasileiro.</w:t>
      </w:r>
    </w:p>
    <w:p w:rsidR="00FF1445" w:rsidRPr="00FF1445" w:rsidRDefault="00FF1445" w:rsidP="00B3599C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:rsidR="00FF1445" w:rsidRDefault="00CD3CBA" w:rsidP="00B3599C">
      <w:pPr>
        <w:pStyle w:val="Prrafode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>
        <w:rPr>
          <w:rFonts w:ascii="Verdana" w:hAnsi="Verdana"/>
          <w:sz w:val="20"/>
          <w:szCs w:val="20"/>
          <w:lang w:val="pt-BR"/>
        </w:rPr>
        <w:t>Declarar</w:t>
      </w:r>
      <w:r w:rsidR="00FF1445">
        <w:rPr>
          <w:rFonts w:ascii="Verdana" w:hAnsi="Verdana"/>
          <w:sz w:val="20"/>
          <w:szCs w:val="20"/>
          <w:lang w:val="pt-BR"/>
        </w:rPr>
        <w:t xml:space="preserve"> improcedente</w:t>
      </w:r>
      <w:r w:rsidR="00841A7F">
        <w:rPr>
          <w:rFonts w:ascii="Verdana" w:hAnsi="Verdana"/>
          <w:sz w:val="20"/>
          <w:szCs w:val="20"/>
          <w:lang w:val="pt-BR"/>
        </w:rPr>
        <w:t>s</w:t>
      </w:r>
      <w:r w:rsidR="00FF1445">
        <w:rPr>
          <w:rFonts w:ascii="Verdana" w:hAnsi="Verdana"/>
          <w:sz w:val="20"/>
          <w:szCs w:val="20"/>
          <w:lang w:val="pt-BR"/>
        </w:rPr>
        <w:t xml:space="preserve"> </w:t>
      </w:r>
      <w:r w:rsidR="00841A7F">
        <w:rPr>
          <w:rFonts w:ascii="Verdana" w:hAnsi="Verdana"/>
          <w:sz w:val="20"/>
          <w:szCs w:val="20"/>
          <w:lang w:val="pt-BR"/>
        </w:rPr>
        <w:t xml:space="preserve">os pedidos </w:t>
      </w:r>
      <w:r w:rsidR="00FF1445">
        <w:rPr>
          <w:rFonts w:ascii="Verdana" w:hAnsi="Verdana"/>
          <w:sz w:val="20"/>
          <w:szCs w:val="20"/>
          <w:lang w:val="pt-BR"/>
        </w:rPr>
        <w:t xml:space="preserve">de interpretação da Sentença de Exceções Preliminares, Mérito, Reparações e Custas no que diz respeito </w:t>
      </w:r>
      <w:r w:rsidR="00FF1445" w:rsidRPr="00BE3154">
        <w:rPr>
          <w:rFonts w:ascii="Verdana" w:hAnsi="Verdana"/>
          <w:sz w:val="20"/>
          <w:szCs w:val="20"/>
          <w:lang w:val="pt-BR"/>
        </w:rPr>
        <w:t>ao pagamento de custas e gastos</w:t>
      </w:r>
      <w:r w:rsidR="00953381">
        <w:rPr>
          <w:rFonts w:ascii="Verdana" w:hAnsi="Verdana"/>
          <w:sz w:val="20"/>
          <w:szCs w:val="20"/>
          <w:lang w:val="pt-BR"/>
        </w:rPr>
        <w:t xml:space="preserve"> e aos juros de mora incidentes</w:t>
      </w:r>
      <w:r w:rsidR="00BE3154" w:rsidRPr="00BE3154">
        <w:rPr>
          <w:rFonts w:ascii="Verdana" w:hAnsi="Verdana"/>
          <w:sz w:val="20"/>
          <w:szCs w:val="20"/>
          <w:lang w:val="pt-BR"/>
        </w:rPr>
        <w:t xml:space="preserve">, nos termos dos parágrafos </w:t>
      </w:r>
      <w:r w:rsidR="00953381">
        <w:rPr>
          <w:rFonts w:ascii="Verdana" w:hAnsi="Verdana"/>
          <w:sz w:val="20"/>
          <w:szCs w:val="20"/>
          <w:lang w:val="pt-BR"/>
        </w:rPr>
        <w:t>18 a 20 e 45</w:t>
      </w:r>
      <w:r w:rsidR="00BE3154" w:rsidRPr="00BE3154">
        <w:rPr>
          <w:rFonts w:ascii="Verdana" w:hAnsi="Verdana"/>
          <w:sz w:val="20"/>
          <w:szCs w:val="20"/>
          <w:lang w:val="pt-BR"/>
        </w:rPr>
        <w:t xml:space="preserve"> da presente Sentença de Interpretação</w:t>
      </w:r>
      <w:r w:rsidR="00FF1445">
        <w:rPr>
          <w:rFonts w:ascii="Verdana" w:hAnsi="Verdana"/>
          <w:sz w:val="20"/>
          <w:szCs w:val="20"/>
          <w:lang w:val="pt-BR"/>
        </w:rPr>
        <w:t>.</w:t>
      </w:r>
    </w:p>
    <w:p w:rsidR="00FF1445" w:rsidRPr="00FF1445" w:rsidRDefault="00FF1445" w:rsidP="00B3599C">
      <w:pPr>
        <w:pStyle w:val="Prrafodelista"/>
        <w:spacing w:after="0" w:line="240" w:lineRule="auto"/>
        <w:contextualSpacing w:val="0"/>
        <w:rPr>
          <w:rFonts w:ascii="Verdana" w:hAnsi="Verdana"/>
          <w:sz w:val="20"/>
          <w:szCs w:val="20"/>
          <w:lang w:val="pt-BR"/>
        </w:rPr>
      </w:pPr>
    </w:p>
    <w:p w:rsidR="006A5B06" w:rsidRDefault="006A5B06" w:rsidP="00B3599C">
      <w:pPr>
        <w:pStyle w:val="Prrafode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>
        <w:rPr>
          <w:rFonts w:ascii="Verdana" w:hAnsi="Verdana"/>
          <w:sz w:val="20"/>
          <w:szCs w:val="20"/>
          <w:lang w:val="pt-BR"/>
        </w:rPr>
        <w:t>Determinar o sentido e o alcance do disposto na Sentença de Exceções Preliminares, Mérito, Reparações e Custas</w:t>
      </w:r>
      <w:r w:rsidR="00FF1445">
        <w:rPr>
          <w:rFonts w:ascii="Verdana" w:hAnsi="Verdana"/>
          <w:sz w:val="20"/>
          <w:szCs w:val="20"/>
          <w:lang w:val="pt-BR"/>
        </w:rPr>
        <w:t xml:space="preserve">, nos termos dos parágrafos </w:t>
      </w:r>
      <w:r w:rsidR="00953381">
        <w:rPr>
          <w:rFonts w:ascii="Verdana" w:hAnsi="Verdana"/>
          <w:sz w:val="20"/>
          <w:szCs w:val="20"/>
          <w:lang w:val="pt-BR"/>
        </w:rPr>
        <w:t>30 a 33, 37 a 39 e 43 e 44</w:t>
      </w:r>
      <w:r w:rsidR="00FF1445">
        <w:rPr>
          <w:rFonts w:ascii="Verdana" w:hAnsi="Verdana"/>
          <w:sz w:val="20"/>
          <w:szCs w:val="20"/>
          <w:lang w:val="pt-BR"/>
        </w:rPr>
        <w:t xml:space="preserve"> da presente Sentença de Interpretação.</w:t>
      </w:r>
    </w:p>
    <w:p w:rsidR="00FF1445" w:rsidRPr="00FF1445" w:rsidRDefault="00FF1445" w:rsidP="00B3599C">
      <w:pPr>
        <w:pStyle w:val="Prrafodelista"/>
        <w:spacing w:after="0" w:line="240" w:lineRule="auto"/>
        <w:contextualSpacing w:val="0"/>
        <w:rPr>
          <w:rFonts w:ascii="Verdana" w:hAnsi="Verdana"/>
          <w:sz w:val="20"/>
          <w:szCs w:val="20"/>
          <w:lang w:val="pt-BR"/>
        </w:rPr>
      </w:pPr>
    </w:p>
    <w:p w:rsidR="008C114C" w:rsidRDefault="00FF1445" w:rsidP="00B3599C">
      <w:pPr>
        <w:pStyle w:val="Prrafode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  <w:r>
        <w:rPr>
          <w:rFonts w:ascii="Verdana" w:hAnsi="Verdana"/>
          <w:sz w:val="20"/>
          <w:szCs w:val="20"/>
          <w:lang w:val="pt-BR"/>
        </w:rPr>
        <w:t>Requerer à Secretaria da Corte Interamericana de Direitos Humanos que notifique a presente Sentença de Interpretação ao Estado, aos representantes das vítimas e à Comissão Interamericana.</w:t>
      </w:r>
    </w:p>
    <w:p w:rsidR="00DF317D" w:rsidRPr="00DF317D" w:rsidRDefault="00DF317D" w:rsidP="00DF317D">
      <w:pPr>
        <w:pStyle w:val="Prrafodelista"/>
        <w:rPr>
          <w:rFonts w:ascii="Verdana" w:hAnsi="Verdana"/>
          <w:sz w:val="20"/>
          <w:szCs w:val="20"/>
          <w:lang w:val="pt-BR"/>
        </w:rPr>
      </w:pPr>
    </w:p>
    <w:p w:rsidR="00DF317D" w:rsidRDefault="00DF317D" w:rsidP="00DF317D">
      <w:pPr>
        <w:pStyle w:val="Prrafodelista"/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DF317D" w:rsidRDefault="00DF317D" w:rsidP="00DF317D">
      <w:pPr>
        <w:pStyle w:val="Prrafodelista"/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p w:rsidR="00DF317D" w:rsidRPr="00697AC6" w:rsidRDefault="00DF317D" w:rsidP="00DF317D">
      <w:pPr>
        <w:pStyle w:val="Default"/>
        <w:jc w:val="both"/>
        <w:rPr>
          <w:sz w:val="20"/>
          <w:lang w:val="pt-BR"/>
        </w:rPr>
      </w:pPr>
      <w:bookmarkStart w:id="0" w:name="_GoBack"/>
      <w:bookmarkEnd w:id="0"/>
      <w:r>
        <w:rPr>
          <w:sz w:val="20"/>
          <w:lang w:val="pt-BR"/>
        </w:rPr>
        <w:t xml:space="preserve">Corte IDH. </w:t>
      </w:r>
      <w:r w:rsidRPr="00EF1C6F">
        <w:rPr>
          <w:i/>
          <w:sz w:val="20"/>
          <w:lang w:val="pt-BR"/>
        </w:rPr>
        <w:t>Caso Trabalhadores da Fazenda Brasil Verde</w:t>
      </w:r>
      <w:r>
        <w:rPr>
          <w:sz w:val="20"/>
          <w:lang w:val="pt-BR"/>
        </w:rPr>
        <w:t xml:space="preserve">. </w:t>
      </w:r>
      <w:r w:rsidRPr="00DF7EE3">
        <w:rPr>
          <w:rFonts w:eastAsia="Times New Roman"/>
          <w:bCs/>
          <w:iCs/>
          <w:snapToGrid w:val="0"/>
          <w:sz w:val="20"/>
          <w:szCs w:val="20"/>
          <w:lang w:val="pt-BR" w:eastAsia="es-ES"/>
        </w:rPr>
        <w:t>Interpretação da Sentença de Exceções Preliminares, Mérito, Reparações e Custas</w:t>
      </w:r>
      <w:r>
        <w:rPr>
          <w:rFonts w:eastAsia="Times New Roman"/>
          <w:bCs/>
          <w:iCs/>
          <w:snapToGrid w:val="0"/>
          <w:sz w:val="20"/>
          <w:szCs w:val="20"/>
          <w:lang w:val="pt-BR" w:eastAsia="es-ES"/>
        </w:rPr>
        <w:t>.</w:t>
      </w:r>
      <w:r w:rsidRPr="00DF7EE3">
        <w:rPr>
          <w:sz w:val="20"/>
          <w:lang w:val="pt-BR"/>
        </w:rPr>
        <w:t xml:space="preserve"> Sentença de 2</w:t>
      </w:r>
      <w:r>
        <w:rPr>
          <w:sz w:val="20"/>
          <w:lang w:val="pt-BR"/>
        </w:rPr>
        <w:t>2</w:t>
      </w:r>
      <w:r w:rsidRPr="00DF7EE3">
        <w:rPr>
          <w:sz w:val="20"/>
          <w:lang w:val="pt-BR"/>
        </w:rPr>
        <w:t xml:space="preserve"> de agosto de 2017.</w:t>
      </w: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jc w:val="center"/>
        <w:rPr>
          <w:rFonts w:ascii="Verdana" w:hAnsi="Verdana"/>
          <w:sz w:val="20"/>
          <w:lang w:val="pt-BR"/>
        </w:rPr>
      </w:pPr>
      <w:r w:rsidRPr="00697AC6">
        <w:rPr>
          <w:rFonts w:ascii="Verdana" w:hAnsi="Verdana"/>
          <w:sz w:val="20"/>
          <w:lang w:val="pt-BR"/>
        </w:rPr>
        <w:t xml:space="preserve">Eduardo Ferrer </w:t>
      </w:r>
      <w:proofErr w:type="spellStart"/>
      <w:r w:rsidRPr="00697AC6">
        <w:rPr>
          <w:rFonts w:ascii="Verdana" w:hAnsi="Verdana"/>
          <w:sz w:val="20"/>
          <w:lang w:val="pt-BR"/>
        </w:rPr>
        <w:t>Mac-Gregor</w:t>
      </w:r>
      <w:proofErr w:type="spellEnd"/>
      <w:r w:rsidRPr="00697AC6">
        <w:rPr>
          <w:rFonts w:ascii="Verdana" w:hAnsi="Verdana"/>
          <w:sz w:val="20"/>
          <w:lang w:val="pt-BR"/>
        </w:rPr>
        <w:t xml:space="preserve"> </w:t>
      </w:r>
      <w:proofErr w:type="spellStart"/>
      <w:r w:rsidRPr="00697AC6">
        <w:rPr>
          <w:rFonts w:ascii="Verdana" w:hAnsi="Verdana"/>
          <w:sz w:val="20"/>
          <w:lang w:val="pt-BR"/>
        </w:rPr>
        <w:t>Poisot</w:t>
      </w:r>
      <w:proofErr w:type="spellEnd"/>
    </w:p>
    <w:p w:rsidR="00DF317D" w:rsidRPr="00697AC6" w:rsidRDefault="00DF317D" w:rsidP="00DF317D">
      <w:pPr>
        <w:spacing w:after="0"/>
        <w:jc w:val="center"/>
        <w:rPr>
          <w:rFonts w:ascii="Verdana" w:hAnsi="Verdana"/>
          <w:sz w:val="20"/>
          <w:lang w:val="pt-BR"/>
        </w:rPr>
      </w:pPr>
      <w:r w:rsidRPr="00697AC6">
        <w:rPr>
          <w:rFonts w:ascii="Verdana" w:hAnsi="Verdana"/>
          <w:sz w:val="20"/>
          <w:lang w:val="pt-BR"/>
        </w:rPr>
        <w:t>Presidente em Exercício</w:t>
      </w: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  <w:r w:rsidRPr="00697AC6">
        <w:rPr>
          <w:rFonts w:ascii="Verdana" w:hAnsi="Verdana"/>
          <w:sz w:val="20"/>
          <w:lang w:val="pt-BR"/>
        </w:rPr>
        <w:t xml:space="preserve"> Eduardo </w:t>
      </w:r>
      <w:proofErr w:type="spellStart"/>
      <w:r w:rsidRPr="00697AC6">
        <w:rPr>
          <w:rFonts w:ascii="Verdana" w:hAnsi="Verdana"/>
          <w:sz w:val="20"/>
          <w:lang w:val="pt-BR"/>
        </w:rPr>
        <w:t>Vio</w:t>
      </w:r>
      <w:proofErr w:type="spellEnd"/>
      <w:r w:rsidRPr="00697AC6">
        <w:rPr>
          <w:rFonts w:ascii="Verdana" w:hAnsi="Verdana"/>
          <w:sz w:val="20"/>
          <w:lang w:val="pt-BR"/>
        </w:rPr>
        <w:t xml:space="preserve"> Grossi</w:t>
      </w:r>
      <w:r w:rsidRPr="00697AC6">
        <w:rPr>
          <w:rFonts w:ascii="Verdana" w:hAnsi="Verdana"/>
          <w:sz w:val="20"/>
          <w:lang w:val="pt-BR"/>
        </w:rPr>
        <w:tab/>
      </w:r>
      <w:r w:rsidRPr="00697AC6">
        <w:rPr>
          <w:rFonts w:ascii="Verdana" w:hAnsi="Verdana"/>
          <w:sz w:val="20"/>
          <w:lang w:val="pt-BR"/>
        </w:rPr>
        <w:tab/>
      </w:r>
      <w:r w:rsidRPr="00697AC6">
        <w:rPr>
          <w:rFonts w:ascii="Verdana" w:hAnsi="Verdana"/>
          <w:sz w:val="20"/>
          <w:lang w:val="pt-BR"/>
        </w:rPr>
        <w:tab/>
      </w:r>
      <w:r w:rsidRPr="00697AC6">
        <w:rPr>
          <w:rFonts w:ascii="Verdana" w:hAnsi="Verdana"/>
          <w:sz w:val="20"/>
          <w:lang w:val="pt-BR"/>
        </w:rPr>
        <w:tab/>
      </w:r>
      <w:r w:rsidRPr="00697AC6">
        <w:rPr>
          <w:rFonts w:ascii="Verdana" w:hAnsi="Verdana"/>
          <w:sz w:val="20"/>
          <w:lang w:val="pt-BR"/>
        </w:rPr>
        <w:tab/>
      </w:r>
      <w:r w:rsidRPr="00697AC6">
        <w:rPr>
          <w:rFonts w:ascii="Verdana" w:hAnsi="Verdana"/>
          <w:sz w:val="20"/>
          <w:lang w:val="pt-BR"/>
        </w:rPr>
        <w:tab/>
        <w:t xml:space="preserve">       Humberto </w:t>
      </w:r>
      <w:proofErr w:type="spellStart"/>
      <w:r w:rsidRPr="00697AC6">
        <w:rPr>
          <w:rFonts w:ascii="Verdana" w:hAnsi="Verdana"/>
          <w:sz w:val="20"/>
          <w:lang w:val="pt-BR"/>
        </w:rPr>
        <w:t>Antonio</w:t>
      </w:r>
      <w:proofErr w:type="spellEnd"/>
      <w:r w:rsidRPr="00697AC6">
        <w:rPr>
          <w:rFonts w:ascii="Verdana" w:hAnsi="Verdana"/>
          <w:sz w:val="20"/>
          <w:lang w:val="pt-BR"/>
        </w:rPr>
        <w:t xml:space="preserve"> </w:t>
      </w:r>
      <w:proofErr w:type="spellStart"/>
      <w:r w:rsidRPr="00697AC6">
        <w:rPr>
          <w:rFonts w:ascii="Verdana" w:hAnsi="Verdana"/>
          <w:sz w:val="20"/>
          <w:lang w:val="pt-BR"/>
        </w:rPr>
        <w:t>Sierra</w:t>
      </w:r>
      <w:proofErr w:type="spellEnd"/>
      <w:r w:rsidRPr="00697AC6">
        <w:rPr>
          <w:rFonts w:ascii="Verdana" w:hAnsi="Verdana"/>
          <w:sz w:val="20"/>
          <w:lang w:val="pt-BR"/>
        </w:rPr>
        <w:t xml:space="preserve"> Porto</w:t>
      </w: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  <w:r w:rsidRPr="00697AC6">
        <w:rPr>
          <w:rFonts w:ascii="Verdana" w:hAnsi="Verdana"/>
          <w:sz w:val="20"/>
          <w:lang w:val="pt-BR"/>
        </w:rPr>
        <w:tab/>
      </w: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  <w:r w:rsidRPr="00697AC6">
        <w:rPr>
          <w:rFonts w:ascii="Verdana" w:hAnsi="Verdana"/>
          <w:sz w:val="20"/>
          <w:lang w:val="pt-BR"/>
        </w:rPr>
        <w:t xml:space="preserve">Elizabeth </w:t>
      </w:r>
      <w:proofErr w:type="spellStart"/>
      <w:r w:rsidRPr="00697AC6">
        <w:rPr>
          <w:rFonts w:ascii="Verdana" w:hAnsi="Verdana"/>
          <w:sz w:val="20"/>
          <w:lang w:val="pt-BR"/>
        </w:rPr>
        <w:t>Odio</w:t>
      </w:r>
      <w:proofErr w:type="spellEnd"/>
      <w:r w:rsidRPr="00697AC6">
        <w:rPr>
          <w:rFonts w:ascii="Verdana" w:hAnsi="Verdana"/>
          <w:sz w:val="20"/>
          <w:lang w:val="pt-BR"/>
        </w:rPr>
        <w:t xml:space="preserve"> Benito</w:t>
      </w:r>
      <w:r w:rsidRPr="00697AC6">
        <w:rPr>
          <w:rFonts w:ascii="Verdana" w:hAnsi="Verdana"/>
          <w:sz w:val="20"/>
          <w:lang w:val="pt-BR"/>
        </w:rPr>
        <w:tab/>
      </w:r>
      <w:r w:rsidRPr="00697AC6">
        <w:rPr>
          <w:rFonts w:ascii="Verdana" w:hAnsi="Verdana"/>
          <w:sz w:val="20"/>
          <w:lang w:val="pt-BR"/>
        </w:rPr>
        <w:tab/>
      </w:r>
      <w:r w:rsidRPr="00697AC6">
        <w:rPr>
          <w:rFonts w:ascii="Verdana" w:hAnsi="Verdana"/>
          <w:sz w:val="20"/>
          <w:lang w:val="pt-BR"/>
        </w:rPr>
        <w:tab/>
      </w:r>
      <w:r w:rsidRPr="00697AC6">
        <w:rPr>
          <w:rFonts w:ascii="Verdana" w:hAnsi="Verdana"/>
          <w:sz w:val="20"/>
          <w:lang w:val="pt-BR"/>
        </w:rPr>
        <w:tab/>
      </w:r>
      <w:r w:rsidRPr="00697AC6">
        <w:rPr>
          <w:rFonts w:ascii="Verdana" w:hAnsi="Verdana"/>
          <w:sz w:val="20"/>
          <w:lang w:val="pt-BR"/>
        </w:rPr>
        <w:tab/>
      </w:r>
      <w:r w:rsidRPr="00697AC6">
        <w:rPr>
          <w:rFonts w:ascii="Verdana" w:hAnsi="Verdana"/>
          <w:sz w:val="20"/>
          <w:lang w:val="pt-BR"/>
        </w:rPr>
        <w:tab/>
      </w:r>
      <w:r w:rsidRPr="00697AC6">
        <w:rPr>
          <w:rFonts w:ascii="Verdana" w:hAnsi="Verdana"/>
          <w:sz w:val="20"/>
          <w:lang w:val="pt-BR"/>
        </w:rPr>
        <w:tab/>
        <w:t xml:space="preserve">        Eugenio </w:t>
      </w:r>
      <w:proofErr w:type="spellStart"/>
      <w:r w:rsidRPr="00697AC6">
        <w:rPr>
          <w:rFonts w:ascii="Verdana" w:hAnsi="Verdana"/>
          <w:sz w:val="20"/>
          <w:lang w:val="pt-BR"/>
        </w:rPr>
        <w:t>Raúl</w:t>
      </w:r>
      <w:proofErr w:type="spellEnd"/>
      <w:r w:rsidRPr="00697AC6">
        <w:rPr>
          <w:rFonts w:ascii="Verdana" w:hAnsi="Verdana"/>
          <w:sz w:val="20"/>
          <w:lang w:val="pt-BR"/>
        </w:rPr>
        <w:t xml:space="preserve"> </w:t>
      </w:r>
      <w:proofErr w:type="spellStart"/>
      <w:r w:rsidRPr="00697AC6">
        <w:rPr>
          <w:rFonts w:ascii="Verdana" w:hAnsi="Verdana"/>
          <w:sz w:val="20"/>
          <w:lang w:val="pt-BR"/>
        </w:rPr>
        <w:t>Zaffaroni</w:t>
      </w:r>
      <w:proofErr w:type="spellEnd"/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jc w:val="center"/>
        <w:rPr>
          <w:rFonts w:ascii="Verdana" w:hAnsi="Verdana"/>
          <w:sz w:val="20"/>
          <w:lang w:val="pt-BR"/>
        </w:rPr>
      </w:pPr>
      <w:r w:rsidRPr="00697AC6">
        <w:rPr>
          <w:rFonts w:ascii="Verdana" w:hAnsi="Verdana"/>
          <w:sz w:val="20"/>
          <w:lang w:val="pt-BR"/>
        </w:rPr>
        <w:t xml:space="preserve">L. </w:t>
      </w:r>
      <w:proofErr w:type="spellStart"/>
      <w:r w:rsidRPr="00697AC6">
        <w:rPr>
          <w:rFonts w:ascii="Verdana" w:hAnsi="Verdana"/>
          <w:sz w:val="20"/>
          <w:lang w:val="pt-BR"/>
        </w:rPr>
        <w:t>Patricio</w:t>
      </w:r>
      <w:proofErr w:type="spellEnd"/>
      <w:r w:rsidRPr="00697AC6">
        <w:rPr>
          <w:rFonts w:ascii="Verdana" w:hAnsi="Verdana"/>
          <w:sz w:val="20"/>
          <w:lang w:val="pt-BR"/>
        </w:rPr>
        <w:t xml:space="preserve"> </w:t>
      </w:r>
      <w:proofErr w:type="spellStart"/>
      <w:r w:rsidRPr="00697AC6">
        <w:rPr>
          <w:rFonts w:ascii="Verdana" w:hAnsi="Verdana"/>
          <w:sz w:val="20"/>
          <w:lang w:val="pt-BR"/>
        </w:rPr>
        <w:t>Pazmiño</w:t>
      </w:r>
      <w:proofErr w:type="spellEnd"/>
      <w:r w:rsidRPr="00697AC6">
        <w:rPr>
          <w:rFonts w:ascii="Verdana" w:hAnsi="Verdana"/>
          <w:sz w:val="20"/>
          <w:lang w:val="pt-BR"/>
        </w:rPr>
        <w:t xml:space="preserve"> </w:t>
      </w:r>
      <w:proofErr w:type="gramStart"/>
      <w:r w:rsidRPr="00697AC6">
        <w:rPr>
          <w:rFonts w:ascii="Verdana" w:hAnsi="Verdana"/>
          <w:sz w:val="20"/>
          <w:lang w:val="pt-BR"/>
        </w:rPr>
        <w:t>Freire</w:t>
      </w:r>
      <w:proofErr w:type="gramEnd"/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jc w:val="both"/>
        <w:rPr>
          <w:rFonts w:ascii="Verdana" w:hAnsi="Verdana"/>
          <w:sz w:val="20"/>
          <w:lang w:val="pt-BR"/>
        </w:rPr>
      </w:pPr>
    </w:p>
    <w:p w:rsidR="00DF317D" w:rsidRPr="00697AC6" w:rsidRDefault="00DF317D" w:rsidP="00DF317D">
      <w:pPr>
        <w:spacing w:after="0"/>
        <w:jc w:val="both"/>
        <w:rPr>
          <w:rFonts w:ascii="Verdana" w:hAnsi="Verdana"/>
          <w:sz w:val="20"/>
          <w:lang w:val="pt-BR"/>
        </w:rPr>
      </w:pPr>
    </w:p>
    <w:p w:rsidR="00DF317D" w:rsidRPr="00F478D4" w:rsidRDefault="00DF317D" w:rsidP="00DF317D">
      <w:pPr>
        <w:spacing w:after="0"/>
        <w:jc w:val="center"/>
        <w:rPr>
          <w:rFonts w:ascii="Verdana" w:hAnsi="Verdana"/>
          <w:sz w:val="20"/>
          <w:lang w:val="pt-BR"/>
        </w:rPr>
      </w:pPr>
      <w:r w:rsidRPr="00F478D4">
        <w:rPr>
          <w:rFonts w:ascii="Verdana" w:hAnsi="Verdana"/>
          <w:sz w:val="20"/>
          <w:lang w:val="pt-BR"/>
        </w:rPr>
        <w:t xml:space="preserve">Pablo Saavedra </w:t>
      </w:r>
      <w:proofErr w:type="spellStart"/>
      <w:r w:rsidRPr="00F478D4">
        <w:rPr>
          <w:rFonts w:ascii="Verdana" w:hAnsi="Verdana"/>
          <w:sz w:val="20"/>
          <w:lang w:val="pt-BR"/>
        </w:rPr>
        <w:t>Alessandri</w:t>
      </w:r>
      <w:proofErr w:type="spellEnd"/>
    </w:p>
    <w:p w:rsidR="00DF317D" w:rsidRPr="00DF317D" w:rsidRDefault="00DF317D" w:rsidP="00DF317D">
      <w:pPr>
        <w:spacing w:after="0"/>
        <w:jc w:val="center"/>
        <w:rPr>
          <w:rFonts w:ascii="Verdana" w:hAnsi="Verdana"/>
          <w:sz w:val="20"/>
          <w:lang w:val="pt-BR"/>
        </w:rPr>
      </w:pPr>
      <w:r w:rsidRPr="00F478D4">
        <w:rPr>
          <w:rFonts w:ascii="Verdana" w:hAnsi="Verdana"/>
          <w:sz w:val="20"/>
          <w:lang w:val="pt-BR"/>
        </w:rPr>
        <w:t>Secretário</w:t>
      </w:r>
    </w:p>
    <w:p w:rsidR="00DF317D" w:rsidRPr="00F478D4" w:rsidRDefault="00DF317D" w:rsidP="00DF317D">
      <w:pPr>
        <w:pStyle w:val="Textonotapie"/>
        <w:rPr>
          <w:lang w:val="pt-BR"/>
        </w:rPr>
      </w:pPr>
    </w:p>
    <w:p w:rsidR="00DF317D" w:rsidRPr="00F478D4" w:rsidRDefault="00DF317D" w:rsidP="00DF317D">
      <w:pPr>
        <w:spacing w:after="0"/>
        <w:jc w:val="both"/>
        <w:rPr>
          <w:rFonts w:ascii="Verdana" w:hAnsi="Verdana"/>
          <w:sz w:val="20"/>
          <w:lang w:val="pt-BR"/>
        </w:rPr>
      </w:pPr>
      <w:r w:rsidRPr="00F478D4">
        <w:rPr>
          <w:rFonts w:ascii="Verdana" w:hAnsi="Verdana"/>
          <w:sz w:val="20"/>
          <w:lang w:val="pt-BR"/>
        </w:rPr>
        <w:t>Comunique-se e execute-se,</w:t>
      </w:r>
    </w:p>
    <w:p w:rsidR="00DF317D" w:rsidRPr="00F478D4" w:rsidRDefault="00DF317D" w:rsidP="00DF317D">
      <w:pPr>
        <w:spacing w:after="0"/>
        <w:jc w:val="right"/>
        <w:rPr>
          <w:rFonts w:ascii="Verdana" w:hAnsi="Verdana"/>
          <w:sz w:val="20"/>
          <w:lang w:val="pt-BR"/>
        </w:rPr>
      </w:pPr>
    </w:p>
    <w:p w:rsidR="00DF317D" w:rsidRDefault="00DF317D" w:rsidP="00DF317D">
      <w:pPr>
        <w:spacing w:after="0"/>
        <w:jc w:val="center"/>
        <w:rPr>
          <w:rFonts w:ascii="Verdana" w:hAnsi="Verdana"/>
          <w:sz w:val="20"/>
          <w:lang w:val="pt-BR"/>
        </w:rPr>
      </w:pPr>
    </w:p>
    <w:p w:rsidR="00DF317D" w:rsidRDefault="00DF317D" w:rsidP="00DF317D">
      <w:pPr>
        <w:spacing w:after="0"/>
        <w:jc w:val="center"/>
        <w:rPr>
          <w:rFonts w:ascii="Verdana" w:hAnsi="Verdana"/>
          <w:sz w:val="20"/>
          <w:lang w:val="pt-BR"/>
        </w:rPr>
      </w:pPr>
    </w:p>
    <w:p w:rsidR="00DF317D" w:rsidRDefault="00DF317D" w:rsidP="00DF317D">
      <w:pPr>
        <w:spacing w:after="0"/>
        <w:jc w:val="center"/>
        <w:rPr>
          <w:rFonts w:ascii="Verdana" w:hAnsi="Verdana"/>
          <w:sz w:val="20"/>
          <w:lang w:val="pt-BR"/>
        </w:rPr>
      </w:pPr>
    </w:p>
    <w:p w:rsidR="00DF317D" w:rsidRPr="00F478D4" w:rsidRDefault="00DF317D" w:rsidP="00DF317D">
      <w:pPr>
        <w:spacing w:after="0"/>
        <w:jc w:val="center"/>
        <w:rPr>
          <w:rFonts w:ascii="Verdana" w:hAnsi="Verdana"/>
          <w:sz w:val="20"/>
          <w:lang w:val="pt-BR"/>
        </w:rPr>
      </w:pPr>
    </w:p>
    <w:p w:rsidR="00DF317D" w:rsidRPr="00F478D4" w:rsidRDefault="00DF317D" w:rsidP="00DF317D">
      <w:pPr>
        <w:spacing w:after="0"/>
        <w:jc w:val="center"/>
        <w:rPr>
          <w:rFonts w:ascii="Verdana" w:hAnsi="Verdana"/>
          <w:sz w:val="20"/>
          <w:lang w:val="pt-BR"/>
        </w:rPr>
      </w:pPr>
      <w:r w:rsidRPr="00F478D4">
        <w:rPr>
          <w:rFonts w:ascii="Verdana" w:hAnsi="Verdana"/>
          <w:sz w:val="20"/>
          <w:lang w:val="pt-BR"/>
        </w:rPr>
        <w:t xml:space="preserve">                                                                                   </w:t>
      </w:r>
      <w:r w:rsidRPr="00697AC6">
        <w:rPr>
          <w:rFonts w:ascii="Verdana" w:hAnsi="Verdana"/>
          <w:sz w:val="20"/>
          <w:lang w:val="pt-BR"/>
        </w:rPr>
        <w:t xml:space="preserve">Eduardo Ferrer </w:t>
      </w:r>
      <w:proofErr w:type="spellStart"/>
      <w:r w:rsidRPr="00697AC6">
        <w:rPr>
          <w:rFonts w:ascii="Verdana" w:hAnsi="Verdana"/>
          <w:sz w:val="20"/>
          <w:lang w:val="pt-BR"/>
        </w:rPr>
        <w:t>Mac-Gregor</w:t>
      </w:r>
      <w:proofErr w:type="spellEnd"/>
      <w:r w:rsidRPr="00697AC6">
        <w:rPr>
          <w:rFonts w:ascii="Verdana" w:hAnsi="Verdana"/>
          <w:sz w:val="20"/>
          <w:lang w:val="pt-BR"/>
        </w:rPr>
        <w:t xml:space="preserve"> </w:t>
      </w:r>
      <w:proofErr w:type="spellStart"/>
      <w:r w:rsidRPr="00697AC6">
        <w:rPr>
          <w:rFonts w:ascii="Verdana" w:hAnsi="Verdana"/>
          <w:sz w:val="20"/>
          <w:lang w:val="pt-BR"/>
        </w:rPr>
        <w:t>Poisot</w:t>
      </w:r>
      <w:proofErr w:type="spellEnd"/>
    </w:p>
    <w:p w:rsidR="00DF317D" w:rsidRPr="00697AC6" w:rsidRDefault="00DF317D" w:rsidP="00DF317D">
      <w:pPr>
        <w:spacing w:after="0"/>
        <w:jc w:val="center"/>
        <w:rPr>
          <w:rFonts w:ascii="Verdana" w:hAnsi="Verdana"/>
          <w:sz w:val="20"/>
          <w:lang w:val="pt-BR"/>
        </w:rPr>
      </w:pPr>
      <w:r w:rsidRPr="00697AC6">
        <w:rPr>
          <w:rFonts w:ascii="Verdana" w:hAnsi="Verdana"/>
          <w:sz w:val="20"/>
          <w:lang w:val="pt-BR"/>
        </w:rPr>
        <w:t xml:space="preserve">                                                                               Presidente em Exercício</w:t>
      </w:r>
    </w:p>
    <w:p w:rsidR="00DF317D" w:rsidRPr="00F478D4" w:rsidRDefault="00DF317D" w:rsidP="00DF317D">
      <w:pPr>
        <w:spacing w:after="0"/>
        <w:ind w:firstLine="720"/>
        <w:jc w:val="center"/>
        <w:rPr>
          <w:rFonts w:ascii="Verdana" w:hAnsi="Verdana"/>
          <w:sz w:val="20"/>
          <w:lang w:val="pt-BR"/>
        </w:rPr>
      </w:pPr>
    </w:p>
    <w:p w:rsidR="00DF317D" w:rsidRPr="00F478D4" w:rsidRDefault="00DF317D" w:rsidP="00DF317D">
      <w:pPr>
        <w:spacing w:after="0"/>
        <w:jc w:val="both"/>
        <w:rPr>
          <w:rFonts w:ascii="Verdana" w:hAnsi="Verdana"/>
          <w:sz w:val="20"/>
          <w:lang w:val="pt-BR"/>
        </w:rPr>
      </w:pPr>
    </w:p>
    <w:p w:rsidR="00DF317D" w:rsidRPr="00F478D4" w:rsidRDefault="00DF317D" w:rsidP="00DF317D">
      <w:pPr>
        <w:spacing w:after="0"/>
        <w:jc w:val="both"/>
        <w:rPr>
          <w:rFonts w:ascii="Verdana" w:hAnsi="Verdana"/>
          <w:sz w:val="20"/>
          <w:lang w:val="pt-BR"/>
        </w:rPr>
      </w:pPr>
    </w:p>
    <w:p w:rsidR="00DF317D" w:rsidRPr="00F478D4" w:rsidRDefault="00DF317D" w:rsidP="00DF317D">
      <w:pPr>
        <w:spacing w:after="0"/>
        <w:jc w:val="both"/>
        <w:rPr>
          <w:rFonts w:ascii="Verdana" w:hAnsi="Verdana"/>
          <w:sz w:val="20"/>
          <w:lang w:val="pt-BR"/>
        </w:rPr>
      </w:pPr>
      <w:r w:rsidRPr="00F478D4">
        <w:rPr>
          <w:rFonts w:ascii="Verdana" w:hAnsi="Verdana"/>
          <w:sz w:val="20"/>
          <w:lang w:val="pt-BR"/>
        </w:rPr>
        <w:t>Pablo Saavedra Alessandri</w:t>
      </w:r>
    </w:p>
    <w:p w:rsidR="00DF317D" w:rsidRPr="00F478D4" w:rsidRDefault="00DF317D" w:rsidP="00DF317D">
      <w:pPr>
        <w:spacing w:after="0"/>
        <w:rPr>
          <w:rFonts w:ascii="Verdana" w:hAnsi="Verdana"/>
          <w:sz w:val="20"/>
          <w:lang w:val="pt-BR"/>
        </w:rPr>
      </w:pPr>
      <w:r w:rsidRPr="00F478D4">
        <w:rPr>
          <w:rFonts w:ascii="Verdana" w:hAnsi="Verdana"/>
          <w:sz w:val="20"/>
          <w:lang w:val="pt-BR"/>
        </w:rPr>
        <w:tab/>
        <w:t>Secretário</w:t>
      </w:r>
    </w:p>
    <w:p w:rsidR="00DF317D" w:rsidRPr="00DF317D" w:rsidRDefault="00DF317D" w:rsidP="00DF317D">
      <w:pPr>
        <w:pStyle w:val="Prrafodelista"/>
        <w:spacing w:after="0" w:line="240" w:lineRule="auto"/>
        <w:contextualSpacing w:val="0"/>
        <w:jc w:val="both"/>
        <w:rPr>
          <w:rFonts w:ascii="Verdana" w:hAnsi="Verdana"/>
          <w:sz w:val="20"/>
          <w:szCs w:val="20"/>
          <w:lang w:val="pt-BR"/>
        </w:rPr>
      </w:pPr>
    </w:p>
    <w:sectPr w:rsidR="00DF317D" w:rsidRPr="00DF317D" w:rsidSect="004915E4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9D5" w:rsidRDefault="00B309D5" w:rsidP="00540AC3">
      <w:pPr>
        <w:spacing w:after="0" w:line="240" w:lineRule="auto"/>
      </w:pPr>
      <w:r>
        <w:separator/>
      </w:r>
    </w:p>
  </w:endnote>
  <w:endnote w:type="continuationSeparator" w:id="0">
    <w:p w:rsidR="00B309D5" w:rsidRDefault="00B309D5" w:rsidP="00540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Bold">
    <w:altName w:val="Verdana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8032236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20"/>
        <w:szCs w:val="20"/>
      </w:rPr>
    </w:sdtEndPr>
    <w:sdtContent>
      <w:p w:rsidR="00273D1D" w:rsidRPr="00273D1D" w:rsidRDefault="00273D1D">
        <w:pPr>
          <w:pStyle w:val="Piedepgina"/>
          <w:jc w:val="center"/>
          <w:rPr>
            <w:rFonts w:ascii="Verdana" w:hAnsi="Verdana"/>
            <w:sz w:val="20"/>
            <w:szCs w:val="20"/>
          </w:rPr>
        </w:pPr>
        <w:r w:rsidRPr="00273D1D">
          <w:rPr>
            <w:rFonts w:ascii="Verdana" w:hAnsi="Verdana"/>
            <w:sz w:val="20"/>
            <w:szCs w:val="20"/>
          </w:rPr>
          <w:fldChar w:fldCharType="begin"/>
        </w:r>
        <w:r w:rsidRPr="00273D1D">
          <w:rPr>
            <w:rFonts w:ascii="Verdana" w:hAnsi="Verdana"/>
            <w:sz w:val="20"/>
            <w:szCs w:val="20"/>
          </w:rPr>
          <w:instrText xml:space="preserve"> PAGE   \* MERGEFORMAT </w:instrText>
        </w:r>
        <w:r w:rsidRPr="00273D1D">
          <w:rPr>
            <w:rFonts w:ascii="Verdana" w:hAnsi="Verdana"/>
            <w:sz w:val="20"/>
            <w:szCs w:val="20"/>
          </w:rPr>
          <w:fldChar w:fldCharType="separate"/>
        </w:r>
        <w:r w:rsidR="00DA519C">
          <w:rPr>
            <w:rFonts w:ascii="Verdana" w:hAnsi="Verdana"/>
            <w:noProof/>
            <w:sz w:val="20"/>
            <w:szCs w:val="20"/>
          </w:rPr>
          <w:t>10</w:t>
        </w:r>
        <w:r w:rsidRPr="00273D1D">
          <w:rPr>
            <w:rFonts w:ascii="Verdana" w:hAnsi="Verdana"/>
            <w:noProof/>
            <w:sz w:val="20"/>
            <w:szCs w:val="20"/>
          </w:rPr>
          <w:fldChar w:fldCharType="end"/>
        </w:r>
      </w:p>
    </w:sdtContent>
  </w:sdt>
  <w:p w:rsidR="00273D1D" w:rsidRDefault="00273D1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9D5" w:rsidRDefault="00B309D5" w:rsidP="00540AC3">
      <w:pPr>
        <w:spacing w:after="0" w:line="240" w:lineRule="auto"/>
      </w:pPr>
      <w:r>
        <w:separator/>
      </w:r>
    </w:p>
  </w:footnote>
  <w:footnote w:type="continuationSeparator" w:id="0">
    <w:p w:rsidR="00B309D5" w:rsidRDefault="00B309D5" w:rsidP="00540AC3">
      <w:pPr>
        <w:spacing w:after="0" w:line="240" w:lineRule="auto"/>
      </w:pPr>
      <w:r>
        <w:continuationSeparator/>
      </w:r>
    </w:p>
  </w:footnote>
  <w:footnote w:id="1">
    <w:p w:rsidR="00BF47F9" w:rsidRPr="00273D1D" w:rsidRDefault="00540AC3" w:rsidP="00841A7F">
      <w:pPr>
        <w:pStyle w:val="Textonotapie"/>
        <w:rPr>
          <w:szCs w:val="16"/>
          <w:lang w:val="pt-BR"/>
        </w:rPr>
      </w:pPr>
      <w:r w:rsidRPr="00273D1D">
        <w:rPr>
          <w:rStyle w:val="Refdenotaalpie"/>
          <w:szCs w:val="16"/>
        </w:rPr>
        <w:footnoteRef/>
      </w:r>
      <w:r w:rsidRPr="00273D1D">
        <w:rPr>
          <w:szCs w:val="16"/>
          <w:lang w:val="pt-BR"/>
        </w:rPr>
        <w:t xml:space="preserve"> O Juiz Roberto F. Caldas, de nacionalidade brasileira, não participou na deliberação da presente Sentença, de acordo com o disposto nos artigos 19.2 do Estatuto e 19.1 do Regulamento da Corte.</w:t>
      </w:r>
    </w:p>
  </w:footnote>
  <w:footnote w:id="2">
    <w:p w:rsidR="00764A2A" w:rsidRPr="00764A2A" w:rsidRDefault="00764A2A">
      <w:pPr>
        <w:pStyle w:val="Textonotapie"/>
        <w:rPr>
          <w:lang w:val="pt-BR"/>
        </w:rPr>
      </w:pPr>
      <w:r>
        <w:rPr>
          <w:rStyle w:val="Refdenotaalpie"/>
        </w:rPr>
        <w:footnoteRef/>
      </w:r>
      <w:r w:rsidRPr="00764A2A">
        <w:rPr>
          <w:lang w:val="pt-BR"/>
        </w:rPr>
        <w:t xml:space="preserve"> A Secretaria Adjunta, Emilia Segares Rodríguez, não participou da deliberação desta Sentença por motivos de for</w:t>
      </w:r>
      <w:r>
        <w:rPr>
          <w:lang w:val="pt-BR"/>
        </w:rPr>
        <w:t xml:space="preserve">ça maior. </w:t>
      </w:r>
    </w:p>
  </w:footnote>
  <w:footnote w:id="3">
    <w:p w:rsidR="00273D1D" w:rsidRPr="005950FE" w:rsidRDefault="00273D1D" w:rsidP="00841A7F">
      <w:pPr>
        <w:pStyle w:val="Textonotapie"/>
        <w:rPr>
          <w:szCs w:val="16"/>
          <w:lang w:val="pt-BR"/>
        </w:rPr>
      </w:pPr>
      <w:r w:rsidRPr="00273D1D">
        <w:rPr>
          <w:rStyle w:val="Refdenotaalpie"/>
          <w:szCs w:val="16"/>
        </w:rPr>
        <w:footnoteRef/>
      </w:r>
      <w:r w:rsidR="005950FE" w:rsidRPr="005950FE">
        <w:rPr>
          <w:szCs w:val="16"/>
          <w:lang w:val="pt-BR"/>
        </w:rPr>
        <w:t xml:space="preserve"> </w:t>
      </w:r>
      <w:r w:rsidR="00764A2A">
        <w:rPr>
          <w:szCs w:val="16"/>
          <w:lang w:val="pt-BR"/>
        </w:rPr>
        <w:t xml:space="preserve">Artigo 68. </w:t>
      </w:r>
      <w:r w:rsidR="005950FE" w:rsidRPr="005950FE">
        <w:rPr>
          <w:szCs w:val="16"/>
          <w:lang w:val="pt-BR"/>
        </w:rPr>
        <w:t>Pedido de Interpretação</w:t>
      </w:r>
      <w:r w:rsidR="00764A2A">
        <w:rPr>
          <w:szCs w:val="16"/>
          <w:lang w:val="pt-BR"/>
        </w:rPr>
        <w:t>. 3.</w:t>
      </w:r>
      <w:r w:rsidR="005950FE" w:rsidRPr="005950FE">
        <w:rPr>
          <w:szCs w:val="16"/>
          <w:lang w:val="pt-BR"/>
        </w:rPr>
        <w:t xml:space="preserve"> </w:t>
      </w:r>
      <w:r w:rsidR="00764A2A" w:rsidRPr="00764A2A">
        <w:rPr>
          <w:szCs w:val="16"/>
          <w:lang w:val="pt-BR"/>
        </w:rPr>
        <w:t>Para fins de exame do pedido de interpretação, a Corte reunir-se-á, se for possível, com a mesma composição com a qual emitiu a sentença de que se trate. Não obstante, em caso de falecimento, renúncia, impedimento, escusa ou inabilitação, proceder-se-á à substituição do Juiz que corresponder, nos termos do artigo 17 deste Regulamento.</w:t>
      </w:r>
    </w:p>
  </w:footnote>
  <w:footnote w:id="4">
    <w:p w:rsidR="00560475" w:rsidRPr="00377861" w:rsidRDefault="00560475" w:rsidP="00841A7F">
      <w:pPr>
        <w:pStyle w:val="Textonotapie"/>
        <w:rPr>
          <w:rStyle w:val="Refdenotaalpie"/>
          <w:lang w:val="pt-BR"/>
        </w:rPr>
      </w:pPr>
      <w:r w:rsidRPr="00560475">
        <w:rPr>
          <w:rStyle w:val="Refdenotaalpie"/>
        </w:rPr>
        <w:footnoteRef/>
      </w:r>
      <w:r w:rsidRPr="003C6673">
        <w:rPr>
          <w:rStyle w:val="Refdenotaalpie"/>
        </w:rPr>
        <w:t xml:space="preserve"> </w:t>
      </w:r>
      <w:r w:rsidRPr="003C6673">
        <w:t xml:space="preserve"> </w:t>
      </w:r>
      <w:r w:rsidR="003C6673" w:rsidRPr="00D03C95">
        <w:rPr>
          <w:i/>
        </w:rPr>
        <w:t xml:space="preserve">Cfr. Caso Loayza Tamayo Vs. </w:t>
      </w:r>
      <w:r w:rsidR="000210A8" w:rsidRPr="00697AC6">
        <w:rPr>
          <w:i/>
          <w:lang w:val="pt-BR"/>
        </w:rPr>
        <w:t>Peru</w:t>
      </w:r>
      <w:r w:rsidR="003C6673" w:rsidRPr="00697AC6">
        <w:rPr>
          <w:lang w:val="pt-BR"/>
        </w:rPr>
        <w:t xml:space="preserve">. </w:t>
      </w:r>
      <w:r w:rsidR="003C6673" w:rsidRPr="00D03C95">
        <w:rPr>
          <w:lang w:val="pt-BR"/>
        </w:rPr>
        <w:t xml:space="preserve">Interpretação da Sentença de Mérito. Resolução da Corte Interamericana de Direitos Humanos de 8 de março de 1998. </w:t>
      </w:r>
      <w:r w:rsidR="003C6673" w:rsidRPr="00377861">
        <w:rPr>
          <w:lang w:val="pt-BR"/>
        </w:rPr>
        <w:t>Serie C No. 47, par</w:t>
      </w:r>
      <w:r w:rsidR="00A34583" w:rsidRPr="00377861">
        <w:rPr>
          <w:lang w:val="pt-BR"/>
        </w:rPr>
        <w:t xml:space="preserve">. </w:t>
      </w:r>
      <w:r w:rsidR="003C6673" w:rsidRPr="00377861">
        <w:rPr>
          <w:lang w:val="pt-BR"/>
        </w:rPr>
        <w:t xml:space="preserve">16, e </w:t>
      </w:r>
      <w:r w:rsidR="00A34583" w:rsidRPr="00377861">
        <w:rPr>
          <w:i/>
          <w:lang w:val="pt-BR"/>
        </w:rPr>
        <w:t>Caso I.V. Vs.</w:t>
      </w:r>
      <w:r w:rsidR="00A34583" w:rsidRPr="004915E4">
        <w:rPr>
          <w:i/>
          <w:lang w:val="pt-BR"/>
        </w:rPr>
        <w:t xml:space="preserve"> </w:t>
      </w:r>
      <w:r w:rsidR="000210A8" w:rsidRPr="004915E4">
        <w:rPr>
          <w:i/>
          <w:lang w:val="pt-BR"/>
        </w:rPr>
        <w:t>Bolívia</w:t>
      </w:r>
      <w:r w:rsidR="00A34583" w:rsidRPr="00377861">
        <w:rPr>
          <w:i/>
          <w:lang w:val="pt-BR"/>
        </w:rPr>
        <w:t xml:space="preserve">. </w:t>
      </w:r>
      <w:r w:rsidR="00A34583" w:rsidRPr="00A34583">
        <w:rPr>
          <w:i/>
          <w:lang w:val="pt-BR"/>
        </w:rPr>
        <w:t xml:space="preserve">Interpretação da Sentença de Exceções Preliminares, </w:t>
      </w:r>
      <w:r w:rsidR="00A34583">
        <w:rPr>
          <w:i/>
          <w:lang w:val="pt-BR"/>
        </w:rPr>
        <w:t>Mérito</w:t>
      </w:r>
      <w:r w:rsidR="00A34583" w:rsidRPr="00A34583">
        <w:rPr>
          <w:i/>
          <w:lang w:val="pt-BR"/>
        </w:rPr>
        <w:t>, Repara</w:t>
      </w:r>
      <w:r w:rsidR="00A34583">
        <w:rPr>
          <w:i/>
          <w:lang w:val="pt-BR"/>
        </w:rPr>
        <w:t>ções</w:t>
      </w:r>
      <w:r w:rsidR="00A34583" w:rsidRPr="00A34583">
        <w:rPr>
          <w:i/>
          <w:lang w:val="pt-BR"/>
        </w:rPr>
        <w:t xml:space="preserve"> </w:t>
      </w:r>
      <w:r w:rsidR="00A34583">
        <w:rPr>
          <w:i/>
          <w:lang w:val="pt-BR"/>
        </w:rPr>
        <w:t>e</w:t>
      </w:r>
      <w:r w:rsidR="00A34583" w:rsidRPr="00A34583">
        <w:rPr>
          <w:i/>
          <w:lang w:val="pt-BR"/>
        </w:rPr>
        <w:t xml:space="preserve"> C</w:t>
      </w:r>
      <w:r w:rsidR="00A34583">
        <w:rPr>
          <w:i/>
          <w:lang w:val="pt-BR"/>
        </w:rPr>
        <w:t>u</w:t>
      </w:r>
      <w:r w:rsidR="00A34583" w:rsidRPr="00A34583">
        <w:rPr>
          <w:i/>
          <w:lang w:val="pt-BR"/>
        </w:rPr>
        <w:t xml:space="preserve">stas. </w:t>
      </w:r>
      <w:r w:rsidR="00A34583" w:rsidRPr="00377861">
        <w:rPr>
          <w:lang w:val="pt-BR"/>
        </w:rPr>
        <w:t>Sentença de 25 de maio de 2017. Serie C No. 336, par. 11</w:t>
      </w:r>
      <w:r w:rsidR="003C6673" w:rsidRPr="00377861">
        <w:rPr>
          <w:lang w:val="pt-BR"/>
        </w:rPr>
        <w:t>.</w:t>
      </w:r>
    </w:p>
  </w:footnote>
  <w:footnote w:id="5">
    <w:p w:rsidR="00560475" w:rsidRPr="000210A8" w:rsidRDefault="00560475" w:rsidP="00841A7F">
      <w:pPr>
        <w:pStyle w:val="Textonotapie"/>
        <w:rPr>
          <w:lang w:val="pt-BR"/>
        </w:rPr>
      </w:pPr>
      <w:r w:rsidRPr="00D03C95">
        <w:rPr>
          <w:rStyle w:val="Refdenotaalpie"/>
        </w:rPr>
        <w:footnoteRef/>
      </w:r>
      <w:r w:rsidRPr="00377861">
        <w:rPr>
          <w:lang w:val="pt-BR"/>
        </w:rPr>
        <w:t xml:space="preserve"> </w:t>
      </w:r>
      <w:r w:rsidR="003C6673" w:rsidRPr="00377861">
        <w:rPr>
          <w:i/>
          <w:lang w:val="pt-BR"/>
        </w:rPr>
        <w:t xml:space="preserve">Cfr. </w:t>
      </w:r>
      <w:r w:rsidR="000210A8" w:rsidRPr="00377861">
        <w:rPr>
          <w:i/>
          <w:lang w:val="pt-BR"/>
        </w:rPr>
        <w:t xml:space="preserve">Caso Loayza Tamayo Vs. </w:t>
      </w:r>
      <w:r w:rsidR="000210A8" w:rsidRPr="000210A8">
        <w:rPr>
          <w:i/>
          <w:lang w:val="pt-BR"/>
        </w:rPr>
        <w:t>Peru. Interpretação</w:t>
      </w:r>
      <w:r w:rsidR="000210A8">
        <w:rPr>
          <w:i/>
          <w:lang w:val="pt-BR"/>
        </w:rPr>
        <w:t xml:space="preserve"> da </w:t>
      </w:r>
      <w:r w:rsidR="000210A8" w:rsidRPr="000210A8">
        <w:rPr>
          <w:i/>
          <w:lang w:val="pt-BR"/>
        </w:rPr>
        <w:t>Sentença de Mérito</w:t>
      </w:r>
      <w:r w:rsidR="000210A8" w:rsidRPr="000210A8">
        <w:rPr>
          <w:lang w:val="pt-BR"/>
        </w:rPr>
        <w:t>, par. 16, e</w:t>
      </w:r>
      <w:r w:rsidR="000210A8">
        <w:rPr>
          <w:i/>
          <w:lang w:val="pt-BR"/>
        </w:rPr>
        <w:t xml:space="preserve"> </w:t>
      </w:r>
      <w:r w:rsidR="000210A8" w:rsidRPr="000210A8">
        <w:rPr>
          <w:i/>
          <w:lang w:val="pt-BR"/>
        </w:rPr>
        <w:t xml:space="preserve">Caso I.V. Vs. Bolívia. Interpretação da Sentença de Exceções Preliminares, Mérito, </w:t>
      </w:r>
      <w:r w:rsidR="000210A8">
        <w:rPr>
          <w:i/>
          <w:lang w:val="pt-BR"/>
        </w:rPr>
        <w:t>Reparações e Custas</w:t>
      </w:r>
      <w:r w:rsidR="000210A8" w:rsidRPr="000210A8">
        <w:rPr>
          <w:lang w:val="pt-BR"/>
        </w:rPr>
        <w:t>, par. 11.</w:t>
      </w:r>
    </w:p>
  </w:footnote>
  <w:footnote w:id="6">
    <w:p w:rsidR="00560475" w:rsidRPr="000210A8" w:rsidRDefault="00560475" w:rsidP="00841A7F">
      <w:pPr>
        <w:pStyle w:val="Textonotapie"/>
        <w:rPr>
          <w:lang w:val="pt-BR"/>
        </w:rPr>
      </w:pPr>
      <w:r w:rsidRPr="005B671D">
        <w:rPr>
          <w:rStyle w:val="Refdenotaalpie"/>
        </w:rPr>
        <w:footnoteRef/>
      </w:r>
      <w:r w:rsidRPr="005B671D">
        <w:t xml:space="preserve"> </w:t>
      </w:r>
      <w:r w:rsidR="005B671D" w:rsidRPr="00D03C95">
        <w:rPr>
          <w:i/>
        </w:rPr>
        <w:t xml:space="preserve">Cfr. </w:t>
      </w:r>
      <w:r w:rsidR="000210A8" w:rsidRPr="000210A8">
        <w:rPr>
          <w:i/>
          <w:lang w:val="es-DO"/>
        </w:rPr>
        <w:t xml:space="preserve">Caso Loayza Tamayo Vs. </w:t>
      </w:r>
      <w:r w:rsidR="000210A8" w:rsidRPr="000210A8">
        <w:rPr>
          <w:i/>
          <w:lang w:val="pt-BR"/>
        </w:rPr>
        <w:t xml:space="preserve">Peru. Interpretação da Sentença de </w:t>
      </w:r>
      <w:r w:rsidR="000210A8">
        <w:rPr>
          <w:i/>
          <w:lang w:val="pt-BR"/>
        </w:rPr>
        <w:t>Reparações e Custas</w:t>
      </w:r>
      <w:r w:rsidR="000210A8" w:rsidRPr="000210A8">
        <w:rPr>
          <w:lang w:val="pt-BR"/>
        </w:rPr>
        <w:t>, par. 15,</w:t>
      </w:r>
      <w:r w:rsidR="000210A8">
        <w:rPr>
          <w:i/>
          <w:lang w:val="pt-BR"/>
        </w:rPr>
        <w:t xml:space="preserve"> e </w:t>
      </w:r>
      <w:r w:rsidR="000210A8" w:rsidRPr="000210A8">
        <w:rPr>
          <w:i/>
          <w:lang w:val="pt-BR"/>
        </w:rPr>
        <w:t xml:space="preserve">Caso I.V. Vs. Bolívia. Interpretação da Sentença de Exceções Preliminares, Mérito, </w:t>
      </w:r>
      <w:r w:rsidR="000210A8">
        <w:rPr>
          <w:i/>
          <w:lang w:val="pt-BR"/>
        </w:rPr>
        <w:t>Reparações e Custas</w:t>
      </w:r>
      <w:r w:rsidR="000210A8" w:rsidRPr="000210A8">
        <w:rPr>
          <w:lang w:val="pt-BR"/>
        </w:rPr>
        <w:t>, par. 12.</w:t>
      </w:r>
    </w:p>
  </w:footnote>
  <w:footnote w:id="7">
    <w:p w:rsidR="00560475" w:rsidRPr="000210A8" w:rsidRDefault="00560475" w:rsidP="00841A7F">
      <w:pPr>
        <w:pStyle w:val="Textonotapie"/>
        <w:rPr>
          <w:lang w:val="pt-BR"/>
        </w:rPr>
      </w:pPr>
      <w:r w:rsidRPr="00D03C95">
        <w:rPr>
          <w:rStyle w:val="Refdenotaalpie"/>
        </w:rPr>
        <w:footnoteRef/>
      </w:r>
      <w:r w:rsidRPr="00377861">
        <w:rPr>
          <w:lang w:val="pt-BR"/>
        </w:rPr>
        <w:t xml:space="preserve"> </w:t>
      </w:r>
      <w:r w:rsidR="005B671D" w:rsidRPr="00377861">
        <w:rPr>
          <w:i/>
          <w:lang w:val="pt-BR"/>
        </w:rPr>
        <w:t xml:space="preserve">Cfr. </w:t>
      </w:r>
      <w:r w:rsidR="000210A8" w:rsidRPr="00377861">
        <w:rPr>
          <w:i/>
          <w:lang w:val="pt-BR"/>
        </w:rPr>
        <w:t xml:space="preserve">Caso Salvador Chiriboga Vs. Equador. </w:t>
      </w:r>
      <w:r w:rsidR="000210A8" w:rsidRPr="000210A8">
        <w:rPr>
          <w:i/>
          <w:lang w:val="pt-BR"/>
        </w:rPr>
        <w:t xml:space="preserve">Interpretação da Sentença de </w:t>
      </w:r>
      <w:r w:rsidR="000210A8">
        <w:rPr>
          <w:i/>
          <w:lang w:val="pt-BR"/>
        </w:rPr>
        <w:t>Reparações e Custas</w:t>
      </w:r>
      <w:r w:rsidR="000210A8" w:rsidRPr="000210A8">
        <w:rPr>
          <w:i/>
          <w:lang w:val="pt-BR"/>
        </w:rPr>
        <w:t xml:space="preserve">. </w:t>
      </w:r>
      <w:r w:rsidR="000210A8" w:rsidRPr="000210A8">
        <w:rPr>
          <w:lang w:val="pt-BR"/>
        </w:rPr>
        <w:t xml:space="preserve">Sentença de 29 de agosto de 2011. </w:t>
      </w:r>
      <w:r w:rsidR="000210A8" w:rsidRPr="00377861">
        <w:rPr>
          <w:lang w:val="pt-BR"/>
        </w:rPr>
        <w:t>Serie C No. 230, par. 30, e</w:t>
      </w:r>
      <w:r w:rsidR="000210A8" w:rsidRPr="00377861">
        <w:rPr>
          <w:i/>
          <w:lang w:val="pt-BR"/>
        </w:rPr>
        <w:t xml:space="preserve"> Caso I.V. Vs. Bolívia. </w:t>
      </w:r>
      <w:r w:rsidR="000210A8" w:rsidRPr="000210A8">
        <w:rPr>
          <w:i/>
          <w:lang w:val="pt-BR"/>
        </w:rPr>
        <w:t xml:space="preserve">Interpretação da Sentença de Exceções Preliminares, Mérito, </w:t>
      </w:r>
      <w:r w:rsidR="000210A8">
        <w:rPr>
          <w:i/>
          <w:lang w:val="pt-BR"/>
        </w:rPr>
        <w:t>Reparações e Custas</w:t>
      </w:r>
      <w:r w:rsidR="000210A8" w:rsidRPr="000210A8">
        <w:rPr>
          <w:lang w:val="pt-BR"/>
        </w:rPr>
        <w:t>, par. 11.</w:t>
      </w:r>
    </w:p>
  </w:footnote>
  <w:footnote w:id="8">
    <w:p w:rsidR="001E7AA8" w:rsidRPr="000210A8" w:rsidRDefault="001E7AA8" w:rsidP="00841A7F">
      <w:pPr>
        <w:pStyle w:val="Textonotapie"/>
        <w:rPr>
          <w:color w:val="FF0000"/>
          <w:lang w:val="pt-BR"/>
        </w:rPr>
      </w:pPr>
      <w:r w:rsidRPr="00D03C95">
        <w:rPr>
          <w:rStyle w:val="Refdenotaalpie"/>
        </w:rPr>
        <w:footnoteRef/>
      </w:r>
      <w:r w:rsidRPr="000210A8">
        <w:rPr>
          <w:lang w:val="pt-BR"/>
        </w:rPr>
        <w:t xml:space="preserve"> </w:t>
      </w:r>
      <w:r w:rsidR="005B671D" w:rsidRPr="000210A8">
        <w:rPr>
          <w:i/>
          <w:lang w:val="pt-BR"/>
        </w:rPr>
        <w:t xml:space="preserve">Cfr. </w:t>
      </w:r>
      <w:r w:rsidR="000210A8" w:rsidRPr="000210A8">
        <w:rPr>
          <w:i/>
          <w:lang w:val="pt-BR"/>
        </w:rPr>
        <w:t xml:space="preserve">Caso Escher e outros Vs. </w:t>
      </w:r>
      <w:r w:rsidR="000210A8" w:rsidRPr="00377861">
        <w:rPr>
          <w:i/>
          <w:lang w:val="pt-BR"/>
        </w:rPr>
        <w:t xml:space="preserve">Brasil. </w:t>
      </w:r>
      <w:r w:rsidR="000210A8" w:rsidRPr="000210A8">
        <w:rPr>
          <w:i/>
          <w:lang w:val="pt-BR"/>
        </w:rPr>
        <w:t xml:space="preserve">Interpretação da Sentença de Exceções Preliminares, Mérito, </w:t>
      </w:r>
      <w:r w:rsidR="000210A8">
        <w:rPr>
          <w:i/>
          <w:lang w:val="pt-BR"/>
        </w:rPr>
        <w:t>Reparações e Custas</w:t>
      </w:r>
      <w:r w:rsidR="000210A8" w:rsidRPr="000210A8">
        <w:rPr>
          <w:i/>
          <w:lang w:val="pt-BR"/>
        </w:rPr>
        <w:t xml:space="preserve">. </w:t>
      </w:r>
      <w:r w:rsidR="000210A8" w:rsidRPr="000210A8">
        <w:rPr>
          <w:lang w:val="pt-BR"/>
        </w:rPr>
        <w:t>Sentença de 20 de novembro de 2009. Serie C No. 208, par. 11, e</w:t>
      </w:r>
      <w:r w:rsidR="000210A8" w:rsidRPr="000210A8">
        <w:rPr>
          <w:i/>
          <w:lang w:val="pt-BR"/>
        </w:rPr>
        <w:t xml:space="preserve"> Caso I.V. Vs. </w:t>
      </w:r>
      <w:r w:rsidR="000210A8" w:rsidRPr="00377861">
        <w:rPr>
          <w:i/>
          <w:lang w:val="pt-BR"/>
        </w:rPr>
        <w:t xml:space="preserve">Bolívia. </w:t>
      </w:r>
      <w:r w:rsidR="000210A8" w:rsidRPr="000210A8">
        <w:rPr>
          <w:i/>
          <w:lang w:val="pt-BR"/>
        </w:rPr>
        <w:t xml:space="preserve">Interpretação da Sentença de Exceções Preliminares, Mérito, </w:t>
      </w:r>
      <w:r w:rsidR="000210A8">
        <w:rPr>
          <w:i/>
          <w:lang w:val="pt-BR"/>
        </w:rPr>
        <w:t>Reparações e Custas</w:t>
      </w:r>
      <w:r w:rsidR="000210A8" w:rsidRPr="000210A8">
        <w:rPr>
          <w:lang w:val="pt-BR"/>
        </w:rPr>
        <w:t>, par. 11.</w:t>
      </w:r>
    </w:p>
  </w:footnote>
  <w:footnote w:id="9">
    <w:p w:rsidR="0011627A" w:rsidRPr="001146D5" w:rsidRDefault="0011627A" w:rsidP="00841A7F">
      <w:pPr>
        <w:pStyle w:val="Textonotapie"/>
        <w:rPr>
          <w:szCs w:val="16"/>
          <w:lang w:val="pt-BR"/>
        </w:rPr>
      </w:pPr>
      <w:r w:rsidRPr="00273D1D">
        <w:rPr>
          <w:rStyle w:val="Refdenotaalpie"/>
          <w:szCs w:val="16"/>
        </w:rPr>
        <w:footnoteRef/>
      </w:r>
      <w:r w:rsidRPr="00377861">
        <w:rPr>
          <w:szCs w:val="16"/>
          <w:lang w:val="pt-BR"/>
        </w:rPr>
        <w:t xml:space="preserve"> </w:t>
      </w:r>
      <w:r w:rsidRPr="00377861">
        <w:rPr>
          <w:i/>
          <w:szCs w:val="16"/>
          <w:lang w:val="pt-BR"/>
        </w:rPr>
        <w:t xml:space="preserve">Cfr. </w:t>
      </w:r>
      <w:r w:rsidR="000210A8" w:rsidRPr="00377861">
        <w:rPr>
          <w:i/>
          <w:szCs w:val="16"/>
          <w:lang w:val="pt-BR"/>
        </w:rPr>
        <w:t xml:space="preserve">Caso Cesti Hurtado Vs. Peru. </w:t>
      </w:r>
      <w:r w:rsidR="000210A8" w:rsidRPr="000210A8">
        <w:rPr>
          <w:i/>
          <w:szCs w:val="16"/>
          <w:lang w:val="pt-BR"/>
        </w:rPr>
        <w:t xml:space="preserve">Interpretação de Sentença de </w:t>
      </w:r>
      <w:r w:rsidR="000210A8">
        <w:rPr>
          <w:i/>
          <w:szCs w:val="16"/>
          <w:lang w:val="pt-BR"/>
        </w:rPr>
        <w:t>Mérito</w:t>
      </w:r>
      <w:r w:rsidR="000210A8" w:rsidRPr="000210A8">
        <w:rPr>
          <w:i/>
          <w:szCs w:val="16"/>
          <w:lang w:val="pt-BR"/>
        </w:rPr>
        <w:t xml:space="preserve">. </w:t>
      </w:r>
      <w:r w:rsidR="000210A8" w:rsidRPr="000210A8">
        <w:rPr>
          <w:szCs w:val="16"/>
          <w:lang w:val="pt-BR"/>
        </w:rPr>
        <w:t xml:space="preserve">Sentença de 29 de </w:t>
      </w:r>
      <w:r w:rsidR="000210A8">
        <w:rPr>
          <w:szCs w:val="16"/>
          <w:lang w:val="pt-BR"/>
        </w:rPr>
        <w:t xml:space="preserve">janeiro </w:t>
      </w:r>
      <w:r w:rsidR="000210A8" w:rsidRPr="000210A8">
        <w:rPr>
          <w:szCs w:val="16"/>
          <w:lang w:val="pt-BR"/>
        </w:rPr>
        <w:t>de 2000. Serie C No. 62, par. 27, e</w:t>
      </w:r>
      <w:r w:rsidR="000210A8" w:rsidRPr="000210A8">
        <w:rPr>
          <w:i/>
          <w:szCs w:val="16"/>
          <w:lang w:val="pt-BR"/>
        </w:rPr>
        <w:t xml:space="preserve"> Caso López Lone e outros Vs. </w:t>
      </w:r>
      <w:r w:rsidR="000210A8" w:rsidRPr="00697AC6">
        <w:rPr>
          <w:i/>
          <w:szCs w:val="16"/>
          <w:lang w:val="pt-BR"/>
        </w:rPr>
        <w:t xml:space="preserve">Honduras. </w:t>
      </w:r>
      <w:r w:rsidR="000210A8" w:rsidRPr="000210A8">
        <w:rPr>
          <w:i/>
          <w:szCs w:val="16"/>
          <w:lang w:val="pt-BR"/>
        </w:rPr>
        <w:t xml:space="preserve">Interpretação da Sentença de </w:t>
      </w:r>
      <w:r w:rsidR="000210A8">
        <w:rPr>
          <w:i/>
          <w:szCs w:val="16"/>
          <w:lang w:val="pt-BR"/>
        </w:rPr>
        <w:t xml:space="preserve">Exceção </w:t>
      </w:r>
      <w:r w:rsidR="000210A8" w:rsidRPr="000210A8">
        <w:rPr>
          <w:i/>
          <w:szCs w:val="16"/>
          <w:lang w:val="pt-BR"/>
        </w:rPr>
        <w:t xml:space="preserve">Preliminar, Mérito, Reparações e Custas. </w:t>
      </w:r>
      <w:r w:rsidR="000210A8" w:rsidRPr="000210A8">
        <w:rPr>
          <w:szCs w:val="16"/>
          <w:lang w:val="pt-BR"/>
        </w:rPr>
        <w:t>Sentença de 2 de setembr</w:t>
      </w:r>
      <w:r w:rsidR="000210A8">
        <w:rPr>
          <w:szCs w:val="16"/>
          <w:lang w:val="pt-BR"/>
        </w:rPr>
        <w:t>o</w:t>
      </w:r>
      <w:r w:rsidR="000210A8" w:rsidRPr="000210A8">
        <w:rPr>
          <w:szCs w:val="16"/>
          <w:lang w:val="pt-BR"/>
        </w:rPr>
        <w:t xml:space="preserve"> de 2016. </w:t>
      </w:r>
      <w:r w:rsidR="000210A8" w:rsidRPr="001146D5">
        <w:rPr>
          <w:szCs w:val="16"/>
          <w:lang w:val="pt-BR"/>
        </w:rPr>
        <w:t>Serie C No. 317, pars. 23 e 24.</w:t>
      </w:r>
    </w:p>
  </w:footnote>
  <w:footnote w:id="10">
    <w:p w:rsidR="00306C19" w:rsidRPr="00273D1D" w:rsidRDefault="00306C19" w:rsidP="00841A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6"/>
          <w:szCs w:val="16"/>
          <w:lang w:val="pt-BR"/>
        </w:rPr>
      </w:pPr>
      <w:r w:rsidRPr="00273D1D">
        <w:rPr>
          <w:rStyle w:val="Refdenotaalpie"/>
          <w:szCs w:val="16"/>
        </w:rPr>
        <w:footnoteRef/>
      </w:r>
      <w:r w:rsidRPr="00273D1D">
        <w:rPr>
          <w:rFonts w:ascii="Verdana" w:hAnsi="Verdana"/>
          <w:sz w:val="16"/>
          <w:szCs w:val="16"/>
          <w:lang w:val="pt-BR"/>
        </w:rPr>
        <w:t xml:space="preserve"> </w:t>
      </w:r>
      <w:r w:rsidR="00841A7F">
        <w:rPr>
          <w:rFonts w:ascii="Verdana" w:hAnsi="Verdana"/>
          <w:sz w:val="16"/>
          <w:szCs w:val="16"/>
          <w:lang w:val="pt-BR"/>
        </w:rPr>
        <w:t xml:space="preserve">Lei 9.494/1997, </w:t>
      </w:r>
      <w:r w:rsidRPr="00273D1D">
        <w:rPr>
          <w:rFonts w:ascii="Verdana" w:eastAsiaTheme="minorHAnsi" w:hAnsi="Verdana"/>
          <w:sz w:val="16"/>
          <w:szCs w:val="16"/>
          <w:lang w:val="pt-BR"/>
        </w:rPr>
        <w:t>Art. 1º-F</w:t>
      </w:r>
      <w:r w:rsidR="00841A7F">
        <w:rPr>
          <w:rFonts w:ascii="Verdana" w:eastAsiaTheme="minorHAnsi" w:hAnsi="Verdana"/>
          <w:sz w:val="16"/>
          <w:szCs w:val="16"/>
          <w:lang w:val="pt-BR"/>
        </w:rPr>
        <w:t>:</w:t>
      </w:r>
      <w:r w:rsidRPr="00273D1D">
        <w:rPr>
          <w:rFonts w:ascii="Verdana" w:eastAsiaTheme="minorHAnsi" w:hAnsi="Verdana"/>
          <w:sz w:val="16"/>
          <w:szCs w:val="16"/>
          <w:lang w:val="pt-BR"/>
        </w:rPr>
        <w:t xml:space="preserve"> Nas condenações impostas à Fazenda Pública, independentemente de sua natureza e para fins de atualização monetária, remuneração do capital e compensação da mora, haverá a incidência uma única vez, até o efetivo pagamento, dos índices oficiais de remuneração básica e juros aplicados à caderneta de poupança.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BB4"/>
    <w:multiLevelType w:val="hybridMultilevel"/>
    <w:tmpl w:val="370ACD1C"/>
    <w:lvl w:ilvl="0" w:tplc="24BC9F12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090BC3"/>
    <w:multiLevelType w:val="hybridMultilevel"/>
    <w:tmpl w:val="25242C40"/>
    <w:lvl w:ilvl="0" w:tplc="941A3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40BC0"/>
    <w:multiLevelType w:val="hybridMultilevel"/>
    <w:tmpl w:val="4B9AB2D6"/>
    <w:lvl w:ilvl="0" w:tplc="55C49332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37225"/>
    <w:multiLevelType w:val="hybridMultilevel"/>
    <w:tmpl w:val="0A189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36E73"/>
    <w:multiLevelType w:val="hybridMultilevel"/>
    <w:tmpl w:val="3AC4C382"/>
    <w:lvl w:ilvl="0" w:tplc="21FE6BE2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8382D"/>
    <w:multiLevelType w:val="hybridMultilevel"/>
    <w:tmpl w:val="3DF68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ED5F89"/>
    <w:multiLevelType w:val="hybridMultilevel"/>
    <w:tmpl w:val="527A9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E64D32"/>
    <w:multiLevelType w:val="hybridMultilevel"/>
    <w:tmpl w:val="5370774A"/>
    <w:lvl w:ilvl="0" w:tplc="C36A54B4">
      <w:start w:val="1"/>
      <w:numFmt w:val="decimal"/>
      <w:lvlText w:val="%1."/>
      <w:lvlJc w:val="left"/>
      <w:pPr>
        <w:tabs>
          <w:tab w:val="num" w:pos="1247"/>
        </w:tabs>
        <w:ind w:left="0" w:firstLine="0"/>
      </w:pPr>
      <w:rPr>
        <w:rFonts w:ascii="Verdana" w:eastAsia="Times" w:hAnsi="Verdana" w:cs="Times New Roman"/>
        <w:b w:val="0"/>
        <w:i w:val="0"/>
        <w:strike w:val="0"/>
        <w:color w:val="auto"/>
        <w:sz w:val="20"/>
        <w:lang w:val="pt-BR"/>
      </w:rPr>
    </w:lvl>
    <w:lvl w:ilvl="1" w:tplc="91ECB87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0"/>
      </w:r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D1F6286"/>
    <w:multiLevelType w:val="hybridMultilevel"/>
    <w:tmpl w:val="EAF8BB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C3"/>
    <w:rsid w:val="000037F2"/>
    <w:rsid w:val="000210A8"/>
    <w:rsid w:val="0005290E"/>
    <w:rsid w:val="00055699"/>
    <w:rsid w:val="00061DA0"/>
    <w:rsid w:val="000E5CE2"/>
    <w:rsid w:val="000F45CC"/>
    <w:rsid w:val="000F738E"/>
    <w:rsid w:val="00105799"/>
    <w:rsid w:val="001146D5"/>
    <w:rsid w:val="0011627A"/>
    <w:rsid w:val="00123A3C"/>
    <w:rsid w:val="00137284"/>
    <w:rsid w:val="00162F22"/>
    <w:rsid w:val="00185C5F"/>
    <w:rsid w:val="00187652"/>
    <w:rsid w:val="00190B49"/>
    <w:rsid w:val="001913A0"/>
    <w:rsid w:val="001E29CF"/>
    <w:rsid w:val="001E7AA8"/>
    <w:rsid w:val="002435F9"/>
    <w:rsid w:val="00244724"/>
    <w:rsid w:val="00273D1D"/>
    <w:rsid w:val="002B09B1"/>
    <w:rsid w:val="002E06C6"/>
    <w:rsid w:val="00306C19"/>
    <w:rsid w:val="003101ED"/>
    <w:rsid w:val="003417E5"/>
    <w:rsid w:val="00377861"/>
    <w:rsid w:val="0038077E"/>
    <w:rsid w:val="003818A5"/>
    <w:rsid w:val="00384DB3"/>
    <w:rsid w:val="003C6673"/>
    <w:rsid w:val="003F071A"/>
    <w:rsid w:val="00404C5B"/>
    <w:rsid w:val="004067D8"/>
    <w:rsid w:val="00466E69"/>
    <w:rsid w:val="004915E4"/>
    <w:rsid w:val="004A7219"/>
    <w:rsid w:val="004C5C27"/>
    <w:rsid w:val="004C6ECA"/>
    <w:rsid w:val="004E6D01"/>
    <w:rsid w:val="004E7506"/>
    <w:rsid w:val="004F30FD"/>
    <w:rsid w:val="0051410C"/>
    <w:rsid w:val="005161EC"/>
    <w:rsid w:val="00535FC6"/>
    <w:rsid w:val="00540AC3"/>
    <w:rsid w:val="00547116"/>
    <w:rsid w:val="00560475"/>
    <w:rsid w:val="00580D52"/>
    <w:rsid w:val="005815D6"/>
    <w:rsid w:val="005950FE"/>
    <w:rsid w:val="005B081D"/>
    <w:rsid w:val="005B671D"/>
    <w:rsid w:val="005B747A"/>
    <w:rsid w:val="006603B9"/>
    <w:rsid w:val="00697AC6"/>
    <w:rsid w:val="00697DFE"/>
    <w:rsid w:val="006A5B06"/>
    <w:rsid w:val="006B0B70"/>
    <w:rsid w:val="007033CD"/>
    <w:rsid w:val="00705A32"/>
    <w:rsid w:val="007242FF"/>
    <w:rsid w:val="00764A2A"/>
    <w:rsid w:val="0078129F"/>
    <w:rsid w:val="007C19B9"/>
    <w:rsid w:val="007D58F9"/>
    <w:rsid w:val="00806BFF"/>
    <w:rsid w:val="0082202E"/>
    <w:rsid w:val="00841794"/>
    <w:rsid w:val="00841A7F"/>
    <w:rsid w:val="008425A3"/>
    <w:rsid w:val="008B0E24"/>
    <w:rsid w:val="008C114C"/>
    <w:rsid w:val="008D08A7"/>
    <w:rsid w:val="008E6A2C"/>
    <w:rsid w:val="009009DF"/>
    <w:rsid w:val="0093619A"/>
    <w:rsid w:val="00953381"/>
    <w:rsid w:val="00953600"/>
    <w:rsid w:val="009A4740"/>
    <w:rsid w:val="009D5461"/>
    <w:rsid w:val="00A34583"/>
    <w:rsid w:val="00AA5109"/>
    <w:rsid w:val="00AC31E8"/>
    <w:rsid w:val="00B01869"/>
    <w:rsid w:val="00B22E90"/>
    <w:rsid w:val="00B309D5"/>
    <w:rsid w:val="00B3599C"/>
    <w:rsid w:val="00B87B84"/>
    <w:rsid w:val="00BE3154"/>
    <w:rsid w:val="00BF47F9"/>
    <w:rsid w:val="00C12B1B"/>
    <w:rsid w:val="00C163BC"/>
    <w:rsid w:val="00C37A59"/>
    <w:rsid w:val="00C85EE7"/>
    <w:rsid w:val="00CA0C87"/>
    <w:rsid w:val="00CA5224"/>
    <w:rsid w:val="00CA6B7A"/>
    <w:rsid w:val="00CB1636"/>
    <w:rsid w:val="00CC088E"/>
    <w:rsid w:val="00CC4D8F"/>
    <w:rsid w:val="00CC7B5F"/>
    <w:rsid w:val="00CC7CC3"/>
    <w:rsid w:val="00CD3CBA"/>
    <w:rsid w:val="00CE71B4"/>
    <w:rsid w:val="00CE7419"/>
    <w:rsid w:val="00D03C95"/>
    <w:rsid w:val="00D37BA0"/>
    <w:rsid w:val="00DA519C"/>
    <w:rsid w:val="00DE08D8"/>
    <w:rsid w:val="00DF317D"/>
    <w:rsid w:val="00DF76B2"/>
    <w:rsid w:val="00E045EB"/>
    <w:rsid w:val="00E6207A"/>
    <w:rsid w:val="00E67423"/>
    <w:rsid w:val="00E732E2"/>
    <w:rsid w:val="00E82B03"/>
    <w:rsid w:val="00E92A4B"/>
    <w:rsid w:val="00F3565E"/>
    <w:rsid w:val="00F3739F"/>
    <w:rsid w:val="00F47282"/>
    <w:rsid w:val="00FA0E20"/>
    <w:rsid w:val="00FF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AC3"/>
    <w:rPr>
      <w:rFonts w:ascii="Calibri" w:eastAsia="Calibri" w:hAnsi="Calibri" w:cs="Times New Roman"/>
      <w:lang w:val="es-CR"/>
    </w:rPr>
  </w:style>
  <w:style w:type="paragraph" w:styleId="Ttulo1">
    <w:name w:val="heading 1"/>
    <w:basedOn w:val="Normal"/>
    <w:next w:val="Normal"/>
    <w:link w:val="Ttulo1Car"/>
    <w:uiPriority w:val="9"/>
    <w:qFormat/>
    <w:rsid w:val="00B01869"/>
    <w:pPr>
      <w:keepNext/>
      <w:tabs>
        <w:tab w:val="left" w:pos="567"/>
      </w:tabs>
      <w:autoSpaceDE w:val="0"/>
      <w:autoSpaceDN w:val="0"/>
      <w:adjustRightInd w:val="0"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iCs/>
      <w:caps/>
      <w:snapToGrid w:val="0"/>
      <w:sz w:val="20"/>
      <w:szCs w:val="20"/>
      <w:lang w:val="pt-BR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599C"/>
    <w:pPr>
      <w:keepNext/>
      <w:spacing w:after="0" w:line="240" w:lineRule="auto"/>
      <w:jc w:val="both"/>
      <w:outlineLvl w:val="1"/>
    </w:pPr>
    <w:rPr>
      <w:rFonts w:ascii="Verdana" w:hAnsi="Verdana"/>
      <w:b/>
      <w:i/>
      <w:sz w:val="20"/>
      <w:szCs w:val="20"/>
      <w:lang w:val="pt-BR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3619A"/>
    <w:pPr>
      <w:keepNext/>
      <w:spacing w:after="0" w:line="240" w:lineRule="auto"/>
      <w:jc w:val="both"/>
      <w:outlineLvl w:val="2"/>
    </w:pPr>
    <w:rPr>
      <w:rFonts w:ascii="Verdana" w:hAnsi="Verdana"/>
      <w:b/>
      <w:sz w:val="20"/>
      <w:szCs w:val="20"/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nhideWhenUsed/>
    <w:rsid w:val="00560475"/>
    <w:pPr>
      <w:spacing w:after="0" w:line="240" w:lineRule="auto"/>
      <w:jc w:val="both"/>
    </w:pPr>
    <w:rPr>
      <w:rFonts w:ascii="Verdana" w:hAnsi="Verdana"/>
      <w:sz w:val="16"/>
      <w:szCs w:val="20"/>
    </w:rPr>
  </w:style>
  <w:style w:type="character" w:customStyle="1" w:styleId="TextonotapieCar">
    <w:name w:val="Texto nota pie Car"/>
    <w:basedOn w:val="Fuentedeprrafopredeter"/>
    <w:link w:val="Textonotapie"/>
    <w:rsid w:val="00560475"/>
    <w:rPr>
      <w:rFonts w:ascii="Verdana" w:eastAsia="Calibri" w:hAnsi="Verdana" w:cs="Times New Roman"/>
      <w:sz w:val="16"/>
      <w:szCs w:val="20"/>
      <w:lang w:val="es-CR"/>
    </w:rPr>
  </w:style>
  <w:style w:type="character" w:styleId="Refdenotaalpie">
    <w:name w:val="footnote reference"/>
    <w:basedOn w:val="Fuentedeprrafopredeter"/>
    <w:uiPriority w:val="99"/>
    <w:unhideWhenUsed/>
    <w:rsid w:val="00560475"/>
    <w:rPr>
      <w:rFonts w:ascii="Verdana" w:hAnsi="Verdana"/>
      <w:sz w:val="16"/>
      <w:vertAlign w:val="superscript"/>
    </w:rPr>
  </w:style>
  <w:style w:type="paragraph" w:styleId="Prrafodelista">
    <w:name w:val="List Paragraph"/>
    <w:basedOn w:val="Normal"/>
    <w:uiPriority w:val="34"/>
    <w:qFormat/>
    <w:rsid w:val="00BF47F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CC088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088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088E"/>
    <w:rPr>
      <w:rFonts w:ascii="Calibri" w:eastAsia="Calibri" w:hAnsi="Calibri" w:cs="Times New Roman"/>
      <w:sz w:val="20"/>
      <w:szCs w:val="20"/>
      <w:lang w:val="es-C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088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088E"/>
    <w:rPr>
      <w:rFonts w:ascii="Calibri" w:eastAsia="Calibri" w:hAnsi="Calibri" w:cs="Times New Roman"/>
      <w:b/>
      <w:bCs/>
      <w:sz w:val="20"/>
      <w:szCs w:val="20"/>
      <w:lang w:val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088E"/>
    <w:rPr>
      <w:rFonts w:ascii="Tahoma" w:eastAsia="Calibri" w:hAnsi="Tahoma" w:cs="Tahoma"/>
      <w:sz w:val="16"/>
      <w:szCs w:val="16"/>
      <w:lang w:val="es-CR"/>
    </w:rPr>
  </w:style>
  <w:style w:type="character" w:customStyle="1" w:styleId="Ttulo1Car">
    <w:name w:val="Título 1 Car"/>
    <w:basedOn w:val="Fuentedeprrafopredeter"/>
    <w:link w:val="Ttulo1"/>
    <w:uiPriority w:val="9"/>
    <w:rsid w:val="00B01869"/>
    <w:rPr>
      <w:rFonts w:ascii="Verdana" w:eastAsia="Times New Roman" w:hAnsi="Verdana" w:cs="Verdana"/>
      <w:b/>
      <w:bCs/>
      <w:iCs/>
      <w:caps/>
      <w:snapToGrid w:val="0"/>
      <w:sz w:val="20"/>
      <w:szCs w:val="20"/>
      <w:lang w:val="pt-BR" w:eastAsia="es-ES"/>
    </w:rPr>
  </w:style>
  <w:style w:type="paragraph" w:styleId="Encabezado">
    <w:name w:val="header"/>
    <w:basedOn w:val="Normal"/>
    <w:link w:val="EncabezadoCar"/>
    <w:uiPriority w:val="99"/>
    <w:unhideWhenUsed/>
    <w:rsid w:val="00273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D1D"/>
    <w:rPr>
      <w:rFonts w:ascii="Calibri" w:eastAsia="Calibri" w:hAnsi="Calibri" w:cs="Times New Roman"/>
      <w:lang w:val="es-CR"/>
    </w:rPr>
  </w:style>
  <w:style w:type="paragraph" w:styleId="Piedepgina">
    <w:name w:val="footer"/>
    <w:basedOn w:val="Normal"/>
    <w:link w:val="PiedepginaCar"/>
    <w:uiPriority w:val="99"/>
    <w:unhideWhenUsed/>
    <w:rsid w:val="00273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D1D"/>
    <w:rPr>
      <w:rFonts w:ascii="Calibri" w:eastAsia="Calibri" w:hAnsi="Calibri" w:cs="Times New Roman"/>
      <w:lang w:val="es-CR"/>
    </w:rPr>
  </w:style>
  <w:style w:type="character" w:customStyle="1" w:styleId="Ttulo2Car">
    <w:name w:val="Título 2 Car"/>
    <w:basedOn w:val="Fuentedeprrafopredeter"/>
    <w:link w:val="Ttulo2"/>
    <w:uiPriority w:val="9"/>
    <w:rsid w:val="00B3599C"/>
    <w:rPr>
      <w:rFonts w:ascii="Verdana" w:eastAsia="Calibri" w:hAnsi="Verdana" w:cs="Times New Roman"/>
      <w:b/>
      <w:i/>
      <w:sz w:val="20"/>
      <w:szCs w:val="20"/>
      <w:lang w:val="pt-BR"/>
    </w:rPr>
  </w:style>
  <w:style w:type="character" w:customStyle="1" w:styleId="Ttulo3Car">
    <w:name w:val="Título 3 Car"/>
    <w:basedOn w:val="Fuentedeprrafopredeter"/>
    <w:link w:val="Ttulo3"/>
    <w:uiPriority w:val="9"/>
    <w:rsid w:val="0093619A"/>
    <w:rPr>
      <w:rFonts w:ascii="Verdana" w:eastAsia="Calibri" w:hAnsi="Verdana" w:cs="Times New Roman"/>
      <w:b/>
      <w:sz w:val="20"/>
      <w:szCs w:val="20"/>
      <w:lang w:val="pt-BR"/>
    </w:rPr>
  </w:style>
  <w:style w:type="paragraph" w:styleId="Textodebloque">
    <w:name w:val="Block Text"/>
    <w:basedOn w:val="Normal"/>
    <w:uiPriority w:val="99"/>
    <w:unhideWhenUsed/>
    <w:rsid w:val="00CE71B4"/>
    <w:pPr>
      <w:autoSpaceDE w:val="0"/>
      <w:autoSpaceDN w:val="0"/>
      <w:adjustRightInd w:val="0"/>
      <w:spacing w:after="0" w:line="240" w:lineRule="auto"/>
      <w:ind w:left="720" w:right="576"/>
      <w:jc w:val="both"/>
    </w:pPr>
    <w:rPr>
      <w:rFonts w:ascii="Verdana" w:hAnsi="Verdana" w:cs="Verdana"/>
      <w:sz w:val="18"/>
      <w:szCs w:val="18"/>
      <w:lang w:val="pt-BR"/>
    </w:rPr>
  </w:style>
  <w:style w:type="paragraph" w:customStyle="1" w:styleId="Default">
    <w:name w:val="Default"/>
    <w:rsid w:val="00DF317D"/>
    <w:pPr>
      <w:autoSpaceDE w:val="0"/>
      <w:autoSpaceDN w:val="0"/>
      <w:adjustRightInd w:val="0"/>
      <w:spacing w:after="0" w:line="240" w:lineRule="auto"/>
    </w:pPr>
    <w:rPr>
      <w:rFonts w:ascii="Verdana" w:eastAsia="Times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AC3"/>
    <w:rPr>
      <w:rFonts w:ascii="Calibri" w:eastAsia="Calibri" w:hAnsi="Calibri" w:cs="Times New Roman"/>
      <w:lang w:val="es-CR"/>
    </w:rPr>
  </w:style>
  <w:style w:type="paragraph" w:styleId="Ttulo1">
    <w:name w:val="heading 1"/>
    <w:basedOn w:val="Normal"/>
    <w:next w:val="Normal"/>
    <w:link w:val="Ttulo1Car"/>
    <w:uiPriority w:val="9"/>
    <w:qFormat/>
    <w:rsid w:val="00B01869"/>
    <w:pPr>
      <w:keepNext/>
      <w:tabs>
        <w:tab w:val="left" w:pos="567"/>
      </w:tabs>
      <w:autoSpaceDE w:val="0"/>
      <w:autoSpaceDN w:val="0"/>
      <w:adjustRightInd w:val="0"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iCs/>
      <w:caps/>
      <w:snapToGrid w:val="0"/>
      <w:sz w:val="20"/>
      <w:szCs w:val="20"/>
      <w:lang w:val="pt-BR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599C"/>
    <w:pPr>
      <w:keepNext/>
      <w:spacing w:after="0" w:line="240" w:lineRule="auto"/>
      <w:jc w:val="both"/>
      <w:outlineLvl w:val="1"/>
    </w:pPr>
    <w:rPr>
      <w:rFonts w:ascii="Verdana" w:hAnsi="Verdana"/>
      <w:b/>
      <w:i/>
      <w:sz w:val="20"/>
      <w:szCs w:val="20"/>
      <w:lang w:val="pt-BR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3619A"/>
    <w:pPr>
      <w:keepNext/>
      <w:spacing w:after="0" w:line="240" w:lineRule="auto"/>
      <w:jc w:val="both"/>
      <w:outlineLvl w:val="2"/>
    </w:pPr>
    <w:rPr>
      <w:rFonts w:ascii="Verdana" w:hAnsi="Verdana"/>
      <w:b/>
      <w:sz w:val="20"/>
      <w:szCs w:val="20"/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nhideWhenUsed/>
    <w:rsid w:val="00560475"/>
    <w:pPr>
      <w:spacing w:after="0" w:line="240" w:lineRule="auto"/>
      <w:jc w:val="both"/>
    </w:pPr>
    <w:rPr>
      <w:rFonts w:ascii="Verdana" w:hAnsi="Verdana"/>
      <w:sz w:val="16"/>
      <w:szCs w:val="20"/>
    </w:rPr>
  </w:style>
  <w:style w:type="character" w:customStyle="1" w:styleId="TextonotapieCar">
    <w:name w:val="Texto nota pie Car"/>
    <w:basedOn w:val="Fuentedeprrafopredeter"/>
    <w:link w:val="Textonotapie"/>
    <w:rsid w:val="00560475"/>
    <w:rPr>
      <w:rFonts w:ascii="Verdana" w:eastAsia="Calibri" w:hAnsi="Verdana" w:cs="Times New Roman"/>
      <w:sz w:val="16"/>
      <w:szCs w:val="20"/>
      <w:lang w:val="es-CR"/>
    </w:rPr>
  </w:style>
  <w:style w:type="character" w:styleId="Refdenotaalpie">
    <w:name w:val="footnote reference"/>
    <w:basedOn w:val="Fuentedeprrafopredeter"/>
    <w:uiPriority w:val="99"/>
    <w:unhideWhenUsed/>
    <w:rsid w:val="00560475"/>
    <w:rPr>
      <w:rFonts w:ascii="Verdana" w:hAnsi="Verdana"/>
      <w:sz w:val="16"/>
      <w:vertAlign w:val="superscript"/>
    </w:rPr>
  </w:style>
  <w:style w:type="paragraph" w:styleId="Prrafodelista">
    <w:name w:val="List Paragraph"/>
    <w:basedOn w:val="Normal"/>
    <w:uiPriority w:val="34"/>
    <w:qFormat/>
    <w:rsid w:val="00BF47F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CC088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088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088E"/>
    <w:rPr>
      <w:rFonts w:ascii="Calibri" w:eastAsia="Calibri" w:hAnsi="Calibri" w:cs="Times New Roman"/>
      <w:sz w:val="20"/>
      <w:szCs w:val="20"/>
      <w:lang w:val="es-C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088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088E"/>
    <w:rPr>
      <w:rFonts w:ascii="Calibri" w:eastAsia="Calibri" w:hAnsi="Calibri" w:cs="Times New Roman"/>
      <w:b/>
      <w:bCs/>
      <w:sz w:val="20"/>
      <w:szCs w:val="20"/>
      <w:lang w:val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088E"/>
    <w:rPr>
      <w:rFonts w:ascii="Tahoma" w:eastAsia="Calibri" w:hAnsi="Tahoma" w:cs="Tahoma"/>
      <w:sz w:val="16"/>
      <w:szCs w:val="16"/>
      <w:lang w:val="es-CR"/>
    </w:rPr>
  </w:style>
  <w:style w:type="character" w:customStyle="1" w:styleId="Ttulo1Car">
    <w:name w:val="Título 1 Car"/>
    <w:basedOn w:val="Fuentedeprrafopredeter"/>
    <w:link w:val="Ttulo1"/>
    <w:uiPriority w:val="9"/>
    <w:rsid w:val="00B01869"/>
    <w:rPr>
      <w:rFonts w:ascii="Verdana" w:eastAsia="Times New Roman" w:hAnsi="Verdana" w:cs="Verdana"/>
      <w:b/>
      <w:bCs/>
      <w:iCs/>
      <w:caps/>
      <w:snapToGrid w:val="0"/>
      <w:sz w:val="20"/>
      <w:szCs w:val="20"/>
      <w:lang w:val="pt-BR" w:eastAsia="es-ES"/>
    </w:rPr>
  </w:style>
  <w:style w:type="paragraph" w:styleId="Encabezado">
    <w:name w:val="header"/>
    <w:basedOn w:val="Normal"/>
    <w:link w:val="EncabezadoCar"/>
    <w:uiPriority w:val="99"/>
    <w:unhideWhenUsed/>
    <w:rsid w:val="00273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D1D"/>
    <w:rPr>
      <w:rFonts w:ascii="Calibri" w:eastAsia="Calibri" w:hAnsi="Calibri" w:cs="Times New Roman"/>
      <w:lang w:val="es-CR"/>
    </w:rPr>
  </w:style>
  <w:style w:type="paragraph" w:styleId="Piedepgina">
    <w:name w:val="footer"/>
    <w:basedOn w:val="Normal"/>
    <w:link w:val="PiedepginaCar"/>
    <w:uiPriority w:val="99"/>
    <w:unhideWhenUsed/>
    <w:rsid w:val="00273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D1D"/>
    <w:rPr>
      <w:rFonts w:ascii="Calibri" w:eastAsia="Calibri" w:hAnsi="Calibri" w:cs="Times New Roman"/>
      <w:lang w:val="es-CR"/>
    </w:rPr>
  </w:style>
  <w:style w:type="character" w:customStyle="1" w:styleId="Ttulo2Car">
    <w:name w:val="Título 2 Car"/>
    <w:basedOn w:val="Fuentedeprrafopredeter"/>
    <w:link w:val="Ttulo2"/>
    <w:uiPriority w:val="9"/>
    <w:rsid w:val="00B3599C"/>
    <w:rPr>
      <w:rFonts w:ascii="Verdana" w:eastAsia="Calibri" w:hAnsi="Verdana" w:cs="Times New Roman"/>
      <w:b/>
      <w:i/>
      <w:sz w:val="20"/>
      <w:szCs w:val="20"/>
      <w:lang w:val="pt-BR"/>
    </w:rPr>
  </w:style>
  <w:style w:type="character" w:customStyle="1" w:styleId="Ttulo3Car">
    <w:name w:val="Título 3 Car"/>
    <w:basedOn w:val="Fuentedeprrafopredeter"/>
    <w:link w:val="Ttulo3"/>
    <w:uiPriority w:val="9"/>
    <w:rsid w:val="0093619A"/>
    <w:rPr>
      <w:rFonts w:ascii="Verdana" w:eastAsia="Calibri" w:hAnsi="Verdana" w:cs="Times New Roman"/>
      <w:b/>
      <w:sz w:val="20"/>
      <w:szCs w:val="20"/>
      <w:lang w:val="pt-BR"/>
    </w:rPr>
  </w:style>
  <w:style w:type="paragraph" w:styleId="Textodebloque">
    <w:name w:val="Block Text"/>
    <w:basedOn w:val="Normal"/>
    <w:uiPriority w:val="99"/>
    <w:unhideWhenUsed/>
    <w:rsid w:val="00CE71B4"/>
    <w:pPr>
      <w:autoSpaceDE w:val="0"/>
      <w:autoSpaceDN w:val="0"/>
      <w:adjustRightInd w:val="0"/>
      <w:spacing w:after="0" w:line="240" w:lineRule="auto"/>
      <w:ind w:left="720" w:right="576"/>
      <w:jc w:val="both"/>
    </w:pPr>
    <w:rPr>
      <w:rFonts w:ascii="Verdana" w:hAnsi="Verdana" w:cs="Verdana"/>
      <w:sz w:val="18"/>
      <w:szCs w:val="18"/>
      <w:lang w:val="pt-BR"/>
    </w:rPr>
  </w:style>
  <w:style w:type="paragraph" w:customStyle="1" w:styleId="Default">
    <w:name w:val="Default"/>
    <w:rsid w:val="00DF317D"/>
    <w:pPr>
      <w:autoSpaceDE w:val="0"/>
      <w:autoSpaceDN w:val="0"/>
      <w:adjustRightInd w:val="0"/>
      <w:spacing w:after="0" w:line="240" w:lineRule="auto"/>
    </w:pPr>
    <w:rPr>
      <w:rFonts w:ascii="Verdana" w:eastAsia="Times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9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BD82A-684F-49BF-9938-60F905C1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3711</Words>
  <Characters>20416</Characters>
  <Application>Microsoft Office Word</Application>
  <DocSecurity>0</DocSecurity>
  <Lines>170</Lines>
  <Paragraphs>48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</dc:creator>
  <cp:lastModifiedBy>Liliana Tojo</cp:lastModifiedBy>
  <cp:revision>4</cp:revision>
  <cp:lastPrinted>2017-09-15T13:06:00Z</cp:lastPrinted>
  <dcterms:created xsi:type="dcterms:W3CDTF">2017-09-15T13:06:00Z</dcterms:created>
  <dcterms:modified xsi:type="dcterms:W3CDTF">2017-09-15T13:06:00Z</dcterms:modified>
</cp:coreProperties>
</file>