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507" w:rsidRPr="0068737B" w:rsidRDefault="004E52B7" w:rsidP="00200507">
      <w:pPr>
        <w:jc w:val="center"/>
        <w:rPr>
          <w:b/>
          <w:sz w:val="20"/>
          <w:szCs w:val="20"/>
          <w:lang w:val="es-AR"/>
        </w:rPr>
      </w:pPr>
      <w:bookmarkStart w:id="0" w:name="_GoBack"/>
      <w:bookmarkEnd w:id="0"/>
      <w:r w:rsidRPr="0068737B">
        <w:rPr>
          <w:b/>
          <w:sz w:val="20"/>
          <w:szCs w:val="20"/>
          <w:lang w:val="es-AR"/>
        </w:rPr>
        <w:t xml:space="preserve">INFORME No. </w:t>
      </w:r>
      <w:r w:rsidR="00CE0134">
        <w:rPr>
          <w:b/>
          <w:sz w:val="20"/>
          <w:szCs w:val="20"/>
          <w:lang w:val="es-AR"/>
        </w:rPr>
        <w:t>108</w:t>
      </w:r>
      <w:r w:rsidRPr="0068737B">
        <w:rPr>
          <w:b/>
          <w:sz w:val="20"/>
          <w:szCs w:val="20"/>
          <w:lang w:val="es-AR"/>
        </w:rPr>
        <w:t>/11</w:t>
      </w:r>
    </w:p>
    <w:p w:rsidR="00200507" w:rsidRPr="0068737B" w:rsidRDefault="00B24219" w:rsidP="00200507">
      <w:pPr>
        <w:jc w:val="center"/>
        <w:rPr>
          <w:sz w:val="20"/>
          <w:szCs w:val="20"/>
          <w:lang w:val="es-AR"/>
        </w:rPr>
      </w:pPr>
      <w:r>
        <w:rPr>
          <w:sz w:val="20"/>
          <w:szCs w:val="20"/>
          <w:lang w:val="es-AR"/>
        </w:rPr>
        <w:t>PETICIÓN 422-03</w:t>
      </w:r>
    </w:p>
    <w:p w:rsidR="00200507" w:rsidRPr="0068737B" w:rsidRDefault="00200507" w:rsidP="00200507">
      <w:pPr>
        <w:jc w:val="center"/>
        <w:rPr>
          <w:sz w:val="20"/>
          <w:szCs w:val="20"/>
          <w:lang w:val="es-AR"/>
        </w:rPr>
      </w:pPr>
      <w:r w:rsidRPr="0068737B">
        <w:rPr>
          <w:sz w:val="20"/>
          <w:szCs w:val="20"/>
          <w:lang w:val="es-AR"/>
        </w:rPr>
        <w:t>ADMISIBILIDAD</w:t>
      </w:r>
    </w:p>
    <w:p w:rsidR="00200507" w:rsidRPr="0068737B" w:rsidRDefault="004E52B7" w:rsidP="00200507">
      <w:pPr>
        <w:jc w:val="center"/>
        <w:rPr>
          <w:sz w:val="20"/>
          <w:szCs w:val="20"/>
          <w:lang w:val="es-AR"/>
        </w:rPr>
      </w:pPr>
      <w:r w:rsidRPr="0068737B">
        <w:rPr>
          <w:sz w:val="20"/>
          <w:szCs w:val="20"/>
          <w:lang w:val="es-AR"/>
        </w:rPr>
        <w:t>CORY CLODOLIA TENICELA TELLO</w:t>
      </w:r>
      <w:r w:rsidR="001B4097" w:rsidRPr="0068737B">
        <w:rPr>
          <w:sz w:val="20"/>
          <w:szCs w:val="20"/>
          <w:lang w:val="es-AR"/>
        </w:rPr>
        <w:t xml:space="preserve"> y Otros</w:t>
      </w:r>
    </w:p>
    <w:p w:rsidR="00200507" w:rsidRPr="0068737B" w:rsidRDefault="00200507" w:rsidP="00200507">
      <w:pPr>
        <w:jc w:val="center"/>
        <w:rPr>
          <w:sz w:val="20"/>
          <w:szCs w:val="20"/>
          <w:lang w:val="es-AR"/>
        </w:rPr>
      </w:pPr>
      <w:r w:rsidRPr="0068737B">
        <w:rPr>
          <w:sz w:val="20"/>
          <w:szCs w:val="20"/>
          <w:lang w:val="es-AR"/>
        </w:rPr>
        <w:t>PERÚ</w:t>
      </w:r>
    </w:p>
    <w:p w:rsidR="00200507" w:rsidRPr="0068737B" w:rsidRDefault="00ED7CFF" w:rsidP="00200507">
      <w:pPr>
        <w:jc w:val="center"/>
        <w:rPr>
          <w:sz w:val="20"/>
          <w:szCs w:val="20"/>
          <w:lang w:val="es-AR"/>
        </w:rPr>
      </w:pPr>
      <w:r>
        <w:rPr>
          <w:sz w:val="20"/>
          <w:szCs w:val="20"/>
          <w:lang w:val="es-AR"/>
        </w:rPr>
        <w:t>22</w:t>
      </w:r>
      <w:r w:rsidR="00200507" w:rsidRPr="0068737B">
        <w:rPr>
          <w:sz w:val="20"/>
          <w:szCs w:val="20"/>
          <w:lang w:val="es-AR"/>
        </w:rPr>
        <w:t xml:space="preserve"> de </w:t>
      </w:r>
      <w:r>
        <w:rPr>
          <w:sz w:val="20"/>
          <w:szCs w:val="20"/>
          <w:lang w:val="es-AR"/>
        </w:rPr>
        <w:t>julio</w:t>
      </w:r>
      <w:r w:rsidR="004E52B7" w:rsidRPr="0068737B">
        <w:rPr>
          <w:sz w:val="20"/>
          <w:szCs w:val="20"/>
          <w:lang w:val="es-AR"/>
        </w:rPr>
        <w:t xml:space="preserve"> de 2011</w:t>
      </w:r>
    </w:p>
    <w:p w:rsidR="00200507" w:rsidRPr="0068737B" w:rsidRDefault="00200507" w:rsidP="00200507">
      <w:pPr>
        <w:rPr>
          <w:sz w:val="20"/>
          <w:szCs w:val="20"/>
          <w:lang w:val="es-AR"/>
        </w:rPr>
      </w:pPr>
    </w:p>
    <w:p w:rsidR="00200507" w:rsidRPr="0068737B" w:rsidRDefault="00200507" w:rsidP="00200507">
      <w:pPr>
        <w:rPr>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t>I.</w:t>
      </w:r>
      <w:r w:rsidRPr="0068737B">
        <w:rPr>
          <w:sz w:val="20"/>
          <w:szCs w:val="20"/>
          <w:lang w:val="es-AR"/>
        </w:rPr>
        <w:tab/>
        <w:t>RESUMEN</w:t>
      </w:r>
    </w:p>
    <w:p w:rsidR="00200507" w:rsidRPr="0068737B" w:rsidRDefault="00200507" w:rsidP="00200507">
      <w:pPr>
        <w:rPr>
          <w:sz w:val="20"/>
          <w:szCs w:val="20"/>
          <w:lang w:val="es-AR"/>
        </w:rPr>
      </w:pPr>
    </w:p>
    <w:p w:rsidR="00EA39E4" w:rsidRPr="0068737B" w:rsidRDefault="00200507" w:rsidP="000C2492">
      <w:pPr>
        <w:numPr>
          <w:ilvl w:val="0"/>
          <w:numId w:val="1"/>
        </w:numPr>
        <w:rPr>
          <w:rFonts w:cs="Arial"/>
          <w:iCs/>
          <w:sz w:val="20"/>
          <w:szCs w:val="20"/>
          <w:lang w:val="es-AR"/>
        </w:rPr>
      </w:pPr>
      <w:r w:rsidRPr="0068737B">
        <w:rPr>
          <w:sz w:val="20"/>
          <w:szCs w:val="20"/>
          <w:lang w:val="es-AR"/>
        </w:rPr>
        <w:t xml:space="preserve">El </w:t>
      </w:r>
      <w:r w:rsidR="000150DE" w:rsidRPr="0068737B">
        <w:rPr>
          <w:sz w:val="20"/>
          <w:szCs w:val="20"/>
          <w:lang w:val="es-AR"/>
        </w:rPr>
        <w:t>10</w:t>
      </w:r>
      <w:r w:rsidRPr="0068737B">
        <w:rPr>
          <w:sz w:val="20"/>
          <w:szCs w:val="20"/>
          <w:lang w:val="es-AR"/>
        </w:rPr>
        <w:t xml:space="preserve"> de </w:t>
      </w:r>
      <w:r w:rsidR="000150DE" w:rsidRPr="0068737B">
        <w:rPr>
          <w:sz w:val="20"/>
          <w:szCs w:val="20"/>
          <w:lang w:val="es-AR"/>
        </w:rPr>
        <w:t>junio</w:t>
      </w:r>
      <w:r w:rsidRPr="0068737B">
        <w:rPr>
          <w:sz w:val="20"/>
          <w:szCs w:val="20"/>
          <w:lang w:val="es-AR"/>
        </w:rPr>
        <w:t xml:space="preserve"> de </w:t>
      </w:r>
      <w:r w:rsidR="000150DE" w:rsidRPr="0068737B">
        <w:rPr>
          <w:sz w:val="20"/>
          <w:szCs w:val="20"/>
          <w:lang w:val="es-AR"/>
        </w:rPr>
        <w:t>2003</w:t>
      </w:r>
      <w:r w:rsidRPr="0068737B">
        <w:rPr>
          <w:sz w:val="20"/>
          <w:szCs w:val="20"/>
          <w:lang w:val="es-AR"/>
        </w:rPr>
        <w:t xml:space="preserve"> la Comisión Interamericana de Derechos Humanos (en adelante también </w:t>
      </w:r>
      <w:r w:rsidR="00B16C51">
        <w:rPr>
          <w:rFonts w:cs="Arial"/>
          <w:sz w:val="20"/>
          <w:szCs w:val="20"/>
          <w:lang w:val="es-AR"/>
        </w:rPr>
        <w:t>“</w:t>
      </w:r>
      <w:r w:rsidRPr="0068737B">
        <w:rPr>
          <w:sz w:val="20"/>
          <w:szCs w:val="20"/>
          <w:lang w:val="es-AR"/>
        </w:rPr>
        <w:t>la Comisión Interamericana</w:t>
      </w:r>
      <w:r w:rsidR="00B16C51">
        <w:rPr>
          <w:rFonts w:cs="Arial"/>
          <w:sz w:val="20"/>
          <w:szCs w:val="20"/>
          <w:lang w:val="es-AR"/>
        </w:rPr>
        <w:t>”</w:t>
      </w:r>
      <w:r w:rsidRPr="0068737B">
        <w:rPr>
          <w:sz w:val="20"/>
          <w:szCs w:val="20"/>
          <w:lang w:val="es-AR"/>
        </w:rPr>
        <w:t xml:space="preserve">, </w:t>
      </w:r>
      <w:r w:rsidR="00B16C51">
        <w:rPr>
          <w:rFonts w:cs="Arial"/>
          <w:sz w:val="20"/>
          <w:szCs w:val="20"/>
          <w:lang w:val="es-AR"/>
        </w:rPr>
        <w:t>“</w:t>
      </w:r>
      <w:r w:rsidRPr="0068737B">
        <w:rPr>
          <w:sz w:val="20"/>
          <w:szCs w:val="20"/>
          <w:lang w:val="es-AR"/>
        </w:rPr>
        <w:t>la Comisión</w:t>
      </w:r>
      <w:r w:rsidR="00B16C51">
        <w:rPr>
          <w:rFonts w:cs="Arial"/>
          <w:sz w:val="20"/>
          <w:szCs w:val="20"/>
          <w:lang w:val="es-AR"/>
        </w:rPr>
        <w:t>”</w:t>
      </w:r>
      <w:r w:rsidRPr="0068737B">
        <w:rPr>
          <w:sz w:val="20"/>
          <w:szCs w:val="20"/>
          <w:lang w:val="es-AR"/>
        </w:rPr>
        <w:t xml:space="preserve"> o </w:t>
      </w:r>
      <w:r w:rsidR="00B16C51">
        <w:rPr>
          <w:rFonts w:cs="Arial"/>
          <w:sz w:val="20"/>
          <w:szCs w:val="20"/>
          <w:lang w:val="es-AR"/>
        </w:rPr>
        <w:t>“</w:t>
      </w:r>
      <w:r w:rsidRPr="0068737B">
        <w:rPr>
          <w:sz w:val="20"/>
          <w:szCs w:val="20"/>
          <w:lang w:val="es-AR"/>
        </w:rPr>
        <w:t>la CIDH</w:t>
      </w:r>
      <w:r w:rsidR="00B16C51">
        <w:rPr>
          <w:rFonts w:cs="Arial"/>
          <w:sz w:val="20"/>
          <w:szCs w:val="20"/>
          <w:lang w:val="es-AR"/>
        </w:rPr>
        <w:t>”</w:t>
      </w:r>
      <w:r w:rsidRPr="0068737B">
        <w:rPr>
          <w:sz w:val="20"/>
          <w:szCs w:val="20"/>
          <w:lang w:val="es-AR"/>
        </w:rPr>
        <w:t xml:space="preserve">) recibió una petición presentada por </w:t>
      </w:r>
      <w:r w:rsidR="00836674" w:rsidRPr="0068737B">
        <w:rPr>
          <w:sz w:val="20"/>
          <w:szCs w:val="20"/>
          <w:lang w:val="es-AR"/>
        </w:rPr>
        <w:t>Amadea Tello de Teni</w:t>
      </w:r>
      <w:r w:rsidR="000150DE" w:rsidRPr="0068737B">
        <w:rPr>
          <w:sz w:val="20"/>
          <w:szCs w:val="20"/>
          <w:lang w:val="es-AR"/>
        </w:rPr>
        <w:t>cela y Norma Juana Tenicela Tello</w:t>
      </w:r>
      <w:r w:rsidRPr="0068737B">
        <w:rPr>
          <w:sz w:val="20"/>
          <w:szCs w:val="20"/>
          <w:lang w:val="es-AR"/>
        </w:rPr>
        <w:t xml:space="preserve"> </w:t>
      </w:r>
      <w:r w:rsidR="000150DE" w:rsidRPr="0068737B">
        <w:rPr>
          <w:sz w:val="20"/>
          <w:szCs w:val="20"/>
          <w:lang w:val="es-AR"/>
        </w:rPr>
        <w:t>(en adelante también “las peticionaria</w:t>
      </w:r>
      <w:r w:rsidRPr="0068737B">
        <w:rPr>
          <w:sz w:val="20"/>
          <w:szCs w:val="20"/>
          <w:lang w:val="es-AR"/>
        </w:rPr>
        <w:t xml:space="preserve">s”) en representación de </w:t>
      </w:r>
      <w:r w:rsidR="000150DE" w:rsidRPr="0068737B">
        <w:rPr>
          <w:sz w:val="20"/>
          <w:szCs w:val="20"/>
          <w:lang w:val="es-AR"/>
        </w:rPr>
        <w:t>Cory Clodolia Tenicela Tello</w:t>
      </w:r>
      <w:r w:rsidRPr="0068737B">
        <w:rPr>
          <w:sz w:val="20"/>
          <w:szCs w:val="20"/>
          <w:lang w:val="es-AR"/>
        </w:rPr>
        <w:t xml:space="preserve"> (en adelante también “la presunta víctima”) en la cual se alega la violación por parte de la República de</w:t>
      </w:r>
      <w:r w:rsidR="00E80CB4" w:rsidRPr="0068737B">
        <w:rPr>
          <w:sz w:val="20"/>
          <w:szCs w:val="20"/>
          <w:lang w:val="es-AR"/>
        </w:rPr>
        <w:t>l</w:t>
      </w:r>
      <w:r w:rsidRPr="0068737B">
        <w:rPr>
          <w:sz w:val="20"/>
          <w:szCs w:val="20"/>
          <w:lang w:val="es-AR"/>
        </w:rPr>
        <w:t xml:space="preserve"> Perú (en adelante también </w:t>
      </w:r>
      <w:r w:rsidRPr="0068737B">
        <w:rPr>
          <w:rFonts w:cs="Arial"/>
          <w:sz w:val="20"/>
          <w:szCs w:val="20"/>
          <w:lang w:val="es-AR"/>
        </w:rPr>
        <w:t>"Perú"</w:t>
      </w:r>
      <w:r w:rsidRPr="0068737B">
        <w:rPr>
          <w:sz w:val="20"/>
          <w:szCs w:val="20"/>
          <w:lang w:val="es-AR"/>
        </w:rPr>
        <w:t xml:space="preserve">, </w:t>
      </w:r>
      <w:r w:rsidRPr="0068737B">
        <w:rPr>
          <w:rFonts w:cs="Arial"/>
          <w:sz w:val="20"/>
          <w:szCs w:val="20"/>
          <w:lang w:val="es-AR"/>
        </w:rPr>
        <w:t>"</w:t>
      </w:r>
      <w:r w:rsidRPr="0068737B">
        <w:rPr>
          <w:sz w:val="20"/>
          <w:szCs w:val="20"/>
          <w:lang w:val="es-AR"/>
        </w:rPr>
        <w:t>el Estado</w:t>
      </w:r>
      <w:r w:rsidRPr="0068737B">
        <w:rPr>
          <w:rFonts w:cs="Arial"/>
          <w:sz w:val="20"/>
          <w:szCs w:val="20"/>
          <w:lang w:val="es-AR"/>
        </w:rPr>
        <w:t>"</w:t>
      </w:r>
      <w:r w:rsidRPr="0068737B">
        <w:rPr>
          <w:sz w:val="20"/>
          <w:szCs w:val="20"/>
          <w:lang w:val="es-AR"/>
        </w:rPr>
        <w:t xml:space="preserve"> o </w:t>
      </w:r>
      <w:r w:rsidRPr="0068737B">
        <w:rPr>
          <w:rFonts w:cs="Arial"/>
          <w:sz w:val="20"/>
          <w:szCs w:val="20"/>
          <w:lang w:val="es-AR"/>
        </w:rPr>
        <w:t>"</w:t>
      </w:r>
      <w:r w:rsidRPr="0068737B">
        <w:rPr>
          <w:sz w:val="20"/>
          <w:szCs w:val="20"/>
          <w:lang w:val="es-AR"/>
        </w:rPr>
        <w:t>el Estado peruano</w:t>
      </w:r>
      <w:r w:rsidRPr="0068737B">
        <w:rPr>
          <w:rFonts w:cs="Arial"/>
          <w:sz w:val="20"/>
          <w:szCs w:val="20"/>
          <w:lang w:val="es-AR"/>
        </w:rPr>
        <w:t>"</w:t>
      </w:r>
      <w:r w:rsidRPr="0068737B">
        <w:rPr>
          <w:sz w:val="20"/>
          <w:szCs w:val="20"/>
          <w:lang w:val="es-AR"/>
        </w:rPr>
        <w:t>) de</w:t>
      </w:r>
      <w:r w:rsidR="006A36C7" w:rsidRPr="0068737B">
        <w:rPr>
          <w:sz w:val="20"/>
          <w:szCs w:val="20"/>
          <w:lang w:val="es-AR"/>
        </w:rPr>
        <w:t xml:space="preserve"> los</w:t>
      </w:r>
      <w:r w:rsidRPr="0068737B">
        <w:rPr>
          <w:sz w:val="20"/>
          <w:szCs w:val="20"/>
          <w:lang w:val="es-AR"/>
        </w:rPr>
        <w:t xml:space="preserve"> derechos consagrados en los artículos </w:t>
      </w:r>
      <w:r w:rsidR="000150DE" w:rsidRPr="0068737B">
        <w:rPr>
          <w:sz w:val="20"/>
          <w:szCs w:val="20"/>
          <w:lang w:val="es-AR"/>
        </w:rPr>
        <w:t>4, 5, 7,</w:t>
      </w:r>
      <w:r w:rsidRPr="0068737B">
        <w:rPr>
          <w:sz w:val="20"/>
          <w:szCs w:val="20"/>
          <w:lang w:val="es-AR"/>
        </w:rPr>
        <w:t xml:space="preserve"> 8</w:t>
      </w:r>
      <w:r w:rsidR="000150DE" w:rsidRPr="0068737B">
        <w:rPr>
          <w:sz w:val="20"/>
          <w:szCs w:val="20"/>
          <w:lang w:val="es-AR"/>
        </w:rPr>
        <w:t xml:space="preserve"> y 13</w:t>
      </w:r>
      <w:r w:rsidRPr="0068737B">
        <w:rPr>
          <w:sz w:val="20"/>
          <w:szCs w:val="20"/>
          <w:lang w:val="es-AR"/>
        </w:rPr>
        <w:t xml:space="preserve"> de la Convención Americana sobre Derechos Humanos (en adelante también</w:t>
      </w:r>
      <w:r w:rsidR="00EB61ED" w:rsidRPr="0068737B">
        <w:rPr>
          <w:sz w:val="20"/>
          <w:szCs w:val="20"/>
          <w:lang w:val="es-AR"/>
        </w:rPr>
        <w:t xml:space="preserve"> “la Convención Americana” o</w:t>
      </w:r>
      <w:r w:rsidRPr="0068737B">
        <w:rPr>
          <w:sz w:val="20"/>
          <w:szCs w:val="20"/>
          <w:lang w:val="es-AR"/>
        </w:rPr>
        <w:t xml:space="preserve"> “la Convención”).</w:t>
      </w:r>
      <w:r w:rsidR="000150DE" w:rsidRPr="0068737B">
        <w:rPr>
          <w:sz w:val="20"/>
          <w:szCs w:val="20"/>
          <w:lang w:val="es-AR"/>
        </w:rPr>
        <w:t xml:space="preserve"> La</w:t>
      </w:r>
      <w:r w:rsidR="00C83863" w:rsidRPr="0068737B">
        <w:rPr>
          <w:sz w:val="20"/>
          <w:szCs w:val="20"/>
          <w:lang w:val="es-AR"/>
        </w:rPr>
        <w:t>s peticionaria</w:t>
      </w:r>
      <w:r w:rsidR="000C2492" w:rsidRPr="0068737B">
        <w:rPr>
          <w:sz w:val="20"/>
          <w:szCs w:val="20"/>
          <w:lang w:val="es-AR"/>
        </w:rPr>
        <w:t xml:space="preserve">s afirmaron que </w:t>
      </w:r>
      <w:r w:rsidR="000150DE" w:rsidRPr="0068737B">
        <w:rPr>
          <w:sz w:val="20"/>
          <w:szCs w:val="20"/>
          <w:lang w:val="es-AR"/>
        </w:rPr>
        <w:t>la</w:t>
      </w:r>
      <w:r w:rsidR="000C2492" w:rsidRPr="0068737B">
        <w:rPr>
          <w:sz w:val="20"/>
          <w:szCs w:val="20"/>
          <w:lang w:val="es-AR"/>
        </w:rPr>
        <w:t xml:space="preserve"> señor</w:t>
      </w:r>
      <w:r w:rsidR="000150DE" w:rsidRPr="0068737B">
        <w:rPr>
          <w:sz w:val="20"/>
          <w:szCs w:val="20"/>
          <w:lang w:val="es-AR"/>
        </w:rPr>
        <w:t>a</w:t>
      </w:r>
      <w:r w:rsidR="000C2492" w:rsidRPr="0068737B">
        <w:rPr>
          <w:sz w:val="20"/>
          <w:szCs w:val="20"/>
          <w:lang w:val="es-AR"/>
        </w:rPr>
        <w:t xml:space="preserve"> </w:t>
      </w:r>
      <w:r w:rsidR="000150DE" w:rsidRPr="0068737B">
        <w:rPr>
          <w:sz w:val="20"/>
          <w:szCs w:val="20"/>
          <w:lang w:val="es-AR"/>
        </w:rPr>
        <w:t>Cory Clodolia Tenicela fue detenida</w:t>
      </w:r>
      <w:r w:rsidR="000C2492" w:rsidRPr="0068737B">
        <w:rPr>
          <w:sz w:val="20"/>
          <w:szCs w:val="20"/>
          <w:lang w:val="es-AR"/>
        </w:rPr>
        <w:t xml:space="preserve"> </w:t>
      </w:r>
      <w:r w:rsidR="00EA39E4" w:rsidRPr="0068737B">
        <w:rPr>
          <w:sz w:val="20"/>
          <w:szCs w:val="20"/>
          <w:lang w:val="es-AR"/>
        </w:rPr>
        <w:t xml:space="preserve">por </w:t>
      </w:r>
      <w:r w:rsidR="000150DE" w:rsidRPr="0068737B">
        <w:rPr>
          <w:sz w:val="20"/>
          <w:szCs w:val="20"/>
          <w:lang w:val="es-AR"/>
        </w:rPr>
        <w:t>integrantes de</w:t>
      </w:r>
      <w:r w:rsidR="00C83863" w:rsidRPr="0068737B">
        <w:rPr>
          <w:sz w:val="20"/>
          <w:szCs w:val="20"/>
          <w:lang w:val="es-AR"/>
        </w:rPr>
        <w:t>l Ejército peruano</w:t>
      </w:r>
      <w:r w:rsidR="000150DE" w:rsidRPr="0068737B">
        <w:rPr>
          <w:sz w:val="20"/>
          <w:szCs w:val="20"/>
          <w:lang w:val="es-AR"/>
        </w:rPr>
        <w:t xml:space="preserve"> </w:t>
      </w:r>
      <w:r w:rsidR="000C2492" w:rsidRPr="0068737B">
        <w:rPr>
          <w:sz w:val="20"/>
          <w:szCs w:val="20"/>
          <w:lang w:val="es-AR"/>
        </w:rPr>
        <w:t xml:space="preserve">el </w:t>
      </w:r>
      <w:r w:rsidR="000150DE" w:rsidRPr="0068737B">
        <w:rPr>
          <w:sz w:val="20"/>
          <w:szCs w:val="20"/>
          <w:lang w:val="es-AR"/>
        </w:rPr>
        <w:t>2 de octubre de 1992</w:t>
      </w:r>
      <w:r w:rsidR="000C2492" w:rsidRPr="0068737B">
        <w:rPr>
          <w:sz w:val="20"/>
          <w:szCs w:val="20"/>
          <w:lang w:val="es-AR"/>
        </w:rPr>
        <w:t xml:space="preserve"> en</w:t>
      </w:r>
      <w:r w:rsidR="00EA39E4" w:rsidRPr="0068737B">
        <w:rPr>
          <w:sz w:val="20"/>
          <w:szCs w:val="20"/>
          <w:lang w:val="es-AR"/>
        </w:rPr>
        <w:t xml:space="preserve"> </w:t>
      </w:r>
      <w:r w:rsidR="000150DE" w:rsidRPr="0068737B">
        <w:rPr>
          <w:sz w:val="20"/>
          <w:szCs w:val="20"/>
          <w:lang w:val="es-AR"/>
        </w:rPr>
        <w:t>Huancayo</w:t>
      </w:r>
      <w:r w:rsidR="00C83863" w:rsidRPr="0068737B">
        <w:rPr>
          <w:sz w:val="20"/>
          <w:szCs w:val="20"/>
          <w:lang w:val="es-AR"/>
        </w:rPr>
        <w:t xml:space="preserve">, </w:t>
      </w:r>
      <w:r w:rsidR="000C2492" w:rsidRPr="0068737B">
        <w:rPr>
          <w:sz w:val="20"/>
          <w:szCs w:val="20"/>
          <w:lang w:val="es-AR"/>
        </w:rPr>
        <w:t xml:space="preserve">departamento de </w:t>
      </w:r>
      <w:r w:rsidR="000150DE" w:rsidRPr="0068737B">
        <w:rPr>
          <w:sz w:val="20"/>
          <w:szCs w:val="20"/>
          <w:lang w:val="es-AR"/>
        </w:rPr>
        <w:t>Junín</w:t>
      </w:r>
      <w:r w:rsidR="000C2492" w:rsidRPr="0068737B">
        <w:rPr>
          <w:sz w:val="20"/>
          <w:szCs w:val="20"/>
          <w:lang w:val="es-AR"/>
        </w:rPr>
        <w:t xml:space="preserve">, </w:t>
      </w:r>
      <w:r w:rsidR="00C83863" w:rsidRPr="0068737B">
        <w:rPr>
          <w:sz w:val="20"/>
          <w:szCs w:val="20"/>
          <w:lang w:val="es-AR"/>
        </w:rPr>
        <w:t>y que desde entonces su</w:t>
      </w:r>
      <w:r w:rsidR="000C2492" w:rsidRPr="0068737B">
        <w:rPr>
          <w:sz w:val="20"/>
          <w:szCs w:val="20"/>
          <w:lang w:val="es-AR"/>
        </w:rPr>
        <w:t xml:space="preserve"> paradero </w:t>
      </w:r>
      <w:r w:rsidR="00C83863" w:rsidRPr="0068737B">
        <w:rPr>
          <w:sz w:val="20"/>
          <w:szCs w:val="20"/>
          <w:lang w:val="es-AR"/>
        </w:rPr>
        <w:t>permanece desconocido</w:t>
      </w:r>
      <w:r w:rsidR="000C2492" w:rsidRPr="0068737B">
        <w:rPr>
          <w:sz w:val="20"/>
          <w:szCs w:val="20"/>
          <w:lang w:val="es-AR"/>
        </w:rPr>
        <w:t>.</w:t>
      </w:r>
      <w:r w:rsidR="00C83863" w:rsidRPr="0068737B">
        <w:rPr>
          <w:sz w:val="20"/>
          <w:szCs w:val="20"/>
          <w:lang w:val="es-AR"/>
        </w:rPr>
        <w:t xml:space="preserve"> Afirm</w:t>
      </w:r>
      <w:r w:rsidR="006A36C7" w:rsidRPr="0068737B">
        <w:rPr>
          <w:sz w:val="20"/>
          <w:szCs w:val="20"/>
          <w:lang w:val="es-AR"/>
        </w:rPr>
        <w:t>aron que recién en julio de</w:t>
      </w:r>
      <w:r w:rsidR="00C83863" w:rsidRPr="0068737B">
        <w:rPr>
          <w:sz w:val="20"/>
          <w:szCs w:val="20"/>
          <w:lang w:val="es-AR"/>
        </w:rPr>
        <w:t xml:space="preserve"> 2003 la Fiscalía Provincial de Huancayo inició investigaciones por la desaparición de la presunta víctima y que las autoridades judiciales no habrían adoptado las medidas necesarias para</w:t>
      </w:r>
      <w:r w:rsidR="006A36C7" w:rsidRPr="0068737B">
        <w:rPr>
          <w:sz w:val="20"/>
          <w:szCs w:val="20"/>
          <w:lang w:val="es-AR"/>
        </w:rPr>
        <w:t xml:space="preserve"> determinar su paradero,</w:t>
      </w:r>
      <w:r w:rsidR="00C83863" w:rsidRPr="0068737B">
        <w:rPr>
          <w:sz w:val="20"/>
          <w:szCs w:val="20"/>
          <w:lang w:val="es-AR"/>
        </w:rPr>
        <w:t xml:space="preserve"> investigar los</w:t>
      </w:r>
      <w:r w:rsidR="006A36C7" w:rsidRPr="0068737B">
        <w:rPr>
          <w:sz w:val="20"/>
          <w:szCs w:val="20"/>
          <w:lang w:val="es-AR"/>
        </w:rPr>
        <w:t xml:space="preserve"> hechos y</w:t>
      </w:r>
      <w:r w:rsidR="00C83863" w:rsidRPr="0068737B">
        <w:rPr>
          <w:sz w:val="20"/>
          <w:szCs w:val="20"/>
          <w:lang w:val="es-AR"/>
        </w:rPr>
        <w:t xml:space="preserve"> sancionar a los responsables. </w:t>
      </w:r>
    </w:p>
    <w:p w:rsidR="00200507" w:rsidRPr="0068737B" w:rsidRDefault="000C2492" w:rsidP="00EA39E4">
      <w:pPr>
        <w:rPr>
          <w:rFonts w:cs="Arial"/>
          <w:iCs/>
          <w:sz w:val="20"/>
          <w:szCs w:val="20"/>
          <w:lang w:val="es-AR"/>
        </w:rPr>
      </w:pPr>
      <w:r w:rsidRPr="0068737B">
        <w:rPr>
          <w:sz w:val="20"/>
          <w:szCs w:val="20"/>
          <w:lang w:val="es-AR"/>
        </w:rPr>
        <w:t xml:space="preserve"> </w:t>
      </w:r>
      <w:r w:rsidR="00EA39E4" w:rsidRPr="0068737B">
        <w:rPr>
          <w:sz w:val="20"/>
          <w:szCs w:val="20"/>
          <w:lang w:val="es-AR"/>
        </w:rPr>
        <w:t xml:space="preserve"> </w:t>
      </w:r>
    </w:p>
    <w:p w:rsidR="00200507" w:rsidRPr="0068737B" w:rsidRDefault="00200507" w:rsidP="00200507">
      <w:pPr>
        <w:numPr>
          <w:ilvl w:val="0"/>
          <w:numId w:val="1"/>
        </w:numPr>
        <w:rPr>
          <w:rFonts w:cs="Arial"/>
          <w:iCs/>
          <w:sz w:val="20"/>
          <w:szCs w:val="20"/>
          <w:lang w:val="es-AR"/>
        </w:rPr>
      </w:pPr>
      <w:r w:rsidRPr="0068737B">
        <w:rPr>
          <w:rFonts w:cs="Arial"/>
          <w:iCs/>
          <w:sz w:val="20"/>
          <w:szCs w:val="20"/>
          <w:lang w:val="es-AR"/>
        </w:rPr>
        <w:t xml:space="preserve">El Estado </w:t>
      </w:r>
      <w:r w:rsidR="0033183E" w:rsidRPr="0068737B">
        <w:rPr>
          <w:rFonts w:cs="Arial"/>
          <w:iCs/>
          <w:sz w:val="20"/>
          <w:szCs w:val="20"/>
          <w:lang w:val="es-AR"/>
        </w:rPr>
        <w:t xml:space="preserve">indicó que la investigación de la supuesta desaparición forzada de la señora Tenicela Tello viene siendo realizada en el marco de un proceso penal que abarca a decenas de agraviados </w:t>
      </w:r>
      <w:r w:rsidR="00CA2B40" w:rsidRPr="0068737B">
        <w:rPr>
          <w:rFonts w:cs="Arial"/>
          <w:iCs/>
          <w:sz w:val="20"/>
          <w:szCs w:val="20"/>
          <w:lang w:val="es-AR"/>
        </w:rPr>
        <w:t>e imputados</w:t>
      </w:r>
      <w:r w:rsidR="0033183E" w:rsidRPr="0068737B">
        <w:rPr>
          <w:rFonts w:cs="Arial"/>
          <w:iCs/>
          <w:sz w:val="20"/>
          <w:szCs w:val="20"/>
          <w:lang w:val="es-AR"/>
        </w:rPr>
        <w:t>, y donde se ha requerido una serie de diligencias probatorias. Sostuvo que la complejidad de las investigaciones ha implicado un plazo ampliado en la instrucción penal. Argumentó que el proceso penal viene siendo conducido en el marco de un debido proceso y argumentó que ante la pendencia de un pronunciamiento definitivo por parte de las autoridades judiciales, la petición debe ser declarada inadmisible en virtud de los artículos 46.1.a) y 48.1.b) de la Convención Americana.</w:t>
      </w:r>
      <w:r w:rsidRPr="0068737B">
        <w:rPr>
          <w:rFonts w:cs="Arial"/>
          <w:iCs/>
          <w:sz w:val="20"/>
          <w:szCs w:val="20"/>
          <w:lang w:val="es-AR"/>
        </w:rPr>
        <w:t xml:space="preserve"> </w:t>
      </w:r>
    </w:p>
    <w:p w:rsidR="00200507" w:rsidRPr="0068737B" w:rsidRDefault="00200507" w:rsidP="00200507">
      <w:pPr>
        <w:rPr>
          <w:rFonts w:cs="Arial"/>
          <w:iCs/>
          <w:sz w:val="20"/>
          <w:szCs w:val="20"/>
          <w:lang w:val="es-AR"/>
        </w:rPr>
      </w:pPr>
    </w:p>
    <w:p w:rsidR="00200507" w:rsidRPr="0068737B" w:rsidRDefault="00200507" w:rsidP="00200507">
      <w:pPr>
        <w:numPr>
          <w:ilvl w:val="0"/>
          <w:numId w:val="1"/>
        </w:numPr>
        <w:rPr>
          <w:sz w:val="20"/>
          <w:szCs w:val="20"/>
          <w:lang w:val="es-AR"/>
        </w:rPr>
      </w:pPr>
      <w:r w:rsidRPr="0068737B">
        <w:rPr>
          <w:sz w:val="20"/>
          <w:szCs w:val="20"/>
          <w:lang w:val="es-AR"/>
        </w:rPr>
        <w:t xml:space="preserve">Tras examinar la posición de las partes a la luz de los requisitos de admisibilidad previstos en los artículos 46 y 47 de la Convención, la Comisión concluyó que es competente para conocer </w:t>
      </w:r>
      <w:r w:rsidR="00860023" w:rsidRPr="0068737B">
        <w:rPr>
          <w:sz w:val="20"/>
          <w:szCs w:val="20"/>
          <w:lang w:val="es-AR"/>
        </w:rPr>
        <w:t>los reclamos presentados</w:t>
      </w:r>
      <w:r w:rsidRPr="0068737B">
        <w:rPr>
          <w:sz w:val="20"/>
          <w:szCs w:val="20"/>
          <w:lang w:val="es-AR"/>
        </w:rPr>
        <w:t xml:space="preserve"> </w:t>
      </w:r>
      <w:r w:rsidR="00552263" w:rsidRPr="0068737B">
        <w:rPr>
          <w:sz w:val="20"/>
          <w:szCs w:val="20"/>
          <w:lang w:val="es-AR"/>
        </w:rPr>
        <w:t>en cuanto a</w:t>
      </w:r>
      <w:r w:rsidRPr="0068737B">
        <w:rPr>
          <w:sz w:val="20"/>
          <w:szCs w:val="20"/>
          <w:lang w:val="es-AR"/>
        </w:rPr>
        <w:t xml:space="preserve"> los derech</w:t>
      </w:r>
      <w:r w:rsidR="00CA2B40" w:rsidRPr="0068737B">
        <w:rPr>
          <w:sz w:val="20"/>
          <w:szCs w:val="20"/>
          <w:lang w:val="es-AR"/>
        </w:rPr>
        <w:t>os consagrados en los artículos 4, 5, 7 y</w:t>
      </w:r>
      <w:r w:rsidRPr="0068737B">
        <w:rPr>
          <w:sz w:val="20"/>
          <w:szCs w:val="20"/>
          <w:lang w:val="es-AR"/>
        </w:rPr>
        <w:t xml:space="preserve"> 8 de la Convención Americana, en relación con los artículos 1.1 y 2 del mismo</w:t>
      </w:r>
      <w:r w:rsidR="00CA2B40" w:rsidRPr="0068737B">
        <w:rPr>
          <w:sz w:val="20"/>
          <w:szCs w:val="20"/>
          <w:lang w:val="es-AR"/>
        </w:rPr>
        <w:t xml:space="preserve"> instrumento. Asimismo, en vista del principio </w:t>
      </w:r>
      <w:r w:rsidR="00CA2B40" w:rsidRPr="0068737B">
        <w:rPr>
          <w:i/>
          <w:sz w:val="20"/>
          <w:szCs w:val="20"/>
          <w:lang w:val="es-AR"/>
        </w:rPr>
        <w:t>iura novit curia</w:t>
      </w:r>
      <w:r w:rsidR="00CA2B40" w:rsidRPr="0068737B">
        <w:rPr>
          <w:sz w:val="20"/>
          <w:szCs w:val="20"/>
          <w:lang w:val="es-AR"/>
        </w:rPr>
        <w:t>, la CIDH declaró admisibles los artículos 3</w:t>
      </w:r>
      <w:r w:rsidR="00C427AC" w:rsidRPr="0068737B">
        <w:rPr>
          <w:sz w:val="20"/>
          <w:szCs w:val="20"/>
          <w:lang w:val="es-AR"/>
        </w:rPr>
        <w:t xml:space="preserve"> y 25</w:t>
      </w:r>
      <w:r w:rsidR="00CA2B40" w:rsidRPr="0068737B">
        <w:rPr>
          <w:sz w:val="20"/>
          <w:szCs w:val="20"/>
          <w:lang w:val="es-AR"/>
        </w:rPr>
        <w:t xml:space="preserve"> de la Convención Americana,</w:t>
      </w:r>
      <w:r w:rsidR="000209E9" w:rsidRPr="0068737B">
        <w:rPr>
          <w:sz w:val="20"/>
          <w:szCs w:val="20"/>
          <w:lang w:val="es-AR"/>
        </w:rPr>
        <w:t xml:space="preserve"> </w:t>
      </w:r>
      <w:r w:rsidRPr="0068737B">
        <w:rPr>
          <w:sz w:val="20"/>
          <w:szCs w:val="20"/>
          <w:lang w:val="es-AR"/>
        </w:rPr>
        <w:t>I y III de la Convención Interamericana sobre Desaparición Forzada de Personas.</w:t>
      </w:r>
      <w:r w:rsidR="00882411" w:rsidRPr="0068737B">
        <w:rPr>
          <w:sz w:val="20"/>
          <w:szCs w:val="20"/>
          <w:lang w:val="es-AR"/>
        </w:rPr>
        <w:t xml:space="preserve"> Por otro lado, la CIDH declaró inadmisible la alegada violación al derecho previsto en el artículo 13 de la Convención.</w:t>
      </w:r>
      <w:r w:rsidRPr="0068737B">
        <w:rPr>
          <w:sz w:val="20"/>
          <w:szCs w:val="20"/>
          <w:lang w:val="es-AR"/>
        </w:rPr>
        <w:t xml:space="preserve"> </w:t>
      </w:r>
      <w:r w:rsidR="00882411" w:rsidRPr="0068737B">
        <w:rPr>
          <w:sz w:val="20"/>
          <w:szCs w:val="20"/>
          <w:lang w:val="es-AR"/>
        </w:rPr>
        <w:t>Finalmente</w:t>
      </w:r>
      <w:r w:rsidRPr="0068737B">
        <w:rPr>
          <w:sz w:val="20"/>
          <w:szCs w:val="20"/>
          <w:lang w:val="es-AR"/>
        </w:rPr>
        <w:t>, decidió notificar el presente Informe de Admisibilidad a las partes, hacerlo público e inclu</w:t>
      </w:r>
      <w:r w:rsidR="00D85EC9" w:rsidRPr="0068737B">
        <w:rPr>
          <w:sz w:val="20"/>
          <w:szCs w:val="20"/>
          <w:lang w:val="es-AR"/>
        </w:rPr>
        <w:t xml:space="preserve">irlo en su Informe Anual a la </w:t>
      </w:r>
      <w:r w:rsidR="00405DFA" w:rsidRPr="0068737B">
        <w:rPr>
          <w:sz w:val="20"/>
          <w:szCs w:val="20"/>
          <w:lang w:val="es-AR"/>
        </w:rPr>
        <w:t>Asamblea General de la OEA</w:t>
      </w:r>
      <w:r w:rsidR="00D85EC9" w:rsidRPr="0068737B">
        <w:rPr>
          <w:sz w:val="20"/>
          <w:szCs w:val="20"/>
          <w:lang w:val="es-AR"/>
        </w:rPr>
        <w:t>.</w:t>
      </w:r>
    </w:p>
    <w:p w:rsidR="00200507" w:rsidRPr="0068737B" w:rsidRDefault="00200507" w:rsidP="00200507">
      <w:pPr>
        <w:rPr>
          <w:rFonts w:cs="Arial"/>
          <w:iCs/>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t>II.</w:t>
      </w:r>
      <w:r w:rsidRPr="0068737B">
        <w:rPr>
          <w:sz w:val="20"/>
          <w:szCs w:val="20"/>
          <w:lang w:val="es-AR"/>
        </w:rPr>
        <w:tab/>
        <w:t>TRÁMITE ANTE LA COMISIÓN</w:t>
      </w:r>
    </w:p>
    <w:p w:rsidR="00200507" w:rsidRPr="0068737B" w:rsidRDefault="00200507" w:rsidP="00200507">
      <w:pPr>
        <w:rPr>
          <w:rFonts w:cs="Arial"/>
          <w:iCs/>
          <w:sz w:val="20"/>
          <w:szCs w:val="20"/>
          <w:lang w:val="es-AR"/>
        </w:rPr>
      </w:pPr>
    </w:p>
    <w:p w:rsidR="00200507" w:rsidRPr="0068737B" w:rsidRDefault="00AB2EF6" w:rsidP="00200507">
      <w:pPr>
        <w:numPr>
          <w:ilvl w:val="0"/>
          <w:numId w:val="1"/>
        </w:numPr>
        <w:rPr>
          <w:sz w:val="20"/>
          <w:szCs w:val="20"/>
          <w:lang w:val="es-AR"/>
        </w:rPr>
      </w:pPr>
      <w:r w:rsidRPr="0068737B">
        <w:rPr>
          <w:sz w:val="20"/>
          <w:szCs w:val="20"/>
          <w:lang w:val="es-AR"/>
        </w:rPr>
        <w:t>El 10</w:t>
      </w:r>
      <w:r w:rsidR="00200507" w:rsidRPr="0068737B">
        <w:rPr>
          <w:sz w:val="20"/>
          <w:szCs w:val="20"/>
          <w:lang w:val="es-AR"/>
        </w:rPr>
        <w:t xml:space="preserve"> de </w:t>
      </w:r>
      <w:r w:rsidRPr="0068737B">
        <w:rPr>
          <w:sz w:val="20"/>
          <w:szCs w:val="20"/>
          <w:lang w:val="es-AR"/>
        </w:rPr>
        <w:t>junio</w:t>
      </w:r>
      <w:r w:rsidR="00200507" w:rsidRPr="0068737B">
        <w:rPr>
          <w:sz w:val="20"/>
          <w:szCs w:val="20"/>
          <w:lang w:val="es-AR"/>
        </w:rPr>
        <w:t xml:space="preserve"> de </w:t>
      </w:r>
      <w:r w:rsidRPr="0068737B">
        <w:rPr>
          <w:sz w:val="20"/>
          <w:szCs w:val="20"/>
          <w:lang w:val="es-AR"/>
        </w:rPr>
        <w:t>2003</w:t>
      </w:r>
      <w:r w:rsidR="00200507" w:rsidRPr="0068737B">
        <w:rPr>
          <w:sz w:val="20"/>
          <w:szCs w:val="20"/>
          <w:lang w:val="es-AR"/>
        </w:rPr>
        <w:t xml:space="preserve"> se recibió la petición inicial, la cual fue registrada con el número </w:t>
      </w:r>
      <w:r w:rsidRPr="0068737B">
        <w:rPr>
          <w:sz w:val="20"/>
          <w:szCs w:val="20"/>
          <w:lang w:val="es-AR"/>
        </w:rPr>
        <w:t>422-03</w:t>
      </w:r>
      <w:r w:rsidR="00200507" w:rsidRPr="0068737B">
        <w:rPr>
          <w:sz w:val="20"/>
          <w:szCs w:val="20"/>
          <w:lang w:val="es-AR"/>
        </w:rPr>
        <w:t xml:space="preserve">. El </w:t>
      </w:r>
      <w:r w:rsidRPr="0068737B">
        <w:rPr>
          <w:sz w:val="20"/>
          <w:szCs w:val="20"/>
          <w:lang w:val="es-AR"/>
        </w:rPr>
        <w:t>21 de abril de 2008</w:t>
      </w:r>
      <w:r w:rsidR="00200507" w:rsidRPr="0068737B">
        <w:rPr>
          <w:sz w:val="20"/>
          <w:szCs w:val="20"/>
          <w:lang w:val="es-AR"/>
        </w:rPr>
        <w:t xml:space="preserve"> la</w:t>
      </w:r>
      <w:r w:rsidRPr="0068737B">
        <w:rPr>
          <w:sz w:val="20"/>
          <w:szCs w:val="20"/>
          <w:lang w:val="es-AR"/>
        </w:rPr>
        <w:t xml:space="preserve">s peticionarias presentaron un escrito adicional. </w:t>
      </w:r>
      <w:r w:rsidR="00227430" w:rsidRPr="0068737B">
        <w:rPr>
          <w:sz w:val="20"/>
          <w:szCs w:val="20"/>
          <w:lang w:val="es-AR"/>
        </w:rPr>
        <w:t>El 20 de abril de 2010 esa documentación</w:t>
      </w:r>
      <w:r w:rsidR="00200507" w:rsidRPr="0068737B">
        <w:rPr>
          <w:sz w:val="20"/>
          <w:szCs w:val="20"/>
          <w:lang w:val="es-AR"/>
        </w:rPr>
        <w:t xml:space="preserve"> fue trasladada al Estado, </w:t>
      </w:r>
      <w:r w:rsidR="00950393" w:rsidRPr="0068737B">
        <w:rPr>
          <w:sz w:val="20"/>
          <w:szCs w:val="20"/>
          <w:lang w:val="es-AR"/>
        </w:rPr>
        <w:t xml:space="preserve">solicitándole </w:t>
      </w:r>
      <w:r w:rsidR="00AF0A16" w:rsidRPr="0068737B">
        <w:rPr>
          <w:sz w:val="20"/>
          <w:szCs w:val="20"/>
          <w:lang w:val="es-AR"/>
        </w:rPr>
        <w:t>que presentara</w:t>
      </w:r>
      <w:r w:rsidR="00200507" w:rsidRPr="0068737B">
        <w:rPr>
          <w:sz w:val="20"/>
          <w:szCs w:val="20"/>
          <w:lang w:val="es-AR"/>
        </w:rPr>
        <w:t xml:space="preserve"> respuesta en el plazo de </w:t>
      </w:r>
      <w:r w:rsidR="00227430" w:rsidRPr="0068737B">
        <w:rPr>
          <w:sz w:val="20"/>
          <w:szCs w:val="20"/>
          <w:lang w:val="es-AR"/>
        </w:rPr>
        <w:t>dos meses</w:t>
      </w:r>
      <w:r w:rsidR="00200507" w:rsidRPr="0068737B">
        <w:rPr>
          <w:sz w:val="20"/>
          <w:szCs w:val="20"/>
          <w:lang w:val="es-AR"/>
        </w:rPr>
        <w:t>, de conformidad con el Reglamento de la CIDH.</w:t>
      </w:r>
    </w:p>
    <w:p w:rsidR="00962F1C" w:rsidRPr="0068737B" w:rsidRDefault="00962F1C" w:rsidP="00200507">
      <w:pPr>
        <w:rPr>
          <w:sz w:val="20"/>
          <w:szCs w:val="20"/>
          <w:lang w:val="es-AR"/>
        </w:rPr>
      </w:pPr>
    </w:p>
    <w:p w:rsidR="00200507" w:rsidRPr="0068737B" w:rsidRDefault="00200507" w:rsidP="00200507">
      <w:pPr>
        <w:numPr>
          <w:ilvl w:val="0"/>
          <w:numId w:val="1"/>
        </w:numPr>
        <w:rPr>
          <w:sz w:val="20"/>
          <w:szCs w:val="20"/>
          <w:lang w:val="es-AR"/>
        </w:rPr>
      </w:pPr>
      <w:r w:rsidRPr="0068737B">
        <w:rPr>
          <w:sz w:val="20"/>
          <w:szCs w:val="20"/>
          <w:lang w:val="es-AR"/>
        </w:rPr>
        <w:t xml:space="preserve">El </w:t>
      </w:r>
      <w:r w:rsidR="00CC0A01" w:rsidRPr="0068737B">
        <w:rPr>
          <w:sz w:val="20"/>
          <w:szCs w:val="20"/>
          <w:lang w:val="es-AR"/>
        </w:rPr>
        <w:t>6</w:t>
      </w:r>
      <w:r w:rsidRPr="0068737B">
        <w:rPr>
          <w:sz w:val="20"/>
          <w:szCs w:val="20"/>
          <w:lang w:val="es-AR"/>
        </w:rPr>
        <w:t xml:space="preserve"> de </w:t>
      </w:r>
      <w:r w:rsidR="00CC0A01" w:rsidRPr="0068737B">
        <w:rPr>
          <w:sz w:val="20"/>
          <w:szCs w:val="20"/>
          <w:lang w:val="es-AR"/>
        </w:rPr>
        <w:t>julio</w:t>
      </w:r>
      <w:r w:rsidRPr="0068737B">
        <w:rPr>
          <w:sz w:val="20"/>
          <w:szCs w:val="20"/>
          <w:lang w:val="es-AR"/>
        </w:rPr>
        <w:t xml:space="preserve"> de </w:t>
      </w:r>
      <w:r w:rsidR="00CC0A01" w:rsidRPr="0068737B">
        <w:rPr>
          <w:sz w:val="20"/>
          <w:szCs w:val="20"/>
          <w:lang w:val="es-AR"/>
        </w:rPr>
        <w:t>2010</w:t>
      </w:r>
      <w:r w:rsidRPr="0068737B">
        <w:rPr>
          <w:sz w:val="20"/>
          <w:szCs w:val="20"/>
          <w:lang w:val="es-AR"/>
        </w:rPr>
        <w:t xml:space="preserve"> el Estado</w:t>
      </w:r>
      <w:r w:rsidR="009C2E05" w:rsidRPr="0068737B">
        <w:rPr>
          <w:sz w:val="20"/>
          <w:szCs w:val="20"/>
          <w:lang w:val="es-AR"/>
        </w:rPr>
        <w:t xml:space="preserve"> </w:t>
      </w:r>
      <w:r w:rsidR="00CC0A01" w:rsidRPr="0068737B">
        <w:rPr>
          <w:sz w:val="20"/>
          <w:szCs w:val="20"/>
          <w:lang w:val="es-AR"/>
        </w:rPr>
        <w:t>solicitó una prórroga para la presentación de su respuesta</w:t>
      </w:r>
      <w:r w:rsidRPr="0068737B">
        <w:rPr>
          <w:sz w:val="20"/>
          <w:szCs w:val="20"/>
          <w:lang w:val="es-AR"/>
        </w:rPr>
        <w:t>,</w:t>
      </w:r>
      <w:r w:rsidR="00CC0A01" w:rsidRPr="0068737B">
        <w:rPr>
          <w:sz w:val="20"/>
          <w:szCs w:val="20"/>
          <w:lang w:val="es-AR"/>
        </w:rPr>
        <w:t xml:space="preserve"> señalando que la Procuraduría Pública a cargo de los asuntos del Ministerio de Defensa se encontraba </w:t>
      </w:r>
      <w:r w:rsidR="00973829" w:rsidRPr="0068737B">
        <w:rPr>
          <w:sz w:val="20"/>
          <w:szCs w:val="20"/>
          <w:lang w:val="es-AR"/>
        </w:rPr>
        <w:t>elaborando un informe a ser remitido a la CIDH</w:t>
      </w:r>
      <w:r w:rsidR="00CC0A01" w:rsidRPr="0068737B">
        <w:rPr>
          <w:sz w:val="20"/>
          <w:szCs w:val="20"/>
          <w:lang w:val="es-AR"/>
        </w:rPr>
        <w:t xml:space="preserve">. El </w:t>
      </w:r>
      <w:r w:rsidR="00CE0114" w:rsidRPr="0068737B">
        <w:rPr>
          <w:sz w:val="20"/>
          <w:szCs w:val="20"/>
          <w:lang w:val="es-AR"/>
        </w:rPr>
        <w:t xml:space="preserve">30 de julio de 2010 la </w:t>
      </w:r>
      <w:r w:rsidR="00973829" w:rsidRPr="0068737B">
        <w:rPr>
          <w:sz w:val="20"/>
          <w:szCs w:val="20"/>
          <w:lang w:val="es-AR"/>
        </w:rPr>
        <w:t>Comisión informó</w:t>
      </w:r>
      <w:r w:rsidR="00CE0114" w:rsidRPr="0068737B">
        <w:rPr>
          <w:sz w:val="20"/>
          <w:szCs w:val="20"/>
          <w:lang w:val="es-AR"/>
        </w:rPr>
        <w:t xml:space="preserve"> que a la luz del artículo 30.3 de su Reglamento no era posible otorgar la prórroga solicitada. </w:t>
      </w:r>
      <w:r w:rsidR="00C7720F" w:rsidRPr="0068737B">
        <w:rPr>
          <w:sz w:val="20"/>
          <w:szCs w:val="20"/>
          <w:lang w:val="es-AR"/>
        </w:rPr>
        <w:t xml:space="preserve">El </w:t>
      </w:r>
      <w:r w:rsidR="00007731" w:rsidRPr="0068737B">
        <w:rPr>
          <w:sz w:val="20"/>
          <w:szCs w:val="20"/>
          <w:lang w:val="es-AR"/>
        </w:rPr>
        <w:t xml:space="preserve">10 de agosto de 2010 </w:t>
      </w:r>
      <w:r w:rsidR="00973829" w:rsidRPr="0068737B">
        <w:rPr>
          <w:sz w:val="20"/>
          <w:szCs w:val="20"/>
          <w:lang w:val="es-AR"/>
        </w:rPr>
        <w:t>el Estado presentó su respuesta,</w:t>
      </w:r>
      <w:r w:rsidR="00007731" w:rsidRPr="0068737B">
        <w:rPr>
          <w:sz w:val="20"/>
          <w:szCs w:val="20"/>
          <w:lang w:val="es-AR"/>
        </w:rPr>
        <w:t xml:space="preserve"> la cual fue trasladada a las peticionarias el 10 de enero de 2011.</w:t>
      </w:r>
      <w:r w:rsidR="00CC0A01" w:rsidRPr="0068737B">
        <w:rPr>
          <w:sz w:val="20"/>
          <w:szCs w:val="20"/>
          <w:lang w:val="es-AR"/>
        </w:rPr>
        <w:t xml:space="preserve"> </w:t>
      </w:r>
    </w:p>
    <w:p w:rsidR="00200507" w:rsidRPr="0068737B" w:rsidRDefault="00200507" w:rsidP="00200507">
      <w:pPr>
        <w:rPr>
          <w:rFonts w:cs="Arial"/>
          <w:iCs/>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lastRenderedPageBreak/>
        <w:t>III.</w:t>
      </w:r>
      <w:r w:rsidRPr="0068737B">
        <w:rPr>
          <w:sz w:val="20"/>
          <w:szCs w:val="20"/>
          <w:lang w:val="es-AR"/>
        </w:rPr>
        <w:tab/>
        <w:t>POSICIÓN DE LAS PARTES</w:t>
      </w:r>
    </w:p>
    <w:p w:rsidR="00200507" w:rsidRPr="0068737B" w:rsidRDefault="00200507" w:rsidP="00200507">
      <w:pPr>
        <w:rPr>
          <w:rFonts w:cs="Arial"/>
          <w:iCs/>
          <w:sz w:val="20"/>
          <w:szCs w:val="20"/>
          <w:lang w:val="es-AR"/>
        </w:rPr>
      </w:pPr>
    </w:p>
    <w:p w:rsidR="00200507" w:rsidRPr="0068737B" w:rsidRDefault="00ED4769" w:rsidP="00200507">
      <w:pPr>
        <w:pStyle w:val="Ttulo1"/>
        <w:numPr>
          <w:ilvl w:val="0"/>
          <w:numId w:val="2"/>
        </w:numPr>
        <w:rPr>
          <w:sz w:val="20"/>
          <w:szCs w:val="20"/>
          <w:lang w:val="es-AR"/>
        </w:rPr>
      </w:pPr>
      <w:r w:rsidRPr="0068737B">
        <w:rPr>
          <w:sz w:val="20"/>
          <w:szCs w:val="20"/>
          <w:lang w:val="es-AR"/>
        </w:rPr>
        <w:t>Posición de las peticionaria</w:t>
      </w:r>
      <w:r w:rsidR="00200507" w:rsidRPr="0068737B">
        <w:rPr>
          <w:sz w:val="20"/>
          <w:szCs w:val="20"/>
          <w:lang w:val="es-AR"/>
        </w:rPr>
        <w:t>s</w:t>
      </w:r>
    </w:p>
    <w:p w:rsidR="00200507" w:rsidRPr="0068737B" w:rsidRDefault="00200507" w:rsidP="00200507">
      <w:pPr>
        <w:pStyle w:val="Ttulo1"/>
        <w:rPr>
          <w:sz w:val="20"/>
          <w:szCs w:val="20"/>
          <w:lang w:val="es-AR"/>
        </w:rPr>
      </w:pPr>
    </w:p>
    <w:p w:rsidR="007E6E36" w:rsidRPr="0068737B" w:rsidRDefault="00ED4769" w:rsidP="00200507">
      <w:pPr>
        <w:numPr>
          <w:ilvl w:val="0"/>
          <w:numId w:val="1"/>
        </w:numPr>
        <w:rPr>
          <w:sz w:val="20"/>
          <w:szCs w:val="20"/>
          <w:lang w:val="es-AR"/>
        </w:rPr>
      </w:pPr>
      <w:r w:rsidRPr="0068737B">
        <w:rPr>
          <w:sz w:val="20"/>
          <w:szCs w:val="20"/>
          <w:lang w:val="es-AR"/>
        </w:rPr>
        <w:t>Afirmaro</w:t>
      </w:r>
      <w:r w:rsidR="00785528" w:rsidRPr="0068737B">
        <w:rPr>
          <w:sz w:val="20"/>
          <w:szCs w:val="20"/>
          <w:lang w:val="es-AR"/>
        </w:rPr>
        <w:t>n que el 2 de octubre de 1992</w:t>
      </w:r>
      <w:r w:rsidRPr="0068737B">
        <w:rPr>
          <w:sz w:val="20"/>
          <w:szCs w:val="20"/>
          <w:lang w:val="es-AR"/>
        </w:rPr>
        <w:t xml:space="preserve"> Cory Clodolia Tenicela Tello,</w:t>
      </w:r>
      <w:r w:rsidR="00AA5B57" w:rsidRPr="0068737B">
        <w:rPr>
          <w:sz w:val="20"/>
          <w:szCs w:val="20"/>
          <w:lang w:val="es-AR"/>
        </w:rPr>
        <w:t xml:space="preserve"> comerciante y</w:t>
      </w:r>
      <w:r w:rsidRPr="0068737B">
        <w:rPr>
          <w:sz w:val="20"/>
          <w:szCs w:val="20"/>
          <w:lang w:val="es-AR"/>
        </w:rPr>
        <w:t xml:space="preserve"> estudia</w:t>
      </w:r>
      <w:r w:rsidR="00785528" w:rsidRPr="0068737B">
        <w:rPr>
          <w:sz w:val="20"/>
          <w:szCs w:val="20"/>
          <w:lang w:val="es-AR"/>
        </w:rPr>
        <w:t>nte de la Universidad Nacional d</w:t>
      </w:r>
      <w:r w:rsidRPr="0068737B">
        <w:rPr>
          <w:sz w:val="20"/>
          <w:szCs w:val="20"/>
          <w:lang w:val="es-AR"/>
        </w:rPr>
        <w:t>el Centro del Perú</w:t>
      </w:r>
      <w:r w:rsidR="00183C09" w:rsidRPr="0068737B">
        <w:rPr>
          <w:sz w:val="20"/>
          <w:szCs w:val="20"/>
          <w:lang w:val="es-AR"/>
        </w:rPr>
        <w:t>,</w:t>
      </w:r>
      <w:r w:rsidRPr="0068737B">
        <w:rPr>
          <w:sz w:val="20"/>
          <w:szCs w:val="20"/>
          <w:lang w:val="es-AR"/>
        </w:rPr>
        <w:t xml:space="preserve"> </w:t>
      </w:r>
      <w:r w:rsidR="00C76615" w:rsidRPr="0068737B">
        <w:rPr>
          <w:sz w:val="20"/>
          <w:szCs w:val="20"/>
          <w:lang w:val="es-AR"/>
        </w:rPr>
        <w:t>fue detenida en la ciudad de Huancayo, departamento de Junín, por efectivos del Ej</w:t>
      </w:r>
      <w:r w:rsidR="00836674" w:rsidRPr="0068737B">
        <w:rPr>
          <w:sz w:val="20"/>
          <w:szCs w:val="20"/>
          <w:lang w:val="es-AR"/>
        </w:rPr>
        <w:t>ército peruano,</w:t>
      </w:r>
      <w:r w:rsidR="00785528" w:rsidRPr="0068737B">
        <w:rPr>
          <w:sz w:val="20"/>
          <w:szCs w:val="20"/>
          <w:lang w:val="es-AR"/>
        </w:rPr>
        <w:t xml:space="preserve"> sin que se conozca su paradero desde entonces.</w:t>
      </w:r>
      <w:r w:rsidR="00836674" w:rsidRPr="0068737B">
        <w:rPr>
          <w:sz w:val="20"/>
          <w:szCs w:val="20"/>
          <w:lang w:val="es-AR"/>
        </w:rPr>
        <w:t xml:space="preserve"> Indicaron que el 14 de octubre de 1992 la señora Amadea Tello de Tenicela, madre de la presunta víctima, presentó una denuncia ante la Fiscalía Provincial de Junín y que el 26 de octubre del mismo año interpuso recurso de </w:t>
      </w:r>
      <w:r w:rsidR="009C2E05" w:rsidRPr="0068737B">
        <w:rPr>
          <w:i/>
          <w:sz w:val="20"/>
          <w:szCs w:val="20"/>
          <w:lang w:val="es-AR"/>
        </w:rPr>
        <w:t>hab</w:t>
      </w:r>
      <w:r w:rsidR="00836674" w:rsidRPr="0068737B">
        <w:rPr>
          <w:i/>
          <w:sz w:val="20"/>
          <w:szCs w:val="20"/>
          <w:lang w:val="es-AR"/>
        </w:rPr>
        <w:t>eas corpus</w:t>
      </w:r>
      <w:r w:rsidR="00836674" w:rsidRPr="0068737B">
        <w:rPr>
          <w:sz w:val="20"/>
          <w:szCs w:val="20"/>
          <w:lang w:val="es-AR"/>
        </w:rPr>
        <w:t xml:space="preserve"> ante el Juez de Instrucción</w:t>
      </w:r>
      <w:r w:rsidR="00785528" w:rsidRPr="0068737B">
        <w:rPr>
          <w:sz w:val="20"/>
          <w:szCs w:val="20"/>
          <w:lang w:val="es-AR"/>
        </w:rPr>
        <w:t xml:space="preserve"> de Huancayo</w:t>
      </w:r>
      <w:r w:rsidR="00836674" w:rsidRPr="0068737B">
        <w:rPr>
          <w:sz w:val="20"/>
          <w:szCs w:val="20"/>
          <w:lang w:val="es-AR"/>
        </w:rPr>
        <w:t xml:space="preserve">. </w:t>
      </w:r>
    </w:p>
    <w:p w:rsidR="007E6E36" w:rsidRPr="0068737B" w:rsidRDefault="007E6E36" w:rsidP="007E6E36">
      <w:pPr>
        <w:rPr>
          <w:sz w:val="20"/>
          <w:szCs w:val="20"/>
          <w:lang w:val="es-AR"/>
        </w:rPr>
      </w:pPr>
    </w:p>
    <w:p w:rsidR="00836674" w:rsidRPr="0068737B" w:rsidRDefault="007E6E36" w:rsidP="00200507">
      <w:pPr>
        <w:numPr>
          <w:ilvl w:val="0"/>
          <w:numId w:val="1"/>
        </w:numPr>
        <w:rPr>
          <w:sz w:val="20"/>
          <w:szCs w:val="20"/>
          <w:lang w:val="es-AR"/>
        </w:rPr>
      </w:pPr>
      <w:r w:rsidRPr="0068737B">
        <w:rPr>
          <w:sz w:val="20"/>
          <w:szCs w:val="20"/>
          <w:lang w:val="es-AR"/>
        </w:rPr>
        <w:t>Las peticionarias s</w:t>
      </w:r>
      <w:r w:rsidR="00836674" w:rsidRPr="0068737B">
        <w:rPr>
          <w:sz w:val="20"/>
          <w:szCs w:val="20"/>
          <w:lang w:val="es-AR"/>
        </w:rPr>
        <w:t>eñalaron que el 6 de noviembre de 1992 la señora Tello de Tenicela requirió información sobre el paradero de su hija ante la 31ª División de Infantería de Huancayo</w:t>
      </w:r>
      <w:r w:rsidR="00CF207C" w:rsidRPr="0068737B">
        <w:rPr>
          <w:sz w:val="20"/>
          <w:szCs w:val="20"/>
          <w:lang w:val="es-AR"/>
        </w:rPr>
        <w:t>.</w:t>
      </w:r>
      <w:r w:rsidR="00785528" w:rsidRPr="0068737B">
        <w:rPr>
          <w:sz w:val="20"/>
          <w:szCs w:val="20"/>
          <w:lang w:val="es-AR"/>
        </w:rPr>
        <w:t xml:space="preserve"> Las peticionarias a</w:t>
      </w:r>
      <w:r w:rsidR="00CF207C" w:rsidRPr="0068737B">
        <w:rPr>
          <w:sz w:val="20"/>
          <w:szCs w:val="20"/>
          <w:lang w:val="es-AR"/>
        </w:rPr>
        <w:t xml:space="preserve">djuntaron un oficio de fecha 6 de noviembre de 1992 en el cual el </w:t>
      </w:r>
      <w:r w:rsidR="00BC3A39" w:rsidRPr="0068737B">
        <w:rPr>
          <w:sz w:val="20"/>
          <w:szCs w:val="20"/>
          <w:lang w:val="es-AR"/>
        </w:rPr>
        <w:t>jefe de la mencionada brigada militar,</w:t>
      </w:r>
      <w:r w:rsidR="00CF207C" w:rsidRPr="0068737B">
        <w:rPr>
          <w:sz w:val="20"/>
          <w:szCs w:val="20"/>
          <w:lang w:val="es-AR"/>
        </w:rPr>
        <w:t xml:space="preserve"> General de Brigada Carlos Torres Rodríguez</w:t>
      </w:r>
      <w:r w:rsidR="00BC3A39" w:rsidRPr="0068737B">
        <w:rPr>
          <w:sz w:val="20"/>
          <w:szCs w:val="20"/>
          <w:lang w:val="es-AR"/>
        </w:rPr>
        <w:t>,</w:t>
      </w:r>
      <w:r w:rsidR="00CF207C" w:rsidRPr="0068737B">
        <w:rPr>
          <w:sz w:val="20"/>
          <w:szCs w:val="20"/>
          <w:lang w:val="es-AR"/>
        </w:rPr>
        <w:t xml:space="preserve"> solicita información </w:t>
      </w:r>
      <w:r w:rsidR="00BC3A39" w:rsidRPr="0068737B">
        <w:rPr>
          <w:sz w:val="20"/>
          <w:szCs w:val="20"/>
          <w:lang w:val="es-AR"/>
        </w:rPr>
        <w:t xml:space="preserve">a la jefatura de la Policía Nacional del Perú en Huancayo </w:t>
      </w:r>
      <w:r w:rsidR="00CF207C" w:rsidRPr="0068737B">
        <w:rPr>
          <w:sz w:val="20"/>
          <w:szCs w:val="20"/>
          <w:lang w:val="es-AR"/>
        </w:rPr>
        <w:t>sobre la posible detención o intervención de la presunta víctima</w:t>
      </w:r>
      <w:r w:rsidR="00836674" w:rsidRPr="0068737B">
        <w:rPr>
          <w:sz w:val="20"/>
          <w:szCs w:val="20"/>
          <w:lang w:val="es-AR"/>
        </w:rPr>
        <w:t>.</w:t>
      </w:r>
    </w:p>
    <w:p w:rsidR="00AA5B57" w:rsidRPr="0068737B" w:rsidRDefault="00AA5B57" w:rsidP="00AA5B57">
      <w:pPr>
        <w:rPr>
          <w:sz w:val="20"/>
          <w:szCs w:val="20"/>
          <w:lang w:val="es-AR"/>
        </w:rPr>
      </w:pPr>
    </w:p>
    <w:p w:rsidR="00104003" w:rsidRPr="0068737B" w:rsidRDefault="00AA5B57" w:rsidP="00200507">
      <w:pPr>
        <w:numPr>
          <w:ilvl w:val="0"/>
          <w:numId w:val="1"/>
        </w:numPr>
        <w:rPr>
          <w:sz w:val="20"/>
          <w:szCs w:val="20"/>
          <w:lang w:val="es-AR"/>
        </w:rPr>
      </w:pPr>
      <w:r w:rsidRPr="0068737B">
        <w:rPr>
          <w:sz w:val="20"/>
          <w:szCs w:val="20"/>
          <w:lang w:val="es-AR"/>
        </w:rPr>
        <w:t>Las peticion</w:t>
      </w:r>
      <w:r w:rsidR="00802467" w:rsidRPr="0068737B">
        <w:rPr>
          <w:sz w:val="20"/>
          <w:szCs w:val="20"/>
          <w:lang w:val="es-AR"/>
        </w:rPr>
        <w:t>arias indicaron haber acudido a</w:t>
      </w:r>
      <w:r w:rsidRPr="0068737B">
        <w:rPr>
          <w:sz w:val="20"/>
          <w:szCs w:val="20"/>
          <w:lang w:val="es-AR"/>
        </w:rPr>
        <w:t xml:space="preserve">l Comité Internacional de la Cruz Roja </w:t>
      </w:r>
      <w:r w:rsidR="00104003" w:rsidRPr="0068737B">
        <w:rPr>
          <w:sz w:val="20"/>
          <w:szCs w:val="20"/>
          <w:lang w:val="es-AR"/>
        </w:rPr>
        <w:t>para</w:t>
      </w:r>
      <w:r w:rsidR="00802467" w:rsidRPr="0068737B">
        <w:rPr>
          <w:sz w:val="20"/>
          <w:szCs w:val="20"/>
          <w:lang w:val="es-AR"/>
        </w:rPr>
        <w:t xml:space="preserve"> que gestionara</w:t>
      </w:r>
      <w:r w:rsidRPr="0068737B">
        <w:rPr>
          <w:sz w:val="20"/>
          <w:szCs w:val="20"/>
          <w:lang w:val="es-AR"/>
        </w:rPr>
        <w:t xml:space="preserve"> información ante las Fuerzas Armadas sobre el paradero de la señora Tenicela Tello. Afirmaron que</w:t>
      </w:r>
      <w:r w:rsidR="00104003" w:rsidRPr="0068737B">
        <w:rPr>
          <w:sz w:val="20"/>
          <w:szCs w:val="20"/>
          <w:lang w:val="es-AR"/>
        </w:rPr>
        <w:t xml:space="preserve"> dicha</w:t>
      </w:r>
      <w:r w:rsidRPr="0068737B">
        <w:rPr>
          <w:sz w:val="20"/>
          <w:szCs w:val="20"/>
          <w:lang w:val="es-AR"/>
        </w:rPr>
        <w:t xml:space="preserve"> </w:t>
      </w:r>
      <w:r w:rsidR="00104003" w:rsidRPr="0068737B">
        <w:rPr>
          <w:sz w:val="20"/>
          <w:szCs w:val="20"/>
          <w:lang w:val="es-AR"/>
        </w:rPr>
        <w:t>gestión</w:t>
      </w:r>
      <w:r w:rsidRPr="0068737B">
        <w:rPr>
          <w:sz w:val="20"/>
          <w:szCs w:val="20"/>
          <w:lang w:val="es-AR"/>
        </w:rPr>
        <w:t xml:space="preserve">, así como el recurso de </w:t>
      </w:r>
      <w:r w:rsidRPr="0068737B">
        <w:rPr>
          <w:i/>
          <w:sz w:val="20"/>
          <w:szCs w:val="20"/>
          <w:lang w:val="es-AR"/>
        </w:rPr>
        <w:t>habeas corpus</w:t>
      </w:r>
      <w:r w:rsidRPr="0068737B">
        <w:rPr>
          <w:sz w:val="20"/>
          <w:szCs w:val="20"/>
          <w:lang w:val="es-AR"/>
        </w:rPr>
        <w:t xml:space="preserve"> y denuncias dirigidas a </w:t>
      </w:r>
      <w:r w:rsidR="00802467" w:rsidRPr="0068737B">
        <w:rPr>
          <w:sz w:val="20"/>
          <w:szCs w:val="20"/>
          <w:lang w:val="es-AR"/>
        </w:rPr>
        <w:t>instancias de las Fuerzas Armadas</w:t>
      </w:r>
      <w:r w:rsidRPr="0068737B">
        <w:rPr>
          <w:sz w:val="20"/>
          <w:szCs w:val="20"/>
          <w:lang w:val="es-AR"/>
        </w:rPr>
        <w:t xml:space="preserve"> y</w:t>
      </w:r>
      <w:r w:rsidR="00183C09" w:rsidRPr="0068737B">
        <w:rPr>
          <w:sz w:val="20"/>
          <w:szCs w:val="20"/>
          <w:lang w:val="es-AR"/>
        </w:rPr>
        <w:t xml:space="preserve"> operadores de justicia</w:t>
      </w:r>
      <w:r w:rsidRPr="0068737B">
        <w:rPr>
          <w:sz w:val="20"/>
          <w:szCs w:val="20"/>
          <w:lang w:val="es-AR"/>
        </w:rPr>
        <w:t xml:space="preserve"> no tuvieron éxito</w:t>
      </w:r>
      <w:r w:rsidR="00183C09" w:rsidRPr="0068737B">
        <w:rPr>
          <w:sz w:val="20"/>
          <w:szCs w:val="20"/>
          <w:lang w:val="es-AR"/>
        </w:rPr>
        <w:t xml:space="preserve"> y que las autoridades peruanas no actuaron debidamente para esclarecer la desaparición de la presunta víctima</w:t>
      </w:r>
      <w:r w:rsidRPr="0068737B">
        <w:rPr>
          <w:sz w:val="20"/>
          <w:szCs w:val="20"/>
          <w:lang w:val="es-AR"/>
        </w:rPr>
        <w:t xml:space="preserve">. Las peticionarias adjuntaron notas </w:t>
      </w:r>
      <w:r w:rsidR="00104003" w:rsidRPr="0068737B">
        <w:rPr>
          <w:sz w:val="20"/>
          <w:szCs w:val="20"/>
          <w:lang w:val="es-AR"/>
        </w:rPr>
        <w:t xml:space="preserve">publicadas </w:t>
      </w:r>
      <w:r w:rsidR="005D70E9" w:rsidRPr="0068737B">
        <w:rPr>
          <w:sz w:val="20"/>
          <w:szCs w:val="20"/>
          <w:lang w:val="es-AR"/>
        </w:rPr>
        <w:t>en</w:t>
      </w:r>
      <w:r w:rsidR="00104003" w:rsidRPr="0068737B">
        <w:rPr>
          <w:sz w:val="20"/>
          <w:szCs w:val="20"/>
          <w:lang w:val="es-AR"/>
        </w:rPr>
        <w:t xml:space="preserve"> diarios de la</w:t>
      </w:r>
      <w:r w:rsidRPr="0068737B">
        <w:rPr>
          <w:sz w:val="20"/>
          <w:szCs w:val="20"/>
          <w:lang w:val="es-AR"/>
        </w:rPr>
        <w:t xml:space="preserve"> ciudad de Huancayo</w:t>
      </w:r>
      <w:r w:rsidR="00104003" w:rsidRPr="0068737B">
        <w:rPr>
          <w:sz w:val="20"/>
          <w:szCs w:val="20"/>
          <w:lang w:val="es-AR"/>
        </w:rPr>
        <w:t xml:space="preserve"> en el mes de octubre de 1992,</w:t>
      </w:r>
      <w:r w:rsidRPr="0068737B">
        <w:rPr>
          <w:sz w:val="20"/>
          <w:szCs w:val="20"/>
          <w:lang w:val="es-AR"/>
        </w:rPr>
        <w:t xml:space="preserve"> reportando la</w:t>
      </w:r>
      <w:r w:rsidR="00104003" w:rsidRPr="0068737B">
        <w:rPr>
          <w:sz w:val="20"/>
          <w:szCs w:val="20"/>
          <w:lang w:val="es-AR"/>
        </w:rPr>
        <w:t xml:space="preserve"> supuesta</w:t>
      </w:r>
      <w:r w:rsidRPr="0068737B">
        <w:rPr>
          <w:sz w:val="20"/>
          <w:szCs w:val="20"/>
          <w:lang w:val="es-AR"/>
        </w:rPr>
        <w:t xml:space="preserve"> desaparición y ejecución de</w:t>
      </w:r>
      <w:r w:rsidR="00104003" w:rsidRPr="0068737B">
        <w:rPr>
          <w:sz w:val="20"/>
          <w:szCs w:val="20"/>
          <w:lang w:val="es-AR"/>
        </w:rPr>
        <w:t xml:space="preserve"> </w:t>
      </w:r>
      <w:r w:rsidR="005D70E9" w:rsidRPr="0068737B">
        <w:rPr>
          <w:sz w:val="20"/>
          <w:szCs w:val="20"/>
          <w:lang w:val="es-AR"/>
        </w:rPr>
        <w:t>varios estudiantes</w:t>
      </w:r>
      <w:r w:rsidRPr="0068737B">
        <w:rPr>
          <w:sz w:val="20"/>
          <w:szCs w:val="20"/>
          <w:lang w:val="es-AR"/>
        </w:rPr>
        <w:t xml:space="preserve"> de la Universidad Nacional del Centro de</w:t>
      </w:r>
      <w:r w:rsidR="005D70E9" w:rsidRPr="0068737B">
        <w:rPr>
          <w:sz w:val="20"/>
          <w:szCs w:val="20"/>
          <w:lang w:val="es-AR"/>
        </w:rPr>
        <w:t>l Perú.</w:t>
      </w:r>
    </w:p>
    <w:p w:rsidR="00836674" w:rsidRPr="0068737B" w:rsidRDefault="008C7D8B" w:rsidP="00836674">
      <w:pPr>
        <w:rPr>
          <w:sz w:val="20"/>
          <w:szCs w:val="20"/>
          <w:lang w:val="es-AR"/>
        </w:rPr>
      </w:pPr>
      <w:r w:rsidRPr="0068737B">
        <w:rPr>
          <w:sz w:val="20"/>
          <w:szCs w:val="20"/>
          <w:lang w:val="es-AR"/>
        </w:rPr>
        <w:t xml:space="preserve"> </w:t>
      </w:r>
    </w:p>
    <w:p w:rsidR="00BD2E47" w:rsidRPr="0068737B" w:rsidRDefault="009C2E05" w:rsidP="007302E2">
      <w:pPr>
        <w:numPr>
          <w:ilvl w:val="0"/>
          <w:numId w:val="1"/>
        </w:numPr>
        <w:rPr>
          <w:sz w:val="20"/>
          <w:szCs w:val="20"/>
          <w:lang w:val="es-AR"/>
        </w:rPr>
      </w:pPr>
      <w:r w:rsidRPr="0068737B">
        <w:rPr>
          <w:sz w:val="20"/>
          <w:szCs w:val="20"/>
          <w:lang w:val="es-AR"/>
        </w:rPr>
        <w:t>Según</w:t>
      </w:r>
      <w:r w:rsidR="008C7D8B" w:rsidRPr="0068737B">
        <w:rPr>
          <w:sz w:val="20"/>
          <w:szCs w:val="20"/>
          <w:lang w:val="es-AR"/>
        </w:rPr>
        <w:t xml:space="preserve"> la</w:t>
      </w:r>
      <w:r w:rsidRPr="0068737B">
        <w:rPr>
          <w:sz w:val="20"/>
          <w:szCs w:val="20"/>
          <w:lang w:val="es-AR"/>
        </w:rPr>
        <w:t xml:space="preserve"> información de público conocimiento, </w:t>
      </w:r>
      <w:r w:rsidR="0033183E" w:rsidRPr="0068737B">
        <w:rPr>
          <w:sz w:val="20"/>
          <w:szCs w:val="20"/>
          <w:lang w:val="es-AR"/>
        </w:rPr>
        <w:t>durante la segunda mitad de la década de los ochenta y comienzos de los años noventa</w:t>
      </w:r>
      <w:r w:rsidR="008C7D8B" w:rsidRPr="0068737B">
        <w:rPr>
          <w:sz w:val="20"/>
          <w:szCs w:val="20"/>
          <w:lang w:val="es-AR"/>
        </w:rPr>
        <w:t>,</w:t>
      </w:r>
      <w:r w:rsidR="0033183E" w:rsidRPr="0068737B">
        <w:rPr>
          <w:sz w:val="20"/>
          <w:szCs w:val="20"/>
          <w:lang w:val="es-AR"/>
        </w:rPr>
        <w:t xml:space="preserve"> la </w:t>
      </w:r>
      <w:r w:rsidR="008C7D8B" w:rsidRPr="0068737B">
        <w:rPr>
          <w:sz w:val="20"/>
          <w:szCs w:val="20"/>
          <w:lang w:val="es-AR"/>
        </w:rPr>
        <w:t>Universidad Nacional del Centro del Perú (UNCP)</w:t>
      </w:r>
      <w:r w:rsidR="0033183E" w:rsidRPr="0068737B">
        <w:rPr>
          <w:sz w:val="20"/>
          <w:szCs w:val="20"/>
          <w:lang w:val="es-AR"/>
        </w:rPr>
        <w:t xml:space="preserve"> fue escenario del enfrentamiento entre las fuerzas del orden y los grupos armados irregulares Partido Comunista del Perú – Sendero Luminoso y Movimiento Revolucionario Túpac Amaru (MRTA). Dicha información indica que </w:t>
      </w:r>
      <w:r w:rsidR="00AD08DB" w:rsidRPr="0068737B">
        <w:rPr>
          <w:sz w:val="20"/>
          <w:szCs w:val="20"/>
          <w:lang w:val="es-AR"/>
        </w:rPr>
        <w:t>el creciente</w:t>
      </w:r>
      <w:r w:rsidR="00420CD0" w:rsidRPr="0068737B">
        <w:rPr>
          <w:sz w:val="20"/>
          <w:szCs w:val="20"/>
          <w:lang w:val="es-AR"/>
        </w:rPr>
        <w:t xml:space="preserve"> control</w:t>
      </w:r>
      <w:r w:rsidR="00AD08DB" w:rsidRPr="0068737B">
        <w:rPr>
          <w:sz w:val="20"/>
          <w:szCs w:val="20"/>
          <w:lang w:val="es-AR"/>
        </w:rPr>
        <w:t xml:space="preserve"> </w:t>
      </w:r>
      <w:r w:rsidR="00420CD0" w:rsidRPr="0068737B">
        <w:rPr>
          <w:sz w:val="20"/>
          <w:szCs w:val="20"/>
          <w:lang w:val="es-AR"/>
        </w:rPr>
        <w:t>sobre instalaciones</w:t>
      </w:r>
      <w:r w:rsidR="00802467" w:rsidRPr="0068737B">
        <w:rPr>
          <w:sz w:val="20"/>
          <w:szCs w:val="20"/>
          <w:lang w:val="es-AR"/>
        </w:rPr>
        <w:t xml:space="preserve"> y gestión de la universidad</w:t>
      </w:r>
      <w:r w:rsidR="00515E04" w:rsidRPr="0068737B">
        <w:rPr>
          <w:sz w:val="20"/>
          <w:szCs w:val="20"/>
          <w:lang w:val="es-AR"/>
        </w:rPr>
        <w:t xml:space="preserve"> y</w:t>
      </w:r>
      <w:r w:rsidR="00AD08DB" w:rsidRPr="0068737B">
        <w:rPr>
          <w:sz w:val="20"/>
          <w:szCs w:val="20"/>
          <w:lang w:val="es-AR"/>
        </w:rPr>
        <w:t xml:space="preserve"> el asesinato de docentes y</w:t>
      </w:r>
      <w:r w:rsidR="0033183E" w:rsidRPr="0068737B">
        <w:rPr>
          <w:sz w:val="20"/>
          <w:szCs w:val="20"/>
          <w:lang w:val="es-AR"/>
        </w:rPr>
        <w:t xml:space="preserve"> estudiantes</w:t>
      </w:r>
      <w:r w:rsidR="00AD08DB" w:rsidRPr="0068737B">
        <w:rPr>
          <w:sz w:val="20"/>
          <w:szCs w:val="20"/>
          <w:lang w:val="es-AR"/>
        </w:rPr>
        <w:t xml:space="preserve"> que se oponían a </w:t>
      </w:r>
      <w:r w:rsidR="008C7D8B" w:rsidRPr="0068737B">
        <w:rPr>
          <w:sz w:val="20"/>
          <w:szCs w:val="20"/>
          <w:lang w:val="es-AR"/>
        </w:rPr>
        <w:t>la</w:t>
      </w:r>
      <w:r w:rsidR="00AD08DB" w:rsidRPr="0068737B">
        <w:rPr>
          <w:sz w:val="20"/>
          <w:szCs w:val="20"/>
          <w:lang w:val="es-AR"/>
        </w:rPr>
        <w:t xml:space="preserve"> injerencia</w:t>
      </w:r>
      <w:r w:rsidR="008C7D8B" w:rsidRPr="0068737B">
        <w:rPr>
          <w:sz w:val="20"/>
          <w:szCs w:val="20"/>
          <w:lang w:val="es-AR"/>
        </w:rPr>
        <w:t xml:space="preserve"> de los mencionados grupos insurgentes</w:t>
      </w:r>
      <w:r w:rsidR="00802467" w:rsidRPr="0068737B">
        <w:rPr>
          <w:sz w:val="20"/>
          <w:szCs w:val="20"/>
          <w:lang w:val="es-AR"/>
        </w:rPr>
        <w:t>,</w:t>
      </w:r>
      <w:r w:rsidR="00AD08DB" w:rsidRPr="0068737B">
        <w:rPr>
          <w:sz w:val="20"/>
          <w:szCs w:val="20"/>
          <w:lang w:val="es-AR"/>
        </w:rPr>
        <w:t xml:space="preserve"> </w:t>
      </w:r>
      <w:r w:rsidR="008C7D8B" w:rsidRPr="0068737B">
        <w:rPr>
          <w:sz w:val="20"/>
          <w:szCs w:val="20"/>
          <w:lang w:val="es-AR"/>
        </w:rPr>
        <w:t>dieron lugar a</w:t>
      </w:r>
      <w:r w:rsidR="00AD08DB" w:rsidRPr="0068737B">
        <w:rPr>
          <w:sz w:val="20"/>
          <w:szCs w:val="20"/>
          <w:lang w:val="es-AR"/>
        </w:rPr>
        <w:t xml:space="preserve"> </w:t>
      </w:r>
      <w:r w:rsidR="007302E2" w:rsidRPr="0068737B">
        <w:rPr>
          <w:sz w:val="20"/>
          <w:szCs w:val="20"/>
          <w:lang w:val="es-AR"/>
        </w:rPr>
        <w:t>incursiones militares</w:t>
      </w:r>
      <w:r w:rsidR="008C7D8B" w:rsidRPr="0068737B">
        <w:rPr>
          <w:sz w:val="20"/>
          <w:szCs w:val="20"/>
          <w:lang w:val="es-AR"/>
        </w:rPr>
        <w:t xml:space="preserve"> y</w:t>
      </w:r>
      <w:r w:rsidR="00AD08DB" w:rsidRPr="0068737B">
        <w:rPr>
          <w:sz w:val="20"/>
          <w:szCs w:val="20"/>
          <w:lang w:val="es-AR"/>
        </w:rPr>
        <w:t xml:space="preserve"> el establecimiento de una base del Ejército</w:t>
      </w:r>
      <w:r w:rsidR="00190E23" w:rsidRPr="0068737B">
        <w:rPr>
          <w:sz w:val="20"/>
          <w:szCs w:val="20"/>
          <w:lang w:val="es-AR"/>
        </w:rPr>
        <w:t xml:space="preserve"> al interior de</w:t>
      </w:r>
      <w:r w:rsidR="007302E2" w:rsidRPr="0068737B">
        <w:rPr>
          <w:sz w:val="20"/>
          <w:szCs w:val="20"/>
          <w:lang w:val="es-AR"/>
        </w:rPr>
        <w:t xml:space="preserve"> la UNCP</w:t>
      </w:r>
      <w:r w:rsidR="005826A9" w:rsidRPr="0068737B">
        <w:rPr>
          <w:sz w:val="20"/>
          <w:szCs w:val="20"/>
          <w:lang w:val="es-AR"/>
        </w:rPr>
        <w:t xml:space="preserve"> en el 1992</w:t>
      </w:r>
      <w:r w:rsidR="00190E23" w:rsidRPr="0068737B">
        <w:rPr>
          <w:sz w:val="20"/>
          <w:szCs w:val="20"/>
          <w:lang w:val="es-AR"/>
        </w:rPr>
        <w:t>. En ese contexto,</w:t>
      </w:r>
      <w:r w:rsidR="00B06CFC" w:rsidRPr="0068737B">
        <w:rPr>
          <w:sz w:val="20"/>
          <w:szCs w:val="20"/>
          <w:lang w:val="es-AR"/>
        </w:rPr>
        <w:t xml:space="preserve"> se ha</w:t>
      </w:r>
      <w:r w:rsidR="000C3270" w:rsidRPr="0068737B">
        <w:rPr>
          <w:sz w:val="20"/>
          <w:szCs w:val="20"/>
          <w:lang w:val="es-AR"/>
        </w:rPr>
        <w:t>n</w:t>
      </w:r>
      <w:r w:rsidR="00B06CFC" w:rsidRPr="0068737B">
        <w:rPr>
          <w:sz w:val="20"/>
          <w:szCs w:val="20"/>
          <w:lang w:val="es-AR"/>
        </w:rPr>
        <w:t xml:space="preserve"> denunciado la</w:t>
      </w:r>
      <w:r w:rsidR="000C3270" w:rsidRPr="0068737B">
        <w:rPr>
          <w:sz w:val="20"/>
          <w:szCs w:val="20"/>
          <w:lang w:val="es-AR"/>
        </w:rPr>
        <w:t xml:space="preserve"> presunta</w:t>
      </w:r>
      <w:r w:rsidR="00B06CFC" w:rsidRPr="0068737B">
        <w:rPr>
          <w:sz w:val="20"/>
          <w:szCs w:val="20"/>
          <w:lang w:val="es-AR"/>
        </w:rPr>
        <w:t xml:space="preserve"> desaparición</w:t>
      </w:r>
      <w:r w:rsidR="000C3270" w:rsidRPr="0068737B">
        <w:rPr>
          <w:sz w:val="20"/>
          <w:szCs w:val="20"/>
          <w:lang w:val="es-AR"/>
        </w:rPr>
        <w:t xml:space="preserve"> forzada </w:t>
      </w:r>
      <w:r w:rsidR="008C7D8B" w:rsidRPr="0068737B">
        <w:rPr>
          <w:sz w:val="20"/>
          <w:szCs w:val="20"/>
          <w:lang w:val="es-AR"/>
        </w:rPr>
        <w:t>y la</w:t>
      </w:r>
      <w:r w:rsidR="00B06CFC" w:rsidRPr="0068737B">
        <w:rPr>
          <w:sz w:val="20"/>
          <w:szCs w:val="20"/>
          <w:lang w:val="es-AR"/>
        </w:rPr>
        <w:t xml:space="preserve"> ejecución </w:t>
      </w:r>
      <w:r w:rsidR="000C3270" w:rsidRPr="0068737B">
        <w:rPr>
          <w:sz w:val="20"/>
          <w:szCs w:val="20"/>
          <w:lang w:val="es-AR"/>
        </w:rPr>
        <w:t>extrajudicial</w:t>
      </w:r>
      <w:r w:rsidR="00B06CFC" w:rsidRPr="0068737B">
        <w:rPr>
          <w:sz w:val="20"/>
          <w:szCs w:val="20"/>
          <w:lang w:val="es-AR"/>
        </w:rPr>
        <w:t xml:space="preserve"> de decenas de estudiantes</w:t>
      </w:r>
      <w:r w:rsidR="008C7D8B" w:rsidRPr="0068737B">
        <w:rPr>
          <w:sz w:val="20"/>
          <w:szCs w:val="20"/>
          <w:lang w:val="es-AR"/>
        </w:rPr>
        <w:t xml:space="preserve"> y funcionarios de la UNCP</w:t>
      </w:r>
      <w:r w:rsidR="006443D9" w:rsidRPr="0068737B">
        <w:rPr>
          <w:sz w:val="20"/>
          <w:szCs w:val="20"/>
          <w:lang w:val="es-AR"/>
        </w:rPr>
        <w:t>,</w:t>
      </w:r>
      <w:r w:rsidR="008C7D8B" w:rsidRPr="0068737B">
        <w:rPr>
          <w:sz w:val="20"/>
          <w:szCs w:val="20"/>
          <w:lang w:val="es-AR"/>
        </w:rPr>
        <w:t xml:space="preserve"> supuestamente</w:t>
      </w:r>
      <w:r w:rsidR="00515E04" w:rsidRPr="0068737B">
        <w:rPr>
          <w:sz w:val="20"/>
          <w:szCs w:val="20"/>
          <w:lang w:val="es-AR"/>
        </w:rPr>
        <w:t xml:space="preserve"> por integrantes del Ejército y</w:t>
      </w:r>
      <w:r w:rsidR="00B06CFC" w:rsidRPr="0068737B">
        <w:rPr>
          <w:sz w:val="20"/>
          <w:szCs w:val="20"/>
          <w:lang w:val="es-AR"/>
        </w:rPr>
        <w:t xml:space="preserve"> Policía Nacional</w:t>
      </w:r>
      <w:r w:rsidR="00515E04" w:rsidRPr="0068737B">
        <w:rPr>
          <w:sz w:val="20"/>
          <w:szCs w:val="20"/>
          <w:lang w:val="es-AR"/>
        </w:rPr>
        <w:t xml:space="preserve"> del Perú</w:t>
      </w:r>
      <w:r w:rsidR="00CF76F5" w:rsidRPr="0068737B">
        <w:rPr>
          <w:rStyle w:val="Refdenotaalpie"/>
          <w:rFonts w:ascii="Univers" w:hAnsi="Univers"/>
          <w:sz w:val="20"/>
          <w:szCs w:val="20"/>
          <w:lang w:val="es-AR"/>
        </w:rPr>
        <w:footnoteReference w:id="1"/>
      </w:r>
      <w:r w:rsidR="00190E23" w:rsidRPr="0068737B">
        <w:rPr>
          <w:sz w:val="20"/>
          <w:szCs w:val="20"/>
          <w:lang w:val="es-AR"/>
        </w:rPr>
        <w:t>.</w:t>
      </w:r>
      <w:r w:rsidRPr="0068737B">
        <w:rPr>
          <w:sz w:val="20"/>
          <w:szCs w:val="20"/>
          <w:lang w:val="es-AR"/>
        </w:rPr>
        <w:t xml:space="preserve"> </w:t>
      </w:r>
    </w:p>
    <w:p w:rsidR="00BD2E47" w:rsidRPr="0068737B" w:rsidRDefault="00BD2E47" w:rsidP="00BD2E47">
      <w:pPr>
        <w:rPr>
          <w:sz w:val="20"/>
          <w:szCs w:val="20"/>
          <w:lang w:val="es-AR"/>
        </w:rPr>
      </w:pPr>
    </w:p>
    <w:p w:rsidR="00BD2E47" w:rsidRDefault="00836674" w:rsidP="00BD2E47">
      <w:pPr>
        <w:numPr>
          <w:ilvl w:val="0"/>
          <w:numId w:val="1"/>
        </w:numPr>
        <w:rPr>
          <w:sz w:val="20"/>
          <w:szCs w:val="20"/>
          <w:lang w:val="es-AR"/>
        </w:rPr>
      </w:pPr>
      <w:r w:rsidRPr="0068737B">
        <w:rPr>
          <w:sz w:val="20"/>
          <w:szCs w:val="20"/>
          <w:lang w:val="es-AR"/>
        </w:rPr>
        <w:t xml:space="preserve">Las peticionarias aportaron la copia de un oficio de la 4ª Fiscalía Provincial de Huancayo de 22 de julio de 2003, </w:t>
      </w:r>
      <w:r w:rsidR="008548FB" w:rsidRPr="0068737B">
        <w:rPr>
          <w:sz w:val="20"/>
          <w:szCs w:val="20"/>
          <w:lang w:val="es-AR"/>
        </w:rPr>
        <w:t>mediante el cual</w:t>
      </w:r>
      <w:r w:rsidRPr="0068737B">
        <w:rPr>
          <w:sz w:val="20"/>
          <w:szCs w:val="20"/>
          <w:lang w:val="es-AR"/>
        </w:rPr>
        <w:t xml:space="preserve"> la señora </w:t>
      </w:r>
      <w:r w:rsidR="000E023D" w:rsidRPr="0068737B">
        <w:rPr>
          <w:sz w:val="20"/>
          <w:szCs w:val="20"/>
          <w:lang w:val="es-AR"/>
        </w:rPr>
        <w:t>Cory Clodolia Tenicela Tello y otros 33 agraviados</w:t>
      </w:r>
      <w:r w:rsidRPr="0068737B">
        <w:rPr>
          <w:sz w:val="20"/>
          <w:szCs w:val="20"/>
          <w:lang w:val="es-AR"/>
        </w:rPr>
        <w:t xml:space="preserve"> </w:t>
      </w:r>
      <w:r w:rsidR="008548FB" w:rsidRPr="0068737B">
        <w:rPr>
          <w:sz w:val="20"/>
          <w:szCs w:val="20"/>
          <w:lang w:val="es-AR"/>
        </w:rPr>
        <w:t>fueron incluidos en una</w:t>
      </w:r>
      <w:r w:rsidRPr="0068737B">
        <w:rPr>
          <w:sz w:val="20"/>
          <w:szCs w:val="20"/>
          <w:lang w:val="es-AR"/>
        </w:rPr>
        <w:t xml:space="preserve"> </w:t>
      </w:r>
      <w:r w:rsidR="0088234B" w:rsidRPr="0068737B">
        <w:rPr>
          <w:sz w:val="20"/>
          <w:szCs w:val="20"/>
          <w:lang w:val="es-AR"/>
        </w:rPr>
        <w:t>investigación</w:t>
      </w:r>
      <w:r w:rsidRPr="0068737B">
        <w:rPr>
          <w:sz w:val="20"/>
          <w:szCs w:val="20"/>
          <w:lang w:val="es-AR"/>
        </w:rPr>
        <w:t xml:space="preserve"> penal por el delito de desaparición forzada</w:t>
      </w:r>
      <w:r w:rsidR="0088234B" w:rsidRPr="0068737B">
        <w:rPr>
          <w:sz w:val="20"/>
          <w:szCs w:val="20"/>
          <w:lang w:val="es-AR"/>
        </w:rPr>
        <w:t xml:space="preserve"> </w:t>
      </w:r>
      <w:r w:rsidR="008548FB" w:rsidRPr="0068737B">
        <w:rPr>
          <w:sz w:val="20"/>
          <w:szCs w:val="20"/>
          <w:lang w:val="es-AR"/>
        </w:rPr>
        <w:t>conducida por la citada fiscalía</w:t>
      </w:r>
      <w:r w:rsidRPr="0068737B">
        <w:rPr>
          <w:sz w:val="20"/>
          <w:szCs w:val="20"/>
          <w:lang w:val="es-AR"/>
        </w:rPr>
        <w:t>.</w:t>
      </w:r>
      <w:r w:rsidR="000E023D" w:rsidRPr="0068737B">
        <w:rPr>
          <w:sz w:val="20"/>
          <w:szCs w:val="20"/>
          <w:lang w:val="es-AR"/>
        </w:rPr>
        <w:t xml:space="preserve"> Las peticionarias no presentaron información sobre las act</w:t>
      </w:r>
      <w:r w:rsidR="00485293" w:rsidRPr="0068737B">
        <w:rPr>
          <w:sz w:val="20"/>
          <w:szCs w:val="20"/>
          <w:lang w:val="es-AR"/>
        </w:rPr>
        <w:t>uaciones judiciales posteriores, pero resaltaron que el paradero de la presunta víctima sigue desconocido y que el Estado no ha esclarecido las circunstancias de su desaparición.</w:t>
      </w:r>
      <w:r w:rsidR="00B34FA8">
        <w:rPr>
          <w:sz w:val="20"/>
          <w:szCs w:val="20"/>
          <w:lang w:val="es-AR"/>
        </w:rPr>
        <w:t xml:space="preserve"> Finalmente, alegaron que Per</w:t>
      </w:r>
      <w:r w:rsidR="00B34FA8">
        <w:rPr>
          <w:sz w:val="20"/>
          <w:szCs w:val="20"/>
          <w:lang w:val="pt-BR"/>
        </w:rPr>
        <w:t>ú</w:t>
      </w:r>
      <w:r w:rsidR="00B34FA8">
        <w:rPr>
          <w:sz w:val="20"/>
          <w:szCs w:val="20"/>
          <w:lang w:val="es-AR"/>
        </w:rPr>
        <w:t xml:space="preserve"> es responsable por la violación de los derechos previstos en los </w:t>
      </w:r>
      <w:r w:rsidR="00B34FA8" w:rsidRPr="0068737B">
        <w:rPr>
          <w:sz w:val="20"/>
          <w:szCs w:val="20"/>
          <w:lang w:val="es-AR"/>
        </w:rPr>
        <w:t>artículos 4, 5, 7, 8 y 13 de la Convención Americana</w:t>
      </w:r>
      <w:r w:rsidR="00B34FA8">
        <w:rPr>
          <w:sz w:val="20"/>
          <w:szCs w:val="20"/>
          <w:lang w:val="es-AR"/>
        </w:rPr>
        <w:t>.</w:t>
      </w:r>
    </w:p>
    <w:p w:rsidR="00CE0134" w:rsidRDefault="00CE0134" w:rsidP="00CE0134">
      <w:pPr>
        <w:rPr>
          <w:sz w:val="20"/>
          <w:szCs w:val="20"/>
          <w:lang w:val="es-AR"/>
        </w:rPr>
      </w:pPr>
    </w:p>
    <w:p w:rsidR="00200507" w:rsidRPr="0068737B" w:rsidRDefault="00200507" w:rsidP="0088234B">
      <w:pPr>
        <w:rPr>
          <w:b/>
          <w:sz w:val="20"/>
          <w:szCs w:val="20"/>
          <w:lang w:val="es-AR"/>
        </w:rPr>
      </w:pPr>
      <w:r w:rsidRPr="0068737B">
        <w:rPr>
          <w:b/>
          <w:sz w:val="20"/>
          <w:szCs w:val="20"/>
          <w:lang w:val="es-AR"/>
        </w:rPr>
        <w:tab/>
        <w:t>B.</w:t>
      </w:r>
      <w:r w:rsidRPr="0068737B">
        <w:rPr>
          <w:b/>
          <w:sz w:val="20"/>
          <w:szCs w:val="20"/>
          <w:lang w:val="es-AR"/>
        </w:rPr>
        <w:tab/>
        <w:t>Posición del Estado</w:t>
      </w:r>
    </w:p>
    <w:p w:rsidR="00200507" w:rsidRPr="0068737B" w:rsidRDefault="00200507" w:rsidP="00200507">
      <w:pPr>
        <w:rPr>
          <w:sz w:val="20"/>
          <w:szCs w:val="20"/>
          <w:lang w:val="es-AR"/>
        </w:rPr>
      </w:pPr>
    </w:p>
    <w:p w:rsidR="00200507" w:rsidRPr="0068737B" w:rsidRDefault="00DE256A" w:rsidP="00200507">
      <w:pPr>
        <w:numPr>
          <w:ilvl w:val="0"/>
          <w:numId w:val="1"/>
        </w:numPr>
        <w:rPr>
          <w:sz w:val="20"/>
          <w:szCs w:val="20"/>
          <w:lang w:val="es-AR"/>
        </w:rPr>
      </w:pPr>
      <w:r>
        <w:rPr>
          <w:sz w:val="20"/>
          <w:szCs w:val="20"/>
          <w:lang w:val="es-AR"/>
        </w:rPr>
        <w:t>A</w:t>
      </w:r>
      <w:r w:rsidR="00993E31" w:rsidRPr="0068737B">
        <w:rPr>
          <w:sz w:val="20"/>
          <w:szCs w:val="20"/>
          <w:lang w:val="es-AR"/>
        </w:rPr>
        <w:t xml:space="preserve">firmó que </w:t>
      </w:r>
      <w:r w:rsidR="009C2E05" w:rsidRPr="0068737B">
        <w:rPr>
          <w:sz w:val="20"/>
          <w:szCs w:val="20"/>
          <w:lang w:val="es-AR"/>
        </w:rPr>
        <w:t>si bien la sociedad peruana atravesó un período de violencia política entre los años de 1980 y 1990,</w:t>
      </w:r>
      <w:r w:rsidR="00993E31" w:rsidRPr="0068737B">
        <w:rPr>
          <w:sz w:val="20"/>
          <w:szCs w:val="20"/>
          <w:lang w:val="es-AR"/>
        </w:rPr>
        <w:t xml:space="preserve"> en la actualidad</w:t>
      </w:r>
      <w:r w:rsidR="009C2E05" w:rsidRPr="0068737B">
        <w:rPr>
          <w:sz w:val="20"/>
          <w:szCs w:val="20"/>
          <w:lang w:val="es-AR"/>
        </w:rPr>
        <w:t xml:space="preserve"> “</w:t>
      </w:r>
      <w:r w:rsidR="00CF207C" w:rsidRPr="0068737B">
        <w:rPr>
          <w:sz w:val="20"/>
          <w:szCs w:val="20"/>
          <w:lang w:val="es-AR"/>
        </w:rPr>
        <w:t>sus autoridades realizan esfuerzos por investigar, juzgar y sancionar a los responsables de violaciones a los derechos humanos y sus órganos judiciales son muestra de legitimidad”.</w:t>
      </w:r>
      <w:r w:rsidR="00493BBA" w:rsidRPr="0068737B">
        <w:rPr>
          <w:sz w:val="20"/>
          <w:szCs w:val="20"/>
          <w:lang w:val="es-AR"/>
        </w:rPr>
        <w:t xml:space="preserve"> Destacó que la notificación de la petición</w:t>
      </w:r>
      <w:r w:rsidR="00993E31" w:rsidRPr="0068737B">
        <w:rPr>
          <w:sz w:val="20"/>
          <w:szCs w:val="20"/>
          <w:lang w:val="es-AR"/>
        </w:rPr>
        <w:t xml:space="preserve"> por la CIDH</w:t>
      </w:r>
      <w:r w:rsidR="00493BBA" w:rsidRPr="0068737B">
        <w:rPr>
          <w:sz w:val="20"/>
          <w:szCs w:val="20"/>
          <w:lang w:val="es-AR"/>
        </w:rPr>
        <w:t xml:space="preserve"> se produjo en abril de 2010, “cuando la realidad del país es totalmente diferente a lo expuesto por la peticionaria”.</w:t>
      </w:r>
    </w:p>
    <w:p w:rsidR="00CF207C" w:rsidRPr="0068737B" w:rsidRDefault="00CF207C" w:rsidP="00CF207C">
      <w:pPr>
        <w:rPr>
          <w:sz w:val="20"/>
          <w:szCs w:val="20"/>
          <w:lang w:val="es-AR"/>
        </w:rPr>
      </w:pPr>
    </w:p>
    <w:p w:rsidR="00CF207C" w:rsidRPr="0068737B" w:rsidRDefault="00CF207C" w:rsidP="00DE256A">
      <w:pPr>
        <w:numPr>
          <w:ilvl w:val="0"/>
          <w:numId w:val="1"/>
        </w:numPr>
        <w:rPr>
          <w:sz w:val="20"/>
          <w:szCs w:val="20"/>
          <w:lang w:val="es-AR"/>
        </w:rPr>
      </w:pPr>
      <w:r w:rsidRPr="0068737B">
        <w:rPr>
          <w:sz w:val="20"/>
          <w:szCs w:val="20"/>
          <w:lang w:val="es-AR"/>
        </w:rPr>
        <w:t>El Estado reiteró la información presentada por las peticionarias sobre la ampliatoria de la investigación efectuada el 22 de julio de 2003 por la 4ª Fiscalía Provincial de Hua</w:t>
      </w:r>
      <w:r w:rsidR="00CC5653" w:rsidRPr="0068737B">
        <w:rPr>
          <w:sz w:val="20"/>
          <w:szCs w:val="20"/>
          <w:lang w:val="es-AR"/>
        </w:rPr>
        <w:t>ncayo en relación con Cory Clodolia Tenicela Tello y otros 33 agraviados.</w:t>
      </w:r>
      <w:r w:rsidRPr="0068737B">
        <w:rPr>
          <w:sz w:val="20"/>
          <w:szCs w:val="20"/>
          <w:lang w:val="es-AR"/>
        </w:rPr>
        <w:t xml:space="preserve"> Afirmó que el 5 de marzo de 2010 la Tercera Fiscalía Provincial Penal de Huancayo formalizó denuncia por el delito contra la libertad personal – secuestro contra Danilo Nicolás Gonz</w:t>
      </w:r>
      <w:r w:rsidR="00DE256A">
        <w:rPr>
          <w:sz w:val="20"/>
          <w:szCs w:val="20"/>
          <w:lang w:val="es-AR"/>
        </w:rPr>
        <w:t>á</w:t>
      </w:r>
      <w:r w:rsidRPr="0068737B">
        <w:rPr>
          <w:sz w:val="20"/>
          <w:szCs w:val="20"/>
          <w:lang w:val="es-AR"/>
        </w:rPr>
        <w:t>les Campana, Boris Adolfo Rojas Esquivel y otros. Señaló que el 26 de mayo de 2010 el Primer Juzgado Penal</w:t>
      </w:r>
      <w:r w:rsidR="00CA73BC" w:rsidRPr="0068737B">
        <w:rPr>
          <w:sz w:val="20"/>
          <w:szCs w:val="20"/>
          <w:lang w:val="es-AR"/>
        </w:rPr>
        <w:t xml:space="preserve"> de Huancayo</w:t>
      </w:r>
      <w:r w:rsidRPr="0068737B">
        <w:rPr>
          <w:sz w:val="20"/>
          <w:szCs w:val="20"/>
          <w:lang w:val="es-AR"/>
        </w:rPr>
        <w:t xml:space="preserve"> dispuso la realización de un total de setenta y seis diligencias, sin especificar la naturaleza de las mismas.</w:t>
      </w:r>
    </w:p>
    <w:p w:rsidR="00CF207C" w:rsidRPr="0068737B" w:rsidRDefault="00CF207C" w:rsidP="00CF207C">
      <w:pPr>
        <w:rPr>
          <w:sz w:val="20"/>
          <w:szCs w:val="20"/>
          <w:lang w:val="es-AR"/>
        </w:rPr>
      </w:pPr>
    </w:p>
    <w:p w:rsidR="00CF207C" w:rsidRPr="0068737B" w:rsidRDefault="00993E31" w:rsidP="00200507">
      <w:pPr>
        <w:numPr>
          <w:ilvl w:val="0"/>
          <w:numId w:val="1"/>
        </w:numPr>
        <w:rPr>
          <w:sz w:val="20"/>
          <w:szCs w:val="20"/>
          <w:lang w:val="es-AR"/>
        </w:rPr>
      </w:pPr>
      <w:r w:rsidRPr="0068737B">
        <w:rPr>
          <w:sz w:val="20"/>
          <w:szCs w:val="20"/>
          <w:lang w:val="es-AR"/>
        </w:rPr>
        <w:t>E</w:t>
      </w:r>
      <w:r w:rsidR="00CF207C" w:rsidRPr="0068737B">
        <w:rPr>
          <w:sz w:val="20"/>
          <w:szCs w:val="20"/>
          <w:lang w:val="es-AR"/>
        </w:rPr>
        <w:t>l</w:t>
      </w:r>
      <w:r w:rsidRPr="0068737B">
        <w:rPr>
          <w:sz w:val="20"/>
          <w:szCs w:val="20"/>
          <w:lang w:val="es-AR"/>
        </w:rPr>
        <w:t xml:space="preserve"> Estado indicó que el</w:t>
      </w:r>
      <w:r w:rsidR="00CF207C" w:rsidRPr="0068737B">
        <w:rPr>
          <w:sz w:val="20"/>
          <w:szCs w:val="20"/>
          <w:lang w:val="es-AR"/>
        </w:rPr>
        <w:t xml:space="preserve"> 28 de mayo de 2010</w:t>
      </w:r>
      <w:r w:rsidR="00493BBA" w:rsidRPr="0068737B">
        <w:rPr>
          <w:sz w:val="20"/>
          <w:szCs w:val="20"/>
          <w:lang w:val="es-AR"/>
        </w:rPr>
        <w:t xml:space="preserve"> “el Primer Juzgado Penal de Huancayo declar[ó] el proceso COMPLEJO por la materia, la cantidad de medios de prueba por actuar o recabar, por el concurso de hechos, por</w:t>
      </w:r>
      <w:r w:rsidRPr="0068737B">
        <w:rPr>
          <w:sz w:val="20"/>
          <w:szCs w:val="20"/>
          <w:lang w:val="es-AR"/>
        </w:rPr>
        <w:t xml:space="preserve"> la</w:t>
      </w:r>
      <w:r w:rsidR="00493BBA" w:rsidRPr="0068737B">
        <w:rPr>
          <w:sz w:val="20"/>
          <w:szCs w:val="20"/>
          <w:lang w:val="es-AR"/>
        </w:rPr>
        <w:t xml:space="preserve"> pluralidad de procesados o agraviados, entre otros“. Indicó que el 3 de julio de 2010 se publicó un edicto a fin de citar y emplazar a los familiares de Cory Tenicela Tello “para que tengan conocimiento que se ha aperturado un proceso por delito de lesa humanidad en la modalidad de asesinato y otros y para que se acerquen al juzgado p</w:t>
      </w:r>
      <w:r w:rsidR="00CA73BC" w:rsidRPr="0068737B">
        <w:rPr>
          <w:sz w:val="20"/>
          <w:szCs w:val="20"/>
          <w:lang w:val="es-AR"/>
        </w:rPr>
        <w:t>ara tomar sus manifestaciones“.</w:t>
      </w:r>
    </w:p>
    <w:p w:rsidR="00493BBA" w:rsidRPr="0068737B" w:rsidRDefault="00493BBA" w:rsidP="00493BBA">
      <w:pPr>
        <w:rPr>
          <w:sz w:val="20"/>
          <w:szCs w:val="20"/>
          <w:lang w:val="es-AR"/>
        </w:rPr>
      </w:pPr>
    </w:p>
    <w:p w:rsidR="00485B78" w:rsidRPr="0068737B" w:rsidRDefault="00485B78" w:rsidP="00200507">
      <w:pPr>
        <w:numPr>
          <w:ilvl w:val="0"/>
          <w:numId w:val="1"/>
        </w:numPr>
        <w:rPr>
          <w:sz w:val="20"/>
          <w:szCs w:val="20"/>
          <w:lang w:val="es-AR"/>
        </w:rPr>
      </w:pPr>
      <w:r w:rsidRPr="0068737B">
        <w:rPr>
          <w:sz w:val="20"/>
          <w:szCs w:val="20"/>
          <w:lang w:val="es-AR"/>
        </w:rPr>
        <w:t>El Estado indicó que el proceso penal por la alegada desaparición forzada de la señora Cory Tenicela viene desarrollándose en el marco de un debido proceso a efectos de lograr el esclarecimiento de los hechos, juzgamiento y sanción de los responsables. Argumentó que el hecho de que la instrucción penal aún se encuentre en pleno trámite se justifica debido a la complejidad de los hechos. Señaló que la alegada desaparición de la presunta víctima está pendiente de un pronunciamiento por parte del Poder Judicial y solicitó que la CIDH declare la inadmisibilidad de la petición, en concordancia con los artículos 46.1.a) y 48.1.b) de la Convención.</w:t>
      </w:r>
    </w:p>
    <w:p w:rsidR="00485B78" w:rsidRPr="0068737B" w:rsidRDefault="00485B78" w:rsidP="00485B78">
      <w:pPr>
        <w:rPr>
          <w:sz w:val="20"/>
          <w:szCs w:val="20"/>
          <w:lang w:val="es-AR"/>
        </w:rPr>
      </w:pPr>
    </w:p>
    <w:p w:rsidR="00493BBA" w:rsidRPr="0068737B" w:rsidRDefault="0052745E" w:rsidP="00200507">
      <w:pPr>
        <w:numPr>
          <w:ilvl w:val="0"/>
          <w:numId w:val="1"/>
        </w:numPr>
        <w:rPr>
          <w:sz w:val="20"/>
          <w:szCs w:val="20"/>
          <w:lang w:val="es-AR"/>
        </w:rPr>
      </w:pPr>
      <w:r w:rsidRPr="0068737B">
        <w:rPr>
          <w:sz w:val="20"/>
          <w:szCs w:val="20"/>
          <w:lang w:val="es-AR"/>
        </w:rPr>
        <w:t>Finalmente, el Estado manifestó que las peticionarias no han indicado porqué consideran existir una violación al derecho consagrado en el artículo 13 de la Convenci</w:t>
      </w:r>
      <w:r w:rsidR="000E023D" w:rsidRPr="0068737B">
        <w:rPr>
          <w:sz w:val="20"/>
          <w:szCs w:val="20"/>
          <w:lang w:val="es-AR"/>
        </w:rPr>
        <w:t>ón.</w:t>
      </w:r>
      <w:r w:rsidRPr="0068737B">
        <w:rPr>
          <w:sz w:val="20"/>
          <w:szCs w:val="20"/>
          <w:lang w:val="es-AR"/>
        </w:rPr>
        <w:t xml:space="preserve">  </w:t>
      </w:r>
      <w:r w:rsidR="00485B78" w:rsidRPr="0068737B">
        <w:rPr>
          <w:sz w:val="20"/>
          <w:szCs w:val="20"/>
          <w:lang w:val="es-AR"/>
        </w:rPr>
        <w:t xml:space="preserve">  </w:t>
      </w:r>
    </w:p>
    <w:p w:rsidR="00200507" w:rsidRPr="0068737B" w:rsidRDefault="00200507" w:rsidP="00200507">
      <w:pPr>
        <w:rPr>
          <w:sz w:val="20"/>
          <w:szCs w:val="20"/>
          <w:lang w:val="es-AR"/>
        </w:rPr>
      </w:pPr>
      <w:r w:rsidRPr="0068737B">
        <w:rPr>
          <w:sz w:val="20"/>
          <w:szCs w:val="20"/>
          <w:lang w:val="es-AR"/>
        </w:rPr>
        <w:t xml:space="preserve">         </w:t>
      </w:r>
    </w:p>
    <w:p w:rsidR="00200507" w:rsidRPr="0068737B" w:rsidRDefault="00200507" w:rsidP="00200507">
      <w:pPr>
        <w:pStyle w:val="Ttulo1"/>
        <w:ind w:firstLine="720"/>
        <w:rPr>
          <w:sz w:val="20"/>
          <w:szCs w:val="20"/>
          <w:lang w:val="es-AR"/>
        </w:rPr>
      </w:pPr>
      <w:r w:rsidRPr="0068737B">
        <w:rPr>
          <w:sz w:val="20"/>
          <w:szCs w:val="20"/>
          <w:lang w:val="es-AR"/>
        </w:rPr>
        <w:t>IV.</w:t>
      </w:r>
      <w:r w:rsidRPr="0068737B">
        <w:rPr>
          <w:sz w:val="20"/>
          <w:szCs w:val="20"/>
          <w:lang w:val="es-AR"/>
        </w:rPr>
        <w:tab/>
        <w:t xml:space="preserve">ANÁLISIS DE COMPETENCIA Y ADMISIBILIDAD </w:t>
      </w:r>
    </w:p>
    <w:p w:rsidR="00200507" w:rsidRPr="0068737B" w:rsidRDefault="00200507" w:rsidP="00200507">
      <w:pPr>
        <w:pStyle w:val="Ttulo1"/>
        <w:rPr>
          <w:sz w:val="20"/>
          <w:szCs w:val="20"/>
          <w:lang w:val="es-AR"/>
        </w:rPr>
      </w:pPr>
      <w:r w:rsidRPr="0068737B">
        <w:rPr>
          <w:sz w:val="20"/>
          <w:szCs w:val="20"/>
          <w:lang w:val="es-AR"/>
        </w:rPr>
        <w:t xml:space="preserve"> </w:t>
      </w:r>
    </w:p>
    <w:p w:rsidR="00200507" w:rsidRPr="0068737B" w:rsidRDefault="00200507" w:rsidP="007C4676">
      <w:pPr>
        <w:pStyle w:val="Ttulo1"/>
        <w:ind w:left="1440" w:hanging="720"/>
        <w:rPr>
          <w:sz w:val="20"/>
          <w:szCs w:val="20"/>
          <w:lang w:val="es-AR"/>
        </w:rPr>
      </w:pPr>
      <w:r w:rsidRPr="0068737B">
        <w:rPr>
          <w:sz w:val="20"/>
          <w:szCs w:val="20"/>
          <w:lang w:val="es-AR"/>
        </w:rPr>
        <w:t>A.</w:t>
      </w:r>
      <w:r w:rsidRPr="0068737B">
        <w:rPr>
          <w:sz w:val="20"/>
          <w:szCs w:val="20"/>
          <w:lang w:val="es-AR"/>
        </w:rPr>
        <w:tab/>
        <w:t xml:space="preserve">Competencia </w:t>
      </w:r>
      <w:r w:rsidRPr="0068737B">
        <w:rPr>
          <w:i/>
          <w:sz w:val="20"/>
          <w:szCs w:val="20"/>
          <w:lang w:val="es-AR"/>
        </w:rPr>
        <w:t>ratione personae</w:t>
      </w:r>
      <w:r w:rsidRPr="0068737B">
        <w:rPr>
          <w:sz w:val="20"/>
          <w:szCs w:val="20"/>
          <w:lang w:val="es-AR"/>
        </w:rPr>
        <w:t xml:space="preserve">, </w:t>
      </w:r>
      <w:r w:rsidRPr="0068737B">
        <w:rPr>
          <w:i/>
          <w:sz w:val="20"/>
          <w:szCs w:val="20"/>
          <w:lang w:val="es-AR"/>
        </w:rPr>
        <w:t>ratione loci</w:t>
      </w:r>
      <w:r w:rsidRPr="0068737B">
        <w:rPr>
          <w:sz w:val="20"/>
          <w:szCs w:val="20"/>
          <w:lang w:val="es-AR"/>
        </w:rPr>
        <w:t xml:space="preserve">, </w:t>
      </w:r>
      <w:r w:rsidRPr="0068737B">
        <w:rPr>
          <w:i/>
          <w:sz w:val="20"/>
          <w:szCs w:val="20"/>
          <w:lang w:val="es-AR"/>
        </w:rPr>
        <w:t>ratione temporis</w:t>
      </w:r>
      <w:r w:rsidRPr="0068737B">
        <w:rPr>
          <w:sz w:val="20"/>
          <w:szCs w:val="20"/>
          <w:lang w:val="es-AR"/>
        </w:rPr>
        <w:t xml:space="preserve"> y </w:t>
      </w:r>
      <w:r w:rsidRPr="0068737B">
        <w:rPr>
          <w:i/>
          <w:sz w:val="20"/>
          <w:szCs w:val="20"/>
          <w:lang w:val="es-AR"/>
        </w:rPr>
        <w:t>ratione materiae</w:t>
      </w:r>
      <w:r w:rsidRPr="0068737B">
        <w:rPr>
          <w:sz w:val="20"/>
          <w:szCs w:val="20"/>
          <w:lang w:val="es-AR"/>
        </w:rPr>
        <w:t xml:space="preserve"> de la Comisión</w:t>
      </w:r>
    </w:p>
    <w:p w:rsidR="00200507" w:rsidRPr="0068737B" w:rsidRDefault="00200507" w:rsidP="00200507">
      <w:pPr>
        <w:rPr>
          <w:rFonts w:cs="Arial"/>
          <w:iCs/>
          <w:sz w:val="20"/>
          <w:szCs w:val="20"/>
          <w:lang w:val="es-AR"/>
        </w:rPr>
      </w:pPr>
    </w:p>
    <w:p w:rsidR="00200507" w:rsidRPr="0068737B" w:rsidRDefault="000E023D" w:rsidP="00200507">
      <w:pPr>
        <w:numPr>
          <w:ilvl w:val="0"/>
          <w:numId w:val="1"/>
        </w:numPr>
        <w:tabs>
          <w:tab w:val="num" w:pos="0"/>
        </w:tabs>
        <w:rPr>
          <w:sz w:val="20"/>
          <w:szCs w:val="20"/>
          <w:lang w:val="es-AR"/>
        </w:rPr>
      </w:pPr>
      <w:r w:rsidRPr="0068737B">
        <w:rPr>
          <w:sz w:val="20"/>
          <w:szCs w:val="20"/>
          <w:lang w:val="es-AR"/>
        </w:rPr>
        <w:t>Las peticionarias se encuentran facultada</w:t>
      </w:r>
      <w:r w:rsidR="00200507" w:rsidRPr="0068737B">
        <w:rPr>
          <w:sz w:val="20"/>
          <w:szCs w:val="20"/>
          <w:lang w:val="es-AR"/>
        </w:rPr>
        <w:t xml:space="preserve">s por el artículo 44 de la Convención para presentar denuncias. La presunta víctima es una persona natural que se encontraba bajo la jurisdicción del Estado peruano a la fecha de los hechos aducidos. Por su parte, Perú ratificó la Convención Americana el 28 de julio de 1978. En consecuencia, la Comisión tiene competencia </w:t>
      </w:r>
      <w:r w:rsidR="00200507" w:rsidRPr="0068737B">
        <w:rPr>
          <w:i/>
          <w:sz w:val="20"/>
          <w:szCs w:val="20"/>
          <w:lang w:val="es-AR"/>
        </w:rPr>
        <w:t>ratione personae</w:t>
      </w:r>
      <w:r w:rsidR="00200507" w:rsidRPr="0068737B">
        <w:rPr>
          <w:sz w:val="20"/>
          <w:szCs w:val="20"/>
          <w:lang w:val="es-AR"/>
        </w:rPr>
        <w:t xml:space="preserve"> para examinar la petición.</w:t>
      </w:r>
    </w:p>
    <w:p w:rsidR="00200507" w:rsidRPr="0068737B" w:rsidRDefault="00200507" w:rsidP="00200507">
      <w:pPr>
        <w:rPr>
          <w:sz w:val="20"/>
          <w:szCs w:val="20"/>
          <w:lang w:val="es-AR"/>
        </w:rPr>
      </w:pPr>
    </w:p>
    <w:p w:rsidR="00200507" w:rsidRPr="0068737B" w:rsidRDefault="00200507" w:rsidP="00200507">
      <w:pPr>
        <w:numPr>
          <w:ilvl w:val="0"/>
          <w:numId w:val="1"/>
        </w:numPr>
        <w:tabs>
          <w:tab w:val="num" w:pos="0"/>
        </w:tabs>
        <w:rPr>
          <w:sz w:val="20"/>
          <w:szCs w:val="20"/>
          <w:lang w:val="es-AR"/>
        </w:rPr>
      </w:pPr>
      <w:r w:rsidRPr="0068737B">
        <w:rPr>
          <w:sz w:val="20"/>
          <w:szCs w:val="20"/>
          <w:lang w:val="es-AR"/>
        </w:rPr>
        <w:t xml:space="preserve">La Comisión tiene competencia </w:t>
      </w:r>
      <w:r w:rsidRPr="0068737B">
        <w:rPr>
          <w:i/>
          <w:sz w:val="20"/>
          <w:szCs w:val="20"/>
          <w:lang w:val="es-AR"/>
        </w:rPr>
        <w:t>ratione loci</w:t>
      </w:r>
      <w:r w:rsidRPr="0068737B">
        <w:rPr>
          <w:sz w:val="20"/>
          <w:szCs w:val="20"/>
          <w:lang w:val="es-AR"/>
        </w:rPr>
        <w:t xml:space="preserve"> para conocer la petición, por cuanto en ella se alegan violaciones de derechos protegidos por la Convención Americana que habrían tenido lugar dentro del territorio de un Estado parte de dicho tratado.</w:t>
      </w:r>
    </w:p>
    <w:p w:rsidR="00200507" w:rsidRPr="0068737B" w:rsidRDefault="00200507" w:rsidP="00200507">
      <w:pPr>
        <w:rPr>
          <w:sz w:val="20"/>
          <w:szCs w:val="20"/>
          <w:lang w:val="es-AR"/>
        </w:rPr>
      </w:pPr>
    </w:p>
    <w:p w:rsidR="00200507" w:rsidRPr="0068737B" w:rsidRDefault="00200507" w:rsidP="00200507">
      <w:pPr>
        <w:numPr>
          <w:ilvl w:val="0"/>
          <w:numId w:val="1"/>
        </w:numPr>
        <w:tabs>
          <w:tab w:val="num" w:pos="0"/>
        </w:tabs>
        <w:rPr>
          <w:sz w:val="20"/>
          <w:szCs w:val="20"/>
          <w:lang w:val="es-AR"/>
        </w:rPr>
      </w:pPr>
      <w:r w:rsidRPr="0068737B">
        <w:rPr>
          <w:sz w:val="20"/>
          <w:szCs w:val="20"/>
          <w:lang w:val="es-AR"/>
        </w:rPr>
        <w:t xml:space="preserve">Asimismo, la Comisión tiene competencia </w:t>
      </w:r>
      <w:r w:rsidRPr="0068737B">
        <w:rPr>
          <w:i/>
          <w:sz w:val="20"/>
          <w:szCs w:val="20"/>
          <w:lang w:val="es-AR"/>
        </w:rPr>
        <w:t>ratione temporis</w:t>
      </w:r>
      <w:r w:rsidRPr="0068737B">
        <w:rPr>
          <w:sz w:val="20"/>
          <w:szCs w:val="20"/>
          <w:lang w:val="es-AR"/>
        </w:rPr>
        <w:t xml:space="preserve"> pues la obligación de respetar y garantizar los derechos protegidos por la Convención Americana ya se encontraba en vigor para el Estado en la fecha en que habrían ocurrido los hechos alegados en la petición. </w:t>
      </w:r>
    </w:p>
    <w:p w:rsidR="00200507" w:rsidRPr="0068737B" w:rsidRDefault="00200507" w:rsidP="00200507">
      <w:pPr>
        <w:rPr>
          <w:sz w:val="20"/>
          <w:szCs w:val="20"/>
          <w:lang w:val="es-AR"/>
        </w:rPr>
      </w:pPr>
    </w:p>
    <w:p w:rsidR="00200507" w:rsidRPr="0068737B" w:rsidRDefault="00200507" w:rsidP="00200507">
      <w:pPr>
        <w:numPr>
          <w:ilvl w:val="0"/>
          <w:numId w:val="1"/>
        </w:numPr>
        <w:tabs>
          <w:tab w:val="num" w:pos="0"/>
        </w:tabs>
        <w:rPr>
          <w:sz w:val="20"/>
          <w:szCs w:val="20"/>
          <w:lang w:val="es-AR"/>
        </w:rPr>
      </w:pPr>
      <w:r w:rsidRPr="0068737B">
        <w:rPr>
          <w:sz w:val="20"/>
          <w:szCs w:val="20"/>
          <w:lang w:val="es-AR"/>
        </w:rPr>
        <w:t xml:space="preserve">Finalmente, la Comisión tiene competencia </w:t>
      </w:r>
      <w:r w:rsidRPr="0068737B">
        <w:rPr>
          <w:i/>
          <w:sz w:val="20"/>
          <w:szCs w:val="20"/>
          <w:lang w:val="es-AR"/>
        </w:rPr>
        <w:t>ratione materiae</w:t>
      </w:r>
      <w:r w:rsidRPr="0068737B">
        <w:rPr>
          <w:sz w:val="20"/>
          <w:szCs w:val="20"/>
          <w:lang w:val="es-AR"/>
        </w:rPr>
        <w:t xml:space="preserve"> porque en la petición</w:t>
      </w:r>
      <w:r w:rsidR="000E023D" w:rsidRPr="0068737B">
        <w:rPr>
          <w:sz w:val="20"/>
          <w:szCs w:val="20"/>
          <w:lang w:val="es-AR"/>
        </w:rPr>
        <w:t xml:space="preserve"> se</w:t>
      </w:r>
      <w:r w:rsidRPr="0068737B">
        <w:rPr>
          <w:sz w:val="20"/>
          <w:szCs w:val="20"/>
          <w:lang w:val="es-AR"/>
        </w:rPr>
        <w:t xml:space="preserve"> a</w:t>
      </w:r>
      <w:r w:rsidR="000E023D" w:rsidRPr="0068737B">
        <w:rPr>
          <w:sz w:val="20"/>
          <w:szCs w:val="20"/>
          <w:lang w:val="es-AR"/>
        </w:rPr>
        <w:t>lega la violación a</w:t>
      </w:r>
      <w:r w:rsidRPr="0068737B">
        <w:rPr>
          <w:sz w:val="20"/>
          <w:szCs w:val="20"/>
          <w:lang w:val="es-AR"/>
        </w:rPr>
        <w:t xml:space="preserve"> la Convención Am</w:t>
      </w:r>
      <w:r w:rsidR="004E09B1" w:rsidRPr="0068737B">
        <w:rPr>
          <w:sz w:val="20"/>
          <w:szCs w:val="20"/>
          <w:lang w:val="es-AR"/>
        </w:rPr>
        <w:t>ericana y</w:t>
      </w:r>
      <w:r w:rsidR="000E023D" w:rsidRPr="0068737B">
        <w:rPr>
          <w:sz w:val="20"/>
          <w:szCs w:val="20"/>
          <w:lang w:val="es-AR"/>
        </w:rPr>
        <w:t>, conforme se explicará más adelante,</w:t>
      </w:r>
      <w:r w:rsidRPr="0068737B">
        <w:rPr>
          <w:sz w:val="20"/>
          <w:szCs w:val="20"/>
          <w:lang w:val="es-AR"/>
        </w:rPr>
        <w:t xml:space="preserve"> </w:t>
      </w:r>
      <w:r w:rsidR="000E023D" w:rsidRPr="0068737B">
        <w:rPr>
          <w:sz w:val="20"/>
          <w:szCs w:val="20"/>
          <w:lang w:val="es-AR"/>
        </w:rPr>
        <w:t>se describen hechos que podrían caracterizar la vulneración a derechos previstos en</w:t>
      </w:r>
      <w:r w:rsidRPr="0068737B">
        <w:rPr>
          <w:sz w:val="20"/>
          <w:szCs w:val="20"/>
          <w:lang w:val="es-AR"/>
        </w:rPr>
        <w:t xml:space="preserve"> la Convención Interamericana sobre Desaparición Forzada de Personas</w:t>
      </w:r>
      <w:r w:rsidR="009D29CD" w:rsidRPr="0068737B">
        <w:rPr>
          <w:sz w:val="20"/>
          <w:szCs w:val="20"/>
          <w:lang w:val="es-AR"/>
        </w:rPr>
        <w:t xml:space="preserve"> (en adelante también CIDFP)</w:t>
      </w:r>
      <w:r w:rsidR="004E09B1" w:rsidRPr="0068737B">
        <w:rPr>
          <w:sz w:val="20"/>
          <w:szCs w:val="20"/>
          <w:lang w:val="es-AR"/>
        </w:rPr>
        <w:t>,</w:t>
      </w:r>
      <w:r w:rsidRPr="0068737B">
        <w:rPr>
          <w:sz w:val="20"/>
          <w:szCs w:val="20"/>
          <w:lang w:val="es-AR"/>
        </w:rPr>
        <w:t xml:space="preserve"> </w:t>
      </w:r>
      <w:r w:rsidR="000E023D" w:rsidRPr="0068737B">
        <w:rPr>
          <w:sz w:val="20"/>
          <w:szCs w:val="20"/>
          <w:lang w:val="es-AR"/>
        </w:rPr>
        <w:t xml:space="preserve">cuyo instrumento de ratificación fue depositado por Perú el </w:t>
      </w:r>
      <w:r w:rsidR="00993E31" w:rsidRPr="0068737B">
        <w:rPr>
          <w:sz w:val="20"/>
          <w:szCs w:val="20"/>
          <w:lang w:val="es-AR"/>
        </w:rPr>
        <w:t>13 de febrero de 2002</w:t>
      </w:r>
      <w:r w:rsidRPr="0068737B">
        <w:rPr>
          <w:sz w:val="20"/>
          <w:szCs w:val="20"/>
          <w:lang w:val="es-AR"/>
        </w:rPr>
        <w:t xml:space="preserve">. </w:t>
      </w:r>
    </w:p>
    <w:p w:rsidR="00200507" w:rsidRPr="0068737B" w:rsidRDefault="00200507" w:rsidP="00200507">
      <w:pPr>
        <w:rPr>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t>B.</w:t>
      </w:r>
      <w:r w:rsidRPr="0068737B">
        <w:rPr>
          <w:sz w:val="20"/>
          <w:szCs w:val="20"/>
          <w:lang w:val="es-AR"/>
        </w:rPr>
        <w:tab/>
        <w:t>Agotamiento de los recursos internos</w:t>
      </w:r>
    </w:p>
    <w:p w:rsidR="00200507" w:rsidRPr="0068737B" w:rsidRDefault="00200507" w:rsidP="00200507">
      <w:pPr>
        <w:rPr>
          <w:rFonts w:cs="Arial"/>
          <w:iCs/>
          <w:sz w:val="20"/>
          <w:szCs w:val="20"/>
          <w:lang w:val="es-AR"/>
        </w:rPr>
      </w:pPr>
    </w:p>
    <w:p w:rsidR="00200507" w:rsidRPr="0068737B" w:rsidRDefault="00200507" w:rsidP="00200507">
      <w:pPr>
        <w:numPr>
          <w:ilvl w:val="0"/>
          <w:numId w:val="1"/>
        </w:numPr>
        <w:rPr>
          <w:sz w:val="20"/>
          <w:szCs w:val="20"/>
          <w:lang w:val="es-AR"/>
        </w:rPr>
      </w:pPr>
      <w:r w:rsidRPr="0068737B">
        <w:rPr>
          <w:sz w:val="20"/>
          <w:szCs w:val="20"/>
          <w:lang w:val="es-AR"/>
        </w:rPr>
        <w:t xml:space="preserve">El artículo 46.1.a) de la Convención Americana dispone que, para que sea admisible una denuncia presentada ante la Comisión Interamericana de conformidad con el artículo 44 de la </w:t>
      </w:r>
      <w:r w:rsidRPr="0068737B">
        <w:rPr>
          <w:sz w:val="20"/>
          <w:szCs w:val="20"/>
          <w:lang w:val="es-AR"/>
        </w:rPr>
        <w:lastRenderedPageBreak/>
        <w:t>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bookmarkStart w:id="1" w:name="HIT22"/>
      <w:bookmarkStart w:id="2" w:name="HIT23"/>
      <w:bookmarkStart w:id="3" w:name="HIT24"/>
      <w:bookmarkEnd w:id="1"/>
      <w:bookmarkEnd w:id="2"/>
      <w:bookmarkEnd w:id="3"/>
    </w:p>
    <w:p w:rsidR="00200507" w:rsidRPr="0068737B" w:rsidRDefault="00200507" w:rsidP="00200507">
      <w:pPr>
        <w:rPr>
          <w:sz w:val="20"/>
          <w:szCs w:val="20"/>
          <w:lang w:val="es-AR"/>
        </w:rPr>
      </w:pPr>
    </w:p>
    <w:p w:rsidR="00200507" w:rsidRPr="0068737B" w:rsidRDefault="00200507" w:rsidP="00200507">
      <w:pPr>
        <w:numPr>
          <w:ilvl w:val="0"/>
          <w:numId w:val="1"/>
        </w:numPr>
        <w:rPr>
          <w:sz w:val="20"/>
          <w:szCs w:val="20"/>
          <w:lang w:val="es-AR"/>
        </w:rPr>
      </w:pPr>
      <w:r w:rsidRPr="0068737B">
        <w:rPr>
          <w:sz w:val="20"/>
          <w:szCs w:val="20"/>
          <w:lang w:val="es-AR"/>
        </w:rPr>
        <w:t>El requisito de agotamiento previo se aplica cuando en el sistema nacional están efectivamente disponibles recursos que son adecuados y eficaces para remediar la presunta violación.  En este sentido, el artículo 46.2 especifica que el requisito no se aplica cuando no exista en la legislación interna el debido proceso legal para la protección del derecho en cuestión; o si la presunta víctima no tuvo acceso a los recursos de la jurisdicción interna; o si hay retardo injustificado en la decisión sobre dichos recursos.</w:t>
      </w:r>
    </w:p>
    <w:p w:rsidR="00E12E00" w:rsidRPr="0068737B" w:rsidRDefault="00E12E00" w:rsidP="00E12E00">
      <w:pPr>
        <w:rPr>
          <w:sz w:val="20"/>
          <w:szCs w:val="20"/>
          <w:lang w:val="es-AR"/>
        </w:rPr>
      </w:pPr>
    </w:p>
    <w:p w:rsidR="00E12E00" w:rsidRPr="0068737B" w:rsidRDefault="00E12E00" w:rsidP="00200507">
      <w:pPr>
        <w:numPr>
          <w:ilvl w:val="0"/>
          <w:numId w:val="1"/>
        </w:numPr>
        <w:rPr>
          <w:sz w:val="20"/>
          <w:szCs w:val="20"/>
          <w:lang w:val="es-AR"/>
        </w:rPr>
      </w:pPr>
      <w:r w:rsidRPr="0068737B">
        <w:rPr>
          <w:sz w:val="20"/>
          <w:szCs w:val="20"/>
          <w:lang w:val="es-AR"/>
        </w:rPr>
        <w:t>En el presente caso</w:t>
      </w:r>
      <w:r w:rsidR="000463F1" w:rsidRPr="0068737B">
        <w:rPr>
          <w:sz w:val="20"/>
          <w:szCs w:val="20"/>
          <w:lang w:val="es-AR"/>
        </w:rPr>
        <w:t>,</w:t>
      </w:r>
      <w:r w:rsidRPr="0068737B">
        <w:rPr>
          <w:sz w:val="20"/>
          <w:szCs w:val="20"/>
          <w:lang w:val="es-AR"/>
        </w:rPr>
        <w:t xml:space="preserve"> las peticionarias indicaron haber presentado una acción de </w:t>
      </w:r>
      <w:r w:rsidRPr="0068737B">
        <w:rPr>
          <w:i/>
          <w:sz w:val="20"/>
          <w:szCs w:val="20"/>
          <w:lang w:val="es-AR"/>
        </w:rPr>
        <w:t>habeas corpus</w:t>
      </w:r>
      <w:r w:rsidRPr="0068737B">
        <w:rPr>
          <w:sz w:val="20"/>
          <w:szCs w:val="20"/>
          <w:lang w:val="es-AR"/>
        </w:rPr>
        <w:t xml:space="preserve"> ante el Juez de Instrucción de Huancayo días después de la presunta desaparición de la señora Tenicela Tello, pero que las autoridades judiciales no realizaron una investigación eficaz.</w:t>
      </w:r>
      <w:r w:rsidR="005F6CFE">
        <w:rPr>
          <w:sz w:val="20"/>
          <w:szCs w:val="20"/>
          <w:lang w:val="es-AR"/>
        </w:rPr>
        <w:t xml:space="preserve"> E</w:t>
      </w:r>
      <w:r w:rsidR="005F6CFE" w:rsidRPr="0068737B">
        <w:rPr>
          <w:sz w:val="20"/>
          <w:szCs w:val="20"/>
          <w:lang w:val="es-AR"/>
        </w:rPr>
        <w:t>n casos de presunta desaparición forzada</w:t>
      </w:r>
      <w:r w:rsidR="005F6CFE">
        <w:rPr>
          <w:sz w:val="20"/>
          <w:szCs w:val="20"/>
          <w:lang w:val="es-AR"/>
        </w:rPr>
        <w:t xml:space="preserve"> l</w:t>
      </w:r>
      <w:r w:rsidRPr="0068737B">
        <w:rPr>
          <w:sz w:val="20"/>
          <w:szCs w:val="20"/>
          <w:lang w:val="es-AR"/>
        </w:rPr>
        <w:t xml:space="preserve">a Comisión ha </w:t>
      </w:r>
      <w:r w:rsidR="005F6CFE">
        <w:rPr>
          <w:sz w:val="20"/>
          <w:szCs w:val="20"/>
          <w:lang w:val="es-AR"/>
        </w:rPr>
        <w:t>establecido que</w:t>
      </w:r>
      <w:r w:rsidRPr="0068737B">
        <w:rPr>
          <w:sz w:val="20"/>
          <w:szCs w:val="20"/>
          <w:lang w:val="es-AR"/>
        </w:rPr>
        <w:t xml:space="preserve"> la interposición de un recurso de </w:t>
      </w:r>
      <w:r w:rsidRPr="00AD2006">
        <w:rPr>
          <w:i/>
          <w:sz w:val="20"/>
          <w:szCs w:val="20"/>
          <w:lang w:val="es-AR"/>
        </w:rPr>
        <w:t>habeas corpus</w:t>
      </w:r>
      <w:r w:rsidRPr="0068737B">
        <w:rPr>
          <w:sz w:val="20"/>
          <w:szCs w:val="20"/>
          <w:lang w:val="es-AR"/>
        </w:rPr>
        <w:t xml:space="preserve"> satisface el requisito establecido en el artículo 46.1.a) de la Convención Americana.</w:t>
      </w:r>
    </w:p>
    <w:p w:rsidR="008A1FB1" w:rsidRPr="0068737B" w:rsidRDefault="008A1FB1" w:rsidP="008A1FB1">
      <w:pPr>
        <w:rPr>
          <w:sz w:val="20"/>
          <w:szCs w:val="20"/>
          <w:lang w:val="es-AR"/>
        </w:rPr>
      </w:pPr>
    </w:p>
    <w:p w:rsidR="00200507" w:rsidRPr="0068737B" w:rsidRDefault="006F7C27" w:rsidP="000C4958">
      <w:pPr>
        <w:numPr>
          <w:ilvl w:val="0"/>
          <w:numId w:val="1"/>
        </w:numPr>
        <w:rPr>
          <w:sz w:val="20"/>
          <w:szCs w:val="20"/>
          <w:lang w:val="es-AR"/>
        </w:rPr>
      </w:pPr>
      <w:r w:rsidRPr="0068737B">
        <w:rPr>
          <w:sz w:val="20"/>
          <w:szCs w:val="20"/>
          <w:lang w:val="es-AR"/>
        </w:rPr>
        <w:t>El Estado sostuvo que la petición es inadmisible debido a que la investigación penal ampliada por la 4</w:t>
      </w:r>
      <w:r w:rsidRPr="0068737B">
        <w:rPr>
          <w:rFonts w:ascii="Arial" w:hAnsi="Arial" w:cs="Arial"/>
          <w:sz w:val="20"/>
          <w:szCs w:val="20"/>
          <w:lang w:val="es-AR"/>
        </w:rPr>
        <w:t>ª Fiscalía Provincial de Huancayo</w:t>
      </w:r>
      <w:r w:rsidRPr="0068737B">
        <w:rPr>
          <w:sz w:val="20"/>
          <w:szCs w:val="20"/>
          <w:lang w:val="es-AR"/>
        </w:rPr>
        <w:t xml:space="preserve"> el 22 de julio de 2003 </w:t>
      </w:r>
      <w:r w:rsidR="00D607C1" w:rsidRPr="0068737B">
        <w:rPr>
          <w:sz w:val="20"/>
          <w:szCs w:val="20"/>
          <w:lang w:val="es-AR"/>
        </w:rPr>
        <w:t>para incorporar a la presunta víctima y otras</w:t>
      </w:r>
      <w:r w:rsidR="000463F1" w:rsidRPr="0068737B">
        <w:rPr>
          <w:sz w:val="20"/>
          <w:szCs w:val="20"/>
          <w:lang w:val="es-AR"/>
        </w:rPr>
        <w:t xml:space="preserve"> 33</w:t>
      </w:r>
      <w:r w:rsidR="00D607C1" w:rsidRPr="0068737B">
        <w:rPr>
          <w:sz w:val="20"/>
          <w:szCs w:val="20"/>
          <w:lang w:val="es-AR"/>
        </w:rPr>
        <w:t xml:space="preserve"> personas </w:t>
      </w:r>
      <w:r w:rsidR="000463F1" w:rsidRPr="0068737B">
        <w:rPr>
          <w:sz w:val="20"/>
          <w:szCs w:val="20"/>
          <w:lang w:val="es-AR"/>
        </w:rPr>
        <w:t>no ha derivado en un pronunciamiento definitivo por parte de las autoridades judiciales internas</w:t>
      </w:r>
      <w:r w:rsidR="00D607C1" w:rsidRPr="0068737B">
        <w:rPr>
          <w:sz w:val="20"/>
          <w:szCs w:val="20"/>
          <w:lang w:val="es-AR"/>
        </w:rPr>
        <w:t xml:space="preserve">. </w:t>
      </w:r>
      <w:r w:rsidR="00ED7E8C">
        <w:rPr>
          <w:sz w:val="20"/>
          <w:szCs w:val="20"/>
          <w:lang w:val="es-AR"/>
        </w:rPr>
        <w:t>Al respecto, cabe notar que</w:t>
      </w:r>
      <w:r w:rsidR="00D607C1" w:rsidRPr="0068737B">
        <w:rPr>
          <w:sz w:val="20"/>
          <w:szCs w:val="20"/>
          <w:lang w:val="es-AR"/>
        </w:rPr>
        <w:t xml:space="preserve"> la denuncia </w:t>
      </w:r>
      <w:r w:rsidR="000463F1" w:rsidRPr="0068737B">
        <w:rPr>
          <w:sz w:val="20"/>
          <w:szCs w:val="20"/>
          <w:lang w:val="es-AR"/>
        </w:rPr>
        <w:t>presentada a</w:t>
      </w:r>
      <w:r w:rsidR="00D607C1" w:rsidRPr="0068737B">
        <w:rPr>
          <w:sz w:val="20"/>
          <w:szCs w:val="20"/>
          <w:lang w:val="es-AR"/>
        </w:rPr>
        <w:t xml:space="preserve"> la Comisión se refiere tanto a la presunta desaparición</w:t>
      </w:r>
      <w:r w:rsidR="000463F1" w:rsidRPr="0068737B">
        <w:rPr>
          <w:sz w:val="20"/>
          <w:szCs w:val="20"/>
          <w:lang w:val="es-AR"/>
        </w:rPr>
        <w:t xml:space="preserve"> forzada</w:t>
      </w:r>
      <w:r w:rsidR="00D607C1" w:rsidRPr="0068737B">
        <w:rPr>
          <w:sz w:val="20"/>
          <w:szCs w:val="20"/>
          <w:lang w:val="es-AR"/>
        </w:rPr>
        <w:t xml:space="preserve"> como</w:t>
      </w:r>
      <w:r w:rsidR="00ED7E8C">
        <w:rPr>
          <w:sz w:val="20"/>
          <w:szCs w:val="20"/>
          <w:lang w:val="es-AR"/>
        </w:rPr>
        <w:t xml:space="preserve"> a</w:t>
      </w:r>
      <w:r w:rsidR="00D607C1" w:rsidRPr="0068737B">
        <w:rPr>
          <w:sz w:val="20"/>
          <w:szCs w:val="20"/>
          <w:lang w:val="es-AR"/>
        </w:rPr>
        <w:t xml:space="preserve"> la alegada denegación de justicia</w:t>
      </w:r>
      <w:r w:rsidR="000463F1" w:rsidRPr="0068737B">
        <w:rPr>
          <w:sz w:val="20"/>
          <w:szCs w:val="20"/>
          <w:lang w:val="es-AR"/>
        </w:rPr>
        <w:t>,</w:t>
      </w:r>
      <w:r w:rsidR="00D607C1" w:rsidRPr="0068737B">
        <w:rPr>
          <w:sz w:val="20"/>
          <w:szCs w:val="20"/>
          <w:lang w:val="es-AR"/>
        </w:rPr>
        <w:t xml:space="preserve"> como violaciones a derechos previstos en la Convención</w:t>
      </w:r>
      <w:r w:rsidR="000463F1" w:rsidRPr="0068737B">
        <w:rPr>
          <w:sz w:val="20"/>
          <w:szCs w:val="20"/>
          <w:lang w:val="es-AR"/>
        </w:rPr>
        <w:t xml:space="preserve"> Americana. En es</w:t>
      </w:r>
      <w:r w:rsidR="00D607C1" w:rsidRPr="0068737B">
        <w:rPr>
          <w:sz w:val="20"/>
          <w:szCs w:val="20"/>
          <w:lang w:val="es-AR"/>
        </w:rPr>
        <w:t xml:space="preserve">e sentido, se plantea no solamente la ineficacia del recurso de </w:t>
      </w:r>
      <w:r w:rsidR="00D607C1" w:rsidRPr="0068737B">
        <w:rPr>
          <w:i/>
          <w:sz w:val="20"/>
          <w:szCs w:val="20"/>
          <w:lang w:val="es-AR"/>
        </w:rPr>
        <w:t>habeas corpus</w:t>
      </w:r>
      <w:r w:rsidR="00D607C1" w:rsidRPr="0068737B">
        <w:rPr>
          <w:sz w:val="20"/>
          <w:szCs w:val="20"/>
          <w:lang w:val="es-AR"/>
        </w:rPr>
        <w:t>, sino del proceso penal actualmente en etapa de instrucción ante el Primer Juzgado Penal de Huancayo</w:t>
      </w:r>
      <w:r w:rsidR="004A6693">
        <w:rPr>
          <w:sz w:val="20"/>
          <w:szCs w:val="20"/>
          <w:lang w:val="es-AR"/>
        </w:rPr>
        <w:t>, y por ende corresponde analizar dicho recurso en la presente etapa de admisibilidad</w:t>
      </w:r>
      <w:r w:rsidR="00D607C1" w:rsidRPr="0068737B">
        <w:rPr>
          <w:sz w:val="20"/>
          <w:szCs w:val="20"/>
          <w:lang w:val="es-AR"/>
        </w:rPr>
        <w:t xml:space="preserve">. </w:t>
      </w:r>
      <w:r w:rsidR="004A6693">
        <w:rPr>
          <w:sz w:val="20"/>
          <w:szCs w:val="20"/>
          <w:lang w:val="es-AR"/>
        </w:rPr>
        <w:t>P</w:t>
      </w:r>
      <w:r w:rsidR="000463F1" w:rsidRPr="0068737B">
        <w:rPr>
          <w:sz w:val="20"/>
          <w:szCs w:val="20"/>
          <w:lang w:val="es-AR"/>
        </w:rPr>
        <w:t>asados más</w:t>
      </w:r>
      <w:r w:rsidR="000C4958" w:rsidRPr="0068737B">
        <w:rPr>
          <w:sz w:val="20"/>
          <w:szCs w:val="20"/>
          <w:lang w:val="es-AR"/>
        </w:rPr>
        <w:t xml:space="preserve"> de 8 años de la incorporación de la </w:t>
      </w:r>
      <w:r w:rsidR="004A6693">
        <w:rPr>
          <w:sz w:val="20"/>
          <w:szCs w:val="20"/>
          <w:lang w:val="es-AR"/>
        </w:rPr>
        <w:t>presunta víctima como agraviada en el mencionado proceso,</w:t>
      </w:r>
      <w:r w:rsidR="000463F1" w:rsidRPr="0068737B">
        <w:rPr>
          <w:sz w:val="20"/>
          <w:szCs w:val="20"/>
          <w:lang w:val="es-AR"/>
        </w:rPr>
        <w:t xml:space="preserve"> el mismo sigue en etapa de instrucción</w:t>
      </w:r>
      <w:r w:rsidR="004A6693">
        <w:rPr>
          <w:sz w:val="20"/>
          <w:szCs w:val="20"/>
          <w:lang w:val="es-AR"/>
        </w:rPr>
        <w:t xml:space="preserve"> penal, y aún cuando involucra una pluralidad de agraviados e imputados, la Comisión no cuenta con alegatos o información específica o concreta que justifique el retardo en la adopción de una decisión definitiva. </w:t>
      </w:r>
      <w:r w:rsidR="000C4958" w:rsidRPr="0068737B">
        <w:rPr>
          <w:sz w:val="20"/>
          <w:szCs w:val="20"/>
          <w:lang w:val="es-AR"/>
        </w:rPr>
        <w:t xml:space="preserve">  </w:t>
      </w:r>
    </w:p>
    <w:p w:rsidR="00200507" w:rsidRPr="0068737B" w:rsidRDefault="00200507" w:rsidP="00200507">
      <w:pPr>
        <w:rPr>
          <w:sz w:val="20"/>
          <w:szCs w:val="20"/>
          <w:lang w:val="es-AR"/>
        </w:rPr>
      </w:pPr>
    </w:p>
    <w:p w:rsidR="00200507" w:rsidRPr="0068737B" w:rsidRDefault="00200507" w:rsidP="00200507">
      <w:pPr>
        <w:numPr>
          <w:ilvl w:val="0"/>
          <w:numId w:val="1"/>
        </w:numPr>
        <w:rPr>
          <w:sz w:val="20"/>
          <w:szCs w:val="20"/>
          <w:lang w:val="es-AR"/>
        </w:rPr>
      </w:pPr>
      <w:r w:rsidRPr="0068737B">
        <w:rPr>
          <w:sz w:val="20"/>
          <w:szCs w:val="20"/>
          <w:lang w:val="es-AR"/>
        </w:rPr>
        <w:t xml:space="preserve">En la etapa de fondo la Comisión analizará si el Estado peruano proveyó un recurso con las debidas garantías a los familiares de la presunta víctima </w:t>
      </w:r>
      <w:r w:rsidRPr="0068737B">
        <w:rPr>
          <w:i/>
          <w:sz w:val="20"/>
          <w:szCs w:val="20"/>
          <w:lang w:val="es-AR"/>
        </w:rPr>
        <w:t>vis-à-vis</w:t>
      </w:r>
      <w:r w:rsidRPr="0068737B">
        <w:rPr>
          <w:sz w:val="20"/>
          <w:szCs w:val="20"/>
          <w:lang w:val="es-AR"/>
        </w:rPr>
        <w:t xml:space="preserve"> las obligaciones emanadas</w:t>
      </w:r>
      <w:r w:rsidR="00E60755" w:rsidRPr="0068737B">
        <w:rPr>
          <w:sz w:val="20"/>
          <w:szCs w:val="20"/>
          <w:lang w:val="es-AR"/>
        </w:rPr>
        <w:t xml:space="preserve"> de los artículos 8 y 25 de la C</w:t>
      </w:r>
      <w:r w:rsidRPr="0068737B">
        <w:rPr>
          <w:sz w:val="20"/>
          <w:szCs w:val="20"/>
          <w:lang w:val="es-AR"/>
        </w:rPr>
        <w:t>onvención Americana. Sin embargo, en la presente etapa del procedimiento, y sin prejuzgar sobre el fondo del asunto, la CIDH considera que</w:t>
      </w:r>
      <w:r w:rsidR="004F3BB0" w:rsidRPr="0068737B">
        <w:rPr>
          <w:sz w:val="20"/>
          <w:szCs w:val="20"/>
          <w:lang w:val="es-AR"/>
        </w:rPr>
        <w:t xml:space="preserve"> los elementos presentados en la petición, tomando en cuenta</w:t>
      </w:r>
      <w:r w:rsidRPr="0068737B">
        <w:rPr>
          <w:sz w:val="20"/>
          <w:szCs w:val="20"/>
          <w:lang w:val="es-AR"/>
        </w:rPr>
        <w:t xml:space="preserve"> el transcurso de más de </w:t>
      </w:r>
      <w:r w:rsidR="00993E31" w:rsidRPr="0068737B">
        <w:rPr>
          <w:sz w:val="20"/>
          <w:szCs w:val="20"/>
          <w:lang w:val="es-AR"/>
        </w:rPr>
        <w:t>18</w:t>
      </w:r>
      <w:r w:rsidRPr="0068737B">
        <w:rPr>
          <w:sz w:val="20"/>
          <w:szCs w:val="20"/>
          <w:lang w:val="es-AR"/>
        </w:rPr>
        <w:t xml:space="preserve"> años de la presunta desaparición forzada de </w:t>
      </w:r>
      <w:r w:rsidR="00CA73BC" w:rsidRPr="0068737B">
        <w:rPr>
          <w:sz w:val="20"/>
          <w:szCs w:val="20"/>
          <w:lang w:val="es-AR"/>
        </w:rPr>
        <w:t>Cory Clodolia Tenicela Tello</w:t>
      </w:r>
      <w:r w:rsidRPr="0068737B">
        <w:rPr>
          <w:sz w:val="20"/>
          <w:szCs w:val="20"/>
          <w:lang w:val="es-AR"/>
        </w:rPr>
        <w:t xml:space="preserve"> sin que se haya determinado su paradero y sin que exista una decisión definitiva estableciendo lo sucedido y sancionando a los responsables</w:t>
      </w:r>
      <w:r w:rsidR="004F3BB0" w:rsidRPr="0068737B">
        <w:rPr>
          <w:sz w:val="20"/>
          <w:szCs w:val="20"/>
          <w:lang w:val="es-AR"/>
        </w:rPr>
        <w:t>,</w:t>
      </w:r>
      <w:r w:rsidRPr="0068737B">
        <w:rPr>
          <w:sz w:val="20"/>
          <w:szCs w:val="20"/>
          <w:lang w:val="es-AR"/>
        </w:rPr>
        <w:t xml:space="preserve"> </w:t>
      </w:r>
      <w:r w:rsidR="004F3BB0" w:rsidRPr="0068737B">
        <w:rPr>
          <w:sz w:val="20"/>
          <w:szCs w:val="20"/>
          <w:lang w:val="es-AR"/>
        </w:rPr>
        <w:t>son</w:t>
      </w:r>
      <w:r w:rsidRPr="0068737B">
        <w:rPr>
          <w:sz w:val="20"/>
          <w:szCs w:val="20"/>
          <w:lang w:val="es-AR"/>
        </w:rPr>
        <w:t xml:space="preserve"> suficiente</w:t>
      </w:r>
      <w:r w:rsidR="004F3BB0" w:rsidRPr="0068737B">
        <w:rPr>
          <w:sz w:val="20"/>
          <w:szCs w:val="20"/>
          <w:lang w:val="es-AR"/>
        </w:rPr>
        <w:t>s</w:t>
      </w:r>
      <w:r w:rsidRPr="0068737B">
        <w:rPr>
          <w:sz w:val="20"/>
          <w:szCs w:val="20"/>
          <w:lang w:val="es-AR"/>
        </w:rPr>
        <w:t xml:space="preserve"> para concluir que ha habido un retardo injustificado en los términos</w:t>
      </w:r>
      <w:r w:rsidR="00AD0F83" w:rsidRPr="0068737B">
        <w:rPr>
          <w:sz w:val="20"/>
          <w:szCs w:val="20"/>
          <w:lang w:val="es-AR"/>
        </w:rPr>
        <w:t xml:space="preserve"> del artículo</w:t>
      </w:r>
      <w:r w:rsidRPr="0068737B">
        <w:rPr>
          <w:sz w:val="20"/>
          <w:szCs w:val="20"/>
          <w:lang w:val="es-AR"/>
        </w:rPr>
        <w:t xml:space="preserve"> 46.2.c) de la Convención Americana.</w:t>
      </w:r>
    </w:p>
    <w:p w:rsidR="00200507" w:rsidRPr="0068737B" w:rsidRDefault="00200507" w:rsidP="00200507">
      <w:pPr>
        <w:pStyle w:val="Ttulo1"/>
        <w:rPr>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t>C.</w:t>
      </w:r>
      <w:r w:rsidRPr="0068737B">
        <w:rPr>
          <w:sz w:val="20"/>
          <w:szCs w:val="20"/>
          <w:lang w:val="es-AR"/>
        </w:rPr>
        <w:tab/>
        <w:t>Plazo de presentación de la petición</w:t>
      </w:r>
    </w:p>
    <w:p w:rsidR="00200507" w:rsidRPr="0068737B" w:rsidRDefault="00200507" w:rsidP="00200507">
      <w:pPr>
        <w:rPr>
          <w:sz w:val="20"/>
          <w:szCs w:val="20"/>
          <w:lang w:val="es-AR"/>
        </w:rPr>
      </w:pPr>
    </w:p>
    <w:p w:rsidR="00200507" w:rsidRPr="0068737B" w:rsidRDefault="00200507" w:rsidP="00200507">
      <w:pPr>
        <w:numPr>
          <w:ilvl w:val="0"/>
          <w:numId w:val="1"/>
        </w:numPr>
        <w:rPr>
          <w:b/>
          <w:i/>
          <w:sz w:val="20"/>
          <w:szCs w:val="20"/>
          <w:lang w:val="es-AR"/>
        </w:rPr>
      </w:pPr>
      <w:r w:rsidRPr="0068737B">
        <w:rPr>
          <w:sz w:val="20"/>
          <w:szCs w:val="20"/>
          <w:lang w:val="es-AR"/>
        </w:rPr>
        <w:t>El artículo 46.1.b) d</w:t>
      </w:r>
      <w:r w:rsidRPr="0068737B">
        <w:rPr>
          <w:bCs/>
          <w:iCs/>
          <w:sz w:val="20"/>
          <w:szCs w:val="20"/>
          <w:lang w:val="es-AR"/>
        </w:rPr>
        <w:t>e la Convención establece que para que la petición pueda ser declarada admisible, es necesario</w:t>
      </w:r>
      <w:r w:rsidRPr="0068737B">
        <w:rPr>
          <w:sz w:val="20"/>
          <w:szCs w:val="20"/>
          <w:lang w:val="es-AR"/>
        </w:rPr>
        <w:t xml:space="preserve"> que se haya presentado dentro del plazo de seis meses contados a partir de la fecha en que el interesado fue notificado de la decisión final que agotó la jurisdicción interna. Esta regla no tiene aplicación cuando la Comisión encuentra que se ha configurado alguna de las excepciones al agotamiento de los recursos internos consagradas en el artículo 46.2 de la Convención. En tales casos, la Comisión debe determinar si la petición fue presentada en un tiempo razonable de conformidad con el artículo 32 de su Reglamento.</w:t>
      </w:r>
    </w:p>
    <w:p w:rsidR="00200507" w:rsidRPr="0068737B" w:rsidRDefault="00200507" w:rsidP="00200507">
      <w:pPr>
        <w:rPr>
          <w:b/>
          <w:i/>
          <w:sz w:val="20"/>
          <w:szCs w:val="20"/>
          <w:lang w:val="es-AR"/>
        </w:rPr>
      </w:pPr>
    </w:p>
    <w:p w:rsidR="00200507" w:rsidRPr="0068737B" w:rsidRDefault="00200507" w:rsidP="00200507">
      <w:pPr>
        <w:numPr>
          <w:ilvl w:val="0"/>
          <w:numId w:val="1"/>
        </w:numPr>
        <w:rPr>
          <w:sz w:val="20"/>
          <w:szCs w:val="20"/>
          <w:lang w:val="es-AR"/>
        </w:rPr>
      </w:pPr>
      <w:r w:rsidRPr="0068737B">
        <w:rPr>
          <w:sz w:val="20"/>
          <w:szCs w:val="20"/>
          <w:lang w:val="es-AR"/>
        </w:rPr>
        <w:t>Tal como se indicó</w:t>
      </w:r>
      <w:r w:rsidR="007F239E" w:rsidRPr="0068737B">
        <w:rPr>
          <w:sz w:val="20"/>
          <w:szCs w:val="20"/>
          <w:lang w:val="es-AR"/>
        </w:rPr>
        <w:t xml:space="preserve"> en el párrafo </w:t>
      </w:r>
      <w:r w:rsidR="00E7070C" w:rsidRPr="0068737B">
        <w:rPr>
          <w:sz w:val="20"/>
          <w:szCs w:val="20"/>
          <w:lang w:val="es-AR"/>
        </w:rPr>
        <w:t>24</w:t>
      </w:r>
      <w:r w:rsidRPr="0068737B">
        <w:rPr>
          <w:sz w:val="20"/>
          <w:szCs w:val="20"/>
          <w:lang w:val="es-AR"/>
        </w:rPr>
        <w:t xml:space="preserve"> </w:t>
      </w:r>
      <w:r w:rsidRPr="0068737B">
        <w:rPr>
          <w:i/>
          <w:sz w:val="20"/>
          <w:szCs w:val="20"/>
          <w:lang w:val="es-AR"/>
        </w:rPr>
        <w:t>supra</w:t>
      </w:r>
      <w:r w:rsidRPr="0068737B">
        <w:rPr>
          <w:sz w:val="20"/>
          <w:szCs w:val="20"/>
          <w:lang w:val="es-AR"/>
        </w:rPr>
        <w:t>, la Comisión concluyó que en el presente caso se ha configurado un retardo injustificado en la decisión, de conformidad con el artículo 46.2.c) de la Convención Americana. Tomando en consideración el carácter continuado de la supuesta desaparición forzada</w:t>
      </w:r>
      <w:r w:rsidR="00A73F59" w:rsidRPr="0068737B">
        <w:rPr>
          <w:sz w:val="20"/>
          <w:szCs w:val="20"/>
          <w:lang w:val="es-AR"/>
        </w:rPr>
        <w:t xml:space="preserve"> </w:t>
      </w:r>
      <w:r w:rsidR="00CA73BC" w:rsidRPr="0068737B">
        <w:rPr>
          <w:sz w:val="20"/>
          <w:szCs w:val="20"/>
          <w:lang w:val="es-AR"/>
        </w:rPr>
        <w:t>de la señora Tenicela Tello</w:t>
      </w:r>
      <w:r w:rsidRPr="0068737B">
        <w:rPr>
          <w:sz w:val="20"/>
          <w:szCs w:val="20"/>
          <w:lang w:val="es-AR"/>
        </w:rPr>
        <w:t xml:space="preserve">, la falta de esclarecimiento </w:t>
      </w:r>
      <w:r w:rsidR="00A73F59" w:rsidRPr="0068737B">
        <w:rPr>
          <w:sz w:val="20"/>
          <w:szCs w:val="20"/>
          <w:lang w:val="es-AR"/>
        </w:rPr>
        <w:t>sobre</w:t>
      </w:r>
      <w:r w:rsidRPr="0068737B">
        <w:rPr>
          <w:sz w:val="20"/>
          <w:szCs w:val="20"/>
          <w:lang w:val="es-AR"/>
        </w:rPr>
        <w:t xml:space="preserve"> su paradero,</w:t>
      </w:r>
      <w:r w:rsidR="00045642" w:rsidRPr="0068737B">
        <w:rPr>
          <w:sz w:val="20"/>
          <w:szCs w:val="20"/>
          <w:lang w:val="es-AR"/>
        </w:rPr>
        <w:t xml:space="preserve"> la </w:t>
      </w:r>
      <w:r w:rsidR="00E9586D" w:rsidRPr="0068737B">
        <w:rPr>
          <w:sz w:val="20"/>
          <w:szCs w:val="20"/>
          <w:lang w:val="es-AR"/>
        </w:rPr>
        <w:t>continuidad</w:t>
      </w:r>
      <w:r w:rsidR="00045642" w:rsidRPr="0068737B">
        <w:rPr>
          <w:sz w:val="20"/>
          <w:szCs w:val="20"/>
          <w:lang w:val="es-AR"/>
        </w:rPr>
        <w:t xml:space="preserve"> del proceso penal en etapa de instrucción,</w:t>
      </w:r>
      <w:r w:rsidRPr="0068737B">
        <w:rPr>
          <w:sz w:val="20"/>
          <w:szCs w:val="20"/>
          <w:lang w:val="es-AR"/>
        </w:rPr>
        <w:t xml:space="preserve"> la ausencia de determinación de </w:t>
      </w:r>
      <w:r w:rsidRPr="0068737B">
        <w:rPr>
          <w:sz w:val="20"/>
          <w:szCs w:val="20"/>
          <w:lang w:val="es-AR"/>
        </w:rPr>
        <w:lastRenderedPageBreak/>
        <w:t xml:space="preserve">responsabilidades y la alegada denegación de justicia, la Comisión considera que la petición fue presentada en un plazo razonable. </w:t>
      </w:r>
    </w:p>
    <w:p w:rsidR="00200507" w:rsidRPr="0068737B" w:rsidRDefault="00200507" w:rsidP="00200507">
      <w:pPr>
        <w:pStyle w:val="Ttulo1"/>
        <w:ind w:firstLine="720"/>
        <w:rPr>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t>D.</w:t>
      </w:r>
      <w:r w:rsidRPr="0068737B">
        <w:rPr>
          <w:sz w:val="20"/>
          <w:szCs w:val="20"/>
          <w:lang w:val="es-AR"/>
        </w:rPr>
        <w:tab/>
        <w:t>Duplicación de procedimientos y cosa juzgada internacional</w:t>
      </w:r>
    </w:p>
    <w:p w:rsidR="00200507" w:rsidRPr="0068737B" w:rsidRDefault="00200507" w:rsidP="00200507">
      <w:pPr>
        <w:rPr>
          <w:sz w:val="20"/>
          <w:szCs w:val="20"/>
          <w:lang w:val="es-AR"/>
        </w:rPr>
      </w:pPr>
    </w:p>
    <w:p w:rsidR="00200507" w:rsidRPr="0068737B" w:rsidRDefault="00200507" w:rsidP="00200507">
      <w:pPr>
        <w:numPr>
          <w:ilvl w:val="0"/>
          <w:numId w:val="1"/>
        </w:numPr>
        <w:rPr>
          <w:rFonts w:cs="Arial"/>
          <w:iCs/>
          <w:sz w:val="20"/>
          <w:szCs w:val="20"/>
          <w:lang w:val="es-AR"/>
        </w:rPr>
      </w:pPr>
      <w:r w:rsidRPr="0068737B">
        <w:rPr>
          <w:bCs/>
          <w:sz w:val="20"/>
          <w:szCs w:val="20"/>
          <w:lang w:val="es-AR"/>
        </w:rPr>
        <w:t xml:space="preserve">El artículo 46.1.c) de la Convención dispone que la admisión de las peticiones está sujeta al requisito respecto a que la materia </w:t>
      </w:r>
      <w:r w:rsidR="00B16C51">
        <w:rPr>
          <w:rFonts w:cs="Arial"/>
          <w:sz w:val="20"/>
          <w:szCs w:val="20"/>
          <w:lang w:val="es-AR"/>
        </w:rPr>
        <w:t>“</w:t>
      </w:r>
      <w:r w:rsidRPr="0068737B">
        <w:rPr>
          <w:bCs/>
          <w:sz w:val="20"/>
          <w:szCs w:val="20"/>
          <w:lang w:val="es-AR"/>
        </w:rPr>
        <w:t>no esté pendiente de otro procedimiento de arreglo internacional</w:t>
      </w:r>
      <w:r w:rsidR="00B16C51">
        <w:rPr>
          <w:rFonts w:cs="Arial"/>
          <w:sz w:val="20"/>
          <w:szCs w:val="20"/>
          <w:lang w:val="es-AR"/>
        </w:rPr>
        <w:t>”</w:t>
      </w:r>
      <w:r w:rsidRPr="0068737B">
        <w:rPr>
          <w:bCs/>
          <w:sz w:val="20"/>
          <w:szCs w:val="20"/>
          <w:lang w:val="es-AR"/>
        </w:rPr>
        <w:t xml:space="preserve"> y en el artículo 47.d) de la Convención se estipula que la Comisión no admitirá la petición que sea sustancialmente la reproducción de petición o comunicación anterior ya examinada por la Comisión o por otro organismo internacional. En el presente caso, las partes no han esgrimido la existencia de ninguna de esas dos circunstancias, ni ellas se deducen del expediente.</w:t>
      </w:r>
    </w:p>
    <w:p w:rsidR="00200507" w:rsidRPr="0068737B" w:rsidRDefault="00200507" w:rsidP="00200507">
      <w:pPr>
        <w:rPr>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t>E.</w:t>
      </w:r>
      <w:r w:rsidRPr="0068737B">
        <w:rPr>
          <w:sz w:val="20"/>
          <w:szCs w:val="20"/>
          <w:lang w:val="es-AR"/>
        </w:rPr>
        <w:tab/>
        <w:t>Caracterización de los hechos alegados</w:t>
      </w:r>
    </w:p>
    <w:p w:rsidR="00200507" w:rsidRPr="0068737B" w:rsidRDefault="00200507" w:rsidP="00200507">
      <w:pPr>
        <w:rPr>
          <w:sz w:val="20"/>
          <w:szCs w:val="20"/>
          <w:lang w:val="es-AR"/>
        </w:rPr>
      </w:pPr>
    </w:p>
    <w:p w:rsidR="00200507" w:rsidRPr="0068737B" w:rsidRDefault="00200507" w:rsidP="00200507">
      <w:pPr>
        <w:numPr>
          <w:ilvl w:val="0"/>
          <w:numId w:val="1"/>
        </w:numPr>
        <w:rPr>
          <w:rFonts w:cs="Arial"/>
          <w:iCs/>
          <w:sz w:val="20"/>
          <w:szCs w:val="20"/>
          <w:lang w:val="es-AR"/>
        </w:rPr>
      </w:pPr>
      <w:r w:rsidRPr="0068737B">
        <w:rPr>
          <w:sz w:val="20"/>
          <w:szCs w:val="20"/>
          <w:lang w:val="es-AR"/>
        </w:rPr>
        <w:t xml:space="preserve">A los fines de admisibilidad, la Comisión debe decidir si en la petición se exponen hechos que podrían caracterizar una violación, como estipula el artículo 47.b) de la Convención Americana, si la petición es </w:t>
      </w:r>
      <w:r w:rsidR="00B16C51">
        <w:rPr>
          <w:rFonts w:cs="Arial"/>
          <w:sz w:val="20"/>
          <w:szCs w:val="20"/>
          <w:lang w:val="es-AR"/>
        </w:rPr>
        <w:t>“</w:t>
      </w:r>
      <w:r w:rsidRPr="0068737B">
        <w:rPr>
          <w:sz w:val="20"/>
          <w:szCs w:val="20"/>
          <w:lang w:val="es-AR"/>
        </w:rPr>
        <w:t>manifiestamente infundada</w:t>
      </w:r>
      <w:r w:rsidR="00B16C51">
        <w:rPr>
          <w:rFonts w:cs="Arial"/>
          <w:sz w:val="20"/>
          <w:szCs w:val="20"/>
          <w:lang w:val="es-AR"/>
        </w:rPr>
        <w:t>”</w:t>
      </w:r>
      <w:r w:rsidRPr="0068737B">
        <w:rPr>
          <w:sz w:val="20"/>
          <w:szCs w:val="20"/>
          <w:lang w:val="es-AR"/>
        </w:rPr>
        <w:t xml:space="preserve"> o si es </w:t>
      </w:r>
      <w:r w:rsidR="00B16C51">
        <w:rPr>
          <w:rFonts w:cs="Arial"/>
          <w:sz w:val="20"/>
          <w:szCs w:val="20"/>
          <w:lang w:val="es-AR"/>
        </w:rPr>
        <w:t>“</w:t>
      </w:r>
      <w:r w:rsidRPr="0068737B">
        <w:rPr>
          <w:sz w:val="20"/>
          <w:szCs w:val="20"/>
          <w:lang w:val="es-AR"/>
        </w:rPr>
        <w:t>evidente su total improcedencia</w:t>
      </w:r>
      <w:r w:rsidR="00B16C51">
        <w:rPr>
          <w:rFonts w:cs="Arial"/>
          <w:sz w:val="20"/>
          <w:szCs w:val="20"/>
          <w:lang w:val="es-AR"/>
        </w:rPr>
        <w:t>”</w:t>
      </w:r>
      <w:r w:rsidRPr="0068737B">
        <w:rPr>
          <w:sz w:val="20"/>
          <w:szCs w:val="20"/>
          <w:lang w:val="es-AR"/>
        </w:rPr>
        <w:t xml:space="preserve">, según el inciso (c) del mismo artículo. El estándar de apreciación de estos extremos es diferente del requerido para decidir sobre los méritos de una denuncia. La Comisión debe realizar una evaluación </w:t>
      </w:r>
      <w:r w:rsidRPr="0068737B">
        <w:rPr>
          <w:i/>
          <w:sz w:val="20"/>
          <w:szCs w:val="20"/>
          <w:lang w:val="es-AR"/>
        </w:rPr>
        <w:t>prima facie</w:t>
      </w:r>
      <w:r w:rsidRPr="0068737B">
        <w:rPr>
          <w:sz w:val="20"/>
          <w:szCs w:val="20"/>
          <w:lang w:val="es-AR"/>
        </w:rPr>
        <w:t xml:space="preserv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rsidR="00200507" w:rsidRPr="0068737B" w:rsidRDefault="00993E31" w:rsidP="00200507">
      <w:pPr>
        <w:rPr>
          <w:rFonts w:cs="Arial"/>
          <w:iCs/>
          <w:sz w:val="20"/>
          <w:szCs w:val="20"/>
          <w:lang w:val="es-AR"/>
        </w:rPr>
      </w:pPr>
      <w:r w:rsidRPr="0068737B">
        <w:rPr>
          <w:rFonts w:cs="Arial"/>
          <w:iCs/>
          <w:sz w:val="20"/>
          <w:szCs w:val="20"/>
          <w:lang w:val="es-AR"/>
        </w:rPr>
        <w:t xml:space="preserve"> </w:t>
      </w:r>
    </w:p>
    <w:p w:rsidR="00200507" w:rsidRPr="0068737B" w:rsidRDefault="00200507" w:rsidP="00200507">
      <w:pPr>
        <w:numPr>
          <w:ilvl w:val="0"/>
          <w:numId w:val="1"/>
        </w:numPr>
        <w:rPr>
          <w:rFonts w:cs="Arial"/>
          <w:iCs/>
          <w:sz w:val="20"/>
          <w:szCs w:val="20"/>
          <w:lang w:val="es-AR"/>
        </w:rPr>
      </w:pPr>
      <w:r w:rsidRPr="0068737B">
        <w:rPr>
          <w:iCs/>
          <w:sz w:val="20"/>
          <w:szCs w:val="20"/>
          <w:lang w:val="es-AR"/>
        </w:rPr>
        <w:t xml:space="preserve">La Comisión considera que </w:t>
      </w:r>
      <w:r w:rsidR="00CA73BC" w:rsidRPr="0068737B">
        <w:rPr>
          <w:iCs/>
          <w:sz w:val="20"/>
          <w:szCs w:val="20"/>
          <w:lang w:val="es-AR"/>
        </w:rPr>
        <w:t xml:space="preserve">la </w:t>
      </w:r>
      <w:r w:rsidRPr="0068737B">
        <w:rPr>
          <w:iCs/>
          <w:sz w:val="20"/>
          <w:szCs w:val="20"/>
          <w:lang w:val="es-AR"/>
        </w:rPr>
        <w:t>alegada desaparición forzada</w:t>
      </w:r>
      <w:r w:rsidR="00CA73BC" w:rsidRPr="0068737B">
        <w:rPr>
          <w:iCs/>
          <w:sz w:val="20"/>
          <w:szCs w:val="20"/>
          <w:lang w:val="es-AR"/>
        </w:rPr>
        <w:t xml:space="preserve"> de la señora Tenicela Tello</w:t>
      </w:r>
      <w:r w:rsidRPr="0068737B">
        <w:rPr>
          <w:iCs/>
          <w:sz w:val="20"/>
          <w:szCs w:val="20"/>
          <w:lang w:val="es-AR"/>
        </w:rPr>
        <w:t xml:space="preserve"> y la situación de impunidad en la que se encontrarían los hechos podrían caracterizar violaciones de los derechos consagrados en los artículos 3, 4, 5, 7, 8 y 25 de la Convención Americana, en relación con las obligaciones establecidas en el artículo 1.1 de dicho instrumento y</w:t>
      </w:r>
      <w:r w:rsidR="00993E31" w:rsidRPr="0068737B">
        <w:rPr>
          <w:iCs/>
          <w:sz w:val="20"/>
          <w:szCs w:val="20"/>
          <w:lang w:val="es-AR"/>
        </w:rPr>
        <w:t xml:space="preserve"> del derecho </w:t>
      </w:r>
      <w:r w:rsidR="007C7C09" w:rsidRPr="0068737B">
        <w:rPr>
          <w:iCs/>
          <w:sz w:val="20"/>
          <w:szCs w:val="20"/>
          <w:lang w:val="es-AR"/>
        </w:rPr>
        <w:t>previsto</w:t>
      </w:r>
      <w:r w:rsidRPr="0068737B">
        <w:rPr>
          <w:iCs/>
          <w:sz w:val="20"/>
          <w:szCs w:val="20"/>
          <w:lang w:val="es-AR"/>
        </w:rPr>
        <w:t xml:space="preserve"> en el artículo I de la </w:t>
      </w:r>
      <w:r w:rsidR="00993E31" w:rsidRPr="0068737B">
        <w:rPr>
          <w:sz w:val="20"/>
          <w:szCs w:val="20"/>
          <w:lang w:val="es-AR"/>
        </w:rPr>
        <w:t>CIDFP</w:t>
      </w:r>
      <w:r w:rsidRPr="0068737B">
        <w:rPr>
          <w:sz w:val="20"/>
          <w:szCs w:val="20"/>
          <w:lang w:val="es-AR"/>
        </w:rPr>
        <w:t>;</w:t>
      </w:r>
      <w:r w:rsidRPr="0068737B">
        <w:rPr>
          <w:iCs/>
          <w:sz w:val="20"/>
          <w:szCs w:val="20"/>
          <w:lang w:val="es-AR"/>
        </w:rPr>
        <w:t xml:space="preserve"> todo ello en perjuicio de </w:t>
      </w:r>
      <w:r w:rsidR="00EA3692" w:rsidRPr="0068737B">
        <w:rPr>
          <w:iCs/>
          <w:sz w:val="20"/>
          <w:szCs w:val="20"/>
          <w:lang w:val="es-AR"/>
        </w:rPr>
        <w:t>Cory Clodolia Tenicela Tello</w:t>
      </w:r>
      <w:r w:rsidRPr="0068737B">
        <w:rPr>
          <w:iCs/>
          <w:sz w:val="20"/>
          <w:szCs w:val="20"/>
          <w:lang w:val="es-AR"/>
        </w:rPr>
        <w:t xml:space="preserve">. Asimismo, la Comisión considera que estos hechos podrían caracterizar la violación de los derechos consagrados en los artículos 5, 8 y 25 de la Convención Americana en relación con las obligaciones establecidas en el artículo 1.1 de dicho instrumento en perjuicio de </w:t>
      </w:r>
      <w:r w:rsidR="00EA3692" w:rsidRPr="0068737B">
        <w:rPr>
          <w:iCs/>
          <w:sz w:val="20"/>
          <w:szCs w:val="20"/>
          <w:lang w:val="es-AR"/>
        </w:rPr>
        <w:t>sus</w:t>
      </w:r>
      <w:r w:rsidRPr="0068737B">
        <w:rPr>
          <w:iCs/>
          <w:sz w:val="20"/>
          <w:szCs w:val="20"/>
          <w:lang w:val="es-AR"/>
        </w:rPr>
        <w:t xml:space="preserve"> familiares.</w:t>
      </w:r>
    </w:p>
    <w:p w:rsidR="00200507" w:rsidRPr="0068737B" w:rsidRDefault="00200507" w:rsidP="00200507">
      <w:pPr>
        <w:rPr>
          <w:iCs/>
          <w:sz w:val="20"/>
          <w:szCs w:val="20"/>
          <w:lang w:val="es-AR"/>
        </w:rPr>
      </w:pPr>
    </w:p>
    <w:p w:rsidR="00200507" w:rsidRPr="0068737B" w:rsidRDefault="00EA3692" w:rsidP="00200507">
      <w:pPr>
        <w:numPr>
          <w:ilvl w:val="0"/>
          <w:numId w:val="1"/>
        </w:numPr>
        <w:rPr>
          <w:rFonts w:cs="Arial"/>
          <w:iCs/>
          <w:sz w:val="20"/>
          <w:szCs w:val="20"/>
          <w:lang w:val="es-AR"/>
        </w:rPr>
      </w:pPr>
      <w:r w:rsidRPr="0068737B">
        <w:rPr>
          <w:iCs/>
          <w:sz w:val="20"/>
          <w:szCs w:val="20"/>
          <w:lang w:val="es-AR"/>
        </w:rPr>
        <w:t>E</w:t>
      </w:r>
      <w:r w:rsidR="00200507" w:rsidRPr="0068737B">
        <w:rPr>
          <w:iCs/>
          <w:sz w:val="20"/>
          <w:szCs w:val="20"/>
          <w:lang w:val="es-AR"/>
        </w:rPr>
        <w:t>n la etapa de fondo la Comisión analizará si el tratamiento de</w:t>
      </w:r>
      <w:r w:rsidR="00335C64" w:rsidRPr="0068737B">
        <w:rPr>
          <w:iCs/>
          <w:sz w:val="20"/>
          <w:szCs w:val="20"/>
          <w:lang w:val="es-AR"/>
        </w:rPr>
        <w:t>l delito de</w:t>
      </w:r>
      <w:r w:rsidR="00200507" w:rsidRPr="0068737B">
        <w:rPr>
          <w:iCs/>
          <w:sz w:val="20"/>
          <w:szCs w:val="20"/>
          <w:lang w:val="es-AR"/>
        </w:rPr>
        <w:t xml:space="preserve"> desaparición forzada en </w:t>
      </w:r>
      <w:r w:rsidR="00335C64" w:rsidRPr="0068737B">
        <w:rPr>
          <w:iCs/>
          <w:sz w:val="20"/>
          <w:szCs w:val="20"/>
          <w:lang w:val="es-AR"/>
        </w:rPr>
        <w:t>el ordenamiento peruano</w:t>
      </w:r>
      <w:r w:rsidR="00200507" w:rsidRPr="0068737B">
        <w:rPr>
          <w:iCs/>
          <w:sz w:val="20"/>
          <w:szCs w:val="20"/>
          <w:lang w:val="es-AR"/>
        </w:rPr>
        <w:t xml:space="preserve"> </w:t>
      </w:r>
      <w:r w:rsidR="00335C64" w:rsidRPr="0068737B">
        <w:rPr>
          <w:iCs/>
          <w:sz w:val="20"/>
          <w:szCs w:val="20"/>
          <w:lang w:val="es-AR"/>
        </w:rPr>
        <w:t>constituye</w:t>
      </w:r>
      <w:r w:rsidR="00200507" w:rsidRPr="0068737B">
        <w:rPr>
          <w:iCs/>
          <w:sz w:val="20"/>
          <w:szCs w:val="20"/>
          <w:lang w:val="es-AR"/>
        </w:rPr>
        <w:t xml:space="preserve"> un incumplimiento de </w:t>
      </w:r>
      <w:r w:rsidR="00200507" w:rsidRPr="0068737B">
        <w:rPr>
          <w:rFonts w:cs="Verdana"/>
          <w:sz w:val="20"/>
          <w:szCs w:val="20"/>
          <w:lang w:val="es-AR" w:bidi="en-US"/>
        </w:rPr>
        <w:t>la obligación de adoptar disposiciones de derecho interno contenida en los artículos 2 de la Convención Americana</w:t>
      </w:r>
      <w:r w:rsidR="00200507" w:rsidRPr="0068737B">
        <w:rPr>
          <w:sz w:val="20"/>
          <w:szCs w:val="20"/>
          <w:lang w:val="es-AR"/>
        </w:rPr>
        <w:t xml:space="preserve"> y III </w:t>
      </w:r>
      <w:r w:rsidR="00200507" w:rsidRPr="0068737B">
        <w:rPr>
          <w:rFonts w:cs="Verdana"/>
          <w:sz w:val="20"/>
          <w:szCs w:val="20"/>
          <w:lang w:val="es-AR" w:bidi="en-US"/>
        </w:rPr>
        <w:t>de la CIDFP.</w:t>
      </w:r>
    </w:p>
    <w:p w:rsidR="009D29CD" w:rsidRPr="0068737B" w:rsidRDefault="009D29CD" w:rsidP="009D29CD">
      <w:pPr>
        <w:rPr>
          <w:rFonts w:cs="Arial"/>
          <w:iCs/>
          <w:sz w:val="20"/>
          <w:szCs w:val="20"/>
          <w:lang w:val="es-AR"/>
        </w:rPr>
      </w:pPr>
    </w:p>
    <w:p w:rsidR="009D29CD" w:rsidRPr="0068737B" w:rsidRDefault="009D29CD" w:rsidP="00200507">
      <w:pPr>
        <w:numPr>
          <w:ilvl w:val="0"/>
          <w:numId w:val="1"/>
        </w:numPr>
        <w:rPr>
          <w:rFonts w:cs="Arial"/>
          <w:iCs/>
          <w:sz w:val="20"/>
          <w:szCs w:val="20"/>
          <w:lang w:val="es-AR"/>
        </w:rPr>
      </w:pPr>
      <w:r w:rsidRPr="0068737B">
        <w:rPr>
          <w:rFonts w:cs="Verdana"/>
          <w:sz w:val="20"/>
          <w:szCs w:val="20"/>
          <w:lang w:val="es-AR" w:bidi="en-US"/>
        </w:rPr>
        <w:t xml:space="preserve">La CIDH aclara que las peticionarias no han alegado la presunta violación de los derechos consagrados en los artículos 3 </w:t>
      </w:r>
      <w:r w:rsidR="007C7C09" w:rsidRPr="0068737B">
        <w:rPr>
          <w:rFonts w:cs="Verdana"/>
          <w:sz w:val="20"/>
          <w:szCs w:val="20"/>
          <w:lang w:val="es-AR" w:bidi="en-US"/>
        </w:rPr>
        <w:t>y 25 de la Convención Americana,</w:t>
      </w:r>
      <w:r w:rsidRPr="0068737B">
        <w:rPr>
          <w:rFonts w:cs="Verdana"/>
          <w:sz w:val="20"/>
          <w:szCs w:val="20"/>
          <w:lang w:val="es-AR" w:bidi="en-US"/>
        </w:rPr>
        <w:t xml:space="preserve"> I y III de la CIDFP. En ese sentido, tales disposiciones fueron incorporados en el presente informe </w:t>
      </w:r>
      <w:r w:rsidR="007C7C09" w:rsidRPr="0068737B">
        <w:rPr>
          <w:rFonts w:cs="Verdana"/>
          <w:sz w:val="20"/>
          <w:szCs w:val="20"/>
          <w:lang w:val="es-AR" w:bidi="en-US"/>
        </w:rPr>
        <w:t>a la luz</w:t>
      </w:r>
      <w:r w:rsidRPr="0068737B">
        <w:rPr>
          <w:rFonts w:cs="Verdana"/>
          <w:sz w:val="20"/>
          <w:szCs w:val="20"/>
          <w:lang w:val="es-AR" w:bidi="en-US"/>
        </w:rPr>
        <w:t xml:space="preserve"> </w:t>
      </w:r>
      <w:r w:rsidR="007C7C09" w:rsidRPr="0068737B">
        <w:rPr>
          <w:rFonts w:cs="Verdana"/>
          <w:sz w:val="20"/>
          <w:szCs w:val="20"/>
          <w:lang w:val="es-AR" w:bidi="en-US"/>
        </w:rPr>
        <w:t>d</w:t>
      </w:r>
      <w:r w:rsidRPr="0068737B">
        <w:rPr>
          <w:rFonts w:cs="Verdana"/>
          <w:sz w:val="20"/>
          <w:szCs w:val="20"/>
          <w:lang w:val="es-AR" w:bidi="en-US"/>
        </w:rPr>
        <w:t xml:space="preserve">el principio </w:t>
      </w:r>
      <w:r w:rsidRPr="0068737B">
        <w:rPr>
          <w:rFonts w:cs="Verdana"/>
          <w:i/>
          <w:sz w:val="20"/>
          <w:szCs w:val="20"/>
          <w:lang w:val="es-AR" w:bidi="en-US"/>
        </w:rPr>
        <w:t>iura novit curia</w:t>
      </w:r>
      <w:r w:rsidRPr="0068737B">
        <w:rPr>
          <w:rFonts w:cs="Verdana"/>
          <w:sz w:val="20"/>
          <w:szCs w:val="20"/>
          <w:lang w:val="es-AR" w:bidi="en-US"/>
        </w:rPr>
        <w:t>.</w:t>
      </w:r>
    </w:p>
    <w:p w:rsidR="009D29CD" w:rsidRPr="0068737B" w:rsidRDefault="009D29CD" w:rsidP="009D29CD">
      <w:pPr>
        <w:rPr>
          <w:rFonts w:cs="Arial"/>
          <w:iCs/>
          <w:sz w:val="20"/>
          <w:szCs w:val="20"/>
          <w:lang w:val="es-AR"/>
        </w:rPr>
      </w:pPr>
    </w:p>
    <w:p w:rsidR="009D29CD" w:rsidRPr="0068737B" w:rsidRDefault="009D29CD" w:rsidP="00200507">
      <w:pPr>
        <w:numPr>
          <w:ilvl w:val="0"/>
          <w:numId w:val="1"/>
        </w:numPr>
        <w:rPr>
          <w:rFonts w:cs="Arial"/>
          <w:iCs/>
          <w:sz w:val="20"/>
          <w:szCs w:val="20"/>
          <w:lang w:val="es-AR"/>
        </w:rPr>
      </w:pPr>
      <w:r w:rsidRPr="0068737B">
        <w:rPr>
          <w:rFonts w:cs="Verdana"/>
          <w:sz w:val="20"/>
          <w:szCs w:val="20"/>
          <w:lang w:val="es-AR" w:bidi="en-US"/>
        </w:rPr>
        <w:t>En cuanto a la alegada violación del derecho protegido en el artículo 13 de la Convención Americana, las peticionarias no han presentado alegato</w:t>
      </w:r>
      <w:r w:rsidR="008013EB" w:rsidRPr="0068737B">
        <w:rPr>
          <w:rFonts w:cs="Verdana"/>
          <w:sz w:val="20"/>
          <w:szCs w:val="20"/>
          <w:lang w:val="es-AR" w:bidi="en-US"/>
        </w:rPr>
        <w:t xml:space="preserve"> específico o información</w:t>
      </w:r>
      <w:r w:rsidRPr="0068737B">
        <w:rPr>
          <w:rFonts w:cs="Verdana"/>
          <w:sz w:val="20"/>
          <w:szCs w:val="20"/>
          <w:lang w:val="es-AR" w:bidi="en-US"/>
        </w:rPr>
        <w:t xml:space="preserve"> que </w:t>
      </w:r>
      <w:r w:rsidR="00C427AC" w:rsidRPr="0068737B">
        <w:rPr>
          <w:rFonts w:cs="Verdana"/>
          <w:sz w:val="20"/>
          <w:szCs w:val="20"/>
          <w:lang w:val="es-AR" w:bidi="en-US"/>
        </w:rPr>
        <w:t>permita</w:t>
      </w:r>
      <w:r w:rsidR="008013EB" w:rsidRPr="0068737B">
        <w:rPr>
          <w:rFonts w:cs="Verdana"/>
          <w:sz w:val="20"/>
          <w:szCs w:val="20"/>
          <w:lang w:val="es-AR" w:bidi="en-US"/>
        </w:rPr>
        <w:t xml:space="preserve"> a la CIDH</w:t>
      </w:r>
      <w:r w:rsidRPr="0068737B">
        <w:rPr>
          <w:rFonts w:cs="Verdana"/>
          <w:sz w:val="20"/>
          <w:szCs w:val="20"/>
          <w:lang w:val="es-AR" w:bidi="en-US"/>
        </w:rPr>
        <w:t xml:space="preserve"> </w:t>
      </w:r>
      <w:r w:rsidR="008013EB" w:rsidRPr="0068737B">
        <w:rPr>
          <w:rFonts w:cs="Verdana"/>
          <w:sz w:val="20"/>
          <w:szCs w:val="20"/>
          <w:lang w:val="es-AR" w:bidi="en-US"/>
        </w:rPr>
        <w:t>evaluar la</w:t>
      </w:r>
      <w:r w:rsidRPr="0068737B">
        <w:rPr>
          <w:rFonts w:cs="Verdana"/>
          <w:sz w:val="20"/>
          <w:szCs w:val="20"/>
          <w:lang w:val="es-AR" w:bidi="en-US"/>
        </w:rPr>
        <w:t xml:space="preserve"> potencial vulneración de dicha disposición. </w:t>
      </w:r>
      <w:r w:rsidR="008013EB" w:rsidRPr="0068737B">
        <w:rPr>
          <w:rFonts w:cs="Verdana"/>
          <w:sz w:val="20"/>
          <w:szCs w:val="20"/>
          <w:lang w:val="es-AR" w:bidi="en-US"/>
        </w:rPr>
        <w:t>En ese sentido, tal extremo de la petición es inadmisible en virtud del artículo 47.b) del mencionado instrumento.</w:t>
      </w:r>
    </w:p>
    <w:p w:rsidR="00200507" w:rsidRPr="0068737B" w:rsidRDefault="00200507" w:rsidP="00200507">
      <w:pPr>
        <w:rPr>
          <w:rFonts w:cs="Arial"/>
          <w:iCs/>
          <w:sz w:val="20"/>
          <w:szCs w:val="20"/>
          <w:lang w:val="es-AR"/>
        </w:rPr>
      </w:pPr>
    </w:p>
    <w:p w:rsidR="00200507" w:rsidRPr="0068737B" w:rsidRDefault="00200507" w:rsidP="00200507">
      <w:pPr>
        <w:numPr>
          <w:ilvl w:val="0"/>
          <w:numId w:val="1"/>
        </w:numPr>
        <w:rPr>
          <w:rFonts w:cs="Arial"/>
          <w:iCs/>
          <w:sz w:val="20"/>
          <w:szCs w:val="20"/>
          <w:lang w:val="es-AR"/>
        </w:rPr>
      </w:pPr>
      <w:r w:rsidRPr="0068737B">
        <w:rPr>
          <w:sz w:val="20"/>
          <w:szCs w:val="20"/>
          <w:lang w:val="es-AR"/>
        </w:rPr>
        <w:t xml:space="preserve">Finalmente, por cuanto la falta de fundamento o la improcedencia de </w:t>
      </w:r>
      <w:r w:rsidR="00335C64" w:rsidRPr="0068737B">
        <w:rPr>
          <w:sz w:val="20"/>
          <w:szCs w:val="20"/>
          <w:lang w:val="es-AR"/>
        </w:rPr>
        <w:t>las alegaciones de las peticionaria</w:t>
      </w:r>
      <w:r w:rsidRPr="0068737B">
        <w:rPr>
          <w:sz w:val="20"/>
          <w:szCs w:val="20"/>
          <w:lang w:val="es-AR"/>
        </w:rPr>
        <w:t>s no resultan evidentes, la Comisión concluye que la petición satisface los requisitos establecidos en los artículos 47.b) y c) de la Convención Americana.</w:t>
      </w:r>
      <w:r w:rsidRPr="0068737B">
        <w:rPr>
          <w:iCs/>
          <w:sz w:val="20"/>
          <w:szCs w:val="20"/>
          <w:lang w:val="es-AR"/>
        </w:rPr>
        <w:t xml:space="preserve">     </w:t>
      </w:r>
    </w:p>
    <w:p w:rsidR="00200507" w:rsidRPr="0068737B" w:rsidRDefault="00200507" w:rsidP="00200507">
      <w:pPr>
        <w:rPr>
          <w:rFonts w:cs="Arial"/>
          <w:iCs/>
          <w:sz w:val="20"/>
          <w:szCs w:val="20"/>
          <w:lang w:val="es-AR"/>
        </w:rPr>
      </w:pPr>
    </w:p>
    <w:p w:rsidR="00200507" w:rsidRPr="0068737B" w:rsidRDefault="00200507" w:rsidP="00200507">
      <w:pPr>
        <w:pStyle w:val="Ttulo1"/>
        <w:ind w:firstLine="720"/>
        <w:rPr>
          <w:sz w:val="20"/>
          <w:szCs w:val="20"/>
          <w:lang w:val="es-AR"/>
        </w:rPr>
      </w:pPr>
      <w:r w:rsidRPr="0068737B">
        <w:rPr>
          <w:sz w:val="20"/>
          <w:szCs w:val="20"/>
          <w:lang w:val="es-AR"/>
        </w:rPr>
        <w:t>V.</w:t>
      </w:r>
      <w:r w:rsidRPr="0068737B">
        <w:rPr>
          <w:sz w:val="20"/>
          <w:szCs w:val="20"/>
          <w:lang w:val="es-AR"/>
        </w:rPr>
        <w:tab/>
        <w:t>CONCLUSIONES</w:t>
      </w:r>
    </w:p>
    <w:p w:rsidR="00200507" w:rsidRPr="0068737B" w:rsidRDefault="00200507" w:rsidP="00200507">
      <w:pPr>
        <w:rPr>
          <w:rFonts w:cs="Arial"/>
          <w:iCs/>
          <w:sz w:val="20"/>
          <w:szCs w:val="20"/>
          <w:lang w:val="es-AR"/>
        </w:rPr>
      </w:pPr>
    </w:p>
    <w:p w:rsidR="00200507" w:rsidRPr="0068737B" w:rsidRDefault="00200507" w:rsidP="00200507">
      <w:pPr>
        <w:numPr>
          <w:ilvl w:val="0"/>
          <w:numId w:val="1"/>
        </w:numPr>
        <w:rPr>
          <w:rFonts w:cs="Arial"/>
          <w:iCs/>
          <w:sz w:val="20"/>
          <w:szCs w:val="20"/>
          <w:lang w:val="es-AR"/>
        </w:rPr>
      </w:pPr>
      <w:r w:rsidRPr="0068737B">
        <w:rPr>
          <w:sz w:val="20"/>
          <w:szCs w:val="20"/>
          <w:lang w:val="es-AR"/>
        </w:rPr>
        <w:t xml:space="preserve">Con fundamento en las consideraciones de hecho y de derecho expuestas, y sin prejuzgar sobre el fondo de la cuestión, la Comisión Interamericana concluye que el presente caso </w:t>
      </w:r>
      <w:r w:rsidRPr="0068737B">
        <w:rPr>
          <w:sz w:val="20"/>
          <w:szCs w:val="20"/>
          <w:lang w:val="es-AR"/>
        </w:rPr>
        <w:lastRenderedPageBreak/>
        <w:t>satisface los requisitos de admisibilidad enunciados en los artículos 46 y 47 de la Convención Americana y en consecuencia</w:t>
      </w:r>
    </w:p>
    <w:p w:rsidR="00200507" w:rsidRPr="0068737B" w:rsidRDefault="00200507" w:rsidP="00200507">
      <w:pPr>
        <w:rPr>
          <w:i/>
          <w:sz w:val="20"/>
          <w:szCs w:val="20"/>
          <w:lang w:val="es-AR"/>
        </w:rPr>
      </w:pPr>
    </w:p>
    <w:p w:rsidR="00200507" w:rsidRPr="0068737B" w:rsidRDefault="00200507" w:rsidP="00200507">
      <w:pPr>
        <w:jc w:val="center"/>
        <w:rPr>
          <w:b/>
          <w:sz w:val="20"/>
          <w:szCs w:val="20"/>
          <w:lang w:val="es-AR"/>
        </w:rPr>
      </w:pPr>
      <w:r w:rsidRPr="0068737B">
        <w:rPr>
          <w:b/>
          <w:sz w:val="20"/>
          <w:szCs w:val="20"/>
          <w:lang w:val="es-AR"/>
        </w:rPr>
        <w:t>LA COMISIÓN INTERAMERICANA DE DERECHOS HUMANOS,</w:t>
      </w:r>
    </w:p>
    <w:p w:rsidR="00200507" w:rsidRPr="0068737B" w:rsidRDefault="00200507" w:rsidP="00200507">
      <w:pPr>
        <w:rPr>
          <w:b/>
          <w:sz w:val="20"/>
          <w:szCs w:val="20"/>
          <w:lang w:val="es-AR"/>
        </w:rPr>
      </w:pPr>
      <w:r w:rsidRPr="0068737B">
        <w:rPr>
          <w:b/>
          <w:sz w:val="20"/>
          <w:szCs w:val="20"/>
          <w:lang w:val="es-AR"/>
        </w:rPr>
        <w:t>DECIDE:</w:t>
      </w:r>
    </w:p>
    <w:p w:rsidR="00200507" w:rsidRPr="0068737B" w:rsidRDefault="00200507" w:rsidP="00200507">
      <w:pPr>
        <w:tabs>
          <w:tab w:val="left" w:pos="1440"/>
        </w:tabs>
        <w:ind w:firstLine="720"/>
        <w:rPr>
          <w:b/>
          <w:sz w:val="20"/>
          <w:szCs w:val="20"/>
          <w:lang w:val="es-AR"/>
        </w:rPr>
      </w:pPr>
    </w:p>
    <w:p w:rsidR="008013EB" w:rsidRPr="0068737B" w:rsidRDefault="00200507" w:rsidP="00200507">
      <w:pPr>
        <w:numPr>
          <w:ilvl w:val="0"/>
          <w:numId w:val="5"/>
        </w:numPr>
        <w:tabs>
          <w:tab w:val="left" w:pos="1440"/>
        </w:tabs>
        <w:ind w:left="0" w:firstLine="720"/>
        <w:rPr>
          <w:sz w:val="20"/>
          <w:szCs w:val="20"/>
          <w:lang w:val="es-AR"/>
        </w:rPr>
      </w:pPr>
      <w:r w:rsidRPr="0068737B">
        <w:rPr>
          <w:sz w:val="20"/>
          <w:szCs w:val="20"/>
          <w:lang w:val="es-AR"/>
        </w:rPr>
        <w:t>Declarar admisible la petición con relación a los artículos 3, 4, 5, 7, 8 y 25 de la Convención Americana en conexión con las obligaciones establecidas en los artículos 1.1 y 2 del mismo instrumento;</w:t>
      </w:r>
      <w:r w:rsidR="003D4F30" w:rsidRPr="0068737B">
        <w:rPr>
          <w:sz w:val="20"/>
          <w:szCs w:val="20"/>
          <w:lang w:val="es-AR"/>
        </w:rPr>
        <w:t xml:space="preserve"> y con relación</w:t>
      </w:r>
      <w:r w:rsidRPr="0068737B">
        <w:rPr>
          <w:sz w:val="20"/>
          <w:szCs w:val="20"/>
          <w:lang w:val="es-AR"/>
        </w:rPr>
        <w:t xml:space="preserve"> a los artículos I y III de la Convención Interamericana sobre Desaparición Forzada de Personas.</w:t>
      </w:r>
    </w:p>
    <w:p w:rsidR="008013EB" w:rsidRPr="0068737B" w:rsidRDefault="008013EB" w:rsidP="008013EB">
      <w:pPr>
        <w:tabs>
          <w:tab w:val="left" w:pos="1440"/>
        </w:tabs>
        <w:rPr>
          <w:sz w:val="20"/>
          <w:szCs w:val="20"/>
          <w:lang w:val="es-AR"/>
        </w:rPr>
      </w:pPr>
    </w:p>
    <w:p w:rsidR="00200507" w:rsidRPr="0068737B" w:rsidRDefault="008013EB" w:rsidP="00200507">
      <w:pPr>
        <w:numPr>
          <w:ilvl w:val="0"/>
          <w:numId w:val="5"/>
        </w:numPr>
        <w:tabs>
          <w:tab w:val="left" w:pos="1440"/>
        </w:tabs>
        <w:ind w:left="0" w:firstLine="720"/>
        <w:rPr>
          <w:sz w:val="20"/>
          <w:szCs w:val="20"/>
          <w:lang w:val="es-AR"/>
        </w:rPr>
      </w:pPr>
      <w:r w:rsidRPr="0068737B">
        <w:rPr>
          <w:sz w:val="20"/>
          <w:szCs w:val="20"/>
          <w:lang w:val="es-AR"/>
        </w:rPr>
        <w:t>Declarar inadmisible, en virtud del artículo 47.b) de la Convención, la alegada violación del derecho consagrado en el artículo 13 del citado instrumento.</w:t>
      </w:r>
      <w:r w:rsidR="00200507" w:rsidRPr="0068737B">
        <w:rPr>
          <w:sz w:val="20"/>
          <w:szCs w:val="20"/>
          <w:lang w:val="es-AR"/>
        </w:rPr>
        <w:t xml:space="preserve"> </w:t>
      </w:r>
    </w:p>
    <w:p w:rsidR="00200507" w:rsidRPr="0068737B" w:rsidRDefault="00200507" w:rsidP="00200507">
      <w:pPr>
        <w:tabs>
          <w:tab w:val="left" w:pos="1440"/>
        </w:tabs>
        <w:rPr>
          <w:sz w:val="20"/>
          <w:szCs w:val="20"/>
          <w:lang w:val="es-AR"/>
        </w:rPr>
      </w:pPr>
      <w:r w:rsidRPr="0068737B">
        <w:rPr>
          <w:sz w:val="20"/>
          <w:szCs w:val="20"/>
          <w:lang w:val="es-AR"/>
        </w:rPr>
        <w:t xml:space="preserve"> </w:t>
      </w:r>
    </w:p>
    <w:p w:rsidR="00200507" w:rsidRPr="0068737B" w:rsidRDefault="00200507" w:rsidP="00200507">
      <w:pPr>
        <w:numPr>
          <w:ilvl w:val="0"/>
          <w:numId w:val="5"/>
        </w:numPr>
        <w:tabs>
          <w:tab w:val="left" w:pos="1440"/>
        </w:tabs>
        <w:ind w:left="0" w:firstLine="720"/>
        <w:rPr>
          <w:sz w:val="20"/>
          <w:szCs w:val="20"/>
          <w:lang w:val="es-AR"/>
        </w:rPr>
      </w:pPr>
      <w:r w:rsidRPr="0068737B">
        <w:rPr>
          <w:sz w:val="20"/>
          <w:szCs w:val="20"/>
          <w:lang w:val="es-AR"/>
        </w:rPr>
        <w:t>Notificar esta decisió</w:t>
      </w:r>
      <w:r w:rsidR="00515E04" w:rsidRPr="0068737B">
        <w:rPr>
          <w:sz w:val="20"/>
          <w:szCs w:val="20"/>
          <w:lang w:val="es-AR"/>
        </w:rPr>
        <w:t>n al Estado y a las peticionaria</w:t>
      </w:r>
      <w:r w:rsidRPr="0068737B">
        <w:rPr>
          <w:sz w:val="20"/>
          <w:szCs w:val="20"/>
          <w:lang w:val="es-AR"/>
        </w:rPr>
        <w:t>s.</w:t>
      </w:r>
    </w:p>
    <w:p w:rsidR="00200507" w:rsidRPr="0068737B" w:rsidRDefault="00200507" w:rsidP="00200507">
      <w:pPr>
        <w:tabs>
          <w:tab w:val="left" w:pos="1440"/>
        </w:tabs>
        <w:rPr>
          <w:sz w:val="20"/>
          <w:szCs w:val="20"/>
          <w:lang w:val="es-AR"/>
        </w:rPr>
      </w:pPr>
    </w:p>
    <w:p w:rsidR="00200507" w:rsidRPr="0068737B" w:rsidRDefault="00200507" w:rsidP="00200507">
      <w:pPr>
        <w:numPr>
          <w:ilvl w:val="0"/>
          <w:numId w:val="5"/>
        </w:numPr>
        <w:tabs>
          <w:tab w:val="left" w:pos="1440"/>
        </w:tabs>
        <w:ind w:left="0" w:firstLine="720"/>
        <w:rPr>
          <w:sz w:val="20"/>
          <w:szCs w:val="20"/>
          <w:lang w:val="es-AR"/>
        </w:rPr>
      </w:pPr>
      <w:r w:rsidRPr="0068737B">
        <w:rPr>
          <w:sz w:val="20"/>
          <w:szCs w:val="20"/>
          <w:lang w:val="es-AR"/>
        </w:rPr>
        <w:t>Iniciar el trámite sobre el fondo de la cuestión.</w:t>
      </w:r>
    </w:p>
    <w:p w:rsidR="00200507" w:rsidRPr="0068737B" w:rsidRDefault="00200507" w:rsidP="00200507">
      <w:pPr>
        <w:tabs>
          <w:tab w:val="left" w:pos="1440"/>
        </w:tabs>
        <w:rPr>
          <w:sz w:val="20"/>
          <w:szCs w:val="20"/>
          <w:lang w:val="es-AR"/>
        </w:rPr>
      </w:pPr>
    </w:p>
    <w:p w:rsidR="00200507" w:rsidRPr="0068737B" w:rsidRDefault="00200507" w:rsidP="00200507">
      <w:pPr>
        <w:numPr>
          <w:ilvl w:val="0"/>
          <w:numId w:val="5"/>
        </w:numPr>
        <w:tabs>
          <w:tab w:val="left" w:pos="1440"/>
        </w:tabs>
        <w:ind w:left="0" w:firstLine="720"/>
        <w:rPr>
          <w:sz w:val="20"/>
          <w:szCs w:val="20"/>
          <w:lang w:val="es-AR"/>
        </w:rPr>
      </w:pPr>
      <w:r w:rsidRPr="0068737B">
        <w:rPr>
          <w:sz w:val="20"/>
          <w:szCs w:val="20"/>
          <w:lang w:val="es-AR"/>
        </w:rPr>
        <w:t>Publicar esta decisión e incluirla en el Informe Anual, a ser presentado a la Asamblea General de la OEA.</w:t>
      </w:r>
    </w:p>
    <w:p w:rsidR="009311AC" w:rsidRDefault="009311AC" w:rsidP="00CE0134">
      <w:pPr>
        <w:ind w:firstLine="720"/>
        <w:outlineLvl w:val="0"/>
        <w:rPr>
          <w:rFonts w:cs="Arial"/>
          <w:noProof/>
          <w:spacing w:val="-2"/>
          <w:sz w:val="20"/>
          <w:lang w:val="es-CL"/>
        </w:rPr>
      </w:pPr>
    </w:p>
    <w:p w:rsidR="009311AC" w:rsidRPr="00391710" w:rsidRDefault="009311AC" w:rsidP="009311AC">
      <w:pPr>
        <w:ind w:firstLine="720"/>
        <w:rPr>
          <w:noProof/>
          <w:spacing w:val="-2"/>
          <w:sz w:val="20"/>
          <w:lang w:val="es-CL"/>
        </w:rPr>
      </w:pPr>
      <w:r w:rsidRPr="00391710">
        <w:rPr>
          <w:noProof/>
          <w:spacing w:val="-2"/>
          <w:sz w:val="20"/>
          <w:lang w:val="es-CL"/>
        </w:rPr>
        <w:t xml:space="preserve">Dado y firmado en la ciudad de Washington, D.C., a los </w:t>
      </w:r>
      <w:r>
        <w:rPr>
          <w:noProof/>
          <w:spacing w:val="-2"/>
          <w:sz w:val="20"/>
          <w:lang w:val="es-CL"/>
        </w:rPr>
        <w:t>22</w:t>
      </w:r>
      <w:r w:rsidRPr="00391710">
        <w:rPr>
          <w:noProof/>
          <w:spacing w:val="-2"/>
          <w:sz w:val="20"/>
          <w:lang w:val="es-CL"/>
        </w:rPr>
        <w:t xml:space="preserve"> días del mes de </w:t>
      </w:r>
      <w:r>
        <w:rPr>
          <w:noProof/>
          <w:spacing w:val="-2"/>
          <w:sz w:val="20"/>
          <w:lang w:val="es-CL"/>
        </w:rPr>
        <w:t xml:space="preserve">julio </w:t>
      </w:r>
      <w:r w:rsidRPr="00391710">
        <w:rPr>
          <w:noProof/>
          <w:spacing w:val="-2"/>
          <w:sz w:val="20"/>
          <w:lang w:val="es-CL"/>
        </w:rPr>
        <w:t xml:space="preserve">de 2011.  (Firmado): Dinah Shelton, Presidenta; José de Jesús Orozco Henríquez, Primer Vicepresidente; Rodrigo Escobar Gil, Segundo Vicepresidente; </w:t>
      </w:r>
      <w:r w:rsidRPr="00391710">
        <w:rPr>
          <w:noProof/>
          <w:sz w:val="20"/>
          <w:lang w:val="es-CL"/>
        </w:rPr>
        <w:t>Paulo Sérgio Pinheiro,</w:t>
      </w:r>
      <w:r w:rsidRPr="00391710">
        <w:rPr>
          <w:noProof/>
          <w:spacing w:val="-2"/>
          <w:sz w:val="20"/>
          <w:lang w:val="es-CL"/>
        </w:rPr>
        <w:t xml:space="preserve"> Felipe González, Luz Patricia Mejía Guerrero, y María Silvia Guillén, Miembros de la Comisión.</w:t>
      </w:r>
      <w:r w:rsidRPr="00391710">
        <w:rPr>
          <w:noProof/>
          <w:sz w:val="20"/>
          <w:lang w:val="es-CL"/>
        </w:rPr>
        <w:t xml:space="preserve"> </w:t>
      </w:r>
    </w:p>
    <w:p w:rsidR="009311AC" w:rsidRPr="00391710" w:rsidRDefault="009311AC" w:rsidP="009311AC">
      <w:pPr>
        <w:ind w:firstLine="720"/>
        <w:rPr>
          <w:noProof/>
          <w:spacing w:val="-2"/>
          <w:sz w:val="20"/>
          <w:lang w:val="es-CL"/>
        </w:rPr>
      </w:pPr>
    </w:p>
    <w:sectPr w:rsidR="009311AC" w:rsidRPr="00391710" w:rsidSect="00CE0134">
      <w:headerReference w:type="even" r:id="rId8"/>
      <w:headerReference w:type="default" r:id="rId9"/>
      <w:pgSz w:w="12240" w:h="15840" w:code="1"/>
      <w:pgMar w:top="1440" w:right="1296" w:bottom="1440" w:left="172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EEF" w:rsidRDefault="007B7EEF">
      <w:r>
        <w:separator/>
      </w:r>
    </w:p>
  </w:endnote>
  <w:endnote w:type="continuationSeparator" w:id="0">
    <w:p w:rsidR="007B7EEF" w:rsidRDefault="007B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niversal">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EEF" w:rsidRDefault="007B7EEF">
      <w:r>
        <w:separator/>
      </w:r>
    </w:p>
  </w:footnote>
  <w:footnote w:type="continuationSeparator" w:id="0">
    <w:p w:rsidR="007B7EEF" w:rsidRDefault="007B7EEF">
      <w:r>
        <w:continuationSeparator/>
      </w:r>
    </w:p>
  </w:footnote>
  <w:footnote w:id="1">
    <w:p w:rsidR="00B24219" w:rsidRPr="00396413" w:rsidRDefault="00B24219" w:rsidP="00396413">
      <w:pPr>
        <w:pStyle w:val="Textonotapie"/>
        <w:spacing w:after="120"/>
        <w:ind w:firstLine="540"/>
        <w:rPr>
          <w:szCs w:val="16"/>
        </w:rPr>
      </w:pPr>
      <w:r w:rsidRPr="00396413">
        <w:rPr>
          <w:rStyle w:val="Refdenotaalpie"/>
          <w:rFonts w:ascii="Univers" w:hAnsi="Univers"/>
        </w:rPr>
        <w:footnoteRef/>
      </w:r>
      <w:r w:rsidRPr="00396413">
        <w:t xml:space="preserve"> </w:t>
      </w:r>
      <w:r w:rsidRPr="00396413">
        <w:rPr>
          <w:szCs w:val="16"/>
        </w:rPr>
        <w:t xml:space="preserve">Informe Final de la CVR, 2003, Tomo V, </w:t>
      </w:r>
      <w:r w:rsidRPr="00396413">
        <w:rPr>
          <w:i/>
          <w:szCs w:val="16"/>
        </w:rPr>
        <w:t>2.21</w:t>
      </w:r>
      <w:r w:rsidRPr="00396413">
        <w:rPr>
          <w:szCs w:val="16"/>
        </w:rPr>
        <w:t xml:space="preserve"> </w:t>
      </w:r>
      <w:r w:rsidRPr="00396413">
        <w:rPr>
          <w:i/>
          <w:iCs/>
          <w:szCs w:val="16"/>
        </w:rPr>
        <w:t>La Universidad Nacional del Centro</w:t>
      </w:r>
      <w:r w:rsidRPr="00396413">
        <w:rPr>
          <w:szCs w:val="16"/>
        </w:rPr>
        <w:t xml:space="preserve">, páginas 683 a 688 y 694, disponible en </w:t>
      </w:r>
      <w:hyperlink r:id="rId1" w:history="1">
        <w:r w:rsidRPr="00396413">
          <w:rPr>
            <w:rStyle w:val="Hipervnculo"/>
            <w:szCs w:val="16"/>
          </w:rPr>
          <w:t>www.cverdad.or</w:t>
        </w:r>
        <w:r w:rsidRPr="00396413">
          <w:rPr>
            <w:rStyle w:val="Hipervnculo"/>
            <w:szCs w:val="16"/>
          </w:rPr>
          <w:t>g</w:t>
        </w:r>
        <w:r w:rsidRPr="00396413">
          <w:rPr>
            <w:rStyle w:val="Hipervnculo"/>
            <w:szCs w:val="16"/>
          </w:rPr>
          <w:t>.pe/ifinal</w:t>
        </w:r>
        <w:r w:rsidRPr="00396413">
          <w:rPr>
            <w:rStyle w:val="Hipervnculo"/>
            <w:szCs w:val="16"/>
          </w:rPr>
          <w:t>/</w:t>
        </w:r>
        <w:r w:rsidRPr="00396413">
          <w:rPr>
            <w:rStyle w:val="Hipervnculo"/>
            <w:szCs w:val="16"/>
          </w:rPr>
          <w:t>index.php</w:t>
        </w:r>
      </w:hyperlink>
      <w:r w:rsidRPr="00396413">
        <w:rPr>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19" w:rsidRDefault="00B2421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24219" w:rsidRDefault="00B2421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219" w:rsidRPr="00441F44" w:rsidRDefault="00B24219">
    <w:pPr>
      <w:pStyle w:val="Encabezado"/>
      <w:framePr w:wrap="around" w:vAnchor="text" w:hAnchor="margin" w:xAlign="center" w:y="1"/>
      <w:rPr>
        <w:rStyle w:val="Nmerodepgina"/>
        <w:sz w:val="20"/>
        <w:szCs w:val="20"/>
      </w:rPr>
    </w:pPr>
    <w:r w:rsidRPr="00441F44">
      <w:rPr>
        <w:rStyle w:val="Nmerodepgina"/>
        <w:sz w:val="20"/>
        <w:szCs w:val="20"/>
      </w:rPr>
      <w:fldChar w:fldCharType="begin"/>
    </w:r>
    <w:r w:rsidRPr="00441F44">
      <w:rPr>
        <w:rStyle w:val="Nmerodepgina"/>
        <w:sz w:val="20"/>
        <w:szCs w:val="20"/>
      </w:rPr>
      <w:instrText xml:space="preserve">PAGE  </w:instrText>
    </w:r>
    <w:r w:rsidRPr="00441F44">
      <w:rPr>
        <w:rStyle w:val="Nmerodepgina"/>
        <w:sz w:val="20"/>
        <w:szCs w:val="20"/>
      </w:rPr>
      <w:fldChar w:fldCharType="separate"/>
    </w:r>
    <w:r w:rsidR="00D92E48">
      <w:rPr>
        <w:rStyle w:val="Nmerodepgina"/>
        <w:noProof/>
        <w:sz w:val="20"/>
        <w:szCs w:val="20"/>
      </w:rPr>
      <w:t>6</w:t>
    </w:r>
    <w:r w:rsidRPr="00441F44">
      <w:rPr>
        <w:rStyle w:val="Nmerodepgina"/>
        <w:sz w:val="20"/>
        <w:szCs w:val="20"/>
      </w:rPr>
      <w:fldChar w:fldCharType="end"/>
    </w:r>
  </w:p>
  <w:p w:rsidR="00B24219" w:rsidRPr="00441F44" w:rsidRDefault="00B24219">
    <w:pPr>
      <w:pStyle w:val="Encabezado"/>
      <w:rPr>
        <w:sz w:val="20"/>
        <w:szCs w:val="20"/>
      </w:rPr>
    </w:pPr>
  </w:p>
  <w:p w:rsidR="00B24219" w:rsidRPr="00441F44" w:rsidRDefault="00B24219">
    <w:pPr>
      <w:pStyle w:val="Encabezad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CF5"/>
    <w:multiLevelType w:val="hybridMultilevel"/>
    <w:tmpl w:val="60809E38"/>
    <w:lvl w:ilvl="0" w:tplc="9E366614">
      <w:start w:val="1"/>
      <w:numFmt w:val="decimal"/>
      <w:lvlText w:val="%1."/>
      <w:lvlJc w:val="left"/>
      <w:pPr>
        <w:tabs>
          <w:tab w:val="num" w:pos="1440"/>
        </w:tabs>
        <w:ind w:left="1440" w:hanging="720"/>
      </w:pPr>
      <w:rPr>
        <w:rFonts w:ascii="Univers" w:hAnsi="Univers" w:hint="default"/>
        <w:b w:val="0"/>
        <w:i w:val="0"/>
      </w:rPr>
    </w:lvl>
    <w:lvl w:ilvl="1" w:tplc="A3FC7A6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37E6ED1"/>
    <w:multiLevelType w:val="hybridMultilevel"/>
    <w:tmpl w:val="C8F052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80915F9"/>
    <w:multiLevelType w:val="multilevel"/>
    <w:tmpl w:val="E1484A74"/>
    <w:lvl w:ilvl="0">
      <w:start w:val="1"/>
      <w:numFmt w:val="decimal"/>
      <w:lvlText w:val="%1."/>
      <w:lvlJc w:val="left"/>
      <w:pPr>
        <w:tabs>
          <w:tab w:val="num" w:pos="720"/>
        </w:tabs>
        <w:ind w:left="0" w:firstLine="720"/>
      </w:pPr>
      <w:rPr>
        <w:rFonts w:ascii="Univers" w:hAnsi="Univers" w:hint="default"/>
        <w:b w:val="0"/>
        <w:i w:val="0"/>
        <w:sz w:val="20"/>
        <w:szCs w:val="20"/>
      </w:rPr>
    </w:lvl>
    <w:lvl w:ilvl="1">
      <w:start w:val="25"/>
      <w:numFmt w:val="decimal"/>
      <w:lvlText w:val="%2."/>
      <w:lvlJc w:val="left"/>
      <w:pPr>
        <w:tabs>
          <w:tab w:val="num" w:pos="2520"/>
        </w:tabs>
        <w:ind w:left="252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3927DF"/>
    <w:multiLevelType w:val="hybridMultilevel"/>
    <w:tmpl w:val="929019A0"/>
    <w:lvl w:ilvl="0" w:tplc="20A26374">
      <w:start w:val="4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D983EE9"/>
    <w:multiLevelType w:val="hybridMultilevel"/>
    <w:tmpl w:val="E1484A74"/>
    <w:lvl w:ilvl="0" w:tplc="81A2C166">
      <w:start w:val="1"/>
      <w:numFmt w:val="decimal"/>
      <w:lvlText w:val="%1."/>
      <w:lvlJc w:val="left"/>
      <w:pPr>
        <w:tabs>
          <w:tab w:val="num" w:pos="720"/>
        </w:tabs>
        <w:ind w:left="0" w:firstLine="720"/>
      </w:pPr>
      <w:rPr>
        <w:rFonts w:ascii="Univers" w:hAnsi="Univers"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1"/>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BC2"/>
    <w:rsid w:val="00007731"/>
    <w:rsid w:val="000150DE"/>
    <w:rsid w:val="00017CE6"/>
    <w:rsid w:val="000209E9"/>
    <w:rsid w:val="00045642"/>
    <w:rsid w:val="0004619E"/>
    <w:rsid w:val="000463F1"/>
    <w:rsid w:val="00051CCC"/>
    <w:rsid w:val="00074C84"/>
    <w:rsid w:val="000B1FB7"/>
    <w:rsid w:val="000C2492"/>
    <w:rsid w:val="000C3270"/>
    <w:rsid w:val="000C4958"/>
    <w:rsid w:val="000E023D"/>
    <w:rsid w:val="00104003"/>
    <w:rsid w:val="00110FDF"/>
    <w:rsid w:val="00145E59"/>
    <w:rsid w:val="00182583"/>
    <w:rsid w:val="00183C09"/>
    <w:rsid w:val="00186C56"/>
    <w:rsid w:val="00190E23"/>
    <w:rsid w:val="00194B77"/>
    <w:rsid w:val="001B1D22"/>
    <w:rsid w:val="001B2A97"/>
    <w:rsid w:val="001B4097"/>
    <w:rsid w:val="001D005F"/>
    <w:rsid w:val="001D4839"/>
    <w:rsid w:val="001D71DD"/>
    <w:rsid w:val="001F7BA7"/>
    <w:rsid w:val="00200507"/>
    <w:rsid w:val="00215490"/>
    <w:rsid w:val="00227430"/>
    <w:rsid w:val="00235DBD"/>
    <w:rsid w:val="0024678F"/>
    <w:rsid w:val="00246F60"/>
    <w:rsid w:val="002567A6"/>
    <w:rsid w:val="0026732C"/>
    <w:rsid w:val="002A7B52"/>
    <w:rsid w:val="003004AB"/>
    <w:rsid w:val="0030424A"/>
    <w:rsid w:val="00305C27"/>
    <w:rsid w:val="00314D6F"/>
    <w:rsid w:val="0033183E"/>
    <w:rsid w:val="00335C64"/>
    <w:rsid w:val="003510CD"/>
    <w:rsid w:val="00396413"/>
    <w:rsid w:val="003A1F7B"/>
    <w:rsid w:val="003D33BF"/>
    <w:rsid w:val="003D4F30"/>
    <w:rsid w:val="003E35B5"/>
    <w:rsid w:val="003F6202"/>
    <w:rsid w:val="00405DFA"/>
    <w:rsid w:val="00420CD0"/>
    <w:rsid w:val="00431A40"/>
    <w:rsid w:val="00446117"/>
    <w:rsid w:val="004563B1"/>
    <w:rsid w:val="004617B0"/>
    <w:rsid w:val="00485293"/>
    <w:rsid w:val="00485B78"/>
    <w:rsid w:val="00493BBA"/>
    <w:rsid w:val="004A11AD"/>
    <w:rsid w:val="004A5C3C"/>
    <w:rsid w:val="004A6693"/>
    <w:rsid w:val="004D628A"/>
    <w:rsid w:val="004E09B1"/>
    <w:rsid w:val="004E1F07"/>
    <w:rsid w:val="004E52B7"/>
    <w:rsid w:val="004F0849"/>
    <w:rsid w:val="004F3BB0"/>
    <w:rsid w:val="00514EF2"/>
    <w:rsid w:val="00515E04"/>
    <w:rsid w:val="0052745E"/>
    <w:rsid w:val="00552263"/>
    <w:rsid w:val="005826A9"/>
    <w:rsid w:val="00597C48"/>
    <w:rsid w:val="005D70E9"/>
    <w:rsid w:val="005D7E40"/>
    <w:rsid w:val="005F6CFE"/>
    <w:rsid w:val="00601188"/>
    <w:rsid w:val="00604229"/>
    <w:rsid w:val="00616CF1"/>
    <w:rsid w:val="006443D9"/>
    <w:rsid w:val="0068192A"/>
    <w:rsid w:val="0068737B"/>
    <w:rsid w:val="00693C92"/>
    <w:rsid w:val="006A2924"/>
    <w:rsid w:val="006A36C7"/>
    <w:rsid w:val="006E4EC4"/>
    <w:rsid w:val="006F07A5"/>
    <w:rsid w:val="006F5E15"/>
    <w:rsid w:val="006F7C27"/>
    <w:rsid w:val="007302E2"/>
    <w:rsid w:val="00785528"/>
    <w:rsid w:val="007B2321"/>
    <w:rsid w:val="007B5347"/>
    <w:rsid w:val="007B7EEF"/>
    <w:rsid w:val="007C4676"/>
    <w:rsid w:val="007C7C09"/>
    <w:rsid w:val="007E6E36"/>
    <w:rsid w:val="007F239E"/>
    <w:rsid w:val="007F297E"/>
    <w:rsid w:val="008013EB"/>
    <w:rsid w:val="00802467"/>
    <w:rsid w:val="00836674"/>
    <w:rsid w:val="008548FB"/>
    <w:rsid w:val="00856926"/>
    <w:rsid w:val="00860023"/>
    <w:rsid w:val="0088234B"/>
    <w:rsid w:val="00882411"/>
    <w:rsid w:val="008A1FB1"/>
    <w:rsid w:val="008A681D"/>
    <w:rsid w:val="008C7D8B"/>
    <w:rsid w:val="00904AA6"/>
    <w:rsid w:val="00916D68"/>
    <w:rsid w:val="00917B7C"/>
    <w:rsid w:val="009311AC"/>
    <w:rsid w:val="00934AEC"/>
    <w:rsid w:val="00935F93"/>
    <w:rsid w:val="009432CB"/>
    <w:rsid w:val="00950393"/>
    <w:rsid w:val="00962F1C"/>
    <w:rsid w:val="00973829"/>
    <w:rsid w:val="00993E31"/>
    <w:rsid w:val="009960A9"/>
    <w:rsid w:val="009A6077"/>
    <w:rsid w:val="009C2E05"/>
    <w:rsid w:val="009C5204"/>
    <w:rsid w:val="009D29CD"/>
    <w:rsid w:val="009D56A7"/>
    <w:rsid w:val="00A577E4"/>
    <w:rsid w:val="00A71189"/>
    <w:rsid w:val="00A73F59"/>
    <w:rsid w:val="00AA5B57"/>
    <w:rsid w:val="00AB2EF6"/>
    <w:rsid w:val="00AD0102"/>
    <w:rsid w:val="00AD08DB"/>
    <w:rsid w:val="00AD0F83"/>
    <w:rsid w:val="00AD2006"/>
    <w:rsid w:val="00AE0F33"/>
    <w:rsid w:val="00AE579F"/>
    <w:rsid w:val="00AF0A16"/>
    <w:rsid w:val="00AF2EFE"/>
    <w:rsid w:val="00AF7989"/>
    <w:rsid w:val="00B04647"/>
    <w:rsid w:val="00B05217"/>
    <w:rsid w:val="00B06CFC"/>
    <w:rsid w:val="00B16C51"/>
    <w:rsid w:val="00B22CFC"/>
    <w:rsid w:val="00B24219"/>
    <w:rsid w:val="00B34FA8"/>
    <w:rsid w:val="00B8285A"/>
    <w:rsid w:val="00B852F4"/>
    <w:rsid w:val="00BA4DE0"/>
    <w:rsid w:val="00BC3A39"/>
    <w:rsid w:val="00BD2E47"/>
    <w:rsid w:val="00BF6426"/>
    <w:rsid w:val="00C02A23"/>
    <w:rsid w:val="00C13490"/>
    <w:rsid w:val="00C175B8"/>
    <w:rsid w:val="00C24016"/>
    <w:rsid w:val="00C427AC"/>
    <w:rsid w:val="00C47324"/>
    <w:rsid w:val="00C6039B"/>
    <w:rsid w:val="00C62656"/>
    <w:rsid w:val="00C731CA"/>
    <w:rsid w:val="00C76615"/>
    <w:rsid w:val="00C7720F"/>
    <w:rsid w:val="00C83863"/>
    <w:rsid w:val="00C8665D"/>
    <w:rsid w:val="00C954EA"/>
    <w:rsid w:val="00CA2B40"/>
    <w:rsid w:val="00CA73BC"/>
    <w:rsid w:val="00CC0A01"/>
    <w:rsid w:val="00CC5653"/>
    <w:rsid w:val="00CC7C01"/>
    <w:rsid w:val="00CD4A68"/>
    <w:rsid w:val="00CE0114"/>
    <w:rsid w:val="00CE0134"/>
    <w:rsid w:val="00CF1C8F"/>
    <w:rsid w:val="00CF207C"/>
    <w:rsid w:val="00CF76F5"/>
    <w:rsid w:val="00D00DA6"/>
    <w:rsid w:val="00D12819"/>
    <w:rsid w:val="00D266D1"/>
    <w:rsid w:val="00D607C1"/>
    <w:rsid w:val="00D63006"/>
    <w:rsid w:val="00D85EC9"/>
    <w:rsid w:val="00D92E48"/>
    <w:rsid w:val="00DD76AB"/>
    <w:rsid w:val="00DE256A"/>
    <w:rsid w:val="00DF44EA"/>
    <w:rsid w:val="00E12E00"/>
    <w:rsid w:val="00E16535"/>
    <w:rsid w:val="00E2598E"/>
    <w:rsid w:val="00E5130A"/>
    <w:rsid w:val="00E60755"/>
    <w:rsid w:val="00E7070C"/>
    <w:rsid w:val="00E80CB4"/>
    <w:rsid w:val="00E862C8"/>
    <w:rsid w:val="00E9586D"/>
    <w:rsid w:val="00EA3692"/>
    <w:rsid w:val="00EA39E4"/>
    <w:rsid w:val="00EB1795"/>
    <w:rsid w:val="00EB61AE"/>
    <w:rsid w:val="00EB61ED"/>
    <w:rsid w:val="00EB628F"/>
    <w:rsid w:val="00EC6F62"/>
    <w:rsid w:val="00ED17BA"/>
    <w:rsid w:val="00ED4769"/>
    <w:rsid w:val="00ED7CFF"/>
    <w:rsid w:val="00ED7E8C"/>
    <w:rsid w:val="00EF39AD"/>
    <w:rsid w:val="00F16BE7"/>
    <w:rsid w:val="00F33466"/>
    <w:rsid w:val="00F668D6"/>
    <w:rsid w:val="00F717EF"/>
    <w:rsid w:val="00F73317"/>
    <w:rsid w:val="00F90CD4"/>
    <w:rsid w:val="00F913F7"/>
    <w:rsid w:val="00F9641C"/>
    <w:rsid w:val="00FC4E5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D36"/>
    <w:pPr>
      <w:jc w:val="both"/>
    </w:pPr>
    <w:rPr>
      <w:rFonts w:ascii="Univers" w:eastAsia="MS Mincho" w:hAnsi="Univers"/>
      <w:sz w:val="22"/>
      <w:szCs w:val="24"/>
      <w:lang w:val="es-ES_tradnl" w:eastAsia="en-US"/>
    </w:rPr>
  </w:style>
  <w:style w:type="paragraph" w:styleId="Ttulo1">
    <w:name w:val="heading 1"/>
    <w:basedOn w:val="Normal"/>
    <w:qFormat/>
    <w:rsid w:val="00D21D36"/>
    <w:pPr>
      <w:outlineLvl w:val="0"/>
    </w:pPr>
    <w:rPr>
      <w:b/>
      <w:bCs/>
      <w:kern w:val="36"/>
      <w:szCs w:val="48"/>
    </w:rPr>
  </w:style>
  <w:style w:type="paragraph" w:styleId="Ttulo2">
    <w:name w:val="heading 2"/>
    <w:basedOn w:val="Normal"/>
    <w:next w:val="Normal"/>
    <w:qFormat/>
    <w:rsid w:val="00D21D36"/>
    <w:pPr>
      <w:keepNext/>
      <w:spacing w:before="240" w:after="60"/>
      <w:outlineLvl w:val="1"/>
    </w:pPr>
    <w:rPr>
      <w:rFonts w:ascii="Arial" w:hAnsi="Arial" w:cs="Arial"/>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
    <w:basedOn w:val="Fuentedeprrafopredeter"/>
    <w:semiHidden/>
    <w:rsid w:val="00D21D36"/>
    <w:rPr>
      <w:rFonts w:ascii="Universal" w:hAnsi="Universal"/>
      <w:sz w:val="16"/>
      <w:vertAlign w:val="superscript"/>
    </w:rPr>
  </w:style>
  <w:style w:type="paragraph" w:styleId="Encabezado">
    <w:name w:val="header"/>
    <w:basedOn w:val="Normal"/>
    <w:rsid w:val="00D21D36"/>
    <w:pPr>
      <w:tabs>
        <w:tab w:val="center" w:pos="4419"/>
        <w:tab w:val="right" w:pos="8838"/>
      </w:tabs>
    </w:pPr>
    <w:rPr>
      <w:lang w:val="es-MX"/>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Ca"/>
    <w:basedOn w:val="Normal"/>
    <w:link w:val="TextonotapieCar1"/>
    <w:semiHidden/>
    <w:rsid w:val="00D21D36"/>
    <w:pPr>
      <w:ind w:firstLine="720"/>
    </w:pPr>
    <w:rPr>
      <w:sz w:val="16"/>
      <w:szCs w:val="20"/>
    </w:rPr>
  </w:style>
  <w:style w:type="character" w:styleId="Nmerodepgina">
    <w:name w:val="page number"/>
    <w:basedOn w:val="Fuentedeprrafopredeter"/>
    <w:rsid w:val="00D21D36"/>
  </w:style>
  <w:style w:type="character" w:styleId="Hipervnculo">
    <w:name w:val="Hyperlink"/>
    <w:basedOn w:val="Fuentedeprrafopredeter"/>
    <w:rsid w:val="00CC4BF5"/>
    <w:rPr>
      <w:color w:val="0000FF"/>
      <w:u w:val="single"/>
    </w:rPr>
  </w:style>
  <w:style w:type="paragraph" w:styleId="Textoindependiente">
    <w:name w:val="Body Text"/>
    <w:basedOn w:val="Normal"/>
    <w:rsid w:val="00705B68"/>
    <w:pPr>
      <w:spacing w:before="100" w:beforeAutospacing="1" w:after="100" w:afterAutospacing="1"/>
      <w:jc w:val="left"/>
    </w:pPr>
    <w:rPr>
      <w:rFonts w:ascii="Times New Roman" w:eastAsia="Times New Roman" w:hAnsi="Times New Roman"/>
      <w:sz w:val="24"/>
      <w:lang w:val="en-US"/>
    </w:rPr>
  </w:style>
  <w:style w:type="character" w:styleId="Refdenotaalfinal">
    <w:name w:val="endnote reference"/>
    <w:basedOn w:val="Fuentedeprrafopredeter"/>
    <w:semiHidden/>
    <w:rsid w:val="00705B68"/>
    <w:rPr>
      <w:vertAlign w:val="superscript"/>
    </w:r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basedOn w:val="Fuentedeprrafopredeter"/>
    <w:link w:val="Textonotapie"/>
    <w:semiHidden/>
    <w:locked/>
    <w:rsid w:val="008B5BE9"/>
    <w:rPr>
      <w:rFonts w:ascii="Univers" w:eastAsia="MS Mincho" w:hAnsi="Univers"/>
      <w:sz w:val="16"/>
      <w:lang w:val="es-ES_tradnl" w:eastAsia="en-US" w:bidi="ar-SA"/>
    </w:rPr>
  </w:style>
  <w:style w:type="character" w:styleId="Hipervnculovisitado">
    <w:name w:val="FollowedHyperlink"/>
    <w:basedOn w:val="Fuentedeprrafopredeter"/>
    <w:rsid w:val="002643F9"/>
    <w:rPr>
      <w:color w:val="800080"/>
      <w:u w:val="single"/>
    </w:rPr>
  </w:style>
  <w:style w:type="paragraph" w:styleId="Textodeglobo">
    <w:name w:val="Balloon Text"/>
    <w:basedOn w:val="Normal"/>
    <w:semiHidden/>
    <w:rsid w:val="00616CF1"/>
    <w:rPr>
      <w:rFonts w:ascii="Tahoma" w:hAnsi="Tahoma" w:cs="Tahoma"/>
      <w:sz w:val="16"/>
      <w:szCs w:val="16"/>
    </w:rPr>
  </w:style>
  <w:style w:type="table" w:styleId="Tablaconcuadrcula">
    <w:name w:val="Table Grid"/>
    <w:basedOn w:val="Tablanormal"/>
    <w:rsid w:val="00962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CE0134"/>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1D36"/>
    <w:pPr>
      <w:jc w:val="both"/>
    </w:pPr>
    <w:rPr>
      <w:rFonts w:ascii="Univers" w:eastAsia="MS Mincho" w:hAnsi="Univers"/>
      <w:sz w:val="22"/>
      <w:szCs w:val="24"/>
      <w:lang w:val="es-ES_tradnl" w:eastAsia="en-US"/>
    </w:rPr>
  </w:style>
  <w:style w:type="paragraph" w:styleId="Ttulo1">
    <w:name w:val="heading 1"/>
    <w:basedOn w:val="Normal"/>
    <w:qFormat/>
    <w:rsid w:val="00D21D36"/>
    <w:pPr>
      <w:outlineLvl w:val="0"/>
    </w:pPr>
    <w:rPr>
      <w:b/>
      <w:bCs/>
      <w:kern w:val="36"/>
      <w:szCs w:val="48"/>
    </w:rPr>
  </w:style>
  <w:style w:type="paragraph" w:styleId="Ttulo2">
    <w:name w:val="heading 2"/>
    <w:basedOn w:val="Normal"/>
    <w:next w:val="Normal"/>
    <w:qFormat/>
    <w:rsid w:val="00D21D36"/>
    <w:pPr>
      <w:keepNext/>
      <w:spacing w:before="240" w:after="60"/>
      <w:outlineLvl w:val="1"/>
    </w:pPr>
    <w:rPr>
      <w:rFonts w:ascii="Arial" w:hAnsi="Arial" w:cs="Arial"/>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aliases w:val="Footnotes refss"/>
    <w:basedOn w:val="Fuentedeprrafopredeter"/>
    <w:semiHidden/>
    <w:rsid w:val="00D21D36"/>
    <w:rPr>
      <w:rFonts w:ascii="Universal" w:hAnsi="Universal"/>
      <w:sz w:val="16"/>
      <w:vertAlign w:val="superscript"/>
    </w:rPr>
  </w:style>
  <w:style w:type="paragraph" w:styleId="Encabezado">
    <w:name w:val="header"/>
    <w:basedOn w:val="Normal"/>
    <w:rsid w:val="00D21D36"/>
    <w:pPr>
      <w:tabs>
        <w:tab w:val="center" w:pos="4419"/>
        <w:tab w:val="right" w:pos="8838"/>
      </w:tabs>
    </w:pPr>
    <w:rPr>
      <w:lang w:val="es-MX"/>
    </w:rPr>
  </w:style>
  <w:style w:type="paragraph" w:styleId="Textonotapie">
    <w:name w:val="footnote text"/>
    <w:aliases w:val="FA Fu,Footnote Text Char Char Char Char Char,Footnote Text Char Char Char Char,Footnote reference,Footnote Text Char Char Char,footnote text,Footnote Text Cha,FA Fußnotentext,FA Fuﬂnotentext,Texto nota pie Car,Footnote Text Char Char,Ca"/>
    <w:basedOn w:val="Normal"/>
    <w:link w:val="TextonotapieCar1"/>
    <w:semiHidden/>
    <w:rsid w:val="00D21D36"/>
    <w:pPr>
      <w:ind w:firstLine="720"/>
    </w:pPr>
    <w:rPr>
      <w:sz w:val="16"/>
      <w:szCs w:val="20"/>
    </w:rPr>
  </w:style>
  <w:style w:type="character" w:styleId="Nmerodepgina">
    <w:name w:val="page number"/>
    <w:basedOn w:val="Fuentedeprrafopredeter"/>
    <w:rsid w:val="00D21D36"/>
  </w:style>
  <w:style w:type="character" w:styleId="Hipervnculo">
    <w:name w:val="Hyperlink"/>
    <w:basedOn w:val="Fuentedeprrafopredeter"/>
    <w:rsid w:val="00CC4BF5"/>
    <w:rPr>
      <w:color w:val="0000FF"/>
      <w:u w:val="single"/>
    </w:rPr>
  </w:style>
  <w:style w:type="paragraph" w:styleId="Textoindependiente">
    <w:name w:val="Body Text"/>
    <w:basedOn w:val="Normal"/>
    <w:rsid w:val="00705B68"/>
    <w:pPr>
      <w:spacing w:before="100" w:beforeAutospacing="1" w:after="100" w:afterAutospacing="1"/>
      <w:jc w:val="left"/>
    </w:pPr>
    <w:rPr>
      <w:rFonts w:ascii="Times New Roman" w:eastAsia="Times New Roman" w:hAnsi="Times New Roman"/>
      <w:sz w:val="24"/>
      <w:lang w:val="en-US"/>
    </w:rPr>
  </w:style>
  <w:style w:type="character" w:styleId="Refdenotaalfinal">
    <w:name w:val="endnote reference"/>
    <w:basedOn w:val="Fuentedeprrafopredeter"/>
    <w:semiHidden/>
    <w:rsid w:val="00705B68"/>
    <w:rPr>
      <w:vertAlign w:val="superscript"/>
    </w:rPr>
  </w:style>
  <w:style w:type="character" w:customStyle="1" w:styleId="TextonotapieCar1">
    <w:name w:val="Texto nota pie Car1"/>
    <w:aliases w:val="FA Fu Car,Footnote Text Char Char Char Char Char Car,Footnote Text Char Char Char Char Car,Footnote reference Car,Footnote Text Char Char Char Car,footnote text Car,Footnote Text Cha Car,FA Fußnotentext Car,FA Fuﬂnotentext Car,Ca Car"/>
    <w:basedOn w:val="Fuentedeprrafopredeter"/>
    <w:link w:val="Textonotapie"/>
    <w:semiHidden/>
    <w:locked/>
    <w:rsid w:val="008B5BE9"/>
    <w:rPr>
      <w:rFonts w:ascii="Univers" w:eastAsia="MS Mincho" w:hAnsi="Univers"/>
      <w:sz w:val="16"/>
      <w:lang w:val="es-ES_tradnl" w:eastAsia="en-US" w:bidi="ar-SA"/>
    </w:rPr>
  </w:style>
  <w:style w:type="character" w:styleId="Hipervnculovisitado">
    <w:name w:val="FollowedHyperlink"/>
    <w:basedOn w:val="Fuentedeprrafopredeter"/>
    <w:rsid w:val="002643F9"/>
    <w:rPr>
      <w:color w:val="800080"/>
      <w:u w:val="single"/>
    </w:rPr>
  </w:style>
  <w:style w:type="paragraph" w:styleId="Textodeglobo">
    <w:name w:val="Balloon Text"/>
    <w:basedOn w:val="Normal"/>
    <w:semiHidden/>
    <w:rsid w:val="00616CF1"/>
    <w:rPr>
      <w:rFonts w:ascii="Tahoma" w:hAnsi="Tahoma" w:cs="Tahoma"/>
      <w:sz w:val="16"/>
      <w:szCs w:val="16"/>
    </w:rPr>
  </w:style>
  <w:style w:type="table" w:styleId="Tablaconcuadrcula">
    <w:name w:val="Table Grid"/>
    <w:basedOn w:val="Tablanormal"/>
    <w:rsid w:val="00962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CE013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verdad.org.pe/ifinal/index.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3231</Words>
  <Characters>17772</Characters>
  <Application>Microsoft Office Word</Application>
  <DocSecurity>0</DocSecurity>
  <Lines>148</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 108/11</vt:lpstr>
      <vt:lpstr>Informe No. 108/11</vt:lpstr>
    </vt:vector>
  </TitlesOfParts>
  <Company>Organization of American States</Company>
  <LinksUpToDate>false</LinksUpToDate>
  <CharactersWithSpaces>20962</CharactersWithSpaces>
  <SharedDoc>false</SharedDoc>
  <HLinks>
    <vt:vector size="6" baseType="variant">
      <vt:variant>
        <vt:i4>7012385</vt:i4>
      </vt:variant>
      <vt:variant>
        <vt:i4>0</vt:i4>
      </vt:variant>
      <vt:variant>
        <vt:i4>0</vt:i4>
      </vt:variant>
      <vt:variant>
        <vt:i4>5</vt:i4>
      </vt:variant>
      <vt:variant>
        <vt:lpwstr>http://www.cverdad.org.pe/ifinal/index.php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 108/11</dc:title>
  <dc:creator>cla</dc:creator>
  <cp:lastModifiedBy>Usuario Autorizado</cp:lastModifiedBy>
  <cp:revision>3</cp:revision>
  <cp:lastPrinted>2017-11-06T22:32:00Z</cp:lastPrinted>
  <dcterms:created xsi:type="dcterms:W3CDTF">2017-11-06T22:32:00Z</dcterms:created>
  <dcterms:modified xsi:type="dcterms:W3CDTF">2017-11-06T22:32:00Z</dcterms:modified>
</cp:coreProperties>
</file>