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2B06" w:rsidRPr="00E53CE2" w:rsidRDefault="00E92B06" w:rsidP="00870154">
      <w:pPr>
        <w:jc w:val="center"/>
        <w:rPr>
          <w:rFonts w:ascii="Univers" w:hAnsi="Univers"/>
          <w:b/>
          <w:bCs/>
          <w:sz w:val="20"/>
          <w:szCs w:val="20"/>
        </w:rPr>
      </w:pPr>
      <w:bookmarkStart w:id="0" w:name="_GoBack"/>
      <w:bookmarkEnd w:id="0"/>
      <w:r>
        <w:rPr>
          <w:rFonts w:ascii="Univers" w:hAnsi="Univers"/>
          <w:b/>
          <w:bCs/>
          <w:sz w:val="20"/>
          <w:szCs w:val="20"/>
        </w:rPr>
        <w:t xml:space="preserve">INFORME No. </w:t>
      </w:r>
      <w:r w:rsidR="00137028">
        <w:rPr>
          <w:rFonts w:ascii="Univers" w:hAnsi="Univers"/>
          <w:b/>
          <w:bCs/>
          <w:sz w:val="20"/>
          <w:szCs w:val="20"/>
        </w:rPr>
        <w:t>80</w:t>
      </w:r>
      <w:r w:rsidRPr="00E53CE2">
        <w:rPr>
          <w:rFonts w:ascii="Univers" w:hAnsi="Univers"/>
          <w:b/>
          <w:bCs/>
          <w:sz w:val="20"/>
          <w:szCs w:val="20"/>
        </w:rPr>
        <w:t>/12</w:t>
      </w:r>
    </w:p>
    <w:p w:rsidR="00E92B06" w:rsidRPr="00E53CE2" w:rsidRDefault="00E92B06" w:rsidP="00870154">
      <w:pPr>
        <w:jc w:val="center"/>
        <w:rPr>
          <w:rFonts w:ascii="Univers" w:hAnsi="Univers"/>
          <w:sz w:val="20"/>
          <w:szCs w:val="20"/>
        </w:rPr>
      </w:pPr>
      <w:r w:rsidRPr="00E53CE2">
        <w:rPr>
          <w:rFonts w:ascii="Univers" w:hAnsi="Univers"/>
          <w:sz w:val="20"/>
          <w:szCs w:val="20"/>
        </w:rPr>
        <w:t>PETICIÓN P-</w:t>
      </w:r>
      <w:r>
        <w:rPr>
          <w:rFonts w:ascii="Univers" w:hAnsi="Univers"/>
          <w:sz w:val="20"/>
          <w:szCs w:val="20"/>
        </w:rPr>
        <w:t>859</w:t>
      </w:r>
      <w:r w:rsidRPr="00E53CE2">
        <w:rPr>
          <w:rFonts w:ascii="Univers" w:hAnsi="Univers"/>
          <w:sz w:val="20"/>
          <w:szCs w:val="20"/>
        </w:rPr>
        <w:t>-0</w:t>
      </w:r>
      <w:r>
        <w:rPr>
          <w:rFonts w:ascii="Univers" w:hAnsi="Univers"/>
          <w:sz w:val="20"/>
          <w:szCs w:val="20"/>
        </w:rPr>
        <w:t>9</w:t>
      </w:r>
    </w:p>
    <w:p w:rsidR="00E92B06" w:rsidRDefault="00F44D47" w:rsidP="00870154">
      <w:pPr>
        <w:jc w:val="center"/>
        <w:rPr>
          <w:rFonts w:ascii="Univers" w:hAnsi="Univers"/>
          <w:sz w:val="20"/>
          <w:szCs w:val="20"/>
        </w:rPr>
      </w:pPr>
      <w:r>
        <w:rPr>
          <w:rFonts w:ascii="Univers" w:hAnsi="Univers"/>
          <w:sz w:val="20"/>
          <w:szCs w:val="20"/>
        </w:rPr>
        <w:t>V</w:t>
      </w:r>
      <w:r w:rsidR="00E92B06">
        <w:rPr>
          <w:rFonts w:ascii="Univers" w:hAnsi="Univers"/>
          <w:sz w:val="20"/>
          <w:szCs w:val="20"/>
        </w:rPr>
        <w:t>LADIMIR HERZ</w:t>
      </w:r>
      <w:r>
        <w:rPr>
          <w:rFonts w:ascii="Univers" w:hAnsi="Univers"/>
          <w:sz w:val="20"/>
          <w:szCs w:val="20"/>
        </w:rPr>
        <w:t>OG</w:t>
      </w:r>
      <w:r w:rsidR="00E92B06">
        <w:rPr>
          <w:rFonts w:ascii="Univers" w:hAnsi="Univers"/>
          <w:sz w:val="20"/>
          <w:szCs w:val="20"/>
        </w:rPr>
        <w:t xml:space="preserve"> Y OTROS</w:t>
      </w:r>
    </w:p>
    <w:p w:rsidR="00E92B06" w:rsidRPr="00E53CE2" w:rsidRDefault="00E92B06" w:rsidP="00870154">
      <w:pPr>
        <w:jc w:val="center"/>
        <w:rPr>
          <w:rFonts w:ascii="Univers" w:hAnsi="Univers"/>
          <w:sz w:val="20"/>
          <w:szCs w:val="20"/>
        </w:rPr>
      </w:pPr>
      <w:r w:rsidRPr="00E53CE2">
        <w:rPr>
          <w:rFonts w:ascii="Univers" w:hAnsi="Univers"/>
          <w:sz w:val="20"/>
          <w:szCs w:val="20"/>
        </w:rPr>
        <w:t>ADMISIBILIDAD</w:t>
      </w:r>
    </w:p>
    <w:p w:rsidR="00E92B06" w:rsidRPr="00E53CE2" w:rsidRDefault="00E92B06" w:rsidP="00870154">
      <w:pPr>
        <w:jc w:val="center"/>
        <w:rPr>
          <w:rFonts w:ascii="Univers" w:hAnsi="Univers"/>
          <w:sz w:val="20"/>
          <w:szCs w:val="20"/>
        </w:rPr>
      </w:pPr>
      <w:r w:rsidRPr="00E53CE2">
        <w:rPr>
          <w:rFonts w:ascii="Univers" w:hAnsi="Univers"/>
          <w:sz w:val="20"/>
          <w:szCs w:val="20"/>
        </w:rPr>
        <w:t>BRASIL</w:t>
      </w:r>
    </w:p>
    <w:p w:rsidR="00E92B06" w:rsidRPr="00E53CE2" w:rsidRDefault="00E227DF" w:rsidP="00870154">
      <w:pPr>
        <w:jc w:val="center"/>
        <w:rPr>
          <w:rFonts w:ascii="Univers" w:hAnsi="Univers"/>
          <w:sz w:val="20"/>
          <w:szCs w:val="20"/>
        </w:rPr>
      </w:pPr>
      <w:r>
        <w:rPr>
          <w:rFonts w:ascii="Univers" w:hAnsi="Univers"/>
          <w:sz w:val="20"/>
          <w:szCs w:val="20"/>
        </w:rPr>
        <w:t>8</w:t>
      </w:r>
      <w:r w:rsidR="00E92B06">
        <w:rPr>
          <w:rFonts w:ascii="Univers" w:hAnsi="Univers"/>
          <w:sz w:val="20"/>
          <w:szCs w:val="20"/>
        </w:rPr>
        <w:t xml:space="preserve"> </w:t>
      </w:r>
      <w:r w:rsidR="00E92B06" w:rsidRPr="00E53CE2">
        <w:rPr>
          <w:rFonts w:ascii="Univers" w:hAnsi="Univers"/>
          <w:sz w:val="20"/>
          <w:szCs w:val="20"/>
        </w:rPr>
        <w:t xml:space="preserve">de </w:t>
      </w:r>
      <w:r w:rsidR="00E92B06">
        <w:rPr>
          <w:rFonts w:ascii="Univers" w:hAnsi="Univers"/>
          <w:sz w:val="20"/>
          <w:szCs w:val="20"/>
        </w:rPr>
        <w:t>noviembre</w:t>
      </w:r>
      <w:r w:rsidR="00E92B06" w:rsidRPr="00E53CE2">
        <w:rPr>
          <w:rFonts w:ascii="Univers" w:hAnsi="Univers"/>
          <w:sz w:val="20"/>
          <w:szCs w:val="20"/>
        </w:rPr>
        <w:t xml:space="preserve"> de 2012</w:t>
      </w:r>
    </w:p>
    <w:p w:rsidR="00E92B06" w:rsidRDefault="00E92B06" w:rsidP="00870154">
      <w:pPr>
        <w:jc w:val="both"/>
        <w:rPr>
          <w:rFonts w:ascii="Univers" w:hAnsi="Univers"/>
          <w:sz w:val="20"/>
          <w:szCs w:val="20"/>
        </w:rPr>
      </w:pPr>
    </w:p>
    <w:p w:rsidR="00371EA2" w:rsidRPr="00E53CE2" w:rsidRDefault="00371EA2" w:rsidP="00251844">
      <w:pPr>
        <w:ind w:right="-522"/>
        <w:jc w:val="both"/>
        <w:rPr>
          <w:rFonts w:ascii="Univers" w:hAnsi="Univers"/>
          <w:sz w:val="20"/>
          <w:szCs w:val="20"/>
        </w:rPr>
      </w:pPr>
    </w:p>
    <w:p w:rsidR="00E92B06" w:rsidRPr="00E53CE2" w:rsidRDefault="00E92B06" w:rsidP="00251844">
      <w:pPr>
        <w:ind w:right="-522" w:firstLine="720"/>
        <w:jc w:val="both"/>
        <w:rPr>
          <w:rFonts w:ascii="Univers" w:hAnsi="Univers"/>
          <w:b/>
          <w:bCs/>
          <w:sz w:val="20"/>
          <w:szCs w:val="20"/>
        </w:rPr>
      </w:pPr>
      <w:r w:rsidRPr="00E53CE2">
        <w:rPr>
          <w:rFonts w:ascii="Univers" w:hAnsi="Univers"/>
          <w:b/>
          <w:bCs/>
          <w:sz w:val="20"/>
          <w:szCs w:val="20"/>
        </w:rPr>
        <w:t>I.</w:t>
      </w:r>
      <w:r w:rsidRPr="00E53CE2">
        <w:rPr>
          <w:rFonts w:ascii="Univers" w:hAnsi="Univers"/>
          <w:b/>
          <w:bCs/>
          <w:sz w:val="20"/>
          <w:szCs w:val="20"/>
        </w:rPr>
        <w:tab/>
        <w:t>RESUMEN</w:t>
      </w:r>
    </w:p>
    <w:p w:rsidR="00E92B06" w:rsidRPr="00E53CE2" w:rsidRDefault="00E92B06" w:rsidP="00251844">
      <w:pPr>
        <w:ind w:right="-522"/>
        <w:jc w:val="both"/>
        <w:rPr>
          <w:rFonts w:ascii="Univers" w:hAnsi="Univers"/>
          <w:sz w:val="20"/>
          <w:szCs w:val="20"/>
        </w:rPr>
      </w:pPr>
    </w:p>
    <w:p w:rsidR="00E92B06" w:rsidRPr="00E53CE2" w:rsidRDefault="00E92B06" w:rsidP="00870154">
      <w:pPr>
        <w:ind w:firstLine="720"/>
        <w:jc w:val="both"/>
        <w:rPr>
          <w:rFonts w:ascii="Univers" w:hAnsi="Univers"/>
          <w:sz w:val="20"/>
          <w:szCs w:val="20"/>
        </w:rPr>
      </w:pPr>
      <w:r w:rsidRPr="00E53CE2">
        <w:rPr>
          <w:rFonts w:ascii="Univers" w:hAnsi="Univers"/>
          <w:sz w:val="20"/>
          <w:szCs w:val="20"/>
        </w:rPr>
        <w:t>1.</w:t>
      </w:r>
      <w:r w:rsidRPr="00E53CE2">
        <w:rPr>
          <w:rFonts w:ascii="Univers" w:hAnsi="Univers"/>
          <w:sz w:val="20"/>
          <w:szCs w:val="20"/>
        </w:rPr>
        <w:tab/>
        <w:t>El 1</w:t>
      </w:r>
      <w:r w:rsidR="00161C15">
        <w:rPr>
          <w:rFonts w:ascii="Univers" w:hAnsi="Univers"/>
          <w:sz w:val="20"/>
          <w:szCs w:val="20"/>
        </w:rPr>
        <w:t>0</w:t>
      </w:r>
      <w:r>
        <w:rPr>
          <w:rFonts w:ascii="Univers" w:hAnsi="Univers"/>
          <w:sz w:val="20"/>
          <w:szCs w:val="20"/>
        </w:rPr>
        <w:t xml:space="preserve"> de julio de 2009</w:t>
      </w:r>
      <w:r w:rsidRPr="00E53CE2">
        <w:rPr>
          <w:rFonts w:ascii="Univers" w:hAnsi="Univers"/>
          <w:sz w:val="20"/>
          <w:szCs w:val="20"/>
        </w:rPr>
        <w:t>, la Comisión Interamericana de Derechos Humanos (en adelante “la Comisión Interamericana” o “la CIDH”) recibió una petición contra la República Federativa del Brasil (“el Estado” o “Brasil”) en la que se alega su responsabilidad internacional por</w:t>
      </w:r>
      <w:r>
        <w:rPr>
          <w:rFonts w:ascii="Univers" w:hAnsi="Univers"/>
          <w:sz w:val="20"/>
          <w:szCs w:val="20"/>
        </w:rPr>
        <w:t xml:space="preserve"> la detención arbitraria, tortura y muerte del periodista </w:t>
      </w:r>
      <w:r w:rsidR="00F44D47">
        <w:rPr>
          <w:rFonts w:ascii="Univers" w:hAnsi="Univers"/>
          <w:sz w:val="20"/>
          <w:szCs w:val="20"/>
        </w:rPr>
        <w:t>V</w:t>
      </w:r>
      <w:r>
        <w:rPr>
          <w:rFonts w:ascii="Univers" w:hAnsi="Univers"/>
          <w:sz w:val="20"/>
          <w:szCs w:val="20"/>
        </w:rPr>
        <w:t>ladimir Herzog (“la presunta víctima”)</w:t>
      </w:r>
      <w:r w:rsidR="00262687">
        <w:rPr>
          <w:rFonts w:ascii="Univers" w:hAnsi="Univers"/>
          <w:sz w:val="20"/>
          <w:szCs w:val="20"/>
        </w:rPr>
        <w:t>, ocurrida en una dependencia del Ejército el 25 de octubre de 1975, y la continua impunidad por los hechos, en virtud de una ley de amnistía promulgada durante la dictadura militar brasileña.  Lo anteri</w:t>
      </w:r>
      <w:r w:rsidR="004640A8">
        <w:rPr>
          <w:rFonts w:ascii="Univers" w:hAnsi="Univers"/>
          <w:sz w:val="20"/>
          <w:szCs w:val="20"/>
        </w:rPr>
        <w:t xml:space="preserve">or, conforme a </w:t>
      </w:r>
      <w:r w:rsidR="009D1D7A">
        <w:rPr>
          <w:rFonts w:ascii="Univers" w:hAnsi="Univers"/>
          <w:sz w:val="20"/>
          <w:szCs w:val="20"/>
        </w:rPr>
        <w:t>l</w:t>
      </w:r>
      <w:r w:rsidR="00251844">
        <w:rPr>
          <w:rFonts w:ascii="Univers" w:hAnsi="Univers"/>
          <w:sz w:val="20"/>
          <w:szCs w:val="20"/>
        </w:rPr>
        <w:t>os alegatos</w:t>
      </w:r>
      <w:r w:rsidR="004640A8">
        <w:rPr>
          <w:rFonts w:ascii="Univers" w:hAnsi="Univers"/>
          <w:sz w:val="20"/>
          <w:szCs w:val="20"/>
        </w:rPr>
        <w:t xml:space="preserve"> presentad</w:t>
      </w:r>
      <w:r w:rsidR="00251844">
        <w:rPr>
          <w:rFonts w:ascii="Univers" w:hAnsi="Univers"/>
          <w:sz w:val="20"/>
          <w:szCs w:val="20"/>
        </w:rPr>
        <w:t>o</w:t>
      </w:r>
      <w:r w:rsidR="004640A8">
        <w:rPr>
          <w:rFonts w:ascii="Univers" w:hAnsi="Univers"/>
          <w:sz w:val="20"/>
          <w:szCs w:val="20"/>
        </w:rPr>
        <w:t>s</w:t>
      </w:r>
      <w:r w:rsidR="00262687">
        <w:rPr>
          <w:rFonts w:ascii="Univers" w:hAnsi="Univers"/>
          <w:sz w:val="20"/>
          <w:szCs w:val="20"/>
        </w:rPr>
        <w:t xml:space="preserve">, constituye </w:t>
      </w:r>
      <w:r w:rsidR="00251844">
        <w:rPr>
          <w:rFonts w:ascii="Univers" w:hAnsi="Univers"/>
          <w:sz w:val="20"/>
          <w:szCs w:val="20"/>
        </w:rPr>
        <w:t>violación de</w:t>
      </w:r>
      <w:r w:rsidR="00262687">
        <w:rPr>
          <w:rFonts w:ascii="Univers" w:hAnsi="Univers"/>
          <w:sz w:val="20"/>
          <w:szCs w:val="20"/>
        </w:rPr>
        <w:t xml:space="preserve"> los artículos I, XVIII, XXV y XXVI de la Declaración Americana sobre los Derechos y Deberes del Hombre (“la Declaración Americana”)</w:t>
      </w:r>
      <w:r w:rsidR="00251844">
        <w:rPr>
          <w:rFonts w:ascii="Univers" w:hAnsi="Univers"/>
          <w:sz w:val="20"/>
          <w:szCs w:val="20"/>
        </w:rPr>
        <w:t>;</w:t>
      </w:r>
      <w:r w:rsidR="00262687">
        <w:rPr>
          <w:rFonts w:ascii="Univers" w:hAnsi="Univers"/>
          <w:sz w:val="20"/>
          <w:szCs w:val="20"/>
        </w:rPr>
        <w:t xml:space="preserve"> </w:t>
      </w:r>
      <w:r w:rsidR="00251844">
        <w:rPr>
          <w:rFonts w:ascii="Univers" w:hAnsi="Univers"/>
          <w:sz w:val="20"/>
          <w:szCs w:val="20"/>
        </w:rPr>
        <w:t>de</w:t>
      </w:r>
      <w:r w:rsidR="00262687">
        <w:rPr>
          <w:rFonts w:ascii="Univers" w:hAnsi="Univers"/>
          <w:sz w:val="20"/>
          <w:szCs w:val="20"/>
        </w:rPr>
        <w:t xml:space="preserve"> los artículos 1, 2, </w:t>
      </w:r>
      <w:r w:rsidR="00F44D47">
        <w:rPr>
          <w:rFonts w:ascii="Univers" w:hAnsi="Univers"/>
          <w:sz w:val="20"/>
          <w:szCs w:val="20"/>
        </w:rPr>
        <w:t xml:space="preserve">5, </w:t>
      </w:r>
      <w:r w:rsidR="00262687">
        <w:rPr>
          <w:rFonts w:ascii="Univers" w:hAnsi="Univers"/>
          <w:sz w:val="20"/>
          <w:szCs w:val="20"/>
        </w:rPr>
        <w:t xml:space="preserve">8 y 25 de la Convención </w:t>
      </w:r>
      <w:r w:rsidRPr="00E53CE2">
        <w:rPr>
          <w:rFonts w:ascii="Univers" w:hAnsi="Univers"/>
          <w:sz w:val="20"/>
          <w:szCs w:val="20"/>
        </w:rPr>
        <w:t>Americana sobre Derechos Humanos (“la Convención Americana”)</w:t>
      </w:r>
      <w:r w:rsidR="00251844">
        <w:rPr>
          <w:rFonts w:ascii="Univers" w:hAnsi="Univers"/>
          <w:sz w:val="20"/>
          <w:szCs w:val="20"/>
        </w:rPr>
        <w:t>;</w:t>
      </w:r>
      <w:r w:rsidR="009C4140">
        <w:rPr>
          <w:rFonts w:ascii="Univers" w:hAnsi="Univers"/>
          <w:sz w:val="20"/>
          <w:szCs w:val="20"/>
        </w:rPr>
        <w:t xml:space="preserve"> </w:t>
      </w:r>
      <w:r w:rsidR="00251844">
        <w:rPr>
          <w:rFonts w:ascii="Univers" w:hAnsi="Univers"/>
          <w:sz w:val="20"/>
          <w:szCs w:val="20"/>
        </w:rPr>
        <w:t>y de</w:t>
      </w:r>
      <w:r w:rsidR="009C4140">
        <w:rPr>
          <w:rFonts w:ascii="Univers" w:hAnsi="Univers"/>
          <w:sz w:val="20"/>
          <w:szCs w:val="20"/>
        </w:rPr>
        <w:t xml:space="preserve"> los artículos 1, 6 y 8 de la Convención Interamericana para Prevenir y Sancionar la Tortura</w:t>
      </w:r>
      <w:r w:rsidRPr="00E53CE2">
        <w:rPr>
          <w:rFonts w:ascii="Univers" w:hAnsi="Univers"/>
          <w:sz w:val="20"/>
          <w:szCs w:val="20"/>
        </w:rPr>
        <w:t>.</w:t>
      </w:r>
      <w:r w:rsidR="00262687">
        <w:rPr>
          <w:rFonts w:ascii="Univers" w:hAnsi="Univers"/>
          <w:sz w:val="20"/>
          <w:szCs w:val="20"/>
        </w:rPr>
        <w:t xml:space="preserve">  </w:t>
      </w:r>
      <w:r w:rsidRPr="00E53CE2">
        <w:rPr>
          <w:rFonts w:ascii="Univers" w:hAnsi="Univers"/>
          <w:sz w:val="20"/>
          <w:szCs w:val="20"/>
        </w:rPr>
        <w:t xml:space="preserve">La petición fue presentada por el </w:t>
      </w:r>
      <w:r w:rsidR="009C4140">
        <w:rPr>
          <w:rFonts w:ascii="Univers" w:hAnsi="Univers"/>
          <w:sz w:val="20"/>
          <w:szCs w:val="20"/>
        </w:rPr>
        <w:t xml:space="preserve">Centro por la Justicia y el Derecho Internacional (CEJIL/Brasil), la Fundación Interamericana de Defensa de los Derechos Humanos (FIDDH), el Centro Santo Dias de la Arquidiócesis de São Paulo y el Grupo Tortura Nunca Más de São Paulo </w:t>
      </w:r>
      <w:r w:rsidRPr="00E53CE2">
        <w:rPr>
          <w:rFonts w:ascii="Univers" w:hAnsi="Univers"/>
          <w:sz w:val="20"/>
          <w:szCs w:val="20"/>
        </w:rPr>
        <w:t>(“</w:t>
      </w:r>
      <w:r w:rsidR="009C4140">
        <w:rPr>
          <w:rFonts w:ascii="Univers" w:hAnsi="Univers"/>
          <w:sz w:val="20"/>
          <w:szCs w:val="20"/>
        </w:rPr>
        <w:t>los pe</w:t>
      </w:r>
      <w:r w:rsidRPr="00E53CE2">
        <w:rPr>
          <w:rFonts w:ascii="Univers" w:hAnsi="Univers"/>
          <w:sz w:val="20"/>
          <w:szCs w:val="20"/>
        </w:rPr>
        <w:t>ticionario</w:t>
      </w:r>
      <w:r w:rsidR="009C4140">
        <w:rPr>
          <w:rFonts w:ascii="Univers" w:hAnsi="Univers"/>
          <w:sz w:val="20"/>
          <w:szCs w:val="20"/>
        </w:rPr>
        <w:t>s</w:t>
      </w:r>
      <w:r w:rsidRPr="00E53CE2">
        <w:rPr>
          <w:rFonts w:ascii="Univers" w:hAnsi="Univers"/>
          <w:sz w:val="20"/>
          <w:szCs w:val="20"/>
        </w:rPr>
        <w:t>”).</w:t>
      </w:r>
    </w:p>
    <w:p w:rsidR="00E92B06" w:rsidRPr="00E53CE2" w:rsidRDefault="00E92B06" w:rsidP="00870154">
      <w:pPr>
        <w:jc w:val="both"/>
        <w:rPr>
          <w:rFonts w:ascii="Univers" w:hAnsi="Univers"/>
          <w:sz w:val="20"/>
          <w:szCs w:val="20"/>
        </w:rPr>
      </w:pPr>
    </w:p>
    <w:p w:rsidR="00E92B06" w:rsidRPr="00E53CE2" w:rsidRDefault="00E92B06" w:rsidP="00870154">
      <w:pPr>
        <w:ind w:firstLine="720"/>
        <w:jc w:val="both"/>
        <w:rPr>
          <w:rFonts w:ascii="Univers" w:hAnsi="Univers"/>
          <w:sz w:val="20"/>
          <w:szCs w:val="20"/>
        </w:rPr>
      </w:pPr>
      <w:r w:rsidRPr="00E53CE2">
        <w:rPr>
          <w:rFonts w:ascii="Univers" w:hAnsi="Univers"/>
          <w:sz w:val="20"/>
          <w:szCs w:val="20"/>
        </w:rPr>
        <w:t>2.</w:t>
      </w:r>
      <w:r w:rsidRPr="00E53CE2">
        <w:rPr>
          <w:rFonts w:ascii="Univers" w:hAnsi="Univers"/>
          <w:sz w:val="20"/>
          <w:szCs w:val="20"/>
        </w:rPr>
        <w:tab/>
      </w:r>
      <w:r w:rsidR="005D7710">
        <w:rPr>
          <w:rFonts w:ascii="Univers" w:hAnsi="Univers"/>
          <w:sz w:val="20"/>
          <w:szCs w:val="20"/>
        </w:rPr>
        <w:t>El</w:t>
      </w:r>
      <w:r w:rsidR="001D7C91">
        <w:rPr>
          <w:rFonts w:ascii="Univers" w:hAnsi="Univers"/>
          <w:sz w:val="20"/>
          <w:szCs w:val="20"/>
        </w:rPr>
        <w:t xml:space="preserve"> Estado</w:t>
      </w:r>
      <w:r w:rsidR="005D7710">
        <w:rPr>
          <w:rFonts w:ascii="Univers" w:hAnsi="Univers"/>
          <w:sz w:val="20"/>
          <w:szCs w:val="20"/>
        </w:rPr>
        <w:t xml:space="preserve"> preliminarmente</w:t>
      </w:r>
      <w:r w:rsidR="001D7C91">
        <w:rPr>
          <w:rFonts w:ascii="Univers" w:hAnsi="Univers"/>
          <w:sz w:val="20"/>
          <w:szCs w:val="20"/>
        </w:rPr>
        <w:t xml:space="preserve"> alega que </w:t>
      </w:r>
      <w:r w:rsidR="009D1D7A">
        <w:rPr>
          <w:rFonts w:ascii="Univers" w:hAnsi="Univers"/>
          <w:sz w:val="20"/>
          <w:szCs w:val="20"/>
        </w:rPr>
        <w:t xml:space="preserve">no </w:t>
      </w:r>
      <w:r w:rsidR="001D7C91">
        <w:rPr>
          <w:rFonts w:ascii="Univers" w:hAnsi="Univers"/>
          <w:sz w:val="20"/>
          <w:szCs w:val="20"/>
        </w:rPr>
        <w:t>ha</w:t>
      </w:r>
      <w:r w:rsidR="00251844">
        <w:rPr>
          <w:rFonts w:ascii="Univers" w:hAnsi="Univers"/>
          <w:sz w:val="20"/>
          <w:szCs w:val="20"/>
        </w:rPr>
        <w:t>y omisión alguna</w:t>
      </w:r>
      <w:r w:rsidR="001D7C91">
        <w:rPr>
          <w:rFonts w:ascii="Univers" w:hAnsi="Univers"/>
          <w:sz w:val="20"/>
          <w:szCs w:val="20"/>
        </w:rPr>
        <w:t xml:space="preserve"> respecto de los hechos denunciados en </w:t>
      </w:r>
      <w:r w:rsidR="005D7710">
        <w:rPr>
          <w:rFonts w:ascii="Univers" w:hAnsi="Univers"/>
          <w:sz w:val="20"/>
          <w:szCs w:val="20"/>
        </w:rPr>
        <w:t>est</w:t>
      </w:r>
      <w:r w:rsidR="001D7C91">
        <w:rPr>
          <w:rFonts w:ascii="Univers" w:hAnsi="Univers"/>
          <w:sz w:val="20"/>
          <w:szCs w:val="20"/>
        </w:rPr>
        <w:t xml:space="preserve">a petición, toda vez que ha formalmente reconocido su responsabilidad por la muerte y la detención arbitraria de la presunta víctima.  Por otra parte, el Estado sostiene que la CIDH no tiene competencia </w:t>
      </w:r>
      <w:r w:rsidR="001D7C91">
        <w:rPr>
          <w:rFonts w:ascii="Univers" w:hAnsi="Univers"/>
          <w:i/>
          <w:sz w:val="20"/>
          <w:szCs w:val="20"/>
        </w:rPr>
        <w:t xml:space="preserve">ratione temporis </w:t>
      </w:r>
      <w:r w:rsidR="001D7C91">
        <w:rPr>
          <w:rFonts w:ascii="Univers" w:hAnsi="Univers"/>
          <w:sz w:val="20"/>
          <w:szCs w:val="20"/>
        </w:rPr>
        <w:t>para examinar presuntas violaciones a la Convención Americana ni a la Convención Interamericana para Prevenir y Sancionar la Tortura, porque la ejecución de la</w:t>
      </w:r>
      <w:r w:rsidR="00251844">
        <w:rPr>
          <w:rFonts w:ascii="Univers" w:hAnsi="Univers"/>
          <w:sz w:val="20"/>
          <w:szCs w:val="20"/>
        </w:rPr>
        <w:t>s</w:t>
      </w:r>
      <w:r w:rsidR="001D7C91">
        <w:rPr>
          <w:rFonts w:ascii="Univers" w:hAnsi="Univers"/>
          <w:sz w:val="20"/>
          <w:szCs w:val="20"/>
        </w:rPr>
        <w:t xml:space="preserve"> presunta</w:t>
      </w:r>
      <w:r w:rsidR="00251844">
        <w:rPr>
          <w:rFonts w:ascii="Univers" w:hAnsi="Univers"/>
          <w:sz w:val="20"/>
          <w:szCs w:val="20"/>
        </w:rPr>
        <w:t>s</w:t>
      </w:r>
      <w:r w:rsidR="001D7C91">
        <w:rPr>
          <w:rFonts w:ascii="Univers" w:hAnsi="Univers"/>
          <w:sz w:val="20"/>
          <w:szCs w:val="20"/>
        </w:rPr>
        <w:t xml:space="preserve"> violaciones se concretó </w:t>
      </w:r>
      <w:r w:rsidR="00204B04">
        <w:rPr>
          <w:rFonts w:ascii="Univers" w:hAnsi="Univers"/>
          <w:sz w:val="20"/>
          <w:szCs w:val="20"/>
        </w:rPr>
        <w:t>previamente</w:t>
      </w:r>
      <w:r w:rsidR="001D7C91">
        <w:rPr>
          <w:rFonts w:ascii="Univers" w:hAnsi="Univers"/>
          <w:sz w:val="20"/>
          <w:szCs w:val="20"/>
        </w:rPr>
        <w:t xml:space="preserve"> a la ratificación de dichos instrumentos por Brasil.  </w:t>
      </w:r>
      <w:r w:rsidR="001D7EB3">
        <w:rPr>
          <w:rFonts w:ascii="Univers" w:hAnsi="Univers"/>
          <w:sz w:val="20"/>
          <w:szCs w:val="20"/>
        </w:rPr>
        <w:t>Asimismo, el Estado argumenta que la petición fue presentada extemporáneamente,</w:t>
      </w:r>
      <w:r w:rsidRPr="00E53CE2">
        <w:rPr>
          <w:rFonts w:ascii="Univers" w:hAnsi="Univers"/>
          <w:sz w:val="20"/>
          <w:szCs w:val="20"/>
        </w:rPr>
        <w:t xml:space="preserve"> </w:t>
      </w:r>
      <w:r w:rsidR="001D7EB3">
        <w:rPr>
          <w:rFonts w:ascii="Univers" w:hAnsi="Univers"/>
          <w:sz w:val="20"/>
          <w:szCs w:val="20"/>
        </w:rPr>
        <w:t xml:space="preserve">de acuerdo con los requisitos </w:t>
      </w:r>
      <w:r w:rsidRPr="00E53CE2">
        <w:rPr>
          <w:rFonts w:ascii="Univers" w:hAnsi="Univers"/>
          <w:sz w:val="20"/>
          <w:szCs w:val="20"/>
        </w:rPr>
        <w:t>contenido</w:t>
      </w:r>
      <w:r w:rsidR="001D7EB3">
        <w:rPr>
          <w:rFonts w:ascii="Univers" w:hAnsi="Univers"/>
          <w:sz w:val="20"/>
          <w:szCs w:val="20"/>
        </w:rPr>
        <w:t>s</w:t>
      </w:r>
      <w:r w:rsidRPr="00E53CE2">
        <w:rPr>
          <w:rFonts w:ascii="Univers" w:hAnsi="Univers"/>
          <w:sz w:val="20"/>
          <w:szCs w:val="20"/>
        </w:rPr>
        <w:t xml:space="preserve"> en </w:t>
      </w:r>
      <w:r w:rsidR="001D7EB3">
        <w:rPr>
          <w:rFonts w:ascii="Univers" w:hAnsi="Univers"/>
          <w:sz w:val="20"/>
          <w:szCs w:val="20"/>
        </w:rPr>
        <w:t>los</w:t>
      </w:r>
      <w:r w:rsidRPr="00E53CE2">
        <w:rPr>
          <w:rFonts w:ascii="Univers" w:hAnsi="Univers"/>
          <w:sz w:val="20"/>
          <w:szCs w:val="20"/>
        </w:rPr>
        <w:t xml:space="preserve"> artículo</w:t>
      </w:r>
      <w:r w:rsidR="001D7EB3">
        <w:rPr>
          <w:rFonts w:ascii="Univers" w:hAnsi="Univers"/>
          <w:sz w:val="20"/>
          <w:szCs w:val="20"/>
        </w:rPr>
        <w:t>s</w:t>
      </w:r>
      <w:r w:rsidRPr="00E53CE2">
        <w:rPr>
          <w:rFonts w:ascii="Univers" w:hAnsi="Univers"/>
          <w:sz w:val="20"/>
          <w:szCs w:val="20"/>
        </w:rPr>
        <w:t xml:space="preserve"> 46.1.</w:t>
      </w:r>
      <w:r w:rsidR="001D7EB3">
        <w:rPr>
          <w:rFonts w:ascii="Univers" w:hAnsi="Univers"/>
          <w:sz w:val="20"/>
          <w:szCs w:val="20"/>
        </w:rPr>
        <w:t>b</w:t>
      </w:r>
      <w:r w:rsidRPr="00E53CE2">
        <w:rPr>
          <w:rFonts w:ascii="Univers" w:hAnsi="Univers"/>
          <w:sz w:val="20"/>
          <w:szCs w:val="20"/>
        </w:rPr>
        <w:t xml:space="preserve"> de la Convención Americana y </w:t>
      </w:r>
      <w:r w:rsidR="001D7EB3">
        <w:rPr>
          <w:rFonts w:ascii="Univers" w:hAnsi="Univers"/>
          <w:sz w:val="20"/>
          <w:szCs w:val="20"/>
        </w:rPr>
        <w:t xml:space="preserve">32 </w:t>
      </w:r>
      <w:r w:rsidRPr="00E53CE2">
        <w:rPr>
          <w:rFonts w:ascii="Univers" w:hAnsi="Univers"/>
          <w:sz w:val="20"/>
          <w:szCs w:val="20"/>
        </w:rPr>
        <w:t>del Reglamento de la CIDH.</w:t>
      </w:r>
      <w:r w:rsidR="001D7EB3">
        <w:rPr>
          <w:rFonts w:ascii="Univers" w:hAnsi="Univers"/>
          <w:sz w:val="20"/>
          <w:szCs w:val="20"/>
        </w:rPr>
        <w:t xml:space="preserve">  Sobre este punto, el Estado sostiene que los recursos de jurisdicción interna relevantes fueron agotado</w:t>
      </w:r>
      <w:r w:rsidR="006E4610">
        <w:rPr>
          <w:rFonts w:ascii="Univers" w:hAnsi="Univers"/>
          <w:sz w:val="20"/>
          <w:szCs w:val="20"/>
        </w:rPr>
        <w:t>s</w:t>
      </w:r>
      <w:r w:rsidR="001D7EB3">
        <w:rPr>
          <w:rFonts w:ascii="Univers" w:hAnsi="Univers"/>
          <w:sz w:val="20"/>
          <w:szCs w:val="20"/>
        </w:rPr>
        <w:t xml:space="preserve"> el 28 de agosto de 1979, </w:t>
      </w:r>
      <w:r w:rsidR="00476E8C">
        <w:rPr>
          <w:rFonts w:ascii="Univers" w:hAnsi="Univers"/>
          <w:sz w:val="20"/>
          <w:szCs w:val="20"/>
        </w:rPr>
        <w:t xml:space="preserve">mediante </w:t>
      </w:r>
      <w:r w:rsidR="001D7EB3">
        <w:rPr>
          <w:rFonts w:ascii="Univers" w:hAnsi="Univers"/>
          <w:sz w:val="20"/>
          <w:szCs w:val="20"/>
        </w:rPr>
        <w:t>la promulgación de la ley de amnistía</w:t>
      </w:r>
      <w:r w:rsidR="006E4610">
        <w:rPr>
          <w:rFonts w:ascii="Univers" w:hAnsi="Univers"/>
          <w:sz w:val="20"/>
          <w:szCs w:val="20"/>
        </w:rPr>
        <w:t xml:space="preserve"> brasileña, o alterna</w:t>
      </w:r>
      <w:r w:rsidR="009D1D7A">
        <w:rPr>
          <w:rFonts w:ascii="Univers" w:hAnsi="Univers"/>
          <w:sz w:val="20"/>
          <w:szCs w:val="20"/>
        </w:rPr>
        <w:t>tiva</w:t>
      </w:r>
      <w:r w:rsidR="006E4610">
        <w:rPr>
          <w:rFonts w:ascii="Univers" w:hAnsi="Univers"/>
          <w:sz w:val="20"/>
          <w:szCs w:val="20"/>
        </w:rPr>
        <w:t>men</w:t>
      </w:r>
      <w:r w:rsidR="00476E8C">
        <w:rPr>
          <w:rFonts w:ascii="Univers" w:hAnsi="Univers"/>
          <w:sz w:val="20"/>
          <w:szCs w:val="20"/>
        </w:rPr>
        <w:t>te, el 18 de agosto de 1993, por medio de</w:t>
      </w:r>
      <w:r w:rsidR="006E4610">
        <w:rPr>
          <w:rFonts w:ascii="Univers" w:hAnsi="Univers"/>
          <w:sz w:val="20"/>
          <w:szCs w:val="20"/>
        </w:rPr>
        <w:t xml:space="preserve"> la decisión del Superior Tribunal de Justicia que confirmó la sentencia del Tribunal de Justicia de São Paulo que archivó la investigación policial sobre la muerte de la presunta víctima</w:t>
      </w:r>
      <w:r w:rsidR="00204B04">
        <w:rPr>
          <w:rFonts w:ascii="Univers" w:hAnsi="Univers"/>
          <w:sz w:val="20"/>
          <w:szCs w:val="20"/>
        </w:rPr>
        <w:t>, en aplicación de la referida ley de amnistía</w:t>
      </w:r>
      <w:r w:rsidRPr="00E53CE2">
        <w:rPr>
          <w:rFonts w:ascii="Univers" w:hAnsi="Univers"/>
          <w:sz w:val="20"/>
          <w:szCs w:val="20"/>
        </w:rPr>
        <w:t>.</w:t>
      </w:r>
    </w:p>
    <w:p w:rsidR="00E92B06" w:rsidRPr="00E53CE2" w:rsidRDefault="00E92B06" w:rsidP="00870154">
      <w:pPr>
        <w:jc w:val="both"/>
        <w:rPr>
          <w:rFonts w:ascii="Univers" w:hAnsi="Univers"/>
          <w:sz w:val="20"/>
          <w:szCs w:val="20"/>
        </w:rPr>
      </w:pPr>
    </w:p>
    <w:p w:rsidR="00BE6A4B" w:rsidRDefault="00E92B06" w:rsidP="00870154">
      <w:pPr>
        <w:ind w:firstLine="720"/>
        <w:jc w:val="both"/>
        <w:rPr>
          <w:rFonts w:ascii="Univers" w:hAnsi="Univers"/>
          <w:b/>
          <w:bCs/>
          <w:sz w:val="20"/>
          <w:szCs w:val="20"/>
        </w:rPr>
      </w:pPr>
      <w:r w:rsidRPr="00E53CE2">
        <w:rPr>
          <w:rFonts w:ascii="Univers" w:hAnsi="Univers"/>
          <w:sz w:val="20"/>
          <w:szCs w:val="20"/>
        </w:rPr>
        <w:t>3.</w:t>
      </w:r>
      <w:r w:rsidRPr="00E53CE2">
        <w:rPr>
          <w:rFonts w:ascii="Univers" w:hAnsi="Univers"/>
          <w:sz w:val="20"/>
          <w:szCs w:val="20"/>
        </w:rPr>
        <w:tab/>
        <w:t xml:space="preserve">Sin prejuzgar acerca del fondo del caso y de conformidad con las disposiciones de los artículos 46 y 47 de la Convención Americana, la Comisión Interamericana decide declarar la petición admisible con respecto a la presunta violación de los artículos </w:t>
      </w:r>
      <w:r w:rsidR="00204B04">
        <w:rPr>
          <w:rFonts w:ascii="Univers" w:hAnsi="Univers"/>
          <w:sz w:val="20"/>
          <w:szCs w:val="20"/>
        </w:rPr>
        <w:t xml:space="preserve">I, </w:t>
      </w:r>
      <w:r w:rsidR="00204B04" w:rsidRPr="0079217A">
        <w:rPr>
          <w:rFonts w:ascii="Univers" w:hAnsi="Univers"/>
          <w:sz w:val="20"/>
          <w:szCs w:val="20"/>
        </w:rPr>
        <w:t>IV</w:t>
      </w:r>
      <w:r w:rsidR="0079217A">
        <w:rPr>
          <w:rFonts w:ascii="Univers" w:hAnsi="Univers"/>
          <w:sz w:val="20"/>
          <w:szCs w:val="20"/>
        </w:rPr>
        <w:t>, XVIII y</w:t>
      </w:r>
      <w:r w:rsidR="00204B04">
        <w:rPr>
          <w:rFonts w:ascii="Univers" w:hAnsi="Univers"/>
          <w:sz w:val="20"/>
          <w:szCs w:val="20"/>
        </w:rPr>
        <w:t xml:space="preserve"> XXV de la Declaración Americana; de los artículos 5</w:t>
      </w:r>
      <w:r>
        <w:rPr>
          <w:rFonts w:ascii="Univers" w:hAnsi="Univers"/>
          <w:sz w:val="20"/>
          <w:szCs w:val="20"/>
        </w:rPr>
        <w:t>.1</w:t>
      </w:r>
      <w:r w:rsidRPr="00E53CE2">
        <w:rPr>
          <w:rFonts w:ascii="Univers" w:hAnsi="Univers"/>
          <w:sz w:val="20"/>
          <w:szCs w:val="20"/>
        </w:rPr>
        <w:t>, 8</w:t>
      </w:r>
      <w:r w:rsidR="00204B04">
        <w:rPr>
          <w:rFonts w:ascii="Univers" w:hAnsi="Univers"/>
          <w:sz w:val="20"/>
          <w:szCs w:val="20"/>
        </w:rPr>
        <w:t>.1</w:t>
      </w:r>
      <w:r w:rsidRPr="00E53CE2">
        <w:rPr>
          <w:rFonts w:ascii="Univers" w:hAnsi="Univers"/>
          <w:sz w:val="20"/>
          <w:szCs w:val="20"/>
        </w:rPr>
        <w:t xml:space="preserve"> y 25 de la Convención Americana, en conexión con las obligaciones generales establecidas en </w:t>
      </w:r>
      <w:r w:rsidR="00204B04">
        <w:rPr>
          <w:rFonts w:ascii="Univers" w:hAnsi="Univers"/>
          <w:sz w:val="20"/>
          <w:szCs w:val="20"/>
        </w:rPr>
        <w:t xml:space="preserve">los </w:t>
      </w:r>
      <w:r w:rsidRPr="00E53CE2">
        <w:rPr>
          <w:rFonts w:ascii="Univers" w:hAnsi="Univers"/>
          <w:sz w:val="20"/>
          <w:szCs w:val="20"/>
        </w:rPr>
        <w:t>artícul</w:t>
      </w:r>
      <w:r w:rsidR="00204B04">
        <w:rPr>
          <w:rFonts w:ascii="Univers" w:hAnsi="Univers"/>
          <w:sz w:val="20"/>
          <w:szCs w:val="20"/>
        </w:rPr>
        <w:t>os</w:t>
      </w:r>
      <w:r w:rsidRPr="00E53CE2">
        <w:rPr>
          <w:rFonts w:ascii="Univers" w:hAnsi="Univers"/>
          <w:sz w:val="20"/>
          <w:szCs w:val="20"/>
        </w:rPr>
        <w:t xml:space="preserve"> 1.1</w:t>
      </w:r>
      <w:r w:rsidR="00204B04">
        <w:rPr>
          <w:rFonts w:ascii="Univers" w:hAnsi="Univers"/>
          <w:sz w:val="20"/>
          <w:szCs w:val="20"/>
        </w:rPr>
        <w:t xml:space="preserve"> y 2</w:t>
      </w:r>
      <w:r w:rsidRPr="00E53CE2">
        <w:rPr>
          <w:rFonts w:ascii="Univers" w:hAnsi="Univers"/>
          <w:sz w:val="20"/>
          <w:szCs w:val="20"/>
        </w:rPr>
        <w:t xml:space="preserve"> del mismo instrumento</w:t>
      </w:r>
      <w:r w:rsidR="00204B04">
        <w:rPr>
          <w:rFonts w:ascii="Univers" w:hAnsi="Univers"/>
          <w:sz w:val="20"/>
          <w:szCs w:val="20"/>
        </w:rPr>
        <w:t>; y de los artículos 1, 6 y 8 de la Convención Interamericana para Prevenir y Sancionar la Tortura</w:t>
      </w:r>
      <w:r w:rsidRPr="00E53CE2">
        <w:rPr>
          <w:rFonts w:ascii="Univers" w:hAnsi="Univers"/>
          <w:sz w:val="20"/>
          <w:szCs w:val="20"/>
        </w:rPr>
        <w:t xml:space="preserve">. </w:t>
      </w:r>
      <w:r w:rsidR="00204B04">
        <w:rPr>
          <w:rFonts w:ascii="Univers" w:hAnsi="Univers"/>
          <w:sz w:val="20"/>
          <w:szCs w:val="20"/>
        </w:rPr>
        <w:t xml:space="preserve"> </w:t>
      </w:r>
      <w:r w:rsidR="00C65214">
        <w:rPr>
          <w:rFonts w:ascii="Univers" w:hAnsi="Univers"/>
          <w:sz w:val="20"/>
          <w:szCs w:val="20"/>
        </w:rPr>
        <w:t xml:space="preserve">Por otro lado, la CIDH considera que los alegatos de los peticionarios no exponen hechos que caractericen una violación del artículo XXVI de la Declaración Americana.  </w:t>
      </w:r>
      <w:r w:rsidRPr="00E53CE2">
        <w:rPr>
          <w:rFonts w:ascii="Univers" w:hAnsi="Univers"/>
          <w:sz w:val="20"/>
          <w:szCs w:val="20"/>
        </w:rPr>
        <w:t>La CIDH decide asimismo notificar a las partes, publicar el presente informe e incluirlo en su Informe Anual a la Asamblea General de la Organización de los Estados Americanos.</w:t>
      </w:r>
    </w:p>
    <w:p w:rsidR="00870154" w:rsidRDefault="00870154" w:rsidP="00870154">
      <w:pPr>
        <w:keepNext/>
        <w:ind w:firstLine="720"/>
        <w:jc w:val="both"/>
        <w:rPr>
          <w:rFonts w:ascii="Univers" w:hAnsi="Univers"/>
          <w:b/>
          <w:bCs/>
          <w:sz w:val="20"/>
          <w:szCs w:val="20"/>
        </w:rPr>
      </w:pPr>
    </w:p>
    <w:p w:rsidR="00E92B06" w:rsidRPr="00E53CE2" w:rsidRDefault="00E92B06" w:rsidP="00870154">
      <w:pPr>
        <w:keepNext/>
        <w:ind w:firstLine="720"/>
        <w:jc w:val="both"/>
        <w:rPr>
          <w:rFonts w:ascii="Univers" w:hAnsi="Univers"/>
          <w:b/>
          <w:bCs/>
          <w:sz w:val="20"/>
          <w:szCs w:val="20"/>
        </w:rPr>
      </w:pPr>
      <w:r w:rsidRPr="00E53CE2">
        <w:rPr>
          <w:rFonts w:ascii="Univers" w:hAnsi="Univers"/>
          <w:b/>
          <w:bCs/>
          <w:sz w:val="20"/>
          <w:szCs w:val="20"/>
        </w:rPr>
        <w:t>II.</w:t>
      </w:r>
      <w:r w:rsidRPr="00E53CE2">
        <w:rPr>
          <w:rFonts w:ascii="Univers" w:hAnsi="Univers"/>
          <w:b/>
          <w:bCs/>
          <w:sz w:val="20"/>
          <w:szCs w:val="20"/>
        </w:rPr>
        <w:tab/>
        <w:t>TRÁMITE ANTE LA CIDH</w:t>
      </w:r>
    </w:p>
    <w:p w:rsidR="00E92B06" w:rsidRPr="00E53CE2" w:rsidRDefault="00E92B06" w:rsidP="00870154">
      <w:pPr>
        <w:jc w:val="both"/>
        <w:rPr>
          <w:rFonts w:ascii="Univers" w:hAnsi="Univers"/>
          <w:sz w:val="20"/>
          <w:szCs w:val="20"/>
        </w:rPr>
      </w:pPr>
    </w:p>
    <w:p w:rsidR="00E92B06" w:rsidRPr="00E53CE2" w:rsidRDefault="00E92B06" w:rsidP="00870154">
      <w:pPr>
        <w:ind w:firstLine="720"/>
        <w:jc w:val="both"/>
        <w:rPr>
          <w:rFonts w:ascii="Univers" w:hAnsi="Univers"/>
          <w:sz w:val="20"/>
          <w:szCs w:val="20"/>
        </w:rPr>
      </w:pPr>
      <w:r w:rsidRPr="00E53CE2">
        <w:rPr>
          <w:rFonts w:ascii="Univers" w:hAnsi="Univers"/>
          <w:sz w:val="20"/>
          <w:szCs w:val="20"/>
        </w:rPr>
        <w:lastRenderedPageBreak/>
        <w:t>4.</w:t>
      </w:r>
      <w:r w:rsidRPr="00E53CE2">
        <w:rPr>
          <w:rFonts w:ascii="Univers" w:hAnsi="Univers"/>
          <w:sz w:val="20"/>
          <w:szCs w:val="20"/>
        </w:rPr>
        <w:tab/>
        <w:t xml:space="preserve">La petición se recibió el </w:t>
      </w:r>
      <w:r w:rsidR="00F44D47">
        <w:rPr>
          <w:rFonts w:ascii="Univers" w:hAnsi="Univers"/>
          <w:sz w:val="20"/>
          <w:szCs w:val="20"/>
        </w:rPr>
        <w:t>1</w:t>
      </w:r>
      <w:r w:rsidR="00161C15">
        <w:rPr>
          <w:rFonts w:ascii="Univers" w:hAnsi="Univers"/>
          <w:sz w:val="20"/>
          <w:szCs w:val="20"/>
        </w:rPr>
        <w:t>0</w:t>
      </w:r>
      <w:r w:rsidR="00F44D47">
        <w:rPr>
          <w:rFonts w:ascii="Univers" w:hAnsi="Univers"/>
          <w:sz w:val="20"/>
          <w:szCs w:val="20"/>
        </w:rPr>
        <w:t xml:space="preserve"> de julio</w:t>
      </w:r>
      <w:r w:rsidRPr="00E53CE2">
        <w:rPr>
          <w:rFonts w:ascii="Univers" w:hAnsi="Univers"/>
          <w:sz w:val="20"/>
          <w:szCs w:val="20"/>
        </w:rPr>
        <w:t xml:space="preserve"> de 200</w:t>
      </w:r>
      <w:r w:rsidR="00F44D47">
        <w:rPr>
          <w:rFonts w:ascii="Univers" w:hAnsi="Univers"/>
          <w:sz w:val="20"/>
          <w:szCs w:val="20"/>
        </w:rPr>
        <w:t>9</w:t>
      </w:r>
      <w:r w:rsidRPr="00E53CE2">
        <w:rPr>
          <w:rFonts w:ascii="Univers" w:hAnsi="Univers"/>
          <w:sz w:val="20"/>
          <w:szCs w:val="20"/>
        </w:rPr>
        <w:t xml:space="preserve">. </w:t>
      </w:r>
      <w:r w:rsidR="00F44D47">
        <w:rPr>
          <w:rFonts w:ascii="Univers" w:hAnsi="Univers"/>
          <w:sz w:val="20"/>
          <w:szCs w:val="20"/>
        </w:rPr>
        <w:t xml:space="preserve"> </w:t>
      </w:r>
      <w:r w:rsidR="003B6116">
        <w:rPr>
          <w:rFonts w:ascii="Univers" w:hAnsi="Univers"/>
          <w:sz w:val="20"/>
          <w:szCs w:val="20"/>
        </w:rPr>
        <w:t>La CIDH trasladó las partes pertinentes de la petición al Estado</w:t>
      </w:r>
      <w:r w:rsidRPr="00E53CE2">
        <w:rPr>
          <w:rFonts w:ascii="Univers" w:hAnsi="Univers"/>
          <w:sz w:val="20"/>
          <w:szCs w:val="20"/>
        </w:rPr>
        <w:t xml:space="preserve"> el </w:t>
      </w:r>
      <w:r w:rsidR="00F44D47">
        <w:rPr>
          <w:rFonts w:ascii="Univers" w:hAnsi="Univers"/>
          <w:sz w:val="20"/>
          <w:szCs w:val="20"/>
        </w:rPr>
        <w:t>27 de marzo de 2012</w:t>
      </w:r>
      <w:r w:rsidRPr="00E53CE2">
        <w:rPr>
          <w:rFonts w:ascii="Univers" w:hAnsi="Univers"/>
          <w:sz w:val="20"/>
          <w:szCs w:val="20"/>
        </w:rPr>
        <w:t>.</w:t>
      </w:r>
      <w:r w:rsidR="00F44D47">
        <w:rPr>
          <w:rFonts w:ascii="Univers" w:hAnsi="Univers"/>
          <w:sz w:val="20"/>
          <w:szCs w:val="20"/>
        </w:rPr>
        <w:t xml:space="preserve">  El Estado</w:t>
      </w:r>
      <w:r w:rsidRPr="00E53CE2">
        <w:rPr>
          <w:rFonts w:ascii="Univers" w:hAnsi="Univers"/>
          <w:sz w:val="20"/>
          <w:szCs w:val="20"/>
        </w:rPr>
        <w:t xml:space="preserve"> respondió mediante notas recibidas los días</w:t>
      </w:r>
      <w:r w:rsidR="00161C15">
        <w:rPr>
          <w:rFonts w:ascii="Univers" w:hAnsi="Univers"/>
          <w:sz w:val="20"/>
          <w:szCs w:val="20"/>
        </w:rPr>
        <w:t xml:space="preserve"> 29 de mayo, 30 de mayo y 18 de junio de 2012</w:t>
      </w:r>
      <w:r w:rsidRPr="00E53CE2">
        <w:rPr>
          <w:rFonts w:ascii="Univers" w:hAnsi="Univers"/>
          <w:sz w:val="20"/>
          <w:szCs w:val="20"/>
        </w:rPr>
        <w:t xml:space="preserve">. </w:t>
      </w:r>
      <w:r w:rsidR="00161C15">
        <w:rPr>
          <w:rFonts w:ascii="Univers" w:hAnsi="Univers"/>
          <w:sz w:val="20"/>
          <w:szCs w:val="20"/>
        </w:rPr>
        <w:t xml:space="preserve"> </w:t>
      </w:r>
      <w:r w:rsidRPr="00E53CE2">
        <w:rPr>
          <w:rFonts w:ascii="Univers" w:hAnsi="Univers"/>
          <w:sz w:val="20"/>
          <w:szCs w:val="20"/>
        </w:rPr>
        <w:t>La CIDH transmitió estas comunicaciones a</w:t>
      </w:r>
      <w:r w:rsidR="00161C15">
        <w:rPr>
          <w:rFonts w:ascii="Univers" w:hAnsi="Univers"/>
          <w:sz w:val="20"/>
          <w:szCs w:val="20"/>
        </w:rPr>
        <w:t xml:space="preserve"> </w:t>
      </w:r>
      <w:r w:rsidRPr="00E53CE2">
        <w:rPr>
          <w:rFonts w:ascii="Univers" w:hAnsi="Univers"/>
          <w:sz w:val="20"/>
          <w:szCs w:val="20"/>
        </w:rPr>
        <w:t>l</w:t>
      </w:r>
      <w:r w:rsidR="00161C15">
        <w:rPr>
          <w:rFonts w:ascii="Univers" w:hAnsi="Univers"/>
          <w:sz w:val="20"/>
          <w:szCs w:val="20"/>
        </w:rPr>
        <w:t>os</w:t>
      </w:r>
      <w:r w:rsidRPr="00E53CE2">
        <w:rPr>
          <w:rFonts w:ascii="Univers" w:hAnsi="Univers"/>
          <w:sz w:val="20"/>
          <w:szCs w:val="20"/>
        </w:rPr>
        <w:t xml:space="preserve"> peticionario</w:t>
      </w:r>
      <w:r w:rsidR="00161C15">
        <w:rPr>
          <w:rFonts w:ascii="Univers" w:hAnsi="Univers"/>
          <w:sz w:val="20"/>
          <w:szCs w:val="20"/>
        </w:rPr>
        <w:t>s</w:t>
      </w:r>
      <w:r w:rsidRPr="00E53CE2">
        <w:rPr>
          <w:rFonts w:ascii="Univers" w:hAnsi="Univers"/>
          <w:sz w:val="20"/>
          <w:szCs w:val="20"/>
        </w:rPr>
        <w:t xml:space="preserve">. </w:t>
      </w:r>
      <w:r w:rsidR="00161C15">
        <w:rPr>
          <w:rFonts w:ascii="Univers" w:hAnsi="Univers"/>
          <w:sz w:val="20"/>
          <w:szCs w:val="20"/>
        </w:rPr>
        <w:t xml:space="preserve"> Los peticionarios enviaron información adicional el 16 de julio de 2012</w:t>
      </w:r>
      <w:r w:rsidRPr="00E53CE2">
        <w:rPr>
          <w:rFonts w:ascii="Univers" w:hAnsi="Univers"/>
          <w:sz w:val="20"/>
          <w:szCs w:val="20"/>
        </w:rPr>
        <w:t>.</w:t>
      </w:r>
      <w:r w:rsidR="00161C15">
        <w:rPr>
          <w:rFonts w:ascii="Univers" w:hAnsi="Univers"/>
          <w:sz w:val="20"/>
          <w:szCs w:val="20"/>
        </w:rPr>
        <w:t xml:space="preserve"> </w:t>
      </w:r>
      <w:r w:rsidRPr="00E53CE2">
        <w:rPr>
          <w:rFonts w:ascii="Univers" w:hAnsi="Univers"/>
          <w:sz w:val="20"/>
          <w:szCs w:val="20"/>
        </w:rPr>
        <w:t xml:space="preserve"> Dicha comunicaci</w:t>
      </w:r>
      <w:r w:rsidR="00161C15">
        <w:rPr>
          <w:rFonts w:ascii="Univers" w:hAnsi="Univers"/>
          <w:sz w:val="20"/>
          <w:szCs w:val="20"/>
        </w:rPr>
        <w:t>ón fue</w:t>
      </w:r>
      <w:r w:rsidRPr="00E53CE2">
        <w:rPr>
          <w:rFonts w:ascii="Univers" w:hAnsi="Univers"/>
          <w:sz w:val="20"/>
          <w:szCs w:val="20"/>
        </w:rPr>
        <w:t xml:space="preserve"> trasladada al</w:t>
      </w:r>
      <w:r w:rsidR="0091262D">
        <w:rPr>
          <w:rFonts w:ascii="Univers" w:hAnsi="Univers"/>
          <w:sz w:val="20"/>
          <w:szCs w:val="20"/>
        </w:rPr>
        <w:t xml:space="preserve"> </w:t>
      </w:r>
      <w:r w:rsidR="00161C15">
        <w:rPr>
          <w:rFonts w:ascii="Univers" w:hAnsi="Univers"/>
          <w:sz w:val="20"/>
          <w:szCs w:val="20"/>
        </w:rPr>
        <w:t>Estado</w:t>
      </w:r>
      <w:r w:rsidRPr="00E53CE2">
        <w:rPr>
          <w:rFonts w:ascii="Univers" w:hAnsi="Univers"/>
          <w:sz w:val="20"/>
          <w:szCs w:val="20"/>
        </w:rPr>
        <w:t>.</w:t>
      </w:r>
      <w:r w:rsidR="00C441F9">
        <w:rPr>
          <w:rFonts w:ascii="Univers" w:hAnsi="Univers"/>
          <w:sz w:val="20"/>
          <w:szCs w:val="20"/>
        </w:rPr>
        <w:t xml:space="preserve"> </w:t>
      </w:r>
      <w:r w:rsidR="009D1D7A">
        <w:rPr>
          <w:rFonts w:ascii="Univers" w:hAnsi="Univers"/>
          <w:sz w:val="20"/>
          <w:szCs w:val="20"/>
        </w:rPr>
        <w:t xml:space="preserve"> El Estado envió información adicional el 1 de octubre de 2012.  </w:t>
      </w:r>
      <w:r w:rsidR="009D1D7A" w:rsidRPr="00E53CE2">
        <w:rPr>
          <w:rFonts w:ascii="Univers" w:hAnsi="Univers"/>
          <w:sz w:val="20"/>
          <w:szCs w:val="20"/>
        </w:rPr>
        <w:t>Dicha comunicaci</w:t>
      </w:r>
      <w:r w:rsidR="009D1D7A">
        <w:rPr>
          <w:rFonts w:ascii="Univers" w:hAnsi="Univers"/>
          <w:sz w:val="20"/>
          <w:szCs w:val="20"/>
        </w:rPr>
        <w:t>ón fue trasladada a los peticionarios.</w:t>
      </w:r>
    </w:p>
    <w:p w:rsidR="00E92B06" w:rsidRPr="00E53CE2" w:rsidRDefault="00E92B06" w:rsidP="00870154">
      <w:pPr>
        <w:jc w:val="both"/>
        <w:rPr>
          <w:rFonts w:ascii="Univers" w:hAnsi="Univers"/>
          <w:sz w:val="20"/>
          <w:szCs w:val="20"/>
        </w:rPr>
      </w:pPr>
    </w:p>
    <w:p w:rsidR="00E92B06" w:rsidRPr="00E53CE2" w:rsidRDefault="00E92B06" w:rsidP="00870154">
      <w:pPr>
        <w:ind w:firstLine="720"/>
        <w:jc w:val="both"/>
        <w:rPr>
          <w:rFonts w:ascii="Univers" w:hAnsi="Univers"/>
          <w:b/>
          <w:bCs/>
          <w:sz w:val="20"/>
          <w:szCs w:val="20"/>
        </w:rPr>
      </w:pPr>
      <w:r w:rsidRPr="00E53CE2">
        <w:rPr>
          <w:rFonts w:ascii="Univers" w:hAnsi="Univers"/>
          <w:b/>
          <w:bCs/>
          <w:sz w:val="20"/>
          <w:szCs w:val="20"/>
        </w:rPr>
        <w:t>III.</w:t>
      </w:r>
      <w:r w:rsidRPr="00E53CE2">
        <w:rPr>
          <w:rFonts w:ascii="Univers" w:hAnsi="Univers"/>
          <w:b/>
          <w:bCs/>
          <w:sz w:val="20"/>
          <w:szCs w:val="20"/>
        </w:rPr>
        <w:tab/>
        <w:t>POSICIÓN DE LAS PARTES</w:t>
      </w:r>
    </w:p>
    <w:p w:rsidR="00E92B06" w:rsidRPr="00E53CE2" w:rsidRDefault="00E92B06" w:rsidP="00870154">
      <w:pPr>
        <w:jc w:val="both"/>
        <w:rPr>
          <w:rFonts w:ascii="Univers" w:hAnsi="Univers"/>
          <w:sz w:val="20"/>
          <w:szCs w:val="20"/>
        </w:rPr>
      </w:pPr>
    </w:p>
    <w:p w:rsidR="00E92B06" w:rsidRPr="00E53CE2" w:rsidRDefault="00E92B06" w:rsidP="00870154">
      <w:pPr>
        <w:ind w:firstLine="720"/>
        <w:jc w:val="both"/>
        <w:rPr>
          <w:rFonts w:ascii="Univers" w:hAnsi="Univers"/>
          <w:b/>
          <w:bCs/>
          <w:sz w:val="20"/>
          <w:szCs w:val="20"/>
        </w:rPr>
      </w:pPr>
      <w:r>
        <w:rPr>
          <w:rFonts w:ascii="Univers" w:hAnsi="Univers"/>
          <w:b/>
          <w:bCs/>
          <w:sz w:val="20"/>
          <w:szCs w:val="20"/>
        </w:rPr>
        <w:t>A.</w:t>
      </w:r>
      <w:r>
        <w:rPr>
          <w:rFonts w:ascii="Univers" w:hAnsi="Univers"/>
          <w:b/>
          <w:bCs/>
          <w:sz w:val="20"/>
          <w:szCs w:val="20"/>
        </w:rPr>
        <w:tab/>
        <w:t>Posición de</w:t>
      </w:r>
      <w:r w:rsidR="0091262D">
        <w:rPr>
          <w:rFonts w:ascii="Univers" w:hAnsi="Univers"/>
          <w:b/>
          <w:bCs/>
          <w:sz w:val="20"/>
          <w:szCs w:val="20"/>
        </w:rPr>
        <w:t xml:space="preserve"> </w:t>
      </w:r>
      <w:r>
        <w:rPr>
          <w:rFonts w:ascii="Univers" w:hAnsi="Univers"/>
          <w:b/>
          <w:bCs/>
          <w:sz w:val="20"/>
          <w:szCs w:val="20"/>
        </w:rPr>
        <w:t>l</w:t>
      </w:r>
      <w:r w:rsidR="0091262D">
        <w:rPr>
          <w:rFonts w:ascii="Univers" w:hAnsi="Univers"/>
          <w:b/>
          <w:bCs/>
          <w:sz w:val="20"/>
          <w:szCs w:val="20"/>
        </w:rPr>
        <w:t>os</w:t>
      </w:r>
      <w:r>
        <w:rPr>
          <w:rFonts w:ascii="Univers" w:hAnsi="Univers"/>
          <w:b/>
          <w:bCs/>
          <w:sz w:val="20"/>
          <w:szCs w:val="20"/>
        </w:rPr>
        <w:t xml:space="preserve"> peticionario</w:t>
      </w:r>
      <w:r w:rsidR="0091262D">
        <w:rPr>
          <w:rFonts w:ascii="Univers" w:hAnsi="Univers"/>
          <w:b/>
          <w:bCs/>
          <w:sz w:val="20"/>
          <w:szCs w:val="20"/>
        </w:rPr>
        <w:t>s</w:t>
      </w:r>
    </w:p>
    <w:p w:rsidR="00E92B06" w:rsidRPr="00C20A01" w:rsidRDefault="00E92B06" w:rsidP="00870154">
      <w:pPr>
        <w:ind w:firstLine="720"/>
        <w:jc w:val="both"/>
        <w:rPr>
          <w:rFonts w:ascii="Univers" w:hAnsi="Univers"/>
          <w:b/>
          <w:bCs/>
          <w:sz w:val="20"/>
          <w:szCs w:val="20"/>
        </w:rPr>
      </w:pPr>
    </w:p>
    <w:p w:rsidR="002D0EDA" w:rsidRDefault="00E92B06" w:rsidP="00870154">
      <w:pPr>
        <w:autoSpaceDE w:val="0"/>
        <w:autoSpaceDN w:val="0"/>
        <w:adjustRightInd w:val="0"/>
        <w:jc w:val="both"/>
        <w:rPr>
          <w:rFonts w:ascii="Univers" w:hAnsi="Univers"/>
          <w:sz w:val="20"/>
          <w:szCs w:val="20"/>
        </w:rPr>
      </w:pPr>
      <w:r w:rsidRPr="00C20A01">
        <w:rPr>
          <w:rFonts w:ascii="Univers" w:hAnsi="Univers" w:cs="Arial"/>
          <w:sz w:val="20"/>
          <w:szCs w:val="20"/>
        </w:rPr>
        <w:tab/>
        <w:t>5.</w:t>
      </w:r>
      <w:r w:rsidRPr="00C20A01">
        <w:rPr>
          <w:rFonts w:ascii="Univers" w:hAnsi="Univers" w:cs="Arial"/>
          <w:sz w:val="20"/>
          <w:szCs w:val="20"/>
        </w:rPr>
        <w:tab/>
      </w:r>
      <w:r w:rsidR="001036E5" w:rsidRPr="00C20A01">
        <w:rPr>
          <w:rFonts w:ascii="Univers" w:hAnsi="Univers" w:cs="Arial"/>
          <w:sz w:val="20"/>
          <w:szCs w:val="20"/>
        </w:rPr>
        <w:t xml:space="preserve">Los peticionarios señalan </w:t>
      </w:r>
      <w:r w:rsidR="003B6116">
        <w:rPr>
          <w:rFonts w:ascii="Univers" w:hAnsi="Univers" w:cs="Arial"/>
          <w:sz w:val="20"/>
          <w:szCs w:val="20"/>
        </w:rPr>
        <w:t xml:space="preserve">que </w:t>
      </w:r>
      <w:r w:rsidR="00C20A01" w:rsidRPr="00C20A01">
        <w:rPr>
          <w:rFonts w:ascii="Univers" w:hAnsi="Univers"/>
          <w:sz w:val="20"/>
          <w:szCs w:val="20"/>
        </w:rPr>
        <w:t xml:space="preserve">los hechos del </w:t>
      </w:r>
      <w:r w:rsidR="008A713B">
        <w:rPr>
          <w:rFonts w:ascii="Univers" w:hAnsi="Univers"/>
          <w:sz w:val="20"/>
          <w:szCs w:val="20"/>
        </w:rPr>
        <w:t>presente asunto ocurrieron en el marco de una</w:t>
      </w:r>
      <w:r w:rsidR="00C20A01" w:rsidRPr="00C20A01">
        <w:rPr>
          <w:rFonts w:ascii="Univers" w:hAnsi="Univers"/>
          <w:sz w:val="20"/>
          <w:szCs w:val="20"/>
        </w:rPr>
        <w:t xml:space="preserve"> práctica sistemática de detenciones arbitrarias, torturas y ejecuciones </w:t>
      </w:r>
      <w:r w:rsidR="00C41BF0">
        <w:rPr>
          <w:rFonts w:ascii="Univers" w:hAnsi="Univers"/>
          <w:sz w:val="20"/>
          <w:szCs w:val="20"/>
        </w:rPr>
        <w:t xml:space="preserve">extrajudiciales </w:t>
      </w:r>
      <w:r w:rsidR="00C20A01" w:rsidRPr="00C20A01">
        <w:rPr>
          <w:rFonts w:ascii="Univers" w:hAnsi="Univers"/>
          <w:sz w:val="20"/>
          <w:szCs w:val="20"/>
        </w:rPr>
        <w:t>perpetradas por las fuerzas de seguridad del Estado en contra de periodistas, estudiantes, abogados, miembros de la Iglesia Católica, líderes sindicales, y disidentes políticos</w:t>
      </w:r>
      <w:r w:rsidR="00AB6F48">
        <w:rPr>
          <w:rFonts w:ascii="Univers" w:hAnsi="Univers"/>
          <w:sz w:val="20"/>
          <w:szCs w:val="20"/>
        </w:rPr>
        <w:t xml:space="preserve"> en general</w:t>
      </w:r>
      <w:r w:rsidR="00C41BF0">
        <w:rPr>
          <w:rFonts w:ascii="Univers" w:hAnsi="Univers"/>
          <w:sz w:val="20"/>
          <w:szCs w:val="20"/>
        </w:rPr>
        <w:t>,</w:t>
      </w:r>
      <w:r w:rsidR="00C20A01" w:rsidRPr="00C20A01">
        <w:rPr>
          <w:rFonts w:ascii="Univers" w:hAnsi="Univers"/>
          <w:sz w:val="20"/>
          <w:szCs w:val="20"/>
        </w:rPr>
        <w:t xml:space="preserve"> en el marco de la implantación en Brasil de una dictadura militar iniciada a partir de un golpe de estado el 31 de marzo de 1964, y que se extendió hasta 1985.</w:t>
      </w:r>
    </w:p>
    <w:p w:rsidR="00C20A01" w:rsidRDefault="00C20A01" w:rsidP="00870154">
      <w:pPr>
        <w:autoSpaceDE w:val="0"/>
        <w:autoSpaceDN w:val="0"/>
        <w:adjustRightInd w:val="0"/>
        <w:jc w:val="both"/>
        <w:rPr>
          <w:rFonts w:ascii="Univers" w:hAnsi="Univers" w:cs="Arial"/>
          <w:sz w:val="20"/>
          <w:szCs w:val="20"/>
        </w:rPr>
      </w:pPr>
    </w:p>
    <w:p w:rsidR="00C20A01" w:rsidRDefault="004534F1" w:rsidP="00870154">
      <w:pPr>
        <w:autoSpaceDE w:val="0"/>
        <w:autoSpaceDN w:val="0"/>
        <w:adjustRightInd w:val="0"/>
        <w:jc w:val="both"/>
        <w:rPr>
          <w:rFonts w:ascii="Univers" w:hAnsi="Univers"/>
          <w:sz w:val="20"/>
          <w:szCs w:val="20"/>
        </w:rPr>
      </w:pPr>
      <w:r>
        <w:rPr>
          <w:rFonts w:ascii="Univers" w:hAnsi="Univers" w:cs="Arial"/>
          <w:sz w:val="20"/>
          <w:szCs w:val="20"/>
        </w:rPr>
        <w:tab/>
        <w:t>6.</w:t>
      </w:r>
      <w:r>
        <w:rPr>
          <w:rFonts w:ascii="Univers" w:hAnsi="Univers" w:cs="Arial"/>
          <w:sz w:val="20"/>
          <w:szCs w:val="20"/>
        </w:rPr>
        <w:tab/>
        <w:t>En ese contexto, V</w:t>
      </w:r>
      <w:r w:rsidR="00C20A01">
        <w:rPr>
          <w:rFonts w:ascii="Univers" w:hAnsi="Univers" w:cs="Arial"/>
          <w:sz w:val="20"/>
          <w:szCs w:val="20"/>
        </w:rPr>
        <w:t>ladimir Herzog, periodista de 38 años</w:t>
      </w:r>
      <w:r w:rsidR="00C20A01" w:rsidRPr="006A6267">
        <w:rPr>
          <w:rStyle w:val="Refdenotaalpie"/>
          <w:rFonts w:ascii="Univers" w:hAnsi="Univers" w:cs="Arial"/>
          <w:szCs w:val="16"/>
        </w:rPr>
        <w:footnoteReference w:id="2"/>
      </w:r>
      <w:r w:rsidR="000B7B49">
        <w:rPr>
          <w:rFonts w:ascii="Univers" w:hAnsi="Univers" w:cs="Arial"/>
          <w:sz w:val="20"/>
          <w:szCs w:val="20"/>
        </w:rPr>
        <w:t xml:space="preserve"> y director del canal de televisión “TV Cultura”</w:t>
      </w:r>
      <w:r w:rsidR="00C20A01" w:rsidRPr="00C20A01">
        <w:rPr>
          <w:rFonts w:ascii="Univers" w:hAnsi="Univers" w:cs="Arial"/>
          <w:sz w:val="20"/>
          <w:szCs w:val="20"/>
        </w:rPr>
        <w:t xml:space="preserve">, </w:t>
      </w:r>
      <w:r w:rsidR="00C20A01">
        <w:rPr>
          <w:rFonts w:ascii="Univers" w:hAnsi="Univers" w:cs="Arial"/>
          <w:sz w:val="20"/>
          <w:szCs w:val="20"/>
        </w:rPr>
        <w:t xml:space="preserve">era supuestamente visto por el régimen militar como un </w:t>
      </w:r>
      <w:r w:rsidR="00561EEE">
        <w:rPr>
          <w:rFonts w:ascii="Univers" w:hAnsi="Univers" w:cs="Arial"/>
          <w:sz w:val="20"/>
          <w:szCs w:val="20"/>
        </w:rPr>
        <w:t>“</w:t>
      </w:r>
      <w:r w:rsidR="00C20A01">
        <w:rPr>
          <w:rFonts w:ascii="Univers" w:hAnsi="Univers" w:cs="Arial"/>
          <w:sz w:val="20"/>
          <w:szCs w:val="20"/>
        </w:rPr>
        <w:t>enemigo del Estado</w:t>
      </w:r>
      <w:r w:rsidR="00561EEE">
        <w:rPr>
          <w:rFonts w:ascii="Univers" w:hAnsi="Univers" w:cs="Arial"/>
          <w:sz w:val="20"/>
          <w:szCs w:val="20"/>
        </w:rPr>
        <w:t>”</w:t>
      </w:r>
      <w:r w:rsidR="00C20A01">
        <w:rPr>
          <w:rFonts w:ascii="Univers" w:hAnsi="Univers" w:cs="Arial"/>
          <w:sz w:val="20"/>
          <w:szCs w:val="20"/>
        </w:rPr>
        <w:t xml:space="preserve">, en virtud de reportajes </w:t>
      </w:r>
      <w:r w:rsidR="00561EEE">
        <w:rPr>
          <w:rFonts w:ascii="Univers" w:hAnsi="Univers" w:cs="Arial"/>
          <w:sz w:val="20"/>
          <w:szCs w:val="20"/>
        </w:rPr>
        <w:t>periodísticos</w:t>
      </w:r>
      <w:r w:rsidR="00C20A01">
        <w:rPr>
          <w:rFonts w:ascii="Univers" w:hAnsi="Univers" w:cs="Arial"/>
          <w:sz w:val="20"/>
          <w:szCs w:val="20"/>
        </w:rPr>
        <w:t xml:space="preserve"> que había publicado, particularmente por un “reportaje histórico” que </w:t>
      </w:r>
      <w:r w:rsidR="00765BDC">
        <w:rPr>
          <w:rFonts w:ascii="Univers" w:hAnsi="Univers" w:cs="Arial"/>
          <w:sz w:val="20"/>
          <w:szCs w:val="20"/>
        </w:rPr>
        <w:t>efectuó</w:t>
      </w:r>
      <w:r w:rsidR="00C20A01">
        <w:rPr>
          <w:rFonts w:ascii="Univers" w:hAnsi="Univers" w:cs="Arial"/>
          <w:sz w:val="20"/>
          <w:szCs w:val="20"/>
        </w:rPr>
        <w:t xml:space="preserve"> un </w:t>
      </w:r>
      <w:r w:rsidR="00765BDC">
        <w:rPr>
          <w:rFonts w:ascii="Univers" w:hAnsi="Univers" w:cs="Arial"/>
          <w:sz w:val="20"/>
          <w:szCs w:val="20"/>
        </w:rPr>
        <w:t xml:space="preserve">análisis </w:t>
      </w:r>
      <w:r w:rsidR="00C20A01">
        <w:rPr>
          <w:rFonts w:ascii="Univers" w:hAnsi="Univers" w:cs="Arial"/>
          <w:sz w:val="20"/>
          <w:szCs w:val="20"/>
        </w:rPr>
        <w:t xml:space="preserve">de </w:t>
      </w:r>
      <w:r w:rsidR="00D24BFC">
        <w:rPr>
          <w:rFonts w:ascii="Univers" w:hAnsi="Univers" w:cs="Arial"/>
          <w:sz w:val="20"/>
          <w:szCs w:val="20"/>
        </w:rPr>
        <w:t>l</w:t>
      </w:r>
      <w:r w:rsidR="00244F72">
        <w:rPr>
          <w:rFonts w:ascii="Univers" w:hAnsi="Univers" w:cs="Arial"/>
          <w:sz w:val="20"/>
          <w:szCs w:val="20"/>
        </w:rPr>
        <w:t>a primera década</w:t>
      </w:r>
      <w:r w:rsidR="00C20A01">
        <w:rPr>
          <w:rFonts w:ascii="Univers" w:hAnsi="Univers" w:cs="Arial"/>
          <w:sz w:val="20"/>
          <w:szCs w:val="20"/>
        </w:rPr>
        <w:t xml:space="preserve"> del golpe militar en </w:t>
      </w:r>
      <w:r w:rsidR="00D24BFC">
        <w:rPr>
          <w:rFonts w:ascii="Univers" w:hAnsi="Univers" w:cs="Arial"/>
          <w:sz w:val="20"/>
          <w:szCs w:val="20"/>
        </w:rPr>
        <w:t>B</w:t>
      </w:r>
      <w:r w:rsidR="00C20A01">
        <w:rPr>
          <w:rFonts w:ascii="Univers" w:hAnsi="Univers" w:cs="Arial"/>
          <w:sz w:val="20"/>
          <w:szCs w:val="20"/>
        </w:rPr>
        <w:t xml:space="preserve">rasil, en 1974.  </w:t>
      </w:r>
      <w:r w:rsidR="00D24BFC">
        <w:rPr>
          <w:rFonts w:ascii="Univers" w:hAnsi="Univers" w:cs="Arial"/>
          <w:sz w:val="20"/>
          <w:szCs w:val="20"/>
        </w:rPr>
        <w:t>Posteriormente, según los peticionarios, en la noche del 24 de octubre</w:t>
      </w:r>
      <w:r w:rsidR="008529B8">
        <w:rPr>
          <w:rFonts w:ascii="Univers" w:hAnsi="Univers" w:cs="Arial"/>
          <w:sz w:val="20"/>
          <w:szCs w:val="20"/>
        </w:rPr>
        <w:t xml:space="preserve"> de 1975, </w:t>
      </w:r>
      <w:r w:rsidR="00561EEE">
        <w:rPr>
          <w:rFonts w:ascii="Univers" w:hAnsi="Univers" w:cs="Arial"/>
          <w:sz w:val="20"/>
          <w:szCs w:val="20"/>
        </w:rPr>
        <w:t>agentes del</w:t>
      </w:r>
      <w:r w:rsidR="00561EEE" w:rsidRPr="00561EEE">
        <w:rPr>
          <w:rFonts w:ascii="Univers" w:hAnsi="Univers" w:cs="Arial"/>
          <w:sz w:val="20"/>
          <w:szCs w:val="20"/>
        </w:rPr>
        <w:t xml:space="preserve"> </w:t>
      </w:r>
      <w:r w:rsidR="00561EEE" w:rsidRPr="00561EEE">
        <w:rPr>
          <w:rFonts w:ascii="Univers" w:hAnsi="Univers"/>
          <w:sz w:val="20"/>
          <w:szCs w:val="20"/>
        </w:rPr>
        <w:t xml:space="preserve">Destacamento de Operaciones de Información </w:t>
      </w:r>
      <w:r w:rsidR="00561EEE">
        <w:rPr>
          <w:rFonts w:ascii="Univers" w:hAnsi="Univers"/>
          <w:sz w:val="20"/>
          <w:szCs w:val="20"/>
        </w:rPr>
        <w:t>d</w:t>
      </w:r>
      <w:r w:rsidR="00561EEE" w:rsidRPr="00561EEE">
        <w:rPr>
          <w:rFonts w:ascii="Univers" w:hAnsi="Univers"/>
          <w:sz w:val="20"/>
          <w:szCs w:val="20"/>
        </w:rPr>
        <w:t>el Centro de Operaciones de Defensa Interna</w:t>
      </w:r>
      <w:r w:rsidR="00561EEE">
        <w:rPr>
          <w:rFonts w:ascii="Univers" w:hAnsi="Univers"/>
          <w:sz w:val="20"/>
          <w:szCs w:val="20"/>
        </w:rPr>
        <w:t xml:space="preserve"> del II Ejercito (“DOI/CODI”) de São Paulo convocaron a la presunta víctima para prestar declaraciones en la sed</w:t>
      </w:r>
      <w:r w:rsidR="000907A9">
        <w:rPr>
          <w:rFonts w:ascii="Univers" w:hAnsi="Univers"/>
          <w:sz w:val="20"/>
          <w:szCs w:val="20"/>
        </w:rPr>
        <w:t>e</w:t>
      </w:r>
      <w:r w:rsidR="00561EEE">
        <w:rPr>
          <w:rFonts w:ascii="Univers" w:hAnsi="Univers"/>
          <w:sz w:val="20"/>
          <w:szCs w:val="20"/>
        </w:rPr>
        <w:t xml:space="preserve"> de ese órgano</w:t>
      </w:r>
      <w:r w:rsidR="002E52D3">
        <w:rPr>
          <w:rFonts w:ascii="Univers" w:hAnsi="Univers"/>
          <w:sz w:val="20"/>
          <w:szCs w:val="20"/>
        </w:rPr>
        <w:t xml:space="preserve"> y trataron de </w:t>
      </w:r>
      <w:r w:rsidR="009D1D7A">
        <w:rPr>
          <w:rFonts w:ascii="Univers" w:hAnsi="Univers"/>
          <w:sz w:val="20"/>
          <w:szCs w:val="20"/>
        </w:rPr>
        <w:t xml:space="preserve">localizar y </w:t>
      </w:r>
      <w:r w:rsidR="002E52D3">
        <w:rPr>
          <w:rFonts w:ascii="Univers" w:hAnsi="Univers"/>
          <w:sz w:val="20"/>
          <w:szCs w:val="20"/>
        </w:rPr>
        <w:t>arrestarlo</w:t>
      </w:r>
      <w:r w:rsidR="000907A9">
        <w:rPr>
          <w:rFonts w:ascii="Univers" w:hAnsi="Univers"/>
          <w:sz w:val="20"/>
          <w:szCs w:val="20"/>
        </w:rPr>
        <w:t>, sin éxito</w:t>
      </w:r>
      <w:r w:rsidR="00561EEE">
        <w:rPr>
          <w:rFonts w:ascii="Univers" w:hAnsi="Univers"/>
          <w:sz w:val="20"/>
          <w:szCs w:val="20"/>
        </w:rPr>
        <w:t>.</w:t>
      </w:r>
      <w:r w:rsidR="002E52D3">
        <w:rPr>
          <w:rFonts w:ascii="Univers" w:hAnsi="Univers"/>
          <w:sz w:val="20"/>
          <w:szCs w:val="20"/>
        </w:rPr>
        <w:t xml:space="preserve">  </w:t>
      </w:r>
      <w:r w:rsidR="000907A9">
        <w:rPr>
          <w:rFonts w:ascii="Univers" w:hAnsi="Univers"/>
          <w:sz w:val="20"/>
          <w:szCs w:val="20"/>
        </w:rPr>
        <w:t xml:space="preserve">No obstante lo anterior, informan los peticionarios, la presunta víctima compareció espontáneamente a la sede del DOI/CODI el día siguiente, 25 de octubre de 1975, para prestar declaraciones, cuando fue arbitrariamente detenido, sin orden de autoridad </w:t>
      </w:r>
      <w:r w:rsidR="00251844">
        <w:rPr>
          <w:rFonts w:ascii="Univers" w:hAnsi="Univers"/>
          <w:sz w:val="20"/>
          <w:szCs w:val="20"/>
        </w:rPr>
        <w:t xml:space="preserve">judicial </w:t>
      </w:r>
      <w:r w:rsidR="000907A9">
        <w:rPr>
          <w:rFonts w:ascii="Univers" w:hAnsi="Univers"/>
          <w:sz w:val="20"/>
          <w:szCs w:val="20"/>
        </w:rPr>
        <w:t>competente.</w:t>
      </w:r>
    </w:p>
    <w:p w:rsidR="00D323BC" w:rsidRDefault="00D323BC" w:rsidP="00870154">
      <w:pPr>
        <w:autoSpaceDE w:val="0"/>
        <w:autoSpaceDN w:val="0"/>
        <w:adjustRightInd w:val="0"/>
        <w:jc w:val="both"/>
        <w:rPr>
          <w:rFonts w:ascii="Univers" w:hAnsi="Univers" w:cs="Arial"/>
          <w:sz w:val="20"/>
          <w:szCs w:val="20"/>
        </w:rPr>
      </w:pPr>
    </w:p>
    <w:p w:rsidR="00D323BC" w:rsidRDefault="00D323BC" w:rsidP="00870154">
      <w:pPr>
        <w:autoSpaceDE w:val="0"/>
        <w:autoSpaceDN w:val="0"/>
        <w:adjustRightInd w:val="0"/>
        <w:jc w:val="both"/>
        <w:rPr>
          <w:rFonts w:ascii="Univers" w:hAnsi="Univers" w:cs="Arial"/>
          <w:sz w:val="20"/>
          <w:szCs w:val="20"/>
        </w:rPr>
      </w:pPr>
      <w:r>
        <w:rPr>
          <w:rFonts w:ascii="Univers" w:hAnsi="Univers" w:cs="Arial"/>
          <w:sz w:val="20"/>
          <w:szCs w:val="20"/>
        </w:rPr>
        <w:tab/>
        <w:t>7.</w:t>
      </w:r>
      <w:r>
        <w:rPr>
          <w:rFonts w:ascii="Univers" w:hAnsi="Univers" w:cs="Arial"/>
          <w:sz w:val="20"/>
          <w:szCs w:val="20"/>
        </w:rPr>
        <w:tab/>
        <w:t>Conforme a los peticionarios, ese mismo día, el entonces comandante del DOI/CODI divulgó públicamente que la presunta víctima había muerto en su celda, supuestamente por suicidio.  Los peticionarios alegan que la muerte de la presunta víctima fue una ejecución extrajudicial</w:t>
      </w:r>
      <w:r w:rsidR="00266EA0">
        <w:rPr>
          <w:rFonts w:ascii="Univers" w:hAnsi="Univers" w:cs="Arial"/>
          <w:sz w:val="20"/>
          <w:szCs w:val="20"/>
        </w:rPr>
        <w:t xml:space="preserve"> perpetrada mediante tortura, y </w:t>
      </w:r>
      <w:r>
        <w:rPr>
          <w:rFonts w:ascii="Univers" w:hAnsi="Univers" w:cs="Arial"/>
          <w:sz w:val="20"/>
          <w:szCs w:val="20"/>
        </w:rPr>
        <w:t xml:space="preserve">que fue </w:t>
      </w:r>
      <w:r w:rsidR="00203F46">
        <w:rPr>
          <w:rFonts w:ascii="Univers" w:hAnsi="Univers" w:cs="Arial"/>
          <w:sz w:val="20"/>
          <w:szCs w:val="20"/>
        </w:rPr>
        <w:t>disfrazada</w:t>
      </w:r>
      <w:r>
        <w:rPr>
          <w:rFonts w:ascii="Univers" w:hAnsi="Univers" w:cs="Arial"/>
          <w:sz w:val="20"/>
          <w:szCs w:val="20"/>
        </w:rPr>
        <w:t xml:space="preserve"> como un </w:t>
      </w:r>
      <w:r w:rsidR="00203F46">
        <w:rPr>
          <w:rFonts w:ascii="Univers" w:hAnsi="Univers" w:cs="Arial"/>
          <w:sz w:val="20"/>
          <w:szCs w:val="20"/>
        </w:rPr>
        <w:t>suicidio</w:t>
      </w:r>
      <w:r w:rsidR="005832B5">
        <w:rPr>
          <w:rFonts w:ascii="Univers" w:hAnsi="Univers" w:cs="Arial"/>
          <w:sz w:val="20"/>
          <w:szCs w:val="20"/>
        </w:rPr>
        <w:t xml:space="preserve">, conforme a una </w:t>
      </w:r>
      <w:r>
        <w:rPr>
          <w:rFonts w:ascii="Univers" w:hAnsi="Univers" w:cs="Arial"/>
          <w:sz w:val="20"/>
          <w:szCs w:val="20"/>
        </w:rPr>
        <w:t xml:space="preserve">práctica </w:t>
      </w:r>
      <w:r w:rsidR="005832B5">
        <w:rPr>
          <w:rFonts w:ascii="Univers" w:hAnsi="Univers" w:cs="Arial"/>
          <w:sz w:val="20"/>
          <w:szCs w:val="20"/>
        </w:rPr>
        <w:t xml:space="preserve">reiterada </w:t>
      </w:r>
      <w:r>
        <w:rPr>
          <w:rFonts w:ascii="Univers" w:hAnsi="Univers" w:cs="Arial"/>
          <w:sz w:val="20"/>
          <w:szCs w:val="20"/>
        </w:rPr>
        <w:t xml:space="preserve">durante la dictadura militar brasileña.  </w:t>
      </w:r>
      <w:r w:rsidR="00C41BF0">
        <w:rPr>
          <w:rFonts w:ascii="Univers" w:hAnsi="Univers" w:cs="Arial"/>
          <w:sz w:val="20"/>
          <w:szCs w:val="20"/>
        </w:rPr>
        <w:t xml:space="preserve">De acuerdo con los peticionarios, su muerte provocó gran conmoción en la sociedad brasileña y resultó en la concientización de </w:t>
      </w:r>
      <w:r w:rsidR="00251844">
        <w:rPr>
          <w:rFonts w:ascii="Univers" w:hAnsi="Univers" w:cs="Arial"/>
          <w:sz w:val="20"/>
          <w:szCs w:val="20"/>
        </w:rPr>
        <w:t xml:space="preserve">la </w:t>
      </w:r>
      <w:r w:rsidR="00C41BF0">
        <w:rPr>
          <w:rFonts w:ascii="Univers" w:hAnsi="Univers" w:cs="Arial"/>
          <w:sz w:val="20"/>
          <w:szCs w:val="20"/>
        </w:rPr>
        <w:t>práctica generalizada de torturar a los presos políticos.</w:t>
      </w:r>
    </w:p>
    <w:p w:rsidR="00C41BF0" w:rsidRDefault="00C41BF0" w:rsidP="00870154">
      <w:pPr>
        <w:autoSpaceDE w:val="0"/>
        <w:autoSpaceDN w:val="0"/>
        <w:adjustRightInd w:val="0"/>
        <w:jc w:val="both"/>
        <w:rPr>
          <w:rFonts w:ascii="Univers" w:hAnsi="Univers" w:cs="Arial"/>
          <w:sz w:val="20"/>
          <w:szCs w:val="20"/>
        </w:rPr>
      </w:pPr>
    </w:p>
    <w:p w:rsidR="00C41BF0" w:rsidRDefault="00C41BF0" w:rsidP="00870154">
      <w:pPr>
        <w:autoSpaceDE w:val="0"/>
        <w:autoSpaceDN w:val="0"/>
        <w:adjustRightInd w:val="0"/>
        <w:jc w:val="both"/>
        <w:rPr>
          <w:rFonts w:ascii="Univers" w:hAnsi="Univers" w:cs="Arial"/>
          <w:sz w:val="20"/>
          <w:szCs w:val="20"/>
        </w:rPr>
      </w:pPr>
      <w:r>
        <w:rPr>
          <w:rFonts w:ascii="Univers" w:hAnsi="Univers" w:cs="Arial"/>
          <w:sz w:val="20"/>
          <w:szCs w:val="20"/>
        </w:rPr>
        <w:tab/>
        <w:t>8.</w:t>
      </w:r>
      <w:r>
        <w:rPr>
          <w:rFonts w:ascii="Univers" w:hAnsi="Univers" w:cs="Arial"/>
          <w:sz w:val="20"/>
          <w:szCs w:val="20"/>
        </w:rPr>
        <w:tab/>
        <w:t xml:space="preserve">Tras la muerte de la presunta víctima, los peticionarios indican que se inició una investigación policial militar (“IPM” n. 1.173/75), que determinó que su muerte se dio por suicidio mediante ahorcamiento.  </w:t>
      </w:r>
      <w:r w:rsidR="00703149">
        <w:rPr>
          <w:rFonts w:ascii="Univers" w:hAnsi="Univers" w:cs="Arial"/>
          <w:sz w:val="20"/>
          <w:szCs w:val="20"/>
        </w:rPr>
        <w:t>En consecuencia, dicha investigación policial militar habría sido archivada por la Justicia Militar el 8 de marzo de 1976.  Sin embargo, los peticionarios sostienen que familiares de la presunta víctima –</w:t>
      </w:r>
      <w:r w:rsidR="00266EA0">
        <w:rPr>
          <w:rFonts w:ascii="Univers" w:hAnsi="Univers" w:cs="Arial"/>
          <w:sz w:val="20"/>
          <w:szCs w:val="20"/>
        </w:rPr>
        <w:t xml:space="preserve"> Clarice Herzog</w:t>
      </w:r>
      <w:r w:rsidR="00703149">
        <w:rPr>
          <w:rFonts w:ascii="Univers" w:hAnsi="Univers" w:cs="Arial"/>
          <w:sz w:val="20"/>
          <w:szCs w:val="20"/>
        </w:rPr>
        <w:t xml:space="preserve"> (viuda), Ivo Herzog y André Herzog (hijos) – interpusieron una acción declaratoria civil (</w:t>
      </w:r>
      <w:r w:rsidR="00703149">
        <w:rPr>
          <w:rFonts w:ascii="Univers" w:hAnsi="Univers" w:cs="Arial"/>
          <w:i/>
          <w:sz w:val="20"/>
          <w:szCs w:val="20"/>
        </w:rPr>
        <w:t xml:space="preserve">Ação Declaratória </w:t>
      </w:r>
      <w:r w:rsidR="00703149">
        <w:rPr>
          <w:rFonts w:ascii="Univers" w:hAnsi="Univers" w:cs="Arial"/>
          <w:sz w:val="20"/>
          <w:szCs w:val="20"/>
        </w:rPr>
        <w:t xml:space="preserve">n. 136/76), en la que pleitearon la </w:t>
      </w:r>
      <w:proofErr w:type="gramStart"/>
      <w:r w:rsidR="00703149">
        <w:rPr>
          <w:rFonts w:ascii="Univers" w:hAnsi="Univers" w:cs="Arial"/>
          <w:sz w:val="20"/>
          <w:szCs w:val="20"/>
        </w:rPr>
        <w:t>responsabilidad</w:t>
      </w:r>
      <w:proofErr w:type="gramEnd"/>
      <w:r w:rsidR="00703149">
        <w:rPr>
          <w:rFonts w:ascii="Univers" w:hAnsi="Univers" w:cs="Arial"/>
          <w:sz w:val="20"/>
          <w:szCs w:val="20"/>
        </w:rPr>
        <w:t xml:space="preserve"> de la Unión Federal por la detención arbitraria, la tortura y la consecuente muerte de la presunta víctima, así como solicitaron la respectiva indemnización.  Según los peticionarios, la referida acción civil fue interpuesta una vez que se descubrieron elementos que conllevaban a la conclusión que la muerte mediante tortura de la presunta víctima había sido disimulada como un suicidio, particularmente</w:t>
      </w:r>
      <w:r w:rsidR="00D97AB1">
        <w:rPr>
          <w:rFonts w:ascii="Univers" w:hAnsi="Univers" w:cs="Arial"/>
          <w:sz w:val="20"/>
          <w:szCs w:val="20"/>
        </w:rPr>
        <w:t xml:space="preserve"> testimonios de otros presos políticos que habrían estado en las</w:t>
      </w:r>
      <w:r w:rsidR="006D1F04">
        <w:rPr>
          <w:rFonts w:ascii="Univers" w:hAnsi="Univers" w:cs="Arial"/>
          <w:sz w:val="20"/>
          <w:szCs w:val="20"/>
        </w:rPr>
        <w:t xml:space="preserve"> dependencias del DOI/CODI de São</w:t>
      </w:r>
      <w:r w:rsidR="00D97AB1">
        <w:rPr>
          <w:rFonts w:ascii="Univers" w:hAnsi="Univers" w:cs="Arial"/>
          <w:sz w:val="20"/>
          <w:szCs w:val="20"/>
        </w:rPr>
        <w:t xml:space="preserve"> Paulo y escucharon a la presunta víctima siendo torturada hasta su muerte.</w:t>
      </w:r>
    </w:p>
    <w:p w:rsidR="006D7F19" w:rsidRPr="00822CCE" w:rsidRDefault="006D7F19" w:rsidP="00870154">
      <w:pPr>
        <w:autoSpaceDE w:val="0"/>
        <w:autoSpaceDN w:val="0"/>
        <w:adjustRightInd w:val="0"/>
        <w:jc w:val="both"/>
        <w:rPr>
          <w:rFonts w:ascii="Univers" w:hAnsi="Univers" w:cs="Arial"/>
          <w:sz w:val="20"/>
          <w:szCs w:val="20"/>
        </w:rPr>
      </w:pPr>
    </w:p>
    <w:p w:rsidR="006D7F19" w:rsidRPr="00822CCE" w:rsidRDefault="006D7F19" w:rsidP="00870154">
      <w:pPr>
        <w:autoSpaceDE w:val="0"/>
        <w:autoSpaceDN w:val="0"/>
        <w:adjustRightInd w:val="0"/>
        <w:jc w:val="both"/>
        <w:rPr>
          <w:rFonts w:ascii="Univers" w:hAnsi="Univers" w:cs="Arial"/>
          <w:sz w:val="20"/>
          <w:szCs w:val="20"/>
        </w:rPr>
      </w:pPr>
      <w:r w:rsidRPr="00822CCE">
        <w:rPr>
          <w:rFonts w:ascii="Univers" w:hAnsi="Univers" w:cs="Arial"/>
          <w:sz w:val="20"/>
          <w:szCs w:val="20"/>
        </w:rPr>
        <w:tab/>
        <w:t>9.</w:t>
      </w:r>
      <w:r w:rsidRPr="00822CCE">
        <w:rPr>
          <w:rFonts w:ascii="Univers" w:hAnsi="Univers" w:cs="Arial"/>
          <w:sz w:val="20"/>
          <w:szCs w:val="20"/>
        </w:rPr>
        <w:tab/>
        <w:t>Los peticionarios resaltan que dicha acción declaratoria estableció cabalmente que la presunta víctima fue deten</w:t>
      </w:r>
      <w:r w:rsidR="0000458C" w:rsidRPr="00822CCE">
        <w:rPr>
          <w:rFonts w:ascii="Univers" w:hAnsi="Univers" w:cs="Arial"/>
          <w:sz w:val="20"/>
          <w:szCs w:val="20"/>
        </w:rPr>
        <w:t xml:space="preserve">ida arbitrariamente, torturada y asesinada en las dependencias del DOI/CODI, en São Paulo, mediante sentencia emitida el 28 de octubre de 1978.  No obstante lo anterior, los peticionarios argumentan que, </w:t>
      </w:r>
      <w:r w:rsidR="00AB3EA3" w:rsidRPr="00822CCE">
        <w:rPr>
          <w:rFonts w:ascii="Univers" w:hAnsi="Univers" w:cs="Arial"/>
          <w:sz w:val="20"/>
          <w:szCs w:val="20"/>
        </w:rPr>
        <w:t xml:space="preserve">posteriormente a dicha decisión, el 28 de agosto de 1979 fue </w:t>
      </w:r>
      <w:r w:rsidR="00AB3EA3" w:rsidRPr="00822CCE">
        <w:rPr>
          <w:rFonts w:ascii="Univers" w:hAnsi="Univers"/>
          <w:sz w:val="20"/>
          <w:szCs w:val="20"/>
        </w:rPr>
        <w:t>sancionada la Ley 6.683 (“ley de amnistía” o “Ley 6.683/79”), que extinguió la responsabilidad penal de todos los individuos que habían cometido “crímenes políticos o conexos con éstos” en el período del 2 de septiembre de 1961 al 15 de agosto de 1979</w:t>
      </w:r>
      <w:r w:rsidR="00AB3EA3" w:rsidRPr="006A6267">
        <w:rPr>
          <w:rStyle w:val="Refdenotaalpie"/>
          <w:rFonts w:ascii="Univers" w:hAnsi="Univers"/>
          <w:szCs w:val="16"/>
        </w:rPr>
        <w:footnoteReference w:id="3"/>
      </w:r>
      <w:r w:rsidR="00AB3EA3" w:rsidRPr="00822CCE">
        <w:rPr>
          <w:rFonts w:ascii="Univers" w:hAnsi="Univers"/>
          <w:sz w:val="20"/>
          <w:szCs w:val="20"/>
        </w:rPr>
        <w:t xml:space="preserve">.  Los peticionarios argumentan que la referida ley de amnistía </w:t>
      </w:r>
      <w:r w:rsidR="00822CCE" w:rsidRPr="00822CCE">
        <w:rPr>
          <w:rFonts w:ascii="Univers" w:hAnsi="Univers"/>
          <w:sz w:val="20"/>
          <w:szCs w:val="20"/>
        </w:rPr>
        <w:t>continúa</w:t>
      </w:r>
      <w:r w:rsidR="00AB3EA3" w:rsidRPr="00822CCE">
        <w:rPr>
          <w:rFonts w:ascii="Univers" w:hAnsi="Univers"/>
          <w:sz w:val="20"/>
          <w:szCs w:val="20"/>
        </w:rPr>
        <w:t xml:space="preserve"> hasta la fecha representando un obstáculo para la persecución penal de graves violaciones de derechos humanos, como son los hechos denunciados en esta petición</w:t>
      </w:r>
      <w:r w:rsidR="00822CCE">
        <w:rPr>
          <w:rFonts w:ascii="Univers" w:hAnsi="Univers"/>
          <w:sz w:val="20"/>
          <w:szCs w:val="20"/>
        </w:rPr>
        <w:t xml:space="preserve"> y</w:t>
      </w:r>
      <w:r w:rsidR="00251844">
        <w:rPr>
          <w:rFonts w:ascii="Univers" w:hAnsi="Univers"/>
          <w:sz w:val="20"/>
          <w:szCs w:val="20"/>
        </w:rPr>
        <w:t xml:space="preserve"> que</w:t>
      </w:r>
      <w:r w:rsidR="00822CCE">
        <w:rPr>
          <w:rFonts w:ascii="Univers" w:hAnsi="Univers"/>
          <w:sz w:val="20"/>
          <w:szCs w:val="20"/>
        </w:rPr>
        <w:t>, por tanto, es incompatible con las obligaciones del Estado emanadas de la Convención Americana</w:t>
      </w:r>
      <w:r w:rsidR="00822CCE" w:rsidRPr="00822CCE">
        <w:rPr>
          <w:rFonts w:ascii="Univers" w:hAnsi="Univers"/>
          <w:sz w:val="20"/>
          <w:szCs w:val="20"/>
        </w:rPr>
        <w:t>.</w:t>
      </w:r>
    </w:p>
    <w:p w:rsidR="00C41BF0" w:rsidRPr="00822CCE" w:rsidRDefault="00C41BF0" w:rsidP="00870154">
      <w:pPr>
        <w:autoSpaceDE w:val="0"/>
        <w:autoSpaceDN w:val="0"/>
        <w:adjustRightInd w:val="0"/>
        <w:jc w:val="both"/>
        <w:rPr>
          <w:rFonts w:ascii="Univers" w:hAnsi="Univers" w:cs="Arial"/>
          <w:sz w:val="20"/>
          <w:szCs w:val="20"/>
        </w:rPr>
      </w:pPr>
    </w:p>
    <w:p w:rsidR="00905489" w:rsidRDefault="00822CCE" w:rsidP="00870154">
      <w:pPr>
        <w:autoSpaceDE w:val="0"/>
        <w:autoSpaceDN w:val="0"/>
        <w:adjustRightInd w:val="0"/>
        <w:jc w:val="both"/>
        <w:rPr>
          <w:rFonts w:ascii="Univers" w:hAnsi="Univers"/>
          <w:sz w:val="20"/>
          <w:szCs w:val="20"/>
        </w:rPr>
      </w:pPr>
      <w:r w:rsidRPr="00822CCE">
        <w:rPr>
          <w:rFonts w:ascii="Univers" w:hAnsi="Univers"/>
          <w:sz w:val="20"/>
          <w:szCs w:val="20"/>
        </w:rPr>
        <w:tab/>
        <w:t>10.</w:t>
      </w:r>
      <w:r w:rsidRPr="00822CCE">
        <w:rPr>
          <w:rFonts w:ascii="Univers" w:hAnsi="Univers"/>
          <w:sz w:val="20"/>
          <w:szCs w:val="20"/>
        </w:rPr>
        <w:tab/>
      </w:r>
      <w:r w:rsidR="00310D93">
        <w:rPr>
          <w:rFonts w:ascii="Univers" w:hAnsi="Univers"/>
          <w:sz w:val="20"/>
          <w:szCs w:val="20"/>
        </w:rPr>
        <w:t xml:space="preserve">Pese a lo anterior, los peticionarios </w:t>
      </w:r>
      <w:r w:rsidR="00480B37">
        <w:rPr>
          <w:rFonts w:ascii="Univers" w:hAnsi="Univers"/>
          <w:sz w:val="20"/>
          <w:szCs w:val="20"/>
        </w:rPr>
        <w:t>describen</w:t>
      </w:r>
      <w:r w:rsidR="00310D93">
        <w:rPr>
          <w:rFonts w:ascii="Univers" w:hAnsi="Univers"/>
          <w:sz w:val="20"/>
          <w:szCs w:val="20"/>
        </w:rPr>
        <w:t xml:space="preserve"> varios intentos </w:t>
      </w:r>
      <w:r w:rsidR="00EB7E14">
        <w:rPr>
          <w:rFonts w:ascii="Univers" w:hAnsi="Univers"/>
          <w:sz w:val="20"/>
          <w:szCs w:val="20"/>
        </w:rPr>
        <w:t xml:space="preserve">posteriores </w:t>
      </w:r>
      <w:r w:rsidR="00310D93">
        <w:rPr>
          <w:rFonts w:ascii="Univers" w:hAnsi="Univers"/>
          <w:sz w:val="20"/>
          <w:szCs w:val="20"/>
        </w:rPr>
        <w:t xml:space="preserve">realizados en aras de lograr la persecución penal de los responsables por la muerte de la presunta víctima.  </w:t>
      </w:r>
      <w:r w:rsidR="00480B37">
        <w:rPr>
          <w:rFonts w:ascii="Univers" w:hAnsi="Univers"/>
          <w:sz w:val="20"/>
          <w:szCs w:val="20"/>
        </w:rPr>
        <w:t xml:space="preserve">En ese sentido, </w:t>
      </w:r>
      <w:r w:rsidR="00667877">
        <w:rPr>
          <w:rFonts w:ascii="Univers" w:hAnsi="Univers"/>
          <w:sz w:val="20"/>
          <w:szCs w:val="20"/>
        </w:rPr>
        <w:t xml:space="preserve">observan que </w:t>
      </w:r>
      <w:r w:rsidR="00480B37">
        <w:rPr>
          <w:rFonts w:ascii="Univers" w:hAnsi="Univers"/>
          <w:sz w:val="20"/>
          <w:szCs w:val="20"/>
        </w:rPr>
        <w:t>el Ministerio Público</w:t>
      </w:r>
      <w:r w:rsidR="00667877">
        <w:rPr>
          <w:rFonts w:ascii="Univers" w:hAnsi="Univers"/>
          <w:sz w:val="20"/>
          <w:szCs w:val="20"/>
        </w:rPr>
        <w:t xml:space="preserve"> Estadual</w:t>
      </w:r>
      <w:r w:rsidR="00480B37">
        <w:rPr>
          <w:rFonts w:ascii="Univers" w:hAnsi="Univers"/>
          <w:sz w:val="20"/>
          <w:szCs w:val="20"/>
        </w:rPr>
        <w:t xml:space="preserve"> de São Paulo </w:t>
      </w:r>
      <w:r w:rsidR="00667877">
        <w:rPr>
          <w:rFonts w:ascii="Univers" w:hAnsi="Univers"/>
          <w:sz w:val="20"/>
          <w:szCs w:val="20"/>
        </w:rPr>
        <w:t xml:space="preserve">solicitó a la Policía Civil que iniciara una investigación sobre la muerte de la presunta víctima </w:t>
      </w:r>
      <w:r w:rsidR="00480B37">
        <w:rPr>
          <w:rFonts w:ascii="Univers" w:hAnsi="Univers"/>
          <w:sz w:val="20"/>
          <w:szCs w:val="20"/>
        </w:rPr>
        <w:t xml:space="preserve">en 1992, luego de que se publicara un reportaje en </w:t>
      </w:r>
      <w:r w:rsidR="00EB7E14">
        <w:rPr>
          <w:rFonts w:ascii="Univers" w:hAnsi="Univers"/>
          <w:sz w:val="20"/>
          <w:szCs w:val="20"/>
        </w:rPr>
        <w:t>la revista</w:t>
      </w:r>
      <w:r w:rsidR="006D1F04">
        <w:rPr>
          <w:rFonts w:ascii="Univers" w:hAnsi="Univers"/>
          <w:sz w:val="20"/>
          <w:szCs w:val="20"/>
        </w:rPr>
        <w:t xml:space="preserve"> </w:t>
      </w:r>
      <w:r w:rsidR="00480B37">
        <w:rPr>
          <w:rFonts w:ascii="Univers" w:hAnsi="Univers"/>
          <w:sz w:val="20"/>
          <w:szCs w:val="20"/>
        </w:rPr>
        <w:t>“</w:t>
      </w:r>
      <w:r w:rsidR="00480B37">
        <w:rPr>
          <w:rFonts w:ascii="Univers" w:hAnsi="Univers"/>
          <w:i/>
          <w:sz w:val="20"/>
          <w:szCs w:val="20"/>
        </w:rPr>
        <w:t>Isto É, Senhor</w:t>
      </w:r>
      <w:r w:rsidR="00480B37">
        <w:rPr>
          <w:rFonts w:ascii="Univers" w:hAnsi="Univers"/>
          <w:sz w:val="20"/>
          <w:szCs w:val="20"/>
        </w:rPr>
        <w:t>”</w:t>
      </w:r>
      <w:r w:rsidR="00667877">
        <w:rPr>
          <w:rFonts w:ascii="Univers" w:hAnsi="Univers"/>
          <w:sz w:val="20"/>
          <w:szCs w:val="20"/>
        </w:rPr>
        <w:t>, el 25 de marzo de 1992, en la que u</w:t>
      </w:r>
      <w:r w:rsidR="00C563F6">
        <w:rPr>
          <w:rFonts w:ascii="Univers" w:hAnsi="Univers"/>
          <w:sz w:val="20"/>
          <w:szCs w:val="20"/>
        </w:rPr>
        <w:t>n oficial del DOI/CODI de apodo</w:t>
      </w:r>
      <w:r w:rsidR="00667877">
        <w:rPr>
          <w:rFonts w:ascii="Univers" w:hAnsi="Univers"/>
          <w:sz w:val="20"/>
          <w:szCs w:val="20"/>
        </w:rPr>
        <w:t xml:space="preserve"> “</w:t>
      </w:r>
      <w:r w:rsidR="0023372E">
        <w:rPr>
          <w:rFonts w:ascii="Univers" w:hAnsi="Univers"/>
          <w:sz w:val="20"/>
          <w:szCs w:val="20"/>
        </w:rPr>
        <w:t>Capitán</w:t>
      </w:r>
      <w:r w:rsidR="00667877">
        <w:rPr>
          <w:rFonts w:ascii="Univers" w:hAnsi="Univers"/>
          <w:sz w:val="20"/>
          <w:szCs w:val="20"/>
        </w:rPr>
        <w:t xml:space="preserve"> Ramiro”</w:t>
      </w:r>
      <w:r w:rsidR="001472F5">
        <w:rPr>
          <w:rFonts w:ascii="Univers" w:hAnsi="Univers"/>
          <w:sz w:val="20"/>
          <w:szCs w:val="20"/>
        </w:rPr>
        <w:t xml:space="preserve"> </w:t>
      </w:r>
      <w:r w:rsidR="00266EA0">
        <w:rPr>
          <w:rFonts w:ascii="Univers" w:hAnsi="Univers"/>
          <w:sz w:val="20"/>
          <w:szCs w:val="20"/>
        </w:rPr>
        <w:t>declar</w:t>
      </w:r>
      <w:r w:rsidR="001472F5">
        <w:rPr>
          <w:rFonts w:ascii="Univers" w:hAnsi="Univers"/>
          <w:sz w:val="20"/>
          <w:szCs w:val="20"/>
        </w:rPr>
        <w:t xml:space="preserve">aba que él había interrogado a la presunta víctima en </w:t>
      </w:r>
      <w:r w:rsidR="00251844">
        <w:rPr>
          <w:rFonts w:ascii="Univers" w:hAnsi="Univers"/>
          <w:sz w:val="20"/>
          <w:szCs w:val="20"/>
        </w:rPr>
        <w:t>dicho establecimiento militar</w:t>
      </w:r>
      <w:r w:rsidR="001472F5">
        <w:rPr>
          <w:rFonts w:ascii="Univers" w:hAnsi="Univers"/>
          <w:sz w:val="20"/>
          <w:szCs w:val="20"/>
        </w:rPr>
        <w:t xml:space="preserve"> y </w:t>
      </w:r>
      <w:r w:rsidR="00251844">
        <w:rPr>
          <w:rFonts w:ascii="Univers" w:hAnsi="Univers"/>
          <w:sz w:val="20"/>
          <w:szCs w:val="20"/>
        </w:rPr>
        <w:t xml:space="preserve">que </w:t>
      </w:r>
      <w:r w:rsidR="001472F5">
        <w:rPr>
          <w:rFonts w:ascii="Univers" w:hAnsi="Univers"/>
          <w:sz w:val="20"/>
          <w:szCs w:val="20"/>
        </w:rPr>
        <w:t xml:space="preserve">estuvo involucrado en su muerte.  </w:t>
      </w:r>
      <w:r w:rsidR="002F1097">
        <w:rPr>
          <w:rFonts w:ascii="Univers" w:hAnsi="Univers"/>
          <w:sz w:val="20"/>
          <w:szCs w:val="20"/>
        </w:rPr>
        <w:t xml:space="preserve">Al respecto, los peticionarios señalan que </w:t>
      </w:r>
      <w:r w:rsidR="00251844">
        <w:rPr>
          <w:rFonts w:ascii="Univers" w:hAnsi="Univers"/>
          <w:sz w:val="20"/>
          <w:szCs w:val="20"/>
        </w:rPr>
        <w:t xml:space="preserve">el </w:t>
      </w:r>
      <w:r w:rsidR="002F1097">
        <w:rPr>
          <w:rFonts w:ascii="Univers" w:hAnsi="Univers"/>
          <w:sz w:val="20"/>
          <w:szCs w:val="20"/>
        </w:rPr>
        <w:t>“</w:t>
      </w:r>
      <w:r w:rsidR="0023372E">
        <w:rPr>
          <w:rFonts w:ascii="Univers" w:hAnsi="Univers"/>
          <w:sz w:val="20"/>
          <w:szCs w:val="20"/>
        </w:rPr>
        <w:t>Capitán</w:t>
      </w:r>
      <w:r w:rsidR="002F1097">
        <w:rPr>
          <w:rFonts w:ascii="Univers" w:hAnsi="Univers"/>
          <w:sz w:val="20"/>
          <w:szCs w:val="20"/>
        </w:rPr>
        <w:t xml:space="preserve"> Ramiro” interpuso un recurso de </w:t>
      </w:r>
      <w:r w:rsidR="002F1097">
        <w:rPr>
          <w:rFonts w:ascii="Univers" w:hAnsi="Univers"/>
          <w:i/>
          <w:sz w:val="20"/>
          <w:szCs w:val="20"/>
        </w:rPr>
        <w:t xml:space="preserve">habeas corpus </w:t>
      </w:r>
      <w:r w:rsidR="002F1097">
        <w:rPr>
          <w:rFonts w:ascii="Univers" w:hAnsi="Univers"/>
          <w:sz w:val="20"/>
          <w:szCs w:val="20"/>
        </w:rPr>
        <w:t>ante la 4ª Cámara del Tribunal de Justicia de São Paulo, la que determinó el archivo de la investigación policial, en virtud de la ley de amnistía.  Dicha decisión habría sido apelada por el Ministerio Público Estadual, pero fue confirmada por el Superior Tribunal de Justicia el 18 de agosto de 1993.</w:t>
      </w:r>
    </w:p>
    <w:p w:rsidR="002F1097" w:rsidRPr="009B7BC7" w:rsidRDefault="002F1097" w:rsidP="00870154">
      <w:pPr>
        <w:autoSpaceDE w:val="0"/>
        <w:autoSpaceDN w:val="0"/>
        <w:adjustRightInd w:val="0"/>
        <w:jc w:val="both"/>
        <w:rPr>
          <w:rFonts w:ascii="Univers" w:hAnsi="Univers"/>
          <w:sz w:val="20"/>
          <w:szCs w:val="20"/>
        </w:rPr>
      </w:pPr>
    </w:p>
    <w:p w:rsidR="002F1097" w:rsidRDefault="002F1097" w:rsidP="00870154">
      <w:pPr>
        <w:autoSpaceDE w:val="0"/>
        <w:autoSpaceDN w:val="0"/>
        <w:adjustRightInd w:val="0"/>
        <w:jc w:val="both"/>
        <w:rPr>
          <w:rFonts w:ascii="Univers" w:hAnsi="Univers"/>
          <w:sz w:val="20"/>
          <w:szCs w:val="20"/>
        </w:rPr>
      </w:pPr>
      <w:r w:rsidRPr="009B7BC7">
        <w:rPr>
          <w:rFonts w:ascii="Univers" w:hAnsi="Univers"/>
          <w:sz w:val="20"/>
          <w:szCs w:val="20"/>
        </w:rPr>
        <w:tab/>
      </w:r>
      <w:r w:rsidR="006B79BF" w:rsidRPr="009B7BC7">
        <w:rPr>
          <w:rFonts w:ascii="Univers" w:hAnsi="Univers"/>
          <w:sz w:val="20"/>
          <w:szCs w:val="20"/>
        </w:rPr>
        <w:t>11.</w:t>
      </w:r>
      <w:r w:rsidR="006B79BF" w:rsidRPr="009B7BC7">
        <w:rPr>
          <w:rFonts w:ascii="Univers" w:hAnsi="Univers"/>
          <w:sz w:val="20"/>
          <w:szCs w:val="20"/>
        </w:rPr>
        <w:tab/>
        <w:t xml:space="preserve">Los peticionarios observan que, más recientemente, varios hechos supervenientes </w:t>
      </w:r>
      <w:r w:rsidR="00460984">
        <w:rPr>
          <w:rFonts w:ascii="Univers" w:hAnsi="Univers"/>
          <w:sz w:val="20"/>
          <w:szCs w:val="20"/>
        </w:rPr>
        <w:t>arrojaron</w:t>
      </w:r>
      <w:r w:rsidR="006B79BF" w:rsidRPr="009B7BC7">
        <w:rPr>
          <w:rFonts w:ascii="Univers" w:hAnsi="Univers"/>
          <w:sz w:val="20"/>
          <w:szCs w:val="20"/>
        </w:rPr>
        <w:t xml:space="preserve"> nueva luz </w:t>
      </w:r>
      <w:r w:rsidR="00460984">
        <w:rPr>
          <w:rFonts w:ascii="Univers" w:hAnsi="Univers"/>
          <w:sz w:val="20"/>
          <w:szCs w:val="20"/>
        </w:rPr>
        <w:t>sobre</w:t>
      </w:r>
      <w:r w:rsidR="006B79BF" w:rsidRPr="009B7BC7">
        <w:rPr>
          <w:rFonts w:ascii="Univers" w:hAnsi="Univers"/>
          <w:sz w:val="20"/>
          <w:szCs w:val="20"/>
        </w:rPr>
        <w:t xml:space="preserve"> las violaciones de derechos humanos perpetradas durante la dictadura brasileña, inclu</w:t>
      </w:r>
      <w:r w:rsidR="00EA435F">
        <w:rPr>
          <w:rFonts w:ascii="Univers" w:hAnsi="Univers"/>
          <w:sz w:val="20"/>
          <w:szCs w:val="20"/>
        </w:rPr>
        <w:t>yendo</w:t>
      </w:r>
      <w:r w:rsidR="006B79BF" w:rsidRPr="009B7BC7">
        <w:rPr>
          <w:rFonts w:ascii="Univers" w:hAnsi="Univers"/>
          <w:sz w:val="20"/>
          <w:szCs w:val="20"/>
        </w:rPr>
        <w:t xml:space="preserve"> la </w:t>
      </w:r>
      <w:r w:rsidR="009B7BC7" w:rsidRPr="009B7BC7">
        <w:rPr>
          <w:rFonts w:ascii="Univers" w:hAnsi="Univers"/>
          <w:sz w:val="20"/>
          <w:szCs w:val="20"/>
        </w:rPr>
        <w:t xml:space="preserve">promulgación de </w:t>
      </w:r>
      <w:r w:rsidR="009B7BC7" w:rsidRPr="009B7BC7">
        <w:rPr>
          <w:rFonts w:ascii="Univers" w:hAnsi="Univers"/>
          <w:sz w:val="20"/>
          <w:szCs w:val="20"/>
          <w:lang w:val="es-ES"/>
        </w:rPr>
        <w:t>la Ley 9.140/95,</w:t>
      </w:r>
      <w:r w:rsidR="009B7BC7" w:rsidRPr="009B7BC7">
        <w:rPr>
          <w:rFonts w:ascii="Univers" w:hAnsi="Univers"/>
          <w:sz w:val="20"/>
          <w:szCs w:val="20"/>
        </w:rPr>
        <w:t xml:space="preserve"> mediante la cual el Estado reconoció</w:t>
      </w:r>
      <w:r w:rsidR="00251844">
        <w:rPr>
          <w:rFonts w:ascii="Univers" w:hAnsi="Univers"/>
          <w:sz w:val="20"/>
          <w:szCs w:val="20"/>
        </w:rPr>
        <w:t xml:space="preserve"> en 1995</w:t>
      </w:r>
      <w:r w:rsidR="009B7BC7" w:rsidRPr="009B7BC7">
        <w:rPr>
          <w:rFonts w:ascii="Univers" w:hAnsi="Univers"/>
          <w:sz w:val="20"/>
          <w:szCs w:val="20"/>
        </w:rPr>
        <w:t xml:space="preserve"> su responsabilidad por las muertes y por las desapariciones ocurridas durante el período del r</w:t>
      </w:r>
      <w:r w:rsidR="009B7BC7" w:rsidRPr="009B7BC7">
        <w:rPr>
          <w:rFonts w:ascii="Univers" w:hAnsi="Univers" w:cs="Arial"/>
          <w:sz w:val="20"/>
          <w:szCs w:val="20"/>
        </w:rPr>
        <w:t>é</w:t>
      </w:r>
      <w:r w:rsidR="00251844">
        <w:rPr>
          <w:rFonts w:ascii="Univers" w:hAnsi="Univers"/>
          <w:sz w:val="20"/>
          <w:szCs w:val="20"/>
        </w:rPr>
        <w:t>gimen militar</w:t>
      </w:r>
      <w:r w:rsidR="009B7BC7" w:rsidRPr="009B7BC7">
        <w:rPr>
          <w:rFonts w:ascii="Univers" w:hAnsi="Univers"/>
          <w:sz w:val="20"/>
          <w:szCs w:val="20"/>
        </w:rPr>
        <w:t xml:space="preserve">; la consecuente creación de la Comisión Especial sobre Muertos y Desaparecidos Políticos; la publicación </w:t>
      </w:r>
      <w:r w:rsidR="00251844" w:rsidRPr="009B7BC7">
        <w:rPr>
          <w:rFonts w:ascii="Univers" w:hAnsi="Univers"/>
          <w:sz w:val="20"/>
          <w:szCs w:val="20"/>
        </w:rPr>
        <w:t>en 2007</w:t>
      </w:r>
      <w:r w:rsidR="00B56636">
        <w:rPr>
          <w:rFonts w:ascii="Univers" w:hAnsi="Univers"/>
          <w:sz w:val="20"/>
          <w:szCs w:val="20"/>
        </w:rPr>
        <w:t xml:space="preserve"> </w:t>
      </w:r>
      <w:r w:rsidR="009B7BC7" w:rsidRPr="009B7BC7">
        <w:rPr>
          <w:rFonts w:ascii="Univers" w:hAnsi="Univers"/>
          <w:sz w:val="20"/>
          <w:szCs w:val="20"/>
        </w:rPr>
        <w:t>del libro informe de es</w:t>
      </w:r>
      <w:r w:rsidR="00EA435F">
        <w:rPr>
          <w:rFonts w:ascii="Univers" w:hAnsi="Univers"/>
          <w:sz w:val="20"/>
          <w:szCs w:val="20"/>
        </w:rPr>
        <w:t>t</w:t>
      </w:r>
      <w:r w:rsidR="009B7BC7" w:rsidRPr="009B7BC7">
        <w:rPr>
          <w:rFonts w:ascii="Univers" w:hAnsi="Univers"/>
          <w:sz w:val="20"/>
          <w:szCs w:val="20"/>
        </w:rPr>
        <w:t>a Comisión Especial: “Derecho a la Memoria y a la Verdad”</w:t>
      </w:r>
      <w:r w:rsidR="009B7BC7">
        <w:rPr>
          <w:rFonts w:ascii="Univers" w:hAnsi="Univers"/>
          <w:sz w:val="20"/>
          <w:szCs w:val="20"/>
        </w:rPr>
        <w:t xml:space="preserve">; y la sentencia emitida </w:t>
      </w:r>
      <w:r w:rsidR="00251844">
        <w:rPr>
          <w:rFonts w:ascii="Univers" w:hAnsi="Univers"/>
          <w:sz w:val="20"/>
          <w:szCs w:val="20"/>
        </w:rPr>
        <w:t xml:space="preserve">el 24 de noviembre de 2010 </w:t>
      </w:r>
      <w:r w:rsidR="009B7BC7">
        <w:rPr>
          <w:rFonts w:ascii="Univers" w:hAnsi="Univers"/>
          <w:sz w:val="20"/>
          <w:szCs w:val="20"/>
        </w:rPr>
        <w:t>por la Corte Interamericana de Derechos Humanos</w:t>
      </w:r>
      <w:r w:rsidR="00FF2A80">
        <w:rPr>
          <w:rFonts w:ascii="Univers" w:hAnsi="Univers"/>
          <w:sz w:val="20"/>
          <w:szCs w:val="20"/>
        </w:rPr>
        <w:t xml:space="preserve"> (“la Corte Interamericana”)</w:t>
      </w:r>
      <w:r w:rsidR="009B7BC7">
        <w:rPr>
          <w:rFonts w:ascii="Univers" w:hAnsi="Univers"/>
          <w:sz w:val="20"/>
          <w:szCs w:val="20"/>
        </w:rPr>
        <w:t xml:space="preserve"> respecto del Caso Gomes Lund y otros (</w:t>
      </w:r>
      <w:r w:rsidR="009B7BC7">
        <w:rPr>
          <w:rFonts w:ascii="Univers" w:hAnsi="Univers"/>
          <w:i/>
          <w:sz w:val="20"/>
          <w:szCs w:val="20"/>
        </w:rPr>
        <w:t>Guerrilha do Araguaia</w:t>
      </w:r>
      <w:r w:rsidR="009B7BC7">
        <w:rPr>
          <w:rFonts w:ascii="Univers" w:hAnsi="Univers"/>
          <w:sz w:val="20"/>
          <w:szCs w:val="20"/>
        </w:rPr>
        <w:t xml:space="preserve">), entre otros.  </w:t>
      </w:r>
      <w:r w:rsidR="00251844">
        <w:rPr>
          <w:rFonts w:ascii="Univers" w:hAnsi="Univers"/>
          <w:sz w:val="20"/>
          <w:szCs w:val="20"/>
        </w:rPr>
        <w:t xml:space="preserve">Los peticionarios resaltan que en el </w:t>
      </w:r>
      <w:r w:rsidR="00EA435F">
        <w:rPr>
          <w:rFonts w:ascii="Univers" w:hAnsi="Univers"/>
          <w:sz w:val="20"/>
          <w:szCs w:val="20"/>
        </w:rPr>
        <w:t>libro “Derecho a la Memoria y a la Verdad” el Estado reconoció su responsabilidad por la muerte mediante tortura de la presunta víctima.</w:t>
      </w:r>
    </w:p>
    <w:p w:rsidR="00EA435F" w:rsidRDefault="00EA435F" w:rsidP="00870154">
      <w:pPr>
        <w:autoSpaceDE w:val="0"/>
        <w:autoSpaceDN w:val="0"/>
        <w:adjustRightInd w:val="0"/>
        <w:jc w:val="both"/>
        <w:rPr>
          <w:rFonts w:ascii="Univers" w:hAnsi="Univers"/>
          <w:sz w:val="20"/>
          <w:szCs w:val="20"/>
        </w:rPr>
      </w:pPr>
    </w:p>
    <w:p w:rsidR="00EA435F" w:rsidRDefault="00EA435F" w:rsidP="00870154">
      <w:pPr>
        <w:autoSpaceDE w:val="0"/>
        <w:autoSpaceDN w:val="0"/>
        <w:adjustRightInd w:val="0"/>
        <w:jc w:val="both"/>
        <w:rPr>
          <w:rFonts w:ascii="Univers" w:hAnsi="Univers"/>
          <w:sz w:val="20"/>
          <w:szCs w:val="20"/>
        </w:rPr>
      </w:pPr>
      <w:r>
        <w:rPr>
          <w:rFonts w:ascii="Univers" w:hAnsi="Univers"/>
          <w:sz w:val="20"/>
          <w:szCs w:val="20"/>
        </w:rPr>
        <w:tab/>
        <w:t>12.</w:t>
      </w:r>
      <w:r>
        <w:rPr>
          <w:rFonts w:ascii="Univers" w:hAnsi="Univers"/>
          <w:sz w:val="20"/>
          <w:szCs w:val="20"/>
        </w:rPr>
        <w:tab/>
      </w:r>
      <w:r w:rsidR="00251844">
        <w:rPr>
          <w:rFonts w:ascii="Univers" w:hAnsi="Univers"/>
          <w:sz w:val="20"/>
          <w:szCs w:val="20"/>
        </w:rPr>
        <w:t>Los peticionarios observan que, c</w:t>
      </w:r>
      <w:r w:rsidR="005F3E66">
        <w:rPr>
          <w:rFonts w:ascii="Univers" w:hAnsi="Univers"/>
          <w:sz w:val="20"/>
          <w:szCs w:val="20"/>
        </w:rPr>
        <w:t>on base en</w:t>
      </w:r>
      <w:r>
        <w:rPr>
          <w:rFonts w:ascii="Univers" w:hAnsi="Univers"/>
          <w:sz w:val="20"/>
          <w:szCs w:val="20"/>
        </w:rPr>
        <w:t xml:space="preserve"> </w:t>
      </w:r>
      <w:r w:rsidR="00DD7815">
        <w:rPr>
          <w:rFonts w:ascii="Univers" w:hAnsi="Univers"/>
          <w:sz w:val="20"/>
          <w:szCs w:val="20"/>
        </w:rPr>
        <w:t>los referidos</w:t>
      </w:r>
      <w:r>
        <w:rPr>
          <w:rFonts w:ascii="Univers" w:hAnsi="Univers"/>
          <w:sz w:val="20"/>
          <w:szCs w:val="20"/>
        </w:rPr>
        <w:t xml:space="preserve"> nuevos hechos y en el derecho internacional, </w:t>
      </w:r>
      <w:r w:rsidR="00251844">
        <w:rPr>
          <w:rFonts w:ascii="Univers" w:hAnsi="Univers"/>
          <w:sz w:val="20"/>
          <w:szCs w:val="20"/>
        </w:rPr>
        <w:t xml:space="preserve">el 5 de marzo de 2008 </w:t>
      </w:r>
      <w:r w:rsidR="008C5465">
        <w:rPr>
          <w:rFonts w:ascii="Univers" w:hAnsi="Univers"/>
          <w:sz w:val="20"/>
          <w:szCs w:val="20"/>
        </w:rPr>
        <w:t xml:space="preserve">miembros del </w:t>
      </w:r>
      <w:r>
        <w:rPr>
          <w:rFonts w:ascii="Univers" w:hAnsi="Univers"/>
          <w:sz w:val="20"/>
          <w:szCs w:val="20"/>
        </w:rPr>
        <w:t>Ministerio Público Federal de São Paulo</w:t>
      </w:r>
      <w:r w:rsidR="00251844">
        <w:rPr>
          <w:rFonts w:ascii="Univers" w:hAnsi="Univers"/>
          <w:sz w:val="20"/>
          <w:szCs w:val="20"/>
        </w:rPr>
        <w:t>,</w:t>
      </w:r>
      <w:r w:rsidR="008C5465">
        <w:rPr>
          <w:rFonts w:ascii="Univers" w:hAnsi="Univers"/>
          <w:sz w:val="20"/>
          <w:szCs w:val="20"/>
        </w:rPr>
        <w:t xml:space="preserve"> sin </w:t>
      </w:r>
      <w:r w:rsidR="00460984">
        <w:rPr>
          <w:rFonts w:ascii="Univers" w:hAnsi="Univers"/>
          <w:sz w:val="20"/>
          <w:szCs w:val="20"/>
        </w:rPr>
        <w:t>prerrogativa criminal</w:t>
      </w:r>
      <w:r w:rsidR="00251844">
        <w:rPr>
          <w:rFonts w:ascii="Univers" w:hAnsi="Univers"/>
          <w:sz w:val="20"/>
          <w:szCs w:val="20"/>
        </w:rPr>
        <w:t>,</w:t>
      </w:r>
      <w:r w:rsidR="00460984">
        <w:rPr>
          <w:rFonts w:ascii="Univers" w:hAnsi="Univers"/>
          <w:sz w:val="20"/>
          <w:szCs w:val="20"/>
        </w:rPr>
        <w:t xml:space="preserve"> solicitaro</w:t>
      </w:r>
      <w:r w:rsidR="008C5465">
        <w:rPr>
          <w:rFonts w:ascii="Univers" w:hAnsi="Univers"/>
          <w:sz w:val="20"/>
          <w:szCs w:val="20"/>
        </w:rPr>
        <w:t>n al Procurador de la República de São Paulo que in</w:t>
      </w:r>
      <w:r w:rsidR="00251844">
        <w:rPr>
          <w:rFonts w:ascii="Univers" w:hAnsi="Univers"/>
          <w:sz w:val="20"/>
          <w:szCs w:val="20"/>
        </w:rPr>
        <w:t xml:space="preserve">struyera a funcionarios de dicho </w:t>
      </w:r>
      <w:r w:rsidR="008C5465">
        <w:rPr>
          <w:rFonts w:ascii="Univers" w:hAnsi="Univers"/>
          <w:sz w:val="20"/>
          <w:szCs w:val="20"/>
        </w:rPr>
        <w:t>Ministerio Públi</w:t>
      </w:r>
      <w:r w:rsidR="00251844">
        <w:rPr>
          <w:rFonts w:ascii="Univers" w:hAnsi="Univers"/>
          <w:sz w:val="20"/>
          <w:szCs w:val="20"/>
        </w:rPr>
        <w:t xml:space="preserve">co Federal del área criminal que dieran inicio a una investigación </w:t>
      </w:r>
      <w:r w:rsidR="00AB6F48">
        <w:rPr>
          <w:rFonts w:ascii="Univers" w:hAnsi="Univers"/>
          <w:sz w:val="20"/>
          <w:szCs w:val="20"/>
        </w:rPr>
        <w:t>sobre la muerte de la presunta víctima</w:t>
      </w:r>
      <w:r w:rsidR="00F502FE">
        <w:rPr>
          <w:rFonts w:ascii="Univers" w:hAnsi="Univers"/>
          <w:sz w:val="20"/>
          <w:szCs w:val="20"/>
        </w:rPr>
        <w:t xml:space="preserve">.  Dicha solicitud, conforme a los peticionarios, se basó en que </w:t>
      </w:r>
      <w:r w:rsidR="00AB6F48">
        <w:rPr>
          <w:rFonts w:ascii="Univers" w:hAnsi="Univers"/>
          <w:sz w:val="20"/>
          <w:szCs w:val="20"/>
        </w:rPr>
        <w:t>la competencia para dicha investigación sería de la Justicia Federal</w:t>
      </w:r>
      <w:r w:rsidR="00251844">
        <w:rPr>
          <w:rFonts w:ascii="Univers" w:hAnsi="Univers"/>
          <w:sz w:val="20"/>
          <w:szCs w:val="20"/>
        </w:rPr>
        <w:t>,</w:t>
      </w:r>
      <w:r w:rsidR="00AB6F48">
        <w:rPr>
          <w:rFonts w:ascii="Univers" w:hAnsi="Univers"/>
          <w:sz w:val="20"/>
          <w:szCs w:val="20"/>
        </w:rPr>
        <w:t xml:space="preserve"> pues los agentes del DOI/CODI eran agentes feder</w:t>
      </w:r>
      <w:r w:rsidR="00F502FE">
        <w:rPr>
          <w:rFonts w:ascii="Univers" w:hAnsi="Univers"/>
          <w:sz w:val="20"/>
          <w:szCs w:val="20"/>
        </w:rPr>
        <w:t>ales</w:t>
      </w:r>
      <w:r w:rsidR="00251844">
        <w:rPr>
          <w:rFonts w:ascii="Univers" w:hAnsi="Univers"/>
          <w:sz w:val="20"/>
          <w:szCs w:val="20"/>
        </w:rPr>
        <w:t>;</w:t>
      </w:r>
      <w:r w:rsidR="00F502FE">
        <w:rPr>
          <w:rFonts w:ascii="Univers" w:hAnsi="Univers"/>
          <w:sz w:val="20"/>
          <w:szCs w:val="20"/>
        </w:rPr>
        <w:t xml:space="preserve"> por tratarse de </w:t>
      </w:r>
      <w:r w:rsidR="00251844">
        <w:rPr>
          <w:rFonts w:ascii="Univers" w:hAnsi="Univers"/>
          <w:sz w:val="20"/>
          <w:szCs w:val="20"/>
        </w:rPr>
        <w:t xml:space="preserve">un </w:t>
      </w:r>
      <w:r w:rsidR="00F502FE">
        <w:rPr>
          <w:rFonts w:ascii="Univers" w:hAnsi="Univers"/>
          <w:sz w:val="20"/>
          <w:szCs w:val="20"/>
        </w:rPr>
        <w:t>cr</w:t>
      </w:r>
      <w:r w:rsidR="00DA232C">
        <w:rPr>
          <w:rFonts w:ascii="Univers" w:hAnsi="Univers"/>
          <w:sz w:val="20"/>
          <w:szCs w:val="20"/>
        </w:rPr>
        <w:t>i</w:t>
      </w:r>
      <w:r w:rsidR="00F502FE">
        <w:rPr>
          <w:rFonts w:ascii="Univers" w:hAnsi="Univers"/>
          <w:sz w:val="20"/>
          <w:szCs w:val="20"/>
        </w:rPr>
        <w:t>men de</w:t>
      </w:r>
      <w:r w:rsidR="00AB6F48">
        <w:rPr>
          <w:rFonts w:ascii="Univers" w:hAnsi="Univers"/>
          <w:sz w:val="20"/>
          <w:szCs w:val="20"/>
        </w:rPr>
        <w:t xml:space="preserve"> lesa humanidad</w:t>
      </w:r>
      <w:r w:rsidR="001250BC">
        <w:rPr>
          <w:rFonts w:ascii="Univers" w:hAnsi="Univers"/>
          <w:sz w:val="20"/>
          <w:szCs w:val="20"/>
        </w:rPr>
        <w:t xml:space="preserve"> </w:t>
      </w:r>
      <w:r w:rsidR="00B127DA">
        <w:rPr>
          <w:rFonts w:ascii="Univers" w:hAnsi="Univers"/>
          <w:sz w:val="20"/>
          <w:szCs w:val="20"/>
        </w:rPr>
        <w:t>imprescriptible y no susceptible</w:t>
      </w:r>
      <w:r w:rsidR="00D31F1E">
        <w:rPr>
          <w:rFonts w:ascii="Univers" w:hAnsi="Univers"/>
          <w:sz w:val="20"/>
          <w:szCs w:val="20"/>
        </w:rPr>
        <w:t xml:space="preserve"> de amnistía</w:t>
      </w:r>
      <w:r w:rsidR="00251844">
        <w:rPr>
          <w:rFonts w:ascii="Univers" w:hAnsi="Univers"/>
          <w:sz w:val="20"/>
          <w:szCs w:val="20"/>
        </w:rPr>
        <w:t>;</w:t>
      </w:r>
      <w:r w:rsidR="00AB6F48">
        <w:rPr>
          <w:rFonts w:ascii="Univers" w:hAnsi="Univers"/>
          <w:sz w:val="20"/>
          <w:szCs w:val="20"/>
        </w:rPr>
        <w:t xml:space="preserve"> y en virtud de las obligaciones internacionales del Estado brasile</w:t>
      </w:r>
      <w:r w:rsidR="00DA232C">
        <w:rPr>
          <w:rFonts w:ascii="Univers" w:hAnsi="Univers"/>
          <w:sz w:val="20"/>
          <w:szCs w:val="20"/>
        </w:rPr>
        <w:t xml:space="preserve">ño, incluso aquellas </w:t>
      </w:r>
      <w:r w:rsidR="00251844">
        <w:rPr>
          <w:rFonts w:ascii="Univers" w:hAnsi="Univers"/>
          <w:sz w:val="20"/>
          <w:szCs w:val="20"/>
        </w:rPr>
        <w:t xml:space="preserve">previstas en </w:t>
      </w:r>
      <w:r w:rsidR="00DA232C">
        <w:rPr>
          <w:rFonts w:ascii="Univers" w:hAnsi="Univers"/>
          <w:sz w:val="20"/>
          <w:szCs w:val="20"/>
        </w:rPr>
        <w:t>la Convención Americana.</w:t>
      </w:r>
    </w:p>
    <w:p w:rsidR="00DB6389" w:rsidRDefault="00DB6389" w:rsidP="00870154">
      <w:pPr>
        <w:autoSpaceDE w:val="0"/>
        <w:autoSpaceDN w:val="0"/>
        <w:adjustRightInd w:val="0"/>
        <w:jc w:val="both"/>
        <w:rPr>
          <w:rFonts w:ascii="Univers" w:hAnsi="Univers"/>
          <w:sz w:val="20"/>
          <w:szCs w:val="20"/>
        </w:rPr>
      </w:pPr>
      <w:r>
        <w:rPr>
          <w:rFonts w:ascii="Univers" w:hAnsi="Univers"/>
          <w:sz w:val="20"/>
          <w:szCs w:val="20"/>
        </w:rPr>
        <w:tab/>
        <w:t>13.</w:t>
      </w:r>
      <w:r>
        <w:rPr>
          <w:rFonts w:ascii="Univers" w:hAnsi="Univers"/>
          <w:sz w:val="20"/>
          <w:szCs w:val="20"/>
        </w:rPr>
        <w:tab/>
      </w:r>
      <w:r w:rsidR="00D365BD">
        <w:rPr>
          <w:rFonts w:ascii="Univers" w:hAnsi="Univers"/>
          <w:sz w:val="20"/>
          <w:szCs w:val="20"/>
        </w:rPr>
        <w:t xml:space="preserve">Según los peticionarios, el representante del Ministerio Público Federal responsable por el área criminal estuvo en desacuerdo con sus colegas, y </w:t>
      </w:r>
      <w:r w:rsidR="00B362B5">
        <w:rPr>
          <w:rFonts w:ascii="Univers" w:hAnsi="Univers"/>
          <w:sz w:val="20"/>
          <w:szCs w:val="20"/>
        </w:rPr>
        <w:t xml:space="preserve">solicitó </w:t>
      </w:r>
      <w:r w:rsidR="00D365BD">
        <w:rPr>
          <w:rFonts w:ascii="Univers" w:hAnsi="Univers"/>
          <w:sz w:val="20"/>
          <w:szCs w:val="20"/>
        </w:rPr>
        <w:t>el archivo de</w:t>
      </w:r>
      <w:r w:rsidR="00460B4E">
        <w:rPr>
          <w:rFonts w:ascii="Univers" w:hAnsi="Univers"/>
          <w:sz w:val="20"/>
          <w:szCs w:val="20"/>
        </w:rPr>
        <w:t xml:space="preserve">l expediente.  </w:t>
      </w:r>
      <w:r w:rsidR="00460984">
        <w:rPr>
          <w:rFonts w:ascii="Univers" w:hAnsi="Univers"/>
          <w:sz w:val="20"/>
          <w:szCs w:val="20"/>
        </w:rPr>
        <w:t>Los peticionarios indican que</w:t>
      </w:r>
      <w:r w:rsidR="00B362B5">
        <w:rPr>
          <w:rFonts w:ascii="Univers" w:hAnsi="Univers"/>
          <w:sz w:val="20"/>
          <w:szCs w:val="20"/>
        </w:rPr>
        <w:t xml:space="preserve"> el proceso fue archivado en virtud de decisión de la jueza federal encargada</w:t>
      </w:r>
      <w:r w:rsidR="00460984">
        <w:rPr>
          <w:rFonts w:ascii="Univers" w:hAnsi="Univers"/>
          <w:sz w:val="20"/>
          <w:szCs w:val="20"/>
        </w:rPr>
        <w:t>, el 12 de enero de 2009</w:t>
      </w:r>
      <w:r w:rsidR="00B362B5">
        <w:rPr>
          <w:rFonts w:ascii="Univers" w:hAnsi="Univers"/>
          <w:sz w:val="20"/>
          <w:szCs w:val="20"/>
        </w:rPr>
        <w:t xml:space="preserve">.  En dicha sentencia, la jueza federal reconoció que la </w:t>
      </w:r>
      <w:r w:rsidR="00B362B5">
        <w:rPr>
          <w:rFonts w:ascii="Univers" w:hAnsi="Univers"/>
          <w:sz w:val="20"/>
          <w:szCs w:val="20"/>
        </w:rPr>
        <w:lastRenderedPageBreak/>
        <w:t>competencia originaria era de la Justicia Federal, sin embargo</w:t>
      </w:r>
      <w:r w:rsidR="00E44341">
        <w:rPr>
          <w:rFonts w:ascii="Univers" w:hAnsi="Univers"/>
          <w:sz w:val="20"/>
          <w:szCs w:val="20"/>
        </w:rPr>
        <w:t xml:space="preserve"> determinó que</w:t>
      </w:r>
      <w:r w:rsidR="00B362B5">
        <w:rPr>
          <w:rFonts w:ascii="Univers" w:hAnsi="Univers"/>
          <w:sz w:val="20"/>
          <w:szCs w:val="20"/>
        </w:rPr>
        <w:t xml:space="preserve"> la decisión anterior adoptada por la Justicia Estadual de São Paulo constituía cosa juzgada material y que los crímenes perpetrados contra la presunta víctima habrían prescrito</w:t>
      </w:r>
      <w:r w:rsidR="00E44341">
        <w:rPr>
          <w:rFonts w:ascii="Univers" w:hAnsi="Univers"/>
          <w:sz w:val="20"/>
          <w:szCs w:val="20"/>
        </w:rPr>
        <w:t>.</w:t>
      </w:r>
    </w:p>
    <w:p w:rsidR="00B362B5" w:rsidRDefault="00B362B5" w:rsidP="00870154">
      <w:pPr>
        <w:autoSpaceDE w:val="0"/>
        <w:autoSpaceDN w:val="0"/>
        <w:adjustRightInd w:val="0"/>
        <w:jc w:val="both"/>
        <w:rPr>
          <w:rFonts w:ascii="Univers" w:hAnsi="Univers"/>
          <w:sz w:val="20"/>
          <w:szCs w:val="20"/>
        </w:rPr>
      </w:pPr>
    </w:p>
    <w:p w:rsidR="00B362B5" w:rsidRDefault="00B362B5" w:rsidP="00870154">
      <w:pPr>
        <w:autoSpaceDE w:val="0"/>
        <w:autoSpaceDN w:val="0"/>
        <w:adjustRightInd w:val="0"/>
        <w:jc w:val="both"/>
        <w:rPr>
          <w:rFonts w:ascii="Univers" w:hAnsi="Univers"/>
          <w:sz w:val="20"/>
          <w:szCs w:val="20"/>
        </w:rPr>
      </w:pPr>
      <w:r>
        <w:rPr>
          <w:rFonts w:ascii="Univers" w:hAnsi="Univers"/>
          <w:sz w:val="20"/>
          <w:szCs w:val="20"/>
        </w:rPr>
        <w:tab/>
        <w:t>14.</w:t>
      </w:r>
      <w:r>
        <w:rPr>
          <w:rFonts w:ascii="Univers" w:hAnsi="Univers"/>
          <w:sz w:val="20"/>
          <w:szCs w:val="20"/>
        </w:rPr>
        <w:tab/>
        <w:t xml:space="preserve">Conforme a los peticionarios, </w:t>
      </w:r>
      <w:r w:rsidR="00E44341">
        <w:rPr>
          <w:rFonts w:ascii="Univers" w:hAnsi="Univers"/>
          <w:sz w:val="20"/>
          <w:szCs w:val="20"/>
        </w:rPr>
        <w:t xml:space="preserve">esa decisión efectivamente agotó los recursos de jurisdicción interna, y su petición es admisible respecto de violaciones a los artículos I, XVIII, XXV y XXVI de la Declaración Americana, a los artículos 1, 2, 5, 8 y 25 de la Convención </w:t>
      </w:r>
      <w:r w:rsidR="00E44341" w:rsidRPr="00E53CE2">
        <w:rPr>
          <w:rFonts w:ascii="Univers" w:hAnsi="Univers"/>
          <w:sz w:val="20"/>
          <w:szCs w:val="20"/>
        </w:rPr>
        <w:t>Americana</w:t>
      </w:r>
      <w:r w:rsidR="00E44341">
        <w:rPr>
          <w:rFonts w:ascii="Univers" w:hAnsi="Univers"/>
          <w:sz w:val="20"/>
          <w:szCs w:val="20"/>
        </w:rPr>
        <w:t>, así como a los artículos 1, 6 y 8 de la Convención Interamericana para Prevenir y Sancionar la Tortura.</w:t>
      </w:r>
    </w:p>
    <w:p w:rsidR="00AB6F48" w:rsidRDefault="00AB6F48" w:rsidP="00870154">
      <w:pPr>
        <w:autoSpaceDE w:val="0"/>
        <w:autoSpaceDN w:val="0"/>
        <w:adjustRightInd w:val="0"/>
        <w:jc w:val="both"/>
        <w:rPr>
          <w:rFonts w:ascii="Univers" w:hAnsi="Univers"/>
          <w:sz w:val="20"/>
          <w:szCs w:val="20"/>
        </w:rPr>
      </w:pPr>
    </w:p>
    <w:p w:rsidR="00E44341" w:rsidRDefault="00E44341" w:rsidP="00870154">
      <w:pPr>
        <w:numPr>
          <w:ilvl w:val="0"/>
          <w:numId w:val="22"/>
        </w:numPr>
        <w:autoSpaceDE w:val="0"/>
        <w:autoSpaceDN w:val="0"/>
        <w:adjustRightInd w:val="0"/>
        <w:jc w:val="both"/>
        <w:rPr>
          <w:rFonts w:ascii="Univers" w:hAnsi="Univers"/>
          <w:b/>
          <w:sz w:val="20"/>
          <w:szCs w:val="20"/>
        </w:rPr>
      </w:pPr>
      <w:r>
        <w:rPr>
          <w:rFonts w:ascii="Univers" w:hAnsi="Univers"/>
          <w:b/>
          <w:sz w:val="20"/>
          <w:szCs w:val="20"/>
        </w:rPr>
        <w:t>Posición del Estado</w:t>
      </w:r>
    </w:p>
    <w:p w:rsidR="00E44341" w:rsidRPr="00452112" w:rsidRDefault="00E44341" w:rsidP="00870154">
      <w:pPr>
        <w:autoSpaceDE w:val="0"/>
        <w:autoSpaceDN w:val="0"/>
        <w:adjustRightInd w:val="0"/>
        <w:jc w:val="both"/>
        <w:rPr>
          <w:rFonts w:ascii="Univers" w:hAnsi="Univers"/>
          <w:sz w:val="20"/>
          <w:szCs w:val="20"/>
        </w:rPr>
      </w:pPr>
    </w:p>
    <w:p w:rsidR="001E22C8" w:rsidRDefault="0089128E" w:rsidP="00870154">
      <w:pPr>
        <w:autoSpaceDE w:val="0"/>
        <w:autoSpaceDN w:val="0"/>
        <w:adjustRightInd w:val="0"/>
        <w:ind w:firstLine="720"/>
        <w:jc w:val="both"/>
        <w:rPr>
          <w:rFonts w:ascii="Univers" w:hAnsi="Univers"/>
          <w:sz w:val="20"/>
          <w:szCs w:val="20"/>
        </w:rPr>
      </w:pPr>
      <w:r>
        <w:rPr>
          <w:rFonts w:ascii="Univers" w:hAnsi="Univers"/>
          <w:sz w:val="20"/>
          <w:szCs w:val="20"/>
        </w:rPr>
        <w:t>15.</w:t>
      </w:r>
      <w:r>
        <w:rPr>
          <w:rFonts w:ascii="Univers" w:hAnsi="Univers"/>
          <w:sz w:val="20"/>
          <w:szCs w:val="20"/>
        </w:rPr>
        <w:tab/>
      </w:r>
      <w:r w:rsidR="00CD3ED3">
        <w:rPr>
          <w:rFonts w:ascii="Univers" w:hAnsi="Univers"/>
          <w:sz w:val="20"/>
          <w:szCs w:val="20"/>
        </w:rPr>
        <w:t xml:space="preserve">Preliminarmente, el Estado alega que </w:t>
      </w:r>
      <w:r>
        <w:rPr>
          <w:rFonts w:ascii="Univers" w:hAnsi="Univers"/>
          <w:sz w:val="20"/>
          <w:szCs w:val="20"/>
        </w:rPr>
        <w:t xml:space="preserve">no </w:t>
      </w:r>
      <w:r w:rsidR="00CD3ED3">
        <w:rPr>
          <w:rFonts w:ascii="Univers" w:hAnsi="Univers"/>
          <w:sz w:val="20"/>
          <w:szCs w:val="20"/>
        </w:rPr>
        <w:t xml:space="preserve">ha </w:t>
      </w:r>
      <w:r w:rsidR="00251844">
        <w:rPr>
          <w:rFonts w:ascii="Univers" w:hAnsi="Univers"/>
          <w:sz w:val="20"/>
          <w:szCs w:val="20"/>
        </w:rPr>
        <w:t xml:space="preserve">incurrido en </w:t>
      </w:r>
      <w:r w:rsidR="00A1754C">
        <w:rPr>
          <w:rFonts w:ascii="Univers" w:hAnsi="Univers"/>
          <w:sz w:val="20"/>
          <w:szCs w:val="20"/>
        </w:rPr>
        <w:t>omisión</w:t>
      </w:r>
      <w:r w:rsidR="00251844">
        <w:rPr>
          <w:rFonts w:ascii="Univers" w:hAnsi="Univers"/>
          <w:sz w:val="20"/>
          <w:szCs w:val="20"/>
        </w:rPr>
        <w:t xml:space="preserve"> </w:t>
      </w:r>
      <w:r w:rsidR="00CD3ED3">
        <w:rPr>
          <w:rFonts w:ascii="Univers" w:hAnsi="Univers"/>
          <w:sz w:val="20"/>
          <w:szCs w:val="20"/>
        </w:rPr>
        <w:t xml:space="preserve">respecto de los hechos denunciados en esta petición, </w:t>
      </w:r>
      <w:r w:rsidR="00A1754C">
        <w:rPr>
          <w:rFonts w:ascii="Univers" w:hAnsi="Univers"/>
          <w:sz w:val="20"/>
          <w:szCs w:val="20"/>
        </w:rPr>
        <w:t>y qu</w:t>
      </w:r>
      <w:r w:rsidR="00CD3ED3">
        <w:rPr>
          <w:rFonts w:ascii="Univers" w:hAnsi="Univers"/>
          <w:sz w:val="20"/>
          <w:szCs w:val="20"/>
        </w:rPr>
        <w:t>e incluso ha formalmente reconocido su responsabilidad por la muerte y la detención arbitraria de la presunta víctima</w:t>
      </w:r>
      <w:r w:rsidR="001E22C8">
        <w:rPr>
          <w:rFonts w:ascii="Univers" w:hAnsi="Univers"/>
          <w:sz w:val="20"/>
          <w:szCs w:val="20"/>
        </w:rPr>
        <w:t>.  En efecto, el Estado sostiene que ha promovido un conjunto de medidas de reparación y no repetición relativas a la muerte de la presunta víctima.  Al respecto, el Estado resalta que en marzo de 1996, la Comisión Especial de Muerto</w:t>
      </w:r>
      <w:r w:rsidR="00EF0877">
        <w:rPr>
          <w:rFonts w:ascii="Univers" w:hAnsi="Univers"/>
          <w:sz w:val="20"/>
          <w:szCs w:val="20"/>
        </w:rPr>
        <w:t>s</w:t>
      </w:r>
      <w:r w:rsidR="001E22C8">
        <w:rPr>
          <w:rFonts w:ascii="Univers" w:hAnsi="Univers"/>
          <w:sz w:val="20"/>
          <w:szCs w:val="20"/>
        </w:rPr>
        <w:t xml:space="preserve"> y Desaparecidos Políticos reconoció la responsabilidad del Estado por la muerte de la presunta víctima, conforme a lo dispuesto en el artículo 4º, I, “b” de la Ley 9.140/95 y, en consecuencia, otorgó reparación monetaria a su viuda, Clarice Herzog.</w:t>
      </w:r>
      <w:r w:rsidR="00A55DC3">
        <w:rPr>
          <w:rFonts w:ascii="Univers" w:hAnsi="Univers"/>
          <w:sz w:val="20"/>
          <w:szCs w:val="20"/>
        </w:rPr>
        <w:t xml:space="preserve">  El Estado resalta que la muerte de la presunta víctima fue fundamental en el proceso de redemocratización de Brasil por revelar las violaciones de derechos humanos perpetradas contra los presos políticos.</w:t>
      </w:r>
    </w:p>
    <w:p w:rsidR="009F270A" w:rsidRDefault="009F270A" w:rsidP="00870154">
      <w:pPr>
        <w:autoSpaceDE w:val="0"/>
        <w:autoSpaceDN w:val="0"/>
        <w:adjustRightInd w:val="0"/>
        <w:jc w:val="both"/>
        <w:rPr>
          <w:rFonts w:ascii="Univers" w:hAnsi="Univers"/>
          <w:sz w:val="20"/>
          <w:szCs w:val="20"/>
        </w:rPr>
      </w:pPr>
    </w:p>
    <w:p w:rsidR="00F116AB" w:rsidRPr="00905556" w:rsidRDefault="00F116AB" w:rsidP="00870154">
      <w:pPr>
        <w:autoSpaceDE w:val="0"/>
        <w:autoSpaceDN w:val="0"/>
        <w:adjustRightInd w:val="0"/>
        <w:ind w:firstLine="720"/>
        <w:jc w:val="both"/>
        <w:rPr>
          <w:rFonts w:ascii="Univers" w:hAnsi="Univers"/>
          <w:sz w:val="20"/>
          <w:szCs w:val="20"/>
        </w:rPr>
      </w:pPr>
      <w:r>
        <w:rPr>
          <w:rFonts w:ascii="Univers" w:hAnsi="Univers"/>
          <w:sz w:val="20"/>
          <w:szCs w:val="20"/>
        </w:rPr>
        <w:t>16.</w:t>
      </w:r>
      <w:r>
        <w:rPr>
          <w:rFonts w:ascii="Univers" w:hAnsi="Univers"/>
          <w:sz w:val="20"/>
          <w:szCs w:val="20"/>
        </w:rPr>
        <w:tab/>
        <w:t>Asimismo, el Estado se refiere a varias iniciativas adoptadas en aras de preservar el derecho a la memoria de l</w:t>
      </w:r>
      <w:r w:rsidR="005A24B4">
        <w:rPr>
          <w:rFonts w:ascii="Univers" w:hAnsi="Univers"/>
          <w:sz w:val="20"/>
          <w:szCs w:val="20"/>
        </w:rPr>
        <w:t>a presunta víctima, por ejemplo,</w:t>
      </w:r>
      <w:r>
        <w:rPr>
          <w:rFonts w:ascii="Univers" w:hAnsi="Univers"/>
          <w:sz w:val="20"/>
          <w:szCs w:val="20"/>
        </w:rPr>
        <w:t xml:space="preserve"> el lanzamiento del libro “Der</w:t>
      </w:r>
      <w:r w:rsidR="00A55DC3">
        <w:rPr>
          <w:rFonts w:ascii="Univers" w:hAnsi="Univers"/>
          <w:sz w:val="20"/>
          <w:szCs w:val="20"/>
        </w:rPr>
        <w:t>echo a la Memoria y a la Verdad”, elaborado por la Comisión Especial de Muertos y Desaparecidos Políticos, en el que consta un relato sobre la trayectoria profesional de la presunta víctima y las violaciones practicadas en su contra.  El Estado observa también que en 2009 apoyó la c</w:t>
      </w:r>
      <w:r w:rsidR="00905556">
        <w:rPr>
          <w:rFonts w:ascii="Univers" w:hAnsi="Univers"/>
          <w:sz w:val="20"/>
          <w:szCs w:val="20"/>
        </w:rPr>
        <w:t>reación del “Instituto Vladimir Herzog”, a fin de contribuir para la protección del derecho a la vida y del acceso a la justicia.  En diciembre de 2011, agrega el Estado, la Secretaría de Derechos Humanos de la Presidencia de la República otorgó al Instituto Vladimir Herzog el premio nacional de derechos humanos, en la categoría “Verdad y Memoria”, por su proyecto “Es necesario resistir” (</w:t>
      </w:r>
      <w:r w:rsidR="00905556">
        <w:rPr>
          <w:rFonts w:ascii="Univers" w:hAnsi="Univers"/>
          <w:i/>
          <w:sz w:val="20"/>
          <w:szCs w:val="20"/>
        </w:rPr>
        <w:t>Resistir é preciso</w:t>
      </w:r>
      <w:r w:rsidR="00905556">
        <w:rPr>
          <w:rFonts w:ascii="Univers" w:hAnsi="Univers"/>
          <w:sz w:val="20"/>
          <w:szCs w:val="20"/>
        </w:rPr>
        <w:t>)</w:t>
      </w:r>
      <w:r w:rsidR="002F3A14">
        <w:rPr>
          <w:rFonts w:ascii="Univers" w:hAnsi="Univers"/>
          <w:sz w:val="20"/>
          <w:szCs w:val="20"/>
        </w:rPr>
        <w:t>,</w:t>
      </w:r>
      <w:r w:rsidR="00905556">
        <w:rPr>
          <w:rFonts w:ascii="Univers" w:hAnsi="Univers"/>
          <w:sz w:val="20"/>
          <w:szCs w:val="20"/>
        </w:rPr>
        <w:t xml:space="preserve"> auspiciado por el Gobierno Federal.  Además, el Estado resalta que el 16 de mayo de 2012 fue creada la Comisión Nacional de la Verdad, instituida a </w:t>
      </w:r>
      <w:r w:rsidR="00287D96">
        <w:rPr>
          <w:rFonts w:ascii="Univers" w:hAnsi="Univers"/>
          <w:sz w:val="20"/>
          <w:szCs w:val="20"/>
        </w:rPr>
        <w:t>tr</w:t>
      </w:r>
      <w:r w:rsidR="00A1754C">
        <w:rPr>
          <w:rFonts w:ascii="Univers" w:hAnsi="Univers"/>
          <w:sz w:val="20"/>
          <w:szCs w:val="20"/>
        </w:rPr>
        <w:t>avés de la Ley 12.528</w:t>
      </w:r>
      <w:r w:rsidR="00905556">
        <w:rPr>
          <w:rFonts w:ascii="Univers" w:hAnsi="Univers"/>
          <w:sz w:val="20"/>
          <w:szCs w:val="20"/>
        </w:rPr>
        <w:t xml:space="preserve"> de 18 de noviembre de 2011.</w:t>
      </w:r>
    </w:p>
    <w:p w:rsidR="009F270A" w:rsidRDefault="009F270A" w:rsidP="00870154">
      <w:pPr>
        <w:autoSpaceDE w:val="0"/>
        <w:autoSpaceDN w:val="0"/>
        <w:adjustRightInd w:val="0"/>
        <w:jc w:val="both"/>
        <w:rPr>
          <w:rFonts w:ascii="Univers" w:hAnsi="Univers"/>
          <w:sz w:val="20"/>
          <w:szCs w:val="20"/>
        </w:rPr>
      </w:pPr>
    </w:p>
    <w:p w:rsidR="00A1754C" w:rsidRDefault="00905556" w:rsidP="00870154">
      <w:pPr>
        <w:autoSpaceDE w:val="0"/>
        <w:autoSpaceDN w:val="0"/>
        <w:adjustRightInd w:val="0"/>
        <w:jc w:val="both"/>
        <w:rPr>
          <w:rFonts w:ascii="Univers" w:hAnsi="Univers"/>
          <w:sz w:val="20"/>
          <w:szCs w:val="20"/>
        </w:rPr>
      </w:pPr>
      <w:r>
        <w:rPr>
          <w:rFonts w:ascii="Univers" w:hAnsi="Univers"/>
          <w:sz w:val="20"/>
          <w:szCs w:val="20"/>
        </w:rPr>
        <w:tab/>
        <w:t>17.</w:t>
      </w:r>
      <w:r>
        <w:rPr>
          <w:rFonts w:ascii="Univers" w:hAnsi="Univers"/>
          <w:sz w:val="20"/>
          <w:szCs w:val="20"/>
        </w:rPr>
        <w:tab/>
      </w:r>
      <w:r w:rsidR="00B54A5D">
        <w:rPr>
          <w:rFonts w:ascii="Univers" w:hAnsi="Univers"/>
          <w:sz w:val="20"/>
          <w:szCs w:val="20"/>
        </w:rPr>
        <w:t xml:space="preserve">Respecto de los requisitos de admisibilidad de la petición, el Estado alega, en primer lugar, que la misma es inadmisible porque la CIDH no tiene competencia </w:t>
      </w:r>
      <w:r w:rsidR="00B54A5D">
        <w:rPr>
          <w:rFonts w:ascii="Univers" w:hAnsi="Univers"/>
          <w:i/>
          <w:sz w:val="20"/>
          <w:szCs w:val="20"/>
        </w:rPr>
        <w:t xml:space="preserve">ratione temporis </w:t>
      </w:r>
      <w:r w:rsidR="00B54A5D">
        <w:rPr>
          <w:rFonts w:ascii="Univers" w:hAnsi="Univers"/>
          <w:sz w:val="20"/>
          <w:szCs w:val="20"/>
        </w:rPr>
        <w:t xml:space="preserve">para examinar presuntas violaciones a la Convención Americana ni a la Convención Interamericana para Prevenir y </w:t>
      </w:r>
      <w:r w:rsidR="00B54A5D" w:rsidRPr="00A1754C">
        <w:rPr>
          <w:rFonts w:ascii="Univers" w:hAnsi="Univers"/>
          <w:sz w:val="20"/>
          <w:szCs w:val="20"/>
        </w:rPr>
        <w:t>Sancionar</w:t>
      </w:r>
      <w:r w:rsidR="00B54A5D">
        <w:rPr>
          <w:rFonts w:ascii="Univers" w:hAnsi="Univers"/>
          <w:sz w:val="20"/>
          <w:szCs w:val="20"/>
        </w:rPr>
        <w:t xml:space="preserve"> la Tortura.  Al respecto, el Estado sostiene que la ejecución de las presuntas violaciones se </w:t>
      </w:r>
      <w:r w:rsidR="00F4386C">
        <w:rPr>
          <w:rFonts w:ascii="Univers" w:hAnsi="Univers"/>
          <w:sz w:val="20"/>
          <w:szCs w:val="20"/>
        </w:rPr>
        <w:t xml:space="preserve">consumó </w:t>
      </w:r>
      <w:r w:rsidR="00B54A5D">
        <w:rPr>
          <w:rFonts w:ascii="Univers" w:hAnsi="Univers"/>
          <w:sz w:val="20"/>
          <w:szCs w:val="20"/>
        </w:rPr>
        <w:t xml:space="preserve">previamente a la ratificación de dichos instrumentos por Brasil, el 24 de septiembre de 1992 y el 6 de septiembre de 1989, </w:t>
      </w:r>
      <w:r w:rsidR="00287D96">
        <w:rPr>
          <w:rFonts w:ascii="Univers" w:hAnsi="Univers"/>
          <w:sz w:val="20"/>
          <w:szCs w:val="20"/>
        </w:rPr>
        <w:t>respectivamente.  Es decir, Bra</w:t>
      </w:r>
      <w:r w:rsidR="00DA4F92">
        <w:rPr>
          <w:rFonts w:ascii="Univers" w:hAnsi="Univers"/>
          <w:sz w:val="20"/>
          <w:szCs w:val="20"/>
        </w:rPr>
        <w:t>s</w:t>
      </w:r>
      <w:r w:rsidR="00287D96">
        <w:rPr>
          <w:rFonts w:ascii="Univers" w:hAnsi="Univers"/>
          <w:sz w:val="20"/>
          <w:szCs w:val="20"/>
        </w:rPr>
        <w:t>il alega que la ratificación de ambos instrumentos ocurrió posteriormente a los actos de tortura contra la presunta víctima, el 25 de octubre de 1975.</w:t>
      </w:r>
    </w:p>
    <w:p w:rsidR="00905556" w:rsidRDefault="00905556" w:rsidP="00870154">
      <w:pPr>
        <w:autoSpaceDE w:val="0"/>
        <w:autoSpaceDN w:val="0"/>
        <w:adjustRightInd w:val="0"/>
        <w:jc w:val="both"/>
        <w:rPr>
          <w:rFonts w:ascii="Univers" w:hAnsi="Univers"/>
          <w:sz w:val="20"/>
          <w:szCs w:val="20"/>
        </w:rPr>
      </w:pPr>
    </w:p>
    <w:p w:rsidR="00287D96" w:rsidRDefault="00287D96" w:rsidP="00870154">
      <w:pPr>
        <w:autoSpaceDE w:val="0"/>
        <w:autoSpaceDN w:val="0"/>
        <w:adjustRightInd w:val="0"/>
        <w:jc w:val="both"/>
        <w:rPr>
          <w:rFonts w:ascii="Univers" w:hAnsi="Univers"/>
          <w:sz w:val="20"/>
          <w:szCs w:val="20"/>
        </w:rPr>
      </w:pPr>
      <w:r>
        <w:rPr>
          <w:rFonts w:ascii="Univers" w:hAnsi="Univers"/>
          <w:sz w:val="20"/>
          <w:szCs w:val="20"/>
        </w:rPr>
        <w:tab/>
        <w:t>18.</w:t>
      </w:r>
      <w:r>
        <w:rPr>
          <w:rFonts w:ascii="Univers" w:hAnsi="Univers"/>
          <w:sz w:val="20"/>
          <w:szCs w:val="20"/>
        </w:rPr>
        <w:tab/>
        <w:t>Por otra parte, el Estado argumenta que la petición también es inadmisible porque fue presentada extemporáneamente, por tanto, no cumple con los requisitos previstos en el artículo 46.1.b de la Convención Americana y en el artículo 32 del Reglamento de la CIDH.  Al respecto, el Estado sostiene que  las fechas relevantes para analizar el plazo de presentación de esta petición son el 28 de agosto de 1979 o, alterna</w:t>
      </w:r>
      <w:r w:rsidR="00A1754C">
        <w:rPr>
          <w:rFonts w:ascii="Univers" w:hAnsi="Univers"/>
          <w:sz w:val="20"/>
          <w:szCs w:val="20"/>
        </w:rPr>
        <w:t>tivam</w:t>
      </w:r>
      <w:r>
        <w:rPr>
          <w:rFonts w:ascii="Univers" w:hAnsi="Univers"/>
          <w:sz w:val="20"/>
          <w:szCs w:val="20"/>
        </w:rPr>
        <w:t>ente, el 18 de agosto de 1993.  En cualquier caso, conforme al Estado, la petición fue presentada fuera del plazo de seis meses previsto en el artículo 46.1.b de la Convención Americana, y tampoco fue presentada dentro de un plazo razonable, conforme al artículo 32.2 del Reglamento de la Comisión Interamericana.</w:t>
      </w:r>
    </w:p>
    <w:p w:rsidR="002D37B5" w:rsidRDefault="002D37B5" w:rsidP="00870154">
      <w:pPr>
        <w:autoSpaceDE w:val="0"/>
        <w:autoSpaceDN w:val="0"/>
        <w:adjustRightInd w:val="0"/>
        <w:jc w:val="both"/>
        <w:rPr>
          <w:rFonts w:ascii="Univers" w:hAnsi="Univers"/>
          <w:sz w:val="20"/>
          <w:szCs w:val="20"/>
        </w:rPr>
      </w:pPr>
    </w:p>
    <w:p w:rsidR="002D37B5" w:rsidRDefault="002D37B5" w:rsidP="00870154">
      <w:pPr>
        <w:autoSpaceDE w:val="0"/>
        <w:autoSpaceDN w:val="0"/>
        <w:adjustRightInd w:val="0"/>
        <w:jc w:val="both"/>
        <w:rPr>
          <w:rFonts w:ascii="Univers" w:hAnsi="Univers"/>
          <w:sz w:val="20"/>
          <w:szCs w:val="20"/>
        </w:rPr>
      </w:pPr>
      <w:r>
        <w:rPr>
          <w:rFonts w:ascii="Univers" w:hAnsi="Univers"/>
          <w:sz w:val="20"/>
          <w:szCs w:val="20"/>
        </w:rPr>
        <w:lastRenderedPageBreak/>
        <w:tab/>
        <w:t>19.</w:t>
      </w:r>
      <w:r>
        <w:rPr>
          <w:rFonts w:ascii="Univers" w:hAnsi="Univers"/>
          <w:sz w:val="20"/>
          <w:szCs w:val="20"/>
        </w:rPr>
        <w:tab/>
        <w:t xml:space="preserve">Respecto de la primera fecha, el Estado observa que, en el marco de la acción declaratoria civil interpuesta por los familiares de la presunta víctima, se determinó la responsabilidad de la Unión Federal por la </w:t>
      </w:r>
      <w:r w:rsidR="00042FCB">
        <w:rPr>
          <w:rFonts w:ascii="Univers" w:hAnsi="Univers"/>
          <w:sz w:val="20"/>
          <w:szCs w:val="20"/>
        </w:rPr>
        <w:t>muerte de la presunta víctima y la correspondiente indemnización monetaria, mediante sentencia del 12 de octubre de 1978.  Asimismo, dicha decisión determinó que se remitieran los autos al Procurador General de la Justicia Mi</w:t>
      </w:r>
      <w:r w:rsidR="0034508F">
        <w:rPr>
          <w:rFonts w:ascii="Univers" w:hAnsi="Univers"/>
          <w:sz w:val="20"/>
          <w:szCs w:val="20"/>
        </w:rPr>
        <w:t>litar, a fin de que éste adoptar</w:t>
      </w:r>
      <w:r w:rsidR="00042FCB">
        <w:rPr>
          <w:rFonts w:ascii="Univers" w:hAnsi="Univers"/>
          <w:sz w:val="20"/>
          <w:szCs w:val="20"/>
        </w:rPr>
        <w:t>a las medidas penales pertinentes.  No obstante, agrega el Estado, el 28 de agosto de 1979 fue sancionada la Ley</w:t>
      </w:r>
      <w:r w:rsidR="00E339D8">
        <w:rPr>
          <w:rFonts w:ascii="Univers" w:hAnsi="Univers"/>
          <w:sz w:val="20"/>
          <w:szCs w:val="20"/>
        </w:rPr>
        <w:t xml:space="preserve"> </w:t>
      </w:r>
      <w:r w:rsidR="00E339D8" w:rsidRPr="00822CCE">
        <w:rPr>
          <w:rFonts w:ascii="Univers" w:hAnsi="Univers"/>
          <w:sz w:val="20"/>
          <w:szCs w:val="20"/>
        </w:rPr>
        <w:t>6.683/79</w:t>
      </w:r>
      <w:r w:rsidR="00E339D8">
        <w:rPr>
          <w:rFonts w:ascii="Univers" w:hAnsi="Univers"/>
          <w:sz w:val="20"/>
          <w:szCs w:val="20"/>
        </w:rPr>
        <w:t xml:space="preserve">, que determinó la amnistía </w:t>
      </w:r>
      <w:r w:rsidR="00E339D8" w:rsidRPr="00822CCE">
        <w:rPr>
          <w:rFonts w:ascii="Univers" w:hAnsi="Univers"/>
          <w:sz w:val="20"/>
          <w:szCs w:val="20"/>
        </w:rPr>
        <w:t>de tod</w:t>
      </w:r>
      <w:r w:rsidR="00A1754C">
        <w:rPr>
          <w:rFonts w:ascii="Univers" w:hAnsi="Univers"/>
          <w:sz w:val="20"/>
          <w:szCs w:val="20"/>
        </w:rPr>
        <w:t>a</w:t>
      </w:r>
      <w:r w:rsidR="00E339D8" w:rsidRPr="00822CCE">
        <w:rPr>
          <w:rFonts w:ascii="Univers" w:hAnsi="Univers"/>
          <w:sz w:val="20"/>
          <w:szCs w:val="20"/>
        </w:rPr>
        <w:t xml:space="preserve">s </w:t>
      </w:r>
      <w:r w:rsidR="00A1754C">
        <w:rPr>
          <w:rFonts w:ascii="Univers" w:hAnsi="Univers"/>
          <w:sz w:val="20"/>
          <w:szCs w:val="20"/>
        </w:rPr>
        <w:t>las personas</w:t>
      </w:r>
      <w:r w:rsidR="00E339D8" w:rsidRPr="00822CCE">
        <w:rPr>
          <w:rFonts w:ascii="Univers" w:hAnsi="Univers"/>
          <w:sz w:val="20"/>
          <w:szCs w:val="20"/>
        </w:rPr>
        <w:t xml:space="preserve"> que habían cometido “crímenes políticos o conexos con éstos”</w:t>
      </w:r>
      <w:r w:rsidR="00327C7A">
        <w:rPr>
          <w:rFonts w:ascii="Univers" w:hAnsi="Univers"/>
          <w:sz w:val="20"/>
          <w:szCs w:val="20"/>
        </w:rPr>
        <w:t>.</w:t>
      </w:r>
      <w:r w:rsidR="0034508F">
        <w:rPr>
          <w:rFonts w:ascii="Univers" w:hAnsi="Univers"/>
          <w:sz w:val="20"/>
          <w:szCs w:val="20"/>
        </w:rPr>
        <w:t xml:space="preserve">  Así, concluye el Estado, la promulgación de la ley de amnistía efectivamente agotó los recursos de jurisdicción interna, toda vez que la misma ha imposibilitado las iniciativas del Estado para promover la persecución penal de los responsables por la muerte de la presunta víctima.  La petición presentada el 10 de julio de 2009, por tanto, no cumpliría con el requisito previsto en el artículo 46.1.b de la Convención Americana.</w:t>
      </w:r>
    </w:p>
    <w:p w:rsidR="0034508F" w:rsidRDefault="0034508F" w:rsidP="00870154">
      <w:pPr>
        <w:autoSpaceDE w:val="0"/>
        <w:autoSpaceDN w:val="0"/>
        <w:adjustRightInd w:val="0"/>
        <w:jc w:val="both"/>
        <w:rPr>
          <w:rFonts w:ascii="Univers" w:hAnsi="Univers"/>
          <w:sz w:val="20"/>
          <w:szCs w:val="20"/>
        </w:rPr>
      </w:pPr>
    </w:p>
    <w:p w:rsidR="002D37B5" w:rsidRDefault="002D37B5" w:rsidP="00870154">
      <w:pPr>
        <w:autoSpaceDE w:val="0"/>
        <w:autoSpaceDN w:val="0"/>
        <w:adjustRightInd w:val="0"/>
        <w:jc w:val="both"/>
        <w:rPr>
          <w:rFonts w:ascii="Univers" w:hAnsi="Univers"/>
          <w:sz w:val="20"/>
          <w:szCs w:val="20"/>
        </w:rPr>
      </w:pPr>
      <w:r>
        <w:rPr>
          <w:rFonts w:ascii="Univers" w:hAnsi="Univers"/>
          <w:sz w:val="20"/>
          <w:szCs w:val="20"/>
        </w:rPr>
        <w:tab/>
        <w:t>20.</w:t>
      </w:r>
      <w:r>
        <w:rPr>
          <w:rFonts w:ascii="Univers" w:hAnsi="Univers"/>
          <w:sz w:val="20"/>
          <w:szCs w:val="20"/>
        </w:rPr>
        <w:tab/>
      </w:r>
      <w:r w:rsidR="0083065D">
        <w:rPr>
          <w:rFonts w:ascii="Univers" w:hAnsi="Univers"/>
          <w:sz w:val="20"/>
          <w:szCs w:val="20"/>
        </w:rPr>
        <w:t>Por otra parte</w:t>
      </w:r>
      <w:r w:rsidR="0034508F">
        <w:rPr>
          <w:rFonts w:ascii="Univers" w:hAnsi="Univers"/>
          <w:sz w:val="20"/>
          <w:szCs w:val="20"/>
        </w:rPr>
        <w:t xml:space="preserve">, si la CIDH decide no considerar la promulgación de la ley de amnistía como la fecha de agotamiento de los recursos internos, el Estado alega que la CIDH debe determinar que la Ley 6.683/79 </w:t>
      </w:r>
      <w:r w:rsidR="0083065D">
        <w:rPr>
          <w:rFonts w:ascii="Univers" w:hAnsi="Univers"/>
          <w:sz w:val="20"/>
          <w:szCs w:val="20"/>
        </w:rPr>
        <w:t xml:space="preserve">efectivamente </w:t>
      </w:r>
      <w:r w:rsidR="0034508F">
        <w:rPr>
          <w:rFonts w:ascii="Univers" w:hAnsi="Univers"/>
          <w:sz w:val="20"/>
          <w:szCs w:val="20"/>
        </w:rPr>
        <w:t xml:space="preserve">impide el acceso a los recursos de la jurisdicción interna, conforme a la excepción prevista en el artículo 46.2.b de la Convención Americana.  Por lo tanto, conforme al artículo 32.2 del Reglamento de la CIDH, la petición debe ser presentada dentro de un plazo razonable.  </w:t>
      </w:r>
      <w:r w:rsidR="003579AD">
        <w:rPr>
          <w:rFonts w:ascii="Univers" w:hAnsi="Univers"/>
          <w:sz w:val="20"/>
          <w:szCs w:val="20"/>
        </w:rPr>
        <w:t>En ese sentido, el Estado sostiene que la</w:t>
      </w:r>
      <w:r w:rsidR="00EF0648">
        <w:rPr>
          <w:rFonts w:ascii="Univers" w:hAnsi="Univers"/>
          <w:sz w:val="20"/>
          <w:szCs w:val="20"/>
        </w:rPr>
        <w:t xml:space="preserve"> CIDH</w:t>
      </w:r>
      <w:r w:rsidR="003579AD">
        <w:rPr>
          <w:rFonts w:ascii="Univers" w:hAnsi="Univers"/>
          <w:sz w:val="20"/>
          <w:szCs w:val="20"/>
        </w:rPr>
        <w:t xml:space="preserve"> debe considerar la fecha en que haya ocurrido la presunta violación y las circunstancia</w:t>
      </w:r>
      <w:r w:rsidR="00EF0648">
        <w:rPr>
          <w:rFonts w:ascii="Univers" w:hAnsi="Univers"/>
          <w:sz w:val="20"/>
          <w:szCs w:val="20"/>
        </w:rPr>
        <w:t>s</w:t>
      </w:r>
      <w:r w:rsidR="003579AD">
        <w:rPr>
          <w:rFonts w:ascii="Univers" w:hAnsi="Univers"/>
          <w:sz w:val="20"/>
          <w:szCs w:val="20"/>
        </w:rPr>
        <w:t xml:space="preserve"> del caso.  </w:t>
      </w:r>
      <w:r w:rsidR="0083065D">
        <w:rPr>
          <w:rFonts w:ascii="Univers" w:hAnsi="Univers"/>
          <w:sz w:val="20"/>
          <w:szCs w:val="20"/>
        </w:rPr>
        <w:t xml:space="preserve">En el presente caso, concluye el Estado, la petición </w:t>
      </w:r>
      <w:r w:rsidR="00390698">
        <w:rPr>
          <w:rFonts w:ascii="Univers" w:hAnsi="Univers"/>
          <w:sz w:val="20"/>
          <w:szCs w:val="20"/>
        </w:rPr>
        <w:t xml:space="preserve">no </w:t>
      </w:r>
      <w:r w:rsidR="0083065D">
        <w:rPr>
          <w:rFonts w:ascii="Univers" w:hAnsi="Univers"/>
          <w:sz w:val="20"/>
          <w:szCs w:val="20"/>
        </w:rPr>
        <w:t>fue presentada</w:t>
      </w:r>
      <w:r w:rsidR="00390698">
        <w:rPr>
          <w:rFonts w:ascii="Univers" w:hAnsi="Univers"/>
          <w:sz w:val="20"/>
          <w:szCs w:val="20"/>
        </w:rPr>
        <w:t xml:space="preserve"> dentro de un plazo razonable, es decir, fue interpuesta </w:t>
      </w:r>
      <w:r w:rsidR="0083065D">
        <w:rPr>
          <w:rFonts w:ascii="Univers" w:hAnsi="Univers"/>
          <w:sz w:val="20"/>
          <w:szCs w:val="20"/>
        </w:rPr>
        <w:t>30 años después de la promulgación de la ley de amnistía y casi 34 años después de la muerte de la presunta víctima.</w:t>
      </w:r>
    </w:p>
    <w:p w:rsidR="00EF0648" w:rsidRDefault="00EF0648" w:rsidP="00870154">
      <w:pPr>
        <w:autoSpaceDE w:val="0"/>
        <w:autoSpaceDN w:val="0"/>
        <w:adjustRightInd w:val="0"/>
        <w:jc w:val="both"/>
        <w:rPr>
          <w:rFonts w:ascii="Univers" w:hAnsi="Univers"/>
          <w:sz w:val="20"/>
          <w:szCs w:val="20"/>
        </w:rPr>
      </w:pPr>
    </w:p>
    <w:p w:rsidR="00EF0648" w:rsidRDefault="00EF0648" w:rsidP="00870154">
      <w:pPr>
        <w:autoSpaceDE w:val="0"/>
        <w:autoSpaceDN w:val="0"/>
        <w:adjustRightInd w:val="0"/>
        <w:ind w:firstLine="720"/>
        <w:jc w:val="both"/>
        <w:rPr>
          <w:rFonts w:ascii="Univers" w:hAnsi="Univers"/>
          <w:sz w:val="20"/>
          <w:szCs w:val="20"/>
        </w:rPr>
      </w:pPr>
      <w:r>
        <w:rPr>
          <w:rFonts w:ascii="Univers" w:hAnsi="Univers"/>
          <w:sz w:val="20"/>
          <w:szCs w:val="20"/>
        </w:rPr>
        <w:t>21.</w:t>
      </w:r>
      <w:r>
        <w:rPr>
          <w:rFonts w:ascii="Univers" w:hAnsi="Univers"/>
          <w:sz w:val="20"/>
          <w:szCs w:val="20"/>
        </w:rPr>
        <w:tab/>
      </w:r>
      <w:r w:rsidR="0083065D">
        <w:rPr>
          <w:rFonts w:ascii="Univers" w:hAnsi="Univers"/>
          <w:sz w:val="20"/>
          <w:szCs w:val="20"/>
        </w:rPr>
        <w:t>Alterna</w:t>
      </w:r>
      <w:r w:rsidR="00A1754C">
        <w:rPr>
          <w:rFonts w:ascii="Univers" w:hAnsi="Univers"/>
          <w:sz w:val="20"/>
          <w:szCs w:val="20"/>
        </w:rPr>
        <w:t>tiv</w:t>
      </w:r>
      <w:r w:rsidR="0083065D">
        <w:rPr>
          <w:rFonts w:ascii="Univers" w:hAnsi="Univers"/>
          <w:sz w:val="20"/>
          <w:szCs w:val="20"/>
        </w:rPr>
        <w:t>amente, el Estado observa que la CIDH debe considerar que los recursos de jurisdicción interna fueron agotados mediante la decisión del Superior Tribunal de Justicia, del 18 de agosto de 1993, que en segunda instancia confirmó la decisión de archivar la investigación policial sobre la muerte de la presunta víctima, adoptada por el Tribunal de Justicia Estadual de São Paulo el 13 de octubre de 1992.  Dicha decisión, conforme al Estado, confirma que la ley de amnistía efectivamente constituye un obstáculo a la persecución criminal de los responsables por las violaciones perpetradas contra la presunta víctima.  Sobre ese punto, el Estado alega adicionalmente que el intento del Ministerio Público Federal de instaurar una nueva investigación ante la Justicia Federal no posibilita la apertura de nuevo plazo para el acceso de los peticionarios al Sistema Interamericano</w:t>
      </w:r>
      <w:r w:rsidR="00DF5A39">
        <w:rPr>
          <w:rFonts w:ascii="Univers" w:hAnsi="Univers"/>
          <w:sz w:val="20"/>
          <w:szCs w:val="20"/>
        </w:rPr>
        <w:t xml:space="preserve"> y que</w:t>
      </w:r>
      <w:r w:rsidR="00A1754C">
        <w:rPr>
          <w:rFonts w:ascii="Univers" w:hAnsi="Univers"/>
          <w:sz w:val="20"/>
          <w:szCs w:val="20"/>
        </w:rPr>
        <w:t>,</w:t>
      </w:r>
      <w:r w:rsidR="00DF5A39">
        <w:rPr>
          <w:rFonts w:ascii="Univers" w:hAnsi="Univers"/>
          <w:sz w:val="20"/>
          <w:szCs w:val="20"/>
        </w:rPr>
        <w:t xml:space="preserve"> consecuente</w:t>
      </w:r>
      <w:r w:rsidR="00E1686B">
        <w:rPr>
          <w:rFonts w:ascii="Univers" w:hAnsi="Univers"/>
          <w:sz w:val="20"/>
          <w:szCs w:val="20"/>
        </w:rPr>
        <w:t>me</w:t>
      </w:r>
      <w:r w:rsidR="00874D33">
        <w:rPr>
          <w:rFonts w:ascii="Univers" w:hAnsi="Univers"/>
          <w:sz w:val="20"/>
          <w:szCs w:val="20"/>
        </w:rPr>
        <w:t>nte</w:t>
      </w:r>
      <w:r w:rsidR="00A1754C">
        <w:rPr>
          <w:rFonts w:ascii="Univers" w:hAnsi="Univers"/>
          <w:sz w:val="20"/>
          <w:szCs w:val="20"/>
        </w:rPr>
        <w:t>,</w:t>
      </w:r>
      <w:r w:rsidR="00874D33">
        <w:rPr>
          <w:rFonts w:ascii="Univers" w:hAnsi="Univers"/>
          <w:sz w:val="20"/>
          <w:szCs w:val="20"/>
        </w:rPr>
        <w:t xml:space="preserve"> no es razonable que los peticionarios h</w:t>
      </w:r>
      <w:r w:rsidR="00A1754C">
        <w:rPr>
          <w:rFonts w:ascii="Univers" w:hAnsi="Univers"/>
          <w:sz w:val="20"/>
          <w:szCs w:val="20"/>
        </w:rPr>
        <w:t xml:space="preserve">ubieran </w:t>
      </w:r>
      <w:r w:rsidR="00874D33">
        <w:rPr>
          <w:rFonts w:ascii="Univers" w:hAnsi="Univers"/>
          <w:sz w:val="20"/>
          <w:szCs w:val="20"/>
        </w:rPr>
        <w:t xml:space="preserve">presentado esta petición </w:t>
      </w:r>
      <w:r w:rsidR="00A1754C">
        <w:rPr>
          <w:rFonts w:ascii="Univers" w:hAnsi="Univers"/>
          <w:sz w:val="20"/>
          <w:szCs w:val="20"/>
        </w:rPr>
        <w:t xml:space="preserve">recién </w:t>
      </w:r>
      <w:r w:rsidR="00874D33">
        <w:rPr>
          <w:rFonts w:ascii="Univers" w:hAnsi="Univers"/>
          <w:sz w:val="20"/>
          <w:szCs w:val="20"/>
        </w:rPr>
        <w:t>el 10 de julio de 2009.</w:t>
      </w:r>
    </w:p>
    <w:p w:rsidR="0083065D" w:rsidRDefault="0083065D" w:rsidP="00870154">
      <w:pPr>
        <w:autoSpaceDE w:val="0"/>
        <w:autoSpaceDN w:val="0"/>
        <w:adjustRightInd w:val="0"/>
        <w:jc w:val="both"/>
        <w:rPr>
          <w:rFonts w:ascii="Univers" w:hAnsi="Univers"/>
          <w:sz w:val="20"/>
          <w:szCs w:val="20"/>
        </w:rPr>
      </w:pPr>
    </w:p>
    <w:p w:rsidR="002D37B5" w:rsidRDefault="00EF0648" w:rsidP="00870154">
      <w:pPr>
        <w:autoSpaceDE w:val="0"/>
        <w:autoSpaceDN w:val="0"/>
        <w:adjustRightInd w:val="0"/>
        <w:jc w:val="both"/>
        <w:rPr>
          <w:rFonts w:ascii="Univers" w:hAnsi="Univers"/>
          <w:sz w:val="20"/>
          <w:szCs w:val="20"/>
        </w:rPr>
      </w:pPr>
      <w:r>
        <w:rPr>
          <w:rFonts w:ascii="Univers" w:hAnsi="Univers"/>
          <w:sz w:val="20"/>
          <w:szCs w:val="20"/>
        </w:rPr>
        <w:tab/>
        <w:t>22</w:t>
      </w:r>
      <w:r w:rsidR="002D37B5">
        <w:rPr>
          <w:rFonts w:ascii="Univers" w:hAnsi="Univers"/>
          <w:sz w:val="20"/>
          <w:szCs w:val="20"/>
        </w:rPr>
        <w:t>.</w:t>
      </w:r>
      <w:r w:rsidR="002D37B5">
        <w:rPr>
          <w:rFonts w:ascii="Univers" w:hAnsi="Univers"/>
          <w:sz w:val="20"/>
          <w:szCs w:val="20"/>
        </w:rPr>
        <w:tab/>
      </w:r>
      <w:r w:rsidR="00E1686B">
        <w:rPr>
          <w:rFonts w:ascii="Univers" w:hAnsi="Univers"/>
          <w:sz w:val="20"/>
          <w:szCs w:val="20"/>
        </w:rPr>
        <w:t>Por último, el Estado sostiene que es evidente la total improcedencia de esta petición, conforme al artículo 47.c de la Convención Americana, porque el Estado ha emprendido todos los esfuerzos posibles para mitigar los daños relativos a la muerte de la presunta víctima.</w:t>
      </w:r>
      <w:r w:rsidR="009D1D7A">
        <w:rPr>
          <w:rFonts w:ascii="Univers" w:hAnsi="Univers"/>
          <w:sz w:val="20"/>
          <w:szCs w:val="20"/>
        </w:rPr>
        <w:t xml:space="preserve">  Al respecto, el Estado asevera que la Comisión Nacional de la Verdad, creada el 16 de mayo de 2012, ya se encuentra investigando las circunstancias y los hechos, así como los posibles autores, de las violaciones perpetradas contra la presunta víctima.  En ese sentido, el Estado enfatiza que, tras una solicitud presentada por los familiares de la presunta víctima, la Comisión Nacional de la Verdad</w:t>
      </w:r>
      <w:r w:rsidR="00641CFD">
        <w:rPr>
          <w:rFonts w:ascii="Univers" w:hAnsi="Univers"/>
          <w:sz w:val="20"/>
          <w:szCs w:val="20"/>
        </w:rPr>
        <w:t xml:space="preserve"> solicitó la rectificación del certificado de defunción de la presunta víctima ante el 2º Juzgado de Registros Públicos, el 24 de septiembre de 2012.  En efecto, conforme al Estado, la autoridad judicial determinó que se rectificara dicho documento, en el sentido de que la muerte fue resultado de “lesiones y malos tratos sufridos durante interrogatorio en una dependencia del </w:t>
      </w:r>
      <w:proofErr w:type="gramStart"/>
      <w:r w:rsidR="00641CFD">
        <w:rPr>
          <w:rFonts w:ascii="Univers" w:hAnsi="Univers"/>
          <w:sz w:val="20"/>
          <w:szCs w:val="20"/>
        </w:rPr>
        <w:t>Ejercito</w:t>
      </w:r>
      <w:proofErr w:type="gramEnd"/>
      <w:r w:rsidR="00641CFD">
        <w:rPr>
          <w:rFonts w:ascii="Univers" w:hAnsi="Univers"/>
          <w:sz w:val="20"/>
          <w:szCs w:val="20"/>
        </w:rPr>
        <w:t>, en São Paulo”.</w:t>
      </w:r>
    </w:p>
    <w:p w:rsidR="00E1686B" w:rsidRDefault="00E1686B" w:rsidP="00870154">
      <w:pPr>
        <w:autoSpaceDE w:val="0"/>
        <w:autoSpaceDN w:val="0"/>
        <w:adjustRightInd w:val="0"/>
        <w:jc w:val="both"/>
        <w:rPr>
          <w:rFonts w:ascii="Univers" w:hAnsi="Univers"/>
          <w:sz w:val="20"/>
          <w:szCs w:val="20"/>
        </w:rPr>
      </w:pPr>
    </w:p>
    <w:p w:rsidR="00E1686B" w:rsidRDefault="00E1686B" w:rsidP="00870154">
      <w:pPr>
        <w:autoSpaceDE w:val="0"/>
        <w:autoSpaceDN w:val="0"/>
        <w:adjustRightInd w:val="0"/>
        <w:jc w:val="both"/>
        <w:rPr>
          <w:rFonts w:ascii="Univers" w:hAnsi="Univers"/>
          <w:sz w:val="20"/>
          <w:szCs w:val="20"/>
        </w:rPr>
      </w:pPr>
      <w:r>
        <w:rPr>
          <w:rFonts w:ascii="Univers" w:hAnsi="Univers"/>
          <w:sz w:val="20"/>
          <w:szCs w:val="20"/>
        </w:rPr>
        <w:tab/>
        <w:t>23.</w:t>
      </w:r>
      <w:r>
        <w:rPr>
          <w:rFonts w:ascii="Univers" w:hAnsi="Univers"/>
          <w:sz w:val="20"/>
          <w:szCs w:val="20"/>
        </w:rPr>
        <w:tab/>
        <w:t xml:space="preserve">En conclusión, </w:t>
      </w:r>
      <w:r w:rsidR="005F3E66">
        <w:rPr>
          <w:rFonts w:ascii="Univers" w:hAnsi="Univers"/>
          <w:sz w:val="20"/>
          <w:szCs w:val="20"/>
        </w:rPr>
        <w:t>con base en</w:t>
      </w:r>
      <w:r>
        <w:rPr>
          <w:rFonts w:ascii="Univers" w:hAnsi="Univers"/>
          <w:sz w:val="20"/>
          <w:szCs w:val="20"/>
        </w:rPr>
        <w:t xml:space="preserve"> todos los argumentos anteriormente expuestos, el Estado solicita que la Comisión Interamericana declare la inadmisibilidad de esta petición, de conformidad con el artículo 47 de la Convención Americana.</w:t>
      </w:r>
    </w:p>
    <w:p w:rsidR="00641CFD" w:rsidRDefault="00641CFD" w:rsidP="00870154">
      <w:pPr>
        <w:autoSpaceDE w:val="0"/>
        <w:autoSpaceDN w:val="0"/>
        <w:adjustRightInd w:val="0"/>
        <w:jc w:val="both"/>
        <w:rPr>
          <w:rFonts w:ascii="Univers" w:hAnsi="Univers"/>
          <w:sz w:val="20"/>
          <w:szCs w:val="20"/>
        </w:rPr>
      </w:pPr>
    </w:p>
    <w:p w:rsidR="00E1686B" w:rsidRPr="00E1686B" w:rsidRDefault="00E1686B" w:rsidP="00870154">
      <w:pPr>
        <w:autoSpaceDE w:val="0"/>
        <w:autoSpaceDN w:val="0"/>
        <w:adjustRightInd w:val="0"/>
        <w:jc w:val="both"/>
        <w:rPr>
          <w:rFonts w:ascii="Univers" w:hAnsi="Univers"/>
          <w:b/>
          <w:sz w:val="20"/>
          <w:szCs w:val="20"/>
        </w:rPr>
      </w:pPr>
      <w:r>
        <w:rPr>
          <w:rFonts w:ascii="Univers" w:hAnsi="Univers"/>
          <w:sz w:val="20"/>
          <w:szCs w:val="20"/>
        </w:rPr>
        <w:tab/>
      </w:r>
      <w:r>
        <w:rPr>
          <w:rFonts w:ascii="Univers" w:hAnsi="Univers"/>
          <w:b/>
          <w:sz w:val="20"/>
          <w:szCs w:val="20"/>
        </w:rPr>
        <w:t>IV.</w:t>
      </w:r>
      <w:r>
        <w:rPr>
          <w:rFonts w:ascii="Univers" w:hAnsi="Univers"/>
          <w:b/>
          <w:sz w:val="20"/>
          <w:szCs w:val="20"/>
        </w:rPr>
        <w:tab/>
        <w:t>ANÁLISIS DE COMPETENCIA Y ADMISIBILIDAD</w:t>
      </w:r>
    </w:p>
    <w:p w:rsidR="002D37B5" w:rsidRPr="00E1686B" w:rsidRDefault="002D37B5" w:rsidP="00870154">
      <w:pPr>
        <w:autoSpaceDE w:val="0"/>
        <w:autoSpaceDN w:val="0"/>
        <w:adjustRightInd w:val="0"/>
        <w:jc w:val="both"/>
        <w:rPr>
          <w:rFonts w:ascii="Univers" w:hAnsi="Univers"/>
          <w:b/>
          <w:sz w:val="20"/>
          <w:szCs w:val="20"/>
        </w:rPr>
      </w:pPr>
    </w:p>
    <w:p w:rsidR="00E1686B" w:rsidRDefault="00E1686B" w:rsidP="00870154">
      <w:pPr>
        <w:numPr>
          <w:ilvl w:val="0"/>
          <w:numId w:val="24"/>
        </w:numPr>
        <w:autoSpaceDE w:val="0"/>
        <w:autoSpaceDN w:val="0"/>
        <w:adjustRightInd w:val="0"/>
        <w:jc w:val="both"/>
        <w:rPr>
          <w:rFonts w:ascii="Univers" w:hAnsi="Univers"/>
          <w:b/>
          <w:sz w:val="20"/>
          <w:szCs w:val="20"/>
        </w:rPr>
      </w:pPr>
      <w:r>
        <w:rPr>
          <w:rFonts w:ascii="Univers" w:hAnsi="Univers"/>
          <w:b/>
          <w:sz w:val="20"/>
          <w:szCs w:val="20"/>
        </w:rPr>
        <w:t>Competencia</w:t>
      </w:r>
    </w:p>
    <w:p w:rsidR="00E1686B" w:rsidRPr="00074348" w:rsidRDefault="00E1686B" w:rsidP="00870154">
      <w:pPr>
        <w:autoSpaceDE w:val="0"/>
        <w:autoSpaceDN w:val="0"/>
        <w:adjustRightInd w:val="0"/>
        <w:jc w:val="both"/>
        <w:rPr>
          <w:rFonts w:ascii="Univers" w:hAnsi="Univers"/>
          <w:sz w:val="20"/>
          <w:szCs w:val="20"/>
        </w:rPr>
      </w:pPr>
    </w:p>
    <w:p w:rsidR="00074348" w:rsidRDefault="00074348" w:rsidP="00870154">
      <w:pPr>
        <w:autoSpaceDE w:val="0"/>
        <w:autoSpaceDN w:val="0"/>
        <w:adjustRightInd w:val="0"/>
        <w:ind w:firstLine="720"/>
        <w:jc w:val="both"/>
        <w:rPr>
          <w:rFonts w:ascii="Univers" w:hAnsi="Univers"/>
          <w:sz w:val="20"/>
          <w:szCs w:val="20"/>
        </w:rPr>
      </w:pPr>
      <w:r w:rsidRPr="00074348">
        <w:rPr>
          <w:rFonts w:ascii="Univers" w:hAnsi="Univers"/>
          <w:sz w:val="20"/>
          <w:szCs w:val="20"/>
        </w:rPr>
        <w:t>24.</w:t>
      </w:r>
      <w:r w:rsidRPr="00074348">
        <w:rPr>
          <w:rFonts w:ascii="Univers" w:hAnsi="Univers"/>
          <w:sz w:val="20"/>
          <w:szCs w:val="20"/>
        </w:rPr>
        <w:tab/>
      </w:r>
      <w:r w:rsidR="006142A4">
        <w:rPr>
          <w:rFonts w:ascii="Univers" w:hAnsi="Univers"/>
          <w:sz w:val="20"/>
          <w:szCs w:val="20"/>
        </w:rPr>
        <w:t>Los peticionarios s</w:t>
      </w:r>
      <w:r w:rsidRPr="00B0099F">
        <w:rPr>
          <w:rFonts w:ascii="Univers" w:hAnsi="Univers"/>
          <w:sz w:val="20"/>
          <w:szCs w:val="20"/>
        </w:rPr>
        <w:t>e encuentra</w:t>
      </w:r>
      <w:r w:rsidR="006142A4">
        <w:rPr>
          <w:rFonts w:ascii="Univers" w:hAnsi="Univers"/>
          <w:sz w:val="20"/>
          <w:szCs w:val="20"/>
        </w:rPr>
        <w:t>n</w:t>
      </w:r>
      <w:r w:rsidRPr="00B0099F">
        <w:rPr>
          <w:rFonts w:ascii="Univers" w:hAnsi="Univers"/>
          <w:sz w:val="20"/>
          <w:szCs w:val="20"/>
        </w:rPr>
        <w:t xml:space="preserve"> facultado</w:t>
      </w:r>
      <w:r w:rsidR="006142A4">
        <w:rPr>
          <w:rFonts w:ascii="Univers" w:hAnsi="Univers"/>
          <w:sz w:val="20"/>
          <w:szCs w:val="20"/>
        </w:rPr>
        <w:t>s</w:t>
      </w:r>
      <w:r w:rsidRPr="00B0099F">
        <w:rPr>
          <w:rFonts w:ascii="Univers" w:hAnsi="Univers"/>
          <w:sz w:val="20"/>
          <w:szCs w:val="20"/>
        </w:rPr>
        <w:t xml:space="preserve"> para presentar peticiones ante la Comisión Interamericana, conforme al artículo 44 de la Convención Americana. </w:t>
      </w:r>
      <w:r w:rsidR="006142A4">
        <w:rPr>
          <w:rFonts w:ascii="Univers" w:hAnsi="Univers"/>
          <w:sz w:val="20"/>
          <w:szCs w:val="20"/>
        </w:rPr>
        <w:t xml:space="preserve"> </w:t>
      </w:r>
      <w:r w:rsidRPr="00B0099F">
        <w:rPr>
          <w:rFonts w:ascii="Univers" w:hAnsi="Univers"/>
          <w:sz w:val="20"/>
          <w:szCs w:val="20"/>
        </w:rPr>
        <w:t>Las presuntas víctimas</w:t>
      </w:r>
      <w:r w:rsidR="006142A4">
        <w:rPr>
          <w:rFonts w:ascii="Univers" w:hAnsi="Univers"/>
          <w:sz w:val="20"/>
          <w:szCs w:val="20"/>
        </w:rPr>
        <w:t xml:space="preserve"> – Vladimir Herzog y sus familiares: Clari</w:t>
      </w:r>
      <w:r w:rsidR="00BB67E3">
        <w:rPr>
          <w:rFonts w:ascii="Univers" w:hAnsi="Univers"/>
          <w:sz w:val="20"/>
          <w:szCs w:val="20"/>
        </w:rPr>
        <w:t>c</w:t>
      </w:r>
      <w:r w:rsidR="006142A4">
        <w:rPr>
          <w:rFonts w:ascii="Univers" w:hAnsi="Univers"/>
          <w:sz w:val="20"/>
          <w:szCs w:val="20"/>
        </w:rPr>
        <w:t xml:space="preserve">e, Ivo y André Herzog – son </w:t>
      </w:r>
      <w:r w:rsidRPr="00B0099F">
        <w:rPr>
          <w:rFonts w:ascii="Univers" w:hAnsi="Univers"/>
          <w:sz w:val="20"/>
          <w:szCs w:val="20"/>
        </w:rPr>
        <w:t xml:space="preserve">personas respecto de las cuales el Estado se ha comprometido a respetar y garantizar los derechos reconocidos en ese instrumento internacional. </w:t>
      </w:r>
      <w:r>
        <w:rPr>
          <w:rFonts w:ascii="Univers" w:hAnsi="Univers"/>
          <w:sz w:val="20"/>
          <w:szCs w:val="20"/>
        </w:rPr>
        <w:t xml:space="preserve"> </w:t>
      </w:r>
      <w:r w:rsidRPr="00B0099F">
        <w:rPr>
          <w:rFonts w:ascii="Univers" w:hAnsi="Univers"/>
          <w:sz w:val="20"/>
          <w:szCs w:val="20"/>
        </w:rPr>
        <w:t xml:space="preserve">En relación con el Estado, Brasil </w:t>
      </w:r>
      <w:r w:rsidR="0043061C">
        <w:rPr>
          <w:rFonts w:ascii="Univers" w:hAnsi="Univers"/>
          <w:sz w:val="20"/>
          <w:szCs w:val="20"/>
        </w:rPr>
        <w:t>ratificó</w:t>
      </w:r>
      <w:r w:rsidRPr="00B0099F">
        <w:rPr>
          <w:rFonts w:ascii="Univers" w:hAnsi="Univers"/>
          <w:sz w:val="20"/>
          <w:szCs w:val="20"/>
        </w:rPr>
        <w:t xml:space="preserve"> la Convención Americana el 25 de septiembre de 1992</w:t>
      </w:r>
      <w:r w:rsidR="0047470C">
        <w:rPr>
          <w:rFonts w:ascii="Univers" w:hAnsi="Univers"/>
          <w:sz w:val="20"/>
          <w:szCs w:val="20"/>
        </w:rPr>
        <w:t>,</w:t>
      </w:r>
      <w:r w:rsidRPr="00B0099F">
        <w:rPr>
          <w:rFonts w:ascii="Univers" w:hAnsi="Univers"/>
          <w:sz w:val="20"/>
          <w:szCs w:val="20"/>
        </w:rPr>
        <w:t xml:space="preserve"> </w:t>
      </w:r>
      <w:r w:rsidR="00A1754C">
        <w:rPr>
          <w:rFonts w:ascii="Univers" w:hAnsi="Univers"/>
          <w:sz w:val="20"/>
          <w:szCs w:val="20"/>
        </w:rPr>
        <w:t>por lo que</w:t>
      </w:r>
      <w:r w:rsidRPr="00B0099F">
        <w:rPr>
          <w:rFonts w:ascii="Univers" w:hAnsi="Univers"/>
          <w:sz w:val="20"/>
          <w:szCs w:val="20"/>
        </w:rPr>
        <w:t xml:space="preserve"> la Comisión Interamericana tiene competencia </w:t>
      </w:r>
      <w:r w:rsidRPr="00B0099F">
        <w:rPr>
          <w:rFonts w:ascii="Univers" w:hAnsi="Univers"/>
          <w:i/>
          <w:sz w:val="20"/>
          <w:szCs w:val="20"/>
        </w:rPr>
        <w:t>ratione personae</w:t>
      </w:r>
      <w:r w:rsidRPr="00B0099F">
        <w:rPr>
          <w:rFonts w:ascii="Univers" w:hAnsi="Univers"/>
          <w:sz w:val="20"/>
          <w:szCs w:val="20"/>
        </w:rPr>
        <w:t xml:space="preserve"> para examinar la petición</w:t>
      </w:r>
      <w:r>
        <w:rPr>
          <w:rFonts w:ascii="Univers" w:hAnsi="Univers"/>
          <w:sz w:val="20"/>
          <w:szCs w:val="20"/>
        </w:rPr>
        <w:t>.</w:t>
      </w:r>
      <w:r w:rsidR="00907162">
        <w:rPr>
          <w:rFonts w:ascii="Univers" w:hAnsi="Univers"/>
          <w:sz w:val="20"/>
          <w:szCs w:val="20"/>
        </w:rPr>
        <w:t xml:space="preserve">  Conforme al artículo 23 de su Reglamento, la CIDH también tiene competencia</w:t>
      </w:r>
      <w:r w:rsidR="00907162" w:rsidRPr="00F76CF9">
        <w:rPr>
          <w:rFonts w:ascii="Univers" w:hAnsi="Univers"/>
          <w:sz w:val="20"/>
          <w:szCs w:val="20"/>
        </w:rPr>
        <w:t xml:space="preserve"> </w:t>
      </w:r>
      <w:r w:rsidR="00907162" w:rsidRPr="00F76CF9">
        <w:rPr>
          <w:rFonts w:ascii="Univers" w:hAnsi="Univers"/>
          <w:i/>
          <w:iCs/>
          <w:sz w:val="20"/>
          <w:szCs w:val="20"/>
          <w:lang w:val="es-VE"/>
        </w:rPr>
        <w:t>ratione materiae</w:t>
      </w:r>
      <w:r w:rsidR="00907162" w:rsidRPr="00F76CF9">
        <w:rPr>
          <w:rFonts w:ascii="Univers" w:hAnsi="Univers"/>
          <w:sz w:val="20"/>
          <w:szCs w:val="20"/>
          <w:lang w:val="es-VE"/>
        </w:rPr>
        <w:t xml:space="preserve"> debido a que la petición se refiere a presuntas violaciones de derechos humanos protegidos por la </w:t>
      </w:r>
      <w:r w:rsidR="00907162">
        <w:rPr>
          <w:rFonts w:ascii="Univers" w:hAnsi="Univers"/>
          <w:sz w:val="20"/>
          <w:szCs w:val="20"/>
          <w:lang w:val="es-VE"/>
        </w:rPr>
        <w:t xml:space="preserve">Declaración Americana, por la </w:t>
      </w:r>
      <w:r w:rsidR="00907162" w:rsidRPr="00F76CF9">
        <w:rPr>
          <w:rFonts w:ascii="Univers" w:hAnsi="Univers"/>
          <w:sz w:val="20"/>
          <w:szCs w:val="20"/>
          <w:lang w:val="es-VE"/>
        </w:rPr>
        <w:t xml:space="preserve">Convención Americana y por la </w:t>
      </w:r>
      <w:r w:rsidR="00907162">
        <w:rPr>
          <w:rFonts w:ascii="Univers" w:hAnsi="Univers"/>
          <w:sz w:val="20"/>
          <w:szCs w:val="20"/>
          <w:lang w:val="es-VE"/>
        </w:rPr>
        <w:t>Convención Interamericana para Prevenir y Sancionar la Tortura.</w:t>
      </w:r>
      <w:r w:rsidR="00FE0996">
        <w:rPr>
          <w:rFonts w:ascii="Univers" w:hAnsi="Univers"/>
          <w:sz w:val="20"/>
          <w:szCs w:val="20"/>
          <w:lang w:val="es-VE"/>
        </w:rPr>
        <w:t xml:space="preserve">  Respecto de este último instrumento, la CIDH observa que Brasil depositó </w:t>
      </w:r>
      <w:r w:rsidR="000D5091">
        <w:rPr>
          <w:rFonts w:ascii="Univers" w:hAnsi="Univers"/>
          <w:sz w:val="20"/>
          <w:szCs w:val="20"/>
          <w:lang w:val="es-VE"/>
        </w:rPr>
        <w:t>el</w:t>
      </w:r>
      <w:r w:rsidR="00FE0996">
        <w:rPr>
          <w:rFonts w:ascii="Univers" w:hAnsi="Univers"/>
          <w:sz w:val="20"/>
          <w:szCs w:val="20"/>
          <w:lang w:val="es-VE"/>
        </w:rPr>
        <w:t xml:space="preserve"> </w:t>
      </w:r>
      <w:r w:rsidR="000D5091">
        <w:rPr>
          <w:rFonts w:ascii="Univers" w:hAnsi="Univers"/>
          <w:sz w:val="20"/>
          <w:szCs w:val="20"/>
          <w:lang w:val="es-VE"/>
        </w:rPr>
        <w:t xml:space="preserve">respectivo </w:t>
      </w:r>
      <w:r w:rsidR="00FE0996">
        <w:rPr>
          <w:rFonts w:ascii="Univers" w:hAnsi="Univers"/>
          <w:sz w:val="20"/>
          <w:szCs w:val="20"/>
          <w:lang w:val="es-VE"/>
        </w:rPr>
        <w:t>instrumento de ratif</w:t>
      </w:r>
      <w:r w:rsidR="00F264F2">
        <w:rPr>
          <w:rFonts w:ascii="Univers" w:hAnsi="Univers"/>
          <w:sz w:val="20"/>
          <w:szCs w:val="20"/>
          <w:lang w:val="es-VE"/>
        </w:rPr>
        <w:t>icación el 20 de julio de 1989.</w:t>
      </w:r>
    </w:p>
    <w:p w:rsidR="00074348" w:rsidRDefault="00074348" w:rsidP="00870154">
      <w:pPr>
        <w:autoSpaceDE w:val="0"/>
        <w:autoSpaceDN w:val="0"/>
        <w:adjustRightInd w:val="0"/>
        <w:jc w:val="both"/>
        <w:rPr>
          <w:rFonts w:ascii="Univers" w:hAnsi="Univers"/>
          <w:sz w:val="20"/>
          <w:szCs w:val="20"/>
        </w:rPr>
      </w:pPr>
    </w:p>
    <w:p w:rsidR="00074348" w:rsidRPr="00B56636" w:rsidRDefault="00074348" w:rsidP="00870154">
      <w:pPr>
        <w:autoSpaceDE w:val="0"/>
        <w:autoSpaceDN w:val="0"/>
        <w:adjustRightInd w:val="0"/>
        <w:ind w:firstLine="720"/>
        <w:jc w:val="both"/>
        <w:rPr>
          <w:rFonts w:ascii="Univers" w:hAnsi="Univers"/>
          <w:sz w:val="20"/>
          <w:szCs w:val="20"/>
        </w:rPr>
      </w:pPr>
      <w:r>
        <w:rPr>
          <w:rFonts w:ascii="Univers" w:hAnsi="Univers"/>
          <w:sz w:val="20"/>
          <w:szCs w:val="20"/>
        </w:rPr>
        <w:t>25.</w:t>
      </w:r>
      <w:r>
        <w:rPr>
          <w:rFonts w:ascii="Univers" w:hAnsi="Univers"/>
          <w:sz w:val="20"/>
          <w:szCs w:val="20"/>
        </w:rPr>
        <w:tab/>
      </w:r>
      <w:r w:rsidR="00D72E98">
        <w:rPr>
          <w:rFonts w:ascii="Univers" w:hAnsi="Univers"/>
          <w:sz w:val="20"/>
          <w:szCs w:val="20"/>
        </w:rPr>
        <w:t xml:space="preserve">En lo concerniente a su </w:t>
      </w:r>
      <w:r w:rsidR="00D72E98" w:rsidRPr="000F780A">
        <w:rPr>
          <w:rFonts w:ascii="Univers" w:hAnsi="Univers"/>
          <w:sz w:val="20"/>
          <w:szCs w:val="20"/>
          <w:lang w:val="es-VE"/>
        </w:rPr>
        <w:t xml:space="preserve">competencia </w:t>
      </w:r>
      <w:r w:rsidR="00D72E98" w:rsidRPr="000F780A">
        <w:rPr>
          <w:rFonts w:ascii="Univers" w:hAnsi="Univers"/>
          <w:i/>
          <w:iCs/>
          <w:sz w:val="20"/>
          <w:szCs w:val="20"/>
          <w:lang w:val="es-VE"/>
        </w:rPr>
        <w:t>ratione temporis</w:t>
      </w:r>
      <w:r w:rsidR="00D72E98" w:rsidRPr="000F780A">
        <w:rPr>
          <w:rFonts w:ascii="Univers" w:hAnsi="Univers"/>
          <w:iCs/>
          <w:sz w:val="20"/>
          <w:szCs w:val="20"/>
          <w:lang w:val="es-VE"/>
        </w:rPr>
        <w:t xml:space="preserve">, la CIDH toma nota que la supuesta </w:t>
      </w:r>
      <w:r w:rsidR="00D72E98">
        <w:rPr>
          <w:rFonts w:ascii="Univers" w:hAnsi="Univers"/>
          <w:iCs/>
          <w:sz w:val="20"/>
          <w:szCs w:val="20"/>
          <w:lang w:val="es-VE"/>
        </w:rPr>
        <w:t xml:space="preserve">detención arbitraria, tortura y muerte </w:t>
      </w:r>
      <w:r w:rsidR="00D72E98" w:rsidRPr="000F780A">
        <w:rPr>
          <w:rFonts w:ascii="Univers" w:hAnsi="Univers"/>
          <w:iCs/>
          <w:sz w:val="20"/>
          <w:szCs w:val="20"/>
          <w:lang w:val="es-VE"/>
        </w:rPr>
        <w:t>de la presunta víctima habría</w:t>
      </w:r>
      <w:r w:rsidR="0047470C">
        <w:rPr>
          <w:rFonts w:ascii="Univers" w:hAnsi="Univers"/>
          <w:iCs/>
          <w:sz w:val="20"/>
          <w:szCs w:val="20"/>
          <w:lang w:val="es-VE"/>
        </w:rPr>
        <w:t>n</w:t>
      </w:r>
      <w:r w:rsidR="00D72E98" w:rsidRPr="000F780A">
        <w:rPr>
          <w:rFonts w:ascii="Univers" w:hAnsi="Univers"/>
          <w:iCs/>
          <w:sz w:val="20"/>
          <w:szCs w:val="20"/>
          <w:lang w:val="es-VE"/>
        </w:rPr>
        <w:t xml:space="preserve"> ocurrido el</w:t>
      </w:r>
      <w:r w:rsidR="00D72E98">
        <w:rPr>
          <w:rFonts w:ascii="Univers" w:hAnsi="Univers"/>
          <w:iCs/>
          <w:sz w:val="20"/>
          <w:szCs w:val="20"/>
          <w:lang w:val="es-VE"/>
        </w:rPr>
        <w:t xml:space="preserve"> 25 de octubre de 1975</w:t>
      </w:r>
      <w:r w:rsidR="00D72E98" w:rsidRPr="000F780A">
        <w:rPr>
          <w:rFonts w:ascii="Univers" w:hAnsi="Univers"/>
          <w:iCs/>
          <w:sz w:val="20"/>
          <w:szCs w:val="20"/>
          <w:lang w:val="es-VE"/>
        </w:rPr>
        <w:t>, antes que Brasil ratificara la Convención Americana</w:t>
      </w:r>
      <w:r w:rsidR="00D72E98">
        <w:rPr>
          <w:rFonts w:ascii="Univers" w:hAnsi="Univers"/>
          <w:iCs/>
          <w:sz w:val="20"/>
          <w:szCs w:val="20"/>
          <w:lang w:val="es-VE"/>
        </w:rPr>
        <w:t xml:space="preserve"> y la Convención </w:t>
      </w:r>
      <w:r w:rsidR="00691469">
        <w:rPr>
          <w:rFonts w:ascii="Univers" w:hAnsi="Univers"/>
          <w:iCs/>
          <w:sz w:val="20"/>
          <w:szCs w:val="20"/>
          <w:lang w:val="es-VE"/>
        </w:rPr>
        <w:t>I</w:t>
      </w:r>
      <w:r w:rsidR="00D72E98">
        <w:rPr>
          <w:rFonts w:ascii="Univers" w:hAnsi="Univers"/>
          <w:iCs/>
          <w:sz w:val="20"/>
          <w:szCs w:val="20"/>
          <w:lang w:val="es-VE"/>
        </w:rPr>
        <w:t>nteramericana para Prevenir y Sancionar la Tortura</w:t>
      </w:r>
      <w:r w:rsidR="00D72E98" w:rsidRPr="000F780A">
        <w:rPr>
          <w:rFonts w:ascii="Univers" w:hAnsi="Univers"/>
          <w:sz w:val="20"/>
          <w:szCs w:val="20"/>
          <w:lang w:val="es-VE"/>
        </w:rPr>
        <w:t>.  En virtud de ello, la fuente de derecho aplicable inicialmente es la Declaración Americana</w:t>
      </w:r>
      <w:r w:rsidR="00D72E98" w:rsidRPr="006A6267">
        <w:rPr>
          <w:rStyle w:val="Refdenotaalpie"/>
          <w:rFonts w:ascii="Univers" w:hAnsi="Univers"/>
          <w:szCs w:val="16"/>
          <w:lang w:val="es-VE"/>
        </w:rPr>
        <w:footnoteReference w:id="4"/>
      </w:r>
      <w:r w:rsidR="00D72E98" w:rsidRPr="000F780A">
        <w:rPr>
          <w:rFonts w:ascii="Univers" w:hAnsi="Univers"/>
          <w:sz w:val="20"/>
          <w:szCs w:val="20"/>
          <w:lang w:val="es-VE"/>
        </w:rPr>
        <w:t xml:space="preserve">.  </w:t>
      </w:r>
      <w:r w:rsidR="00D72E98" w:rsidRPr="000F780A">
        <w:rPr>
          <w:rFonts w:ascii="Univers" w:hAnsi="Univers"/>
          <w:sz w:val="20"/>
          <w:szCs w:val="20"/>
        </w:rPr>
        <w:t>No obstante, la CIDH toma nota que para los hechos ocurridos a partir</w:t>
      </w:r>
      <w:r w:rsidR="00691469">
        <w:rPr>
          <w:rFonts w:ascii="Univers" w:hAnsi="Univers"/>
          <w:sz w:val="20"/>
          <w:szCs w:val="20"/>
        </w:rPr>
        <w:t xml:space="preserve"> del 20 de julio de 1989 y</w:t>
      </w:r>
      <w:r w:rsidR="00D72E98" w:rsidRPr="000F780A">
        <w:rPr>
          <w:rFonts w:ascii="Univers" w:hAnsi="Univers"/>
          <w:sz w:val="20"/>
          <w:szCs w:val="20"/>
        </w:rPr>
        <w:t xml:space="preserve"> del 25 de septiembre de 1992</w:t>
      </w:r>
      <w:r w:rsidR="00025E7B">
        <w:rPr>
          <w:rFonts w:ascii="Univers" w:hAnsi="Univers"/>
          <w:sz w:val="20"/>
          <w:szCs w:val="20"/>
        </w:rPr>
        <w:t>,</w:t>
      </w:r>
      <w:r w:rsidR="00691469">
        <w:rPr>
          <w:rFonts w:ascii="Univers" w:hAnsi="Univers"/>
          <w:sz w:val="20"/>
          <w:szCs w:val="20"/>
        </w:rPr>
        <w:t xml:space="preserve"> conforme a las fechas de ratificación mencionadas anteriormente</w:t>
      </w:r>
      <w:r w:rsidR="00D72E98" w:rsidRPr="000F780A">
        <w:rPr>
          <w:rFonts w:ascii="Univers" w:hAnsi="Univers"/>
          <w:sz w:val="20"/>
          <w:szCs w:val="20"/>
        </w:rPr>
        <w:t>, o aquellos que pudiera considerar oportunamente como una situación de violación continuada de derechos que siguiera existiendo después de aquella</w:t>
      </w:r>
      <w:r w:rsidR="00FA2827">
        <w:rPr>
          <w:rFonts w:ascii="Univers" w:hAnsi="Univers"/>
          <w:sz w:val="20"/>
          <w:szCs w:val="20"/>
        </w:rPr>
        <w:t>s</w:t>
      </w:r>
      <w:r w:rsidR="00D72E98" w:rsidRPr="000F780A">
        <w:rPr>
          <w:rFonts w:ascii="Univers" w:hAnsi="Univers"/>
          <w:sz w:val="20"/>
          <w:szCs w:val="20"/>
        </w:rPr>
        <w:t xml:space="preserve"> fecha</w:t>
      </w:r>
      <w:r w:rsidR="00FA2827">
        <w:rPr>
          <w:rFonts w:ascii="Univers" w:hAnsi="Univers"/>
          <w:sz w:val="20"/>
          <w:szCs w:val="20"/>
        </w:rPr>
        <w:t>s</w:t>
      </w:r>
      <w:r w:rsidR="00D72E98" w:rsidRPr="000F780A">
        <w:rPr>
          <w:rFonts w:ascii="Univers" w:hAnsi="Univers"/>
          <w:sz w:val="20"/>
          <w:szCs w:val="20"/>
        </w:rPr>
        <w:t xml:space="preserve">, la Comisión Interamericana tiene competencia </w:t>
      </w:r>
      <w:r w:rsidR="00D72E98" w:rsidRPr="000F780A">
        <w:rPr>
          <w:rFonts w:ascii="Univers" w:hAnsi="Univers"/>
          <w:i/>
          <w:sz w:val="20"/>
          <w:szCs w:val="20"/>
        </w:rPr>
        <w:t xml:space="preserve">ratione temporis </w:t>
      </w:r>
      <w:r w:rsidR="00D72E98" w:rsidRPr="000F780A">
        <w:rPr>
          <w:rFonts w:ascii="Univers" w:hAnsi="Univers"/>
          <w:sz w:val="20"/>
          <w:szCs w:val="20"/>
        </w:rPr>
        <w:t>para examinar esta petición bajo la Convención Americana</w:t>
      </w:r>
      <w:r w:rsidR="00FA2827">
        <w:rPr>
          <w:rFonts w:ascii="Univers" w:hAnsi="Univers"/>
          <w:sz w:val="20"/>
          <w:szCs w:val="20"/>
        </w:rPr>
        <w:t xml:space="preserve"> y la Convención Interamericana para Prevenir y Sancionar la Tortura.  Al respecto, y en atención al alegato del Estado </w:t>
      </w:r>
      <w:r w:rsidR="00025E7B">
        <w:rPr>
          <w:rFonts w:ascii="Univers" w:hAnsi="Univers"/>
          <w:sz w:val="20"/>
          <w:szCs w:val="20"/>
        </w:rPr>
        <w:t>sobre</w:t>
      </w:r>
      <w:r w:rsidR="00FA2827">
        <w:rPr>
          <w:rFonts w:ascii="Univers" w:hAnsi="Univers"/>
          <w:sz w:val="20"/>
          <w:szCs w:val="20"/>
        </w:rPr>
        <w:t xml:space="preserve"> falta de competencia </w:t>
      </w:r>
      <w:r w:rsidR="00FA2827">
        <w:rPr>
          <w:rFonts w:ascii="Univers" w:hAnsi="Univers"/>
          <w:i/>
          <w:sz w:val="20"/>
          <w:szCs w:val="20"/>
        </w:rPr>
        <w:t>ratione temporis</w:t>
      </w:r>
      <w:r w:rsidR="00FA2827">
        <w:rPr>
          <w:rFonts w:ascii="Univers" w:hAnsi="Univers"/>
          <w:sz w:val="20"/>
          <w:szCs w:val="20"/>
        </w:rPr>
        <w:t xml:space="preserve">, </w:t>
      </w:r>
      <w:r w:rsidR="00025E7B">
        <w:rPr>
          <w:rFonts w:ascii="Univers" w:hAnsi="Univers"/>
          <w:sz w:val="20"/>
          <w:szCs w:val="20"/>
        </w:rPr>
        <w:t xml:space="preserve">la CIDH resalta que </w:t>
      </w:r>
      <w:r w:rsidR="00FA2827">
        <w:rPr>
          <w:rFonts w:ascii="Univers" w:hAnsi="Univers"/>
          <w:sz w:val="20"/>
          <w:szCs w:val="20"/>
        </w:rPr>
        <w:t>lo</w:t>
      </w:r>
      <w:r w:rsidR="00025E7B">
        <w:rPr>
          <w:rFonts w:ascii="Univers" w:hAnsi="Univers"/>
          <w:sz w:val="20"/>
          <w:szCs w:val="20"/>
        </w:rPr>
        <w:t>s</w:t>
      </w:r>
      <w:r w:rsidR="00FA2827">
        <w:rPr>
          <w:rFonts w:ascii="Univers" w:hAnsi="Univers"/>
          <w:sz w:val="20"/>
          <w:szCs w:val="20"/>
        </w:rPr>
        <w:t xml:space="preserve"> alegatos de los peticionarios relativos a estos instrumentos se refieren a la continua impunidad de los hechos, que presuntamente sigue hasta la fecha en virtud de la ley de amnistía brasileña, así como</w:t>
      </w:r>
      <w:r w:rsidR="00BB5299">
        <w:rPr>
          <w:rFonts w:ascii="Univers" w:hAnsi="Univers"/>
          <w:sz w:val="20"/>
          <w:szCs w:val="20"/>
        </w:rPr>
        <w:t xml:space="preserve"> a</w:t>
      </w:r>
      <w:r w:rsidR="00FA2827">
        <w:rPr>
          <w:rFonts w:ascii="Univers" w:hAnsi="Univers"/>
          <w:sz w:val="20"/>
          <w:szCs w:val="20"/>
        </w:rPr>
        <w:t xml:space="preserve"> su incompatibilidad con la Convención Americana</w:t>
      </w:r>
      <w:r w:rsidR="00D72E98">
        <w:rPr>
          <w:rFonts w:ascii="Univers" w:hAnsi="Univers"/>
          <w:sz w:val="20"/>
          <w:szCs w:val="20"/>
        </w:rPr>
        <w:t>.</w:t>
      </w:r>
      <w:r w:rsidR="00B56636">
        <w:rPr>
          <w:rFonts w:ascii="Univers" w:hAnsi="Univers"/>
          <w:sz w:val="20"/>
          <w:szCs w:val="20"/>
        </w:rPr>
        <w:t xml:space="preserve">  Conforme se describe </w:t>
      </w:r>
      <w:r w:rsidR="00B56636">
        <w:rPr>
          <w:rFonts w:ascii="Univers" w:hAnsi="Univers"/>
          <w:i/>
          <w:sz w:val="20"/>
          <w:szCs w:val="20"/>
        </w:rPr>
        <w:t xml:space="preserve">infra </w:t>
      </w:r>
      <w:r w:rsidR="00B56636">
        <w:rPr>
          <w:rFonts w:ascii="Univers" w:hAnsi="Univers"/>
          <w:sz w:val="20"/>
          <w:szCs w:val="20"/>
        </w:rPr>
        <w:t>(párr. 34), los peticionarios alegan que la investigación penal de los hechos del presente caso se inició mediante una solicitud del Ministerio Público del 4 de mayo de 1992, y dicha investigación habría sido archivada mediante una decisión judicial del 13 de octubre de 1992 en virtud de la ley de amnistía, cuando tanto la Convención Americana c</w:t>
      </w:r>
      <w:r w:rsidR="00884AC5">
        <w:rPr>
          <w:rFonts w:ascii="Univers" w:hAnsi="Univers"/>
          <w:sz w:val="20"/>
          <w:szCs w:val="20"/>
        </w:rPr>
        <w:t>om</w:t>
      </w:r>
      <w:r w:rsidR="00B56636">
        <w:rPr>
          <w:rFonts w:ascii="Univers" w:hAnsi="Univers"/>
          <w:sz w:val="20"/>
          <w:szCs w:val="20"/>
        </w:rPr>
        <w:t>o la Convención Interamericana para Prevenir y Sancionar la Tortura ya se encontraban vigente para Brasil.</w:t>
      </w:r>
    </w:p>
    <w:p w:rsidR="00074348" w:rsidRPr="000F780A" w:rsidRDefault="00074348" w:rsidP="00870154">
      <w:pPr>
        <w:autoSpaceDE w:val="0"/>
        <w:autoSpaceDN w:val="0"/>
        <w:adjustRightInd w:val="0"/>
        <w:jc w:val="both"/>
        <w:rPr>
          <w:rFonts w:ascii="Univers" w:hAnsi="Univers"/>
          <w:sz w:val="20"/>
          <w:szCs w:val="20"/>
        </w:rPr>
      </w:pPr>
    </w:p>
    <w:p w:rsidR="00074348" w:rsidRPr="000F780A" w:rsidRDefault="00074348" w:rsidP="00870154">
      <w:pPr>
        <w:autoSpaceDE w:val="0"/>
        <w:autoSpaceDN w:val="0"/>
        <w:adjustRightInd w:val="0"/>
        <w:ind w:firstLine="720"/>
        <w:jc w:val="both"/>
        <w:rPr>
          <w:rFonts w:ascii="Univers" w:hAnsi="Univers"/>
          <w:sz w:val="20"/>
          <w:szCs w:val="20"/>
        </w:rPr>
      </w:pPr>
      <w:r w:rsidRPr="000F780A">
        <w:rPr>
          <w:rFonts w:ascii="Univers" w:hAnsi="Univers"/>
          <w:sz w:val="20"/>
          <w:szCs w:val="20"/>
        </w:rPr>
        <w:t>26.</w:t>
      </w:r>
      <w:r w:rsidRPr="000F780A">
        <w:rPr>
          <w:rFonts w:ascii="Univers" w:hAnsi="Univers"/>
          <w:sz w:val="20"/>
          <w:szCs w:val="20"/>
        </w:rPr>
        <w:tab/>
      </w:r>
      <w:r w:rsidR="0046567C" w:rsidRPr="0046567C">
        <w:rPr>
          <w:rFonts w:ascii="Univers" w:hAnsi="Univers"/>
          <w:sz w:val="20"/>
          <w:szCs w:val="20"/>
          <w:lang w:val="es-PE"/>
        </w:rPr>
        <w:t>Por último, la</w:t>
      </w:r>
      <w:r w:rsidR="0046567C" w:rsidRPr="0046567C">
        <w:rPr>
          <w:rFonts w:ascii="Univers" w:hAnsi="Univers"/>
          <w:sz w:val="20"/>
          <w:szCs w:val="20"/>
          <w:lang w:val="es-AR"/>
        </w:rPr>
        <w:t xml:space="preserve"> Comisión Interamericana posee competencia </w:t>
      </w:r>
      <w:r w:rsidR="0046567C" w:rsidRPr="0046567C">
        <w:rPr>
          <w:rFonts w:ascii="Univers" w:hAnsi="Univers"/>
          <w:i/>
          <w:iCs/>
          <w:sz w:val="20"/>
          <w:szCs w:val="20"/>
          <w:lang w:val="es-AR"/>
        </w:rPr>
        <w:t>ratione loci</w:t>
      </w:r>
      <w:r w:rsidR="0046567C" w:rsidRPr="0046567C">
        <w:rPr>
          <w:rFonts w:ascii="Univers" w:hAnsi="Univers"/>
          <w:sz w:val="20"/>
          <w:szCs w:val="20"/>
          <w:lang w:val="es-AR"/>
        </w:rPr>
        <w:t xml:space="preserve"> para conocer la petición por cuanto en ella se alegan </w:t>
      </w:r>
      <w:r w:rsidR="000D5091">
        <w:rPr>
          <w:rFonts w:ascii="Univers" w:hAnsi="Univers"/>
          <w:sz w:val="20"/>
          <w:szCs w:val="20"/>
          <w:lang w:val="es-AR"/>
        </w:rPr>
        <w:t xml:space="preserve">hechos </w:t>
      </w:r>
      <w:r w:rsidR="000D5091" w:rsidRPr="0046567C">
        <w:rPr>
          <w:rFonts w:ascii="Univers" w:hAnsi="Univers"/>
          <w:sz w:val="20"/>
          <w:szCs w:val="20"/>
          <w:lang w:val="es-AR"/>
        </w:rPr>
        <w:t>que habrían tenido lugar dentro del territorio de Brasil</w:t>
      </w:r>
      <w:r w:rsidR="000D5091">
        <w:rPr>
          <w:rFonts w:ascii="Univers" w:hAnsi="Univers"/>
          <w:sz w:val="20"/>
          <w:szCs w:val="20"/>
          <w:lang w:val="es-AR"/>
        </w:rPr>
        <w:t xml:space="preserve">, que constituirían </w:t>
      </w:r>
      <w:r w:rsidR="0046567C" w:rsidRPr="0046567C">
        <w:rPr>
          <w:rFonts w:ascii="Univers" w:hAnsi="Univers"/>
          <w:sz w:val="20"/>
          <w:szCs w:val="20"/>
          <w:lang w:val="es-AR"/>
        </w:rPr>
        <w:t>violaciones de derechos protegidos en la Declaración Americana</w:t>
      </w:r>
      <w:r w:rsidR="00BB5299">
        <w:rPr>
          <w:rFonts w:ascii="Univers" w:hAnsi="Univers"/>
          <w:sz w:val="20"/>
          <w:szCs w:val="20"/>
          <w:lang w:val="es-AR"/>
        </w:rPr>
        <w:t>,</w:t>
      </w:r>
      <w:r w:rsidR="0046567C" w:rsidRPr="0046567C">
        <w:rPr>
          <w:rFonts w:ascii="Univers" w:hAnsi="Univers"/>
          <w:sz w:val="20"/>
          <w:szCs w:val="20"/>
          <w:lang w:val="es-AR"/>
        </w:rPr>
        <w:t xml:space="preserve"> en la Convención Americana</w:t>
      </w:r>
      <w:r w:rsidR="000D5091">
        <w:rPr>
          <w:rFonts w:ascii="Univers" w:hAnsi="Univers"/>
          <w:sz w:val="20"/>
          <w:szCs w:val="20"/>
          <w:lang w:val="es-AR"/>
        </w:rPr>
        <w:t>,</w:t>
      </w:r>
      <w:r w:rsidR="00BB5299">
        <w:rPr>
          <w:rFonts w:ascii="Univers" w:hAnsi="Univers"/>
          <w:sz w:val="20"/>
          <w:szCs w:val="20"/>
          <w:lang w:val="es-AR"/>
        </w:rPr>
        <w:t xml:space="preserve"> y en la Convención Interamericana para Prevenir y Sancionar la Tortura</w:t>
      </w:r>
      <w:r w:rsidR="0047470C">
        <w:rPr>
          <w:rFonts w:ascii="Univers" w:hAnsi="Univers"/>
          <w:sz w:val="20"/>
          <w:szCs w:val="20"/>
          <w:lang w:val="es-AR"/>
        </w:rPr>
        <w:t>.</w:t>
      </w:r>
    </w:p>
    <w:p w:rsidR="00074348" w:rsidRDefault="00074348" w:rsidP="00870154">
      <w:pPr>
        <w:autoSpaceDE w:val="0"/>
        <w:autoSpaceDN w:val="0"/>
        <w:adjustRightInd w:val="0"/>
        <w:jc w:val="both"/>
        <w:rPr>
          <w:rFonts w:ascii="Univers" w:hAnsi="Univers"/>
          <w:sz w:val="20"/>
          <w:szCs w:val="20"/>
        </w:rPr>
      </w:pPr>
    </w:p>
    <w:p w:rsidR="00E1686B" w:rsidRDefault="00E1686B" w:rsidP="00870154">
      <w:pPr>
        <w:numPr>
          <w:ilvl w:val="0"/>
          <w:numId w:val="24"/>
        </w:numPr>
        <w:autoSpaceDE w:val="0"/>
        <w:autoSpaceDN w:val="0"/>
        <w:adjustRightInd w:val="0"/>
        <w:jc w:val="both"/>
        <w:rPr>
          <w:rFonts w:ascii="Univers" w:hAnsi="Univers"/>
          <w:b/>
          <w:sz w:val="20"/>
          <w:szCs w:val="20"/>
        </w:rPr>
      </w:pPr>
      <w:r>
        <w:rPr>
          <w:rFonts w:ascii="Univers" w:hAnsi="Univers"/>
          <w:b/>
          <w:sz w:val="20"/>
          <w:szCs w:val="20"/>
        </w:rPr>
        <w:t>Agotamiento de los recursos internos</w:t>
      </w:r>
    </w:p>
    <w:p w:rsidR="00E1686B" w:rsidRPr="00074348" w:rsidRDefault="00E1686B" w:rsidP="00870154">
      <w:pPr>
        <w:autoSpaceDE w:val="0"/>
        <w:autoSpaceDN w:val="0"/>
        <w:adjustRightInd w:val="0"/>
        <w:jc w:val="both"/>
        <w:rPr>
          <w:rFonts w:ascii="Univers" w:hAnsi="Univers"/>
          <w:sz w:val="20"/>
          <w:szCs w:val="20"/>
        </w:rPr>
      </w:pPr>
    </w:p>
    <w:p w:rsidR="00074348" w:rsidRDefault="00074348" w:rsidP="00870154">
      <w:pPr>
        <w:autoSpaceDE w:val="0"/>
        <w:autoSpaceDN w:val="0"/>
        <w:adjustRightInd w:val="0"/>
        <w:ind w:firstLine="720"/>
        <w:jc w:val="both"/>
        <w:rPr>
          <w:rFonts w:ascii="Univers" w:hAnsi="Univers"/>
          <w:sz w:val="20"/>
          <w:szCs w:val="20"/>
        </w:rPr>
      </w:pPr>
      <w:r w:rsidRPr="00074348">
        <w:rPr>
          <w:rFonts w:ascii="Univers" w:hAnsi="Univers"/>
          <w:sz w:val="20"/>
          <w:szCs w:val="20"/>
        </w:rPr>
        <w:t>27</w:t>
      </w:r>
      <w:r>
        <w:rPr>
          <w:rFonts w:ascii="Univers" w:hAnsi="Univers"/>
          <w:sz w:val="20"/>
          <w:szCs w:val="20"/>
        </w:rPr>
        <w:t>.</w:t>
      </w:r>
      <w:r>
        <w:rPr>
          <w:rFonts w:ascii="Univers" w:hAnsi="Univers"/>
          <w:sz w:val="20"/>
          <w:szCs w:val="20"/>
        </w:rPr>
        <w:tab/>
      </w:r>
      <w:r w:rsidRPr="00B0099F">
        <w:rPr>
          <w:rFonts w:ascii="Univers" w:hAnsi="Univers"/>
          <w:sz w:val="20"/>
          <w:szCs w:val="20"/>
        </w:rPr>
        <w:t>Bajo el artículo 46.1 de la Convención Americana, para que una petición pueda ser admitida por la CIDH, los remedios ofrecidos por la jurisdicción interna deben haber sido agotados, de acuerdo con los principios de derecho internacional generalmente reconocidos.</w:t>
      </w:r>
      <w:r w:rsidR="007B4A3F">
        <w:rPr>
          <w:rFonts w:ascii="Univers" w:hAnsi="Univers"/>
          <w:sz w:val="20"/>
          <w:szCs w:val="20"/>
        </w:rPr>
        <w:t xml:space="preserve"> </w:t>
      </w:r>
      <w:r w:rsidRPr="00B0099F">
        <w:rPr>
          <w:rFonts w:ascii="Univers" w:hAnsi="Univers"/>
          <w:sz w:val="20"/>
          <w:szCs w:val="20"/>
        </w:rPr>
        <w:t xml:space="preserve"> El segundo párrafo del artículo 46 señala que esas provisiones no serán aplicables cuando </w:t>
      </w:r>
      <w:r w:rsidR="007B4A3F">
        <w:rPr>
          <w:rFonts w:ascii="Univers" w:hAnsi="Univers"/>
          <w:sz w:val="20"/>
          <w:szCs w:val="20"/>
        </w:rPr>
        <w:t xml:space="preserve">no exista en la legislación interna </w:t>
      </w:r>
      <w:r w:rsidRPr="00B0099F">
        <w:rPr>
          <w:rFonts w:ascii="Univers" w:hAnsi="Univers" w:cs="Arial"/>
          <w:sz w:val="20"/>
          <w:szCs w:val="20"/>
          <w:lang w:val="es-PE"/>
        </w:rPr>
        <w:t xml:space="preserve">el debido proceso legal para la protección del derecho en cuestión; cuando se </w:t>
      </w:r>
      <w:r w:rsidRPr="00B0099F">
        <w:rPr>
          <w:rFonts w:ascii="Univers" w:hAnsi="Univers" w:cs="Arial"/>
          <w:sz w:val="20"/>
          <w:szCs w:val="20"/>
          <w:lang w:val="es-PE"/>
        </w:rPr>
        <w:lastRenderedPageBreak/>
        <w:t>deniegue la presunta víctima el acceso a los recursos existentes en la jurisdicción interna; o cuando haya retardo injustificado en la decisión final sobre los mencionados recursos</w:t>
      </w:r>
      <w:r>
        <w:rPr>
          <w:rFonts w:ascii="Univers" w:hAnsi="Univers" w:cs="Arial"/>
          <w:sz w:val="20"/>
          <w:szCs w:val="20"/>
          <w:lang w:val="es-PE"/>
        </w:rPr>
        <w:t>.</w:t>
      </w:r>
    </w:p>
    <w:p w:rsidR="00074348" w:rsidRDefault="00074348" w:rsidP="00870154">
      <w:pPr>
        <w:autoSpaceDE w:val="0"/>
        <w:autoSpaceDN w:val="0"/>
        <w:adjustRightInd w:val="0"/>
        <w:ind w:firstLine="720"/>
        <w:jc w:val="both"/>
        <w:rPr>
          <w:rFonts w:ascii="Univers" w:hAnsi="Univers"/>
          <w:sz w:val="20"/>
          <w:szCs w:val="20"/>
        </w:rPr>
      </w:pPr>
    </w:p>
    <w:p w:rsidR="00A2053B" w:rsidRDefault="00074348" w:rsidP="00870154">
      <w:pPr>
        <w:autoSpaceDE w:val="0"/>
        <w:autoSpaceDN w:val="0"/>
        <w:adjustRightInd w:val="0"/>
        <w:ind w:firstLine="720"/>
        <w:jc w:val="both"/>
        <w:rPr>
          <w:rFonts w:ascii="Univers" w:hAnsi="Univers"/>
          <w:sz w:val="20"/>
          <w:szCs w:val="20"/>
        </w:rPr>
      </w:pPr>
      <w:r>
        <w:rPr>
          <w:rFonts w:ascii="Univers" w:hAnsi="Univers"/>
          <w:sz w:val="20"/>
          <w:szCs w:val="20"/>
        </w:rPr>
        <w:t>28.</w:t>
      </w:r>
      <w:r>
        <w:rPr>
          <w:rFonts w:ascii="Univers" w:hAnsi="Univers"/>
          <w:sz w:val="20"/>
          <w:szCs w:val="20"/>
        </w:rPr>
        <w:tab/>
      </w:r>
      <w:r w:rsidRPr="00B0099F">
        <w:rPr>
          <w:rFonts w:ascii="Univers" w:hAnsi="Univers"/>
          <w:sz w:val="20"/>
          <w:szCs w:val="20"/>
        </w:rPr>
        <w:t xml:space="preserve">De manera preliminar, la Comisión Interamericana observa que en casos como el presente, </w:t>
      </w:r>
      <w:r>
        <w:rPr>
          <w:rFonts w:ascii="Univers" w:hAnsi="Univers"/>
          <w:sz w:val="20"/>
          <w:szCs w:val="20"/>
        </w:rPr>
        <w:t>que presunt</w:t>
      </w:r>
      <w:r w:rsidRPr="00B0099F">
        <w:rPr>
          <w:rFonts w:ascii="Univers" w:hAnsi="Univers"/>
          <w:sz w:val="20"/>
          <w:szCs w:val="20"/>
        </w:rPr>
        <w:t xml:space="preserve">amente implica ofensas criminales perseguibles </w:t>
      </w:r>
      <w:r>
        <w:rPr>
          <w:rFonts w:ascii="Univers" w:hAnsi="Univers"/>
          <w:sz w:val="20"/>
          <w:szCs w:val="20"/>
        </w:rPr>
        <w:t xml:space="preserve">de oficio en Brasil </w:t>
      </w:r>
      <w:r w:rsidR="007B06B6">
        <w:rPr>
          <w:rFonts w:ascii="Univers" w:hAnsi="Univers"/>
          <w:sz w:val="20"/>
          <w:szCs w:val="20"/>
        </w:rPr>
        <w:t>--</w:t>
      </w:r>
      <w:r w:rsidR="00897E6E">
        <w:rPr>
          <w:rFonts w:ascii="Univers" w:hAnsi="Univers"/>
          <w:sz w:val="20"/>
          <w:szCs w:val="20"/>
        </w:rPr>
        <w:t>la detención arbitraria, tortura y</w:t>
      </w:r>
      <w:r w:rsidRPr="00B0099F">
        <w:rPr>
          <w:rFonts w:ascii="Univers" w:hAnsi="Univers"/>
          <w:sz w:val="20"/>
          <w:szCs w:val="20"/>
        </w:rPr>
        <w:t xml:space="preserve"> ejecución extrajudicial</w:t>
      </w:r>
      <w:r w:rsidR="0063024A">
        <w:rPr>
          <w:rFonts w:ascii="Univers" w:hAnsi="Univers"/>
          <w:sz w:val="20"/>
          <w:szCs w:val="20"/>
        </w:rPr>
        <w:t xml:space="preserve"> </w:t>
      </w:r>
      <w:r w:rsidR="00897E6E">
        <w:rPr>
          <w:rFonts w:ascii="Univers" w:hAnsi="Univers"/>
          <w:sz w:val="20"/>
          <w:szCs w:val="20"/>
        </w:rPr>
        <w:t>de una persona</w:t>
      </w:r>
      <w:r>
        <w:rPr>
          <w:rFonts w:ascii="Univers" w:hAnsi="Univers"/>
          <w:sz w:val="20"/>
          <w:szCs w:val="20"/>
        </w:rPr>
        <w:t>--</w:t>
      </w:r>
      <w:r w:rsidRPr="00B0099F">
        <w:rPr>
          <w:rFonts w:ascii="Univers" w:hAnsi="Univers"/>
          <w:sz w:val="20"/>
          <w:szCs w:val="20"/>
        </w:rPr>
        <w:t xml:space="preserve"> el </w:t>
      </w:r>
      <w:r w:rsidR="0072068C">
        <w:rPr>
          <w:rFonts w:ascii="Univers" w:hAnsi="Univers"/>
          <w:sz w:val="20"/>
          <w:szCs w:val="20"/>
        </w:rPr>
        <w:t xml:space="preserve">recurso idóneo </w:t>
      </w:r>
      <w:r w:rsidRPr="00B0099F">
        <w:rPr>
          <w:rFonts w:ascii="Univers" w:hAnsi="Univers"/>
          <w:sz w:val="20"/>
          <w:szCs w:val="20"/>
        </w:rPr>
        <w:t xml:space="preserve">y efectivo es una investigación criminal y un juicio ante el sistema de justicia ordinaria.  La CIDH nota que es un hecho </w:t>
      </w:r>
      <w:r>
        <w:rPr>
          <w:rFonts w:ascii="Univers" w:hAnsi="Univers"/>
          <w:sz w:val="20"/>
          <w:szCs w:val="20"/>
        </w:rPr>
        <w:t>no controvertido</w:t>
      </w:r>
      <w:r w:rsidR="00073E29">
        <w:rPr>
          <w:rFonts w:ascii="Univers" w:hAnsi="Univers"/>
          <w:sz w:val="20"/>
          <w:szCs w:val="20"/>
        </w:rPr>
        <w:t>, alegado así tanto por los peticionarios como por el Estado (</w:t>
      </w:r>
      <w:r w:rsidR="00073E29">
        <w:rPr>
          <w:rFonts w:ascii="Univers" w:hAnsi="Univers"/>
          <w:i/>
          <w:sz w:val="20"/>
          <w:szCs w:val="20"/>
        </w:rPr>
        <w:t xml:space="preserve">supra </w:t>
      </w:r>
      <w:r w:rsidR="00073E29" w:rsidRPr="00073E29">
        <w:rPr>
          <w:rFonts w:ascii="Univers" w:hAnsi="Univers"/>
          <w:sz w:val="20"/>
          <w:szCs w:val="20"/>
        </w:rPr>
        <w:t>párrs.</w:t>
      </w:r>
      <w:r w:rsidR="00073E29">
        <w:rPr>
          <w:rFonts w:ascii="Univers" w:hAnsi="Univers"/>
          <w:sz w:val="20"/>
          <w:szCs w:val="20"/>
        </w:rPr>
        <w:t xml:space="preserve"> 9, 19 y 21), que la </w:t>
      </w:r>
      <w:r w:rsidR="008C324A">
        <w:rPr>
          <w:rFonts w:ascii="Univers" w:hAnsi="Univers"/>
          <w:sz w:val="20"/>
          <w:szCs w:val="20"/>
        </w:rPr>
        <w:t>ley de amnistía</w:t>
      </w:r>
      <w:r w:rsidR="00073E29">
        <w:rPr>
          <w:rFonts w:ascii="Univers" w:hAnsi="Univers"/>
          <w:sz w:val="20"/>
          <w:szCs w:val="20"/>
        </w:rPr>
        <w:t xml:space="preserve"> es </w:t>
      </w:r>
      <w:r w:rsidR="007B06B6">
        <w:rPr>
          <w:rFonts w:ascii="Univers" w:hAnsi="Univers"/>
          <w:sz w:val="20"/>
          <w:szCs w:val="20"/>
        </w:rPr>
        <w:t>“</w:t>
      </w:r>
      <w:r w:rsidR="00073E29">
        <w:rPr>
          <w:rFonts w:ascii="Univers" w:hAnsi="Univers"/>
          <w:sz w:val="20"/>
          <w:szCs w:val="20"/>
        </w:rPr>
        <w:t>un obstáculo</w:t>
      </w:r>
      <w:r w:rsidR="001C7A21" w:rsidRPr="001C7A21">
        <w:rPr>
          <w:rFonts w:ascii="Univers" w:hAnsi="Univers"/>
          <w:sz w:val="20"/>
          <w:szCs w:val="20"/>
        </w:rPr>
        <w:t xml:space="preserve"> </w:t>
      </w:r>
      <w:r w:rsidR="001C7A21">
        <w:rPr>
          <w:rFonts w:ascii="Univers" w:hAnsi="Univers"/>
          <w:sz w:val="20"/>
          <w:szCs w:val="20"/>
        </w:rPr>
        <w:t>a la persecución criminal de los responsables</w:t>
      </w:r>
      <w:r w:rsidR="007B06B6">
        <w:rPr>
          <w:rFonts w:ascii="Univers" w:hAnsi="Univers"/>
          <w:sz w:val="20"/>
          <w:szCs w:val="20"/>
        </w:rPr>
        <w:t>”</w:t>
      </w:r>
      <w:r w:rsidR="001C7A21">
        <w:rPr>
          <w:rFonts w:ascii="Univers" w:hAnsi="Univers"/>
          <w:sz w:val="20"/>
          <w:szCs w:val="20"/>
        </w:rPr>
        <w:t xml:space="preserve"> por las violaciones perpetradas contra la presunta víctima</w:t>
      </w:r>
      <w:r>
        <w:rPr>
          <w:rFonts w:ascii="Univers" w:hAnsi="Univers"/>
          <w:sz w:val="20"/>
          <w:szCs w:val="20"/>
        </w:rPr>
        <w:t>.</w:t>
      </w:r>
      <w:r w:rsidR="009B0D5D">
        <w:rPr>
          <w:rFonts w:ascii="Univers" w:hAnsi="Univers"/>
          <w:sz w:val="20"/>
          <w:szCs w:val="20"/>
        </w:rPr>
        <w:t xml:space="preserve">  </w:t>
      </w:r>
      <w:r w:rsidR="00B074F2">
        <w:rPr>
          <w:rFonts w:ascii="Univers" w:hAnsi="Univers"/>
          <w:sz w:val="20"/>
          <w:szCs w:val="20"/>
        </w:rPr>
        <w:t>Anteriormente</w:t>
      </w:r>
      <w:r w:rsidR="00FF2A80">
        <w:rPr>
          <w:rFonts w:ascii="Univers" w:hAnsi="Univers"/>
          <w:sz w:val="20"/>
          <w:szCs w:val="20"/>
        </w:rPr>
        <w:t xml:space="preserve">, </w:t>
      </w:r>
      <w:r w:rsidR="00B81829">
        <w:rPr>
          <w:rFonts w:ascii="Univers" w:hAnsi="Univers"/>
          <w:sz w:val="20"/>
          <w:szCs w:val="20"/>
        </w:rPr>
        <w:t>en su Informe de Admisibilidad sobre la Petición 11.552 (</w:t>
      </w:r>
      <w:r w:rsidR="00B81829">
        <w:rPr>
          <w:rFonts w:ascii="Univers" w:hAnsi="Univers"/>
          <w:i/>
          <w:sz w:val="20"/>
          <w:szCs w:val="20"/>
        </w:rPr>
        <w:t>Guerrilha</w:t>
      </w:r>
      <w:r w:rsidR="00B81829" w:rsidRPr="00B81829">
        <w:rPr>
          <w:rFonts w:ascii="Univers" w:hAnsi="Univers"/>
          <w:i/>
          <w:sz w:val="20"/>
          <w:szCs w:val="20"/>
        </w:rPr>
        <w:t xml:space="preserve"> do Araguaia</w:t>
      </w:r>
      <w:r w:rsidR="00B81829">
        <w:rPr>
          <w:rFonts w:ascii="Univers" w:hAnsi="Univers"/>
          <w:sz w:val="20"/>
          <w:szCs w:val="20"/>
        </w:rPr>
        <w:t xml:space="preserve">), </w:t>
      </w:r>
      <w:r w:rsidR="00FF2A80" w:rsidRPr="00B81829">
        <w:rPr>
          <w:rFonts w:ascii="Univers" w:hAnsi="Univers"/>
          <w:sz w:val="20"/>
          <w:szCs w:val="20"/>
        </w:rPr>
        <w:t>la</w:t>
      </w:r>
      <w:r w:rsidR="00FF2A80">
        <w:rPr>
          <w:rFonts w:ascii="Univers" w:hAnsi="Univers"/>
          <w:sz w:val="20"/>
          <w:szCs w:val="20"/>
        </w:rPr>
        <w:t xml:space="preserve"> CIDH</w:t>
      </w:r>
      <w:r w:rsidR="00B81829">
        <w:rPr>
          <w:rFonts w:ascii="Univers" w:hAnsi="Univers"/>
          <w:sz w:val="20"/>
          <w:szCs w:val="20"/>
        </w:rPr>
        <w:t xml:space="preserve"> observó que en virtud de dicha ley, </w:t>
      </w:r>
      <w:r w:rsidR="00B81829" w:rsidRPr="00634E5F">
        <w:rPr>
          <w:rFonts w:ascii="Univers" w:hAnsi="Univers"/>
          <w:sz w:val="20"/>
          <w:szCs w:val="20"/>
        </w:rPr>
        <w:t>“no es posible investigar la responsabilidad individual y sancionar a los agentes del Estado involucrados en el caso”</w:t>
      </w:r>
      <w:r w:rsidR="00E52D13" w:rsidRPr="006A6267">
        <w:rPr>
          <w:rStyle w:val="Refdenotaalpie"/>
          <w:rFonts w:ascii="Univers" w:hAnsi="Univers"/>
          <w:szCs w:val="16"/>
          <w:lang w:val="es-VE"/>
        </w:rPr>
        <w:footnoteReference w:id="5"/>
      </w:r>
      <w:r w:rsidR="00634E5F">
        <w:rPr>
          <w:rFonts w:ascii="Univers" w:hAnsi="Univers"/>
          <w:sz w:val="20"/>
          <w:szCs w:val="20"/>
        </w:rPr>
        <w:t>.</w:t>
      </w:r>
      <w:r w:rsidR="00B81829" w:rsidRPr="00A83854">
        <w:rPr>
          <w:rFonts w:ascii="Univers" w:hAnsi="Univers"/>
          <w:sz w:val="20"/>
          <w:szCs w:val="20"/>
        </w:rPr>
        <w:t xml:space="preserve"> </w:t>
      </w:r>
      <w:r w:rsidR="00A83854">
        <w:rPr>
          <w:rFonts w:ascii="Univers" w:hAnsi="Univers"/>
          <w:sz w:val="20"/>
          <w:szCs w:val="20"/>
        </w:rPr>
        <w:t xml:space="preserve"> </w:t>
      </w:r>
      <w:r w:rsidR="00A83854" w:rsidRPr="00A83854">
        <w:rPr>
          <w:rFonts w:ascii="Univers" w:hAnsi="Univers"/>
          <w:sz w:val="20"/>
          <w:szCs w:val="20"/>
        </w:rPr>
        <w:t>E</w:t>
      </w:r>
      <w:r w:rsidR="00B81829" w:rsidRPr="00A83854">
        <w:rPr>
          <w:rFonts w:ascii="Univers" w:hAnsi="Univers"/>
          <w:sz w:val="20"/>
          <w:szCs w:val="20"/>
        </w:rPr>
        <w:t>n su Informe de Fondo sobre el mismo caso, la Comisión Interamericana determinó que, “la investigación y sanción penal de los responsables por las [violaciones contra] las víctimas, ‘está imposibilitada por la ley de amnistía que aún se encuentra vigente’”</w:t>
      </w:r>
      <w:r w:rsidR="009A40A9" w:rsidRPr="006A6267">
        <w:rPr>
          <w:rStyle w:val="Refdenotaalpie"/>
          <w:rFonts w:ascii="Univers" w:hAnsi="Univers"/>
          <w:szCs w:val="16"/>
          <w:lang w:val="es-VE"/>
        </w:rPr>
        <w:footnoteReference w:id="6"/>
      </w:r>
      <w:r w:rsidR="009A40A9">
        <w:rPr>
          <w:rFonts w:ascii="Univers" w:hAnsi="Univers"/>
          <w:sz w:val="20"/>
          <w:szCs w:val="20"/>
        </w:rPr>
        <w:t>.</w:t>
      </w:r>
      <w:r w:rsidR="00B81829" w:rsidRPr="00F1515A">
        <w:rPr>
          <w:rFonts w:ascii="Univers" w:hAnsi="Univers"/>
          <w:b/>
          <w:sz w:val="20"/>
          <w:szCs w:val="20"/>
        </w:rPr>
        <w:t xml:space="preserve"> </w:t>
      </w:r>
      <w:r w:rsidR="00BC0ED3" w:rsidRPr="00F1515A">
        <w:rPr>
          <w:rFonts w:ascii="Univers" w:hAnsi="Univers"/>
          <w:b/>
          <w:sz w:val="20"/>
          <w:szCs w:val="20"/>
        </w:rPr>
        <w:t xml:space="preserve"> </w:t>
      </w:r>
      <w:r w:rsidR="000127E9" w:rsidRPr="00F1515A">
        <w:rPr>
          <w:rFonts w:ascii="Univers" w:hAnsi="Univers"/>
          <w:sz w:val="20"/>
          <w:szCs w:val="20"/>
        </w:rPr>
        <w:t xml:space="preserve">Asimismo, </w:t>
      </w:r>
      <w:r w:rsidR="000D5091" w:rsidRPr="00F1515A">
        <w:rPr>
          <w:rFonts w:ascii="Univers" w:hAnsi="Univers"/>
          <w:sz w:val="20"/>
          <w:szCs w:val="20"/>
        </w:rPr>
        <w:t xml:space="preserve">en su sentencia sobre el Caso 11.552 </w:t>
      </w:r>
      <w:r w:rsidR="000127E9" w:rsidRPr="00F1515A">
        <w:rPr>
          <w:rFonts w:ascii="Univers" w:hAnsi="Univers"/>
          <w:sz w:val="20"/>
          <w:szCs w:val="20"/>
        </w:rPr>
        <w:t xml:space="preserve">la </w:t>
      </w:r>
      <w:r w:rsidR="002B4021" w:rsidRPr="00F1515A">
        <w:rPr>
          <w:rFonts w:ascii="Univers" w:hAnsi="Univers"/>
          <w:sz w:val="20"/>
          <w:szCs w:val="20"/>
        </w:rPr>
        <w:t xml:space="preserve">Corte Interamericana confirmó que </w:t>
      </w:r>
      <w:r w:rsidR="00DF2D25" w:rsidRPr="00F1515A">
        <w:rPr>
          <w:rFonts w:ascii="Univers" w:hAnsi="Univers"/>
          <w:sz w:val="20"/>
          <w:szCs w:val="20"/>
        </w:rPr>
        <w:t>“en virtud de dicha Ley, hasta la fecha el Estado no ha investigado, procesado o sancionado penalmente a los responsables de las violaciones de derechos humanos cometidas durante el régimen milita</w:t>
      </w:r>
      <w:r w:rsidR="00DF2D25" w:rsidRPr="00F35774">
        <w:rPr>
          <w:rFonts w:ascii="Univers" w:hAnsi="Univers"/>
          <w:sz w:val="20"/>
          <w:szCs w:val="20"/>
        </w:rPr>
        <w:t>r”</w:t>
      </w:r>
      <w:r w:rsidR="000E0657" w:rsidRPr="006A6267">
        <w:rPr>
          <w:rStyle w:val="Refdenotaalpie"/>
          <w:rFonts w:ascii="Univers" w:hAnsi="Univers"/>
          <w:szCs w:val="16"/>
        </w:rPr>
        <w:footnoteReference w:id="7"/>
      </w:r>
      <w:r w:rsidR="00DF2D25" w:rsidRPr="00F35774">
        <w:rPr>
          <w:rFonts w:ascii="Univers" w:hAnsi="Univers"/>
          <w:sz w:val="20"/>
          <w:szCs w:val="20"/>
        </w:rPr>
        <w:t>.</w:t>
      </w:r>
    </w:p>
    <w:p w:rsidR="00A2053B" w:rsidRPr="00FB1710" w:rsidRDefault="00A2053B" w:rsidP="00870154">
      <w:pPr>
        <w:autoSpaceDE w:val="0"/>
        <w:autoSpaceDN w:val="0"/>
        <w:adjustRightInd w:val="0"/>
        <w:ind w:firstLine="720"/>
        <w:jc w:val="both"/>
        <w:rPr>
          <w:rFonts w:ascii="Univers" w:hAnsi="Univers"/>
          <w:sz w:val="20"/>
          <w:szCs w:val="20"/>
        </w:rPr>
      </w:pPr>
    </w:p>
    <w:p w:rsidR="00074348" w:rsidRPr="00FB1710" w:rsidRDefault="00A2053B" w:rsidP="00870154">
      <w:pPr>
        <w:autoSpaceDE w:val="0"/>
        <w:autoSpaceDN w:val="0"/>
        <w:adjustRightInd w:val="0"/>
        <w:ind w:firstLine="720"/>
        <w:jc w:val="both"/>
        <w:rPr>
          <w:rFonts w:ascii="Univers" w:hAnsi="Univers"/>
          <w:sz w:val="20"/>
          <w:szCs w:val="20"/>
        </w:rPr>
      </w:pPr>
      <w:r w:rsidRPr="00FB1710">
        <w:rPr>
          <w:rFonts w:ascii="Univers" w:hAnsi="Univers"/>
          <w:sz w:val="20"/>
          <w:szCs w:val="20"/>
        </w:rPr>
        <w:t>29.</w:t>
      </w:r>
      <w:r w:rsidRPr="00FB1710">
        <w:rPr>
          <w:rFonts w:ascii="Univers" w:hAnsi="Univers"/>
          <w:sz w:val="20"/>
          <w:szCs w:val="20"/>
        </w:rPr>
        <w:tab/>
      </w:r>
      <w:r w:rsidR="000D5091">
        <w:rPr>
          <w:rFonts w:ascii="Univers" w:hAnsi="Univers"/>
          <w:sz w:val="20"/>
          <w:szCs w:val="20"/>
        </w:rPr>
        <w:t>La CIDH se ha pronunciado de manera reiterada</w:t>
      </w:r>
      <w:r w:rsidR="009B0D5D" w:rsidRPr="00FB1710">
        <w:rPr>
          <w:rFonts w:ascii="Univers" w:hAnsi="Univers"/>
          <w:sz w:val="20"/>
          <w:szCs w:val="20"/>
        </w:rPr>
        <w:t xml:space="preserve"> respecto de la admisibilidad de peticiones que se refieren a leyes de amnistía.</w:t>
      </w:r>
      <w:r w:rsidR="003A54B3" w:rsidRPr="00FB1710">
        <w:rPr>
          <w:rFonts w:ascii="Univers" w:hAnsi="Univers"/>
          <w:sz w:val="20"/>
          <w:szCs w:val="20"/>
        </w:rPr>
        <w:t xml:space="preserve">  En </w:t>
      </w:r>
      <w:r w:rsidR="00D000F0">
        <w:rPr>
          <w:rFonts w:ascii="Univers" w:hAnsi="Univers"/>
          <w:sz w:val="20"/>
          <w:szCs w:val="20"/>
        </w:rPr>
        <w:t xml:space="preserve">una de </w:t>
      </w:r>
      <w:r w:rsidR="003A54B3" w:rsidRPr="00FB1710">
        <w:rPr>
          <w:rFonts w:ascii="Univers" w:hAnsi="Univers"/>
          <w:sz w:val="20"/>
          <w:szCs w:val="20"/>
        </w:rPr>
        <w:t>sus primeras decisiones sobre el tema, la CIDH observó</w:t>
      </w:r>
      <w:r w:rsidR="00DF54BF">
        <w:rPr>
          <w:rFonts w:ascii="Univers" w:hAnsi="Univers"/>
          <w:sz w:val="20"/>
          <w:szCs w:val="20"/>
        </w:rPr>
        <w:t xml:space="preserve">, a efectos de la admisibilidad de </w:t>
      </w:r>
      <w:r w:rsidR="00836708">
        <w:rPr>
          <w:rFonts w:ascii="Univers" w:hAnsi="Univers"/>
          <w:sz w:val="20"/>
          <w:szCs w:val="20"/>
        </w:rPr>
        <w:t>peticiones</w:t>
      </w:r>
      <w:r w:rsidR="00DF54BF">
        <w:rPr>
          <w:rFonts w:ascii="Univers" w:hAnsi="Univers"/>
          <w:sz w:val="20"/>
          <w:szCs w:val="20"/>
        </w:rPr>
        <w:t xml:space="preserve"> sobre la</w:t>
      </w:r>
      <w:r w:rsidR="003A54B3" w:rsidRPr="00FB1710">
        <w:rPr>
          <w:rFonts w:ascii="Univers" w:hAnsi="Univers"/>
          <w:sz w:val="20"/>
          <w:szCs w:val="20"/>
        </w:rPr>
        <w:t xml:space="preserve"> </w:t>
      </w:r>
      <w:r w:rsidR="00DF54BF">
        <w:rPr>
          <w:rFonts w:ascii="Univers" w:hAnsi="Univers"/>
          <w:sz w:val="20"/>
          <w:szCs w:val="20"/>
        </w:rPr>
        <w:t xml:space="preserve">ley de amnistía </w:t>
      </w:r>
      <w:r w:rsidR="003A54B3" w:rsidRPr="00FB1710">
        <w:rPr>
          <w:rFonts w:ascii="Univers" w:hAnsi="Univers"/>
          <w:sz w:val="20"/>
          <w:szCs w:val="20"/>
        </w:rPr>
        <w:t>de Uruguay:</w:t>
      </w:r>
    </w:p>
    <w:p w:rsidR="003A54B3" w:rsidRPr="00FB1710" w:rsidRDefault="003A54B3" w:rsidP="00251844">
      <w:pPr>
        <w:autoSpaceDE w:val="0"/>
        <w:autoSpaceDN w:val="0"/>
        <w:adjustRightInd w:val="0"/>
        <w:ind w:right="-522" w:firstLine="720"/>
        <w:jc w:val="both"/>
        <w:rPr>
          <w:rFonts w:ascii="Univers" w:hAnsi="Univers"/>
          <w:sz w:val="20"/>
          <w:szCs w:val="20"/>
        </w:rPr>
      </w:pPr>
    </w:p>
    <w:p w:rsidR="0072068C" w:rsidRDefault="0072068C" w:rsidP="00870154">
      <w:pPr>
        <w:autoSpaceDE w:val="0"/>
        <w:autoSpaceDN w:val="0"/>
        <w:adjustRightInd w:val="0"/>
        <w:ind w:left="720" w:right="720"/>
        <w:jc w:val="both"/>
        <w:rPr>
          <w:rFonts w:ascii="Univers" w:hAnsi="Univers"/>
          <w:spacing w:val="-3"/>
          <w:sz w:val="18"/>
          <w:szCs w:val="18"/>
        </w:rPr>
      </w:pPr>
      <w:r w:rsidRPr="000D5091">
        <w:rPr>
          <w:rFonts w:ascii="Univers" w:hAnsi="Univers"/>
          <w:spacing w:val="-3"/>
          <w:sz w:val="18"/>
          <w:szCs w:val="18"/>
        </w:rPr>
        <w:t xml:space="preserve">A juicio de la Comisión se han satisfecho los requisitos de admisibilidad formal establecidos en el artículo 46.1 de la Convención y en el artículo 32 del Reglamento de la Comisión, por cuanto </w:t>
      </w:r>
      <w:r w:rsidRPr="000D5091">
        <w:rPr>
          <w:rFonts w:ascii="Univers" w:hAnsi="Univers"/>
          <w:b/>
          <w:spacing w:val="-3"/>
          <w:sz w:val="18"/>
          <w:szCs w:val="18"/>
        </w:rPr>
        <w:t>la legislación interna no dispone de recursos idóneos y efectivos</w:t>
      </w:r>
      <w:r w:rsidRPr="000D5091">
        <w:rPr>
          <w:rFonts w:ascii="Univers" w:hAnsi="Univers"/>
          <w:spacing w:val="-3"/>
          <w:sz w:val="18"/>
          <w:szCs w:val="18"/>
        </w:rPr>
        <w:t xml:space="preserve"> que hagan jurídicamente posible declarar nulos los efectos de la Ley; dichos efectos impiden cualquier posibilidad de obtener una investigación judicial, imparcial y exhaustiva de las gravísimas violaciones a los derechos humanos registradas en el pasado.  La Suprema Corte de Justicia del Uruguay desestimó los recursos de inconstitucionalidad de la Ley</w:t>
      </w:r>
      <w:r w:rsidR="00BA3D02" w:rsidRPr="000D5091">
        <w:rPr>
          <w:rFonts w:ascii="Univers" w:hAnsi="Univers"/>
          <w:spacing w:val="-3"/>
          <w:sz w:val="18"/>
          <w:szCs w:val="18"/>
        </w:rPr>
        <w:t>.</w:t>
      </w:r>
    </w:p>
    <w:p w:rsidR="000D5091" w:rsidRPr="000D5091" w:rsidRDefault="000D5091" w:rsidP="00870154">
      <w:pPr>
        <w:autoSpaceDE w:val="0"/>
        <w:autoSpaceDN w:val="0"/>
        <w:adjustRightInd w:val="0"/>
        <w:ind w:left="720" w:right="720"/>
        <w:jc w:val="both"/>
        <w:rPr>
          <w:rFonts w:ascii="Univers" w:hAnsi="Univers"/>
          <w:spacing w:val="-3"/>
          <w:sz w:val="18"/>
          <w:szCs w:val="18"/>
        </w:rPr>
      </w:pPr>
    </w:p>
    <w:p w:rsidR="00BA3D02" w:rsidRDefault="00BA3D02" w:rsidP="00870154">
      <w:pPr>
        <w:autoSpaceDE w:val="0"/>
        <w:autoSpaceDN w:val="0"/>
        <w:adjustRightInd w:val="0"/>
        <w:ind w:left="720" w:right="720"/>
        <w:jc w:val="both"/>
        <w:rPr>
          <w:rFonts w:ascii="Univers" w:hAnsi="Univers"/>
          <w:spacing w:val="-3"/>
          <w:sz w:val="18"/>
          <w:szCs w:val="18"/>
          <w:lang w:val="es-VE"/>
        </w:rPr>
      </w:pPr>
      <w:r w:rsidRPr="000D5091">
        <w:rPr>
          <w:rFonts w:ascii="Univers" w:hAnsi="Univers"/>
          <w:spacing w:val="-3"/>
          <w:sz w:val="18"/>
          <w:szCs w:val="18"/>
        </w:rPr>
        <w:t xml:space="preserve">En cuanto a la alegación de falta de agotamiento de los recursos internos, la Comisión observa que una vez que la Ley fue declarada constitucional su efecto fue el de impedir la continuación de los juicios ante los tribunales del país.  El artículo 46.1.a  de la Convención requiere que se hayan interpuesto y agotado los recursos de jurisdicción interna pero, </w:t>
      </w:r>
      <w:r w:rsidRPr="000D5091">
        <w:rPr>
          <w:rFonts w:ascii="Univers" w:hAnsi="Univers"/>
          <w:b/>
          <w:spacing w:val="-3"/>
          <w:sz w:val="18"/>
          <w:szCs w:val="18"/>
        </w:rPr>
        <w:t>el artículo 46.2.a estipula que dicho requisito no se aplicará cuando "no exista en la legislación interna del Estado de que se trata el debido proceso legal para la protección del derecho o derechos que se alega han sido violados"</w:t>
      </w:r>
      <w:r w:rsidRPr="000D5091">
        <w:rPr>
          <w:rFonts w:ascii="Univers" w:hAnsi="Univers"/>
          <w:spacing w:val="-3"/>
          <w:sz w:val="18"/>
          <w:szCs w:val="18"/>
        </w:rPr>
        <w:t>.  Por lo tanto, las denuncias no pueden ser consideradas inadmisibles por falta de agotamiento de los recursos de jurisdicción interna</w:t>
      </w:r>
      <w:r w:rsidRPr="006A6267">
        <w:rPr>
          <w:rStyle w:val="Refdenotaalpie"/>
          <w:rFonts w:ascii="Univers" w:hAnsi="Univers"/>
          <w:szCs w:val="16"/>
          <w:lang w:val="es-VE"/>
        </w:rPr>
        <w:footnoteReference w:id="8"/>
      </w:r>
      <w:r w:rsidRPr="000D5091">
        <w:rPr>
          <w:rFonts w:ascii="Univers" w:hAnsi="Univers"/>
          <w:spacing w:val="-3"/>
          <w:sz w:val="18"/>
          <w:szCs w:val="18"/>
          <w:lang w:val="es-VE"/>
        </w:rPr>
        <w:t>.</w:t>
      </w:r>
    </w:p>
    <w:p w:rsidR="00C441F9" w:rsidRPr="00C441F9" w:rsidRDefault="00C441F9" w:rsidP="00870154">
      <w:pPr>
        <w:autoSpaceDE w:val="0"/>
        <w:autoSpaceDN w:val="0"/>
        <w:adjustRightInd w:val="0"/>
        <w:ind w:left="720" w:right="720"/>
        <w:jc w:val="both"/>
        <w:rPr>
          <w:rFonts w:ascii="Univers" w:hAnsi="Univers"/>
          <w:spacing w:val="-3"/>
          <w:sz w:val="20"/>
          <w:szCs w:val="20"/>
          <w:lang w:val="es-VE"/>
        </w:rPr>
      </w:pPr>
    </w:p>
    <w:p w:rsidR="003A54B3" w:rsidRDefault="00A2053B" w:rsidP="00870154">
      <w:pPr>
        <w:autoSpaceDE w:val="0"/>
        <w:autoSpaceDN w:val="0"/>
        <w:adjustRightInd w:val="0"/>
        <w:ind w:firstLine="720"/>
        <w:jc w:val="both"/>
        <w:rPr>
          <w:rFonts w:ascii="Univers" w:hAnsi="Univers"/>
          <w:sz w:val="20"/>
          <w:szCs w:val="20"/>
        </w:rPr>
      </w:pPr>
      <w:r w:rsidRPr="00FB1710">
        <w:rPr>
          <w:rFonts w:ascii="Univers" w:hAnsi="Univers"/>
          <w:sz w:val="20"/>
          <w:szCs w:val="20"/>
        </w:rPr>
        <w:t>30</w:t>
      </w:r>
      <w:r w:rsidR="00074348" w:rsidRPr="00FB1710">
        <w:rPr>
          <w:rFonts w:ascii="Univers" w:hAnsi="Univers"/>
          <w:sz w:val="20"/>
          <w:szCs w:val="20"/>
        </w:rPr>
        <w:t>.</w:t>
      </w:r>
      <w:r w:rsidR="003A54B3" w:rsidRPr="00FB1710">
        <w:rPr>
          <w:rFonts w:ascii="Univers" w:hAnsi="Univers"/>
          <w:sz w:val="20"/>
          <w:szCs w:val="20"/>
        </w:rPr>
        <w:tab/>
        <w:t xml:space="preserve">La </w:t>
      </w:r>
      <w:r w:rsidR="000D5091" w:rsidRPr="00FB1710">
        <w:rPr>
          <w:rFonts w:ascii="Univers" w:hAnsi="Univers"/>
          <w:sz w:val="20"/>
          <w:szCs w:val="20"/>
        </w:rPr>
        <w:t>C</w:t>
      </w:r>
      <w:r w:rsidR="000D5091">
        <w:rPr>
          <w:rFonts w:ascii="Univers" w:hAnsi="Univers"/>
          <w:sz w:val="20"/>
          <w:szCs w:val="20"/>
        </w:rPr>
        <w:t xml:space="preserve">omisión Interamericana </w:t>
      </w:r>
      <w:r w:rsidR="003A54B3" w:rsidRPr="00FB1710">
        <w:rPr>
          <w:rFonts w:ascii="Univers" w:hAnsi="Univers"/>
          <w:sz w:val="20"/>
          <w:szCs w:val="20"/>
        </w:rPr>
        <w:t xml:space="preserve">ha reiterado ese razonamiento, </w:t>
      </w:r>
      <w:r w:rsidR="009F2FF1">
        <w:rPr>
          <w:rFonts w:ascii="Univers" w:hAnsi="Univers"/>
          <w:sz w:val="20"/>
          <w:szCs w:val="20"/>
        </w:rPr>
        <w:t xml:space="preserve">por ejemplo, a efectos de </w:t>
      </w:r>
      <w:r w:rsidR="003A54B3" w:rsidRPr="00FB1710">
        <w:rPr>
          <w:rFonts w:ascii="Univers" w:hAnsi="Univers"/>
          <w:sz w:val="20"/>
          <w:szCs w:val="20"/>
        </w:rPr>
        <w:t>la admisibilidad de peticiones que se refieren a leyes de amnistía en Perú</w:t>
      </w:r>
      <w:r w:rsidR="008B3784">
        <w:rPr>
          <w:rFonts w:ascii="Univers" w:hAnsi="Univers"/>
          <w:sz w:val="20"/>
          <w:szCs w:val="20"/>
        </w:rPr>
        <w:t>, en los siguientes té</w:t>
      </w:r>
      <w:r w:rsidR="00E66880">
        <w:rPr>
          <w:rFonts w:ascii="Univers" w:hAnsi="Univers"/>
          <w:sz w:val="20"/>
          <w:szCs w:val="20"/>
        </w:rPr>
        <w:t>rminos</w:t>
      </w:r>
      <w:r w:rsidR="00CF7B26">
        <w:rPr>
          <w:rFonts w:ascii="Univers" w:hAnsi="Univers"/>
          <w:sz w:val="20"/>
          <w:szCs w:val="20"/>
        </w:rPr>
        <w:t>:</w:t>
      </w:r>
    </w:p>
    <w:p w:rsidR="00CF7B26" w:rsidRDefault="00CF7B26" w:rsidP="00251844">
      <w:pPr>
        <w:autoSpaceDE w:val="0"/>
        <w:autoSpaceDN w:val="0"/>
        <w:adjustRightInd w:val="0"/>
        <w:ind w:right="-522"/>
        <w:jc w:val="both"/>
        <w:rPr>
          <w:rFonts w:ascii="Univers" w:hAnsi="Univers"/>
          <w:sz w:val="20"/>
          <w:szCs w:val="20"/>
        </w:rPr>
      </w:pPr>
    </w:p>
    <w:p w:rsidR="00CF7B26" w:rsidRPr="002D5DA1" w:rsidRDefault="00E2728B" w:rsidP="00870154">
      <w:pPr>
        <w:autoSpaceDE w:val="0"/>
        <w:autoSpaceDN w:val="0"/>
        <w:adjustRightInd w:val="0"/>
        <w:ind w:left="720" w:right="720"/>
        <w:jc w:val="both"/>
        <w:rPr>
          <w:rFonts w:ascii="Univers" w:hAnsi="Univers"/>
          <w:sz w:val="18"/>
          <w:szCs w:val="18"/>
        </w:rPr>
      </w:pPr>
      <w:r w:rsidRPr="002D5DA1">
        <w:rPr>
          <w:rFonts w:ascii="Univers" w:hAnsi="Univers"/>
          <w:sz w:val="18"/>
          <w:szCs w:val="18"/>
        </w:rPr>
        <w:lastRenderedPageBreak/>
        <w:t xml:space="preserve">En lo concerniente a la alegada falta de investigación y sanción a los autores intelectuales de la matanza de La Cantuta, la Comisión observa que el proceso con base en el cual se condenó a algunas personas por la mencionada matanza concluyó con la sentencia dictada por el Consejo Supremo de Justicia Militar el 3 de mayo de 1994. En dicha sentencia no hubo pronunciamiento condenatorio o absolutorio respecto a los denunciados autores intelectuales de dicha matanza. Luego, aunque teóricamente pudiera iniciarse una nueva investigación tendiente a establecer la responsabilidad intelectual por tales hechos, el artículo 6 de la mencionada Ley Nº 26479, en concordancia con lo establecido en el artículo 3 de la referida Ley Nº 26492, establece que </w:t>
      </w:r>
      <w:r w:rsidRPr="00B94819">
        <w:rPr>
          <w:rFonts w:ascii="Univers" w:hAnsi="Univers"/>
          <w:b/>
          <w:sz w:val="18"/>
          <w:szCs w:val="18"/>
        </w:rPr>
        <w:t xml:space="preserve">los tribunales peruanos se encuentran impedidos de iniciar tal investigación. </w:t>
      </w:r>
      <w:r w:rsidRPr="002D5DA1">
        <w:rPr>
          <w:rFonts w:ascii="Univers" w:hAnsi="Univers"/>
          <w:sz w:val="18"/>
          <w:szCs w:val="18"/>
        </w:rPr>
        <w:t xml:space="preserve">En consecuencia, </w:t>
      </w:r>
      <w:r w:rsidRPr="002D5DA1">
        <w:rPr>
          <w:rFonts w:ascii="Univers" w:hAnsi="Univers"/>
          <w:b/>
          <w:sz w:val="18"/>
          <w:szCs w:val="18"/>
        </w:rPr>
        <w:t>al no existir en la legislación interna peruana un recurso efectivo para tratar de determinar tal aducida responsabilidad intelectual, se configura la excepción al requisito de agotamiento de los recursos de la jurisdicción interna prevista en el artículo 46.2.a de la Convención</w:t>
      </w:r>
      <w:r w:rsidR="00D115A8" w:rsidRPr="006A6267">
        <w:rPr>
          <w:rStyle w:val="Refdenotaalpie"/>
          <w:rFonts w:ascii="Univers" w:hAnsi="Univers"/>
          <w:szCs w:val="16"/>
          <w:lang w:val="es-VE"/>
        </w:rPr>
        <w:footnoteReference w:id="9"/>
      </w:r>
      <w:r w:rsidRPr="002D5DA1">
        <w:rPr>
          <w:rFonts w:ascii="Univers" w:hAnsi="Univers"/>
          <w:sz w:val="18"/>
          <w:szCs w:val="18"/>
        </w:rPr>
        <w:t>.</w:t>
      </w:r>
    </w:p>
    <w:p w:rsidR="003A54B3" w:rsidRPr="00FB1710" w:rsidRDefault="003A54B3" w:rsidP="00251844">
      <w:pPr>
        <w:autoSpaceDE w:val="0"/>
        <w:autoSpaceDN w:val="0"/>
        <w:adjustRightInd w:val="0"/>
        <w:ind w:right="-522" w:firstLine="720"/>
        <w:jc w:val="both"/>
        <w:rPr>
          <w:rFonts w:ascii="Univers" w:hAnsi="Univers"/>
          <w:sz w:val="20"/>
          <w:szCs w:val="20"/>
        </w:rPr>
      </w:pPr>
    </w:p>
    <w:p w:rsidR="00074348" w:rsidRPr="00FB1710" w:rsidRDefault="00A2053B" w:rsidP="00870154">
      <w:pPr>
        <w:autoSpaceDE w:val="0"/>
        <w:autoSpaceDN w:val="0"/>
        <w:adjustRightInd w:val="0"/>
        <w:ind w:firstLine="720"/>
        <w:jc w:val="both"/>
        <w:rPr>
          <w:rFonts w:ascii="Univers" w:hAnsi="Univers"/>
          <w:sz w:val="20"/>
          <w:szCs w:val="20"/>
        </w:rPr>
      </w:pPr>
      <w:r w:rsidRPr="00FB1710">
        <w:rPr>
          <w:rFonts w:ascii="Univers" w:hAnsi="Univers"/>
          <w:sz w:val="20"/>
          <w:szCs w:val="20"/>
        </w:rPr>
        <w:t>31</w:t>
      </w:r>
      <w:r w:rsidR="00074348" w:rsidRPr="00FB1710">
        <w:rPr>
          <w:rFonts w:ascii="Univers" w:hAnsi="Univers"/>
          <w:sz w:val="20"/>
          <w:szCs w:val="20"/>
        </w:rPr>
        <w:t>.</w:t>
      </w:r>
      <w:r w:rsidR="00495E0D" w:rsidRPr="00FB1710">
        <w:rPr>
          <w:rFonts w:ascii="Univers" w:hAnsi="Univers"/>
          <w:sz w:val="20"/>
          <w:szCs w:val="20"/>
        </w:rPr>
        <w:tab/>
        <w:t xml:space="preserve">Consecuentemente, </w:t>
      </w:r>
      <w:r w:rsidR="00091233">
        <w:rPr>
          <w:rFonts w:ascii="Univers" w:hAnsi="Univers"/>
          <w:sz w:val="20"/>
          <w:szCs w:val="20"/>
        </w:rPr>
        <w:t>tal como lo ha decidido respecto de leyes de amnistía en relación con Argentina, Uruguay y Perú, entr</w:t>
      </w:r>
      <w:r w:rsidR="00BC7F6E">
        <w:rPr>
          <w:rFonts w:ascii="Univers" w:hAnsi="Univers"/>
          <w:sz w:val="20"/>
          <w:szCs w:val="20"/>
        </w:rPr>
        <w:t>e otros, la CIDH determina que est</w:t>
      </w:r>
      <w:r w:rsidR="00091233">
        <w:rPr>
          <w:rFonts w:ascii="Univers" w:hAnsi="Univers"/>
          <w:sz w:val="20"/>
          <w:szCs w:val="20"/>
        </w:rPr>
        <w:t>a petición es admisible</w:t>
      </w:r>
      <w:r w:rsidR="00BC7F6E">
        <w:rPr>
          <w:rFonts w:ascii="Univers" w:hAnsi="Univers"/>
          <w:sz w:val="20"/>
          <w:szCs w:val="20"/>
        </w:rPr>
        <w:t xml:space="preserve"> porque la legislación interna de Brasil </w:t>
      </w:r>
      <w:r w:rsidR="000D5091">
        <w:rPr>
          <w:rFonts w:ascii="Univers" w:hAnsi="Univers"/>
          <w:sz w:val="20"/>
          <w:szCs w:val="20"/>
        </w:rPr>
        <w:t xml:space="preserve">no contempla </w:t>
      </w:r>
      <w:r w:rsidR="00BC7F6E">
        <w:rPr>
          <w:rFonts w:ascii="Univers" w:hAnsi="Univers"/>
          <w:sz w:val="20"/>
          <w:szCs w:val="20"/>
        </w:rPr>
        <w:t xml:space="preserve">el debido proceso legal para la protección de los derechos que se alega han sido violados.  A esta petición, por lo tanto, se aplica la excepción a la regla del </w:t>
      </w:r>
      <w:r w:rsidR="005905CF">
        <w:rPr>
          <w:rFonts w:ascii="Univers" w:hAnsi="Univers"/>
          <w:sz w:val="20"/>
          <w:szCs w:val="20"/>
        </w:rPr>
        <w:t xml:space="preserve">previo </w:t>
      </w:r>
      <w:r w:rsidR="00BC7F6E">
        <w:rPr>
          <w:rFonts w:ascii="Univers" w:hAnsi="Univers"/>
          <w:sz w:val="20"/>
          <w:szCs w:val="20"/>
        </w:rPr>
        <w:t>agotamiento de los recursos internos prevista en el artículo 46.2.a de la Convención Americana.</w:t>
      </w:r>
    </w:p>
    <w:p w:rsidR="00074348" w:rsidRPr="00FB1710" w:rsidRDefault="00074348" w:rsidP="00870154">
      <w:pPr>
        <w:autoSpaceDE w:val="0"/>
        <w:autoSpaceDN w:val="0"/>
        <w:adjustRightInd w:val="0"/>
        <w:jc w:val="both"/>
        <w:rPr>
          <w:rFonts w:ascii="Univers" w:hAnsi="Univers"/>
          <w:sz w:val="20"/>
          <w:szCs w:val="20"/>
        </w:rPr>
      </w:pPr>
    </w:p>
    <w:p w:rsidR="00E1686B" w:rsidRDefault="00E1686B" w:rsidP="00870154">
      <w:pPr>
        <w:numPr>
          <w:ilvl w:val="0"/>
          <w:numId w:val="24"/>
        </w:numPr>
        <w:autoSpaceDE w:val="0"/>
        <w:autoSpaceDN w:val="0"/>
        <w:adjustRightInd w:val="0"/>
        <w:jc w:val="both"/>
        <w:rPr>
          <w:rFonts w:ascii="Univers" w:hAnsi="Univers"/>
          <w:b/>
          <w:sz w:val="20"/>
          <w:szCs w:val="20"/>
        </w:rPr>
      </w:pPr>
      <w:r>
        <w:rPr>
          <w:rFonts w:ascii="Univers" w:hAnsi="Univers"/>
          <w:b/>
          <w:sz w:val="20"/>
          <w:szCs w:val="20"/>
        </w:rPr>
        <w:t>Plazo de presentación de la petición</w:t>
      </w:r>
    </w:p>
    <w:p w:rsidR="00E1686B" w:rsidRPr="00A2053B" w:rsidRDefault="00E1686B" w:rsidP="00870154">
      <w:pPr>
        <w:autoSpaceDE w:val="0"/>
        <w:autoSpaceDN w:val="0"/>
        <w:adjustRightInd w:val="0"/>
        <w:jc w:val="both"/>
        <w:rPr>
          <w:rFonts w:ascii="Univers" w:hAnsi="Univers"/>
          <w:sz w:val="20"/>
          <w:szCs w:val="20"/>
        </w:rPr>
      </w:pPr>
    </w:p>
    <w:p w:rsidR="00A2053B" w:rsidRDefault="00B16274" w:rsidP="00870154">
      <w:pPr>
        <w:autoSpaceDE w:val="0"/>
        <w:autoSpaceDN w:val="0"/>
        <w:adjustRightInd w:val="0"/>
        <w:ind w:firstLine="720"/>
        <w:jc w:val="both"/>
        <w:rPr>
          <w:rFonts w:ascii="Univers" w:hAnsi="Univers"/>
          <w:sz w:val="20"/>
          <w:szCs w:val="20"/>
        </w:rPr>
      </w:pPr>
      <w:r>
        <w:rPr>
          <w:rFonts w:ascii="Univers" w:hAnsi="Univers"/>
          <w:sz w:val="20"/>
          <w:szCs w:val="20"/>
        </w:rPr>
        <w:t>32</w:t>
      </w:r>
      <w:r w:rsidR="00A2053B">
        <w:rPr>
          <w:rFonts w:ascii="Univers" w:hAnsi="Univers"/>
          <w:sz w:val="20"/>
          <w:szCs w:val="20"/>
        </w:rPr>
        <w:t>.</w:t>
      </w:r>
      <w:r w:rsidR="00A2053B">
        <w:rPr>
          <w:rFonts w:ascii="Univers" w:hAnsi="Univers"/>
          <w:sz w:val="20"/>
          <w:szCs w:val="20"/>
        </w:rPr>
        <w:tab/>
      </w:r>
      <w:r w:rsidR="00A2053B" w:rsidRPr="00B8727B">
        <w:rPr>
          <w:rFonts w:ascii="Univers" w:hAnsi="Univers" w:cs="Arial"/>
          <w:sz w:val="20"/>
          <w:szCs w:val="20"/>
          <w:lang w:val="es-PE"/>
        </w:rPr>
        <w:t>El artículo 46</w:t>
      </w:r>
      <w:r w:rsidR="00540872">
        <w:rPr>
          <w:rFonts w:ascii="Univers" w:hAnsi="Univers" w:cs="Arial"/>
          <w:sz w:val="20"/>
          <w:szCs w:val="20"/>
          <w:lang w:val="es-PE"/>
        </w:rPr>
        <w:t xml:space="preserve">.1.b </w:t>
      </w:r>
      <w:r w:rsidR="00A2053B" w:rsidRPr="00B8727B">
        <w:rPr>
          <w:rFonts w:ascii="Univers" w:hAnsi="Univers" w:cs="Arial"/>
          <w:sz w:val="20"/>
          <w:szCs w:val="20"/>
          <w:lang w:val="es-PE"/>
        </w:rPr>
        <w:t>de l</w:t>
      </w:r>
      <w:r w:rsidR="00A2053B" w:rsidRPr="00B8727B">
        <w:rPr>
          <w:rFonts w:ascii="Univers" w:hAnsi="Univers"/>
          <w:sz w:val="20"/>
          <w:szCs w:val="20"/>
        </w:rPr>
        <w:t>a Convención Americana establece que para que una petición resulte admisible por la C</w:t>
      </w:r>
      <w:r w:rsidR="00A2053B">
        <w:rPr>
          <w:rFonts w:ascii="Univers" w:hAnsi="Univers"/>
          <w:sz w:val="20"/>
          <w:szCs w:val="20"/>
        </w:rPr>
        <w:t>IDH</w:t>
      </w:r>
      <w:r w:rsidR="00A2053B" w:rsidRPr="00B8727B">
        <w:rPr>
          <w:rFonts w:ascii="Univers" w:hAnsi="Univers"/>
          <w:sz w:val="20"/>
          <w:szCs w:val="20"/>
        </w:rPr>
        <w:t xml:space="preserve"> se requerirá que sea presentada dentro del plazo de seis meses a partir de la fecha en que el presunto lesionado haya sido notificado de la decisión definitiva.  </w:t>
      </w:r>
      <w:r w:rsidR="005905CF">
        <w:rPr>
          <w:rFonts w:ascii="Univers" w:hAnsi="Univers"/>
          <w:sz w:val="20"/>
          <w:szCs w:val="20"/>
        </w:rPr>
        <w:t>L</w:t>
      </w:r>
      <w:r w:rsidR="00A2053B" w:rsidRPr="00B8727B">
        <w:rPr>
          <w:rFonts w:ascii="Univers" w:hAnsi="Univers"/>
          <w:sz w:val="20"/>
          <w:szCs w:val="20"/>
        </w:rPr>
        <w:t>a CIDH ha establecido</w:t>
      </w:r>
      <w:r w:rsidR="00CB560A">
        <w:rPr>
          <w:rFonts w:ascii="Univers" w:hAnsi="Univers"/>
          <w:sz w:val="20"/>
          <w:szCs w:val="20"/>
        </w:rPr>
        <w:t xml:space="preserve"> </w:t>
      </w:r>
      <w:r w:rsidR="00CB560A">
        <w:rPr>
          <w:rFonts w:ascii="Univers" w:hAnsi="Univers"/>
          <w:i/>
          <w:sz w:val="20"/>
          <w:szCs w:val="20"/>
        </w:rPr>
        <w:t>supra</w:t>
      </w:r>
      <w:r w:rsidR="00A2053B" w:rsidRPr="00B8727B">
        <w:rPr>
          <w:rFonts w:ascii="Univers" w:hAnsi="Univers"/>
          <w:sz w:val="20"/>
          <w:szCs w:val="20"/>
        </w:rPr>
        <w:t xml:space="preserve"> la aplicación de la excepci</w:t>
      </w:r>
      <w:r w:rsidR="00A2053B">
        <w:rPr>
          <w:rFonts w:ascii="Univers" w:hAnsi="Univers"/>
          <w:sz w:val="20"/>
          <w:szCs w:val="20"/>
        </w:rPr>
        <w:t>ón</w:t>
      </w:r>
      <w:r w:rsidR="00A2053B" w:rsidRPr="00B8727B">
        <w:rPr>
          <w:rFonts w:ascii="Univers" w:hAnsi="Univers"/>
          <w:sz w:val="20"/>
          <w:szCs w:val="20"/>
        </w:rPr>
        <w:t xml:space="preserve"> al agotamiento de los recursos internos conforme al </w:t>
      </w:r>
      <w:r w:rsidR="00A2053B">
        <w:rPr>
          <w:rFonts w:ascii="Univers" w:hAnsi="Univers"/>
          <w:sz w:val="20"/>
          <w:szCs w:val="20"/>
        </w:rPr>
        <w:t>artículo 46.2</w:t>
      </w:r>
      <w:r w:rsidR="00CB560A">
        <w:rPr>
          <w:rFonts w:ascii="Univers" w:hAnsi="Univers"/>
          <w:sz w:val="20"/>
          <w:szCs w:val="20"/>
        </w:rPr>
        <w:t xml:space="preserve">.a </w:t>
      </w:r>
      <w:r w:rsidR="00A2053B" w:rsidRPr="00B8727B">
        <w:rPr>
          <w:rFonts w:ascii="Univers" w:hAnsi="Univers"/>
          <w:sz w:val="20"/>
          <w:szCs w:val="20"/>
        </w:rPr>
        <w:t>de la Convención Americana.  Al respecto, el artículo 32</w:t>
      </w:r>
      <w:r w:rsidR="00A2053B">
        <w:rPr>
          <w:rFonts w:ascii="Univers" w:hAnsi="Univers"/>
          <w:sz w:val="20"/>
          <w:szCs w:val="20"/>
        </w:rPr>
        <w:t>.2</w:t>
      </w:r>
      <w:r w:rsidR="00A2053B" w:rsidRPr="00B8727B">
        <w:rPr>
          <w:rFonts w:ascii="Univers" w:hAnsi="Univers"/>
          <w:sz w:val="20"/>
          <w:szCs w:val="20"/>
        </w:rPr>
        <w:t xml:space="preserve"> del Reglamento de la </w:t>
      </w:r>
      <w:r w:rsidR="000D5091" w:rsidRPr="00B8727B">
        <w:rPr>
          <w:rFonts w:ascii="Univers" w:hAnsi="Univers"/>
          <w:sz w:val="20"/>
          <w:szCs w:val="20"/>
        </w:rPr>
        <w:t>C</w:t>
      </w:r>
      <w:r w:rsidR="000D5091">
        <w:rPr>
          <w:rFonts w:ascii="Univers" w:hAnsi="Univers"/>
          <w:sz w:val="20"/>
          <w:szCs w:val="20"/>
        </w:rPr>
        <w:t>omisión Interamericana</w:t>
      </w:r>
      <w:r w:rsidR="00A2053B" w:rsidRPr="00B8727B">
        <w:rPr>
          <w:rFonts w:ascii="Univers" w:hAnsi="Univers"/>
          <w:sz w:val="20"/>
          <w:szCs w:val="20"/>
        </w:rPr>
        <w:t xml:space="preserve"> establece que en los casos en </w:t>
      </w:r>
      <w:r w:rsidR="000D5091">
        <w:rPr>
          <w:rFonts w:ascii="Univers" w:hAnsi="Univers"/>
          <w:sz w:val="20"/>
          <w:szCs w:val="20"/>
        </w:rPr>
        <w:t>que</w:t>
      </w:r>
      <w:r w:rsidR="00A2053B" w:rsidRPr="00B8727B">
        <w:rPr>
          <w:rFonts w:ascii="Univers" w:hAnsi="Univers"/>
          <w:sz w:val="20"/>
          <w:szCs w:val="20"/>
        </w:rPr>
        <w:t xml:space="preserve"> resulten aplicables las excepciones al previo agotamiento de los recursos internos, la petición deberá presentarse dentro de un plazo razonable, a criterio de la C</w:t>
      </w:r>
      <w:r w:rsidR="00A2053B">
        <w:rPr>
          <w:rFonts w:ascii="Univers" w:hAnsi="Univers"/>
          <w:sz w:val="20"/>
          <w:szCs w:val="20"/>
        </w:rPr>
        <w:t>IDH</w:t>
      </w:r>
      <w:r w:rsidR="00A2053B" w:rsidRPr="00B8727B">
        <w:rPr>
          <w:rFonts w:ascii="Univers" w:hAnsi="Univers"/>
          <w:sz w:val="20"/>
          <w:szCs w:val="20"/>
        </w:rPr>
        <w:t xml:space="preserve">.  A tal efecto, la Comisión </w:t>
      </w:r>
      <w:r w:rsidR="00A2053B">
        <w:rPr>
          <w:rFonts w:ascii="Univers" w:hAnsi="Univers"/>
          <w:sz w:val="20"/>
          <w:szCs w:val="20"/>
        </w:rPr>
        <w:t xml:space="preserve">Interamericana </w:t>
      </w:r>
      <w:r w:rsidR="00A2053B" w:rsidRPr="00B8727B">
        <w:rPr>
          <w:rFonts w:ascii="Univers" w:hAnsi="Univers"/>
          <w:sz w:val="20"/>
          <w:szCs w:val="20"/>
        </w:rPr>
        <w:t>debe considerar la fecha en que haya ocurrido la presunta violación de los derechos y las circunstancias de cada caso</w:t>
      </w:r>
      <w:r w:rsidR="00A2053B">
        <w:rPr>
          <w:rFonts w:ascii="Univers" w:hAnsi="Univers"/>
          <w:sz w:val="20"/>
          <w:szCs w:val="20"/>
        </w:rPr>
        <w:t>.</w:t>
      </w:r>
    </w:p>
    <w:p w:rsidR="00A2053B" w:rsidRDefault="00A2053B" w:rsidP="00870154">
      <w:pPr>
        <w:autoSpaceDE w:val="0"/>
        <w:autoSpaceDN w:val="0"/>
        <w:adjustRightInd w:val="0"/>
        <w:jc w:val="both"/>
        <w:rPr>
          <w:rFonts w:ascii="Univers" w:hAnsi="Univers"/>
          <w:sz w:val="20"/>
          <w:szCs w:val="20"/>
        </w:rPr>
      </w:pPr>
    </w:p>
    <w:p w:rsidR="00D5435F" w:rsidRDefault="00B16274" w:rsidP="00870154">
      <w:pPr>
        <w:autoSpaceDE w:val="0"/>
        <w:autoSpaceDN w:val="0"/>
        <w:adjustRightInd w:val="0"/>
        <w:ind w:firstLine="720"/>
        <w:jc w:val="both"/>
        <w:rPr>
          <w:rFonts w:ascii="Univers" w:hAnsi="Univers"/>
          <w:sz w:val="20"/>
          <w:szCs w:val="20"/>
        </w:rPr>
      </w:pPr>
      <w:r>
        <w:rPr>
          <w:rFonts w:ascii="Univers" w:hAnsi="Univers"/>
          <w:sz w:val="20"/>
          <w:szCs w:val="20"/>
        </w:rPr>
        <w:t>33</w:t>
      </w:r>
      <w:r w:rsidR="00A2053B">
        <w:rPr>
          <w:rFonts w:ascii="Univers" w:hAnsi="Univers"/>
          <w:sz w:val="20"/>
          <w:szCs w:val="20"/>
        </w:rPr>
        <w:t>.</w:t>
      </w:r>
      <w:r w:rsidR="00A2053B">
        <w:rPr>
          <w:rFonts w:ascii="Univers" w:hAnsi="Univers"/>
          <w:sz w:val="20"/>
          <w:szCs w:val="20"/>
        </w:rPr>
        <w:tab/>
      </w:r>
      <w:r w:rsidR="005905CF">
        <w:rPr>
          <w:rFonts w:ascii="Univers" w:hAnsi="Univers"/>
          <w:sz w:val="20"/>
          <w:szCs w:val="20"/>
        </w:rPr>
        <w:t xml:space="preserve">En el asunto bajo análisis, la CIDH observa que la presunta detención arbitraria, tortura y muerte de la presunta víctima ocurrieron el 25 de octubre de 1975.  No obstante, la Comisión Interamericana toma nota de que la petición </w:t>
      </w:r>
      <w:r w:rsidR="0037346B">
        <w:rPr>
          <w:rFonts w:ascii="Univers" w:hAnsi="Univers"/>
          <w:sz w:val="20"/>
          <w:szCs w:val="20"/>
        </w:rPr>
        <w:t xml:space="preserve">también </w:t>
      </w:r>
      <w:r w:rsidR="005905CF">
        <w:rPr>
          <w:rFonts w:ascii="Univers" w:hAnsi="Univers"/>
          <w:sz w:val="20"/>
          <w:szCs w:val="20"/>
        </w:rPr>
        <w:t xml:space="preserve">denuncia </w:t>
      </w:r>
      <w:r w:rsidR="00510833">
        <w:rPr>
          <w:rFonts w:ascii="Univers" w:hAnsi="Univers"/>
          <w:sz w:val="20"/>
          <w:szCs w:val="20"/>
        </w:rPr>
        <w:t>la incompatibilidad de la Ley 6.683/79</w:t>
      </w:r>
      <w:r w:rsidR="00BA2102">
        <w:rPr>
          <w:rFonts w:ascii="Univers" w:hAnsi="Univers"/>
          <w:sz w:val="20"/>
          <w:szCs w:val="20"/>
        </w:rPr>
        <w:t xml:space="preserve"> con la Convención Americana</w:t>
      </w:r>
      <w:r w:rsidR="00510833">
        <w:rPr>
          <w:rFonts w:ascii="Univers" w:hAnsi="Univers"/>
          <w:sz w:val="20"/>
          <w:szCs w:val="20"/>
        </w:rPr>
        <w:t xml:space="preserve">, así como </w:t>
      </w:r>
      <w:r w:rsidR="005905CF">
        <w:rPr>
          <w:rFonts w:ascii="Univers" w:hAnsi="Univers"/>
          <w:sz w:val="20"/>
          <w:szCs w:val="20"/>
        </w:rPr>
        <w:t xml:space="preserve">la continua impunidad </w:t>
      </w:r>
      <w:r w:rsidR="00992FF1">
        <w:rPr>
          <w:rFonts w:ascii="Univers" w:hAnsi="Univers"/>
          <w:sz w:val="20"/>
          <w:szCs w:val="20"/>
        </w:rPr>
        <w:t>respecto de</w:t>
      </w:r>
      <w:r w:rsidR="00A564ED">
        <w:rPr>
          <w:rFonts w:ascii="Univers" w:hAnsi="Univers"/>
          <w:sz w:val="20"/>
          <w:szCs w:val="20"/>
        </w:rPr>
        <w:t xml:space="preserve"> las violaciones perpetradas contra la presunta víctima</w:t>
      </w:r>
      <w:r w:rsidR="005905CF">
        <w:rPr>
          <w:rFonts w:ascii="Univers" w:hAnsi="Univers"/>
          <w:sz w:val="20"/>
          <w:szCs w:val="20"/>
        </w:rPr>
        <w:t>, que presuntamente sigue hasta la fecha en virtud de la ley de amnistía brasileña</w:t>
      </w:r>
      <w:r w:rsidR="00E87736">
        <w:rPr>
          <w:rFonts w:ascii="Univers" w:hAnsi="Univers"/>
          <w:sz w:val="20"/>
          <w:szCs w:val="20"/>
        </w:rPr>
        <w:t>.</w:t>
      </w:r>
    </w:p>
    <w:p w:rsidR="00720071" w:rsidRPr="004B6DD4" w:rsidRDefault="00D5435F" w:rsidP="00870154">
      <w:pPr>
        <w:autoSpaceDE w:val="0"/>
        <w:autoSpaceDN w:val="0"/>
        <w:adjustRightInd w:val="0"/>
        <w:ind w:firstLine="720"/>
        <w:jc w:val="both"/>
        <w:rPr>
          <w:rFonts w:ascii="Univers" w:hAnsi="Univers"/>
          <w:sz w:val="20"/>
          <w:szCs w:val="20"/>
        </w:rPr>
      </w:pPr>
      <w:r>
        <w:rPr>
          <w:rFonts w:ascii="Univers" w:hAnsi="Univers"/>
          <w:sz w:val="20"/>
          <w:szCs w:val="20"/>
        </w:rPr>
        <w:t>34.</w:t>
      </w:r>
      <w:r>
        <w:rPr>
          <w:rFonts w:ascii="Univers" w:hAnsi="Univers"/>
          <w:sz w:val="20"/>
          <w:szCs w:val="20"/>
        </w:rPr>
        <w:tab/>
      </w:r>
      <w:r w:rsidR="00D02C9C">
        <w:rPr>
          <w:rFonts w:ascii="Univers" w:hAnsi="Univers"/>
          <w:sz w:val="20"/>
          <w:szCs w:val="20"/>
        </w:rPr>
        <w:t>A fines de determinar si la petición fue presentada dentro de un plazo razonable</w:t>
      </w:r>
      <w:r w:rsidR="00E87736">
        <w:rPr>
          <w:rFonts w:ascii="Univers" w:hAnsi="Univers"/>
          <w:sz w:val="20"/>
          <w:szCs w:val="20"/>
        </w:rPr>
        <w:t xml:space="preserve">, la CIDH considera pertinente </w:t>
      </w:r>
      <w:r w:rsidR="009949CF">
        <w:rPr>
          <w:rFonts w:ascii="Univers" w:hAnsi="Univers"/>
          <w:sz w:val="20"/>
          <w:szCs w:val="20"/>
        </w:rPr>
        <w:t xml:space="preserve">precisar que, </w:t>
      </w:r>
      <w:r w:rsidR="000D5091">
        <w:rPr>
          <w:rFonts w:ascii="Univers" w:hAnsi="Univers"/>
          <w:sz w:val="20"/>
          <w:szCs w:val="20"/>
        </w:rPr>
        <w:t xml:space="preserve">si bien la </w:t>
      </w:r>
      <w:r w:rsidR="009949CF">
        <w:rPr>
          <w:rFonts w:ascii="Univers" w:hAnsi="Univers"/>
          <w:sz w:val="20"/>
          <w:szCs w:val="20"/>
        </w:rPr>
        <w:t>Ley 6.683/79</w:t>
      </w:r>
      <w:r w:rsidR="000D5091">
        <w:rPr>
          <w:rFonts w:ascii="Univers" w:hAnsi="Univers"/>
          <w:sz w:val="20"/>
          <w:szCs w:val="20"/>
        </w:rPr>
        <w:t xml:space="preserve"> fue sancionada en 1979</w:t>
      </w:r>
      <w:r w:rsidR="009949CF">
        <w:rPr>
          <w:rFonts w:ascii="Univers" w:hAnsi="Univers"/>
          <w:sz w:val="20"/>
          <w:szCs w:val="20"/>
        </w:rPr>
        <w:t>, no fue sino hasta 1992 que se intentó investigar penalmente los hechos del presente caso.  En efecto, el 4 de mayo de 1992 el Fiscal del Ministerio Público Luiz Antonio Guimarães Marrey</w:t>
      </w:r>
      <w:r w:rsidR="00720071">
        <w:rPr>
          <w:rFonts w:ascii="Univers" w:hAnsi="Univers"/>
          <w:sz w:val="20"/>
          <w:szCs w:val="20"/>
        </w:rPr>
        <w:t xml:space="preserve"> determinó la apertura de una investigación </w:t>
      </w:r>
      <w:r w:rsidR="009C1BB7">
        <w:rPr>
          <w:rFonts w:ascii="Univers" w:hAnsi="Univers"/>
          <w:sz w:val="20"/>
          <w:szCs w:val="20"/>
        </w:rPr>
        <w:t>policial, en virtud de pruebas</w:t>
      </w:r>
      <w:r w:rsidR="004B6DD4">
        <w:rPr>
          <w:rFonts w:ascii="Univers" w:hAnsi="Univers"/>
          <w:sz w:val="20"/>
          <w:szCs w:val="20"/>
        </w:rPr>
        <w:t xml:space="preserve"> nuevas y superveniente</w:t>
      </w:r>
      <w:r w:rsidR="00884AC5">
        <w:rPr>
          <w:rFonts w:ascii="Univers" w:hAnsi="Univers"/>
          <w:sz w:val="20"/>
          <w:szCs w:val="20"/>
        </w:rPr>
        <w:t>s</w:t>
      </w:r>
      <w:r w:rsidR="000D5091" w:rsidRPr="006A6267">
        <w:rPr>
          <w:rStyle w:val="Refdenotaalpie"/>
          <w:rFonts w:ascii="Univers" w:hAnsi="Univers"/>
          <w:szCs w:val="16"/>
        </w:rPr>
        <w:footnoteReference w:id="10"/>
      </w:r>
      <w:r w:rsidR="00884AC5">
        <w:rPr>
          <w:rFonts w:ascii="Univers" w:hAnsi="Univers"/>
          <w:sz w:val="20"/>
          <w:szCs w:val="20"/>
        </w:rPr>
        <w:t>,</w:t>
      </w:r>
      <w:r w:rsidR="009C1BB7">
        <w:rPr>
          <w:rFonts w:ascii="Univers" w:hAnsi="Univers"/>
          <w:sz w:val="20"/>
          <w:szCs w:val="20"/>
        </w:rPr>
        <w:t xml:space="preserve"> específicamente las declaraciones de un militar retirado de apodo “Capitán Ramiro”, publicadas </w:t>
      </w:r>
      <w:r w:rsidR="000D5091">
        <w:rPr>
          <w:rFonts w:ascii="Univers" w:hAnsi="Univers"/>
          <w:sz w:val="20"/>
          <w:szCs w:val="20"/>
        </w:rPr>
        <w:t xml:space="preserve">el 25 de marzo de 1992 </w:t>
      </w:r>
      <w:r w:rsidR="009C1BB7">
        <w:rPr>
          <w:rFonts w:ascii="Univers" w:hAnsi="Univers"/>
          <w:sz w:val="20"/>
          <w:szCs w:val="20"/>
        </w:rPr>
        <w:t>en la revista “</w:t>
      </w:r>
      <w:r w:rsidR="009C1BB7">
        <w:rPr>
          <w:rFonts w:ascii="Univers" w:hAnsi="Univers"/>
          <w:i/>
          <w:sz w:val="20"/>
          <w:szCs w:val="20"/>
        </w:rPr>
        <w:t>Isto É, Senhor</w:t>
      </w:r>
      <w:r w:rsidR="009C1BB7">
        <w:rPr>
          <w:rFonts w:ascii="Univers" w:hAnsi="Univers"/>
          <w:sz w:val="20"/>
          <w:szCs w:val="20"/>
        </w:rPr>
        <w:t>”</w:t>
      </w:r>
      <w:r w:rsidR="004B6DD4" w:rsidRPr="006A6267">
        <w:rPr>
          <w:rStyle w:val="Refdenotaalpie"/>
          <w:rFonts w:ascii="Univers" w:hAnsi="Univers"/>
          <w:szCs w:val="16"/>
        </w:rPr>
        <w:footnoteReference w:id="11"/>
      </w:r>
      <w:r w:rsidR="009C1BB7">
        <w:rPr>
          <w:rFonts w:ascii="Univers" w:hAnsi="Univers"/>
          <w:sz w:val="20"/>
          <w:szCs w:val="20"/>
        </w:rPr>
        <w:t>.</w:t>
      </w:r>
      <w:r w:rsidR="004B6DD4">
        <w:rPr>
          <w:rFonts w:ascii="Univers" w:hAnsi="Univers"/>
          <w:sz w:val="20"/>
          <w:szCs w:val="20"/>
        </w:rPr>
        <w:t xml:space="preserve">  Sin embargo, el 21 de julio de 1992, </w:t>
      </w:r>
      <w:r w:rsidR="000D5091">
        <w:rPr>
          <w:rFonts w:ascii="Univers" w:hAnsi="Univers"/>
          <w:sz w:val="20"/>
          <w:szCs w:val="20"/>
        </w:rPr>
        <w:t xml:space="preserve">el </w:t>
      </w:r>
      <w:r w:rsidR="004B6DD4">
        <w:rPr>
          <w:rFonts w:ascii="Univers" w:hAnsi="Univers"/>
          <w:sz w:val="20"/>
          <w:szCs w:val="20"/>
        </w:rPr>
        <w:t xml:space="preserve">“Capitán </w:t>
      </w:r>
      <w:r w:rsidR="004B6DD4">
        <w:rPr>
          <w:rFonts w:ascii="Univers" w:hAnsi="Univers"/>
          <w:sz w:val="20"/>
          <w:szCs w:val="20"/>
        </w:rPr>
        <w:lastRenderedPageBreak/>
        <w:t xml:space="preserve">Ramiro” interpuso un recurso de </w:t>
      </w:r>
      <w:r w:rsidR="004B6DD4">
        <w:rPr>
          <w:rFonts w:ascii="Univers" w:hAnsi="Univers"/>
          <w:i/>
          <w:sz w:val="20"/>
          <w:szCs w:val="20"/>
        </w:rPr>
        <w:t>habeas corpus</w:t>
      </w:r>
      <w:r w:rsidR="004B6DD4" w:rsidRPr="006A6267">
        <w:rPr>
          <w:rStyle w:val="Refdenotaalpie"/>
          <w:rFonts w:ascii="Univers" w:hAnsi="Univers"/>
          <w:szCs w:val="16"/>
        </w:rPr>
        <w:footnoteReference w:id="12"/>
      </w:r>
      <w:r w:rsidR="004B6DD4" w:rsidRPr="004B6DD4">
        <w:rPr>
          <w:rFonts w:ascii="Univers" w:hAnsi="Univers"/>
          <w:sz w:val="20"/>
          <w:szCs w:val="20"/>
        </w:rPr>
        <w:t xml:space="preserve"> ante</w:t>
      </w:r>
      <w:r w:rsidR="004B6DD4">
        <w:rPr>
          <w:rFonts w:ascii="Univers" w:hAnsi="Univers"/>
          <w:sz w:val="20"/>
          <w:szCs w:val="20"/>
        </w:rPr>
        <w:t xml:space="preserve"> la 4ª Cámara del Tribunal de Justicia de São Paulo, que determinó el archivo de la investigación policial </w:t>
      </w:r>
      <w:r w:rsidR="003142D2">
        <w:rPr>
          <w:rFonts w:ascii="Univers" w:hAnsi="Univers"/>
          <w:sz w:val="20"/>
          <w:szCs w:val="20"/>
        </w:rPr>
        <w:t>en virtud de la ley de amnistía, el 13 de octubre de 1992</w:t>
      </w:r>
      <w:r w:rsidR="003142D2" w:rsidRPr="006A6267">
        <w:rPr>
          <w:rStyle w:val="Refdenotaalpie"/>
          <w:rFonts w:ascii="Univers" w:hAnsi="Univers"/>
          <w:szCs w:val="16"/>
        </w:rPr>
        <w:footnoteReference w:id="13"/>
      </w:r>
      <w:r w:rsidR="003142D2">
        <w:rPr>
          <w:rFonts w:ascii="Univers" w:hAnsi="Univers"/>
          <w:sz w:val="20"/>
          <w:szCs w:val="20"/>
        </w:rPr>
        <w:t>.</w:t>
      </w:r>
      <w:r w:rsidR="00BC4567">
        <w:rPr>
          <w:rFonts w:ascii="Univers" w:hAnsi="Univers"/>
          <w:sz w:val="20"/>
          <w:szCs w:val="20"/>
        </w:rPr>
        <w:t xml:space="preserve">  El Procurador General de Justicia del Ministerio Público recurrió dicha decisión mediante un recurso especial, el 28 de enero de 1993</w:t>
      </w:r>
      <w:r w:rsidR="00BC4567" w:rsidRPr="006A6267">
        <w:rPr>
          <w:rStyle w:val="Refdenotaalpie"/>
          <w:rFonts w:ascii="Univers" w:hAnsi="Univers"/>
          <w:szCs w:val="16"/>
        </w:rPr>
        <w:footnoteReference w:id="14"/>
      </w:r>
      <w:r w:rsidR="00BC4567">
        <w:rPr>
          <w:rFonts w:ascii="Univers" w:hAnsi="Univers"/>
          <w:sz w:val="20"/>
          <w:szCs w:val="20"/>
        </w:rPr>
        <w:t>.</w:t>
      </w:r>
      <w:r w:rsidR="00AF12DF">
        <w:rPr>
          <w:rFonts w:ascii="Univers" w:hAnsi="Univers"/>
          <w:sz w:val="20"/>
          <w:szCs w:val="20"/>
        </w:rPr>
        <w:t xml:space="preserve">  No obstante, la Quinta Sala del Superior Tribunal de Justicia rechazó este recurso y confirmó la decisión de archivo de la investigación policial, el 18 de agosto de 1993</w:t>
      </w:r>
      <w:r w:rsidR="00AF12DF" w:rsidRPr="006A6267">
        <w:rPr>
          <w:rStyle w:val="Refdenotaalpie"/>
          <w:rFonts w:ascii="Univers" w:hAnsi="Univers"/>
          <w:szCs w:val="16"/>
        </w:rPr>
        <w:footnoteReference w:id="15"/>
      </w:r>
      <w:r w:rsidR="00AF12DF">
        <w:rPr>
          <w:rFonts w:ascii="Univers" w:hAnsi="Univers"/>
          <w:sz w:val="20"/>
          <w:szCs w:val="20"/>
        </w:rPr>
        <w:t>.</w:t>
      </w:r>
    </w:p>
    <w:p w:rsidR="00720071" w:rsidRDefault="00720071" w:rsidP="00870154">
      <w:pPr>
        <w:autoSpaceDE w:val="0"/>
        <w:autoSpaceDN w:val="0"/>
        <w:adjustRightInd w:val="0"/>
        <w:ind w:firstLine="720"/>
        <w:jc w:val="both"/>
        <w:rPr>
          <w:rFonts w:ascii="Univers" w:hAnsi="Univers"/>
          <w:sz w:val="20"/>
          <w:szCs w:val="20"/>
        </w:rPr>
      </w:pPr>
    </w:p>
    <w:p w:rsidR="00A2053B" w:rsidRDefault="00B16274" w:rsidP="00870154">
      <w:pPr>
        <w:autoSpaceDE w:val="0"/>
        <w:autoSpaceDN w:val="0"/>
        <w:adjustRightInd w:val="0"/>
        <w:ind w:firstLine="720"/>
        <w:jc w:val="both"/>
        <w:rPr>
          <w:rFonts w:ascii="Univers" w:hAnsi="Univers"/>
          <w:sz w:val="20"/>
          <w:szCs w:val="20"/>
        </w:rPr>
      </w:pPr>
      <w:r>
        <w:rPr>
          <w:rFonts w:ascii="Univers" w:hAnsi="Univers"/>
          <w:sz w:val="20"/>
          <w:szCs w:val="20"/>
        </w:rPr>
        <w:t>3</w:t>
      </w:r>
      <w:r w:rsidR="00460E4A">
        <w:rPr>
          <w:rFonts w:ascii="Univers" w:hAnsi="Univers"/>
          <w:sz w:val="20"/>
          <w:szCs w:val="20"/>
        </w:rPr>
        <w:t>5</w:t>
      </w:r>
      <w:r w:rsidR="00A2053B">
        <w:rPr>
          <w:rFonts w:ascii="Univers" w:hAnsi="Univers"/>
          <w:sz w:val="20"/>
          <w:szCs w:val="20"/>
        </w:rPr>
        <w:t>.</w:t>
      </w:r>
      <w:r w:rsidR="00A2053B">
        <w:rPr>
          <w:rFonts w:ascii="Univers" w:hAnsi="Univers"/>
          <w:sz w:val="20"/>
          <w:szCs w:val="20"/>
        </w:rPr>
        <w:tab/>
      </w:r>
      <w:r w:rsidR="00AF12DF">
        <w:rPr>
          <w:rFonts w:ascii="Univers" w:hAnsi="Univers"/>
          <w:sz w:val="20"/>
          <w:szCs w:val="20"/>
        </w:rPr>
        <w:t>Posteriormente, conforme lo han planteado ambas partes (</w:t>
      </w:r>
      <w:r w:rsidR="00AF12DF">
        <w:rPr>
          <w:rFonts w:ascii="Univers" w:hAnsi="Univers"/>
          <w:i/>
          <w:sz w:val="20"/>
          <w:szCs w:val="20"/>
        </w:rPr>
        <w:t xml:space="preserve">supra </w:t>
      </w:r>
      <w:r w:rsidR="00AF12DF">
        <w:rPr>
          <w:rFonts w:ascii="Univers" w:hAnsi="Univers"/>
          <w:sz w:val="20"/>
          <w:szCs w:val="20"/>
        </w:rPr>
        <w:t xml:space="preserve">párrs. 11 y 15), Brasil promulgó la Ley 9.140/95, mediante </w:t>
      </w:r>
      <w:r w:rsidR="0049057C">
        <w:rPr>
          <w:rFonts w:ascii="Univers" w:hAnsi="Univers"/>
          <w:sz w:val="20"/>
          <w:szCs w:val="20"/>
        </w:rPr>
        <w:t>la cual reconoció su responsabilidad por las detenciones arbitrarias, tortura, muertes y desapariciones forzadas ocurridas durante el período del régimen militar, el 4 de diciembre de 1995</w:t>
      </w:r>
      <w:r w:rsidR="0049057C" w:rsidRPr="006A6267">
        <w:rPr>
          <w:rStyle w:val="Refdenotaalpie"/>
          <w:rFonts w:ascii="Univers" w:hAnsi="Univers"/>
          <w:szCs w:val="16"/>
        </w:rPr>
        <w:footnoteReference w:id="16"/>
      </w:r>
      <w:r w:rsidR="0049057C">
        <w:rPr>
          <w:rFonts w:ascii="Univers" w:hAnsi="Univers"/>
          <w:sz w:val="20"/>
          <w:szCs w:val="20"/>
        </w:rPr>
        <w:t>.</w:t>
      </w:r>
      <w:r w:rsidR="00980660">
        <w:rPr>
          <w:rFonts w:ascii="Univers" w:hAnsi="Univers"/>
          <w:sz w:val="20"/>
          <w:szCs w:val="20"/>
        </w:rPr>
        <w:t xml:space="preserve">  La Comisión observa que la Ley 9.140/95 también creó la Comisión Especial sobre Muertos y Desaparecidos Políticos (“CEMDP”)</w:t>
      </w:r>
      <w:r w:rsidR="00980660" w:rsidRPr="006A6267">
        <w:rPr>
          <w:rStyle w:val="Refdenotaalpie"/>
          <w:rFonts w:ascii="Univers" w:hAnsi="Univers"/>
          <w:szCs w:val="16"/>
        </w:rPr>
        <w:footnoteReference w:id="17"/>
      </w:r>
      <w:r w:rsidR="00C07FD2">
        <w:rPr>
          <w:rFonts w:ascii="Univers" w:hAnsi="Univers"/>
          <w:sz w:val="20"/>
          <w:szCs w:val="20"/>
        </w:rPr>
        <w:t>, y l</w:t>
      </w:r>
      <w:r w:rsidR="00992EA0">
        <w:rPr>
          <w:rFonts w:ascii="Univers" w:hAnsi="Univers"/>
          <w:sz w:val="20"/>
          <w:szCs w:val="20"/>
        </w:rPr>
        <w:t xml:space="preserve">a CEMDP </w:t>
      </w:r>
      <w:r w:rsidR="00F03D7A">
        <w:rPr>
          <w:rFonts w:ascii="Univers" w:hAnsi="Univers"/>
          <w:sz w:val="20"/>
          <w:szCs w:val="20"/>
        </w:rPr>
        <w:t>publicó su Informe Final “Derecho a la Memoria</w:t>
      </w:r>
      <w:r w:rsidR="00C07FD2">
        <w:rPr>
          <w:rFonts w:ascii="Univers" w:hAnsi="Univers"/>
          <w:sz w:val="20"/>
          <w:szCs w:val="20"/>
        </w:rPr>
        <w:t xml:space="preserve"> y a la Verdad”, en el año 2007</w:t>
      </w:r>
      <w:r w:rsidR="00C07FD2" w:rsidRPr="006A6267">
        <w:rPr>
          <w:rStyle w:val="Refdenotaalpie"/>
          <w:rFonts w:ascii="Univers" w:hAnsi="Univers"/>
          <w:szCs w:val="16"/>
        </w:rPr>
        <w:footnoteReference w:id="18"/>
      </w:r>
      <w:r w:rsidR="00C07FD2">
        <w:rPr>
          <w:rFonts w:ascii="Univers" w:hAnsi="Univers"/>
          <w:sz w:val="20"/>
          <w:szCs w:val="20"/>
        </w:rPr>
        <w:t>.</w:t>
      </w:r>
      <w:r w:rsidR="00AF7492">
        <w:rPr>
          <w:rFonts w:ascii="Univers" w:hAnsi="Univers"/>
          <w:sz w:val="20"/>
          <w:szCs w:val="20"/>
        </w:rPr>
        <w:t xml:space="preserve">  En dicho informe, hay un breve relato de las violaciones perpetradas contra la presunta víctima, incluyendo su detención arbitraria, tortura y consecuente muerte, así como la simulación de suicidio en el DOI/CODI</w:t>
      </w:r>
      <w:r w:rsidR="00831387" w:rsidRPr="006A6267">
        <w:rPr>
          <w:rStyle w:val="Refdenotaalpie"/>
          <w:rFonts w:ascii="Univers" w:hAnsi="Univers"/>
          <w:szCs w:val="16"/>
        </w:rPr>
        <w:footnoteReference w:id="19"/>
      </w:r>
      <w:r w:rsidR="00831387">
        <w:rPr>
          <w:rFonts w:ascii="Univers" w:hAnsi="Univers"/>
          <w:sz w:val="20"/>
          <w:szCs w:val="20"/>
        </w:rPr>
        <w:t>.</w:t>
      </w:r>
    </w:p>
    <w:p w:rsidR="00831387" w:rsidRDefault="00831387" w:rsidP="00870154">
      <w:pPr>
        <w:autoSpaceDE w:val="0"/>
        <w:autoSpaceDN w:val="0"/>
        <w:adjustRightInd w:val="0"/>
        <w:ind w:firstLine="720"/>
        <w:jc w:val="both"/>
        <w:rPr>
          <w:rFonts w:ascii="Univers" w:hAnsi="Univers"/>
          <w:sz w:val="20"/>
          <w:szCs w:val="20"/>
        </w:rPr>
      </w:pPr>
    </w:p>
    <w:p w:rsidR="00831387" w:rsidRDefault="00460E4A" w:rsidP="00870154">
      <w:pPr>
        <w:autoSpaceDE w:val="0"/>
        <w:autoSpaceDN w:val="0"/>
        <w:adjustRightInd w:val="0"/>
        <w:ind w:firstLine="720"/>
        <w:jc w:val="both"/>
        <w:rPr>
          <w:rFonts w:ascii="Univers" w:hAnsi="Univers"/>
          <w:sz w:val="20"/>
          <w:szCs w:val="20"/>
        </w:rPr>
      </w:pPr>
      <w:r>
        <w:rPr>
          <w:rFonts w:ascii="Univers" w:hAnsi="Univers"/>
          <w:sz w:val="20"/>
          <w:szCs w:val="20"/>
        </w:rPr>
        <w:t>36</w:t>
      </w:r>
      <w:r w:rsidR="0087198B">
        <w:rPr>
          <w:rFonts w:ascii="Univers" w:hAnsi="Univers"/>
          <w:sz w:val="20"/>
          <w:szCs w:val="20"/>
        </w:rPr>
        <w:t>.</w:t>
      </w:r>
      <w:r w:rsidR="0087198B">
        <w:rPr>
          <w:rFonts w:ascii="Univers" w:hAnsi="Univers"/>
          <w:sz w:val="20"/>
          <w:szCs w:val="20"/>
        </w:rPr>
        <w:tab/>
        <w:t xml:space="preserve">El 5 de marzo de 2008 </w:t>
      </w:r>
      <w:r w:rsidR="00137E0F">
        <w:rPr>
          <w:rFonts w:ascii="Univers" w:hAnsi="Univers"/>
          <w:sz w:val="20"/>
          <w:szCs w:val="20"/>
        </w:rPr>
        <w:t>Eugên</w:t>
      </w:r>
      <w:r w:rsidR="0087198B">
        <w:rPr>
          <w:rFonts w:ascii="Univers" w:hAnsi="Univers"/>
          <w:sz w:val="20"/>
          <w:szCs w:val="20"/>
        </w:rPr>
        <w:t xml:space="preserve">ia Augusta Gonzaga Fávero y Marlon Alberto Weichert, </w:t>
      </w:r>
      <w:r w:rsidR="002C3C9C">
        <w:rPr>
          <w:rFonts w:ascii="Univers" w:hAnsi="Univers"/>
          <w:sz w:val="20"/>
          <w:szCs w:val="20"/>
        </w:rPr>
        <w:t xml:space="preserve">fiscales del Ministerio Público Federal, </w:t>
      </w:r>
      <w:r w:rsidR="0087198B">
        <w:rPr>
          <w:rFonts w:ascii="Univers" w:hAnsi="Univers"/>
          <w:sz w:val="20"/>
          <w:szCs w:val="20"/>
        </w:rPr>
        <w:t xml:space="preserve">solicitaron al Procurador de la República de São Paulo que iniciara una investigación a través de miembros del </w:t>
      </w:r>
      <w:r w:rsidR="001430C6">
        <w:rPr>
          <w:rFonts w:ascii="Univers" w:hAnsi="Univers"/>
          <w:sz w:val="20"/>
          <w:szCs w:val="20"/>
        </w:rPr>
        <w:t>Ministerio</w:t>
      </w:r>
      <w:r w:rsidR="0087198B">
        <w:rPr>
          <w:rFonts w:ascii="Univers" w:hAnsi="Univers"/>
          <w:sz w:val="20"/>
          <w:szCs w:val="20"/>
        </w:rPr>
        <w:t xml:space="preserve"> Público Federal sobre la muerte de l</w:t>
      </w:r>
      <w:r w:rsidR="00927A20">
        <w:rPr>
          <w:rFonts w:ascii="Univers" w:hAnsi="Univers"/>
          <w:sz w:val="20"/>
          <w:szCs w:val="20"/>
        </w:rPr>
        <w:t xml:space="preserve">a presunta víctima, </w:t>
      </w:r>
      <w:r w:rsidR="005F3E66">
        <w:rPr>
          <w:rFonts w:ascii="Univers" w:hAnsi="Univers"/>
          <w:sz w:val="20"/>
          <w:szCs w:val="20"/>
        </w:rPr>
        <w:t>con base en</w:t>
      </w:r>
      <w:r w:rsidR="00182D3D">
        <w:rPr>
          <w:rFonts w:ascii="Univers" w:hAnsi="Univers"/>
          <w:sz w:val="20"/>
          <w:szCs w:val="20"/>
        </w:rPr>
        <w:t xml:space="preserve"> </w:t>
      </w:r>
      <w:r w:rsidR="002C3C9C">
        <w:rPr>
          <w:rFonts w:ascii="Univers" w:hAnsi="Univers"/>
          <w:sz w:val="20"/>
          <w:szCs w:val="20"/>
        </w:rPr>
        <w:t xml:space="preserve">los siguientes </w:t>
      </w:r>
      <w:r w:rsidR="00182D3D">
        <w:rPr>
          <w:rFonts w:ascii="Univers" w:hAnsi="Univers"/>
          <w:sz w:val="20"/>
          <w:szCs w:val="20"/>
        </w:rPr>
        <w:t>hechos nuevos</w:t>
      </w:r>
      <w:r w:rsidR="002C3C9C">
        <w:rPr>
          <w:rFonts w:ascii="Univers" w:hAnsi="Univers"/>
          <w:sz w:val="20"/>
          <w:szCs w:val="20"/>
        </w:rPr>
        <w:t>:</w:t>
      </w:r>
      <w:r w:rsidR="00182D3D">
        <w:rPr>
          <w:rFonts w:ascii="Univers" w:hAnsi="Univers"/>
          <w:sz w:val="20"/>
          <w:szCs w:val="20"/>
        </w:rPr>
        <w:t xml:space="preserve"> las conclusiones del Informe Final de la CEMDP sobre la muerte de la presunta víctima</w:t>
      </w:r>
      <w:r w:rsidR="009F0F19">
        <w:rPr>
          <w:rFonts w:ascii="Univers" w:hAnsi="Univers"/>
          <w:sz w:val="20"/>
          <w:szCs w:val="20"/>
        </w:rPr>
        <w:t>;</w:t>
      </w:r>
      <w:r w:rsidR="00182D3D">
        <w:rPr>
          <w:rFonts w:ascii="Univers" w:hAnsi="Univers"/>
          <w:sz w:val="20"/>
          <w:szCs w:val="20"/>
        </w:rPr>
        <w:t xml:space="preserve"> </w:t>
      </w:r>
      <w:r w:rsidR="002C3C9C">
        <w:rPr>
          <w:rFonts w:ascii="Univers" w:hAnsi="Univers"/>
          <w:sz w:val="20"/>
          <w:szCs w:val="20"/>
        </w:rPr>
        <w:t>las obligaciones internacionales de derechos humanos emanadas de la Convención Americana;</w:t>
      </w:r>
      <w:r w:rsidR="00182D3D">
        <w:rPr>
          <w:rFonts w:ascii="Univers" w:hAnsi="Univers"/>
          <w:sz w:val="20"/>
          <w:szCs w:val="20"/>
        </w:rPr>
        <w:t xml:space="preserve"> la imprescriptibilidad de los crímenes practicados contra la presunta víctima y la inaplicabilidad de la ley de amnistía</w:t>
      </w:r>
      <w:r w:rsidR="00CA619D">
        <w:rPr>
          <w:rFonts w:ascii="Univers" w:hAnsi="Univers"/>
          <w:sz w:val="20"/>
          <w:szCs w:val="20"/>
        </w:rPr>
        <w:t xml:space="preserve"> a los hechos</w:t>
      </w:r>
      <w:r w:rsidR="009F0F19">
        <w:rPr>
          <w:rFonts w:ascii="Univers" w:hAnsi="Univers"/>
          <w:sz w:val="20"/>
          <w:szCs w:val="20"/>
        </w:rPr>
        <w:t xml:space="preserve">; </w:t>
      </w:r>
      <w:r w:rsidR="002C3C9C">
        <w:rPr>
          <w:rFonts w:ascii="Univers" w:hAnsi="Univers"/>
          <w:sz w:val="20"/>
          <w:szCs w:val="20"/>
        </w:rPr>
        <w:t xml:space="preserve">y el hecho de </w:t>
      </w:r>
      <w:r w:rsidR="009F0F19">
        <w:rPr>
          <w:rFonts w:ascii="Univers" w:hAnsi="Univers"/>
          <w:sz w:val="20"/>
          <w:szCs w:val="20"/>
        </w:rPr>
        <w:t>que la competencia originaria para investigar y juzgar los hechos que presuntamente fueron perpetrados por agentes federales –</w:t>
      </w:r>
      <w:r w:rsidR="002C3C9C">
        <w:rPr>
          <w:rFonts w:ascii="Univers" w:hAnsi="Univers"/>
          <w:sz w:val="20"/>
          <w:szCs w:val="20"/>
        </w:rPr>
        <w:t>-integrantes</w:t>
      </w:r>
      <w:r w:rsidR="009F0F19">
        <w:rPr>
          <w:rFonts w:ascii="Univers" w:hAnsi="Univers"/>
          <w:sz w:val="20"/>
          <w:szCs w:val="20"/>
        </w:rPr>
        <w:t xml:space="preserve"> del Ejército</w:t>
      </w:r>
      <w:r w:rsidR="002C3C9C">
        <w:rPr>
          <w:rFonts w:ascii="Univers" w:hAnsi="Univers"/>
          <w:sz w:val="20"/>
          <w:szCs w:val="20"/>
        </w:rPr>
        <w:t>-</w:t>
      </w:r>
      <w:r w:rsidR="009F0F19">
        <w:rPr>
          <w:rFonts w:ascii="Univers" w:hAnsi="Univers"/>
          <w:sz w:val="20"/>
          <w:szCs w:val="20"/>
        </w:rPr>
        <w:t>– era de la Justicia Federal</w:t>
      </w:r>
      <w:r w:rsidR="00182D3D" w:rsidRPr="006A6267">
        <w:rPr>
          <w:rStyle w:val="Refdenotaalpie"/>
          <w:rFonts w:ascii="Univers" w:hAnsi="Univers"/>
          <w:szCs w:val="16"/>
        </w:rPr>
        <w:footnoteReference w:id="20"/>
      </w:r>
      <w:r w:rsidR="00182D3D">
        <w:rPr>
          <w:rFonts w:ascii="Univers" w:hAnsi="Univers"/>
          <w:sz w:val="20"/>
          <w:szCs w:val="20"/>
        </w:rPr>
        <w:t>.</w:t>
      </w:r>
      <w:r w:rsidR="009F0F19">
        <w:rPr>
          <w:rFonts w:ascii="Univers" w:hAnsi="Univers"/>
          <w:sz w:val="20"/>
          <w:szCs w:val="20"/>
        </w:rPr>
        <w:t xml:space="preserve">  El 9 de enero de 2009, la j</w:t>
      </w:r>
      <w:r w:rsidR="0099756A">
        <w:rPr>
          <w:rFonts w:ascii="Univers" w:hAnsi="Univers"/>
          <w:sz w:val="20"/>
          <w:szCs w:val="20"/>
        </w:rPr>
        <w:t>ueza federal encargada emitió su sentencia en la</w:t>
      </w:r>
      <w:r w:rsidR="009F0F19">
        <w:rPr>
          <w:rFonts w:ascii="Univers" w:hAnsi="Univers"/>
          <w:sz w:val="20"/>
          <w:szCs w:val="20"/>
        </w:rPr>
        <w:t xml:space="preserve"> que</w:t>
      </w:r>
      <w:r w:rsidR="0099756A">
        <w:rPr>
          <w:rFonts w:ascii="Univers" w:hAnsi="Univers"/>
          <w:sz w:val="20"/>
          <w:szCs w:val="20"/>
        </w:rPr>
        <w:t xml:space="preserve"> </w:t>
      </w:r>
      <w:r w:rsidR="00DF7142">
        <w:rPr>
          <w:rFonts w:ascii="Univers" w:hAnsi="Univers"/>
          <w:sz w:val="20"/>
          <w:szCs w:val="20"/>
        </w:rPr>
        <w:t>estableció que</w:t>
      </w:r>
      <w:r w:rsidR="009F0F19">
        <w:rPr>
          <w:rFonts w:ascii="Univers" w:hAnsi="Univers"/>
          <w:sz w:val="20"/>
          <w:szCs w:val="20"/>
        </w:rPr>
        <w:t xml:space="preserve"> la decisión anterior adoptada por la Justicia Estadual de São Paulo constituía “cosa juzgada material, [por tanto] está irremediablemente extinta la punibilidad del delito”</w:t>
      </w:r>
      <w:r w:rsidR="00CB46BD">
        <w:rPr>
          <w:rFonts w:ascii="Univers" w:hAnsi="Univers"/>
          <w:sz w:val="20"/>
          <w:szCs w:val="20"/>
        </w:rPr>
        <w:t>; asimismo, determinó que los crímenes de lesa humanidad no poseen tipificación válida en el ordenami</w:t>
      </w:r>
      <w:r w:rsidR="00BF783D">
        <w:rPr>
          <w:rFonts w:ascii="Univers" w:hAnsi="Univers"/>
          <w:sz w:val="20"/>
          <w:szCs w:val="20"/>
        </w:rPr>
        <w:t xml:space="preserve">ento jurídico brasileño y que el crimen </w:t>
      </w:r>
      <w:r w:rsidR="00315BD7">
        <w:rPr>
          <w:rFonts w:ascii="Univers" w:hAnsi="Univers"/>
          <w:sz w:val="20"/>
          <w:szCs w:val="20"/>
        </w:rPr>
        <w:t>posiblemente</w:t>
      </w:r>
      <w:r w:rsidR="00BF783D">
        <w:rPr>
          <w:rFonts w:ascii="Univers" w:hAnsi="Univers"/>
          <w:sz w:val="20"/>
          <w:szCs w:val="20"/>
        </w:rPr>
        <w:t xml:space="preserve"> perpetrado contra la presunta víctima (homicidio agravado)</w:t>
      </w:r>
      <w:r w:rsidR="00A47860">
        <w:rPr>
          <w:rFonts w:ascii="Univers" w:hAnsi="Univers"/>
          <w:sz w:val="20"/>
          <w:szCs w:val="20"/>
        </w:rPr>
        <w:t xml:space="preserve"> ya había prescrito.</w:t>
      </w:r>
      <w:r w:rsidR="00E77397">
        <w:rPr>
          <w:rFonts w:ascii="Univers" w:hAnsi="Univers"/>
          <w:sz w:val="20"/>
          <w:szCs w:val="20"/>
        </w:rPr>
        <w:t xml:space="preserve">  </w:t>
      </w:r>
      <w:r w:rsidR="00367789">
        <w:rPr>
          <w:rFonts w:ascii="Univers" w:hAnsi="Univers"/>
          <w:sz w:val="20"/>
          <w:szCs w:val="20"/>
        </w:rPr>
        <w:t xml:space="preserve">Consecuentemente, </w:t>
      </w:r>
      <w:r w:rsidR="000362D8">
        <w:rPr>
          <w:rFonts w:ascii="Univers" w:hAnsi="Univers"/>
          <w:sz w:val="20"/>
          <w:szCs w:val="20"/>
        </w:rPr>
        <w:t xml:space="preserve">la jueza federal </w:t>
      </w:r>
      <w:r w:rsidR="0099756A">
        <w:rPr>
          <w:rFonts w:ascii="Univers" w:hAnsi="Univers"/>
          <w:sz w:val="20"/>
          <w:szCs w:val="20"/>
        </w:rPr>
        <w:t>d</w:t>
      </w:r>
      <w:r w:rsidR="00367789">
        <w:rPr>
          <w:rFonts w:ascii="Univers" w:hAnsi="Univers"/>
          <w:sz w:val="20"/>
          <w:szCs w:val="20"/>
        </w:rPr>
        <w:t>eterminó el archivo del expediente</w:t>
      </w:r>
      <w:r w:rsidR="006545A7" w:rsidRPr="006A6267">
        <w:rPr>
          <w:rStyle w:val="Refdenotaalpie"/>
          <w:rFonts w:ascii="Univers" w:hAnsi="Univers"/>
          <w:szCs w:val="16"/>
        </w:rPr>
        <w:footnoteReference w:id="21"/>
      </w:r>
      <w:r w:rsidR="00367789">
        <w:rPr>
          <w:rFonts w:ascii="Univers" w:hAnsi="Univers"/>
          <w:sz w:val="20"/>
          <w:szCs w:val="20"/>
        </w:rPr>
        <w:t>.</w:t>
      </w:r>
    </w:p>
    <w:p w:rsidR="00C441F9" w:rsidRDefault="00C441F9" w:rsidP="00870154">
      <w:pPr>
        <w:autoSpaceDE w:val="0"/>
        <w:autoSpaceDN w:val="0"/>
        <w:adjustRightInd w:val="0"/>
        <w:ind w:firstLine="720"/>
        <w:jc w:val="both"/>
        <w:rPr>
          <w:rFonts w:ascii="Univers" w:hAnsi="Univers"/>
          <w:sz w:val="20"/>
          <w:szCs w:val="20"/>
        </w:rPr>
      </w:pPr>
    </w:p>
    <w:p w:rsidR="00DF131B" w:rsidRDefault="00460E4A" w:rsidP="00870154">
      <w:pPr>
        <w:autoSpaceDE w:val="0"/>
        <w:autoSpaceDN w:val="0"/>
        <w:adjustRightInd w:val="0"/>
        <w:ind w:firstLine="720"/>
        <w:jc w:val="both"/>
        <w:rPr>
          <w:rFonts w:ascii="Univers" w:eastAsia="Times New Roman" w:hAnsi="Univers" w:cs="Verdana"/>
          <w:sz w:val="20"/>
          <w:szCs w:val="20"/>
        </w:rPr>
      </w:pPr>
      <w:r>
        <w:rPr>
          <w:rFonts w:ascii="Univers" w:hAnsi="Univers"/>
          <w:sz w:val="20"/>
          <w:szCs w:val="20"/>
        </w:rPr>
        <w:t>37</w:t>
      </w:r>
      <w:r w:rsidR="00DF131B" w:rsidRPr="00835946">
        <w:rPr>
          <w:rFonts w:ascii="Univers" w:hAnsi="Univers"/>
          <w:sz w:val="20"/>
          <w:szCs w:val="20"/>
        </w:rPr>
        <w:t>.</w:t>
      </w:r>
      <w:r w:rsidR="00DF131B" w:rsidRPr="00835946">
        <w:rPr>
          <w:rFonts w:ascii="Univers" w:hAnsi="Univers"/>
          <w:sz w:val="20"/>
          <w:szCs w:val="20"/>
        </w:rPr>
        <w:tab/>
      </w:r>
      <w:r w:rsidR="009920D9" w:rsidRPr="00835946">
        <w:rPr>
          <w:rFonts w:ascii="Univers" w:hAnsi="Univers"/>
          <w:sz w:val="20"/>
          <w:szCs w:val="20"/>
        </w:rPr>
        <w:t>Finalmente, la CIDH toma not</w:t>
      </w:r>
      <w:r w:rsidR="00527FC0" w:rsidRPr="00835946">
        <w:rPr>
          <w:rFonts w:ascii="Univers" w:hAnsi="Univers"/>
          <w:sz w:val="20"/>
          <w:szCs w:val="20"/>
        </w:rPr>
        <w:t>a</w:t>
      </w:r>
      <w:r w:rsidR="009920D9" w:rsidRPr="00835946">
        <w:rPr>
          <w:rFonts w:ascii="Univers" w:hAnsi="Univers"/>
          <w:sz w:val="20"/>
          <w:szCs w:val="20"/>
        </w:rPr>
        <w:t xml:space="preserve"> de que,</w:t>
      </w:r>
      <w:r w:rsidR="00527FC0" w:rsidRPr="00835946">
        <w:rPr>
          <w:rFonts w:ascii="Univers" w:hAnsi="Univers"/>
          <w:sz w:val="20"/>
          <w:szCs w:val="20"/>
        </w:rPr>
        <w:t xml:space="preserve"> la </w:t>
      </w:r>
      <w:r w:rsidR="00D35F59" w:rsidRPr="00835946">
        <w:rPr>
          <w:rFonts w:ascii="Univers" w:hAnsi="Univers"/>
          <w:sz w:val="20"/>
          <w:szCs w:val="20"/>
        </w:rPr>
        <w:t>in</w:t>
      </w:r>
      <w:r w:rsidR="00BB6BB5" w:rsidRPr="00835946">
        <w:rPr>
          <w:rFonts w:ascii="Univers" w:hAnsi="Univers"/>
          <w:sz w:val="20"/>
          <w:szCs w:val="20"/>
        </w:rPr>
        <w:t xml:space="preserve">constitucionalidad de la </w:t>
      </w:r>
      <w:r w:rsidR="00527FC0" w:rsidRPr="00835946">
        <w:rPr>
          <w:rFonts w:ascii="Univers" w:hAnsi="Univers"/>
          <w:sz w:val="20"/>
          <w:szCs w:val="20"/>
        </w:rPr>
        <w:t>ley de amnistía brasileña</w:t>
      </w:r>
      <w:r w:rsidR="00BB6BB5" w:rsidRPr="00835946">
        <w:rPr>
          <w:rFonts w:ascii="Univers" w:hAnsi="Univers"/>
          <w:sz w:val="20"/>
          <w:szCs w:val="20"/>
        </w:rPr>
        <w:t xml:space="preserve">, en lo que se refiere a violaciones de derechos humanos perpetradas por agentes del </w:t>
      </w:r>
      <w:r w:rsidR="00BB6BB5" w:rsidRPr="00835946">
        <w:rPr>
          <w:rFonts w:ascii="Univers" w:hAnsi="Univers"/>
          <w:sz w:val="20"/>
          <w:szCs w:val="20"/>
        </w:rPr>
        <w:lastRenderedPageBreak/>
        <w:t>Estado durante la dictadura,</w:t>
      </w:r>
      <w:r w:rsidR="00527FC0" w:rsidRPr="00835946">
        <w:rPr>
          <w:rFonts w:ascii="Univers" w:hAnsi="Univers"/>
          <w:sz w:val="20"/>
          <w:szCs w:val="20"/>
        </w:rPr>
        <w:t xml:space="preserve"> fue recientemente </w:t>
      </w:r>
      <w:r w:rsidR="00387FA9" w:rsidRPr="00835946">
        <w:rPr>
          <w:rFonts w:ascii="Univers" w:hAnsi="Univers"/>
          <w:sz w:val="20"/>
          <w:szCs w:val="20"/>
        </w:rPr>
        <w:t>invocada</w:t>
      </w:r>
      <w:r w:rsidR="005F6E77" w:rsidRPr="00835946">
        <w:rPr>
          <w:rFonts w:ascii="Univers" w:hAnsi="Univers"/>
          <w:sz w:val="20"/>
          <w:szCs w:val="20"/>
        </w:rPr>
        <w:t xml:space="preserve"> en</w:t>
      </w:r>
      <w:r w:rsidR="002C3C9C">
        <w:rPr>
          <w:rFonts w:ascii="Univers" w:hAnsi="Univers"/>
          <w:sz w:val="20"/>
          <w:szCs w:val="20"/>
        </w:rPr>
        <w:t xml:space="preserve"> el ámbito </w:t>
      </w:r>
      <w:r w:rsidR="005F6E77" w:rsidRPr="00835946">
        <w:rPr>
          <w:rFonts w:ascii="Univers" w:hAnsi="Univers"/>
          <w:sz w:val="20"/>
          <w:szCs w:val="20"/>
        </w:rPr>
        <w:t>interno</w:t>
      </w:r>
      <w:r w:rsidR="00315BD7">
        <w:rPr>
          <w:rFonts w:ascii="Univers" w:hAnsi="Univers"/>
          <w:sz w:val="20"/>
          <w:szCs w:val="20"/>
        </w:rPr>
        <w:t>,</w:t>
      </w:r>
      <w:r w:rsidR="00527FC0" w:rsidRPr="00835946">
        <w:rPr>
          <w:rFonts w:ascii="Univers" w:hAnsi="Univers"/>
          <w:sz w:val="20"/>
          <w:szCs w:val="20"/>
        </w:rPr>
        <w:t xml:space="preserve"> a través </w:t>
      </w:r>
      <w:r w:rsidR="004634E4" w:rsidRPr="00835946">
        <w:rPr>
          <w:rFonts w:ascii="Univers" w:hAnsi="Univers"/>
          <w:sz w:val="20"/>
          <w:szCs w:val="20"/>
        </w:rPr>
        <w:t xml:space="preserve">de </w:t>
      </w:r>
      <w:r w:rsidR="00636BB1" w:rsidRPr="00835946">
        <w:rPr>
          <w:rFonts w:ascii="Univers" w:hAnsi="Univers"/>
          <w:sz w:val="20"/>
          <w:szCs w:val="20"/>
        </w:rPr>
        <w:t xml:space="preserve">una acción de </w:t>
      </w:r>
      <w:r w:rsidR="00527FC0" w:rsidRPr="00835946">
        <w:rPr>
          <w:rFonts w:ascii="Univers" w:hAnsi="Univers"/>
          <w:i/>
          <w:sz w:val="20"/>
          <w:szCs w:val="20"/>
        </w:rPr>
        <w:t xml:space="preserve">Arguição de Descumprimento de Preceito Fundamental </w:t>
      </w:r>
      <w:r w:rsidR="00527FC0" w:rsidRPr="00835946">
        <w:rPr>
          <w:rFonts w:ascii="Univers" w:hAnsi="Univers"/>
          <w:sz w:val="20"/>
          <w:szCs w:val="20"/>
        </w:rPr>
        <w:t>No. 153 (“Acción de Incumplimiento de Precepto Fundamental No. 153” o “</w:t>
      </w:r>
      <w:r w:rsidR="00AB6C63" w:rsidRPr="00835946">
        <w:rPr>
          <w:rFonts w:ascii="Univers" w:hAnsi="Univers"/>
          <w:sz w:val="20"/>
          <w:szCs w:val="20"/>
        </w:rPr>
        <w:t xml:space="preserve">ADPF </w:t>
      </w:r>
      <w:r w:rsidR="00527FC0" w:rsidRPr="00835946">
        <w:rPr>
          <w:rFonts w:ascii="Univers" w:hAnsi="Univers"/>
          <w:sz w:val="20"/>
          <w:szCs w:val="20"/>
        </w:rPr>
        <w:t>No.</w:t>
      </w:r>
      <w:r w:rsidR="004D6EB8" w:rsidRPr="00835946">
        <w:rPr>
          <w:rFonts w:ascii="Univers" w:hAnsi="Univers"/>
          <w:sz w:val="20"/>
          <w:szCs w:val="20"/>
        </w:rPr>
        <w:t xml:space="preserve"> </w:t>
      </w:r>
      <w:r w:rsidR="00527FC0" w:rsidRPr="00835946">
        <w:rPr>
          <w:rFonts w:ascii="Univers" w:hAnsi="Univers"/>
          <w:sz w:val="20"/>
          <w:szCs w:val="20"/>
        </w:rPr>
        <w:t>153”)</w:t>
      </w:r>
      <w:r w:rsidR="000362D8" w:rsidRPr="00835946">
        <w:rPr>
          <w:rFonts w:ascii="Univers" w:hAnsi="Univers"/>
          <w:sz w:val="20"/>
          <w:szCs w:val="20"/>
        </w:rPr>
        <w:t xml:space="preserve">.  Dicha acción fue interpuesta </w:t>
      </w:r>
      <w:r w:rsidR="002C3C9C" w:rsidRPr="00835946">
        <w:rPr>
          <w:rFonts w:ascii="Univers" w:hAnsi="Univers"/>
          <w:sz w:val="20"/>
          <w:szCs w:val="20"/>
        </w:rPr>
        <w:t>el 21 de octubre de 2008</w:t>
      </w:r>
      <w:r w:rsidR="002C3C9C">
        <w:rPr>
          <w:rFonts w:ascii="Univers" w:hAnsi="Univers"/>
          <w:sz w:val="20"/>
          <w:szCs w:val="20"/>
        </w:rPr>
        <w:t xml:space="preserve"> </w:t>
      </w:r>
      <w:r w:rsidR="000362D8" w:rsidRPr="00835946">
        <w:rPr>
          <w:rFonts w:ascii="Univers" w:hAnsi="Univers"/>
          <w:sz w:val="20"/>
          <w:szCs w:val="20"/>
        </w:rPr>
        <w:t>por el Consejo Federal del Colegio de Abogados de Brasil</w:t>
      </w:r>
      <w:r w:rsidR="00C01D92" w:rsidRPr="00835946">
        <w:rPr>
          <w:rFonts w:ascii="Univers" w:hAnsi="Univers"/>
          <w:sz w:val="20"/>
          <w:szCs w:val="20"/>
        </w:rPr>
        <w:t xml:space="preserve">.  La CIDH resalta que el 29 de abril de 2010 el Supremo Tribunal Federal </w:t>
      </w:r>
      <w:r w:rsidR="004D6EB8" w:rsidRPr="00835946">
        <w:rPr>
          <w:rFonts w:ascii="Univers" w:eastAsia="Times New Roman" w:hAnsi="Univers" w:cs="Verdana"/>
          <w:sz w:val="20"/>
          <w:szCs w:val="20"/>
        </w:rPr>
        <w:t>declaró la improcedencia de la ADPF No. 153</w:t>
      </w:r>
      <w:r w:rsidR="00B17D6C">
        <w:rPr>
          <w:rFonts w:ascii="Univers" w:eastAsia="Times New Roman" w:hAnsi="Univers" w:cs="Verdana"/>
          <w:sz w:val="20"/>
          <w:szCs w:val="20"/>
        </w:rPr>
        <w:t xml:space="preserve"> y</w:t>
      </w:r>
      <w:r w:rsidR="00835946" w:rsidRPr="00835946">
        <w:rPr>
          <w:rFonts w:ascii="Univers" w:eastAsia="Times New Roman" w:hAnsi="Univers" w:cs="Verdana"/>
          <w:sz w:val="20"/>
          <w:szCs w:val="20"/>
        </w:rPr>
        <w:t xml:space="preserve"> afirmó la vigencia</w:t>
      </w:r>
      <w:r w:rsidR="007567B4">
        <w:rPr>
          <w:rFonts w:ascii="Univers" w:eastAsia="Times New Roman" w:hAnsi="Univers" w:cs="Verdana"/>
          <w:sz w:val="20"/>
          <w:szCs w:val="20"/>
        </w:rPr>
        <w:t xml:space="preserve"> y la constitucionalidad</w:t>
      </w:r>
      <w:r w:rsidR="00835946" w:rsidRPr="00835946">
        <w:rPr>
          <w:rFonts w:ascii="Univers" w:eastAsia="Times New Roman" w:hAnsi="Univers" w:cs="Verdana"/>
          <w:sz w:val="20"/>
          <w:szCs w:val="20"/>
        </w:rPr>
        <w:t xml:space="preserve"> de la Ley </w:t>
      </w:r>
      <w:r w:rsidR="007567B4">
        <w:rPr>
          <w:rFonts w:ascii="Univers" w:eastAsia="Times New Roman" w:hAnsi="Univers" w:cs="Verdana"/>
          <w:sz w:val="20"/>
          <w:szCs w:val="20"/>
        </w:rPr>
        <w:t>6.683/79</w:t>
      </w:r>
      <w:r w:rsidR="00F67AE8">
        <w:rPr>
          <w:rFonts w:ascii="Univers" w:eastAsia="Times New Roman" w:hAnsi="Univers" w:cs="Verdana"/>
          <w:sz w:val="20"/>
          <w:szCs w:val="20"/>
        </w:rPr>
        <w:t xml:space="preserve">, mediante una decisión que “tiene eficacia </w:t>
      </w:r>
      <w:r w:rsidR="00F67AE8">
        <w:rPr>
          <w:rFonts w:ascii="Univers" w:eastAsia="Times New Roman" w:hAnsi="Univers" w:cs="Verdana"/>
          <w:i/>
          <w:sz w:val="20"/>
          <w:szCs w:val="20"/>
        </w:rPr>
        <w:t xml:space="preserve">erga omnes </w:t>
      </w:r>
      <w:r w:rsidR="00F67AE8">
        <w:rPr>
          <w:rFonts w:ascii="Univers" w:eastAsia="Times New Roman" w:hAnsi="Univers" w:cs="Verdana"/>
          <w:sz w:val="20"/>
          <w:szCs w:val="20"/>
        </w:rPr>
        <w:t>y efecto vinculante”</w:t>
      </w:r>
      <w:r w:rsidR="007B7D5C" w:rsidRPr="006A6267">
        <w:rPr>
          <w:rStyle w:val="Refdenotaalpie"/>
          <w:rFonts w:ascii="Univers" w:hAnsi="Univers"/>
          <w:szCs w:val="16"/>
        </w:rPr>
        <w:footnoteReference w:id="22"/>
      </w:r>
      <w:r w:rsidR="007567B4">
        <w:rPr>
          <w:rFonts w:ascii="Univers" w:eastAsia="Times New Roman" w:hAnsi="Univers" w:cs="Verdana"/>
          <w:sz w:val="20"/>
          <w:szCs w:val="20"/>
        </w:rPr>
        <w:t>.</w:t>
      </w:r>
    </w:p>
    <w:p w:rsidR="00F67AE8" w:rsidRDefault="00F67AE8" w:rsidP="00870154">
      <w:pPr>
        <w:autoSpaceDE w:val="0"/>
        <w:autoSpaceDN w:val="0"/>
        <w:adjustRightInd w:val="0"/>
        <w:ind w:firstLine="720"/>
        <w:jc w:val="both"/>
        <w:rPr>
          <w:rFonts w:ascii="Univers" w:eastAsia="Times New Roman" w:hAnsi="Univers" w:cs="Verdana"/>
          <w:sz w:val="20"/>
          <w:szCs w:val="20"/>
        </w:rPr>
      </w:pPr>
    </w:p>
    <w:p w:rsidR="004F53C5" w:rsidRPr="00835946" w:rsidRDefault="00460E4A" w:rsidP="00870154">
      <w:pPr>
        <w:autoSpaceDE w:val="0"/>
        <w:autoSpaceDN w:val="0"/>
        <w:adjustRightInd w:val="0"/>
        <w:ind w:firstLine="720"/>
        <w:jc w:val="both"/>
        <w:rPr>
          <w:rFonts w:ascii="Univers" w:hAnsi="Univers"/>
          <w:sz w:val="20"/>
          <w:szCs w:val="20"/>
        </w:rPr>
      </w:pPr>
      <w:r>
        <w:rPr>
          <w:rFonts w:ascii="Univers" w:hAnsi="Univers"/>
          <w:sz w:val="20"/>
          <w:szCs w:val="20"/>
        </w:rPr>
        <w:t>38</w:t>
      </w:r>
      <w:r w:rsidR="004F53C5">
        <w:rPr>
          <w:rFonts w:ascii="Univers" w:hAnsi="Univers"/>
          <w:sz w:val="20"/>
          <w:szCs w:val="20"/>
        </w:rPr>
        <w:t>.</w:t>
      </w:r>
      <w:r w:rsidR="004F53C5">
        <w:rPr>
          <w:rFonts w:ascii="Univers" w:hAnsi="Univers"/>
          <w:sz w:val="20"/>
          <w:szCs w:val="20"/>
        </w:rPr>
        <w:tab/>
        <w:t>En base a todo lo anterior, especialmente teniendo en cuenta que los peticionarios denuncian la incompatibilidad de la Ley 6.683/79</w:t>
      </w:r>
      <w:r w:rsidR="001E7673">
        <w:rPr>
          <w:rFonts w:ascii="Univers" w:hAnsi="Univers"/>
          <w:sz w:val="20"/>
          <w:szCs w:val="20"/>
        </w:rPr>
        <w:t xml:space="preserve"> con la Convención Americana</w:t>
      </w:r>
      <w:r w:rsidR="004F53C5">
        <w:rPr>
          <w:rFonts w:ascii="Univers" w:hAnsi="Univers"/>
          <w:sz w:val="20"/>
          <w:szCs w:val="20"/>
        </w:rPr>
        <w:t>, así como la continua impunidad respecto de las violaciones perpetradas contra la presunta víctima, que presuntamente sigue hasta la fecha en virtud</w:t>
      </w:r>
      <w:r w:rsidR="00A5271A">
        <w:rPr>
          <w:rFonts w:ascii="Univers" w:hAnsi="Univers"/>
          <w:sz w:val="20"/>
          <w:szCs w:val="20"/>
        </w:rPr>
        <w:t xml:space="preserve"> de la referida ley de amnistía</w:t>
      </w:r>
      <w:r w:rsidR="002C3C9C">
        <w:rPr>
          <w:rFonts w:ascii="Univers" w:hAnsi="Univers"/>
          <w:sz w:val="20"/>
          <w:szCs w:val="20"/>
        </w:rPr>
        <w:t>,</w:t>
      </w:r>
      <w:r w:rsidR="00B766CB">
        <w:rPr>
          <w:rFonts w:ascii="Univers" w:hAnsi="Univers"/>
          <w:sz w:val="20"/>
          <w:szCs w:val="20"/>
        </w:rPr>
        <w:t xml:space="preserve"> la CIDH concluye que la petición fue presentada dentro de un plazo razonable</w:t>
      </w:r>
      <w:r w:rsidR="00F67AE8">
        <w:rPr>
          <w:rFonts w:ascii="Univers" w:hAnsi="Univers"/>
          <w:sz w:val="20"/>
          <w:szCs w:val="20"/>
        </w:rPr>
        <w:t xml:space="preserve">, y </w:t>
      </w:r>
      <w:r w:rsidR="002C3C9C">
        <w:rPr>
          <w:rFonts w:ascii="Univers" w:hAnsi="Univers"/>
          <w:sz w:val="20"/>
          <w:szCs w:val="20"/>
        </w:rPr>
        <w:t xml:space="preserve">que </w:t>
      </w:r>
      <w:r w:rsidR="00F67AE8">
        <w:rPr>
          <w:rFonts w:ascii="Univers" w:hAnsi="Univers"/>
          <w:sz w:val="20"/>
          <w:szCs w:val="20"/>
        </w:rPr>
        <w:t>cumple con el requisito previsto en el artículo</w:t>
      </w:r>
      <w:r w:rsidR="00801088">
        <w:rPr>
          <w:rFonts w:ascii="Univers" w:hAnsi="Univers"/>
          <w:sz w:val="20"/>
          <w:szCs w:val="20"/>
        </w:rPr>
        <w:t xml:space="preserve"> 32.2 </w:t>
      </w:r>
      <w:r w:rsidR="00D23695">
        <w:rPr>
          <w:rFonts w:ascii="Univers" w:hAnsi="Univers"/>
          <w:sz w:val="20"/>
          <w:szCs w:val="20"/>
        </w:rPr>
        <w:t xml:space="preserve">del Reglamento </w:t>
      </w:r>
      <w:r w:rsidR="00801088">
        <w:rPr>
          <w:rFonts w:ascii="Univers" w:hAnsi="Univers"/>
          <w:sz w:val="20"/>
          <w:szCs w:val="20"/>
        </w:rPr>
        <w:t>de la CIDH</w:t>
      </w:r>
      <w:r w:rsidR="00B766CB">
        <w:rPr>
          <w:rFonts w:ascii="Univers" w:hAnsi="Univers"/>
          <w:sz w:val="20"/>
          <w:szCs w:val="20"/>
        </w:rPr>
        <w:t xml:space="preserve">.  </w:t>
      </w:r>
      <w:r w:rsidR="00801088">
        <w:rPr>
          <w:rFonts w:ascii="Univers" w:hAnsi="Univers"/>
          <w:sz w:val="20"/>
          <w:szCs w:val="20"/>
        </w:rPr>
        <w:t>Al adoptar e</w:t>
      </w:r>
      <w:r w:rsidR="00F67AE8">
        <w:rPr>
          <w:rFonts w:ascii="Univers" w:hAnsi="Univers"/>
          <w:sz w:val="20"/>
          <w:szCs w:val="20"/>
        </w:rPr>
        <w:t>sta decisión</w:t>
      </w:r>
      <w:r w:rsidR="00BE06CE">
        <w:rPr>
          <w:rFonts w:ascii="Univers" w:hAnsi="Univers"/>
          <w:sz w:val="20"/>
          <w:szCs w:val="20"/>
        </w:rPr>
        <w:t>,</w:t>
      </w:r>
      <w:r w:rsidR="00F67AE8">
        <w:rPr>
          <w:rFonts w:ascii="Univers" w:hAnsi="Univers"/>
          <w:sz w:val="20"/>
          <w:szCs w:val="20"/>
        </w:rPr>
        <w:t xml:space="preserve"> la Comisión </w:t>
      </w:r>
      <w:r w:rsidR="00801088">
        <w:rPr>
          <w:rFonts w:ascii="Univers" w:hAnsi="Univers"/>
          <w:sz w:val="20"/>
          <w:szCs w:val="20"/>
        </w:rPr>
        <w:t xml:space="preserve">Interamericana también </w:t>
      </w:r>
      <w:r w:rsidR="00BE06CE">
        <w:rPr>
          <w:rFonts w:ascii="Univers" w:hAnsi="Univers"/>
          <w:sz w:val="20"/>
          <w:szCs w:val="20"/>
        </w:rPr>
        <w:t>considera las circunstancias</w:t>
      </w:r>
      <w:r w:rsidR="007C73BF">
        <w:rPr>
          <w:rFonts w:ascii="Univers" w:hAnsi="Univers"/>
          <w:sz w:val="20"/>
          <w:szCs w:val="20"/>
        </w:rPr>
        <w:t xml:space="preserve"> específicas</w:t>
      </w:r>
      <w:r w:rsidR="00BE06CE">
        <w:rPr>
          <w:rFonts w:ascii="Univers" w:hAnsi="Univers"/>
          <w:sz w:val="20"/>
          <w:szCs w:val="20"/>
        </w:rPr>
        <w:t xml:space="preserve"> relacionadas con las sucesivas tentativas realizadas por el </w:t>
      </w:r>
      <w:r w:rsidR="00045AA4">
        <w:rPr>
          <w:rFonts w:ascii="Univers" w:hAnsi="Univers"/>
          <w:sz w:val="20"/>
          <w:szCs w:val="20"/>
        </w:rPr>
        <w:t>Ministerio Publico Estadual</w:t>
      </w:r>
      <w:r w:rsidR="00BE06CE">
        <w:rPr>
          <w:rFonts w:ascii="Univers" w:hAnsi="Univers"/>
          <w:sz w:val="20"/>
          <w:szCs w:val="20"/>
        </w:rPr>
        <w:t>, por el Ministerio Público Federal</w:t>
      </w:r>
      <w:r w:rsidR="00045AA4">
        <w:rPr>
          <w:rFonts w:ascii="Univers" w:hAnsi="Univers"/>
          <w:sz w:val="20"/>
          <w:szCs w:val="20"/>
        </w:rPr>
        <w:t>, y por el Colegio de Abogados de Brasil, a fin de cuestionar</w:t>
      </w:r>
      <w:r w:rsidR="007C73BF">
        <w:rPr>
          <w:rFonts w:ascii="Univers" w:hAnsi="Univers"/>
          <w:sz w:val="20"/>
          <w:szCs w:val="20"/>
        </w:rPr>
        <w:t xml:space="preserve"> judicialmente</w:t>
      </w:r>
      <w:r w:rsidR="00045AA4">
        <w:rPr>
          <w:rFonts w:ascii="Univers" w:hAnsi="Univers"/>
          <w:sz w:val="20"/>
          <w:szCs w:val="20"/>
        </w:rPr>
        <w:t xml:space="preserve"> la validad de la ley de amnistía brasileña</w:t>
      </w:r>
      <w:r w:rsidR="00BE060B">
        <w:rPr>
          <w:rFonts w:ascii="Univers" w:hAnsi="Univers"/>
          <w:sz w:val="20"/>
          <w:szCs w:val="20"/>
        </w:rPr>
        <w:t>, y</w:t>
      </w:r>
      <w:r w:rsidR="002B4EBE">
        <w:rPr>
          <w:rFonts w:ascii="Univers" w:hAnsi="Univers"/>
          <w:sz w:val="20"/>
          <w:szCs w:val="20"/>
        </w:rPr>
        <w:t xml:space="preserve"> que se extendieron hasta el año 2010</w:t>
      </w:r>
      <w:r w:rsidR="00BE060B">
        <w:rPr>
          <w:rFonts w:ascii="Univers" w:hAnsi="Univers"/>
          <w:sz w:val="20"/>
          <w:szCs w:val="20"/>
        </w:rPr>
        <w:t>;</w:t>
      </w:r>
      <w:r w:rsidR="00045AA4">
        <w:rPr>
          <w:rFonts w:ascii="Univers" w:hAnsi="Univers"/>
          <w:sz w:val="20"/>
          <w:szCs w:val="20"/>
        </w:rPr>
        <w:t xml:space="preserve"> así como los hechos sucesivos que ocurrieron a partir de la promulgación de la Ley 9.140 en 1995, la consecuente creación de la CEMDP, y su In</w:t>
      </w:r>
      <w:r w:rsidR="002348AA">
        <w:rPr>
          <w:rFonts w:ascii="Univers" w:hAnsi="Univers"/>
          <w:sz w:val="20"/>
          <w:szCs w:val="20"/>
        </w:rPr>
        <w:t>forme Final publicado en 2007</w:t>
      </w:r>
      <w:r w:rsidR="00A5271A">
        <w:rPr>
          <w:rFonts w:ascii="Univers" w:hAnsi="Univers"/>
          <w:sz w:val="20"/>
          <w:szCs w:val="20"/>
        </w:rPr>
        <w:t>.</w:t>
      </w:r>
    </w:p>
    <w:p w:rsidR="00A2053B" w:rsidRPr="00636BB1" w:rsidRDefault="00A2053B" w:rsidP="00870154">
      <w:pPr>
        <w:autoSpaceDE w:val="0"/>
        <w:autoSpaceDN w:val="0"/>
        <w:adjustRightInd w:val="0"/>
        <w:jc w:val="both"/>
        <w:rPr>
          <w:rFonts w:ascii="Univers" w:hAnsi="Univers"/>
          <w:sz w:val="20"/>
          <w:szCs w:val="20"/>
        </w:rPr>
      </w:pPr>
    </w:p>
    <w:p w:rsidR="00E1686B" w:rsidRDefault="00E1686B" w:rsidP="00870154">
      <w:pPr>
        <w:numPr>
          <w:ilvl w:val="0"/>
          <w:numId w:val="24"/>
        </w:numPr>
        <w:autoSpaceDE w:val="0"/>
        <w:autoSpaceDN w:val="0"/>
        <w:adjustRightInd w:val="0"/>
        <w:jc w:val="both"/>
        <w:rPr>
          <w:rFonts w:ascii="Univers" w:hAnsi="Univers"/>
          <w:b/>
          <w:sz w:val="20"/>
          <w:szCs w:val="20"/>
        </w:rPr>
      </w:pPr>
      <w:r>
        <w:rPr>
          <w:rFonts w:ascii="Univers" w:hAnsi="Univers"/>
          <w:b/>
          <w:sz w:val="20"/>
          <w:szCs w:val="20"/>
        </w:rPr>
        <w:t>Duplicación de procedimientos y cosa juzgada internacional</w:t>
      </w:r>
    </w:p>
    <w:p w:rsidR="00E1686B" w:rsidRPr="00074348" w:rsidRDefault="00E1686B" w:rsidP="00870154">
      <w:pPr>
        <w:autoSpaceDE w:val="0"/>
        <w:autoSpaceDN w:val="0"/>
        <w:adjustRightInd w:val="0"/>
        <w:jc w:val="both"/>
        <w:rPr>
          <w:rFonts w:ascii="Univers" w:hAnsi="Univers"/>
          <w:sz w:val="20"/>
          <w:szCs w:val="20"/>
        </w:rPr>
      </w:pPr>
    </w:p>
    <w:p w:rsidR="00074348" w:rsidRDefault="00460E4A" w:rsidP="00870154">
      <w:pPr>
        <w:autoSpaceDE w:val="0"/>
        <w:autoSpaceDN w:val="0"/>
        <w:adjustRightInd w:val="0"/>
        <w:ind w:firstLine="720"/>
        <w:jc w:val="both"/>
        <w:rPr>
          <w:rFonts w:ascii="Univers" w:hAnsi="Univers"/>
          <w:sz w:val="20"/>
          <w:szCs w:val="20"/>
        </w:rPr>
      </w:pPr>
      <w:r>
        <w:rPr>
          <w:rFonts w:ascii="Univers" w:hAnsi="Univers"/>
          <w:sz w:val="20"/>
          <w:szCs w:val="20"/>
        </w:rPr>
        <w:t>39</w:t>
      </w:r>
      <w:r w:rsidR="00074348">
        <w:rPr>
          <w:rFonts w:ascii="Univers" w:hAnsi="Univers"/>
          <w:sz w:val="20"/>
          <w:szCs w:val="20"/>
        </w:rPr>
        <w:t>.</w:t>
      </w:r>
      <w:r w:rsidR="00074348">
        <w:rPr>
          <w:rFonts w:ascii="Univers" w:hAnsi="Univers"/>
          <w:sz w:val="20"/>
          <w:szCs w:val="20"/>
        </w:rPr>
        <w:tab/>
      </w:r>
      <w:r w:rsidR="00074348" w:rsidRPr="00B0099F">
        <w:rPr>
          <w:rFonts w:ascii="Univers" w:hAnsi="Univers"/>
          <w:sz w:val="20"/>
          <w:szCs w:val="20"/>
        </w:rPr>
        <w:t>No surge del expediente que la materia de la petición se encuentre pendiente de otro procedimiento de arreglo internacional, ni que reproduzca una petición ya examinada por la Comisión Interamericana u otro órgano internacional.  Por lo tanto, corresponde dar por cumplidos los requisitos establecidos en los artículos 46.1.c y 47.d de la Convención Americana</w:t>
      </w:r>
      <w:r w:rsidR="00D93E94">
        <w:rPr>
          <w:rFonts w:ascii="Univers" w:hAnsi="Univers"/>
          <w:sz w:val="20"/>
          <w:szCs w:val="20"/>
        </w:rPr>
        <w:t>.</w:t>
      </w:r>
    </w:p>
    <w:p w:rsidR="00074348" w:rsidRPr="00074348" w:rsidRDefault="00074348" w:rsidP="00870154">
      <w:pPr>
        <w:autoSpaceDE w:val="0"/>
        <w:autoSpaceDN w:val="0"/>
        <w:adjustRightInd w:val="0"/>
        <w:jc w:val="both"/>
        <w:rPr>
          <w:rFonts w:ascii="Univers" w:hAnsi="Univers"/>
          <w:sz w:val="20"/>
          <w:szCs w:val="20"/>
        </w:rPr>
      </w:pPr>
    </w:p>
    <w:p w:rsidR="00E1686B" w:rsidRDefault="00E1686B" w:rsidP="00870154">
      <w:pPr>
        <w:numPr>
          <w:ilvl w:val="0"/>
          <w:numId w:val="24"/>
        </w:numPr>
        <w:autoSpaceDE w:val="0"/>
        <w:autoSpaceDN w:val="0"/>
        <w:adjustRightInd w:val="0"/>
        <w:jc w:val="both"/>
        <w:rPr>
          <w:rFonts w:ascii="Univers" w:hAnsi="Univers"/>
          <w:b/>
          <w:sz w:val="20"/>
          <w:szCs w:val="20"/>
        </w:rPr>
      </w:pPr>
      <w:r>
        <w:rPr>
          <w:rFonts w:ascii="Univers" w:hAnsi="Univers"/>
          <w:b/>
          <w:sz w:val="20"/>
          <w:szCs w:val="20"/>
        </w:rPr>
        <w:t>Caracterización de los hechos alegados</w:t>
      </w:r>
    </w:p>
    <w:p w:rsidR="00E1686B" w:rsidRDefault="00E1686B" w:rsidP="00870154">
      <w:pPr>
        <w:autoSpaceDE w:val="0"/>
        <w:autoSpaceDN w:val="0"/>
        <w:adjustRightInd w:val="0"/>
        <w:jc w:val="both"/>
        <w:rPr>
          <w:rFonts w:ascii="Univers" w:hAnsi="Univers"/>
          <w:sz w:val="20"/>
          <w:szCs w:val="20"/>
        </w:rPr>
      </w:pPr>
    </w:p>
    <w:p w:rsidR="00074348" w:rsidRDefault="00460E4A" w:rsidP="00870154">
      <w:pPr>
        <w:autoSpaceDE w:val="0"/>
        <w:autoSpaceDN w:val="0"/>
        <w:adjustRightInd w:val="0"/>
        <w:ind w:firstLine="720"/>
        <w:jc w:val="both"/>
        <w:rPr>
          <w:rFonts w:ascii="Univers" w:hAnsi="Univers"/>
          <w:sz w:val="20"/>
          <w:szCs w:val="20"/>
        </w:rPr>
      </w:pPr>
      <w:r>
        <w:rPr>
          <w:rFonts w:ascii="Univers" w:hAnsi="Univers"/>
          <w:sz w:val="20"/>
          <w:szCs w:val="20"/>
        </w:rPr>
        <w:t>40</w:t>
      </w:r>
      <w:r w:rsidR="00074348">
        <w:rPr>
          <w:rFonts w:ascii="Univers" w:hAnsi="Univers"/>
          <w:sz w:val="20"/>
          <w:szCs w:val="20"/>
        </w:rPr>
        <w:t>.</w:t>
      </w:r>
      <w:r w:rsidR="00074348">
        <w:rPr>
          <w:rFonts w:ascii="Univers" w:hAnsi="Univers"/>
          <w:sz w:val="20"/>
          <w:szCs w:val="20"/>
        </w:rPr>
        <w:tab/>
      </w:r>
      <w:r w:rsidR="00074348" w:rsidRPr="00B0099F">
        <w:rPr>
          <w:rFonts w:ascii="Univers" w:hAnsi="Univers"/>
          <w:sz w:val="20"/>
          <w:szCs w:val="20"/>
        </w:rPr>
        <w:t xml:space="preserve">A los fines de la admisibilidad, la Comisión Interamericana debe determinar si los hechos denunciados en la petición tienden a caracterizar una violación de derechos garantizados por la Convención Americana, como lo requiere su artículo 47.b, o si la petición debe ser rechazada por ser “manifiestamente infundada” o “improcedente”. </w:t>
      </w:r>
      <w:r w:rsidR="00074348">
        <w:rPr>
          <w:rFonts w:ascii="Univers" w:hAnsi="Univers"/>
          <w:sz w:val="20"/>
          <w:szCs w:val="20"/>
        </w:rPr>
        <w:t xml:space="preserve"> </w:t>
      </w:r>
      <w:r w:rsidR="00074348" w:rsidRPr="00B0099F">
        <w:rPr>
          <w:rFonts w:ascii="Univers" w:hAnsi="Univers"/>
          <w:sz w:val="20"/>
          <w:szCs w:val="20"/>
        </w:rPr>
        <w:t xml:space="preserve">En este punto del procedimiento, la CIDH </w:t>
      </w:r>
      <w:r w:rsidR="002C3C9C">
        <w:rPr>
          <w:rFonts w:ascii="Univers" w:hAnsi="Univers"/>
          <w:sz w:val="20"/>
          <w:szCs w:val="20"/>
        </w:rPr>
        <w:t xml:space="preserve">debe realizar una </w:t>
      </w:r>
      <w:r w:rsidR="00074348" w:rsidRPr="00B0099F">
        <w:rPr>
          <w:rFonts w:ascii="Univers" w:hAnsi="Univers"/>
          <w:sz w:val="20"/>
          <w:szCs w:val="20"/>
        </w:rPr>
        <w:t xml:space="preserve">evaluación </w:t>
      </w:r>
      <w:r w:rsidR="00074348" w:rsidRPr="00B0099F">
        <w:rPr>
          <w:rFonts w:ascii="Univers" w:hAnsi="Univers"/>
          <w:i/>
          <w:sz w:val="20"/>
          <w:szCs w:val="20"/>
        </w:rPr>
        <w:t>prima facie</w:t>
      </w:r>
      <w:r w:rsidR="00074348" w:rsidRPr="00B0099F">
        <w:rPr>
          <w:rFonts w:ascii="Univers" w:hAnsi="Univers"/>
          <w:sz w:val="20"/>
          <w:szCs w:val="20"/>
        </w:rPr>
        <w:t xml:space="preserve">, no para establecer violaciones alegadas de la Convención Americana u otro tratado aplicable, sino para determinar si la petición describe hechos que podrían caracterizar violaciones de derechos protegidos por los instrumentos interamericanos. </w:t>
      </w:r>
      <w:r w:rsidR="00074348">
        <w:rPr>
          <w:rFonts w:ascii="Univers" w:hAnsi="Univers"/>
          <w:sz w:val="20"/>
          <w:szCs w:val="20"/>
        </w:rPr>
        <w:t xml:space="preserve"> </w:t>
      </w:r>
      <w:r w:rsidR="00074348" w:rsidRPr="00B0099F">
        <w:rPr>
          <w:rFonts w:ascii="Univers" w:hAnsi="Univers"/>
          <w:sz w:val="20"/>
          <w:szCs w:val="20"/>
        </w:rPr>
        <w:t xml:space="preserve">Este examen de ningún modo constituye </w:t>
      </w:r>
      <w:r w:rsidR="00074348">
        <w:rPr>
          <w:rFonts w:ascii="Univers" w:hAnsi="Univers"/>
          <w:sz w:val="20"/>
          <w:szCs w:val="20"/>
        </w:rPr>
        <w:t>prejuzgamiento</w:t>
      </w:r>
      <w:r w:rsidR="00074348" w:rsidRPr="00B0099F">
        <w:rPr>
          <w:rFonts w:ascii="Univers" w:hAnsi="Univers"/>
          <w:sz w:val="20"/>
          <w:szCs w:val="20"/>
        </w:rPr>
        <w:t xml:space="preserve"> u opinión preliminar sobre el fondo del asunto</w:t>
      </w:r>
      <w:r w:rsidR="00074348">
        <w:rPr>
          <w:rFonts w:ascii="Univers" w:hAnsi="Univers"/>
          <w:sz w:val="20"/>
          <w:szCs w:val="20"/>
        </w:rPr>
        <w:t>.</w:t>
      </w:r>
    </w:p>
    <w:p w:rsidR="00074348" w:rsidRDefault="00074348" w:rsidP="00870154">
      <w:pPr>
        <w:autoSpaceDE w:val="0"/>
        <w:autoSpaceDN w:val="0"/>
        <w:adjustRightInd w:val="0"/>
        <w:ind w:firstLine="720"/>
        <w:jc w:val="both"/>
        <w:rPr>
          <w:rFonts w:ascii="Univers" w:hAnsi="Univers"/>
          <w:sz w:val="20"/>
          <w:szCs w:val="20"/>
        </w:rPr>
      </w:pPr>
    </w:p>
    <w:p w:rsidR="00074348" w:rsidRDefault="00460E4A" w:rsidP="00870154">
      <w:pPr>
        <w:autoSpaceDE w:val="0"/>
        <w:autoSpaceDN w:val="0"/>
        <w:adjustRightInd w:val="0"/>
        <w:ind w:firstLine="720"/>
        <w:jc w:val="both"/>
        <w:rPr>
          <w:rFonts w:ascii="Univers" w:hAnsi="Univers"/>
          <w:sz w:val="20"/>
          <w:szCs w:val="20"/>
        </w:rPr>
      </w:pPr>
      <w:r>
        <w:rPr>
          <w:rFonts w:ascii="Univers" w:hAnsi="Univers"/>
          <w:sz w:val="20"/>
          <w:szCs w:val="20"/>
        </w:rPr>
        <w:t>41</w:t>
      </w:r>
      <w:r w:rsidR="00074348">
        <w:rPr>
          <w:rFonts w:ascii="Univers" w:hAnsi="Univers"/>
          <w:sz w:val="20"/>
          <w:szCs w:val="20"/>
        </w:rPr>
        <w:t>.</w:t>
      </w:r>
      <w:r w:rsidR="00074348">
        <w:rPr>
          <w:rFonts w:ascii="Univers" w:hAnsi="Univers"/>
          <w:sz w:val="20"/>
          <w:szCs w:val="20"/>
        </w:rPr>
        <w:tab/>
      </w:r>
      <w:r w:rsidR="00074348" w:rsidRPr="00B0099F">
        <w:rPr>
          <w:rFonts w:ascii="Univers" w:hAnsi="Univers"/>
          <w:sz w:val="20"/>
          <w:szCs w:val="20"/>
        </w:rPr>
        <w:t xml:space="preserve">Ni la Convención Americana ni el Reglamento de la CIDH requieren que </w:t>
      </w:r>
      <w:r w:rsidR="00D23695">
        <w:rPr>
          <w:rFonts w:ascii="Univers" w:hAnsi="Univers"/>
          <w:sz w:val="20"/>
          <w:szCs w:val="20"/>
        </w:rPr>
        <w:t>los peticionarios</w:t>
      </w:r>
      <w:r w:rsidR="00074348" w:rsidRPr="00B0099F">
        <w:rPr>
          <w:rFonts w:ascii="Univers" w:hAnsi="Univers"/>
          <w:sz w:val="20"/>
          <w:szCs w:val="20"/>
        </w:rPr>
        <w:t xml:space="preserve"> identifique</w:t>
      </w:r>
      <w:r w:rsidR="00D23695">
        <w:rPr>
          <w:rFonts w:ascii="Univers" w:hAnsi="Univers"/>
          <w:sz w:val="20"/>
          <w:szCs w:val="20"/>
        </w:rPr>
        <w:t>n</w:t>
      </w:r>
      <w:r w:rsidR="00074348" w:rsidRPr="00B0099F">
        <w:rPr>
          <w:rFonts w:ascii="Univers" w:hAnsi="Univers"/>
          <w:sz w:val="20"/>
          <w:szCs w:val="20"/>
        </w:rPr>
        <w:t xml:space="preserve"> los derechos específicos que se alegan violados por el Estado en el asunto que se presenta ante la Comisión Interamericana, aún cuando los peticionarios pueden hacerlo. </w:t>
      </w:r>
      <w:r w:rsidR="00074348">
        <w:rPr>
          <w:rFonts w:ascii="Univers" w:hAnsi="Univers"/>
          <w:sz w:val="20"/>
          <w:szCs w:val="20"/>
        </w:rPr>
        <w:t xml:space="preserve"> </w:t>
      </w:r>
      <w:r w:rsidR="00074348" w:rsidRPr="00B0099F">
        <w:rPr>
          <w:rFonts w:ascii="Univers" w:hAnsi="Univers"/>
          <w:sz w:val="20"/>
          <w:szCs w:val="20"/>
        </w:rPr>
        <w:t>Es competencia de</w:t>
      </w:r>
      <w:r w:rsidR="00D23695">
        <w:rPr>
          <w:rFonts w:ascii="Univers" w:hAnsi="Univers"/>
          <w:sz w:val="20"/>
          <w:szCs w:val="20"/>
        </w:rPr>
        <w:t xml:space="preserve"> la CIDH</w:t>
      </w:r>
      <w:r w:rsidR="00074348" w:rsidRPr="00B0099F">
        <w:rPr>
          <w:rFonts w:ascii="Univers" w:hAnsi="Univers"/>
          <w:sz w:val="20"/>
          <w:szCs w:val="20"/>
        </w:rPr>
        <w:t>, con base en la jurisprudencia del sistema, determinar en su informe de admisibilidad qué provisiones de los instrumentos interamericanos relevantes son aplicables y pueden ser pasibles de haber sido violadas, si los hechos alegados fueran probados con elementos suficientes</w:t>
      </w:r>
      <w:r w:rsidR="00074348">
        <w:rPr>
          <w:rFonts w:ascii="Univers" w:hAnsi="Univers"/>
          <w:sz w:val="20"/>
          <w:szCs w:val="20"/>
        </w:rPr>
        <w:t>.</w:t>
      </w:r>
    </w:p>
    <w:p w:rsidR="00074348" w:rsidRDefault="00074348" w:rsidP="00870154">
      <w:pPr>
        <w:autoSpaceDE w:val="0"/>
        <w:autoSpaceDN w:val="0"/>
        <w:adjustRightInd w:val="0"/>
        <w:jc w:val="both"/>
        <w:rPr>
          <w:rFonts w:ascii="Univers" w:hAnsi="Univers"/>
          <w:sz w:val="20"/>
          <w:szCs w:val="20"/>
        </w:rPr>
      </w:pPr>
    </w:p>
    <w:p w:rsidR="008F7F94" w:rsidRDefault="00460E4A" w:rsidP="00870154">
      <w:pPr>
        <w:autoSpaceDE w:val="0"/>
        <w:autoSpaceDN w:val="0"/>
        <w:adjustRightInd w:val="0"/>
        <w:ind w:firstLine="720"/>
        <w:jc w:val="both"/>
        <w:rPr>
          <w:rFonts w:ascii="Univers" w:hAnsi="Univers"/>
          <w:sz w:val="20"/>
          <w:szCs w:val="20"/>
        </w:rPr>
      </w:pPr>
      <w:r>
        <w:rPr>
          <w:rFonts w:ascii="Univers" w:hAnsi="Univers"/>
          <w:sz w:val="20"/>
          <w:szCs w:val="20"/>
        </w:rPr>
        <w:t>42</w:t>
      </w:r>
      <w:r w:rsidR="008F7F94">
        <w:rPr>
          <w:rFonts w:ascii="Univers" w:hAnsi="Univers"/>
          <w:sz w:val="20"/>
          <w:szCs w:val="20"/>
        </w:rPr>
        <w:t>.</w:t>
      </w:r>
      <w:r w:rsidR="008F7F94">
        <w:rPr>
          <w:rFonts w:ascii="Univers" w:hAnsi="Univers"/>
          <w:sz w:val="20"/>
          <w:szCs w:val="20"/>
        </w:rPr>
        <w:tab/>
      </w:r>
      <w:r w:rsidR="00074348" w:rsidRPr="00B0099F">
        <w:rPr>
          <w:rFonts w:ascii="Univers" w:hAnsi="Univers"/>
          <w:sz w:val="20"/>
          <w:szCs w:val="20"/>
        </w:rPr>
        <w:t xml:space="preserve">En este caso, </w:t>
      </w:r>
      <w:r w:rsidR="008F7F94">
        <w:rPr>
          <w:rFonts w:ascii="Univers" w:hAnsi="Univers"/>
          <w:sz w:val="20"/>
          <w:szCs w:val="20"/>
        </w:rPr>
        <w:t xml:space="preserve">los peticionarios alegan que la presunta víctima fue detenida arbitrariamente, </w:t>
      </w:r>
      <w:r w:rsidR="00770066">
        <w:rPr>
          <w:rFonts w:ascii="Univers" w:hAnsi="Univers"/>
          <w:sz w:val="20"/>
          <w:szCs w:val="20"/>
        </w:rPr>
        <w:t xml:space="preserve">torturada y asesinada </w:t>
      </w:r>
      <w:r w:rsidR="00BB0319">
        <w:rPr>
          <w:rFonts w:ascii="Univers" w:hAnsi="Univers"/>
          <w:sz w:val="20"/>
          <w:szCs w:val="20"/>
        </w:rPr>
        <w:t xml:space="preserve">por </w:t>
      </w:r>
      <w:r w:rsidR="00770066">
        <w:rPr>
          <w:rFonts w:ascii="Univers" w:hAnsi="Univers"/>
          <w:sz w:val="20"/>
          <w:szCs w:val="20"/>
        </w:rPr>
        <w:t xml:space="preserve">agentes del DOI/CODI, el 25 de octubre de 1975, en virtud de su actividad periodística.  De ser probados verdaderos, la CIDH decide que dichos </w:t>
      </w:r>
      <w:r w:rsidR="00770066">
        <w:rPr>
          <w:rFonts w:ascii="Univers" w:hAnsi="Univers"/>
          <w:sz w:val="20"/>
          <w:szCs w:val="20"/>
        </w:rPr>
        <w:lastRenderedPageBreak/>
        <w:t>alegatos</w:t>
      </w:r>
      <w:r w:rsidR="00A225F3">
        <w:rPr>
          <w:rFonts w:ascii="Univers" w:hAnsi="Univers"/>
          <w:sz w:val="20"/>
          <w:szCs w:val="20"/>
        </w:rPr>
        <w:t>, así como los hechos pertinentes ocurridos hasta el 20 de julio de 1989 y 25 de septiembre de 1992,</w:t>
      </w:r>
      <w:r w:rsidR="00770066">
        <w:rPr>
          <w:rFonts w:ascii="Univers" w:hAnsi="Univers"/>
          <w:sz w:val="20"/>
          <w:szCs w:val="20"/>
        </w:rPr>
        <w:t xml:space="preserve"> podrían caracterizar violaciones a los artículos I, IV, XVIII</w:t>
      </w:r>
      <w:r w:rsidR="00ED6D7D">
        <w:rPr>
          <w:rFonts w:ascii="Univers" w:hAnsi="Univers"/>
          <w:sz w:val="20"/>
          <w:szCs w:val="20"/>
        </w:rPr>
        <w:t xml:space="preserve"> y XXV de la Declaración Americana</w:t>
      </w:r>
      <w:r w:rsidR="002128B3">
        <w:rPr>
          <w:rFonts w:ascii="Univers" w:hAnsi="Univers"/>
          <w:sz w:val="20"/>
          <w:szCs w:val="20"/>
        </w:rPr>
        <w:t xml:space="preserve">.  Por otro lado, la CIDH considera que los alegatos de los peticionarios no exponen hechos que caractericen una violación del artículo XXVI de la Declaración Americana, por tanto la petición es inadmisible en lo concerniente a ese </w:t>
      </w:r>
      <w:r w:rsidR="00C65214">
        <w:rPr>
          <w:rFonts w:ascii="Univers" w:hAnsi="Univers"/>
          <w:sz w:val="20"/>
          <w:szCs w:val="20"/>
        </w:rPr>
        <w:t>punto</w:t>
      </w:r>
      <w:r w:rsidR="002128B3">
        <w:rPr>
          <w:rFonts w:ascii="Univers" w:hAnsi="Univers"/>
          <w:sz w:val="20"/>
          <w:szCs w:val="20"/>
        </w:rPr>
        <w:t>, conforme al artículo 47.b de la Convención Americana.</w:t>
      </w:r>
    </w:p>
    <w:p w:rsidR="002128B3" w:rsidRDefault="002128B3" w:rsidP="00870154">
      <w:pPr>
        <w:autoSpaceDE w:val="0"/>
        <w:autoSpaceDN w:val="0"/>
        <w:adjustRightInd w:val="0"/>
        <w:jc w:val="both"/>
        <w:rPr>
          <w:rFonts w:ascii="Univers" w:hAnsi="Univers"/>
          <w:sz w:val="20"/>
          <w:szCs w:val="20"/>
        </w:rPr>
      </w:pPr>
    </w:p>
    <w:p w:rsidR="00074348" w:rsidRDefault="00460E4A" w:rsidP="00870154">
      <w:pPr>
        <w:autoSpaceDE w:val="0"/>
        <w:autoSpaceDN w:val="0"/>
        <w:adjustRightInd w:val="0"/>
        <w:ind w:firstLine="720"/>
        <w:jc w:val="both"/>
        <w:rPr>
          <w:rFonts w:ascii="Univers" w:hAnsi="Univers"/>
          <w:sz w:val="20"/>
          <w:szCs w:val="20"/>
        </w:rPr>
      </w:pPr>
      <w:r>
        <w:rPr>
          <w:rFonts w:ascii="Univers" w:hAnsi="Univers"/>
          <w:sz w:val="20"/>
          <w:szCs w:val="20"/>
        </w:rPr>
        <w:t>43</w:t>
      </w:r>
      <w:r w:rsidR="002128B3">
        <w:rPr>
          <w:rFonts w:ascii="Univers" w:hAnsi="Univers"/>
          <w:sz w:val="20"/>
          <w:szCs w:val="20"/>
        </w:rPr>
        <w:t>.</w:t>
      </w:r>
      <w:r w:rsidR="002128B3">
        <w:rPr>
          <w:rFonts w:ascii="Univers" w:hAnsi="Univers"/>
          <w:sz w:val="20"/>
          <w:szCs w:val="20"/>
        </w:rPr>
        <w:tab/>
      </w:r>
      <w:r w:rsidR="0079217A">
        <w:rPr>
          <w:rFonts w:ascii="Univers" w:hAnsi="Univers"/>
          <w:sz w:val="20"/>
          <w:szCs w:val="20"/>
        </w:rPr>
        <w:t xml:space="preserve">Adicionalmente, </w:t>
      </w:r>
      <w:r w:rsidR="00DF1952">
        <w:rPr>
          <w:rFonts w:ascii="Univers" w:hAnsi="Univers"/>
          <w:sz w:val="20"/>
          <w:szCs w:val="20"/>
        </w:rPr>
        <w:t xml:space="preserve">respecto de la </w:t>
      </w:r>
      <w:r w:rsidR="00403D3E">
        <w:rPr>
          <w:rFonts w:ascii="Univers" w:hAnsi="Univers"/>
          <w:sz w:val="20"/>
          <w:szCs w:val="20"/>
        </w:rPr>
        <w:t xml:space="preserve">supuesta </w:t>
      </w:r>
      <w:r w:rsidR="00DF1952">
        <w:rPr>
          <w:rFonts w:ascii="Univers" w:hAnsi="Univers"/>
          <w:sz w:val="20"/>
          <w:szCs w:val="20"/>
        </w:rPr>
        <w:t>incompatibilidad de la Ley 6.683/79 con la Convención Americana</w:t>
      </w:r>
      <w:r w:rsidR="00166B68">
        <w:rPr>
          <w:rFonts w:ascii="Univers" w:hAnsi="Univers"/>
          <w:sz w:val="20"/>
          <w:szCs w:val="20"/>
        </w:rPr>
        <w:t>, su aplicación</w:t>
      </w:r>
      <w:r w:rsidR="00010E42">
        <w:rPr>
          <w:rFonts w:ascii="Univers" w:hAnsi="Univers"/>
          <w:sz w:val="20"/>
          <w:szCs w:val="20"/>
        </w:rPr>
        <w:t xml:space="preserve"> concreta</w:t>
      </w:r>
      <w:r w:rsidR="00166B68">
        <w:rPr>
          <w:rFonts w:ascii="Univers" w:hAnsi="Univers"/>
          <w:sz w:val="20"/>
          <w:szCs w:val="20"/>
        </w:rPr>
        <w:t xml:space="preserve"> al presente caso en virtud de la decisión judicial del 13 de octubre de 1992 y actuaciones judiciales posteriores, la supuesta falencia del Estado en investigar debidamente los hechos</w:t>
      </w:r>
      <w:r w:rsidR="00DF1952">
        <w:rPr>
          <w:rFonts w:ascii="Univers" w:hAnsi="Univers"/>
          <w:sz w:val="20"/>
          <w:szCs w:val="20"/>
        </w:rPr>
        <w:t>, así como la continua impunidad respecto de las violaciones perpetradas contra la presunta víctima, que presuntamente sigue hasta la fecha</w:t>
      </w:r>
      <w:r w:rsidR="007C0CCE">
        <w:rPr>
          <w:rFonts w:ascii="Univers" w:hAnsi="Univers"/>
          <w:sz w:val="20"/>
          <w:szCs w:val="20"/>
        </w:rPr>
        <w:t xml:space="preserve"> causándoles sufrimiento y angustia a sus familiares;</w:t>
      </w:r>
      <w:r w:rsidR="00403D3E">
        <w:rPr>
          <w:rFonts w:ascii="Univers" w:hAnsi="Univers"/>
          <w:sz w:val="20"/>
          <w:szCs w:val="20"/>
        </w:rPr>
        <w:t xml:space="preserve"> la CIDH determina que, de ser probados verdaderos, dichos alegatos podrían caracterizar violaciones </w:t>
      </w:r>
      <w:r w:rsidR="002C08B8">
        <w:rPr>
          <w:rFonts w:ascii="Univers" w:hAnsi="Univers"/>
          <w:sz w:val="20"/>
          <w:szCs w:val="20"/>
        </w:rPr>
        <w:t xml:space="preserve">de los artículos 1, 6 y 8 de la Convención </w:t>
      </w:r>
      <w:r w:rsidR="004F705D">
        <w:rPr>
          <w:rFonts w:ascii="Univers" w:hAnsi="Univers"/>
          <w:sz w:val="20"/>
          <w:szCs w:val="20"/>
        </w:rPr>
        <w:t>Interamericana para Prevenir y S</w:t>
      </w:r>
      <w:r w:rsidR="002C08B8">
        <w:rPr>
          <w:rFonts w:ascii="Univers" w:hAnsi="Univers"/>
          <w:sz w:val="20"/>
          <w:szCs w:val="20"/>
        </w:rPr>
        <w:t>ancionar la Tortura</w:t>
      </w:r>
      <w:r w:rsidR="00D23695">
        <w:rPr>
          <w:rFonts w:ascii="Univers" w:hAnsi="Univers"/>
          <w:sz w:val="20"/>
          <w:szCs w:val="20"/>
        </w:rPr>
        <w:t xml:space="preserve"> a partir del 20 de julio de 1989</w:t>
      </w:r>
      <w:r w:rsidR="007C0CCE">
        <w:rPr>
          <w:rFonts w:ascii="Univers" w:hAnsi="Univers"/>
          <w:sz w:val="20"/>
          <w:szCs w:val="20"/>
        </w:rPr>
        <w:t xml:space="preserve">, y de los artículos </w:t>
      </w:r>
      <w:r w:rsidR="001B3B98">
        <w:rPr>
          <w:rFonts w:ascii="Univers" w:hAnsi="Univers"/>
          <w:sz w:val="20"/>
          <w:szCs w:val="20"/>
        </w:rPr>
        <w:t xml:space="preserve">5.1, </w:t>
      </w:r>
      <w:r w:rsidR="00D81C70">
        <w:rPr>
          <w:rFonts w:ascii="Univers" w:hAnsi="Univers"/>
          <w:sz w:val="20"/>
          <w:szCs w:val="20"/>
        </w:rPr>
        <w:t>8</w:t>
      </w:r>
      <w:r w:rsidR="00B7669E">
        <w:rPr>
          <w:rFonts w:ascii="Univers" w:hAnsi="Univers"/>
          <w:sz w:val="20"/>
          <w:szCs w:val="20"/>
        </w:rPr>
        <w:t>.</w:t>
      </w:r>
      <w:r w:rsidR="00D81C70">
        <w:rPr>
          <w:rFonts w:ascii="Univers" w:hAnsi="Univers"/>
          <w:sz w:val="20"/>
          <w:szCs w:val="20"/>
        </w:rPr>
        <w:t>1 y 25 de la Convención Americana, en relación con los artículos 1.1 y 2 del mismo tratado</w:t>
      </w:r>
      <w:r w:rsidR="00D23695">
        <w:rPr>
          <w:rFonts w:ascii="Univers" w:hAnsi="Univers"/>
          <w:sz w:val="20"/>
          <w:szCs w:val="20"/>
        </w:rPr>
        <w:t xml:space="preserve"> a partir del 25 de septiembre de 1992</w:t>
      </w:r>
      <w:r w:rsidR="00D81C70">
        <w:rPr>
          <w:rFonts w:ascii="Univers" w:hAnsi="Univers"/>
          <w:sz w:val="20"/>
          <w:szCs w:val="20"/>
        </w:rPr>
        <w:t>.</w:t>
      </w:r>
    </w:p>
    <w:p w:rsidR="00074348" w:rsidRPr="00074348" w:rsidRDefault="00074348" w:rsidP="00870154">
      <w:pPr>
        <w:autoSpaceDE w:val="0"/>
        <w:autoSpaceDN w:val="0"/>
        <w:adjustRightInd w:val="0"/>
        <w:jc w:val="both"/>
        <w:rPr>
          <w:rFonts w:ascii="Univers" w:hAnsi="Univers"/>
          <w:sz w:val="20"/>
          <w:szCs w:val="20"/>
        </w:rPr>
      </w:pPr>
    </w:p>
    <w:p w:rsidR="00E1686B" w:rsidRDefault="00E1686B" w:rsidP="00870154">
      <w:pPr>
        <w:numPr>
          <w:ilvl w:val="0"/>
          <w:numId w:val="25"/>
        </w:numPr>
        <w:autoSpaceDE w:val="0"/>
        <w:autoSpaceDN w:val="0"/>
        <w:adjustRightInd w:val="0"/>
        <w:jc w:val="both"/>
        <w:rPr>
          <w:rFonts w:ascii="Univers" w:hAnsi="Univers"/>
          <w:b/>
          <w:sz w:val="20"/>
          <w:szCs w:val="20"/>
        </w:rPr>
      </w:pPr>
      <w:r>
        <w:rPr>
          <w:rFonts w:ascii="Univers" w:hAnsi="Univers"/>
          <w:b/>
          <w:sz w:val="20"/>
          <w:szCs w:val="20"/>
        </w:rPr>
        <w:t>CONCLUSIÓN</w:t>
      </w:r>
    </w:p>
    <w:p w:rsidR="00E1686B" w:rsidRDefault="00E1686B" w:rsidP="00870154">
      <w:pPr>
        <w:ind w:firstLine="720"/>
        <w:jc w:val="both"/>
        <w:rPr>
          <w:rFonts w:ascii="Univers" w:hAnsi="Univers"/>
          <w:sz w:val="20"/>
          <w:szCs w:val="20"/>
        </w:rPr>
      </w:pPr>
    </w:p>
    <w:p w:rsidR="00E1686B" w:rsidRPr="00E53CE2" w:rsidRDefault="00460E4A" w:rsidP="00870154">
      <w:pPr>
        <w:ind w:firstLine="720"/>
        <w:jc w:val="both"/>
        <w:rPr>
          <w:rFonts w:ascii="Univers" w:hAnsi="Univers"/>
          <w:sz w:val="20"/>
          <w:szCs w:val="20"/>
        </w:rPr>
      </w:pPr>
      <w:r>
        <w:rPr>
          <w:rFonts w:ascii="Univers" w:hAnsi="Univers"/>
          <w:sz w:val="20"/>
          <w:szCs w:val="20"/>
        </w:rPr>
        <w:t>44</w:t>
      </w:r>
      <w:r w:rsidR="00E1686B">
        <w:rPr>
          <w:rFonts w:ascii="Univers" w:hAnsi="Univers"/>
          <w:sz w:val="20"/>
          <w:szCs w:val="20"/>
        </w:rPr>
        <w:t>.</w:t>
      </w:r>
      <w:r w:rsidR="00E1686B">
        <w:rPr>
          <w:rFonts w:ascii="Univers" w:hAnsi="Univers"/>
          <w:sz w:val="20"/>
          <w:szCs w:val="20"/>
        </w:rPr>
        <w:tab/>
      </w:r>
      <w:r w:rsidR="00E1686B" w:rsidRPr="00E53CE2">
        <w:rPr>
          <w:rFonts w:ascii="Univers" w:hAnsi="Univers"/>
          <w:sz w:val="20"/>
          <w:szCs w:val="20"/>
        </w:rPr>
        <w:t xml:space="preserve">La Comisión Interamericana concluye que es competente para examinar el fondo de este caso y decide que la petición es admisible de acuerdo con los artículos 46 y 47 de la Convención Americana. </w:t>
      </w:r>
      <w:r w:rsidR="000D0C8C">
        <w:rPr>
          <w:rFonts w:ascii="Univers" w:hAnsi="Univers"/>
          <w:sz w:val="20"/>
          <w:szCs w:val="20"/>
        </w:rPr>
        <w:t xml:space="preserve"> </w:t>
      </w:r>
      <w:r w:rsidR="00E1686B" w:rsidRPr="00E53CE2">
        <w:rPr>
          <w:rFonts w:ascii="Univers" w:hAnsi="Univers"/>
          <w:sz w:val="20"/>
          <w:szCs w:val="20"/>
        </w:rPr>
        <w:t xml:space="preserve">Con </w:t>
      </w:r>
      <w:r w:rsidR="000D0C8C">
        <w:rPr>
          <w:rFonts w:ascii="Univers" w:hAnsi="Univers"/>
          <w:sz w:val="20"/>
          <w:szCs w:val="20"/>
        </w:rPr>
        <w:t xml:space="preserve">base en </w:t>
      </w:r>
      <w:r w:rsidR="00E1686B" w:rsidRPr="00E53CE2">
        <w:rPr>
          <w:rFonts w:ascii="Univers" w:hAnsi="Univers"/>
          <w:sz w:val="20"/>
          <w:szCs w:val="20"/>
        </w:rPr>
        <w:t>los argumentos de hecho y de derecho antes expuestos</w:t>
      </w:r>
      <w:r w:rsidR="000D0C8C">
        <w:rPr>
          <w:rFonts w:ascii="Univers" w:hAnsi="Univers"/>
          <w:sz w:val="20"/>
          <w:szCs w:val="20"/>
        </w:rPr>
        <w:t>,</w:t>
      </w:r>
      <w:r w:rsidR="00E1686B" w:rsidRPr="00E53CE2">
        <w:rPr>
          <w:rFonts w:ascii="Univers" w:hAnsi="Univers"/>
          <w:sz w:val="20"/>
          <w:szCs w:val="20"/>
        </w:rPr>
        <w:t xml:space="preserve"> y sin que ello signifique prejuzgar sobre el fondo del asunto,</w:t>
      </w:r>
    </w:p>
    <w:p w:rsidR="00E1686B" w:rsidRPr="00E53CE2" w:rsidRDefault="00E1686B" w:rsidP="00870154">
      <w:pPr>
        <w:jc w:val="center"/>
        <w:rPr>
          <w:rFonts w:ascii="Univers" w:hAnsi="Univers"/>
          <w:b/>
          <w:bCs/>
          <w:sz w:val="20"/>
          <w:szCs w:val="20"/>
        </w:rPr>
      </w:pPr>
    </w:p>
    <w:p w:rsidR="00E1686B" w:rsidRPr="00E53CE2" w:rsidRDefault="00E1686B" w:rsidP="00870154">
      <w:pPr>
        <w:jc w:val="center"/>
        <w:rPr>
          <w:rFonts w:ascii="Univers" w:hAnsi="Univers"/>
          <w:b/>
          <w:bCs/>
          <w:sz w:val="20"/>
          <w:szCs w:val="20"/>
        </w:rPr>
      </w:pPr>
      <w:r w:rsidRPr="00E53CE2">
        <w:rPr>
          <w:rFonts w:ascii="Univers" w:hAnsi="Univers"/>
          <w:b/>
          <w:bCs/>
          <w:sz w:val="20"/>
          <w:szCs w:val="20"/>
        </w:rPr>
        <w:t>LA COMISIÓN INTERAMERICANA DE DERECHOS HUMANOS</w:t>
      </w:r>
    </w:p>
    <w:p w:rsidR="00E1686B" w:rsidRPr="00E53CE2" w:rsidRDefault="00E1686B" w:rsidP="00870154">
      <w:pPr>
        <w:jc w:val="both"/>
        <w:rPr>
          <w:rFonts w:ascii="Univers" w:hAnsi="Univers"/>
          <w:sz w:val="20"/>
          <w:szCs w:val="20"/>
        </w:rPr>
      </w:pPr>
    </w:p>
    <w:p w:rsidR="00E1686B" w:rsidRPr="00E53CE2" w:rsidRDefault="00E1686B" w:rsidP="00870154">
      <w:pPr>
        <w:jc w:val="both"/>
        <w:rPr>
          <w:rFonts w:ascii="Univers" w:hAnsi="Univers"/>
          <w:b/>
          <w:bCs/>
          <w:sz w:val="20"/>
          <w:szCs w:val="20"/>
        </w:rPr>
      </w:pPr>
      <w:r w:rsidRPr="00E53CE2">
        <w:rPr>
          <w:rFonts w:ascii="Univers" w:hAnsi="Univers"/>
          <w:b/>
          <w:bCs/>
          <w:sz w:val="20"/>
          <w:szCs w:val="20"/>
        </w:rPr>
        <w:t>DECIDE:</w:t>
      </w:r>
    </w:p>
    <w:p w:rsidR="00E1686B" w:rsidRPr="00E53CE2" w:rsidRDefault="00E1686B" w:rsidP="00870154">
      <w:pPr>
        <w:jc w:val="both"/>
        <w:rPr>
          <w:rFonts w:ascii="Univers" w:hAnsi="Univers"/>
          <w:sz w:val="20"/>
          <w:szCs w:val="20"/>
        </w:rPr>
      </w:pPr>
    </w:p>
    <w:p w:rsidR="00E1686B" w:rsidRDefault="00E1686B" w:rsidP="00870154">
      <w:pPr>
        <w:ind w:firstLine="720"/>
        <w:jc w:val="both"/>
        <w:rPr>
          <w:rFonts w:ascii="Univers" w:hAnsi="Univers"/>
          <w:color w:val="000000"/>
          <w:sz w:val="20"/>
          <w:szCs w:val="20"/>
        </w:rPr>
      </w:pPr>
      <w:r w:rsidRPr="00E53CE2">
        <w:rPr>
          <w:rFonts w:ascii="Univers" w:hAnsi="Univers"/>
          <w:sz w:val="20"/>
          <w:szCs w:val="20"/>
        </w:rPr>
        <w:t>1.</w:t>
      </w:r>
      <w:r w:rsidRPr="00E53CE2">
        <w:rPr>
          <w:rFonts w:ascii="Univers" w:hAnsi="Univers"/>
          <w:sz w:val="20"/>
          <w:szCs w:val="20"/>
        </w:rPr>
        <w:tab/>
        <w:t xml:space="preserve">Declarar esta petición admisible en lo relativo a la presunta violación de los derechos protegidos en </w:t>
      </w:r>
      <w:r w:rsidRPr="00E53CE2">
        <w:rPr>
          <w:rFonts w:ascii="Univers" w:hAnsi="Univers"/>
          <w:sz w:val="20"/>
        </w:rPr>
        <w:t>los artículos</w:t>
      </w:r>
      <w:r w:rsidR="00E57C67">
        <w:rPr>
          <w:rFonts w:ascii="Univers" w:hAnsi="Univers"/>
          <w:sz w:val="20"/>
        </w:rPr>
        <w:t xml:space="preserve"> I, IV, XVIII y XXV de la Declaración Americana</w:t>
      </w:r>
      <w:r w:rsidR="008F09CA">
        <w:rPr>
          <w:rFonts w:ascii="Univers" w:hAnsi="Univers"/>
          <w:sz w:val="20"/>
        </w:rPr>
        <w:t>;</w:t>
      </w:r>
      <w:r w:rsidR="00E57C67">
        <w:rPr>
          <w:rFonts w:ascii="Univers" w:hAnsi="Univers"/>
          <w:sz w:val="20"/>
        </w:rPr>
        <w:t xml:space="preserve"> de los artículos</w:t>
      </w:r>
      <w:r w:rsidRPr="00E53CE2">
        <w:rPr>
          <w:rFonts w:ascii="Univers" w:hAnsi="Univers"/>
          <w:sz w:val="20"/>
        </w:rPr>
        <w:t xml:space="preserve"> 5</w:t>
      </w:r>
      <w:r>
        <w:rPr>
          <w:rFonts w:ascii="Univers" w:hAnsi="Univers"/>
          <w:sz w:val="20"/>
        </w:rPr>
        <w:t>.1</w:t>
      </w:r>
      <w:r w:rsidRPr="00E53CE2">
        <w:rPr>
          <w:rFonts w:ascii="Univers" w:hAnsi="Univers"/>
          <w:sz w:val="20"/>
        </w:rPr>
        <w:t>, 8</w:t>
      </w:r>
      <w:r w:rsidR="00E57C67">
        <w:rPr>
          <w:rFonts w:ascii="Univers" w:hAnsi="Univers"/>
          <w:sz w:val="20"/>
        </w:rPr>
        <w:t>.</w:t>
      </w:r>
      <w:r>
        <w:rPr>
          <w:rFonts w:ascii="Univers" w:hAnsi="Univers"/>
          <w:sz w:val="20"/>
        </w:rPr>
        <w:t>1</w:t>
      </w:r>
      <w:r w:rsidRPr="00E53CE2">
        <w:rPr>
          <w:rFonts w:ascii="Univers" w:hAnsi="Univers"/>
          <w:sz w:val="20"/>
        </w:rPr>
        <w:t xml:space="preserve"> y 25 de la Convención Americana, </w:t>
      </w:r>
      <w:r>
        <w:rPr>
          <w:rFonts w:ascii="Univers" w:hAnsi="Univers"/>
          <w:sz w:val="20"/>
        </w:rPr>
        <w:t xml:space="preserve">en conexión con </w:t>
      </w:r>
      <w:r w:rsidR="00E57C67">
        <w:rPr>
          <w:rFonts w:ascii="Univers" w:hAnsi="Univers"/>
          <w:sz w:val="20"/>
        </w:rPr>
        <w:t>los</w:t>
      </w:r>
      <w:r>
        <w:rPr>
          <w:rFonts w:ascii="Univers" w:hAnsi="Univers"/>
          <w:sz w:val="20"/>
        </w:rPr>
        <w:t xml:space="preserve"> artículo</w:t>
      </w:r>
      <w:r w:rsidR="00E57C67">
        <w:rPr>
          <w:rFonts w:ascii="Univers" w:hAnsi="Univers"/>
          <w:sz w:val="20"/>
        </w:rPr>
        <w:t>s</w:t>
      </w:r>
      <w:r>
        <w:rPr>
          <w:rFonts w:ascii="Univers" w:hAnsi="Univers"/>
          <w:sz w:val="20"/>
        </w:rPr>
        <w:t xml:space="preserve"> 1.1</w:t>
      </w:r>
      <w:r w:rsidR="00E57C67">
        <w:rPr>
          <w:rFonts w:ascii="Univers" w:hAnsi="Univers"/>
          <w:sz w:val="20"/>
        </w:rPr>
        <w:t xml:space="preserve"> y 2</w:t>
      </w:r>
      <w:r w:rsidRPr="00E53CE2">
        <w:rPr>
          <w:rFonts w:ascii="Univers" w:hAnsi="Univers"/>
          <w:sz w:val="20"/>
        </w:rPr>
        <w:t xml:space="preserve"> del mismo instrumento</w:t>
      </w:r>
      <w:r w:rsidR="008F09CA">
        <w:rPr>
          <w:rFonts w:ascii="Univers" w:hAnsi="Univers"/>
          <w:sz w:val="20"/>
        </w:rPr>
        <w:t>;</w:t>
      </w:r>
      <w:r w:rsidR="008F09CA" w:rsidRPr="008F09CA">
        <w:rPr>
          <w:rFonts w:ascii="Univers" w:hAnsi="Univers"/>
          <w:sz w:val="20"/>
          <w:szCs w:val="20"/>
        </w:rPr>
        <w:t xml:space="preserve"> </w:t>
      </w:r>
      <w:r w:rsidR="008F09CA">
        <w:rPr>
          <w:rFonts w:ascii="Univers" w:hAnsi="Univers"/>
          <w:sz w:val="20"/>
          <w:szCs w:val="20"/>
        </w:rPr>
        <w:t>y de los artículos 1, 6 y 8 de la Convención Interamericana para Prevenir y Sancionar la Tortura</w:t>
      </w:r>
      <w:r w:rsidRPr="00E53CE2">
        <w:rPr>
          <w:rFonts w:ascii="Univers" w:hAnsi="Univers"/>
          <w:color w:val="000000"/>
          <w:sz w:val="20"/>
          <w:szCs w:val="20"/>
        </w:rPr>
        <w:t>;</w:t>
      </w:r>
    </w:p>
    <w:p w:rsidR="00E57C67" w:rsidRDefault="00E57C67" w:rsidP="00870154">
      <w:pPr>
        <w:ind w:firstLine="720"/>
        <w:jc w:val="both"/>
        <w:rPr>
          <w:rFonts w:ascii="Univers" w:hAnsi="Univers"/>
          <w:sz w:val="20"/>
          <w:szCs w:val="20"/>
        </w:rPr>
      </w:pPr>
    </w:p>
    <w:p w:rsidR="00E57C67" w:rsidRPr="00E53CE2" w:rsidRDefault="00E57C67" w:rsidP="00870154">
      <w:pPr>
        <w:ind w:firstLine="720"/>
        <w:jc w:val="both"/>
        <w:rPr>
          <w:rFonts w:ascii="Univers" w:hAnsi="Univers"/>
          <w:sz w:val="20"/>
          <w:szCs w:val="20"/>
        </w:rPr>
      </w:pPr>
      <w:r>
        <w:rPr>
          <w:rFonts w:ascii="Univers" w:hAnsi="Univers"/>
          <w:sz w:val="20"/>
          <w:szCs w:val="20"/>
        </w:rPr>
        <w:t>2.</w:t>
      </w:r>
      <w:r>
        <w:rPr>
          <w:rFonts w:ascii="Univers" w:hAnsi="Univers"/>
          <w:sz w:val="20"/>
          <w:szCs w:val="20"/>
        </w:rPr>
        <w:tab/>
        <w:t>Declarar esta petición inadmisible en lo relativo al artículo XXVI de la Declaración Americana;</w:t>
      </w:r>
    </w:p>
    <w:p w:rsidR="00E1686B" w:rsidRPr="00E53CE2" w:rsidRDefault="00E1686B" w:rsidP="00870154">
      <w:pPr>
        <w:ind w:firstLine="720"/>
        <w:jc w:val="both"/>
        <w:rPr>
          <w:rFonts w:ascii="Univers" w:hAnsi="Univers"/>
          <w:sz w:val="20"/>
          <w:szCs w:val="20"/>
        </w:rPr>
      </w:pPr>
      <w:r>
        <w:rPr>
          <w:rFonts w:ascii="Univers" w:hAnsi="Univers"/>
          <w:noProof/>
          <w:sz w:val="20"/>
          <w:szCs w:val="20"/>
          <w:lang w:val="en-US"/>
        </w:rPr>
        <w:pict>
          <v:shapetype id="_x0000_t202" coordsize="21600,21600" o:spt="202" path="m,l,21600r21600,l21600,xe">
            <v:stroke joinstyle="miter"/>
            <v:path gradientshapeok="t" o:connecttype="rect"/>
          </v:shapetype>
          <v:shape id="_x0000_s1028" type="#_x0000_t202" style="position:absolute;left:0;text-align:left;margin-left:-7.2pt;margin-top:10in;width:266.4pt;height:18pt;z-index:1;mso-wrap-style:tight;mso-position-vertical-relative:page" filled="f" stroked="f">
            <v:textbox>
              <w:txbxContent>
                <w:p w:rsidR="004D33AD" w:rsidRPr="00A339C1" w:rsidRDefault="004D33AD" w:rsidP="00E1686B"/>
              </w:txbxContent>
            </v:textbox>
            <w10:wrap anchory="page"/>
            <w10:anchorlock/>
          </v:shape>
        </w:pict>
      </w:r>
    </w:p>
    <w:p w:rsidR="00E1686B" w:rsidRPr="00E53CE2" w:rsidRDefault="00E57C67" w:rsidP="00870154">
      <w:pPr>
        <w:ind w:firstLine="720"/>
        <w:jc w:val="both"/>
        <w:rPr>
          <w:rFonts w:ascii="Univers" w:hAnsi="Univers"/>
          <w:sz w:val="20"/>
          <w:szCs w:val="20"/>
        </w:rPr>
      </w:pPr>
      <w:r>
        <w:rPr>
          <w:rFonts w:ascii="Univers" w:hAnsi="Univers"/>
          <w:sz w:val="20"/>
          <w:szCs w:val="20"/>
        </w:rPr>
        <w:t>3</w:t>
      </w:r>
      <w:r w:rsidR="00E1686B" w:rsidRPr="00E53CE2">
        <w:rPr>
          <w:rFonts w:ascii="Univers" w:hAnsi="Univers"/>
          <w:sz w:val="20"/>
          <w:szCs w:val="20"/>
        </w:rPr>
        <w:t>.</w:t>
      </w:r>
      <w:r w:rsidR="00E1686B" w:rsidRPr="00E53CE2">
        <w:rPr>
          <w:rFonts w:ascii="Univers" w:hAnsi="Univers"/>
          <w:sz w:val="20"/>
          <w:szCs w:val="20"/>
        </w:rPr>
        <w:tab/>
        <w:t>Notificar esta decisión a ambas</w:t>
      </w:r>
      <w:r w:rsidR="00E1686B">
        <w:rPr>
          <w:rFonts w:ascii="Univers" w:hAnsi="Univers"/>
          <w:sz w:val="20"/>
          <w:szCs w:val="20"/>
        </w:rPr>
        <w:t xml:space="preserve"> partes</w:t>
      </w:r>
      <w:r w:rsidR="00E1686B" w:rsidRPr="00E53CE2">
        <w:rPr>
          <w:rFonts w:ascii="Univers" w:hAnsi="Univers"/>
          <w:sz w:val="20"/>
          <w:szCs w:val="20"/>
        </w:rPr>
        <w:t>;</w:t>
      </w:r>
    </w:p>
    <w:p w:rsidR="00E1686B" w:rsidRPr="00E53CE2" w:rsidRDefault="00E1686B" w:rsidP="00870154">
      <w:pPr>
        <w:ind w:firstLine="720"/>
        <w:jc w:val="both"/>
        <w:rPr>
          <w:rFonts w:ascii="Univers" w:hAnsi="Univers"/>
          <w:sz w:val="20"/>
          <w:szCs w:val="20"/>
        </w:rPr>
      </w:pPr>
    </w:p>
    <w:p w:rsidR="00E1686B" w:rsidRPr="00E53CE2" w:rsidRDefault="00E57C67" w:rsidP="00870154">
      <w:pPr>
        <w:ind w:firstLine="720"/>
        <w:jc w:val="both"/>
        <w:rPr>
          <w:rFonts w:ascii="Univers" w:hAnsi="Univers"/>
          <w:sz w:val="20"/>
          <w:szCs w:val="20"/>
        </w:rPr>
      </w:pPr>
      <w:r>
        <w:rPr>
          <w:rFonts w:ascii="Univers" w:hAnsi="Univers"/>
          <w:sz w:val="20"/>
          <w:szCs w:val="20"/>
        </w:rPr>
        <w:t>4</w:t>
      </w:r>
      <w:r w:rsidR="00E1686B" w:rsidRPr="00E53CE2">
        <w:rPr>
          <w:rFonts w:ascii="Univers" w:hAnsi="Univers"/>
          <w:sz w:val="20"/>
          <w:szCs w:val="20"/>
        </w:rPr>
        <w:t>.</w:t>
      </w:r>
      <w:r w:rsidR="00E1686B" w:rsidRPr="00E53CE2">
        <w:rPr>
          <w:rFonts w:ascii="Univers" w:hAnsi="Univers"/>
          <w:sz w:val="20"/>
          <w:szCs w:val="20"/>
        </w:rPr>
        <w:tab/>
        <w:t>Continuar con el análisis del fondo del asunto;</w:t>
      </w:r>
    </w:p>
    <w:p w:rsidR="00E1686B" w:rsidRPr="00E53CE2" w:rsidRDefault="00E1686B" w:rsidP="00870154">
      <w:pPr>
        <w:ind w:firstLine="720"/>
        <w:jc w:val="both"/>
        <w:rPr>
          <w:rFonts w:ascii="Univers" w:hAnsi="Univers"/>
          <w:sz w:val="20"/>
          <w:szCs w:val="20"/>
        </w:rPr>
      </w:pPr>
    </w:p>
    <w:p w:rsidR="00E1686B" w:rsidRDefault="00E57C67" w:rsidP="00870154">
      <w:pPr>
        <w:autoSpaceDE w:val="0"/>
        <w:autoSpaceDN w:val="0"/>
        <w:adjustRightInd w:val="0"/>
        <w:ind w:firstLine="720"/>
        <w:jc w:val="both"/>
        <w:rPr>
          <w:rFonts w:ascii="Univers" w:hAnsi="Univers"/>
          <w:sz w:val="20"/>
          <w:szCs w:val="20"/>
        </w:rPr>
      </w:pPr>
      <w:r>
        <w:rPr>
          <w:rFonts w:ascii="Univers" w:hAnsi="Univers"/>
          <w:sz w:val="20"/>
          <w:szCs w:val="20"/>
        </w:rPr>
        <w:t>5</w:t>
      </w:r>
      <w:r w:rsidR="00E1686B" w:rsidRPr="00E53CE2">
        <w:rPr>
          <w:rFonts w:ascii="Univers" w:hAnsi="Univers"/>
          <w:sz w:val="20"/>
          <w:szCs w:val="20"/>
        </w:rPr>
        <w:t>.</w:t>
      </w:r>
      <w:r w:rsidR="00E1686B" w:rsidRPr="00E53CE2">
        <w:rPr>
          <w:rFonts w:ascii="Univers" w:hAnsi="Univers"/>
          <w:sz w:val="20"/>
          <w:szCs w:val="20"/>
        </w:rPr>
        <w:tab/>
        <w:t xml:space="preserve">Publicar esta decisión e incluirla </w:t>
      </w:r>
      <w:smartTag w:uri="SmartTagTypeLegixLinks" w:element="LegixLinks">
        <w:smartTagPr>
          <w:attr w:name="Base" w:val="Codigo"/>
          <w:attr w:name="ID" w:val="30094"/>
        </w:smartTagPr>
        <w:r w:rsidR="00E1686B" w:rsidRPr="00E53CE2">
          <w:rPr>
            <w:rFonts w:ascii="Univers" w:hAnsi="Univers"/>
            <w:sz w:val="20"/>
            <w:szCs w:val="20"/>
          </w:rPr>
          <w:t>en</w:t>
        </w:r>
      </w:smartTag>
      <w:r w:rsidR="00E1686B" w:rsidRPr="00E53CE2">
        <w:rPr>
          <w:rFonts w:ascii="Univers" w:hAnsi="Univers"/>
          <w:sz w:val="20"/>
          <w:szCs w:val="20"/>
        </w:rPr>
        <w:t xml:space="preserve"> su Informe Anual a la Asamblea General de la Organización de </w:t>
      </w:r>
      <w:r w:rsidR="00E1686B">
        <w:rPr>
          <w:rFonts w:ascii="Univers" w:hAnsi="Univers"/>
          <w:sz w:val="20"/>
          <w:szCs w:val="20"/>
        </w:rPr>
        <w:t xml:space="preserve">los </w:t>
      </w:r>
      <w:r w:rsidR="00E1686B" w:rsidRPr="00E53CE2">
        <w:rPr>
          <w:rFonts w:ascii="Univers" w:hAnsi="Univers"/>
          <w:sz w:val="20"/>
          <w:szCs w:val="20"/>
        </w:rPr>
        <w:t>Estados Americanos.</w:t>
      </w:r>
    </w:p>
    <w:p w:rsidR="00D82F95" w:rsidRDefault="00D82F95" w:rsidP="00D82F95">
      <w:pPr>
        <w:ind w:firstLine="720"/>
        <w:jc w:val="both"/>
        <w:rPr>
          <w:rFonts w:ascii="Univers" w:hAnsi="Univers" w:cs="Arial"/>
          <w:noProof/>
          <w:spacing w:val="-2"/>
          <w:sz w:val="20"/>
          <w:lang w:val="es-CL"/>
        </w:rPr>
      </w:pPr>
    </w:p>
    <w:p w:rsidR="007475DF" w:rsidRDefault="00D82F95" w:rsidP="007475DF">
      <w:pPr>
        <w:ind w:firstLine="720"/>
        <w:jc w:val="both"/>
        <w:rPr>
          <w:rFonts w:ascii="Univers" w:hAnsi="Univers" w:cs="Arial"/>
          <w:noProof/>
          <w:spacing w:val="-2"/>
          <w:sz w:val="20"/>
          <w:lang w:val="es-CL"/>
        </w:rPr>
      </w:pPr>
      <w:r w:rsidRPr="00981FE3">
        <w:rPr>
          <w:rFonts w:ascii="Univers" w:hAnsi="Univers" w:cs="Arial"/>
          <w:noProof/>
          <w:spacing w:val="-2"/>
          <w:sz w:val="20"/>
          <w:lang w:val="es-CL"/>
        </w:rPr>
        <w:t xml:space="preserve">Dado y firmado en la ciudad de Washington, D.C., a los </w:t>
      </w:r>
      <w:r>
        <w:rPr>
          <w:rFonts w:ascii="Univers" w:hAnsi="Univers" w:cs="Arial"/>
          <w:noProof/>
          <w:spacing w:val="-2"/>
          <w:sz w:val="20"/>
          <w:lang w:val="es-CL"/>
        </w:rPr>
        <w:t>8</w:t>
      </w:r>
      <w:r w:rsidRPr="00981FE3">
        <w:rPr>
          <w:rFonts w:ascii="Univers" w:hAnsi="Univers" w:cs="Arial"/>
          <w:noProof/>
          <w:spacing w:val="-2"/>
          <w:sz w:val="20"/>
          <w:lang w:val="es-CL"/>
        </w:rPr>
        <w:t xml:space="preserve"> días del mes de </w:t>
      </w:r>
      <w:r>
        <w:rPr>
          <w:rFonts w:ascii="Univers" w:hAnsi="Univers" w:cs="Arial"/>
          <w:noProof/>
          <w:spacing w:val="-2"/>
          <w:sz w:val="20"/>
          <w:lang w:val="es-CL"/>
        </w:rPr>
        <w:t>noviembre</w:t>
      </w:r>
      <w:r w:rsidRPr="00981FE3">
        <w:rPr>
          <w:rFonts w:ascii="Univers" w:hAnsi="Univers" w:cs="Arial"/>
          <w:noProof/>
          <w:spacing w:val="-2"/>
          <w:sz w:val="20"/>
          <w:lang w:val="es-CL"/>
        </w:rPr>
        <w:t xml:space="preserve"> de 2012.  (Firmado): José de Jesús Orozco Henríquez, Presidente; Felipe González, Segundo Vicepresidente; Dinah Shelton, Rodrigo Escobar Gil, Rosa María Ortiz, y Rose-Marie Belle Antoine, Miembros de la Comisión.</w:t>
      </w:r>
      <w:r w:rsidRPr="00981FE3">
        <w:rPr>
          <w:rFonts w:ascii="Univers" w:hAnsi="Univers" w:cs="Arial"/>
          <w:noProof/>
          <w:sz w:val="20"/>
          <w:lang w:val="es-CL"/>
        </w:rPr>
        <w:t xml:space="preserve"> </w:t>
      </w:r>
    </w:p>
    <w:sectPr w:rsidR="007475DF" w:rsidSect="00870154">
      <w:headerReference w:type="even" r:id="rId7"/>
      <w:headerReference w:type="default" r:id="rId8"/>
      <w:headerReference w:type="first" r:id="rId9"/>
      <w:pgSz w:w="12240" w:h="15840" w:code="1"/>
      <w:pgMar w:top="1440" w:right="1440" w:bottom="1440" w:left="1440" w:header="720" w:footer="720" w:gutter="0"/>
      <w:cols w:space="720"/>
      <w:titlePg/>
      <w:docGrid w:linePitch="21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56B7" w:rsidRDefault="001556B7">
      <w:r>
        <w:separator/>
      </w:r>
    </w:p>
  </w:endnote>
  <w:endnote w:type="continuationSeparator" w:id="0">
    <w:p w:rsidR="001556B7" w:rsidRDefault="001556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Univers">
    <w:altName w:val="Arial"/>
    <w:panose1 w:val="00000000000000000000"/>
    <w:charset w:val="00"/>
    <w:family w:val="swiss"/>
    <w:notTrueType/>
    <w:pitch w:val="variable"/>
    <w:sig w:usb0="00000003" w:usb1="00000000" w:usb2="00000000" w:usb3="00000000" w:csb0="00000001" w:csb1="00000000"/>
  </w:font>
  <w:font w:name="New York">
    <w:panose1 w:val="02040503060506020304"/>
    <w:charset w:val="00"/>
    <w:family w:val="roman"/>
    <w:notTrueType/>
    <w:pitch w:val="variable"/>
    <w:sig w:usb0="00000003" w:usb1="00000000" w:usb2="00000000" w:usb3="00000000" w:csb0="00000001" w:csb1="00000000"/>
  </w:font>
  <w:font w:name="Apple Chancery">
    <w:charset w:val="00"/>
    <w:family w:val="script"/>
    <w:pitch w:val="variable"/>
    <w:sig w:usb0="00000007" w:usb1="00000000" w:usb2="00000000" w:usb3="00000000" w:csb0="0000009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56B7" w:rsidRDefault="001556B7">
      <w:r>
        <w:separator/>
      </w:r>
    </w:p>
  </w:footnote>
  <w:footnote w:type="continuationSeparator" w:id="0">
    <w:p w:rsidR="001556B7" w:rsidRDefault="001556B7" w:rsidP="005F13FA">
      <w:pPr>
        <w:pStyle w:val="Piedepgina"/>
        <w:rPr>
          <w:lang w:val="en-US"/>
        </w:rPr>
      </w:pPr>
      <w:r>
        <w:rPr>
          <w:lang w:val="en-US"/>
        </w:rPr>
        <w:t>_________________________</w:t>
      </w:r>
    </w:p>
    <w:p w:rsidR="001556B7" w:rsidRPr="005F13FA" w:rsidRDefault="001556B7" w:rsidP="005F13FA">
      <w:pPr>
        <w:pStyle w:val="Piedepgina"/>
        <w:rPr>
          <w:rFonts w:ascii="Univers" w:hAnsi="Univers"/>
          <w:sz w:val="16"/>
          <w:szCs w:val="16"/>
          <w:lang w:val="es-ES"/>
        </w:rPr>
      </w:pPr>
      <w:r w:rsidRPr="005F13FA">
        <w:rPr>
          <w:rFonts w:ascii="Univers" w:hAnsi="Univers"/>
          <w:sz w:val="16"/>
          <w:szCs w:val="16"/>
          <w:lang w:val="es-ES"/>
        </w:rPr>
        <w:t>…/continuación</w:t>
      </w:r>
    </w:p>
  </w:footnote>
  <w:footnote w:type="continuationNotice" w:id="1">
    <w:p w:rsidR="001556B7" w:rsidRPr="005F13FA" w:rsidRDefault="001556B7" w:rsidP="005F13FA">
      <w:pPr>
        <w:jc w:val="right"/>
        <w:rPr>
          <w:rFonts w:ascii="Univers" w:hAnsi="Univers"/>
          <w:lang w:val="es-NI"/>
        </w:rPr>
      </w:pPr>
      <w:proofErr w:type="gramStart"/>
      <w:r w:rsidRPr="005F13FA">
        <w:rPr>
          <w:rFonts w:ascii="Univers" w:hAnsi="Univers"/>
          <w:lang w:val="es-NI"/>
        </w:rPr>
        <w:t>continúa</w:t>
      </w:r>
      <w:proofErr w:type="gramEnd"/>
      <w:r w:rsidRPr="005F13FA">
        <w:rPr>
          <w:rFonts w:ascii="Univers" w:hAnsi="Univers"/>
          <w:lang w:val="es-NI"/>
        </w:rPr>
        <w:t>…/</w:t>
      </w:r>
    </w:p>
  </w:footnote>
  <w:footnote w:id="2">
    <w:p w:rsidR="004D33AD" w:rsidRPr="00D5435F" w:rsidRDefault="004D33AD" w:rsidP="00870154">
      <w:pPr>
        <w:pStyle w:val="Textonotapie"/>
        <w:spacing w:after="120"/>
        <w:ind w:firstLine="720"/>
        <w:rPr>
          <w:rFonts w:ascii="Univers" w:hAnsi="Univers"/>
        </w:rPr>
      </w:pPr>
      <w:r w:rsidRPr="00D5435F">
        <w:rPr>
          <w:rStyle w:val="Refdenotaalpie"/>
          <w:rFonts w:ascii="Univers" w:hAnsi="Univers"/>
        </w:rPr>
        <w:footnoteRef/>
      </w:r>
      <w:r w:rsidRPr="00D5435F">
        <w:rPr>
          <w:rFonts w:ascii="Univers" w:hAnsi="Univers"/>
        </w:rPr>
        <w:t xml:space="preserve"> Los peticionarios señalan que la presunta víctima nació en Croacia en 1937.</w:t>
      </w:r>
    </w:p>
  </w:footnote>
  <w:footnote w:id="3">
    <w:p w:rsidR="004D33AD" w:rsidRPr="00AB3EA3" w:rsidRDefault="004D33AD" w:rsidP="00870154">
      <w:pPr>
        <w:pStyle w:val="Textonotapie"/>
        <w:spacing w:after="120"/>
        <w:ind w:firstLine="720"/>
        <w:rPr>
          <w:rStyle w:val="Refdenotaalpie"/>
          <w:rFonts w:ascii="Univers" w:hAnsi="Univers"/>
          <w:lang w:val="es-PY"/>
        </w:rPr>
      </w:pPr>
      <w:r w:rsidRPr="00AB3EA3">
        <w:rPr>
          <w:rStyle w:val="Refdenotaalpie"/>
          <w:rFonts w:ascii="Univers" w:hAnsi="Univers"/>
          <w:lang w:val="es-PY"/>
        </w:rPr>
        <w:footnoteRef/>
      </w:r>
      <w:r w:rsidRPr="00AB3EA3">
        <w:rPr>
          <w:rStyle w:val="Refdenotaalpie"/>
          <w:rFonts w:ascii="Univers" w:hAnsi="Univers"/>
          <w:lang w:val="es-PY"/>
        </w:rPr>
        <w:t xml:space="preserve"> </w:t>
      </w:r>
      <w:r>
        <w:rPr>
          <w:rFonts w:ascii="Univers" w:hAnsi="Univers"/>
          <w:lang w:val="es-PY"/>
        </w:rPr>
        <w:t>Los peticionarios citan el a</w:t>
      </w:r>
      <w:r w:rsidRPr="00AB3EA3">
        <w:rPr>
          <w:rFonts w:ascii="Univers" w:hAnsi="Univers"/>
          <w:lang w:val="es-PY"/>
        </w:rPr>
        <w:t>rtículo 1,</w:t>
      </w:r>
      <w:r>
        <w:rPr>
          <w:rFonts w:ascii="Univers" w:hAnsi="Univers"/>
          <w:lang w:val="es-PY"/>
        </w:rPr>
        <w:t xml:space="preserve"> de la ley de amnistía, disponible en  </w:t>
      </w:r>
      <w:hyperlink r:id="rId1" w:history="1">
        <w:r w:rsidRPr="00E8066B">
          <w:rPr>
            <w:rStyle w:val="Hipervnculo"/>
            <w:rFonts w:ascii="Univers" w:hAnsi="Univers"/>
            <w:lang w:val="es-PY"/>
          </w:rPr>
          <w:t>http://www.planalto.gov.br/ccivil_03/leis/L6683.htm</w:t>
        </w:r>
      </w:hyperlink>
      <w:r>
        <w:rPr>
          <w:rFonts w:ascii="Univers" w:hAnsi="Univers"/>
          <w:lang w:val="es-PY"/>
        </w:rPr>
        <w:t>.</w:t>
      </w:r>
    </w:p>
  </w:footnote>
  <w:footnote w:id="4">
    <w:p w:rsidR="004D33AD" w:rsidRPr="00B36BD5" w:rsidRDefault="004D33AD" w:rsidP="00870154">
      <w:pPr>
        <w:pStyle w:val="Textonotapie"/>
        <w:spacing w:after="120"/>
        <w:ind w:firstLine="720"/>
        <w:rPr>
          <w:rFonts w:ascii="Univers" w:hAnsi="Univers"/>
          <w:szCs w:val="16"/>
          <w:lang w:val="es-PE"/>
        </w:rPr>
      </w:pPr>
      <w:r w:rsidRPr="00B36BD5">
        <w:rPr>
          <w:rStyle w:val="Refdenotaalpie"/>
          <w:rFonts w:ascii="Univers" w:hAnsi="Univers"/>
          <w:szCs w:val="16"/>
        </w:rPr>
        <w:footnoteRef/>
      </w:r>
      <w:r w:rsidRPr="00B36BD5">
        <w:rPr>
          <w:rFonts w:ascii="Univers" w:hAnsi="Univers"/>
          <w:szCs w:val="16"/>
          <w:lang w:val="es-PE"/>
        </w:rPr>
        <w:t xml:space="preserve"> </w:t>
      </w:r>
      <w:r w:rsidRPr="00F41914">
        <w:rPr>
          <w:rFonts w:ascii="Univers" w:hAnsi="Univers"/>
          <w:i/>
          <w:szCs w:val="16"/>
          <w:lang w:val="es-UY"/>
        </w:rPr>
        <w:t>Véase</w:t>
      </w:r>
      <w:r>
        <w:rPr>
          <w:rFonts w:ascii="Univers" w:hAnsi="Univers"/>
          <w:szCs w:val="16"/>
          <w:lang w:val="es-UY"/>
        </w:rPr>
        <w:t xml:space="preserve">, </w:t>
      </w:r>
      <w:r>
        <w:rPr>
          <w:rFonts w:ascii="Univers" w:hAnsi="Univers"/>
          <w:i/>
          <w:szCs w:val="16"/>
          <w:lang w:val="es-UY"/>
        </w:rPr>
        <w:t xml:space="preserve">mutatis mutandi, </w:t>
      </w:r>
      <w:r>
        <w:rPr>
          <w:rFonts w:ascii="Univers" w:hAnsi="Univers"/>
          <w:szCs w:val="16"/>
          <w:lang w:val="es-UY"/>
        </w:rPr>
        <w:t xml:space="preserve">CIDH. Informe No. 5/11, Admisibilidad, Petición 702-03, </w:t>
      </w:r>
      <w:r>
        <w:rPr>
          <w:rFonts w:ascii="Univers" w:hAnsi="Univers"/>
          <w:i/>
          <w:szCs w:val="16"/>
          <w:lang w:val="es-UY"/>
        </w:rPr>
        <w:t>Ivan Rocha</w:t>
      </w:r>
      <w:r>
        <w:rPr>
          <w:rFonts w:ascii="Univers" w:hAnsi="Univers"/>
          <w:szCs w:val="16"/>
          <w:lang w:val="es-UY"/>
        </w:rPr>
        <w:t xml:space="preserve">, Brasil, 22 de marzo de 2011, párr. 24; citando, </w:t>
      </w:r>
      <w:r>
        <w:rPr>
          <w:rFonts w:ascii="Univers" w:hAnsi="Univers"/>
          <w:i/>
          <w:szCs w:val="16"/>
          <w:lang w:val="es-UY"/>
        </w:rPr>
        <w:t>inter alia,</w:t>
      </w:r>
      <w:r w:rsidRPr="00B36BD5">
        <w:rPr>
          <w:rFonts w:ascii="Univers" w:hAnsi="Univers"/>
          <w:szCs w:val="16"/>
          <w:lang w:val="es-UY"/>
        </w:rPr>
        <w:t xml:space="preserve"> Corte I.D.H, Opinión Consultiva OC-10/89, </w:t>
      </w:r>
      <w:r w:rsidRPr="00B36BD5">
        <w:rPr>
          <w:rFonts w:ascii="Univers" w:hAnsi="Univers"/>
          <w:i/>
          <w:iCs/>
          <w:szCs w:val="16"/>
          <w:lang w:val="es-UY"/>
        </w:rPr>
        <w:t>Interpretación de la Declaración Americana de los Derechos y  Deberes del Hombre dentro del marco del artículo 64 de la Convención Americana sobre Derechos Humanos</w:t>
      </w:r>
      <w:r w:rsidRPr="00B36BD5">
        <w:rPr>
          <w:rFonts w:ascii="Univers" w:hAnsi="Univers"/>
          <w:szCs w:val="16"/>
          <w:lang w:val="es-UY"/>
        </w:rPr>
        <w:t>, 14 de julio de 1989, Ser. A No. 10, párrs. 35-45</w:t>
      </w:r>
      <w:r w:rsidRPr="00B36BD5">
        <w:rPr>
          <w:rFonts w:ascii="Univers" w:hAnsi="Univers"/>
          <w:szCs w:val="16"/>
          <w:lang w:val="es-PE"/>
        </w:rPr>
        <w:t>.</w:t>
      </w:r>
    </w:p>
  </w:footnote>
  <w:footnote w:id="5">
    <w:p w:rsidR="004D33AD" w:rsidRPr="00B36BD5" w:rsidRDefault="004D33AD" w:rsidP="00870154">
      <w:pPr>
        <w:pStyle w:val="Textonotapie"/>
        <w:spacing w:after="120"/>
        <w:ind w:firstLine="720"/>
        <w:rPr>
          <w:rFonts w:ascii="Univers" w:hAnsi="Univers"/>
          <w:szCs w:val="16"/>
          <w:lang w:val="es-PE"/>
        </w:rPr>
      </w:pPr>
      <w:r w:rsidRPr="00B36BD5">
        <w:rPr>
          <w:rStyle w:val="Refdenotaalpie"/>
          <w:rFonts w:ascii="Univers" w:hAnsi="Univers"/>
          <w:szCs w:val="16"/>
        </w:rPr>
        <w:footnoteRef/>
      </w:r>
      <w:r w:rsidRPr="00B36BD5">
        <w:rPr>
          <w:rFonts w:ascii="Univers" w:hAnsi="Univers"/>
          <w:szCs w:val="16"/>
          <w:lang w:val="es-PE"/>
        </w:rPr>
        <w:t xml:space="preserve"> </w:t>
      </w:r>
      <w:r>
        <w:rPr>
          <w:rFonts w:ascii="Univers" w:hAnsi="Univers"/>
          <w:szCs w:val="16"/>
          <w:lang w:val="es-UY"/>
        </w:rPr>
        <w:t xml:space="preserve">CIDH. Informe No. 33/01, Admisibilidad, Petición 11.552, </w:t>
      </w:r>
      <w:r>
        <w:rPr>
          <w:rFonts w:ascii="Univers" w:hAnsi="Univers"/>
          <w:i/>
          <w:szCs w:val="16"/>
          <w:lang w:val="es-UY"/>
        </w:rPr>
        <w:t>Julia Gomes Lund y otros (Guerrilha do Araguaia)</w:t>
      </w:r>
      <w:r>
        <w:rPr>
          <w:rFonts w:ascii="Univers" w:hAnsi="Univers"/>
          <w:szCs w:val="16"/>
          <w:lang w:val="es-UY"/>
        </w:rPr>
        <w:t>, Brasil, 6 de marzo de 2001, párr. 57</w:t>
      </w:r>
      <w:r w:rsidRPr="00B36BD5">
        <w:rPr>
          <w:rFonts w:ascii="Univers" w:hAnsi="Univers"/>
          <w:szCs w:val="16"/>
          <w:lang w:val="es-PE"/>
        </w:rPr>
        <w:t>.</w:t>
      </w:r>
    </w:p>
  </w:footnote>
  <w:footnote w:id="6">
    <w:p w:rsidR="004D33AD" w:rsidRPr="00B36BD5" w:rsidRDefault="004D33AD" w:rsidP="00870154">
      <w:pPr>
        <w:pStyle w:val="Textonotapie"/>
        <w:spacing w:after="120"/>
        <w:ind w:firstLine="720"/>
        <w:rPr>
          <w:rFonts w:ascii="Univers" w:hAnsi="Univers"/>
          <w:szCs w:val="16"/>
          <w:lang w:val="es-PE"/>
        </w:rPr>
      </w:pPr>
      <w:r w:rsidRPr="00B36BD5">
        <w:rPr>
          <w:rStyle w:val="Refdenotaalpie"/>
          <w:rFonts w:ascii="Univers" w:hAnsi="Univers"/>
          <w:szCs w:val="16"/>
        </w:rPr>
        <w:footnoteRef/>
      </w:r>
      <w:r w:rsidRPr="00B36BD5">
        <w:rPr>
          <w:rFonts w:ascii="Univers" w:hAnsi="Univers"/>
          <w:szCs w:val="16"/>
          <w:lang w:val="es-PE"/>
        </w:rPr>
        <w:t xml:space="preserve"> </w:t>
      </w:r>
      <w:r>
        <w:rPr>
          <w:rFonts w:ascii="Univers" w:hAnsi="Univers"/>
          <w:szCs w:val="16"/>
          <w:lang w:val="es-UY"/>
        </w:rPr>
        <w:t xml:space="preserve">CIDH. Informe No. 91/08, Fondo, Caso 11.552, </w:t>
      </w:r>
      <w:r>
        <w:rPr>
          <w:rFonts w:ascii="Univers" w:hAnsi="Univers"/>
          <w:i/>
          <w:szCs w:val="16"/>
          <w:lang w:val="es-UY"/>
        </w:rPr>
        <w:t>Julia Gomes Lund y otros (Guerrilha do Araguaia)</w:t>
      </w:r>
      <w:r>
        <w:rPr>
          <w:rFonts w:ascii="Univers" w:hAnsi="Univers"/>
          <w:szCs w:val="16"/>
          <w:lang w:val="es-UY"/>
        </w:rPr>
        <w:t>, Brasil, 31 de octubre de 2008, párr. 98 (éste corresponde al párrafo 112 de la Demanda ante la Corte Interamericana)</w:t>
      </w:r>
      <w:r w:rsidRPr="00B36BD5">
        <w:rPr>
          <w:rFonts w:ascii="Univers" w:hAnsi="Univers"/>
          <w:szCs w:val="16"/>
          <w:lang w:val="es-PE"/>
        </w:rPr>
        <w:t>.</w:t>
      </w:r>
    </w:p>
  </w:footnote>
  <w:footnote w:id="7">
    <w:p w:rsidR="004D33AD" w:rsidRPr="000E0657" w:rsidRDefault="004D33AD" w:rsidP="00870154">
      <w:pPr>
        <w:pStyle w:val="Textonotapie"/>
        <w:spacing w:after="120"/>
        <w:ind w:firstLine="720"/>
        <w:rPr>
          <w:rFonts w:ascii="Univers" w:hAnsi="Univers"/>
          <w:szCs w:val="16"/>
          <w:lang w:val="pt-BR"/>
        </w:rPr>
      </w:pPr>
      <w:r w:rsidRPr="000E0657">
        <w:rPr>
          <w:rStyle w:val="Refdenotaalpie"/>
          <w:rFonts w:ascii="Univers" w:hAnsi="Univers"/>
          <w:szCs w:val="16"/>
        </w:rPr>
        <w:footnoteRef/>
      </w:r>
      <w:r w:rsidRPr="000E0657">
        <w:rPr>
          <w:rFonts w:ascii="Univers" w:hAnsi="Univers"/>
          <w:szCs w:val="16"/>
          <w:lang w:val="pt-BR"/>
        </w:rPr>
        <w:t xml:space="preserve"> </w:t>
      </w:r>
      <w:r w:rsidRPr="000E0657">
        <w:rPr>
          <w:rFonts w:ascii="Univers" w:hAnsi="Univers"/>
          <w:color w:val="000000"/>
          <w:szCs w:val="16"/>
          <w:lang w:val="pt-BR"/>
        </w:rPr>
        <w:t xml:space="preserve">Corte IDH. </w:t>
      </w:r>
      <w:r w:rsidRPr="00F44B32">
        <w:rPr>
          <w:rFonts w:ascii="Univers" w:hAnsi="Univers"/>
          <w:bCs/>
          <w:i/>
          <w:color w:val="000000"/>
          <w:szCs w:val="16"/>
          <w:lang w:val="pt-BR"/>
        </w:rPr>
        <w:t>Caso Gomes Lund y otros (Guerrilha do Araguaia) Vs. Brasil</w:t>
      </w:r>
      <w:r w:rsidRPr="00F44B32">
        <w:rPr>
          <w:rFonts w:ascii="Univers" w:hAnsi="Univers"/>
          <w:bCs/>
          <w:color w:val="000000"/>
          <w:szCs w:val="16"/>
          <w:lang w:val="pt-BR"/>
        </w:rPr>
        <w:t xml:space="preserve">. </w:t>
      </w:r>
      <w:proofErr w:type="gramStart"/>
      <w:r w:rsidRPr="000E0657">
        <w:rPr>
          <w:rFonts w:ascii="Univers" w:hAnsi="Univers"/>
          <w:color w:val="000000"/>
          <w:szCs w:val="16"/>
          <w:lang w:val="pt-BR"/>
        </w:rPr>
        <w:t>Excepciones</w:t>
      </w:r>
      <w:proofErr w:type="gramEnd"/>
      <w:r w:rsidRPr="000E0657">
        <w:rPr>
          <w:rFonts w:ascii="Univers" w:hAnsi="Univers"/>
          <w:color w:val="000000"/>
          <w:szCs w:val="16"/>
          <w:lang w:val="pt-BR"/>
        </w:rPr>
        <w:t xml:space="preserve"> Preliminares, Fondo, Reparaciones y Costas. Sentencia de 24 de noviembre de 2</w:t>
      </w:r>
      <w:r>
        <w:rPr>
          <w:rFonts w:ascii="Univers" w:hAnsi="Univers"/>
          <w:color w:val="000000"/>
          <w:szCs w:val="16"/>
          <w:lang w:val="pt-BR"/>
        </w:rPr>
        <w:t>010. Serie C No. 219, párr. 135.</w:t>
      </w:r>
    </w:p>
  </w:footnote>
  <w:footnote w:id="8">
    <w:p w:rsidR="004D33AD" w:rsidRPr="00BA3D02" w:rsidRDefault="004D33AD" w:rsidP="00870154">
      <w:pPr>
        <w:pStyle w:val="Textonotapie"/>
        <w:spacing w:after="120"/>
        <w:ind w:firstLine="720"/>
        <w:rPr>
          <w:rFonts w:ascii="Univers" w:hAnsi="Univers"/>
          <w:szCs w:val="16"/>
        </w:rPr>
      </w:pPr>
      <w:r w:rsidRPr="00B36BD5">
        <w:rPr>
          <w:rStyle w:val="Refdenotaalpie"/>
          <w:rFonts w:ascii="Univers" w:hAnsi="Univers"/>
          <w:szCs w:val="16"/>
        </w:rPr>
        <w:footnoteRef/>
      </w:r>
      <w:r w:rsidRPr="00BA3D02">
        <w:rPr>
          <w:rFonts w:ascii="Univers" w:hAnsi="Univers"/>
          <w:szCs w:val="16"/>
          <w:lang w:val="pt-BR"/>
        </w:rPr>
        <w:t xml:space="preserve"> CIDH. </w:t>
      </w:r>
      <w:r w:rsidRPr="00BA3D02">
        <w:rPr>
          <w:rFonts w:ascii="Univers" w:hAnsi="Univers"/>
          <w:szCs w:val="16"/>
        </w:rPr>
        <w:t>Informe No. 29/92, Casos 10.029, 10.036, 10.145, 10.305, 10.372, 10.373, 10.374 y 10.</w:t>
      </w:r>
      <w:r>
        <w:rPr>
          <w:rFonts w:ascii="Univers" w:hAnsi="Univers"/>
          <w:szCs w:val="16"/>
        </w:rPr>
        <w:t>375</w:t>
      </w:r>
      <w:r w:rsidRPr="00BA3D02">
        <w:rPr>
          <w:rFonts w:ascii="Univers" w:hAnsi="Univers"/>
          <w:szCs w:val="16"/>
        </w:rPr>
        <w:t xml:space="preserve">, </w:t>
      </w:r>
      <w:r>
        <w:rPr>
          <w:rFonts w:ascii="Univers" w:hAnsi="Univers"/>
          <w:szCs w:val="16"/>
        </w:rPr>
        <w:t>Uruguay</w:t>
      </w:r>
      <w:r w:rsidRPr="00BA3D02">
        <w:rPr>
          <w:rFonts w:ascii="Univers" w:hAnsi="Univers"/>
          <w:szCs w:val="16"/>
        </w:rPr>
        <w:t xml:space="preserve">, </w:t>
      </w:r>
      <w:r>
        <w:rPr>
          <w:rFonts w:ascii="Univers" w:hAnsi="Univers"/>
          <w:szCs w:val="16"/>
        </w:rPr>
        <w:t>2 de octubre de 1992, IV. ADMISIBILIDAD</w:t>
      </w:r>
      <w:r w:rsidRPr="00BA3D02">
        <w:rPr>
          <w:rFonts w:ascii="Univers" w:hAnsi="Univers"/>
          <w:szCs w:val="16"/>
        </w:rPr>
        <w:t>, párr</w:t>
      </w:r>
      <w:r>
        <w:rPr>
          <w:rFonts w:ascii="Univers" w:hAnsi="Univers"/>
          <w:szCs w:val="16"/>
        </w:rPr>
        <w:t>s</w:t>
      </w:r>
      <w:r w:rsidRPr="00BA3D02">
        <w:rPr>
          <w:rFonts w:ascii="Univers" w:hAnsi="Univers"/>
          <w:szCs w:val="16"/>
        </w:rPr>
        <w:t xml:space="preserve">. </w:t>
      </w:r>
      <w:r>
        <w:rPr>
          <w:rFonts w:ascii="Univers" w:hAnsi="Univers"/>
          <w:szCs w:val="16"/>
        </w:rPr>
        <w:t>15 y 16 (el subrayado es nuestro)</w:t>
      </w:r>
      <w:r w:rsidRPr="00BA3D02">
        <w:rPr>
          <w:rFonts w:ascii="Univers" w:hAnsi="Univers"/>
          <w:szCs w:val="16"/>
        </w:rPr>
        <w:t xml:space="preserve">. </w:t>
      </w:r>
      <w:r w:rsidRPr="00BA3D02">
        <w:rPr>
          <w:rFonts w:ascii="Univers" w:hAnsi="Univers"/>
          <w:i/>
          <w:szCs w:val="16"/>
        </w:rPr>
        <w:t>V</w:t>
      </w:r>
      <w:r>
        <w:rPr>
          <w:rFonts w:ascii="Univers" w:hAnsi="Univers"/>
          <w:i/>
          <w:szCs w:val="16"/>
        </w:rPr>
        <w:t>éase</w:t>
      </w:r>
      <w:r>
        <w:rPr>
          <w:rFonts w:ascii="Univers" w:hAnsi="Univers"/>
          <w:szCs w:val="16"/>
        </w:rPr>
        <w:t xml:space="preserve">, en el mismo sentido, </w:t>
      </w:r>
      <w:r w:rsidRPr="00BA3D02">
        <w:rPr>
          <w:rFonts w:ascii="Univers" w:hAnsi="Univers"/>
          <w:szCs w:val="16"/>
        </w:rPr>
        <w:t xml:space="preserve">CIDH. Informe No. </w:t>
      </w:r>
      <w:r>
        <w:rPr>
          <w:rFonts w:ascii="Univers" w:hAnsi="Univers"/>
          <w:szCs w:val="16"/>
        </w:rPr>
        <w:t>28</w:t>
      </w:r>
      <w:r w:rsidRPr="00BA3D02">
        <w:rPr>
          <w:rFonts w:ascii="Univers" w:hAnsi="Univers"/>
          <w:szCs w:val="16"/>
        </w:rPr>
        <w:t>/92, Casos 10.</w:t>
      </w:r>
      <w:r>
        <w:rPr>
          <w:rFonts w:ascii="Univers" w:hAnsi="Univers"/>
          <w:szCs w:val="16"/>
        </w:rPr>
        <w:t>147</w:t>
      </w:r>
      <w:r w:rsidRPr="00BA3D02">
        <w:rPr>
          <w:rFonts w:ascii="Univers" w:hAnsi="Univers"/>
          <w:szCs w:val="16"/>
        </w:rPr>
        <w:t>, 10.</w:t>
      </w:r>
      <w:r>
        <w:rPr>
          <w:rFonts w:ascii="Univers" w:hAnsi="Univers"/>
          <w:szCs w:val="16"/>
        </w:rPr>
        <w:t>181</w:t>
      </w:r>
      <w:r w:rsidRPr="00BA3D02">
        <w:rPr>
          <w:rFonts w:ascii="Univers" w:hAnsi="Univers"/>
          <w:szCs w:val="16"/>
        </w:rPr>
        <w:t>, 10.</w:t>
      </w:r>
      <w:r>
        <w:rPr>
          <w:rFonts w:ascii="Univers" w:hAnsi="Univers"/>
          <w:szCs w:val="16"/>
        </w:rPr>
        <w:t>240, 10.262</w:t>
      </w:r>
      <w:r w:rsidRPr="00BA3D02">
        <w:rPr>
          <w:rFonts w:ascii="Univers" w:hAnsi="Univers"/>
          <w:szCs w:val="16"/>
        </w:rPr>
        <w:t>, 10.3</w:t>
      </w:r>
      <w:r>
        <w:rPr>
          <w:rFonts w:ascii="Univers" w:hAnsi="Univers"/>
          <w:szCs w:val="16"/>
        </w:rPr>
        <w:t>09</w:t>
      </w:r>
      <w:r w:rsidRPr="00BA3D02">
        <w:rPr>
          <w:rFonts w:ascii="Univers" w:hAnsi="Univers"/>
          <w:szCs w:val="16"/>
        </w:rPr>
        <w:t xml:space="preserve"> y 10.</w:t>
      </w:r>
      <w:r>
        <w:rPr>
          <w:rFonts w:ascii="Univers" w:hAnsi="Univers"/>
          <w:szCs w:val="16"/>
        </w:rPr>
        <w:t>311</w:t>
      </w:r>
      <w:r w:rsidRPr="00BA3D02">
        <w:rPr>
          <w:rFonts w:ascii="Univers" w:hAnsi="Univers"/>
          <w:szCs w:val="16"/>
        </w:rPr>
        <w:t xml:space="preserve">, </w:t>
      </w:r>
      <w:r>
        <w:rPr>
          <w:rFonts w:ascii="Univers" w:hAnsi="Univers"/>
          <w:szCs w:val="16"/>
        </w:rPr>
        <w:t>Argentina</w:t>
      </w:r>
      <w:r w:rsidRPr="00BA3D02">
        <w:rPr>
          <w:rFonts w:ascii="Univers" w:hAnsi="Univers"/>
          <w:szCs w:val="16"/>
        </w:rPr>
        <w:t xml:space="preserve">, </w:t>
      </w:r>
      <w:r>
        <w:rPr>
          <w:rFonts w:ascii="Univers" w:hAnsi="Univers"/>
          <w:szCs w:val="16"/>
        </w:rPr>
        <w:t>2 de octubre de 1992, III. ADMISIBILIDAD Y TRÁMITE ANTE LA COMISIÓN</w:t>
      </w:r>
      <w:r w:rsidRPr="00BA3D02">
        <w:rPr>
          <w:rFonts w:ascii="Univers" w:hAnsi="Univers"/>
          <w:szCs w:val="16"/>
        </w:rPr>
        <w:t xml:space="preserve">, párr. </w:t>
      </w:r>
      <w:r>
        <w:rPr>
          <w:rFonts w:ascii="Univers" w:hAnsi="Univers"/>
          <w:szCs w:val="16"/>
        </w:rPr>
        <w:t>10.</w:t>
      </w:r>
    </w:p>
  </w:footnote>
  <w:footnote w:id="9">
    <w:p w:rsidR="004D33AD" w:rsidRPr="00B94819" w:rsidRDefault="004D33AD" w:rsidP="00870154">
      <w:pPr>
        <w:autoSpaceDE w:val="0"/>
        <w:autoSpaceDN w:val="0"/>
        <w:adjustRightInd w:val="0"/>
        <w:spacing w:after="120"/>
        <w:ind w:firstLine="720"/>
        <w:jc w:val="both"/>
        <w:rPr>
          <w:rFonts w:ascii="Univers" w:hAnsi="Univers" w:cs="Arial"/>
          <w:szCs w:val="16"/>
        </w:rPr>
      </w:pPr>
      <w:r w:rsidRPr="00B94819">
        <w:rPr>
          <w:rStyle w:val="Refdenotaalpie"/>
          <w:rFonts w:ascii="Univers" w:hAnsi="Univers"/>
          <w:szCs w:val="16"/>
        </w:rPr>
        <w:footnoteRef/>
      </w:r>
      <w:r w:rsidRPr="00B94819">
        <w:rPr>
          <w:rFonts w:ascii="Univers" w:hAnsi="Univers"/>
        </w:rPr>
        <w:t xml:space="preserve"> CIDH. Informe No. 42/99, Admisibilidad, Petición 11.045, </w:t>
      </w:r>
      <w:r w:rsidRPr="00B94819">
        <w:rPr>
          <w:rFonts w:ascii="Univers" w:hAnsi="Univers"/>
          <w:i/>
        </w:rPr>
        <w:t>La Cantuta</w:t>
      </w:r>
      <w:r w:rsidRPr="00B94819">
        <w:rPr>
          <w:rFonts w:ascii="Univers" w:hAnsi="Univers"/>
        </w:rPr>
        <w:t xml:space="preserve">, Perú, 11 de marzo de 1999, párr. 43 (el subrayado es nuestro). </w:t>
      </w:r>
      <w:r w:rsidRPr="00B94819">
        <w:rPr>
          <w:rFonts w:ascii="Univers" w:hAnsi="Univers"/>
          <w:i/>
        </w:rPr>
        <w:t>Véase</w:t>
      </w:r>
      <w:r w:rsidRPr="00B94819">
        <w:rPr>
          <w:rFonts w:ascii="Univers" w:hAnsi="Univers"/>
        </w:rPr>
        <w:t xml:space="preserve">, en el mismo sentido, CIDH. </w:t>
      </w:r>
      <w:r w:rsidRPr="00B94819">
        <w:rPr>
          <w:rFonts w:ascii="Univers" w:hAnsi="Univers"/>
          <w:i/>
        </w:rPr>
        <w:t>Demanda ante la Corte Interamericana de Derechos Humanos contra la República del Perú</w:t>
      </w:r>
      <w:r w:rsidRPr="00B94819">
        <w:rPr>
          <w:rFonts w:ascii="Univers" w:hAnsi="Univers"/>
        </w:rPr>
        <w:t xml:space="preserve">, Caso 11.528, Barrios Altos, párr. 54, disponible en </w:t>
      </w:r>
      <w:hyperlink r:id="rId2" w:history="1">
        <w:r w:rsidRPr="00B94819">
          <w:rPr>
            <w:rStyle w:val="Hipervnculo"/>
            <w:rFonts w:ascii="Univers" w:hAnsi="Univers" w:cs="Arial"/>
            <w:szCs w:val="16"/>
          </w:rPr>
          <w:t>http://www.corteidh.or.cr/docs/casos/barrios/demanda.PDF</w:t>
        </w:r>
      </w:hyperlink>
      <w:r w:rsidRPr="00B94819">
        <w:rPr>
          <w:rFonts w:ascii="Univers" w:hAnsi="Univers" w:cs="Arial"/>
        </w:rPr>
        <w:t>.</w:t>
      </w:r>
    </w:p>
  </w:footnote>
  <w:footnote w:id="10">
    <w:p w:rsidR="000D5091" w:rsidRPr="009C1BB7" w:rsidRDefault="000D5091" w:rsidP="00870154">
      <w:pPr>
        <w:pStyle w:val="Textonotapie"/>
        <w:spacing w:after="120"/>
        <w:ind w:firstLine="720"/>
        <w:rPr>
          <w:rFonts w:ascii="Univers" w:hAnsi="Univers"/>
        </w:rPr>
      </w:pPr>
      <w:r w:rsidRPr="009C1BB7">
        <w:rPr>
          <w:rStyle w:val="Refdenotaalpie"/>
          <w:rFonts w:ascii="Univers" w:hAnsi="Univers"/>
        </w:rPr>
        <w:footnoteRef/>
      </w:r>
      <w:r w:rsidRPr="009C1BB7">
        <w:rPr>
          <w:rFonts w:ascii="Univers" w:hAnsi="Univers"/>
        </w:rPr>
        <w:t xml:space="preserve"> Véase Anexo 8 de la petición inicial.</w:t>
      </w:r>
    </w:p>
  </w:footnote>
  <w:footnote w:id="11">
    <w:p w:rsidR="004D33AD" w:rsidRPr="009C1BB7" w:rsidRDefault="004D33AD" w:rsidP="00870154">
      <w:pPr>
        <w:pStyle w:val="Textonotapie"/>
        <w:spacing w:after="120"/>
        <w:ind w:firstLine="720"/>
        <w:rPr>
          <w:rFonts w:ascii="Univers" w:hAnsi="Univers"/>
        </w:rPr>
      </w:pPr>
      <w:r w:rsidRPr="009C1BB7">
        <w:rPr>
          <w:rStyle w:val="Refdenotaalpie"/>
          <w:rFonts w:ascii="Univers" w:hAnsi="Univers"/>
        </w:rPr>
        <w:footnoteRef/>
      </w:r>
      <w:r>
        <w:rPr>
          <w:rFonts w:ascii="Univers" w:hAnsi="Univers"/>
        </w:rPr>
        <w:t xml:space="preserve"> Véase Anexo 7</w:t>
      </w:r>
      <w:r w:rsidRPr="009C1BB7">
        <w:rPr>
          <w:rFonts w:ascii="Univers" w:hAnsi="Univers"/>
        </w:rPr>
        <w:t xml:space="preserve"> de la petición inicial.</w:t>
      </w:r>
    </w:p>
  </w:footnote>
  <w:footnote w:id="12">
    <w:p w:rsidR="004D33AD" w:rsidRPr="009C1BB7" w:rsidRDefault="004D33AD" w:rsidP="00870154">
      <w:pPr>
        <w:pStyle w:val="Textonotapie"/>
        <w:spacing w:after="120"/>
        <w:ind w:firstLine="720"/>
        <w:rPr>
          <w:rFonts w:ascii="Univers" w:hAnsi="Univers"/>
        </w:rPr>
      </w:pPr>
      <w:r w:rsidRPr="009C1BB7">
        <w:rPr>
          <w:rStyle w:val="Refdenotaalpie"/>
          <w:rFonts w:ascii="Univers" w:hAnsi="Univers"/>
        </w:rPr>
        <w:footnoteRef/>
      </w:r>
      <w:r>
        <w:rPr>
          <w:rFonts w:ascii="Univers" w:hAnsi="Univers"/>
        </w:rPr>
        <w:t xml:space="preserve"> Véase Anexo 11</w:t>
      </w:r>
      <w:r w:rsidRPr="009C1BB7">
        <w:rPr>
          <w:rFonts w:ascii="Univers" w:hAnsi="Univers"/>
        </w:rPr>
        <w:t xml:space="preserve"> de la petición inicial.</w:t>
      </w:r>
    </w:p>
  </w:footnote>
  <w:footnote w:id="13">
    <w:p w:rsidR="004D33AD" w:rsidRPr="009C1BB7" w:rsidRDefault="004D33AD" w:rsidP="00870154">
      <w:pPr>
        <w:pStyle w:val="Textonotapie"/>
        <w:spacing w:after="120"/>
        <w:ind w:firstLine="720"/>
        <w:rPr>
          <w:rFonts w:ascii="Univers" w:hAnsi="Univers"/>
        </w:rPr>
      </w:pPr>
      <w:r w:rsidRPr="009C1BB7">
        <w:rPr>
          <w:rStyle w:val="Refdenotaalpie"/>
          <w:rFonts w:ascii="Univers" w:hAnsi="Univers"/>
        </w:rPr>
        <w:footnoteRef/>
      </w:r>
      <w:r>
        <w:rPr>
          <w:rFonts w:ascii="Univers" w:hAnsi="Univers"/>
        </w:rPr>
        <w:t xml:space="preserve"> Véase Anexo</w:t>
      </w:r>
      <w:r w:rsidRPr="009C1BB7">
        <w:rPr>
          <w:rFonts w:ascii="Univers" w:hAnsi="Univers"/>
        </w:rPr>
        <w:t xml:space="preserve"> </w:t>
      </w:r>
      <w:r>
        <w:rPr>
          <w:rFonts w:ascii="Univers" w:hAnsi="Univers"/>
        </w:rPr>
        <w:t xml:space="preserve">12 </w:t>
      </w:r>
      <w:r w:rsidRPr="009C1BB7">
        <w:rPr>
          <w:rFonts w:ascii="Univers" w:hAnsi="Univers"/>
        </w:rPr>
        <w:t>de la petición inicial.</w:t>
      </w:r>
    </w:p>
  </w:footnote>
  <w:footnote w:id="14">
    <w:p w:rsidR="004D33AD" w:rsidRPr="009C1BB7" w:rsidRDefault="004D33AD" w:rsidP="00870154">
      <w:pPr>
        <w:pStyle w:val="Textonotapie"/>
        <w:spacing w:after="120"/>
        <w:ind w:firstLine="720"/>
        <w:rPr>
          <w:rFonts w:ascii="Univers" w:hAnsi="Univers"/>
        </w:rPr>
      </w:pPr>
      <w:r w:rsidRPr="009C1BB7">
        <w:rPr>
          <w:rStyle w:val="Refdenotaalpie"/>
          <w:rFonts w:ascii="Univers" w:hAnsi="Univers"/>
        </w:rPr>
        <w:footnoteRef/>
      </w:r>
      <w:r w:rsidRPr="009C1BB7">
        <w:rPr>
          <w:rFonts w:ascii="Univers" w:hAnsi="Univers"/>
        </w:rPr>
        <w:t xml:space="preserve"> Véase Anexo </w:t>
      </w:r>
      <w:r>
        <w:rPr>
          <w:rFonts w:ascii="Univers" w:hAnsi="Univers"/>
        </w:rPr>
        <w:t>13</w:t>
      </w:r>
      <w:r w:rsidRPr="009C1BB7">
        <w:rPr>
          <w:rFonts w:ascii="Univers" w:hAnsi="Univers"/>
        </w:rPr>
        <w:t xml:space="preserve"> de la petición inicial.</w:t>
      </w:r>
    </w:p>
  </w:footnote>
  <w:footnote w:id="15">
    <w:p w:rsidR="004D33AD" w:rsidRPr="009C1BB7" w:rsidRDefault="004D33AD" w:rsidP="00870154">
      <w:pPr>
        <w:pStyle w:val="Textonotapie"/>
        <w:spacing w:after="120"/>
        <w:ind w:firstLine="720"/>
        <w:rPr>
          <w:rFonts w:ascii="Univers" w:hAnsi="Univers"/>
        </w:rPr>
      </w:pPr>
      <w:r w:rsidRPr="009C1BB7">
        <w:rPr>
          <w:rStyle w:val="Refdenotaalpie"/>
          <w:rFonts w:ascii="Univers" w:hAnsi="Univers"/>
        </w:rPr>
        <w:footnoteRef/>
      </w:r>
      <w:r>
        <w:rPr>
          <w:rFonts w:ascii="Univers" w:hAnsi="Univers"/>
        </w:rPr>
        <w:t xml:space="preserve"> Véase Anexo 14</w:t>
      </w:r>
      <w:r w:rsidRPr="009C1BB7">
        <w:rPr>
          <w:rFonts w:ascii="Univers" w:hAnsi="Univers"/>
        </w:rPr>
        <w:t xml:space="preserve"> de la petición inicial.</w:t>
      </w:r>
    </w:p>
  </w:footnote>
  <w:footnote w:id="16">
    <w:p w:rsidR="004D33AD" w:rsidRPr="000E0657" w:rsidRDefault="004D33AD" w:rsidP="00870154">
      <w:pPr>
        <w:pStyle w:val="Textonotapie"/>
        <w:spacing w:after="120"/>
        <w:ind w:firstLine="720"/>
        <w:rPr>
          <w:rFonts w:ascii="Univers" w:hAnsi="Univers"/>
          <w:szCs w:val="16"/>
          <w:lang w:val="pt-BR"/>
        </w:rPr>
      </w:pPr>
      <w:r w:rsidRPr="001430C6">
        <w:rPr>
          <w:rStyle w:val="Refdenotaalpie"/>
          <w:rFonts w:ascii="Univers" w:hAnsi="Univers"/>
          <w:szCs w:val="16"/>
        </w:rPr>
        <w:footnoteRef/>
      </w:r>
      <w:r w:rsidRPr="001430C6">
        <w:rPr>
          <w:rFonts w:ascii="Univers" w:hAnsi="Univers"/>
          <w:szCs w:val="16"/>
          <w:lang w:val="pt-BR"/>
        </w:rPr>
        <w:t xml:space="preserve"> </w:t>
      </w:r>
      <w:r w:rsidRPr="001430C6">
        <w:rPr>
          <w:rFonts w:ascii="Univers" w:hAnsi="Univers"/>
          <w:color w:val="000000"/>
          <w:szCs w:val="16"/>
          <w:lang w:val="pt-BR"/>
        </w:rPr>
        <w:t xml:space="preserve">Corte IDH. </w:t>
      </w:r>
      <w:r w:rsidRPr="001430C6">
        <w:rPr>
          <w:rFonts w:ascii="Univers" w:hAnsi="Univers"/>
          <w:bCs/>
          <w:i/>
          <w:color w:val="000000"/>
          <w:szCs w:val="16"/>
          <w:lang w:val="pt-BR"/>
        </w:rPr>
        <w:t xml:space="preserve">Caso Gomes Lund y otros (Guerrilha do Araguaia) Vs. </w:t>
      </w:r>
      <w:r w:rsidRPr="001430C6">
        <w:rPr>
          <w:rFonts w:ascii="Univers" w:hAnsi="Univers"/>
          <w:bCs/>
          <w:i/>
          <w:color w:val="000000"/>
          <w:szCs w:val="16"/>
        </w:rPr>
        <w:t>Brasil</w:t>
      </w:r>
      <w:r w:rsidRPr="001430C6">
        <w:rPr>
          <w:rFonts w:ascii="Univers" w:hAnsi="Univers"/>
          <w:bCs/>
          <w:color w:val="000000"/>
          <w:szCs w:val="16"/>
        </w:rPr>
        <w:t xml:space="preserve">. </w:t>
      </w:r>
      <w:proofErr w:type="gramStart"/>
      <w:r w:rsidRPr="001430C6">
        <w:rPr>
          <w:rFonts w:ascii="Univers" w:hAnsi="Univers"/>
          <w:color w:val="000000"/>
          <w:szCs w:val="16"/>
        </w:rPr>
        <w:t>Excepciones</w:t>
      </w:r>
      <w:proofErr w:type="gramEnd"/>
      <w:r w:rsidRPr="001430C6">
        <w:rPr>
          <w:rFonts w:ascii="Univers" w:hAnsi="Univers"/>
          <w:color w:val="000000"/>
          <w:szCs w:val="16"/>
        </w:rPr>
        <w:t xml:space="preserve"> Preliminares, Fondo,</w:t>
      </w:r>
      <w:r w:rsidRPr="0049057C">
        <w:rPr>
          <w:rFonts w:ascii="Univers" w:hAnsi="Univers"/>
          <w:color w:val="000000"/>
          <w:szCs w:val="16"/>
        </w:rPr>
        <w:t xml:space="preserve"> Reparaciones y Costas. Sentencia de 24 de noviembre de 2010. </w:t>
      </w:r>
      <w:r>
        <w:rPr>
          <w:rFonts w:ascii="Univers" w:hAnsi="Univers"/>
          <w:color w:val="000000"/>
          <w:szCs w:val="16"/>
          <w:lang w:val="pt-BR"/>
        </w:rPr>
        <w:t>Serie C No. 219, párrs. 41 y 42.</w:t>
      </w:r>
    </w:p>
  </w:footnote>
  <w:footnote w:id="17">
    <w:p w:rsidR="004D33AD" w:rsidRPr="00C07FD2" w:rsidRDefault="004D33AD" w:rsidP="00870154">
      <w:pPr>
        <w:pStyle w:val="Textonotapie"/>
        <w:spacing w:after="120"/>
        <w:ind w:firstLine="720"/>
        <w:rPr>
          <w:rFonts w:ascii="Univers" w:hAnsi="Univers"/>
          <w:szCs w:val="16"/>
          <w:lang w:val="pt-BR"/>
        </w:rPr>
      </w:pPr>
      <w:r w:rsidRPr="001430C6">
        <w:rPr>
          <w:rStyle w:val="Refdenotaalpie"/>
          <w:rFonts w:ascii="Univers" w:hAnsi="Univers"/>
          <w:szCs w:val="16"/>
        </w:rPr>
        <w:footnoteRef/>
      </w:r>
      <w:r w:rsidRPr="001430C6">
        <w:rPr>
          <w:rFonts w:ascii="Univers" w:hAnsi="Univers"/>
          <w:szCs w:val="16"/>
          <w:lang w:val="pt-BR"/>
        </w:rPr>
        <w:t xml:space="preserve"> </w:t>
      </w:r>
      <w:r w:rsidRPr="001430C6">
        <w:rPr>
          <w:rFonts w:ascii="Univers" w:hAnsi="Univers"/>
          <w:color w:val="000000"/>
          <w:szCs w:val="16"/>
          <w:lang w:val="pt-BR"/>
        </w:rPr>
        <w:t xml:space="preserve">Corte IDH. </w:t>
      </w:r>
      <w:r w:rsidRPr="001430C6">
        <w:rPr>
          <w:rFonts w:ascii="Univers" w:hAnsi="Univers"/>
          <w:bCs/>
          <w:i/>
          <w:color w:val="000000"/>
          <w:szCs w:val="16"/>
          <w:lang w:val="pt-BR"/>
        </w:rPr>
        <w:t xml:space="preserve">Caso Gomes Lund y otros (Guerrilha do Araguaia) Vs. </w:t>
      </w:r>
      <w:r w:rsidRPr="001430C6">
        <w:rPr>
          <w:rFonts w:ascii="Univers" w:hAnsi="Univers"/>
          <w:bCs/>
          <w:i/>
          <w:color w:val="000000"/>
          <w:szCs w:val="16"/>
        </w:rPr>
        <w:t>Brasil</w:t>
      </w:r>
      <w:r w:rsidRPr="001430C6">
        <w:rPr>
          <w:rFonts w:ascii="Univers" w:hAnsi="Univers"/>
          <w:bCs/>
          <w:color w:val="000000"/>
          <w:szCs w:val="16"/>
        </w:rPr>
        <w:t xml:space="preserve">. </w:t>
      </w:r>
      <w:proofErr w:type="gramStart"/>
      <w:r w:rsidRPr="001430C6">
        <w:rPr>
          <w:rFonts w:ascii="Univers" w:hAnsi="Univers"/>
          <w:color w:val="000000"/>
          <w:szCs w:val="16"/>
        </w:rPr>
        <w:t>Excepciones</w:t>
      </w:r>
      <w:proofErr w:type="gramEnd"/>
      <w:r w:rsidRPr="001430C6">
        <w:rPr>
          <w:rFonts w:ascii="Univers" w:hAnsi="Univers"/>
          <w:color w:val="000000"/>
          <w:szCs w:val="16"/>
        </w:rPr>
        <w:t xml:space="preserve"> Preliminares, Fondo,</w:t>
      </w:r>
      <w:r w:rsidRPr="0049057C">
        <w:rPr>
          <w:rFonts w:ascii="Univers" w:hAnsi="Univers"/>
          <w:color w:val="000000"/>
          <w:szCs w:val="16"/>
        </w:rPr>
        <w:t xml:space="preserve"> Reparaciones y Costas. Sentencia de 24 de noviembre de 2010. </w:t>
      </w:r>
      <w:r w:rsidRPr="00980660">
        <w:rPr>
          <w:rFonts w:ascii="Univers" w:hAnsi="Univers"/>
          <w:color w:val="000000"/>
          <w:szCs w:val="16"/>
        </w:rPr>
        <w:t xml:space="preserve">Serie C No. 219, párr. </w:t>
      </w:r>
      <w:r w:rsidRPr="00C07FD2">
        <w:rPr>
          <w:rFonts w:ascii="Univers" w:hAnsi="Univers"/>
          <w:color w:val="000000"/>
          <w:szCs w:val="16"/>
          <w:lang w:val="pt-BR"/>
        </w:rPr>
        <w:t>43.</w:t>
      </w:r>
    </w:p>
  </w:footnote>
  <w:footnote w:id="18">
    <w:p w:rsidR="004D33AD" w:rsidRPr="001430C6" w:rsidRDefault="004D33AD" w:rsidP="00870154">
      <w:pPr>
        <w:pStyle w:val="Textonotapie"/>
        <w:spacing w:after="120"/>
        <w:ind w:firstLine="720"/>
        <w:rPr>
          <w:rFonts w:ascii="Univers" w:hAnsi="Univers"/>
          <w:szCs w:val="16"/>
        </w:rPr>
      </w:pPr>
      <w:r w:rsidRPr="001430C6">
        <w:rPr>
          <w:rStyle w:val="Refdenotaalpie"/>
          <w:rFonts w:ascii="Univers" w:hAnsi="Univers"/>
          <w:szCs w:val="16"/>
        </w:rPr>
        <w:footnoteRef/>
      </w:r>
      <w:r w:rsidRPr="001430C6">
        <w:rPr>
          <w:rFonts w:ascii="Univers" w:hAnsi="Univers"/>
          <w:szCs w:val="16"/>
          <w:lang w:val="pt-BR"/>
        </w:rPr>
        <w:t xml:space="preserve"> </w:t>
      </w:r>
      <w:r w:rsidRPr="001430C6">
        <w:rPr>
          <w:rFonts w:ascii="Univers" w:hAnsi="Univers"/>
          <w:i/>
          <w:szCs w:val="16"/>
          <w:lang w:val="pt-BR"/>
        </w:rPr>
        <w:t xml:space="preserve">Véase </w:t>
      </w:r>
      <w:proofErr w:type="gramStart"/>
      <w:r w:rsidR="00315BD7">
        <w:rPr>
          <w:rFonts w:ascii="Univers" w:hAnsi="Univers"/>
          <w:color w:val="000000"/>
          <w:szCs w:val="16"/>
          <w:lang w:val="pt-BR"/>
        </w:rPr>
        <w:t>referencias</w:t>
      </w:r>
      <w:proofErr w:type="gramEnd"/>
      <w:r w:rsidR="00315BD7">
        <w:rPr>
          <w:rFonts w:ascii="Univers" w:hAnsi="Univers"/>
          <w:color w:val="000000"/>
          <w:szCs w:val="16"/>
          <w:lang w:val="pt-BR"/>
        </w:rPr>
        <w:t xml:space="preserve"> a es</w:t>
      </w:r>
      <w:r w:rsidRPr="001430C6">
        <w:rPr>
          <w:rFonts w:ascii="Univers" w:hAnsi="Univers"/>
          <w:color w:val="000000"/>
          <w:szCs w:val="16"/>
          <w:lang w:val="pt-BR"/>
        </w:rPr>
        <w:t xml:space="preserve">e Informe Final </w:t>
      </w:r>
      <w:r w:rsidRPr="001430C6">
        <w:rPr>
          <w:rFonts w:ascii="Univers" w:hAnsi="Univers"/>
          <w:i/>
          <w:color w:val="000000"/>
          <w:szCs w:val="16"/>
          <w:lang w:val="pt-BR"/>
        </w:rPr>
        <w:t xml:space="preserve">en </w:t>
      </w:r>
      <w:r w:rsidRPr="001430C6">
        <w:rPr>
          <w:rFonts w:ascii="Univers" w:hAnsi="Univers"/>
          <w:color w:val="000000"/>
          <w:szCs w:val="16"/>
          <w:lang w:val="pt-BR"/>
        </w:rPr>
        <w:t xml:space="preserve">Corte IDH. </w:t>
      </w:r>
      <w:r w:rsidRPr="001430C6">
        <w:rPr>
          <w:rFonts w:ascii="Univers" w:hAnsi="Univers"/>
          <w:bCs/>
          <w:i/>
          <w:color w:val="000000"/>
          <w:szCs w:val="16"/>
          <w:lang w:val="pt-BR"/>
        </w:rPr>
        <w:t xml:space="preserve">Caso Gomes Lund y otros (Guerrilha do Araguaia) Vs. </w:t>
      </w:r>
      <w:r w:rsidRPr="001430C6">
        <w:rPr>
          <w:rFonts w:ascii="Univers" w:hAnsi="Univers"/>
          <w:bCs/>
          <w:i/>
          <w:color w:val="000000"/>
          <w:szCs w:val="16"/>
        </w:rPr>
        <w:t>Brasil</w:t>
      </w:r>
      <w:r w:rsidRPr="001430C6">
        <w:rPr>
          <w:rFonts w:ascii="Univers" w:hAnsi="Univers"/>
          <w:bCs/>
          <w:color w:val="000000"/>
          <w:szCs w:val="16"/>
        </w:rPr>
        <w:t xml:space="preserve">. </w:t>
      </w:r>
      <w:proofErr w:type="gramStart"/>
      <w:r w:rsidRPr="001430C6">
        <w:rPr>
          <w:rFonts w:ascii="Univers" w:hAnsi="Univers"/>
          <w:color w:val="000000"/>
          <w:szCs w:val="16"/>
        </w:rPr>
        <w:t>Excepciones</w:t>
      </w:r>
      <w:proofErr w:type="gramEnd"/>
      <w:r w:rsidRPr="001430C6">
        <w:rPr>
          <w:rFonts w:ascii="Univers" w:hAnsi="Univers"/>
          <w:color w:val="000000"/>
          <w:szCs w:val="16"/>
        </w:rPr>
        <w:t xml:space="preserve"> Preliminares, Fondo, Reparaciones y Costas. Sentencia de 24 de noviembre de 2010. Serie C No. 219, párrs. 43, 44, 47 y 48, entre otros.</w:t>
      </w:r>
    </w:p>
  </w:footnote>
  <w:footnote w:id="19">
    <w:p w:rsidR="004D33AD" w:rsidRPr="003938EF" w:rsidRDefault="004D33AD" w:rsidP="00870154">
      <w:pPr>
        <w:pStyle w:val="Textonotapie"/>
        <w:spacing w:after="120"/>
        <w:ind w:firstLine="720"/>
        <w:rPr>
          <w:rFonts w:ascii="Univers" w:hAnsi="Univers"/>
        </w:rPr>
      </w:pPr>
      <w:r w:rsidRPr="003938EF">
        <w:rPr>
          <w:rStyle w:val="Refdenotaalpie"/>
          <w:rFonts w:ascii="Univers" w:hAnsi="Univers"/>
        </w:rPr>
        <w:footnoteRef/>
      </w:r>
      <w:r w:rsidRPr="003938EF">
        <w:rPr>
          <w:rFonts w:ascii="Univers" w:hAnsi="Univers"/>
        </w:rPr>
        <w:t xml:space="preserve"> Véase Anexo III de la contestación del Estado – </w:t>
      </w:r>
      <w:r w:rsidRPr="003938EF">
        <w:rPr>
          <w:rFonts w:ascii="Univers" w:hAnsi="Univers"/>
          <w:szCs w:val="16"/>
        </w:rPr>
        <w:t xml:space="preserve">Comisión Especial sobre Muertos y Desaparecidos Políticos. </w:t>
      </w:r>
      <w:r w:rsidRPr="003938EF">
        <w:rPr>
          <w:rFonts w:ascii="Univers" w:hAnsi="Univers"/>
          <w:i/>
          <w:iCs/>
          <w:szCs w:val="16"/>
          <w:lang w:val="pt-BR"/>
        </w:rPr>
        <w:t>Direito à Memória e à Verdade. Brasília: Secretaria Especial dos Direitos Humanos da Presidência da República</w:t>
      </w:r>
      <w:r w:rsidRPr="003938EF">
        <w:rPr>
          <w:rFonts w:ascii="Univers" w:hAnsi="Univers"/>
          <w:szCs w:val="16"/>
          <w:lang w:val="pt-BR"/>
        </w:rPr>
        <w:t xml:space="preserve">, 2007. </w:t>
      </w:r>
      <w:r w:rsidRPr="00E77397">
        <w:rPr>
          <w:rFonts w:ascii="Univers" w:hAnsi="Univers"/>
          <w:szCs w:val="16"/>
        </w:rPr>
        <w:t>P</w:t>
      </w:r>
      <w:r w:rsidRPr="00E77397">
        <w:rPr>
          <w:rFonts w:ascii="Univers" w:hAnsi="Univers"/>
        </w:rPr>
        <w:t xml:space="preserve">ágs. </w:t>
      </w:r>
      <w:r w:rsidRPr="003938EF">
        <w:rPr>
          <w:rFonts w:ascii="Univers" w:hAnsi="Univers"/>
        </w:rPr>
        <w:t>407 y 408.</w:t>
      </w:r>
    </w:p>
  </w:footnote>
  <w:footnote w:id="20">
    <w:p w:rsidR="004D33AD" w:rsidRPr="009C1BB7" w:rsidRDefault="004D33AD" w:rsidP="00870154">
      <w:pPr>
        <w:pStyle w:val="Textonotapie"/>
        <w:spacing w:after="120"/>
        <w:ind w:firstLine="720"/>
        <w:rPr>
          <w:rFonts w:ascii="Univers" w:hAnsi="Univers"/>
        </w:rPr>
      </w:pPr>
      <w:r w:rsidRPr="009C1BB7">
        <w:rPr>
          <w:rStyle w:val="Refdenotaalpie"/>
          <w:rFonts w:ascii="Univers" w:hAnsi="Univers"/>
        </w:rPr>
        <w:footnoteRef/>
      </w:r>
      <w:r>
        <w:rPr>
          <w:rFonts w:ascii="Univers" w:hAnsi="Univers"/>
        </w:rPr>
        <w:t xml:space="preserve"> Véase Anexo 16</w:t>
      </w:r>
      <w:r w:rsidRPr="009C1BB7">
        <w:rPr>
          <w:rFonts w:ascii="Univers" w:hAnsi="Univers"/>
        </w:rPr>
        <w:t xml:space="preserve"> de la petición inicial.</w:t>
      </w:r>
    </w:p>
  </w:footnote>
  <w:footnote w:id="21">
    <w:p w:rsidR="004D33AD" w:rsidRPr="009C1BB7" w:rsidRDefault="004D33AD" w:rsidP="00870154">
      <w:pPr>
        <w:pStyle w:val="Textonotapie"/>
        <w:spacing w:after="120"/>
        <w:ind w:firstLine="720"/>
        <w:rPr>
          <w:rFonts w:ascii="Univers" w:hAnsi="Univers"/>
        </w:rPr>
      </w:pPr>
      <w:r w:rsidRPr="009C1BB7">
        <w:rPr>
          <w:rStyle w:val="Refdenotaalpie"/>
          <w:rFonts w:ascii="Univers" w:hAnsi="Univers"/>
        </w:rPr>
        <w:footnoteRef/>
      </w:r>
      <w:r>
        <w:rPr>
          <w:rFonts w:ascii="Univers" w:hAnsi="Univers"/>
        </w:rPr>
        <w:t xml:space="preserve"> Véase Anexo 19</w:t>
      </w:r>
      <w:r w:rsidRPr="009C1BB7">
        <w:rPr>
          <w:rFonts w:ascii="Univers" w:hAnsi="Univers"/>
        </w:rPr>
        <w:t xml:space="preserve"> de la petición inicial.</w:t>
      </w:r>
    </w:p>
  </w:footnote>
  <w:footnote w:id="22">
    <w:p w:rsidR="004D33AD" w:rsidRPr="007B7D5C" w:rsidRDefault="004D33AD" w:rsidP="00870154">
      <w:pPr>
        <w:pStyle w:val="Textonotapie"/>
        <w:spacing w:after="120"/>
        <w:ind w:firstLine="720"/>
        <w:rPr>
          <w:rFonts w:ascii="Univers" w:hAnsi="Univers"/>
          <w:szCs w:val="16"/>
        </w:rPr>
      </w:pPr>
      <w:r w:rsidRPr="00D23695">
        <w:rPr>
          <w:rStyle w:val="Refdenotaalpie"/>
          <w:rFonts w:ascii="Univers" w:hAnsi="Univers"/>
          <w:szCs w:val="16"/>
        </w:rPr>
        <w:footnoteRef/>
      </w:r>
      <w:r w:rsidRPr="00D23695">
        <w:rPr>
          <w:rFonts w:ascii="Univers" w:hAnsi="Univers"/>
          <w:szCs w:val="16"/>
          <w:lang w:val="pt-BR"/>
        </w:rPr>
        <w:t xml:space="preserve"> </w:t>
      </w:r>
      <w:r w:rsidRPr="00D23695">
        <w:rPr>
          <w:rFonts w:ascii="Univers" w:hAnsi="Univers"/>
          <w:color w:val="000000"/>
          <w:szCs w:val="16"/>
          <w:lang w:val="pt-BR"/>
        </w:rPr>
        <w:t xml:space="preserve">Corte IDH. </w:t>
      </w:r>
      <w:r w:rsidRPr="00D23695">
        <w:rPr>
          <w:rFonts w:ascii="Univers" w:hAnsi="Univers"/>
          <w:bCs/>
          <w:i/>
          <w:color w:val="000000"/>
          <w:szCs w:val="16"/>
          <w:lang w:val="pt-BR"/>
        </w:rPr>
        <w:t xml:space="preserve">Caso Gomes Lund y otros (Guerrilha do Araguaia) Vs. </w:t>
      </w:r>
      <w:r w:rsidRPr="00D23695">
        <w:rPr>
          <w:rFonts w:ascii="Univers" w:hAnsi="Univers"/>
          <w:bCs/>
          <w:i/>
          <w:color w:val="000000"/>
          <w:szCs w:val="16"/>
        </w:rPr>
        <w:t>Brasil</w:t>
      </w:r>
      <w:r w:rsidRPr="00D23695">
        <w:rPr>
          <w:rFonts w:ascii="Univers" w:hAnsi="Univers"/>
          <w:bCs/>
          <w:color w:val="000000"/>
          <w:szCs w:val="16"/>
        </w:rPr>
        <w:t xml:space="preserve">. </w:t>
      </w:r>
      <w:proofErr w:type="gramStart"/>
      <w:r w:rsidRPr="00D23695">
        <w:rPr>
          <w:rFonts w:ascii="Univers" w:hAnsi="Univers"/>
          <w:color w:val="000000"/>
          <w:szCs w:val="16"/>
        </w:rPr>
        <w:t>Excepciones</w:t>
      </w:r>
      <w:proofErr w:type="gramEnd"/>
      <w:r w:rsidRPr="00D23695">
        <w:rPr>
          <w:rFonts w:ascii="Univers" w:hAnsi="Univers"/>
          <w:color w:val="000000"/>
          <w:szCs w:val="16"/>
        </w:rPr>
        <w:t xml:space="preserve"> Preliminares, Fondo,</w:t>
      </w:r>
      <w:r w:rsidRPr="0049057C">
        <w:rPr>
          <w:rFonts w:ascii="Univers" w:hAnsi="Univers"/>
          <w:color w:val="000000"/>
          <w:szCs w:val="16"/>
        </w:rPr>
        <w:t xml:space="preserve"> Reparaciones y Costas. Sentencia de 24 de noviembre de 2010. </w:t>
      </w:r>
      <w:r>
        <w:rPr>
          <w:rFonts w:ascii="Univers" w:hAnsi="Univers"/>
          <w:color w:val="000000"/>
          <w:szCs w:val="16"/>
        </w:rPr>
        <w:t>Serie C No. 219, párr. 136</w:t>
      </w:r>
      <w:r w:rsidRPr="007B7D5C">
        <w:rPr>
          <w:rFonts w:ascii="Univers" w:hAnsi="Univers"/>
          <w:color w:val="000000"/>
          <w:szCs w:val="16"/>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33AD" w:rsidRDefault="004D33AD" w:rsidP="00184512">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4D33AD" w:rsidRDefault="004D33AD">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33AD" w:rsidRPr="00870154" w:rsidRDefault="004D33AD" w:rsidP="00184512">
    <w:pPr>
      <w:pStyle w:val="Encabezado"/>
      <w:framePr w:wrap="around" w:vAnchor="text" w:hAnchor="margin" w:xAlign="center" w:y="1"/>
      <w:rPr>
        <w:rStyle w:val="Nmerodepgina"/>
        <w:rFonts w:ascii="Univers" w:hAnsi="Univers"/>
        <w:sz w:val="20"/>
        <w:szCs w:val="20"/>
      </w:rPr>
    </w:pPr>
    <w:r w:rsidRPr="00870154">
      <w:rPr>
        <w:rStyle w:val="Nmerodepgina"/>
        <w:rFonts w:ascii="Univers" w:hAnsi="Univers"/>
        <w:sz w:val="20"/>
        <w:szCs w:val="20"/>
      </w:rPr>
      <w:fldChar w:fldCharType="begin"/>
    </w:r>
    <w:r w:rsidRPr="00870154">
      <w:rPr>
        <w:rStyle w:val="Nmerodepgina"/>
        <w:rFonts w:ascii="Univers" w:hAnsi="Univers"/>
        <w:sz w:val="20"/>
        <w:szCs w:val="20"/>
      </w:rPr>
      <w:instrText xml:space="preserve">PAGE  </w:instrText>
    </w:r>
    <w:r w:rsidRPr="00870154">
      <w:rPr>
        <w:rStyle w:val="Nmerodepgina"/>
        <w:rFonts w:ascii="Univers" w:hAnsi="Univers"/>
        <w:sz w:val="20"/>
        <w:szCs w:val="20"/>
      </w:rPr>
      <w:fldChar w:fldCharType="separate"/>
    </w:r>
    <w:r w:rsidR="002929E8">
      <w:rPr>
        <w:rStyle w:val="Nmerodepgina"/>
        <w:rFonts w:ascii="Univers" w:hAnsi="Univers"/>
        <w:noProof/>
        <w:sz w:val="20"/>
        <w:szCs w:val="20"/>
      </w:rPr>
      <w:t>11</w:t>
    </w:r>
    <w:r w:rsidRPr="00870154">
      <w:rPr>
        <w:rStyle w:val="Nmerodepgina"/>
        <w:rFonts w:ascii="Univers" w:hAnsi="Univers"/>
        <w:sz w:val="20"/>
        <w:szCs w:val="20"/>
      </w:rPr>
      <w:fldChar w:fldCharType="end"/>
    </w:r>
  </w:p>
  <w:p w:rsidR="004D33AD" w:rsidRDefault="004D33AD">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2F95" w:rsidRDefault="00D82F9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2"/>
    <w:multiLevelType w:val="multilevel"/>
    <w:tmpl w:val="00000002"/>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4D469DB"/>
    <w:multiLevelType w:val="multilevel"/>
    <w:tmpl w:val="ED22D686"/>
    <w:styleLink w:val="CurrentList1"/>
    <w:lvl w:ilvl="0">
      <w:start w:val="1"/>
      <w:numFmt w:val="decimal"/>
      <w:lvlText w:val="%1."/>
      <w:lvlJc w:val="left"/>
      <w:pPr>
        <w:tabs>
          <w:tab w:val="num" w:pos="680"/>
        </w:tabs>
        <w:ind w:left="0" w:firstLine="0"/>
      </w:pPr>
      <w:rPr>
        <w:rFonts w:hint="default"/>
        <w:b w:val="0"/>
        <w:i w:val="0"/>
        <w:strike w:val="0"/>
        <w:sz w:val="20"/>
      </w:rPr>
    </w:lvl>
    <w:lvl w:ilvl="1">
      <w:start w:val="1"/>
      <w:numFmt w:val="decimal"/>
      <w:lvlText w:val="%2."/>
      <w:lvlJc w:val="left"/>
      <w:pPr>
        <w:tabs>
          <w:tab w:val="num" w:pos="567"/>
        </w:tabs>
        <w:ind w:left="0" w:firstLine="0"/>
      </w:pPr>
      <w:rPr>
        <w:rFonts w:hint="default"/>
        <w:b w:val="0"/>
        <w:i w:val="0"/>
        <w:strike w:val="0"/>
        <w:sz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5A0F53"/>
    <w:multiLevelType w:val="hybridMultilevel"/>
    <w:tmpl w:val="B0D2E560"/>
    <w:lvl w:ilvl="0" w:tplc="976C7B54">
      <w:start w:val="1"/>
      <w:numFmt w:val="upperLetter"/>
      <w:lvlText w:val="%1."/>
      <w:lvlJc w:val="left"/>
      <w:pPr>
        <w:ind w:left="1080" w:hanging="360"/>
      </w:pPr>
      <w:rPr>
        <w:rFonts w:hint="default"/>
      </w:r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4">
    <w:nsid w:val="0F2D6206"/>
    <w:multiLevelType w:val="hybridMultilevel"/>
    <w:tmpl w:val="93349F12"/>
    <w:lvl w:ilvl="0" w:tplc="4D24C17E">
      <w:start w:val="1"/>
      <w:numFmt w:val="decimal"/>
      <w:lvlText w:val="%1."/>
      <w:lvlJc w:val="left"/>
      <w:pPr>
        <w:ind w:left="1080" w:hanging="360"/>
      </w:pPr>
      <w:rPr>
        <w:rFonts w:hint="default"/>
      </w:r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5">
    <w:nsid w:val="10F7757C"/>
    <w:multiLevelType w:val="hybridMultilevel"/>
    <w:tmpl w:val="B9D6B658"/>
    <w:lvl w:ilvl="0" w:tplc="4DBEEF70">
      <w:start w:val="86"/>
      <w:numFmt w:val="decimal"/>
      <w:lvlText w:val="%1."/>
      <w:lvlJc w:val="left"/>
      <w:pPr>
        <w:tabs>
          <w:tab w:val="num" w:pos="0"/>
        </w:tabs>
        <w:ind w:left="0" w:firstLine="0"/>
      </w:pPr>
      <w:rPr>
        <w:rFonts w:ascii="Verdana" w:hAnsi="Verdana" w:hint="default"/>
        <w:b w:val="0"/>
        <w:i w:val="0"/>
        <w:strike w:val="0"/>
        <w:sz w:val="20"/>
        <w:szCs w:val="20"/>
      </w:rPr>
    </w:lvl>
    <w:lvl w:ilvl="1" w:tplc="0409000F">
      <w:start w:val="1"/>
      <w:numFmt w:val="decimal"/>
      <w:lvlText w:val="%2."/>
      <w:lvlJc w:val="left"/>
      <w:pPr>
        <w:tabs>
          <w:tab w:val="num" w:pos="1440"/>
        </w:tabs>
        <w:ind w:left="1440" w:hanging="360"/>
      </w:pPr>
      <w:rPr>
        <w:rFonts w:hint="default"/>
        <w:b w:val="0"/>
        <w:i w:val="0"/>
        <w:strike w:val="0"/>
        <w:sz w:val="20"/>
        <w:szCs w:val="20"/>
      </w:r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
    <w:nsid w:val="159F340D"/>
    <w:multiLevelType w:val="hybridMultilevel"/>
    <w:tmpl w:val="66F2DC52"/>
    <w:lvl w:ilvl="0" w:tplc="92D44424">
      <w:start w:val="1"/>
      <w:numFmt w:val="decimal"/>
      <w:lvlText w:val="%1."/>
      <w:lvlJc w:val="left"/>
      <w:pPr>
        <w:ind w:left="1080" w:hanging="360"/>
      </w:pPr>
      <w:rPr>
        <w:rFonts w:hint="default"/>
      </w:r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7">
    <w:nsid w:val="16852234"/>
    <w:multiLevelType w:val="hybridMultilevel"/>
    <w:tmpl w:val="EFFC4DD0"/>
    <w:lvl w:ilvl="0" w:tplc="8A067FCA">
      <w:start w:val="2"/>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1E5D7E67"/>
    <w:multiLevelType w:val="hybridMultilevel"/>
    <w:tmpl w:val="09FC4D56"/>
    <w:lvl w:ilvl="0" w:tplc="7B584B16">
      <w:start w:val="1"/>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223A3B08"/>
    <w:multiLevelType w:val="hybridMultilevel"/>
    <w:tmpl w:val="FC42F84A"/>
    <w:lvl w:ilvl="0" w:tplc="9E64EAD4">
      <w:start w:val="1"/>
      <w:numFmt w:val="decimal"/>
      <w:lvlText w:val="%1."/>
      <w:lvlJc w:val="left"/>
      <w:pPr>
        <w:tabs>
          <w:tab w:val="num" w:pos="0"/>
        </w:tabs>
        <w:ind w:left="0" w:firstLine="0"/>
      </w:pPr>
      <w:rPr>
        <w:rFonts w:ascii="Verdana" w:hAnsi="Verdana" w:hint="default"/>
        <w:b w:val="0"/>
        <w:i w:val="0"/>
        <w:strike w:val="0"/>
        <w:sz w:val="20"/>
        <w:szCs w:val="20"/>
      </w:rPr>
    </w:lvl>
    <w:lvl w:ilvl="1" w:tplc="CF58FEBC">
      <w:start w:val="1"/>
      <w:numFmt w:val="upperLetter"/>
      <w:lvlText w:val="%2)"/>
      <w:lvlJc w:val="left"/>
      <w:pPr>
        <w:tabs>
          <w:tab w:val="num" w:pos="1440"/>
        </w:tabs>
        <w:ind w:left="1440" w:hanging="360"/>
      </w:pPr>
      <w:rPr>
        <w:rFonts w:hint="default"/>
      </w:rPr>
    </w:lvl>
    <w:lvl w:ilvl="2" w:tplc="C660E8FA">
      <w:start w:val="23"/>
      <w:numFmt w:val="bullet"/>
      <w:lvlText w:val=""/>
      <w:lvlJc w:val="left"/>
      <w:pPr>
        <w:tabs>
          <w:tab w:val="num" w:pos="2700"/>
        </w:tabs>
        <w:ind w:left="2700" w:hanging="720"/>
      </w:pPr>
      <w:rPr>
        <w:rFonts w:ascii="Symbol" w:eastAsia="Times New Roman" w:hAnsi="Symbol" w:cs="Times" w:hint="default"/>
      </w:rPr>
    </w:lvl>
    <w:lvl w:ilvl="3" w:tplc="96746DD8">
      <w:start w:val="1"/>
      <w:numFmt w:val="upperLetter"/>
      <w:lvlText w:val="%4."/>
      <w:lvlJc w:val="left"/>
      <w:pPr>
        <w:tabs>
          <w:tab w:val="num" w:pos="3240"/>
        </w:tabs>
        <w:ind w:left="3240" w:hanging="720"/>
      </w:pPr>
      <w:rPr>
        <w:rFonts w:hint="default"/>
      </w:rPr>
    </w:lvl>
    <w:lvl w:ilvl="4" w:tplc="EE606886">
      <w:start w:val="1"/>
      <w:numFmt w:val="decimal"/>
      <w:lvlText w:val="%5)"/>
      <w:lvlJc w:val="left"/>
      <w:pPr>
        <w:tabs>
          <w:tab w:val="num" w:pos="3630"/>
        </w:tabs>
        <w:ind w:left="3630" w:hanging="390"/>
      </w:pPr>
      <w:rPr>
        <w:rFonts w:hint="default"/>
        <w:b w:val="0"/>
      </w:r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nsid w:val="23BB7AF6"/>
    <w:multiLevelType w:val="hybridMultilevel"/>
    <w:tmpl w:val="04EC1C1A"/>
    <w:name w:val="WW8Num2"/>
    <w:lvl w:ilvl="0" w:tplc="7DFEE7F2">
      <w:start w:val="1"/>
      <w:numFmt w:val="decimal"/>
      <w:lvlText w:val="%1."/>
      <w:lvlJc w:val="left"/>
      <w:pPr>
        <w:tabs>
          <w:tab w:val="num" w:pos="567"/>
        </w:tabs>
        <w:ind w:left="0" w:firstLine="0"/>
      </w:pPr>
      <w:rPr>
        <w:rFonts w:ascii="Verdana" w:hAnsi="Verdana" w:hint="default"/>
        <w:b w:val="0"/>
        <w:bCs w:val="0"/>
        <w:i w:val="0"/>
        <w:iCs w:val="0"/>
        <w:strike w:val="0"/>
        <w:dstrike w:val="0"/>
        <w:sz w:val="20"/>
        <w:szCs w:val="20"/>
      </w:rPr>
    </w:lvl>
    <w:lvl w:ilvl="1" w:tplc="9932B856">
      <w:start w:val="1"/>
      <w:numFmt w:val="lowerRoman"/>
      <w:lvlText w:val="%2)"/>
      <w:lvlJc w:val="left"/>
      <w:pPr>
        <w:tabs>
          <w:tab w:val="num" w:pos="1950"/>
        </w:tabs>
        <w:ind w:left="1950" w:hanging="870"/>
      </w:pPr>
      <w:rPr>
        <w:rFonts w:hint="default"/>
      </w:rPr>
    </w:lvl>
    <w:lvl w:ilvl="2" w:tplc="28549BEE">
      <w:start w:val="1"/>
      <w:numFmt w:val="lowerLetter"/>
      <w:lvlText w:val="%3)"/>
      <w:lvlJc w:val="left"/>
      <w:pPr>
        <w:tabs>
          <w:tab w:val="num" w:pos="2340"/>
        </w:tabs>
        <w:ind w:left="2340" w:hanging="36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267048FC"/>
    <w:multiLevelType w:val="hybridMultilevel"/>
    <w:tmpl w:val="F48A09A8"/>
    <w:lvl w:ilvl="0" w:tplc="A31847AC">
      <w:start w:val="1"/>
      <w:numFmt w:val="upperLetter"/>
      <w:lvlText w:val="%1."/>
      <w:lvlJc w:val="left"/>
      <w:pPr>
        <w:ind w:left="1080" w:hanging="360"/>
      </w:pPr>
      <w:rPr>
        <w:rFonts w:hint="default"/>
      </w:r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12">
    <w:nsid w:val="33242D5E"/>
    <w:multiLevelType w:val="hybridMultilevel"/>
    <w:tmpl w:val="D0248684"/>
    <w:lvl w:ilvl="0" w:tplc="7F1A9190">
      <w:start w:val="4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342C492B"/>
    <w:multiLevelType w:val="hybridMultilevel"/>
    <w:tmpl w:val="E29C0718"/>
    <w:lvl w:ilvl="0" w:tplc="5C8E4D4C">
      <w:start w:val="5"/>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3C217D9D"/>
    <w:multiLevelType w:val="hybridMultilevel"/>
    <w:tmpl w:val="055E418C"/>
    <w:lvl w:ilvl="0" w:tplc="3F10A8FC">
      <w:start w:val="2"/>
      <w:numFmt w:val="decimal"/>
      <w:pStyle w:val="NormalMRE"/>
      <w:lvlText w:val="%1."/>
      <w:lvlJc w:val="left"/>
      <w:pPr>
        <w:tabs>
          <w:tab w:val="num" w:pos="0"/>
        </w:tabs>
        <w:ind w:left="720" w:hanging="360"/>
      </w:pPr>
      <w:rPr>
        <w:rFonts w:cs="Times New Roman" w:hint="default"/>
        <w:b w:val="0"/>
        <w:i w:val="0"/>
        <w:color w:val="auto"/>
      </w:rPr>
    </w:lvl>
    <w:lvl w:ilvl="1" w:tplc="04160019">
      <w:start w:val="1"/>
      <w:numFmt w:val="lowerLetter"/>
      <w:lvlText w:val="%2."/>
      <w:lvlJc w:val="left"/>
      <w:pPr>
        <w:ind w:left="1080" w:hanging="360"/>
      </w:pPr>
      <w:rPr>
        <w:rFonts w:cs="Times New Roman"/>
      </w:rPr>
    </w:lvl>
    <w:lvl w:ilvl="2" w:tplc="0416001B">
      <w:start w:val="1"/>
      <w:numFmt w:val="lowerRoman"/>
      <w:lvlText w:val="%3."/>
      <w:lvlJc w:val="right"/>
      <w:pPr>
        <w:ind w:left="1800" w:hanging="180"/>
      </w:pPr>
      <w:rPr>
        <w:rFonts w:cs="Times New Roman"/>
      </w:rPr>
    </w:lvl>
    <w:lvl w:ilvl="3" w:tplc="0416000F" w:tentative="1">
      <w:start w:val="1"/>
      <w:numFmt w:val="decimal"/>
      <w:lvlText w:val="%4."/>
      <w:lvlJc w:val="left"/>
      <w:pPr>
        <w:ind w:left="2520" w:hanging="360"/>
      </w:pPr>
      <w:rPr>
        <w:rFonts w:cs="Times New Roman"/>
      </w:rPr>
    </w:lvl>
    <w:lvl w:ilvl="4" w:tplc="04160019" w:tentative="1">
      <w:start w:val="1"/>
      <w:numFmt w:val="lowerLetter"/>
      <w:lvlText w:val="%5."/>
      <w:lvlJc w:val="left"/>
      <w:pPr>
        <w:ind w:left="3240" w:hanging="360"/>
      </w:pPr>
      <w:rPr>
        <w:rFonts w:cs="Times New Roman"/>
      </w:rPr>
    </w:lvl>
    <w:lvl w:ilvl="5" w:tplc="0416001B" w:tentative="1">
      <w:start w:val="1"/>
      <w:numFmt w:val="lowerRoman"/>
      <w:lvlText w:val="%6."/>
      <w:lvlJc w:val="right"/>
      <w:pPr>
        <w:ind w:left="3960" w:hanging="180"/>
      </w:pPr>
      <w:rPr>
        <w:rFonts w:cs="Times New Roman"/>
      </w:rPr>
    </w:lvl>
    <w:lvl w:ilvl="6" w:tplc="0416000F" w:tentative="1">
      <w:start w:val="1"/>
      <w:numFmt w:val="decimal"/>
      <w:lvlText w:val="%7."/>
      <w:lvlJc w:val="left"/>
      <w:pPr>
        <w:ind w:left="4680" w:hanging="360"/>
      </w:pPr>
      <w:rPr>
        <w:rFonts w:cs="Times New Roman"/>
      </w:rPr>
    </w:lvl>
    <w:lvl w:ilvl="7" w:tplc="04160019" w:tentative="1">
      <w:start w:val="1"/>
      <w:numFmt w:val="lowerLetter"/>
      <w:lvlText w:val="%8."/>
      <w:lvlJc w:val="left"/>
      <w:pPr>
        <w:ind w:left="5400" w:hanging="360"/>
      </w:pPr>
      <w:rPr>
        <w:rFonts w:cs="Times New Roman"/>
      </w:rPr>
    </w:lvl>
    <w:lvl w:ilvl="8" w:tplc="0416001B" w:tentative="1">
      <w:start w:val="1"/>
      <w:numFmt w:val="lowerRoman"/>
      <w:lvlText w:val="%9."/>
      <w:lvlJc w:val="right"/>
      <w:pPr>
        <w:ind w:left="6120" w:hanging="180"/>
      </w:pPr>
      <w:rPr>
        <w:rFonts w:cs="Times New Roman"/>
      </w:rPr>
    </w:lvl>
  </w:abstractNum>
  <w:abstractNum w:abstractNumId="15">
    <w:nsid w:val="42A32EA9"/>
    <w:multiLevelType w:val="hybridMultilevel"/>
    <w:tmpl w:val="9C3E9E72"/>
    <w:lvl w:ilvl="0" w:tplc="B66488DA">
      <w:start w:val="6"/>
      <w:numFmt w:val="upperRoman"/>
      <w:lvlText w:val="%1."/>
      <w:lvlJc w:val="left"/>
      <w:pPr>
        <w:tabs>
          <w:tab w:val="num" w:pos="698"/>
        </w:tabs>
        <w:ind w:left="698" w:hanging="720"/>
      </w:pPr>
      <w:rPr>
        <w:rFonts w:hint="default"/>
      </w:rPr>
    </w:lvl>
    <w:lvl w:ilvl="1" w:tplc="00190409" w:tentative="1">
      <w:start w:val="1"/>
      <w:numFmt w:val="lowerLetter"/>
      <w:lvlText w:val="%2."/>
      <w:lvlJc w:val="left"/>
      <w:pPr>
        <w:tabs>
          <w:tab w:val="num" w:pos="1058"/>
        </w:tabs>
        <w:ind w:left="1058" w:hanging="360"/>
      </w:pPr>
    </w:lvl>
    <w:lvl w:ilvl="2" w:tplc="001B0409" w:tentative="1">
      <w:start w:val="1"/>
      <w:numFmt w:val="lowerRoman"/>
      <w:lvlText w:val="%3."/>
      <w:lvlJc w:val="right"/>
      <w:pPr>
        <w:tabs>
          <w:tab w:val="num" w:pos="1778"/>
        </w:tabs>
        <w:ind w:left="1778" w:hanging="180"/>
      </w:pPr>
    </w:lvl>
    <w:lvl w:ilvl="3" w:tplc="000F0409" w:tentative="1">
      <w:start w:val="1"/>
      <w:numFmt w:val="decimal"/>
      <w:lvlText w:val="%4."/>
      <w:lvlJc w:val="left"/>
      <w:pPr>
        <w:tabs>
          <w:tab w:val="num" w:pos="2498"/>
        </w:tabs>
        <w:ind w:left="2498" w:hanging="360"/>
      </w:pPr>
    </w:lvl>
    <w:lvl w:ilvl="4" w:tplc="00190409" w:tentative="1">
      <w:start w:val="1"/>
      <w:numFmt w:val="lowerLetter"/>
      <w:lvlText w:val="%5."/>
      <w:lvlJc w:val="left"/>
      <w:pPr>
        <w:tabs>
          <w:tab w:val="num" w:pos="3218"/>
        </w:tabs>
        <w:ind w:left="3218" w:hanging="360"/>
      </w:pPr>
    </w:lvl>
    <w:lvl w:ilvl="5" w:tplc="001B0409" w:tentative="1">
      <w:start w:val="1"/>
      <w:numFmt w:val="lowerRoman"/>
      <w:lvlText w:val="%6."/>
      <w:lvlJc w:val="right"/>
      <w:pPr>
        <w:tabs>
          <w:tab w:val="num" w:pos="3938"/>
        </w:tabs>
        <w:ind w:left="3938" w:hanging="180"/>
      </w:pPr>
    </w:lvl>
    <w:lvl w:ilvl="6" w:tplc="000F0409" w:tentative="1">
      <w:start w:val="1"/>
      <w:numFmt w:val="decimal"/>
      <w:lvlText w:val="%7."/>
      <w:lvlJc w:val="left"/>
      <w:pPr>
        <w:tabs>
          <w:tab w:val="num" w:pos="4658"/>
        </w:tabs>
        <w:ind w:left="4658" w:hanging="360"/>
      </w:pPr>
    </w:lvl>
    <w:lvl w:ilvl="7" w:tplc="00190409" w:tentative="1">
      <w:start w:val="1"/>
      <w:numFmt w:val="lowerLetter"/>
      <w:lvlText w:val="%8."/>
      <w:lvlJc w:val="left"/>
      <w:pPr>
        <w:tabs>
          <w:tab w:val="num" w:pos="5378"/>
        </w:tabs>
        <w:ind w:left="5378" w:hanging="360"/>
      </w:pPr>
    </w:lvl>
    <w:lvl w:ilvl="8" w:tplc="001B0409" w:tentative="1">
      <w:start w:val="1"/>
      <w:numFmt w:val="lowerRoman"/>
      <w:lvlText w:val="%9."/>
      <w:lvlJc w:val="right"/>
      <w:pPr>
        <w:tabs>
          <w:tab w:val="num" w:pos="6098"/>
        </w:tabs>
        <w:ind w:left="6098" w:hanging="180"/>
      </w:pPr>
    </w:lvl>
  </w:abstractNum>
  <w:abstractNum w:abstractNumId="16">
    <w:nsid w:val="54917DC0"/>
    <w:multiLevelType w:val="hybridMultilevel"/>
    <w:tmpl w:val="86D2AC04"/>
    <w:lvl w:ilvl="0" w:tplc="2D2EB8BC">
      <w:start w:val="2"/>
      <w:numFmt w:val="decimal"/>
      <w:lvlText w:val="%1."/>
      <w:lvlJc w:val="left"/>
      <w:pPr>
        <w:ind w:left="1080" w:hanging="360"/>
      </w:pPr>
      <w:rPr>
        <w:rFonts w:hint="default"/>
      </w:rPr>
    </w:lvl>
    <w:lvl w:ilvl="1" w:tplc="340A0019">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17">
    <w:nsid w:val="590B3874"/>
    <w:multiLevelType w:val="hybridMultilevel"/>
    <w:tmpl w:val="6A44493E"/>
    <w:lvl w:ilvl="0" w:tplc="84449ADC">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5D777433"/>
    <w:multiLevelType w:val="hybridMultilevel"/>
    <w:tmpl w:val="71A65A94"/>
    <w:lvl w:ilvl="0" w:tplc="600ADC52">
      <w:start w:val="1"/>
      <w:numFmt w:val="upperLetter"/>
      <w:lvlText w:val="%1."/>
      <w:lvlJc w:val="left"/>
      <w:pPr>
        <w:ind w:left="1080" w:hanging="360"/>
      </w:pPr>
      <w:rPr>
        <w:rFonts w:hint="default"/>
      </w:r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19">
    <w:nsid w:val="5F83606A"/>
    <w:multiLevelType w:val="hybridMultilevel"/>
    <w:tmpl w:val="8476476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nsid w:val="607528B2"/>
    <w:multiLevelType w:val="hybridMultilevel"/>
    <w:tmpl w:val="4906F79C"/>
    <w:lvl w:ilvl="0" w:tplc="87F2C22A">
      <w:start w:val="15"/>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nsid w:val="640F68E3"/>
    <w:multiLevelType w:val="hybridMultilevel"/>
    <w:tmpl w:val="3574F2A4"/>
    <w:lvl w:ilvl="0" w:tplc="F17483C8">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67880F91"/>
    <w:multiLevelType w:val="hybridMultilevel"/>
    <w:tmpl w:val="83F6F322"/>
    <w:lvl w:ilvl="0" w:tplc="9C24835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680A0837"/>
    <w:multiLevelType w:val="hybridMultilevel"/>
    <w:tmpl w:val="CD04B3F4"/>
    <w:lvl w:ilvl="0" w:tplc="93E8B268">
      <w:start w:val="1"/>
      <w:numFmt w:val="upperLetter"/>
      <w:lvlText w:val="%1."/>
      <w:lvlJc w:val="left"/>
      <w:pPr>
        <w:ind w:left="1080" w:hanging="360"/>
      </w:pPr>
      <w:rPr>
        <w:rFonts w:hint="default"/>
      </w:r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24">
    <w:nsid w:val="6A145DC9"/>
    <w:multiLevelType w:val="hybridMultilevel"/>
    <w:tmpl w:val="87FAFBDA"/>
    <w:lvl w:ilvl="0" w:tplc="2E247ACC">
      <w:start w:val="85"/>
      <w:numFmt w:val="decimal"/>
      <w:lvlText w:val="%1."/>
      <w:lvlJc w:val="left"/>
      <w:pPr>
        <w:ind w:left="720" w:hanging="360"/>
      </w:pPr>
      <w:rPr>
        <w:rFonts w:ascii="Verdana" w:hAnsi="Verdana" w:hint="default"/>
        <w:b w:val="0"/>
        <w:i w:val="0"/>
        <w:strike w:val="0"/>
        <w:sz w:val="20"/>
        <w:szCs w:val="2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5">
    <w:nsid w:val="706E7BB3"/>
    <w:multiLevelType w:val="hybridMultilevel"/>
    <w:tmpl w:val="9118F162"/>
    <w:lvl w:ilvl="0" w:tplc="A1966A84">
      <w:start w:val="106"/>
      <w:numFmt w:val="decimal"/>
      <w:lvlText w:val="%1."/>
      <w:lvlJc w:val="left"/>
      <w:pPr>
        <w:tabs>
          <w:tab w:val="num" w:pos="0"/>
        </w:tabs>
        <w:ind w:left="0" w:firstLine="0"/>
      </w:pPr>
      <w:rPr>
        <w:rFonts w:ascii="Verdana" w:hAnsi="Verdana" w:hint="default"/>
        <w:b w:val="0"/>
        <w:i w:val="0"/>
        <w:strike w:val="0"/>
        <w:sz w:val="20"/>
        <w:szCs w:val="2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6">
    <w:nsid w:val="7EA012FB"/>
    <w:multiLevelType w:val="hybridMultilevel"/>
    <w:tmpl w:val="B832DD1A"/>
    <w:lvl w:ilvl="0" w:tplc="DBBC5F56">
      <w:start w:val="1"/>
      <w:numFmt w:val="decimal"/>
      <w:lvlText w:val="%1."/>
      <w:lvlJc w:val="left"/>
      <w:pPr>
        <w:ind w:left="720" w:hanging="360"/>
      </w:pPr>
      <w:rPr>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2"/>
  </w:num>
  <w:num w:numId="3">
    <w:abstractNumId w:val="14"/>
  </w:num>
  <w:num w:numId="4">
    <w:abstractNumId w:val="16"/>
  </w:num>
  <w:num w:numId="5">
    <w:abstractNumId w:val="19"/>
  </w:num>
  <w:num w:numId="6">
    <w:abstractNumId w:val="23"/>
  </w:num>
  <w:num w:numId="7">
    <w:abstractNumId w:val="6"/>
  </w:num>
  <w:num w:numId="8">
    <w:abstractNumId w:val="5"/>
  </w:num>
  <w:num w:numId="9">
    <w:abstractNumId w:val="18"/>
  </w:num>
  <w:num w:numId="10">
    <w:abstractNumId w:val="11"/>
  </w:num>
  <w:num w:numId="11">
    <w:abstractNumId w:val="24"/>
  </w:num>
  <w:num w:numId="12">
    <w:abstractNumId w:val="4"/>
  </w:num>
  <w:num w:numId="13">
    <w:abstractNumId w:val="25"/>
  </w:num>
  <w:num w:numId="14">
    <w:abstractNumId w:val="26"/>
  </w:num>
  <w:num w:numId="15">
    <w:abstractNumId w:val="17"/>
  </w:num>
  <w:num w:numId="16">
    <w:abstractNumId w:val="22"/>
  </w:num>
  <w:num w:numId="17">
    <w:abstractNumId w:val="21"/>
  </w:num>
  <w:num w:numId="18">
    <w:abstractNumId w:val="3"/>
  </w:num>
  <w:num w:numId="19">
    <w:abstractNumId w:val="1"/>
  </w:num>
  <w:num w:numId="20">
    <w:abstractNumId w:val="15"/>
  </w:num>
  <w:num w:numId="21">
    <w:abstractNumId w:val="0"/>
  </w:num>
  <w:num w:numId="22">
    <w:abstractNumId w:val="7"/>
  </w:num>
  <w:num w:numId="23">
    <w:abstractNumId w:val="20"/>
  </w:num>
  <w:num w:numId="24">
    <w:abstractNumId w:val="8"/>
  </w:num>
  <w:num w:numId="25">
    <w:abstractNumId w:val="13"/>
  </w:num>
  <w:num w:numId="26">
    <w:abstractNumId w:val="1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80"/>
  <w:removePersonalInformation/>
  <w:removeDateAndTime/>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oNotTrackMoves/>
  <w:defaultTabStop w:val="720"/>
  <w:characterSpacingControl w:val="doNotCompress"/>
  <w:footnotePr>
    <w:footnote w:id="-1"/>
    <w:footnote w:id="0"/>
    <w:footnote w:id="1"/>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11FDD"/>
    <w:rsid w:val="00003C2C"/>
    <w:rsid w:val="0000458C"/>
    <w:rsid w:val="00005425"/>
    <w:rsid w:val="000061F6"/>
    <w:rsid w:val="00006F32"/>
    <w:rsid w:val="000071AB"/>
    <w:rsid w:val="00007791"/>
    <w:rsid w:val="00007B01"/>
    <w:rsid w:val="00010361"/>
    <w:rsid w:val="00010E42"/>
    <w:rsid w:val="000127E9"/>
    <w:rsid w:val="00021455"/>
    <w:rsid w:val="00021D2A"/>
    <w:rsid w:val="00024294"/>
    <w:rsid w:val="0002483F"/>
    <w:rsid w:val="00024872"/>
    <w:rsid w:val="00025E7B"/>
    <w:rsid w:val="00027CE3"/>
    <w:rsid w:val="00032AC4"/>
    <w:rsid w:val="00032D55"/>
    <w:rsid w:val="00033479"/>
    <w:rsid w:val="00035774"/>
    <w:rsid w:val="000362D8"/>
    <w:rsid w:val="0003704C"/>
    <w:rsid w:val="00037B05"/>
    <w:rsid w:val="00037B31"/>
    <w:rsid w:val="0004064A"/>
    <w:rsid w:val="00041511"/>
    <w:rsid w:val="00041F24"/>
    <w:rsid w:val="0004263E"/>
    <w:rsid w:val="00042CCA"/>
    <w:rsid w:val="00042FCB"/>
    <w:rsid w:val="00045AA4"/>
    <w:rsid w:val="00046CEF"/>
    <w:rsid w:val="000475FC"/>
    <w:rsid w:val="000502D3"/>
    <w:rsid w:val="00052F83"/>
    <w:rsid w:val="00053322"/>
    <w:rsid w:val="00057259"/>
    <w:rsid w:val="00057D0D"/>
    <w:rsid w:val="000605C3"/>
    <w:rsid w:val="00061B7B"/>
    <w:rsid w:val="00064A44"/>
    <w:rsid w:val="00064A5D"/>
    <w:rsid w:val="000654D3"/>
    <w:rsid w:val="00066058"/>
    <w:rsid w:val="00066FE1"/>
    <w:rsid w:val="0007077F"/>
    <w:rsid w:val="00071CF1"/>
    <w:rsid w:val="000721E9"/>
    <w:rsid w:val="00073653"/>
    <w:rsid w:val="00073E29"/>
    <w:rsid w:val="00074226"/>
    <w:rsid w:val="00074348"/>
    <w:rsid w:val="00074DA6"/>
    <w:rsid w:val="00076520"/>
    <w:rsid w:val="000767F0"/>
    <w:rsid w:val="00084204"/>
    <w:rsid w:val="000853DE"/>
    <w:rsid w:val="00086ACA"/>
    <w:rsid w:val="000907A9"/>
    <w:rsid w:val="000909F5"/>
    <w:rsid w:val="00091233"/>
    <w:rsid w:val="00092257"/>
    <w:rsid w:val="000930E4"/>
    <w:rsid w:val="000943C3"/>
    <w:rsid w:val="000958FC"/>
    <w:rsid w:val="000A0C33"/>
    <w:rsid w:val="000A2F52"/>
    <w:rsid w:val="000A44BB"/>
    <w:rsid w:val="000A5355"/>
    <w:rsid w:val="000A5E58"/>
    <w:rsid w:val="000A7CB0"/>
    <w:rsid w:val="000B1686"/>
    <w:rsid w:val="000B1A47"/>
    <w:rsid w:val="000B491B"/>
    <w:rsid w:val="000B7B49"/>
    <w:rsid w:val="000B7BFC"/>
    <w:rsid w:val="000C0989"/>
    <w:rsid w:val="000C09B3"/>
    <w:rsid w:val="000C1135"/>
    <w:rsid w:val="000C18CF"/>
    <w:rsid w:val="000C1D0E"/>
    <w:rsid w:val="000C6883"/>
    <w:rsid w:val="000C7A3D"/>
    <w:rsid w:val="000D0C89"/>
    <w:rsid w:val="000D0C8C"/>
    <w:rsid w:val="000D5091"/>
    <w:rsid w:val="000D5C7C"/>
    <w:rsid w:val="000D7D80"/>
    <w:rsid w:val="000E0657"/>
    <w:rsid w:val="000E15CB"/>
    <w:rsid w:val="000E1C0A"/>
    <w:rsid w:val="000E394D"/>
    <w:rsid w:val="000E3B7B"/>
    <w:rsid w:val="000E3C7E"/>
    <w:rsid w:val="000E75A8"/>
    <w:rsid w:val="000E78B3"/>
    <w:rsid w:val="000F0F41"/>
    <w:rsid w:val="000F1E2B"/>
    <w:rsid w:val="000F207B"/>
    <w:rsid w:val="000F265D"/>
    <w:rsid w:val="000F39DB"/>
    <w:rsid w:val="000F435D"/>
    <w:rsid w:val="000F780A"/>
    <w:rsid w:val="000F7BC9"/>
    <w:rsid w:val="001008E5"/>
    <w:rsid w:val="001031DC"/>
    <w:rsid w:val="001036E5"/>
    <w:rsid w:val="00103F7B"/>
    <w:rsid w:val="00104DA7"/>
    <w:rsid w:val="00104FF5"/>
    <w:rsid w:val="0010630C"/>
    <w:rsid w:val="00111764"/>
    <w:rsid w:val="00111812"/>
    <w:rsid w:val="001118BA"/>
    <w:rsid w:val="00113AAE"/>
    <w:rsid w:val="00113E31"/>
    <w:rsid w:val="00114458"/>
    <w:rsid w:val="0011764D"/>
    <w:rsid w:val="00117A1E"/>
    <w:rsid w:val="001224E8"/>
    <w:rsid w:val="001228BC"/>
    <w:rsid w:val="001232AC"/>
    <w:rsid w:val="001238B2"/>
    <w:rsid w:val="001250BC"/>
    <w:rsid w:val="00130176"/>
    <w:rsid w:val="00130B00"/>
    <w:rsid w:val="00130B09"/>
    <w:rsid w:val="00132C0C"/>
    <w:rsid w:val="001341EC"/>
    <w:rsid w:val="00134228"/>
    <w:rsid w:val="00135418"/>
    <w:rsid w:val="00135C17"/>
    <w:rsid w:val="00135F21"/>
    <w:rsid w:val="00137028"/>
    <w:rsid w:val="0013728C"/>
    <w:rsid w:val="001372DA"/>
    <w:rsid w:val="00137E0F"/>
    <w:rsid w:val="00140F06"/>
    <w:rsid w:val="001413EB"/>
    <w:rsid w:val="001428CC"/>
    <w:rsid w:val="0014294F"/>
    <w:rsid w:val="00142B54"/>
    <w:rsid w:val="00142D73"/>
    <w:rsid w:val="001430C6"/>
    <w:rsid w:val="001431C0"/>
    <w:rsid w:val="0014324D"/>
    <w:rsid w:val="001437B0"/>
    <w:rsid w:val="00143BF3"/>
    <w:rsid w:val="00145417"/>
    <w:rsid w:val="001472F5"/>
    <w:rsid w:val="0015432E"/>
    <w:rsid w:val="001556B7"/>
    <w:rsid w:val="00157168"/>
    <w:rsid w:val="00157403"/>
    <w:rsid w:val="00160935"/>
    <w:rsid w:val="0016190A"/>
    <w:rsid w:val="00161C15"/>
    <w:rsid w:val="00162235"/>
    <w:rsid w:val="00164687"/>
    <w:rsid w:val="001662CE"/>
    <w:rsid w:val="00166B68"/>
    <w:rsid w:val="001707BF"/>
    <w:rsid w:val="00170B56"/>
    <w:rsid w:val="00174AB9"/>
    <w:rsid w:val="00175154"/>
    <w:rsid w:val="00175240"/>
    <w:rsid w:val="00175B88"/>
    <w:rsid w:val="00177DA5"/>
    <w:rsid w:val="00181BB6"/>
    <w:rsid w:val="00182D3D"/>
    <w:rsid w:val="00184512"/>
    <w:rsid w:val="00185417"/>
    <w:rsid w:val="001871AE"/>
    <w:rsid w:val="001906AE"/>
    <w:rsid w:val="00190AEC"/>
    <w:rsid w:val="00191A5C"/>
    <w:rsid w:val="00191C03"/>
    <w:rsid w:val="00192662"/>
    <w:rsid w:val="00193DCA"/>
    <w:rsid w:val="0019408A"/>
    <w:rsid w:val="001946E0"/>
    <w:rsid w:val="00195429"/>
    <w:rsid w:val="00195D76"/>
    <w:rsid w:val="001971C4"/>
    <w:rsid w:val="00197F40"/>
    <w:rsid w:val="001A181A"/>
    <w:rsid w:val="001A366F"/>
    <w:rsid w:val="001A42C5"/>
    <w:rsid w:val="001A49C6"/>
    <w:rsid w:val="001A4C4B"/>
    <w:rsid w:val="001A539D"/>
    <w:rsid w:val="001A69CC"/>
    <w:rsid w:val="001A6AAD"/>
    <w:rsid w:val="001B0690"/>
    <w:rsid w:val="001B14E3"/>
    <w:rsid w:val="001B28B1"/>
    <w:rsid w:val="001B3B98"/>
    <w:rsid w:val="001B6DAA"/>
    <w:rsid w:val="001B79F1"/>
    <w:rsid w:val="001B7E32"/>
    <w:rsid w:val="001C02C7"/>
    <w:rsid w:val="001C058F"/>
    <w:rsid w:val="001C1528"/>
    <w:rsid w:val="001C48CE"/>
    <w:rsid w:val="001C4AF7"/>
    <w:rsid w:val="001C5DF1"/>
    <w:rsid w:val="001C7A21"/>
    <w:rsid w:val="001D0466"/>
    <w:rsid w:val="001D1358"/>
    <w:rsid w:val="001D1C08"/>
    <w:rsid w:val="001D7788"/>
    <w:rsid w:val="001D7C91"/>
    <w:rsid w:val="001D7EB3"/>
    <w:rsid w:val="001E06BA"/>
    <w:rsid w:val="001E22C8"/>
    <w:rsid w:val="001E26BA"/>
    <w:rsid w:val="001E3FFB"/>
    <w:rsid w:val="001E7673"/>
    <w:rsid w:val="001E7A9F"/>
    <w:rsid w:val="001F1B37"/>
    <w:rsid w:val="001F2372"/>
    <w:rsid w:val="001F3127"/>
    <w:rsid w:val="001F46C3"/>
    <w:rsid w:val="001F4BCE"/>
    <w:rsid w:val="001F50D5"/>
    <w:rsid w:val="001F5326"/>
    <w:rsid w:val="001F6307"/>
    <w:rsid w:val="001F72F7"/>
    <w:rsid w:val="001F798F"/>
    <w:rsid w:val="0020065C"/>
    <w:rsid w:val="00203F46"/>
    <w:rsid w:val="002040F5"/>
    <w:rsid w:val="00204B04"/>
    <w:rsid w:val="00205D81"/>
    <w:rsid w:val="002128B3"/>
    <w:rsid w:val="00213808"/>
    <w:rsid w:val="00213DCE"/>
    <w:rsid w:val="00215395"/>
    <w:rsid w:val="0021689B"/>
    <w:rsid w:val="0021761B"/>
    <w:rsid w:val="00220B02"/>
    <w:rsid w:val="00220EF5"/>
    <w:rsid w:val="0022171C"/>
    <w:rsid w:val="00224B87"/>
    <w:rsid w:val="00225618"/>
    <w:rsid w:val="00225D7B"/>
    <w:rsid w:val="002268CE"/>
    <w:rsid w:val="00226D4E"/>
    <w:rsid w:val="0023076C"/>
    <w:rsid w:val="00232568"/>
    <w:rsid w:val="00232C79"/>
    <w:rsid w:val="0023372E"/>
    <w:rsid w:val="002348AA"/>
    <w:rsid w:val="00235904"/>
    <w:rsid w:val="00241A3E"/>
    <w:rsid w:val="00241DC2"/>
    <w:rsid w:val="00244F72"/>
    <w:rsid w:val="00245F54"/>
    <w:rsid w:val="00247882"/>
    <w:rsid w:val="00251844"/>
    <w:rsid w:val="00251CBF"/>
    <w:rsid w:val="00253AC1"/>
    <w:rsid w:val="002548E3"/>
    <w:rsid w:val="002575F8"/>
    <w:rsid w:val="002610FD"/>
    <w:rsid w:val="00262687"/>
    <w:rsid w:val="00263DA7"/>
    <w:rsid w:val="00264F78"/>
    <w:rsid w:val="00266CEF"/>
    <w:rsid w:val="00266EA0"/>
    <w:rsid w:val="002704BF"/>
    <w:rsid w:val="0027249B"/>
    <w:rsid w:val="00272536"/>
    <w:rsid w:val="00272ED2"/>
    <w:rsid w:val="0027444E"/>
    <w:rsid w:val="00275996"/>
    <w:rsid w:val="00275EBD"/>
    <w:rsid w:val="00281E94"/>
    <w:rsid w:val="00282410"/>
    <w:rsid w:val="0028268B"/>
    <w:rsid w:val="0028303E"/>
    <w:rsid w:val="00283EA1"/>
    <w:rsid w:val="002853DF"/>
    <w:rsid w:val="00285474"/>
    <w:rsid w:val="0028575E"/>
    <w:rsid w:val="0028697B"/>
    <w:rsid w:val="002878F8"/>
    <w:rsid w:val="00287D96"/>
    <w:rsid w:val="00291DCB"/>
    <w:rsid w:val="002929E8"/>
    <w:rsid w:val="00292B90"/>
    <w:rsid w:val="00292D0D"/>
    <w:rsid w:val="0029368B"/>
    <w:rsid w:val="00293C92"/>
    <w:rsid w:val="0029699C"/>
    <w:rsid w:val="002A1F2D"/>
    <w:rsid w:val="002A20D5"/>
    <w:rsid w:val="002A2181"/>
    <w:rsid w:val="002A2A3E"/>
    <w:rsid w:val="002A3CC6"/>
    <w:rsid w:val="002A4707"/>
    <w:rsid w:val="002A5CCB"/>
    <w:rsid w:val="002A67B6"/>
    <w:rsid w:val="002A6AAC"/>
    <w:rsid w:val="002A74C5"/>
    <w:rsid w:val="002A75B4"/>
    <w:rsid w:val="002A7677"/>
    <w:rsid w:val="002B0B12"/>
    <w:rsid w:val="002B13A8"/>
    <w:rsid w:val="002B2E58"/>
    <w:rsid w:val="002B2EBC"/>
    <w:rsid w:val="002B33B2"/>
    <w:rsid w:val="002B34EA"/>
    <w:rsid w:val="002B3D33"/>
    <w:rsid w:val="002B4021"/>
    <w:rsid w:val="002B4EBE"/>
    <w:rsid w:val="002B55F6"/>
    <w:rsid w:val="002B7080"/>
    <w:rsid w:val="002C044F"/>
    <w:rsid w:val="002C07C7"/>
    <w:rsid w:val="002C08B8"/>
    <w:rsid w:val="002C25AA"/>
    <w:rsid w:val="002C274C"/>
    <w:rsid w:val="002C3C9C"/>
    <w:rsid w:val="002C3CB1"/>
    <w:rsid w:val="002C4405"/>
    <w:rsid w:val="002C5DEA"/>
    <w:rsid w:val="002D01B9"/>
    <w:rsid w:val="002D04D6"/>
    <w:rsid w:val="002D0634"/>
    <w:rsid w:val="002D0C05"/>
    <w:rsid w:val="002D0EDA"/>
    <w:rsid w:val="002D37B5"/>
    <w:rsid w:val="002D4FE2"/>
    <w:rsid w:val="002D5DA1"/>
    <w:rsid w:val="002D7855"/>
    <w:rsid w:val="002E0214"/>
    <w:rsid w:val="002E1FF6"/>
    <w:rsid w:val="002E3A01"/>
    <w:rsid w:val="002E52D3"/>
    <w:rsid w:val="002E579A"/>
    <w:rsid w:val="002E661E"/>
    <w:rsid w:val="002E74C3"/>
    <w:rsid w:val="002F0E54"/>
    <w:rsid w:val="002F1097"/>
    <w:rsid w:val="002F2307"/>
    <w:rsid w:val="002F31CC"/>
    <w:rsid w:val="002F3A14"/>
    <w:rsid w:val="002F5767"/>
    <w:rsid w:val="002F62C7"/>
    <w:rsid w:val="00300EAA"/>
    <w:rsid w:val="00301B92"/>
    <w:rsid w:val="00305D91"/>
    <w:rsid w:val="00307BB8"/>
    <w:rsid w:val="0031017A"/>
    <w:rsid w:val="00310D93"/>
    <w:rsid w:val="00312792"/>
    <w:rsid w:val="003142D2"/>
    <w:rsid w:val="00314DA4"/>
    <w:rsid w:val="00315BD7"/>
    <w:rsid w:val="00315D23"/>
    <w:rsid w:val="00315F2C"/>
    <w:rsid w:val="00317E17"/>
    <w:rsid w:val="00320796"/>
    <w:rsid w:val="003212F6"/>
    <w:rsid w:val="0032739F"/>
    <w:rsid w:val="00327C7A"/>
    <w:rsid w:val="00327F87"/>
    <w:rsid w:val="00330D2E"/>
    <w:rsid w:val="00335E7D"/>
    <w:rsid w:val="00335FE3"/>
    <w:rsid w:val="00336A8E"/>
    <w:rsid w:val="0033739E"/>
    <w:rsid w:val="0033760B"/>
    <w:rsid w:val="0034038C"/>
    <w:rsid w:val="0034508F"/>
    <w:rsid w:val="00350512"/>
    <w:rsid w:val="00350DA0"/>
    <w:rsid w:val="003550D0"/>
    <w:rsid w:val="00355FB7"/>
    <w:rsid w:val="003579AD"/>
    <w:rsid w:val="0036180C"/>
    <w:rsid w:val="00361E9A"/>
    <w:rsid w:val="00362267"/>
    <w:rsid w:val="00365608"/>
    <w:rsid w:val="00367789"/>
    <w:rsid w:val="00367941"/>
    <w:rsid w:val="00367A65"/>
    <w:rsid w:val="00370FF7"/>
    <w:rsid w:val="00371EA2"/>
    <w:rsid w:val="00372B95"/>
    <w:rsid w:val="0037346B"/>
    <w:rsid w:val="00373655"/>
    <w:rsid w:val="0037391B"/>
    <w:rsid w:val="00373E34"/>
    <w:rsid w:val="003751DF"/>
    <w:rsid w:val="0037599C"/>
    <w:rsid w:val="00375DEE"/>
    <w:rsid w:val="003829BE"/>
    <w:rsid w:val="00383CDD"/>
    <w:rsid w:val="003846FA"/>
    <w:rsid w:val="003855EC"/>
    <w:rsid w:val="00385833"/>
    <w:rsid w:val="00385BA7"/>
    <w:rsid w:val="00386250"/>
    <w:rsid w:val="00386AE7"/>
    <w:rsid w:val="00387FA9"/>
    <w:rsid w:val="00390698"/>
    <w:rsid w:val="00391438"/>
    <w:rsid w:val="00391689"/>
    <w:rsid w:val="00391D6B"/>
    <w:rsid w:val="003938EF"/>
    <w:rsid w:val="003952E9"/>
    <w:rsid w:val="00395958"/>
    <w:rsid w:val="003968EA"/>
    <w:rsid w:val="00397959"/>
    <w:rsid w:val="003A21BB"/>
    <w:rsid w:val="003A22AF"/>
    <w:rsid w:val="003A2716"/>
    <w:rsid w:val="003A3AE5"/>
    <w:rsid w:val="003A41E4"/>
    <w:rsid w:val="003A45B5"/>
    <w:rsid w:val="003A54B3"/>
    <w:rsid w:val="003A5DCF"/>
    <w:rsid w:val="003B1C5A"/>
    <w:rsid w:val="003B2982"/>
    <w:rsid w:val="003B56FF"/>
    <w:rsid w:val="003B6116"/>
    <w:rsid w:val="003B74FA"/>
    <w:rsid w:val="003B7C3F"/>
    <w:rsid w:val="003C0388"/>
    <w:rsid w:val="003C0BFA"/>
    <w:rsid w:val="003C15F5"/>
    <w:rsid w:val="003C6BFC"/>
    <w:rsid w:val="003C6E85"/>
    <w:rsid w:val="003C7979"/>
    <w:rsid w:val="003C7D20"/>
    <w:rsid w:val="003D24BC"/>
    <w:rsid w:val="003D30F5"/>
    <w:rsid w:val="003D5AC0"/>
    <w:rsid w:val="003D6392"/>
    <w:rsid w:val="003D6D8F"/>
    <w:rsid w:val="003D7210"/>
    <w:rsid w:val="003D7A27"/>
    <w:rsid w:val="003E4BF8"/>
    <w:rsid w:val="003E532A"/>
    <w:rsid w:val="003E5A13"/>
    <w:rsid w:val="003E6172"/>
    <w:rsid w:val="003E618B"/>
    <w:rsid w:val="003E7134"/>
    <w:rsid w:val="003E7BB8"/>
    <w:rsid w:val="003F06FA"/>
    <w:rsid w:val="003F167F"/>
    <w:rsid w:val="003F586D"/>
    <w:rsid w:val="00403040"/>
    <w:rsid w:val="00403919"/>
    <w:rsid w:val="00403D3E"/>
    <w:rsid w:val="00403D6F"/>
    <w:rsid w:val="0040661C"/>
    <w:rsid w:val="00412195"/>
    <w:rsid w:val="004137F1"/>
    <w:rsid w:val="00414158"/>
    <w:rsid w:val="0041424D"/>
    <w:rsid w:val="0041480B"/>
    <w:rsid w:val="004149B5"/>
    <w:rsid w:val="00414E50"/>
    <w:rsid w:val="0041653E"/>
    <w:rsid w:val="004177F5"/>
    <w:rsid w:val="00423E09"/>
    <w:rsid w:val="00426233"/>
    <w:rsid w:val="00426E52"/>
    <w:rsid w:val="00427024"/>
    <w:rsid w:val="0043061C"/>
    <w:rsid w:val="00430697"/>
    <w:rsid w:val="00430B43"/>
    <w:rsid w:val="00430B4C"/>
    <w:rsid w:val="00430C42"/>
    <w:rsid w:val="00436585"/>
    <w:rsid w:val="0044055E"/>
    <w:rsid w:val="00444083"/>
    <w:rsid w:val="004466B2"/>
    <w:rsid w:val="00446CD4"/>
    <w:rsid w:val="00447EEB"/>
    <w:rsid w:val="00452112"/>
    <w:rsid w:val="00452A52"/>
    <w:rsid w:val="004534F1"/>
    <w:rsid w:val="00460364"/>
    <w:rsid w:val="00460984"/>
    <w:rsid w:val="00460B4E"/>
    <w:rsid w:val="00460E4A"/>
    <w:rsid w:val="00463137"/>
    <w:rsid w:val="00463476"/>
    <w:rsid w:val="004634E4"/>
    <w:rsid w:val="004640A8"/>
    <w:rsid w:val="0046567C"/>
    <w:rsid w:val="00465ABA"/>
    <w:rsid w:val="0047254B"/>
    <w:rsid w:val="0047342E"/>
    <w:rsid w:val="0047470C"/>
    <w:rsid w:val="00476CB8"/>
    <w:rsid w:val="00476E8C"/>
    <w:rsid w:val="00480B37"/>
    <w:rsid w:val="00480DF1"/>
    <w:rsid w:val="00481421"/>
    <w:rsid w:val="00481F7E"/>
    <w:rsid w:val="00485118"/>
    <w:rsid w:val="004862E3"/>
    <w:rsid w:val="00486B04"/>
    <w:rsid w:val="00487396"/>
    <w:rsid w:val="00487F48"/>
    <w:rsid w:val="0049057C"/>
    <w:rsid w:val="00491D80"/>
    <w:rsid w:val="0049293C"/>
    <w:rsid w:val="00493BCB"/>
    <w:rsid w:val="00495E0D"/>
    <w:rsid w:val="004A0DBA"/>
    <w:rsid w:val="004A363B"/>
    <w:rsid w:val="004B17F9"/>
    <w:rsid w:val="004B2949"/>
    <w:rsid w:val="004B35B0"/>
    <w:rsid w:val="004B546A"/>
    <w:rsid w:val="004B640D"/>
    <w:rsid w:val="004B6DD4"/>
    <w:rsid w:val="004B7CB9"/>
    <w:rsid w:val="004B7CF9"/>
    <w:rsid w:val="004B7FE1"/>
    <w:rsid w:val="004C083F"/>
    <w:rsid w:val="004C0925"/>
    <w:rsid w:val="004C1609"/>
    <w:rsid w:val="004C1C88"/>
    <w:rsid w:val="004C2FFF"/>
    <w:rsid w:val="004C34A2"/>
    <w:rsid w:val="004C7B92"/>
    <w:rsid w:val="004D1B7C"/>
    <w:rsid w:val="004D33AD"/>
    <w:rsid w:val="004D52E6"/>
    <w:rsid w:val="004D6EB8"/>
    <w:rsid w:val="004D7823"/>
    <w:rsid w:val="004E0FA2"/>
    <w:rsid w:val="004E2437"/>
    <w:rsid w:val="004E38C8"/>
    <w:rsid w:val="004E5F7B"/>
    <w:rsid w:val="004E716C"/>
    <w:rsid w:val="004E7706"/>
    <w:rsid w:val="004F1388"/>
    <w:rsid w:val="004F1647"/>
    <w:rsid w:val="004F21A8"/>
    <w:rsid w:val="004F270C"/>
    <w:rsid w:val="004F4A12"/>
    <w:rsid w:val="004F53C5"/>
    <w:rsid w:val="004F6FF2"/>
    <w:rsid w:val="004F705D"/>
    <w:rsid w:val="00502411"/>
    <w:rsid w:val="00502A31"/>
    <w:rsid w:val="00506625"/>
    <w:rsid w:val="00506E53"/>
    <w:rsid w:val="005077CE"/>
    <w:rsid w:val="00510833"/>
    <w:rsid w:val="00512133"/>
    <w:rsid w:val="005134E0"/>
    <w:rsid w:val="00513955"/>
    <w:rsid w:val="00514F27"/>
    <w:rsid w:val="00516033"/>
    <w:rsid w:val="00516BC0"/>
    <w:rsid w:val="00517F6E"/>
    <w:rsid w:val="005202B0"/>
    <w:rsid w:val="00520B92"/>
    <w:rsid w:val="00520CE6"/>
    <w:rsid w:val="005233A0"/>
    <w:rsid w:val="00524E1E"/>
    <w:rsid w:val="00527BD7"/>
    <w:rsid w:val="00527FC0"/>
    <w:rsid w:val="00531A05"/>
    <w:rsid w:val="00532EBB"/>
    <w:rsid w:val="00532FF8"/>
    <w:rsid w:val="00540872"/>
    <w:rsid w:val="00540B09"/>
    <w:rsid w:val="00543F55"/>
    <w:rsid w:val="00544C35"/>
    <w:rsid w:val="00544C79"/>
    <w:rsid w:val="00546D05"/>
    <w:rsid w:val="00550854"/>
    <w:rsid w:val="005509E0"/>
    <w:rsid w:val="005523A5"/>
    <w:rsid w:val="00553541"/>
    <w:rsid w:val="005577BB"/>
    <w:rsid w:val="00557F0D"/>
    <w:rsid w:val="00561732"/>
    <w:rsid w:val="00561EEE"/>
    <w:rsid w:val="00562867"/>
    <w:rsid w:val="005634EA"/>
    <w:rsid w:val="005635D1"/>
    <w:rsid w:val="00564CC5"/>
    <w:rsid w:val="005663BE"/>
    <w:rsid w:val="00567E5E"/>
    <w:rsid w:val="00570FD5"/>
    <w:rsid w:val="00571920"/>
    <w:rsid w:val="00573C48"/>
    <w:rsid w:val="0057443D"/>
    <w:rsid w:val="00574A11"/>
    <w:rsid w:val="0057539A"/>
    <w:rsid w:val="00575538"/>
    <w:rsid w:val="00575C10"/>
    <w:rsid w:val="00577580"/>
    <w:rsid w:val="00577D9B"/>
    <w:rsid w:val="00582DBB"/>
    <w:rsid w:val="005832B5"/>
    <w:rsid w:val="0058433A"/>
    <w:rsid w:val="005845F5"/>
    <w:rsid w:val="00586B20"/>
    <w:rsid w:val="00586C53"/>
    <w:rsid w:val="005873BD"/>
    <w:rsid w:val="005874F1"/>
    <w:rsid w:val="005875CB"/>
    <w:rsid w:val="005905CF"/>
    <w:rsid w:val="00591CAA"/>
    <w:rsid w:val="00592F24"/>
    <w:rsid w:val="00595F08"/>
    <w:rsid w:val="005A0E82"/>
    <w:rsid w:val="005A24B4"/>
    <w:rsid w:val="005A5679"/>
    <w:rsid w:val="005A7808"/>
    <w:rsid w:val="005B09E8"/>
    <w:rsid w:val="005B33A7"/>
    <w:rsid w:val="005B6107"/>
    <w:rsid w:val="005B64C3"/>
    <w:rsid w:val="005B6B4A"/>
    <w:rsid w:val="005C1330"/>
    <w:rsid w:val="005C2F3E"/>
    <w:rsid w:val="005C344C"/>
    <w:rsid w:val="005C3A02"/>
    <w:rsid w:val="005C498F"/>
    <w:rsid w:val="005C52CB"/>
    <w:rsid w:val="005C6F58"/>
    <w:rsid w:val="005C7EA1"/>
    <w:rsid w:val="005C7EE5"/>
    <w:rsid w:val="005D0492"/>
    <w:rsid w:val="005D05F5"/>
    <w:rsid w:val="005D125D"/>
    <w:rsid w:val="005D1A54"/>
    <w:rsid w:val="005D1DCE"/>
    <w:rsid w:val="005D1DF4"/>
    <w:rsid w:val="005D1F34"/>
    <w:rsid w:val="005D22B9"/>
    <w:rsid w:val="005D271A"/>
    <w:rsid w:val="005D38DC"/>
    <w:rsid w:val="005D3E23"/>
    <w:rsid w:val="005D7710"/>
    <w:rsid w:val="005E07F0"/>
    <w:rsid w:val="005E0CB5"/>
    <w:rsid w:val="005E1167"/>
    <w:rsid w:val="005E1ABF"/>
    <w:rsid w:val="005E2D22"/>
    <w:rsid w:val="005E349A"/>
    <w:rsid w:val="005E3F12"/>
    <w:rsid w:val="005E411B"/>
    <w:rsid w:val="005E4181"/>
    <w:rsid w:val="005E549F"/>
    <w:rsid w:val="005E5D9E"/>
    <w:rsid w:val="005E7215"/>
    <w:rsid w:val="005E73C9"/>
    <w:rsid w:val="005E7BB5"/>
    <w:rsid w:val="005F0843"/>
    <w:rsid w:val="005F13FA"/>
    <w:rsid w:val="005F2DB4"/>
    <w:rsid w:val="005F3566"/>
    <w:rsid w:val="005F37DA"/>
    <w:rsid w:val="005F3E66"/>
    <w:rsid w:val="005F4DAA"/>
    <w:rsid w:val="005F53D5"/>
    <w:rsid w:val="005F5A23"/>
    <w:rsid w:val="005F5A27"/>
    <w:rsid w:val="005F667F"/>
    <w:rsid w:val="005F6E77"/>
    <w:rsid w:val="005F7296"/>
    <w:rsid w:val="00600482"/>
    <w:rsid w:val="00600CA5"/>
    <w:rsid w:val="0060297E"/>
    <w:rsid w:val="00602C63"/>
    <w:rsid w:val="006031A3"/>
    <w:rsid w:val="00603BE6"/>
    <w:rsid w:val="00606D5D"/>
    <w:rsid w:val="00607F74"/>
    <w:rsid w:val="0061060C"/>
    <w:rsid w:val="00610D4F"/>
    <w:rsid w:val="0061309C"/>
    <w:rsid w:val="006138CA"/>
    <w:rsid w:val="006142A4"/>
    <w:rsid w:val="00616D55"/>
    <w:rsid w:val="00617962"/>
    <w:rsid w:val="0062073E"/>
    <w:rsid w:val="00621B6F"/>
    <w:rsid w:val="00622BEA"/>
    <w:rsid w:val="00626A0B"/>
    <w:rsid w:val="0063024A"/>
    <w:rsid w:val="00632FAF"/>
    <w:rsid w:val="006333B5"/>
    <w:rsid w:val="00633546"/>
    <w:rsid w:val="006336E3"/>
    <w:rsid w:val="00633897"/>
    <w:rsid w:val="00634253"/>
    <w:rsid w:val="00634627"/>
    <w:rsid w:val="00634E5F"/>
    <w:rsid w:val="0063544A"/>
    <w:rsid w:val="00635662"/>
    <w:rsid w:val="00636BB1"/>
    <w:rsid w:val="006405B8"/>
    <w:rsid w:val="00641CFD"/>
    <w:rsid w:val="0064246A"/>
    <w:rsid w:val="00642E9F"/>
    <w:rsid w:val="006434A9"/>
    <w:rsid w:val="006457B7"/>
    <w:rsid w:val="00645855"/>
    <w:rsid w:val="00645922"/>
    <w:rsid w:val="00645D5E"/>
    <w:rsid w:val="0064712E"/>
    <w:rsid w:val="006522FE"/>
    <w:rsid w:val="006533AA"/>
    <w:rsid w:val="006545A7"/>
    <w:rsid w:val="006553C7"/>
    <w:rsid w:val="0065555A"/>
    <w:rsid w:val="006558B4"/>
    <w:rsid w:val="00661339"/>
    <w:rsid w:val="006643F3"/>
    <w:rsid w:val="00666684"/>
    <w:rsid w:val="00667877"/>
    <w:rsid w:val="00667B7C"/>
    <w:rsid w:val="00670D5D"/>
    <w:rsid w:val="0067209A"/>
    <w:rsid w:val="00674C2B"/>
    <w:rsid w:val="00674E58"/>
    <w:rsid w:val="0067524F"/>
    <w:rsid w:val="0067777A"/>
    <w:rsid w:val="006809DC"/>
    <w:rsid w:val="00682E86"/>
    <w:rsid w:val="006830DB"/>
    <w:rsid w:val="00684213"/>
    <w:rsid w:val="0068680A"/>
    <w:rsid w:val="00691469"/>
    <w:rsid w:val="00691BE6"/>
    <w:rsid w:val="00693E15"/>
    <w:rsid w:val="00695563"/>
    <w:rsid w:val="00695C67"/>
    <w:rsid w:val="00696224"/>
    <w:rsid w:val="00697AA4"/>
    <w:rsid w:val="006A0AFA"/>
    <w:rsid w:val="006A1C90"/>
    <w:rsid w:val="006A6267"/>
    <w:rsid w:val="006A6380"/>
    <w:rsid w:val="006A7453"/>
    <w:rsid w:val="006B2473"/>
    <w:rsid w:val="006B3D23"/>
    <w:rsid w:val="006B51FE"/>
    <w:rsid w:val="006B6FCB"/>
    <w:rsid w:val="006B7315"/>
    <w:rsid w:val="006B79BF"/>
    <w:rsid w:val="006C3C82"/>
    <w:rsid w:val="006C5614"/>
    <w:rsid w:val="006C667D"/>
    <w:rsid w:val="006D1F04"/>
    <w:rsid w:val="006D23EA"/>
    <w:rsid w:val="006D23F3"/>
    <w:rsid w:val="006D2F12"/>
    <w:rsid w:val="006D3BEC"/>
    <w:rsid w:val="006D4332"/>
    <w:rsid w:val="006D7F19"/>
    <w:rsid w:val="006E0FEC"/>
    <w:rsid w:val="006E1AE3"/>
    <w:rsid w:val="006E2D72"/>
    <w:rsid w:val="006E3526"/>
    <w:rsid w:val="006E35E4"/>
    <w:rsid w:val="006E3D3D"/>
    <w:rsid w:val="006E4610"/>
    <w:rsid w:val="006E4B27"/>
    <w:rsid w:val="006E7448"/>
    <w:rsid w:val="006F0154"/>
    <w:rsid w:val="006F2A34"/>
    <w:rsid w:val="006F6DEC"/>
    <w:rsid w:val="006F74DB"/>
    <w:rsid w:val="00703149"/>
    <w:rsid w:val="0070486E"/>
    <w:rsid w:val="007079F8"/>
    <w:rsid w:val="00710920"/>
    <w:rsid w:val="00711371"/>
    <w:rsid w:val="00711799"/>
    <w:rsid w:val="007136C3"/>
    <w:rsid w:val="00715A8D"/>
    <w:rsid w:val="00720071"/>
    <w:rsid w:val="0072068C"/>
    <w:rsid w:val="00720E4B"/>
    <w:rsid w:val="00720FEB"/>
    <w:rsid w:val="007226E4"/>
    <w:rsid w:val="00725103"/>
    <w:rsid w:val="00730562"/>
    <w:rsid w:val="00730B5E"/>
    <w:rsid w:val="00731C8F"/>
    <w:rsid w:val="007333C7"/>
    <w:rsid w:val="007357F1"/>
    <w:rsid w:val="00736849"/>
    <w:rsid w:val="00740E3E"/>
    <w:rsid w:val="007439B5"/>
    <w:rsid w:val="00744736"/>
    <w:rsid w:val="00744997"/>
    <w:rsid w:val="007450CC"/>
    <w:rsid w:val="0074522A"/>
    <w:rsid w:val="00746C4A"/>
    <w:rsid w:val="00746D66"/>
    <w:rsid w:val="007475DF"/>
    <w:rsid w:val="007521B0"/>
    <w:rsid w:val="00752342"/>
    <w:rsid w:val="007523FC"/>
    <w:rsid w:val="0075385A"/>
    <w:rsid w:val="00756202"/>
    <w:rsid w:val="007567B4"/>
    <w:rsid w:val="00756C90"/>
    <w:rsid w:val="007578E7"/>
    <w:rsid w:val="00761EF4"/>
    <w:rsid w:val="0076345A"/>
    <w:rsid w:val="00763E9C"/>
    <w:rsid w:val="00763FB7"/>
    <w:rsid w:val="007641F8"/>
    <w:rsid w:val="00764487"/>
    <w:rsid w:val="00765BDC"/>
    <w:rsid w:val="00770066"/>
    <w:rsid w:val="00771243"/>
    <w:rsid w:val="00772168"/>
    <w:rsid w:val="007721D8"/>
    <w:rsid w:val="00772C72"/>
    <w:rsid w:val="007737E1"/>
    <w:rsid w:val="0077389A"/>
    <w:rsid w:val="00773D06"/>
    <w:rsid w:val="00774A73"/>
    <w:rsid w:val="0077583A"/>
    <w:rsid w:val="007808A3"/>
    <w:rsid w:val="0078164A"/>
    <w:rsid w:val="00781D3C"/>
    <w:rsid w:val="00782462"/>
    <w:rsid w:val="00782AF8"/>
    <w:rsid w:val="00785AFC"/>
    <w:rsid w:val="00791628"/>
    <w:rsid w:val="0079217A"/>
    <w:rsid w:val="0079783D"/>
    <w:rsid w:val="007978CA"/>
    <w:rsid w:val="007A0CA8"/>
    <w:rsid w:val="007A2D90"/>
    <w:rsid w:val="007A3634"/>
    <w:rsid w:val="007A4DAA"/>
    <w:rsid w:val="007A5466"/>
    <w:rsid w:val="007A5A72"/>
    <w:rsid w:val="007A669F"/>
    <w:rsid w:val="007B06B6"/>
    <w:rsid w:val="007B1AE0"/>
    <w:rsid w:val="007B2D11"/>
    <w:rsid w:val="007B30D5"/>
    <w:rsid w:val="007B3B8E"/>
    <w:rsid w:val="007B47D7"/>
    <w:rsid w:val="007B4A3F"/>
    <w:rsid w:val="007B68C7"/>
    <w:rsid w:val="007B6AD4"/>
    <w:rsid w:val="007B7D5C"/>
    <w:rsid w:val="007C0073"/>
    <w:rsid w:val="007C00C4"/>
    <w:rsid w:val="007C088A"/>
    <w:rsid w:val="007C0CCE"/>
    <w:rsid w:val="007C1C0C"/>
    <w:rsid w:val="007C2464"/>
    <w:rsid w:val="007C37CD"/>
    <w:rsid w:val="007C37ED"/>
    <w:rsid w:val="007C4616"/>
    <w:rsid w:val="007C53D9"/>
    <w:rsid w:val="007C671A"/>
    <w:rsid w:val="007C73BF"/>
    <w:rsid w:val="007C7781"/>
    <w:rsid w:val="007D02FE"/>
    <w:rsid w:val="007D2096"/>
    <w:rsid w:val="007D299A"/>
    <w:rsid w:val="007D4267"/>
    <w:rsid w:val="007D6055"/>
    <w:rsid w:val="007D78AA"/>
    <w:rsid w:val="007D7EA9"/>
    <w:rsid w:val="007E0183"/>
    <w:rsid w:val="007E06A7"/>
    <w:rsid w:val="007E1628"/>
    <w:rsid w:val="007E3B52"/>
    <w:rsid w:val="007E5694"/>
    <w:rsid w:val="007E6C01"/>
    <w:rsid w:val="007E7E86"/>
    <w:rsid w:val="007F128A"/>
    <w:rsid w:val="007F3837"/>
    <w:rsid w:val="007F523C"/>
    <w:rsid w:val="007F6AAC"/>
    <w:rsid w:val="007F6BF5"/>
    <w:rsid w:val="008000C9"/>
    <w:rsid w:val="0080044B"/>
    <w:rsid w:val="00801088"/>
    <w:rsid w:val="00802301"/>
    <w:rsid w:val="00805A0C"/>
    <w:rsid w:val="00806119"/>
    <w:rsid w:val="0080776D"/>
    <w:rsid w:val="00807AFC"/>
    <w:rsid w:val="008104DF"/>
    <w:rsid w:val="00810929"/>
    <w:rsid w:val="008133CE"/>
    <w:rsid w:val="008134C2"/>
    <w:rsid w:val="00814622"/>
    <w:rsid w:val="0081536E"/>
    <w:rsid w:val="00815852"/>
    <w:rsid w:val="00815D85"/>
    <w:rsid w:val="00815F62"/>
    <w:rsid w:val="00816753"/>
    <w:rsid w:val="00816AFE"/>
    <w:rsid w:val="008170DC"/>
    <w:rsid w:val="008201A2"/>
    <w:rsid w:val="00822772"/>
    <w:rsid w:val="00822CCE"/>
    <w:rsid w:val="0082346F"/>
    <w:rsid w:val="00824213"/>
    <w:rsid w:val="0082452E"/>
    <w:rsid w:val="00825488"/>
    <w:rsid w:val="0083065D"/>
    <w:rsid w:val="00831387"/>
    <w:rsid w:val="008326A2"/>
    <w:rsid w:val="00834BEC"/>
    <w:rsid w:val="00834DC0"/>
    <w:rsid w:val="008357C1"/>
    <w:rsid w:val="00835946"/>
    <w:rsid w:val="00835E34"/>
    <w:rsid w:val="00836708"/>
    <w:rsid w:val="00836C3B"/>
    <w:rsid w:val="00841479"/>
    <w:rsid w:val="008447EB"/>
    <w:rsid w:val="00844E42"/>
    <w:rsid w:val="0084567A"/>
    <w:rsid w:val="00846098"/>
    <w:rsid w:val="0084734F"/>
    <w:rsid w:val="00847C79"/>
    <w:rsid w:val="008508EB"/>
    <w:rsid w:val="0085199D"/>
    <w:rsid w:val="008526E0"/>
    <w:rsid w:val="008529B8"/>
    <w:rsid w:val="008540F4"/>
    <w:rsid w:val="00855FEE"/>
    <w:rsid w:val="00862F63"/>
    <w:rsid w:val="008636C5"/>
    <w:rsid w:val="00863910"/>
    <w:rsid w:val="00863A23"/>
    <w:rsid w:val="00864449"/>
    <w:rsid w:val="008646B1"/>
    <w:rsid w:val="0086583A"/>
    <w:rsid w:val="008659B6"/>
    <w:rsid w:val="008661F6"/>
    <w:rsid w:val="0086670E"/>
    <w:rsid w:val="00870154"/>
    <w:rsid w:val="0087198B"/>
    <w:rsid w:val="00874200"/>
    <w:rsid w:val="00874D33"/>
    <w:rsid w:val="008751B2"/>
    <w:rsid w:val="00876161"/>
    <w:rsid w:val="0087643D"/>
    <w:rsid w:val="00877230"/>
    <w:rsid w:val="00877614"/>
    <w:rsid w:val="00877B59"/>
    <w:rsid w:val="008831A4"/>
    <w:rsid w:val="00884143"/>
    <w:rsid w:val="00884AC5"/>
    <w:rsid w:val="00884DE1"/>
    <w:rsid w:val="00885006"/>
    <w:rsid w:val="008902C7"/>
    <w:rsid w:val="00891253"/>
    <w:rsid w:val="0089128E"/>
    <w:rsid w:val="008914F6"/>
    <w:rsid w:val="00891AA8"/>
    <w:rsid w:val="00894249"/>
    <w:rsid w:val="00895506"/>
    <w:rsid w:val="00895CB9"/>
    <w:rsid w:val="00897E6E"/>
    <w:rsid w:val="008A01B6"/>
    <w:rsid w:val="008A1860"/>
    <w:rsid w:val="008A34E7"/>
    <w:rsid w:val="008A713B"/>
    <w:rsid w:val="008A7930"/>
    <w:rsid w:val="008B074C"/>
    <w:rsid w:val="008B31EA"/>
    <w:rsid w:val="008B3354"/>
    <w:rsid w:val="008B3784"/>
    <w:rsid w:val="008B45ED"/>
    <w:rsid w:val="008B4D7C"/>
    <w:rsid w:val="008B7738"/>
    <w:rsid w:val="008C045F"/>
    <w:rsid w:val="008C06F4"/>
    <w:rsid w:val="008C1B5D"/>
    <w:rsid w:val="008C27D0"/>
    <w:rsid w:val="008C31DE"/>
    <w:rsid w:val="008C324A"/>
    <w:rsid w:val="008C3FD7"/>
    <w:rsid w:val="008C5465"/>
    <w:rsid w:val="008C56FF"/>
    <w:rsid w:val="008D10A3"/>
    <w:rsid w:val="008D39BA"/>
    <w:rsid w:val="008D4AF0"/>
    <w:rsid w:val="008D7624"/>
    <w:rsid w:val="008E0B78"/>
    <w:rsid w:val="008E354B"/>
    <w:rsid w:val="008E5026"/>
    <w:rsid w:val="008F08FA"/>
    <w:rsid w:val="008F09CA"/>
    <w:rsid w:val="008F1221"/>
    <w:rsid w:val="008F29A3"/>
    <w:rsid w:val="008F2A1A"/>
    <w:rsid w:val="008F2AAF"/>
    <w:rsid w:val="008F3425"/>
    <w:rsid w:val="008F711A"/>
    <w:rsid w:val="008F76AE"/>
    <w:rsid w:val="008F7762"/>
    <w:rsid w:val="008F7C9B"/>
    <w:rsid w:val="008F7F94"/>
    <w:rsid w:val="0090021E"/>
    <w:rsid w:val="009007A3"/>
    <w:rsid w:val="009022AF"/>
    <w:rsid w:val="00902556"/>
    <w:rsid w:val="009040C4"/>
    <w:rsid w:val="0090411E"/>
    <w:rsid w:val="00905489"/>
    <w:rsid w:val="00905556"/>
    <w:rsid w:val="00907162"/>
    <w:rsid w:val="00907CC9"/>
    <w:rsid w:val="00911145"/>
    <w:rsid w:val="00912314"/>
    <w:rsid w:val="0091262D"/>
    <w:rsid w:val="00913905"/>
    <w:rsid w:val="009146E4"/>
    <w:rsid w:val="0091491D"/>
    <w:rsid w:val="00914942"/>
    <w:rsid w:val="00914F44"/>
    <w:rsid w:val="00915A02"/>
    <w:rsid w:val="00915E0D"/>
    <w:rsid w:val="00915E92"/>
    <w:rsid w:val="0092298A"/>
    <w:rsid w:val="0092574A"/>
    <w:rsid w:val="00926F1C"/>
    <w:rsid w:val="00927450"/>
    <w:rsid w:val="00927A20"/>
    <w:rsid w:val="00933645"/>
    <w:rsid w:val="00933917"/>
    <w:rsid w:val="009352AE"/>
    <w:rsid w:val="00935A26"/>
    <w:rsid w:val="00935E31"/>
    <w:rsid w:val="009442A4"/>
    <w:rsid w:val="00947275"/>
    <w:rsid w:val="009507D5"/>
    <w:rsid w:val="00951764"/>
    <w:rsid w:val="00951E32"/>
    <w:rsid w:val="009534FA"/>
    <w:rsid w:val="0095620A"/>
    <w:rsid w:val="00957BA5"/>
    <w:rsid w:val="0096133C"/>
    <w:rsid w:val="00961C78"/>
    <w:rsid w:val="009624D4"/>
    <w:rsid w:val="0096299B"/>
    <w:rsid w:val="00962F2C"/>
    <w:rsid w:val="009634E8"/>
    <w:rsid w:val="0096515E"/>
    <w:rsid w:val="00966959"/>
    <w:rsid w:val="00966C4E"/>
    <w:rsid w:val="00972184"/>
    <w:rsid w:val="009734BE"/>
    <w:rsid w:val="00973E6D"/>
    <w:rsid w:val="0097417D"/>
    <w:rsid w:val="00975493"/>
    <w:rsid w:val="00976C1B"/>
    <w:rsid w:val="00976F9A"/>
    <w:rsid w:val="00977398"/>
    <w:rsid w:val="0098006D"/>
    <w:rsid w:val="00980660"/>
    <w:rsid w:val="00982AD6"/>
    <w:rsid w:val="00983A7A"/>
    <w:rsid w:val="009852D7"/>
    <w:rsid w:val="009854F7"/>
    <w:rsid w:val="009865F5"/>
    <w:rsid w:val="00990920"/>
    <w:rsid w:val="00990932"/>
    <w:rsid w:val="00990B95"/>
    <w:rsid w:val="00990CEF"/>
    <w:rsid w:val="009920D9"/>
    <w:rsid w:val="00992EA0"/>
    <w:rsid w:val="00992FF1"/>
    <w:rsid w:val="00994323"/>
    <w:rsid w:val="009949CF"/>
    <w:rsid w:val="00995769"/>
    <w:rsid w:val="0099654B"/>
    <w:rsid w:val="0099756A"/>
    <w:rsid w:val="009A0ADD"/>
    <w:rsid w:val="009A179E"/>
    <w:rsid w:val="009A40A9"/>
    <w:rsid w:val="009A4304"/>
    <w:rsid w:val="009A5F9E"/>
    <w:rsid w:val="009A79ED"/>
    <w:rsid w:val="009B0C57"/>
    <w:rsid w:val="009B0D2D"/>
    <w:rsid w:val="009B0D5D"/>
    <w:rsid w:val="009B1373"/>
    <w:rsid w:val="009B403D"/>
    <w:rsid w:val="009B43C9"/>
    <w:rsid w:val="009B6FEE"/>
    <w:rsid w:val="009B7BC7"/>
    <w:rsid w:val="009C0BF5"/>
    <w:rsid w:val="009C1BB7"/>
    <w:rsid w:val="009C4140"/>
    <w:rsid w:val="009C50B8"/>
    <w:rsid w:val="009C60EF"/>
    <w:rsid w:val="009C6C97"/>
    <w:rsid w:val="009D0DF3"/>
    <w:rsid w:val="009D1D7A"/>
    <w:rsid w:val="009D2319"/>
    <w:rsid w:val="009D297E"/>
    <w:rsid w:val="009D3D41"/>
    <w:rsid w:val="009D4EE1"/>
    <w:rsid w:val="009D6B5F"/>
    <w:rsid w:val="009E0117"/>
    <w:rsid w:val="009E04E1"/>
    <w:rsid w:val="009E0C4F"/>
    <w:rsid w:val="009E1B4E"/>
    <w:rsid w:val="009E2D96"/>
    <w:rsid w:val="009E3195"/>
    <w:rsid w:val="009E715C"/>
    <w:rsid w:val="009E7C7D"/>
    <w:rsid w:val="009F0D8C"/>
    <w:rsid w:val="009F0F19"/>
    <w:rsid w:val="009F270A"/>
    <w:rsid w:val="009F2FF1"/>
    <w:rsid w:val="009F369C"/>
    <w:rsid w:val="009F3B7C"/>
    <w:rsid w:val="009F7D6A"/>
    <w:rsid w:val="00A001DE"/>
    <w:rsid w:val="00A0068B"/>
    <w:rsid w:val="00A014CC"/>
    <w:rsid w:val="00A02ADA"/>
    <w:rsid w:val="00A0360A"/>
    <w:rsid w:val="00A03983"/>
    <w:rsid w:val="00A03A96"/>
    <w:rsid w:val="00A04F0C"/>
    <w:rsid w:val="00A0681A"/>
    <w:rsid w:val="00A06CB6"/>
    <w:rsid w:val="00A07B8F"/>
    <w:rsid w:val="00A1011A"/>
    <w:rsid w:val="00A123DC"/>
    <w:rsid w:val="00A15851"/>
    <w:rsid w:val="00A15EA7"/>
    <w:rsid w:val="00A16A9E"/>
    <w:rsid w:val="00A16F55"/>
    <w:rsid w:val="00A1754C"/>
    <w:rsid w:val="00A17A21"/>
    <w:rsid w:val="00A2053B"/>
    <w:rsid w:val="00A225F3"/>
    <w:rsid w:val="00A23933"/>
    <w:rsid w:val="00A263C1"/>
    <w:rsid w:val="00A26BF6"/>
    <w:rsid w:val="00A27568"/>
    <w:rsid w:val="00A27A20"/>
    <w:rsid w:val="00A30882"/>
    <w:rsid w:val="00A30BD2"/>
    <w:rsid w:val="00A3143F"/>
    <w:rsid w:val="00A3339F"/>
    <w:rsid w:val="00A336E9"/>
    <w:rsid w:val="00A34231"/>
    <w:rsid w:val="00A3713F"/>
    <w:rsid w:val="00A419A7"/>
    <w:rsid w:val="00A42427"/>
    <w:rsid w:val="00A44C39"/>
    <w:rsid w:val="00A44FAA"/>
    <w:rsid w:val="00A46FB3"/>
    <w:rsid w:val="00A47860"/>
    <w:rsid w:val="00A5271A"/>
    <w:rsid w:val="00A52A7B"/>
    <w:rsid w:val="00A55DC3"/>
    <w:rsid w:val="00A55FE0"/>
    <w:rsid w:val="00A564ED"/>
    <w:rsid w:val="00A614D5"/>
    <w:rsid w:val="00A62A08"/>
    <w:rsid w:val="00A62DD2"/>
    <w:rsid w:val="00A656B0"/>
    <w:rsid w:val="00A670CA"/>
    <w:rsid w:val="00A708A5"/>
    <w:rsid w:val="00A736DC"/>
    <w:rsid w:val="00A77EC4"/>
    <w:rsid w:val="00A80646"/>
    <w:rsid w:val="00A810EC"/>
    <w:rsid w:val="00A82FD5"/>
    <w:rsid w:val="00A83038"/>
    <w:rsid w:val="00A83854"/>
    <w:rsid w:val="00A8569F"/>
    <w:rsid w:val="00A85BA0"/>
    <w:rsid w:val="00A87B94"/>
    <w:rsid w:val="00A90C98"/>
    <w:rsid w:val="00A93275"/>
    <w:rsid w:val="00A96318"/>
    <w:rsid w:val="00A9677A"/>
    <w:rsid w:val="00AA2D9E"/>
    <w:rsid w:val="00AA379D"/>
    <w:rsid w:val="00AA40A5"/>
    <w:rsid w:val="00AA4DC2"/>
    <w:rsid w:val="00AA54B1"/>
    <w:rsid w:val="00AA58B4"/>
    <w:rsid w:val="00AA656D"/>
    <w:rsid w:val="00AA7030"/>
    <w:rsid w:val="00AA78D4"/>
    <w:rsid w:val="00AB0437"/>
    <w:rsid w:val="00AB248D"/>
    <w:rsid w:val="00AB38A0"/>
    <w:rsid w:val="00AB3AE5"/>
    <w:rsid w:val="00AB3DAB"/>
    <w:rsid w:val="00AB3EA3"/>
    <w:rsid w:val="00AB3F4E"/>
    <w:rsid w:val="00AB5E0B"/>
    <w:rsid w:val="00AB6C63"/>
    <w:rsid w:val="00AB6F48"/>
    <w:rsid w:val="00AC0265"/>
    <w:rsid w:val="00AC0271"/>
    <w:rsid w:val="00AC19A4"/>
    <w:rsid w:val="00AC3073"/>
    <w:rsid w:val="00AC43D7"/>
    <w:rsid w:val="00AC5E2F"/>
    <w:rsid w:val="00AC5E37"/>
    <w:rsid w:val="00AC60A1"/>
    <w:rsid w:val="00AC73B9"/>
    <w:rsid w:val="00AC7A91"/>
    <w:rsid w:val="00AD1A37"/>
    <w:rsid w:val="00AD5CEA"/>
    <w:rsid w:val="00AD5DA2"/>
    <w:rsid w:val="00AD7C19"/>
    <w:rsid w:val="00AE039F"/>
    <w:rsid w:val="00AF12DF"/>
    <w:rsid w:val="00AF144C"/>
    <w:rsid w:val="00AF17C2"/>
    <w:rsid w:val="00AF55C7"/>
    <w:rsid w:val="00AF7492"/>
    <w:rsid w:val="00B013F9"/>
    <w:rsid w:val="00B02E1D"/>
    <w:rsid w:val="00B0496D"/>
    <w:rsid w:val="00B074F2"/>
    <w:rsid w:val="00B07781"/>
    <w:rsid w:val="00B0778D"/>
    <w:rsid w:val="00B12360"/>
    <w:rsid w:val="00B127DA"/>
    <w:rsid w:val="00B137EB"/>
    <w:rsid w:val="00B16274"/>
    <w:rsid w:val="00B162CA"/>
    <w:rsid w:val="00B17D3F"/>
    <w:rsid w:val="00B17D6C"/>
    <w:rsid w:val="00B201D9"/>
    <w:rsid w:val="00B24973"/>
    <w:rsid w:val="00B26E98"/>
    <w:rsid w:val="00B300F4"/>
    <w:rsid w:val="00B308E0"/>
    <w:rsid w:val="00B31860"/>
    <w:rsid w:val="00B34AB4"/>
    <w:rsid w:val="00B35D25"/>
    <w:rsid w:val="00B35F58"/>
    <w:rsid w:val="00B362B5"/>
    <w:rsid w:val="00B41589"/>
    <w:rsid w:val="00B43657"/>
    <w:rsid w:val="00B47AFD"/>
    <w:rsid w:val="00B50CD5"/>
    <w:rsid w:val="00B50DAF"/>
    <w:rsid w:val="00B515BB"/>
    <w:rsid w:val="00B517D1"/>
    <w:rsid w:val="00B52CD4"/>
    <w:rsid w:val="00B53563"/>
    <w:rsid w:val="00B54A5D"/>
    <w:rsid w:val="00B55093"/>
    <w:rsid w:val="00B55BBA"/>
    <w:rsid w:val="00B564CE"/>
    <w:rsid w:val="00B56636"/>
    <w:rsid w:val="00B609E0"/>
    <w:rsid w:val="00B63847"/>
    <w:rsid w:val="00B66F99"/>
    <w:rsid w:val="00B67E69"/>
    <w:rsid w:val="00B70BF1"/>
    <w:rsid w:val="00B72995"/>
    <w:rsid w:val="00B757AD"/>
    <w:rsid w:val="00B762B9"/>
    <w:rsid w:val="00B7669E"/>
    <w:rsid w:val="00B766CB"/>
    <w:rsid w:val="00B80370"/>
    <w:rsid w:val="00B807C7"/>
    <w:rsid w:val="00B81829"/>
    <w:rsid w:val="00B823B0"/>
    <w:rsid w:val="00B87032"/>
    <w:rsid w:val="00B874BE"/>
    <w:rsid w:val="00B9026E"/>
    <w:rsid w:val="00B9105C"/>
    <w:rsid w:val="00B91500"/>
    <w:rsid w:val="00B9350E"/>
    <w:rsid w:val="00B94819"/>
    <w:rsid w:val="00B95674"/>
    <w:rsid w:val="00BA124B"/>
    <w:rsid w:val="00BA141D"/>
    <w:rsid w:val="00BA2102"/>
    <w:rsid w:val="00BA2680"/>
    <w:rsid w:val="00BA33DC"/>
    <w:rsid w:val="00BA3D02"/>
    <w:rsid w:val="00BA48F8"/>
    <w:rsid w:val="00BA5E7A"/>
    <w:rsid w:val="00BA67AC"/>
    <w:rsid w:val="00BA76AF"/>
    <w:rsid w:val="00BA76ED"/>
    <w:rsid w:val="00BB0319"/>
    <w:rsid w:val="00BB442C"/>
    <w:rsid w:val="00BB5299"/>
    <w:rsid w:val="00BB5874"/>
    <w:rsid w:val="00BB5A32"/>
    <w:rsid w:val="00BB67E3"/>
    <w:rsid w:val="00BB6BB5"/>
    <w:rsid w:val="00BC0ED3"/>
    <w:rsid w:val="00BC2B8B"/>
    <w:rsid w:val="00BC35E1"/>
    <w:rsid w:val="00BC4567"/>
    <w:rsid w:val="00BC55EA"/>
    <w:rsid w:val="00BC689E"/>
    <w:rsid w:val="00BC7F6E"/>
    <w:rsid w:val="00BD0FD4"/>
    <w:rsid w:val="00BD22EB"/>
    <w:rsid w:val="00BD2A62"/>
    <w:rsid w:val="00BD2D2A"/>
    <w:rsid w:val="00BD5227"/>
    <w:rsid w:val="00BD6465"/>
    <w:rsid w:val="00BD6A4E"/>
    <w:rsid w:val="00BE060B"/>
    <w:rsid w:val="00BE06CE"/>
    <w:rsid w:val="00BE10BC"/>
    <w:rsid w:val="00BE20C7"/>
    <w:rsid w:val="00BE6A4B"/>
    <w:rsid w:val="00BF1AFD"/>
    <w:rsid w:val="00BF2042"/>
    <w:rsid w:val="00BF20D3"/>
    <w:rsid w:val="00BF2522"/>
    <w:rsid w:val="00BF2EB1"/>
    <w:rsid w:val="00BF3FAB"/>
    <w:rsid w:val="00BF5892"/>
    <w:rsid w:val="00BF5D3F"/>
    <w:rsid w:val="00BF5D90"/>
    <w:rsid w:val="00BF6996"/>
    <w:rsid w:val="00BF713C"/>
    <w:rsid w:val="00BF783D"/>
    <w:rsid w:val="00C01D92"/>
    <w:rsid w:val="00C022A6"/>
    <w:rsid w:val="00C02E30"/>
    <w:rsid w:val="00C06BA1"/>
    <w:rsid w:val="00C0709F"/>
    <w:rsid w:val="00C07FD2"/>
    <w:rsid w:val="00C12933"/>
    <w:rsid w:val="00C15B74"/>
    <w:rsid w:val="00C16469"/>
    <w:rsid w:val="00C20A01"/>
    <w:rsid w:val="00C22D47"/>
    <w:rsid w:val="00C23B12"/>
    <w:rsid w:val="00C23E47"/>
    <w:rsid w:val="00C25208"/>
    <w:rsid w:val="00C25519"/>
    <w:rsid w:val="00C266AB"/>
    <w:rsid w:val="00C30E47"/>
    <w:rsid w:val="00C31470"/>
    <w:rsid w:val="00C33D07"/>
    <w:rsid w:val="00C34BD8"/>
    <w:rsid w:val="00C366CF"/>
    <w:rsid w:val="00C366E5"/>
    <w:rsid w:val="00C417CC"/>
    <w:rsid w:val="00C41BF0"/>
    <w:rsid w:val="00C437AB"/>
    <w:rsid w:val="00C441F9"/>
    <w:rsid w:val="00C466BF"/>
    <w:rsid w:val="00C524D8"/>
    <w:rsid w:val="00C53317"/>
    <w:rsid w:val="00C53EE8"/>
    <w:rsid w:val="00C551EE"/>
    <w:rsid w:val="00C563F6"/>
    <w:rsid w:val="00C56404"/>
    <w:rsid w:val="00C566E0"/>
    <w:rsid w:val="00C608A2"/>
    <w:rsid w:val="00C62241"/>
    <w:rsid w:val="00C63A55"/>
    <w:rsid w:val="00C64570"/>
    <w:rsid w:val="00C64675"/>
    <w:rsid w:val="00C64EDA"/>
    <w:rsid w:val="00C65214"/>
    <w:rsid w:val="00C65418"/>
    <w:rsid w:val="00C6641B"/>
    <w:rsid w:val="00C71FD6"/>
    <w:rsid w:val="00C744C1"/>
    <w:rsid w:val="00C74750"/>
    <w:rsid w:val="00C77873"/>
    <w:rsid w:val="00C77A8A"/>
    <w:rsid w:val="00C802C0"/>
    <w:rsid w:val="00C8094D"/>
    <w:rsid w:val="00C80BEE"/>
    <w:rsid w:val="00C82E12"/>
    <w:rsid w:val="00C854BB"/>
    <w:rsid w:val="00C862F0"/>
    <w:rsid w:val="00C87932"/>
    <w:rsid w:val="00C9174A"/>
    <w:rsid w:val="00C9324B"/>
    <w:rsid w:val="00C947E4"/>
    <w:rsid w:val="00CA030B"/>
    <w:rsid w:val="00CA28BC"/>
    <w:rsid w:val="00CA2E34"/>
    <w:rsid w:val="00CA4B43"/>
    <w:rsid w:val="00CA619D"/>
    <w:rsid w:val="00CA61EC"/>
    <w:rsid w:val="00CA6FFB"/>
    <w:rsid w:val="00CB1545"/>
    <w:rsid w:val="00CB2054"/>
    <w:rsid w:val="00CB310B"/>
    <w:rsid w:val="00CB46BD"/>
    <w:rsid w:val="00CB560A"/>
    <w:rsid w:val="00CC1381"/>
    <w:rsid w:val="00CC57F4"/>
    <w:rsid w:val="00CC7B97"/>
    <w:rsid w:val="00CD0D3A"/>
    <w:rsid w:val="00CD1569"/>
    <w:rsid w:val="00CD36E0"/>
    <w:rsid w:val="00CD3964"/>
    <w:rsid w:val="00CD3ED3"/>
    <w:rsid w:val="00CD4E7B"/>
    <w:rsid w:val="00CD6502"/>
    <w:rsid w:val="00CD7559"/>
    <w:rsid w:val="00CD791F"/>
    <w:rsid w:val="00CE0E61"/>
    <w:rsid w:val="00CE1DEB"/>
    <w:rsid w:val="00CE3149"/>
    <w:rsid w:val="00CE350F"/>
    <w:rsid w:val="00CE3A6C"/>
    <w:rsid w:val="00CE461D"/>
    <w:rsid w:val="00CE46A1"/>
    <w:rsid w:val="00CE6648"/>
    <w:rsid w:val="00CF0409"/>
    <w:rsid w:val="00CF7B26"/>
    <w:rsid w:val="00D000F0"/>
    <w:rsid w:val="00D02135"/>
    <w:rsid w:val="00D02C9C"/>
    <w:rsid w:val="00D05172"/>
    <w:rsid w:val="00D10AE3"/>
    <w:rsid w:val="00D112A5"/>
    <w:rsid w:val="00D115A8"/>
    <w:rsid w:val="00D116C1"/>
    <w:rsid w:val="00D11CA3"/>
    <w:rsid w:val="00D11FDD"/>
    <w:rsid w:val="00D12684"/>
    <w:rsid w:val="00D137E3"/>
    <w:rsid w:val="00D13BA7"/>
    <w:rsid w:val="00D14DDB"/>
    <w:rsid w:val="00D17D2B"/>
    <w:rsid w:val="00D2155C"/>
    <w:rsid w:val="00D23695"/>
    <w:rsid w:val="00D24BFC"/>
    <w:rsid w:val="00D263C3"/>
    <w:rsid w:val="00D278E0"/>
    <w:rsid w:val="00D31BAF"/>
    <w:rsid w:val="00D31F1E"/>
    <w:rsid w:val="00D323BC"/>
    <w:rsid w:val="00D326FB"/>
    <w:rsid w:val="00D33137"/>
    <w:rsid w:val="00D33A20"/>
    <w:rsid w:val="00D34188"/>
    <w:rsid w:val="00D35F59"/>
    <w:rsid w:val="00D365BD"/>
    <w:rsid w:val="00D3699E"/>
    <w:rsid w:val="00D36AF4"/>
    <w:rsid w:val="00D3729E"/>
    <w:rsid w:val="00D41704"/>
    <w:rsid w:val="00D42984"/>
    <w:rsid w:val="00D429A3"/>
    <w:rsid w:val="00D42C4A"/>
    <w:rsid w:val="00D440A6"/>
    <w:rsid w:val="00D44A6F"/>
    <w:rsid w:val="00D45171"/>
    <w:rsid w:val="00D468BF"/>
    <w:rsid w:val="00D51C8A"/>
    <w:rsid w:val="00D52006"/>
    <w:rsid w:val="00D522E4"/>
    <w:rsid w:val="00D5435F"/>
    <w:rsid w:val="00D60DAB"/>
    <w:rsid w:val="00D61BD5"/>
    <w:rsid w:val="00D630D2"/>
    <w:rsid w:val="00D65D67"/>
    <w:rsid w:val="00D66DB1"/>
    <w:rsid w:val="00D6741B"/>
    <w:rsid w:val="00D71D9E"/>
    <w:rsid w:val="00D72E98"/>
    <w:rsid w:val="00D735EA"/>
    <w:rsid w:val="00D73A44"/>
    <w:rsid w:val="00D75708"/>
    <w:rsid w:val="00D76147"/>
    <w:rsid w:val="00D769A2"/>
    <w:rsid w:val="00D76A15"/>
    <w:rsid w:val="00D770BA"/>
    <w:rsid w:val="00D81C70"/>
    <w:rsid w:val="00D82F8F"/>
    <w:rsid w:val="00D82F95"/>
    <w:rsid w:val="00D83247"/>
    <w:rsid w:val="00D83BBF"/>
    <w:rsid w:val="00D83C83"/>
    <w:rsid w:val="00D84AF0"/>
    <w:rsid w:val="00D84FB2"/>
    <w:rsid w:val="00D851B0"/>
    <w:rsid w:val="00D85531"/>
    <w:rsid w:val="00D868FD"/>
    <w:rsid w:val="00D8771A"/>
    <w:rsid w:val="00D87E1B"/>
    <w:rsid w:val="00D92081"/>
    <w:rsid w:val="00D93678"/>
    <w:rsid w:val="00D93E94"/>
    <w:rsid w:val="00D9516A"/>
    <w:rsid w:val="00D95610"/>
    <w:rsid w:val="00D95D28"/>
    <w:rsid w:val="00D95ED2"/>
    <w:rsid w:val="00D97A85"/>
    <w:rsid w:val="00D97AB1"/>
    <w:rsid w:val="00D97B12"/>
    <w:rsid w:val="00DA232C"/>
    <w:rsid w:val="00DA33D2"/>
    <w:rsid w:val="00DA438F"/>
    <w:rsid w:val="00DA4F92"/>
    <w:rsid w:val="00DB00A8"/>
    <w:rsid w:val="00DB0199"/>
    <w:rsid w:val="00DB3ABC"/>
    <w:rsid w:val="00DB4777"/>
    <w:rsid w:val="00DB6389"/>
    <w:rsid w:val="00DB6F16"/>
    <w:rsid w:val="00DC01CF"/>
    <w:rsid w:val="00DC1544"/>
    <w:rsid w:val="00DC2A88"/>
    <w:rsid w:val="00DC33B2"/>
    <w:rsid w:val="00DC3453"/>
    <w:rsid w:val="00DC39F5"/>
    <w:rsid w:val="00DC7775"/>
    <w:rsid w:val="00DC7E57"/>
    <w:rsid w:val="00DD0E3E"/>
    <w:rsid w:val="00DD2608"/>
    <w:rsid w:val="00DD29A4"/>
    <w:rsid w:val="00DD3903"/>
    <w:rsid w:val="00DD6C7E"/>
    <w:rsid w:val="00DD7815"/>
    <w:rsid w:val="00DE112D"/>
    <w:rsid w:val="00DE1860"/>
    <w:rsid w:val="00DE1F73"/>
    <w:rsid w:val="00DE2F4F"/>
    <w:rsid w:val="00DE3BF5"/>
    <w:rsid w:val="00DE4AEB"/>
    <w:rsid w:val="00DE4F97"/>
    <w:rsid w:val="00DF131B"/>
    <w:rsid w:val="00DF1952"/>
    <w:rsid w:val="00DF2D25"/>
    <w:rsid w:val="00DF37E6"/>
    <w:rsid w:val="00DF54BF"/>
    <w:rsid w:val="00DF5A39"/>
    <w:rsid w:val="00DF5B3A"/>
    <w:rsid w:val="00DF650A"/>
    <w:rsid w:val="00DF7142"/>
    <w:rsid w:val="00DF79F4"/>
    <w:rsid w:val="00DF7A94"/>
    <w:rsid w:val="00E006AF"/>
    <w:rsid w:val="00E0467D"/>
    <w:rsid w:val="00E047EC"/>
    <w:rsid w:val="00E06AEA"/>
    <w:rsid w:val="00E06F99"/>
    <w:rsid w:val="00E110B9"/>
    <w:rsid w:val="00E14199"/>
    <w:rsid w:val="00E14688"/>
    <w:rsid w:val="00E1686B"/>
    <w:rsid w:val="00E20133"/>
    <w:rsid w:val="00E22766"/>
    <w:rsid w:val="00E227DF"/>
    <w:rsid w:val="00E236BF"/>
    <w:rsid w:val="00E26972"/>
    <w:rsid w:val="00E26F93"/>
    <w:rsid w:val="00E2728B"/>
    <w:rsid w:val="00E273B1"/>
    <w:rsid w:val="00E316C6"/>
    <w:rsid w:val="00E32623"/>
    <w:rsid w:val="00E32C79"/>
    <w:rsid w:val="00E33800"/>
    <w:rsid w:val="00E339D8"/>
    <w:rsid w:val="00E353D7"/>
    <w:rsid w:val="00E40D81"/>
    <w:rsid w:val="00E41DEA"/>
    <w:rsid w:val="00E41E67"/>
    <w:rsid w:val="00E43E8D"/>
    <w:rsid w:val="00E44341"/>
    <w:rsid w:val="00E4583F"/>
    <w:rsid w:val="00E46483"/>
    <w:rsid w:val="00E469F3"/>
    <w:rsid w:val="00E52946"/>
    <w:rsid w:val="00E52D13"/>
    <w:rsid w:val="00E53C1B"/>
    <w:rsid w:val="00E5472B"/>
    <w:rsid w:val="00E55376"/>
    <w:rsid w:val="00E568EA"/>
    <w:rsid w:val="00E57C67"/>
    <w:rsid w:val="00E6565B"/>
    <w:rsid w:val="00E664CB"/>
    <w:rsid w:val="00E66823"/>
    <w:rsid w:val="00E66880"/>
    <w:rsid w:val="00E672C7"/>
    <w:rsid w:val="00E6796E"/>
    <w:rsid w:val="00E67D13"/>
    <w:rsid w:val="00E70157"/>
    <w:rsid w:val="00E74BFC"/>
    <w:rsid w:val="00E77397"/>
    <w:rsid w:val="00E84196"/>
    <w:rsid w:val="00E84524"/>
    <w:rsid w:val="00E84654"/>
    <w:rsid w:val="00E8503E"/>
    <w:rsid w:val="00E8547B"/>
    <w:rsid w:val="00E87736"/>
    <w:rsid w:val="00E87C1B"/>
    <w:rsid w:val="00E900B7"/>
    <w:rsid w:val="00E909B5"/>
    <w:rsid w:val="00E9140E"/>
    <w:rsid w:val="00E92252"/>
    <w:rsid w:val="00E92B06"/>
    <w:rsid w:val="00E95FAF"/>
    <w:rsid w:val="00EA124D"/>
    <w:rsid w:val="00EA1E9D"/>
    <w:rsid w:val="00EA2791"/>
    <w:rsid w:val="00EA3542"/>
    <w:rsid w:val="00EA38AC"/>
    <w:rsid w:val="00EA435F"/>
    <w:rsid w:val="00EA4A90"/>
    <w:rsid w:val="00EA4DEA"/>
    <w:rsid w:val="00EB1F73"/>
    <w:rsid w:val="00EB2769"/>
    <w:rsid w:val="00EB2D04"/>
    <w:rsid w:val="00EB3A5C"/>
    <w:rsid w:val="00EB56AB"/>
    <w:rsid w:val="00EB5997"/>
    <w:rsid w:val="00EB7E14"/>
    <w:rsid w:val="00EC3444"/>
    <w:rsid w:val="00EC3DE7"/>
    <w:rsid w:val="00EC4A80"/>
    <w:rsid w:val="00EC51B4"/>
    <w:rsid w:val="00EC6AEC"/>
    <w:rsid w:val="00ED009F"/>
    <w:rsid w:val="00ED201A"/>
    <w:rsid w:val="00ED2CB0"/>
    <w:rsid w:val="00ED3A6F"/>
    <w:rsid w:val="00ED40D5"/>
    <w:rsid w:val="00ED6D7D"/>
    <w:rsid w:val="00ED7F6A"/>
    <w:rsid w:val="00EE132E"/>
    <w:rsid w:val="00EE2A68"/>
    <w:rsid w:val="00EE5CE9"/>
    <w:rsid w:val="00EE7A7E"/>
    <w:rsid w:val="00EF0648"/>
    <w:rsid w:val="00EF0877"/>
    <w:rsid w:val="00EF1D94"/>
    <w:rsid w:val="00EF218C"/>
    <w:rsid w:val="00EF26CB"/>
    <w:rsid w:val="00EF5729"/>
    <w:rsid w:val="00F03D7A"/>
    <w:rsid w:val="00F03E4B"/>
    <w:rsid w:val="00F046C2"/>
    <w:rsid w:val="00F10852"/>
    <w:rsid w:val="00F10C60"/>
    <w:rsid w:val="00F11489"/>
    <w:rsid w:val="00F116AB"/>
    <w:rsid w:val="00F12809"/>
    <w:rsid w:val="00F12A32"/>
    <w:rsid w:val="00F12F1B"/>
    <w:rsid w:val="00F1382D"/>
    <w:rsid w:val="00F1515A"/>
    <w:rsid w:val="00F20769"/>
    <w:rsid w:val="00F2197C"/>
    <w:rsid w:val="00F22712"/>
    <w:rsid w:val="00F264F2"/>
    <w:rsid w:val="00F2749A"/>
    <w:rsid w:val="00F276ED"/>
    <w:rsid w:val="00F30105"/>
    <w:rsid w:val="00F32AAD"/>
    <w:rsid w:val="00F33838"/>
    <w:rsid w:val="00F344C9"/>
    <w:rsid w:val="00F35774"/>
    <w:rsid w:val="00F41234"/>
    <w:rsid w:val="00F41914"/>
    <w:rsid w:val="00F42931"/>
    <w:rsid w:val="00F4386C"/>
    <w:rsid w:val="00F44838"/>
    <w:rsid w:val="00F44B32"/>
    <w:rsid w:val="00F44CAB"/>
    <w:rsid w:val="00F44D47"/>
    <w:rsid w:val="00F461E1"/>
    <w:rsid w:val="00F4640C"/>
    <w:rsid w:val="00F502FE"/>
    <w:rsid w:val="00F50AEC"/>
    <w:rsid w:val="00F51E1D"/>
    <w:rsid w:val="00F52DA4"/>
    <w:rsid w:val="00F5472D"/>
    <w:rsid w:val="00F56248"/>
    <w:rsid w:val="00F56EAA"/>
    <w:rsid w:val="00F616D4"/>
    <w:rsid w:val="00F67AE8"/>
    <w:rsid w:val="00F67FDF"/>
    <w:rsid w:val="00F70EE3"/>
    <w:rsid w:val="00F71217"/>
    <w:rsid w:val="00F7152E"/>
    <w:rsid w:val="00F71FFB"/>
    <w:rsid w:val="00F72B18"/>
    <w:rsid w:val="00F73484"/>
    <w:rsid w:val="00F73709"/>
    <w:rsid w:val="00F740E9"/>
    <w:rsid w:val="00F74540"/>
    <w:rsid w:val="00F7475C"/>
    <w:rsid w:val="00F74E37"/>
    <w:rsid w:val="00F74E43"/>
    <w:rsid w:val="00F76CF9"/>
    <w:rsid w:val="00F801F4"/>
    <w:rsid w:val="00F8148B"/>
    <w:rsid w:val="00F815FF"/>
    <w:rsid w:val="00F82082"/>
    <w:rsid w:val="00F8238B"/>
    <w:rsid w:val="00F829CE"/>
    <w:rsid w:val="00F82A05"/>
    <w:rsid w:val="00F82AF3"/>
    <w:rsid w:val="00F82AFA"/>
    <w:rsid w:val="00F83802"/>
    <w:rsid w:val="00F83881"/>
    <w:rsid w:val="00F853B3"/>
    <w:rsid w:val="00F876CC"/>
    <w:rsid w:val="00F87B5E"/>
    <w:rsid w:val="00F945A0"/>
    <w:rsid w:val="00F977D4"/>
    <w:rsid w:val="00FA2827"/>
    <w:rsid w:val="00FA4220"/>
    <w:rsid w:val="00FA4C53"/>
    <w:rsid w:val="00FB00B7"/>
    <w:rsid w:val="00FB0FC4"/>
    <w:rsid w:val="00FB1710"/>
    <w:rsid w:val="00FB4A8C"/>
    <w:rsid w:val="00FB7284"/>
    <w:rsid w:val="00FC0703"/>
    <w:rsid w:val="00FC2756"/>
    <w:rsid w:val="00FC2A02"/>
    <w:rsid w:val="00FC3C17"/>
    <w:rsid w:val="00FC4897"/>
    <w:rsid w:val="00FC5790"/>
    <w:rsid w:val="00FC6EE0"/>
    <w:rsid w:val="00FC77B9"/>
    <w:rsid w:val="00FC7B1A"/>
    <w:rsid w:val="00FD1C6D"/>
    <w:rsid w:val="00FD31D8"/>
    <w:rsid w:val="00FD324A"/>
    <w:rsid w:val="00FD39EB"/>
    <w:rsid w:val="00FD76CA"/>
    <w:rsid w:val="00FE0996"/>
    <w:rsid w:val="00FE223E"/>
    <w:rsid w:val="00FE776E"/>
    <w:rsid w:val="00FE7E82"/>
    <w:rsid w:val="00FF0EDC"/>
    <w:rsid w:val="00FF2319"/>
    <w:rsid w:val="00FF2A80"/>
    <w:rsid w:val="00FF49E6"/>
    <w:rsid w:val="00FF552D"/>
    <w:rsid w:val="00FF612C"/>
    <w:rsid w:val="00FF6B4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martTagType w:namespaceuri="SmartTagTypeLegixLinks" w:name="LegixLinks"/>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header" w:uiPriority="99"/>
    <w:lsdException w:name="caption" w:uiPriority="35" w:qFormat="1"/>
    <w:lsdException w:name="page number" w:uiPriority="99"/>
    <w:lsdException w:name="Title" w:uiPriority="10" w:qFormat="1"/>
    <w:lsdException w:name="Subtitle" w:uiPriority="11" w:qFormat="1"/>
    <w:lsdException w:name="Strong" w:uiPriority="22" w:qFormat="1"/>
    <w:lsdException w:name="Emphasis" w:uiPriority="20"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D11FDD"/>
    <w:rPr>
      <w:rFonts w:ascii="Verdana" w:eastAsia="Batang" w:hAnsi="Verdana" w:cs="Times"/>
      <w:sz w:val="16"/>
      <w:szCs w:val="24"/>
      <w:lang w:val="es-ES_tradnl" w:eastAsia="en-US"/>
    </w:rPr>
  </w:style>
  <w:style w:type="paragraph" w:styleId="Ttulo1">
    <w:name w:val="heading 1"/>
    <w:basedOn w:val="Normal"/>
    <w:next w:val="Normal"/>
    <w:link w:val="Ttulo1Car"/>
    <w:qFormat/>
    <w:rsid w:val="00D11FDD"/>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uiPriority w:val="9"/>
    <w:qFormat/>
    <w:rsid w:val="00D11FDD"/>
    <w:pPr>
      <w:keepNext/>
      <w:jc w:val="center"/>
      <w:outlineLvl w:val="1"/>
    </w:pPr>
    <w:rPr>
      <w:rFonts w:ascii="Garamond" w:hAnsi="Garamond" w:cs="Garamond"/>
      <w:b/>
      <w:bCs/>
      <w:smallCaps/>
    </w:rPr>
  </w:style>
  <w:style w:type="paragraph" w:styleId="Ttulo3">
    <w:name w:val="heading 3"/>
    <w:basedOn w:val="Normal"/>
    <w:next w:val="Normal"/>
    <w:link w:val="Ttulo3Car"/>
    <w:uiPriority w:val="9"/>
    <w:qFormat/>
    <w:rsid w:val="00D12684"/>
    <w:pPr>
      <w:widowControl w:val="0"/>
      <w:pBdr>
        <w:top w:val="single" w:sz="6" w:space="2" w:color="4F81BD"/>
        <w:left w:val="single" w:sz="6" w:space="2" w:color="4F81BD"/>
      </w:pBdr>
      <w:suppressAutoHyphens/>
      <w:spacing w:before="300"/>
      <w:outlineLvl w:val="2"/>
    </w:pPr>
    <w:rPr>
      <w:rFonts w:ascii="Times New Roman" w:eastAsia="Lucida Sans Unicode" w:hAnsi="Times New Roman" w:cs="Times New Roman"/>
      <w:caps/>
      <w:color w:val="243F60"/>
      <w:spacing w:val="15"/>
      <w:kern w:val="1"/>
      <w:sz w:val="22"/>
      <w:szCs w:val="22"/>
      <w:lang w:val="es-ES"/>
    </w:rPr>
  </w:style>
  <w:style w:type="paragraph" w:styleId="Ttulo4">
    <w:name w:val="heading 4"/>
    <w:basedOn w:val="Normal"/>
    <w:next w:val="Normal"/>
    <w:link w:val="Ttulo4Car"/>
    <w:uiPriority w:val="9"/>
    <w:qFormat/>
    <w:rsid w:val="00D11FDD"/>
    <w:pPr>
      <w:keepNext/>
      <w:spacing w:line="360" w:lineRule="auto"/>
      <w:jc w:val="center"/>
      <w:outlineLvl w:val="3"/>
    </w:pPr>
    <w:rPr>
      <w:rFonts w:cs="Verdana"/>
      <w:b/>
      <w:bCs/>
      <w:smallCaps/>
      <w:sz w:val="20"/>
      <w:szCs w:val="20"/>
    </w:rPr>
  </w:style>
  <w:style w:type="paragraph" w:styleId="Ttulo5">
    <w:name w:val="heading 5"/>
    <w:basedOn w:val="Normal"/>
    <w:next w:val="Normal"/>
    <w:link w:val="Ttulo5Car"/>
    <w:uiPriority w:val="9"/>
    <w:qFormat/>
    <w:rsid w:val="00D12684"/>
    <w:pPr>
      <w:widowControl w:val="0"/>
      <w:pBdr>
        <w:bottom w:val="single" w:sz="6" w:space="1" w:color="4F81BD"/>
      </w:pBdr>
      <w:suppressAutoHyphens/>
      <w:spacing w:before="300"/>
      <w:outlineLvl w:val="4"/>
    </w:pPr>
    <w:rPr>
      <w:rFonts w:ascii="Times New Roman" w:eastAsia="Lucida Sans Unicode" w:hAnsi="Times New Roman" w:cs="Times New Roman"/>
      <w:caps/>
      <w:color w:val="365F91"/>
      <w:spacing w:val="10"/>
      <w:kern w:val="1"/>
      <w:sz w:val="22"/>
      <w:szCs w:val="22"/>
      <w:lang w:val="es-ES"/>
    </w:rPr>
  </w:style>
  <w:style w:type="paragraph" w:styleId="Ttulo6">
    <w:name w:val="heading 6"/>
    <w:basedOn w:val="Normal"/>
    <w:next w:val="Normal"/>
    <w:link w:val="Ttulo6Car"/>
    <w:uiPriority w:val="9"/>
    <w:qFormat/>
    <w:rsid w:val="00D12684"/>
    <w:pPr>
      <w:widowControl w:val="0"/>
      <w:pBdr>
        <w:bottom w:val="dotted" w:sz="6" w:space="1" w:color="4F81BD"/>
      </w:pBdr>
      <w:suppressAutoHyphens/>
      <w:spacing w:before="300"/>
      <w:outlineLvl w:val="5"/>
    </w:pPr>
    <w:rPr>
      <w:rFonts w:ascii="Times New Roman" w:eastAsia="Lucida Sans Unicode" w:hAnsi="Times New Roman" w:cs="Times New Roman"/>
      <w:caps/>
      <w:color w:val="365F91"/>
      <w:spacing w:val="10"/>
      <w:kern w:val="1"/>
      <w:sz w:val="22"/>
      <w:szCs w:val="22"/>
      <w:lang w:val="es-ES"/>
    </w:rPr>
  </w:style>
  <w:style w:type="paragraph" w:styleId="Ttulo7">
    <w:name w:val="heading 7"/>
    <w:basedOn w:val="Normal"/>
    <w:next w:val="Normal"/>
    <w:link w:val="Ttulo7Car"/>
    <w:uiPriority w:val="9"/>
    <w:qFormat/>
    <w:rsid w:val="00D12684"/>
    <w:pPr>
      <w:widowControl w:val="0"/>
      <w:suppressAutoHyphens/>
      <w:spacing w:before="300"/>
      <w:outlineLvl w:val="6"/>
    </w:pPr>
    <w:rPr>
      <w:rFonts w:ascii="Times New Roman" w:eastAsia="Lucida Sans Unicode" w:hAnsi="Times New Roman" w:cs="Times New Roman"/>
      <w:caps/>
      <w:color w:val="365F91"/>
      <w:spacing w:val="10"/>
      <w:kern w:val="1"/>
      <w:sz w:val="22"/>
      <w:szCs w:val="22"/>
      <w:lang w:val="es-ES"/>
    </w:rPr>
  </w:style>
  <w:style w:type="paragraph" w:styleId="Ttulo8">
    <w:name w:val="heading 8"/>
    <w:basedOn w:val="Normal"/>
    <w:next w:val="Normal"/>
    <w:link w:val="Ttulo8Car"/>
    <w:uiPriority w:val="9"/>
    <w:qFormat/>
    <w:rsid w:val="00D12684"/>
    <w:pPr>
      <w:widowControl w:val="0"/>
      <w:suppressAutoHyphens/>
      <w:spacing w:before="300"/>
      <w:outlineLvl w:val="7"/>
    </w:pPr>
    <w:rPr>
      <w:rFonts w:ascii="Times New Roman" w:eastAsia="Lucida Sans Unicode" w:hAnsi="Times New Roman" w:cs="Times New Roman"/>
      <w:caps/>
      <w:spacing w:val="10"/>
      <w:kern w:val="1"/>
      <w:sz w:val="18"/>
      <w:szCs w:val="18"/>
      <w:lang w:val="es-ES"/>
    </w:rPr>
  </w:style>
  <w:style w:type="paragraph" w:styleId="Ttulo9">
    <w:name w:val="heading 9"/>
    <w:basedOn w:val="Normal"/>
    <w:next w:val="Normal"/>
    <w:link w:val="Ttulo9Car"/>
    <w:uiPriority w:val="9"/>
    <w:qFormat/>
    <w:rsid w:val="00D12684"/>
    <w:pPr>
      <w:widowControl w:val="0"/>
      <w:suppressAutoHyphens/>
      <w:spacing w:before="300"/>
      <w:outlineLvl w:val="8"/>
    </w:pPr>
    <w:rPr>
      <w:rFonts w:ascii="Times New Roman" w:eastAsia="Lucida Sans Unicode" w:hAnsi="Times New Roman" w:cs="Times New Roman"/>
      <w:i/>
      <w:caps/>
      <w:spacing w:val="10"/>
      <w:kern w:val="1"/>
      <w:sz w:val="18"/>
      <w:szCs w:val="18"/>
      <w:lang w:val="es-ES"/>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uiPriority w:val="99"/>
    <w:semiHidden/>
  </w:style>
  <w:style w:type="character" w:customStyle="1" w:styleId="Ttulo1Car">
    <w:name w:val="Título 1 Car"/>
    <w:link w:val="Ttulo1"/>
    <w:rsid w:val="00D11FDD"/>
    <w:rPr>
      <w:rFonts w:ascii="Arial" w:eastAsia="Batang" w:hAnsi="Arial" w:cs="Arial"/>
      <w:b/>
      <w:bCs/>
      <w:kern w:val="32"/>
      <w:sz w:val="32"/>
      <w:szCs w:val="32"/>
      <w:lang w:val="es-ES_tradnl" w:eastAsia="en-US" w:bidi="ar-SA"/>
    </w:rPr>
  </w:style>
  <w:style w:type="character" w:customStyle="1" w:styleId="Ttulo2Car">
    <w:name w:val="Título 2 Car"/>
    <w:link w:val="Ttulo2"/>
    <w:uiPriority w:val="9"/>
    <w:rsid w:val="00D11FDD"/>
    <w:rPr>
      <w:rFonts w:ascii="Garamond" w:eastAsia="Batang" w:hAnsi="Garamond" w:cs="Garamond"/>
      <w:b/>
      <w:bCs/>
      <w:smallCaps/>
      <w:sz w:val="16"/>
      <w:szCs w:val="24"/>
      <w:lang w:val="es-ES_tradnl" w:eastAsia="en-US" w:bidi="ar-SA"/>
    </w:rPr>
  </w:style>
  <w:style w:type="character" w:customStyle="1" w:styleId="Ttulo4Car">
    <w:name w:val="Título 4 Car"/>
    <w:link w:val="Ttulo4"/>
    <w:uiPriority w:val="9"/>
    <w:rsid w:val="00D11FDD"/>
    <w:rPr>
      <w:rFonts w:ascii="Verdana" w:eastAsia="Batang" w:hAnsi="Verdana" w:cs="Verdana"/>
      <w:b/>
      <w:bCs/>
      <w:smallCaps/>
      <w:lang w:val="es-ES_tradnl" w:eastAsia="en-US" w:bidi="ar-SA"/>
    </w:rPr>
  </w:style>
  <w:style w:type="character" w:styleId="Refdenotaalpie">
    <w:name w:val="footnote reference"/>
    <w:aliases w:val="Texto de nota al pie,Appel note de bas de page,Footnotes refss,Footnote number,referencia nota al pie,BVI fnr,f,4_G,16 Point,Superscript 6 Point,Texto nota al pie"/>
    <w:rsid w:val="00D11FDD"/>
    <w:rPr>
      <w:rFonts w:ascii="Verdana" w:hAnsi="Verdana"/>
      <w:sz w:val="16"/>
      <w:vertAlign w:val="superscript"/>
    </w:rPr>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Ca,FA Fu?notentext"/>
    <w:basedOn w:val="Normal"/>
    <w:link w:val="TextonotapieCar1"/>
    <w:rsid w:val="00D11FDD"/>
    <w:pPr>
      <w:jc w:val="both"/>
    </w:p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link w:val="Textonotapie"/>
    <w:rsid w:val="00D11FDD"/>
    <w:rPr>
      <w:rFonts w:ascii="Verdana" w:eastAsia="Batang" w:hAnsi="Verdana" w:cs="Times"/>
      <w:sz w:val="16"/>
      <w:szCs w:val="24"/>
      <w:lang w:val="es-ES_tradnl" w:eastAsia="en-US" w:bidi="ar-SA"/>
    </w:rPr>
  </w:style>
  <w:style w:type="paragraph" w:styleId="Textoindependiente">
    <w:name w:val="Body Text"/>
    <w:aliases w:val="Body Text Char Car Car Car Car Car Car Car Car Car Car Car Car Car,Body Text Char Car Car Car Car Car Car Car Car Car Car Car Car"/>
    <w:basedOn w:val="Normal"/>
    <w:link w:val="TextoindependienteCar"/>
    <w:rsid w:val="00D11FDD"/>
    <w:pPr>
      <w:widowControl w:val="0"/>
      <w:spacing w:line="360" w:lineRule="atLeast"/>
      <w:jc w:val="both"/>
    </w:pPr>
    <w:rPr>
      <w:rFonts w:cs="Times New Roman"/>
      <w:sz w:val="20"/>
      <w:szCs w:val="20"/>
      <w:lang w:eastAsia="es-ES"/>
    </w:rPr>
  </w:style>
  <w:style w:type="character" w:customStyle="1" w:styleId="TextoindependienteCar">
    <w:name w:val="Texto independiente Car"/>
    <w:aliases w:val="Body Text Char Car Car Car Car Car Car Car Car Car Car Car Car Car Car,Body Text Char Car Car Car Car Car Car Car Car Car Car Car Car Car1"/>
    <w:link w:val="Textoindependiente"/>
    <w:rsid w:val="00D11FDD"/>
    <w:rPr>
      <w:rFonts w:ascii="Verdana" w:eastAsia="Batang" w:hAnsi="Verdana"/>
      <w:lang w:val="es-ES_tradnl" w:eastAsia="es-ES" w:bidi="ar-SA"/>
    </w:rPr>
  </w:style>
  <w:style w:type="paragraph" w:styleId="Encabezado">
    <w:name w:val="header"/>
    <w:basedOn w:val="Normal"/>
    <w:link w:val="EncabezadoCar"/>
    <w:uiPriority w:val="99"/>
    <w:rsid w:val="00D11FDD"/>
    <w:pPr>
      <w:tabs>
        <w:tab w:val="center" w:pos="4320"/>
        <w:tab w:val="right" w:pos="8640"/>
      </w:tabs>
    </w:pPr>
  </w:style>
  <w:style w:type="character" w:customStyle="1" w:styleId="EncabezadoCar">
    <w:name w:val="Encabezado Car"/>
    <w:link w:val="Encabezado"/>
    <w:uiPriority w:val="99"/>
    <w:rsid w:val="00D11FDD"/>
    <w:rPr>
      <w:rFonts w:ascii="Verdana" w:eastAsia="Batang" w:hAnsi="Verdana" w:cs="Times"/>
      <w:sz w:val="16"/>
      <w:szCs w:val="24"/>
      <w:lang w:val="es-ES_tradnl" w:eastAsia="en-US" w:bidi="ar-SA"/>
    </w:rPr>
  </w:style>
  <w:style w:type="character" w:styleId="Nmerodepgina">
    <w:name w:val="page number"/>
    <w:basedOn w:val="Fuentedeprrafopredeter"/>
    <w:uiPriority w:val="99"/>
    <w:rsid w:val="00D11FDD"/>
  </w:style>
  <w:style w:type="paragraph" w:customStyle="1" w:styleId="JuPara">
    <w:name w:val="Ju_Para"/>
    <w:basedOn w:val="Normal"/>
    <w:link w:val="JuParaChar"/>
    <w:rsid w:val="00D11FDD"/>
    <w:pPr>
      <w:suppressAutoHyphens/>
      <w:ind w:firstLine="284"/>
      <w:jc w:val="both"/>
    </w:pPr>
    <w:rPr>
      <w:rFonts w:ascii="Times New Roman" w:hAnsi="Times New Roman" w:cs="Times New Roman"/>
      <w:sz w:val="24"/>
      <w:lang w:val="fr-FR" w:eastAsia="fr-FR"/>
    </w:rPr>
  </w:style>
  <w:style w:type="character" w:customStyle="1" w:styleId="JuParaChar">
    <w:name w:val="Ju_Para Char"/>
    <w:link w:val="JuPara"/>
    <w:rsid w:val="00D11FDD"/>
    <w:rPr>
      <w:rFonts w:eastAsia="Batang"/>
      <w:sz w:val="24"/>
      <w:szCs w:val="24"/>
      <w:lang w:val="fr-FR" w:eastAsia="fr-FR" w:bidi="ar-SA"/>
    </w:rPr>
  </w:style>
  <w:style w:type="paragraph" w:styleId="Piedepgina">
    <w:name w:val="footer"/>
    <w:basedOn w:val="Normal"/>
    <w:link w:val="PiedepginaCar"/>
    <w:rsid w:val="00D11FDD"/>
    <w:pPr>
      <w:tabs>
        <w:tab w:val="center" w:pos="4419"/>
        <w:tab w:val="right" w:pos="8838"/>
      </w:tabs>
    </w:pPr>
    <w:rPr>
      <w:rFonts w:ascii="Times New Roman" w:hAnsi="Times New Roman" w:cs="Times New Roman"/>
      <w:sz w:val="24"/>
      <w:lang w:val="es-CL" w:eastAsia="es-CL"/>
    </w:rPr>
  </w:style>
  <w:style w:type="character" w:customStyle="1" w:styleId="PiedepginaCar">
    <w:name w:val="Pie de página Car"/>
    <w:link w:val="Piedepgina"/>
    <w:rsid w:val="00D11FDD"/>
    <w:rPr>
      <w:rFonts w:eastAsia="Batang"/>
      <w:sz w:val="24"/>
      <w:szCs w:val="24"/>
      <w:lang w:val="es-CL" w:eastAsia="es-CL" w:bidi="ar-SA"/>
    </w:rPr>
  </w:style>
  <w:style w:type="paragraph" w:customStyle="1" w:styleId="BodyText31">
    <w:name w:val="Body Text 31"/>
    <w:basedOn w:val="Normal"/>
    <w:rsid w:val="00D11FDD"/>
    <w:pPr>
      <w:overflowPunct w:val="0"/>
      <w:autoSpaceDE w:val="0"/>
      <w:autoSpaceDN w:val="0"/>
      <w:adjustRightInd w:val="0"/>
      <w:textAlignment w:val="baseline"/>
    </w:pPr>
    <w:rPr>
      <w:rFonts w:ascii="Times" w:hAnsi="Times" w:cs="Times New Roman"/>
      <w:b/>
      <w:caps/>
      <w:sz w:val="24"/>
      <w:szCs w:val="20"/>
      <w:lang w:val="en-US" w:eastAsia="es-ES"/>
    </w:rPr>
  </w:style>
  <w:style w:type="paragraph" w:customStyle="1" w:styleId="Sangradetindependiente">
    <w:name w:val="SangrÃa de t. independiente"/>
    <w:basedOn w:val="Normal"/>
    <w:rsid w:val="00D11FDD"/>
    <w:pPr>
      <w:spacing w:line="360" w:lineRule="atLeast"/>
    </w:pPr>
    <w:rPr>
      <w:rFonts w:ascii="Arial" w:hAnsi="Arial" w:cs="Times New Roman"/>
      <w:sz w:val="24"/>
      <w:szCs w:val="20"/>
    </w:rPr>
  </w:style>
  <w:style w:type="paragraph" w:customStyle="1" w:styleId="MediumGrid1-Accent22">
    <w:name w:val="Medium Grid 1 - Accent 22"/>
    <w:basedOn w:val="Normal"/>
    <w:qFormat/>
    <w:rsid w:val="00D11FDD"/>
    <w:pPr>
      <w:ind w:left="708"/>
    </w:pPr>
  </w:style>
  <w:style w:type="paragraph" w:styleId="Sangra2detindependiente">
    <w:name w:val="Body Text Indent 2"/>
    <w:basedOn w:val="Normal"/>
    <w:link w:val="Sangra2detindependienteCar"/>
    <w:rsid w:val="00D11FDD"/>
    <w:pPr>
      <w:spacing w:after="120" w:line="480" w:lineRule="auto"/>
      <w:ind w:left="283"/>
    </w:pPr>
  </w:style>
  <w:style w:type="character" w:customStyle="1" w:styleId="Sangra2detindependienteCar">
    <w:name w:val="Sangría 2 de t. independiente Car"/>
    <w:link w:val="Sangra2detindependiente"/>
    <w:rsid w:val="00D11FDD"/>
    <w:rPr>
      <w:rFonts w:ascii="Verdana" w:eastAsia="Batang" w:hAnsi="Verdana" w:cs="Times"/>
      <w:sz w:val="16"/>
      <w:szCs w:val="24"/>
      <w:lang w:val="es-ES_tradnl" w:eastAsia="en-US" w:bidi="ar-SA"/>
    </w:rPr>
  </w:style>
  <w:style w:type="paragraph" w:styleId="NormalWeb">
    <w:name w:val="Normal (Web)"/>
    <w:aliases w:val="Normal (Web) Char1,Normal (Web) Char Char,Normal (Web) Char1 Char,Normal (Web) Char Char Char"/>
    <w:basedOn w:val="Normal"/>
    <w:uiPriority w:val="99"/>
    <w:rsid w:val="00D11FDD"/>
    <w:rPr>
      <w:rFonts w:ascii="Times New Roman" w:hAnsi="Times New Roman" w:cs="Times New Roman"/>
      <w:sz w:val="24"/>
    </w:rPr>
  </w:style>
  <w:style w:type="character" w:customStyle="1" w:styleId="apple-style-span">
    <w:name w:val="apple-style-span"/>
    <w:basedOn w:val="Fuentedeprrafopredeter"/>
    <w:rsid w:val="00D11FDD"/>
  </w:style>
  <w:style w:type="character" w:styleId="Hipervnculo">
    <w:name w:val="Hyperlink"/>
    <w:rsid w:val="00D11FDD"/>
    <w:rPr>
      <w:color w:val="0000FF"/>
      <w:u w:val="single"/>
    </w:rPr>
  </w:style>
  <w:style w:type="paragraph" w:styleId="Textodebloque">
    <w:name w:val="Block Text"/>
    <w:basedOn w:val="Normal"/>
    <w:rsid w:val="00D11FDD"/>
    <w:pPr>
      <w:spacing w:line="360" w:lineRule="auto"/>
      <w:ind w:left="720" w:right="720"/>
      <w:jc w:val="both"/>
    </w:pPr>
    <w:rPr>
      <w:rFonts w:eastAsia="Times" w:cs="Times New Roman"/>
      <w:szCs w:val="20"/>
    </w:rPr>
  </w:style>
  <w:style w:type="paragraph" w:customStyle="1" w:styleId="Subtemaencap">
    <w:name w:val="Sub tema en cap."/>
    <w:basedOn w:val="Ttulo4"/>
    <w:next w:val="Normal"/>
    <w:rsid w:val="00D11FDD"/>
    <w:pPr>
      <w:spacing w:line="240" w:lineRule="auto"/>
      <w:ind w:left="720"/>
      <w:jc w:val="both"/>
    </w:pPr>
    <w:rPr>
      <w:rFonts w:cs="Times New Roman"/>
      <w:b w:val="0"/>
      <w:bCs w:val="0"/>
      <w:i/>
      <w:smallCaps w:val="0"/>
      <w:szCs w:val="28"/>
    </w:rPr>
  </w:style>
  <w:style w:type="paragraph" w:customStyle="1" w:styleId="Pruebadoc">
    <w:name w:val="Prueba doc"/>
    <w:aliases w:val="test,val"/>
    <w:basedOn w:val="Ttulo2"/>
    <w:next w:val="Normal"/>
    <w:rsid w:val="00D11FDD"/>
    <w:rPr>
      <w:rFonts w:ascii="Verdana" w:hAnsi="Verdana" w:cs="Times New Roman"/>
      <w:b w:val="0"/>
      <w:bCs w:val="0"/>
      <w:i/>
      <w:sz w:val="20"/>
      <w:szCs w:val="28"/>
    </w:rPr>
  </w:style>
  <w:style w:type="paragraph" w:styleId="Lista">
    <w:name w:val="List"/>
    <w:basedOn w:val="Normal"/>
    <w:rsid w:val="00D11FDD"/>
    <w:pPr>
      <w:ind w:left="283" w:hanging="283"/>
    </w:pPr>
    <w:rPr>
      <w:rFonts w:cs="Times New Roman"/>
      <w:sz w:val="20"/>
      <w:szCs w:val="20"/>
    </w:rPr>
  </w:style>
  <w:style w:type="paragraph" w:styleId="Sangradetextonormal">
    <w:name w:val="Body Text Indent"/>
    <w:basedOn w:val="Normal"/>
    <w:link w:val="SangradetextonormalCar"/>
    <w:rsid w:val="00D11FDD"/>
    <w:pPr>
      <w:spacing w:after="120"/>
      <w:ind w:left="360"/>
    </w:pPr>
    <w:rPr>
      <w:rFonts w:eastAsia="MS Mincho" w:cs="Times New Roman"/>
      <w:snapToGrid w:val="0"/>
      <w:sz w:val="20"/>
      <w:szCs w:val="20"/>
      <w:lang w:eastAsia="es-ES"/>
    </w:rPr>
  </w:style>
  <w:style w:type="character" w:customStyle="1" w:styleId="SangradetextonormalCar">
    <w:name w:val="Sangría de texto normal Car"/>
    <w:link w:val="Sangradetextonormal"/>
    <w:rsid w:val="00D11FDD"/>
    <w:rPr>
      <w:rFonts w:ascii="Verdana" w:eastAsia="MS Mincho" w:hAnsi="Verdana"/>
      <w:snapToGrid w:val="0"/>
      <w:lang w:val="es-ES_tradnl" w:eastAsia="es-ES" w:bidi="ar-SA"/>
    </w:rPr>
  </w:style>
  <w:style w:type="character" w:customStyle="1" w:styleId="Style1Char">
    <w:name w:val="Style1 Char"/>
    <w:link w:val="Style1"/>
    <w:rsid w:val="00D11FDD"/>
    <w:rPr>
      <w:rFonts w:ascii="Verdana" w:eastAsia="Batang" w:hAnsi="Verdana"/>
      <w:sz w:val="16"/>
      <w:szCs w:val="16"/>
      <w:lang w:val="es-ES_tradnl" w:bidi="ar-SA"/>
    </w:rPr>
  </w:style>
  <w:style w:type="paragraph" w:customStyle="1" w:styleId="Style1">
    <w:name w:val="Style1"/>
    <w:basedOn w:val="Normal"/>
    <w:link w:val="Style1Char"/>
    <w:rsid w:val="00D11FDD"/>
    <w:pPr>
      <w:tabs>
        <w:tab w:val="left" w:pos="540"/>
        <w:tab w:val="left" w:pos="720"/>
      </w:tabs>
      <w:jc w:val="both"/>
    </w:pPr>
    <w:rPr>
      <w:rFonts w:cs="Times New Roman"/>
      <w:szCs w:val="16"/>
      <w:lang w:eastAsia="x-none"/>
    </w:rPr>
  </w:style>
  <w:style w:type="character" w:customStyle="1" w:styleId="EmailStyle46">
    <w:name w:val="EmailStyle46"/>
    <w:semiHidden/>
    <w:rsid w:val="00D11FDD"/>
    <w:rPr>
      <w:rFonts w:ascii="Arial" w:hAnsi="Arial" w:cs="Arial"/>
      <w:color w:val="auto"/>
      <w:sz w:val="20"/>
      <w:szCs w:val="20"/>
    </w:rPr>
  </w:style>
  <w:style w:type="numbering" w:customStyle="1" w:styleId="CurrentList1">
    <w:name w:val="Current List1"/>
    <w:rsid w:val="00D11FDD"/>
    <w:pPr>
      <w:numPr>
        <w:numId w:val="2"/>
      </w:numPr>
    </w:pPr>
  </w:style>
  <w:style w:type="character" w:customStyle="1" w:styleId="doctitle">
    <w:name w:val="doctitle"/>
    <w:basedOn w:val="Fuentedeprrafopredeter"/>
    <w:rsid w:val="00D11FDD"/>
  </w:style>
  <w:style w:type="character" w:styleId="MquinadeescribirHTML">
    <w:name w:val="HTML Typewriter"/>
    <w:rsid w:val="00D11FDD"/>
    <w:rPr>
      <w:rFonts w:ascii="Courier New" w:eastAsia="Times New Roman" w:hAnsi="Courier New" w:cs="Courier New"/>
      <w:sz w:val="20"/>
      <w:szCs w:val="20"/>
    </w:rPr>
  </w:style>
  <w:style w:type="character" w:customStyle="1" w:styleId="docname">
    <w:name w:val="docname"/>
    <w:basedOn w:val="Fuentedeprrafopredeter"/>
    <w:rsid w:val="00D11FDD"/>
  </w:style>
  <w:style w:type="paragraph" w:customStyle="1" w:styleId="PargrafodaLista">
    <w:name w:val="Parágrafo da Lista"/>
    <w:basedOn w:val="Normal"/>
    <w:qFormat/>
    <w:rsid w:val="00D11FDD"/>
    <w:pPr>
      <w:ind w:left="708"/>
    </w:pPr>
  </w:style>
  <w:style w:type="paragraph" w:customStyle="1" w:styleId="msonospacing0">
    <w:name w:val="msonospacing"/>
    <w:basedOn w:val="Normal"/>
    <w:rsid w:val="00D11FDD"/>
    <w:pPr>
      <w:spacing w:before="100" w:beforeAutospacing="1" w:after="100" w:afterAutospacing="1"/>
    </w:pPr>
    <w:rPr>
      <w:rFonts w:ascii="Times New Roman" w:eastAsia="Times New Roman" w:hAnsi="Times New Roman" w:cs="Times New Roman"/>
      <w:sz w:val="24"/>
      <w:lang w:val="en-US"/>
    </w:rPr>
  </w:style>
  <w:style w:type="character" w:styleId="Refdecomentario">
    <w:name w:val="annotation reference"/>
    <w:unhideWhenUsed/>
    <w:rsid w:val="00D11FDD"/>
    <w:rPr>
      <w:sz w:val="18"/>
      <w:szCs w:val="18"/>
    </w:rPr>
  </w:style>
  <w:style w:type="paragraph" w:styleId="Textocomentario">
    <w:name w:val="annotation text"/>
    <w:basedOn w:val="Normal"/>
    <w:link w:val="TextocomentarioCar"/>
    <w:unhideWhenUsed/>
    <w:rsid w:val="00D11FDD"/>
    <w:rPr>
      <w:sz w:val="24"/>
    </w:rPr>
  </w:style>
  <w:style w:type="character" w:customStyle="1" w:styleId="TextocomentarioCar">
    <w:name w:val="Texto comentario Car"/>
    <w:link w:val="Textocomentario"/>
    <w:rsid w:val="00D11FDD"/>
    <w:rPr>
      <w:rFonts w:ascii="Verdana" w:eastAsia="Batang" w:hAnsi="Verdana" w:cs="Times"/>
      <w:sz w:val="24"/>
      <w:szCs w:val="24"/>
      <w:lang w:val="es-ES_tradnl" w:eastAsia="en-US" w:bidi="ar-SA"/>
    </w:rPr>
  </w:style>
  <w:style w:type="character" w:customStyle="1" w:styleId="eacep">
    <w:name w:val="eacep"/>
    <w:basedOn w:val="Fuentedeprrafopredeter"/>
    <w:rsid w:val="00D11FDD"/>
  </w:style>
  <w:style w:type="paragraph" w:styleId="Textodeglobo">
    <w:name w:val="Balloon Text"/>
    <w:basedOn w:val="Normal"/>
    <w:link w:val="TextodegloboCar"/>
    <w:rsid w:val="00D11FDD"/>
    <w:rPr>
      <w:rFonts w:ascii="Tahoma" w:hAnsi="Tahoma" w:cs="Tahoma"/>
      <w:szCs w:val="16"/>
    </w:rPr>
  </w:style>
  <w:style w:type="character" w:customStyle="1" w:styleId="TextodegloboCar">
    <w:name w:val="Texto de globo Car"/>
    <w:link w:val="Textodeglobo"/>
    <w:rsid w:val="00D11FDD"/>
    <w:rPr>
      <w:rFonts w:ascii="Tahoma" w:eastAsia="Batang" w:hAnsi="Tahoma" w:cs="Tahoma"/>
      <w:sz w:val="16"/>
      <w:szCs w:val="16"/>
      <w:lang w:val="es-ES_tradnl" w:eastAsia="en-US" w:bidi="ar-SA"/>
    </w:rPr>
  </w:style>
  <w:style w:type="paragraph" w:styleId="Textonotaalfinal">
    <w:name w:val="endnote text"/>
    <w:basedOn w:val="Normal"/>
    <w:link w:val="TextonotaalfinalCar"/>
    <w:rsid w:val="00D11FDD"/>
    <w:rPr>
      <w:sz w:val="20"/>
      <w:szCs w:val="20"/>
    </w:rPr>
  </w:style>
  <w:style w:type="character" w:customStyle="1" w:styleId="TextonotaalfinalCar">
    <w:name w:val="Texto nota al final Car"/>
    <w:link w:val="Textonotaalfinal"/>
    <w:rsid w:val="00D11FDD"/>
    <w:rPr>
      <w:rFonts w:ascii="Verdana" w:eastAsia="Batang" w:hAnsi="Verdana" w:cs="Times"/>
      <w:lang w:val="es-ES_tradnl" w:eastAsia="en-US" w:bidi="ar-SA"/>
    </w:rPr>
  </w:style>
  <w:style w:type="character" w:styleId="Refdenotaalfinal">
    <w:name w:val="endnote reference"/>
    <w:rsid w:val="00D11FDD"/>
    <w:rPr>
      <w:vertAlign w:val="superscript"/>
    </w:rPr>
  </w:style>
  <w:style w:type="paragraph" w:styleId="Asuntodelcomentario">
    <w:name w:val="annotation subject"/>
    <w:basedOn w:val="Textocomentario"/>
    <w:next w:val="Textocomentario"/>
    <w:link w:val="AsuntodelcomentarioCar"/>
    <w:rsid w:val="00D11FDD"/>
    <w:rPr>
      <w:b/>
      <w:bCs/>
      <w:sz w:val="20"/>
      <w:szCs w:val="20"/>
    </w:rPr>
  </w:style>
  <w:style w:type="character" w:customStyle="1" w:styleId="AsuntodelcomentarioCar">
    <w:name w:val="Asunto del comentario Car"/>
    <w:link w:val="Asuntodelcomentario"/>
    <w:rsid w:val="00D11FDD"/>
    <w:rPr>
      <w:rFonts w:ascii="Verdana" w:eastAsia="Batang" w:hAnsi="Verdana" w:cs="Times"/>
      <w:b/>
      <w:bCs/>
      <w:lang w:val="es-ES_tradnl" w:eastAsia="en-US" w:bidi="ar-SA"/>
    </w:rPr>
  </w:style>
  <w:style w:type="character" w:styleId="nfasis">
    <w:name w:val="Emphasis"/>
    <w:uiPriority w:val="20"/>
    <w:qFormat/>
    <w:rsid w:val="00D11FDD"/>
    <w:rPr>
      <w:i/>
    </w:rPr>
  </w:style>
  <w:style w:type="character" w:styleId="Textoennegrita">
    <w:name w:val="Strong"/>
    <w:uiPriority w:val="22"/>
    <w:qFormat/>
    <w:rsid w:val="00D11FDD"/>
    <w:rPr>
      <w:b/>
      <w:bCs/>
    </w:rPr>
  </w:style>
  <w:style w:type="paragraph" w:styleId="Textosinformato">
    <w:name w:val="Plain Text"/>
    <w:basedOn w:val="Normal"/>
    <w:link w:val="TextosinformatoCar"/>
    <w:uiPriority w:val="99"/>
    <w:unhideWhenUsed/>
    <w:rsid w:val="00D11FDD"/>
    <w:rPr>
      <w:rFonts w:ascii="Consolas" w:eastAsia="Calibri" w:hAnsi="Consolas" w:cs="Times New Roman"/>
      <w:sz w:val="21"/>
      <w:szCs w:val="21"/>
      <w:lang w:val="es-CL"/>
    </w:rPr>
  </w:style>
  <w:style w:type="character" w:customStyle="1" w:styleId="TextosinformatoCar">
    <w:name w:val="Texto sin formato Car"/>
    <w:link w:val="Textosinformato"/>
    <w:uiPriority w:val="99"/>
    <w:rsid w:val="00D11FDD"/>
    <w:rPr>
      <w:rFonts w:ascii="Consolas" w:eastAsia="Calibri" w:hAnsi="Consolas"/>
      <w:sz w:val="21"/>
      <w:szCs w:val="21"/>
      <w:lang w:val="es-CL" w:eastAsia="en-US" w:bidi="ar-SA"/>
    </w:rPr>
  </w:style>
  <w:style w:type="paragraph" w:styleId="ndice7">
    <w:name w:val="index 7"/>
    <w:basedOn w:val="Normal"/>
    <w:next w:val="Normal"/>
    <w:autoRedefine/>
    <w:semiHidden/>
    <w:rsid w:val="00D11FDD"/>
    <w:pPr>
      <w:ind w:left="1680" w:hanging="240"/>
      <w:jc w:val="both"/>
    </w:pPr>
    <w:rPr>
      <w:rFonts w:eastAsia="Times New Roman" w:cs="Times New Roman"/>
      <w:noProof/>
      <w:sz w:val="18"/>
      <w:szCs w:val="18"/>
    </w:rPr>
  </w:style>
  <w:style w:type="character" w:styleId="Hipervnculovisitado">
    <w:name w:val="FollowedHyperlink"/>
    <w:rsid w:val="00D11FDD"/>
    <w:rPr>
      <w:color w:val="800080"/>
      <w:u w:val="single"/>
    </w:rPr>
  </w:style>
  <w:style w:type="character" w:customStyle="1" w:styleId="EndnoteTextChar1">
    <w:name w:val="Endnote Text Char1"/>
    <w:rsid w:val="00D11FDD"/>
    <w:rPr>
      <w:rFonts w:ascii="Times New Roman" w:eastAsia="Times New Roman" w:hAnsi="Times New Roman"/>
      <w:noProof/>
      <w:sz w:val="24"/>
      <w:szCs w:val="24"/>
      <w:lang w:val="es-ES_tradnl"/>
    </w:rPr>
  </w:style>
  <w:style w:type="character" w:customStyle="1" w:styleId="TtuloCar">
    <w:name w:val="Título Car"/>
    <w:link w:val="Ttulo"/>
    <w:uiPriority w:val="10"/>
    <w:locked/>
    <w:rsid w:val="00D11FDD"/>
    <w:rPr>
      <w:rFonts w:ascii="Garamond" w:eastAsia="Times" w:hAnsi="Garamond"/>
      <w:b/>
      <w:sz w:val="24"/>
      <w:lang w:val="es-ES_tradnl" w:eastAsia="es-ES" w:bidi="ar-SA"/>
    </w:rPr>
  </w:style>
  <w:style w:type="paragraph" w:styleId="Ttulo">
    <w:name w:val="Title"/>
    <w:basedOn w:val="Normal"/>
    <w:link w:val="TtuloCar"/>
    <w:uiPriority w:val="10"/>
    <w:qFormat/>
    <w:rsid w:val="00D11FDD"/>
    <w:pPr>
      <w:snapToGrid w:val="0"/>
      <w:spacing w:before="240" w:after="60"/>
      <w:ind w:left="-142" w:right="-278"/>
      <w:jc w:val="center"/>
      <w:outlineLvl w:val="0"/>
    </w:pPr>
    <w:rPr>
      <w:rFonts w:ascii="Garamond" w:eastAsia="Times" w:hAnsi="Garamond" w:cs="Times New Roman"/>
      <w:b/>
      <w:sz w:val="24"/>
      <w:szCs w:val="20"/>
      <w:lang w:eastAsia="es-ES"/>
    </w:rPr>
  </w:style>
  <w:style w:type="character" w:customStyle="1" w:styleId="TitleChar1">
    <w:name w:val="Title Char1"/>
    <w:rsid w:val="00D11FDD"/>
    <w:rPr>
      <w:rFonts w:ascii="Cambria" w:eastAsia="MS Gothic" w:hAnsi="Cambria" w:cs="Times New Roman"/>
      <w:color w:val="17365D"/>
      <w:spacing w:val="5"/>
      <w:kern w:val="28"/>
      <w:sz w:val="52"/>
      <w:szCs w:val="52"/>
      <w:lang w:val="es-ES_tradnl"/>
    </w:rPr>
  </w:style>
  <w:style w:type="paragraph" w:customStyle="1" w:styleId="Default">
    <w:name w:val="Default"/>
    <w:rsid w:val="00D11FDD"/>
    <w:pPr>
      <w:autoSpaceDE w:val="0"/>
      <w:autoSpaceDN w:val="0"/>
      <w:adjustRightInd w:val="0"/>
      <w:ind w:left="-142" w:right="-278"/>
      <w:jc w:val="both"/>
    </w:pPr>
    <w:rPr>
      <w:rFonts w:ascii="Univers" w:hAnsi="Univers" w:cs="Univers"/>
      <w:color w:val="000000"/>
      <w:sz w:val="24"/>
      <w:szCs w:val="24"/>
      <w:lang w:val="es-ES" w:eastAsia="es-ES"/>
    </w:rPr>
  </w:style>
  <w:style w:type="paragraph" w:customStyle="1" w:styleId="Prrafodelista2">
    <w:name w:val="Párrafo de lista2"/>
    <w:basedOn w:val="Normal"/>
    <w:qFormat/>
    <w:rsid w:val="00D11FDD"/>
    <w:pPr>
      <w:spacing w:after="200" w:line="276" w:lineRule="auto"/>
      <w:ind w:left="720" w:right="-278"/>
      <w:contextualSpacing/>
      <w:jc w:val="both"/>
    </w:pPr>
    <w:rPr>
      <w:rFonts w:ascii="Calibri" w:eastAsia="Calibri" w:hAnsi="Calibri" w:cs="Times New Roman"/>
      <w:sz w:val="22"/>
      <w:szCs w:val="22"/>
      <w:lang w:val="es-GT"/>
    </w:rPr>
  </w:style>
  <w:style w:type="paragraph" w:customStyle="1" w:styleId="negritamayuscula">
    <w:name w:val="negrita mayuscula"/>
    <w:basedOn w:val="Normal"/>
    <w:rsid w:val="00D11FDD"/>
    <w:pPr>
      <w:widowControl w:val="0"/>
      <w:tabs>
        <w:tab w:val="left" w:pos="1120"/>
      </w:tabs>
      <w:overflowPunct w:val="0"/>
      <w:autoSpaceDE w:val="0"/>
      <w:autoSpaceDN w:val="0"/>
      <w:adjustRightInd w:val="0"/>
      <w:spacing w:line="360" w:lineRule="atLeast"/>
      <w:ind w:left="-142" w:right="-278"/>
      <w:jc w:val="both"/>
    </w:pPr>
    <w:rPr>
      <w:rFonts w:ascii="Garamond" w:eastAsia="Times New Roman" w:hAnsi="Garamond" w:cs="Times New Roman"/>
      <w:sz w:val="20"/>
      <w:szCs w:val="20"/>
    </w:rPr>
  </w:style>
  <w:style w:type="paragraph" w:styleId="Textoindependiente2">
    <w:name w:val="Body Text 2"/>
    <w:basedOn w:val="Normal"/>
    <w:link w:val="Textoindependiente2Car"/>
    <w:rsid w:val="00D11FDD"/>
    <w:pPr>
      <w:snapToGrid w:val="0"/>
      <w:spacing w:after="120" w:line="480" w:lineRule="auto"/>
      <w:ind w:left="-142" w:right="-278"/>
      <w:jc w:val="both"/>
    </w:pPr>
    <w:rPr>
      <w:rFonts w:eastAsia="MS Mincho" w:cs="Times New Roman"/>
      <w:sz w:val="20"/>
      <w:szCs w:val="20"/>
      <w:lang w:eastAsia="es-ES"/>
    </w:rPr>
  </w:style>
  <w:style w:type="character" w:customStyle="1" w:styleId="Textoindependiente2Car">
    <w:name w:val="Texto independiente 2 Car"/>
    <w:link w:val="Textoindependiente2"/>
    <w:rsid w:val="00D11FDD"/>
    <w:rPr>
      <w:rFonts w:ascii="Verdana" w:hAnsi="Verdana"/>
      <w:lang w:val="es-ES_tradnl" w:eastAsia="es-ES" w:bidi="ar-SA"/>
    </w:rPr>
  </w:style>
  <w:style w:type="paragraph" w:customStyle="1" w:styleId="Lneadereferencia">
    <w:name w:val="Línea de referencia"/>
    <w:basedOn w:val="Textoindependiente2"/>
    <w:rsid w:val="00D11FDD"/>
    <w:pPr>
      <w:snapToGrid/>
      <w:spacing w:after="0" w:line="240" w:lineRule="auto"/>
    </w:pPr>
    <w:rPr>
      <w:rFonts w:ascii="Garamond" w:hAnsi="Garamond"/>
      <w:sz w:val="24"/>
      <w:lang w:val="en-US"/>
    </w:rPr>
  </w:style>
  <w:style w:type="paragraph" w:customStyle="1" w:styleId="Textoindependiente1">
    <w:name w:val="Texto independiente1"/>
    <w:basedOn w:val="Normal"/>
    <w:rsid w:val="00D11FDD"/>
    <w:pPr>
      <w:widowControl w:val="0"/>
      <w:ind w:left="-142" w:right="-278"/>
      <w:jc w:val="both"/>
    </w:pPr>
    <w:rPr>
      <w:rFonts w:ascii="New York" w:eastAsia="Times New Roman" w:hAnsi="New York" w:cs="Times New Roman"/>
      <w:sz w:val="20"/>
      <w:szCs w:val="20"/>
    </w:rPr>
  </w:style>
  <w:style w:type="character" w:customStyle="1" w:styleId="apple-converted-space">
    <w:name w:val="apple-converted-space"/>
    <w:basedOn w:val="Fuentedeprrafopredeter"/>
    <w:rsid w:val="00D11FDD"/>
  </w:style>
  <w:style w:type="character" w:customStyle="1" w:styleId="CarCar">
    <w:name w:val="Car Car"/>
    <w:rsid w:val="00D11FDD"/>
    <w:rPr>
      <w:rFonts w:ascii="Verdana" w:eastAsia="Batang" w:hAnsi="Verdana" w:hint="default"/>
      <w:lang w:val="es-ES_tradnl" w:eastAsia="en-US" w:bidi="ar-SA"/>
    </w:rPr>
  </w:style>
  <w:style w:type="character" w:customStyle="1" w:styleId="longtext">
    <w:name w:val="long_text"/>
    <w:basedOn w:val="Fuentedeprrafopredeter"/>
    <w:rsid w:val="00D11FDD"/>
  </w:style>
  <w:style w:type="character" w:customStyle="1" w:styleId="quicklist-inlist">
    <w:name w:val="quicklist-inlist"/>
    <w:basedOn w:val="Fuentedeprrafopredeter"/>
    <w:rsid w:val="00D11FDD"/>
  </w:style>
  <w:style w:type="character" w:customStyle="1" w:styleId="video-time">
    <w:name w:val="video-time"/>
    <w:basedOn w:val="Fuentedeprrafopredeter"/>
    <w:rsid w:val="00D11FDD"/>
  </w:style>
  <w:style w:type="character" w:customStyle="1" w:styleId="Caracteresdenotaderodap">
    <w:name w:val="Caracteres de nota de rodapé"/>
    <w:rsid w:val="00D11FDD"/>
    <w:rPr>
      <w:rFonts w:ascii="Verdana" w:hAnsi="Verdana" w:hint="default"/>
      <w:sz w:val="20"/>
      <w:vertAlign w:val="superscript"/>
    </w:rPr>
  </w:style>
  <w:style w:type="paragraph" w:styleId="Mapadeldocumento">
    <w:name w:val="Document Map"/>
    <w:basedOn w:val="Normal"/>
    <w:link w:val="MapadeldocumentoCar"/>
    <w:rsid w:val="00D11FDD"/>
    <w:pPr>
      <w:shd w:val="clear" w:color="auto" w:fill="000080"/>
      <w:snapToGrid w:val="0"/>
      <w:ind w:left="-142" w:right="-278"/>
      <w:jc w:val="both"/>
    </w:pPr>
    <w:rPr>
      <w:rFonts w:ascii="Tahoma" w:eastAsia="MS Mincho" w:hAnsi="Tahoma" w:cs="Tahoma"/>
      <w:sz w:val="20"/>
      <w:szCs w:val="20"/>
      <w:lang w:eastAsia="es-ES"/>
    </w:rPr>
  </w:style>
  <w:style w:type="character" w:customStyle="1" w:styleId="MapadeldocumentoCar">
    <w:name w:val="Mapa del documento Car"/>
    <w:link w:val="Mapadeldocumento"/>
    <w:rsid w:val="00D11FDD"/>
    <w:rPr>
      <w:rFonts w:ascii="Tahoma" w:hAnsi="Tahoma" w:cs="Tahoma"/>
      <w:lang w:val="es-ES_tradnl" w:eastAsia="es-ES" w:bidi="ar-SA"/>
    </w:rPr>
  </w:style>
  <w:style w:type="paragraph" w:customStyle="1" w:styleId="Style4">
    <w:name w:val="Style4"/>
    <w:basedOn w:val="Ttulo2"/>
    <w:rsid w:val="00D11FD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pPr>
    <w:rPr>
      <w:rFonts w:ascii="Verdana" w:eastAsia="Times New Roman" w:hAnsi="Verdana"/>
      <w:sz w:val="20"/>
      <w:szCs w:val="20"/>
    </w:rPr>
  </w:style>
  <w:style w:type="paragraph" w:customStyle="1" w:styleId="MediumGrid1-Accent21">
    <w:name w:val="Medium Grid 1 - Accent 21"/>
    <w:basedOn w:val="Normal"/>
    <w:qFormat/>
    <w:rsid w:val="00D11FDD"/>
    <w:pPr>
      <w:ind w:left="708"/>
      <w:jc w:val="both"/>
    </w:pPr>
    <w:rPr>
      <w:rFonts w:eastAsia="Times New Roman" w:cs="Times New Roman"/>
      <w:noProof/>
      <w:sz w:val="20"/>
    </w:rPr>
  </w:style>
  <w:style w:type="paragraph" w:customStyle="1" w:styleId="ColorfulList-Accent11">
    <w:name w:val="Colorful List - Accent 11"/>
    <w:basedOn w:val="Normal"/>
    <w:qFormat/>
    <w:rsid w:val="00D11FDD"/>
    <w:pPr>
      <w:ind w:left="708"/>
      <w:jc w:val="both"/>
    </w:pPr>
    <w:rPr>
      <w:rFonts w:eastAsia="Times New Roman" w:cs="Times New Roman"/>
      <w:noProof/>
      <w:sz w:val="20"/>
    </w:rPr>
  </w:style>
  <w:style w:type="character" w:customStyle="1" w:styleId="Hiperlink">
    <w:name w:val="Hiperlink"/>
    <w:rsid w:val="00D11FDD"/>
    <w:rPr>
      <w:color w:val="0000FF"/>
      <w:u w:val="single"/>
    </w:rPr>
  </w:style>
  <w:style w:type="paragraph" w:customStyle="1" w:styleId="NormalMRE">
    <w:name w:val="Normal MRE"/>
    <w:basedOn w:val="Normal"/>
    <w:rsid w:val="00D11FDD"/>
    <w:pPr>
      <w:numPr>
        <w:numId w:val="3"/>
      </w:numPr>
      <w:spacing w:line="360" w:lineRule="auto"/>
      <w:jc w:val="both"/>
    </w:pPr>
    <w:rPr>
      <w:rFonts w:ascii="Times New Roman" w:eastAsia="Times New Roman" w:hAnsi="Times New Roman" w:cs="Times New Roman"/>
      <w:sz w:val="24"/>
      <w:lang w:val="pt-BR" w:eastAsia="pt-BR"/>
    </w:rPr>
  </w:style>
  <w:style w:type="paragraph" w:customStyle="1" w:styleId="EstiloMRE">
    <w:name w:val="Estilo MRE"/>
    <w:basedOn w:val="NormalMRE"/>
    <w:link w:val="EstiloMREChar"/>
    <w:rsid w:val="00D11FDD"/>
    <w:pPr>
      <w:ind w:left="0" w:firstLine="0"/>
    </w:pPr>
    <w:rPr>
      <w:rFonts w:eastAsia="MS Mincho"/>
    </w:rPr>
  </w:style>
  <w:style w:type="character" w:customStyle="1" w:styleId="EstiloMREChar">
    <w:name w:val="Estilo MRE Char"/>
    <w:link w:val="EstiloMRE"/>
    <w:locked/>
    <w:rsid w:val="00D11FDD"/>
    <w:rPr>
      <w:sz w:val="24"/>
      <w:szCs w:val="24"/>
      <w:lang w:val="pt-BR" w:eastAsia="pt-BR"/>
    </w:rPr>
  </w:style>
  <w:style w:type="paragraph" w:customStyle="1" w:styleId="Prrafodelista1">
    <w:name w:val="Párrafo de lista1"/>
    <w:basedOn w:val="Normal"/>
    <w:qFormat/>
    <w:rsid w:val="00D11FDD"/>
    <w:pPr>
      <w:ind w:left="708"/>
    </w:pPr>
  </w:style>
  <w:style w:type="paragraph" w:customStyle="1" w:styleId="Estilo1">
    <w:name w:val="Estilo1"/>
    <w:basedOn w:val="Normal"/>
    <w:next w:val="Ttulo1"/>
    <w:rsid w:val="00D11FDD"/>
    <w:pPr>
      <w:spacing w:before="120" w:after="120"/>
      <w:ind w:firstLine="708"/>
      <w:jc w:val="both"/>
    </w:pPr>
    <w:rPr>
      <w:rFonts w:cs="Tahoma"/>
      <w:b/>
      <w:sz w:val="20"/>
      <w:szCs w:val="20"/>
    </w:rPr>
  </w:style>
  <w:style w:type="paragraph" w:customStyle="1" w:styleId="Estilo5">
    <w:name w:val="Estilo5"/>
    <w:basedOn w:val="Ttulo1"/>
    <w:next w:val="Normal"/>
    <w:rsid w:val="00D11FDD"/>
    <w:pPr>
      <w:jc w:val="both"/>
    </w:pPr>
    <w:rPr>
      <w:rFonts w:ascii="Verdana" w:hAnsi="Verdana"/>
      <w:sz w:val="20"/>
      <w:szCs w:val="24"/>
      <w:lang w:val="en-US"/>
    </w:rPr>
  </w:style>
  <w:style w:type="paragraph" w:customStyle="1" w:styleId="Listavistosa-nfasis11">
    <w:name w:val="Lista vistosa - Énfasis 11"/>
    <w:basedOn w:val="Normal"/>
    <w:qFormat/>
    <w:rsid w:val="00D11FDD"/>
    <w:pPr>
      <w:ind w:left="708"/>
    </w:pPr>
    <w:rPr>
      <w:rFonts w:ascii="Times New Roman" w:eastAsia="MS Mincho" w:hAnsi="Times New Roman" w:cs="Times New Roman"/>
      <w:sz w:val="24"/>
      <w:lang w:val="es-ES" w:eastAsia="es-ES"/>
    </w:rPr>
  </w:style>
  <w:style w:type="character" w:customStyle="1" w:styleId="shorttext">
    <w:name w:val="short_text"/>
    <w:basedOn w:val="Fuentedeprrafopredeter"/>
    <w:rsid w:val="00D11FDD"/>
  </w:style>
  <w:style w:type="paragraph" w:customStyle="1" w:styleId="ju-005fpara">
    <w:name w:val="ju-005fpara"/>
    <w:basedOn w:val="Normal"/>
    <w:rsid w:val="00D11FDD"/>
    <w:pPr>
      <w:spacing w:before="100" w:beforeAutospacing="1" w:after="100" w:afterAutospacing="1"/>
    </w:pPr>
    <w:rPr>
      <w:rFonts w:ascii="Times New Roman" w:eastAsia="Times New Roman" w:hAnsi="Times New Roman" w:cs="Times New Roman"/>
      <w:sz w:val="24"/>
      <w:lang w:val="es-ES" w:eastAsia="es-ES"/>
    </w:rPr>
  </w:style>
  <w:style w:type="paragraph" w:customStyle="1" w:styleId="Index91">
    <w:name w:val="Index 91"/>
    <w:basedOn w:val="Normal"/>
    <w:rsid w:val="00D11FDD"/>
    <w:pPr>
      <w:jc w:val="center"/>
    </w:pPr>
    <w:rPr>
      <w:rFonts w:ascii="Apple Chancery" w:eastAsia="Times New Roman" w:hAnsi="Apple Chancery" w:cs="Times New Roman"/>
      <w:b/>
      <w:sz w:val="24"/>
      <w:szCs w:val="20"/>
    </w:rPr>
  </w:style>
  <w:style w:type="paragraph" w:customStyle="1" w:styleId="BodyTextIndent31">
    <w:name w:val="Body Text Indent 31"/>
    <w:basedOn w:val="Normal"/>
    <w:rsid w:val="00D11FDD"/>
    <w:pPr>
      <w:spacing w:line="360" w:lineRule="atLeast"/>
      <w:ind w:left="720"/>
      <w:jc w:val="both"/>
    </w:pPr>
    <w:rPr>
      <w:rFonts w:ascii="Garamond" w:eastAsia="Times New Roman" w:hAnsi="Garamond" w:cs="Times New Roman"/>
      <w:sz w:val="20"/>
      <w:szCs w:val="20"/>
      <w:lang w:val="es-ES" w:eastAsia="es-ES"/>
    </w:rPr>
  </w:style>
  <w:style w:type="character" w:customStyle="1" w:styleId="shorttext0">
    <w:name w:val="shorttext0"/>
    <w:basedOn w:val="Fuentedeprrafopredeter"/>
    <w:rsid w:val="00D11FDD"/>
  </w:style>
  <w:style w:type="character" w:customStyle="1" w:styleId="shorttext1">
    <w:name w:val="shorttext"/>
    <w:basedOn w:val="Fuentedeprrafopredeter"/>
    <w:rsid w:val="00D11FDD"/>
  </w:style>
  <w:style w:type="paragraph" w:customStyle="1" w:styleId="MediumList2-Accent21">
    <w:name w:val="Medium List 2 - Accent 21"/>
    <w:hidden/>
    <w:semiHidden/>
    <w:rsid w:val="00D11FDD"/>
    <w:rPr>
      <w:rFonts w:ascii="Verdana" w:eastAsia="Batang" w:hAnsi="Verdana" w:cs="Times"/>
      <w:sz w:val="16"/>
      <w:szCs w:val="24"/>
      <w:lang w:val="es-ES_tradnl" w:eastAsia="en-US"/>
    </w:rPr>
  </w:style>
  <w:style w:type="character" w:customStyle="1" w:styleId="Heading2Char">
    <w:name w:val="Heading 2 Char"/>
    <w:locked/>
    <w:rsid w:val="00D11FDD"/>
    <w:rPr>
      <w:rFonts w:ascii="Garamond" w:eastAsia="Batang" w:hAnsi="Garamond" w:cs="Garamond"/>
      <w:b/>
      <w:bCs/>
      <w:smallCaps/>
      <w:sz w:val="16"/>
      <w:szCs w:val="24"/>
      <w:lang w:val="es-ES_tradnl" w:eastAsia="en-US" w:bidi="ar-SA"/>
    </w:rPr>
  </w:style>
  <w:style w:type="character" w:customStyle="1" w:styleId="Heading4Char">
    <w:name w:val="Heading 4 Char"/>
    <w:locked/>
    <w:rsid w:val="00D11FDD"/>
    <w:rPr>
      <w:rFonts w:ascii="Verdana" w:eastAsia="Batang" w:hAnsi="Verdana" w:cs="Verdana"/>
      <w:b/>
      <w:bCs/>
      <w:smallCaps/>
      <w:lang w:val="es-ES_tradnl" w:eastAsia="en-US" w:bidi="ar-SA"/>
    </w:rPr>
  </w:style>
  <w:style w:type="paragraph" w:customStyle="1" w:styleId="MediumGrid1-Accent23">
    <w:name w:val="Medium Grid 1 - Accent 23"/>
    <w:basedOn w:val="Normal"/>
    <w:qFormat/>
    <w:rsid w:val="007523FC"/>
    <w:pPr>
      <w:ind w:left="708"/>
    </w:pPr>
  </w:style>
  <w:style w:type="paragraph" w:customStyle="1" w:styleId="Listamedia2-nfasis41">
    <w:name w:val="Lista media 2 - Énfasis 41"/>
    <w:basedOn w:val="Normal"/>
    <w:qFormat/>
    <w:rsid w:val="001C02C7"/>
    <w:pPr>
      <w:ind w:left="708"/>
    </w:pPr>
  </w:style>
  <w:style w:type="paragraph" w:customStyle="1" w:styleId="Cuadrculaclara-nfasis31">
    <w:name w:val="Cuadrícula clara - Énfasis 31"/>
    <w:basedOn w:val="Normal"/>
    <w:uiPriority w:val="34"/>
    <w:qFormat/>
    <w:rsid w:val="002A5CCB"/>
    <w:pPr>
      <w:ind w:left="708"/>
    </w:pPr>
  </w:style>
  <w:style w:type="paragraph" w:customStyle="1" w:styleId="Cuadrculamedia1-nfasis21">
    <w:name w:val="Cuadrícula media 1 - Énfasis 21"/>
    <w:basedOn w:val="Normal"/>
    <w:uiPriority w:val="34"/>
    <w:qFormat/>
    <w:rsid w:val="00177DA5"/>
    <w:pPr>
      <w:ind w:left="708"/>
    </w:pPr>
  </w:style>
  <w:style w:type="paragraph" w:styleId="Prrafodelista">
    <w:name w:val="List Paragraph"/>
    <w:basedOn w:val="Normal"/>
    <w:uiPriority w:val="34"/>
    <w:qFormat/>
    <w:rsid w:val="00D34188"/>
    <w:pPr>
      <w:ind w:left="720"/>
      <w:contextualSpacing/>
    </w:pPr>
  </w:style>
  <w:style w:type="paragraph" w:customStyle="1" w:styleId="Contedodetabela">
    <w:name w:val="Conteúdo de tabela"/>
    <w:basedOn w:val="Normal"/>
    <w:rsid w:val="001F798F"/>
    <w:pPr>
      <w:widowControl w:val="0"/>
      <w:suppressLineNumbers/>
      <w:suppressAutoHyphens/>
    </w:pPr>
    <w:rPr>
      <w:rFonts w:ascii="Times New Roman" w:eastAsia="Lucida Sans Unicode" w:hAnsi="Times New Roman" w:cs="Times New Roman"/>
      <w:kern w:val="1"/>
      <w:sz w:val="24"/>
      <w:lang w:val="pt-BR"/>
    </w:rPr>
  </w:style>
  <w:style w:type="character" w:customStyle="1" w:styleId="Ttulo3Car">
    <w:name w:val="Título 3 Car"/>
    <w:link w:val="Ttulo3"/>
    <w:uiPriority w:val="9"/>
    <w:rsid w:val="00D12684"/>
    <w:rPr>
      <w:rFonts w:eastAsia="Lucida Sans Unicode"/>
      <w:caps/>
      <w:color w:val="243F60"/>
      <w:spacing w:val="15"/>
      <w:kern w:val="1"/>
      <w:sz w:val="22"/>
      <w:szCs w:val="22"/>
      <w:lang w:val="es-ES"/>
    </w:rPr>
  </w:style>
  <w:style w:type="character" w:customStyle="1" w:styleId="Ttulo5Car">
    <w:name w:val="Título 5 Car"/>
    <w:link w:val="Ttulo5"/>
    <w:uiPriority w:val="9"/>
    <w:rsid w:val="00D12684"/>
    <w:rPr>
      <w:rFonts w:eastAsia="Lucida Sans Unicode"/>
      <w:caps/>
      <w:color w:val="365F91"/>
      <w:spacing w:val="10"/>
      <w:kern w:val="1"/>
      <w:sz w:val="22"/>
      <w:szCs w:val="22"/>
      <w:lang w:val="es-ES"/>
    </w:rPr>
  </w:style>
  <w:style w:type="character" w:customStyle="1" w:styleId="Ttulo6Car">
    <w:name w:val="Título 6 Car"/>
    <w:link w:val="Ttulo6"/>
    <w:uiPriority w:val="9"/>
    <w:rsid w:val="00D12684"/>
    <w:rPr>
      <w:rFonts w:eastAsia="Lucida Sans Unicode"/>
      <w:caps/>
      <w:color w:val="365F91"/>
      <w:spacing w:val="10"/>
      <w:kern w:val="1"/>
      <w:sz w:val="22"/>
      <w:szCs w:val="22"/>
      <w:lang w:val="es-ES"/>
    </w:rPr>
  </w:style>
  <w:style w:type="character" w:customStyle="1" w:styleId="Ttulo7Car">
    <w:name w:val="Título 7 Car"/>
    <w:link w:val="Ttulo7"/>
    <w:uiPriority w:val="9"/>
    <w:rsid w:val="00D12684"/>
    <w:rPr>
      <w:rFonts w:eastAsia="Lucida Sans Unicode"/>
      <w:caps/>
      <w:color w:val="365F91"/>
      <w:spacing w:val="10"/>
      <w:kern w:val="1"/>
      <w:sz w:val="22"/>
      <w:szCs w:val="22"/>
      <w:lang w:val="es-ES"/>
    </w:rPr>
  </w:style>
  <w:style w:type="character" w:customStyle="1" w:styleId="Ttulo8Car">
    <w:name w:val="Título 8 Car"/>
    <w:link w:val="Ttulo8"/>
    <w:uiPriority w:val="9"/>
    <w:rsid w:val="00D12684"/>
    <w:rPr>
      <w:rFonts w:eastAsia="Lucida Sans Unicode"/>
      <w:caps/>
      <w:spacing w:val="10"/>
      <w:kern w:val="1"/>
      <w:sz w:val="18"/>
      <w:szCs w:val="18"/>
      <w:lang w:val="es-ES"/>
    </w:rPr>
  </w:style>
  <w:style w:type="character" w:customStyle="1" w:styleId="Ttulo9Car">
    <w:name w:val="Título 9 Car"/>
    <w:link w:val="Ttulo9"/>
    <w:uiPriority w:val="9"/>
    <w:rsid w:val="00D12684"/>
    <w:rPr>
      <w:rFonts w:eastAsia="Lucida Sans Unicode"/>
      <w:i/>
      <w:caps/>
      <w:spacing w:val="10"/>
      <w:kern w:val="1"/>
      <w:sz w:val="18"/>
      <w:szCs w:val="18"/>
      <w:lang w:val="es-ES"/>
    </w:rPr>
  </w:style>
  <w:style w:type="paragraph" w:styleId="Epgrafe">
    <w:name w:val="caption"/>
    <w:basedOn w:val="Normal"/>
    <w:next w:val="Normal"/>
    <w:uiPriority w:val="35"/>
    <w:qFormat/>
    <w:rsid w:val="00D12684"/>
    <w:pPr>
      <w:widowControl w:val="0"/>
      <w:suppressAutoHyphens/>
    </w:pPr>
    <w:rPr>
      <w:rFonts w:ascii="Times New Roman" w:eastAsia="Lucida Sans Unicode" w:hAnsi="Times New Roman" w:cs="Times New Roman"/>
      <w:b/>
      <w:bCs/>
      <w:color w:val="365F91"/>
      <w:kern w:val="1"/>
      <w:szCs w:val="16"/>
      <w:lang w:val="es-ES"/>
    </w:rPr>
  </w:style>
  <w:style w:type="paragraph" w:styleId="Subttulo">
    <w:name w:val="Subtitle"/>
    <w:basedOn w:val="Normal"/>
    <w:next w:val="Normal"/>
    <w:link w:val="SubttuloCar"/>
    <w:uiPriority w:val="11"/>
    <w:qFormat/>
    <w:rsid w:val="00D12684"/>
    <w:pPr>
      <w:widowControl w:val="0"/>
      <w:suppressAutoHyphens/>
      <w:spacing w:after="1000"/>
    </w:pPr>
    <w:rPr>
      <w:rFonts w:ascii="Times New Roman" w:eastAsia="Lucida Sans Unicode" w:hAnsi="Times New Roman" w:cs="Times New Roman"/>
      <w:caps/>
      <w:color w:val="595959"/>
      <w:spacing w:val="10"/>
      <w:kern w:val="1"/>
      <w:sz w:val="24"/>
      <w:lang w:val="es-ES"/>
    </w:rPr>
  </w:style>
  <w:style w:type="character" w:customStyle="1" w:styleId="SubttuloCar">
    <w:name w:val="Subtítulo Car"/>
    <w:link w:val="Subttulo"/>
    <w:uiPriority w:val="11"/>
    <w:rsid w:val="00D12684"/>
    <w:rPr>
      <w:rFonts w:eastAsia="Lucida Sans Unicode"/>
      <w:caps/>
      <w:color w:val="595959"/>
      <w:spacing w:val="10"/>
      <w:kern w:val="1"/>
      <w:sz w:val="24"/>
      <w:szCs w:val="24"/>
      <w:lang w:val="es-ES"/>
    </w:rPr>
  </w:style>
  <w:style w:type="paragraph" w:styleId="Sinespaciado">
    <w:name w:val="No Spacing"/>
    <w:basedOn w:val="Normal"/>
    <w:link w:val="SinespaciadoCar"/>
    <w:uiPriority w:val="1"/>
    <w:qFormat/>
    <w:rsid w:val="00D12684"/>
    <w:pPr>
      <w:widowControl w:val="0"/>
      <w:suppressAutoHyphens/>
    </w:pPr>
    <w:rPr>
      <w:rFonts w:ascii="Times New Roman" w:eastAsia="Lucida Sans Unicode" w:hAnsi="Times New Roman" w:cs="Times New Roman"/>
      <w:kern w:val="1"/>
      <w:sz w:val="24"/>
      <w:lang w:val="es-ES"/>
    </w:rPr>
  </w:style>
  <w:style w:type="character" w:customStyle="1" w:styleId="SinespaciadoCar">
    <w:name w:val="Sin espaciado Car"/>
    <w:link w:val="Sinespaciado"/>
    <w:uiPriority w:val="1"/>
    <w:rsid w:val="00D12684"/>
    <w:rPr>
      <w:rFonts w:eastAsia="Lucida Sans Unicode"/>
      <w:kern w:val="1"/>
      <w:sz w:val="24"/>
      <w:szCs w:val="24"/>
      <w:lang w:val="es-ES"/>
    </w:rPr>
  </w:style>
  <w:style w:type="paragraph" w:styleId="Cita">
    <w:name w:val="Quote"/>
    <w:basedOn w:val="Normal"/>
    <w:next w:val="Normal"/>
    <w:link w:val="CitaCar"/>
    <w:uiPriority w:val="29"/>
    <w:qFormat/>
    <w:rsid w:val="00D12684"/>
    <w:pPr>
      <w:widowControl w:val="0"/>
      <w:suppressAutoHyphens/>
    </w:pPr>
    <w:rPr>
      <w:rFonts w:ascii="Times New Roman" w:eastAsia="Lucida Sans Unicode" w:hAnsi="Times New Roman" w:cs="Times New Roman"/>
      <w:i/>
      <w:iCs/>
      <w:kern w:val="1"/>
      <w:sz w:val="24"/>
      <w:lang w:val="es-ES"/>
    </w:rPr>
  </w:style>
  <w:style w:type="character" w:customStyle="1" w:styleId="CitaCar">
    <w:name w:val="Cita Car"/>
    <w:link w:val="Cita"/>
    <w:uiPriority w:val="29"/>
    <w:rsid w:val="00D12684"/>
    <w:rPr>
      <w:rFonts w:eastAsia="Lucida Sans Unicode"/>
      <w:i/>
      <w:iCs/>
      <w:kern w:val="1"/>
      <w:sz w:val="24"/>
      <w:szCs w:val="24"/>
      <w:lang w:val="es-ES"/>
    </w:rPr>
  </w:style>
  <w:style w:type="paragraph" w:styleId="Citadestacada">
    <w:name w:val="Intense Quote"/>
    <w:basedOn w:val="Normal"/>
    <w:next w:val="Normal"/>
    <w:link w:val="CitadestacadaCar"/>
    <w:uiPriority w:val="30"/>
    <w:qFormat/>
    <w:rsid w:val="00D12684"/>
    <w:pPr>
      <w:widowControl w:val="0"/>
      <w:pBdr>
        <w:top w:val="single" w:sz="4" w:space="10" w:color="4F81BD"/>
        <w:left w:val="single" w:sz="4" w:space="10" w:color="4F81BD"/>
      </w:pBdr>
      <w:suppressAutoHyphens/>
      <w:ind w:left="1296" w:right="1152"/>
      <w:jc w:val="both"/>
    </w:pPr>
    <w:rPr>
      <w:rFonts w:ascii="Times New Roman" w:eastAsia="Lucida Sans Unicode" w:hAnsi="Times New Roman" w:cs="Times New Roman"/>
      <w:i/>
      <w:iCs/>
      <w:color w:val="4F81BD"/>
      <w:kern w:val="1"/>
      <w:sz w:val="24"/>
      <w:lang w:val="es-ES"/>
    </w:rPr>
  </w:style>
  <w:style w:type="character" w:customStyle="1" w:styleId="CitadestacadaCar">
    <w:name w:val="Cita destacada Car"/>
    <w:link w:val="Citadestacada"/>
    <w:uiPriority w:val="30"/>
    <w:rsid w:val="00D12684"/>
    <w:rPr>
      <w:rFonts w:eastAsia="Lucida Sans Unicode"/>
      <w:i/>
      <w:iCs/>
      <w:color w:val="4F81BD"/>
      <w:kern w:val="1"/>
      <w:sz w:val="24"/>
      <w:szCs w:val="24"/>
      <w:lang w:val="es-ES"/>
    </w:rPr>
  </w:style>
  <w:style w:type="character" w:styleId="nfasissutil">
    <w:name w:val="Subtle Emphasis"/>
    <w:uiPriority w:val="19"/>
    <w:qFormat/>
    <w:rsid w:val="00D12684"/>
    <w:rPr>
      <w:i/>
      <w:iCs/>
      <w:color w:val="243F60"/>
    </w:rPr>
  </w:style>
  <w:style w:type="character" w:styleId="nfasisintenso">
    <w:name w:val="Intense Emphasis"/>
    <w:uiPriority w:val="21"/>
    <w:qFormat/>
    <w:rsid w:val="00D12684"/>
    <w:rPr>
      <w:b/>
      <w:bCs/>
      <w:caps/>
      <w:color w:val="243F60"/>
      <w:spacing w:val="10"/>
    </w:rPr>
  </w:style>
  <w:style w:type="character" w:styleId="Referenciasutil">
    <w:name w:val="Subtle Reference"/>
    <w:uiPriority w:val="31"/>
    <w:qFormat/>
    <w:rsid w:val="00D12684"/>
    <w:rPr>
      <w:b/>
      <w:bCs/>
      <w:color w:val="4F81BD"/>
    </w:rPr>
  </w:style>
  <w:style w:type="character" w:styleId="Referenciaintensa">
    <w:name w:val="Intense Reference"/>
    <w:uiPriority w:val="32"/>
    <w:qFormat/>
    <w:rsid w:val="00D12684"/>
    <w:rPr>
      <w:b/>
      <w:bCs/>
      <w:i/>
      <w:iCs/>
      <w:caps/>
      <w:color w:val="4F81BD"/>
    </w:rPr>
  </w:style>
  <w:style w:type="character" w:styleId="Ttulodellibro">
    <w:name w:val="Book Title"/>
    <w:uiPriority w:val="33"/>
    <w:qFormat/>
    <w:rsid w:val="00D12684"/>
    <w:rPr>
      <w:b/>
      <w:bCs/>
      <w:i/>
      <w:iCs/>
      <w:spacing w:val="9"/>
    </w:rPr>
  </w:style>
  <w:style w:type="paragraph" w:styleId="TtulodeTDC">
    <w:name w:val="TOC Heading"/>
    <w:basedOn w:val="Ttulo1"/>
    <w:next w:val="Normal"/>
    <w:uiPriority w:val="39"/>
    <w:qFormat/>
    <w:rsid w:val="00D12684"/>
    <w:pPr>
      <w:keepNext w:val="0"/>
      <w:widowControl w:val="0"/>
      <w:pBdr>
        <w:top w:val="single" w:sz="24" w:space="0" w:color="4F81BD"/>
        <w:left w:val="single" w:sz="24" w:space="0" w:color="4F81BD"/>
        <w:bottom w:val="single" w:sz="24" w:space="0" w:color="4F81BD"/>
        <w:right w:val="single" w:sz="24" w:space="0" w:color="4F81BD"/>
      </w:pBdr>
      <w:shd w:val="clear" w:color="auto" w:fill="4F81BD"/>
      <w:suppressAutoHyphens/>
      <w:spacing w:before="0" w:after="0"/>
      <w:outlineLvl w:val="9"/>
    </w:pPr>
    <w:rPr>
      <w:rFonts w:ascii="Times New Roman" w:eastAsia="Lucida Sans Unicode" w:hAnsi="Times New Roman" w:cs="Times New Roman"/>
      <w:caps/>
      <w:color w:val="FFFFFF"/>
      <w:spacing w:val="15"/>
      <w:kern w:val="1"/>
      <w:sz w:val="22"/>
      <w:szCs w:val="22"/>
      <w:lang w:val="es-ES"/>
    </w:rPr>
  </w:style>
  <w:style w:type="character" w:customStyle="1" w:styleId="FootnoteReference1Char">
    <w:name w:val="Footnote Reference1 Char"/>
    <w:aliases w:val="Footnotes refss Char Char"/>
    <w:semiHidden/>
    <w:rsid w:val="000F780A"/>
    <w:rPr>
      <w:lang w:val="en-US" w:eastAsia="en-US" w:bidi="ar-SA"/>
    </w:rPr>
  </w:style>
  <w:style w:type="table" w:styleId="Tablaconcuadrcula">
    <w:name w:val="Table Grid"/>
    <w:basedOn w:val="Tablanormal"/>
    <w:rsid w:val="007475D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793982">
      <w:bodyDiv w:val="1"/>
      <w:marLeft w:val="0"/>
      <w:marRight w:val="0"/>
      <w:marTop w:val="0"/>
      <w:marBottom w:val="0"/>
      <w:divBdr>
        <w:top w:val="none" w:sz="0" w:space="0" w:color="auto"/>
        <w:left w:val="none" w:sz="0" w:space="0" w:color="auto"/>
        <w:bottom w:val="none" w:sz="0" w:space="0" w:color="auto"/>
        <w:right w:val="none" w:sz="0" w:space="0" w:color="auto"/>
      </w:divBdr>
    </w:div>
    <w:div w:id="958296980">
      <w:bodyDiv w:val="1"/>
      <w:marLeft w:val="0"/>
      <w:marRight w:val="0"/>
      <w:marTop w:val="0"/>
      <w:marBottom w:val="0"/>
      <w:divBdr>
        <w:top w:val="none" w:sz="0" w:space="0" w:color="auto"/>
        <w:left w:val="none" w:sz="0" w:space="0" w:color="auto"/>
        <w:bottom w:val="none" w:sz="0" w:space="0" w:color="auto"/>
        <w:right w:val="none" w:sz="0" w:space="0" w:color="auto"/>
      </w:divBdr>
    </w:div>
    <w:div w:id="1428111328">
      <w:bodyDiv w:val="1"/>
      <w:marLeft w:val="0"/>
      <w:marRight w:val="0"/>
      <w:marTop w:val="0"/>
      <w:marBottom w:val="0"/>
      <w:divBdr>
        <w:top w:val="none" w:sz="0" w:space="0" w:color="auto"/>
        <w:left w:val="none" w:sz="0" w:space="0" w:color="auto"/>
        <w:bottom w:val="none" w:sz="0" w:space="0" w:color="auto"/>
        <w:right w:val="none" w:sz="0" w:space="0" w:color="auto"/>
      </w:divBdr>
    </w:div>
    <w:div w:id="2051874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footnotes.xml.rels><?xml version="1.0" encoding="UTF-8" standalone="yes"?>
<Relationships xmlns="http://schemas.openxmlformats.org/package/2006/relationships"><Relationship Id="rId2" Type="http://schemas.openxmlformats.org/officeDocument/2006/relationships/hyperlink" Target="http://www.corteidh.or.cr/docs/casos/barrios/demanda.PDF" TargetMode="External"/><Relationship Id="rId1" Type="http://schemas.openxmlformats.org/officeDocument/2006/relationships/hyperlink" Target="http://www.planalto.gov.br/ccivil_03/leis/L6683.ht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6246</Words>
  <Characters>34357</Characters>
  <Application>Microsoft Office Word</Application>
  <DocSecurity>0</DocSecurity>
  <Lines>286</Lines>
  <Paragraphs>81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Informe No. 80/12</vt:lpstr>
      <vt:lpstr>Informe No. 80/12</vt:lpstr>
    </vt:vector>
  </TitlesOfParts>
  <LinksUpToDate>false</LinksUpToDate>
  <CharactersWithSpaces>40522</CharactersWithSpaces>
  <SharedDoc>false</SharedDoc>
  <HLinks>
    <vt:vector size="12" baseType="variant">
      <vt:variant>
        <vt:i4>5111817</vt:i4>
      </vt:variant>
      <vt:variant>
        <vt:i4>3</vt:i4>
      </vt:variant>
      <vt:variant>
        <vt:i4>0</vt:i4>
      </vt:variant>
      <vt:variant>
        <vt:i4>5</vt:i4>
      </vt:variant>
      <vt:variant>
        <vt:lpwstr>http://www.corteidh.or.cr/docs/casos/barrios/demanda.PDF</vt:lpwstr>
      </vt:variant>
      <vt:variant>
        <vt:lpwstr/>
      </vt:variant>
      <vt:variant>
        <vt:i4>4391036</vt:i4>
      </vt:variant>
      <vt:variant>
        <vt:i4>0</vt:i4>
      </vt:variant>
      <vt:variant>
        <vt:i4>0</vt:i4>
      </vt:variant>
      <vt:variant>
        <vt:i4>5</vt:i4>
      </vt:variant>
      <vt:variant>
        <vt:lpwstr>http://www.planalto.gov.br/ccivil_03/leis/L6683.htm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No. 80/12</dc:title>
  <dc:creator/>
  <cp:lastModifiedBy/>
  <cp:revision>1</cp:revision>
  <cp:lastPrinted>2012-08-15T21:15:00Z</cp:lastPrinted>
  <dcterms:created xsi:type="dcterms:W3CDTF">2017-11-07T18:22:00Z</dcterms:created>
  <dcterms:modified xsi:type="dcterms:W3CDTF">2017-11-07T18:22:00Z</dcterms:modified>
</cp:coreProperties>
</file>