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2138" w:rsidRPr="00076826" w:rsidRDefault="00292138" w:rsidP="003E0158">
      <w:pPr>
        <w:pStyle w:val="NormalWeb"/>
        <w:spacing w:before="0" w:beforeAutospacing="0" w:after="0" w:afterAutospacing="0"/>
        <w:jc w:val="center"/>
        <w:rPr>
          <w:rFonts w:ascii="Verdana" w:hAnsi="Verdana"/>
          <w:b/>
          <w:bCs/>
          <w:color w:val="000000"/>
          <w:sz w:val="20"/>
          <w:szCs w:val="20"/>
          <w:lang w:val="es-CR"/>
        </w:rPr>
      </w:pPr>
      <w:bookmarkStart w:id="0" w:name="_GoBack"/>
      <w:bookmarkEnd w:id="0"/>
    </w:p>
    <w:p w:rsidR="00292138" w:rsidRPr="00076826" w:rsidRDefault="00292138" w:rsidP="003E0158">
      <w:pPr>
        <w:pStyle w:val="NormalWeb"/>
        <w:spacing w:before="0" w:beforeAutospacing="0" w:after="0" w:afterAutospacing="0"/>
        <w:jc w:val="center"/>
        <w:rPr>
          <w:rFonts w:ascii="Verdana" w:hAnsi="Verdana"/>
          <w:sz w:val="20"/>
          <w:szCs w:val="20"/>
          <w:lang w:val="es-CR"/>
        </w:rPr>
      </w:pPr>
      <w:r w:rsidRPr="00076826">
        <w:rPr>
          <w:rFonts w:ascii="Verdana" w:hAnsi="Verdana"/>
          <w:b/>
          <w:bCs/>
          <w:color w:val="000000"/>
          <w:sz w:val="20"/>
          <w:szCs w:val="20"/>
          <w:lang w:val="es-CR"/>
        </w:rPr>
        <w:t>RESOLUCIÓN DEL PRESIDENTE</w:t>
      </w:r>
      <w:r w:rsidR="00A81F55">
        <w:rPr>
          <w:rFonts w:ascii="Verdana" w:hAnsi="Verdana"/>
          <w:b/>
          <w:bCs/>
          <w:color w:val="000000"/>
          <w:sz w:val="20"/>
          <w:szCs w:val="20"/>
          <w:lang w:val="es-CR"/>
        </w:rPr>
        <w:t xml:space="preserve"> EN EJERCICIO </w:t>
      </w:r>
      <w:r w:rsidRPr="00076826">
        <w:rPr>
          <w:rFonts w:ascii="Verdana" w:hAnsi="Verdana"/>
          <w:b/>
          <w:bCs/>
          <w:color w:val="000000"/>
          <w:sz w:val="20"/>
          <w:szCs w:val="20"/>
          <w:lang w:val="es-CR"/>
        </w:rPr>
        <w:t>DE LA</w:t>
      </w:r>
    </w:p>
    <w:p w:rsidR="00292138" w:rsidRPr="00076826" w:rsidRDefault="00292138" w:rsidP="003E0158">
      <w:pPr>
        <w:pStyle w:val="NormalWeb"/>
        <w:spacing w:before="0" w:beforeAutospacing="0" w:after="0" w:afterAutospacing="0"/>
        <w:jc w:val="center"/>
        <w:rPr>
          <w:rFonts w:ascii="Verdana" w:hAnsi="Verdana"/>
          <w:b/>
          <w:bCs/>
          <w:color w:val="000000"/>
          <w:sz w:val="20"/>
          <w:szCs w:val="20"/>
          <w:lang w:val="es-CR"/>
        </w:rPr>
      </w:pPr>
      <w:r w:rsidRPr="00076826">
        <w:rPr>
          <w:rFonts w:ascii="Verdana" w:hAnsi="Verdana"/>
          <w:b/>
          <w:bCs/>
          <w:color w:val="000000"/>
          <w:sz w:val="20"/>
          <w:szCs w:val="20"/>
          <w:lang w:val="es-CR"/>
        </w:rPr>
        <w:t>CORTE INTERAMERICANA DE DERECHOS HUMANOS</w:t>
      </w:r>
      <w:r w:rsidR="00A81F55">
        <w:rPr>
          <w:rStyle w:val="Refdenotaalpie"/>
          <w:rFonts w:ascii="Verdana" w:hAnsi="Verdana"/>
          <w:b/>
          <w:bCs/>
          <w:color w:val="000000"/>
          <w:sz w:val="20"/>
          <w:szCs w:val="20"/>
          <w:lang w:val="es-CR"/>
        </w:rPr>
        <w:footnoteReference w:id="1"/>
      </w:r>
    </w:p>
    <w:p w:rsidR="00292138" w:rsidRPr="00076826" w:rsidRDefault="00292138" w:rsidP="003E0158">
      <w:pPr>
        <w:pStyle w:val="NormalWeb"/>
        <w:spacing w:before="0" w:beforeAutospacing="0" w:after="0" w:afterAutospacing="0"/>
        <w:jc w:val="center"/>
        <w:rPr>
          <w:rFonts w:ascii="Verdana" w:hAnsi="Verdana"/>
          <w:sz w:val="20"/>
          <w:szCs w:val="20"/>
          <w:lang w:val="es-CR"/>
        </w:rPr>
      </w:pPr>
    </w:p>
    <w:p w:rsidR="00292138" w:rsidRPr="00076826" w:rsidRDefault="00292138" w:rsidP="003E0158">
      <w:pPr>
        <w:pStyle w:val="NormalWeb"/>
        <w:spacing w:before="0" w:beforeAutospacing="0" w:after="0" w:afterAutospacing="0"/>
        <w:jc w:val="center"/>
        <w:rPr>
          <w:rFonts w:ascii="Verdana" w:hAnsi="Verdana"/>
          <w:b/>
          <w:bCs/>
          <w:color w:val="000000"/>
          <w:sz w:val="20"/>
          <w:szCs w:val="20"/>
          <w:lang w:val="es-CR"/>
        </w:rPr>
      </w:pPr>
      <w:r>
        <w:rPr>
          <w:rFonts w:ascii="Verdana" w:hAnsi="Verdana"/>
          <w:b/>
          <w:bCs/>
          <w:color w:val="000000"/>
          <w:sz w:val="20"/>
          <w:szCs w:val="20"/>
          <w:lang w:val="es-CR"/>
        </w:rPr>
        <w:t xml:space="preserve">DE </w:t>
      </w:r>
      <w:r w:rsidR="003E0158">
        <w:rPr>
          <w:rFonts w:ascii="Verdana" w:hAnsi="Verdana"/>
          <w:b/>
          <w:bCs/>
          <w:color w:val="000000"/>
          <w:sz w:val="20"/>
          <w:szCs w:val="20"/>
          <w:lang w:val="es-CR"/>
        </w:rPr>
        <w:t>13</w:t>
      </w:r>
      <w:r>
        <w:rPr>
          <w:rFonts w:ascii="Verdana" w:hAnsi="Verdana"/>
          <w:b/>
          <w:bCs/>
          <w:color w:val="000000"/>
          <w:sz w:val="20"/>
          <w:szCs w:val="20"/>
          <w:lang w:val="es-CR"/>
        </w:rPr>
        <w:t xml:space="preserve"> DE DICIEMBRE</w:t>
      </w:r>
      <w:r w:rsidRPr="00076826">
        <w:rPr>
          <w:rFonts w:ascii="Verdana" w:hAnsi="Verdana"/>
          <w:b/>
          <w:bCs/>
          <w:color w:val="000000"/>
          <w:sz w:val="20"/>
          <w:szCs w:val="20"/>
          <w:lang w:val="es-CR"/>
        </w:rPr>
        <w:t xml:space="preserve"> DE 2017</w:t>
      </w:r>
    </w:p>
    <w:p w:rsidR="00292138" w:rsidRPr="00076826" w:rsidRDefault="00292138" w:rsidP="003E0158">
      <w:pPr>
        <w:pStyle w:val="NormalWeb"/>
        <w:spacing w:before="0" w:beforeAutospacing="0" w:after="0" w:afterAutospacing="0"/>
        <w:jc w:val="center"/>
        <w:rPr>
          <w:rFonts w:ascii="Verdana" w:hAnsi="Verdana"/>
          <w:b/>
          <w:bCs/>
          <w:color w:val="000000"/>
          <w:sz w:val="20"/>
          <w:szCs w:val="20"/>
          <w:lang w:val="es-CR"/>
        </w:rPr>
      </w:pPr>
    </w:p>
    <w:p w:rsidR="00292138" w:rsidRPr="00076826" w:rsidRDefault="00292138" w:rsidP="003E0158">
      <w:pPr>
        <w:pStyle w:val="NormalWeb"/>
        <w:spacing w:before="0" w:beforeAutospacing="0" w:after="0" w:afterAutospacing="0"/>
        <w:jc w:val="center"/>
        <w:rPr>
          <w:rFonts w:ascii="Verdana" w:hAnsi="Verdana"/>
          <w:b/>
          <w:bCs/>
          <w:color w:val="000000"/>
          <w:sz w:val="20"/>
          <w:szCs w:val="20"/>
          <w:lang w:val="es-CR"/>
        </w:rPr>
      </w:pPr>
      <w:r w:rsidRPr="00076826">
        <w:rPr>
          <w:rFonts w:ascii="Verdana" w:hAnsi="Verdana"/>
          <w:b/>
          <w:bCs/>
          <w:color w:val="000000"/>
          <w:sz w:val="20"/>
          <w:szCs w:val="20"/>
          <w:lang w:val="es-CR"/>
        </w:rPr>
        <w:t>CASO COC MAX Y OTROS VS GUATEMALA</w:t>
      </w:r>
    </w:p>
    <w:p w:rsidR="00292138" w:rsidRPr="00076826" w:rsidRDefault="00292138" w:rsidP="003E0158">
      <w:pPr>
        <w:pStyle w:val="NormalWeb"/>
        <w:spacing w:before="0" w:beforeAutospacing="0" w:after="0" w:afterAutospacing="0"/>
        <w:jc w:val="center"/>
        <w:rPr>
          <w:rFonts w:ascii="Verdana" w:hAnsi="Verdana"/>
          <w:sz w:val="20"/>
          <w:szCs w:val="20"/>
          <w:lang w:val="es-CR"/>
        </w:rPr>
      </w:pPr>
    </w:p>
    <w:p w:rsidR="00292138" w:rsidRPr="00076826" w:rsidRDefault="004A2725" w:rsidP="003E0158">
      <w:pPr>
        <w:pStyle w:val="NormalWeb"/>
        <w:spacing w:before="0" w:beforeAutospacing="0" w:after="0" w:afterAutospacing="0"/>
        <w:jc w:val="center"/>
        <w:rPr>
          <w:rFonts w:ascii="Verdana" w:hAnsi="Verdana"/>
          <w:b/>
          <w:bCs/>
          <w:color w:val="000000"/>
          <w:sz w:val="20"/>
          <w:szCs w:val="20"/>
          <w:lang w:val="es-CR"/>
        </w:rPr>
      </w:pPr>
      <w:r>
        <w:rPr>
          <w:rFonts w:ascii="Verdana" w:hAnsi="Verdana"/>
          <w:b/>
          <w:bCs/>
          <w:color w:val="000000"/>
          <w:sz w:val="20"/>
          <w:szCs w:val="20"/>
          <w:lang w:val="es-CR"/>
        </w:rPr>
        <w:t xml:space="preserve">CONVOCATORIA </w:t>
      </w:r>
      <w:r w:rsidR="00B22325">
        <w:rPr>
          <w:rFonts w:ascii="Verdana" w:hAnsi="Verdana"/>
          <w:b/>
          <w:bCs/>
          <w:color w:val="000000"/>
          <w:sz w:val="20"/>
          <w:szCs w:val="20"/>
          <w:lang w:val="es-CR"/>
        </w:rPr>
        <w:t xml:space="preserve">A </w:t>
      </w:r>
      <w:r w:rsidR="00292138" w:rsidRPr="00076826">
        <w:rPr>
          <w:rFonts w:ascii="Verdana" w:hAnsi="Verdana"/>
          <w:b/>
          <w:bCs/>
          <w:color w:val="000000"/>
          <w:sz w:val="20"/>
          <w:szCs w:val="20"/>
          <w:lang w:val="es-CR"/>
        </w:rPr>
        <w:t>AUDIENCIA</w:t>
      </w:r>
    </w:p>
    <w:p w:rsidR="00292138" w:rsidRPr="00076826" w:rsidRDefault="00292138" w:rsidP="003E0158">
      <w:pPr>
        <w:pStyle w:val="NormalWeb"/>
        <w:spacing w:before="0" w:beforeAutospacing="0" w:after="0" w:afterAutospacing="0"/>
        <w:jc w:val="both"/>
        <w:rPr>
          <w:rFonts w:ascii="Verdana" w:hAnsi="Verdana"/>
          <w:b/>
          <w:bCs/>
          <w:color w:val="000000"/>
          <w:sz w:val="20"/>
          <w:szCs w:val="20"/>
          <w:lang w:val="es-CR"/>
        </w:rPr>
      </w:pPr>
    </w:p>
    <w:p w:rsidR="00292138" w:rsidRPr="00A81F55" w:rsidRDefault="00292138" w:rsidP="00A81F55">
      <w:pPr>
        <w:rPr>
          <w:rFonts w:ascii="Times New Roman" w:eastAsia="Times New Roman" w:hAnsi="Times New Roman"/>
          <w:color w:val="000000"/>
          <w:sz w:val="24"/>
          <w:szCs w:val="24"/>
          <w:lang w:val="es-CR" w:eastAsia="en-US"/>
        </w:rPr>
      </w:pPr>
      <w:r w:rsidRPr="00076826">
        <w:rPr>
          <w:rFonts w:ascii="Verdana" w:hAnsi="Verdana"/>
          <w:b/>
          <w:bCs/>
          <w:color w:val="000000"/>
          <w:sz w:val="20"/>
          <w:szCs w:val="20"/>
          <w:lang w:val="es-CR"/>
        </w:rPr>
        <w:t>VISTO:</w:t>
      </w:r>
    </w:p>
    <w:p w:rsidR="00292138" w:rsidRPr="00076826" w:rsidRDefault="00292138" w:rsidP="00292138">
      <w:pPr>
        <w:spacing w:after="0" w:line="240" w:lineRule="auto"/>
        <w:jc w:val="both"/>
        <w:rPr>
          <w:rFonts w:ascii="Verdana" w:eastAsia="Times New Roman" w:hAnsi="Verdana"/>
          <w:b/>
          <w:bCs/>
          <w:color w:val="000000"/>
          <w:sz w:val="20"/>
          <w:szCs w:val="20"/>
          <w:lang w:val="es-CR"/>
        </w:rPr>
      </w:pPr>
    </w:p>
    <w:p w:rsidR="00292138" w:rsidRPr="00076826" w:rsidRDefault="00292138" w:rsidP="00292138">
      <w:pPr>
        <w:pStyle w:val="Listavistosa-nfasis1"/>
        <w:numPr>
          <w:ilvl w:val="0"/>
          <w:numId w:val="1"/>
        </w:numPr>
        <w:spacing w:after="0" w:line="240" w:lineRule="auto"/>
        <w:ind w:left="0" w:firstLine="0"/>
        <w:jc w:val="both"/>
        <w:rPr>
          <w:rFonts w:ascii="Verdana" w:eastAsia="Times New Roman" w:hAnsi="Verdana"/>
          <w:color w:val="000000"/>
          <w:sz w:val="20"/>
          <w:szCs w:val="20"/>
          <w:lang w:val="es-CR"/>
        </w:rPr>
      </w:pPr>
      <w:r w:rsidRPr="00076826">
        <w:rPr>
          <w:rFonts w:ascii="Verdana" w:eastAsia="Times New Roman" w:hAnsi="Verdana"/>
          <w:color w:val="000000"/>
          <w:sz w:val="20"/>
          <w:szCs w:val="20"/>
          <w:lang w:val="es-CR"/>
        </w:rPr>
        <w:t>El escrito de sometimiento del caso y el Informe de Fondo de la Comisión Interamericana de Derechos Humanos (en adelante “la Comisión Interamericana” o “la Comisión”); el escrito de solicitudes, argumentos y pruebas (en adelante el “escrito de solicitudes y argumentos”) de los representantes (en adelante “los representantes”)</w:t>
      </w:r>
      <w:r>
        <w:rPr>
          <w:rFonts w:ascii="Verdana" w:eastAsia="Times New Roman" w:hAnsi="Verdana"/>
          <w:color w:val="000000"/>
          <w:sz w:val="20"/>
          <w:szCs w:val="20"/>
          <w:lang w:val="es-CR"/>
        </w:rPr>
        <w:t>, y</w:t>
      </w:r>
      <w:r w:rsidRPr="00076826">
        <w:rPr>
          <w:rFonts w:ascii="Verdana" w:eastAsia="Times New Roman" w:hAnsi="Verdana"/>
          <w:color w:val="000000"/>
          <w:sz w:val="20"/>
          <w:szCs w:val="20"/>
          <w:lang w:val="es-CR"/>
        </w:rPr>
        <w:t xml:space="preserve"> el escrito de contestación al sometimiento del caso y al escrito de solicitudes y argumentos (en adelante “escrito de contestación”) de </w:t>
      </w:r>
      <w:r>
        <w:rPr>
          <w:rFonts w:ascii="Verdana" w:eastAsia="Times New Roman" w:hAnsi="Verdana"/>
          <w:color w:val="000000"/>
          <w:sz w:val="20"/>
          <w:szCs w:val="20"/>
          <w:lang w:val="es-CR"/>
        </w:rPr>
        <w:t xml:space="preserve">República de </w:t>
      </w:r>
      <w:r w:rsidRPr="00076826">
        <w:rPr>
          <w:rFonts w:ascii="Verdana" w:eastAsia="Times New Roman" w:hAnsi="Verdana"/>
          <w:color w:val="000000"/>
          <w:sz w:val="20"/>
          <w:szCs w:val="20"/>
          <w:lang w:val="es-CR"/>
        </w:rPr>
        <w:t>Guatemala (en adelante “Guatemala” o “el Estado”).</w:t>
      </w:r>
    </w:p>
    <w:p w:rsidR="00292138" w:rsidRPr="00076826" w:rsidRDefault="00292138" w:rsidP="00292138">
      <w:pPr>
        <w:pStyle w:val="Listavistosa-nfasis1"/>
        <w:spacing w:after="0" w:line="240" w:lineRule="auto"/>
        <w:ind w:left="0"/>
        <w:jc w:val="both"/>
        <w:rPr>
          <w:rFonts w:ascii="Verdana" w:eastAsia="Times New Roman" w:hAnsi="Verdana"/>
          <w:color w:val="000000"/>
          <w:sz w:val="20"/>
          <w:szCs w:val="20"/>
          <w:lang w:val="es-CR"/>
        </w:rPr>
      </w:pPr>
    </w:p>
    <w:p w:rsidR="00292138" w:rsidRDefault="00292138" w:rsidP="00292138">
      <w:pPr>
        <w:pStyle w:val="Listavistosa-nfasis1"/>
        <w:numPr>
          <w:ilvl w:val="0"/>
          <w:numId w:val="1"/>
        </w:numPr>
        <w:spacing w:after="0" w:line="240" w:lineRule="auto"/>
        <w:ind w:left="0" w:firstLine="0"/>
        <w:jc w:val="both"/>
        <w:rPr>
          <w:rFonts w:ascii="Verdana" w:eastAsia="Times New Roman" w:hAnsi="Verdana"/>
          <w:sz w:val="20"/>
          <w:szCs w:val="20"/>
          <w:lang w:val="es-CR"/>
        </w:rPr>
      </w:pPr>
      <w:r w:rsidRPr="00076826">
        <w:rPr>
          <w:rFonts w:ascii="Verdana" w:eastAsia="Times New Roman" w:hAnsi="Verdana"/>
          <w:color w:val="000000"/>
          <w:sz w:val="20"/>
          <w:szCs w:val="20"/>
          <w:lang w:val="es-CR"/>
        </w:rPr>
        <w:t>La lista de declarantes presentada por la</w:t>
      </w:r>
      <w:r w:rsidRPr="00076826">
        <w:rPr>
          <w:rFonts w:ascii="Verdana" w:eastAsia="Times New Roman" w:hAnsi="Verdana" w:cs="Arial"/>
          <w:color w:val="FF0000"/>
          <w:sz w:val="20"/>
          <w:szCs w:val="20"/>
          <w:lang w:val="es-CR"/>
        </w:rPr>
        <w:t xml:space="preserve"> </w:t>
      </w:r>
      <w:r w:rsidRPr="00076826">
        <w:rPr>
          <w:rFonts w:ascii="Verdana" w:eastAsia="Times New Roman" w:hAnsi="Verdana"/>
          <w:color w:val="000000"/>
          <w:sz w:val="20"/>
          <w:szCs w:val="20"/>
          <w:lang w:val="es-CR"/>
        </w:rPr>
        <w:t>Comisión y los representantes</w:t>
      </w:r>
      <w:r>
        <w:rPr>
          <w:rFonts w:ascii="Verdana" w:hAnsi="Verdana"/>
          <w:sz w:val="20"/>
          <w:szCs w:val="20"/>
          <w:lang w:val="es-CR"/>
        </w:rPr>
        <w:t>; las observaciones del Estado al ofrecimiento de la prueba en el escrito de contestación;</w:t>
      </w:r>
      <w:r w:rsidRPr="00076826">
        <w:rPr>
          <w:rFonts w:ascii="Verdana" w:eastAsia="Times New Roman" w:hAnsi="Verdana"/>
          <w:sz w:val="20"/>
          <w:szCs w:val="20"/>
          <w:lang w:val="es-CR"/>
        </w:rPr>
        <w:t xml:space="preserve"> el escrito de observaciones de Guatemala a la perita propuesta por la Comisión Interamericana, y el escrito de observaciones de los representantes a la perita propuesta por la Comisión.</w:t>
      </w:r>
    </w:p>
    <w:p w:rsidR="00292138" w:rsidRDefault="00292138" w:rsidP="00292138">
      <w:pPr>
        <w:pStyle w:val="Listavistosa-nfasis1"/>
        <w:spacing w:after="0" w:line="240" w:lineRule="auto"/>
        <w:ind w:left="0"/>
        <w:jc w:val="both"/>
        <w:rPr>
          <w:rFonts w:ascii="Verdana" w:eastAsia="Times New Roman" w:hAnsi="Verdana"/>
          <w:color w:val="000000"/>
          <w:sz w:val="20"/>
          <w:szCs w:val="20"/>
          <w:lang w:val="es-CR"/>
        </w:rPr>
      </w:pPr>
    </w:p>
    <w:p w:rsidR="003E0158" w:rsidRPr="00076826" w:rsidRDefault="003E0158" w:rsidP="00292138">
      <w:pPr>
        <w:pStyle w:val="Listavistosa-nfasis1"/>
        <w:spacing w:after="0" w:line="240" w:lineRule="auto"/>
        <w:ind w:left="0"/>
        <w:jc w:val="both"/>
        <w:rPr>
          <w:rFonts w:ascii="Verdana" w:eastAsia="Times New Roman" w:hAnsi="Verdana"/>
          <w:color w:val="000000"/>
          <w:sz w:val="20"/>
          <w:szCs w:val="20"/>
          <w:lang w:val="es-CR"/>
        </w:rPr>
      </w:pPr>
    </w:p>
    <w:p w:rsidR="00292138" w:rsidRPr="00076826" w:rsidRDefault="00292138" w:rsidP="00292138">
      <w:pPr>
        <w:spacing w:after="0" w:line="240" w:lineRule="auto"/>
        <w:jc w:val="both"/>
        <w:rPr>
          <w:rFonts w:ascii="Verdana" w:eastAsia="Times New Roman" w:hAnsi="Verdana"/>
          <w:b/>
          <w:bCs/>
          <w:color w:val="000000"/>
          <w:sz w:val="20"/>
          <w:szCs w:val="20"/>
          <w:lang w:val="es-CR"/>
        </w:rPr>
      </w:pPr>
      <w:r w:rsidRPr="00076826">
        <w:rPr>
          <w:rFonts w:ascii="Verdana" w:eastAsia="Times New Roman" w:hAnsi="Verdana"/>
          <w:b/>
          <w:bCs/>
          <w:color w:val="000000"/>
          <w:sz w:val="20"/>
          <w:szCs w:val="20"/>
          <w:lang w:val="es-CR"/>
        </w:rPr>
        <w:t>CONSIDERANDO QUE:</w:t>
      </w:r>
    </w:p>
    <w:p w:rsidR="00292138" w:rsidRPr="00076826" w:rsidRDefault="00292138" w:rsidP="00292138">
      <w:pPr>
        <w:spacing w:after="0" w:line="240" w:lineRule="auto"/>
        <w:jc w:val="both"/>
        <w:rPr>
          <w:rFonts w:ascii="Verdana" w:eastAsia="Times New Roman" w:hAnsi="Verdana"/>
          <w:b/>
          <w:bCs/>
          <w:color w:val="000000"/>
          <w:sz w:val="20"/>
          <w:szCs w:val="20"/>
          <w:lang w:val="es-CR"/>
        </w:rPr>
      </w:pPr>
    </w:p>
    <w:p w:rsidR="00292138" w:rsidRPr="00076826"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76826">
        <w:rPr>
          <w:rFonts w:ascii="Verdana" w:eastAsia="Times New Roman" w:hAnsi="Verdana"/>
          <w:color w:val="000000"/>
          <w:sz w:val="20"/>
          <w:szCs w:val="20"/>
          <w:lang w:val="es-CR"/>
        </w:rPr>
        <w:t>El ofrecimiento y la admisión de la prueba, así como la citación de declarantes se encuentran regulados en los artícu</w:t>
      </w:r>
      <w:r>
        <w:rPr>
          <w:rFonts w:ascii="Verdana" w:eastAsia="Times New Roman" w:hAnsi="Verdana"/>
          <w:color w:val="000000"/>
          <w:sz w:val="20"/>
          <w:szCs w:val="20"/>
          <w:lang w:val="es-CR"/>
        </w:rPr>
        <w:t>los 35.1.f, 40.2.c, 41.1.c, 46, y 50</w:t>
      </w:r>
      <w:r w:rsidRPr="00076826">
        <w:rPr>
          <w:rFonts w:ascii="Verdana" w:eastAsia="Times New Roman" w:hAnsi="Verdana"/>
          <w:color w:val="000000"/>
          <w:sz w:val="20"/>
          <w:szCs w:val="20"/>
          <w:lang w:val="es-CR"/>
        </w:rPr>
        <w:t xml:space="preserve"> del Reglamento de la Corte Interamericana de Derechos Humanos (en adelante “la Corte Interamericana”, “la Corte” o “el Tribunal”).</w:t>
      </w:r>
    </w:p>
    <w:p w:rsidR="00292138" w:rsidRPr="00076826" w:rsidRDefault="00292138" w:rsidP="00292138">
      <w:pPr>
        <w:pStyle w:val="Listavistosa-nfasis1"/>
        <w:spacing w:after="0" w:line="240" w:lineRule="auto"/>
        <w:ind w:left="0"/>
        <w:jc w:val="both"/>
        <w:rPr>
          <w:rFonts w:ascii="Verdana" w:eastAsia="Times New Roman" w:hAnsi="Verdana"/>
          <w:color w:val="000000"/>
          <w:sz w:val="20"/>
          <w:szCs w:val="20"/>
          <w:lang w:val="es-CR"/>
        </w:rPr>
      </w:pPr>
    </w:p>
    <w:p w:rsidR="00292138" w:rsidRPr="00076826"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76826">
        <w:rPr>
          <w:rFonts w:ascii="Verdana" w:hAnsi="Verdana"/>
          <w:sz w:val="20"/>
          <w:szCs w:val="20"/>
          <w:lang w:val="es-MX"/>
        </w:rPr>
        <w:t>La Corte garantizó a las partes el derecho de defensa respecto de los ofrecimientos probatorios realizados en sus es</w:t>
      </w:r>
      <w:r>
        <w:rPr>
          <w:rFonts w:ascii="Verdana" w:hAnsi="Verdana"/>
          <w:sz w:val="20"/>
          <w:szCs w:val="20"/>
          <w:lang w:val="es-MX"/>
        </w:rPr>
        <w:t>critos de sometimiento del caso y</w:t>
      </w:r>
      <w:r w:rsidRPr="00076826">
        <w:rPr>
          <w:rFonts w:ascii="Verdana" w:hAnsi="Verdana"/>
          <w:sz w:val="20"/>
          <w:szCs w:val="20"/>
          <w:lang w:val="es-MX"/>
        </w:rPr>
        <w:t xml:space="preserve"> solicitudes y argumentos, así como en las respectivas listas definitivas de declarantes.</w:t>
      </w:r>
      <w:r w:rsidRPr="001364D4">
        <w:rPr>
          <w:rFonts w:ascii="Verdana" w:hAnsi="Verdana"/>
          <w:bCs/>
          <w:iCs/>
          <w:sz w:val="20"/>
          <w:szCs w:val="24"/>
          <w:lang w:val="es-CR"/>
        </w:rPr>
        <w:t xml:space="preserve"> </w:t>
      </w:r>
    </w:p>
    <w:p w:rsidR="00292138" w:rsidRPr="00076826" w:rsidRDefault="00292138" w:rsidP="00292138">
      <w:pPr>
        <w:pStyle w:val="Listavistosa-nfasis1"/>
        <w:spacing w:line="240" w:lineRule="auto"/>
        <w:jc w:val="both"/>
        <w:rPr>
          <w:rFonts w:ascii="Verdana" w:eastAsia="Times New Roman" w:hAnsi="Verdana"/>
          <w:color w:val="000000"/>
          <w:sz w:val="20"/>
          <w:szCs w:val="20"/>
          <w:lang w:val="es-CR"/>
        </w:rPr>
      </w:pPr>
    </w:p>
    <w:p w:rsidR="00292138" w:rsidRPr="00076826"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76826">
        <w:rPr>
          <w:rFonts w:ascii="Verdana" w:hAnsi="Verdana"/>
          <w:sz w:val="20"/>
          <w:szCs w:val="20"/>
          <w:lang w:val="es-MX"/>
        </w:rPr>
        <w:t xml:space="preserve">Los representantes ofrecieron </w:t>
      </w:r>
      <w:r>
        <w:rPr>
          <w:rFonts w:ascii="Verdana" w:hAnsi="Verdana"/>
          <w:sz w:val="20"/>
          <w:szCs w:val="20"/>
          <w:lang w:val="es-MX"/>
        </w:rPr>
        <w:t xml:space="preserve">tres declaraciones para la audiencia pública, diecisiete </w:t>
      </w:r>
      <w:r w:rsidRPr="00076826">
        <w:rPr>
          <w:rFonts w:ascii="Verdana" w:hAnsi="Verdana"/>
          <w:sz w:val="20"/>
          <w:szCs w:val="20"/>
          <w:lang w:val="es-MX"/>
        </w:rPr>
        <w:t xml:space="preserve">declaraciones juradas contenidas en videograbaciones </w:t>
      </w:r>
      <w:r w:rsidRPr="00076826">
        <w:rPr>
          <w:rFonts w:ascii="Verdana" w:eastAsia="Times New Roman" w:hAnsi="Verdana"/>
          <w:color w:val="000000"/>
          <w:sz w:val="20"/>
          <w:szCs w:val="20"/>
          <w:lang w:val="es-CR"/>
        </w:rPr>
        <w:t>y solicitaron la realización de una diligencia probatoria</w:t>
      </w:r>
      <w:r w:rsidRPr="00076826">
        <w:rPr>
          <w:rFonts w:ascii="Verdana" w:hAnsi="Verdana"/>
          <w:sz w:val="20"/>
          <w:szCs w:val="20"/>
          <w:lang w:val="es-MX"/>
        </w:rPr>
        <w:t>.</w:t>
      </w:r>
      <w:r w:rsidRPr="00076826">
        <w:rPr>
          <w:rFonts w:ascii="Verdana" w:eastAsia="Times New Roman" w:hAnsi="Verdana"/>
          <w:color w:val="000000"/>
          <w:sz w:val="20"/>
          <w:szCs w:val="20"/>
          <w:lang w:val="es-CR"/>
        </w:rPr>
        <w:t xml:space="preserve"> La Comisión ofreció como prueba una declaración pericial y solicitó el traslado de la prueba pericial rendida por los señores Alejandro Rodríguez y Cristian Correa </w:t>
      </w:r>
      <w:r>
        <w:rPr>
          <w:rFonts w:ascii="Verdana" w:eastAsia="Times New Roman" w:hAnsi="Verdana"/>
          <w:color w:val="000000"/>
          <w:sz w:val="20"/>
          <w:szCs w:val="20"/>
          <w:lang w:val="es-CR"/>
        </w:rPr>
        <w:t xml:space="preserve">en el </w:t>
      </w:r>
      <w:r w:rsidRPr="00B133B2">
        <w:rPr>
          <w:rFonts w:ascii="Verdana" w:eastAsia="Times New Roman" w:hAnsi="Verdana"/>
          <w:i/>
          <w:color w:val="000000"/>
          <w:sz w:val="20"/>
          <w:szCs w:val="20"/>
          <w:lang w:val="es-CR"/>
        </w:rPr>
        <w:t>Caso Miembros de la Aldea de Chichupac y Comunidades Vecinas del Municipio de Rabinal Vs. Guatemala</w:t>
      </w:r>
      <w:r>
        <w:rPr>
          <w:rFonts w:ascii="Verdana" w:eastAsia="Times New Roman" w:hAnsi="Verdana"/>
          <w:color w:val="000000"/>
          <w:sz w:val="20"/>
          <w:szCs w:val="20"/>
          <w:lang w:val="es-CR"/>
        </w:rPr>
        <w:t>,</w:t>
      </w:r>
      <w:r w:rsidRPr="00076826">
        <w:rPr>
          <w:rFonts w:ascii="Verdana" w:eastAsia="Times New Roman" w:hAnsi="Verdana"/>
          <w:color w:val="000000"/>
          <w:sz w:val="20"/>
          <w:szCs w:val="20"/>
          <w:lang w:val="es-CR"/>
        </w:rPr>
        <w:t xml:space="preserve"> así como el de los señores Michael Paul Hermann, Juan Méndez y Rosalina Tuyuc en el </w:t>
      </w:r>
      <w:r w:rsidRPr="00B133B2">
        <w:rPr>
          <w:rFonts w:ascii="Verdana" w:eastAsia="Times New Roman" w:hAnsi="Verdana"/>
          <w:i/>
          <w:color w:val="000000"/>
          <w:sz w:val="20"/>
          <w:szCs w:val="20"/>
          <w:lang w:val="es-CR"/>
        </w:rPr>
        <w:t>Caso Masacres de Río Negro vs. Guatemala</w:t>
      </w:r>
      <w:r>
        <w:rPr>
          <w:rFonts w:ascii="Verdana" w:eastAsia="Times New Roman" w:hAnsi="Verdana"/>
          <w:i/>
          <w:color w:val="000000"/>
          <w:sz w:val="20"/>
          <w:szCs w:val="20"/>
          <w:lang w:val="es-CR"/>
        </w:rPr>
        <w:t>.</w:t>
      </w:r>
      <w:r w:rsidRPr="00076826">
        <w:rPr>
          <w:rFonts w:ascii="Verdana" w:eastAsia="Times New Roman" w:hAnsi="Verdana"/>
          <w:color w:val="000000"/>
          <w:sz w:val="20"/>
          <w:szCs w:val="20"/>
          <w:lang w:val="es-CR"/>
        </w:rPr>
        <w:t xml:space="preserve"> </w:t>
      </w:r>
      <w:r w:rsidRPr="00076826">
        <w:rPr>
          <w:rFonts w:ascii="Verdana" w:hAnsi="Verdana"/>
          <w:sz w:val="20"/>
          <w:szCs w:val="20"/>
          <w:lang w:val="es-MX"/>
        </w:rPr>
        <w:t xml:space="preserve">El Estado no ofreció </w:t>
      </w:r>
      <w:r w:rsidRPr="00076826">
        <w:rPr>
          <w:rFonts w:ascii="Verdana" w:hAnsi="Verdana"/>
          <w:sz w:val="20"/>
          <w:szCs w:val="20"/>
          <w:lang w:val="es-MX"/>
        </w:rPr>
        <w:lastRenderedPageBreak/>
        <w:t>declarantes.</w:t>
      </w:r>
      <w:r w:rsidRPr="001364D4">
        <w:rPr>
          <w:rFonts w:ascii="Verdana" w:hAnsi="Verdana"/>
          <w:bCs/>
          <w:iCs/>
          <w:sz w:val="20"/>
          <w:szCs w:val="24"/>
          <w:lang w:val="es-CR"/>
        </w:rPr>
        <w:t xml:space="preserve"> </w:t>
      </w:r>
      <w:r>
        <w:rPr>
          <w:rFonts w:ascii="Verdana" w:hAnsi="Verdana"/>
          <w:bCs/>
          <w:iCs/>
          <w:sz w:val="20"/>
          <w:szCs w:val="24"/>
          <w:lang w:val="es-CR"/>
        </w:rPr>
        <w:t>L</w:t>
      </w:r>
      <w:r w:rsidRPr="001364D4">
        <w:rPr>
          <w:rFonts w:ascii="Verdana" w:hAnsi="Verdana"/>
          <w:bCs/>
          <w:iCs/>
          <w:sz w:val="20"/>
          <w:szCs w:val="24"/>
          <w:lang w:val="es-CR"/>
        </w:rPr>
        <w:t>os representantes indicaron no tener observa</w:t>
      </w:r>
      <w:r>
        <w:rPr>
          <w:rFonts w:ascii="Verdana" w:hAnsi="Verdana"/>
          <w:bCs/>
          <w:iCs/>
          <w:sz w:val="20"/>
          <w:szCs w:val="24"/>
          <w:lang w:val="es-CR"/>
        </w:rPr>
        <w:t>ciones frente al peritaje ofrecido por la Comisión.</w:t>
      </w:r>
    </w:p>
    <w:p w:rsidR="00292138" w:rsidRPr="00076826" w:rsidRDefault="00292138" w:rsidP="00292138">
      <w:pPr>
        <w:pStyle w:val="Listavistosa-nfasis1"/>
        <w:spacing w:line="240" w:lineRule="auto"/>
        <w:jc w:val="both"/>
        <w:rPr>
          <w:rFonts w:ascii="Verdana" w:eastAsia="Times New Roman" w:hAnsi="Verdana"/>
          <w:color w:val="000000"/>
          <w:sz w:val="20"/>
          <w:szCs w:val="20"/>
          <w:lang w:val="es-CR"/>
        </w:rPr>
      </w:pPr>
    </w:p>
    <w:p w:rsidR="00292138" w:rsidRPr="001364D4"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76826">
        <w:rPr>
          <w:rFonts w:ascii="Verdana" w:eastAsia="Times New Roman" w:hAnsi="Verdana"/>
          <w:color w:val="000000"/>
          <w:sz w:val="20"/>
          <w:szCs w:val="20"/>
          <w:lang w:val="es-CR"/>
        </w:rPr>
        <w:t>El Estado se opuso al peritaje de la señora Claudia Samayoa Pineda ofrecido por la Comisión, así como al traslado de la prueba pericial rendida por los señores Alejandro Rodríguez</w:t>
      </w:r>
      <w:r>
        <w:rPr>
          <w:rFonts w:ascii="Verdana" w:eastAsia="Times New Roman" w:hAnsi="Verdana"/>
          <w:color w:val="000000"/>
          <w:sz w:val="20"/>
          <w:szCs w:val="20"/>
          <w:lang w:val="es-CR"/>
        </w:rPr>
        <w:t xml:space="preserve"> y</w:t>
      </w:r>
      <w:r w:rsidRPr="00076826">
        <w:rPr>
          <w:rFonts w:ascii="Verdana" w:eastAsia="Times New Roman" w:hAnsi="Verdana"/>
          <w:color w:val="000000"/>
          <w:sz w:val="20"/>
          <w:szCs w:val="20"/>
          <w:lang w:val="es-CR"/>
        </w:rPr>
        <w:t xml:space="preserve"> Cristian Correa, </w:t>
      </w:r>
      <w:r>
        <w:rPr>
          <w:rFonts w:ascii="Verdana" w:eastAsia="Times New Roman" w:hAnsi="Verdana"/>
          <w:color w:val="000000"/>
          <w:sz w:val="20"/>
          <w:szCs w:val="20"/>
          <w:lang w:val="es-CR"/>
        </w:rPr>
        <w:t xml:space="preserve">y </w:t>
      </w:r>
      <w:r w:rsidRPr="00076826">
        <w:rPr>
          <w:rFonts w:ascii="Verdana" w:eastAsia="Times New Roman" w:hAnsi="Verdana"/>
          <w:color w:val="000000"/>
          <w:sz w:val="20"/>
          <w:szCs w:val="20"/>
          <w:lang w:val="es-CR"/>
        </w:rPr>
        <w:t>Michael Paul Hermann, Juan Méndez y</w:t>
      </w:r>
      <w:r>
        <w:rPr>
          <w:rFonts w:ascii="Verdana" w:eastAsia="Times New Roman" w:hAnsi="Verdana"/>
          <w:color w:val="000000"/>
          <w:sz w:val="20"/>
          <w:szCs w:val="20"/>
          <w:lang w:val="es-CR"/>
        </w:rPr>
        <w:t xml:space="preserve"> la señora</w:t>
      </w:r>
      <w:r w:rsidRPr="00076826">
        <w:rPr>
          <w:rFonts w:ascii="Verdana" w:eastAsia="Times New Roman" w:hAnsi="Verdana"/>
          <w:color w:val="000000"/>
          <w:sz w:val="20"/>
          <w:szCs w:val="20"/>
          <w:lang w:val="es-CR"/>
        </w:rPr>
        <w:t xml:space="preserve"> Rosalina Tuyuc</w:t>
      </w:r>
      <w:r>
        <w:rPr>
          <w:rFonts w:ascii="Verdana" w:eastAsia="Times New Roman" w:hAnsi="Verdana"/>
          <w:color w:val="000000"/>
          <w:sz w:val="20"/>
          <w:szCs w:val="20"/>
          <w:lang w:val="es-CR"/>
        </w:rPr>
        <w:t xml:space="preserve">, en el </w:t>
      </w:r>
      <w:r w:rsidRPr="00B133B2">
        <w:rPr>
          <w:rFonts w:ascii="Verdana" w:eastAsia="Times New Roman" w:hAnsi="Verdana"/>
          <w:i/>
          <w:color w:val="000000"/>
          <w:sz w:val="20"/>
          <w:szCs w:val="20"/>
          <w:lang w:val="es-CR"/>
        </w:rPr>
        <w:t>Caso Miembros de la Aldea de Chichupac y Comunidades Vecinas del Municipio de Rabinal Vs. Guatemala</w:t>
      </w:r>
      <w:r>
        <w:rPr>
          <w:rFonts w:ascii="Verdana" w:eastAsia="Times New Roman" w:hAnsi="Verdana"/>
          <w:color w:val="000000"/>
          <w:sz w:val="20"/>
          <w:szCs w:val="20"/>
          <w:lang w:val="es-CR"/>
        </w:rPr>
        <w:t>,</w:t>
      </w:r>
      <w:r w:rsidRPr="00076826">
        <w:rPr>
          <w:rFonts w:ascii="Verdana" w:eastAsia="Times New Roman" w:hAnsi="Verdana"/>
          <w:color w:val="000000"/>
          <w:sz w:val="20"/>
          <w:szCs w:val="20"/>
          <w:lang w:val="es-CR"/>
        </w:rPr>
        <w:t xml:space="preserve"> </w:t>
      </w:r>
      <w:r>
        <w:rPr>
          <w:rFonts w:ascii="Verdana" w:eastAsia="Times New Roman" w:hAnsi="Verdana"/>
          <w:color w:val="000000"/>
          <w:sz w:val="20"/>
          <w:szCs w:val="20"/>
          <w:lang w:val="es-CR"/>
        </w:rPr>
        <w:t xml:space="preserve">y </w:t>
      </w:r>
      <w:r w:rsidRPr="00076826">
        <w:rPr>
          <w:rFonts w:ascii="Verdana" w:eastAsia="Times New Roman" w:hAnsi="Verdana"/>
          <w:color w:val="000000"/>
          <w:sz w:val="20"/>
          <w:szCs w:val="20"/>
          <w:lang w:val="es-CR"/>
        </w:rPr>
        <w:t xml:space="preserve">en el </w:t>
      </w:r>
      <w:r w:rsidRPr="00B133B2">
        <w:rPr>
          <w:rFonts w:ascii="Verdana" w:eastAsia="Times New Roman" w:hAnsi="Verdana"/>
          <w:i/>
          <w:color w:val="000000"/>
          <w:sz w:val="20"/>
          <w:szCs w:val="20"/>
          <w:lang w:val="es-CR"/>
        </w:rPr>
        <w:t>Caso Masacres de Río Negro vs. Guatemala</w:t>
      </w:r>
      <w:r>
        <w:rPr>
          <w:rFonts w:ascii="Verdana" w:eastAsia="Times New Roman" w:hAnsi="Verdana"/>
          <w:i/>
          <w:color w:val="000000"/>
          <w:sz w:val="20"/>
          <w:szCs w:val="20"/>
          <w:lang w:val="es-CR"/>
        </w:rPr>
        <w:t xml:space="preserve">, </w:t>
      </w:r>
      <w:r w:rsidRPr="00F62F74">
        <w:rPr>
          <w:rFonts w:ascii="Verdana" w:eastAsia="Times New Roman" w:hAnsi="Verdana"/>
          <w:color w:val="000000"/>
          <w:sz w:val="20"/>
          <w:szCs w:val="20"/>
          <w:lang w:val="es-CR"/>
        </w:rPr>
        <w:t>respectivamente</w:t>
      </w:r>
      <w:r>
        <w:rPr>
          <w:rFonts w:ascii="Verdana" w:eastAsia="Times New Roman" w:hAnsi="Verdana"/>
          <w:i/>
          <w:color w:val="000000"/>
          <w:sz w:val="20"/>
          <w:szCs w:val="20"/>
          <w:lang w:val="es-CR"/>
        </w:rPr>
        <w:t>.</w:t>
      </w:r>
      <w:r w:rsidRPr="00076826">
        <w:rPr>
          <w:rFonts w:ascii="Verdana" w:eastAsia="Times New Roman" w:hAnsi="Verdana"/>
          <w:color w:val="000000"/>
          <w:sz w:val="20"/>
          <w:szCs w:val="20"/>
          <w:lang w:val="es-CR"/>
        </w:rPr>
        <w:t xml:space="preserve"> </w:t>
      </w:r>
      <w:r w:rsidRPr="00076826">
        <w:rPr>
          <w:rFonts w:ascii="Verdana" w:hAnsi="Verdana"/>
          <w:sz w:val="20"/>
          <w:szCs w:val="20"/>
          <w:lang w:val="es-MX"/>
        </w:rPr>
        <w:t>El Estado no ofreció declarantes.</w:t>
      </w:r>
      <w:r w:rsidRPr="00F62F74">
        <w:rPr>
          <w:rFonts w:ascii="Verdana" w:eastAsia="Times New Roman" w:hAnsi="Verdana"/>
          <w:color w:val="000000"/>
          <w:sz w:val="20"/>
          <w:szCs w:val="20"/>
          <w:lang w:val="es-CR"/>
        </w:rPr>
        <w:t xml:space="preserve"> </w:t>
      </w:r>
      <w:r w:rsidRPr="00076826">
        <w:rPr>
          <w:rFonts w:ascii="Verdana" w:eastAsia="Times New Roman" w:hAnsi="Verdana"/>
          <w:color w:val="000000"/>
          <w:sz w:val="20"/>
          <w:szCs w:val="20"/>
          <w:lang w:val="es-CR"/>
        </w:rPr>
        <w:t>Adicionalmente, en cuanto a la</w:t>
      </w:r>
      <w:r>
        <w:rPr>
          <w:rFonts w:ascii="Verdana" w:eastAsia="Times New Roman" w:hAnsi="Verdana"/>
          <w:color w:val="000000"/>
          <w:sz w:val="20"/>
          <w:szCs w:val="20"/>
          <w:lang w:val="es-CR"/>
        </w:rPr>
        <w:t>s</w:t>
      </w:r>
      <w:r w:rsidRPr="00076826">
        <w:rPr>
          <w:rFonts w:ascii="Verdana" w:eastAsia="Times New Roman" w:hAnsi="Verdana"/>
          <w:color w:val="000000"/>
          <w:sz w:val="20"/>
          <w:szCs w:val="20"/>
          <w:lang w:val="es-CR"/>
        </w:rPr>
        <w:t xml:space="preserve"> declaraci</w:t>
      </w:r>
      <w:r>
        <w:rPr>
          <w:rFonts w:ascii="Verdana" w:eastAsia="Times New Roman" w:hAnsi="Verdana"/>
          <w:color w:val="000000"/>
          <w:sz w:val="20"/>
          <w:szCs w:val="20"/>
          <w:lang w:val="es-CR"/>
        </w:rPr>
        <w:t>ones</w:t>
      </w:r>
      <w:r w:rsidRPr="00076826">
        <w:rPr>
          <w:rFonts w:ascii="Verdana" w:eastAsia="Times New Roman" w:hAnsi="Verdana"/>
          <w:color w:val="000000"/>
          <w:sz w:val="20"/>
          <w:szCs w:val="20"/>
          <w:lang w:val="es-CR"/>
        </w:rPr>
        <w:t xml:space="preserve"> testimonial</w:t>
      </w:r>
      <w:r>
        <w:rPr>
          <w:rFonts w:ascii="Verdana" w:eastAsia="Times New Roman" w:hAnsi="Verdana"/>
          <w:color w:val="000000"/>
          <w:sz w:val="20"/>
          <w:szCs w:val="20"/>
          <w:lang w:val="es-CR"/>
        </w:rPr>
        <w:t>es</w:t>
      </w:r>
      <w:r w:rsidRPr="00076826">
        <w:rPr>
          <w:rFonts w:ascii="Verdana" w:eastAsia="Times New Roman" w:hAnsi="Verdana"/>
          <w:color w:val="000000"/>
          <w:sz w:val="20"/>
          <w:szCs w:val="20"/>
          <w:lang w:val="es-CR"/>
        </w:rPr>
        <w:t xml:space="preserve"> por medio de declaración jurada, Guatemala señaló que no es posible constatar que el notario que autorizó dichas actas se encontrase presente en cada una de ellas.</w:t>
      </w:r>
      <w:r>
        <w:rPr>
          <w:rFonts w:ascii="Verdana" w:eastAsia="Times New Roman" w:hAnsi="Verdana"/>
          <w:color w:val="000000"/>
          <w:sz w:val="20"/>
          <w:szCs w:val="20"/>
          <w:lang w:val="es-CR"/>
        </w:rPr>
        <w:t xml:space="preserve"> </w:t>
      </w:r>
      <w:r w:rsidRPr="001364D4">
        <w:rPr>
          <w:rFonts w:ascii="Verdana" w:eastAsia="Times New Roman" w:hAnsi="Verdana"/>
          <w:color w:val="000000"/>
          <w:sz w:val="20"/>
          <w:szCs w:val="20"/>
          <w:lang w:val="es-CR"/>
        </w:rPr>
        <w:t>En cuanto a la</w:t>
      </w:r>
      <w:r>
        <w:rPr>
          <w:rFonts w:ascii="Verdana" w:eastAsia="Times New Roman" w:hAnsi="Verdana"/>
          <w:color w:val="000000"/>
          <w:sz w:val="20"/>
          <w:szCs w:val="20"/>
          <w:lang w:val="es-CR"/>
        </w:rPr>
        <w:t>s</w:t>
      </w:r>
      <w:r w:rsidRPr="001364D4">
        <w:rPr>
          <w:rFonts w:ascii="Verdana" w:eastAsia="Times New Roman" w:hAnsi="Verdana"/>
          <w:color w:val="000000"/>
          <w:sz w:val="20"/>
          <w:szCs w:val="20"/>
          <w:lang w:val="es-CR"/>
        </w:rPr>
        <w:t xml:space="preserve"> declaraci</w:t>
      </w:r>
      <w:r>
        <w:rPr>
          <w:rFonts w:ascii="Verdana" w:eastAsia="Times New Roman" w:hAnsi="Verdana"/>
          <w:color w:val="000000"/>
          <w:sz w:val="20"/>
          <w:szCs w:val="20"/>
          <w:lang w:val="es-CR"/>
        </w:rPr>
        <w:t>ones</w:t>
      </w:r>
      <w:r w:rsidRPr="001364D4">
        <w:rPr>
          <w:rFonts w:ascii="Verdana" w:eastAsia="Times New Roman" w:hAnsi="Verdana"/>
          <w:color w:val="000000"/>
          <w:sz w:val="20"/>
          <w:szCs w:val="20"/>
          <w:lang w:val="es-CR"/>
        </w:rPr>
        <w:t xml:space="preserve"> </w:t>
      </w:r>
      <w:r>
        <w:rPr>
          <w:rFonts w:ascii="Verdana" w:eastAsia="Times New Roman" w:hAnsi="Verdana"/>
          <w:color w:val="000000"/>
          <w:sz w:val="20"/>
          <w:szCs w:val="20"/>
          <w:lang w:val="es-CR"/>
        </w:rPr>
        <w:t>ofrecidas en audiencia pública</w:t>
      </w:r>
      <w:r w:rsidRPr="001364D4">
        <w:rPr>
          <w:rFonts w:ascii="Verdana" w:eastAsia="Times New Roman" w:hAnsi="Verdana"/>
          <w:color w:val="000000"/>
          <w:sz w:val="20"/>
          <w:szCs w:val="20"/>
          <w:lang w:val="es-CR"/>
        </w:rPr>
        <w:t xml:space="preserve">, el Estado señaló que hará uso del interrogatorio. Por otra parte, el Estado no se pronunció respecto a la realización de la diligencia probatoria. </w:t>
      </w:r>
    </w:p>
    <w:p w:rsidR="00292138" w:rsidRPr="00076826" w:rsidRDefault="00292138" w:rsidP="00292138">
      <w:pPr>
        <w:pStyle w:val="Listavistosa-nfasis1"/>
        <w:spacing w:line="240" w:lineRule="auto"/>
        <w:jc w:val="both"/>
        <w:rPr>
          <w:rFonts w:ascii="Verdana" w:hAnsi="Verdana"/>
          <w:sz w:val="20"/>
          <w:szCs w:val="20"/>
          <w:lang w:val="es-MX"/>
        </w:rPr>
      </w:pPr>
    </w:p>
    <w:p w:rsidR="00292138" w:rsidRPr="00076826"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76826">
        <w:rPr>
          <w:rFonts w:ascii="Verdana" w:hAnsi="Verdana"/>
          <w:sz w:val="20"/>
          <w:szCs w:val="20"/>
          <w:lang w:val="es-MX"/>
        </w:rPr>
        <w:t xml:space="preserve">Dado que ninguna de las </w:t>
      </w:r>
      <w:r>
        <w:rPr>
          <w:rFonts w:ascii="Verdana" w:hAnsi="Verdana"/>
          <w:sz w:val="20"/>
          <w:szCs w:val="20"/>
          <w:lang w:val="es-MX"/>
        </w:rPr>
        <w:t>tres</w:t>
      </w:r>
      <w:r w:rsidRPr="00076826">
        <w:rPr>
          <w:rFonts w:ascii="Verdana" w:hAnsi="Verdana"/>
          <w:sz w:val="20"/>
          <w:szCs w:val="20"/>
          <w:lang w:val="es-MX"/>
        </w:rPr>
        <w:t xml:space="preserve"> declaraciones ofrecidas</w:t>
      </w:r>
      <w:r>
        <w:rPr>
          <w:rFonts w:ascii="Verdana" w:hAnsi="Verdana"/>
          <w:sz w:val="20"/>
          <w:szCs w:val="20"/>
          <w:lang w:val="es-MX"/>
        </w:rPr>
        <w:t xml:space="preserve"> por los representantes</w:t>
      </w:r>
      <w:r w:rsidRPr="00076826">
        <w:rPr>
          <w:rFonts w:ascii="Verdana" w:hAnsi="Verdana"/>
          <w:sz w:val="20"/>
          <w:szCs w:val="20"/>
          <w:lang w:val="es-MX"/>
        </w:rPr>
        <w:t xml:space="preserve"> ha sido objetada, esta Presidencia considera conveniente recabar dicha prueba, a efectos de que el Tribunal pueda apreciar su valor en la debida oportunidad procesal, dentro del contexto del acervo probatorio existente y según las reglas de la sana crítica. Por consiguiente, el Presidente admite las declaraciones de</w:t>
      </w:r>
      <w:r w:rsidRPr="00076826">
        <w:rPr>
          <w:rFonts w:ascii="Verdana" w:hAnsi="Verdana" w:cs="Arial"/>
          <w:sz w:val="20"/>
          <w:szCs w:val="20"/>
          <w:lang w:val="es-CR"/>
        </w:rPr>
        <w:t xml:space="preserve"> Tomás Grave Morente, Efraín Grave Morente y Natividad Sales Calmo, quienes declararán </w:t>
      </w:r>
      <w:r w:rsidRPr="00076826">
        <w:rPr>
          <w:rFonts w:ascii="Verdana" w:hAnsi="Verdana"/>
          <w:sz w:val="20"/>
          <w:szCs w:val="20"/>
          <w:lang w:val="es-MX"/>
        </w:rPr>
        <w:t>según el objeto y modalidad determinados en la parte resolutiva de esta decisión.</w:t>
      </w:r>
    </w:p>
    <w:p w:rsidR="00292138" w:rsidRPr="00076826" w:rsidRDefault="00292138" w:rsidP="00292138">
      <w:pPr>
        <w:pStyle w:val="Listavistosa-nfasis1"/>
        <w:spacing w:line="240" w:lineRule="auto"/>
        <w:jc w:val="both"/>
        <w:rPr>
          <w:rFonts w:ascii="Verdana" w:eastAsia="Times New Roman" w:hAnsi="Verdana"/>
          <w:color w:val="000000"/>
          <w:sz w:val="20"/>
          <w:szCs w:val="20"/>
          <w:lang w:val="es-CR"/>
        </w:rPr>
      </w:pPr>
    </w:p>
    <w:p w:rsidR="00292138" w:rsidRPr="00076826"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76826">
        <w:rPr>
          <w:rFonts w:ascii="Verdana" w:eastAsia="Times New Roman" w:hAnsi="Verdana"/>
          <w:color w:val="000000"/>
          <w:sz w:val="20"/>
          <w:szCs w:val="20"/>
          <w:lang w:val="es-CR"/>
        </w:rPr>
        <w:t xml:space="preserve">A continuación el Presidente examinará en forma particular: a) </w:t>
      </w:r>
      <w:r>
        <w:rPr>
          <w:rFonts w:ascii="Verdana" w:eastAsia="Times New Roman" w:hAnsi="Verdana"/>
          <w:color w:val="000000"/>
          <w:sz w:val="20"/>
          <w:szCs w:val="20"/>
          <w:lang w:val="es-CR"/>
        </w:rPr>
        <w:t>P</w:t>
      </w:r>
      <w:r w:rsidRPr="00076826">
        <w:rPr>
          <w:rFonts w:ascii="Verdana" w:eastAsia="Times New Roman" w:hAnsi="Verdana"/>
          <w:color w:val="000000"/>
          <w:sz w:val="20"/>
          <w:szCs w:val="20"/>
          <w:lang w:val="es-CR"/>
        </w:rPr>
        <w:t xml:space="preserve">eritaje ofrecido por la Comisión; b) </w:t>
      </w:r>
      <w:r>
        <w:rPr>
          <w:rFonts w:ascii="Verdana" w:eastAsia="Times New Roman" w:hAnsi="Verdana"/>
          <w:color w:val="000000"/>
          <w:sz w:val="20"/>
          <w:szCs w:val="20"/>
          <w:lang w:val="es-CR"/>
        </w:rPr>
        <w:t>A</w:t>
      </w:r>
      <w:r w:rsidRPr="00076826">
        <w:rPr>
          <w:rFonts w:ascii="Verdana" w:eastAsia="Times New Roman" w:hAnsi="Verdana"/>
          <w:color w:val="000000"/>
          <w:sz w:val="20"/>
          <w:szCs w:val="20"/>
          <w:lang w:val="es-CR"/>
        </w:rPr>
        <w:t xml:space="preserve">dmisibilidad del traslado de los peritajes rendidos en el marco de los </w:t>
      </w:r>
      <w:r w:rsidRPr="00B133B2">
        <w:rPr>
          <w:rFonts w:ascii="Verdana" w:eastAsia="Times New Roman" w:hAnsi="Verdana"/>
          <w:i/>
          <w:color w:val="000000"/>
          <w:sz w:val="20"/>
          <w:szCs w:val="20"/>
          <w:lang w:val="es-CR"/>
        </w:rPr>
        <w:t>Casos Miembros de la Aldea Chichupac y Comunidades Vecinas del Municipio de Rabinal Vs. Guatemala y Masacres de Río Negro Vs. Guatemala</w:t>
      </w:r>
      <w:r w:rsidRPr="00076826">
        <w:rPr>
          <w:rFonts w:ascii="Verdana" w:eastAsia="Times New Roman" w:hAnsi="Verdana"/>
          <w:color w:val="000000"/>
          <w:sz w:val="20"/>
          <w:szCs w:val="20"/>
          <w:lang w:val="es-CR"/>
        </w:rPr>
        <w:t xml:space="preserve">, </w:t>
      </w:r>
      <w:r>
        <w:rPr>
          <w:rFonts w:ascii="Verdana" w:eastAsia="Times New Roman" w:hAnsi="Verdana"/>
          <w:color w:val="000000"/>
          <w:sz w:val="20"/>
          <w:szCs w:val="20"/>
          <w:lang w:val="es-CR"/>
        </w:rPr>
        <w:t>c</w:t>
      </w:r>
      <w:r w:rsidRPr="00076826">
        <w:rPr>
          <w:rFonts w:ascii="Verdana" w:eastAsia="Times New Roman" w:hAnsi="Verdana"/>
          <w:color w:val="000000"/>
          <w:sz w:val="20"/>
          <w:szCs w:val="20"/>
          <w:lang w:val="es-CR"/>
        </w:rPr>
        <w:t xml:space="preserve">) </w:t>
      </w:r>
      <w:r>
        <w:rPr>
          <w:rFonts w:ascii="Verdana" w:eastAsia="Times New Roman" w:hAnsi="Verdana"/>
          <w:color w:val="000000"/>
          <w:sz w:val="20"/>
          <w:szCs w:val="20"/>
          <w:lang w:val="es-CR"/>
        </w:rPr>
        <w:t>A</w:t>
      </w:r>
      <w:r w:rsidRPr="00076826">
        <w:rPr>
          <w:rFonts w:ascii="Verdana" w:eastAsia="Times New Roman" w:hAnsi="Verdana"/>
          <w:color w:val="000000"/>
          <w:sz w:val="20"/>
          <w:szCs w:val="20"/>
          <w:lang w:val="es-CR"/>
        </w:rPr>
        <w:t xml:space="preserve">dmisibilidad de declaraciones testimoniales rendidas por medio de declaración jurada de diecisiete personas, y </w:t>
      </w:r>
      <w:r>
        <w:rPr>
          <w:rFonts w:ascii="Verdana" w:eastAsia="Times New Roman" w:hAnsi="Verdana"/>
          <w:color w:val="000000"/>
          <w:sz w:val="20"/>
          <w:szCs w:val="20"/>
          <w:lang w:val="es-CR"/>
        </w:rPr>
        <w:t>d</w:t>
      </w:r>
      <w:r w:rsidRPr="00076826">
        <w:rPr>
          <w:rFonts w:ascii="Verdana" w:eastAsia="Times New Roman" w:hAnsi="Verdana"/>
          <w:color w:val="000000"/>
          <w:sz w:val="20"/>
          <w:szCs w:val="20"/>
          <w:lang w:val="es-CR"/>
        </w:rPr>
        <w:t xml:space="preserve">) </w:t>
      </w:r>
      <w:r>
        <w:rPr>
          <w:rFonts w:ascii="Verdana" w:eastAsia="Times New Roman" w:hAnsi="Verdana"/>
          <w:color w:val="000000"/>
          <w:sz w:val="20"/>
          <w:szCs w:val="20"/>
          <w:lang w:val="es-CR"/>
        </w:rPr>
        <w:t>D</w:t>
      </w:r>
      <w:r w:rsidRPr="00076826">
        <w:rPr>
          <w:rFonts w:ascii="Verdana" w:eastAsia="Times New Roman" w:hAnsi="Verdana"/>
          <w:color w:val="000000"/>
          <w:sz w:val="20"/>
          <w:szCs w:val="20"/>
          <w:lang w:val="es-CR"/>
        </w:rPr>
        <w:t xml:space="preserve">iligencia probatoria solicitada por los representantes de las víctimas. </w:t>
      </w:r>
    </w:p>
    <w:p w:rsidR="00292138" w:rsidRPr="00076826" w:rsidRDefault="00292138" w:rsidP="00292138">
      <w:pPr>
        <w:pStyle w:val="Listavistosa-nfasis1"/>
        <w:spacing w:line="240" w:lineRule="auto"/>
        <w:jc w:val="both"/>
        <w:rPr>
          <w:rFonts w:ascii="Verdana" w:eastAsia="Times New Roman" w:hAnsi="Verdana"/>
          <w:color w:val="000000"/>
          <w:sz w:val="20"/>
          <w:szCs w:val="20"/>
          <w:lang w:val="es-CR"/>
        </w:rPr>
      </w:pPr>
    </w:p>
    <w:p w:rsidR="00292138" w:rsidRPr="00076826" w:rsidRDefault="00292138" w:rsidP="00292138">
      <w:pPr>
        <w:pStyle w:val="Listavistosa-nfasis1"/>
        <w:numPr>
          <w:ilvl w:val="0"/>
          <w:numId w:val="4"/>
        </w:numPr>
        <w:spacing w:line="240" w:lineRule="auto"/>
        <w:jc w:val="both"/>
        <w:rPr>
          <w:rFonts w:ascii="Verdana" w:eastAsia="Times New Roman" w:hAnsi="Verdana"/>
          <w:b/>
          <w:bCs/>
          <w:color w:val="000000"/>
          <w:sz w:val="20"/>
          <w:szCs w:val="20"/>
          <w:lang w:val="es-CR"/>
        </w:rPr>
      </w:pPr>
      <w:r>
        <w:rPr>
          <w:rFonts w:ascii="Verdana" w:eastAsia="Times New Roman" w:hAnsi="Verdana"/>
          <w:b/>
          <w:bCs/>
          <w:color w:val="000000"/>
          <w:sz w:val="20"/>
          <w:szCs w:val="20"/>
          <w:lang w:val="es-CR"/>
        </w:rPr>
        <w:t>P</w:t>
      </w:r>
      <w:r w:rsidRPr="00076826">
        <w:rPr>
          <w:rFonts w:ascii="Verdana" w:eastAsia="Times New Roman" w:hAnsi="Verdana"/>
          <w:b/>
          <w:bCs/>
          <w:color w:val="000000"/>
          <w:sz w:val="20"/>
          <w:szCs w:val="20"/>
          <w:lang w:val="es-CR"/>
        </w:rPr>
        <w:t>eritaje ofrecido por la Comisión</w:t>
      </w:r>
    </w:p>
    <w:p w:rsidR="00292138" w:rsidRPr="00076826" w:rsidRDefault="00292138" w:rsidP="00292138">
      <w:pPr>
        <w:pStyle w:val="Listavistosa-nfasis1"/>
        <w:spacing w:line="240" w:lineRule="auto"/>
        <w:jc w:val="both"/>
        <w:rPr>
          <w:rFonts w:ascii="Verdana" w:eastAsia="Times New Roman" w:hAnsi="Verdana"/>
          <w:color w:val="000000"/>
          <w:sz w:val="20"/>
          <w:szCs w:val="20"/>
          <w:lang w:val="es-CR"/>
        </w:rPr>
      </w:pPr>
    </w:p>
    <w:p w:rsidR="00292138" w:rsidRPr="00076826" w:rsidRDefault="00292138" w:rsidP="00292138">
      <w:pPr>
        <w:pStyle w:val="Listavistosa-nfasis1"/>
        <w:numPr>
          <w:ilvl w:val="0"/>
          <w:numId w:val="2"/>
        </w:numPr>
        <w:spacing w:after="0" w:line="240" w:lineRule="auto"/>
        <w:ind w:left="0" w:firstLine="0"/>
        <w:jc w:val="both"/>
        <w:rPr>
          <w:rFonts w:ascii="Verdana" w:eastAsia="Times New Roman" w:hAnsi="Verdana"/>
          <w:sz w:val="20"/>
          <w:szCs w:val="20"/>
          <w:lang w:val="es-CR"/>
        </w:rPr>
      </w:pPr>
      <w:r w:rsidRPr="00076826">
        <w:rPr>
          <w:rFonts w:ascii="Verdana" w:eastAsia="Times New Roman" w:hAnsi="Verdana"/>
          <w:color w:val="000000"/>
          <w:sz w:val="20"/>
          <w:szCs w:val="20"/>
          <w:lang w:val="es-CR"/>
        </w:rPr>
        <w:t xml:space="preserve">La </w:t>
      </w:r>
      <w:r w:rsidRPr="00076826">
        <w:rPr>
          <w:rFonts w:ascii="Verdana" w:eastAsia="Times New Roman" w:hAnsi="Verdana"/>
          <w:b/>
          <w:bCs/>
          <w:i/>
          <w:iCs/>
          <w:color w:val="000000"/>
          <w:sz w:val="20"/>
          <w:szCs w:val="20"/>
          <w:lang w:val="es-CR"/>
        </w:rPr>
        <w:t xml:space="preserve">Comisión </w:t>
      </w:r>
      <w:r w:rsidRPr="00076826">
        <w:rPr>
          <w:rFonts w:ascii="Verdana" w:eastAsia="Times New Roman" w:hAnsi="Verdana"/>
          <w:color w:val="000000"/>
          <w:sz w:val="20"/>
          <w:szCs w:val="20"/>
          <w:lang w:val="es-CR"/>
        </w:rPr>
        <w:t>ofreció el dictamen pericial de Claudia Samayoa Pineda, para declarar sobre “</w:t>
      </w:r>
      <w:r w:rsidRPr="00076826">
        <w:rPr>
          <w:rFonts w:ascii="Verdana" w:eastAsia="Times New Roman" w:hAnsi="Verdana"/>
          <w:color w:val="111111"/>
          <w:sz w:val="20"/>
          <w:szCs w:val="20"/>
          <w:lang w:val="es-CR"/>
        </w:rPr>
        <w:t xml:space="preserve">la </w:t>
      </w:r>
      <w:r w:rsidRPr="00076826">
        <w:rPr>
          <w:rFonts w:ascii="Verdana" w:eastAsia="Times New Roman" w:hAnsi="Verdana"/>
          <w:color w:val="242424"/>
          <w:sz w:val="20"/>
          <w:szCs w:val="20"/>
          <w:lang w:val="es-CR"/>
        </w:rPr>
        <w:t xml:space="preserve">situación de </w:t>
      </w:r>
      <w:r w:rsidRPr="00076826">
        <w:rPr>
          <w:rFonts w:ascii="Verdana" w:eastAsia="Times New Roman" w:hAnsi="Verdana"/>
          <w:color w:val="111111"/>
          <w:sz w:val="20"/>
          <w:szCs w:val="20"/>
          <w:lang w:val="es-CR"/>
        </w:rPr>
        <w:t xml:space="preserve">discriminación </w:t>
      </w:r>
      <w:r w:rsidRPr="00076826">
        <w:rPr>
          <w:rFonts w:ascii="Verdana" w:eastAsia="Times New Roman" w:hAnsi="Verdana"/>
          <w:color w:val="242424"/>
          <w:sz w:val="20"/>
          <w:szCs w:val="20"/>
          <w:lang w:val="es-CR"/>
        </w:rPr>
        <w:t xml:space="preserve">étnica antes, </w:t>
      </w:r>
      <w:r w:rsidRPr="00076826">
        <w:rPr>
          <w:rFonts w:ascii="Verdana" w:eastAsia="Times New Roman" w:hAnsi="Verdana"/>
          <w:color w:val="111111"/>
          <w:sz w:val="20"/>
          <w:szCs w:val="20"/>
          <w:lang w:val="es-CR"/>
        </w:rPr>
        <w:t xml:space="preserve">durante </w:t>
      </w:r>
      <w:r w:rsidRPr="00076826">
        <w:rPr>
          <w:rFonts w:ascii="Verdana" w:eastAsia="Times New Roman" w:hAnsi="Verdana"/>
          <w:color w:val="242424"/>
          <w:sz w:val="20"/>
          <w:szCs w:val="20"/>
          <w:lang w:val="es-CR"/>
        </w:rPr>
        <w:t xml:space="preserve">y </w:t>
      </w:r>
      <w:r w:rsidRPr="00076826">
        <w:rPr>
          <w:rFonts w:ascii="Verdana" w:eastAsia="Times New Roman" w:hAnsi="Verdana"/>
          <w:color w:val="111111"/>
          <w:sz w:val="20"/>
          <w:szCs w:val="20"/>
          <w:lang w:val="es-CR"/>
        </w:rPr>
        <w:t xml:space="preserve">después del </w:t>
      </w:r>
      <w:r w:rsidRPr="00076826">
        <w:rPr>
          <w:rFonts w:ascii="Verdana" w:eastAsia="Times New Roman" w:hAnsi="Verdana"/>
          <w:color w:val="242424"/>
          <w:sz w:val="20"/>
          <w:szCs w:val="20"/>
          <w:lang w:val="es-CR"/>
        </w:rPr>
        <w:t xml:space="preserve">conflicto armado en </w:t>
      </w:r>
      <w:r w:rsidRPr="00076826">
        <w:rPr>
          <w:rFonts w:ascii="Verdana" w:eastAsia="Times New Roman" w:hAnsi="Verdana"/>
          <w:color w:val="111111"/>
          <w:sz w:val="20"/>
          <w:szCs w:val="20"/>
          <w:lang w:val="es-CR"/>
        </w:rPr>
        <w:t>Guatemala y, particularmente,</w:t>
      </w:r>
      <w:r w:rsidRPr="00076826">
        <w:rPr>
          <w:rFonts w:ascii="Verdana" w:eastAsia="Times New Roman" w:hAnsi="Verdana"/>
          <w:color w:val="242424"/>
          <w:sz w:val="20"/>
          <w:szCs w:val="20"/>
          <w:lang w:val="es-CR"/>
        </w:rPr>
        <w:t xml:space="preserve"> el </w:t>
      </w:r>
      <w:r w:rsidRPr="00076826">
        <w:rPr>
          <w:rFonts w:ascii="Verdana" w:eastAsia="Times New Roman" w:hAnsi="Verdana"/>
          <w:color w:val="111111"/>
          <w:sz w:val="20"/>
          <w:szCs w:val="20"/>
          <w:lang w:val="es-CR"/>
        </w:rPr>
        <w:t xml:space="preserve">impacto del </w:t>
      </w:r>
      <w:r w:rsidRPr="00076826">
        <w:rPr>
          <w:rFonts w:ascii="Verdana" w:eastAsia="Times New Roman" w:hAnsi="Verdana"/>
          <w:color w:val="242424"/>
          <w:sz w:val="20"/>
          <w:szCs w:val="20"/>
          <w:lang w:val="es-CR"/>
        </w:rPr>
        <w:t xml:space="preserve">genocidio sufrido </w:t>
      </w:r>
      <w:r w:rsidRPr="00076826">
        <w:rPr>
          <w:rFonts w:ascii="Verdana" w:eastAsia="Times New Roman" w:hAnsi="Verdana"/>
          <w:color w:val="111111"/>
          <w:sz w:val="20"/>
          <w:szCs w:val="20"/>
          <w:lang w:val="es-CR"/>
        </w:rPr>
        <w:t xml:space="preserve">por </w:t>
      </w:r>
      <w:r w:rsidRPr="00076826">
        <w:rPr>
          <w:rFonts w:ascii="Verdana" w:eastAsia="Times New Roman" w:hAnsi="Verdana"/>
          <w:color w:val="242424"/>
          <w:sz w:val="20"/>
          <w:szCs w:val="20"/>
          <w:lang w:val="es-CR"/>
        </w:rPr>
        <w:t xml:space="preserve">el </w:t>
      </w:r>
      <w:r w:rsidRPr="00076826">
        <w:rPr>
          <w:rFonts w:ascii="Verdana" w:eastAsia="Times New Roman" w:hAnsi="Verdana"/>
          <w:color w:val="111111"/>
          <w:sz w:val="20"/>
          <w:szCs w:val="20"/>
          <w:lang w:val="es-CR"/>
        </w:rPr>
        <w:t xml:space="preserve">pueblo indígena Maya </w:t>
      </w:r>
      <w:r w:rsidRPr="00076826">
        <w:rPr>
          <w:rFonts w:ascii="Verdana" w:eastAsia="Times New Roman" w:hAnsi="Verdana"/>
          <w:color w:val="242424"/>
          <w:sz w:val="20"/>
          <w:szCs w:val="20"/>
          <w:lang w:val="es-CR"/>
        </w:rPr>
        <w:t xml:space="preserve">y explicará </w:t>
      </w:r>
      <w:r w:rsidRPr="00076826">
        <w:rPr>
          <w:rFonts w:ascii="Verdana" w:eastAsia="Times New Roman" w:hAnsi="Verdana"/>
          <w:color w:val="111111"/>
          <w:sz w:val="20"/>
          <w:szCs w:val="20"/>
          <w:lang w:val="es-CR"/>
        </w:rPr>
        <w:t xml:space="preserve">la </w:t>
      </w:r>
      <w:r w:rsidRPr="00076826">
        <w:rPr>
          <w:rFonts w:ascii="Verdana" w:eastAsia="Times New Roman" w:hAnsi="Verdana"/>
          <w:color w:val="242424"/>
          <w:sz w:val="20"/>
          <w:szCs w:val="20"/>
          <w:lang w:val="es-CR"/>
        </w:rPr>
        <w:t xml:space="preserve">situación </w:t>
      </w:r>
      <w:r w:rsidRPr="00076826">
        <w:rPr>
          <w:rFonts w:ascii="Verdana" w:eastAsia="Times New Roman" w:hAnsi="Verdana"/>
          <w:color w:val="111111"/>
          <w:sz w:val="20"/>
          <w:szCs w:val="20"/>
          <w:lang w:val="es-CR"/>
        </w:rPr>
        <w:t xml:space="preserve">de </w:t>
      </w:r>
      <w:r w:rsidRPr="00076826">
        <w:rPr>
          <w:rFonts w:ascii="Verdana" w:eastAsia="Times New Roman" w:hAnsi="Verdana"/>
          <w:color w:val="242424"/>
          <w:sz w:val="20"/>
          <w:szCs w:val="20"/>
          <w:lang w:val="es-CR"/>
        </w:rPr>
        <w:t xml:space="preserve">las </w:t>
      </w:r>
      <w:r w:rsidRPr="00076826">
        <w:rPr>
          <w:rFonts w:ascii="Verdana" w:eastAsia="Times New Roman" w:hAnsi="Verdana"/>
          <w:color w:val="111111"/>
          <w:sz w:val="20"/>
          <w:szCs w:val="20"/>
          <w:lang w:val="es-CR"/>
        </w:rPr>
        <w:t xml:space="preserve">personas, familias </w:t>
      </w:r>
      <w:r w:rsidRPr="00076826">
        <w:rPr>
          <w:rFonts w:ascii="Verdana" w:eastAsia="Times New Roman" w:hAnsi="Verdana"/>
          <w:color w:val="242424"/>
          <w:sz w:val="20"/>
          <w:szCs w:val="20"/>
          <w:lang w:val="es-CR"/>
        </w:rPr>
        <w:t>y</w:t>
      </w:r>
      <w:r w:rsidRPr="00076826">
        <w:rPr>
          <w:rFonts w:ascii="Verdana" w:eastAsia="Times New Roman" w:hAnsi="Verdana"/>
          <w:color w:val="111111"/>
          <w:sz w:val="20"/>
          <w:szCs w:val="20"/>
          <w:lang w:val="es-CR"/>
        </w:rPr>
        <w:t xml:space="preserve"> </w:t>
      </w:r>
      <w:r w:rsidRPr="00076826">
        <w:rPr>
          <w:rFonts w:ascii="Verdana" w:eastAsia="Times New Roman" w:hAnsi="Verdana"/>
          <w:color w:val="242424"/>
          <w:sz w:val="20"/>
          <w:szCs w:val="20"/>
          <w:lang w:val="es-CR"/>
        </w:rPr>
        <w:t xml:space="preserve">comunidades </w:t>
      </w:r>
      <w:r w:rsidRPr="00076826">
        <w:rPr>
          <w:rFonts w:ascii="Verdana" w:eastAsia="Times New Roman" w:hAnsi="Verdana"/>
          <w:color w:val="111111"/>
          <w:sz w:val="20"/>
          <w:szCs w:val="20"/>
          <w:lang w:val="es-CR"/>
        </w:rPr>
        <w:t xml:space="preserve">desplazadas que posteriormente regresaron </w:t>
      </w:r>
      <w:r w:rsidRPr="00076826">
        <w:rPr>
          <w:rFonts w:ascii="Verdana" w:eastAsia="Times New Roman" w:hAnsi="Verdana"/>
          <w:color w:val="242424"/>
          <w:sz w:val="20"/>
          <w:szCs w:val="20"/>
          <w:lang w:val="es-CR"/>
        </w:rPr>
        <w:t xml:space="preserve">a </w:t>
      </w:r>
      <w:r w:rsidRPr="00076826">
        <w:rPr>
          <w:rFonts w:ascii="Verdana" w:eastAsia="Times New Roman" w:hAnsi="Verdana"/>
          <w:color w:val="111111"/>
          <w:sz w:val="20"/>
          <w:szCs w:val="20"/>
          <w:lang w:val="es-CR"/>
        </w:rPr>
        <w:t xml:space="preserve">Guatemala. </w:t>
      </w:r>
      <w:r w:rsidRPr="00076826">
        <w:rPr>
          <w:rFonts w:ascii="Verdana" w:eastAsia="Times New Roman" w:hAnsi="Verdana"/>
          <w:color w:val="242424"/>
          <w:sz w:val="20"/>
          <w:szCs w:val="20"/>
          <w:lang w:val="es-CR"/>
        </w:rPr>
        <w:t xml:space="preserve">Se </w:t>
      </w:r>
      <w:r w:rsidRPr="00076826">
        <w:rPr>
          <w:rFonts w:ascii="Verdana" w:eastAsia="Times New Roman" w:hAnsi="Verdana"/>
          <w:color w:val="111111"/>
          <w:sz w:val="20"/>
          <w:szCs w:val="20"/>
          <w:lang w:val="es-CR"/>
        </w:rPr>
        <w:t xml:space="preserve">referirá, en la medida de lo pertinente, </w:t>
      </w:r>
      <w:r w:rsidRPr="00076826">
        <w:rPr>
          <w:rFonts w:ascii="Verdana" w:eastAsia="Times New Roman" w:hAnsi="Verdana"/>
          <w:color w:val="242424"/>
          <w:sz w:val="20"/>
          <w:szCs w:val="20"/>
          <w:lang w:val="es-CR"/>
        </w:rPr>
        <w:t xml:space="preserve">a </w:t>
      </w:r>
      <w:r w:rsidRPr="00076826">
        <w:rPr>
          <w:rFonts w:ascii="Verdana" w:eastAsia="Times New Roman" w:hAnsi="Verdana"/>
          <w:color w:val="111111"/>
          <w:sz w:val="20"/>
          <w:szCs w:val="20"/>
          <w:lang w:val="es-CR"/>
        </w:rPr>
        <w:t xml:space="preserve">los hechos del </w:t>
      </w:r>
      <w:r w:rsidRPr="00076826">
        <w:rPr>
          <w:rFonts w:ascii="Verdana" w:eastAsia="Times New Roman" w:hAnsi="Verdana"/>
          <w:color w:val="242424"/>
          <w:sz w:val="20"/>
          <w:szCs w:val="20"/>
          <w:lang w:val="es-CR"/>
        </w:rPr>
        <w:t xml:space="preserve">caso a </w:t>
      </w:r>
      <w:r w:rsidRPr="00076826">
        <w:rPr>
          <w:rFonts w:ascii="Verdana" w:eastAsia="Times New Roman" w:hAnsi="Verdana"/>
          <w:color w:val="111111"/>
          <w:sz w:val="20"/>
          <w:szCs w:val="20"/>
          <w:lang w:val="es-CR"/>
        </w:rPr>
        <w:t xml:space="preserve">la luz de los </w:t>
      </w:r>
      <w:r w:rsidRPr="00076826">
        <w:rPr>
          <w:rFonts w:ascii="Verdana" w:eastAsia="Times New Roman" w:hAnsi="Verdana"/>
          <w:color w:val="242424"/>
          <w:sz w:val="20"/>
          <w:szCs w:val="20"/>
          <w:lang w:val="es-CR"/>
        </w:rPr>
        <w:t>estándares desarrollados en el peritaje</w:t>
      </w:r>
      <w:r w:rsidRPr="00076826">
        <w:rPr>
          <w:rFonts w:ascii="Verdana" w:hAnsi="Verdana"/>
          <w:sz w:val="20"/>
          <w:szCs w:val="20"/>
          <w:lang w:val="es-CR"/>
        </w:rPr>
        <w:t>”</w:t>
      </w:r>
      <w:r w:rsidRPr="00076826">
        <w:rPr>
          <w:rFonts w:ascii="Verdana" w:eastAsia="Times New Roman" w:hAnsi="Verdana"/>
          <w:color w:val="242424"/>
          <w:sz w:val="20"/>
          <w:szCs w:val="20"/>
          <w:lang w:val="es-CR"/>
        </w:rPr>
        <w:t>.</w:t>
      </w:r>
      <w:r w:rsidRPr="00076826">
        <w:rPr>
          <w:rFonts w:ascii="Verdana" w:eastAsia="Times New Roman" w:hAnsi="Verdana"/>
          <w:b/>
          <w:bCs/>
          <w:color w:val="242424"/>
          <w:sz w:val="20"/>
          <w:szCs w:val="20"/>
          <w:lang w:val="es-CR"/>
        </w:rPr>
        <w:t xml:space="preserve"> </w:t>
      </w:r>
    </w:p>
    <w:p w:rsidR="00292138" w:rsidRPr="00076826" w:rsidRDefault="00292138" w:rsidP="00292138">
      <w:pPr>
        <w:spacing w:after="0" w:line="240" w:lineRule="auto"/>
        <w:jc w:val="both"/>
        <w:rPr>
          <w:rFonts w:ascii="Verdana" w:eastAsia="Times New Roman" w:hAnsi="Verdana"/>
          <w:color w:val="000000"/>
          <w:sz w:val="20"/>
          <w:szCs w:val="20"/>
          <w:lang w:val="es-CR"/>
        </w:rPr>
      </w:pPr>
    </w:p>
    <w:p w:rsidR="00292138" w:rsidRPr="004A2725" w:rsidRDefault="00292138" w:rsidP="00292138">
      <w:pPr>
        <w:pStyle w:val="Listavistosa-nfasis1"/>
        <w:numPr>
          <w:ilvl w:val="0"/>
          <w:numId w:val="2"/>
        </w:numPr>
        <w:spacing w:after="0" w:line="240" w:lineRule="auto"/>
        <w:ind w:left="0" w:firstLine="0"/>
        <w:jc w:val="both"/>
        <w:rPr>
          <w:rStyle w:val="Textoennegrita"/>
          <w:rFonts w:eastAsia="Times New Roman"/>
          <w:lang w:val="es-CR" w:eastAsia="zh-CN"/>
        </w:rPr>
      </w:pPr>
      <w:r w:rsidRPr="00076826">
        <w:rPr>
          <w:rFonts w:ascii="Verdana" w:eastAsia="Times New Roman" w:hAnsi="Verdana"/>
          <w:bCs/>
          <w:sz w:val="20"/>
          <w:szCs w:val="20"/>
          <w:lang w:val="es-CR"/>
        </w:rPr>
        <w:t xml:space="preserve">Al respecto, la </w:t>
      </w:r>
      <w:r>
        <w:rPr>
          <w:rFonts w:ascii="Verdana" w:eastAsia="Times New Roman" w:hAnsi="Verdana"/>
          <w:bCs/>
          <w:sz w:val="20"/>
          <w:szCs w:val="20"/>
          <w:lang w:val="es-CR"/>
        </w:rPr>
        <w:t>C</w:t>
      </w:r>
      <w:r w:rsidRPr="00076826">
        <w:rPr>
          <w:rFonts w:ascii="Verdana" w:eastAsia="Times New Roman" w:hAnsi="Verdana"/>
          <w:bCs/>
          <w:sz w:val="20"/>
          <w:szCs w:val="20"/>
          <w:lang w:val="es-CR"/>
        </w:rPr>
        <w:t>omisión destacó que el presente caso involucraba cuestiones de orden público interamericano</w:t>
      </w:r>
      <w:r>
        <w:rPr>
          <w:rFonts w:ascii="Verdana" w:eastAsia="Times New Roman" w:hAnsi="Verdana"/>
          <w:bCs/>
          <w:sz w:val="20"/>
          <w:szCs w:val="20"/>
          <w:lang w:val="es-CR"/>
        </w:rPr>
        <w:t xml:space="preserve">, ya que </w:t>
      </w:r>
      <w:r w:rsidRPr="00076826">
        <w:rPr>
          <w:rFonts w:ascii="Verdana" w:hAnsi="Verdana" w:cs="Arial"/>
          <w:sz w:val="20"/>
          <w:szCs w:val="20"/>
          <w:lang w:val="es-CR"/>
        </w:rPr>
        <w:t xml:space="preserve">el presente caso </w:t>
      </w:r>
      <w:r>
        <w:rPr>
          <w:rFonts w:ascii="Verdana" w:hAnsi="Verdana" w:cs="Arial"/>
          <w:sz w:val="20"/>
          <w:szCs w:val="20"/>
          <w:lang w:val="es-CR"/>
        </w:rPr>
        <w:t>“</w:t>
      </w:r>
      <w:r w:rsidRPr="00076826">
        <w:rPr>
          <w:rFonts w:ascii="Verdana" w:hAnsi="Verdana" w:cs="Arial"/>
          <w:sz w:val="20"/>
          <w:szCs w:val="20"/>
          <w:lang w:val="es-CR"/>
        </w:rPr>
        <w:t>constituye un reflejo de la situación que vivieron familias indígenas desplazadas como consecuencia del conflicto armado, al regresar a Guatemala. Específicamente, la masacre cometida en el presente caso es una expresión más de los efectos del genocidio contra el pueblo indígena Maya durante el conflicto armado, así como de la continuidad de la discriminación étnica subyacente a dicha situación</w:t>
      </w:r>
      <w:r w:rsidRPr="00076826">
        <w:rPr>
          <w:rFonts w:ascii="Verdana" w:hAnsi="Verdana"/>
          <w:sz w:val="20"/>
          <w:szCs w:val="20"/>
          <w:lang w:val="es-CR"/>
        </w:rPr>
        <w:t>”</w:t>
      </w:r>
      <w:r w:rsidRPr="00B133B2">
        <w:rPr>
          <w:rFonts w:ascii="Verdana" w:hAnsi="Verdana" w:cs="Arial"/>
          <w:sz w:val="20"/>
          <w:szCs w:val="20"/>
          <w:lang w:val="es-CR"/>
        </w:rPr>
        <w:t>.</w:t>
      </w:r>
      <w:r w:rsidRPr="00076826">
        <w:rPr>
          <w:rFonts w:ascii="Verdana" w:hAnsi="Verdana" w:cs="Arial"/>
          <w:b/>
          <w:sz w:val="20"/>
          <w:szCs w:val="20"/>
          <w:lang w:val="es-CR"/>
        </w:rPr>
        <w:t xml:space="preserve">  </w:t>
      </w:r>
    </w:p>
    <w:p w:rsidR="00292138" w:rsidRPr="00076826" w:rsidRDefault="00292138" w:rsidP="00292138">
      <w:pPr>
        <w:pStyle w:val="Listavistosa-nfasis1"/>
        <w:spacing w:line="240" w:lineRule="auto"/>
        <w:jc w:val="both"/>
        <w:rPr>
          <w:rFonts w:ascii="Verdana" w:eastAsia="Times New Roman" w:hAnsi="Verdana"/>
          <w:b/>
          <w:sz w:val="20"/>
          <w:szCs w:val="20"/>
          <w:lang w:val="es-CR"/>
        </w:rPr>
      </w:pPr>
    </w:p>
    <w:p w:rsidR="00292138" w:rsidRPr="00076826"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76826">
        <w:rPr>
          <w:rFonts w:ascii="Verdana" w:eastAsia="Times New Roman" w:hAnsi="Verdana"/>
          <w:color w:val="000000"/>
          <w:sz w:val="20"/>
          <w:szCs w:val="20"/>
          <w:lang w:val="es-CR"/>
        </w:rPr>
        <w:t xml:space="preserve">En cuanto al peritaje ofrecido por la Comisión, el </w:t>
      </w:r>
      <w:r w:rsidRPr="00B065E1">
        <w:rPr>
          <w:rFonts w:ascii="Verdana" w:eastAsia="Times New Roman" w:hAnsi="Verdana"/>
          <w:b/>
          <w:i/>
          <w:color w:val="000000"/>
          <w:sz w:val="20"/>
          <w:szCs w:val="20"/>
          <w:lang w:val="es-CR"/>
        </w:rPr>
        <w:t>Estado</w:t>
      </w:r>
      <w:r w:rsidRPr="00076826">
        <w:rPr>
          <w:rFonts w:ascii="Verdana" w:eastAsia="Times New Roman" w:hAnsi="Verdana"/>
          <w:color w:val="000000"/>
          <w:sz w:val="20"/>
          <w:szCs w:val="20"/>
          <w:lang w:val="es-CR"/>
        </w:rPr>
        <w:t xml:space="preserve"> señaló que</w:t>
      </w:r>
      <w:r w:rsidRPr="00076826">
        <w:rPr>
          <w:rFonts w:ascii="Verdana" w:hAnsi="Verdana" w:cs="Arial"/>
          <w:color w:val="222222"/>
          <w:sz w:val="20"/>
          <w:szCs w:val="20"/>
          <w:shd w:val="clear" w:color="auto" w:fill="FFFFFF"/>
          <w:lang w:val="es-MX"/>
        </w:rPr>
        <w:t>:</w:t>
      </w:r>
      <w:r w:rsidRPr="00076826">
        <w:rPr>
          <w:rFonts w:ascii="Verdana" w:eastAsia="Times New Roman" w:hAnsi="Verdana"/>
          <w:color w:val="000000"/>
          <w:sz w:val="20"/>
          <w:szCs w:val="20"/>
          <w:lang w:val="es-CR"/>
        </w:rPr>
        <w:t xml:space="preserve">  </w:t>
      </w:r>
    </w:p>
    <w:p w:rsidR="00292138" w:rsidRPr="00B133B2" w:rsidRDefault="00292138" w:rsidP="00292138">
      <w:pPr>
        <w:pStyle w:val="Listavistosa-nfasis1"/>
        <w:spacing w:after="0" w:line="240" w:lineRule="auto"/>
        <w:ind w:left="0" w:right="450"/>
        <w:jc w:val="both"/>
        <w:rPr>
          <w:rFonts w:ascii="Verdana" w:eastAsia="Times New Roman" w:hAnsi="Verdana"/>
          <w:color w:val="000000"/>
          <w:sz w:val="16"/>
          <w:szCs w:val="16"/>
          <w:highlight w:val="yellow"/>
          <w:lang w:val="es-CR"/>
        </w:rPr>
      </w:pPr>
    </w:p>
    <w:p w:rsidR="00292138" w:rsidRDefault="00292138" w:rsidP="00292138">
      <w:pPr>
        <w:pStyle w:val="Listavistosa-nfasis1"/>
        <w:autoSpaceDE w:val="0"/>
        <w:autoSpaceDN w:val="0"/>
        <w:adjustRightInd w:val="0"/>
        <w:spacing w:after="0" w:line="240" w:lineRule="auto"/>
        <w:ind w:right="450"/>
        <w:jc w:val="both"/>
        <w:rPr>
          <w:rFonts w:ascii="Verdana" w:eastAsia="Times New Roman" w:hAnsi="Verdana"/>
          <w:color w:val="000000"/>
          <w:sz w:val="16"/>
          <w:szCs w:val="16"/>
          <w:lang w:val="es-CR"/>
        </w:rPr>
      </w:pPr>
      <w:proofErr w:type="gramStart"/>
      <w:r w:rsidRPr="00B133B2">
        <w:rPr>
          <w:rFonts w:ascii="Verdana" w:hAnsi="Verdana" w:cs="Cambria"/>
          <w:sz w:val="16"/>
          <w:szCs w:val="16"/>
          <w:lang w:val="es-MX"/>
        </w:rPr>
        <w:t>se</w:t>
      </w:r>
      <w:proofErr w:type="gramEnd"/>
      <w:r w:rsidRPr="00B133B2">
        <w:rPr>
          <w:rFonts w:ascii="Verdana" w:hAnsi="Verdana" w:cs="Cambria"/>
          <w:sz w:val="16"/>
          <w:szCs w:val="16"/>
          <w:lang w:val="es-MX"/>
        </w:rPr>
        <w:t xml:space="preserve"> opone al mismo, puesto que los hechos que fueron sometidos al conocimiento contencioso de la Corte IDH y que fueron delimitados en el informe de fondo de la CIDH</w:t>
      </w:r>
      <w:r>
        <w:rPr>
          <w:rFonts w:ascii="Verdana" w:hAnsi="Verdana" w:cs="Cambria"/>
          <w:sz w:val="16"/>
          <w:szCs w:val="16"/>
          <w:lang w:val="es-MX"/>
        </w:rPr>
        <w:t xml:space="preserve"> </w:t>
      </w:r>
      <w:r w:rsidRPr="0073686F">
        <w:rPr>
          <w:rFonts w:ascii="Verdana" w:hAnsi="Verdana" w:cs="Cambria"/>
          <w:sz w:val="16"/>
          <w:szCs w:val="16"/>
          <w:lang w:val="es-MX"/>
        </w:rPr>
        <w:t>[…] se</w:t>
      </w:r>
      <w:r w:rsidRPr="00B133B2">
        <w:rPr>
          <w:rFonts w:ascii="Verdana" w:hAnsi="Verdana" w:cs="Cambria"/>
          <w:sz w:val="16"/>
          <w:szCs w:val="16"/>
          <w:lang w:val="es-MX"/>
        </w:rPr>
        <w:t xml:space="preserve"> circunscriben a la forma en la que se desarrollaron los hechos del presente caso, por lo que el peritaje excede de esos hechos al referirse al posible impacto del genocidio sufrido por el pueblo indígena Maya. Por lo tanto, de ser aceptado por la Corte, ésta deberá delimitar las circunstancias sobre las cuales versará el </w:t>
      </w:r>
      <w:r w:rsidRPr="00B133B2">
        <w:rPr>
          <w:rFonts w:ascii="Verdana" w:hAnsi="Verdana" w:cs="Cambria"/>
          <w:sz w:val="16"/>
          <w:szCs w:val="16"/>
          <w:lang w:val="es-MX"/>
        </w:rPr>
        <w:lastRenderedPageBreak/>
        <w:t>mismo, conforme a los hechos sometidos a su conocimiento para determinar la posible responsabilidad internacional del Estado.</w:t>
      </w:r>
      <w:r w:rsidRPr="00B133B2">
        <w:rPr>
          <w:rFonts w:ascii="Verdana" w:eastAsia="Times New Roman" w:hAnsi="Verdana"/>
          <w:color w:val="000000"/>
          <w:sz w:val="16"/>
          <w:szCs w:val="16"/>
          <w:lang w:val="es-CR"/>
        </w:rPr>
        <w:t xml:space="preserve"> </w:t>
      </w:r>
    </w:p>
    <w:p w:rsidR="00292138" w:rsidRPr="00D73BE1" w:rsidRDefault="00292138" w:rsidP="00292138">
      <w:pPr>
        <w:pStyle w:val="Listavistosa-nfasis1"/>
        <w:autoSpaceDE w:val="0"/>
        <w:autoSpaceDN w:val="0"/>
        <w:adjustRightInd w:val="0"/>
        <w:spacing w:after="0" w:line="240" w:lineRule="auto"/>
        <w:ind w:right="450"/>
        <w:jc w:val="both"/>
        <w:rPr>
          <w:rFonts w:ascii="Verdana" w:eastAsia="Times New Roman" w:hAnsi="Verdana"/>
          <w:color w:val="000000"/>
          <w:sz w:val="20"/>
          <w:szCs w:val="20"/>
          <w:lang w:val="es-CR"/>
        </w:rPr>
      </w:pPr>
    </w:p>
    <w:p w:rsidR="00292138" w:rsidRPr="00D73BE1" w:rsidRDefault="00292138" w:rsidP="00292138">
      <w:pPr>
        <w:pStyle w:val="Listavistosa-nfasis1"/>
        <w:autoSpaceDE w:val="0"/>
        <w:autoSpaceDN w:val="0"/>
        <w:adjustRightInd w:val="0"/>
        <w:spacing w:after="0" w:line="240" w:lineRule="auto"/>
        <w:ind w:left="0"/>
        <w:jc w:val="both"/>
        <w:rPr>
          <w:rFonts w:ascii="Verdana" w:hAnsi="Verdana" w:cs="Cambria"/>
          <w:sz w:val="20"/>
          <w:szCs w:val="20"/>
          <w:lang w:val="es-MX"/>
        </w:rPr>
      </w:pPr>
      <w:r>
        <w:rPr>
          <w:rFonts w:ascii="Verdana" w:eastAsia="Times New Roman" w:hAnsi="Verdana"/>
          <w:color w:val="000000"/>
          <w:sz w:val="20"/>
          <w:szCs w:val="20"/>
          <w:lang w:val="es-CR"/>
        </w:rPr>
        <w:t>Además objetó que el objeto de la perita incluye el supuesto de “discriminación étnica antes, durante y después del conflicto armado en Guatemala”, lo que advierte que su intervención no procura ilustrar sobre aspectos generales en el ámbito internacional de los Derechos Humanos, que de alguna manera pueda coadyuvar o fortalecer el criterio de [la] Corte especialmente en cuanto estándares del peritaje.</w:t>
      </w:r>
    </w:p>
    <w:p w:rsidR="00292138" w:rsidRPr="00076826" w:rsidRDefault="00292138" w:rsidP="00292138">
      <w:pPr>
        <w:pStyle w:val="Listavistosa-nfasis1"/>
        <w:autoSpaceDE w:val="0"/>
        <w:autoSpaceDN w:val="0"/>
        <w:adjustRightInd w:val="0"/>
        <w:spacing w:after="0" w:line="240" w:lineRule="auto"/>
        <w:ind w:right="1440"/>
        <w:jc w:val="both"/>
        <w:rPr>
          <w:rFonts w:ascii="Verdana" w:hAnsi="Verdana" w:cs="Cambria"/>
          <w:sz w:val="20"/>
          <w:szCs w:val="20"/>
          <w:lang w:val="es-MX"/>
        </w:rPr>
      </w:pPr>
    </w:p>
    <w:p w:rsidR="00292138" w:rsidRPr="00690A2D" w:rsidRDefault="00292138" w:rsidP="00292138">
      <w:pPr>
        <w:pStyle w:val="Listavistosa-nfasis1"/>
        <w:numPr>
          <w:ilvl w:val="0"/>
          <w:numId w:val="2"/>
        </w:numPr>
        <w:spacing w:after="0" w:line="240" w:lineRule="auto"/>
        <w:ind w:left="0" w:firstLine="0"/>
        <w:jc w:val="both"/>
        <w:rPr>
          <w:rFonts w:ascii="Verdana" w:eastAsia="Times New Roman" w:hAnsi="Verdana"/>
          <w:b/>
          <w:bCs/>
          <w:sz w:val="20"/>
          <w:szCs w:val="20"/>
          <w:lang w:val="es-CR"/>
        </w:rPr>
      </w:pPr>
      <w:r w:rsidRPr="00690A2D">
        <w:rPr>
          <w:rFonts w:ascii="Verdana" w:hAnsi="Verdana"/>
          <w:sz w:val="20"/>
          <w:szCs w:val="20"/>
          <w:lang w:val="es-MX"/>
        </w:rPr>
        <w:t>La Presidencia recuerda que, de acuerdo con lo establecido en el artículo 35.1.f del Reglamento, la “eventual designación de peritos” podrá ser efectuada por la Comisión Interamericana “cuando se afecte de manera relevante el orden público interamericano de derechos humanos”, cuyo fundamento y objeto tienen que ser adecuadamente sustentados por la Comisión.</w:t>
      </w:r>
      <w:r w:rsidRPr="00690A2D">
        <w:rPr>
          <w:rFonts w:ascii="Verdana" w:hAnsi="Verdana"/>
          <w:strike/>
          <w:sz w:val="20"/>
          <w:szCs w:val="20"/>
          <w:lang w:val="es-MX"/>
        </w:rPr>
        <w:t xml:space="preserve"> </w:t>
      </w:r>
    </w:p>
    <w:p w:rsidR="00690A2D" w:rsidRPr="00690A2D" w:rsidRDefault="00690A2D" w:rsidP="00690A2D">
      <w:pPr>
        <w:pStyle w:val="Listavistosa-nfasis1"/>
        <w:spacing w:after="0" w:line="240" w:lineRule="auto"/>
        <w:ind w:left="0"/>
        <w:jc w:val="both"/>
        <w:rPr>
          <w:rFonts w:ascii="Verdana" w:eastAsia="Times New Roman" w:hAnsi="Verdana"/>
          <w:b/>
          <w:bCs/>
          <w:sz w:val="20"/>
          <w:szCs w:val="20"/>
          <w:lang w:val="es-CR"/>
        </w:rPr>
      </w:pPr>
    </w:p>
    <w:p w:rsidR="00292138" w:rsidRPr="00F100C2" w:rsidRDefault="00292138" w:rsidP="00292138">
      <w:pPr>
        <w:pStyle w:val="Listavistosa-nfasis1"/>
        <w:numPr>
          <w:ilvl w:val="0"/>
          <w:numId w:val="2"/>
        </w:numPr>
        <w:spacing w:after="0" w:line="240" w:lineRule="auto"/>
        <w:ind w:left="0" w:firstLine="0"/>
        <w:jc w:val="both"/>
        <w:rPr>
          <w:rFonts w:ascii="Verdana" w:eastAsia="Times New Roman" w:hAnsi="Verdana"/>
          <w:bCs/>
          <w:strike/>
          <w:color w:val="242424"/>
          <w:sz w:val="20"/>
          <w:szCs w:val="20"/>
          <w:lang w:val="es-CR"/>
        </w:rPr>
      </w:pPr>
      <w:r w:rsidRPr="00F100C2">
        <w:rPr>
          <w:rFonts w:ascii="Verdana" w:eastAsia="Times New Roman" w:hAnsi="Verdana"/>
          <w:bCs/>
          <w:color w:val="242424"/>
          <w:sz w:val="20"/>
          <w:szCs w:val="20"/>
          <w:lang w:val="es-CR"/>
        </w:rPr>
        <w:t>Es</w:t>
      </w:r>
      <w:r w:rsidR="00BC6110" w:rsidRPr="00F100C2">
        <w:rPr>
          <w:rFonts w:ascii="Verdana" w:eastAsia="Times New Roman" w:hAnsi="Verdana"/>
          <w:bCs/>
          <w:color w:val="242424"/>
          <w:sz w:val="20"/>
          <w:szCs w:val="20"/>
          <w:lang w:val="es-CR"/>
        </w:rPr>
        <w:t xml:space="preserve">ta Presidencia nota que el </w:t>
      </w:r>
      <w:r w:rsidRPr="00F100C2">
        <w:rPr>
          <w:rFonts w:ascii="Verdana" w:eastAsia="Times New Roman" w:hAnsi="Verdana"/>
          <w:bCs/>
          <w:color w:val="242424"/>
          <w:sz w:val="20"/>
          <w:szCs w:val="20"/>
          <w:lang w:val="es-CR"/>
        </w:rPr>
        <w:t xml:space="preserve">peritaje de la señora Claudia Samayoa Pineda </w:t>
      </w:r>
      <w:r w:rsidR="00BC6110" w:rsidRPr="00F100C2">
        <w:rPr>
          <w:rFonts w:ascii="Verdana" w:eastAsia="Times New Roman" w:hAnsi="Verdana"/>
          <w:bCs/>
          <w:color w:val="242424"/>
          <w:sz w:val="20"/>
          <w:szCs w:val="20"/>
          <w:lang w:val="es-CR"/>
        </w:rPr>
        <w:t>en varios aspectos es relevante</w:t>
      </w:r>
      <w:r w:rsidR="009E31D8" w:rsidRPr="00F100C2">
        <w:rPr>
          <w:rFonts w:ascii="Verdana" w:eastAsia="Times New Roman" w:hAnsi="Verdana"/>
          <w:bCs/>
          <w:color w:val="242424"/>
          <w:sz w:val="20"/>
          <w:szCs w:val="20"/>
          <w:lang w:val="es-CR"/>
        </w:rPr>
        <w:t xml:space="preserve"> para </w:t>
      </w:r>
      <w:r w:rsidR="00690A2D" w:rsidRPr="00F100C2">
        <w:rPr>
          <w:rFonts w:ascii="Verdana" w:eastAsia="Times New Roman" w:hAnsi="Verdana"/>
          <w:bCs/>
          <w:color w:val="242424"/>
          <w:sz w:val="20"/>
          <w:szCs w:val="20"/>
          <w:lang w:val="es-CR"/>
        </w:rPr>
        <w:t xml:space="preserve">el análisis de las violaciones alegadas </w:t>
      </w:r>
      <w:r w:rsidR="00BC6110" w:rsidRPr="00F100C2">
        <w:rPr>
          <w:rFonts w:ascii="Verdana" w:eastAsia="Times New Roman" w:hAnsi="Verdana"/>
          <w:bCs/>
          <w:color w:val="242424"/>
          <w:sz w:val="20"/>
          <w:szCs w:val="20"/>
          <w:lang w:val="es-CR"/>
        </w:rPr>
        <w:t>y puede tener impacto sobre situaciones que se presentan en otros casos</w:t>
      </w:r>
      <w:r w:rsidR="00690A2D" w:rsidRPr="00F100C2">
        <w:rPr>
          <w:rFonts w:ascii="Verdana" w:eastAsia="Times New Roman" w:hAnsi="Verdana"/>
          <w:bCs/>
          <w:color w:val="242424"/>
          <w:sz w:val="20"/>
          <w:szCs w:val="20"/>
          <w:lang w:val="es-CR"/>
        </w:rPr>
        <w:t xml:space="preserve"> relacionados con el desplazamiento y la discriminación de pueblos indígenas en el marco de conflictos armados</w:t>
      </w:r>
      <w:r w:rsidR="00BC6110" w:rsidRPr="00F100C2">
        <w:rPr>
          <w:rFonts w:ascii="Verdana" w:eastAsia="Times New Roman" w:hAnsi="Verdana"/>
          <w:bCs/>
          <w:color w:val="242424"/>
          <w:sz w:val="20"/>
          <w:szCs w:val="20"/>
          <w:lang w:val="es-CR"/>
        </w:rPr>
        <w:t>. Adicionalmente, recuerda que el Tribunal usualmente admite peritajes sobre estándares internacionales relativos a diversos temas de derechos humanos, lo cual no resulta en modo alguno objetable. De esta manera</w:t>
      </w:r>
      <w:r w:rsidR="009C1A18" w:rsidRPr="00F100C2">
        <w:rPr>
          <w:rFonts w:ascii="Verdana" w:eastAsia="Times New Roman" w:hAnsi="Verdana"/>
          <w:bCs/>
          <w:color w:val="242424"/>
          <w:sz w:val="20"/>
          <w:szCs w:val="20"/>
          <w:lang w:val="es-CR"/>
        </w:rPr>
        <w:t>,</w:t>
      </w:r>
      <w:r w:rsidR="00BC6110" w:rsidRPr="00F100C2">
        <w:rPr>
          <w:rFonts w:ascii="Verdana" w:eastAsia="Times New Roman" w:hAnsi="Verdana"/>
          <w:bCs/>
          <w:color w:val="242424"/>
          <w:sz w:val="20"/>
          <w:szCs w:val="20"/>
          <w:lang w:val="es-CR"/>
        </w:rPr>
        <w:t xml:space="preserve"> esta Presidencia admite el peritaje propuesto y anuncia que delimitará su objeto</w:t>
      </w:r>
      <w:r w:rsidR="009C1A18" w:rsidRPr="00F100C2">
        <w:rPr>
          <w:rFonts w:ascii="Verdana" w:eastAsia="Times New Roman" w:hAnsi="Verdana"/>
          <w:bCs/>
          <w:color w:val="242424"/>
          <w:sz w:val="20"/>
          <w:szCs w:val="20"/>
          <w:lang w:val="es-CR"/>
        </w:rPr>
        <w:t xml:space="preserve"> y modalidad</w:t>
      </w:r>
      <w:r w:rsidR="00BC6110" w:rsidRPr="00F100C2">
        <w:rPr>
          <w:rFonts w:ascii="Verdana" w:eastAsia="Times New Roman" w:hAnsi="Verdana"/>
          <w:bCs/>
          <w:color w:val="242424"/>
          <w:sz w:val="20"/>
          <w:szCs w:val="20"/>
          <w:lang w:val="es-CR"/>
        </w:rPr>
        <w:t xml:space="preserve"> en la parte resolutiva de esta Resolución</w:t>
      </w:r>
      <w:r w:rsidR="00E75658" w:rsidRPr="00F100C2">
        <w:rPr>
          <w:rFonts w:ascii="Verdana" w:eastAsia="Times New Roman" w:hAnsi="Verdana"/>
          <w:bCs/>
          <w:color w:val="242424"/>
          <w:sz w:val="20"/>
          <w:szCs w:val="20"/>
          <w:lang w:val="es-CR"/>
        </w:rPr>
        <w:t>.</w:t>
      </w:r>
    </w:p>
    <w:p w:rsidR="00E75658" w:rsidRPr="00E75658" w:rsidRDefault="00E75658" w:rsidP="00E75658">
      <w:pPr>
        <w:pStyle w:val="Listavistosa-nfasis1"/>
        <w:spacing w:after="0" w:line="240" w:lineRule="auto"/>
        <w:ind w:left="0"/>
        <w:jc w:val="both"/>
        <w:rPr>
          <w:rFonts w:ascii="Verdana" w:eastAsia="Times New Roman" w:hAnsi="Verdana"/>
          <w:b/>
          <w:bCs/>
          <w:strike/>
          <w:color w:val="242424"/>
          <w:sz w:val="20"/>
          <w:szCs w:val="20"/>
          <w:lang w:val="es-CR"/>
        </w:rPr>
      </w:pPr>
    </w:p>
    <w:p w:rsidR="00292138" w:rsidRPr="00076826" w:rsidRDefault="00292138" w:rsidP="00292138">
      <w:pPr>
        <w:pStyle w:val="Listavistosa-nfasis1"/>
        <w:numPr>
          <w:ilvl w:val="0"/>
          <w:numId w:val="4"/>
        </w:numPr>
        <w:spacing w:after="0" w:line="240" w:lineRule="auto"/>
        <w:jc w:val="both"/>
        <w:rPr>
          <w:rFonts w:ascii="Verdana" w:eastAsia="Times New Roman" w:hAnsi="Verdana"/>
          <w:b/>
          <w:bCs/>
          <w:strike/>
          <w:color w:val="242424"/>
          <w:sz w:val="20"/>
          <w:szCs w:val="20"/>
          <w:lang w:val="es-CR"/>
        </w:rPr>
      </w:pPr>
      <w:r w:rsidRPr="00076826">
        <w:rPr>
          <w:rFonts w:ascii="Verdana" w:eastAsia="Times New Roman" w:hAnsi="Verdana"/>
          <w:b/>
          <w:color w:val="000000"/>
          <w:sz w:val="20"/>
          <w:szCs w:val="20"/>
          <w:lang w:val="es-CR"/>
        </w:rPr>
        <w:t xml:space="preserve">Admisibilidad del traslado de los peritajes rendidos en el marco de los </w:t>
      </w:r>
      <w:r>
        <w:rPr>
          <w:rFonts w:ascii="Verdana" w:eastAsia="Times New Roman" w:hAnsi="Verdana"/>
          <w:b/>
          <w:i/>
          <w:color w:val="000000"/>
          <w:sz w:val="20"/>
          <w:szCs w:val="20"/>
          <w:lang w:val="es-CR"/>
        </w:rPr>
        <w:t>c</w:t>
      </w:r>
      <w:r w:rsidRPr="00B133B2">
        <w:rPr>
          <w:rFonts w:ascii="Verdana" w:eastAsia="Times New Roman" w:hAnsi="Verdana"/>
          <w:b/>
          <w:i/>
          <w:color w:val="000000"/>
          <w:sz w:val="20"/>
          <w:szCs w:val="20"/>
          <w:lang w:val="es-CR"/>
        </w:rPr>
        <w:t>asos Miembros de la Aldea Chichupac y Comunidades Vecinas del Municipio de Rabinal Vs. Guatemala</w:t>
      </w:r>
      <w:r w:rsidRPr="00076826">
        <w:rPr>
          <w:rFonts w:ascii="Verdana" w:eastAsia="Times New Roman" w:hAnsi="Verdana"/>
          <w:b/>
          <w:color w:val="000000"/>
          <w:sz w:val="20"/>
          <w:szCs w:val="20"/>
          <w:lang w:val="es-CR"/>
        </w:rPr>
        <w:t xml:space="preserve"> y </w:t>
      </w:r>
      <w:r w:rsidRPr="00B133B2">
        <w:rPr>
          <w:rFonts w:ascii="Verdana" w:eastAsia="Times New Roman" w:hAnsi="Verdana"/>
          <w:b/>
          <w:i/>
          <w:color w:val="000000"/>
          <w:sz w:val="20"/>
          <w:szCs w:val="20"/>
          <w:lang w:val="es-CR"/>
        </w:rPr>
        <w:t>caso Masacres de Río Negro Vs. Guatemala</w:t>
      </w:r>
    </w:p>
    <w:p w:rsidR="00292138" w:rsidRPr="00076826" w:rsidRDefault="00292138" w:rsidP="00292138">
      <w:pPr>
        <w:pStyle w:val="Listavistosa-nfasis1"/>
        <w:spacing w:after="0" w:line="240" w:lineRule="auto"/>
        <w:ind w:left="1080"/>
        <w:jc w:val="both"/>
        <w:rPr>
          <w:rFonts w:ascii="Verdana" w:eastAsia="Times New Roman" w:hAnsi="Verdana"/>
          <w:b/>
          <w:bCs/>
          <w:strike/>
          <w:color w:val="242424"/>
          <w:sz w:val="20"/>
          <w:szCs w:val="20"/>
          <w:lang w:val="es-CR"/>
        </w:rPr>
      </w:pPr>
    </w:p>
    <w:p w:rsidR="00292138" w:rsidRPr="000C41A3" w:rsidRDefault="00292138" w:rsidP="00292138">
      <w:pPr>
        <w:pStyle w:val="Listavistosa-nfasis1"/>
        <w:numPr>
          <w:ilvl w:val="0"/>
          <w:numId w:val="2"/>
        </w:numPr>
        <w:spacing w:after="0" w:line="240" w:lineRule="auto"/>
        <w:ind w:left="0" w:firstLine="0"/>
        <w:jc w:val="both"/>
        <w:rPr>
          <w:rFonts w:ascii="Verdana" w:eastAsia="Times New Roman" w:hAnsi="Verdana"/>
          <w:color w:val="000000"/>
          <w:sz w:val="20"/>
          <w:szCs w:val="20"/>
          <w:lang w:val="es-CR"/>
        </w:rPr>
      </w:pPr>
      <w:r w:rsidRPr="000C41A3">
        <w:rPr>
          <w:rFonts w:ascii="Verdana" w:eastAsia="Times New Roman" w:hAnsi="Verdana"/>
          <w:color w:val="000000"/>
          <w:sz w:val="20"/>
          <w:szCs w:val="20"/>
          <w:lang w:val="es-CR"/>
        </w:rPr>
        <w:t>La Comisión solicitó la incorporación al presente proceso de los siguientes peritajes: a</w:t>
      </w:r>
      <w:r w:rsidRPr="000C41A3">
        <w:rPr>
          <w:rFonts w:ascii="Verdana" w:hAnsi="Verdana" w:cs="Arial"/>
          <w:color w:val="222222"/>
          <w:sz w:val="20"/>
          <w:szCs w:val="20"/>
          <w:shd w:val="clear" w:color="auto" w:fill="FFFFFF"/>
          <w:lang w:val="es-MX"/>
        </w:rPr>
        <w:t xml:space="preserve">) </w:t>
      </w:r>
      <w:r w:rsidRPr="000C41A3">
        <w:rPr>
          <w:rFonts w:ascii="Verdana" w:eastAsia="Times New Roman" w:hAnsi="Verdana"/>
          <w:color w:val="000000"/>
          <w:sz w:val="20"/>
          <w:szCs w:val="20"/>
          <w:lang w:val="es-CR"/>
        </w:rPr>
        <w:t>Alejandro Rodríguez</w:t>
      </w:r>
      <w:r w:rsidRPr="000C41A3">
        <w:rPr>
          <w:rStyle w:val="Refdenotaalpie"/>
          <w:rFonts w:ascii="Verdana" w:hAnsi="Verdana" w:cs="Arial"/>
          <w:color w:val="545454"/>
          <w:sz w:val="20"/>
          <w:szCs w:val="20"/>
          <w:shd w:val="clear" w:color="auto" w:fill="FFFFFF"/>
          <w:lang w:val="es-MX"/>
        </w:rPr>
        <w:footnoteReference w:id="2"/>
      </w:r>
      <w:r w:rsidRPr="000C41A3">
        <w:rPr>
          <w:rFonts w:ascii="Verdana" w:hAnsi="Verdana" w:cs="Arial"/>
          <w:color w:val="545454"/>
          <w:sz w:val="20"/>
          <w:szCs w:val="20"/>
          <w:shd w:val="clear" w:color="auto" w:fill="FFFFFF"/>
          <w:lang w:val="es-MX"/>
        </w:rPr>
        <w:t> y</w:t>
      </w:r>
      <w:r w:rsidRPr="000C41A3">
        <w:rPr>
          <w:rFonts w:ascii="Verdana" w:eastAsia="Times New Roman" w:hAnsi="Verdana"/>
          <w:color w:val="000000"/>
          <w:sz w:val="20"/>
          <w:szCs w:val="20"/>
          <w:lang w:val="es-CR"/>
        </w:rPr>
        <w:t xml:space="preserve"> b</w:t>
      </w:r>
      <w:r w:rsidRPr="000C41A3">
        <w:rPr>
          <w:rFonts w:ascii="Verdana" w:hAnsi="Verdana" w:cs="Arial"/>
          <w:color w:val="222222"/>
          <w:sz w:val="20"/>
          <w:szCs w:val="20"/>
          <w:shd w:val="clear" w:color="auto" w:fill="FFFFFF"/>
          <w:lang w:val="es-MX"/>
        </w:rPr>
        <w:t xml:space="preserve">) </w:t>
      </w:r>
      <w:r w:rsidRPr="000C41A3">
        <w:rPr>
          <w:rFonts w:ascii="Verdana" w:eastAsia="Times New Roman" w:hAnsi="Verdana"/>
          <w:color w:val="000000"/>
          <w:sz w:val="20"/>
          <w:szCs w:val="20"/>
          <w:lang w:val="es-CR"/>
        </w:rPr>
        <w:t>Cristian Correa</w:t>
      </w:r>
      <w:r w:rsidRPr="000C41A3">
        <w:rPr>
          <w:rStyle w:val="Refdenotaalpie"/>
          <w:rFonts w:ascii="Verdana" w:eastAsia="Times New Roman" w:hAnsi="Verdana"/>
          <w:color w:val="000000"/>
          <w:sz w:val="20"/>
          <w:szCs w:val="20"/>
          <w:lang w:val="es-CR"/>
        </w:rPr>
        <w:footnoteReference w:id="3"/>
      </w:r>
      <w:r w:rsidRPr="000C41A3">
        <w:rPr>
          <w:rFonts w:ascii="Verdana" w:eastAsia="Times New Roman" w:hAnsi="Verdana"/>
          <w:color w:val="000000"/>
          <w:sz w:val="20"/>
          <w:szCs w:val="20"/>
          <w:lang w:val="es-CR"/>
        </w:rPr>
        <w:t xml:space="preserve">, los cuales fueron rendidos en el </w:t>
      </w:r>
      <w:r w:rsidRPr="000C41A3">
        <w:rPr>
          <w:rFonts w:ascii="Verdana" w:eastAsia="Times New Roman" w:hAnsi="Verdana"/>
          <w:i/>
          <w:color w:val="000000"/>
          <w:sz w:val="20"/>
          <w:szCs w:val="20"/>
          <w:lang w:val="es-CR"/>
        </w:rPr>
        <w:t>caso Miembros de la Aldea Chichupac y Comunidades Vecinas del Municipio de Rabinal Vs. Guatemala,</w:t>
      </w:r>
      <w:r w:rsidRPr="000C41A3">
        <w:rPr>
          <w:rFonts w:ascii="Verdana" w:eastAsia="Times New Roman" w:hAnsi="Verdana"/>
          <w:color w:val="000000"/>
          <w:sz w:val="20"/>
          <w:szCs w:val="20"/>
          <w:lang w:val="es-CR"/>
        </w:rPr>
        <w:t xml:space="preserve"> y c</w:t>
      </w:r>
      <w:r w:rsidRPr="000C41A3">
        <w:rPr>
          <w:rFonts w:ascii="Verdana" w:hAnsi="Verdana" w:cs="Arial"/>
          <w:color w:val="222222"/>
          <w:sz w:val="20"/>
          <w:szCs w:val="20"/>
          <w:shd w:val="clear" w:color="auto" w:fill="FFFFFF"/>
          <w:lang w:val="es-MX"/>
        </w:rPr>
        <w:t xml:space="preserve">) </w:t>
      </w:r>
      <w:r w:rsidRPr="000C41A3">
        <w:rPr>
          <w:rFonts w:ascii="Verdana" w:eastAsia="Times New Roman" w:hAnsi="Verdana"/>
          <w:color w:val="000000"/>
          <w:sz w:val="20"/>
          <w:szCs w:val="20"/>
          <w:lang w:val="es-CR"/>
        </w:rPr>
        <w:t>Michael Paul Hermann</w:t>
      </w:r>
      <w:r w:rsidRPr="000C41A3">
        <w:rPr>
          <w:rStyle w:val="Refdenotaalpie"/>
          <w:rFonts w:ascii="Verdana" w:eastAsia="Times New Roman" w:hAnsi="Verdana"/>
          <w:color w:val="000000"/>
          <w:sz w:val="20"/>
          <w:szCs w:val="20"/>
          <w:lang w:val="es-CR"/>
        </w:rPr>
        <w:footnoteReference w:id="4"/>
      </w:r>
      <w:r w:rsidRPr="000C41A3">
        <w:rPr>
          <w:rFonts w:ascii="Verdana" w:eastAsia="Times New Roman" w:hAnsi="Verdana"/>
          <w:color w:val="000000"/>
          <w:sz w:val="20"/>
          <w:szCs w:val="20"/>
          <w:lang w:val="es-CR"/>
        </w:rPr>
        <w:t>, d</w:t>
      </w:r>
      <w:r w:rsidRPr="000C41A3">
        <w:rPr>
          <w:rFonts w:ascii="Verdana" w:hAnsi="Verdana" w:cs="Arial"/>
          <w:color w:val="222222"/>
          <w:sz w:val="20"/>
          <w:szCs w:val="20"/>
          <w:shd w:val="clear" w:color="auto" w:fill="FFFFFF"/>
          <w:lang w:val="es-MX"/>
        </w:rPr>
        <w:t xml:space="preserve">) </w:t>
      </w:r>
      <w:r w:rsidRPr="000C41A3">
        <w:rPr>
          <w:rFonts w:ascii="Verdana" w:eastAsia="Times New Roman" w:hAnsi="Verdana"/>
          <w:color w:val="000000"/>
          <w:sz w:val="20"/>
          <w:szCs w:val="20"/>
          <w:lang w:val="es-CR"/>
        </w:rPr>
        <w:t>Juan Méndez</w:t>
      </w:r>
      <w:r w:rsidRPr="000C41A3">
        <w:rPr>
          <w:rStyle w:val="Refdenotaalpie"/>
          <w:rFonts w:ascii="Verdana" w:eastAsia="Times New Roman" w:hAnsi="Verdana"/>
          <w:color w:val="000000"/>
          <w:sz w:val="20"/>
          <w:szCs w:val="20"/>
          <w:lang w:val="es-CR"/>
        </w:rPr>
        <w:footnoteReference w:id="5"/>
      </w:r>
      <w:r w:rsidRPr="000C41A3">
        <w:rPr>
          <w:rFonts w:ascii="Verdana" w:eastAsia="Times New Roman" w:hAnsi="Verdana"/>
          <w:color w:val="000000"/>
          <w:sz w:val="20"/>
          <w:szCs w:val="20"/>
          <w:lang w:val="es-CR"/>
        </w:rPr>
        <w:t xml:space="preserve">, </w:t>
      </w:r>
      <w:r w:rsidRPr="000C41A3">
        <w:rPr>
          <w:rFonts w:ascii="Verdana" w:hAnsi="Verdana" w:cs="Arial"/>
          <w:color w:val="545454"/>
          <w:sz w:val="20"/>
          <w:szCs w:val="20"/>
          <w:shd w:val="clear" w:color="auto" w:fill="FFFFFF"/>
          <w:lang w:val="es-MX"/>
        </w:rPr>
        <w:t xml:space="preserve">y </w:t>
      </w:r>
      <w:r w:rsidRPr="000C41A3">
        <w:rPr>
          <w:rFonts w:ascii="Verdana" w:eastAsia="Times New Roman" w:hAnsi="Verdana"/>
          <w:color w:val="000000"/>
          <w:sz w:val="20"/>
          <w:szCs w:val="20"/>
          <w:lang w:val="es-CR"/>
        </w:rPr>
        <w:t>e</w:t>
      </w:r>
      <w:r w:rsidRPr="000C41A3">
        <w:rPr>
          <w:rFonts w:ascii="Verdana" w:hAnsi="Verdana" w:cs="Arial"/>
          <w:color w:val="222222"/>
          <w:sz w:val="20"/>
          <w:szCs w:val="20"/>
          <w:shd w:val="clear" w:color="auto" w:fill="FFFFFF"/>
          <w:lang w:val="es-MX"/>
        </w:rPr>
        <w:t>)</w:t>
      </w:r>
      <w:r w:rsidRPr="000C41A3">
        <w:rPr>
          <w:rFonts w:ascii="Verdana" w:eastAsia="Times New Roman" w:hAnsi="Verdana"/>
          <w:color w:val="000000"/>
          <w:sz w:val="20"/>
          <w:szCs w:val="20"/>
          <w:lang w:val="es-CR"/>
        </w:rPr>
        <w:t xml:space="preserve"> Rosalina Tuyuc</w:t>
      </w:r>
      <w:r w:rsidRPr="000C41A3">
        <w:rPr>
          <w:rStyle w:val="Refdenotaalpie"/>
          <w:rFonts w:ascii="Verdana" w:eastAsia="Times New Roman" w:hAnsi="Verdana"/>
          <w:color w:val="000000"/>
          <w:sz w:val="20"/>
          <w:szCs w:val="20"/>
          <w:lang w:val="es-CR"/>
        </w:rPr>
        <w:footnoteReference w:id="6"/>
      </w:r>
      <w:r w:rsidRPr="000C41A3">
        <w:rPr>
          <w:rFonts w:ascii="Verdana" w:eastAsia="Times New Roman" w:hAnsi="Verdana"/>
          <w:color w:val="000000"/>
          <w:sz w:val="20"/>
          <w:szCs w:val="20"/>
          <w:lang w:val="es-CR"/>
        </w:rPr>
        <w:t xml:space="preserve">, todos ellos rendidos en el </w:t>
      </w:r>
      <w:r w:rsidRPr="000C41A3">
        <w:rPr>
          <w:rFonts w:ascii="Verdana" w:eastAsia="Times New Roman" w:hAnsi="Verdana"/>
          <w:i/>
          <w:color w:val="000000"/>
          <w:sz w:val="20"/>
          <w:szCs w:val="20"/>
          <w:lang w:val="es-CR"/>
        </w:rPr>
        <w:t>Caso de las Masacres de Río Negro Vs. Guatemala.</w:t>
      </w:r>
    </w:p>
    <w:p w:rsidR="00292138" w:rsidRPr="000C41A3" w:rsidRDefault="00292138" w:rsidP="00292138">
      <w:pPr>
        <w:pStyle w:val="Listavistosa-nfasis1"/>
        <w:spacing w:after="0" w:line="240" w:lineRule="auto"/>
        <w:ind w:left="0"/>
        <w:jc w:val="both"/>
        <w:rPr>
          <w:rFonts w:ascii="Verdana" w:eastAsia="Times New Roman" w:hAnsi="Verdana"/>
          <w:color w:val="000000"/>
          <w:sz w:val="20"/>
          <w:szCs w:val="20"/>
          <w:lang w:val="es-CR"/>
        </w:rPr>
      </w:pPr>
    </w:p>
    <w:p w:rsidR="00292138" w:rsidRPr="000C41A3" w:rsidRDefault="00292138" w:rsidP="00292138">
      <w:pPr>
        <w:pStyle w:val="Listavistosa-nfasis1"/>
        <w:numPr>
          <w:ilvl w:val="0"/>
          <w:numId w:val="2"/>
        </w:numPr>
        <w:autoSpaceDE w:val="0"/>
        <w:autoSpaceDN w:val="0"/>
        <w:adjustRightInd w:val="0"/>
        <w:spacing w:after="0" w:line="240" w:lineRule="auto"/>
        <w:ind w:left="0" w:firstLine="0"/>
        <w:jc w:val="both"/>
        <w:rPr>
          <w:rFonts w:ascii="Verdana" w:hAnsi="Verdana" w:cs="Cambria"/>
          <w:sz w:val="20"/>
          <w:szCs w:val="20"/>
          <w:lang w:val="es-CR"/>
        </w:rPr>
      </w:pPr>
      <w:r w:rsidRPr="000C41A3">
        <w:rPr>
          <w:rFonts w:ascii="Verdana" w:hAnsi="Verdana" w:cs="Cambria"/>
          <w:sz w:val="20"/>
          <w:szCs w:val="20"/>
          <w:lang w:val="es-CR"/>
        </w:rPr>
        <w:t xml:space="preserve">Respecto al peritaje rendido por el señor Alejandro Rodríguez, el Estado se opuso a que la Corte incorpore el mismo al presente caso, toda vez que según sus consideraciones </w:t>
      </w:r>
      <w:r w:rsidRPr="000C41A3">
        <w:rPr>
          <w:rFonts w:ascii="Verdana" w:hAnsi="Verdana" w:cs="Cambria"/>
          <w:sz w:val="20"/>
          <w:szCs w:val="20"/>
          <w:lang w:val="es-CR"/>
        </w:rPr>
        <w:lastRenderedPageBreak/>
        <w:t xml:space="preserve">dicho peritaje se delimitó a la supuesta impunidad de los hechos del </w:t>
      </w:r>
      <w:r w:rsidRPr="000C41A3">
        <w:rPr>
          <w:rFonts w:ascii="Verdana" w:hAnsi="Verdana" w:cs="Cambria"/>
          <w:i/>
          <w:sz w:val="20"/>
          <w:szCs w:val="20"/>
          <w:lang w:val="es-CR"/>
        </w:rPr>
        <w:t>caso de la Aldea Chichupac y Comunidades Vecinas del Municipio de Rabinal</w:t>
      </w:r>
      <w:r w:rsidRPr="000C41A3">
        <w:rPr>
          <w:rFonts w:ascii="Verdana" w:hAnsi="Verdana" w:cs="Cambria"/>
          <w:sz w:val="20"/>
          <w:szCs w:val="20"/>
          <w:lang w:val="es-CR"/>
        </w:rPr>
        <w:t xml:space="preserve"> y en el presente caso los hechos no habrían quedado en impunidad. En cuanto al peritaje rendido por el señor Cristian Correa, el Estado consideró que éste no servirá para demostrar la eventual responsabilidad internacional del Estado en cuanto a las supuestas violaciones de Derechos Humanos alegadas. Por último, en cuanto al peritaje del señor Michael Paul Hermann, el Estado manifestó su oposición a que su peritaje se incorpore al presente proceso toda vez</w:t>
      </w:r>
      <w:r w:rsidRPr="000C41A3">
        <w:rPr>
          <w:rFonts w:ascii="Verdana" w:eastAsia="Times New Roman" w:hAnsi="Verdana"/>
          <w:color w:val="000000"/>
          <w:sz w:val="20"/>
          <w:szCs w:val="20"/>
          <w:lang w:val="es-CR"/>
        </w:rPr>
        <w:t>:</w:t>
      </w:r>
    </w:p>
    <w:p w:rsidR="00292138" w:rsidRPr="000C41A3" w:rsidRDefault="00292138" w:rsidP="00292138">
      <w:pPr>
        <w:pStyle w:val="Listavistosa-nfasis1"/>
        <w:spacing w:line="240" w:lineRule="auto"/>
        <w:ind w:left="360"/>
        <w:jc w:val="both"/>
        <w:rPr>
          <w:rFonts w:ascii="Verdana" w:hAnsi="Verdana" w:cs="Cambria"/>
          <w:sz w:val="20"/>
          <w:szCs w:val="20"/>
          <w:lang w:val="es-CR"/>
        </w:rPr>
      </w:pPr>
    </w:p>
    <w:p w:rsidR="00292138" w:rsidRPr="000C41A3" w:rsidRDefault="00292138" w:rsidP="00292138">
      <w:pPr>
        <w:pStyle w:val="Listavistosa-nfasis1"/>
        <w:spacing w:line="240" w:lineRule="auto"/>
        <w:ind w:left="864" w:right="864"/>
        <w:jc w:val="both"/>
        <w:rPr>
          <w:rFonts w:ascii="Verdana" w:hAnsi="Verdana" w:cs="Cambria"/>
          <w:sz w:val="16"/>
          <w:szCs w:val="16"/>
          <w:lang w:val="es-CR"/>
        </w:rPr>
      </w:pPr>
      <w:proofErr w:type="gramStart"/>
      <w:r w:rsidRPr="000C41A3">
        <w:rPr>
          <w:rFonts w:ascii="Verdana" w:hAnsi="Verdana" w:cs="Cambria"/>
          <w:sz w:val="16"/>
          <w:szCs w:val="16"/>
          <w:lang w:val="es-CR"/>
        </w:rPr>
        <w:t>que</w:t>
      </w:r>
      <w:proofErr w:type="gramEnd"/>
      <w:r w:rsidRPr="000C41A3">
        <w:rPr>
          <w:rFonts w:ascii="Verdana" w:hAnsi="Verdana" w:cs="Cambria"/>
          <w:sz w:val="16"/>
          <w:szCs w:val="16"/>
          <w:lang w:val="es-CR"/>
        </w:rPr>
        <w:t xml:space="preserve"> dicho dictamen pericial se refirió específicamente a la alegada falta de investigación en el caso de la Masacre de Río Negro y las falencias respecto de la calificación jurídica de los hechos[, lo cual no resultaría] aplicables al presente caso toda vez que sí existió investigación penal que culminó con una sentencia condenatoria en contra de 14 personas responsables de los hechos [.]  </w:t>
      </w:r>
      <w:proofErr w:type="gramStart"/>
      <w:r w:rsidRPr="000C41A3">
        <w:rPr>
          <w:rFonts w:ascii="Verdana" w:hAnsi="Verdana" w:cs="Cambria"/>
          <w:sz w:val="16"/>
          <w:szCs w:val="16"/>
          <w:lang w:val="es-CR"/>
        </w:rPr>
        <w:t>por</w:t>
      </w:r>
      <w:proofErr w:type="gramEnd"/>
      <w:r w:rsidRPr="000C41A3">
        <w:rPr>
          <w:rFonts w:ascii="Verdana" w:hAnsi="Verdana" w:cs="Cambria"/>
          <w:sz w:val="16"/>
          <w:szCs w:val="16"/>
          <w:lang w:val="es-CR"/>
        </w:rPr>
        <w:t xml:space="preserve"> los delitos de lesiones graves (para las personas que resultaron lesionadas) y por ejecución extrajudicial (para las personas fallecidas). </w:t>
      </w:r>
    </w:p>
    <w:p w:rsidR="00292138" w:rsidRPr="000C41A3" w:rsidRDefault="00292138" w:rsidP="00292138">
      <w:pPr>
        <w:pStyle w:val="Listavistosa-nfasis1"/>
        <w:spacing w:line="240" w:lineRule="auto"/>
        <w:ind w:left="864" w:right="864"/>
        <w:jc w:val="both"/>
        <w:rPr>
          <w:rFonts w:ascii="Verdana" w:hAnsi="Verdana" w:cs="Cambria"/>
          <w:sz w:val="20"/>
          <w:szCs w:val="20"/>
          <w:lang w:val="es-CR"/>
        </w:rPr>
      </w:pPr>
    </w:p>
    <w:p w:rsidR="00292138" w:rsidRPr="000C41A3" w:rsidRDefault="00292138" w:rsidP="00292138">
      <w:pPr>
        <w:pStyle w:val="Listavistosa-nfasis1"/>
        <w:numPr>
          <w:ilvl w:val="0"/>
          <w:numId w:val="5"/>
        </w:numPr>
        <w:spacing w:line="240" w:lineRule="auto"/>
        <w:ind w:left="0" w:firstLine="0"/>
        <w:jc w:val="both"/>
        <w:rPr>
          <w:rFonts w:ascii="Verdana" w:hAnsi="Verdana" w:cs="Cambria"/>
          <w:sz w:val="20"/>
          <w:szCs w:val="20"/>
          <w:lang w:val="es-CR"/>
        </w:rPr>
      </w:pPr>
      <w:r w:rsidRPr="000C41A3">
        <w:rPr>
          <w:rFonts w:ascii="Verdana" w:hAnsi="Verdana" w:cs="Cambria"/>
          <w:sz w:val="20"/>
          <w:szCs w:val="20"/>
          <w:lang w:val="es-CR"/>
        </w:rPr>
        <w:t>Respecto al peritaje rendido por el señor Juan Méndez, el Estado se opuso a que sea incorporado al expediente del presente caso, señalando que, el presente caso se trataba de un hecho aislado en el que se asumió la responsabilidad institucional para dar respuesta a las violaciones alegadas, iniciando una investigación penal de oficio. Y en cuanto al peritaje ofrecido por la señora Rosalina Tuyuc, el Estado solicitó que no fuera incorporado toda vez que dentro de los hechos que fueron sometidos al conocimiento contencioso de la Corte no se hace referencia alguna a la posible responsabilidad internacional del Estado por violaciones sexuales, trabajos forzosos y/o desapariciones forzadas.</w:t>
      </w:r>
    </w:p>
    <w:p w:rsidR="00292138" w:rsidRPr="000C41A3" w:rsidRDefault="00292138" w:rsidP="00292138">
      <w:pPr>
        <w:pStyle w:val="Listavistosa-nfasis1"/>
        <w:spacing w:line="240" w:lineRule="auto"/>
        <w:jc w:val="both"/>
        <w:rPr>
          <w:rFonts w:ascii="Verdana" w:hAnsi="Verdana" w:cs="Cambria"/>
          <w:sz w:val="20"/>
          <w:szCs w:val="20"/>
          <w:lang w:val="es-CR"/>
        </w:rPr>
      </w:pPr>
    </w:p>
    <w:p w:rsidR="00292138" w:rsidRPr="000C41A3" w:rsidRDefault="00292138" w:rsidP="00292138">
      <w:pPr>
        <w:pStyle w:val="Listavistosa-nfasis1"/>
        <w:numPr>
          <w:ilvl w:val="0"/>
          <w:numId w:val="5"/>
        </w:numPr>
        <w:spacing w:after="0" w:line="240" w:lineRule="auto"/>
        <w:ind w:left="0" w:firstLine="0"/>
        <w:jc w:val="both"/>
        <w:rPr>
          <w:rFonts w:ascii="Verdana" w:eastAsia="Times New Roman" w:hAnsi="Verdana"/>
          <w:sz w:val="20"/>
          <w:szCs w:val="20"/>
          <w:lang w:val="es-CR"/>
        </w:rPr>
      </w:pPr>
      <w:r w:rsidRPr="000C41A3">
        <w:rPr>
          <w:rFonts w:ascii="Verdana" w:eastAsia="Times New Roman" w:hAnsi="Verdana"/>
          <w:color w:val="000000"/>
          <w:sz w:val="20"/>
          <w:szCs w:val="20"/>
          <w:lang w:val="es-CR"/>
        </w:rPr>
        <w:t>Tomando en cuenta lo anterior, el Presidente reitera que la incorporación de dictámenes periciales rendidos en otros casos al expediente de un caso en trámite no significa que tales elementos tengan el valor o peso probatorio de un dictamen pericial. De tal modo, en oportunidades anteriores la Presidencia de la Corte ha considerado pertinente el traslado de peritajes rendidos en otros casos, incluso contra Estados distintos, como elementos documentales para que este Tribunal determine su admisibilidad y valor probatorio en el momento procesal oportuno, tomando en consideración las observaciones presentadas por las partes en ejercicio de su derecho de defensa</w:t>
      </w:r>
      <w:r w:rsidRPr="000C41A3">
        <w:rPr>
          <w:rStyle w:val="Refdenotaalpie"/>
          <w:rFonts w:ascii="Verdana" w:eastAsia="Times New Roman" w:hAnsi="Verdana"/>
          <w:color w:val="000000"/>
          <w:sz w:val="20"/>
          <w:szCs w:val="20"/>
          <w:lang w:val="es-CR"/>
        </w:rPr>
        <w:footnoteReference w:id="7"/>
      </w:r>
      <w:r w:rsidRPr="000C41A3">
        <w:rPr>
          <w:rFonts w:ascii="Verdana" w:eastAsia="Times New Roman" w:hAnsi="Verdana"/>
          <w:color w:val="000000"/>
          <w:sz w:val="20"/>
          <w:szCs w:val="20"/>
          <w:lang w:val="es-CR"/>
        </w:rPr>
        <w:t xml:space="preserve"> . </w:t>
      </w:r>
    </w:p>
    <w:p w:rsidR="00292138" w:rsidRPr="000C41A3" w:rsidRDefault="00292138" w:rsidP="00292138">
      <w:pPr>
        <w:pStyle w:val="Listavistosa-nfasis1"/>
        <w:spacing w:after="0" w:line="240" w:lineRule="auto"/>
        <w:ind w:left="0"/>
        <w:jc w:val="both"/>
        <w:rPr>
          <w:rFonts w:ascii="Verdana" w:eastAsia="Times New Roman" w:hAnsi="Verdana"/>
          <w:sz w:val="20"/>
          <w:szCs w:val="20"/>
          <w:lang w:val="es-CR"/>
        </w:rPr>
      </w:pPr>
    </w:p>
    <w:p w:rsidR="00292138" w:rsidRPr="000C41A3" w:rsidRDefault="00292138" w:rsidP="00292138">
      <w:pPr>
        <w:pStyle w:val="Listavistosa-nfasis1"/>
        <w:numPr>
          <w:ilvl w:val="0"/>
          <w:numId w:val="5"/>
        </w:numPr>
        <w:spacing w:after="0" w:line="240" w:lineRule="auto"/>
        <w:ind w:left="0" w:firstLine="0"/>
        <w:jc w:val="both"/>
        <w:rPr>
          <w:rFonts w:ascii="Verdana" w:eastAsia="Times New Roman" w:hAnsi="Verdana"/>
          <w:sz w:val="20"/>
          <w:szCs w:val="20"/>
          <w:lang w:val="es-CR"/>
        </w:rPr>
      </w:pPr>
      <w:r w:rsidRPr="000C41A3">
        <w:rPr>
          <w:rFonts w:ascii="Verdana" w:eastAsia="Times New Roman" w:hAnsi="Verdana"/>
          <w:color w:val="000000"/>
          <w:sz w:val="20"/>
          <w:szCs w:val="20"/>
          <w:lang w:val="es-CR"/>
        </w:rPr>
        <w:t>De manera que, en atención a los principios de economía y celeridad procesales, esta Presidencia considera oportuno incorporar al acervo probatorio del presente caso, en lo que resulte pertinente, los peritajes rendidos por los señor</w:t>
      </w:r>
      <w:r w:rsidR="00B22325">
        <w:rPr>
          <w:rFonts w:ascii="Verdana" w:eastAsia="Times New Roman" w:hAnsi="Verdana"/>
          <w:color w:val="000000"/>
          <w:sz w:val="20"/>
          <w:szCs w:val="20"/>
          <w:lang w:val="es-CR"/>
        </w:rPr>
        <w:t>es Alejandro Rodríguez y Cristia</w:t>
      </w:r>
      <w:r w:rsidRPr="000C41A3">
        <w:rPr>
          <w:rFonts w:ascii="Verdana" w:eastAsia="Times New Roman" w:hAnsi="Verdana"/>
          <w:color w:val="000000"/>
          <w:sz w:val="20"/>
          <w:szCs w:val="20"/>
          <w:lang w:val="es-CR"/>
        </w:rPr>
        <w:t xml:space="preserve">n Correa, en el </w:t>
      </w:r>
      <w:r w:rsidRPr="000C41A3">
        <w:rPr>
          <w:rFonts w:ascii="Verdana" w:eastAsia="Times New Roman" w:hAnsi="Verdana"/>
          <w:i/>
          <w:color w:val="000000"/>
          <w:sz w:val="20"/>
          <w:szCs w:val="20"/>
          <w:lang w:val="es-CR"/>
        </w:rPr>
        <w:t>caso Miembros de la Aldea Chichupac y Comunidades Vecinas del Municipio de Rabinal Vs. Guatemala</w:t>
      </w:r>
      <w:r w:rsidRPr="000C41A3">
        <w:rPr>
          <w:rFonts w:ascii="Verdana" w:eastAsia="Times New Roman" w:hAnsi="Verdana"/>
          <w:color w:val="000000"/>
          <w:sz w:val="20"/>
          <w:szCs w:val="20"/>
          <w:lang w:val="es-CR"/>
        </w:rPr>
        <w:t xml:space="preserve">, así como peritajes rendidos por los señores Michael Paul Hermann, Juan Méndez y la señora Rosalina Tuyuc, en el </w:t>
      </w:r>
      <w:r w:rsidRPr="000C41A3">
        <w:rPr>
          <w:rFonts w:ascii="Verdana" w:eastAsia="Times New Roman" w:hAnsi="Verdana"/>
          <w:i/>
          <w:color w:val="000000"/>
          <w:sz w:val="20"/>
          <w:szCs w:val="20"/>
          <w:lang w:val="es-CR"/>
        </w:rPr>
        <w:t>caso de las Masacres de Río Negro Vs. Guatemala</w:t>
      </w:r>
      <w:r w:rsidRPr="000C41A3">
        <w:rPr>
          <w:rFonts w:ascii="Verdana" w:eastAsia="Times New Roman" w:hAnsi="Verdana"/>
          <w:color w:val="000000"/>
          <w:sz w:val="20"/>
          <w:szCs w:val="20"/>
          <w:lang w:val="es-CR"/>
        </w:rPr>
        <w:t>, toda vez que podrían resultar útil para la resolución del presente caso. En tanto que dichos dictámenes son prueba documental a efectos del presente caso, las partes podrán referirse al mismo en sus alegatos finales escritos u orales.</w:t>
      </w:r>
    </w:p>
    <w:p w:rsidR="00292138" w:rsidRPr="000C41A3" w:rsidRDefault="00292138" w:rsidP="00292138">
      <w:pPr>
        <w:spacing w:after="0" w:line="240" w:lineRule="auto"/>
        <w:jc w:val="both"/>
        <w:rPr>
          <w:rFonts w:ascii="Verdana" w:eastAsia="Times New Roman" w:hAnsi="Verdana"/>
          <w:color w:val="000000"/>
          <w:sz w:val="20"/>
          <w:szCs w:val="20"/>
          <w:lang w:val="es-CR"/>
        </w:rPr>
      </w:pPr>
    </w:p>
    <w:p w:rsidR="00292138" w:rsidRPr="000C41A3" w:rsidRDefault="00292138" w:rsidP="00292138">
      <w:pPr>
        <w:spacing w:after="0" w:line="240" w:lineRule="auto"/>
        <w:ind w:left="720"/>
        <w:jc w:val="both"/>
        <w:rPr>
          <w:rFonts w:ascii="Verdana" w:eastAsia="Times New Roman" w:hAnsi="Verdana"/>
          <w:b/>
          <w:color w:val="000000"/>
          <w:sz w:val="20"/>
          <w:szCs w:val="20"/>
          <w:lang w:val="es-CR"/>
        </w:rPr>
      </w:pPr>
      <w:r w:rsidRPr="000C41A3">
        <w:rPr>
          <w:rFonts w:ascii="Verdana" w:eastAsia="Times New Roman" w:hAnsi="Verdana"/>
          <w:b/>
          <w:color w:val="000000"/>
          <w:sz w:val="20"/>
          <w:szCs w:val="20"/>
          <w:lang w:val="es-CR"/>
        </w:rPr>
        <w:t>C) Admisibilidad de declaraciones testimoniales rendidas por medio de declaración jurada de diecisiete personas</w:t>
      </w:r>
    </w:p>
    <w:p w:rsidR="00292138" w:rsidRPr="000C41A3" w:rsidRDefault="00292138" w:rsidP="00292138">
      <w:pPr>
        <w:spacing w:after="0" w:line="240" w:lineRule="auto"/>
        <w:jc w:val="both"/>
        <w:rPr>
          <w:rFonts w:ascii="Verdana" w:eastAsia="Times New Roman" w:hAnsi="Verdana"/>
          <w:b/>
          <w:color w:val="000000"/>
          <w:sz w:val="20"/>
          <w:szCs w:val="20"/>
          <w:lang w:val="es-CR"/>
        </w:rPr>
      </w:pPr>
    </w:p>
    <w:p w:rsidR="00292138" w:rsidRPr="000C41A3" w:rsidRDefault="00292138" w:rsidP="00292138">
      <w:pPr>
        <w:pStyle w:val="Listavistosa-nfasis1"/>
        <w:numPr>
          <w:ilvl w:val="0"/>
          <w:numId w:val="5"/>
        </w:numPr>
        <w:autoSpaceDE w:val="0"/>
        <w:autoSpaceDN w:val="0"/>
        <w:adjustRightInd w:val="0"/>
        <w:spacing w:after="0" w:line="240" w:lineRule="auto"/>
        <w:ind w:left="0" w:firstLine="0"/>
        <w:jc w:val="both"/>
        <w:rPr>
          <w:rFonts w:ascii="Verdana" w:hAnsi="Verdana" w:cs="Arial"/>
          <w:sz w:val="20"/>
          <w:szCs w:val="20"/>
          <w:lang w:val="es-CR"/>
        </w:rPr>
      </w:pPr>
      <w:r w:rsidRPr="000C41A3">
        <w:rPr>
          <w:rFonts w:ascii="Verdana" w:hAnsi="Verdana" w:cs="Arial"/>
          <w:sz w:val="20"/>
          <w:szCs w:val="20"/>
          <w:lang w:val="es-CR"/>
        </w:rPr>
        <w:t>Los representantes ofrecieron la declaración jurada de diecisiete personas</w:t>
      </w:r>
      <w:r w:rsidRPr="000C41A3">
        <w:rPr>
          <w:rStyle w:val="Refdenotaalpie"/>
          <w:rFonts w:ascii="Verdana" w:hAnsi="Verdana" w:cs="Arial"/>
          <w:sz w:val="20"/>
          <w:szCs w:val="20"/>
          <w:lang w:val="es-CR"/>
        </w:rPr>
        <w:footnoteReference w:id="8"/>
      </w:r>
      <w:r w:rsidRPr="000C41A3">
        <w:rPr>
          <w:rFonts w:ascii="Verdana" w:hAnsi="Verdana" w:cs="Arial"/>
          <w:sz w:val="20"/>
          <w:szCs w:val="20"/>
          <w:lang w:val="es-CR"/>
        </w:rPr>
        <w:t xml:space="preserve">, de las cuales constan en videograbaciones, estas fueron acompañadas por actas notariales en las </w:t>
      </w:r>
      <w:r w:rsidRPr="000C41A3">
        <w:rPr>
          <w:rFonts w:ascii="Verdana" w:hAnsi="Verdana" w:cs="Arial"/>
          <w:sz w:val="20"/>
          <w:szCs w:val="20"/>
          <w:lang w:val="es-CR"/>
        </w:rPr>
        <w:lastRenderedPageBreak/>
        <w:t xml:space="preserve">cuales constan los datos individualizados de cada una de las personas que rendieron su testimonio. </w:t>
      </w:r>
    </w:p>
    <w:p w:rsidR="00292138" w:rsidRPr="000C41A3" w:rsidRDefault="00292138" w:rsidP="00292138">
      <w:pPr>
        <w:pStyle w:val="Listavistosa-nfasis1"/>
        <w:autoSpaceDE w:val="0"/>
        <w:autoSpaceDN w:val="0"/>
        <w:adjustRightInd w:val="0"/>
        <w:spacing w:after="0" w:line="240" w:lineRule="auto"/>
        <w:ind w:left="0"/>
        <w:jc w:val="both"/>
        <w:rPr>
          <w:rFonts w:ascii="Verdana" w:hAnsi="Verdana" w:cs="Arial"/>
          <w:sz w:val="20"/>
          <w:szCs w:val="20"/>
          <w:lang w:val="es-CR"/>
        </w:rPr>
      </w:pPr>
    </w:p>
    <w:p w:rsidR="00292138" w:rsidRPr="000C41A3" w:rsidRDefault="00292138" w:rsidP="00292138">
      <w:pPr>
        <w:pStyle w:val="Listavistosa-nfasis1"/>
        <w:numPr>
          <w:ilvl w:val="0"/>
          <w:numId w:val="5"/>
        </w:numPr>
        <w:spacing w:after="0" w:line="240" w:lineRule="auto"/>
        <w:ind w:left="0" w:firstLine="0"/>
        <w:jc w:val="both"/>
        <w:rPr>
          <w:rFonts w:ascii="Verdana" w:eastAsia="Times New Roman" w:hAnsi="Verdana"/>
          <w:color w:val="000000"/>
          <w:sz w:val="20"/>
          <w:szCs w:val="20"/>
          <w:lang w:val="es-CR"/>
        </w:rPr>
      </w:pPr>
      <w:r w:rsidRPr="000C41A3">
        <w:rPr>
          <w:rFonts w:ascii="Verdana" w:eastAsia="Times New Roman" w:hAnsi="Verdana"/>
          <w:color w:val="000000"/>
          <w:sz w:val="20"/>
          <w:szCs w:val="20"/>
          <w:lang w:val="es-CR"/>
        </w:rPr>
        <w:t xml:space="preserve">En cuanto a las declaraciones testimoniales rendidas por medio de declaración jurada, el Estado señaló que no era posible constatar que el notario autorizó dichas actas. </w:t>
      </w:r>
    </w:p>
    <w:p w:rsidR="00292138" w:rsidRPr="000C41A3" w:rsidRDefault="00292138" w:rsidP="00292138">
      <w:pPr>
        <w:pStyle w:val="Listavistosa-nfasis1"/>
        <w:spacing w:line="240" w:lineRule="auto"/>
        <w:jc w:val="both"/>
        <w:rPr>
          <w:rFonts w:ascii="Verdana" w:eastAsia="Times New Roman" w:hAnsi="Verdana"/>
          <w:color w:val="000000"/>
          <w:sz w:val="20"/>
          <w:szCs w:val="20"/>
          <w:lang w:val="es-CR"/>
        </w:rPr>
      </w:pPr>
    </w:p>
    <w:p w:rsidR="00292138" w:rsidRPr="000C41A3" w:rsidRDefault="00292138" w:rsidP="00292138">
      <w:pPr>
        <w:pStyle w:val="Listavistosa-nfasis1"/>
        <w:numPr>
          <w:ilvl w:val="0"/>
          <w:numId w:val="5"/>
        </w:numPr>
        <w:spacing w:after="0" w:line="240" w:lineRule="auto"/>
        <w:ind w:left="0" w:firstLine="0"/>
        <w:jc w:val="both"/>
        <w:rPr>
          <w:rFonts w:ascii="Verdana" w:eastAsia="Times New Roman" w:hAnsi="Verdana"/>
          <w:color w:val="000000"/>
          <w:sz w:val="20"/>
          <w:szCs w:val="20"/>
          <w:lang w:val="es-CR"/>
        </w:rPr>
      </w:pPr>
      <w:r w:rsidRPr="000C41A3">
        <w:rPr>
          <w:rFonts w:ascii="Verdana" w:eastAsia="Times New Roman" w:hAnsi="Verdana"/>
          <w:color w:val="000000"/>
          <w:sz w:val="20"/>
          <w:szCs w:val="20"/>
          <w:lang w:val="es-CR"/>
        </w:rPr>
        <w:t>Al respecto,</w:t>
      </w:r>
      <w:r w:rsidRPr="000C41A3">
        <w:rPr>
          <w:rFonts w:ascii="Verdana" w:hAnsi="Verdana"/>
          <w:sz w:val="20"/>
          <w:szCs w:val="20"/>
          <w:lang w:val="es-MX"/>
        </w:rPr>
        <w:t xml:space="preserve"> la Corte ha señalado anteriormente, en cuanto a la recepción y valoración de la prueba, que los procedimientos que se siguen ante ella no están sujetos a las mismas formalidades que las actuaciones judiciales internas, y que la incorporación de determinados elementos al acervo probatorio debe ser efectuada prestando particular atención a las circunstancias del caso concreto y teniendo presentes los límites que impone el respeto a la seguridad jurídica y al equilibrio procesal de las partes</w:t>
      </w:r>
    </w:p>
    <w:p w:rsidR="00292138" w:rsidRPr="000C41A3" w:rsidRDefault="00292138" w:rsidP="00292138">
      <w:pPr>
        <w:pStyle w:val="Listavistosa-nfasis1"/>
        <w:spacing w:after="0" w:line="240" w:lineRule="auto"/>
        <w:ind w:left="0"/>
        <w:jc w:val="both"/>
        <w:rPr>
          <w:rFonts w:ascii="Verdana" w:eastAsia="Times New Roman" w:hAnsi="Verdana"/>
          <w:color w:val="000000"/>
          <w:sz w:val="20"/>
          <w:szCs w:val="20"/>
          <w:lang w:val="es-CR"/>
        </w:rPr>
      </w:pPr>
    </w:p>
    <w:p w:rsidR="00292138" w:rsidRPr="000C41A3" w:rsidRDefault="00292138" w:rsidP="00292138">
      <w:pPr>
        <w:pStyle w:val="Listavistosa-nfasis1"/>
        <w:numPr>
          <w:ilvl w:val="0"/>
          <w:numId w:val="5"/>
        </w:numPr>
        <w:spacing w:after="0" w:line="240" w:lineRule="auto"/>
        <w:ind w:left="0" w:firstLine="0"/>
        <w:jc w:val="both"/>
        <w:rPr>
          <w:rFonts w:ascii="Verdana" w:eastAsia="Times New Roman" w:hAnsi="Verdana"/>
          <w:color w:val="000000"/>
          <w:sz w:val="20"/>
          <w:szCs w:val="20"/>
          <w:lang w:val="es-CR"/>
        </w:rPr>
      </w:pPr>
      <w:r w:rsidRPr="000C41A3">
        <w:rPr>
          <w:rFonts w:ascii="Verdana" w:hAnsi="Verdana"/>
          <w:sz w:val="20"/>
          <w:szCs w:val="20"/>
          <w:lang w:val="es-CR"/>
        </w:rPr>
        <w:t>En</w:t>
      </w:r>
      <w:r w:rsidRPr="000C41A3">
        <w:rPr>
          <w:rFonts w:ascii="Verdana" w:hAnsi="Verdana"/>
          <w:sz w:val="20"/>
          <w:szCs w:val="20"/>
          <w:lang w:val="es-MX"/>
        </w:rPr>
        <w:t xml:space="preserve"> atención a los principios de economía y celeridad procesales, esta Presidencia considera oportuno incorporar al acervo probatorio del presente caso, en lo que resulte pertinente, </w:t>
      </w:r>
      <w:r w:rsidRPr="000C41A3">
        <w:rPr>
          <w:rFonts w:ascii="Verdana" w:hAnsi="Verdana" w:cs="Arial"/>
          <w:sz w:val="20"/>
          <w:szCs w:val="20"/>
          <w:lang w:val="es-CR"/>
        </w:rPr>
        <w:t>la declaración jurada de las diecisiete personas, las cuales constan en videograbaciones</w:t>
      </w:r>
      <w:r w:rsidRPr="000C41A3">
        <w:rPr>
          <w:rFonts w:ascii="Verdana" w:hAnsi="Verdana"/>
          <w:sz w:val="20"/>
          <w:szCs w:val="20"/>
          <w:lang w:val="es-MX"/>
        </w:rPr>
        <w:t>, toda vez que podría resultar útiles para la resolución del presente caso</w:t>
      </w:r>
      <w:r w:rsidRPr="000C41A3">
        <w:rPr>
          <w:rStyle w:val="Refdenotaalpie"/>
          <w:rFonts w:ascii="Verdana" w:hAnsi="Verdana"/>
          <w:sz w:val="20"/>
          <w:szCs w:val="20"/>
          <w:lang w:val="es-MX"/>
        </w:rPr>
        <w:footnoteReference w:id="9"/>
      </w:r>
      <w:r>
        <w:rPr>
          <w:rFonts w:ascii="Verdana" w:hAnsi="Verdana"/>
          <w:sz w:val="20"/>
          <w:szCs w:val="20"/>
          <w:lang w:val="es-MX"/>
        </w:rPr>
        <w:t>. En tanto dichas</w:t>
      </w:r>
      <w:r w:rsidRPr="000C41A3">
        <w:rPr>
          <w:rFonts w:ascii="Verdana" w:hAnsi="Verdana"/>
          <w:sz w:val="20"/>
          <w:szCs w:val="20"/>
          <w:lang w:val="es-MX"/>
        </w:rPr>
        <w:t xml:space="preserve"> </w:t>
      </w:r>
      <w:r>
        <w:rPr>
          <w:rFonts w:ascii="Verdana" w:hAnsi="Verdana"/>
          <w:sz w:val="20"/>
          <w:szCs w:val="20"/>
          <w:lang w:val="es-MX"/>
        </w:rPr>
        <w:t>declaraciones</w:t>
      </w:r>
      <w:r w:rsidRPr="000C41A3">
        <w:rPr>
          <w:rFonts w:ascii="Verdana" w:hAnsi="Verdana"/>
          <w:sz w:val="20"/>
          <w:szCs w:val="20"/>
          <w:lang w:val="es-MX"/>
        </w:rPr>
        <w:t xml:space="preserve"> </w:t>
      </w:r>
      <w:r>
        <w:rPr>
          <w:rFonts w:ascii="Verdana" w:hAnsi="Verdana"/>
          <w:sz w:val="20"/>
          <w:szCs w:val="20"/>
          <w:lang w:val="es-MX"/>
        </w:rPr>
        <w:t>son</w:t>
      </w:r>
      <w:r w:rsidRPr="000C41A3">
        <w:rPr>
          <w:rFonts w:ascii="Verdana" w:hAnsi="Verdana"/>
          <w:sz w:val="20"/>
          <w:szCs w:val="20"/>
          <w:lang w:val="es-MX"/>
        </w:rPr>
        <w:t xml:space="preserve"> prueba documental a efectos del presente caso, las </w:t>
      </w:r>
      <w:r>
        <w:rPr>
          <w:rFonts w:ascii="Verdana" w:hAnsi="Verdana"/>
          <w:sz w:val="20"/>
          <w:szCs w:val="20"/>
          <w:lang w:val="es-MX"/>
        </w:rPr>
        <w:t>partes podrán referirse a las mismas</w:t>
      </w:r>
      <w:r w:rsidRPr="000C41A3">
        <w:rPr>
          <w:rFonts w:ascii="Verdana" w:hAnsi="Verdana"/>
          <w:sz w:val="20"/>
          <w:szCs w:val="20"/>
          <w:lang w:val="es-MX"/>
        </w:rPr>
        <w:t xml:space="preserve"> en sus alegatos finales escritos u orales.</w:t>
      </w:r>
      <w:r w:rsidRPr="000C41A3">
        <w:rPr>
          <w:rFonts w:ascii="Verdana" w:eastAsia="Times New Roman" w:hAnsi="Verdana"/>
          <w:color w:val="000000"/>
          <w:sz w:val="20"/>
          <w:szCs w:val="20"/>
          <w:lang w:val="es-CR"/>
        </w:rPr>
        <w:t xml:space="preserve"> </w:t>
      </w:r>
    </w:p>
    <w:p w:rsidR="00292138" w:rsidRPr="000C41A3" w:rsidRDefault="00292138" w:rsidP="00292138">
      <w:pPr>
        <w:pStyle w:val="Listavistosa-nfasis1"/>
        <w:tabs>
          <w:tab w:val="left" w:pos="5593"/>
        </w:tabs>
        <w:spacing w:after="0" w:line="240" w:lineRule="auto"/>
        <w:ind w:left="0"/>
        <w:jc w:val="both"/>
        <w:rPr>
          <w:rFonts w:ascii="Verdana" w:eastAsia="Times New Roman" w:hAnsi="Verdana"/>
          <w:color w:val="000000"/>
          <w:sz w:val="20"/>
          <w:szCs w:val="20"/>
          <w:lang w:val="es-CR"/>
        </w:rPr>
      </w:pPr>
      <w:r w:rsidRPr="000C41A3">
        <w:rPr>
          <w:rFonts w:ascii="Verdana" w:eastAsia="Times New Roman" w:hAnsi="Verdana"/>
          <w:color w:val="000000"/>
          <w:sz w:val="20"/>
          <w:szCs w:val="20"/>
          <w:lang w:val="es-CR"/>
        </w:rPr>
        <w:tab/>
      </w:r>
    </w:p>
    <w:p w:rsidR="00292138" w:rsidRPr="000C41A3" w:rsidRDefault="00292138" w:rsidP="00292138">
      <w:pPr>
        <w:spacing w:line="240" w:lineRule="auto"/>
        <w:ind w:left="720"/>
        <w:jc w:val="both"/>
        <w:rPr>
          <w:rFonts w:ascii="Verdana" w:eastAsia="Times New Roman" w:hAnsi="Verdana"/>
          <w:b/>
          <w:color w:val="000000"/>
          <w:sz w:val="20"/>
          <w:szCs w:val="20"/>
          <w:lang w:val="es-CR"/>
        </w:rPr>
      </w:pPr>
      <w:r w:rsidRPr="000C41A3">
        <w:rPr>
          <w:rFonts w:ascii="Verdana" w:eastAsia="Times New Roman" w:hAnsi="Verdana"/>
          <w:b/>
          <w:color w:val="000000"/>
          <w:sz w:val="20"/>
          <w:szCs w:val="20"/>
          <w:lang w:val="es-CR"/>
        </w:rPr>
        <w:t>D) Diligencia probatoria solicitada por los representantes de las víctimas</w:t>
      </w:r>
    </w:p>
    <w:p w:rsidR="00292138" w:rsidRPr="000C41A3" w:rsidRDefault="00292138" w:rsidP="00292138">
      <w:pPr>
        <w:pStyle w:val="Listavistosa-nfasis1"/>
        <w:numPr>
          <w:ilvl w:val="0"/>
          <w:numId w:val="5"/>
        </w:numPr>
        <w:autoSpaceDE w:val="0"/>
        <w:autoSpaceDN w:val="0"/>
        <w:adjustRightInd w:val="0"/>
        <w:spacing w:after="0" w:line="240" w:lineRule="auto"/>
        <w:ind w:left="0" w:firstLine="0"/>
        <w:jc w:val="both"/>
        <w:rPr>
          <w:rFonts w:ascii="Verdana" w:hAnsi="Verdana" w:cs="Arial"/>
          <w:strike/>
          <w:sz w:val="20"/>
          <w:szCs w:val="20"/>
          <w:lang w:val="es-CR"/>
        </w:rPr>
      </w:pPr>
      <w:r w:rsidRPr="000C41A3">
        <w:rPr>
          <w:rFonts w:ascii="Verdana" w:hAnsi="Verdana" w:cs="Arial"/>
          <w:sz w:val="20"/>
          <w:szCs w:val="20"/>
          <w:lang w:val="es-CR"/>
        </w:rPr>
        <w:t>Los representantes manifestaron que</w:t>
      </w:r>
      <w:r>
        <w:rPr>
          <w:rFonts w:ascii="Verdana" w:hAnsi="Verdana" w:cs="Arial"/>
          <w:sz w:val="20"/>
          <w:szCs w:val="20"/>
          <w:lang w:val="es-CR"/>
        </w:rPr>
        <w:t>,</w:t>
      </w:r>
      <w:r w:rsidRPr="000C41A3">
        <w:rPr>
          <w:rFonts w:ascii="Verdana" w:hAnsi="Verdana" w:cs="Arial"/>
          <w:sz w:val="20"/>
          <w:szCs w:val="20"/>
          <w:lang w:val="es-CR"/>
        </w:rPr>
        <w:t xml:space="preserve"> debido a la imposibilidad de que cada una de las víctimas de la comunidad rindan directamente su declaración ante la Corte y puedan hablar sobre los hechos de los cuales fueron víctimas, solicitaron a este Tribunal que visite la comunidad y realice la diligencia probatoria. </w:t>
      </w:r>
      <w:r>
        <w:rPr>
          <w:rFonts w:ascii="Verdana" w:hAnsi="Verdana" w:cs="Arial"/>
          <w:sz w:val="20"/>
          <w:szCs w:val="20"/>
          <w:lang w:val="es-CR"/>
        </w:rPr>
        <w:t xml:space="preserve">Aportaron </w:t>
      </w:r>
      <w:r w:rsidRPr="000C41A3">
        <w:rPr>
          <w:rFonts w:ascii="Verdana" w:hAnsi="Verdana" w:cs="Arial"/>
          <w:sz w:val="20"/>
          <w:szCs w:val="20"/>
          <w:lang w:val="es-CR"/>
        </w:rPr>
        <w:t xml:space="preserve">un listado a treinta y cuatro personas que rendirán su declaración durante la diligencia probatoria solicitada anteriormente. </w:t>
      </w:r>
    </w:p>
    <w:p w:rsidR="00292138" w:rsidRPr="000C41A3" w:rsidRDefault="00292138" w:rsidP="00292138">
      <w:pPr>
        <w:pStyle w:val="Listavistosa-nfasis1"/>
        <w:autoSpaceDE w:val="0"/>
        <w:autoSpaceDN w:val="0"/>
        <w:adjustRightInd w:val="0"/>
        <w:spacing w:after="0" w:line="240" w:lineRule="auto"/>
        <w:ind w:left="0"/>
        <w:jc w:val="both"/>
        <w:rPr>
          <w:rFonts w:ascii="Verdana" w:hAnsi="Verdana" w:cs="Arial"/>
          <w:strike/>
          <w:sz w:val="20"/>
          <w:szCs w:val="20"/>
          <w:lang w:val="es-CR"/>
        </w:rPr>
      </w:pPr>
    </w:p>
    <w:p w:rsidR="00292138" w:rsidRPr="000C41A3" w:rsidRDefault="004A2725" w:rsidP="00292138">
      <w:pPr>
        <w:pStyle w:val="Listavistosa-nfasis1"/>
        <w:numPr>
          <w:ilvl w:val="0"/>
          <w:numId w:val="5"/>
        </w:numPr>
        <w:autoSpaceDE w:val="0"/>
        <w:autoSpaceDN w:val="0"/>
        <w:adjustRightInd w:val="0"/>
        <w:spacing w:after="0" w:line="240" w:lineRule="auto"/>
        <w:jc w:val="both"/>
        <w:rPr>
          <w:rFonts w:ascii="Verdana" w:hAnsi="Verdana" w:cs="Arial"/>
          <w:strike/>
          <w:sz w:val="20"/>
          <w:szCs w:val="20"/>
          <w:lang w:val="es-CR"/>
        </w:rPr>
      </w:pPr>
      <w:r>
        <w:rPr>
          <w:rFonts w:ascii="Verdana" w:hAnsi="Verdana" w:cs="Arial"/>
          <w:sz w:val="20"/>
          <w:szCs w:val="20"/>
          <w:lang w:val="es-CR"/>
        </w:rPr>
        <w:t xml:space="preserve"> </w:t>
      </w:r>
      <w:r>
        <w:rPr>
          <w:rFonts w:ascii="Verdana" w:hAnsi="Verdana" w:cs="Arial"/>
          <w:sz w:val="20"/>
          <w:szCs w:val="20"/>
          <w:lang w:val="es-CR"/>
        </w:rPr>
        <w:tab/>
      </w:r>
      <w:r w:rsidR="00292138" w:rsidRPr="000C41A3">
        <w:rPr>
          <w:rFonts w:ascii="Verdana" w:hAnsi="Verdana" w:cs="Arial"/>
          <w:sz w:val="20"/>
          <w:szCs w:val="20"/>
          <w:lang w:val="es-CR"/>
        </w:rPr>
        <w:t xml:space="preserve">El Estado no se pronunció al respecto. </w:t>
      </w:r>
    </w:p>
    <w:p w:rsidR="00292138" w:rsidRPr="000C41A3" w:rsidRDefault="00292138" w:rsidP="00292138">
      <w:pPr>
        <w:pStyle w:val="Listavistosa-nfasis1"/>
        <w:spacing w:line="240" w:lineRule="auto"/>
        <w:jc w:val="both"/>
        <w:rPr>
          <w:rFonts w:ascii="Verdana" w:hAnsi="Verdana" w:cs="Arial"/>
          <w:strike/>
          <w:sz w:val="20"/>
          <w:szCs w:val="20"/>
          <w:lang w:val="es-CR"/>
        </w:rPr>
      </w:pPr>
    </w:p>
    <w:p w:rsidR="00292138" w:rsidRPr="00D9344C" w:rsidRDefault="00292138" w:rsidP="00292138">
      <w:pPr>
        <w:pStyle w:val="Listavistosa-nfasis1"/>
        <w:numPr>
          <w:ilvl w:val="0"/>
          <w:numId w:val="5"/>
        </w:numPr>
        <w:autoSpaceDE w:val="0"/>
        <w:autoSpaceDN w:val="0"/>
        <w:adjustRightInd w:val="0"/>
        <w:spacing w:after="0" w:line="240" w:lineRule="auto"/>
        <w:ind w:left="0" w:firstLine="0"/>
        <w:jc w:val="both"/>
        <w:rPr>
          <w:rFonts w:ascii="Verdana" w:hAnsi="Verdana" w:cs="Arial"/>
          <w:strike/>
          <w:sz w:val="20"/>
          <w:szCs w:val="20"/>
          <w:lang w:val="es-CR"/>
        </w:rPr>
      </w:pPr>
      <w:r w:rsidRPr="000C41A3">
        <w:rPr>
          <w:rFonts w:ascii="Verdana" w:hAnsi="Verdana"/>
          <w:sz w:val="20"/>
          <w:szCs w:val="20"/>
          <w:lang w:val="es-MX"/>
        </w:rPr>
        <w:t xml:space="preserve">En lo que se refiere a la necesidad de realizar la diligencia, el Presidente recuerda la potestad del Tribunal de determinar las diligencias que juzgue pertinentes para mejor resolver el caso. Esta potestad incluye la posibilidad de ordenar, entre otras, la realización de cualquier diligencia probatoria o medida de instrucción fuera de la sede del Tribunal. </w:t>
      </w:r>
      <w:r w:rsidRPr="000C41A3">
        <w:rPr>
          <w:rFonts w:ascii="Verdana" w:hAnsi="Verdana"/>
          <w:sz w:val="20"/>
          <w:szCs w:val="20"/>
          <w:lang w:val="es-CR"/>
        </w:rPr>
        <w:t>Al respecto, diversos precedentes demuestran dicha facultad</w:t>
      </w:r>
      <w:r w:rsidRPr="000C41A3">
        <w:rPr>
          <w:rStyle w:val="Refdenotaalpie"/>
          <w:rFonts w:ascii="Verdana" w:hAnsi="Verdana"/>
          <w:sz w:val="20"/>
          <w:szCs w:val="20"/>
        </w:rPr>
        <w:footnoteReference w:id="10"/>
      </w:r>
      <w:r w:rsidRPr="000C41A3">
        <w:rPr>
          <w:rFonts w:ascii="Verdana" w:hAnsi="Verdana"/>
          <w:sz w:val="20"/>
          <w:szCs w:val="20"/>
          <w:lang w:val="es-CR"/>
        </w:rPr>
        <w:t xml:space="preserve">. No obstante, en el presente caso, </w:t>
      </w:r>
      <w:r>
        <w:rPr>
          <w:rFonts w:ascii="Verdana" w:hAnsi="Verdana" w:cs="Arial"/>
          <w:strike/>
          <w:sz w:val="20"/>
          <w:szCs w:val="20"/>
          <w:lang w:val="es-CR"/>
        </w:rPr>
        <w:t>e</w:t>
      </w:r>
      <w:r w:rsidRPr="00D9344C">
        <w:rPr>
          <w:rFonts w:ascii="Verdana" w:hAnsi="Verdana" w:cs="Arial"/>
          <w:sz w:val="20"/>
          <w:szCs w:val="20"/>
          <w:lang w:val="es-CR"/>
        </w:rPr>
        <w:t xml:space="preserve">sta Presidencia considera pertinente evaluar la realización de dicha diligencia probatoria una vez que se haya llevado a cabo la audiencia pública del este  caso. </w:t>
      </w:r>
    </w:p>
    <w:p w:rsidR="00292138" w:rsidRPr="000C41A3" w:rsidRDefault="00292138" w:rsidP="00292138">
      <w:pPr>
        <w:autoSpaceDE w:val="0"/>
        <w:autoSpaceDN w:val="0"/>
        <w:adjustRightInd w:val="0"/>
        <w:spacing w:after="0" w:line="240" w:lineRule="auto"/>
        <w:jc w:val="both"/>
        <w:rPr>
          <w:rFonts w:ascii="Verdana" w:hAnsi="Verdana" w:cs="Arial"/>
          <w:strike/>
          <w:sz w:val="20"/>
          <w:szCs w:val="20"/>
          <w:lang w:val="es-CR"/>
        </w:rPr>
      </w:pPr>
    </w:p>
    <w:p w:rsidR="00292138" w:rsidRPr="000C41A3" w:rsidRDefault="00292138" w:rsidP="00292138">
      <w:pPr>
        <w:spacing w:after="0" w:line="240" w:lineRule="auto"/>
        <w:jc w:val="both"/>
        <w:rPr>
          <w:rFonts w:ascii="Verdana" w:eastAsia="Times New Roman" w:hAnsi="Verdana"/>
          <w:b/>
          <w:bCs/>
          <w:color w:val="000000"/>
          <w:sz w:val="20"/>
          <w:szCs w:val="20"/>
          <w:lang w:val="es-CR"/>
        </w:rPr>
      </w:pPr>
      <w:r w:rsidRPr="000C41A3">
        <w:rPr>
          <w:rFonts w:ascii="Verdana" w:eastAsia="Times New Roman" w:hAnsi="Verdana"/>
          <w:b/>
          <w:bCs/>
          <w:color w:val="000000"/>
          <w:sz w:val="20"/>
          <w:szCs w:val="20"/>
          <w:lang w:val="es-CR"/>
        </w:rPr>
        <w:t>POR TANTO:</w:t>
      </w:r>
    </w:p>
    <w:p w:rsidR="00292138" w:rsidRPr="000C41A3" w:rsidRDefault="00292138" w:rsidP="00292138">
      <w:pPr>
        <w:pStyle w:val="Listavistosa-nfasis1"/>
        <w:spacing w:after="0" w:line="240" w:lineRule="auto"/>
        <w:ind w:left="360"/>
        <w:jc w:val="both"/>
        <w:rPr>
          <w:rFonts w:ascii="Verdana" w:eastAsia="Times New Roman" w:hAnsi="Verdana"/>
          <w:sz w:val="20"/>
          <w:szCs w:val="20"/>
          <w:lang w:val="es-CR"/>
        </w:rPr>
      </w:pPr>
    </w:p>
    <w:p w:rsidR="00292138" w:rsidRPr="000C41A3" w:rsidRDefault="00292138" w:rsidP="00292138">
      <w:pPr>
        <w:spacing w:after="0" w:line="240" w:lineRule="auto"/>
        <w:jc w:val="both"/>
        <w:rPr>
          <w:rFonts w:ascii="Verdana" w:eastAsia="Times New Roman" w:hAnsi="Verdana"/>
          <w:sz w:val="20"/>
          <w:szCs w:val="20"/>
          <w:lang w:val="es-CR"/>
        </w:rPr>
      </w:pPr>
      <w:r w:rsidRPr="000C41A3">
        <w:rPr>
          <w:rFonts w:ascii="Verdana" w:eastAsia="Times New Roman" w:hAnsi="Verdana"/>
          <w:b/>
          <w:bCs/>
          <w:color w:val="000000"/>
          <w:sz w:val="20"/>
          <w:szCs w:val="20"/>
          <w:lang w:val="es-CR"/>
        </w:rPr>
        <w:t>EL PRESIDENTE</w:t>
      </w:r>
      <w:r w:rsidR="001C32CA">
        <w:rPr>
          <w:rFonts w:ascii="Verdana" w:eastAsia="Times New Roman" w:hAnsi="Verdana"/>
          <w:b/>
          <w:bCs/>
          <w:color w:val="000000"/>
          <w:sz w:val="20"/>
          <w:szCs w:val="20"/>
          <w:lang w:val="es-CR"/>
        </w:rPr>
        <w:t xml:space="preserve"> EN EJER</w:t>
      </w:r>
      <w:r w:rsidR="00D36E99">
        <w:rPr>
          <w:rFonts w:ascii="Verdana" w:eastAsia="Times New Roman" w:hAnsi="Verdana"/>
          <w:b/>
          <w:bCs/>
          <w:color w:val="000000"/>
          <w:sz w:val="20"/>
          <w:szCs w:val="20"/>
          <w:lang w:val="es-CR"/>
        </w:rPr>
        <w:t>CICI0</w:t>
      </w:r>
      <w:r w:rsidRPr="000C41A3">
        <w:rPr>
          <w:rFonts w:ascii="Verdana" w:eastAsia="Times New Roman" w:hAnsi="Verdana"/>
          <w:b/>
          <w:bCs/>
          <w:color w:val="000000"/>
          <w:sz w:val="20"/>
          <w:szCs w:val="20"/>
          <w:lang w:val="es-CR"/>
        </w:rPr>
        <w:t xml:space="preserve"> DE LA CORTE INTERAMERICANA DE DERECHOS HUMANOS, </w:t>
      </w:r>
    </w:p>
    <w:p w:rsidR="00292138" w:rsidRPr="000C41A3" w:rsidRDefault="00292138" w:rsidP="00292138">
      <w:pPr>
        <w:pStyle w:val="Listavistosa-nfasis1"/>
        <w:spacing w:after="0" w:line="240" w:lineRule="auto"/>
        <w:ind w:left="360"/>
        <w:jc w:val="both"/>
        <w:rPr>
          <w:rFonts w:ascii="Verdana" w:eastAsia="Times New Roman" w:hAnsi="Verdana"/>
          <w:sz w:val="20"/>
          <w:szCs w:val="20"/>
          <w:lang w:val="es-CR"/>
        </w:rPr>
      </w:pPr>
    </w:p>
    <w:p w:rsidR="00292138" w:rsidRPr="000C41A3" w:rsidRDefault="00292138" w:rsidP="00292138">
      <w:pPr>
        <w:spacing w:after="0" w:line="240" w:lineRule="auto"/>
        <w:jc w:val="both"/>
        <w:rPr>
          <w:rFonts w:ascii="Verdana" w:eastAsia="Times New Roman" w:hAnsi="Verdana"/>
          <w:sz w:val="20"/>
          <w:szCs w:val="20"/>
          <w:lang w:val="es-CR"/>
        </w:rPr>
      </w:pPr>
      <w:r w:rsidRPr="000C41A3">
        <w:rPr>
          <w:rFonts w:ascii="Verdana" w:eastAsia="Times New Roman" w:hAnsi="Verdana"/>
          <w:color w:val="000000"/>
          <w:sz w:val="20"/>
          <w:szCs w:val="20"/>
          <w:lang w:val="es-CR"/>
        </w:rPr>
        <w:t xml:space="preserve">de conformidad con los artículos 24.1 y 25.2 del Estatuto de la Corte y con los artículos 4, 15.1, 26.1, 31.2, 35.1, 40.2, 41.1,  45, 46, 50 a 56 y 60  del Reglamento, </w:t>
      </w:r>
    </w:p>
    <w:p w:rsidR="00292138" w:rsidRPr="000C41A3" w:rsidRDefault="00292138" w:rsidP="00292138">
      <w:pPr>
        <w:pStyle w:val="Listavistosa-nfasis1"/>
        <w:spacing w:after="0" w:line="240" w:lineRule="auto"/>
        <w:ind w:left="360"/>
        <w:jc w:val="both"/>
        <w:rPr>
          <w:rFonts w:ascii="Verdana" w:eastAsia="Times New Roman" w:hAnsi="Verdana"/>
          <w:sz w:val="20"/>
          <w:szCs w:val="20"/>
          <w:lang w:val="es-CR"/>
        </w:rPr>
      </w:pPr>
    </w:p>
    <w:p w:rsidR="00292138" w:rsidRPr="000C41A3" w:rsidRDefault="00292138" w:rsidP="00292138">
      <w:pPr>
        <w:spacing w:after="0" w:line="240" w:lineRule="auto"/>
        <w:jc w:val="both"/>
        <w:rPr>
          <w:rFonts w:ascii="Verdana" w:eastAsia="Times New Roman" w:hAnsi="Verdana"/>
          <w:b/>
          <w:bCs/>
          <w:color w:val="000000"/>
          <w:sz w:val="20"/>
          <w:szCs w:val="20"/>
          <w:lang w:val="es-CR"/>
        </w:rPr>
      </w:pPr>
      <w:r w:rsidRPr="000C41A3">
        <w:rPr>
          <w:rFonts w:ascii="Verdana" w:eastAsia="Times New Roman" w:hAnsi="Verdana"/>
          <w:b/>
          <w:bCs/>
          <w:color w:val="000000"/>
          <w:sz w:val="20"/>
          <w:szCs w:val="20"/>
          <w:lang w:val="es-CR"/>
        </w:rPr>
        <w:lastRenderedPageBreak/>
        <w:t>RESUELVE:</w:t>
      </w:r>
    </w:p>
    <w:p w:rsidR="00292138" w:rsidRPr="000C41A3" w:rsidRDefault="00292138" w:rsidP="00292138">
      <w:pPr>
        <w:spacing w:after="0" w:line="240" w:lineRule="auto"/>
        <w:jc w:val="both"/>
        <w:rPr>
          <w:rFonts w:ascii="Verdana" w:eastAsia="Times New Roman" w:hAnsi="Verdana"/>
          <w:b/>
          <w:bCs/>
          <w:color w:val="000000"/>
          <w:sz w:val="20"/>
          <w:szCs w:val="20"/>
          <w:lang w:val="es-CR"/>
        </w:rPr>
      </w:pPr>
    </w:p>
    <w:p w:rsidR="00292138" w:rsidRPr="004A2725" w:rsidRDefault="00292138" w:rsidP="00292138">
      <w:pPr>
        <w:pStyle w:val="Listavistosa-nfasis1"/>
        <w:numPr>
          <w:ilvl w:val="0"/>
          <w:numId w:val="15"/>
        </w:numPr>
        <w:spacing w:after="0" w:line="240" w:lineRule="auto"/>
        <w:ind w:left="0" w:firstLine="0"/>
        <w:jc w:val="both"/>
        <w:rPr>
          <w:rFonts w:ascii="Verdana" w:eastAsia="Times New Roman" w:hAnsi="Verdana"/>
          <w:b/>
          <w:bCs/>
          <w:color w:val="000000"/>
          <w:sz w:val="20"/>
          <w:szCs w:val="20"/>
          <w:lang w:val="es-CR"/>
        </w:rPr>
      </w:pPr>
      <w:r w:rsidRPr="000C41A3">
        <w:rPr>
          <w:rFonts w:ascii="Verdana" w:eastAsia="Times New Roman" w:hAnsi="Verdana"/>
          <w:color w:val="000000"/>
          <w:sz w:val="20"/>
          <w:szCs w:val="20"/>
          <w:lang w:val="es-CR"/>
        </w:rPr>
        <w:t xml:space="preserve">Convocar al Estado de Guatemala, a los representantes y a la Comisión Interamericana de Derechos Humanos </w:t>
      </w:r>
      <w:r w:rsidR="004A2725">
        <w:rPr>
          <w:rFonts w:ascii="Verdana" w:eastAsia="Times New Roman" w:hAnsi="Verdana"/>
          <w:color w:val="000000"/>
          <w:sz w:val="20"/>
          <w:szCs w:val="20"/>
          <w:lang w:val="es-CR"/>
        </w:rPr>
        <w:t>a una audiencia pública sobre</w:t>
      </w:r>
      <w:r w:rsidRPr="00094E86">
        <w:rPr>
          <w:rFonts w:ascii="Verdana" w:eastAsia="Times New Roman" w:hAnsi="Verdana"/>
          <w:color w:val="000000"/>
          <w:sz w:val="20"/>
          <w:szCs w:val="20"/>
          <w:lang w:val="es-CR"/>
        </w:rPr>
        <w:t xml:space="preserve"> fondo, y eventuales reparaciones y costas que se celebrará el </w:t>
      </w:r>
      <w:r w:rsidRPr="004A2725">
        <w:rPr>
          <w:rFonts w:ascii="Verdana" w:eastAsia="Times New Roman" w:hAnsi="Verdana"/>
          <w:color w:val="000000"/>
          <w:sz w:val="20"/>
          <w:szCs w:val="20"/>
          <w:lang w:val="es-CR"/>
        </w:rPr>
        <w:t xml:space="preserve">día </w:t>
      </w:r>
      <w:r w:rsidR="00094E86" w:rsidRPr="004A2725">
        <w:rPr>
          <w:rFonts w:ascii="Verdana" w:eastAsia="Times New Roman" w:hAnsi="Verdana"/>
          <w:color w:val="000000"/>
          <w:sz w:val="20"/>
          <w:szCs w:val="20"/>
          <w:lang w:val="es-CR"/>
        </w:rPr>
        <w:t>9</w:t>
      </w:r>
      <w:r w:rsidRPr="004A2725">
        <w:rPr>
          <w:rFonts w:ascii="Verdana" w:eastAsia="Times New Roman" w:hAnsi="Verdana"/>
          <w:color w:val="000000"/>
          <w:sz w:val="20"/>
          <w:szCs w:val="20"/>
          <w:lang w:val="es-CR"/>
        </w:rPr>
        <w:t xml:space="preserve"> de febrero de 2018, a partir de las </w:t>
      </w:r>
      <w:r w:rsidR="00094E86" w:rsidRPr="004A2725">
        <w:rPr>
          <w:rFonts w:ascii="Verdana" w:eastAsia="Times New Roman" w:hAnsi="Verdana"/>
          <w:bCs/>
          <w:color w:val="000000"/>
          <w:sz w:val="20"/>
          <w:szCs w:val="20"/>
          <w:lang w:val="es-CR"/>
        </w:rPr>
        <w:t>9:00</w:t>
      </w:r>
      <w:r w:rsidR="004A2725">
        <w:rPr>
          <w:rFonts w:ascii="Verdana" w:eastAsia="Times New Roman" w:hAnsi="Verdana"/>
          <w:bCs/>
          <w:color w:val="000000"/>
          <w:sz w:val="20"/>
          <w:szCs w:val="20"/>
          <w:lang w:val="es-CR"/>
        </w:rPr>
        <w:t xml:space="preserve"> </w:t>
      </w:r>
      <w:r w:rsidRPr="004A2725">
        <w:rPr>
          <w:rFonts w:ascii="Verdana" w:eastAsia="Times New Roman" w:hAnsi="Verdana"/>
          <w:color w:val="000000"/>
          <w:sz w:val="20"/>
          <w:szCs w:val="20"/>
          <w:lang w:val="es-CR"/>
        </w:rPr>
        <w:t>horas</w:t>
      </w:r>
      <w:r w:rsidRPr="00094E86">
        <w:rPr>
          <w:rFonts w:ascii="Verdana" w:eastAsia="Times New Roman" w:hAnsi="Verdana"/>
          <w:color w:val="000000"/>
          <w:sz w:val="20"/>
          <w:szCs w:val="20"/>
          <w:lang w:val="es-CR"/>
        </w:rPr>
        <w:t xml:space="preserve">, durante el </w:t>
      </w:r>
      <w:r w:rsidRPr="00094E86">
        <w:rPr>
          <w:rFonts w:ascii="Verdana" w:eastAsia="Times New Roman" w:hAnsi="Verdana"/>
          <w:bCs/>
          <w:color w:val="000000"/>
          <w:sz w:val="20"/>
          <w:szCs w:val="20"/>
          <w:lang w:val="es-CR"/>
        </w:rPr>
        <w:t>121</w:t>
      </w:r>
      <w:r w:rsidRPr="00094E86">
        <w:rPr>
          <w:rFonts w:ascii="Verdana" w:eastAsia="Times New Roman" w:hAnsi="Verdana"/>
          <w:b/>
          <w:bCs/>
          <w:color w:val="000000"/>
          <w:sz w:val="20"/>
          <w:szCs w:val="20"/>
          <w:lang w:val="es-CR"/>
        </w:rPr>
        <w:t xml:space="preserve"> </w:t>
      </w:r>
      <w:r w:rsidRPr="00094E86">
        <w:rPr>
          <w:rFonts w:ascii="Verdana" w:eastAsia="Times New Roman" w:hAnsi="Verdana"/>
          <w:color w:val="000000"/>
          <w:sz w:val="20"/>
          <w:szCs w:val="20"/>
          <w:lang w:val="es-CR"/>
        </w:rPr>
        <w:t>Período Ordinario de Sesiones, que se llevará a cabo en la sede de la Corte en San José, Costa Rica</w:t>
      </w:r>
      <w:r w:rsidR="004A2725">
        <w:rPr>
          <w:rFonts w:ascii="Verdana" w:eastAsia="Times New Roman" w:hAnsi="Verdana"/>
          <w:color w:val="000000"/>
          <w:sz w:val="20"/>
          <w:szCs w:val="20"/>
          <w:lang w:val="es-CR"/>
        </w:rPr>
        <w:t>,</w:t>
      </w:r>
      <w:r w:rsidRPr="00094E86">
        <w:rPr>
          <w:rFonts w:ascii="Verdana" w:eastAsia="Times New Roman" w:hAnsi="Verdana"/>
          <w:color w:val="000000"/>
          <w:sz w:val="20"/>
          <w:szCs w:val="20"/>
          <w:lang w:val="es-CR"/>
        </w:rPr>
        <w:t xml:space="preserve"> para recibir sus alegatos y observaciones finales orales, así como para recibir las declaraciones de las siguientes personas:</w:t>
      </w:r>
    </w:p>
    <w:p w:rsidR="00292138" w:rsidRPr="000C41A3" w:rsidRDefault="00292138" w:rsidP="00292138">
      <w:pPr>
        <w:spacing w:after="0" w:line="240" w:lineRule="auto"/>
        <w:jc w:val="both"/>
        <w:rPr>
          <w:rFonts w:ascii="Verdana" w:eastAsia="Times New Roman" w:hAnsi="Verdana"/>
          <w:sz w:val="20"/>
          <w:szCs w:val="20"/>
          <w:lang w:val="es-CR"/>
        </w:rPr>
      </w:pPr>
    </w:p>
    <w:p w:rsidR="00292138" w:rsidRPr="000C41A3" w:rsidRDefault="00292138" w:rsidP="00292138">
      <w:pPr>
        <w:pStyle w:val="Listavistosa-nfasis1"/>
        <w:numPr>
          <w:ilvl w:val="0"/>
          <w:numId w:val="8"/>
        </w:numPr>
        <w:spacing w:after="0" w:line="240" w:lineRule="auto"/>
        <w:jc w:val="both"/>
        <w:rPr>
          <w:rFonts w:ascii="Verdana" w:eastAsia="Times New Roman" w:hAnsi="Verdana"/>
          <w:b/>
          <w:sz w:val="20"/>
          <w:szCs w:val="20"/>
        </w:rPr>
      </w:pPr>
      <w:proofErr w:type="spellStart"/>
      <w:r w:rsidRPr="000C41A3">
        <w:rPr>
          <w:rFonts w:ascii="Verdana" w:eastAsia="Times New Roman" w:hAnsi="Verdana"/>
          <w:b/>
          <w:sz w:val="20"/>
          <w:szCs w:val="20"/>
        </w:rPr>
        <w:t>Declarantes</w:t>
      </w:r>
      <w:proofErr w:type="spellEnd"/>
      <w:r w:rsidRPr="000C41A3">
        <w:rPr>
          <w:rFonts w:ascii="Verdana" w:eastAsia="Times New Roman" w:hAnsi="Verdana"/>
          <w:b/>
          <w:sz w:val="20"/>
          <w:szCs w:val="20"/>
        </w:rPr>
        <w:t xml:space="preserve"> </w:t>
      </w:r>
    </w:p>
    <w:p w:rsidR="00292138" w:rsidRPr="000C41A3" w:rsidRDefault="00292138" w:rsidP="00292138">
      <w:pPr>
        <w:spacing w:after="0" w:line="240" w:lineRule="auto"/>
        <w:ind w:left="360"/>
        <w:jc w:val="both"/>
        <w:rPr>
          <w:rFonts w:ascii="Verdana" w:eastAsia="Times New Roman" w:hAnsi="Verdana"/>
          <w:b/>
          <w:sz w:val="20"/>
          <w:szCs w:val="20"/>
        </w:rPr>
      </w:pPr>
    </w:p>
    <w:p w:rsidR="00292138" w:rsidRPr="000C41A3" w:rsidRDefault="00292138" w:rsidP="00292138">
      <w:pPr>
        <w:spacing w:after="0" w:line="240" w:lineRule="auto"/>
        <w:ind w:left="1440"/>
        <w:jc w:val="both"/>
        <w:rPr>
          <w:rFonts w:ascii="Verdana" w:eastAsia="Times New Roman" w:hAnsi="Verdana"/>
          <w:i/>
          <w:iCs/>
          <w:color w:val="000000"/>
          <w:sz w:val="20"/>
          <w:szCs w:val="20"/>
          <w:lang w:val="es-CR"/>
        </w:rPr>
      </w:pPr>
      <w:r w:rsidRPr="000C41A3">
        <w:rPr>
          <w:rFonts w:ascii="Verdana" w:eastAsia="Times New Roman" w:hAnsi="Verdana"/>
          <w:i/>
          <w:iCs/>
          <w:color w:val="000000"/>
          <w:sz w:val="20"/>
          <w:szCs w:val="20"/>
          <w:lang w:val="es-CR"/>
        </w:rPr>
        <w:t xml:space="preserve">Propuestos por los representantes </w:t>
      </w:r>
    </w:p>
    <w:p w:rsidR="00292138" w:rsidRPr="000C41A3" w:rsidRDefault="00292138" w:rsidP="00292138">
      <w:pPr>
        <w:spacing w:after="0" w:line="240" w:lineRule="auto"/>
        <w:ind w:left="1440"/>
        <w:jc w:val="both"/>
        <w:rPr>
          <w:rFonts w:ascii="Verdana" w:eastAsia="Times New Roman" w:hAnsi="Verdana"/>
          <w:b/>
          <w:sz w:val="20"/>
          <w:szCs w:val="20"/>
        </w:rPr>
      </w:pPr>
    </w:p>
    <w:p w:rsidR="00292138" w:rsidRPr="000C41A3" w:rsidRDefault="00292138" w:rsidP="00292138">
      <w:pPr>
        <w:pStyle w:val="Listavistosa-nfasis1"/>
        <w:numPr>
          <w:ilvl w:val="0"/>
          <w:numId w:val="16"/>
        </w:numPr>
        <w:spacing w:after="0" w:line="240" w:lineRule="auto"/>
        <w:ind w:left="540" w:firstLine="0"/>
        <w:jc w:val="both"/>
        <w:rPr>
          <w:rFonts w:ascii="Verdana" w:eastAsia="Times New Roman" w:hAnsi="Verdana"/>
          <w:color w:val="000000"/>
          <w:sz w:val="20"/>
          <w:szCs w:val="20"/>
          <w:lang w:val="es-CR"/>
        </w:rPr>
      </w:pPr>
      <w:r w:rsidRPr="000C41A3">
        <w:rPr>
          <w:rFonts w:ascii="Verdana" w:eastAsia="Times New Roman" w:hAnsi="Verdana"/>
          <w:i/>
          <w:color w:val="000000"/>
          <w:sz w:val="20"/>
          <w:szCs w:val="20"/>
          <w:lang w:val="es-CR"/>
        </w:rPr>
        <w:t>Tomás Grave Morente</w:t>
      </w:r>
      <w:r w:rsidRPr="000C41A3">
        <w:rPr>
          <w:rFonts w:ascii="Verdana" w:eastAsia="Times New Roman" w:hAnsi="Verdana"/>
          <w:color w:val="000000"/>
          <w:sz w:val="20"/>
          <w:szCs w:val="20"/>
          <w:lang w:val="es-CR"/>
        </w:rPr>
        <w:t>, quien declarará sobre las alegadas condiciones previas al hecho, el hecho mismo, la vida después de la masacre.</w:t>
      </w:r>
    </w:p>
    <w:p w:rsidR="00292138" w:rsidRPr="000C41A3" w:rsidRDefault="00292138" w:rsidP="00292138">
      <w:pPr>
        <w:spacing w:after="0" w:line="240" w:lineRule="auto"/>
        <w:ind w:left="540"/>
        <w:jc w:val="both"/>
        <w:rPr>
          <w:rFonts w:ascii="Verdana" w:eastAsia="Times New Roman" w:hAnsi="Verdana"/>
          <w:sz w:val="20"/>
          <w:szCs w:val="20"/>
          <w:highlight w:val="yellow"/>
          <w:lang w:val="es-CR"/>
        </w:rPr>
      </w:pPr>
    </w:p>
    <w:p w:rsidR="00292138" w:rsidRPr="000C41A3" w:rsidRDefault="00292138" w:rsidP="00292138">
      <w:pPr>
        <w:pStyle w:val="Listavistosa-nfasis1"/>
        <w:spacing w:after="0" w:line="240" w:lineRule="auto"/>
        <w:ind w:left="540"/>
        <w:jc w:val="both"/>
        <w:rPr>
          <w:rFonts w:ascii="Verdana" w:eastAsia="Times New Roman" w:hAnsi="Verdana"/>
          <w:i/>
          <w:color w:val="000000"/>
          <w:sz w:val="20"/>
          <w:szCs w:val="20"/>
          <w:lang w:val="es-CR"/>
        </w:rPr>
      </w:pPr>
    </w:p>
    <w:p w:rsidR="00292138" w:rsidRPr="000C41A3" w:rsidRDefault="00292138" w:rsidP="00292138">
      <w:pPr>
        <w:pStyle w:val="Listavistosa-nfasis1"/>
        <w:numPr>
          <w:ilvl w:val="0"/>
          <w:numId w:val="16"/>
        </w:numPr>
        <w:spacing w:after="0" w:line="240" w:lineRule="auto"/>
        <w:ind w:left="540" w:firstLine="0"/>
        <w:jc w:val="both"/>
        <w:rPr>
          <w:rFonts w:ascii="Verdana" w:eastAsia="Times New Roman" w:hAnsi="Verdana"/>
          <w:sz w:val="20"/>
          <w:szCs w:val="20"/>
          <w:lang w:val="es-CR"/>
        </w:rPr>
      </w:pPr>
      <w:r w:rsidRPr="000C41A3">
        <w:rPr>
          <w:rFonts w:ascii="Verdana" w:eastAsia="Times New Roman" w:hAnsi="Verdana"/>
          <w:i/>
          <w:color w:val="000000"/>
          <w:sz w:val="20"/>
          <w:szCs w:val="20"/>
          <w:lang w:val="es-CR"/>
        </w:rPr>
        <w:t>Natividad Sales Calmo</w:t>
      </w:r>
      <w:r w:rsidRPr="000C41A3">
        <w:rPr>
          <w:rFonts w:ascii="Verdana" w:eastAsia="Times New Roman" w:hAnsi="Verdana"/>
          <w:color w:val="000000"/>
          <w:sz w:val="20"/>
          <w:szCs w:val="20"/>
          <w:lang w:val="es-CR"/>
        </w:rPr>
        <w:t>, quien declarará sobre las alegadas condiciones previas al hecho, el hecho mismo, la vida después de la masacre.</w:t>
      </w:r>
    </w:p>
    <w:p w:rsidR="00292138" w:rsidRPr="000C41A3" w:rsidRDefault="00292138" w:rsidP="00292138">
      <w:pPr>
        <w:spacing w:after="0" w:line="240" w:lineRule="auto"/>
        <w:jc w:val="both"/>
        <w:rPr>
          <w:rFonts w:ascii="Verdana" w:eastAsia="Times New Roman" w:hAnsi="Verdana"/>
          <w:color w:val="000000"/>
          <w:sz w:val="20"/>
          <w:szCs w:val="20"/>
          <w:lang w:val="es-CR"/>
        </w:rPr>
      </w:pPr>
    </w:p>
    <w:p w:rsidR="00292138" w:rsidRPr="000C41A3" w:rsidRDefault="00292138" w:rsidP="00292138">
      <w:pPr>
        <w:pStyle w:val="Listavistosa-nfasis1"/>
        <w:numPr>
          <w:ilvl w:val="0"/>
          <w:numId w:val="15"/>
        </w:numPr>
        <w:spacing w:after="0" w:line="240" w:lineRule="auto"/>
        <w:ind w:left="0" w:firstLine="0"/>
        <w:jc w:val="both"/>
        <w:rPr>
          <w:rFonts w:ascii="Verdana" w:eastAsia="Times New Roman" w:hAnsi="Verdana"/>
          <w:color w:val="000000"/>
          <w:sz w:val="20"/>
          <w:szCs w:val="20"/>
          <w:lang w:val="es-CR"/>
        </w:rPr>
      </w:pPr>
      <w:r w:rsidRPr="000C41A3">
        <w:rPr>
          <w:rFonts w:ascii="Verdana" w:eastAsia="Times New Roman" w:hAnsi="Verdana"/>
          <w:color w:val="000000"/>
          <w:sz w:val="20"/>
          <w:szCs w:val="20"/>
          <w:lang w:val="es-CR"/>
        </w:rPr>
        <w:t xml:space="preserve">Requerir a Guatemala que facilite la salida y entrada de su territorio de los declarantes, si residen o se encuentran en él, quienes han sido citados en la presente Resolución a rendir declaración en la referida audiencia pública, de conformidad con lo dispuesto en el artículo 26.1 del Reglamento de la Corte. </w:t>
      </w:r>
    </w:p>
    <w:p w:rsidR="00292138" w:rsidRPr="000C41A3" w:rsidRDefault="00292138" w:rsidP="00292138">
      <w:pPr>
        <w:pStyle w:val="Listavistosa-nfasis1"/>
        <w:spacing w:line="240" w:lineRule="auto"/>
        <w:ind w:left="0"/>
        <w:jc w:val="both"/>
        <w:rPr>
          <w:rFonts w:ascii="Verdana" w:eastAsia="Times New Roman" w:hAnsi="Verdana"/>
          <w:color w:val="000000"/>
          <w:sz w:val="20"/>
          <w:szCs w:val="20"/>
          <w:lang w:val="es-CR"/>
        </w:rPr>
      </w:pPr>
    </w:p>
    <w:p w:rsidR="00292138" w:rsidRDefault="00292138" w:rsidP="00292138">
      <w:pPr>
        <w:pStyle w:val="Listavistosa-nfasis1"/>
        <w:numPr>
          <w:ilvl w:val="0"/>
          <w:numId w:val="15"/>
        </w:numPr>
        <w:spacing w:after="0" w:line="240" w:lineRule="auto"/>
        <w:ind w:left="0" w:firstLine="0"/>
        <w:jc w:val="both"/>
        <w:rPr>
          <w:rFonts w:ascii="Verdana" w:eastAsia="Times New Roman" w:hAnsi="Verdana"/>
          <w:color w:val="000000"/>
          <w:sz w:val="20"/>
          <w:szCs w:val="20"/>
          <w:lang w:val="es-CR"/>
        </w:rPr>
      </w:pPr>
      <w:r w:rsidRPr="000C41A3">
        <w:rPr>
          <w:rFonts w:ascii="Verdana" w:eastAsia="Times New Roman" w:hAnsi="Verdana"/>
          <w:color w:val="000000"/>
          <w:sz w:val="20"/>
          <w:szCs w:val="20"/>
          <w:lang w:val="es-CR"/>
        </w:rPr>
        <w:t>Requerir, por las razones expuestas en la presente Resolución, de conformidad con el principio de economía procesal y de la facultad que le otorga el artículo 50.1 del Reglamento de la Corte, que la</w:t>
      </w:r>
      <w:r w:rsidR="00BC6110">
        <w:rPr>
          <w:rFonts w:ascii="Verdana" w:eastAsia="Times New Roman" w:hAnsi="Verdana"/>
          <w:color w:val="000000"/>
          <w:sz w:val="20"/>
          <w:szCs w:val="20"/>
          <w:lang w:val="es-CR"/>
        </w:rPr>
        <w:t>s</w:t>
      </w:r>
      <w:r w:rsidRPr="000C41A3">
        <w:rPr>
          <w:rFonts w:ascii="Verdana" w:eastAsia="Times New Roman" w:hAnsi="Verdana"/>
          <w:color w:val="000000"/>
          <w:sz w:val="20"/>
          <w:szCs w:val="20"/>
          <w:lang w:val="es-CR"/>
        </w:rPr>
        <w:t xml:space="preserve"> siguiente</w:t>
      </w:r>
      <w:r w:rsidR="00BC6110">
        <w:rPr>
          <w:rFonts w:ascii="Verdana" w:eastAsia="Times New Roman" w:hAnsi="Verdana"/>
          <w:color w:val="000000"/>
          <w:sz w:val="20"/>
          <w:szCs w:val="20"/>
          <w:lang w:val="es-CR"/>
        </w:rPr>
        <w:t>s</w:t>
      </w:r>
      <w:r w:rsidRPr="000C41A3">
        <w:rPr>
          <w:rFonts w:ascii="Verdana" w:eastAsia="Times New Roman" w:hAnsi="Verdana"/>
          <w:color w:val="000000"/>
          <w:sz w:val="20"/>
          <w:szCs w:val="20"/>
          <w:lang w:val="es-CR"/>
        </w:rPr>
        <w:t xml:space="preserve"> persona</w:t>
      </w:r>
      <w:r w:rsidR="00BC6110">
        <w:rPr>
          <w:rFonts w:ascii="Verdana" w:eastAsia="Times New Roman" w:hAnsi="Verdana"/>
          <w:color w:val="000000"/>
          <w:sz w:val="20"/>
          <w:szCs w:val="20"/>
          <w:lang w:val="es-CR"/>
        </w:rPr>
        <w:t>s</w:t>
      </w:r>
      <w:r w:rsidRPr="000C41A3">
        <w:rPr>
          <w:rFonts w:ascii="Verdana" w:eastAsia="Times New Roman" w:hAnsi="Verdana"/>
          <w:color w:val="000000"/>
          <w:sz w:val="20"/>
          <w:szCs w:val="20"/>
          <w:lang w:val="es-CR"/>
        </w:rPr>
        <w:t xml:space="preserve"> preste</w:t>
      </w:r>
      <w:r w:rsidR="00BC6110">
        <w:rPr>
          <w:rFonts w:ascii="Verdana" w:eastAsia="Times New Roman" w:hAnsi="Verdana"/>
          <w:color w:val="000000"/>
          <w:sz w:val="20"/>
          <w:szCs w:val="20"/>
          <w:lang w:val="es-CR"/>
        </w:rPr>
        <w:t>n</w:t>
      </w:r>
      <w:r w:rsidRPr="000C41A3">
        <w:rPr>
          <w:rFonts w:ascii="Verdana" w:eastAsia="Times New Roman" w:hAnsi="Verdana"/>
          <w:color w:val="000000"/>
          <w:sz w:val="20"/>
          <w:szCs w:val="20"/>
          <w:lang w:val="es-CR"/>
        </w:rPr>
        <w:t xml:space="preserve"> su declaraci</w:t>
      </w:r>
      <w:r w:rsidR="00094E86">
        <w:rPr>
          <w:rFonts w:ascii="Verdana" w:eastAsia="Times New Roman" w:hAnsi="Verdana"/>
          <w:color w:val="000000"/>
          <w:sz w:val="20"/>
          <w:szCs w:val="20"/>
          <w:lang w:val="es-CR"/>
        </w:rPr>
        <w:t>ón</w:t>
      </w:r>
      <w:r w:rsidRPr="000C41A3">
        <w:rPr>
          <w:rFonts w:ascii="Verdana" w:eastAsia="Times New Roman" w:hAnsi="Verdana"/>
          <w:color w:val="000000"/>
          <w:sz w:val="20"/>
          <w:szCs w:val="20"/>
          <w:lang w:val="es-CR"/>
        </w:rPr>
        <w:t xml:space="preserve"> ante fedatario público:</w:t>
      </w:r>
    </w:p>
    <w:p w:rsidR="00921423" w:rsidRPr="000C41A3" w:rsidRDefault="00921423" w:rsidP="00F100C2">
      <w:pPr>
        <w:pStyle w:val="Listavistosa-nfasis1"/>
        <w:spacing w:after="0" w:line="240" w:lineRule="auto"/>
        <w:ind w:left="0"/>
        <w:jc w:val="both"/>
        <w:rPr>
          <w:rFonts w:ascii="Verdana" w:eastAsia="Times New Roman" w:hAnsi="Verdana"/>
          <w:color w:val="000000"/>
          <w:sz w:val="20"/>
          <w:szCs w:val="20"/>
          <w:lang w:val="es-CR"/>
        </w:rPr>
      </w:pPr>
    </w:p>
    <w:p w:rsidR="00292138" w:rsidRPr="000C41A3" w:rsidRDefault="00292138" w:rsidP="00292138">
      <w:pPr>
        <w:pStyle w:val="Listavistosa-nfasis1"/>
        <w:spacing w:line="240" w:lineRule="auto"/>
        <w:jc w:val="both"/>
        <w:rPr>
          <w:rFonts w:ascii="Verdana" w:eastAsia="Times New Roman" w:hAnsi="Verdana"/>
          <w:sz w:val="20"/>
          <w:szCs w:val="20"/>
          <w:lang w:val="es-CR"/>
        </w:rPr>
      </w:pPr>
    </w:p>
    <w:p w:rsidR="00292138" w:rsidRPr="000C41A3" w:rsidRDefault="00B351EF" w:rsidP="00292138">
      <w:pPr>
        <w:pStyle w:val="Listavistosa-nfasis1"/>
        <w:numPr>
          <w:ilvl w:val="0"/>
          <w:numId w:val="17"/>
        </w:numPr>
        <w:spacing w:line="240" w:lineRule="auto"/>
        <w:jc w:val="both"/>
        <w:rPr>
          <w:rFonts w:ascii="Verdana" w:hAnsi="Verdana"/>
          <w:b/>
          <w:sz w:val="20"/>
          <w:szCs w:val="20"/>
          <w:lang w:val="es-CR"/>
        </w:rPr>
      </w:pPr>
      <w:r>
        <w:rPr>
          <w:rFonts w:ascii="Verdana" w:hAnsi="Verdana"/>
          <w:b/>
          <w:sz w:val="20"/>
          <w:szCs w:val="20"/>
          <w:lang w:val="es-CR"/>
        </w:rPr>
        <w:t>Declarante</w:t>
      </w:r>
    </w:p>
    <w:p w:rsidR="00292138" w:rsidRPr="000C41A3" w:rsidRDefault="00292138" w:rsidP="00292138">
      <w:pPr>
        <w:spacing w:line="240" w:lineRule="auto"/>
        <w:ind w:left="1080"/>
        <w:jc w:val="both"/>
        <w:rPr>
          <w:rFonts w:ascii="Verdana" w:hAnsi="Verdana"/>
          <w:i/>
          <w:sz w:val="20"/>
          <w:szCs w:val="20"/>
          <w:lang w:val="es-CR"/>
        </w:rPr>
      </w:pPr>
      <w:r w:rsidRPr="000C41A3">
        <w:rPr>
          <w:rFonts w:ascii="Verdana" w:hAnsi="Verdana"/>
          <w:i/>
          <w:sz w:val="20"/>
          <w:szCs w:val="20"/>
          <w:lang w:val="es-CR"/>
        </w:rPr>
        <w:t xml:space="preserve">Propuesto por los representantes </w:t>
      </w:r>
    </w:p>
    <w:p w:rsidR="00292138" w:rsidRPr="000C41A3" w:rsidRDefault="00292138" w:rsidP="00292138">
      <w:pPr>
        <w:pStyle w:val="Listavistosa-nfasis1"/>
        <w:spacing w:after="0" w:line="240" w:lineRule="auto"/>
        <w:jc w:val="both"/>
        <w:rPr>
          <w:rFonts w:ascii="Verdana" w:eastAsia="Times New Roman" w:hAnsi="Verdana"/>
          <w:color w:val="000000"/>
          <w:sz w:val="20"/>
          <w:szCs w:val="20"/>
          <w:lang w:val="es-CR"/>
        </w:rPr>
      </w:pPr>
    </w:p>
    <w:p w:rsidR="00292138" w:rsidRDefault="00292138" w:rsidP="00292138">
      <w:pPr>
        <w:pStyle w:val="Listavistosa-nfasis1"/>
        <w:numPr>
          <w:ilvl w:val="3"/>
          <w:numId w:val="15"/>
        </w:numPr>
        <w:spacing w:after="0" w:line="240" w:lineRule="auto"/>
        <w:ind w:left="720" w:firstLine="0"/>
        <w:jc w:val="both"/>
        <w:rPr>
          <w:rFonts w:ascii="Verdana" w:eastAsia="Times New Roman" w:hAnsi="Verdana"/>
          <w:color w:val="000000"/>
          <w:sz w:val="20"/>
          <w:szCs w:val="20"/>
          <w:lang w:val="es-CR"/>
        </w:rPr>
      </w:pPr>
      <w:r w:rsidRPr="000C41A3">
        <w:rPr>
          <w:rFonts w:ascii="Verdana" w:eastAsia="Times New Roman" w:hAnsi="Verdana"/>
          <w:i/>
          <w:color w:val="000000"/>
          <w:sz w:val="20"/>
          <w:szCs w:val="20"/>
          <w:lang w:val="es-CR"/>
        </w:rPr>
        <w:t>Efraín Grave Morente</w:t>
      </w:r>
      <w:r w:rsidRPr="000C41A3">
        <w:rPr>
          <w:rFonts w:ascii="Verdana" w:eastAsia="Times New Roman" w:hAnsi="Verdana"/>
          <w:color w:val="000000"/>
          <w:sz w:val="20"/>
          <w:szCs w:val="20"/>
          <w:lang w:val="es-CR"/>
        </w:rPr>
        <w:t>, quien declarará sobre las alegadas condiciones previas al hecho, el hecho mismo, la vida después de la masacre.</w:t>
      </w:r>
    </w:p>
    <w:p w:rsidR="00362B0B" w:rsidRDefault="00362B0B" w:rsidP="00362B0B">
      <w:pPr>
        <w:pStyle w:val="Listavistosa-nfasis1"/>
        <w:spacing w:after="0" w:line="240" w:lineRule="auto"/>
        <w:jc w:val="both"/>
        <w:rPr>
          <w:rFonts w:ascii="Verdana" w:eastAsia="Times New Roman" w:hAnsi="Verdana"/>
          <w:color w:val="000000"/>
          <w:sz w:val="20"/>
          <w:szCs w:val="20"/>
          <w:lang w:val="es-CR"/>
        </w:rPr>
      </w:pPr>
    </w:p>
    <w:p w:rsidR="00B351EF" w:rsidRDefault="00B351EF" w:rsidP="00B351EF">
      <w:pPr>
        <w:pStyle w:val="Listavistosa-nfasis1"/>
        <w:spacing w:after="0" w:line="240" w:lineRule="auto"/>
        <w:jc w:val="both"/>
        <w:rPr>
          <w:rFonts w:ascii="Verdana" w:eastAsia="Times New Roman" w:hAnsi="Verdana"/>
          <w:color w:val="000000"/>
          <w:sz w:val="20"/>
          <w:szCs w:val="20"/>
          <w:lang w:val="es-CR"/>
        </w:rPr>
      </w:pPr>
    </w:p>
    <w:p w:rsidR="00B351EF" w:rsidRPr="00B351EF" w:rsidRDefault="00B351EF" w:rsidP="00B351EF">
      <w:pPr>
        <w:pStyle w:val="Listavistosa-nfasis1"/>
        <w:numPr>
          <w:ilvl w:val="0"/>
          <w:numId w:val="17"/>
        </w:numPr>
        <w:spacing w:after="0" w:line="240" w:lineRule="auto"/>
        <w:jc w:val="both"/>
        <w:rPr>
          <w:rFonts w:ascii="Verdana" w:eastAsia="Times New Roman" w:hAnsi="Verdana"/>
          <w:b/>
          <w:color w:val="000000"/>
          <w:sz w:val="20"/>
          <w:szCs w:val="20"/>
          <w:lang w:val="es-CR"/>
        </w:rPr>
      </w:pPr>
      <w:r w:rsidRPr="00B351EF">
        <w:rPr>
          <w:rFonts w:ascii="Verdana" w:eastAsia="Times New Roman" w:hAnsi="Verdana"/>
          <w:b/>
          <w:color w:val="000000"/>
          <w:sz w:val="20"/>
          <w:szCs w:val="20"/>
          <w:lang w:val="es-CR"/>
        </w:rPr>
        <w:t>Perita</w:t>
      </w:r>
    </w:p>
    <w:p w:rsidR="00292138" w:rsidRDefault="00292138" w:rsidP="00292138">
      <w:pPr>
        <w:pStyle w:val="Listavistosa-nfasis1"/>
        <w:spacing w:line="240" w:lineRule="auto"/>
        <w:ind w:left="1440"/>
        <w:jc w:val="both"/>
        <w:rPr>
          <w:rFonts w:ascii="Verdana" w:hAnsi="Verdana"/>
          <w:sz w:val="20"/>
          <w:szCs w:val="20"/>
          <w:highlight w:val="yellow"/>
          <w:lang w:val="es-CR"/>
        </w:rPr>
      </w:pPr>
    </w:p>
    <w:p w:rsidR="00B351EF" w:rsidRPr="00B351EF" w:rsidRDefault="00B351EF" w:rsidP="00292138">
      <w:pPr>
        <w:pStyle w:val="Listavistosa-nfasis1"/>
        <w:spacing w:line="240" w:lineRule="auto"/>
        <w:ind w:left="1440"/>
        <w:jc w:val="both"/>
        <w:rPr>
          <w:rFonts w:ascii="Verdana" w:hAnsi="Verdana"/>
          <w:i/>
          <w:sz w:val="20"/>
          <w:szCs w:val="20"/>
          <w:lang w:val="es-CR"/>
        </w:rPr>
      </w:pPr>
      <w:r w:rsidRPr="00B351EF">
        <w:rPr>
          <w:rFonts w:ascii="Verdana" w:hAnsi="Verdana"/>
          <w:i/>
          <w:sz w:val="20"/>
          <w:szCs w:val="20"/>
          <w:lang w:val="es-CR"/>
        </w:rPr>
        <w:t>Propuesta por la Comisión Interamericana</w:t>
      </w:r>
    </w:p>
    <w:p w:rsidR="00B351EF" w:rsidRDefault="00B351EF" w:rsidP="00292138">
      <w:pPr>
        <w:pStyle w:val="Listavistosa-nfasis1"/>
        <w:spacing w:line="240" w:lineRule="auto"/>
        <w:ind w:left="1440"/>
        <w:jc w:val="both"/>
        <w:rPr>
          <w:rFonts w:ascii="Verdana" w:hAnsi="Verdana"/>
          <w:sz w:val="20"/>
          <w:szCs w:val="20"/>
          <w:highlight w:val="yellow"/>
          <w:lang w:val="es-CR"/>
        </w:rPr>
      </w:pPr>
    </w:p>
    <w:p w:rsidR="00B351EF" w:rsidRPr="00B351EF" w:rsidRDefault="00B351EF" w:rsidP="00B351EF">
      <w:pPr>
        <w:pStyle w:val="Listavistosa-nfasis1"/>
        <w:spacing w:line="240" w:lineRule="auto"/>
        <w:jc w:val="both"/>
        <w:rPr>
          <w:rFonts w:ascii="Verdana" w:hAnsi="Verdana"/>
          <w:sz w:val="20"/>
          <w:szCs w:val="20"/>
          <w:lang w:val="es-CR"/>
        </w:rPr>
      </w:pPr>
      <w:r w:rsidRPr="00B351EF">
        <w:rPr>
          <w:rFonts w:ascii="Verdana" w:hAnsi="Verdana"/>
          <w:sz w:val="20"/>
          <w:szCs w:val="20"/>
          <w:lang w:val="es-CR"/>
        </w:rPr>
        <w:t xml:space="preserve">1. </w:t>
      </w:r>
      <w:r>
        <w:rPr>
          <w:rFonts w:ascii="Verdana" w:hAnsi="Verdana"/>
          <w:sz w:val="20"/>
          <w:szCs w:val="20"/>
          <w:lang w:val="es-CR"/>
        </w:rPr>
        <w:tab/>
      </w:r>
      <w:r w:rsidRPr="00F100C2">
        <w:rPr>
          <w:rFonts w:ascii="Verdana" w:hAnsi="Verdana"/>
          <w:i/>
          <w:sz w:val="20"/>
          <w:szCs w:val="20"/>
          <w:lang w:val="es-CR"/>
        </w:rPr>
        <w:t>Claudia Samayoa Pineda</w:t>
      </w:r>
      <w:r w:rsidRPr="00F100C2">
        <w:rPr>
          <w:rFonts w:ascii="Verdana" w:hAnsi="Verdana"/>
          <w:sz w:val="20"/>
          <w:szCs w:val="20"/>
          <w:lang w:val="es-CR"/>
        </w:rPr>
        <w:t>, quien rendirá dictamen pericial sobre las situaciones de discriminación étnica que se presentan en el marco de conflictos armados que afectan pueblos indígenas, inclusive en cuanto al desplazamiento y eventual regreso de comunidades afectadas. La perita se referirá, en la medida de lo pertinente, a los hechos del caso a la luz de los estándares desarrollados en el peritaje.</w:t>
      </w:r>
    </w:p>
    <w:p w:rsidR="00B351EF" w:rsidRPr="000C41A3" w:rsidRDefault="00B351EF" w:rsidP="00B351EF">
      <w:pPr>
        <w:pStyle w:val="Listavistosa-nfasis1"/>
        <w:spacing w:line="240" w:lineRule="auto"/>
        <w:jc w:val="both"/>
        <w:rPr>
          <w:rFonts w:ascii="Verdana" w:hAnsi="Verdana"/>
          <w:sz w:val="20"/>
          <w:szCs w:val="20"/>
          <w:highlight w:val="yellow"/>
          <w:lang w:val="es-CR"/>
        </w:rPr>
      </w:pPr>
    </w:p>
    <w:p w:rsidR="00292138" w:rsidRPr="000C41A3" w:rsidRDefault="00292138" w:rsidP="00292138">
      <w:pPr>
        <w:pStyle w:val="Listavistosa-nfasis1"/>
        <w:numPr>
          <w:ilvl w:val="0"/>
          <w:numId w:val="15"/>
        </w:numPr>
        <w:spacing w:line="240" w:lineRule="auto"/>
        <w:ind w:left="0" w:firstLine="0"/>
        <w:jc w:val="both"/>
        <w:rPr>
          <w:rFonts w:ascii="Verdana" w:hAnsi="Verdana"/>
          <w:sz w:val="20"/>
          <w:szCs w:val="20"/>
          <w:lang w:val="es-CR"/>
        </w:rPr>
      </w:pPr>
      <w:r w:rsidRPr="000C41A3">
        <w:rPr>
          <w:rFonts w:ascii="Verdana" w:hAnsi="Verdana"/>
          <w:sz w:val="20"/>
          <w:szCs w:val="20"/>
          <w:lang w:val="es-CR"/>
        </w:rPr>
        <w:t>Requerir a los representantes</w:t>
      </w:r>
      <w:r w:rsidR="00B351EF">
        <w:rPr>
          <w:rFonts w:ascii="Verdana" w:hAnsi="Verdana"/>
          <w:sz w:val="20"/>
          <w:szCs w:val="20"/>
          <w:lang w:val="es-CR"/>
        </w:rPr>
        <w:t xml:space="preserve"> y a la Comisión</w:t>
      </w:r>
      <w:r w:rsidRPr="000C41A3">
        <w:rPr>
          <w:rFonts w:ascii="Verdana" w:hAnsi="Verdana"/>
          <w:sz w:val="20"/>
          <w:szCs w:val="20"/>
          <w:lang w:val="es-CR"/>
        </w:rPr>
        <w:t xml:space="preserve"> que notifiquen la presente Resolución a las personas por ellos propuestas, que han sido convocados a rendir declaración, de conformidad con lo dispuesto en los artículos 50.2 y 50.4 del Reglamento. </w:t>
      </w:r>
    </w:p>
    <w:p w:rsidR="00292138" w:rsidRPr="000C41A3" w:rsidRDefault="00292138" w:rsidP="00292138">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numPr>
          <w:ilvl w:val="0"/>
          <w:numId w:val="15"/>
        </w:numPr>
        <w:spacing w:after="0" w:line="240" w:lineRule="auto"/>
        <w:ind w:left="0" w:firstLine="0"/>
        <w:jc w:val="both"/>
        <w:rPr>
          <w:rFonts w:ascii="Verdana" w:hAnsi="Verdana"/>
          <w:sz w:val="20"/>
          <w:szCs w:val="20"/>
          <w:lang w:val="es-CR"/>
        </w:rPr>
      </w:pPr>
      <w:r w:rsidRPr="000C41A3">
        <w:rPr>
          <w:rFonts w:ascii="Verdana" w:hAnsi="Verdana"/>
          <w:sz w:val="20"/>
          <w:szCs w:val="20"/>
          <w:lang w:val="es-CR"/>
        </w:rPr>
        <w:lastRenderedPageBreak/>
        <w:t xml:space="preserve"> Requerir al Estado </w:t>
      </w:r>
      <w:r w:rsidR="00B351EF">
        <w:rPr>
          <w:rFonts w:ascii="Verdana" w:hAnsi="Verdana"/>
          <w:sz w:val="20"/>
          <w:szCs w:val="20"/>
          <w:lang w:val="es-CR"/>
        </w:rPr>
        <w:t xml:space="preserve">y a los representantes </w:t>
      </w:r>
      <w:r w:rsidRPr="000C41A3">
        <w:rPr>
          <w:rFonts w:ascii="Verdana" w:hAnsi="Verdana"/>
          <w:sz w:val="20"/>
          <w:szCs w:val="20"/>
          <w:lang w:val="es-CR"/>
        </w:rPr>
        <w:t>que remita</w:t>
      </w:r>
      <w:r w:rsidR="00B351EF">
        <w:rPr>
          <w:rFonts w:ascii="Verdana" w:hAnsi="Verdana"/>
          <w:sz w:val="20"/>
          <w:szCs w:val="20"/>
          <w:lang w:val="es-CR"/>
        </w:rPr>
        <w:t>n</w:t>
      </w:r>
      <w:r w:rsidRPr="000C41A3">
        <w:rPr>
          <w:rFonts w:ascii="Verdana" w:hAnsi="Verdana"/>
          <w:sz w:val="20"/>
          <w:szCs w:val="20"/>
          <w:lang w:val="es-CR"/>
        </w:rPr>
        <w:t>, en los términos del artículo 50.5 del Reglamento y de considerarlo pertinente, en el p</w:t>
      </w:r>
      <w:r w:rsidR="00B351EF">
        <w:rPr>
          <w:rFonts w:ascii="Verdana" w:hAnsi="Verdana"/>
          <w:sz w:val="20"/>
          <w:szCs w:val="20"/>
          <w:lang w:val="es-CR"/>
        </w:rPr>
        <w:t>lazo improrrogable que vence el</w:t>
      </w:r>
      <w:r w:rsidR="00921423">
        <w:rPr>
          <w:rFonts w:ascii="Verdana" w:hAnsi="Verdana"/>
          <w:sz w:val="20"/>
          <w:szCs w:val="20"/>
          <w:lang w:val="es-CR"/>
        </w:rPr>
        <w:t xml:space="preserve"> 8</w:t>
      </w:r>
      <w:r w:rsidRPr="000C41A3">
        <w:rPr>
          <w:rFonts w:ascii="Verdana" w:hAnsi="Verdana"/>
          <w:sz w:val="20"/>
          <w:szCs w:val="20"/>
          <w:lang w:val="es-CR"/>
        </w:rPr>
        <w:t xml:space="preserve"> de enero de 2018, las preguntas que estime</w:t>
      </w:r>
      <w:r w:rsidR="00B351EF">
        <w:rPr>
          <w:rFonts w:ascii="Verdana" w:hAnsi="Verdana"/>
          <w:sz w:val="20"/>
          <w:szCs w:val="20"/>
          <w:lang w:val="es-CR"/>
        </w:rPr>
        <w:t>n</w:t>
      </w:r>
      <w:r w:rsidRPr="000C41A3">
        <w:rPr>
          <w:rFonts w:ascii="Verdana" w:hAnsi="Verdana"/>
          <w:sz w:val="20"/>
          <w:szCs w:val="20"/>
          <w:lang w:val="es-CR"/>
        </w:rPr>
        <w:t xml:space="preserve"> pertinentes formular, a través de la Corte Interamericana, a</w:t>
      </w:r>
      <w:r w:rsidR="00B351EF">
        <w:rPr>
          <w:rFonts w:ascii="Verdana" w:hAnsi="Verdana"/>
          <w:sz w:val="20"/>
          <w:szCs w:val="20"/>
          <w:lang w:val="es-CR"/>
        </w:rPr>
        <w:t xml:space="preserve"> </w:t>
      </w:r>
      <w:r w:rsidRPr="000C41A3">
        <w:rPr>
          <w:rFonts w:ascii="Verdana" w:hAnsi="Verdana"/>
          <w:sz w:val="20"/>
          <w:szCs w:val="20"/>
          <w:lang w:val="es-CR"/>
        </w:rPr>
        <w:t>l</w:t>
      </w:r>
      <w:r w:rsidR="00B351EF">
        <w:rPr>
          <w:rFonts w:ascii="Verdana" w:hAnsi="Verdana"/>
          <w:sz w:val="20"/>
          <w:szCs w:val="20"/>
          <w:lang w:val="es-CR"/>
        </w:rPr>
        <w:t>os</w:t>
      </w:r>
      <w:r w:rsidRPr="000C41A3">
        <w:rPr>
          <w:rFonts w:ascii="Verdana" w:hAnsi="Verdana"/>
          <w:sz w:val="20"/>
          <w:szCs w:val="20"/>
          <w:lang w:val="es-CR"/>
        </w:rPr>
        <w:t xml:space="preserve"> declarante</w:t>
      </w:r>
      <w:r w:rsidR="00B351EF">
        <w:rPr>
          <w:rFonts w:ascii="Verdana" w:hAnsi="Verdana"/>
          <w:sz w:val="20"/>
          <w:szCs w:val="20"/>
          <w:lang w:val="es-CR"/>
        </w:rPr>
        <w:t>s</w:t>
      </w:r>
      <w:r w:rsidRPr="000C41A3">
        <w:rPr>
          <w:rFonts w:ascii="Verdana" w:hAnsi="Verdana"/>
          <w:sz w:val="20"/>
          <w:szCs w:val="20"/>
          <w:lang w:val="es-CR"/>
        </w:rPr>
        <w:t xml:space="preserve"> indicado</w:t>
      </w:r>
      <w:r w:rsidR="00B351EF">
        <w:rPr>
          <w:rFonts w:ascii="Verdana" w:hAnsi="Verdana"/>
          <w:sz w:val="20"/>
          <w:szCs w:val="20"/>
          <w:lang w:val="es-CR"/>
        </w:rPr>
        <w:t>s</w:t>
      </w:r>
      <w:r w:rsidRPr="000C41A3">
        <w:rPr>
          <w:rFonts w:ascii="Verdana" w:hAnsi="Verdana"/>
          <w:sz w:val="20"/>
          <w:szCs w:val="20"/>
          <w:lang w:val="es-CR"/>
        </w:rPr>
        <w:t xml:space="preserve"> en el punto </w:t>
      </w:r>
      <w:r w:rsidRPr="00B351EF">
        <w:rPr>
          <w:rFonts w:ascii="Verdana" w:hAnsi="Verdana"/>
          <w:sz w:val="20"/>
          <w:szCs w:val="20"/>
          <w:lang w:val="es-CR"/>
        </w:rPr>
        <w:t>resolutivo tres</w:t>
      </w:r>
      <w:r w:rsidRPr="000C41A3">
        <w:rPr>
          <w:rFonts w:ascii="Verdana" w:hAnsi="Verdana"/>
          <w:sz w:val="20"/>
          <w:szCs w:val="20"/>
          <w:lang w:val="es-CR"/>
        </w:rPr>
        <w:t xml:space="preserve"> de la presente Resolución.</w:t>
      </w:r>
    </w:p>
    <w:p w:rsidR="00292138" w:rsidRPr="000C41A3" w:rsidRDefault="00292138" w:rsidP="00292138">
      <w:pPr>
        <w:spacing w:after="0" w:line="240" w:lineRule="auto"/>
        <w:jc w:val="both"/>
        <w:rPr>
          <w:rFonts w:ascii="Verdana" w:hAnsi="Verdana"/>
          <w:sz w:val="20"/>
          <w:szCs w:val="20"/>
          <w:lang w:val="es-CR"/>
        </w:rPr>
      </w:pPr>
      <w:r w:rsidRPr="000C41A3">
        <w:rPr>
          <w:rFonts w:ascii="Verdana" w:hAnsi="Verdana"/>
          <w:sz w:val="20"/>
          <w:szCs w:val="20"/>
          <w:lang w:val="es-CR"/>
        </w:rPr>
        <w:t xml:space="preserve"> </w:t>
      </w:r>
    </w:p>
    <w:p w:rsidR="00292138" w:rsidRPr="000C41A3" w:rsidRDefault="00292138" w:rsidP="00292138">
      <w:pPr>
        <w:pStyle w:val="Listavistosa-nfasis1"/>
        <w:numPr>
          <w:ilvl w:val="0"/>
          <w:numId w:val="15"/>
        </w:numPr>
        <w:spacing w:after="0" w:line="240" w:lineRule="auto"/>
        <w:ind w:left="0" w:firstLine="0"/>
        <w:jc w:val="both"/>
        <w:rPr>
          <w:rFonts w:ascii="Verdana" w:hAnsi="Verdana"/>
          <w:sz w:val="20"/>
          <w:szCs w:val="20"/>
          <w:lang w:val="es-CR"/>
        </w:rPr>
      </w:pPr>
      <w:r w:rsidRPr="000C41A3">
        <w:rPr>
          <w:rFonts w:ascii="Verdana" w:hAnsi="Verdana"/>
          <w:sz w:val="20"/>
          <w:szCs w:val="20"/>
          <w:lang w:val="es-CR"/>
        </w:rPr>
        <w:t xml:space="preserve">Requerir a los representantes </w:t>
      </w:r>
      <w:r w:rsidR="00B351EF">
        <w:rPr>
          <w:rFonts w:ascii="Verdana" w:hAnsi="Verdana"/>
          <w:sz w:val="20"/>
          <w:szCs w:val="20"/>
          <w:lang w:val="es-CR"/>
        </w:rPr>
        <w:t xml:space="preserve">y a la Comisión Interamericana </w:t>
      </w:r>
      <w:r w:rsidRPr="000C41A3">
        <w:rPr>
          <w:rFonts w:ascii="Verdana" w:hAnsi="Verdana"/>
          <w:sz w:val="20"/>
          <w:szCs w:val="20"/>
          <w:lang w:val="es-CR"/>
        </w:rPr>
        <w:t>que coordinen y realicen las diligencias necesarias para que, una vez recibidas las preguntas de la contraparte, el declarante incluya las respuestas en s</w:t>
      </w:r>
      <w:r w:rsidR="00B351EF">
        <w:rPr>
          <w:rFonts w:ascii="Verdana" w:hAnsi="Verdana"/>
          <w:sz w:val="20"/>
          <w:szCs w:val="20"/>
          <w:lang w:val="es-CR"/>
        </w:rPr>
        <w:t>u respectiva declaración rendida</w:t>
      </w:r>
      <w:r w:rsidRPr="000C41A3">
        <w:rPr>
          <w:rFonts w:ascii="Verdana" w:hAnsi="Verdana"/>
          <w:sz w:val="20"/>
          <w:szCs w:val="20"/>
          <w:lang w:val="es-CR"/>
        </w:rPr>
        <w:t xml:space="preserve"> ante fedatario público, salvo que el Presidente disponga lo contrario cuando la Secretaría de la Corte las transmita. La</w:t>
      </w:r>
      <w:r w:rsidR="00B351EF">
        <w:rPr>
          <w:rFonts w:ascii="Verdana" w:hAnsi="Verdana"/>
          <w:sz w:val="20"/>
          <w:szCs w:val="20"/>
          <w:lang w:val="es-CR"/>
        </w:rPr>
        <w:t>s declaraciones</w:t>
      </w:r>
      <w:r w:rsidRPr="000C41A3">
        <w:rPr>
          <w:rFonts w:ascii="Verdana" w:hAnsi="Verdana"/>
          <w:sz w:val="20"/>
          <w:szCs w:val="20"/>
          <w:lang w:val="es-CR"/>
        </w:rPr>
        <w:t xml:space="preserve"> requerida</w:t>
      </w:r>
      <w:r w:rsidR="00B351EF">
        <w:rPr>
          <w:rFonts w:ascii="Verdana" w:hAnsi="Verdana"/>
          <w:sz w:val="20"/>
          <w:szCs w:val="20"/>
          <w:lang w:val="es-CR"/>
        </w:rPr>
        <w:t>s</w:t>
      </w:r>
      <w:r w:rsidRPr="000C41A3">
        <w:rPr>
          <w:rFonts w:ascii="Verdana" w:hAnsi="Verdana"/>
          <w:sz w:val="20"/>
          <w:szCs w:val="20"/>
          <w:lang w:val="es-CR"/>
        </w:rPr>
        <w:t xml:space="preserve"> en el referido punto resolutivo </w:t>
      </w:r>
      <w:r w:rsidRPr="00B351EF">
        <w:rPr>
          <w:rFonts w:ascii="Verdana" w:hAnsi="Verdana"/>
          <w:sz w:val="20"/>
          <w:szCs w:val="20"/>
          <w:lang w:val="es-CR"/>
        </w:rPr>
        <w:t>tres</w:t>
      </w:r>
      <w:r w:rsidRPr="000C41A3">
        <w:rPr>
          <w:rFonts w:ascii="Verdana" w:hAnsi="Verdana"/>
          <w:sz w:val="20"/>
          <w:szCs w:val="20"/>
          <w:lang w:val="es-CR"/>
        </w:rPr>
        <w:t xml:space="preserve"> deber</w:t>
      </w:r>
      <w:r w:rsidR="00A81F55">
        <w:rPr>
          <w:rFonts w:ascii="Verdana" w:hAnsi="Verdana"/>
          <w:sz w:val="20"/>
          <w:szCs w:val="20"/>
          <w:lang w:val="es-CR"/>
        </w:rPr>
        <w:t>á ser presentadas</w:t>
      </w:r>
      <w:r w:rsidRPr="000C41A3">
        <w:rPr>
          <w:rFonts w:ascii="Verdana" w:hAnsi="Verdana"/>
          <w:sz w:val="20"/>
          <w:szCs w:val="20"/>
          <w:lang w:val="es-CR"/>
        </w:rPr>
        <w:t xml:space="preserve"> a más tardar el </w:t>
      </w:r>
      <w:r w:rsidR="00A81F55">
        <w:rPr>
          <w:rFonts w:ascii="Verdana" w:hAnsi="Verdana"/>
          <w:sz w:val="20"/>
          <w:szCs w:val="20"/>
          <w:lang w:val="es-CR"/>
        </w:rPr>
        <w:t>22 de enero</w:t>
      </w:r>
      <w:r w:rsidRPr="000C41A3">
        <w:rPr>
          <w:rFonts w:ascii="Verdana" w:hAnsi="Verdana"/>
          <w:sz w:val="20"/>
          <w:szCs w:val="20"/>
          <w:lang w:val="es-CR"/>
        </w:rPr>
        <w:t xml:space="preserve"> de 2018. </w:t>
      </w:r>
    </w:p>
    <w:p w:rsidR="00292138" w:rsidRPr="000C41A3" w:rsidRDefault="00292138" w:rsidP="00292138">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numPr>
          <w:ilvl w:val="0"/>
          <w:numId w:val="15"/>
        </w:numPr>
        <w:spacing w:line="240" w:lineRule="auto"/>
        <w:ind w:left="0" w:firstLine="0"/>
        <w:jc w:val="both"/>
        <w:rPr>
          <w:rFonts w:ascii="Verdana" w:hAnsi="Verdana"/>
          <w:sz w:val="20"/>
          <w:szCs w:val="20"/>
          <w:lang w:val="es-CR"/>
        </w:rPr>
      </w:pPr>
      <w:r w:rsidRPr="000C41A3">
        <w:rPr>
          <w:rFonts w:ascii="Verdana" w:hAnsi="Verdana"/>
          <w:sz w:val="20"/>
          <w:szCs w:val="20"/>
          <w:lang w:val="es-CR"/>
        </w:rPr>
        <w:t>Disponer, conforme al artículo 50.6 del Reglamento que, una vez recibida</w:t>
      </w:r>
      <w:r w:rsidR="00A81F55">
        <w:rPr>
          <w:rFonts w:ascii="Verdana" w:hAnsi="Verdana"/>
          <w:sz w:val="20"/>
          <w:szCs w:val="20"/>
          <w:lang w:val="es-CR"/>
        </w:rPr>
        <w:t>s</w:t>
      </w:r>
      <w:r w:rsidRPr="000C41A3">
        <w:rPr>
          <w:rFonts w:ascii="Verdana" w:hAnsi="Verdana"/>
          <w:sz w:val="20"/>
          <w:szCs w:val="20"/>
          <w:lang w:val="es-CR"/>
        </w:rPr>
        <w:t xml:space="preserve"> la</w:t>
      </w:r>
      <w:r w:rsidR="00A81F55">
        <w:rPr>
          <w:rFonts w:ascii="Verdana" w:hAnsi="Verdana"/>
          <w:sz w:val="20"/>
          <w:szCs w:val="20"/>
          <w:lang w:val="es-CR"/>
        </w:rPr>
        <w:t>s declaraciones</w:t>
      </w:r>
      <w:r w:rsidRPr="000C41A3">
        <w:rPr>
          <w:rFonts w:ascii="Verdana" w:hAnsi="Verdana"/>
          <w:sz w:val="20"/>
          <w:szCs w:val="20"/>
          <w:lang w:val="es-CR"/>
        </w:rPr>
        <w:t>, la Secretaría de la Corte Interamericana la</w:t>
      </w:r>
      <w:r w:rsidR="00A81F55">
        <w:rPr>
          <w:rFonts w:ascii="Verdana" w:hAnsi="Verdana"/>
          <w:sz w:val="20"/>
          <w:szCs w:val="20"/>
          <w:lang w:val="es-CR"/>
        </w:rPr>
        <w:t>s transmita a las partes</w:t>
      </w:r>
      <w:r w:rsidRPr="000C41A3">
        <w:rPr>
          <w:rFonts w:ascii="Verdana" w:hAnsi="Verdana"/>
          <w:sz w:val="20"/>
          <w:szCs w:val="20"/>
          <w:lang w:val="es-CR"/>
        </w:rPr>
        <w:t xml:space="preserve"> y a la Comisión para que presenten, según sea el caso, sus observaciones a más tardar con sus alegatos u </w:t>
      </w:r>
      <w:r w:rsidR="004A2725">
        <w:rPr>
          <w:rFonts w:ascii="Verdana" w:hAnsi="Verdana"/>
          <w:sz w:val="20"/>
          <w:szCs w:val="20"/>
          <w:lang w:val="es-CR"/>
        </w:rPr>
        <w:t>observaciones finales escritos</w:t>
      </w:r>
      <w:r w:rsidRPr="000C41A3">
        <w:rPr>
          <w:rFonts w:ascii="Verdana" w:hAnsi="Verdana"/>
          <w:sz w:val="20"/>
          <w:szCs w:val="20"/>
          <w:lang w:val="es-CR"/>
        </w:rPr>
        <w:t>.</w:t>
      </w:r>
    </w:p>
    <w:p w:rsidR="00292138" w:rsidRPr="000C41A3" w:rsidRDefault="00292138" w:rsidP="00292138">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numPr>
          <w:ilvl w:val="0"/>
          <w:numId w:val="15"/>
        </w:numPr>
        <w:spacing w:line="240" w:lineRule="auto"/>
        <w:ind w:left="0" w:firstLine="0"/>
        <w:jc w:val="both"/>
        <w:rPr>
          <w:rFonts w:ascii="Verdana" w:hAnsi="Verdana"/>
          <w:sz w:val="20"/>
          <w:szCs w:val="20"/>
          <w:lang w:val="es-CR"/>
        </w:rPr>
      </w:pPr>
      <w:r w:rsidRPr="000C41A3">
        <w:rPr>
          <w:rFonts w:ascii="Verdana" w:hAnsi="Verdana"/>
          <w:sz w:val="20"/>
          <w:szCs w:val="20"/>
          <w:lang w:val="es-CR"/>
        </w:rPr>
        <w:t xml:space="preserve">Requerir a los representantes que informen a las personas convocadas por la Corte para declarar que, según lo dispuesto en el artículo 54 del Reglamento, el Tribunal pondrá en conocimiento del Estado los casos en que las personas requeridas para comparecer o declarar no comparecieren o rehusaren deponer sin motivo legítimo o que, en el parecer de la misma Corte, hayan violado el juramento o la declaración solemne, para los fines previstos en la legislación nacional correspondiente. </w:t>
      </w:r>
    </w:p>
    <w:p w:rsidR="00292138" w:rsidRPr="000C41A3" w:rsidRDefault="00292138" w:rsidP="00292138">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numPr>
          <w:ilvl w:val="0"/>
          <w:numId w:val="15"/>
        </w:numPr>
        <w:spacing w:line="240" w:lineRule="auto"/>
        <w:ind w:left="0" w:firstLine="0"/>
        <w:jc w:val="both"/>
        <w:rPr>
          <w:rFonts w:ascii="Verdana" w:hAnsi="Verdana"/>
          <w:sz w:val="20"/>
          <w:szCs w:val="20"/>
          <w:lang w:val="es-CR"/>
        </w:rPr>
      </w:pPr>
      <w:r w:rsidRPr="000C41A3">
        <w:rPr>
          <w:rFonts w:ascii="Verdana" w:hAnsi="Verdana"/>
          <w:sz w:val="20"/>
          <w:szCs w:val="20"/>
          <w:lang w:val="es-CR"/>
        </w:rPr>
        <w:t>Informar a los representantes, al Estado y a la Comisión Interamericana que, al término de las declaraciones rendidas en la audiencia pública, podrán presentar ante el Tribunal sus alegatos finales orales y observaciones finales orales, respectivamente, sobre fondo y eventuales reparaciones y costas en el presente caso.</w:t>
      </w:r>
    </w:p>
    <w:p w:rsidR="00292138" w:rsidRPr="000C41A3" w:rsidRDefault="00292138" w:rsidP="00292138">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numPr>
          <w:ilvl w:val="0"/>
          <w:numId w:val="15"/>
        </w:numPr>
        <w:spacing w:line="240" w:lineRule="auto"/>
        <w:ind w:left="0" w:firstLine="0"/>
        <w:jc w:val="both"/>
        <w:rPr>
          <w:rFonts w:ascii="Verdana" w:hAnsi="Verdana"/>
          <w:sz w:val="20"/>
          <w:szCs w:val="20"/>
          <w:lang w:val="es-CR"/>
        </w:rPr>
      </w:pPr>
      <w:r w:rsidRPr="000C41A3">
        <w:rPr>
          <w:rFonts w:ascii="Verdana" w:hAnsi="Verdana"/>
          <w:sz w:val="20"/>
          <w:szCs w:val="20"/>
          <w:lang w:val="es-CR"/>
        </w:rPr>
        <w:t>Disponer que la Secretaría de la Corte, de conformidad con lo dispuesto en el artículo 55.3 del Reglamento, indique a la Comisión Interamericana, a los representantes y al Estado el enlace donde se encontrará disponible la grabación de la audiencia pública, a la brevedad posible luego de la celebración de la referida audiencia.</w:t>
      </w:r>
    </w:p>
    <w:p w:rsidR="00292138" w:rsidRPr="000C41A3" w:rsidRDefault="00292138" w:rsidP="00292138">
      <w:pPr>
        <w:pStyle w:val="Listavistosa-nfasis1"/>
        <w:spacing w:line="240" w:lineRule="auto"/>
        <w:ind w:left="0"/>
        <w:jc w:val="both"/>
        <w:rPr>
          <w:rFonts w:ascii="Verdana" w:hAnsi="Verdana"/>
          <w:sz w:val="20"/>
          <w:szCs w:val="20"/>
          <w:lang w:val="es-CR"/>
        </w:rPr>
      </w:pPr>
    </w:p>
    <w:p w:rsidR="00197DFC" w:rsidRPr="00A81F55" w:rsidRDefault="00197DFC" w:rsidP="00292138">
      <w:pPr>
        <w:pStyle w:val="Listavistosa-nfasis1"/>
        <w:numPr>
          <w:ilvl w:val="0"/>
          <w:numId w:val="15"/>
        </w:numPr>
        <w:spacing w:after="0" w:line="240" w:lineRule="auto"/>
        <w:ind w:left="0" w:firstLine="0"/>
        <w:jc w:val="both"/>
        <w:rPr>
          <w:rFonts w:ascii="Verdana" w:eastAsia="Times New Roman" w:hAnsi="Verdana"/>
          <w:color w:val="000000"/>
          <w:sz w:val="20"/>
          <w:szCs w:val="20"/>
          <w:lang w:val="es-CR"/>
        </w:rPr>
      </w:pPr>
      <w:r>
        <w:rPr>
          <w:rFonts w:ascii="Verdana" w:hAnsi="Verdana"/>
          <w:sz w:val="20"/>
          <w:szCs w:val="20"/>
          <w:lang w:val="es-CR"/>
        </w:rPr>
        <w:t xml:space="preserve"> </w:t>
      </w:r>
      <w:r w:rsidRPr="00A81F55">
        <w:rPr>
          <w:rFonts w:ascii="Verdana" w:hAnsi="Verdana"/>
          <w:sz w:val="20"/>
          <w:szCs w:val="20"/>
          <w:lang w:val="es-CR"/>
        </w:rPr>
        <w:t xml:space="preserve">Incorporar al acervo probatorio, en lo que resulte pertinente, </w:t>
      </w:r>
      <w:r w:rsidRPr="00A81F55">
        <w:rPr>
          <w:rFonts w:ascii="Verdana" w:hAnsi="Verdana" w:cs="Arial"/>
          <w:sz w:val="20"/>
          <w:szCs w:val="20"/>
          <w:lang w:val="es-CR"/>
        </w:rPr>
        <w:t>la declaración jurada de las diecisiete personas, las cuales constan en videograbaciones</w:t>
      </w:r>
      <w:r w:rsidRPr="00A81F55">
        <w:rPr>
          <w:rFonts w:ascii="Verdana" w:hAnsi="Verdana"/>
          <w:sz w:val="20"/>
          <w:szCs w:val="20"/>
          <w:lang w:val="es-MX"/>
        </w:rPr>
        <w:t xml:space="preserve">, toda vez que podría resultar útiles para la resolución del presente caso, de acuerdo a lo indicado en el Considerativo 20 de la presente Resolución. </w:t>
      </w:r>
    </w:p>
    <w:p w:rsidR="00197DFC" w:rsidRPr="00197DFC" w:rsidRDefault="00197DFC" w:rsidP="00197DFC">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numPr>
          <w:ilvl w:val="0"/>
          <w:numId w:val="15"/>
        </w:numPr>
        <w:spacing w:line="240" w:lineRule="auto"/>
        <w:ind w:left="0" w:firstLine="0"/>
        <w:jc w:val="both"/>
        <w:rPr>
          <w:rFonts w:ascii="Verdana" w:hAnsi="Verdana"/>
          <w:sz w:val="20"/>
          <w:szCs w:val="20"/>
          <w:lang w:val="es-CR"/>
        </w:rPr>
      </w:pPr>
      <w:r w:rsidRPr="000C41A3">
        <w:rPr>
          <w:rFonts w:ascii="Verdana" w:hAnsi="Verdana"/>
          <w:sz w:val="20"/>
          <w:szCs w:val="20"/>
          <w:lang w:val="es-CR"/>
        </w:rPr>
        <w:t>Incorporar al acervo probatorio, en lo que resulte pertinente, los peritajes rendidos por los señores</w:t>
      </w:r>
      <w:r w:rsidRPr="000C41A3">
        <w:rPr>
          <w:rFonts w:ascii="Verdana" w:eastAsia="Times New Roman" w:hAnsi="Verdana"/>
          <w:color w:val="000000"/>
          <w:sz w:val="20"/>
          <w:szCs w:val="20"/>
          <w:lang w:val="es-CR"/>
        </w:rPr>
        <w:t xml:space="preserve"> Alejandro Rodríguez y Cristian Correa dentro del </w:t>
      </w:r>
      <w:r w:rsidRPr="000C41A3">
        <w:rPr>
          <w:rFonts w:ascii="Verdana" w:eastAsia="Times New Roman" w:hAnsi="Verdana"/>
          <w:i/>
          <w:color w:val="000000"/>
          <w:sz w:val="20"/>
          <w:szCs w:val="20"/>
          <w:lang w:val="es-CR"/>
        </w:rPr>
        <w:t>Caso Miembros de la Aldea de Chichupac y Comunidades Vecinas del Municipio de Rabinal vs. Guatemala</w:t>
      </w:r>
      <w:r w:rsidRPr="000C41A3">
        <w:rPr>
          <w:rFonts w:ascii="Verdana" w:eastAsia="Times New Roman" w:hAnsi="Verdana"/>
          <w:color w:val="000000"/>
          <w:sz w:val="20"/>
          <w:szCs w:val="20"/>
          <w:lang w:val="es-CR"/>
        </w:rPr>
        <w:t>, así como por los señores Micha</w:t>
      </w:r>
      <w:r w:rsidR="004A2725">
        <w:rPr>
          <w:rFonts w:ascii="Verdana" w:eastAsia="Times New Roman" w:hAnsi="Verdana"/>
          <w:color w:val="000000"/>
          <w:sz w:val="20"/>
          <w:szCs w:val="20"/>
          <w:lang w:val="es-CR"/>
        </w:rPr>
        <w:t>el Paul Hermann y Juan Méndez y</w:t>
      </w:r>
      <w:r w:rsidRPr="000C41A3">
        <w:rPr>
          <w:rFonts w:ascii="Verdana" w:eastAsia="Times New Roman" w:hAnsi="Verdana"/>
          <w:color w:val="000000"/>
          <w:sz w:val="20"/>
          <w:szCs w:val="20"/>
          <w:lang w:val="es-CR"/>
        </w:rPr>
        <w:t xml:space="preserve"> la señora Rosalina Tuyuc dentro del </w:t>
      </w:r>
      <w:r w:rsidRPr="000C41A3">
        <w:rPr>
          <w:rFonts w:ascii="Verdana" w:eastAsia="Times New Roman" w:hAnsi="Verdana"/>
          <w:i/>
          <w:color w:val="000000"/>
          <w:sz w:val="20"/>
          <w:szCs w:val="20"/>
          <w:lang w:val="es-CR"/>
        </w:rPr>
        <w:t>Caso de las Masacres de Río Negro vs. Guatemala</w:t>
      </w:r>
      <w:r w:rsidRPr="000C41A3">
        <w:rPr>
          <w:rFonts w:ascii="Verdana" w:hAnsi="Verdana"/>
          <w:sz w:val="20"/>
          <w:szCs w:val="20"/>
          <w:lang w:val="es-CR"/>
        </w:rPr>
        <w:t xml:space="preserve">, de conformidad con lo indicado en </w:t>
      </w:r>
      <w:r w:rsidR="00197DFC" w:rsidRPr="00A81F55">
        <w:rPr>
          <w:rFonts w:ascii="Verdana" w:hAnsi="Verdana"/>
          <w:sz w:val="20"/>
          <w:szCs w:val="20"/>
          <w:lang w:val="es-CR"/>
        </w:rPr>
        <w:t>C</w:t>
      </w:r>
      <w:r w:rsidRPr="00A81F55">
        <w:rPr>
          <w:rFonts w:ascii="Verdana" w:hAnsi="Verdana"/>
          <w:sz w:val="20"/>
          <w:szCs w:val="20"/>
          <w:lang w:val="es-CR"/>
        </w:rPr>
        <w:t xml:space="preserve">onsiderativo </w:t>
      </w:r>
      <w:r w:rsidR="004A2725" w:rsidRPr="00A81F55">
        <w:rPr>
          <w:rFonts w:ascii="Verdana" w:hAnsi="Verdana"/>
          <w:sz w:val="20"/>
          <w:szCs w:val="20"/>
          <w:lang w:val="es-CR"/>
        </w:rPr>
        <w:t>16</w:t>
      </w:r>
      <w:r w:rsidRPr="00A81F55">
        <w:rPr>
          <w:rFonts w:ascii="Verdana" w:hAnsi="Verdana"/>
          <w:sz w:val="20"/>
          <w:szCs w:val="20"/>
          <w:lang w:val="es-CR"/>
        </w:rPr>
        <w:t xml:space="preserve"> de</w:t>
      </w:r>
      <w:r w:rsidRPr="000C41A3">
        <w:rPr>
          <w:rFonts w:ascii="Verdana" w:hAnsi="Verdana"/>
          <w:sz w:val="20"/>
          <w:szCs w:val="20"/>
          <w:lang w:val="es-CR"/>
        </w:rPr>
        <w:t xml:space="preserve"> la presente Resolución. </w:t>
      </w:r>
    </w:p>
    <w:p w:rsidR="00292138" w:rsidRPr="000C41A3" w:rsidRDefault="00292138" w:rsidP="00292138">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numPr>
          <w:ilvl w:val="0"/>
          <w:numId w:val="15"/>
        </w:numPr>
        <w:spacing w:line="240" w:lineRule="auto"/>
        <w:ind w:left="0" w:firstLine="0"/>
        <w:jc w:val="both"/>
        <w:rPr>
          <w:rFonts w:ascii="Verdana" w:hAnsi="Verdana"/>
          <w:sz w:val="20"/>
          <w:szCs w:val="20"/>
          <w:lang w:val="es-CR"/>
        </w:rPr>
      </w:pPr>
      <w:r w:rsidRPr="000C41A3">
        <w:rPr>
          <w:rFonts w:ascii="Verdana" w:hAnsi="Verdana"/>
          <w:sz w:val="20"/>
          <w:szCs w:val="20"/>
          <w:lang w:val="es-CR"/>
        </w:rPr>
        <w:t xml:space="preserve">Informar a los representantes, al Estado y a la Comisión Interamericana que cuentan con un plazo hasta el </w:t>
      </w:r>
      <w:r w:rsidR="004A2725">
        <w:rPr>
          <w:rFonts w:ascii="Verdana" w:hAnsi="Verdana"/>
          <w:sz w:val="20"/>
          <w:szCs w:val="20"/>
          <w:lang w:val="es-CR"/>
        </w:rPr>
        <w:t>10</w:t>
      </w:r>
      <w:r w:rsidRPr="000C41A3">
        <w:rPr>
          <w:rFonts w:ascii="Verdana" w:hAnsi="Verdana"/>
          <w:sz w:val="20"/>
          <w:szCs w:val="20"/>
          <w:lang w:val="es-CR"/>
        </w:rPr>
        <w:t xml:space="preserve"> de marzo de 2018 para presentar sus alegatos finales escritos y observaciones finales escritas, respectivamente, en relación con el fondo y eventuales reparaciones y costas en el presente caso. Este plazo es improrrogable e independiente de la puesta a disposición de las partes de la grabación de la audiencia pública.</w:t>
      </w:r>
    </w:p>
    <w:p w:rsidR="00292138" w:rsidRPr="000C41A3" w:rsidRDefault="00292138" w:rsidP="00292138">
      <w:pPr>
        <w:pStyle w:val="Listavistosa-nfasis1"/>
        <w:spacing w:line="240" w:lineRule="auto"/>
        <w:ind w:left="0"/>
        <w:jc w:val="both"/>
        <w:rPr>
          <w:rFonts w:ascii="Verdana" w:hAnsi="Verdana"/>
          <w:sz w:val="20"/>
          <w:szCs w:val="20"/>
          <w:lang w:val="es-CR"/>
        </w:rPr>
      </w:pPr>
    </w:p>
    <w:p w:rsidR="003E0158" w:rsidRPr="003E0158" w:rsidRDefault="00292138" w:rsidP="003E0158">
      <w:pPr>
        <w:pStyle w:val="Listavistosa-nfasis1"/>
        <w:numPr>
          <w:ilvl w:val="0"/>
          <w:numId w:val="15"/>
        </w:numPr>
        <w:spacing w:line="240" w:lineRule="auto"/>
        <w:ind w:left="0" w:firstLine="0"/>
        <w:jc w:val="both"/>
        <w:rPr>
          <w:rFonts w:ascii="Verdana" w:hAnsi="Verdana"/>
          <w:sz w:val="20"/>
          <w:szCs w:val="20"/>
          <w:lang w:val="es-CR"/>
        </w:rPr>
      </w:pPr>
      <w:r w:rsidRPr="003E0158">
        <w:rPr>
          <w:rFonts w:ascii="Verdana" w:hAnsi="Verdana"/>
          <w:sz w:val="20"/>
          <w:szCs w:val="20"/>
          <w:lang w:val="es-CR"/>
        </w:rPr>
        <w:lastRenderedPageBreak/>
        <w:t xml:space="preserve"> Disponer que la Secretaría de la Corte Interamericana notifique la presente Resolución a la Comisión Interamericana de Derechos Humanos, a los representantes y a Guatemala. </w:t>
      </w:r>
    </w:p>
    <w:p w:rsidR="003E0158" w:rsidRPr="000C41A3" w:rsidRDefault="003E0158" w:rsidP="003E0158">
      <w:pPr>
        <w:pStyle w:val="Listavistosa-nfasis1"/>
        <w:spacing w:line="240" w:lineRule="auto"/>
        <w:ind w:left="0"/>
        <w:jc w:val="both"/>
        <w:rPr>
          <w:rFonts w:ascii="Verdana" w:hAnsi="Verdana"/>
          <w:sz w:val="20"/>
          <w:szCs w:val="20"/>
          <w:lang w:val="es-CR"/>
        </w:rPr>
      </w:pPr>
    </w:p>
    <w:p w:rsidR="00292138" w:rsidRPr="000C41A3" w:rsidRDefault="00292138" w:rsidP="00292138">
      <w:pPr>
        <w:pStyle w:val="Listavistosa-nfasis1"/>
        <w:spacing w:line="240" w:lineRule="auto"/>
        <w:jc w:val="both"/>
        <w:rPr>
          <w:rFonts w:ascii="Verdana" w:hAnsi="Verdana"/>
          <w:sz w:val="20"/>
          <w:szCs w:val="20"/>
          <w:lang w:val="es-CR"/>
        </w:rPr>
      </w:pPr>
    </w:p>
    <w:p w:rsidR="00292138" w:rsidRPr="000C41A3" w:rsidRDefault="00292138" w:rsidP="00292138">
      <w:pPr>
        <w:spacing w:line="240" w:lineRule="auto"/>
        <w:jc w:val="both"/>
        <w:rPr>
          <w:rFonts w:ascii="Verdana" w:hAnsi="Verdana"/>
          <w:sz w:val="20"/>
          <w:szCs w:val="20"/>
          <w:lang w:val="es-CR"/>
        </w:rPr>
      </w:pPr>
    </w:p>
    <w:p w:rsidR="00292138" w:rsidRPr="000C41A3" w:rsidRDefault="00292138" w:rsidP="00292138">
      <w:pPr>
        <w:pStyle w:val="Listavistosa-nfasis1"/>
        <w:spacing w:line="240" w:lineRule="auto"/>
        <w:ind w:left="360"/>
        <w:jc w:val="right"/>
        <w:rPr>
          <w:rFonts w:ascii="Verdana" w:hAnsi="Verdana"/>
          <w:sz w:val="20"/>
          <w:szCs w:val="20"/>
          <w:lang w:val="es-CR"/>
        </w:rPr>
      </w:pPr>
    </w:p>
    <w:p w:rsidR="00292138" w:rsidRPr="000C41A3" w:rsidRDefault="00A81F55" w:rsidP="00292138">
      <w:pPr>
        <w:pStyle w:val="Listavistosa-nfasis1"/>
        <w:spacing w:after="0" w:line="240" w:lineRule="auto"/>
        <w:ind w:left="360"/>
        <w:jc w:val="right"/>
        <w:rPr>
          <w:rFonts w:ascii="Verdana" w:hAnsi="Verdana"/>
          <w:sz w:val="20"/>
          <w:szCs w:val="20"/>
          <w:lang w:val="es-CR"/>
        </w:rPr>
      </w:pPr>
      <w:r>
        <w:rPr>
          <w:rFonts w:ascii="Verdana" w:hAnsi="Verdana"/>
          <w:sz w:val="20"/>
          <w:szCs w:val="20"/>
          <w:lang w:val="es-CR"/>
        </w:rPr>
        <w:t>Eduardo Ferrer Mac-Gregor Poisot</w:t>
      </w:r>
    </w:p>
    <w:p w:rsidR="00292138" w:rsidRDefault="003E0158" w:rsidP="003E0158">
      <w:pPr>
        <w:pStyle w:val="Listavistosa-nfasis1"/>
        <w:spacing w:after="0" w:line="240" w:lineRule="auto"/>
        <w:ind w:left="360"/>
        <w:jc w:val="center"/>
        <w:rPr>
          <w:rFonts w:ascii="Verdana" w:hAnsi="Verdana"/>
          <w:sz w:val="20"/>
          <w:szCs w:val="20"/>
          <w:lang w:val="es-CR"/>
        </w:rPr>
      </w:pPr>
      <w:r>
        <w:rPr>
          <w:rFonts w:ascii="Verdana" w:hAnsi="Verdana"/>
          <w:sz w:val="20"/>
          <w:szCs w:val="20"/>
          <w:lang w:val="es-CR"/>
        </w:rPr>
        <w:t xml:space="preserve">                                                                             </w:t>
      </w:r>
      <w:r w:rsidR="00292138" w:rsidRPr="000C41A3">
        <w:rPr>
          <w:rFonts w:ascii="Verdana" w:hAnsi="Verdana"/>
          <w:sz w:val="20"/>
          <w:szCs w:val="20"/>
          <w:lang w:val="es-CR"/>
        </w:rPr>
        <w:t xml:space="preserve">Presidente </w:t>
      </w:r>
      <w:r w:rsidR="00A81F55">
        <w:rPr>
          <w:rFonts w:ascii="Verdana" w:hAnsi="Verdana"/>
          <w:sz w:val="20"/>
          <w:szCs w:val="20"/>
          <w:lang w:val="es-CR"/>
        </w:rPr>
        <w:t>en ejercicio</w:t>
      </w:r>
    </w:p>
    <w:p w:rsidR="003E0158" w:rsidRDefault="003E0158" w:rsidP="003E0158">
      <w:pPr>
        <w:pStyle w:val="Listavistosa-nfasis1"/>
        <w:spacing w:after="0" w:line="240" w:lineRule="auto"/>
        <w:ind w:left="360"/>
        <w:jc w:val="center"/>
        <w:rPr>
          <w:rFonts w:ascii="Verdana" w:hAnsi="Verdana"/>
          <w:sz w:val="20"/>
          <w:szCs w:val="20"/>
          <w:lang w:val="es-CR"/>
        </w:rPr>
      </w:pPr>
    </w:p>
    <w:p w:rsidR="003E0158" w:rsidRPr="000C41A3" w:rsidRDefault="003E0158" w:rsidP="003E0158">
      <w:pPr>
        <w:pStyle w:val="Listavistosa-nfasis1"/>
        <w:spacing w:after="0" w:line="240" w:lineRule="auto"/>
        <w:ind w:left="360"/>
        <w:jc w:val="center"/>
        <w:rPr>
          <w:rFonts w:ascii="Verdana" w:hAnsi="Verdana"/>
          <w:sz w:val="20"/>
          <w:szCs w:val="20"/>
          <w:lang w:val="es-CR"/>
        </w:rPr>
      </w:pPr>
    </w:p>
    <w:p w:rsidR="00292138" w:rsidRPr="000C41A3" w:rsidRDefault="00292138" w:rsidP="00292138">
      <w:pPr>
        <w:pStyle w:val="Listavistosa-nfasis1"/>
        <w:spacing w:after="0" w:line="240" w:lineRule="auto"/>
        <w:ind w:left="360"/>
        <w:jc w:val="both"/>
        <w:rPr>
          <w:rFonts w:ascii="Verdana" w:hAnsi="Verdana"/>
          <w:sz w:val="20"/>
          <w:szCs w:val="20"/>
          <w:lang w:val="es-CR"/>
        </w:rPr>
      </w:pPr>
      <w:r w:rsidRPr="000C41A3">
        <w:rPr>
          <w:rFonts w:ascii="Verdana" w:hAnsi="Verdana"/>
          <w:sz w:val="20"/>
          <w:szCs w:val="20"/>
          <w:lang w:val="es-CR"/>
        </w:rPr>
        <w:t xml:space="preserve">Pablo Saavedra Alessandri </w:t>
      </w:r>
    </w:p>
    <w:p w:rsidR="00292138" w:rsidRPr="000C41A3" w:rsidRDefault="003E0158" w:rsidP="00292138">
      <w:pPr>
        <w:pStyle w:val="Listavistosa-nfasis1"/>
        <w:spacing w:after="0" w:line="240" w:lineRule="auto"/>
        <w:ind w:left="360"/>
        <w:jc w:val="both"/>
        <w:rPr>
          <w:rFonts w:ascii="Verdana" w:hAnsi="Verdana"/>
          <w:sz w:val="20"/>
          <w:szCs w:val="20"/>
          <w:lang w:val="es-CR"/>
        </w:rPr>
      </w:pPr>
      <w:r>
        <w:rPr>
          <w:rFonts w:ascii="Verdana" w:hAnsi="Verdana"/>
          <w:sz w:val="20"/>
          <w:szCs w:val="20"/>
          <w:lang w:val="es-CR"/>
        </w:rPr>
        <w:t xml:space="preserve">           </w:t>
      </w:r>
      <w:r w:rsidR="00292138" w:rsidRPr="000C41A3">
        <w:rPr>
          <w:rFonts w:ascii="Verdana" w:hAnsi="Verdana"/>
          <w:sz w:val="20"/>
          <w:szCs w:val="20"/>
          <w:lang w:val="es-CR"/>
        </w:rPr>
        <w:t xml:space="preserve">Secretario </w:t>
      </w:r>
    </w:p>
    <w:p w:rsidR="00292138" w:rsidRPr="000C41A3" w:rsidRDefault="00292138" w:rsidP="00292138">
      <w:pPr>
        <w:pStyle w:val="Listavistosa-nfasis1"/>
        <w:spacing w:line="240" w:lineRule="auto"/>
        <w:ind w:left="360"/>
        <w:jc w:val="both"/>
        <w:rPr>
          <w:rFonts w:ascii="Verdana" w:hAnsi="Verdana"/>
          <w:sz w:val="20"/>
          <w:szCs w:val="20"/>
          <w:lang w:val="es-CR"/>
        </w:rPr>
      </w:pPr>
    </w:p>
    <w:p w:rsidR="00292138" w:rsidRPr="000C41A3" w:rsidRDefault="00292138" w:rsidP="00292138">
      <w:pPr>
        <w:pStyle w:val="Listavistosa-nfasis1"/>
        <w:spacing w:line="240" w:lineRule="auto"/>
        <w:ind w:left="360"/>
        <w:jc w:val="both"/>
        <w:rPr>
          <w:rFonts w:ascii="Verdana" w:hAnsi="Verdana"/>
          <w:sz w:val="20"/>
          <w:szCs w:val="20"/>
          <w:lang w:val="es-CR"/>
        </w:rPr>
      </w:pPr>
    </w:p>
    <w:p w:rsidR="00292138" w:rsidRPr="000C41A3" w:rsidRDefault="00292138" w:rsidP="00292138">
      <w:pPr>
        <w:pStyle w:val="Listavistosa-nfasis1"/>
        <w:spacing w:line="240" w:lineRule="auto"/>
        <w:ind w:left="360"/>
        <w:jc w:val="both"/>
        <w:rPr>
          <w:rFonts w:ascii="Verdana" w:hAnsi="Verdana"/>
          <w:sz w:val="20"/>
          <w:szCs w:val="20"/>
          <w:lang w:val="es-CR"/>
        </w:rPr>
      </w:pPr>
    </w:p>
    <w:p w:rsidR="00292138" w:rsidRPr="000C41A3" w:rsidRDefault="00292138" w:rsidP="00292138">
      <w:pPr>
        <w:pStyle w:val="Listavistosa-nfasis1"/>
        <w:spacing w:line="240" w:lineRule="auto"/>
        <w:ind w:left="360"/>
        <w:jc w:val="both"/>
        <w:rPr>
          <w:rFonts w:ascii="Verdana" w:hAnsi="Verdana"/>
          <w:sz w:val="20"/>
          <w:szCs w:val="20"/>
          <w:lang w:val="es-CR"/>
        </w:rPr>
      </w:pPr>
      <w:r w:rsidRPr="000C41A3">
        <w:rPr>
          <w:rFonts w:ascii="Verdana" w:hAnsi="Verdana"/>
          <w:sz w:val="20"/>
          <w:szCs w:val="20"/>
          <w:lang w:val="es-CR"/>
        </w:rPr>
        <w:t xml:space="preserve">Comuníquese y ejecútese, </w:t>
      </w:r>
    </w:p>
    <w:p w:rsidR="00292138" w:rsidRDefault="00292138" w:rsidP="00292138">
      <w:pPr>
        <w:pStyle w:val="Listavistosa-nfasis1"/>
        <w:spacing w:line="240" w:lineRule="auto"/>
        <w:ind w:left="360"/>
        <w:jc w:val="both"/>
        <w:rPr>
          <w:rFonts w:ascii="Verdana" w:hAnsi="Verdana"/>
          <w:sz w:val="20"/>
          <w:szCs w:val="20"/>
          <w:lang w:val="es-CR"/>
        </w:rPr>
      </w:pPr>
    </w:p>
    <w:p w:rsidR="003E0158" w:rsidRDefault="003E0158" w:rsidP="00292138">
      <w:pPr>
        <w:pStyle w:val="Listavistosa-nfasis1"/>
        <w:spacing w:line="240" w:lineRule="auto"/>
        <w:ind w:left="360"/>
        <w:jc w:val="both"/>
        <w:rPr>
          <w:rFonts w:ascii="Verdana" w:hAnsi="Verdana"/>
          <w:sz w:val="20"/>
          <w:szCs w:val="20"/>
          <w:lang w:val="es-CR"/>
        </w:rPr>
      </w:pPr>
    </w:p>
    <w:p w:rsidR="003E0158" w:rsidRPr="000C41A3" w:rsidRDefault="003E0158" w:rsidP="00292138">
      <w:pPr>
        <w:pStyle w:val="Listavistosa-nfasis1"/>
        <w:spacing w:line="240" w:lineRule="auto"/>
        <w:ind w:left="360"/>
        <w:jc w:val="both"/>
        <w:rPr>
          <w:rFonts w:ascii="Verdana" w:hAnsi="Verdana"/>
          <w:sz w:val="20"/>
          <w:szCs w:val="20"/>
          <w:lang w:val="es-CR"/>
        </w:rPr>
      </w:pPr>
    </w:p>
    <w:p w:rsidR="00292138" w:rsidRPr="000C41A3" w:rsidRDefault="00292138" w:rsidP="00292138">
      <w:pPr>
        <w:pStyle w:val="Listavistosa-nfasis1"/>
        <w:spacing w:line="240" w:lineRule="auto"/>
        <w:ind w:left="360"/>
        <w:jc w:val="both"/>
        <w:rPr>
          <w:rFonts w:ascii="Verdana" w:hAnsi="Verdana"/>
          <w:sz w:val="20"/>
          <w:szCs w:val="20"/>
          <w:lang w:val="es-CR"/>
        </w:rPr>
      </w:pPr>
    </w:p>
    <w:p w:rsidR="009E31D8" w:rsidRPr="000C41A3" w:rsidRDefault="009E31D8" w:rsidP="009E31D8">
      <w:pPr>
        <w:pStyle w:val="Listavistosa-nfasis1"/>
        <w:spacing w:line="240" w:lineRule="auto"/>
        <w:ind w:left="360"/>
        <w:jc w:val="right"/>
        <w:rPr>
          <w:rFonts w:ascii="Verdana" w:hAnsi="Verdana"/>
          <w:sz w:val="20"/>
          <w:szCs w:val="20"/>
          <w:lang w:val="es-CR"/>
        </w:rPr>
      </w:pPr>
    </w:p>
    <w:p w:rsidR="009E31D8" w:rsidRPr="000C41A3" w:rsidRDefault="009E31D8" w:rsidP="009E31D8">
      <w:pPr>
        <w:pStyle w:val="Listavistosa-nfasis1"/>
        <w:spacing w:after="0" w:line="240" w:lineRule="auto"/>
        <w:ind w:left="360"/>
        <w:jc w:val="right"/>
        <w:rPr>
          <w:rFonts w:ascii="Verdana" w:hAnsi="Verdana"/>
          <w:sz w:val="20"/>
          <w:szCs w:val="20"/>
          <w:lang w:val="es-CR"/>
        </w:rPr>
      </w:pPr>
      <w:r>
        <w:rPr>
          <w:rFonts w:ascii="Verdana" w:hAnsi="Verdana"/>
          <w:sz w:val="20"/>
          <w:szCs w:val="20"/>
          <w:lang w:val="es-CR"/>
        </w:rPr>
        <w:t>Eduardo Ferrer Mac-Gregor Poisot</w:t>
      </w:r>
    </w:p>
    <w:p w:rsidR="009E31D8" w:rsidRPr="000C41A3" w:rsidRDefault="003E0158" w:rsidP="003E0158">
      <w:pPr>
        <w:pStyle w:val="Listavistosa-nfasis1"/>
        <w:spacing w:after="0" w:line="240" w:lineRule="auto"/>
        <w:ind w:left="360"/>
        <w:jc w:val="center"/>
        <w:rPr>
          <w:rFonts w:ascii="Verdana" w:hAnsi="Verdana"/>
          <w:sz w:val="20"/>
          <w:szCs w:val="20"/>
          <w:lang w:val="es-CR"/>
        </w:rPr>
      </w:pPr>
      <w:r>
        <w:rPr>
          <w:rFonts w:ascii="Verdana" w:hAnsi="Verdana"/>
          <w:sz w:val="20"/>
          <w:szCs w:val="20"/>
          <w:lang w:val="es-CR"/>
        </w:rPr>
        <w:t xml:space="preserve">                                                                        </w:t>
      </w:r>
      <w:r w:rsidR="009E31D8" w:rsidRPr="000C41A3">
        <w:rPr>
          <w:rFonts w:ascii="Verdana" w:hAnsi="Verdana"/>
          <w:sz w:val="20"/>
          <w:szCs w:val="20"/>
          <w:lang w:val="es-CR"/>
        </w:rPr>
        <w:t xml:space="preserve">Presidente </w:t>
      </w:r>
      <w:r w:rsidR="009E31D8">
        <w:rPr>
          <w:rFonts w:ascii="Verdana" w:hAnsi="Verdana"/>
          <w:sz w:val="20"/>
          <w:szCs w:val="20"/>
          <w:lang w:val="es-CR"/>
        </w:rPr>
        <w:t>en ejercicio</w:t>
      </w:r>
    </w:p>
    <w:p w:rsidR="00292138" w:rsidRPr="000C41A3" w:rsidRDefault="00292138" w:rsidP="00292138">
      <w:pPr>
        <w:pStyle w:val="Listavistosa-nfasis1"/>
        <w:spacing w:after="0" w:line="240" w:lineRule="auto"/>
        <w:ind w:left="360"/>
        <w:jc w:val="right"/>
        <w:rPr>
          <w:rFonts w:ascii="Verdana" w:hAnsi="Verdana"/>
          <w:sz w:val="20"/>
          <w:szCs w:val="20"/>
          <w:lang w:val="es-CR"/>
        </w:rPr>
      </w:pPr>
    </w:p>
    <w:p w:rsidR="00292138" w:rsidRPr="000C41A3" w:rsidRDefault="00292138" w:rsidP="00292138">
      <w:pPr>
        <w:pStyle w:val="Listavistosa-nfasis1"/>
        <w:spacing w:after="0" w:line="240" w:lineRule="auto"/>
        <w:ind w:left="360"/>
        <w:jc w:val="both"/>
        <w:rPr>
          <w:rFonts w:ascii="Verdana" w:hAnsi="Verdana"/>
          <w:sz w:val="20"/>
          <w:szCs w:val="20"/>
          <w:lang w:val="es-CR"/>
        </w:rPr>
      </w:pPr>
    </w:p>
    <w:p w:rsidR="00292138" w:rsidRPr="000C41A3" w:rsidRDefault="00292138" w:rsidP="00292138">
      <w:pPr>
        <w:pStyle w:val="Listavistosa-nfasis1"/>
        <w:spacing w:after="0" w:line="240" w:lineRule="auto"/>
        <w:ind w:left="360"/>
        <w:jc w:val="both"/>
        <w:rPr>
          <w:rFonts w:ascii="Verdana" w:hAnsi="Verdana"/>
          <w:sz w:val="20"/>
          <w:szCs w:val="20"/>
          <w:lang w:val="es-CR"/>
        </w:rPr>
      </w:pPr>
    </w:p>
    <w:p w:rsidR="00292138" w:rsidRPr="000C41A3" w:rsidRDefault="00292138" w:rsidP="00292138">
      <w:pPr>
        <w:pStyle w:val="Listavistosa-nfasis1"/>
        <w:spacing w:after="0" w:line="240" w:lineRule="auto"/>
        <w:ind w:left="360"/>
        <w:jc w:val="both"/>
        <w:rPr>
          <w:rFonts w:ascii="Verdana" w:hAnsi="Verdana"/>
          <w:sz w:val="20"/>
          <w:szCs w:val="20"/>
          <w:lang w:val="es-CR"/>
        </w:rPr>
      </w:pPr>
    </w:p>
    <w:p w:rsidR="00292138" w:rsidRPr="000C41A3" w:rsidRDefault="00292138" w:rsidP="00292138">
      <w:pPr>
        <w:pStyle w:val="Listavistosa-nfasis1"/>
        <w:spacing w:after="0" w:line="240" w:lineRule="auto"/>
        <w:ind w:left="360"/>
        <w:jc w:val="both"/>
        <w:rPr>
          <w:rFonts w:ascii="Verdana" w:hAnsi="Verdana"/>
          <w:sz w:val="20"/>
          <w:szCs w:val="20"/>
          <w:lang w:val="es-CR"/>
        </w:rPr>
      </w:pPr>
      <w:r w:rsidRPr="000C41A3">
        <w:rPr>
          <w:rFonts w:ascii="Verdana" w:hAnsi="Verdana"/>
          <w:sz w:val="20"/>
          <w:szCs w:val="20"/>
          <w:lang w:val="es-CR"/>
        </w:rPr>
        <w:t xml:space="preserve">Pablo Saavedra Alessandri </w:t>
      </w:r>
    </w:p>
    <w:p w:rsidR="00292138" w:rsidRPr="00076826" w:rsidRDefault="003E0158" w:rsidP="00292138">
      <w:pPr>
        <w:pStyle w:val="Listavistosa-nfasis1"/>
        <w:spacing w:after="0" w:line="240" w:lineRule="auto"/>
        <w:ind w:left="360"/>
        <w:jc w:val="both"/>
        <w:rPr>
          <w:rFonts w:ascii="Verdana" w:hAnsi="Verdana"/>
          <w:sz w:val="20"/>
          <w:szCs w:val="20"/>
          <w:lang w:val="es-CR"/>
        </w:rPr>
      </w:pPr>
      <w:r>
        <w:rPr>
          <w:rFonts w:ascii="Verdana" w:hAnsi="Verdana"/>
          <w:sz w:val="20"/>
          <w:szCs w:val="20"/>
          <w:lang w:val="es-CR"/>
        </w:rPr>
        <w:t xml:space="preserve">          </w:t>
      </w:r>
      <w:r w:rsidR="00292138" w:rsidRPr="000C41A3">
        <w:rPr>
          <w:rFonts w:ascii="Verdana" w:hAnsi="Verdana"/>
          <w:sz w:val="20"/>
          <w:szCs w:val="20"/>
          <w:lang w:val="es-CR"/>
        </w:rPr>
        <w:t>Secretario</w:t>
      </w:r>
    </w:p>
    <w:sectPr w:rsidR="00292138" w:rsidRPr="00076826" w:rsidSect="004A2725">
      <w:headerReference w:type="default" r:id="rId8"/>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7188" w:rsidRDefault="00FE7188" w:rsidP="00292138">
      <w:pPr>
        <w:spacing w:after="0" w:line="240" w:lineRule="auto"/>
      </w:pPr>
      <w:r>
        <w:separator/>
      </w:r>
    </w:p>
  </w:endnote>
  <w:endnote w:type="continuationSeparator" w:id="0">
    <w:p w:rsidR="00FE7188" w:rsidRDefault="00FE7188" w:rsidP="002921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7188" w:rsidRDefault="00FE7188" w:rsidP="00292138">
      <w:pPr>
        <w:spacing w:after="0" w:line="240" w:lineRule="auto"/>
      </w:pPr>
      <w:r>
        <w:separator/>
      </w:r>
    </w:p>
  </w:footnote>
  <w:footnote w:type="continuationSeparator" w:id="0">
    <w:p w:rsidR="00FE7188" w:rsidRDefault="00FE7188" w:rsidP="00292138">
      <w:pPr>
        <w:spacing w:after="0" w:line="240" w:lineRule="auto"/>
      </w:pPr>
      <w:r>
        <w:continuationSeparator/>
      </w:r>
    </w:p>
  </w:footnote>
  <w:footnote w:id="1">
    <w:p w:rsidR="00362B0B" w:rsidRPr="00362B0B" w:rsidRDefault="00A81F55" w:rsidP="00362B0B">
      <w:pPr>
        <w:jc w:val="both"/>
        <w:rPr>
          <w:rFonts w:ascii="Verdana" w:eastAsia="Times New Roman" w:hAnsi="Verdana"/>
          <w:sz w:val="16"/>
          <w:szCs w:val="16"/>
          <w:lang w:val="es-CR" w:eastAsia="en-US"/>
        </w:rPr>
      </w:pPr>
      <w:r w:rsidRPr="00362B0B">
        <w:rPr>
          <w:rStyle w:val="Refdenotaalpie"/>
          <w:rFonts w:ascii="Verdana" w:hAnsi="Verdana"/>
          <w:sz w:val="16"/>
          <w:szCs w:val="16"/>
        </w:rPr>
        <w:footnoteRef/>
      </w:r>
      <w:r w:rsidRPr="00362B0B">
        <w:rPr>
          <w:rFonts w:ascii="Verdana" w:hAnsi="Verdana"/>
          <w:sz w:val="16"/>
          <w:szCs w:val="16"/>
          <w:lang w:val="es-CR"/>
        </w:rPr>
        <w:t xml:space="preserve"> </w:t>
      </w:r>
      <w:r w:rsidR="00362B0B" w:rsidRPr="00F100C2">
        <w:rPr>
          <w:rFonts w:ascii="Verdana" w:eastAsia="Times New Roman" w:hAnsi="Verdana"/>
          <w:sz w:val="16"/>
          <w:szCs w:val="16"/>
          <w:lang w:val="es-CR" w:eastAsia="en-US"/>
        </w:rPr>
        <w:t>Por motivos de fuerza mayor, la presente Resolución es dictada por el Vicepresidente de la Corte, Juez Eduardo Ferrer Mac-Gregor Poisot, quien asumió la Presidencia en ejercicio respecto del presente caso, de conformidad con los artículos 4.2 y 5 del Reglamento del Tribunal.</w:t>
      </w:r>
    </w:p>
    <w:p w:rsidR="00A81F55" w:rsidRPr="00A81F55" w:rsidRDefault="00A81F55" w:rsidP="00A81F55">
      <w:pPr>
        <w:spacing w:after="120" w:line="240" w:lineRule="auto"/>
        <w:jc w:val="both"/>
        <w:rPr>
          <w:rFonts w:ascii="Times New Roman" w:eastAsia="Times New Roman" w:hAnsi="Times New Roman"/>
          <w:color w:val="000000"/>
          <w:sz w:val="20"/>
          <w:szCs w:val="20"/>
          <w:lang w:val="es-CR" w:eastAsia="x-none"/>
        </w:rPr>
      </w:pPr>
    </w:p>
    <w:p w:rsidR="00A81F55" w:rsidRPr="00A81F55" w:rsidRDefault="00A81F55">
      <w:pPr>
        <w:pStyle w:val="Textonotapie"/>
        <w:rPr>
          <w:lang w:val="es-CR"/>
        </w:rPr>
      </w:pPr>
    </w:p>
  </w:footnote>
  <w:footnote w:id="2">
    <w:p w:rsidR="00292138" w:rsidRPr="000C41A3" w:rsidRDefault="00292138" w:rsidP="00292138">
      <w:pPr>
        <w:pStyle w:val="Textonotapie"/>
        <w:jc w:val="both"/>
        <w:rPr>
          <w:rFonts w:ascii="Verdana" w:hAnsi="Verdana"/>
          <w:sz w:val="16"/>
          <w:szCs w:val="16"/>
          <w:lang w:val="es-CR"/>
        </w:rPr>
      </w:pPr>
      <w:r w:rsidRPr="000C41A3">
        <w:rPr>
          <w:rStyle w:val="Refdenotaalpie"/>
          <w:rFonts w:ascii="Verdana" w:hAnsi="Verdana"/>
          <w:sz w:val="16"/>
          <w:szCs w:val="16"/>
        </w:rPr>
        <w:footnoteRef/>
      </w:r>
      <w:r w:rsidRPr="000C41A3">
        <w:rPr>
          <w:rFonts w:ascii="Verdana" w:hAnsi="Verdana"/>
          <w:sz w:val="16"/>
          <w:szCs w:val="16"/>
          <w:lang w:val="es-CR"/>
        </w:rPr>
        <w:t xml:space="preserve"> </w:t>
      </w:r>
      <w:r w:rsidR="004A2725">
        <w:rPr>
          <w:rFonts w:ascii="Verdana" w:hAnsi="Verdana"/>
          <w:sz w:val="16"/>
          <w:szCs w:val="16"/>
          <w:lang w:val="es-CR"/>
        </w:rPr>
        <w:tab/>
      </w:r>
      <w:r w:rsidRPr="000C41A3">
        <w:rPr>
          <w:rFonts w:ascii="Verdana" w:hAnsi="Verdana"/>
          <w:sz w:val="16"/>
          <w:szCs w:val="16"/>
          <w:lang w:val="es-CR"/>
        </w:rPr>
        <w:t>El cual versó sobre “el análisis de los procesos judiciales internos, examinados de acuerdo a los estándares internacionales de debida diligencia en la investigación de las violaciones de los derechos humanos alegadas en el caso, así como la alegada impunidad en que han permanecido los hechos ocurridos durante el conflicto armado interno en perjuicio del pueblo Maya-</w:t>
      </w:r>
      <w:proofErr w:type="spellStart"/>
      <w:r w:rsidRPr="000C41A3">
        <w:rPr>
          <w:rFonts w:ascii="Verdana" w:hAnsi="Verdana"/>
          <w:sz w:val="16"/>
          <w:szCs w:val="16"/>
          <w:lang w:val="es-CR"/>
        </w:rPr>
        <w:t>Achí</w:t>
      </w:r>
      <w:proofErr w:type="spellEnd"/>
      <w:r w:rsidRPr="000C41A3">
        <w:rPr>
          <w:rFonts w:ascii="Verdana" w:hAnsi="Verdana"/>
          <w:sz w:val="16"/>
          <w:szCs w:val="16"/>
          <w:lang w:val="es-CR"/>
        </w:rPr>
        <w:t>”.</w:t>
      </w:r>
    </w:p>
  </w:footnote>
  <w:footnote w:id="3">
    <w:p w:rsidR="00292138" w:rsidRPr="000C41A3" w:rsidRDefault="00292138" w:rsidP="00292138">
      <w:pPr>
        <w:pStyle w:val="Textonotapie"/>
        <w:jc w:val="both"/>
        <w:rPr>
          <w:rFonts w:ascii="Verdana" w:hAnsi="Verdana"/>
          <w:sz w:val="16"/>
          <w:szCs w:val="16"/>
          <w:lang w:val="es-CR"/>
        </w:rPr>
      </w:pPr>
      <w:r w:rsidRPr="000C41A3">
        <w:rPr>
          <w:rStyle w:val="Refdenotaalpie"/>
          <w:rFonts w:ascii="Verdana" w:hAnsi="Verdana"/>
          <w:sz w:val="16"/>
          <w:szCs w:val="16"/>
        </w:rPr>
        <w:footnoteRef/>
      </w:r>
      <w:r w:rsidRPr="000C41A3">
        <w:rPr>
          <w:rFonts w:ascii="Verdana" w:hAnsi="Verdana"/>
          <w:sz w:val="16"/>
          <w:szCs w:val="16"/>
          <w:lang w:val="es-CR"/>
        </w:rPr>
        <w:t xml:space="preserve"> </w:t>
      </w:r>
      <w:r w:rsidR="004A2725">
        <w:rPr>
          <w:rFonts w:ascii="Verdana" w:hAnsi="Verdana"/>
          <w:sz w:val="16"/>
          <w:szCs w:val="16"/>
          <w:lang w:val="es-CR"/>
        </w:rPr>
        <w:tab/>
      </w:r>
      <w:r w:rsidRPr="000C41A3">
        <w:rPr>
          <w:rFonts w:ascii="Verdana" w:hAnsi="Verdana"/>
          <w:sz w:val="16"/>
          <w:szCs w:val="16"/>
          <w:lang w:val="es-CR"/>
        </w:rPr>
        <w:t xml:space="preserve">Cuyo objeto fue </w:t>
      </w:r>
      <w:r w:rsidRPr="000C41A3">
        <w:rPr>
          <w:rFonts w:ascii="Verdana" w:eastAsia="Times New Roman" w:hAnsi="Verdana"/>
          <w:color w:val="000000"/>
          <w:sz w:val="16"/>
          <w:szCs w:val="16"/>
          <w:lang w:val="es-CR"/>
        </w:rPr>
        <w:t>“</w:t>
      </w:r>
      <w:r w:rsidRPr="000C41A3">
        <w:rPr>
          <w:rFonts w:ascii="Verdana" w:hAnsi="Verdana"/>
          <w:sz w:val="16"/>
          <w:szCs w:val="16"/>
          <w:lang w:val="es-CR"/>
        </w:rPr>
        <w:t>el</w:t>
      </w:r>
      <w:r w:rsidRPr="000C41A3">
        <w:rPr>
          <w:rFonts w:ascii="Verdana" w:hAnsi="Verdana"/>
          <w:sz w:val="16"/>
          <w:szCs w:val="16"/>
          <w:lang w:val="es-CR"/>
        </w:rPr>
        <w:t xml:space="preserve"> alcance y elementos de una reparación integral en casos donde se alegan violaciones de derechos humanos que habrían tenido una especial gravedad y magnitud y, además, donde se desarticuló la cohesión social y cultural de las comunidades. El perito analizará bajo dichos parámetros, las reparaciones que ofrecen los sistemas nacionales y su alcance en casos que ya se encuentran bajo conocimiento del sistema interamericano. Asimismo, se pondrá especial énfasis en la situación de Guatemala”.</w:t>
      </w:r>
    </w:p>
  </w:footnote>
  <w:footnote w:id="4">
    <w:p w:rsidR="00292138" w:rsidRPr="000C41A3" w:rsidRDefault="00292138" w:rsidP="00292138">
      <w:pPr>
        <w:pStyle w:val="Textonotapie"/>
        <w:jc w:val="both"/>
        <w:rPr>
          <w:rFonts w:ascii="Verdana" w:hAnsi="Verdana"/>
          <w:sz w:val="16"/>
          <w:szCs w:val="16"/>
          <w:lang w:val="es-CR"/>
        </w:rPr>
      </w:pPr>
      <w:r w:rsidRPr="000C41A3">
        <w:rPr>
          <w:rStyle w:val="Refdenotaalpie"/>
          <w:rFonts w:ascii="Verdana" w:hAnsi="Verdana"/>
          <w:sz w:val="16"/>
          <w:szCs w:val="16"/>
        </w:rPr>
        <w:footnoteRef/>
      </w:r>
      <w:r w:rsidRPr="000C41A3">
        <w:rPr>
          <w:rFonts w:ascii="Verdana" w:hAnsi="Verdana"/>
          <w:sz w:val="16"/>
          <w:szCs w:val="16"/>
          <w:lang w:val="es-CR"/>
        </w:rPr>
        <w:t xml:space="preserve"> </w:t>
      </w:r>
      <w:r w:rsidR="004A2725">
        <w:rPr>
          <w:rFonts w:ascii="Verdana" w:hAnsi="Verdana"/>
          <w:sz w:val="16"/>
          <w:szCs w:val="16"/>
          <w:lang w:val="es-CR"/>
        </w:rPr>
        <w:tab/>
      </w:r>
      <w:r w:rsidRPr="000C41A3">
        <w:rPr>
          <w:rFonts w:ascii="Verdana" w:hAnsi="Verdana"/>
          <w:sz w:val="16"/>
          <w:szCs w:val="16"/>
          <w:lang w:val="es-CR"/>
        </w:rPr>
        <w:t>El cual versó sobre</w:t>
      </w:r>
      <w:r w:rsidRPr="000C41A3">
        <w:rPr>
          <w:rFonts w:ascii="Verdana" w:hAnsi="Verdana"/>
          <w:sz w:val="16"/>
          <w:szCs w:val="16"/>
          <w:lang w:val="es-CR"/>
        </w:rPr>
        <w:t xml:space="preserve"> “la capacidad y profundidad de la investigación en [dicho] caso, la presunta poca voluntad de investigación en los primeros juicios, las supuestas condiciones precarias para que se realicen las investigaciones sobre hechos; las presuntas falencias de la judicatura guatemalteca en cuanto a la calificación jurídica de los hechos y supuesta la falta de capacidad técnica-jurídica de los jueces para juzgar graves violaciones a los derechos humanos”.</w:t>
      </w:r>
    </w:p>
  </w:footnote>
  <w:footnote w:id="5">
    <w:p w:rsidR="00292138" w:rsidRPr="000C41A3" w:rsidRDefault="00292138" w:rsidP="00292138">
      <w:pPr>
        <w:pStyle w:val="Textonotapie"/>
        <w:jc w:val="both"/>
        <w:rPr>
          <w:rFonts w:ascii="Verdana" w:hAnsi="Verdana"/>
          <w:sz w:val="16"/>
          <w:szCs w:val="16"/>
          <w:lang w:val="es-CR"/>
        </w:rPr>
      </w:pPr>
      <w:r w:rsidRPr="000C41A3">
        <w:rPr>
          <w:rStyle w:val="Refdenotaalpie"/>
          <w:rFonts w:ascii="Verdana" w:hAnsi="Verdana"/>
          <w:sz w:val="16"/>
          <w:szCs w:val="16"/>
        </w:rPr>
        <w:footnoteRef/>
      </w:r>
      <w:r w:rsidRPr="000C41A3">
        <w:rPr>
          <w:rFonts w:ascii="Verdana" w:hAnsi="Verdana"/>
          <w:sz w:val="16"/>
          <w:szCs w:val="16"/>
          <w:lang w:val="es-CR"/>
        </w:rPr>
        <w:t xml:space="preserve"> </w:t>
      </w:r>
      <w:r w:rsidR="004A2725">
        <w:rPr>
          <w:rFonts w:ascii="Verdana" w:hAnsi="Verdana"/>
          <w:sz w:val="16"/>
          <w:szCs w:val="16"/>
          <w:lang w:val="es-CR"/>
        </w:rPr>
        <w:tab/>
      </w:r>
      <w:r w:rsidRPr="000C41A3">
        <w:rPr>
          <w:rFonts w:ascii="Verdana" w:hAnsi="Verdana"/>
          <w:sz w:val="16"/>
          <w:szCs w:val="16"/>
          <w:lang w:val="es-CR"/>
        </w:rPr>
        <w:t xml:space="preserve">El cual versó sobre “el tema de genocidio desde el punto de vista del derecho internacional, así como el debido actuar del poder judicial ante dicha problemática”. </w:t>
      </w:r>
    </w:p>
  </w:footnote>
  <w:footnote w:id="6">
    <w:p w:rsidR="00292138" w:rsidRPr="000C41A3" w:rsidRDefault="00292138" w:rsidP="00292138">
      <w:pPr>
        <w:spacing w:after="0" w:line="240" w:lineRule="auto"/>
        <w:jc w:val="both"/>
        <w:rPr>
          <w:rFonts w:ascii="Verdana" w:eastAsia="Times New Roman" w:hAnsi="Verdana"/>
          <w:b/>
          <w:strike/>
          <w:sz w:val="16"/>
          <w:szCs w:val="16"/>
          <w:lang w:val="es-CR"/>
        </w:rPr>
      </w:pPr>
      <w:r w:rsidRPr="000C41A3">
        <w:rPr>
          <w:rStyle w:val="Refdenotaalpie"/>
          <w:rFonts w:ascii="Verdana" w:hAnsi="Verdana"/>
          <w:sz w:val="16"/>
          <w:szCs w:val="16"/>
        </w:rPr>
        <w:footnoteRef/>
      </w:r>
      <w:r w:rsidRPr="000C41A3">
        <w:rPr>
          <w:rFonts w:ascii="Verdana" w:hAnsi="Verdana"/>
          <w:sz w:val="16"/>
          <w:szCs w:val="16"/>
          <w:lang w:val="es-CR"/>
        </w:rPr>
        <w:t xml:space="preserve"> </w:t>
      </w:r>
      <w:r w:rsidR="004A2725">
        <w:rPr>
          <w:rFonts w:ascii="Verdana" w:hAnsi="Verdana"/>
          <w:sz w:val="16"/>
          <w:szCs w:val="16"/>
          <w:lang w:val="es-CR"/>
        </w:rPr>
        <w:tab/>
      </w:r>
      <w:r w:rsidRPr="000C41A3">
        <w:rPr>
          <w:rFonts w:ascii="Verdana" w:hAnsi="Verdana"/>
          <w:sz w:val="16"/>
          <w:szCs w:val="16"/>
          <w:lang w:val="es-CR"/>
        </w:rPr>
        <w:t xml:space="preserve">Su objeto fue </w:t>
      </w:r>
      <w:r w:rsidRPr="000C41A3">
        <w:rPr>
          <w:rFonts w:ascii="Verdana" w:hAnsi="Verdana" w:cs="Arial"/>
          <w:sz w:val="16"/>
          <w:szCs w:val="16"/>
          <w:lang w:val="es-CR"/>
        </w:rPr>
        <w:t>sobre “</w:t>
      </w:r>
      <w:r w:rsidRPr="000C41A3">
        <w:rPr>
          <w:rFonts w:ascii="Verdana" w:hAnsi="Verdana"/>
          <w:sz w:val="16"/>
          <w:szCs w:val="16"/>
          <w:lang w:val="es-CR"/>
        </w:rPr>
        <w:t>los efectos de conflictos armados internos en el pueblo indígena maya, particularmente, de alegados actos como masacres, violaciones sexuales, trabajo forzoso y desapariciones forzadas”.</w:t>
      </w:r>
    </w:p>
  </w:footnote>
  <w:footnote w:id="7">
    <w:p w:rsidR="00292138" w:rsidRPr="000C41A3" w:rsidRDefault="00292138" w:rsidP="00292138">
      <w:pPr>
        <w:pStyle w:val="Textonotapie"/>
        <w:jc w:val="both"/>
        <w:rPr>
          <w:rFonts w:ascii="Verdana" w:hAnsi="Verdana"/>
          <w:sz w:val="16"/>
          <w:szCs w:val="16"/>
          <w:lang w:val="es-CR"/>
        </w:rPr>
      </w:pPr>
      <w:r w:rsidRPr="000C41A3">
        <w:rPr>
          <w:rStyle w:val="Refdenotaalpie"/>
          <w:rFonts w:ascii="Verdana" w:hAnsi="Verdana"/>
          <w:sz w:val="16"/>
          <w:szCs w:val="16"/>
        </w:rPr>
        <w:footnoteRef/>
      </w:r>
      <w:r w:rsidRPr="000C41A3">
        <w:rPr>
          <w:rFonts w:ascii="Verdana" w:hAnsi="Verdana"/>
          <w:sz w:val="16"/>
          <w:szCs w:val="16"/>
          <w:lang w:val="es-CR"/>
        </w:rPr>
        <w:t xml:space="preserve"> </w:t>
      </w:r>
      <w:r w:rsidR="004A2725">
        <w:rPr>
          <w:rFonts w:ascii="Verdana" w:hAnsi="Verdana"/>
          <w:sz w:val="16"/>
          <w:szCs w:val="16"/>
          <w:lang w:val="es-CR"/>
        </w:rPr>
        <w:tab/>
      </w:r>
      <w:r w:rsidRPr="000C41A3">
        <w:rPr>
          <w:rFonts w:ascii="Verdana" w:hAnsi="Verdana"/>
          <w:i/>
          <w:sz w:val="16"/>
          <w:szCs w:val="16"/>
          <w:lang w:val="es-CR"/>
        </w:rPr>
        <w:t>Cfr. Caso Pacheco Tineo Vs. Bolivia</w:t>
      </w:r>
      <w:r w:rsidRPr="000C41A3">
        <w:rPr>
          <w:rFonts w:ascii="Verdana" w:hAnsi="Verdana"/>
          <w:sz w:val="16"/>
          <w:szCs w:val="16"/>
          <w:lang w:val="es-CR"/>
        </w:rPr>
        <w:t xml:space="preserve">. Convocatoria de audiencia. Resolución del Presidente de la Corte de 19 de febrero de 2013, Considerando 54, y </w:t>
      </w:r>
      <w:r w:rsidRPr="000C41A3">
        <w:rPr>
          <w:rStyle w:val="Textoennegrita"/>
          <w:rFonts w:ascii="Verdana" w:hAnsi="Verdana"/>
          <w:b w:val="0"/>
          <w:i/>
          <w:sz w:val="16"/>
          <w:szCs w:val="16"/>
          <w:shd w:val="clear" w:color="auto" w:fill="FFFFFF"/>
          <w:lang w:val="es-CR"/>
        </w:rPr>
        <w:t>Caso Selvas Gómez y otras Vs. México</w:t>
      </w:r>
      <w:r w:rsidRPr="000C41A3">
        <w:rPr>
          <w:rStyle w:val="Textoennegrita"/>
          <w:rFonts w:ascii="Verdana" w:hAnsi="Verdana"/>
          <w:b w:val="0"/>
          <w:sz w:val="16"/>
          <w:szCs w:val="16"/>
          <w:shd w:val="clear" w:color="auto" w:fill="FFFFFF"/>
          <w:lang w:val="es-CR"/>
        </w:rPr>
        <w:t>. Convocatoria de audiencia. Resolución del Presidente de la Corte de 18 de octubre de 2017,</w:t>
      </w:r>
      <w:r w:rsidRPr="000C41A3">
        <w:rPr>
          <w:rStyle w:val="Textoennegrita"/>
          <w:rFonts w:ascii="Verdana" w:hAnsi="Verdana"/>
          <w:sz w:val="16"/>
          <w:szCs w:val="16"/>
          <w:shd w:val="clear" w:color="auto" w:fill="FFFFFF"/>
          <w:lang w:val="es-CR"/>
        </w:rPr>
        <w:t xml:space="preserve"> </w:t>
      </w:r>
      <w:r w:rsidR="00A81F55">
        <w:rPr>
          <w:rFonts w:ascii="Verdana" w:hAnsi="Verdana"/>
          <w:sz w:val="16"/>
          <w:szCs w:val="16"/>
          <w:lang w:val="es-CR"/>
        </w:rPr>
        <w:t>C</w:t>
      </w:r>
      <w:r w:rsidRPr="000C41A3">
        <w:rPr>
          <w:rFonts w:ascii="Verdana" w:hAnsi="Verdana"/>
          <w:sz w:val="16"/>
          <w:szCs w:val="16"/>
          <w:lang w:val="es-CR"/>
        </w:rPr>
        <w:t>onsiderando 11.</w:t>
      </w:r>
    </w:p>
  </w:footnote>
  <w:footnote w:id="8">
    <w:p w:rsidR="00292138" w:rsidRPr="000C41A3" w:rsidRDefault="00292138" w:rsidP="00292138">
      <w:pPr>
        <w:pStyle w:val="Textonotapie"/>
        <w:jc w:val="both"/>
        <w:rPr>
          <w:rFonts w:ascii="Verdana" w:hAnsi="Verdana"/>
          <w:sz w:val="16"/>
          <w:szCs w:val="16"/>
          <w:lang w:val="es-CR"/>
        </w:rPr>
      </w:pPr>
      <w:r w:rsidRPr="000C41A3">
        <w:rPr>
          <w:rStyle w:val="Refdenotaalpie"/>
          <w:rFonts w:ascii="Verdana" w:hAnsi="Verdana"/>
          <w:sz w:val="16"/>
          <w:szCs w:val="16"/>
        </w:rPr>
        <w:footnoteRef/>
      </w:r>
      <w:r w:rsidR="004A2725">
        <w:rPr>
          <w:rFonts w:ascii="Verdana" w:hAnsi="Verdana"/>
          <w:sz w:val="16"/>
          <w:szCs w:val="16"/>
          <w:lang w:val="es-CR"/>
        </w:rPr>
        <w:t xml:space="preserve"> </w:t>
      </w:r>
      <w:r w:rsidR="004A2725">
        <w:rPr>
          <w:rFonts w:ascii="Verdana" w:hAnsi="Verdana"/>
          <w:sz w:val="16"/>
          <w:szCs w:val="16"/>
          <w:lang w:val="es-CR"/>
        </w:rPr>
        <w:tab/>
      </w:r>
      <w:r w:rsidRPr="000C41A3">
        <w:rPr>
          <w:rFonts w:ascii="Verdana" w:hAnsi="Verdana"/>
          <w:sz w:val="16"/>
          <w:szCs w:val="16"/>
          <w:lang w:val="es-CR"/>
        </w:rPr>
        <w:t xml:space="preserve">A saber: </w:t>
      </w:r>
      <w:proofErr w:type="spellStart"/>
      <w:r w:rsidRPr="000C41A3">
        <w:rPr>
          <w:rFonts w:ascii="Verdana" w:hAnsi="Verdana"/>
          <w:sz w:val="16"/>
          <w:szCs w:val="16"/>
          <w:lang w:val="es-CR"/>
        </w:rPr>
        <w:t>Atilina</w:t>
      </w:r>
      <w:proofErr w:type="spellEnd"/>
      <w:r w:rsidRPr="000C41A3">
        <w:rPr>
          <w:rFonts w:ascii="Verdana" w:hAnsi="Verdana"/>
          <w:sz w:val="16"/>
          <w:szCs w:val="16"/>
          <w:lang w:val="es-CR"/>
        </w:rPr>
        <w:t xml:space="preserve"> Hernández Maldonado de Ramírez, Efraín Grave Morente, Eliseo Hernández Morales, Florinda Sales Jacinto, José Coc Cajbon, María Medina, María Miguel, Mario Alberto Hernández, Manuela Toma Gómez, Natividad Sales Calmo, Pedro Coc Chen, Pedrona Miguel Méndez, Ramón Mateo, Rolando Hernández Maldonado, Ricardo Pop Caal, Santos Choc Coc y Tomas Grave Morente.</w:t>
      </w:r>
    </w:p>
  </w:footnote>
  <w:footnote w:id="9">
    <w:p w:rsidR="00292138" w:rsidRPr="000C41A3" w:rsidRDefault="00292138" w:rsidP="00292138">
      <w:pPr>
        <w:pStyle w:val="Textonotapie"/>
        <w:jc w:val="both"/>
        <w:rPr>
          <w:rFonts w:ascii="Verdana" w:hAnsi="Verdana"/>
          <w:b/>
          <w:sz w:val="16"/>
          <w:szCs w:val="16"/>
          <w:lang w:val="es-CR"/>
        </w:rPr>
      </w:pPr>
      <w:r w:rsidRPr="000C41A3">
        <w:rPr>
          <w:rStyle w:val="Refdenotaalpie"/>
          <w:rFonts w:ascii="Verdana" w:hAnsi="Verdana"/>
          <w:b/>
          <w:sz w:val="16"/>
          <w:szCs w:val="16"/>
        </w:rPr>
        <w:footnoteRef/>
      </w:r>
      <w:r w:rsidRPr="000C41A3">
        <w:rPr>
          <w:rFonts w:ascii="Verdana" w:hAnsi="Verdana"/>
          <w:b/>
          <w:sz w:val="16"/>
          <w:szCs w:val="16"/>
          <w:lang w:val="es-CR"/>
        </w:rPr>
        <w:t xml:space="preserve"> </w:t>
      </w:r>
      <w:r w:rsidR="004A2725">
        <w:rPr>
          <w:rFonts w:ascii="Verdana" w:hAnsi="Verdana"/>
          <w:b/>
          <w:sz w:val="16"/>
          <w:szCs w:val="16"/>
          <w:lang w:val="es-CR"/>
        </w:rPr>
        <w:tab/>
      </w:r>
      <w:r w:rsidRPr="000C41A3">
        <w:rPr>
          <w:rStyle w:val="Textoennegrita"/>
          <w:rFonts w:ascii="Verdana" w:hAnsi="Verdana"/>
          <w:b w:val="0"/>
          <w:i/>
          <w:sz w:val="16"/>
          <w:szCs w:val="16"/>
          <w:shd w:val="clear" w:color="auto" w:fill="FFFFFF"/>
          <w:lang w:val="es-MX"/>
        </w:rPr>
        <w:t xml:space="preserve">Cfr. </w:t>
      </w:r>
      <w:r w:rsidRPr="000C41A3">
        <w:rPr>
          <w:rStyle w:val="Textoennegrita"/>
          <w:rFonts w:ascii="Verdana" w:hAnsi="Verdana"/>
          <w:b w:val="0"/>
          <w:i/>
          <w:sz w:val="16"/>
          <w:szCs w:val="16"/>
          <w:shd w:val="clear" w:color="auto" w:fill="FFFFFF"/>
          <w:lang w:val="es-MX"/>
        </w:rPr>
        <w:t>Caso Selvas Gómez y otras Vs. México.</w:t>
      </w:r>
      <w:r w:rsidRPr="000C41A3">
        <w:rPr>
          <w:rStyle w:val="Textoennegrita"/>
          <w:rFonts w:ascii="Verdana" w:hAnsi="Verdana"/>
          <w:b w:val="0"/>
          <w:sz w:val="16"/>
          <w:szCs w:val="16"/>
          <w:shd w:val="clear" w:color="auto" w:fill="FFFFFF"/>
          <w:lang w:val="es-MX"/>
        </w:rPr>
        <w:t xml:space="preserve"> Convocatoria de audiencia. Resolución del Presidente de la Corte de 18 de octubre de 2017</w:t>
      </w:r>
      <w:r w:rsidR="00A81F55">
        <w:rPr>
          <w:rStyle w:val="Textoennegrita"/>
          <w:rFonts w:ascii="Verdana" w:hAnsi="Verdana"/>
          <w:b w:val="0"/>
          <w:sz w:val="16"/>
          <w:szCs w:val="16"/>
          <w:shd w:val="clear" w:color="auto" w:fill="FFFFFF"/>
          <w:lang w:val="es-MX"/>
        </w:rPr>
        <w:t>, C</w:t>
      </w:r>
      <w:proofErr w:type="spellStart"/>
      <w:r w:rsidRPr="000C41A3">
        <w:rPr>
          <w:rFonts w:ascii="Verdana" w:hAnsi="Verdana"/>
          <w:sz w:val="16"/>
          <w:szCs w:val="16"/>
          <w:lang w:val="es-CR"/>
        </w:rPr>
        <w:t>onsiderando</w:t>
      </w:r>
      <w:proofErr w:type="spellEnd"/>
      <w:r w:rsidRPr="000C41A3">
        <w:rPr>
          <w:rFonts w:ascii="Verdana" w:hAnsi="Verdana"/>
          <w:sz w:val="16"/>
          <w:szCs w:val="16"/>
          <w:lang w:val="es-CR"/>
        </w:rPr>
        <w:t xml:space="preserve"> 12</w:t>
      </w:r>
      <w:r w:rsidR="004A2725">
        <w:rPr>
          <w:rFonts w:ascii="Verdana" w:hAnsi="Verdana"/>
          <w:sz w:val="16"/>
          <w:szCs w:val="16"/>
          <w:lang w:val="es-CR"/>
        </w:rPr>
        <w:t>.</w:t>
      </w:r>
      <w:r w:rsidRPr="000C41A3">
        <w:rPr>
          <w:rFonts w:ascii="Verdana" w:hAnsi="Verdana"/>
          <w:b/>
          <w:sz w:val="16"/>
          <w:szCs w:val="16"/>
          <w:lang w:val="es-CR"/>
        </w:rPr>
        <w:t xml:space="preserve"> </w:t>
      </w:r>
    </w:p>
  </w:footnote>
  <w:footnote w:id="10">
    <w:p w:rsidR="00292138" w:rsidRPr="005F4465" w:rsidRDefault="00292138" w:rsidP="00292138">
      <w:pPr>
        <w:pStyle w:val="Textonotapie"/>
        <w:jc w:val="both"/>
        <w:rPr>
          <w:rFonts w:ascii="Verdana" w:hAnsi="Verdana"/>
          <w:b/>
          <w:sz w:val="16"/>
          <w:szCs w:val="16"/>
          <w:lang w:val="es-CR"/>
        </w:rPr>
      </w:pPr>
      <w:r w:rsidRPr="000C41A3">
        <w:rPr>
          <w:rStyle w:val="Refdenotaalpie"/>
          <w:rFonts w:ascii="Verdana" w:hAnsi="Verdana"/>
          <w:b/>
          <w:sz w:val="16"/>
          <w:szCs w:val="16"/>
        </w:rPr>
        <w:footnoteRef/>
      </w:r>
      <w:r w:rsidRPr="000C41A3">
        <w:rPr>
          <w:rFonts w:ascii="Verdana" w:hAnsi="Verdana"/>
          <w:b/>
          <w:sz w:val="16"/>
          <w:szCs w:val="16"/>
          <w:lang w:val="es-CR"/>
        </w:rPr>
        <w:t xml:space="preserve"> </w:t>
      </w:r>
      <w:r w:rsidR="004A2725">
        <w:rPr>
          <w:rFonts w:ascii="Verdana" w:hAnsi="Verdana"/>
          <w:b/>
          <w:sz w:val="16"/>
          <w:szCs w:val="16"/>
          <w:lang w:val="es-CR"/>
        </w:rPr>
        <w:tab/>
      </w:r>
      <w:r w:rsidR="004A2725" w:rsidRPr="004A2725">
        <w:rPr>
          <w:rFonts w:ascii="Verdana" w:hAnsi="Verdana"/>
          <w:i/>
          <w:sz w:val="16"/>
          <w:szCs w:val="16"/>
          <w:lang w:val="es-CR"/>
        </w:rPr>
        <w:t>Cfr.</w:t>
      </w:r>
      <w:r w:rsidR="004A2725">
        <w:rPr>
          <w:rFonts w:ascii="Verdana" w:hAnsi="Verdana"/>
          <w:b/>
          <w:sz w:val="16"/>
          <w:szCs w:val="16"/>
          <w:lang w:val="es-CR"/>
        </w:rPr>
        <w:t xml:space="preserve"> </w:t>
      </w:r>
      <w:r w:rsidRPr="000C41A3">
        <w:rPr>
          <w:rStyle w:val="Textoennegrita"/>
          <w:rFonts w:ascii="Verdana" w:hAnsi="Verdana"/>
          <w:b w:val="0"/>
          <w:i/>
          <w:sz w:val="16"/>
          <w:szCs w:val="16"/>
          <w:shd w:val="clear" w:color="auto" w:fill="FFFFFF"/>
          <w:lang w:val="es-MX"/>
        </w:rPr>
        <w:t>Caso Trabajadores de la</w:t>
      </w:r>
      <w:r w:rsidRPr="000C41A3">
        <w:rPr>
          <w:rStyle w:val="Textoennegrita"/>
          <w:rFonts w:ascii="Verdana" w:hAnsi="Verdana"/>
          <w:b w:val="0"/>
          <w:i/>
          <w:sz w:val="16"/>
          <w:szCs w:val="16"/>
          <w:shd w:val="clear" w:color="auto" w:fill="FFFFFF"/>
          <w:lang w:val="es-MX"/>
        </w:rPr>
        <w:t xml:space="preserve"> Hacienda Brasil Verde Vs. Brasil. Diligencia in situ.</w:t>
      </w:r>
      <w:r w:rsidRPr="000C41A3">
        <w:rPr>
          <w:rStyle w:val="Textoennegrita"/>
          <w:rFonts w:ascii="Verdana" w:hAnsi="Verdana"/>
          <w:b w:val="0"/>
          <w:sz w:val="16"/>
          <w:szCs w:val="16"/>
          <w:shd w:val="clear" w:color="auto" w:fill="FFFFFF"/>
          <w:lang w:val="es-MX"/>
        </w:rPr>
        <w:t xml:space="preserve"> Resolución del Presidente en ejercicio de la Corte de 23 de febrero de 2016</w:t>
      </w:r>
      <w:r w:rsidR="004A2725">
        <w:rPr>
          <w:rStyle w:val="Textoennegrita"/>
          <w:rFonts w:ascii="Verdana" w:hAnsi="Verdana"/>
          <w:b w:val="0"/>
          <w:sz w:val="16"/>
          <w:szCs w:val="16"/>
          <w:shd w:val="clear" w:color="auto" w:fill="FFFFFF"/>
          <w:lang w:val="es-MX"/>
        </w:rPr>
        <w:t>, C</w:t>
      </w:r>
      <w:proofErr w:type="spellStart"/>
      <w:r w:rsidRPr="000C41A3">
        <w:rPr>
          <w:rFonts w:ascii="Verdana" w:hAnsi="Verdana"/>
          <w:sz w:val="16"/>
          <w:szCs w:val="16"/>
          <w:lang w:val="es-CR"/>
        </w:rPr>
        <w:t>onsiderando</w:t>
      </w:r>
      <w:proofErr w:type="spellEnd"/>
      <w:r w:rsidRPr="000C41A3">
        <w:rPr>
          <w:rFonts w:ascii="Verdana" w:hAnsi="Verdana"/>
          <w:sz w:val="16"/>
          <w:szCs w:val="16"/>
          <w:lang w:val="es-CR"/>
        </w:rPr>
        <w:t xml:space="preserve"> 5.</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2138" w:rsidRDefault="00292138">
    <w:pPr>
      <w:pStyle w:val="Encabezado"/>
      <w:jc w:val="center"/>
    </w:pPr>
    <w:r>
      <w:fldChar w:fldCharType="begin"/>
    </w:r>
    <w:r>
      <w:instrText xml:space="preserve"> </w:instrText>
    </w:r>
    <w:r w:rsidR="000A56A0">
      <w:instrText>PAGE</w:instrText>
    </w:r>
    <w:r>
      <w:instrText xml:space="preserve">   \* MERGEFORMAT </w:instrText>
    </w:r>
    <w:r>
      <w:fldChar w:fldCharType="separate"/>
    </w:r>
    <w:r w:rsidR="00B41AB8">
      <w:rPr>
        <w:noProof/>
      </w:rPr>
      <w:t>2</w:t>
    </w:r>
    <w:r>
      <w:rPr>
        <w:noProof/>
      </w:rPr>
      <w:fldChar w:fldCharType="end"/>
    </w:r>
  </w:p>
  <w:p w:rsidR="00292138" w:rsidRDefault="00292138">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F03C2"/>
    <w:multiLevelType w:val="hybridMultilevel"/>
    <w:tmpl w:val="89F620EA"/>
    <w:lvl w:ilvl="0" w:tplc="39A01D00">
      <w:start w:val="1"/>
      <w:numFmt w:val="decimal"/>
      <w:lvlText w:val="%1."/>
      <w:lvlJc w:val="left"/>
      <w:pPr>
        <w:ind w:left="360" w:hanging="360"/>
      </w:pPr>
      <w:rPr>
        <w:rFonts w:hint="default"/>
        <w:b w:val="0"/>
        <w:strike w:val="0"/>
        <w:lang w:val="es-CR"/>
      </w:rPr>
    </w:lvl>
    <w:lvl w:ilvl="1" w:tplc="04090019">
      <w:start w:val="1"/>
      <w:numFmt w:val="lowerLetter"/>
      <w:lvlText w:val="%2."/>
      <w:lvlJc w:val="left"/>
      <w:pPr>
        <w:ind w:left="1080" w:hanging="360"/>
      </w:pPr>
    </w:lvl>
    <w:lvl w:ilvl="2" w:tplc="052823A2">
      <w:start w:val="1"/>
      <w:numFmt w:val="lowerLetter"/>
      <w:lvlText w:val="%3."/>
      <w:lvlJc w:val="left"/>
      <w:pPr>
        <w:ind w:left="1800" w:hanging="180"/>
      </w:pPr>
      <w:rPr>
        <w:strike w:val="0"/>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E55017C"/>
    <w:multiLevelType w:val="hybridMultilevel"/>
    <w:tmpl w:val="7E8E710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2">
    <w:nsid w:val="0F0867BD"/>
    <w:multiLevelType w:val="hybridMultilevel"/>
    <w:tmpl w:val="446A2152"/>
    <w:lvl w:ilvl="0" w:tplc="C76AEAF0">
      <w:start w:val="1"/>
      <w:numFmt w:val="decimal"/>
      <w:lvlText w:val="%1."/>
      <w:lvlJc w:val="left"/>
      <w:pPr>
        <w:ind w:left="360" w:hanging="360"/>
      </w:pPr>
      <w:rPr>
        <w:b w:val="0"/>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nsid w:val="14F52FCF"/>
    <w:multiLevelType w:val="hybridMultilevel"/>
    <w:tmpl w:val="B78C2CA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2DB40DAB"/>
    <w:multiLevelType w:val="hybridMultilevel"/>
    <w:tmpl w:val="D77A1A0A"/>
    <w:lvl w:ilvl="0" w:tplc="4CA02A00">
      <w:start w:val="1"/>
      <w:numFmt w:val="decimal"/>
      <w:lvlText w:val="%1."/>
      <w:lvlJc w:val="left"/>
      <w:pPr>
        <w:ind w:left="360" w:hanging="360"/>
      </w:pPr>
      <w:rPr>
        <w:b w:val="0"/>
        <w:strike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304A44E9"/>
    <w:multiLevelType w:val="hybridMultilevel"/>
    <w:tmpl w:val="FFEC8ABC"/>
    <w:lvl w:ilvl="0" w:tplc="0409000F">
      <w:start w:val="5"/>
      <w:numFmt w:val="decimal"/>
      <w:lvlText w:val="%1."/>
      <w:lvlJc w:val="left"/>
      <w:pPr>
        <w:ind w:left="786"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0C700B9"/>
    <w:multiLevelType w:val="hybridMultilevel"/>
    <w:tmpl w:val="D172A60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42004AD5"/>
    <w:multiLevelType w:val="hybridMultilevel"/>
    <w:tmpl w:val="01627CDC"/>
    <w:lvl w:ilvl="0" w:tplc="A3966368">
      <w:start w:val="1"/>
      <w:numFmt w:val="upperLetter"/>
      <w:lvlText w:val="%1."/>
      <w:lvlJc w:val="left"/>
      <w:pPr>
        <w:ind w:left="360" w:hanging="360"/>
      </w:pPr>
      <w:rPr>
        <w:b/>
        <w:color w:val="00000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8">
    <w:nsid w:val="441F19BA"/>
    <w:multiLevelType w:val="hybridMultilevel"/>
    <w:tmpl w:val="D30872AC"/>
    <w:lvl w:ilvl="0" w:tplc="AD7CF308">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97F620E4">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51BB343E"/>
    <w:multiLevelType w:val="hybridMultilevel"/>
    <w:tmpl w:val="5D6201F2"/>
    <w:lvl w:ilvl="0" w:tplc="6606649C">
      <w:start w:val="1"/>
      <w:numFmt w:val="upperLetter"/>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59E43D69"/>
    <w:multiLevelType w:val="hybridMultilevel"/>
    <w:tmpl w:val="2DE049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DD75065"/>
    <w:multiLevelType w:val="hybridMultilevel"/>
    <w:tmpl w:val="9A2ADA6A"/>
    <w:lvl w:ilvl="0" w:tplc="04090015">
      <w:start w:val="1"/>
      <w:numFmt w:val="upp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615D6ECD"/>
    <w:multiLevelType w:val="hybridMultilevel"/>
    <w:tmpl w:val="E612F4EC"/>
    <w:lvl w:ilvl="0" w:tplc="ED0459E8">
      <w:start w:val="1"/>
      <w:numFmt w:val="lowerLetter"/>
      <w:lvlText w:val="%1)"/>
      <w:lvlJc w:val="left"/>
      <w:pPr>
        <w:ind w:left="1080" w:hanging="360"/>
      </w:pPr>
      <w:rPr>
        <w:rFonts w:ascii="Verdana" w:hAnsi="Verdana" w:cs="Wingdings" w:hint="default"/>
        <w:sz w:val="20"/>
        <w:szCs w:val="20"/>
      </w:rPr>
    </w:lvl>
    <w:lvl w:ilvl="1" w:tplc="7ED89FC2">
      <w:start w:val="1"/>
      <w:numFmt w:val="decimal"/>
      <w:lvlText w:val="%2."/>
      <w:lvlJc w:val="left"/>
      <w:pPr>
        <w:tabs>
          <w:tab w:val="num" w:pos="993"/>
        </w:tabs>
      </w:pPr>
      <w:rPr>
        <w:rFonts w:hint="default"/>
        <w:b/>
        <w:bCs w:val="0"/>
        <w:sz w:val="20"/>
        <w:szCs w:val="20"/>
      </w:rPr>
    </w:lvl>
    <w:lvl w:ilvl="2" w:tplc="B96C1A40">
      <w:start w:val="1"/>
      <w:numFmt w:val="lowerLetter"/>
      <w:lvlText w:val="%3)"/>
      <w:lvlJc w:val="left"/>
      <w:pPr>
        <w:ind w:left="2700" w:hanging="360"/>
      </w:pPr>
      <w:rPr>
        <w:rFonts w:ascii="Verdana" w:hAnsi="Verdana" w:cs="Wingdings" w:hint="default"/>
        <w:b w:val="0"/>
        <w:bCs w:val="0"/>
        <w:sz w:val="20"/>
        <w:szCs w:val="20"/>
      </w:rPr>
    </w:lvl>
    <w:lvl w:ilvl="3" w:tplc="B3E004E2">
      <w:start w:val="1"/>
      <w:numFmt w:val="decimal"/>
      <w:lvlText w:val="%4."/>
      <w:lvlJc w:val="left"/>
      <w:pPr>
        <w:ind w:left="3240" w:hanging="360"/>
      </w:pPr>
      <w:rPr>
        <w:b/>
      </w:rPr>
    </w:lvl>
    <w:lvl w:ilvl="4" w:tplc="2C0A0019">
      <w:start w:val="1"/>
      <w:numFmt w:val="lowerLetter"/>
      <w:lvlText w:val="%5."/>
      <w:lvlJc w:val="left"/>
      <w:pPr>
        <w:ind w:left="3960" w:hanging="360"/>
      </w:pPr>
    </w:lvl>
    <w:lvl w:ilvl="5" w:tplc="2C0A001B">
      <w:start w:val="1"/>
      <w:numFmt w:val="lowerRoman"/>
      <w:lvlText w:val="%6."/>
      <w:lvlJc w:val="right"/>
      <w:pPr>
        <w:ind w:left="4680" w:hanging="180"/>
      </w:pPr>
    </w:lvl>
    <w:lvl w:ilvl="6" w:tplc="2C0A000F">
      <w:start w:val="1"/>
      <w:numFmt w:val="decimal"/>
      <w:lvlText w:val="%7."/>
      <w:lvlJc w:val="left"/>
      <w:pPr>
        <w:ind w:left="5400" w:hanging="360"/>
      </w:pPr>
    </w:lvl>
    <w:lvl w:ilvl="7" w:tplc="2C0A0019">
      <w:start w:val="1"/>
      <w:numFmt w:val="lowerLetter"/>
      <w:lvlText w:val="%8."/>
      <w:lvlJc w:val="left"/>
      <w:pPr>
        <w:ind w:left="6120" w:hanging="360"/>
      </w:pPr>
    </w:lvl>
    <w:lvl w:ilvl="8" w:tplc="2C0A001B">
      <w:start w:val="1"/>
      <w:numFmt w:val="lowerRoman"/>
      <w:lvlText w:val="%9."/>
      <w:lvlJc w:val="right"/>
      <w:pPr>
        <w:ind w:left="6840" w:hanging="180"/>
      </w:pPr>
    </w:lvl>
  </w:abstractNum>
  <w:abstractNum w:abstractNumId="13">
    <w:nsid w:val="749D0EB8"/>
    <w:multiLevelType w:val="hybridMultilevel"/>
    <w:tmpl w:val="A2E81CA0"/>
    <w:lvl w:ilvl="0" w:tplc="E6863B62">
      <w:start w:val="6"/>
      <w:numFmt w:val="bullet"/>
      <w:lvlText w:val=""/>
      <w:lvlJc w:val="left"/>
      <w:pPr>
        <w:ind w:left="720" w:hanging="360"/>
      </w:pPr>
      <w:rPr>
        <w:rFonts w:ascii="Symbol" w:eastAsia="SimSun" w:hAnsi="Symbol" w:cs="Times New Roman"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9"/>
  </w:num>
  <w:num w:numId="5">
    <w:abstractNumId w:val="0"/>
  </w:num>
  <w:num w:numId="6">
    <w:abstractNumId w:val="3"/>
  </w:num>
  <w:num w:numId="7">
    <w:abstractNumId w:val="4"/>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3"/>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2"/>
  </w:num>
  <w:num w:numId="16">
    <w:abstractNumId w:val="10"/>
  </w:num>
  <w:num w:numId="17">
    <w:abstractNumId w:val="11"/>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hyphenationZone w:val="425"/>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E0897"/>
    <w:rsid w:val="00094E86"/>
    <w:rsid w:val="000A56A0"/>
    <w:rsid w:val="000B36E8"/>
    <w:rsid w:val="000C294C"/>
    <w:rsid w:val="00197DFC"/>
    <w:rsid w:val="001C32CA"/>
    <w:rsid w:val="0026688B"/>
    <w:rsid w:val="00270C44"/>
    <w:rsid w:val="00292138"/>
    <w:rsid w:val="002C70E0"/>
    <w:rsid w:val="00362B0B"/>
    <w:rsid w:val="003E0158"/>
    <w:rsid w:val="004A2725"/>
    <w:rsid w:val="006545A8"/>
    <w:rsid w:val="00690A2D"/>
    <w:rsid w:val="0087281F"/>
    <w:rsid w:val="008B45A3"/>
    <w:rsid w:val="008F531A"/>
    <w:rsid w:val="00921423"/>
    <w:rsid w:val="00973D1D"/>
    <w:rsid w:val="009C1A18"/>
    <w:rsid w:val="009E31D8"/>
    <w:rsid w:val="00A764BA"/>
    <w:rsid w:val="00A81F55"/>
    <w:rsid w:val="00B22325"/>
    <w:rsid w:val="00B310F5"/>
    <w:rsid w:val="00B351EF"/>
    <w:rsid w:val="00B41AB8"/>
    <w:rsid w:val="00B57D36"/>
    <w:rsid w:val="00BC6110"/>
    <w:rsid w:val="00CA7028"/>
    <w:rsid w:val="00D36E99"/>
    <w:rsid w:val="00D43BB3"/>
    <w:rsid w:val="00D55E4A"/>
    <w:rsid w:val="00E75658"/>
    <w:rsid w:val="00E80A01"/>
    <w:rsid w:val="00F100C2"/>
    <w:rsid w:val="00FA307F"/>
    <w:rsid w:val="00FE7188"/>
  </w:rsids>
  <m:mathPr>
    <m:mathFont m:val="Cambria Math"/>
    <m:brkBin m:val="before"/>
    <m:brkBinSub m:val="--"/>
    <m:smallFrac/>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 Spacing" w:semiHidden="0" w:unhideWhenUsed="0" w:qFormat="1"/>
    <w:lsdException w:name="Medium Grid 1"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72"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unhideWhenUsed="0"/>
    <w:lsdException w:name="Colorful List Accent 1" w:semiHidden="0"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semiHidden="0" w:uiPriority="70" w:unhideWhenUsed="0"/>
    <w:lsdException w:name="TOC Heading" w:uiPriority="71" w:qFormat="1"/>
  </w:latentStyles>
  <w:style w:type="paragraph" w:default="1" w:styleId="Normal">
    <w:name w:val="Normal"/>
    <w:qFormat/>
    <w:rsid w:val="00F8242C"/>
    <w:pPr>
      <w:spacing w:after="200" w:line="276" w:lineRule="auto"/>
    </w:pPr>
    <w:rPr>
      <w:sz w:val="22"/>
      <w:szCs w:val="22"/>
      <w:lang w:val="en-US" w:eastAsia="zh-CN"/>
    </w:rPr>
  </w:style>
  <w:style w:type="character" w:default="1" w:styleId="Fuentedeprrafopredeter">
    <w:name w:val="Default Paragraph Font"/>
    <w:semiHidden/>
    <w:unhideWhenUsed/>
  </w:style>
  <w:style w:type="table" w:default="1" w:styleId="Tablanormal">
    <w:name w:val="Normal Table"/>
    <w:semiHidden/>
    <w:unhideWhenUsed/>
    <w:qFormat/>
    <w:tblPr>
      <w:tblInd w:w="0" w:type="dxa"/>
      <w:tblCellMar>
        <w:top w:w="0" w:type="dxa"/>
        <w:left w:w="108" w:type="dxa"/>
        <w:bottom w:w="0" w:type="dxa"/>
        <w:right w:w="108" w:type="dxa"/>
      </w:tblCellMar>
    </w:tblPr>
  </w:style>
  <w:style w:type="numbering" w:default="1" w:styleId="Sinlista">
    <w:name w:val="No List"/>
    <w:semiHidden/>
    <w:unhideWhenUsed/>
  </w:style>
  <w:style w:type="paragraph" w:styleId="NormalWeb">
    <w:name w:val="Normal (Web)"/>
    <w:basedOn w:val="Normal"/>
    <w:uiPriority w:val="99"/>
    <w:unhideWhenUsed/>
    <w:rsid w:val="005E0897"/>
    <w:pPr>
      <w:spacing w:before="100" w:beforeAutospacing="1" w:after="100" w:afterAutospacing="1" w:line="240" w:lineRule="auto"/>
    </w:pPr>
    <w:rPr>
      <w:rFonts w:ascii="Times New Roman" w:eastAsia="Times New Roman" w:hAnsi="Times New Roman"/>
      <w:sz w:val="24"/>
      <w:szCs w:val="24"/>
      <w:lang w:eastAsia="en-US"/>
    </w:rPr>
  </w:style>
  <w:style w:type="paragraph" w:styleId="Listavistosa-nfasis1">
    <w:name w:val="Colorful List Accent 1"/>
    <w:aliases w:val="Footnote"/>
    <w:basedOn w:val="Normal"/>
    <w:uiPriority w:val="99"/>
    <w:qFormat/>
    <w:rsid w:val="005E0897"/>
    <w:pPr>
      <w:ind w:left="720"/>
      <w:contextualSpacing/>
    </w:pPr>
    <w:rPr>
      <w:rFonts w:eastAsia="Calibri"/>
      <w:lang w:eastAsia="en-US"/>
    </w:rPr>
  </w:style>
  <w:style w:type="paragraph" w:styleId="Encabezado">
    <w:name w:val="header"/>
    <w:basedOn w:val="Normal"/>
    <w:link w:val="EncabezadoCar"/>
    <w:uiPriority w:val="99"/>
    <w:unhideWhenUsed/>
    <w:rsid w:val="00744783"/>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744783"/>
  </w:style>
  <w:style w:type="paragraph" w:styleId="Piedepgina">
    <w:name w:val="footer"/>
    <w:basedOn w:val="Normal"/>
    <w:link w:val="PiedepginaCar"/>
    <w:uiPriority w:val="99"/>
    <w:unhideWhenUsed/>
    <w:rsid w:val="00744783"/>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744783"/>
  </w:style>
  <w:style w:type="character" w:styleId="Textoennegrita">
    <w:name w:val="Strong"/>
    <w:uiPriority w:val="22"/>
    <w:qFormat/>
    <w:rsid w:val="008E141A"/>
    <w:rPr>
      <w:b/>
      <w:bCs/>
    </w:rPr>
  </w:style>
  <w:style w:type="paragraph" w:styleId="Textonotapie">
    <w:name w:val="footnote text"/>
    <w:aliases w:val="Footnote Text Char Char Char Char Char,Footnote Text Char Char Char Char,FA Fu,Footnote Reference1,Footnote Text Char Char Char,Footnote Text Cha,FA Fußnotentext,FA Fuﬂnotentext,Texto nota pie Car,Footnote Text Char Char,FA Fu?notentext,C"/>
    <w:basedOn w:val="Normal"/>
    <w:link w:val="TextonotapieCar1"/>
    <w:uiPriority w:val="99"/>
    <w:unhideWhenUsed/>
    <w:rsid w:val="00122275"/>
    <w:pPr>
      <w:spacing w:after="0" w:line="240" w:lineRule="auto"/>
    </w:pPr>
    <w:rPr>
      <w:rFonts w:eastAsia="Calibri"/>
      <w:sz w:val="20"/>
      <w:szCs w:val="20"/>
      <w:lang w:eastAsia="en-US"/>
    </w:rPr>
  </w:style>
  <w:style w:type="character" w:customStyle="1" w:styleId="TextonotapieCar1">
    <w:name w:val="Texto nota pie Car1"/>
    <w:aliases w:val="Footnote Text Char Char Char Char Char Car,Footnote Text Char Char Char Char Car,FA Fu Car,Footnote Reference1 Car,Footnote Text Char Char Char Car,Footnote Text Cha Car,FA Fußnotentext Car,FA Fuﬂnotentext Car,Texto nota pie Car Car"/>
    <w:link w:val="Textonotapie"/>
    <w:uiPriority w:val="99"/>
    <w:rsid w:val="00122275"/>
    <w:rPr>
      <w:rFonts w:eastAsia="Calibri"/>
      <w:sz w:val="20"/>
      <w:szCs w:val="20"/>
      <w:lang w:eastAsia="en-US"/>
    </w:rPr>
  </w:style>
  <w:style w:type="character" w:styleId="Refdenotaalpie">
    <w:name w:val="footnote reference"/>
    <w:uiPriority w:val="99"/>
    <w:semiHidden/>
    <w:unhideWhenUsed/>
    <w:rsid w:val="00122275"/>
    <w:rPr>
      <w:vertAlign w:val="superscript"/>
    </w:rPr>
  </w:style>
  <w:style w:type="character" w:styleId="Nmerodelnea">
    <w:name w:val="line number"/>
    <w:basedOn w:val="Fuentedeprrafopredeter"/>
    <w:uiPriority w:val="99"/>
    <w:semiHidden/>
    <w:unhideWhenUsed/>
    <w:rsid w:val="002722AB"/>
  </w:style>
  <w:style w:type="paragraph" w:styleId="Textodeglobo">
    <w:name w:val="Balloon Text"/>
    <w:basedOn w:val="Normal"/>
    <w:link w:val="TextodegloboCar"/>
    <w:uiPriority w:val="99"/>
    <w:semiHidden/>
    <w:unhideWhenUsed/>
    <w:rsid w:val="00C83EE4"/>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C83EE4"/>
    <w:rPr>
      <w:rFonts w:ascii="Tahoma" w:hAnsi="Tahoma" w:cs="Tahoma"/>
      <w:sz w:val="16"/>
      <w:szCs w:val="16"/>
    </w:rPr>
  </w:style>
  <w:style w:type="character" w:styleId="Hipervnculo">
    <w:name w:val="Hyperlink"/>
    <w:uiPriority w:val="99"/>
    <w:unhideWhenUsed/>
    <w:rsid w:val="00D616C5"/>
    <w:rPr>
      <w:color w:val="0000FF"/>
      <w:u w:val="single"/>
    </w:rPr>
  </w:style>
  <w:style w:type="character" w:styleId="Refdecomentario">
    <w:name w:val="annotation reference"/>
    <w:uiPriority w:val="99"/>
    <w:semiHidden/>
    <w:unhideWhenUsed/>
    <w:rsid w:val="00AD7417"/>
    <w:rPr>
      <w:sz w:val="16"/>
      <w:szCs w:val="16"/>
    </w:rPr>
  </w:style>
  <w:style w:type="paragraph" w:styleId="Textocomentario">
    <w:name w:val="annotation text"/>
    <w:basedOn w:val="Normal"/>
    <w:link w:val="TextocomentarioCar"/>
    <w:uiPriority w:val="99"/>
    <w:semiHidden/>
    <w:unhideWhenUsed/>
    <w:rsid w:val="00AD7417"/>
    <w:pPr>
      <w:spacing w:line="240" w:lineRule="auto"/>
    </w:pPr>
    <w:rPr>
      <w:sz w:val="20"/>
      <w:szCs w:val="20"/>
    </w:rPr>
  </w:style>
  <w:style w:type="character" w:customStyle="1" w:styleId="TextocomentarioCar">
    <w:name w:val="Texto comentario Car"/>
    <w:link w:val="Textocomentario"/>
    <w:uiPriority w:val="99"/>
    <w:semiHidden/>
    <w:rsid w:val="00AD7417"/>
    <w:rPr>
      <w:sz w:val="20"/>
      <w:szCs w:val="20"/>
    </w:rPr>
  </w:style>
  <w:style w:type="paragraph" w:styleId="Asuntodelcomentario">
    <w:name w:val="annotation subject"/>
    <w:basedOn w:val="Textocomentario"/>
    <w:next w:val="Textocomentario"/>
    <w:link w:val="AsuntodelcomentarioCar"/>
    <w:uiPriority w:val="99"/>
    <w:semiHidden/>
    <w:unhideWhenUsed/>
    <w:rsid w:val="00AD7417"/>
    <w:rPr>
      <w:b/>
      <w:bCs/>
    </w:rPr>
  </w:style>
  <w:style w:type="character" w:customStyle="1" w:styleId="AsuntodelcomentarioCar">
    <w:name w:val="Asunto del comentario Car"/>
    <w:link w:val="Asuntodelcomentario"/>
    <w:uiPriority w:val="99"/>
    <w:semiHidden/>
    <w:rsid w:val="00AD7417"/>
    <w:rPr>
      <w:b/>
      <w:bCs/>
      <w:sz w:val="20"/>
      <w:szCs w:val="20"/>
    </w:rPr>
  </w:style>
  <w:style w:type="paragraph" w:styleId="Prrafodelista">
    <w:name w:val="List Paragraph"/>
    <w:basedOn w:val="Normal"/>
    <w:uiPriority w:val="72"/>
    <w:qFormat/>
    <w:rsid w:val="00197DFC"/>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84111">
      <w:bodyDiv w:val="1"/>
      <w:marLeft w:val="0"/>
      <w:marRight w:val="0"/>
      <w:marTop w:val="0"/>
      <w:marBottom w:val="0"/>
      <w:divBdr>
        <w:top w:val="none" w:sz="0" w:space="0" w:color="auto"/>
        <w:left w:val="none" w:sz="0" w:space="0" w:color="auto"/>
        <w:bottom w:val="none" w:sz="0" w:space="0" w:color="auto"/>
        <w:right w:val="none" w:sz="0" w:space="0" w:color="auto"/>
      </w:divBdr>
    </w:div>
    <w:div w:id="53823648">
      <w:bodyDiv w:val="1"/>
      <w:marLeft w:val="0"/>
      <w:marRight w:val="0"/>
      <w:marTop w:val="0"/>
      <w:marBottom w:val="0"/>
      <w:divBdr>
        <w:top w:val="none" w:sz="0" w:space="0" w:color="auto"/>
        <w:left w:val="none" w:sz="0" w:space="0" w:color="auto"/>
        <w:bottom w:val="none" w:sz="0" w:space="0" w:color="auto"/>
        <w:right w:val="none" w:sz="0" w:space="0" w:color="auto"/>
      </w:divBdr>
    </w:div>
    <w:div w:id="98917321">
      <w:bodyDiv w:val="1"/>
      <w:marLeft w:val="0"/>
      <w:marRight w:val="0"/>
      <w:marTop w:val="0"/>
      <w:marBottom w:val="0"/>
      <w:divBdr>
        <w:top w:val="none" w:sz="0" w:space="0" w:color="auto"/>
        <w:left w:val="none" w:sz="0" w:space="0" w:color="auto"/>
        <w:bottom w:val="none" w:sz="0" w:space="0" w:color="auto"/>
        <w:right w:val="none" w:sz="0" w:space="0" w:color="auto"/>
      </w:divBdr>
    </w:div>
    <w:div w:id="178396844">
      <w:bodyDiv w:val="1"/>
      <w:marLeft w:val="0"/>
      <w:marRight w:val="0"/>
      <w:marTop w:val="0"/>
      <w:marBottom w:val="0"/>
      <w:divBdr>
        <w:top w:val="none" w:sz="0" w:space="0" w:color="auto"/>
        <w:left w:val="none" w:sz="0" w:space="0" w:color="auto"/>
        <w:bottom w:val="none" w:sz="0" w:space="0" w:color="auto"/>
        <w:right w:val="none" w:sz="0" w:space="0" w:color="auto"/>
      </w:divBdr>
    </w:div>
    <w:div w:id="188180164">
      <w:bodyDiv w:val="1"/>
      <w:marLeft w:val="0"/>
      <w:marRight w:val="0"/>
      <w:marTop w:val="0"/>
      <w:marBottom w:val="0"/>
      <w:divBdr>
        <w:top w:val="none" w:sz="0" w:space="0" w:color="auto"/>
        <w:left w:val="none" w:sz="0" w:space="0" w:color="auto"/>
        <w:bottom w:val="none" w:sz="0" w:space="0" w:color="auto"/>
        <w:right w:val="none" w:sz="0" w:space="0" w:color="auto"/>
      </w:divBdr>
    </w:div>
    <w:div w:id="263340715">
      <w:bodyDiv w:val="1"/>
      <w:marLeft w:val="0"/>
      <w:marRight w:val="0"/>
      <w:marTop w:val="0"/>
      <w:marBottom w:val="0"/>
      <w:divBdr>
        <w:top w:val="none" w:sz="0" w:space="0" w:color="auto"/>
        <w:left w:val="none" w:sz="0" w:space="0" w:color="auto"/>
        <w:bottom w:val="none" w:sz="0" w:space="0" w:color="auto"/>
        <w:right w:val="none" w:sz="0" w:space="0" w:color="auto"/>
      </w:divBdr>
    </w:div>
    <w:div w:id="284166270">
      <w:bodyDiv w:val="1"/>
      <w:marLeft w:val="0"/>
      <w:marRight w:val="0"/>
      <w:marTop w:val="0"/>
      <w:marBottom w:val="0"/>
      <w:divBdr>
        <w:top w:val="none" w:sz="0" w:space="0" w:color="auto"/>
        <w:left w:val="none" w:sz="0" w:space="0" w:color="auto"/>
        <w:bottom w:val="none" w:sz="0" w:space="0" w:color="auto"/>
        <w:right w:val="none" w:sz="0" w:space="0" w:color="auto"/>
      </w:divBdr>
    </w:div>
    <w:div w:id="432172806">
      <w:bodyDiv w:val="1"/>
      <w:marLeft w:val="0"/>
      <w:marRight w:val="0"/>
      <w:marTop w:val="0"/>
      <w:marBottom w:val="0"/>
      <w:divBdr>
        <w:top w:val="none" w:sz="0" w:space="0" w:color="auto"/>
        <w:left w:val="none" w:sz="0" w:space="0" w:color="auto"/>
        <w:bottom w:val="none" w:sz="0" w:space="0" w:color="auto"/>
        <w:right w:val="none" w:sz="0" w:space="0" w:color="auto"/>
      </w:divBdr>
    </w:div>
    <w:div w:id="815029177">
      <w:bodyDiv w:val="1"/>
      <w:marLeft w:val="0"/>
      <w:marRight w:val="0"/>
      <w:marTop w:val="0"/>
      <w:marBottom w:val="0"/>
      <w:divBdr>
        <w:top w:val="none" w:sz="0" w:space="0" w:color="auto"/>
        <w:left w:val="none" w:sz="0" w:space="0" w:color="auto"/>
        <w:bottom w:val="none" w:sz="0" w:space="0" w:color="auto"/>
        <w:right w:val="none" w:sz="0" w:space="0" w:color="auto"/>
      </w:divBdr>
    </w:div>
    <w:div w:id="979529907">
      <w:bodyDiv w:val="1"/>
      <w:marLeft w:val="0"/>
      <w:marRight w:val="0"/>
      <w:marTop w:val="0"/>
      <w:marBottom w:val="0"/>
      <w:divBdr>
        <w:top w:val="none" w:sz="0" w:space="0" w:color="auto"/>
        <w:left w:val="none" w:sz="0" w:space="0" w:color="auto"/>
        <w:bottom w:val="none" w:sz="0" w:space="0" w:color="auto"/>
        <w:right w:val="none" w:sz="0" w:space="0" w:color="auto"/>
      </w:divBdr>
    </w:div>
    <w:div w:id="1047224871">
      <w:bodyDiv w:val="1"/>
      <w:marLeft w:val="0"/>
      <w:marRight w:val="0"/>
      <w:marTop w:val="0"/>
      <w:marBottom w:val="0"/>
      <w:divBdr>
        <w:top w:val="none" w:sz="0" w:space="0" w:color="auto"/>
        <w:left w:val="none" w:sz="0" w:space="0" w:color="auto"/>
        <w:bottom w:val="none" w:sz="0" w:space="0" w:color="auto"/>
        <w:right w:val="none" w:sz="0" w:space="0" w:color="auto"/>
      </w:divBdr>
    </w:div>
    <w:div w:id="1189904170">
      <w:bodyDiv w:val="1"/>
      <w:marLeft w:val="0"/>
      <w:marRight w:val="0"/>
      <w:marTop w:val="0"/>
      <w:marBottom w:val="0"/>
      <w:divBdr>
        <w:top w:val="none" w:sz="0" w:space="0" w:color="auto"/>
        <w:left w:val="none" w:sz="0" w:space="0" w:color="auto"/>
        <w:bottom w:val="none" w:sz="0" w:space="0" w:color="auto"/>
        <w:right w:val="none" w:sz="0" w:space="0" w:color="auto"/>
      </w:divBdr>
    </w:div>
    <w:div w:id="1331256147">
      <w:bodyDiv w:val="1"/>
      <w:marLeft w:val="0"/>
      <w:marRight w:val="0"/>
      <w:marTop w:val="0"/>
      <w:marBottom w:val="0"/>
      <w:divBdr>
        <w:top w:val="none" w:sz="0" w:space="0" w:color="auto"/>
        <w:left w:val="none" w:sz="0" w:space="0" w:color="auto"/>
        <w:bottom w:val="none" w:sz="0" w:space="0" w:color="auto"/>
        <w:right w:val="none" w:sz="0" w:space="0" w:color="auto"/>
      </w:divBdr>
    </w:div>
    <w:div w:id="1405184378">
      <w:bodyDiv w:val="1"/>
      <w:marLeft w:val="0"/>
      <w:marRight w:val="0"/>
      <w:marTop w:val="0"/>
      <w:marBottom w:val="0"/>
      <w:divBdr>
        <w:top w:val="none" w:sz="0" w:space="0" w:color="auto"/>
        <w:left w:val="none" w:sz="0" w:space="0" w:color="auto"/>
        <w:bottom w:val="none" w:sz="0" w:space="0" w:color="auto"/>
        <w:right w:val="none" w:sz="0" w:space="0" w:color="auto"/>
      </w:divBdr>
    </w:div>
    <w:div w:id="1703941515">
      <w:bodyDiv w:val="1"/>
      <w:marLeft w:val="0"/>
      <w:marRight w:val="0"/>
      <w:marTop w:val="0"/>
      <w:marBottom w:val="0"/>
      <w:divBdr>
        <w:top w:val="none" w:sz="0" w:space="0" w:color="auto"/>
        <w:left w:val="none" w:sz="0" w:space="0" w:color="auto"/>
        <w:bottom w:val="none" w:sz="0" w:space="0" w:color="auto"/>
        <w:right w:val="none" w:sz="0" w:space="0" w:color="auto"/>
      </w:divBdr>
    </w:div>
    <w:div w:id="1714764688">
      <w:bodyDiv w:val="1"/>
      <w:marLeft w:val="0"/>
      <w:marRight w:val="0"/>
      <w:marTop w:val="0"/>
      <w:marBottom w:val="0"/>
      <w:divBdr>
        <w:top w:val="none" w:sz="0" w:space="0" w:color="auto"/>
        <w:left w:val="none" w:sz="0" w:space="0" w:color="auto"/>
        <w:bottom w:val="none" w:sz="0" w:space="0" w:color="auto"/>
        <w:right w:val="none" w:sz="0" w:space="0" w:color="auto"/>
      </w:divBdr>
    </w:div>
    <w:div w:id="1830900430">
      <w:bodyDiv w:val="1"/>
      <w:marLeft w:val="0"/>
      <w:marRight w:val="0"/>
      <w:marTop w:val="0"/>
      <w:marBottom w:val="0"/>
      <w:divBdr>
        <w:top w:val="none" w:sz="0" w:space="0" w:color="auto"/>
        <w:left w:val="none" w:sz="0" w:space="0" w:color="auto"/>
        <w:bottom w:val="none" w:sz="0" w:space="0" w:color="auto"/>
        <w:right w:val="none" w:sz="0" w:space="0" w:color="auto"/>
      </w:divBdr>
    </w:div>
    <w:div w:id="1902401425">
      <w:bodyDiv w:val="1"/>
      <w:marLeft w:val="0"/>
      <w:marRight w:val="0"/>
      <w:marTop w:val="0"/>
      <w:marBottom w:val="0"/>
      <w:divBdr>
        <w:top w:val="none" w:sz="0" w:space="0" w:color="auto"/>
        <w:left w:val="none" w:sz="0" w:space="0" w:color="auto"/>
        <w:bottom w:val="none" w:sz="0" w:space="0" w:color="auto"/>
        <w:right w:val="none" w:sz="0" w:space="0" w:color="auto"/>
      </w:divBdr>
    </w:div>
    <w:div w:id="2091389751">
      <w:bodyDiv w:val="1"/>
      <w:marLeft w:val="0"/>
      <w:marRight w:val="0"/>
      <w:marTop w:val="0"/>
      <w:marBottom w:val="0"/>
      <w:divBdr>
        <w:top w:val="none" w:sz="0" w:space="0" w:color="auto"/>
        <w:left w:val="none" w:sz="0" w:space="0" w:color="auto"/>
        <w:bottom w:val="none" w:sz="0" w:space="0" w:color="auto"/>
        <w:right w:val="none" w:sz="0" w:space="0" w:color="auto"/>
      </w:divBdr>
    </w:div>
    <w:div w:id="2125227781">
      <w:bodyDiv w:val="1"/>
      <w:marLeft w:val="0"/>
      <w:marRight w:val="0"/>
      <w:marTop w:val="0"/>
      <w:marBottom w:val="0"/>
      <w:divBdr>
        <w:top w:val="none" w:sz="0" w:space="0" w:color="auto"/>
        <w:left w:val="none" w:sz="0" w:space="0" w:color="auto"/>
        <w:bottom w:val="none" w:sz="0" w:space="0" w:color="auto"/>
        <w:right w:val="none" w:sz="0" w:space="0" w:color="auto"/>
      </w:divBdr>
    </w:div>
    <w:div w:id="21333970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50CC0B-A964-478E-9B41-37C8A7184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3238</Words>
  <Characters>17811</Characters>
  <Application>Microsoft Office Word</Application>
  <DocSecurity>0</DocSecurity>
  <Lines>148</Lines>
  <Paragraphs>42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Cejil Autorizado</Company>
  <LinksUpToDate>false</LinksUpToDate>
  <CharactersWithSpaces>21007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4</cp:revision>
  <cp:lastPrinted>2018-01-03T16:27:00Z</cp:lastPrinted>
  <dcterms:created xsi:type="dcterms:W3CDTF">2018-01-03T16:27:00Z</dcterms:created>
  <dcterms:modified xsi:type="dcterms:W3CDTF">2018-01-03T16:27:00Z</dcterms:modified>
</cp:coreProperties>
</file>