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B24" w:rsidRPr="00794B24" w:rsidRDefault="00794B24" w:rsidP="00794B24">
      <w:pPr>
        <w:spacing w:after="0" w:line="240" w:lineRule="auto"/>
        <w:ind w:left="-90" w:firstLine="90"/>
        <w:jc w:val="center"/>
        <w:rPr>
          <w:rFonts w:ascii="Verdana" w:eastAsia="Times New Roman" w:hAnsi="Verdana" w:cs="Times New Roman"/>
          <w:sz w:val="24"/>
          <w:szCs w:val="24"/>
          <w:lang w:eastAsia="es-AR"/>
        </w:rPr>
      </w:pPr>
      <w:r w:rsidRPr="00794B24">
        <w:rPr>
          <w:rFonts w:ascii="Verdana" w:eastAsia="Times New Roman" w:hAnsi="Verdana" w:cs="Times New Roman"/>
          <w:b/>
          <w:bCs/>
          <w:color w:val="000000"/>
          <w:sz w:val="24"/>
          <w:szCs w:val="24"/>
          <w:lang w:val="es-UY" w:eastAsia="es-AR"/>
        </w:rPr>
        <w:t>INFORME Nº 32/05</w:t>
      </w:r>
    </w:p>
    <w:p w:rsidR="00794B24" w:rsidRPr="00794B24" w:rsidRDefault="00794B24" w:rsidP="00794B24">
      <w:pPr>
        <w:spacing w:after="0" w:line="240" w:lineRule="auto"/>
        <w:ind w:left="-90" w:firstLine="90"/>
        <w:jc w:val="center"/>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PETICIÓN 642</w:t>
      </w:r>
      <w:r w:rsidRPr="00794B24">
        <w:rPr>
          <w:rFonts w:ascii="Verdana" w:eastAsia="Times New Roman" w:hAnsi="Verdana" w:cs="Times New Roman"/>
          <w:color w:val="000000"/>
          <w:sz w:val="24"/>
          <w:szCs w:val="24"/>
          <w:lang w:eastAsia="es-AR"/>
        </w:rPr>
        <w:t>-</w:t>
      </w:r>
      <w:r w:rsidRPr="00794B24">
        <w:rPr>
          <w:rFonts w:ascii="Verdana" w:eastAsia="Times New Roman" w:hAnsi="Verdana" w:cs="Times New Roman"/>
          <w:color w:val="000000"/>
          <w:sz w:val="24"/>
          <w:szCs w:val="24"/>
          <w:lang w:val="es-UY" w:eastAsia="es-AR"/>
        </w:rPr>
        <w:t>03</w:t>
      </w:r>
    </w:p>
    <w:p w:rsidR="00794B24" w:rsidRPr="00794B24" w:rsidRDefault="00794B24" w:rsidP="00794B24">
      <w:pPr>
        <w:spacing w:after="0" w:line="240" w:lineRule="auto"/>
        <w:ind w:left="-90" w:firstLine="90"/>
        <w:jc w:val="center"/>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ADMISIBILIDAD</w:t>
      </w:r>
    </w:p>
    <w:p w:rsidR="00794B24" w:rsidRPr="00794B24" w:rsidRDefault="00794B24" w:rsidP="00794B24">
      <w:pPr>
        <w:spacing w:after="0" w:line="240" w:lineRule="auto"/>
        <w:ind w:left="-90" w:firstLine="90"/>
        <w:jc w:val="center"/>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LUIS ROLANDO CUSCUL PIVARAL Y OTRAS PERSONAS AFECTADAS POR EL VIH/SIDA</w:t>
      </w:r>
    </w:p>
    <w:p w:rsidR="00794B24" w:rsidRPr="00794B24" w:rsidRDefault="00794B24" w:rsidP="00794B24">
      <w:pPr>
        <w:spacing w:after="0" w:line="240" w:lineRule="auto"/>
        <w:ind w:left="-90" w:firstLine="90"/>
        <w:jc w:val="center"/>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GUATEMALA</w:t>
      </w:r>
    </w:p>
    <w:p w:rsidR="00794B24" w:rsidRPr="00794B24" w:rsidRDefault="00794B24" w:rsidP="00794B24">
      <w:pPr>
        <w:spacing w:after="0" w:line="240" w:lineRule="auto"/>
        <w:ind w:left="-90" w:firstLine="90"/>
        <w:jc w:val="center"/>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7 de marzo de 2005</w:t>
      </w:r>
    </w:p>
    <w:p w:rsidR="00794B24" w:rsidRPr="00794B24" w:rsidRDefault="00794B24" w:rsidP="00794B24">
      <w:pPr>
        <w:spacing w:after="0" w:line="240" w:lineRule="auto"/>
        <w:ind w:left="-90" w:firstLine="90"/>
        <w:rPr>
          <w:rFonts w:ascii="Verdana" w:eastAsia="Times New Roman" w:hAnsi="Verdana" w:cs="Times New Roman"/>
          <w:sz w:val="24"/>
          <w:szCs w:val="24"/>
          <w:lang w:eastAsia="es-AR"/>
        </w:rPr>
      </w:pPr>
    </w:p>
    <w:p w:rsidR="00794B24" w:rsidRPr="00794B24" w:rsidRDefault="00794B24" w:rsidP="00794B24">
      <w:pPr>
        <w:spacing w:after="0" w:line="240" w:lineRule="auto"/>
        <w:ind w:left="-90" w:firstLine="90"/>
        <w:rPr>
          <w:rFonts w:ascii="Verdana" w:eastAsia="Times New Roman" w:hAnsi="Verdana" w:cs="Times New Roman"/>
          <w:sz w:val="24"/>
          <w:szCs w:val="24"/>
          <w:lang w:eastAsia="es-AR"/>
        </w:rPr>
      </w:pPr>
    </w:p>
    <w:p w:rsidR="00794B24" w:rsidRPr="00794B24" w:rsidRDefault="00794B24" w:rsidP="00794B24">
      <w:pPr>
        <w:spacing w:after="0" w:line="240" w:lineRule="auto"/>
        <w:ind w:firstLine="720"/>
        <w:jc w:val="both"/>
        <w:outlineLvl w:val="0"/>
        <w:rPr>
          <w:rFonts w:ascii="Verdana" w:eastAsia="Times New Roman" w:hAnsi="Verdana" w:cs="Times New Roman"/>
          <w:b/>
          <w:bCs/>
          <w:kern w:val="36"/>
          <w:sz w:val="24"/>
          <w:szCs w:val="24"/>
          <w:lang w:eastAsia="es-AR"/>
        </w:rPr>
      </w:pPr>
      <w:r w:rsidRPr="00794B24">
        <w:rPr>
          <w:rFonts w:ascii="Verdana" w:eastAsia="Times New Roman" w:hAnsi="Verdana" w:cs="Times New Roman"/>
          <w:b/>
          <w:bCs/>
          <w:kern w:val="36"/>
          <w:sz w:val="24"/>
          <w:szCs w:val="24"/>
          <w:lang w:val="es-UY" w:eastAsia="es-AR"/>
        </w:rPr>
        <w:t>I. RESUMEN</w:t>
      </w:r>
    </w:p>
    <w:p w:rsidR="00794B24" w:rsidRPr="00794B24" w:rsidRDefault="00794B24" w:rsidP="00FC2D4E">
      <w:pPr>
        <w:spacing w:after="0" w:line="240" w:lineRule="auto"/>
        <w:jc w:val="both"/>
        <w:rPr>
          <w:rFonts w:ascii="Verdana" w:eastAsia="Times New Roman" w:hAnsi="Verdana" w:cs="Times New Roman"/>
          <w:sz w:val="24"/>
          <w:szCs w:val="24"/>
          <w:lang w:eastAsia="es-AR"/>
        </w:rPr>
      </w:pPr>
    </w:p>
    <w:p w:rsidR="00794B24" w:rsidRPr="00794B24" w:rsidRDefault="00794B24" w:rsidP="00FC2D4E">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1.</w:t>
      </w:r>
      <w:r w:rsidR="00FC2D4E">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El 26 de agosto de 2003 la Comisión Interamericana de Derechos Humanos (en adelante "la Comisión") recibió una petición presentada por el Centro por la Justicia y el Derecho Internacional “CEJIL”, la Red Nacional de Personas que Viven con el VIH/SIDA presidida por el Sr. Félix </w:t>
      </w:r>
      <w:proofErr w:type="spellStart"/>
      <w:r w:rsidRPr="00794B24">
        <w:rPr>
          <w:rFonts w:ascii="Verdana" w:eastAsia="Times New Roman" w:hAnsi="Verdana" w:cs="Times New Roman"/>
          <w:color w:val="000000"/>
          <w:sz w:val="24"/>
          <w:szCs w:val="24"/>
          <w:lang w:val="es-UY" w:eastAsia="es-AR"/>
        </w:rPr>
        <w:t>Vagrera</w:t>
      </w:r>
      <w:proofErr w:type="spellEnd"/>
      <w:r w:rsidRPr="00794B24">
        <w:rPr>
          <w:rFonts w:ascii="Verdana" w:eastAsia="Times New Roman" w:hAnsi="Verdana" w:cs="Times New Roman"/>
          <w:color w:val="000000"/>
          <w:sz w:val="24"/>
          <w:szCs w:val="24"/>
          <w:lang w:val="es-UY" w:eastAsia="es-AR"/>
        </w:rPr>
        <w:t xml:space="preserve">, la Asociación Gente Unida, El Proyecto Vida, representada por </w:t>
      </w:r>
      <w:proofErr w:type="spellStart"/>
      <w:r w:rsidRPr="00794B24">
        <w:rPr>
          <w:rFonts w:ascii="Verdana" w:eastAsia="Times New Roman" w:hAnsi="Verdana" w:cs="Times New Roman"/>
          <w:color w:val="000000"/>
          <w:sz w:val="24"/>
          <w:szCs w:val="24"/>
          <w:lang w:val="es-UY" w:eastAsia="es-AR"/>
        </w:rPr>
        <w:t>Dee</w:t>
      </w:r>
      <w:proofErr w:type="spellEnd"/>
      <w:r w:rsidRPr="00794B24">
        <w:rPr>
          <w:rFonts w:ascii="Verdana" w:eastAsia="Times New Roman" w:hAnsi="Verdana" w:cs="Times New Roman"/>
          <w:color w:val="000000"/>
          <w:sz w:val="24"/>
          <w:szCs w:val="24"/>
          <w:lang w:val="es-UY" w:eastAsia="es-AR"/>
        </w:rPr>
        <w:t xml:space="preserve"> Smith, La Fundación Preventiva del SIDA Fernando Iturbide, bajo la dirección de la Dra. Cristina Calderón, y la Asociación de Salud Integral, representada por el Dr. Eduardo </w:t>
      </w:r>
      <w:proofErr w:type="spellStart"/>
      <w:r w:rsidRPr="00794B24">
        <w:rPr>
          <w:rFonts w:ascii="Verdana" w:eastAsia="Times New Roman" w:hAnsi="Verdana" w:cs="Times New Roman"/>
          <w:color w:val="000000"/>
          <w:sz w:val="24"/>
          <w:szCs w:val="24"/>
          <w:lang w:val="es-UY" w:eastAsia="es-AR"/>
        </w:rPr>
        <w:t>Arathoon</w:t>
      </w:r>
      <w:proofErr w:type="spellEnd"/>
      <w:r w:rsidRPr="00794B24">
        <w:rPr>
          <w:rFonts w:ascii="Verdana" w:eastAsia="Times New Roman" w:hAnsi="Verdana" w:cs="Times New Roman"/>
          <w:color w:val="000000"/>
          <w:sz w:val="24"/>
          <w:szCs w:val="24"/>
          <w:lang w:val="es-UY" w:eastAsia="es-AR"/>
        </w:rPr>
        <w:t xml:space="preserve"> (en adelante "los peticionarios"), en la cual se alega que el Estado </w:t>
      </w:r>
      <w:proofErr w:type="spellStart"/>
      <w:r w:rsidRPr="00794B24">
        <w:rPr>
          <w:rFonts w:ascii="Verdana" w:eastAsia="Times New Roman" w:hAnsi="Verdana" w:cs="Times New Roman"/>
          <w:color w:val="000000"/>
          <w:sz w:val="24"/>
          <w:szCs w:val="24"/>
          <w:lang w:val="es-UY" w:eastAsia="es-AR"/>
        </w:rPr>
        <w:t>guatemal</w:t>
      </w:r>
      <w:proofErr w:type="spellEnd"/>
      <w:r w:rsidRPr="00794B24">
        <w:rPr>
          <w:rFonts w:ascii="Verdana" w:eastAsia="Times New Roman" w:hAnsi="Verdana" w:cs="Times New Roman"/>
          <w:color w:val="000000"/>
          <w:sz w:val="24"/>
          <w:szCs w:val="24"/>
          <w:lang w:eastAsia="es-AR"/>
        </w:rPr>
        <w:t>t</w:t>
      </w:r>
      <w:r w:rsidRPr="00794B24">
        <w:rPr>
          <w:rFonts w:ascii="Verdana" w:eastAsia="Times New Roman" w:hAnsi="Verdana" w:cs="Times New Roman"/>
          <w:color w:val="000000"/>
          <w:sz w:val="24"/>
          <w:szCs w:val="24"/>
          <w:lang w:val="es-UY" w:eastAsia="es-AR"/>
        </w:rPr>
        <w:t xml:space="preserve">eco (en adelante "el Estado", "el Estado guatemalteco" o "Guatemala"), habría desconocido los derechos fundamentales de Luis Rolando </w:t>
      </w:r>
      <w:proofErr w:type="spellStart"/>
      <w:r w:rsidRPr="00794B24">
        <w:rPr>
          <w:rFonts w:ascii="Verdana" w:eastAsia="Times New Roman" w:hAnsi="Verdana" w:cs="Times New Roman"/>
          <w:color w:val="000000"/>
          <w:sz w:val="24"/>
          <w:szCs w:val="24"/>
          <w:lang w:val="es-UY" w:eastAsia="es-AR"/>
        </w:rPr>
        <w:t>Cuscul</w:t>
      </w:r>
      <w:proofErr w:type="spellEnd"/>
      <w:r w:rsidRPr="00794B24">
        <w:rPr>
          <w:rFonts w:ascii="Verdana" w:eastAsia="Times New Roman" w:hAnsi="Verdana" w:cs="Times New Roman"/>
          <w:color w:val="000000"/>
          <w:sz w:val="24"/>
          <w:szCs w:val="24"/>
          <w:lang w:val="es-UY" w:eastAsia="es-AR"/>
        </w:rPr>
        <w:t xml:space="preserve"> </w:t>
      </w:r>
      <w:proofErr w:type="spellStart"/>
      <w:r w:rsidRPr="00794B24">
        <w:rPr>
          <w:rFonts w:ascii="Verdana" w:eastAsia="Times New Roman" w:hAnsi="Verdana" w:cs="Times New Roman"/>
          <w:color w:val="000000"/>
          <w:sz w:val="24"/>
          <w:szCs w:val="24"/>
          <w:lang w:val="es-UY" w:eastAsia="es-AR"/>
        </w:rPr>
        <w:t>Pivaral</w:t>
      </w:r>
      <w:proofErr w:type="spellEnd"/>
      <w:r w:rsidRPr="00794B24">
        <w:rPr>
          <w:rFonts w:ascii="Verdana" w:eastAsia="Times New Roman" w:hAnsi="Verdana" w:cs="Times New Roman"/>
          <w:color w:val="000000"/>
          <w:sz w:val="24"/>
          <w:szCs w:val="24"/>
          <w:lang w:val="es-UY" w:eastAsia="es-AR"/>
        </w:rPr>
        <w:t xml:space="preserve">, Francisco </w:t>
      </w:r>
      <w:proofErr w:type="spellStart"/>
      <w:r w:rsidRPr="00794B24">
        <w:rPr>
          <w:rFonts w:ascii="Verdana" w:eastAsia="Times New Roman" w:hAnsi="Verdana" w:cs="Times New Roman"/>
          <w:color w:val="000000"/>
          <w:sz w:val="24"/>
          <w:szCs w:val="24"/>
          <w:lang w:val="es-UY" w:eastAsia="es-AR"/>
        </w:rPr>
        <w:t>Sop</w:t>
      </w:r>
      <w:proofErr w:type="spellEnd"/>
      <w:r w:rsidRPr="00794B24">
        <w:rPr>
          <w:rFonts w:ascii="Verdana" w:eastAsia="Times New Roman" w:hAnsi="Verdana" w:cs="Times New Roman"/>
          <w:color w:val="000000"/>
          <w:sz w:val="24"/>
          <w:szCs w:val="24"/>
          <w:lang w:val="es-UY" w:eastAsia="es-AR"/>
        </w:rPr>
        <w:t xml:space="preserve"> </w:t>
      </w:r>
      <w:proofErr w:type="spellStart"/>
      <w:r w:rsidRPr="00794B24">
        <w:rPr>
          <w:rFonts w:ascii="Verdana" w:eastAsia="Times New Roman" w:hAnsi="Verdana" w:cs="Times New Roman"/>
          <w:color w:val="000000"/>
          <w:sz w:val="24"/>
          <w:szCs w:val="24"/>
          <w:lang w:val="es-UY" w:eastAsia="es-AR"/>
        </w:rPr>
        <w:t>Gueij</w:t>
      </w:r>
      <w:proofErr w:type="spellEnd"/>
      <w:r w:rsidRPr="00794B24">
        <w:rPr>
          <w:rFonts w:ascii="Verdana" w:eastAsia="Times New Roman" w:hAnsi="Verdana" w:cs="Times New Roman"/>
          <w:color w:val="000000"/>
          <w:sz w:val="24"/>
          <w:szCs w:val="24"/>
          <w:lang w:val="es-UY" w:eastAsia="es-AR"/>
        </w:rPr>
        <w:t xml:space="preserve">, Corina Robledo, Petrona López González, Aracely Cinto, Olga Marina Castillo, Israel Pérez Charal, Karen Judith Samayoa, Juana Aguilar, </w:t>
      </w:r>
      <w:proofErr w:type="spellStart"/>
      <w:r w:rsidRPr="00794B24">
        <w:rPr>
          <w:rFonts w:ascii="Verdana" w:eastAsia="Times New Roman" w:hAnsi="Verdana" w:cs="Times New Roman"/>
          <w:color w:val="000000"/>
          <w:sz w:val="24"/>
          <w:szCs w:val="24"/>
          <w:lang w:val="es-UY" w:eastAsia="es-AR"/>
        </w:rPr>
        <w:t>Darinel</w:t>
      </w:r>
      <w:proofErr w:type="spellEnd"/>
      <w:r w:rsidRPr="00794B24">
        <w:rPr>
          <w:rFonts w:ascii="Verdana" w:eastAsia="Times New Roman" w:hAnsi="Verdana" w:cs="Times New Roman"/>
          <w:color w:val="000000"/>
          <w:sz w:val="24"/>
          <w:szCs w:val="24"/>
          <w:lang w:val="es-UY" w:eastAsia="es-AR"/>
        </w:rPr>
        <w:t xml:space="preserve"> López Montes de Oca, Luis Rubén Álvarez Flores, </w:t>
      </w:r>
      <w:proofErr w:type="spellStart"/>
      <w:r w:rsidRPr="00794B24">
        <w:rPr>
          <w:rFonts w:ascii="Verdana" w:eastAsia="Times New Roman" w:hAnsi="Verdana" w:cs="Times New Roman"/>
          <w:color w:val="000000"/>
          <w:sz w:val="24"/>
          <w:szCs w:val="24"/>
          <w:lang w:val="es-UY" w:eastAsia="es-AR"/>
        </w:rPr>
        <w:t>Audiencio</w:t>
      </w:r>
      <w:proofErr w:type="spellEnd"/>
      <w:r w:rsidRPr="00794B24">
        <w:rPr>
          <w:rFonts w:ascii="Verdana" w:eastAsia="Times New Roman" w:hAnsi="Verdana" w:cs="Times New Roman"/>
          <w:color w:val="000000"/>
          <w:sz w:val="24"/>
          <w:szCs w:val="24"/>
          <w:lang w:val="es-UY" w:eastAsia="es-AR"/>
        </w:rPr>
        <w:t xml:space="preserve"> Rodas, Luis Edwin Cruz </w:t>
      </w:r>
      <w:proofErr w:type="spellStart"/>
      <w:r w:rsidRPr="00794B24">
        <w:rPr>
          <w:rFonts w:ascii="Verdana" w:eastAsia="Times New Roman" w:hAnsi="Verdana" w:cs="Times New Roman"/>
          <w:color w:val="000000"/>
          <w:sz w:val="24"/>
          <w:szCs w:val="24"/>
          <w:lang w:val="es-UY" w:eastAsia="es-AR"/>
        </w:rPr>
        <w:t>Gramau</w:t>
      </w:r>
      <w:proofErr w:type="spellEnd"/>
      <w:r w:rsidRPr="00794B24">
        <w:rPr>
          <w:rFonts w:ascii="Verdana" w:eastAsia="Times New Roman" w:hAnsi="Verdana" w:cs="Times New Roman"/>
          <w:color w:val="000000"/>
          <w:sz w:val="24"/>
          <w:szCs w:val="24"/>
          <w:lang w:val="es-UY" w:eastAsia="es-AR"/>
        </w:rPr>
        <w:t xml:space="preserve">, Martina Candelaria Álvarez Estrada, </w:t>
      </w:r>
      <w:proofErr w:type="spellStart"/>
      <w:r w:rsidRPr="00794B24">
        <w:rPr>
          <w:rFonts w:ascii="Verdana" w:eastAsia="Times New Roman" w:hAnsi="Verdana" w:cs="Times New Roman"/>
          <w:color w:val="000000"/>
          <w:sz w:val="24"/>
          <w:szCs w:val="24"/>
          <w:lang w:val="es-UY" w:eastAsia="es-AR"/>
        </w:rPr>
        <w:t>Maria</w:t>
      </w:r>
      <w:proofErr w:type="spellEnd"/>
      <w:r w:rsidRPr="00794B24">
        <w:rPr>
          <w:rFonts w:ascii="Verdana" w:eastAsia="Times New Roman" w:hAnsi="Verdana" w:cs="Times New Roman"/>
          <w:color w:val="000000"/>
          <w:sz w:val="24"/>
          <w:szCs w:val="24"/>
          <w:lang w:val="es-UY" w:eastAsia="es-AR"/>
        </w:rPr>
        <w:t xml:space="preserve"> Felipe Pérez, </w:t>
      </w:r>
      <w:proofErr w:type="spellStart"/>
      <w:r w:rsidRPr="00794B24">
        <w:rPr>
          <w:rFonts w:ascii="Verdana" w:eastAsia="Times New Roman" w:hAnsi="Verdana" w:cs="Times New Roman"/>
          <w:color w:val="000000"/>
          <w:sz w:val="24"/>
          <w:szCs w:val="24"/>
          <w:lang w:val="es-UY" w:eastAsia="es-AR"/>
        </w:rPr>
        <w:t>Sayra</w:t>
      </w:r>
      <w:proofErr w:type="spellEnd"/>
      <w:r w:rsidRPr="00794B24">
        <w:rPr>
          <w:rFonts w:ascii="Verdana" w:eastAsia="Times New Roman" w:hAnsi="Verdana" w:cs="Times New Roman"/>
          <w:color w:val="000000"/>
          <w:sz w:val="24"/>
          <w:szCs w:val="24"/>
          <w:lang w:val="es-UY" w:eastAsia="es-AR"/>
        </w:rPr>
        <w:t xml:space="preserve"> Elisa Barrios, Felipe Ordóñez,  Santos </w:t>
      </w:r>
      <w:proofErr w:type="spellStart"/>
      <w:r w:rsidRPr="00794B24">
        <w:rPr>
          <w:rFonts w:ascii="Verdana" w:eastAsia="Times New Roman" w:hAnsi="Verdana" w:cs="Times New Roman"/>
          <w:color w:val="000000"/>
          <w:sz w:val="24"/>
          <w:szCs w:val="24"/>
          <w:lang w:val="es-UY" w:eastAsia="es-AR"/>
        </w:rPr>
        <w:t>Isacax</w:t>
      </w:r>
      <w:proofErr w:type="spellEnd"/>
      <w:r w:rsidRPr="00794B24">
        <w:rPr>
          <w:rFonts w:ascii="Verdana" w:eastAsia="Times New Roman" w:hAnsi="Verdana" w:cs="Times New Roman"/>
          <w:color w:val="000000"/>
          <w:sz w:val="24"/>
          <w:szCs w:val="24"/>
          <w:lang w:val="es-UY" w:eastAsia="es-AR"/>
        </w:rPr>
        <w:t xml:space="preserve"> Vásquez Barrio, </w:t>
      </w:r>
      <w:proofErr w:type="spellStart"/>
      <w:r w:rsidRPr="00794B24">
        <w:rPr>
          <w:rFonts w:ascii="Verdana" w:eastAsia="Times New Roman" w:hAnsi="Verdana" w:cs="Times New Roman"/>
          <w:color w:val="000000"/>
          <w:sz w:val="24"/>
          <w:szCs w:val="24"/>
          <w:lang w:val="es-UY" w:eastAsia="es-AR"/>
        </w:rPr>
        <w:t>Ismera</w:t>
      </w:r>
      <w:proofErr w:type="spellEnd"/>
      <w:r w:rsidRPr="00794B24">
        <w:rPr>
          <w:rFonts w:ascii="Verdana" w:eastAsia="Times New Roman" w:hAnsi="Verdana" w:cs="Times New Roman"/>
          <w:color w:val="000000"/>
          <w:sz w:val="24"/>
          <w:szCs w:val="24"/>
          <w:lang w:val="es-UY" w:eastAsia="es-AR"/>
        </w:rPr>
        <w:t xml:space="preserve"> Oliva García </w:t>
      </w:r>
      <w:proofErr w:type="spellStart"/>
      <w:r w:rsidRPr="00794B24">
        <w:rPr>
          <w:rFonts w:ascii="Verdana" w:eastAsia="Times New Roman" w:hAnsi="Verdana" w:cs="Times New Roman"/>
          <w:color w:val="000000"/>
          <w:sz w:val="24"/>
          <w:szCs w:val="24"/>
          <w:lang w:val="es-UY" w:eastAsia="es-AR"/>
        </w:rPr>
        <w:t>Castañon</w:t>
      </w:r>
      <w:proofErr w:type="spellEnd"/>
      <w:r w:rsidRPr="00794B24">
        <w:rPr>
          <w:rFonts w:ascii="Verdana" w:eastAsia="Times New Roman" w:hAnsi="Verdana" w:cs="Times New Roman"/>
          <w:color w:val="000000"/>
          <w:sz w:val="24"/>
          <w:szCs w:val="24"/>
          <w:lang w:val="es-UY" w:eastAsia="es-AR"/>
        </w:rPr>
        <w:t xml:space="preserve">, Guadalupe </w:t>
      </w:r>
      <w:proofErr w:type="spellStart"/>
      <w:r w:rsidRPr="00794B24">
        <w:rPr>
          <w:rFonts w:ascii="Verdana" w:eastAsia="Times New Roman" w:hAnsi="Verdana" w:cs="Times New Roman"/>
          <w:color w:val="000000"/>
          <w:sz w:val="24"/>
          <w:szCs w:val="24"/>
          <w:lang w:val="es-UY" w:eastAsia="es-AR"/>
        </w:rPr>
        <w:t>Cayaxon</w:t>
      </w:r>
      <w:proofErr w:type="spellEnd"/>
      <w:r w:rsidRPr="00794B24">
        <w:rPr>
          <w:rFonts w:ascii="Verdana" w:eastAsia="Times New Roman" w:hAnsi="Verdana" w:cs="Times New Roman"/>
          <w:color w:val="000000"/>
          <w:sz w:val="24"/>
          <w:szCs w:val="24"/>
          <w:lang w:val="es-UY" w:eastAsia="es-AR"/>
        </w:rPr>
        <w:t xml:space="preserve">, Sandra Lisbeth Zepeda Herrera, Cesar </w:t>
      </w:r>
      <w:proofErr w:type="spellStart"/>
      <w:r w:rsidRPr="00794B24">
        <w:rPr>
          <w:rFonts w:ascii="Verdana" w:eastAsia="Times New Roman" w:hAnsi="Verdana" w:cs="Times New Roman"/>
          <w:color w:val="000000"/>
          <w:sz w:val="24"/>
          <w:szCs w:val="24"/>
          <w:lang w:val="es-UY" w:eastAsia="es-AR"/>
        </w:rPr>
        <w:t>Noe</w:t>
      </w:r>
      <w:proofErr w:type="spellEnd"/>
      <w:r w:rsidRPr="00794B24">
        <w:rPr>
          <w:rFonts w:ascii="Verdana" w:eastAsia="Times New Roman" w:hAnsi="Verdana" w:cs="Times New Roman"/>
          <w:color w:val="000000"/>
          <w:sz w:val="24"/>
          <w:szCs w:val="24"/>
          <w:lang w:val="es-UY" w:eastAsia="es-AR"/>
        </w:rPr>
        <w:t xml:space="preserve"> </w:t>
      </w:r>
      <w:proofErr w:type="spellStart"/>
      <w:r w:rsidRPr="00794B24">
        <w:rPr>
          <w:rFonts w:ascii="Verdana" w:eastAsia="Times New Roman" w:hAnsi="Verdana" w:cs="Times New Roman"/>
          <w:color w:val="000000"/>
          <w:sz w:val="24"/>
          <w:szCs w:val="24"/>
          <w:lang w:val="es-UY" w:eastAsia="es-AR"/>
        </w:rPr>
        <w:t>Cancinos</w:t>
      </w:r>
      <w:proofErr w:type="spellEnd"/>
      <w:r w:rsidRPr="00794B24">
        <w:rPr>
          <w:rFonts w:ascii="Verdana" w:eastAsia="Times New Roman" w:hAnsi="Verdana" w:cs="Times New Roman"/>
          <w:color w:val="000000"/>
          <w:sz w:val="24"/>
          <w:szCs w:val="24"/>
          <w:lang w:val="es-UY" w:eastAsia="es-AR"/>
        </w:rPr>
        <w:t xml:space="preserve"> Gómez, Santos Vásquez Oliveros, </w:t>
      </w:r>
      <w:proofErr w:type="spellStart"/>
      <w:r w:rsidRPr="00794B24">
        <w:rPr>
          <w:rFonts w:ascii="Verdana" w:eastAsia="Times New Roman" w:hAnsi="Verdana" w:cs="Times New Roman"/>
          <w:color w:val="000000"/>
          <w:sz w:val="24"/>
          <w:szCs w:val="24"/>
          <w:lang w:val="es-UY" w:eastAsia="es-AR"/>
        </w:rPr>
        <w:t>Maria</w:t>
      </w:r>
      <w:proofErr w:type="spellEnd"/>
      <w:r w:rsidRPr="00794B24">
        <w:rPr>
          <w:rFonts w:ascii="Verdana" w:eastAsia="Times New Roman" w:hAnsi="Verdana" w:cs="Times New Roman"/>
          <w:color w:val="000000"/>
          <w:sz w:val="24"/>
          <w:szCs w:val="24"/>
          <w:lang w:val="es-UY" w:eastAsia="es-AR"/>
        </w:rPr>
        <w:t xml:space="preserve"> </w:t>
      </w:r>
      <w:proofErr w:type="spellStart"/>
      <w:r w:rsidRPr="00794B24">
        <w:rPr>
          <w:rFonts w:ascii="Verdana" w:eastAsia="Times New Roman" w:hAnsi="Verdana" w:cs="Times New Roman"/>
          <w:color w:val="000000"/>
          <w:sz w:val="24"/>
          <w:szCs w:val="24"/>
          <w:lang w:val="es-UY" w:eastAsia="es-AR"/>
        </w:rPr>
        <w:t>Vail</w:t>
      </w:r>
      <w:proofErr w:type="spellEnd"/>
      <w:r w:rsidRPr="00794B24">
        <w:rPr>
          <w:rFonts w:ascii="Verdana" w:eastAsia="Times New Roman" w:hAnsi="Verdana" w:cs="Times New Roman"/>
          <w:color w:val="000000"/>
          <w:sz w:val="24"/>
          <w:szCs w:val="24"/>
          <w:lang w:val="es-UY" w:eastAsia="es-AR"/>
        </w:rPr>
        <w:t xml:space="preserve">, Julia Aguilar, Sebastián Emilia Dueñas, Zoila Pérez Ruiz, Santiago Valdez, </w:t>
      </w:r>
      <w:proofErr w:type="spellStart"/>
      <w:r w:rsidRPr="00794B24">
        <w:rPr>
          <w:rFonts w:ascii="Verdana" w:eastAsia="Times New Roman" w:hAnsi="Verdana" w:cs="Times New Roman"/>
          <w:color w:val="000000"/>
          <w:sz w:val="24"/>
          <w:szCs w:val="24"/>
          <w:lang w:val="es-UY" w:eastAsia="es-AR"/>
        </w:rPr>
        <w:t>Pascula</w:t>
      </w:r>
      <w:proofErr w:type="spellEnd"/>
      <w:r w:rsidRPr="00794B24">
        <w:rPr>
          <w:rFonts w:ascii="Verdana" w:eastAsia="Times New Roman" w:hAnsi="Verdana" w:cs="Times New Roman"/>
          <w:color w:val="000000"/>
          <w:sz w:val="24"/>
          <w:szCs w:val="24"/>
          <w:lang w:val="es-UY" w:eastAsia="es-AR"/>
        </w:rPr>
        <w:t xml:space="preserve"> de Jesús Mérida, Iris Carolina Vicente </w:t>
      </w:r>
      <w:proofErr w:type="spellStart"/>
      <w:r w:rsidRPr="00794B24">
        <w:rPr>
          <w:rFonts w:ascii="Verdana" w:eastAsia="Times New Roman" w:hAnsi="Verdana" w:cs="Times New Roman"/>
          <w:color w:val="000000"/>
          <w:sz w:val="24"/>
          <w:szCs w:val="24"/>
          <w:lang w:val="es-UY" w:eastAsia="es-AR"/>
        </w:rPr>
        <w:t>Baullas</w:t>
      </w:r>
      <w:proofErr w:type="spellEnd"/>
      <w:r w:rsidRPr="00794B24">
        <w:rPr>
          <w:rFonts w:ascii="Verdana" w:eastAsia="Times New Roman" w:hAnsi="Verdana" w:cs="Times New Roman"/>
          <w:color w:val="000000"/>
          <w:sz w:val="24"/>
          <w:szCs w:val="24"/>
          <w:lang w:val="es-UY" w:eastAsia="es-AR"/>
        </w:rPr>
        <w:t xml:space="preserve">, Reina López Mújica, Marta Alicia Maldonado PAC, José </w:t>
      </w:r>
      <w:proofErr w:type="spellStart"/>
      <w:r w:rsidRPr="00794B24">
        <w:rPr>
          <w:rFonts w:ascii="Verdana" w:eastAsia="Times New Roman" w:hAnsi="Verdana" w:cs="Times New Roman"/>
          <w:color w:val="000000"/>
          <w:sz w:val="24"/>
          <w:szCs w:val="24"/>
          <w:lang w:val="es-UY" w:eastAsia="es-AR"/>
        </w:rPr>
        <w:t>Cupertino</w:t>
      </w:r>
      <w:proofErr w:type="spellEnd"/>
      <w:r w:rsidRPr="00794B24">
        <w:rPr>
          <w:rFonts w:ascii="Verdana" w:eastAsia="Times New Roman" w:hAnsi="Verdana" w:cs="Times New Roman"/>
          <w:color w:val="000000"/>
          <w:sz w:val="24"/>
          <w:szCs w:val="24"/>
          <w:lang w:val="es-UY" w:eastAsia="es-AR"/>
        </w:rPr>
        <w:t xml:space="preserve"> Ramírez, José Rubén Delgado, Elsa Miriam Estrada, </w:t>
      </w:r>
      <w:proofErr w:type="spellStart"/>
      <w:r w:rsidRPr="00794B24">
        <w:rPr>
          <w:rFonts w:ascii="Verdana" w:eastAsia="Times New Roman" w:hAnsi="Verdana" w:cs="Times New Roman"/>
          <w:color w:val="000000"/>
          <w:sz w:val="24"/>
          <w:szCs w:val="24"/>
          <w:lang w:val="es-UY" w:eastAsia="es-AR"/>
        </w:rPr>
        <w:t>Ismar</w:t>
      </w:r>
      <w:proofErr w:type="spellEnd"/>
      <w:r w:rsidRPr="00794B24">
        <w:rPr>
          <w:rFonts w:ascii="Verdana" w:eastAsia="Times New Roman" w:hAnsi="Verdana" w:cs="Times New Roman"/>
          <w:color w:val="000000"/>
          <w:sz w:val="24"/>
          <w:szCs w:val="24"/>
          <w:lang w:val="es-UY" w:eastAsia="es-AR"/>
        </w:rPr>
        <w:t xml:space="preserve"> Ramírez </w:t>
      </w:r>
      <w:proofErr w:type="spellStart"/>
      <w:r w:rsidRPr="00794B24">
        <w:rPr>
          <w:rFonts w:ascii="Verdana" w:eastAsia="Times New Roman" w:hAnsi="Verdana" w:cs="Times New Roman"/>
          <w:color w:val="000000"/>
          <w:sz w:val="24"/>
          <w:szCs w:val="24"/>
          <w:lang w:val="es-UY" w:eastAsia="es-AR"/>
        </w:rPr>
        <w:t>Chajón</w:t>
      </w:r>
      <w:proofErr w:type="spellEnd"/>
      <w:r w:rsidRPr="00794B24">
        <w:rPr>
          <w:rFonts w:ascii="Verdana" w:eastAsia="Times New Roman" w:hAnsi="Verdana" w:cs="Times New Roman"/>
          <w:color w:val="000000"/>
          <w:sz w:val="24"/>
          <w:szCs w:val="24"/>
          <w:lang w:val="es-UY" w:eastAsia="es-AR"/>
        </w:rPr>
        <w:t xml:space="preserve">, Félix Cabrera, Silvia </w:t>
      </w:r>
      <w:proofErr w:type="spellStart"/>
      <w:r w:rsidRPr="00794B24">
        <w:rPr>
          <w:rFonts w:ascii="Verdana" w:eastAsia="Times New Roman" w:hAnsi="Verdana" w:cs="Times New Roman"/>
          <w:color w:val="000000"/>
          <w:sz w:val="24"/>
          <w:szCs w:val="24"/>
          <w:lang w:val="es-UY" w:eastAsia="es-AR"/>
        </w:rPr>
        <w:t>Mirtala</w:t>
      </w:r>
      <w:proofErr w:type="spellEnd"/>
      <w:r w:rsidRPr="00794B24">
        <w:rPr>
          <w:rFonts w:ascii="Verdana" w:eastAsia="Times New Roman" w:hAnsi="Verdana" w:cs="Times New Roman"/>
          <w:color w:val="000000"/>
          <w:sz w:val="24"/>
          <w:szCs w:val="24"/>
          <w:lang w:val="es-UY" w:eastAsia="es-AR"/>
        </w:rPr>
        <w:t xml:space="preserve"> Álvarez, Facundo Gómez Reyes (fallecido en febrero 27 de 2003) debido a la falta de suministro de medicamento antirretroviral.  Conjuntamente los peticionarios solicitaron medidas cautelares a favor de las 39 personas, las cuales fueron otorgadas en dos fases, inicialmente para 12 personas, ampliándose luego a las 39.</w:t>
      </w:r>
    </w:p>
    <w:p w:rsidR="00794B24" w:rsidRPr="00794B24" w:rsidRDefault="00794B24" w:rsidP="00FC2D4E">
      <w:pPr>
        <w:spacing w:after="0" w:line="240" w:lineRule="auto"/>
        <w:jc w:val="both"/>
        <w:rPr>
          <w:rFonts w:ascii="Verdana" w:eastAsia="Times New Roman" w:hAnsi="Verdana" w:cs="Times New Roman"/>
          <w:sz w:val="24"/>
          <w:szCs w:val="24"/>
          <w:lang w:eastAsia="es-AR"/>
        </w:rPr>
      </w:pPr>
    </w:p>
    <w:p w:rsidR="00794B24" w:rsidRPr="00794B24" w:rsidRDefault="00794B24" w:rsidP="00FC2D4E">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2.</w:t>
      </w:r>
      <w:r w:rsidR="00FC2D4E">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 Los peticionarios alegan que los hechos denunciados configuran la violación de varias disposiciones de la Convención Americana sobre Derechos Humanos (en adelante la "Convención" o la "Convención Americana"): derecho a la vida (artículo 4), derecho a la integridad </w:t>
      </w:r>
      <w:r w:rsidRPr="00794B24">
        <w:rPr>
          <w:rFonts w:ascii="Verdana" w:eastAsia="Times New Roman" w:hAnsi="Verdana" w:cs="Times New Roman"/>
          <w:color w:val="000000"/>
          <w:sz w:val="24"/>
          <w:szCs w:val="24"/>
          <w:lang w:val="es-UY" w:eastAsia="es-AR"/>
        </w:rPr>
        <w:lastRenderedPageBreak/>
        <w:t>personal (artículo 5), garantías judiciales (artículo 8), derecho a la igual protección ante la ley (artículo 24), derecho a la protección judicial (artículo 25), derecho al desarrollo progresivo de los derechos económicos, sociales y culturales (artículo 26), en concordancia con la obligación de respetar los derechos del artículo 1(1) de la Convención Americana.</w:t>
      </w:r>
    </w:p>
    <w:p w:rsidR="00794B24" w:rsidRPr="00794B24" w:rsidRDefault="00794B24" w:rsidP="00FC2D4E">
      <w:pPr>
        <w:spacing w:after="0" w:line="240" w:lineRule="auto"/>
        <w:jc w:val="both"/>
        <w:rPr>
          <w:rFonts w:ascii="Verdana" w:eastAsia="Times New Roman" w:hAnsi="Verdana" w:cs="Times New Roman"/>
          <w:sz w:val="24"/>
          <w:szCs w:val="24"/>
          <w:lang w:eastAsia="es-AR"/>
        </w:rPr>
      </w:pPr>
    </w:p>
    <w:p w:rsidR="00794B24" w:rsidRPr="00794B24" w:rsidRDefault="00794B24" w:rsidP="00FC2D4E">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3.</w:t>
      </w:r>
      <w:r w:rsidR="00FC2D4E">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 El Estado responde a estas alegaciones mediante un informe sobre la aplicación de las medidas cautelares otorgadas por la Comisión a los beneficiarios, en el que argumenta que se habría atendido a las peticiones de las partes e insta a los peticionarios a continuar haciendo uso de los recursos jurídicos y políticos existentes en la jurisdicción interna hasta agotarlos. </w:t>
      </w:r>
    </w:p>
    <w:p w:rsidR="00794B24" w:rsidRPr="00794B24" w:rsidRDefault="00794B24" w:rsidP="00FC2D4E">
      <w:pPr>
        <w:spacing w:after="0" w:line="240" w:lineRule="auto"/>
        <w:jc w:val="both"/>
        <w:rPr>
          <w:rFonts w:ascii="Verdana" w:eastAsia="Times New Roman" w:hAnsi="Verdana" w:cs="Times New Roman"/>
          <w:sz w:val="24"/>
          <w:szCs w:val="24"/>
          <w:lang w:eastAsia="es-AR"/>
        </w:rPr>
      </w:pPr>
    </w:p>
    <w:p w:rsidR="00794B24" w:rsidRPr="00794B24" w:rsidRDefault="00794B24" w:rsidP="00FC2D4E">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4.</w:t>
      </w:r>
      <w:r w:rsidR="00FC2D4E">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Tras analizar las posiciones de las partes y el cumplimiento con los requisitos previstos en los artículos 46 y 47 de la Convención, sin prejuzgar sobre el fondo del asunto la Comisión declaró el caso admisible. La Comisión decidió notificar a las partes de esta decisión, publicarla e incluirla en el Informe Anual a la Asamblea de la OEA.</w:t>
      </w:r>
    </w:p>
    <w:p w:rsidR="00794B24" w:rsidRPr="00794B24" w:rsidRDefault="00794B24" w:rsidP="00FC2D4E">
      <w:pPr>
        <w:spacing w:after="0" w:line="240" w:lineRule="auto"/>
        <w:jc w:val="both"/>
        <w:rPr>
          <w:rFonts w:ascii="Verdana" w:eastAsia="Times New Roman" w:hAnsi="Verdana" w:cs="Times New Roman"/>
          <w:sz w:val="24"/>
          <w:szCs w:val="24"/>
          <w:lang w:eastAsia="es-AR"/>
        </w:rPr>
      </w:pPr>
    </w:p>
    <w:p w:rsidR="00794B24" w:rsidRPr="00794B24" w:rsidRDefault="00794B24" w:rsidP="00794B24">
      <w:pPr>
        <w:spacing w:after="0" w:line="240" w:lineRule="auto"/>
        <w:ind w:firstLine="720"/>
        <w:jc w:val="both"/>
        <w:outlineLvl w:val="0"/>
        <w:rPr>
          <w:rFonts w:ascii="Verdana" w:eastAsia="Times New Roman" w:hAnsi="Verdana" w:cs="Times New Roman"/>
          <w:b/>
          <w:bCs/>
          <w:kern w:val="36"/>
          <w:sz w:val="24"/>
          <w:szCs w:val="24"/>
          <w:lang w:eastAsia="es-AR"/>
        </w:rPr>
      </w:pPr>
      <w:r w:rsidRPr="00794B24">
        <w:rPr>
          <w:rFonts w:ascii="Verdana" w:eastAsia="Times New Roman" w:hAnsi="Verdana" w:cs="Times New Roman"/>
          <w:b/>
          <w:bCs/>
          <w:kern w:val="36"/>
          <w:sz w:val="24"/>
          <w:szCs w:val="24"/>
          <w:lang w:val="es-UY" w:eastAsia="es-AR"/>
        </w:rPr>
        <w:t>II.</w:t>
      </w:r>
      <w:r w:rsidR="00FC2D4E">
        <w:rPr>
          <w:rFonts w:ascii="Verdana" w:eastAsia="Times New Roman" w:hAnsi="Verdana" w:cs="Times New Roman"/>
          <w:kern w:val="36"/>
          <w:sz w:val="24"/>
          <w:szCs w:val="24"/>
          <w:lang w:val="es-UY" w:eastAsia="es-AR"/>
        </w:rPr>
        <w:tab/>
      </w:r>
      <w:r w:rsidRPr="00794B24">
        <w:rPr>
          <w:rFonts w:ascii="Verdana" w:eastAsia="Times New Roman" w:hAnsi="Verdana" w:cs="Times New Roman"/>
          <w:b/>
          <w:bCs/>
          <w:kern w:val="36"/>
          <w:sz w:val="24"/>
          <w:szCs w:val="24"/>
          <w:lang w:val="es-UY" w:eastAsia="es-AR"/>
        </w:rPr>
        <w:t>TRÁMITE ANTE LA COMISIÓN</w:t>
      </w:r>
    </w:p>
    <w:p w:rsidR="00794B24" w:rsidRPr="00794B24" w:rsidRDefault="00794B24" w:rsidP="00FC2D4E">
      <w:pPr>
        <w:spacing w:after="0" w:line="240" w:lineRule="auto"/>
        <w:jc w:val="both"/>
        <w:rPr>
          <w:rFonts w:ascii="Verdana" w:eastAsia="Times New Roman" w:hAnsi="Verdana" w:cs="Times New Roman"/>
          <w:sz w:val="24"/>
          <w:szCs w:val="24"/>
          <w:lang w:eastAsia="es-AR"/>
        </w:rPr>
      </w:pPr>
    </w:p>
    <w:p w:rsidR="00794B24" w:rsidRPr="00794B24" w:rsidRDefault="00794B24" w:rsidP="00FC2D4E">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5.</w:t>
      </w:r>
      <w:r w:rsidR="00FC2D4E">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La CIDH registró bajo el número P 642/03 la petición recibida el 26 de agosto de 2003, y tras realizar una análisis preliminar del contenido de la misma, el 21 de abril del 2004 procedió a transmitir copia de las partes pertinentes al Estado, con un plazo de dos meses para presentar información de conformidad con el artículo 30(3) del Reglamento. </w:t>
      </w:r>
    </w:p>
    <w:p w:rsidR="00794B24" w:rsidRPr="00794B24" w:rsidRDefault="00794B24" w:rsidP="00794B24">
      <w:pPr>
        <w:spacing w:after="0" w:line="240" w:lineRule="auto"/>
        <w:ind w:firstLine="720"/>
        <w:jc w:val="both"/>
        <w:rPr>
          <w:rFonts w:ascii="Verdana" w:eastAsia="Times New Roman" w:hAnsi="Verdana" w:cs="Times New Roman"/>
          <w:sz w:val="24"/>
          <w:szCs w:val="24"/>
          <w:lang w:eastAsia="es-AR"/>
        </w:rPr>
      </w:pP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6.</w:t>
      </w:r>
      <w:r w:rsidR="00FC2D4E">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 En fecha 22 de junio de 2004,  se recibió en la Comisión la respuesta presentada por el Estado, la cual fue debidamente transmitida a los peticionarios en fecha 7 de julio de 2004, otorgando un mes para que presenten las observaciones que consideren oportunas. En fecha 9 de agosto de 2004, los peticionarios solicitaron una prórroga de siete días para presentar sus observaciones, la cual fue concedida en la misma fecha. El 17 de agosto de 2004 los peticionarios presentaron sus observaciones a la respuesta del Estado. En nota del 4 de octubre de 2004, los peticionarios solicitaron la inclusión de diez personas portadoras del virus VIH/SIDA que también participaron en la interposición del recurso de amparo, por medio del cual los peticionarios alegan que agotaron los recursos internos en el presente caso</w:t>
      </w:r>
      <w:r w:rsidRPr="00794B24">
        <w:rPr>
          <w:rFonts w:ascii="Verdana" w:eastAsia="Times New Roman" w:hAnsi="Verdana" w:cs="Times New Roman"/>
          <w:sz w:val="24"/>
          <w:szCs w:val="24"/>
          <w:lang w:val="es-ES" w:eastAsia="es-AR"/>
        </w:rPr>
        <w:t>. Dicha comunicación se transmitió al Estado para sus observaciones, las cuales fueron presentadas en nota del 4 de marzo de 2005.</w:t>
      </w:r>
    </w:p>
    <w:p w:rsidR="00794B24" w:rsidRPr="00794B24" w:rsidRDefault="00794B24" w:rsidP="00794B24">
      <w:pPr>
        <w:spacing w:after="0" w:line="240" w:lineRule="auto"/>
        <w:jc w:val="both"/>
        <w:rPr>
          <w:rFonts w:ascii="Verdana" w:eastAsia="Times New Roman" w:hAnsi="Verdana" w:cs="Times New Roman"/>
          <w:sz w:val="24"/>
          <w:szCs w:val="24"/>
          <w:lang w:eastAsia="es-AR"/>
        </w:rPr>
      </w:pP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val="es-UY" w:eastAsia="es-AR"/>
        </w:rPr>
        <w:lastRenderedPageBreak/>
        <w:t xml:space="preserve">          </w:t>
      </w:r>
      <w:r w:rsidRPr="00794B24">
        <w:rPr>
          <w:rFonts w:ascii="Verdana" w:eastAsia="Times New Roman" w:hAnsi="Verdana" w:cs="Times New Roman"/>
          <w:b/>
          <w:bCs/>
          <w:color w:val="000000"/>
          <w:sz w:val="24"/>
          <w:szCs w:val="24"/>
          <w:lang w:val="es-UY" w:eastAsia="es-AR"/>
        </w:rPr>
        <w:t>Medidas cautelares</w:t>
      </w:r>
    </w:p>
    <w:p w:rsidR="00794B24" w:rsidRPr="00794B24" w:rsidRDefault="00794B24" w:rsidP="00794B24">
      <w:pPr>
        <w:spacing w:after="0" w:line="240" w:lineRule="auto"/>
        <w:jc w:val="both"/>
        <w:rPr>
          <w:rFonts w:ascii="Verdana" w:eastAsia="Times New Roman" w:hAnsi="Verdana" w:cs="Times New Roman"/>
          <w:sz w:val="24"/>
          <w:szCs w:val="24"/>
          <w:lang w:eastAsia="es-AR"/>
        </w:rPr>
      </w:pPr>
    </w:p>
    <w:p w:rsidR="00794B24" w:rsidRDefault="00794B24" w:rsidP="00FC2D4E">
      <w:pPr>
        <w:spacing w:after="0" w:line="240" w:lineRule="auto"/>
        <w:jc w:val="both"/>
        <w:rPr>
          <w:rFonts w:ascii="Verdana" w:eastAsia="Times New Roman" w:hAnsi="Verdana" w:cs="Times New Roman"/>
          <w:sz w:val="24"/>
          <w:szCs w:val="24"/>
          <w:lang w:val="es-UY" w:eastAsia="es-AR"/>
        </w:rPr>
      </w:pPr>
      <w:r w:rsidRPr="00794B24">
        <w:rPr>
          <w:rFonts w:ascii="Verdana" w:eastAsia="Times New Roman" w:hAnsi="Verdana" w:cs="Times New Roman"/>
          <w:sz w:val="24"/>
          <w:szCs w:val="24"/>
          <w:lang w:val="es-UY" w:eastAsia="es-AR"/>
        </w:rPr>
        <w:t>7.</w:t>
      </w:r>
      <w:r w:rsidR="00FC2D4E">
        <w:rPr>
          <w:rFonts w:ascii="Verdana" w:eastAsia="Times New Roman" w:hAnsi="Verdana" w:cs="Times New Roman"/>
          <w:sz w:val="24"/>
          <w:szCs w:val="24"/>
          <w:lang w:val="es-UY" w:eastAsia="es-AR"/>
        </w:rPr>
        <w:tab/>
      </w:r>
      <w:r w:rsidRPr="00794B24">
        <w:rPr>
          <w:rFonts w:ascii="Verdana" w:eastAsia="Times New Roman" w:hAnsi="Verdana" w:cs="Times New Roman"/>
          <w:sz w:val="24"/>
          <w:szCs w:val="24"/>
          <w:lang w:val="es-UY" w:eastAsia="es-AR"/>
        </w:rPr>
        <w:t xml:space="preserve">Los peticionarios presentaron una solicitud de medidas cautelares a favor de las presuntas víctimas el 26 de agosto de 2003 junto con la denuncia, la que fue registrada en la CIDH bajo el Nº 642. En fecha 3 de octubre de 2003 la Comisión solicitó información adicional respecto de algunos peticionarios y su estado de salud. El 9 de octubre de 2003 los peticionarios comunicaron a la Comisión que debido a la ubicación de las víctimas se requería tiempo para recabar la información solicitada. El 13 de abril de 2004 fue presentada ante la Comisión la información requerida con excepción de algunos exámenes como los de carga viral, debido a su alto costo. En fecha 21 de abril de 2004, la Comisión comunicó al Estado su decisión de otorgar medidas cautelares a las 39 personas objeto de esta solicitud, en virtud de que las mismas no estarían recibiendo los medicamentos adecuados por parte del sistema de salud público de Guatemala. </w:t>
      </w:r>
    </w:p>
    <w:p w:rsidR="00794B24" w:rsidRPr="00794B24" w:rsidRDefault="00794B24" w:rsidP="00794B24">
      <w:pPr>
        <w:spacing w:after="0" w:line="240" w:lineRule="auto"/>
        <w:ind w:firstLine="720"/>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94B24">
      <w:pPr>
        <w:spacing w:after="0" w:line="240" w:lineRule="auto"/>
        <w:ind w:left="720"/>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eastAsia="es-AR"/>
        </w:rPr>
        <w:t> </w:t>
      </w:r>
      <w:r w:rsidRPr="00794B24">
        <w:rPr>
          <w:rFonts w:ascii="Verdana" w:eastAsia="Times New Roman" w:hAnsi="Verdana" w:cs="Times New Roman"/>
          <w:b/>
          <w:bCs/>
          <w:sz w:val="24"/>
          <w:szCs w:val="24"/>
          <w:lang w:eastAsia="es-AR"/>
        </w:rPr>
        <w:t>III.</w:t>
      </w:r>
      <w:r w:rsidR="00FC2D4E">
        <w:rPr>
          <w:rFonts w:ascii="Verdana" w:eastAsia="Times New Roman" w:hAnsi="Verdana" w:cs="Times New Roman"/>
          <w:b/>
          <w:bCs/>
          <w:sz w:val="24"/>
          <w:szCs w:val="24"/>
          <w:lang w:eastAsia="es-AR"/>
        </w:rPr>
        <w:t xml:space="preserve"> </w:t>
      </w:r>
      <w:r w:rsidRPr="00794B24">
        <w:rPr>
          <w:rFonts w:ascii="Verdana" w:eastAsia="Times New Roman" w:hAnsi="Verdana" w:cs="Times New Roman"/>
          <w:b/>
          <w:bCs/>
          <w:sz w:val="24"/>
          <w:szCs w:val="24"/>
          <w:lang w:val="es-UY" w:eastAsia="es-AR"/>
        </w:rPr>
        <w:t>POSICIONES DE LAS PARTES</w:t>
      </w:r>
    </w:p>
    <w:p w:rsidR="00794B24" w:rsidRPr="00794B24" w:rsidRDefault="00794B24" w:rsidP="00794B24">
      <w:pPr>
        <w:spacing w:after="0" w:line="240" w:lineRule="auto"/>
        <w:ind w:left="720"/>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FC2D4E">
      <w:pPr>
        <w:spacing w:after="0" w:line="240" w:lineRule="auto"/>
        <w:ind w:firstLine="708"/>
        <w:jc w:val="both"/>
        <w:outlineLvl w:val="1"/>
        <w:rPr>
          <w:rFonts w:ascii="Verdana" w:eastAsia="Times New Roman" w:hAnsi="Verdana" w:cs="Times New Roman"/>
          <w:b/>
          <w:bCs/>
          <w:sz w:val="24"/>
          <w:szCs w:val="24"/>
          <w:lang w:eastAsia="es-AR"/>
        </w:rPr>
      </w:pPr>
      <w:r w:rsidRPr="00794B24">
        <w:rPr>
          <w:rFonts w:ascii="Verdana" w:eastAsia="Times New Roman" w:hAnsi="Verdana" w:cs="Times New Roman"/>
          <w:b/>
          <w:bCs/>
          <w:color w:val="000000"/>
          <w:sz w:val="24"/>
          <w:szCs w:val="24"/>
          <w:lang w:val="es-UY" w:eastAsia="es-AR"/>
        </w:rPr>
        <w:t>A. Posición de los peticionarios</w:t>
      </w:r>
    </w:p>
    <w:p w:rsidR="00794B24" w:rsidRPr="00794B24" w:rsidRDefault="00794B24" w:rsidP="00794B24">
      <w:pPr>
        <w:spacing w:after="0" w:line="240" w:lineRule="auto"/>
        <w:ind w:left="720"/>
        <w:rPr>
          <w:rFonts w:ascii="Verdana" w:eastAsia="Times New Roman" w:hAnsi="Verdana" w:cs="Times New Roman"/>
          <w:sz w:val="24"/>
          <w:szCs w:val="24"/>
          <w:lang w:eastAsia="es-AR"/>
        </w:rPr>
      </w:pPr>
      <w:r w:rsidRPr="00794B24">
        <w:rPr>
          <w:rFonts w:ascii="Verdana" w:eastAsia="Times New Roman" w:hAnsi="Verdana" w:cs="Times New Roman"/>
          <w:sz w:val="24"/>
          <w:szCs w:val="24"/>
          <w:lang w:val="es-UY" w:eastAsia="es-AR"/>
        </w:rPr>
        <w:t> </w:t>
      </w:r>
    </w:p>
    <w:p w:rsidR="00794B24" w:rsidRPr="00794B24" w:rsidRDefault="00794B24" w:rsidP="00794B24">
      <w:pPr>
        <w:spacing w:after="0" w:line="240" w:lineRule="auto"/>
        <w:ind w:left="720"/>
        <w:rPr>
          <w:rFonts w:ascii="Verdana" w:eastAsia="Times New Roman" w:hAnsi="Verdana" w:cs="Times New Roman"/>
          <w:sz w:val="24"/>
          <w:szCs w:val="24"/>
          <w:lang w:eastAsia="es-AR"/>
        </w:rPr>
      </w:pPr>
      <w:r w:rsidRPr="00794B24">
        <w:rPr>
          <w:rFonts w:ascii="Verdana" w:eastAsia="Times New Roman" w:hAnsi="Verdana" w:cs="Times New Roman"/>
          <w:b/>
          <w:bCs/>
          <w:sz w:val="24"/>
          <w:szCs w:val="24"/>
          <w:lang w:val="es-UY" w:eastAsia="es-AR"/>
        </w:rPr>
        <w:t> Sobre los hechos</w:t>
      </w:r>
    </w:p>
    <w:p w:rsidR="00794B24" w:rsidRPr="00794B24" w:rsidRDefault="00794B24" w:rsidP="00794B24">
      <w:pPr>
        <w:spacing w:after="0" w:line="240" w:lineRule="auto"/>
        <w:ind w:firstLine="720"/>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FC2D4E">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val="es-UY" w:eastAsia="es-AR"/>
        </w:rPr>
        <w:t>8.</w:t>
      </w:r>
      <w:r w:rsidR="00FC2D4E">
        <w:rPr>
          <w:rFonts w:ascii="Verdana" w:eastAsia="Times New Roman" w:hAnsi="Verdana" w:cs="Times New Roman"/>
          <w:sz w:val="24"/>
          <w:szCs w:val="24"/>
          <w:lang w:val="es-UY" w:eastAsia="es-AR"/>
        </w:rPr>
        <w:tab/>
      </w:r>
      <w:r w:rsidRPr="00794B24">
        <w:rPr>
          <w:rFonts w:ascii="Verdana" w:eastAsia="Times New Roman" w:hAnsi="Verdana" w:cs="Times New Roman"/>
          <w:sz w:val="24"/>
          <w:szCs w:val="24"/>
          <w:lang w:val="es-UY" w:eastAsia="es-AR"/>
        </w:rPr>
        <w:t xml:space="preserve">Las presuntas víctimas son personas portadoras del VIH/SIDA quienes junto con otras portadores del mismo virus y las organizaciones como la Asociación Coordinadora de Lucha contra el SIDA, la Asociación de Salud Integral y la Fundación, el 23 de noviembre de 2001, acudieron al Ministerio de Salud, órgano responsable de su atención según la Ley General para el Combate del Virus de Inmunodeficiencia Humana y del Síndrome de Inmunodeficiencia Adquirida y de la Promoción, Protección y Defensa de los Derechos Humanos ante el VIH/SIDA, Decreto 27-2000, solicitándole que dispusiera la atención integral para las personas que viven con el virus. Conforme a la petición, las anteriores organizaciones no recibieron respuesta alguna del Ministerio de Salud, entidad que mediante una declaración pública hizo saber que no contaba con los recursos económicos para cumplir con el mandato legal que le ordena proveer servicios de atención a las personas que viven con VIH/SIDA. </w:t>
      </w:r>
    </w:p>
    <w:p w:rsidR="00794B24" w:rsidRPr="00794B24" w:rsidRDefault="00794B24" w:rsidP="00794B24">
      <w:pPr>
        <w:spacing w:after="0" w:line="240" w:lineRule="auto"/>
        <w:ind w:left="360"/>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val="es-UY" w:eastAsia="es-AR"/>
        </w:rPr>
        <w:t> </w:t>
      </w:r>
    </w:p>
    <w:p w:rsidR="00794B24" w:rsidRPr="00794B24" w:rsidRDefault="00794B24" w:rsidP="00FC2D4E">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val="es-UY" w:eastAsia="es-AR"/>
        </w:rPr>
        <w:t>9.</w:t>
      </w:r>
      <w:r w:rsidR="00FC2D4E">
        <w:rPr>
          <w:rFonts w:ascii="Verdana" w:eastAsia="Times New Roman" w:hAnsi="Verdana" w:cs="Times New Roman"/>
          <w:sz w:val="24"/>
          <w:szCs w:val="24"/>
          <w:lang w:val="es-UY" w:eastAsia="es-AR"/>
        </w:rPr>
        <w:tab/>
      </w:r>
      <w:r w:rsidRPr="00794B24">
        <w:rPr>
          <w:rFonts w:ascii="Verdana" w:eastAsia="Times New Roman" w:hAnsi="Verdana" w:cs="Times New Roman"/>
          <w:sz w:val="24"/>
          <w:szCs w:val="24"/>
          <w:lang w:val="es-UY" w:eastAsia="es-AR"/>
        </w:rPr>
        <w:t xml:space="preserve">Ante la negativa del Ministerio de Salud, el 27 de mayo de 2002, organizaciones no gubernamentales que trabajan el tema de VIH/SIDA y personas que viven con la enfermedad, enviaron una carta al Presidente de Guatemala, señor Alfonso Portillo, solicitándole que tomara las medidas pertinentes para garantizar que todas las personas portadoras </w:t>
      </w:r>
      <w:r w:rsidRPr="00794B24">
        <w:rPr>
          <w:rFonts w:ascii="Verdana" w:eastAsia="Times New Roman" w:hAnsi="Verdana" w:cs="Times New Roman"/>
          <w:sz w:val="24"/>
          <w:szCs w:val="24"/>
          <w:lang w:val="es-UY" w:eastAsia="es-AR"/>
        </w:rPr>
        <w:lastRenderedPageBreak/>
        <w:t>del VIH/SIDA recibieran tratamiento integral y universal. Concretamente, le solicitaron que dispusiera las medidas pertinentes para asegurar el tratamiento integral y universal a todas las personas que lo requerían de manera inmediata en Guatemala. En su misiva, los enfermos firmantes y las organizaciones que los acompañaban le exigieron al Presidente Portillo que atendiera su requerimiento a la brevedad posible, “pues de su diligen</w:t>
      </w:r>
      <w:r>
        <w:rPr>
          <w:rFonts w:ascii="Verdana" w:eastAsia="Times New Roman" w:hAnsi="Verdana" w:cs="Times New Roman"/>
          <w:sz w:val="24"/>
          <w:szCs w:val="24"/>
          <w:lang w:val="es-UY" w:eastAsia="es-AR"/>
        </w:rPr>
        <w:t>cia a nuestro favor, depende la</w:t>
      </w:r>
      <w:r w:rsidRPr="00794B24">
        <w:rPr>
          <w:rFonts w:ascii="Verdana" w:eastAsia="Times New Roman" w:hAnsi="Verdana" w:cs="Times New Roman"/>
          <w:sz w:val="24"/>
          <w:szCs w:val="24"/>
          <w:lang w:val="es-UY" w:eastAsia="es-AR"/>
        </w:rPr>
        <w:t xml:space="preserve"> vida de cuatro mil personas que necesitamos tratamiento hoy…”</w:t>
      </w:r>
      <w:r>
        <w:rPr>
          <w:rFonts w:ascii="Verdana" w:eastAsia="Times New Roman" w:hAnsi="Verdana" w:cs="Times New Roman"/>
          <w:sz w:val="24"/>
          <w:szCs w:val="24"/>
          <w:lang w:val="es-UY" w:eastAsia="es-AR"/>
        </w:rPr>
        <w:t xml:space="preserve"> </w:t>
      </w:r>
      <w:r w:rsidRPr="00794B24">
        <w:rPr>
          <w:rStyle w:val="Refdenotaalpie"/>
          <w:rFonts w:ascii="Verdana" w:eastAsia="Times New Roman" w:hAnsi="Verdana" w:cs="Times New Roman"/>
          <w:sz w:val="24"/>
          <w:szCs w:val="24"/>
          <w:vertAlign w:val="superscript"/>
          <w:lang w:val="es-UY" w:eastAsia="es-AR"/>
        </w:rPr>
        <w:footnoteReference w:id="1"/>
      </w:r>
      <w:r w:rsidRPr="00794B24">
        <w:rPr>
          <w:rFonts w:ascii="Verdana" w:eastAsia="Times New Roman" w:hAnsi="Verdana" w:cs="Times New Roman"/>
          <w:sz w:val="24"/>
          <w:szCs w:val="24"/>
          <w:vertAlign w:val="superscript"/>
          <w:lang w:val="es-UY" w:eastAsia="es-AR"/>
        </w:rPr>
        <w:t>.</w:t>
      </w:r>
      <w:r w:rsidRPr="00794B24">
        <w:rPr>
          <w:rFonts w:ascii="Verdana" w:eastAsia="Times New Roman" w:hAnsi="Verdana" w:cs="Times New Roman"/>
          <w:sz w:val="24"/>
          <w:szCs w:val="24"/>
          <w:lang w:val="es-UY" w:eastAsia="es-AR"/>
        </w:rPr>
        <w:t>Los peticionarios indican que dicha comunicación no fue atendida por el Presidente de la República.</w:t>
      </w:r>
    </w:p>
    <w:p w:rsidR="00794B24" w:rsidRPr="00794B24" w:rsidRDefault="00794B24" w:rsidP="00794B24">
      <w:pPr>
        <w:spacing w:after="0" w:line="240" w:lineRule="auto"/>
        <w:ind w:firstLine="720"/>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val="es-UY" w:eastAsia="es-AR"/>
        </w:rPr>
        <w:t> </w:t>
      </w:r>
    </w:p>
    <w:p w:rsidR="00794B24" w:rsidRPr="00794B24" w:rsidRDefault="00794B24" w:rsidP="00FC2D4E">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val="es-UY" w:eastAsia="es-AR"/>
        </w:rPr>
        <w:t>10.</w:t>
      </w:r>
      <w:r w:rsidR="00FC2D4E">
        <w:rPr>
          <w:rFonts w:ascii="Verdana" w:eastAsia="Times New Roman" w:hAnsi="Verdana" w:cs="Times New Roman"/>
          <w:sz w:val="24"/>
          <w:szCs w:val="24"/>
          <w:lang w:val="es-UY" w:eastAsia="es-AR"/>
        </w:rPr>
        <w:tab/>
      </w:r>
      <w:r w:rsidRPr="00794B24">
        <w:rPr>
          <w:rFonts w:ascii="Verdana" w:eastAsia="Times New Roman" w:hAnsi="Verdana" w:cs="Times New Roman"/>
          <w:sz w:val="24"/>
          <w:szCs w:val="24"/>
          <w:lang w:val="es-UY" w:eastAsia="es-AR"/>
        </w:rPr>
        <w:t xml:space="preserve"> En virtud de lo anterior, 17 de los peticionarios presentaron un recurso de amparo ante</w:t>
      </w:r>
      <w:r>
        <w:rPr>
          <w:rFonts w:ascii="Verdana" w:eastAsia="Times New Roman" w:hAnsi="Verdana" w:cs="Times New Roman"/>
          <w:sz w:val="24"/>
          <w:szCs w:val="24"/>
          <w:lang w:val="es-UY" w:eastAsia="es-AR"/>
        </w:rPr>
        <w:t xml:space="preserve"> la Corte de Constitucionalidad</w:t>
      </w:r>
      <w:r w:rsidRPr="00794B24">
        <w:rPr>
          <w:rFonts w:ascii="Verdana" w:eastAsia="Times New Roman" w:hAnsi="Verdana" w:cs="Times New Roman"/>
          <w:sz w:val="24"/>
          <w:szCs w:val="24"/>
          <w:lang w:val="es-UY" w:eastAsia="es-AR"/>
        </w:rPr>
        <w:t xml:space="preserve"> el 26 de julio de 2002 contra el Presidente de la República, con el objeto de que “se restituya el derecho a la salud constitucionalmente reconocido para todas y cada una de las personas que vivimos con el VIH/SIDA”.</w:t>
      </w:r>
      <w:bookmarkStart w:id="0" w:name="_ftnref2"/>
      <w:r w:rsidRPr="00794B24">
        <w:rPr>
          <w:rStyle w:val="Refdenotaalpie"/>
          <w:rFonts w:ascii="Verdana" w:eastAsia="Times New Roman" w:hAnsi="Verdana" w:cs="Times New Roman"/>
          <w:sz w:val="24"/>
          <w:szCs w:val="24"/>
          <w:vertAlign w:val="superscript"/>
          <w:lang w:val="es-UY" w:eastAsia="es-AR"/>
        </w:rPr>
        <w:footnoteReference w:id="2"/>
      </w:r>
      <w:hyperlink r:id="rId9" w:anchor="_ftn2" w:tooltip="" w:history="1"/>
      <w:bookmarkEnd w:id="0"/>
      <w:r w:rsidRPr="00794B24">
        <w:rPr>
          <w:rFonts w:ascii="Verdana" w:eastAsia="Times New Roman" w:hAnsi="Verdana" w:cs="Times New Roman"/>
          <w:sz w:val="24"/>
          <w:szCs w:val="24"/>
          <w:lang w:val="es-UY" w:eastAsia="es-AR"/>
        </w:rPr>
        <w:t xml:space="preserve"> El 20 de agosto de 2002 el Presidente Portillo citó a los recurrentes a una reunión y les informó que ordenaría la inmediata transferencia de una partida extraordinaria de 500.000 quetzales para atender el tratamiento de las personas con VIH/SIDA hasta el último trimestre de ese año. Conforme a la petición, dicha partida efectivamente se transfirió, pero para mayo del 2003 sólo se habrían comprado medicamentos para 24 personas atendidas en el Hospital General San Juan de Dios y 47 en el Hospital Roosevelt, entre los cuales no se encontrarían las presuntas víctimas. </w:t>
      </w:r>
    </w:p>
    <w:p w:rsidR="00794B24" w:rsidRPr="00794B24" w:rsidRDefault="00794B24" w:rsidP="00794B24">
      <w:pPr>
        <w:spacing w:after="0" w:line="240" w:lineRule="auto"/>
        <w:ind w:firstLine="720"/>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val="es-UY" w:eastAsia="es-AR"/>
        </w:rPr>
        <w:t> </w:t>
      </w:r>
    </w:p>
    <w:p w:rsidR="00794B24" w:rsidRPr="00794B24" w:rsidRDefault="00794B24" w:rsidP="00FC2D4E">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val="es-UY" w:eastAsia="es-AR"/>
        </w:rPr>
        <w:t>11.</w:t>
      </w:r>
      <w:r w:rsidR="00FC2D4E">
        <w:rPr>
          <w:rFonts w:ascii="Verdana" w:eastAsia="Times New Roman" w:hAnsi="Verdana" w:cs="Times New Roman"/>
          <w:sz w:val="24"/>
          <w:szCs w:val="24"/>
          <w:lang w:val="es-UY" w:eastAsia="es-AR"/>
        </w:rPr>
        <w:tab/>
      </w:r>
      <w:r w:rsidRPr="00794B24">
        <w:rPr>
          <w:rFonts w:ascii="Verdana" w:eastAsia="Times New Roman" w:hAnsi="Verdana" w:cs="Times New Roman"/>
          <w:sz w:val="24"/>
          <w:szCs w:val="24"/>
          <w:lang w:val="es-UY" w:eastAsia="es-AR"/>
        </w:rPr>
        <w:t xml:space="preserve">El 29 de enero de 2003, la Corte de Constitucionalidad denegó el amparo promovido el 26 de julio de 2002, con el fundamento de que el agravio reclamado cesó mediante la convocatoria del Presidente de la República a los recurrentes y la orden de transferencia de una partida extraordinaria. Al respecto, los peticionarios argumentan que en el fallo la Corte de Constitucionalidad no se refirió al objeto real del amparo, </w:t>
      </w:r>
      <w:proofErr w:type="spellStart"/>
      <w:r w:rsidRPr="00794B24">
        <w:rPr>
          <w:rFonts w:ascii="Verdana" w:eastAsia="Times New Roman" w:hAnsi="Verdana" w:cs="Times New Roman"/>
          <w:sz w:val="24"/>
          <w:szCs w:val="24"/>
          <w:lang w:val="es-UY" w:eastAsia="es-AR"/>
        </w:rPr>
        <w:t>cual</w:t>
      </w:r>
      <w:proofErr w:type="spellEnd"/>
      <w:r w:rsidRPr="00794B24">
        <w:rPr>
          <w:rFonts w:ascii="Verdana" w:eastAsia="Times New Roman" w:hAnsi="Verdana" w:cs="Times New Roman"/>
          <w:sz w:val="24"/>
          <w:szCs w:val="24"/>
          <w:lang w:val="es-UY" w:eastAsia="es-AR"/>
        </w:rPr>
        <w:t xml:space="preserve"> era la necesidad de que el Presidente de la República, como Jefe de Estado, dictara una línea política general y universal tendiente a garantizar el acceso a la salud y por ende la vida de las personas con VIH/SIDA. El recurso también pretendió la preservación del derecho a la vida y se presentó ante la necesidad de hacer respetar los derechos consagrados en la Constitución de la República y en la Ley sobre VIH/SIDA. </w:t>
      </w:r>
    </w:p>
    <w:p w:rsidR="00794B24" w:rsidRPr="00794B24" w:rsidRDefault="00794B24" w:rsidP="00FC2D4E">
      <w:pPr>
        <w:spacing w:after="0" w:line="240" w:lineRule="auto"/>
        <w:jc w:val="both"/>
        <w:rPr>
          <w:rFonts w:ascii="Verdana" w:eastAsia="Times New Roman" w:hAnsi="Verdana" w:cs="Times New Roman"/>
          <w:sz w:val="24"/>
          <w:szCs w:val="24"/>
          <w:lang w:eastAsia="es-AR"/>
        </w:rPr>
      </w:pPr>
    </w:p>
    <w:p w:rsid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val="es-UY" w:eastAsia="es-AR"/>
        </w:rPr>
        <w:t>12.</w:t>
      </w:r>
      <w:r w:rsidR="00FC2D4E">
        <w:rPr>
          <w:rFonts w:ascii="Verdana" w:eastAsia="Times New Roman" w:hAnsi="Verdana" w:cs="Times New Roman"/>
          <w:sz w:val="24"/>
          <w:szCs w:val="24"/>
          <w:lang w:val="es-UY" w:eastAsia="es-AR"/>
        </w:rPr>
        <w:tab/>
      </w:r>
      <w:r w:rsidRPr="00794B24">
        <w:rPr>
          <w:rFonts w:ascii="Verdana" w:eastAsia="Times New Roman" w:hAnsi="Verdana" w:cs="Times New Roman"/>
          <w:sz w:val="24"/>
          <w:szCs w:val="24"/>
          <w:lang w:val="es-UY" w:eastAsia="es-AR"/>
        </w:rPr>
        <w:t xml:space="preserve"> En el escrito de denuncia, los peticionarios indicaron que a esa fecha, a pesar de los recursos agotados ante las instancias internas, de las 39 presuntas víctimas, 12 no están recibiendo tratamiento alguno; 19 personas reciben atención médica y terapia antirretroviral de Médicos Sin Fronteras, Organización No Gubernamental; a 4 no se les han efectuado exámenes de carga viral por lo cual desconocen la necesidad de dicho tratamiento, 2 de ellas reciben tratamiento profiláctico otorgado por el Proyecto Vida y las otras dos solamente tienen una visita médica al mes. Por otra parte, 2 de las presuntas víctimas reciben tratamiento antirretroviral en forma irregular de parte del Instituto Guatemalteco de Seguridad Social, en tanto que sólo una de ellas ha sido sometida a tratamiento en una clínica del Estado. A la fecha, tres de las presuntas víctimas han fallecido: Facundo Gómez Reyes, peticionario ante la CIDH y recurrente ante la Corte de Constitucionalidad, </w:t>
      </w:r>
      <w:proofErr w:type="spellStart"/>
      <w:r w:rsidRPr="00794B24">
        <w:rPr>
          <w:rFonts w:ascii="Verdana" w:eastAsia="Times New Roman" w:hAnsi="Verdana" w:cs="Times New Roman"/>
          <w:sz w:val="24"/>
          <w:szCs w:val="24"/>
          <w:lang w:val="es-UY" w:eastAsia="es-AR"/>
        </w:rPr>
        <w:t>Ismar</w:t>
      </w:r>
      <w:proofErr w:type="spellEnd"/>
      <w:r w:rsidRPr="00794B24">
        <w:rPr>
          <w:rFonts w:ascii="Verdana" w:eastAsia="Times New Roman" w:hAnsi="Verdana" w:cs="Times New Roman"/>
          <w:sz w:val="24"/>
          <w:szCs w:val="24"/>
          <w:lang w:val="es-UY" w:eastAsia="es-AR"/>
        </w:rPr>
        <w:t xml:space="preserve"> Ramírez </w:t>
      </w:r>
      <w:proofErr w:type="spellStart"/>
      <w:r w:rsidRPr="00794B24">
        <w:rPr>
          <w:rFonts w:ascii="Verdana" w:eastAsia="Times New Roman" w:hAnsi="Verdana" w:cs="Times New Roman"/>
          <w:sz w:val="24"/>
          <w:szCs w:val="24"/>
          <w:lang w:val="es-UY" w:eastAsia="es-AR"/>
        </w:rPr>
        <w:t>Chajón</w:t>
      </w:r>
      <w:proofErr w:type="spellEnd"/>
      <w:r w:rsidRPr="00794B24">
        <w:rPr>
          <w:rFonts w:ascii="Verdana" w:eastAsia="Times New Roman" w:hAnsi="Verdana" w:cs="Times New Roman"/>
          <w:sz w:val="24"/>
          <w:szCs w:val="24"/>
          <w:lang w:val="es-UY" w:eastAsia="es-AR"/>
        </w:rPr>
        <w:t>, peticionario ante la CIDH y Reina López Mújica, peticionaria ante la CIDH.</w:t>
      </w:r>
      <w:bookmarkStart w:id="1" w:name="_ftnref3"/>
      <w:r w:rsidRPr="00794B24">
        <w:rPr>
          <w:rStyle w:val="Refdenotaalpie"/>
          <w:rFonts w:ascii="Verdana" w:eastAsia="Times New Roman" w:hAnsi="Verdana" w:cs="Times New Roman"/>
          <w:sz w:val="24"/>
          <w:szCs w:val="24"/>
          <w:vertAlign w:val="superscript"/>
          <w:lang w:val="es-UY" w:eastAsia="es-AR"/>
        </w:rPr>
        <w:footnoteReference w:id="3"/>
      </w:r>
      <w:r>
        <w:rPr>
          <w:rFonts w:ascii="Verdana" w:eastAsia="Times New Roman" w:hAnsi="Verdana" w:cs="Times New Roman"/>
          <w:sz w:val="24"/>
          <w:szCs w:val="24"/>
          <w:lang w:eastAsia="es-AR"/>
        </w:rPr>
        <w:t xml:space="preserve">  </w:t>
      </w:r>
      <w:bookmarkEnd w:id="1"/>
    </w:p>
    <w:p w:rsidR="00FC2D4E" w:rsidRPr="00794B24" w:rsidRDefault="00FC2D4E" w:rsidP="00794B24">
      <w:pPr>
        <w:spacing w:after="0" w:line="240" w:lineRule="auto"/>
        <w:jc w:val="both"/>
        <w:rPr>
          <w:rFonts w:ascii="Verdana" w:eastAsia="Times New Roman" w:hAnsi="Verdana" w:cs="Times New Roman"/>
          <w:sz w:val="24"/>
          <w:szCs w:val="24"/>
          <w:lang w:eastAsia="es-AR"/>
        </w:rPr>
      </w:pPr>
    </w:p>
    <w:p w:rsidR="00794B24" w:rsidRPr="00794B24" w:rsidRDefault="00794B24" w:rsidP="00794B24">
      <w:pPr>
        <w:spacing w:after="0" w:line="240" w:lineRule="auto"/>
        <w:ind w:firstLine="720"/>
        <w:jc w:val="both"/>
        <w:rPr>
          <w:rFonts w:ascii="Verdana" w:eastAsia="Times New Roman" w:hAnsi="Verdana" w:cs="Times New Roman"/>
          <w:sz w:val="24"/>
          <w:szCs w:val="24"/>
          <w:lang w:eastAsia="es-AR"/>
        </w:rPr>
      </w:pPr>
      <w:r w:rsidRPr="00794B24">
        <w:rPr>
          <w:rFonts w:ascii="Verdana" w:eastAsia="Times New Roman" w:hAnsi="Verdana" w:cs="Times New Roman"/>
          <w:b/>
          <w:bCs/>
          <w:sz w:val="24"/>
          <w:szCs w:val="24"/>
          <w:lang w:val="es-UY" w:eastAsia="es-AR"/>
        </w:rPr>
        <w:t>Sobre el derecho</w:t>
      </w:r>
    </w:p>
    <w:p w:rsidR="00794B24" w:rsidRPr="00794B24" w:rsidRDefault="00794B24" w:rsidP="00FC2D4E">
      <w:pPr>
        <w:spacing w:after="0" w:line="240" w:lineRule="auto"/>
        <w:jc w:val="both"/>
        <w:rPr>
          <w:rFonts w:ascii="Verdana" w:eastAsia="Times New Roman" w:hAnsi="Verdana" w:cs="Times New Roman"/>
          <w:sz w:val="24"/>
          <w:szCs w:val="24"/>
          <w:lang w:eastAsia="es-AR"/>
        </w:rPr>
      </w:pPr>
    </w:p>
    <w:p w:rsidR="00794B24" w:rsidRPr="00794B24" w:rsidRDefault="00794B24" w:rsidP="00FC2D4E">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13.</w:t>
      </w:r>
      <w:r w:rsidR="00FC2D4E">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Los peticionarios alegan que, a pesar de estas cifras el Gobierno de Guatemala no provee atención integral, no efectúa los exámenes necesarios, no provee medicamentos a las personas diagnosticadas con VIH, y que tan solo 27 personas son beneficiadas con medicación antirretroviral proporcionada por el Ministerio de Salud</w:t>
      </w:r>
      <w:bookmarkStart w:id="2" w:name="_ftnref4"/>
      <w:r>
        <w:rPr>
          <w:rFonts w:ascii="Verdana" w:eastAsia="Times New Roman" w:hAnsi="Verdana" w:cs="Times New Roman"/>
          <w:color w:val="000000"/>
          <w:sz w:val="24"/>
          <w:szCs w:val="24"/>
          <w:lang w:val="es-UY" w:eastAsia="es-AR"/>
        </w:rPr>
        <w:t xml:space="preserve"> </w:t>
      </w:r>
      <w:r w:rsidRPr="00794B24">
        <w:rPr>
          <w:rStyle w:val="Refdenotaalpie"/>
          <w:rFonts w:ascii="Verdana" w:eastAsia="Times New Roman" w:hAnsi="Verdana" w:cs="Times New Roman"/>
          <w:color w:val="000000"/>
          <w:sz w:val="24"/>
          <w:szCs w:val="24"/>
          <w:vertAlign w:val="superscript"/>
          <w:lang w:val="es-UY" w:eastAsia="es-AR"/>
        </w:rPr>
        <w:footnoteReference w:id="4"/>
      </w:r>
      <w:r w:rsidRPr="00794B24">
        <w:rPr>
          <w:rFonts w:ascii="Verdana" w:eastAsia="Times New Roman" w:hAnsi="Verdana" w:cs="Times New Roman"/>
          <w:color w:val="000000"/>
          <w:sz w:val="24"/>
          <w:szCs w:val="24"/>
          <w:vertAlign w:val="superscript"/>
          <w:lang w:val="es-UY" w:eastAsia="es-AR"/>
        </w:rPr>
        <w:t xml:space="preserve"> </w:t>
      </w:r>
      <w:hyperlink r:id="rId10" w:anchor="_ftn4" w:tooltip="" w:history="1">
        <w:r w:rsidRPr="00794B24">
          <w:rPr>
            <w:rFonts w:ascii="Verdana" w:eastAsia="Times New Roman" w:hAnsi="Verdana" w:cs="Times New Roman"/>
            <w:color w:val="000000"/>
            <w:sz w:val="24"/>
            <w:szCs w:val="24"/>
            <w:u w:val="single"/>
            <w:vertAlign w:val="superscript"/>
            <w:lang w:val="es-UY" w:eastAsia="es-AR"/>
          </w:rPr>
          <w:t>[4]</w:t>
        </w:r>
      </w:hyperlink>
      <w:bookmarkEnd w:id="2"/>
      <w:r w:rsidRPr="00794B24">
        <w:rPr>
          <w:rFonts w:ascii="Verdana" w:eastAsia="Times New Roman" w:hAnsi="Verdana" w:cs="Times New Roman"/>
          <w:color w:val="000000"/>
          <w:sz w:val="24"/>
          <w:szCs w:val="24"/>
          <w:lang w:val="es-UY" w:eastAsia="es-AR"/>
        </w:rPr>
        <w:t>, bajo el argumento de que no existen suficientes recursos económicos para ampliar dicho suministro. Los peticionarios alegan que mediante dicha situación, se contradice el contenido de la Ley General guatemalteca sobre VIH/SIDA:</w:t>
      </w:r>
    </w:p>
    <w:p w:rsidR="00794B24" w:rsidRPr="00794B24" w:rsidRDefault="00794B24" w:rsidP="00794B24">
      <w:pPr>
        <w:spacing w:after="0" w:line="240" w:lineRule="auto"/>
        <w:ind w:left="360"/>
        <w:jc w:val="both"/>
        <w:rPr>
          <w:rFonts w:ascii="Verdana" w:eastAsia="Times New Roman" w:hAnsi="Verdana" w:cs="Times New Roman"/>
          <w:sz w:val="24"/>
          <w:szCs w:val="24"/>
          <w:lang w:eastAsia="es-AR"/>
        </w:rPr>
      </w:pPr>
    </w:p>
    <w:p w:rsidR="00794B24" w:rsidRPr="00794B24" w:rsidRDefault="00794B24" w:rsidP="00794B24">
      <w:pPr>
        <w:spacing w:after="0" w:line="240" w:lineRule="auto"/>
        <w:ind w:left="720" w:right="720"/>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xml:space="preserve">Artículo 35. De la atención de las personas. Toda persona con diagnóstico de infección por VIH/SIDA deberá recibir atención integral de inmediato y en igualdad de condiciones con otras personas, para lo cual deberá respetarse la voluntad, dignidad, individualidad y confidencialidad. Ningún </w:t>
      </w:r>
      <w:r w:rsidRPr="00794B24">
        <w:rPr>
          <w:rFonts w:ascii="Verdana" w:eastAsia="Times New Roman" w:hAnsi="Verdana" w:cs="Times New Roman"/>
          <w:color w:val="000000"/>
          <w:sz w:val="24"/>
          <w:szCs w:val="24"/>
          <w:lang w:val="es-UY" w:eastAsia="es-AR"/>
        </w:rPr>
        <w:lastRenderedPageBreak/>
        <w:t xml:space="preserve">trabajador de la salud podrá negarse a prestar la atención que requiera una persona que vive con VIH/SIDA, debiendo tomar las medidas de </w:t>
      </w:r>
      <w:proofErr w:type="spellStart"/>
      <w:r w:rsidRPr="00794B24">
        <w:rPr>
          <w:rFonts w:ascii="Verdana" w:eastAsia="Times New Roman" w:hAnsi="Verdana" w:cs="Times New Roman"/>
          <w:color w:val="000000"/>
          <w:sz w:val="24"/>
          <w:szCs w:val="24"/>
          <w:lang w:val="es-UY" w:eastAsia="es-AR"/>
        </w:rPr>
        <w:t>bio</w:t>
      </w:r>
      <w:proofErr w:type="spellEnd"/>
      <w:r w:rsidRPr="00794B24">
        <w:rPr>
          <w:rFonts w:ascii="Verdana" w:eastAsia="Times New Roman" w:hAnsi="Verdana" w:cs="Times New Roman"/>
          <w:color w:val="000000"/>
          <w:sz w:val="24"/>
          <w:szCs w:val="24"/>
          <w:lang w:val="es-UY" w:eastAsia="es-AR"/>
        </w:rPr>
        <w:t>-seguridad recomendadas.</w:t>
      </w:r>
      <w:bookmarkStart w:id="3" w:name="_ftnref5"/>
      <w:r w:rsidRPr="00794B24">
        <w:rPr>
          <w:rStyle w:val="Refdenotaalpie"/>
          <w:rFonts w:ascii="Verdana" w:eastAsia="Times New Roman" w:hAnsi="Verdana" w:cs="Times New Roman"/>
          <w:color w:val="000000"/>
          <w:sz w:val="24"/>
          <w:szCs w:val="24"/>
          <w:vertAlign w:val="superscript"/>
          <w:lang w:val="es-UY" w:eastAsia="es-AR"/>
        </w:rPr>
        <w:footnoteReference w:id="5"/>
      </w:r>
      <w:hyperlink r:id="rId11" w:anchor="_ftn5" w:tooltip="" w:history="1"/>
      <w:bookmarkEnd w:id="3"/>
    </w:p>
    <w:p w:rsidR="00794B24" w:rsidRPr="00794B24" w:rsidRDefault="00794B24" w:rsidP="00FC2D4E">
      <w:pPr>
        <w:spacing w:after="0" w:line="240" w:lineRule="auto"/>
        <w:jc w:val="both"/>
        <w:rPr>
          <w:rFonts w:ascii="Verdana" w:eastAsia="Times New Roman" w:hAnsi="Verdana" w:cs="Times New Roman"/>
          <w:sz w:val="24"/>
          <w:szCs w:val="24"/>
          <w:lang w:eastAsia="es-AR"/>
        </w:rPr>
      </w:pPr>
    </w:p>
    <w:p w:rsidR="00794B24" w:rsidRPr="00794B24" w:rsidRDefault="00794B24" w:rsidP="00FC2D4E">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14.</w:t>
      </w:r>
      <w:r w:rsidR="00FC2D4E">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 A juicio de los peticionarios, el incumplimiento del anterior dispositivo legal por parte del Estado evidencia que este incurrió en una violación de los derechos a la vida e integridad personal consagrados en la Convención Americana al omitir proveer a las presuntas víctimas, portadoras del VIH/SIDA, el tratamiento médico adecuado. Conforme a la información suministrada por los peticionarios, debido a su condición, las 39 personas incluidas en la denuncia “requieren de atención médica integral para garantizar su vida y su integridad… entendiéndose como tal la medicación antirretroviral y las pruebas médicas pertinentes para determinar el avance de la enfermedad”.</w:t>
      </w:r>
      <w:bookmarkStart w:id="4" w:name="_ftnref6"/>
      <w:r w:rsidRPr="00794B24">
        <w:rPr>
          <w:rStyle w:val="Refdenotaalpie"/>
          <w:rFonts w:ascii="Verdana" w:eastAsia="Times New Roman" w:hAnsi="Verdana" w:cs="Times New Roman"/>
          <w:color w:val="000000"/>
          <w:sz w:val="24"/>
          <w:szCs w:val="24"/>
          <w:vertAlign w:val="superscript"/>
          <w:lang w:val="es-UY" w:eastAsia="es-AR"/>
        </w:rPr>
        <w:footnoteReference w:id="6"/>
      </w:r>
      <w:r>
        <w:rPr>
          <w:rFonts w:ascii="Verdana" w:eastAsia="Times New Roman" w:hAnsi="Verdana" w:cs="Times New Roman"/>
          <w:color w:val="000000"/>
          <w:sz w:val="24"/>
          <w:szCs w:val="24"/>
          <w:lang w:val="es-UY" w:eastAsia="es-AR"/>
        </w:rPr>
        <w:t xml:space="preserve"> </w:t>
      </w:r>
      <w:bookmarkEnd w:id="4"/>
    </w:p>
    <w:p w:rsidR="00794B24" w:rsidRPr="00794B24" w:rsidRDefault="00794B24" w:rsidP="00FC2D4E">
      <w:pPr>
        <w:spacing w:after="0" w:line="240" w:lineRule="auto"/>
        <w:jc w:val="both"/>
        <w:rPr>
          <w:rFonts w:ascii="Verdana" w:eastAsia="Times New Roman" w:hAnsi="Verdana" w:cs="Times New Roman"/>
          <w:sz w:val="24"/>
          <w:szCs w:val="24"/>
          <w:lang w:eastAsia="es-AR"/>
        </w:rPr>
      </w:pPr>
    </w:p>
    <w:p w:rsidR="00794B24" w:rsidRPr="00794B24" w:rsidRDefault="00794B24" w:rsidP="00FC2D4E">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15.</w:t>
      </w:r>
      <w:r w:rsidR="00FC2D4E">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 Los peticionarios sostienen que los denominados antirretrovirales son medicamentos capaces de bloquear la reproducción del virus dentro del organismo constituyéndose en un tratamiento ideal para prevenir la progresión de la enfermedad; y que su uso también contribuye a la disminución de infecciones oportunistas, así como de otros síntomas generales del SIDA. </w:t>
      </w:r>
    </w:p>
    <w:p w:rsidR="00794B24" w:rsidRPr="00794B24" w:rsidRDefault="00794B24" w:rsidP="00794B24">
      <w:pPr>
        <w:spacing w:after="0" w:line="240" w:lineRule="auto"/>
        <w:jc w:val="both"/>
        <w:rPr>
          <w:rFonts w:ascii="Verdana" w:eastAsia="Times New Roman" w:hAnsi="Verdana" w:cs="Times New Roman"/>
          <w:sz w:val="24"/>
          <w:szCs w:val="24"/>
          <w:lang w:eastAsia="es-AR"/>
        </w:rPr>
      </w:pPr>
    </w:p>
    <w:p w:rsidR="00794B24" w:rsidRPr="00794B24" w:rsidRDefault="00794B24" w:rsidP="00FC2D4E">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16.</w:t>
      </w:r>
      <w:r w:rsidR="00FC2D4E">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 Los peticionarios sostienen que es la obligación del Estado proteger el derecho a la vida de las presuntas víctimas.  El deber del Estado de tomar medidas positivas se acentúa precisamente en relación con la protección de la vida y la salud de personas vulnerables, como son las personas viviendo con VIH/SIDA. Los peticionarios alegan, que la atención inadecuada de este grupo vulnerable atenta contra la integridad de los componentes del mismo. En concreto, los peticionarios alegan que la ausencia de un tratamiento médico adecuado pone en riesgo inminente la vida, como fue el caso de Facundo Gómez Reyes uno de los recurrentes del amparo quien habría fallecido a causa de una enfermedad oportunista debido a la falta de tratamiento antirretroviral. Al respecto los peticionarios alegan que el deber del Estado de tomar medidas positivas se acentúa precisamente en relación con la protección de la vida y la salud de las personas vulnerables, como son las personas viviendo con VIH/SIDA. </w:t>
      </w:r>
    </w:p>
    <w:p w:rsidR="00794B24" w:rsidRPr="00794B24" w:rsidRDefault="00794B24" w:rsidP="00FC2D4E">
      <w:pPr>
        <w:spacing w:after="0" w:line="240" w:lineRule="auto"/>
        <w:jc w:val="both"/>
        <w:rPr>
          <w:rFonts w:ascii="Verdana" w:eastAsia="Times New Roman" w:hAnsi="Verdana" w:cs="Times New Roman"/>
          <w:sz w:val="24"/>
          <w:szCs w:val="24"/>
          <w:lang w:eastAsia="es-AR"/>
        </w:rPr>
      </w:pPr>
    </w:p>
    <w:p w:rsidR="00794B24" w:rsidRPr="00794B24" w:rsidRDefault="00794B24" w:rsidP="00FC2D4E">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lastRenderedPageBreak/>
        <w:t>17.</w:t>
      </w:r>
      <w:r w:rsidR="00FC2D4E">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En cuanto a la integridad personal de las personas que viven con el virus del Sida, los peticionarios alegan que la inadecuada atención de las necesidades de este grupo derivan en el deterioro de sus condiciones de salud. Los peticionarios alegan que muchas de las víctimas de este mal no cuentan con apoyo del Estado y reciben tratamiento a través de organizaciones no gubernamentales tales como Médicos sin Fronteras. Sin embargo el suministro otorgado por esta organización se brindará por tiempo limitado.</w:t>
      </w:r>
    </w:p>
    <w:p w:rsidR="00794B24" w:rsidRPr="00794B24" w:rsidRDefault="00794B24" w:rsidP="00FC2D4E">
      <w:pPr>
        <w:spacing w:after="0" w:line="240" w:lineRule="auto"/>
        <w:jc w:val="both"/>
        <w:rPr>
          <w:rFonts w:ascii="Verdana" w:eastAsia="Times New Roman" w:hAnsi="Verdana" w:cs="Times New Roman"/>
          <w:sz w:val="24"/>
          <w:szCs w:val="24"/>
          <w:lang w:eastAsia="es-AR"/>
        </w:rPr>
      </w:pPr>
    </w:p>
    <w:p w:rsidR="00794B24" w:rsidRPr="00794B24" w:rsidRDefault="00794B24" w:rsidP="00FC2D4E">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18.</w:t>
      </w:r>
      <w:r w:rsidR="00FC2D4E">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Los peticionarios hacen notar el reducido número de personas que cuentan con el tratamiento antirretroviral subvencionado por el Estado evidencia el trato desigual de las personas portadoras del virus. Resaltan que a un porcentaje alto de las personas enfermas se les es negado el mismo derecho bajo el argumento de falta de recursos.</w:t>
      </w:r>
      <w:bookmarkStart w:id="5" w:name="_ftnref7"/>
      <w:r w:rsidRPr="00794B24">
        <w:rPr>
          <w:rStyle w:val="Refdenotaalpie"/>
          <w:rFonts w:ascii="Verdana" w:eastAsia="Times New Roman" w:hAnsi="Verdana" w:cs="Times New Roman"/>
          <w:color w:val="000000"/>
          <w:sz w:val="24"/>
          <w:szCs w:val="24"/>
          <w:vertAlign w:val="superscript"/>
          <w:lang w:val="es-UY" w:eastAsia="es-AR"/>
        </w:rPr>
        <w:footnoteReference w:id="7"/>
      </w:r>
      <w:r>
        <w:rPr>
          <w:rFonts w:ascii="Verdana" w:eastAsia="Times New Roman" w:hAnsi="Verdana" w:cs="Times New Roman"/>
          <w:color w:val="000000"/>
          <w:sz w:val="24"/>
          <w:szCs w:val="24"/>
          <w:lang w:val="es-UY" w:eastAsia="es-AR"/>
        </w:rPr>
        <w:t xml:space="preserve"> </w:t>
      </w:r>
      <w:bookmarkEnd w:id="5"/>
      <w:r w:rsidRPr="00794B24">
        <w:rPr>
          <w:rFonts w:ascii="Verdana" w:eastAsia="Times New Roman" w:hAnsi="Verdana" w:cs="Times New Roman"/>
          <w:color w:val="000000"/>
          <w:sz w:val="24"/>
          <w:szCs w:val="24"/>
          <w:lang w:val="es-UY" w:eastAsia="es-AR"/>
        </w:rPr>
        <w:t>Alegan los peticionarios, que esta situación se debería a que el Estado dedica diez mil dólares al año para cado uno de estos 27 pacientes, debido a que compra medicamentos de alto costo en vez de comprar los medicamentos genéricos, aspecto que ampliaría su cobertura.</w:t>
      </w:r>
      <w:bookmarkStart w:id="6" w:name="_ftnref8"/>
      <w:r w:rsidRPr="00794B24">
        <w:rPr>
          <w:rStyle w:val="Refdenotaalpie"/>
          <w:rFonts w:ascii="Verdana" w:eastAsia="Times New Roman" w:hAnsi="Verdana" w:cs="Times New Roman"/>
          <w:color w:val="000000"/>
          <w:sz w:val="24"/>
          <w:szCs w:val="24"/>
          <w:vertAlign w:val="superscript"/>
          <w:lang w:val="es-UY" w:eastAsia="es-AR"/>
        </w:rPr>
        <w:footnoteReference w:id="8"/>
      </w:r>
      <w:r>
        <w:rPr>
          <w:rFonts w:ascii="Verdana" w:eastAsia="Times New Roman" w:hAnsi="Verdana" w:cs="Times New Roman"/>
          <w:color w:val="000000"/>
          <w:sz w:val="24"/>
          <w:szCs w:val="24"/>
          <w:lang w:val="es-UY" w:eastAsia="es-AR"/>
        </w:rPr>
        <w:t xml:space="preserve"> </w:t>
      </w:r>
      <w:bookmarkEnd w:id="6"/>
    </w:p>
    <w:p w:rsidR="00794B24" w:rsidRPr="00794B24" w:rsidRDefault="00794B24" w:rsidP="00794B24">
      <w:pPr>
        <w:spacing w:after="0" w:line="240" w:lineRule="auto"/>
        <w:ind w:firstLine="720"/>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25117">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19.</w:t>
      </w:r>
      <w:r w:rsidR="00FC2D4E">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Finalmente, los peticionarios alegan que dentro de la legislación interna no cuentan con recursos para hacer efectiva la aplicación de leyes que los protejan como la Ley del VIH/SIDA la cual prescribe que será el Ministerio de Salud Pública y Asistencia Social que asegure que se proveerán servicios de atención a las personas portadoras del virus asegurándoles consejería, apoyo y tratamiento médico actualizado. Al respecto, agregan:</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94B24">
      <w:pPr>
        <w:spacing w:after="0" w:line="240" w:lineRule="auto"/>
        <w:ind w:left="720" w:right="720"/>
        <w:jc w:val="both"/>
        <w:rPr>
          <w:rFonts w:ascii="Verdana" w:eastAsia="Times New Roman" w:hAnsi="Verdana" w:cs="Times New Roman"/>
          <w:sz w:val="24"/>
          <w:szCs w:val="24"/>
          <w:lang w:eastAsia="es-AR"/>
        </w:rPr>
      </w:pPr>
      <w:proofErr w:type="gramStart"/>
      <w:r w:rsidRPr="00794B24">
        <w:rPr>
          <w:rFonts w:ascii="Verdana" w:eastAsia="Times New Roman" w:hAnsi="Verdana" w:cs="Times New Roman"/>
          <w:color w:val="000000"/>
          <w:sz w:val="24"/>
          <w:szCs w:val="24"/>
          <w:lang w:val="es-UY" w:eastAsia="es-AR"/>
        </w:rPr>
        <w:t>la</w:t>
      </w:r>
      <w:proofErr w:type="gramEnd"/>
      <w:r w:rsidRPr="00794B24">
        <w:rPr>
          <w:rFonts w:ascii="Verdana" w:eastAsia="Times New Roman" w:hAnsi="Verdana" w:cs="Times New Roman"/>
          <w:color w:val="000000"/>
          <w:sz w:val="24"/>
          <w:szCs w:val="24"/>
          <w:lang w:val="es-UY" w:eastAsia="es-AR"/>
        </w:rPr>
        <w:t xml:space="preserve"> inexistencia de un recurso efectivo contra las violaciones a los derechos reconocidos por la Convención constituye una trasgresión de la misma por el Estado parte en el cual semejante situación tenga lugar. En ese sentido debe subrayarse que, para que tal recurso exista, no basta con que esté previsto por la Constitución o la ley o con que sea formalmente admisible, sino que se requiere que sea realmente idóneo para establecer si se ha incurrido en una violación de los derechos humanos y proveer lo necesario para remediarla.</w:t>
      </w:r>
      <w:bookmarkStart w:id="7" w:name="_ftnref9"/>
      <w:r w:rsidRPr="00794B24">
        <w:rPr>
          <w:rStyle w:val="Refdenotaalpie"/>
          <w:rFonts w:ascii="Verdana" w:eastAsia="Times New Roman" w:hAnsi="Verdana" w:cs="Times New Roman"/>
          <w:color w:val="000000"/>
          <w:sz w:val="24"/>
          <w:szCs w:val="24"/>
          <w:vertAlign w:val="superscript"/>
          <w:lang w:val="es-UY" w:eastAsia="es-AR"/>
        </w:rPr>
        <w:footnoteReference w:id="9"/>
      </w:r>
      <w:r>
        <w:rPr>
          <w:rFonts w:ascii="Verdana" w:eastAsia="Times New Roman" w:hAnsi="Verdana" w:cs="Times New Roman"/>
          <w:color w:val="000000"/>
          <w:sz w:val="24"/>
          <w:szCs w:val="24"/>
          <w:lang w:val="es-UY" w:eastAsia="es-AR"/>
        </w:rPr>
        <w:t xml:space="preserve"> </w:t>
      </w:r>
      <w:bookmarkEnd w:id="7"/>
    </w:p>
    <w:p w:rsidR="00794B24" w:rsidRPr="00794B24" w:rsidRDefault="00794B24" w:rsidP="00794B24">
      <w:pPr>
        <w:spacing w:after="0" w:line="240" w:lineRule="auto"/>
        <w:jc w:val="both"/>
        <w:rPr>
          <w:rFonts w:ascii="Verdana" w:eastAsia="Times New Roman" w:hAnsi="Verdana" w:cs="Times New Roman"/>
          <w:sz w:val="24"/>
          <w:szCs w:val="24"/>
          <w:lang w:eastAsia="es-AR"/>
        </w:rPr>
      </w:pPr>
    </w:p>
    <w:p w:rsidR="00794B24" w:rsidRPr="00794B24" w:rsidRDefault="00794B24" w:rsidP="00FC2D4E">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20.</w:t>
      </w:r>
      <w:r w:rsidR="00FC2D4E">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Los peticionarios alegan que el incumplimiento por parte del Estado de asegurar la protección de la salud de las personas portadoras del virus implica un retroceso en su compromiso de llevar el país hacia un desarrollo progresivo. En este sentido, los peticionarios destacan la ausencia de una política del Gobierno con relación al VIH/SIDA y la falta de avances positivos que reviertan la situación y remarcan la obligación internacional del Estado contraída a partir de varios convenios internacionales a respetar y proteger el derecho a la salud de sus ciudadanos.</w:t>
      </w:r>
    </w:p>
    <w:p w:rsidR="00794B24" w:rsidRPr="00794B24" w:rsidRDefault="00794B24" w:rsidP="00FC2D4E">
      <w:pPr>
        <w:spacing w:after="0" w:line="240" w:lineRule="auto"/>
        <w:jc w:val="both"/>
        <w:rPr>
          <w:rFonts w:ascii="Verdana" w:eastAsia="Times New Roman" w:hAnsi="Verdana" w:cs="Times New Roman"/>
          <w:sz w:val="24"/>
          <w:szCs w:val="24"/>
          <w:lang w:eastAsia="es-AR"/>
        </w:rPr>
      </w:pPr>
    </w:p>
    <w:p w:rsidR="00794B24" w:rsidRPr="00794B24" w:rsidRDefault="00794B24" w:rsidP="00FC2D4E">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21.</w:t>
      </w:r>
      <w:r w:rsidR="00FC2D4E">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 En su contestación a las observaciones presentadas por el Estado, los peticionarios sostienen que de las 39 personas afectadas beneficiadas con la provisión de medidas cautelares tres de ellas: Reina López Mújica, Facundo Gómez Reyes y Petrona López González habrían fallecido, del resto 26 de los beneficiarios estarían recibiendo atención médica y 10 no contarían con atención alguna. Además denuncian el incumplimiento de las medidas cautelares, al estar delegando su responsabilidad de proveer atención médica a terceras organizaciones ajenas al poder público,</w:t>
      </w:r>
      <w:bookmarkStart w:id="8" w:name="_ftnref10"/>
      <w:r w:rsidRPr="00794B24">
        <w:rPr>
          <w:rStyle w:val="Refdenotaalpie"/>
          <w:rFonts w:ascii="Verdana" w:eastAsia="Times New Roman" w:hAnsi="Verdana" w:cs="Times New Roman"/>
          <w:color w:val="000000"/>
          <w:sz w:val="24"/>
          <w:szCs w:val="24"/>
          <w:vertAlign w:val="superscript"/>
          <w:lang w:val="es-UY" w:eastAsia="es-AR"/>
        </w:rPr>
        <w:footnoteReference w:id="10"/>
      </w:r>
      <w:r>
        <w:rPr>
          <w:rFonts w:ascii="Verdana" w:eastAsia="Times New Roman" w:hAnsi="Verdana" w:cs="Times New Roman"/>
          <w:color w:val="000000"/>
          <w:sz w:val="24"/>
          <w:szCs w:val="24"/>
          <w:lang w:val="es-UY" w:eastAsia="es-AR"/>
        </w:rPr>
        <w:t xml:space="preserve"> </w:t>
      </w:r>
      <w:bookmarkEnd w:id="8"/>
      <w:r w:rsidRPr="00794B24">
        <w:rPr>
          <w:rFonts w:ascii="Verdana" w:eastAsia="Times New Roman" w:hAnsi="Verdana" w:cs="Times New Roman"/>
          <w:color w:val="000000"/>
          <w:sz w:val="24"/>
          <w:szCs w:val="24"/>
          <w:lang w:val="es-UY" w:eastAsia="es-AR"/>
        </w:rPr>
        <w:t>tales como “Médicos sin Fronteras” cuyo servicio será proporcionado por tiempo limitado. Por ello los peticionarios reiteran su solicitud de que no se permita la actitud indiferente y dilatoria de Guatemala ante esta situación.</w:t>
      </w:r>
    </w:p>
    <w:p w:rsidR="00794B24" w:rsidRPr="00794B24" w:rsidRDefault="00794B24" w:rsidP="00794B24">
      <w:pPr>
        <w:spacing w:after="0" w:line="240" w:lineRule="auto"/>
        <w:ind w:left="360"/>
        <w:jc w:val="both"/>
        <w:rPr>
          <w:rFonts w:ascii="Verdana" w:eastAsia="Times New Roman" w:hAnsi="Verdana" w:cs="Times New Roman"/>
          <w:sz w:val="24"/>
          <w:szCs w:val="24"/>
          <w:lang w:eastAsia="es-AR"/>
        </w:rPr>
      </w:pPr>
    </w:p>
    <w:p w:rsidR="00794B24" w:rsidRPr="00794B24" w:rsidRDefault="00794B24" w:rsidP="00725117">
      <w:pPr>
        <w:spacing w:after="0" w:line="240" w:lineRule="auto"/>
        <w:ind w:firstLine="708"/>
        <w:jc w:val="both"/>
        <w:outlineLvl w:val="1"/>
        <w:rPr>
          <w:rFonts w:ascii="Verdana" w:eastAsia="Times New Roman" w:hAnsi="Verdana" w:cs="Times New Roman"/>
          <w:b/>
          <w:bCs/>
          <w:sz w:val="24"/>
          <w:szCs w:val="24"/>
          <w:lang w:eastAsia="es-AR"/>
        </w:rPr>
      </w:pPr>
      <w:r w:rsidRPr="00794B24">
        <w:rPr>
          <w:rFonts w:ascii="Verdana" w:eastAsia="Times New Roman" w:hAnsi="Verdana" w:cs="Times New Roman"/>
          <w:b/>
          <w:bCs/>
          <w:color w:val="000000"/>
          <w:sz w:val="24"/>
          <w:szCs w:val="24"/>
          <w:lang w:val="es-UY" w:eastAsia="es-AR"/>
        </w:rPr>
        <w:t>B.</w:t>
      </w:r>
      <w:r w:rsidR="00FC2D4E">
        <w:rPr>
          <w:rFonts w:ascii="Verdana" w:eastAsia="Times New Roman" w:hAnsi="Verdana" w:cs="Times New Roman"/>
          <w:b/>
          <w:bCs/>
          <w:color w:val="000000"/>
          <w:sz w:val="24"/>
          <w:szCs w:val="24"/>
          <w:lang w:val="es-UY" w:eastAsia="es-AR"/>
        </w:rPr>
        <w:t xml:space="preserve"> </w:t>
      </w:r>
      <w:r w:rsidRPr="00794B24">
        <w:rPr>
          <w:rFonts w:ascii="Verdana" w:eastAsia="Times New Roman" w:hAnsi="Verdana" w:cs="Times New Roman"/>
          <w:b/>
          <w:bCs/>
          <w:color w:val="000000"/>
          <w:sz w:val="24"/>
          <w:szCs w:val="24"/>
          <w:lang w:val="es-UY" w:eastAsia="es-AR"/>
        </w:rPr>
        <w:t>Posición del Estado</w:t>
      </w:r>
    </w:p>
    <w:p w:rsidR="00794B24" w:rsidRPr="00794B24" w:rsidRDefault="00794B24" w:rsidP="00794B24">
      <w:pPr>
        <w:spacing w:after="0" w:line="240" w:lineRule="auto"/>
        <w:ind w:left="-90" w:firstLine="810"/>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FC2D4E">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22.</w:t>
      </w:r>
      <w:r w:rsidR="00FC2D4E">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 En su respuesta inicial, el Estado presenta </w:t>
      </w:r>
      <w:r w:rsidRPr="00794B24">
        <w:rPr>
          <w:rFonts w:ascii="Verdana" w:eastAsia="Times New Roman" w:hAnsi="Verdana" w:cs="Times New Roman"/>
          <w:sz w:val="24"/>
          <w:szCs w:val="24"/>
          <w:lang w:val="es-UY" w:eastAsia="es-AR"/>
        </w:rPr>
        <w:t xml:space="preserve">el Informe del Gobierno de la República de Guatemala a la Comisión con relación a la ampliación de medidas cautelares y respuesta a la petición elaborado por la Comisión Presidencial Coordinadora de la Política del Ejecutivo en Materia de Derechos Humanos. </w:t>
      </w:r>
      <w:r w:rsidRPr="00794B24">
        <w:rPr>
          <w:rFonts w:ascii="Verdana" w:eastAsia="Times New Roman" w:hAnsi="Verdana" w:cs="Times New Roman"/>
          <w:color w:val="000000"/>
          <w:sz w:val="24"/>
          <w:szCs w:val="24"/>
          <w:lang w:val="es-UY" w:eastAsia="es-AR"/>
        </w:rPr>
        <w:t xml:space="preserve">En este documento el Estado alega el cumplimiento de sus obligaciones con respecto a los peticionarios, en vista de que 39 de ellos estarían recibiendo </w:t>
      </w:r>
      <w:r>
        <w:rPr>
          <w:rFonts w:ascii="Verdana" w:eastAsia="Times New Roman" w:hAnsi="Verdana" w:cs="Times New Roman"/>
          <w:color w:val="000000"/>
          <w:sz w:val="24"/>
          <w:szCs w:val="24"/>
          <w:lang w:val="es-UY" w:eastAsia="es-AR"/>
        </w:rPr>
        <w:t>las medicinas correspondientes.</w:t>
      </w:r>
      <w:r w:rsidRPr="00794B24">
        <w:rPr>
          <w:rFonts w:ascii="Verdana" w:eastAsia="Times New Roman" w:hAnsi="Verdana" w:cs="Times New Roman"/>
          <w:color w:val="000000"/>
          <w:sz w:val="24"/>
          <w:szCs w:val="24"/>
          <w:lang w:val="es-UY" w:eastAsia="es-AR"/>
        </w:rPr>
        <w:t xml:space="preserve"> La distribución de estos medicamentos, según el Estado, se estaría efectuando de la siguiente manera: </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tbl>
      <w:tblPr>
        <w:tblW w:w="0" w:type="auto"/>
        <w:tblInd w:w="1188" w:type="dxa"/>
        <w:tblCellMar>
          <w:left w:w="0" w:type="dxa"/>
          <w:right w:w="0" w:type="dxa"/>
        </w:tblCellMar>
        <w:tblLook w:val="04A0" w:firstRow="1" w:lastRow="0" w:firstColumn="1" w:lastColumn="0" w:noHBand="0" w:noVBand="1"/>
      </w:tblPr>
      <w:tblGrid>
        <w:gridCol w:w="5220"/>
        <w:gridCol w:w="2520"/>
      </w:tblGrid>
      <w:tr w:rsidR="00794B24" w:rsidRPr="00794B24" w:rsidTr="00794B24">
        <w:tc>
          <w:tcPr>
            <w:tcW w:w="52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b/>
                <w:bCs/>
                <w:color w:val="000000"/>
                <w:sz w:val="24"/>
                <w:szCs w:val="24"/>
                <w:lang w:val="es-UY" w:eastAsia="es-AR"/>
              </w:rPr>
              <w:t xml:space="preserve">Proyecto de Medicamentos </w:t>
            </w:r>
            <w:proofErr w:type="spellStart"/>
            <w:r w:rsidRPr="00794B24">
              <w:rPr>
                <w:rFonts w:ascii="Verdana" w:eastAsia="Times New Roman" w:hAnsi="Verdana" w:cs="Times New Roman"/>
                <w:b/>
                <w:bCs/>
                <w:color w:val="000000"/>
                <w:sz w:val="24"/>
                <w:szCs w:val="24"/>
                <w:lang w:val="es-UY" w:eastAsia="es-AR"/>
              </w:rPr>
              <w:t>Antir</w:t>
            </w:r>
            <w:proofErr w:type="spellEnd"/>
            <w:r w:rsidRPr="00794B24">
              <w:rPr>
                <w:rFonts w:ascii="Verdana" w:eastAsia="Times New Roman" w:hAnsi="Verdana" w:cs="Times New Roman"/>
                <w:b/>
                <w:bCs/>
                <w:color w:val="000000"/>
                <w:sz w:val="24"/>
                <w:szCs w:val="24"/>
                <w:lang w:eastAsia="es-AR"/>
              </w:rPr>
              <w:t>r</w:t>
            </w:r>
            <w:proofErr w:type="spellStart"/>
            <w:r w:rsidRPr="00794B24">
              <w:rPr>
                <w:rFonts w:ascii="Verdana" w:eastAsia="Times New Roman" w:hAnsi="Verdana" w:cs="Times New Roman"/>
                <w:b/>
                <w:bCs/>
                <w:color w:val="000000"/>
                <w:sz w:val="24"/>
                <w:szCs w:val="24"/>
                <w:lang w:val="es-UY" w:eastAsia="es-AR"/>
              </w:rPr>
              <w:t>etrovirales</w:t>
            </w:r>
            <w:proofErr w:type="spellEnd"/>
          </w:p>
        </w:tc>
        <w:tc>
          <w:tcPr>
            <w:tcW w:w="25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b/>
                <w:bCs/>
                <w:color w:val="000000"/>
                <w:sz w:val="24"/>
                <w:szCs w:val="24"/>
                <w:lang w:val="es-UY" w:eastAsia="es-AR"/>
              </w:rPr>
              <w:t>Beneficiarios</w:t>
            </w:r>
          </w:p>
        </w:tc>
      </w:tr>
      <w:tr w:rsidR="00794B24" w:rsidRPr="00794B24" w:rsidTr="00794B24">
        <w:tc>
          <w:tcPr>
            <w:tcW w:w="52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Médicos sin Fronteras, Proyecto Vida, Coatepeque</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11</w:t>
            </w:r>
          </w:p>
        </w:tc>
      </w:tr>
      <w:tr w:rsidR="00794B24" w:rsidRPr="00794B24" w:rsidTr="00794B24">
        <w:tc>
          <w:tcPr>
            <w:tcW w:w="52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lastRenderedPageBreak/>
              <w:t xml:space="preserve">Médicos sin Fronteras, Clínica </w:t>
            </w:r>
            <w:proofErr w:type="spellStart"/>
            <w:r w:rsidRPr="00794B24">
              <w:rPr>
                <w:rFonts w:ascii="Verdana" w:eastAsia="Times New Roman" w:hAnsi="Verdana" w:cs="Times New Roman"/>
                <w:color w:val="000000"/>
                <w:sz w:val="24"/>
                <w:szCs w:val="24"/>
                <w:lang w:val="es-UY" w:eastAsia="es-AR"/>
              </w:rPr>
              <w:t>Yaloc</w:t>
            </w:r>
            <w:proofErr w:type="spellEnd"/>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5</w:t>
            </w:r>
          </w:p>
        </w:tc>
      </w:tr>
      <w:tr w:rsidR="00794B24" w:rsidRPr="00794B24" w:rsidTr="00794B24">
        <w:tc>
          <w:tcPr>
            <w:tcW w:w="52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Médicos sin Fronteras de Coatepeque</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4</w:t>
            </w:r>
          </w:p>
        </w:tc>
      </w:tr>
      <w:tr w:rsidR="00794B24" w:rsidRPr="00794B24" w:rsidTr="00794B24">
        <w:tc>
          <w:tcPr>
            <w:tcW w:w="52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Clínicas Enfermedades Infecciosas del Hospital Roosevelt</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1</w:t>
            </w:r>
          </w:p>
        </w:tc>
      </w:tr>
      <w:tr w:rsidR="00794B24" w:rsidRPr="00794B24" w:rsidTr="00794B24">
        <w:tc>
          <w:tcPr>
            <w:tcW w:w="52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Hospital Roosevelt Estudio Bristol</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1</w:t>
            </w:r>
          </w:p>
        </w:tc>
      </w:tr>
      <w:tr w:rsidR="00794B24" w:rsidRPr="00794B24" w:rsidTr="00794B24">
        <w:tc>
          <w:tcPr>
            <w:tcW w:w="52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Instituto Guatemalteco de Seguridad Social- IGSS</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3</w:t>
            </w:r>
          </w:p>
        </w:tc>
      </w:tr>
      <w:tr w:rsidR="00794B24" w:rsidRPr="00794B24" w:rsidTr="00794B24">
        <w:tc>
          <w:tcPr>
            <w:tcW w:w="52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Hospital Militar</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1</w:t>
            </w:r>
          </w:p>
        </w:tc>
      </w:tr>
      <w:tr w:rsidR="00794B24" w:rsidRPr="00794B24" w:rsidTr="00794B24">
        <w:tc>
          <w:tcPr>
            <w:tcW w:w="52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Sin acceso a medicamentos</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794B24" w:rsidRPr="00794B24" w:rsidRDefault="00794B24" w:rsidP="00725117">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11</w:t>
            </w:r>
            <w:bookmarkStart w:id="9" w:name="_ftnref11"/>
            <w:r w:rsidRPr="00794B24">
              <w:rPr>
                <w:rStyle w:val="Refdenotaalpie"/>
                <w:rFonts w:ascii="Verdana" w:eastAsia="Times New Roman" w:hAnsi="Verdana" w:cs="Times New Roman"/>
                <w:color w:val="000000"/>
                <w:sz w:val="24"/>
                <w:szCs w:val="24"/>
                <w:vertAlign w:val="superscript"/>
                <w:lang w:val="es-UY" w:eastAsia="es-AR"/>
              </w:rPr>
              <w:footnoteReference w:id="11"/>
            </w:r>
            <w:r>
              <w:rPr>
                <w:rFonts w:ascii="Verdana" w:eastAsia="Times New Roman" w:hAnsi="Verdana" w:cs="Times New Roman"/>
                <w:color w:val="000000"/>
                <w:sz w:val="24"/>
                <w:szCs w:val="24"/>
                <w:lang w:val="es-UY" w:eastAsia="es-AR"/>
              </w:rPr>
              <w:t xml:space="preserve"> </w:t>
            </w:r>
            <w:bookmarkEnd w:id="9"/>
          </w:p>
        </w:tc>
      </w:tr>
    </w:tbl>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25117">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23.</w:t>
      </w:r>
      <w:r w:rsidR="00725117">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El Estado sostiene que el Ministerio de Salud habría adoptado medidas específicas de apoyo a este grupo vulnerable tales como la agilización de mecanismos que les permitan el acceso a tratamiento antirretroviral, promoción de la gestión de recursos a través de organizaciones de cooperación externa, se estaría trabajando también para reducir el costo de los medicamentos, cargas virales y CD4. La Comisión Presidencial Coordinadora de la Política del Ejecutivo en Materia de Derechos Humanos informó que en total, la cobertura actual constaría de 111 adultos y 110 niños con atención integral con fondos propios del Ministerio Público, y más de 940 pacientes cuya atención de tratamiento antirretroviral es proporcionada por medio del apoyo de Médicos Sin Fronteras. Por su parte, el Instituto Guatemalteco De Seguridad Social estaría atendiendo a más de 1100 adultos y 300 niños con terapia antirretroviral de 1,200 pacientes a través de la cooperación y coordinación con Médicos sin Fronteras, UNICEF, y otras entidades donantes.</w:t>
      </w:r>
    </w:p>
    <w:p w:rsidR="00794B24" w:rsidRPr="00794B24" w:rsidRDefault="00794B24" w:rsidP="00725117">
      <w:pPr>
        <w:spacing w:after="0" w:line="240" w:lineRule="auto"/>
        <w:jc w:val="both"/>
        <w:rPr>
          <w:rFonts w:ascii="Verdana" w:eastAsia="Times New Roman" w:hAnsi="Verdana" w:cs="Times New Roman"/>
          <w:sz w:val="24"/>
          <w:szCs w:val="24"/>
          <w:lang w:eastAsia="es-AR"/>
        </w:rPr>
      </w:pPr>
    </w:p>
    <w:p w:rsidR="00794B24" w:rsidRPr="00794B24" w:rsidRDefault="00794B24" w:rsidP="00725117">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24.</w:t>
      </w:r>
      <w:r w:rsidR="00725117">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El Estado alega que a partir de la comunicación de la Comisión se habría procurado la toma de acciones urgentes en cuanto a la aplicación del Decreto 27-2000 el cual contiene la Ley General para el Combate del VIH/SIDA y de la Promoción, Protección, y Defensa de los Derechos Humanos, el fortalecimiento del presupuesto del Programa Nacional de Sida, la cobertura de medicamentos antirretrovirales, y la realización de pruebas médicas para determinar el avance de la enfermedad. </w:t>
      </w:r>
    </w:p>
    <w:p w:rsidR="00794B24" w:rsidRPr="00794B24" w:rsidRDefault="00794B24" w:rsidP="00794B24">
      <w:pPr>
        <w:spacing w:after="0" w:line="240" w:lineRule="auto"/>
        <w:ind w:firstLine="720"/>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25117">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25.</w:t>
      </w:r>
      <w:r w:rsidR="00725117">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 El Estado manifiesta su preocupación ante la imposibilidad de acceso a tratamiento por parte de los enfermos de SIDA y reitera que el Gobierno provee tratamientos gratuitos en la medida de sus posibilidades. Agrega su apoyo a las iniciativas de la sociedad civil </w:t>
      </w:r>
      <w:r w:rsidRPr="00794B24">
        <w:rPr>
          <w:rFonts w:ascii="Verdana" w:eastAsia="Times New Roman" w:hAnsi="Verdana" w:cs="Times New Roman"/>
          <w:color w:val="000000"/>
          <w:sz w:val="24"/>
          <w:szCs w:val="24"/>
          <w:lang w:val="es-UY" w:eastAsia="es-AR"/>
        </w:rPr>
        <w:lastRenderedPageBreak/>
        <w:t>destinadas a establecer un presupuesto para el cumplimiento de políticas de Estado en relación a la Ley vigente.</w:t>
      </w:r>
    </w:p>
    <w:p w:rsidR="00794B24" w:rsidRPr="00794B24" w:rsidRDefault="00794B24" w:rsidP="00794B24">
      <w:pPr>
        <w:spacing w:after="0" w:line="240" w:lineRule="auto"/>
        <w:ind w:firstLine="720"/>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25117">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26.</w:t>
      </w:r>
      <w:r w:rsidR="00725117">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En suma, el Estado pide se tome nota de las medidas impulsadas en dirección a satisfacer la solicitud de la Comisión en cuanto a la aplicación de las  medidas cautelares, y se deje constancia de su cumplimento. Además, insta a los peticionarios a continuar haciendo uso de los recursos jurídicos existentes en la legislación interna del país.</w:t>
      </w:r>
    </w:p>
    <w:p w:rsidR="00794B24" w:rsidRPr="00794B24" w:rsidRDefault="00794B24" w:rsidP="00794B24">
      <w:pPr>
        <w:spacing w:after="0" w:line="240" w:lineRule="auto"/>
        <w:jc w:val="both"/>
        <w:outlineLvl w:val="0"/>
        <w:rPr>
          <w:rFonts w:ascii="Verdana" w:eastAsia="Times New Roman" w:hAnsi="Verdana" w:cs="Times New Roman"/>
          <w:b/>
          <w:bCs/>
          <w:kern w:val="36"/>
          <w:sz w:val="24"/>
          <w:szCs w:val="24"/>
          <w:lang w:eastAsia="es-AR"/>
        </w:rPr>
      </w:pPr>
      <w:r w:rsidRPr="00794B24">
        <w:rPr>
          <w:rFonts w:ascii="Verdana" w:eastAsia="Times New Roman" w:hAnsi="Verdana" w:cs="Times New Roman"/>
          <w:b/>
          <w:bCs/>
          <w:kern w:val="36"/>
          <w:sz w:val="24"/>
          <w:szCs w:val="24"/>
          <w:lang w:val="es-UY" w:eastAsia="es-AR"/>
        </w:rPr>
        <w:t> </w:t>
      </w:r>
    </w:p>
    <w:p w:rsidR="00794B24" w:rsidRPr="00794B24" w:rsidRDefault="00794B24" w:rsidP="00794B24">
      <w:pPr>
        <w:spacing w:after="0" w:line="240" w:lineRule="auto"/>
        <w:ind w:left="1440" w:hanging="720"/>
        <w:jc w:val="both"/>
        <w:outlineLvl w:val="0"/>
        <w:rPr>
          <w:rFonts w:ascii="Verdana" w:eastAsia="Times New Roman" w:hAnsi="Verdana" w:cs="Times New Roman"/>
          <w:b/>
          <w:bCs/>
          <w:kern w:val="36"/>
          <w:sz w:val="24"/>
          <w:szCs w:val="24"/>
          <w:lang w:eastAsia="es-AR"/>
        </w:rPr>
      </w:pPr>
      <w:r w:rsidRPr="00794B24">
        <w:rPr>
          <w:rFonts w:ascii="Verdana" w:eastAsia="Times New Roman" w:hAnsi="Verdana" w:cs="Times New Roman"/>
          <w:b/>
          <w:bCs/>
          <w:kern w:val="36"/>
          <w:sz w:val="24"/>
          <w:szCs w:val="24"/>
          <w:lang w:val="es-UY" w:eastAsia="es-AR"/>
        </w:rPr>
        <w:t>I</w:t>
      </w:r>
      <w:r w:rsidRPr="00794B24">
        <w:rPr>
          <w:rFonts w:ascii="Verdana" w:eastAsia="Times New Roman" w:hAnsi="Verdana" w:cs="Times New Roman"/>
          <w:b/>
          <w:bCs/>
          <w:kern w:val="36"/>
          <w:sz w:val="24"/>
          <w:szCs w:val="24"/>
          <w:lang w:eastAsia="es-AR"/>
        </w:rPr>
        <w:t>V</w:t>
      </w:r>
      <w:r w:rsidRPr="00794B24">
        <w:rPr>
          <w:rFonts w:ascii="Verdana" w:eastAsia="Times New Roman" w:hAnsi="Verdana" w:cs="Times New Roman"/>
          <w:b/>
          <w:bCs/>
          <w:kern w:val="36"/>
          <w:sz w:val="24"/>
          <w:szCs w:val="24"/>
          <w:lang w:val="es-UY" w:eastAsia="es-AR"/>
        </w:rPr>
        <w:t>.</w:t>
      </w:r>
      <w:r w:rsidRPr="00794B24">
        <w:rPr>
          <w:rFonts w:ascii="Verdana" w:eastAsia="Times New Roman" w:hAnsi="Verdana" w:cs="Times New Roman"/>
          <w:kern w:val="36"/>
          <w:sz w:val="24"/>
          <w:szCs w:val="24"/>
          <w:lang w:val="es-UY" w:eastAsia="es-AR"/>
        </w:rPr>
        <w:t>   </w:t>
      </w:r>
      <w:r w:rsidRPr="00794B24">
        <w:rPr>
          <w:rFonts w:ascii="Verdana" w:eastAsia="Times New Roman" w:hAnsi="Verdana" w:cs="Times New Roman"/>
          <w:b/>
          <w:bCs/>
          <w:kern w:val="36"/>
          <w:sz w:val="24"/>
          <w:szCs w:val="24"/>
          <w:lang w:val="es-UY" w:eastAsia="es-AR"/>
        </w:rPr>
        <w:t>ANÁLISIS SOBRE COMPETENCIA Y ADMISIBILIDAD</w:t>
      </w:r>
    </w:p>
    <w:p w:rsidR="00794B24" w:rsidRPr="00794B24" w:rsidRDefault="00794B24" w:rsidP="00794B24">
      <w:pPr>
        <w:spacing w:after="0" w:line="240" w:lineRule="auto"/>
        <w:ind w:left="-90" w:firstLine="810"/>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94B24">
      <w:pPr>
        <w:spacing w:after="0" w:line="240" w:lineRule="auto"/>
        <w:ind w:left="-90" w:firstLine="810"/>
        <w:jc w:val="both"/>
        <w:outlineLvl w:val="1"/>
        <w:rPr>
          <w:rFonts w:ascii="Verdana" w:eastAsia="Times New Roman" w:hAnsi="Verdana" w:cs="Times New Roman"/>
          <w:b/>
          <w:bCs/>
          <w:sz w:val="24"/>
          <w:szCs w:val="24"/>
          <w:lang w:eastAsia="es-AR"/>
        </w:rPr>
      </w:pPr>
      <w:r w:rsidRPr="00794B24">
        <w:rPr>
          <w:rFonts w:ascii="Verdana" w:eastAsia="Times New Roman" w:hAnsi="Verdana" w:cs="Times New Roman"/>
          <w:b/>
          <w:bCs/>
          <w:color w:val="000000"/>
          <w:sz w:val="24"/>
          <w:szCs w:val="24"/>
          <w:lang w:val="es-UY" w:eastAsia="es-AR"/>
        </w:rPr>
        <w:t>A.      Competencia</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25117">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27.</w:t>
      </w:r>
      <w:r w:rsidR="00725117">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 La Comisión tiene competencia </w:t>
      </w:r>
      <w:proofErr w:type="spellStart"/>
      <w:r w:rsidRPr="00794B24">
        <w:rPr>
          <w:rFonts w:ascii="Verdana" w:eastAsia="Times New Roman" w:hAnsi="Verdana" w:cs="Times New Roman"/>
          <w:i/>
          <w:iCs/>
          <w:color w:val="000000"/>
          <w:sz w:val="24"/>
          <w:szCs w:val="24"/>
          <w:lang w:val="es-UY" w:eastAsia="es-AR"/>
        </w:rPr>
        <w:t>ratione</w:t>
      </w:r>
      <w:proofErr w:type="spellEnd"/>
      <w:r w:rsidRPr="00794B24">
        <w:rPr>
          <w:rFonts w:ascii="Verdana" w:eastAsia="Times New Roman" w:hAnsi="Verdana" w:cs="Times New Roman"/>
          <w:i/>
          <w:iCs/>
          <w:color w:val="000000"/>
          <w:sz w:val="24"/>
          <w:szCs w:val="24"/>
          <w:lang w:val="es-UY" w:eastAsia="es-AR"/>
        </w:rPr>
        <w:t xml:space="preserve"> </w:t>
      </w:r>
      <w:proofErr w:type="spellStart"/>
      <w:r w:rsidRPr="00794B24">
        <w:rPr>
          <w:rFonts w:ascii="Verdana" w:eastAsia="Times New Roman" w:hAnsi="Verdana" w:cs="Times New Roman"/>
          <w:i/>
          <w:iCs/>
          <w:color w:val="000000"/>
          <w:sz w:val="24"/>
          <w:szCs w:val="24"/>
          <w:lang w:val="es-UY" w:eastAsia="es-AR"/>
        </w:rPr>
        <w:t>loci</w:t>
      </w:r>
      <w:proofErr w:type="spellEnd"/>
      <w:r w:rsidRPr="00794B24">
        <w:rPr>
          <w:rFonts w:ascii="Verdana" w:eastAsia="Times New Roman" w:hAnsi="Verdana" w:cs="Times New Roman"/>
          <w:color w:val="000000"/>
          <w:sz w:val="24"/>
          <w:szCs w:val="24"/>
          <w:lang w:val="es-UY" w:eastAsia="es-AR"/>
        </w:rPr>
        <w:t xml:space="preserve"> para conocer la petición, por cuanto en ella se alegan violaciones de derechos protegidos en la Convención Americana que habrían tenido lugar dentro del territorio de Guatemala, Estado parte en dicho tratado. La Comisión tiene competencia </w:t>
      </w:r>
      <w:proofErr w:type="spellStart"/>
      <w:r w:rsidRPr="00794B24">
        <w:rPr>
          <w:rFonts w:ascii="Verdana" w:eastAsia="Times New Roman" w:hAnsi="Verdana" w:cs="Times New Roman"/>
          <w:i/>
          <w:iCs/>
          <w:color w:val="000000"/>
          <w:sz w:val="24"/>
          <w:szCs w:val="24"/>
          <w:lang w:val="es-UY" w:eastAsia="es-AR"/>
        </w:rPr>
        <w:t>ratione</w:t>
      </w:r>
      <w:proofErr w:type="spellEnd"/>
      <w:r w:rsidRPr="00794B24">
        <w:rPr>
          <w:rFonts w:ascii="Verdana" w:eastAsia="Times New Roman" w:hAnsi="Verdana" w:cs="Times New Roman"/>
          <w:i/>
          <w:iCs/>
          <w:color w:val="000000"/>
          <w:sz w:val="24"/>
          <w:szCs w:val="24"/>
          <w:lang w:val="es-UY" w:eastAsia="es-AR"/>
        </w:rPr>
        <w:t xml:space="preserve"> </w:t>
      </w:r>
      <w:proofErr w:type="spellStart"/>
      <w:r w:rsidRPr="00794B24">
        <w:rPr>
          <w:rFonts w:ascii="Verdana" w:eastAsia="Times New Roman" w:hAnsi="Verdana" w:cs="Times New Roman"/>
          <w:i/>
          <w:iCs/>
          <w:color w:val="000000"/>
          <w:sz w:val="24"/>
          <w:szCs w:val="24"/>
          <w:lang w:val="es-UY" w:eastAsia="es-AR"/>
        </w:rPr>
        <w:t>temporis</w:t>
      </w:r>
      <w:proofErr w:type="spellEnd"/>
      <w:r w:rsidRPr="00794B24">
        <w:rPr>
          <w:rFonts w:ascii="Verdana" w:eastAsia="Times New Roman" w:hAnsi="Verdana" w:cs="Times New Roman"/>
          <w:color w:val="000000"/>
          <w:sz w:val="24"/>
          <w:szCs w:val="24"/>
          <w:lang w:val="es-UY" w:eastAsia="es-AR"/>
        </w:rPr>
        <w:t xml:space="preserve"> por cuanto la obligación de respetar y garantizar los derechos protegidos en la Convención Americana ya se encontraba en vigor para el Estado en la fecha en que habrían ocurrido los hechos alegados en la petición. Finalmente, la Comisión tiene competencia </w:t>
      </w:r>
      <w:proofErr w:type="spellStart"/>
      <w:r w:rsidRPr="00794B24">
        <w:rPr>
          <w:rFonts w:ascii="Verdana" w:eastAsia="Times New Roman" w:hAnsi="Verdana" w:cs="Times New Roman"/>
          <w:i/>
          <w:iCs/>
          <w:color w:val="000000"/>
          <w:sz w:val="24"/>
          <w:szCs w:val="24"/>
          <w:lang w:val="es-UY" w:eastAsia="es-AR"/>
        </w:rPr>
        <w:t>ratione</w:t>
      </w:r>
      <w:proofErr w:type="spellEnd"/>
      <w:r w:rsidRPr="00794B24">
        <w:rPr>
          <w:rFonts w:ascii="Verdana" w:eastAsia="Times New Roman" w:hAnsi="Verdana" w:cs="Times New Roman"/>
          <w:i/>
          <w:iCs/>
          <w:color w:val="000000"/>
          <w:sz w:val="24"/>
          <w:szCs w:val="24"/>
          <w:lang w:val="es-UY" w:eastAsia="es-AR"/>
        </w:rPr>
        <w:t xml:space="preserve"> </w:t>
      </w:r>
      <w:proofErr w:type="spellStart"/>
      <w:r w:rsidRPr="00794B24">
        <w:rPr>
          <w:rFonts w:ascii="Verdana" w:eastAsia="Times New Roman" w:hAnsi="Verdana" w:cs="Times New Roman"/>
          <w:i/>
          <w:iCs/>
          <w:color w:val="000000"/>
          <w:sz w:val="24"/>
          <w:szCs w:val="24"/>
          <w:lang w:val="es-UY" w:eastAsia="es-AR"/>
        </w:rPr>
        <w:t>materiae</w:t>
      </w:r>
      <w:proofErr w:type="spellEnd"/>
      <w:r w:rsidRPr="00794B24">
        <w:rPr>
          <w:rFonts w:ascii="Verdana" w:eastAsia="Times New Roman" w:hAnsi="Verdana" w:cs="Times New Roman"/>
          <w:color w:val="000000"/>
          <w:sz w:val="24"/>
          <w:szCs w:val="24"/>
          <w:lang w:val="es-UY" w:eastAsia="es-AR"/>
        </w:rPr>
        <w:t xml:space="preserve">, porque en la petición se denuncian posibles violaciones a derechos humanos protegidos por la Convención Americana. </w:t>
      </w:r>
    </w:p>
    <w:p w:rsidR="00794B24" w:rsidRPr="00794B24" w:rsidRDefault="00794B24" w:rsidP="00794B24">
      <w:pPr>
        <w:spacing w:after="0" w:line="240" w:lineRule="auto"/>
        <w:ind w:firstLine="720"/>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25117">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val="es-UY" w:eastAsia="es-AR"/>
        </w:rPr>
        <w:t>28.</w:t>
      </w:r>
      <w:r w:rsidR="00725117">
        <w:rPr>
          <w:rFonts w:ascii="Verdana" w:eastAsia="Times New Roman" w:hAnsi="Verdana" w:cs="Times New Roman"/>
          <w:sz w:val="24"/>
          <w:szCs w:val="24"/>
          <w:lang w:val="es-UY" w:eastAsia="es-AR"/>
        </w:rPr>
        <w:tab/>
      </w:r>
      <w:r w:rsidRPr="00794B24">
        <w:rPr>
          <w:rFonts w:ascii="Verdana" w:eastAsia="Times New Roman" w:hAnsi="Verdana" w:cs="Times New Roman"/>
          <w:spacing w:val="-2"/>
          <w:sz w:val="24"/>
          <w:szCs w:val="24"/>
          <w:lang w:val="es-ES_tradnl" w:eastAsia="es-AR"/>
        </w:rPr>
        <w:t xml:space="preserve">Con respecto a la cuestión de la competencia </w:t>
      </w:r>
      <w:proofErr w:type="spellStart"/>
      <w:r w:rsidRPr="00794B24">
        <w:rPr>
          <w:rFonts w:ascii="Verdana" w:eastAsia="Times New Roman" w:hAnsi="Verdana" w:cs="Times New Roman"/>
          <w:i/>
          <w:iCs/>
          <w:spacing w:val="-2"/>
          <w:sz w:val="24"/>
          <w:szCs w:val="24"/>
          <w:lang w:val="es-ES_tradnl" w:eastAsia="es-AR"/>
        </w:rPr>
        <w:t>ratione</w:t>
      </w:r>
      <w:proofErr w:type="spellEnd"/>
      <w:r w:rsidRPr="00794B24">
        <w:rPr>
          <w:rFonts w:ascii="Verdana" w:eastAsia="Times New Roman" w:hAnsi="Verdana" w:cs="Times New Roman"/>
          <w:i/>
          <w:iCs/>
          <w:spacing w:val="-2"/>
          <w:sz w:val="24"/>
          <w:szCs w:val="24"/>
          <w:lang w:val="es-ES_tradnl" w:eastAsia="es-AR"/>
        </w:rPr>
        <w:t xml:space="preserve"> </w:t>
      </w:r>
      <w:proofErr w:type="spellStart"/>
      <w:r w:rsidRPr="00794B24">
        <w:rPr>
          <w:rFonts w:ascii="Verdana" w:eastAsia="Times New Roman" w:hAnsi="Verdana" w:cs="Times New Roman"/>
          <w:i/>
          <w:iCs/>
          <w:spacing w:val="-2"/>
          <w:sz w:val="24"/>
          <w:szCs w:val="24"/>
          <w:lang w:val="es-ES_tradnl" w:eastAsia="es-AR"/>
        </w:rPr>
        <w:t>personae</w:t>
      </w:r>
      <w:proofErr w:type="spellEnd"/>
      <w:r w:rsidRPr="00794B24">
        <w:rPr>
          <w:rFonts w:ascii="Verdana" w:eastAsia="Times New Roman" w:hAnsi="Verdana" w:cs="Times New Roman"/>
          <w:spacing w:val="-2"/>
          <w:sz w:val="24"/>
          <w:szCs w:val="24"/>
          <w:lang w:val="es-ES_tradnl" w:eastAsia="es-AR"/>
        </w:rPr>
        <w:t>, la Comisión ha explicado que, en general, su competencia en el trámite de casos individuales se refiere a hechos que entrañan los derechos de una persona o personas específicas.</w:t>
      </w:r>
      <w:bookmarkStart w:id="10" w:name="_ftnref12"/>
      <w:r w:rsidRPr="00794B24">
        <w:rPr>
          <w:rStyle w:val="Refdenotaalpie"/>
          <w:rFonts w:ascii="Verdana" w:eastAsia="Times New Roman" w:hAnsi="Verdana" w:cs="Times New Roman"/>
          <w:spacing w:val="-2"/>
          <w:sz w:val="24"/>
          <w:szCs w:val="24"/>
          <w:vertAlign w:val="superscript"/>
          <w:lang w:val="es-ES_tradnl" w:eastAsia="es-AR"/>
        </w:rPr>
        <w:footnoteReference w:id="12"/>
      </w:r>
      <w:r>
        <w:rPr>
          <w:rFonts w:ascii="Verdana" w:eastAsia="Times New Roman" w:hAnsi="Verdana" w:cs="Times New Roman"/>
          <w:spacing w:val="-2"/>
          <w:sz w:val="24"/>
          <w:szCs w:val="24"/>
          <w:lang w:val="es-ES_tradnl" w:eastAsia="es-AR"/>
        </w:rPr>
        <w:t xml:space="preserve"> </w:t>
      </w:r>
      <w:bookmarkEnd w:id="10"/>
      <w:r w:rsidRPr="00794B24">
        <w:rPr>
          <w:rFonts w:ascii="Verdana" w:eastAsia="Times New Roman" w:hAnsi="Verdana" w:cs="Times New Roman"/>
          <w:spacing w:val="-2"/>
          <w:sz w:val="24"/>
          <w:szCs w:val="24"/>
          <w:lang w:val="es-ES_tradnl" w:eastAsia="es-AR"/>
        </w:rPr>
        <w:t>Como ha explicado la Honorable Corte, para iniciar los procedimientos establecidos en los artículos 48 y 50 de la Convención Americana la Comisión requiere una petición que contenga una denuncia de una violación concreta respecto de una persona determinada.</w:t>
      </w:r>
      <w:bookmarkStart w:id="11" w:name="_ftnref13"/>
      <w:r w:rsidRPr="00794B24">
        <w:rPr>
          <w:rStyle w:val="Refdenotaalpie"/>
          <w:rFonts w:ascii="Verdana" w:eastAsia="Times New Roman" w:hAnsi="Verdana" w:cs="Times New Roman"/>
          <w:spacing w:val="-2"/>
          <w:sz w:val="24"/>
          <w:szCs w:val="24"/>
          <w:vertAlign w:val="superscript"/>
          <w:lang w:val="es-ES_tradnl" w:eastAsia="es-AR"/>
        </w:rPr>
        <w:footnoteReference w:id="13"/>
      </w:r>
      <w:r>
        <w:rPr>
          <w:rFonts w:ascii="Verdana" w:eastAsia="Times New Roman" w:hAnsi="Verdana" w:cs="Times New Roman"/>
          <w:spacing w:val="-2"/>
          <w:sz w:val="24"/>
          <w:szCs w:val="24"/>
          <w:lang w:val="es-ES_tradnl" w:eastAsia="es-AR"/>
        </w:rPr>
        <w:t xml:space="preserve"> </w:t>
      </w:r>
      <w:bookmarkEnd w:id="11"/>
    </w:p>
    <w:p w:rsidR="00794B24" w:rsidRPr="00794B24" w:rsidRDefault="00794B24" w:rsidP="00794B24">
      <w:pPr>
        <w:spacing w:after="0" w:line="240" w:lineRule="auto"/>
        <w:ind w:firstLine="702"/>
        <w:jc w:val="both"/>
        <w:rPr>
          <w:rFonts w:ascii="Verdana" w:eastAsia="Times New Roman" w:hAnsi="Verdana" w:cs="Times New Roman"/>
          <w:sz w:val="24"/>
          <w:szCs w:val="24"/>
          <w:lang w:eastAsia="es-AR"/>
        </w:rPr>
      </w:pPr>
      <w:r w:rsidRPr="00794B24">
        <w:rPr>
          <w:rFonts w:ascii="Verdana" w:eastAsia="Times New Roman" w:hAnsi="Verdana" w:cs="Times New Roman"/>
          <w:spacing w:val="-2"/>
          <w:sz w:val="24"/>
          <w:szCs w:val="24"/>
          <w:lang w:val="es-ES_tradnl" w:eastAsia="es-AR"/>
        </w:rPr>
        <w:t> </w:t>
      </w:r>
    </w:p>
    <w:p w:rsidR="00794B24" w:rsidRPr="00794B24" w:rsidRDefault="00794B24" w:rsidP="00725117">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spacing w:val="-2"/>
          <w:sz w:val="24"/>
          <w:szCs w:val="24"/>
          <w:lang w:val="es-ES_tradnl" w:eastAsia="es-AR"/>
        </w:rPr>
        <w:t>29.</w:t>
      </w:r>
      <w:r w:rsidR="00725117">
        <w:rPr>
          <w:rFonts w:ascii="Verdana" w:eastAsia="Times New Roman" w:hAnsi="Verdana" w:cs="Times New Roman"/>
          <w:spacing w:val="-2"/>
          <w:sz w:val="24"/>
          <w:szCs w:val="24"/>
          <w:lang w:val="es-ES_tradnl" w:eastAsia="es-AR"/>
        </w:rPr>
        <w:tab/>
      </w:r>
      <w:r w:rsidRPr="00794B24">
        <w:rPr>
          <w:rFonts w:ascii="Verdana" w:eastAsia="Times New Roman" w:hAnsi="Verdana" w:cs="Times New Roman"/>
          <w:spacing w:val="-2"/>
          <w:sz w:val="24"/>
          <w:szCs w:val="24"/>
          <w:lang w:val="es-ES_tradnl" w:eastAsia="es-AR"/>
        </w:rPr>
        <w:t xml:space="preserve"> En l</w:t>
      </w:r>
      <w:r w:rsidRPr="00794B24">
        <w:rPr>
          <w:rFonts w:ascii="Verdana" w:eastAsia="Times New Roman" w:hAnsi="Verdana" w:cs="Times New Roman"/>
          <w:sz w:val="24"/>
          <w:szCs w:val="24"/>
          <w:lang w:eastAsia="es-AR"/>
        </w:rPr>
        <w:t xml:space="preserve">a petición en estudio los peticionarios identificaron debida y oportunamente a personas individuales como presuntas víctimas, respecto a quienes el Estado guatemalteco se comprometió a respetar y </w:t>
      </w:r>
      <w:r w:rsidRPr="00794B24">
        <w:rPr>
          <w:rFonts w:ascii="Verdana" w:eastAsia="Times New Roman" w:hAnsi="Verdana" w:cs="Times New Roman"/>
          <w:sz w:val="24"/>
          <w:szCs w:val="24"/>
          <w:lang w:eastAsia="es-AR"/>
        </w:rPr>
        <w:lastRenderedPageBreak/>
        <w:t xml:space="preserve">garantizar los derechos consagrados en la Convención Americana. En efecto, en su primera comunicación de 26 de agosto de 2003, los peticionarios indicaron como presuntas víctimas a </w:t>
      </w:r>
      <w:r w:rsidRPr="00794B24">
        <w:rPr>
          <w:rFonts w:ascii="Verdana" w:eastAsia="Times New Roman" w:hAnsi="Verdana" w:cs="Times New Roman"/>
          <w:color w:val="000000"/>
          <w:sz w:val="24"/>
          <w:szCs w:val="24"/>
          <w:lang w:val="es-UY" w:eastAsia="es-AR"/>
        </w:rPr>
        <w:t xml:space="preserve">Luis Rolando </w:t>
      </w:r>
      <w:proofErr w:type="spellStart"/>
      <w:r w:rsidRPr="00794B24">
        <w:rPr>
          <w:rFonts w:ascii="Verdana" w:eastAsia="Times New Roman" w:hAnsi="Verdana" w:cs="Times New Roman"/>
          <w:color w:val="000000"/>
          <w:sz w:val="24"/>
          <w:szCs w:val="24"/>
          <w:lang w:val="es-UY" w:eastAsia="es-AR"/>
        </w:rPr>
        <w:t>Cuscul</w:t>
      </w:r>
      <w:proofErr w:type="spellEnd"/>
      <w:r w:rsidRPr="00794B24">
        <w:rPr>
          <w:rFonts w:ascii="Verdana" w:eastAsia="Times New Roman" w:hAnsi="Verdana" w:cs="Times New Roman"/>
          <w:color w:val="000000"/>
          <w:sz w:val="24"/>
          <w:szCs w:val="24"/>
          <w:lang w:val="es-UY" w:eastAsia="es-AR"/>
        </w:rPr>
        <w:t xml:space="preserve"> </w:t>
      </w:r>
      <w:proofErr w:type="spellStart"/>
      <w:r w:rsidRPr="00794B24">
        <w:rPr>
          <w:rFonts w:ascii="Verdana" w:eastAsia="Times New Roman" w:hAnsi="Verdana" w:cs="Times New Roman"/>
          <w:color w:val="000000"/>
          <w:sz w:val="24"/>
          <w:szCs w:val="24"/>
          <w:lang w:val="es-UY" w:eastAsia="es-AR"/>
        </w:rPr>
        <w:t>Pivaral</w:t>
      </w:r>
      <w:proofErr w:type="spellEnd"/>
      <w:r w:rsidRPr="00794B24">
        <w:rPr>
          <w:rFonts w:ascii="Verdana" w:eastAsia="Times New Roman" w:hAnsi="Verdana" w:cs="Times New Roman"/>
          <w:color w:val="000000"/>
          <w:sz w:val="24"/>
          <w:szCs w:val="24"/>
          <w:lang w:val="es-UY" w:eastAsia="es-AR"/>
        </w:rPr>
        <w:t xml:space="preserve">, Francisco </w:t>
      </w:r>
      <w:proofErr w:type="spellStart"/>
      <w:r w:rsidRPr="00794B24">
        <w:rPr>
          <w:rFonts w:ascii="Verdana" w:eastAsia="Times New Roman" w:hAnsi="Verdana" w:cs="Times New Roman"/>
          <w:color w:val="000000"/>
          <w:sz w:val="24"/>
          <w:szCs w:val="24"/>
          <w:lang w:val="es-UY" w:eastAsia="es-AR"/>
        </w:rPr>
        <w:t>Sop</w:t>
      </w:r>
      <w:proofErr w:type="spellEnd"/>
      <w:r w:rsidRPr="00794B24">
        <w:rPr>
          <w:rFonts w:ascii="Verdana" w:eastAsia="Times New Roman" w:hAnsi="Verdana" w:cs="Times New Roman"/>
          <w:color w:val="000000"/>
          <w:sz w:val="24"/>
          <w:szCs w:val="24"/>
          <w:lang w:val="es-UY" w:eastAsia="es-AR"/>
        </w:rPr>
        <w:t xml:space="preserve"> </w:t>
      </w:r>
      <w:proofErr w:type="spellStart"/>
      <w:r w:rsidRPr="00794B24">
        <w:rPr>
          <w:rFonts w:ascii="Verdana" w:eastAsia="Times New Roman" w:hAnsi="Verdana" w:cs="Times New Roman"/>
          <w:color w:val="000000"/>
          <w:sz w:val="24"/>
          <w:szCs w:val="24"/>
          <w:lang w:val="es-UY" w:eastAsia="es-AR"/>
        </w:rPr>
        <w:t>Gueij</w:t>
      </w:r>
      <w:proofErr w:type="spellEnd"/>
      <w:r w:rsidRPr="00794B24">
        <w:rPr>
          <w:rFonts w:ascii="Verdana" w:eastAsia="Times New Roman" w:hAnsi="Verdana" w:cs="Times New Roman"/>
          <w:color w:val="000000"/>
          <w:sz w:val="24"/>
          <w:szCs w:val="24"/>
          <w:lang w:val="es-UY" w:eastAsia="es-AR"/>
        </w:rPr>
        <w:t xml:space="preserve">, Corina Robledo, Petrona López González, Aracely Cinto, Olga Marina Castillo, Israel Pérez Charal, Karen Judith Samayoa, Juana Aguilar, </w:t>
      </w:r>
      <w:proofErr w:type="spellStart"/>
      <w:r w:rsidRPr="00794B24">
        <w:rPr>
          <w:rFonts w:ascii="Verdana" w:eastAsia="Times New Roman" w:hAnsi="Verdana" w:cs="Times New Roman"/>
          <w:color w:val="000000"/>
          <w:sz w:val="24"/>
          <w:szCs w:val="24"/>
          <w:lang w:val="es-UY" w:eastAsia="es-AR"/>
        </w:rPr>
        <w:t>Darinel</w:t>
      </w:r>
      <w:proofErr w:type="spellEnd"/>
      <w:r w:rsidRPr="00794B24">
        <w:rPr>
          <w:rFonts w:ascii="Verdana" w:eastAsia="Times New Roman" w:hAnsi="Verdana" w:cs="Times New Roman"/>
          <w:color w:val="000000"/>
          <w:sz w:val="24"/>
          <w:szCs w:val="24"/>
          <w:lang w:val="es-UY" w:eastAsia="es-AR"/>
        </w:rPr>
        <w:t xml:space="preserve"> López Montes de Oca, Luis Rubén Álvarez Flores, </w:t>
      </w:r>
      <w:proofErr w:type="spellStart"/>
      <w:r w:rsidRPr="00794B24">
        <w:rPr>
          <w:rFonts w:ascii="Verdana" w:eastAsia="Times New Roman" w:hAnsi="Verdana" w:cs="Times New Roman"/>
          <w:color w:val="000000"/>
          <w:sz w:val="24"/>
          <w:szCs w:val="24"/>
          <w:lang w:val="es-UY" w:eastAsia="es-AR"/>
        </w:rPr>
        <w:t>Audiencio</w:t>
      </w:r>
      <w:proofErr w:type="spellEnd"/>
      <w:r w:rsidRPr="00794B24">
        <w:rPr>
          <w:rFonts w:ascii="Verdana" w:eastAsia="Times New Roman" w:hAnsi="Verdana" w:cs="Times New Roman"/>
          <w:color w:val="000000"/>
          <w:sz w:val="24"/>
          <w:szCs w:val="24"/>
          <w:lang w:val="es-UY" w:eastAsia="es-AR"/>
        </w:rPr>
        <w:t xml:space="preserve"> Rodas, Luis Edwin Cruz </w:t>
      </w:r>
      <w:proofErr w:type="spellStart"/>
      <w:r w:rsidRPr="00794B24">
        <w:rPr>
          <w:rFonts w:ascii="Verdana" w:eastAsia="Times New Roman" w:hAnsi="Verdana" w:cs="Times New Roman"/>
          <w:color w:val="000000"/>
          <w:sz w:val="24"/>
          <w:szCs w:val="24"/>
          <w:lang w:val="es-UY" w:eastAsia="es-AR"/>
        </w:rPr>
        <w:t>Gramau</w:t>
      </w:r>
      <w:proofErr w:type="spellEnd"/>
      <w:r w:rsidRPr="00794B24">
        <w:rPr>
          <w:rFonts w:ascii="Verdana" w:eastAsia="Times New Roman" w:hAnsi="Verdana" w:cs="Times New Roman"/>
          <w:color w:val="000000"/>
          <w:sz w:val="24"/>
          <w:szCs w:val="24"/>
          <w:lang w:val="es-UY" w:eastAsia="es-AR"/>
        </w:rPr>
        <w:t xml:space="preserve">, Martina Candelaria Álvarez Estrada, </w:t>
      </w:r>
      <w:proofErr w:type="spellStart"/>
      <w:r w:rsidRPr="00794B24">
        <w:rPr>
          <w:rFonts w:ascii="Verdana" w:eastAsia="Times New Roman" w:hAnsi="Verdana" w:cs="Times New Roman"/>
          <w:color w:val="000000"/>
          <w:sz w:val="24"/>
          <w:szCs w:val="24"/>
          <w:lang w:val="es-UY" w:eastAsia="es-AR"/>
        </w:rPr>
        <w:t>Maria</w:t>
      </w:r>
      <w:proofErr w:type="spellEnd"/>
      <w:r w:rsidRPr="00794B24">
        <w:rPr>
          <w:rFonts w:ascii="Verdana" w:eastAsia="Times New Roman" w:hAnsi="Verdana" w:cs="Times New Roman"/>
          <w:color w:val="000000"/>
          <w:sz w:val="24"/>
          <w:szCs w:val="24"/>
          <w:lang w:val="es-UY" w:eastAsia="es-AR"/>
        </w:rPr>
        <w:t xml:space="preserve"> Felipe Pérez, </w:t>
      </w:r>
      <w:proofErr w:type="spellStart"/>
      <w:r w:rsidRPr="00794B24">
        <w:rPr>
          <w:rFonts w:ascii="Verdana" w:eastAsia="Times New Roman" w:hAnsi="Verdana" w:cs="Times New Roman"/>
          <w:color w:val="000000"/>
          <w:sz w:val="24"/>
          <w:szCs w:val="24"/>
          <w:lang w:val="es-UY" w:eastAsia="es-AR"/>
        </w:rPr>
        <w:t>Sayra</w:t>
      </w:r>
      <w:proofErr w:type="spellEnd"/>
      <w:r w:rsidRPr="00794B24">
        <w:rPr>
          <w:rFonts w:ascii="Verdana" w:eastAsia="Times New Roman" w:hAnsi="Verdana" w:cs="Times New Roman"/>
          <w:color w:val="000000"/>
          <w:sz w:val="24"/>
          <w:szCs w:val="24"/>
          <w:lang w:val="es-UY" w:eastAsia="es-AR"/>
        </w:rPr>
        <w:t xml:space="preserve"> Elisa </w:t>
      </w:r>
      <w:r>
        <w:rPr>
          <w:rFonts w:ascii="Verdana" w:eastAsia="Times New Roman" w:hAnsi="Verdana" w:cs="Times New Roman"/>
          <w:color w:val="000000"/>
          <w:sz w:val="24"/>
          <w:szCs w:val="24"/>
          <w:lang w:val="es-UY" w:eastAsia="es-AR"/>
        </w:rPr>
        <w:t>Barrios, Felipe Ordóñez,</w:t>
      </w:r>
      <w:r w:rsidRPr="00794B24">
        <w:rPr>
          <w:rFonts w:ascii="Verdana" w:eastAsia="Times New Roman" w:hAnsi="Verdana" w:cs="Times New Roman"/>
          <w:color w:val="000000"/>
          <w:sz w:val="24"/>
          <w:szCs w:val="24"/>
          <w:lang w:val="es-UY" w:eastAsia="es-AR"/>
        </w:rPr>
        <w:t xml:space="preserve"> Santos </w:t>
      </w:r>
      <w:proofErr w:type="spellStart"/>
      <w:r w:rsidRPr="00794B24">
        <w:rPr>
          <w:rFonts w:ascii="Verdana" w:eastAsia="Times New Roman" w:hAnsi="Verdana" w:cs="Times New Roman"/>
          <w:color w:val="000000"/>
          <w:sz w:val="24"/>
          <w:szCs w:val="24"/>
          <w:lang w:val="es-UY" w:eastAsia="es-AR"/>
        </w:rPr>
        <w:t>Isacax</w:t>
      </w:r>
      <w:proofErr w:type="spellEnd"/>
      <w:r w:rsidRPr="00794B24">
        <w:rPr>
          <w:rFonts w:ascii="Verdana" w:eastAsia="Times New Roman" w:hAnsi="Verdana" w:cs="Times New Roman"/>
          <w:color w:val="000000"/>
          <w:sz w:val="24"/>
          <w:szCs w:val="24"/>
          <w:lang w:val="es-UY" w:eastAsia="es-AR"/>
        </w:rPr>
        <w:t xml:space="preserve"> Vásquez Barrio, </w:t>
      </w:r>
      <w:proofErr w:type="spellStart"/>
      <w:r w:rsidRPr="00794B24">
        <w:rPr>
          <w:rFonts w:ascii="Verdana" w:eastAsia="Times New Roman" w:hAnsi="Verdana" w:cs="Times New Roman"/>
          <w:color w:val="000000"/>
          <w:sz w:val="24"/>
          <w:szCs w:val="24"/>
          <w:lang w:val="es-UY" w:eastAsia="es-AR"/>
        </w:rPr>
        <w:t>Ismera</w:t>
      </w:r>
      <w:proofErr w:type="spellEnd"/>
      <w:r w:rsidRPr="00794B24">
        <w:rPr>
          <w:rFonts w:ascii="Verdana" w:eastAsia="Times New Roman" w:hAnsi="Verdana" w:cs="Times New Roman"/>
          <w:color w:val="000000"/>
          <w:sz w:val="24"/>
          <w:szCs w:val="24"/>
          <w:lang w:val="es-UY" w:eastAsia="es-AR"/>
        </w:rPr>
        <w:t xml:space="preserve"> Oliva García </w:t>
      </w:r>
      <w:proofErr w:type="spellStart"/>
      <w:r w:rsidRPr="00794B24">
        <w:rPr>
          <w:rFonts w:ascii="Verdana" w:eastAsia="Times New Roman" w:hAnsi="Verdana" w:cs="Times New Roman"/>
          <w:color w:val="000000"/>
          <w:sz w:val="24"/>
          <w:szCs w:val="24"/>
          <w:lang w:val="es-UY" w:eastAsia="es-AR"/>
        </w:rPr>
        <w:t>Castañon</w:t>
      </w:r>
      <w:proofErr w:type="spellEnd"/>
      <w:r w:rsidRPr="00794B24">
        <w:rPr>
          <w:rFonts w:ascii="Verdana" w:eastAsia="Times New Roman" w:hAnsi="Verdana" w:cs="Times New Roman"/>
          <w:color w:val="000000"/>
          <w:sz w:val="24"/>
          <w:szCs w:val="24"/>
          <w:lang w:val="es-UY" w:eastAsia="es-AR"/>
        </w:rPr>
        <w:t xml:space="preserve">, Guadalupe </w:t>
      </w:r>
      <w:proofErr w:type="spellStart"/>
      <w:r w:rsidRPr="00794B24">
        <w:rPr>
          <w:rFonts w:ascii="Verdana" w:eastAsia="Times New Roman" w:hAnsi="Verdana" w:cs="Times New Roman"/>
          <w:color w:val="000000"/>
          <w:sz w:val="24"/>
          <w:szCs w:val="24"/>
          <w:lang w:val="es-UY" w:eastAsia="es-AR"/>
        </w:rPr>
        <w:t>Cayaxon</w:t>
      </w:r>
      <w:proofErr w:type="spellEnd"/>
      <w:r w:rsidRPr="00794B24">
        <w:rPr>
          <w:rFonts w:ascii="Verdana" w:eastAsia="Times New Roman" w:hAnsi="Verdana" w:cs="Times New Roman"/>
          <w:color w:val="000000"/>
          <w:sz w:val="24"/>
          <w:szCs w:val="24"/>
          <w:lang w:val="es-UY" w:eastAsia="es-AR"/>
        </w:rPr>
        <w:t xml:space="preserve">, Sandra Lisbeth Zepeda Herrera, Cesar </w:t>
      </w:r>
      <w:proofErr w:type="spellStart"/>
      <w:r w:rsidRPr="00794B24">
        <w:rPr>
          <w:rFonts w:ascii="Verdana" w:eastAsia="Times New Roman" w:hAnsi="Verdana" w:cs="Times New Roman"/>
          <w:color w:val="000000"/>
          <w:sz w:val="24"/>
          <w:szCs w:val="24"/>
          <w:lang w:val="es-UY" w:eastAsia="es-AR"/>
        </w:rPr>
        <w:t>Noe</w:t>
      </w:r>
      <w:proofErr w:type="spellEnd"/>
      <w:r w:rsidRPr="00794B24">
        <w:rPr>
          <w:rFonts w:ascii="Verdana" w:eastAsia="Times New Roman" w:hAnsi="Verdana" w:cs="Times New Roman"/>
          <w:color w:val="000000"/>
          <w:sz w:val="24"/>
          <w:szCs w:val="24"/>
          <w:lang w:val="es-UY" w:eastAsia="es-AR"/>
        </w:rPr>
        <w:t xml:space="preserve"> </w:t>
      </w:r>
      <w:proofErr w:type="spellStart"/>
      <w:r w:rsidRPr="00794B24">
        <w:rPr>
          <w:rFonts w:ascii="Verdana" w:eastAsia="Times New Roman" w:hAnsi="Verdana" w:cs="Times New Roman"/>
          <w:color w:val="000000"/>
          <w:sz w:val="24"/>
          <w:szCs w:val="24"/>
          <w:lang w:val="es-UY" w:eastAsia="es-AR"/>
        </w:rPr>
        <w:t>Cancinos</w:t>
      </w:r>
      <w:proofErr w:type="spellEnd"/>
      <w:r w:rsidRPr="00794B24">
        <w:rPr>
          <w:rFonts w:ascii="Verdana" w:eastAsia="Times New Roman" w:hAnsi="Verdana" w:cs="Times New Roman"/>
          <w:color w:val="000000"/>
          <w:sz w:val="24"/>
          <w:szCs w:val="24"/>
          <w:lang w:val="es-UY" w:eastAsia="es-AR"/>
        </w:rPr>
        <w:t xml:space="preserve"> Gómez, Santos Vásquez Oliveros, </w:t>
      </w:r>
      <w:proofErr w:type="spellStart"/>
      <w:r w:rsidRPr="00794B24">
        <w:rPr>
          <w:rFonts w:ascii="Verdana" w:eastAsia="Times New Roman" w:hAnsi="Verdana" w:cs="Times New Roman"/>
          <w:color w:val="000000"/>
          <w:sz w:val="24"/>
          <w:szCs w:val="24"/>
          <w:lang w:val="es-UY" w:eastAsia="es-AR"/>
        </w:rPr>
        <w:t>Maria</w:t>
      </w:r>
      <w:proofErr w:type="spellEnd"/>
      <w:r w:rsidRPr="00794B24">
        <w:rPr>
          <w:rFonts w:ascii="Verdana" w:eastAsia="Times New Roman" w:hAnsi="Verdana" w:cs="Times New Roman"/>
          <w:color w:val="000000"/>
          <w:sz w:val="24"/>
          <w:szCs w:val="24"/>
          <w:lang w:val="es-UY" w:eastAsia="es-AR"/>
        </w:rPr>
        <w:t xml:space="preserve"> </w:t>
      </w:r>
      <w:proofErr w:type="spellStart"/>
      <w:r w:rsidRPr="00794B24">
        <w:rPr>
          <w:rFonts w:ascii="Verdana" w:eastAsia="Times New Roman" w:hAnsi="Verdana" w:cs="Times New Roman"/>
          <w:color w:val="000000"/>
          <w:sz w:val="24"/>
          <w:szCs w:val="24"/>
          <w:lang w:val="es-UY" w:eastAsia="es-AR"/>
        </w:rPr>
        <w:t>Vail</w:t>
      </w:r>
      <w:proofErr w:type="spellEnd"/>
      <w:r w:rsidRPr="00794B24">
        <w:rPr>
          <w:rFonts w:ascii="Verdana" w:eastAsia="Times New Roman" w:hAnsi="Verdana" w:cs="Times New Roman"/>
          <w:color w:val="000000"/>
          <w:sz w:val="24"/>
          <w:szCs w:val="24"/>
          <w:lang w:val="es-UY" w:eastAsia="es-AR"/>
        </w:rPr>
        <w:t xml:space="preserve">, Julia Aguilar, Sebastián Emilia Dueñas, Zoila Pérez Ruiz, Santiago Valdez, </w:t>
      </w:r>
      <w:proofErr w:type="spellStart"/>
      <w:r w:rsidRPr="00794B24">
        <w:rPr>
          <w:rFonts w:ascii="Verdana" w:eastAsia="Times New Roman" w:hAnsi="Verdana" w:cs="Times New Roman"/>
          <w:color w:val="000000"/>
          <w:sz w:val="24"/>
          <w:szCs w:val="24"/>
          <w:lang w:val="es-UY" w:eastAsia="es-AR"/>
        </w:rPr>
        <w:t>Pascula</w:t>
      </w:r>
      <w:proofErr w:type="spellEnd"/>
      <w:r w:rsidRPr="00794B24">
        <w:rPr>
          <w:rFonts w:ascii="Verdana" w:eastAsia="Times New Roman" w:hAnsi="Verdana" w:cs="Times New Roman"/>
          <w:color w:val="000000"/>
          <w:sz w:val="24"/>
          <w:szCs w:val="24"/>
          <w:lang w:val="es-UY" w:eastAsia="es-AR"/>
        </w:rPr>
        <w:t xml:space="preserve"> de Jesús Mérida, Iris Carolina Vicente </w:t>
      </w:r>
      <w:proofErr w:type="spellStart"/>
      <w:r w:rsidRPr="00794B24">
        <w:rPr>
          <w:rFonts w:ascii="Verdana" w:eastAsia="Times New Roman" w:hAnsi="Verdana" w:cs="Times New Roman"/>
          <w:color w:val="000000"/>
          <w:sz w:val="24"/>
          <w:szCs w:val="24"/>
          <w:lang w:val="es-UY" w:eastAsia="es-AR"/>
        </w:rPr>
        <w:t>Baullas</w:t>
      </w:r>
      <w:proofErr w:type="spellEnd"/>
      <w:r w:rsidRPr="00794B24">
        <w:rPr>
          <w:rFonts w:ascii="Verdana" w:eastAsia="Times New Roman" w:hAnsi="Verdana" w:cs="Times New Roman"/>
          <w:color w:val="000000"/>
          <w:sz w:val="24"/>
          <w:szCs w:val="24"/>
          <w:lang w:val="es-UY" w:eastAsia="es-AR"/>
        </w:rPr>
        <w:t xml:space="preserve">, Reina López Mújica, Marta Alicia Maldonado PAC, José </w:t>
      </w:r>
      <w:proofErr w:type="spellStart"/>
      <w:r w:rsidRPr="00794B24">
        <w:rPr>
          <w:rFonts w:ascii="Verdana" w:eastAsia="Times New Roman" w:hAnsi="Verdana" w:cs="Times New Roman"/>
          <w:color w:val="000000"/>
          <w:sz w:val="24"/>
          <w:szCs w:val="24"/>
          <w:lang w:val="es-UY" w:eastAsia="es-AR"/>
        </w:rPr>
        <w:t>Cupertino</w:t>
      </w:r>
      <w:proofErr w:type="spellEnd"/>
      <w:r w:rsidRPr="00794B24">
        <w:rPr>
          <w:rFonts w:ascii="Verdana" w:eastAsia="Times New Roman" w:hAnsi="Verdana" w:cs="Times New Roman"/>
          <w:color w:val="000000"/>
          <w:sz w:val="24"/>
          <w:szCs w:val="24"/>
          <w:lang w:val="es-UY" w:eastAsia="es-AR"/>
        </w:rPr>
        <w:t xml:space="preserve"> Ramírez, José Rubén Delgado, Elsa Miriam Estrada, </w:t>
      </w:r>
      <w:proofErr w:type="spellStart"/>
      <w:r w:rsidRPr="00794B24">
        <w:rPr>
          <w:rFonts w:ascii="Verdana" w:eastAsia="Times New Roman" w:hAnsi="Verdana" w:cs="Times New Roman"/>
          <w:color w:val="000000"/>
          <w:sz w:val="24"/>
          <w:szCs w:val="24"/>
          <w:lang w:val="es-UY" w:eastAsia="es-AR"/>
        </w:rPr>
        <w:t>Ismar</w:t>
      </w:r>
      <w:proofErr w:type="spellEnd"/>
      <w:r w:rsidRPr="00794B24">
        <w:rPr>
          <w:rFonts w:ascii="Verdana" w:eastAsia="Times New Roman" w:hAnsi="Verdana" w:cs="Times New Roman"/>
          <w:color w:val="000000"/>
          <w:sz w:val="24"/>
          <w:szCs w:val="24"/>
          <w:lang w:val="es-UY" w:eastAsia="es-AR"/>
        </w:rPr>
        <w:t xml:space="preserve"> Ramírez </w:t>
      </w:r>
      <w:proofErr w:type="spellStart"/>
      <w:r w:rsidRPr="00794B24">
        <w:rPr>
          <w:rFonts w:ascii="Verdana" w:eastAsia="Times New Roman" w:hAnsi="Verdana" w:cs="Times New Roman"/>
          <w:color w:val="000000"/>
          <w:sz w:val="24"/>
          <w:szCs w:val="24"/>
          <w:lang w:val="es-UY" w:eastAsia="es-AR"/>
        </w:rPr>
        <w:t>Chajón</w:t>
      </w:r>
      <w:proofErr w:type="spellEnd"/>
      <w:r w:rsidRPr="00794B24">
        <w:rPr>
          <w:rFonts w:ascii="Verdana" w:eastAsia="Times New Roman" w:hAnsi="Verdana" w:cs="Times New Roman"/>
          <w:color w:val="000000"/>
          <w:sz w:val="24"/>
          <w:szCs w:val="24"/>
          <w:lang w:val="es-UY" w:eastAsia="es-AR"/>
        </w:rPr>
        <w:t xml:space="preserve">, Félix Cabrera, Silvia </w:t>
      </w:r>
      <w:proofErr w:type="spellStart"/>
      <w:r w:rsidRPr="00794B24">
        <w:rPr>
          <w:rFonts w:ascii="Verdana" w:eastAsia="Times New Roman" w:hAnsi="Verdana" w:cs="Times New Roman"/>
          <w:color w:val="000000"/>
          <w:sz w:val="24"/>
          <w:szCs w:val="24"/>
          <w:lang w:val="es-UY" w:eastAsia="es-AR"/>
        </w:rPr>
        <w:t>Mirtala</w:t>
      </w:r>
      <w:proofErr w:type="spellEnd"/>
      <w:r w:rsidRPr="00794B24">
        <w:rPr>
          <w:rFonts w:ascii="Verdana" w:eastAsia="Times New Roman" w:hAnsi="Verdana" w:cs="Times New Roman"/>
          <w:color w:val="000000"/>
          <w:sz w:val="24"/>
          <w:szCs w:val="24"/>
          <w:lang w:val="es-UY" w:eastAsia="es-AR"/>
        </w:rPr>
        <w:t xml:space="preserve"> Álvarez, Facundo Gómez Reyes. Dicha comunicación fue completada mediante nota del 4 de octubre de 2004, en la que adicionan a Alberto Quiché </w:t>
      </w:r>
      <w:proofErr w:type="spellStart"/>
      <w:r w:rsidRPr="00794B24">
        <w:rPr>
          <w:rFonts w:ascii="Verdana" w:eastAsia="Times New Roman" w:hAnsi="Verdana" w:cs="Times New Roman"/>
          <w:color w:val="000000"/>
          <w:sz w:val="24"/>
          <w:szCs w:val="24"/>
          <w:lang w:val="es-UY" w:eastAsia="es-AR"/>
        </w:rPr>
        <w:t>Cuxeva</w:t>
      </w:r>
      <w:proofErr w:type="spellEnd"/>
      <w:r w:rsidRPr="00794B24">
        <w:rPr>
          <w:rFonts w:ascii="Verdana" w:eastAsia="Times New Roman" w:hAnsi="Verdana" w:cs="Times New Roman"/>
          <w:color w:val="000000"/>
          <w:sz w:val="24"/>
          <w:szCs w:val="24"/>
          <w:lang w:val="es-UY" w:eastAsia="es-AR"/>
        </w:rPr>
        <w:t xml:space="preserve">, Dora Marina Martínez </w:t>
      </w:r>
      <w:proofErr w:type="spellStart"/>
      <w:r w:rsidRPr="00794B24">
        <w:rPr>
          <w:rFonts w:ascii="Verdana" w:eastAsia="Times New Roman" w:hAnsi="Verdana" w:cs="Times New Roman"/>
          <w:color w:val="000000"/>
          <w:sz w:val="24"/>
          <w:szCs w:val="24"/>
          <w:lang w:val="es-UY" w:eastAsia="es-AR"/>
        </w:rPr>
        <w:t>Sofoija</w:t>
      </w:r>
      <w:proofErr w:type="spellEnd"/>
      <w:r w:rsidRPr="00794B24">
        <w:rPr>
          <w:rFonts w:ascii="Verdana" w:eastAsia="Times New Roman" w:hAnsi="Verdana" w:cs="Times New Roman"/>
          <w:color w:val="000000"/>
          <w:sz w:val="24"/>
          <w:szCs w:val="24"/>
          <w:lang w:val="es-UY" w:eastAsia="es-AR"/>
        </w:rPr>
        <w:t xml:space="preserve">, Ingrid Janeth </w:t>
      </w:r>
      <w:proofErr w:type="spellStart"/>
      <w:r w:rsidRPr="00794B24">
        <w:rPr>
          <w:rFonts w:ascii="Verdana" w:eastAsia="Times New Roman" w:hAnsi="Verdana" w:cs="Times New Roman"/>
          <w:color w:val="000000"/>
          <w:sz w:val="24"/>
          <w:szCs w:val="24"/>
          <w:lang w:val="es-UY" w:eastAsia="es-AR"/>
        </w:rPr>
        <w:t>Barillas</w:t>
      </w:r>
      <w:proofErr w:type="spellEnd"/>
      <w:r w:rsidRPr="00794B24">
        <w:rPr>
          <w:rFonts w:ascii="Verdana" w:eastAsia="Times New Roman" w:hAnsi="Verdana" w:cs="Times New Roman"/>
          <w:color w:val="000000"/>
          <w:sz w:val="24"/>
          <w:szCs w:val="24"/>
          <w:lang w:val="es-UY" w:eastAsia="es-AR"/>
        </w:rPr>
        <w:t xml:space="preserve"> Martínez, Jorge Armando Tavares Barreno, Luis Armando Linares Ruano, </w:t>
      </w:r>
      <w:proofErr w:type="spellStart"/>
      <w:r w:rsidRPr="00794B24">
        <w:rPr>
          <w:rFonts w:ascii="Verdana" w:eastAsia="Times New Roman" w:hAnsi="Verdana" w:cs="Times New Roman"/>
          <w:color w:val="000000"/>
          <w:sz w:val="24"/>
          <w:szCs w:val="24"/>
          <w:lang w:val="es-UY" w:eastAsia="es-AR"/>
        </w:rPr>
        <w:t>Mardo</w:t>
      </w:r>
      <w:proofErr w:type="spellEnd"/>
      <w:r w:rsidRPr="00794B24">
        <w:rPr>
          <w:rFonts w:ascii="Verdana" w:eastAsia="Times New Roman" w:hAnsi="Verdana" w:cs="Times New Roman"/>
          <w:color w:val="000000"/>
          <w:sz w:val="24"/>
          <w:szCs w:val="24"/>
          <w:lang w:val="es-UY" w:eastAsia="es-AR"/>
        </w:rPr>
        <w:t xml:space="preserve"> Luis Hernández, Melvin </w:t>
      </w:r>
      <w:proofErr w:type="spellStart"/>
      <w:r w:rsidRPr="00794B24">
        <w:rPr>
          <w:rFonts w:ascii="Verdana" w:eastAsia="Times New Roman" w:hAnsi="Verdana" w:cs="Times New Roman"/>
          <w:color w:val="000000"/>
          <w:sz w:val="24"/>
          <w:szCs w:val="24"/>
          <w:lang w:val="es-UY" w:eastAsia="es-AR"/>
        </w:rPr>
        <w:t>Yovani</w:t>
      </w:r>
      <w:proofErr w:type="spellEnd"/>
      <w:r w:rsidRPr="00794B24">
        <w:rPr>
          <w:rFonts w:ascii="Verdana" w:eastAsia="Times New Roman" w:hAnsi="Verdana" w:cs="Times New Roman"/>
          <w:color w:val="000000"/>
          <w:sz w:val="24"/>
          <w:szCs w:val="24"/>
          <w:lang w:val="es-UY" w:eastAsia="es-AR"/>
        </w:rPr>
        <w:t xml:space="preserve"> </w:t>
      </w:r>
      <w:proofErr w:type="spellStart"/>
      <w:r w:rsidRPr="00794B24">
        <w:rPr>
          <w:rFonts w:ascii="Verdana" w:eastAsia="Times New Roman" w:hAnsi="Verdana" w:cs="Times New Roman"/>
          <w:color w:val="000000"/>
          <w:sz w:val="24"/>
          <w:szCs w:val="24"/>
          <w:lang w:val="es-UY" w:eastAsia="es-AR"/>
        </w:rPr>
        <w:t>Ajtun</w:t>
      </w:r>
      <w:proofErr w:type="spellEnd"/>
      <w:r w:rsidRPr="00794B24">
        <w:rPr>
          <w:rFonts w:ascii="Verdana" w:eastAsia="Times New Roman" w:hAnsi="Verdana" w:cs="Times New Roman"/>
          <w:color w:val="000000"/>
          <w:sz w:val="24"/>
          <w:szCs w:val="24"/>
          <w:lang w:val="es-UY" w:eastAsia="es-AR"/>
        </w:rPr>
        <w:t xml:space="preserve"> Escobar, Miguel Lucas </w:t>
      </w:r>
      <w:proofErr w:type="spellStart"/>
      <w:r w:rsidRPr="00794B24">
        <w:rPr>
          <w:rFonts w:ascii="Verdana" w:eastAsia="Times New Roman" w:hAnsi="Verdana" w:cs="Times New Roman"/>
          <w:color w:val="000000"/>
          <w:sz w:val="24"/>
          <w:szCs w:val="24"/>
          <w:lang w:val="es-UY" w:eastAsia="es-AR"/>
        </w:rPr>
        <w:t>Vail</w:t>
      </w:r>
      <w:proofErr w:type="spellEnd"/>
      <w:r w:rsidRPr="00794B24">
        <w:rPr>
          <w:rFonts w:ascii="Verdana" w:eastAsia="Times New Roman" w:hAnsi="Verdana" w:cs="Times New Roman"/>
          <w:color w:val="000000"/>
          <w:sz w:val="24"/>
          <w:szCs w:val="24"/>
          <w:lang w:val="es-UY" w:eastAsia="es-AR"/>
        </w:rPr>
        <w:t xml:space="preserve">, Rita Mariana </w:t>
      </w:r>
      <w:proofErr w:type="spellStart"/>
      <w:r w:rsidRPr="00794B24">
        <w:rPr>
          <w:rFonts w:ascii="Verdana" w:eastAsia="Times New Roman" w:hAnsi="Verdana" w:cs="Times New Roman"/>
          <w:color w:val="000000"/>
          <w:sz w:val="24"/>
          <w:szCs w:val="24"/>
          <w:lang w:val="es-UY" w:eastAsia="es-AR"/>
        </w:rPr>
        <w:t>Dubon</w:t>
      </w:r>
      <w:proofErr w:type="spellEnd"/>
      <w:r w:rsidRPr="00794B24">
        <w:rPr>
          <w:rFonts w:ascii="Verdana" w:eastAsia="Times New Roman" w:hAnsi="Verdana" w:cs="Times New Roman"/>
          <w:color w:val="000000"/>
          <w:sz w:val="24"/>
          <w:szCs w:val="24"/>
          <w:lang w:val="es-UY" w:eastAsia="es-AR"/>
        </w:rPr>
        <w:t xml:space="preserve"> Orozco y Teresa Magdalena Ramírez Castro. En relación con el total de las cuarenta y nueve presuntas víctimas relacionadas por los peticionarios, éstos alegan que </w:t>
      </w:r>
      <w:r w:rsidRPr="00794B24">
        <w:rPr>
          <w:rFonts w:ascii="Verdana" w:eastAsia="Times New Roman" w:hAnsi="Verdana" w:cs="Times New Roman"/>
          <w:sz w:val="24"/>
          <w:szCs w:val="24"/>
          <w:lang w:val="es-ES" w:eastAsia="es-AR"/>
        </w:rPr>
        <w:t>todas son portadoras del VIH/SIDA, quienes por su condición de salud requieren de atención médica integral para garantizar su vida y su integridad, entendiendo por tal atención médica y medicación antirretroviral, así como las pruebas médicas pertinentes para determinar el avance de la enfermedad, las cuales no les habrían sido proporcionadas por el Estado</w:t>
      </w:r>
      <w:r w:rsidRPr="00794B24">
        <w:rPr>
          <w:rFonts w:ascii="Verdana" w:eastAsia="Times New Roman" w:hAnsi="Verdana" w:cs="Times New Roman"/>
          <w:color w:val="000000"/>
          <w:sz w:val="24"/>
          <w:szCs w:val="24"/>
          <w:lang w:val="es-UY" w:eastAsia="es-AR"/>
        </w:rPr>
        <w:t xml:space="preserve">. </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eastAsia="es-AR"/>
        </w:rPr>
        <w:t> </w:t>
      </w:r>
    </w:p>
    <w:p w:rsidR="00794B24" w:rsidRPr="00794B24" w:rsidRDefault="00794B24" w:rsidP="00725117">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eastAsia="es-AR"/>
        </w:rPr>
        <w:t>30.</w:t>
      </w:r>
      <w:r w:rsidR="00725117">
        <w:rPr>
          <w:rFonts w:ascii="Verdana" w:eastAsia="Times New Roman" w:hAnsi="Verdana" w:cs="Times New Roman"/>
          <w:sz w:val="24"/>
          <w:szCs w:val="24"/>
          <w:lang w:eastAsia="es-AR"/>
        </w:rPr>
        <w:tab/>
      </w:r>
      <w:r w:rsidRPr="00794B24">
        <w:rPr>
          <w:rFonts w:ascii="Verdana" w:eastAsia="Times New Roman" w:hAnsi="Verdana" w:cs="Times New Roman"/>
          <w:sz w:val="24"/>
          <w:szCs w:val="24"/>
          <w:lang w:eastAsia="es-AR"/>
        </w:rPr>
        <w:t xml:space="preserve">En lo concerniente al Estado, la Comisión señala que Guatemala es un Estado parte en la Convención Americana desde 25 de mayo de 1978, fecha en que depositó su instrumento de ratificación. Por lo tanto la Comisión tiene competencia </w:t>
      </w:r>
      <w:proofErr w:type="spellStart"/>
      <w:r w:rsidRPr="00794B24">
        <w:rPr>
          <w:rFonts w:ascii="Verdana" w:eastAsia="Times New Roman" w:hAnsi="Verdana" w:cs="Times New Roman"/>
          <w:i/>
          <w:iCs/>
          <w:sz w:val="24"/>
          <w:szCs w:val="24"/>
          <w:lang w:eastAsia="es-AR"/>
        </w:rPr>
        <w:t>ratione</w:t>
      </w:r>
      <w:proofErr w:type="spellEnd"/>
      <w:r w:rsidRPr="00794B24">
        <w:rPr>
          <w:rFonts w:ascii="Verdana" w:eastAsia="Times New Roman" w:hAnsi="Verdana" w:cs="Times New Roman"/>
          <w:i/>
          <w:iCs/>
          <w:sz w:val="24"/>
          <w:szCs w:val="24"/>
          <w:lang w:eastAsia="es-AR"/>
        </w:rPr>
        <w:t xml:space="preserve"> </w:t>
      </w:r>
      <w:proofErr w:type="spellStart"/>
      <w:r w:rsidRPr="00794B24">
        <w:rPr>
          <w:rFonts w:ascii="Verdana" w:eastAsia="Times New Roman" w:hAnsi="Verdana" w:cs="Times New Roman"/>
          <w:i/>
          <w:iCs/>
          <w:sz w:val="24"/>
          <w:szCs w:val="24"/>
          <w:lang w:eastAsia="es-AR"/>
        </w:rPr>
        <w:t>personae</w:t>
      </w:r>
      <w:proofErr w:type="spellEnd"/>
      <w:r w:rsidRPr="00794B24">
        <w:rPr>
          <w:rFonts w:ascii="Verdana" w:eastAsia="Times New Roman" w:hAnsi="Verdana" w:cs="Times New Roman"/>
          <w:sz w:val="24"/>
          <w:szCs w:val="24"/>
          <w:lang w:eastAsia="es-AR"/>
        </w:rPr>
        <w:t xml:space="preserve"> para examinar la petición.</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94B24">
      <w:pPr>
        <w:spacing w:after="0" w:line="240" w:lineRule="auto"/>
        <w:jc w:val="both"/>
        <w:outlineLvl w:val="1"/>
        <w:rPr>
          <w:rFonts w:ascii="Verdana" w:eastAsia="Times New Roman" w:hAnsi="Verdana" w:cs="Times New Roman"/>
          <w:b/>
          <w:bCs/>
          <w:sz w:val="24"/>
          <w:szCs w:val="24"/>
          <w:lang w:eastAsia="es-AR"/>
        </w:rPr>
      </w:pPr>
      <w:r w:rsidRPr="00794B24">
        <w:rPr>
          <w:rFonts w:ascii="Verdana" w:eastAsia="Times New Roman" w:hAnsi="Verdana" w:cs="Times New Roman"/>
          <w:b/>
          <w:bCs/>
          <w:color w:val="000000"/>
          <w:sz w:val="24"/>
          <w:szCs w:val="24"/>
          <w:lang w:val="es-UY" w:eastAsia="es-AR"/>
        </w:rPr>
        <w:t>B.</w:t>
      </w:r>
      <w:r w:rsidR="00725117">
        <w:rPr>
          <w:rFonts w:ascii="Verdana" w:eastAsia="Times New Roman" w:hAnsi="Verdana" w:cs="Times New Roman"/>
          <w:b/>
          <w:bCs/>
          <w:color w:val="000000"/>
          <w:sz w:val="24"/>
          <w:szCs w:val="24"/>
          <w:lang w:val="es-UY" w:eastAsia="es-AR"/>
        </w:rPr>
        <w:t xml:space="preserve"> </w:t>
      </w:r>
      <w:r w:rsidRPr="00794B24">
        <w:rPr>
          <w:rFonts w:ascii="Verdana" w:eastAsia="Times New Roman" w:hAnsi="Verdana" w:cs="Times New Roman"/>
          <w:b/>
          <w:bCs/>
          <w:color w:val="000000"/>
          <w:sz w:val="24"/>
          <w:szCs w:val="24"/>
          <w:lang w:val="es-UY" w:eastAsia="es-AR"/>
        </w:rPr>
        <w:t xml:space="preserve"> Requisitos de admisibilidad</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val="es-UY" w:eastAsia="es-AR"/>
        </w:rPr>
        <w:t> </w:t>
      </w:r>
    </w:p>
    <w:p w:rsidR="00794B24" w:rsidRPr="00725117" w:rsidRDefault="00794B24" w:rsidP="00725117">
      <w:pPr>
        <w:pStyle w:val="Prrafodelista"/>
        <w:numPr>
          <w:ilvl w:val="0"/>
          <w:numId w:val="1"/>
        </w:numPr>
        <w:spacing w:after="0" w:line="240" w:lineRule="auto"/>
        <w:jc w:val="both"/>
        <w:rPr>
          <w:rFonts w:ascii="Verdana" w:eastAsia="Times New Roman" w:hAnsi="Verdana" w:cs="Times New Roman"/>
          <w:sz w:val="24"/>
          <w:szCs w:val="24"/>
          <w:lang w:eastAsia="es-AR"/>
        </w:rPr>
      </w:pPr>
      <w:r w:rsidRPr="00725117">
        <w:rPr>
          <w:rFonts w:ascii="Verdana" w:eastAsia="Times New Roman" w:hAnsi="Verdana" w:cs="Times New Roman"/>
          <w:b/>
          <w:bCs/>
          <w:color w:val="000000"/>
          <w:sz w:val="24"/>
          <w:szCs w:val="24"/>
          <w:lang w:val="es-UY" w:eastAsia="es-AR"/>
        </w:rPr>
        <w:t xml:space="preserve"> Agotamiento de los recursos internos </w:t>
      </w:r>
    </w:p>
    <w:p w:rsidR="00794B24" w:rsidRPr="00794B24" w:rsidRDefault="00794B24" w:rsidP="00794B24">
      <w:pPr>
        <w:spacing w:after="0" w:line="240" w:lineRule="auto"/>
        <w:ind w:firstLine="720"/>
        <w:jc w:val="both"/>
        <w:rPr>
          <w:rFonts w:ascii="Verdana" w:eastAsia="Times New Roman" w:hAnsi="Verdana" w:cs="Times New Roman"/>
          <w:sz w:val="24"/>
          <w:szCs w:val="24"/>
          <w:lang w:eastAsia="es-AR"/>
        </w:rPr>
      </w:pPr>
      <w:r w:rsidRPr="00794B24">
        <w:rPr>
          <w:rFonts w:ascii="Verdana" w:eastAsia="Times New Roman" w:hAnsi="Verdana" w:cs="Times New Roman"/>
          <w:b/>
          <w:bCs/>
          <w:color w:val="000000"/>
          <w:sz w:val="24"/>
          <w:szCs w:val="24"/>
          <w:lang w:val="es-UY" w:eastAsia="es-AR"/>
        </w:rPr>
        <w:t> </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31.</w:t>
      </w:r>
      <w:r w:rsidR="00725117">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De acuerdo a la denuncia, el 26 de julio de 2002 las organizaciones peticionarias junto con un grupo de personas que viven con el virus VIH/SIDA, entre las que se encuentran Luis Ronaldo </w:t>
      </w:r>
      <w:proofErr w:type="spellStart"/>
      <w:r w:rsidRPr="00794B24">
        <w:rPr>
          <w:rFonts w:ascii="Verdana" w:eastAsia="Times New Roman" w:hAnsi="Verdana" w:cs="Times New Roman"/>
          <w:color w:val="000000"/>
          <w:sz w:val="24"/>
          <w:szCs w:val="24"/>
          <w:lang w:val="es-UY" w:eastAsia="es-AR"/>
        </w:rPr>
        <w:t>Cuscul</w:t>
      </w:r>
      <w:proofErr w:type="spellEnd"/>
      <w:r w:rsidRPr="00794B24">
        <w:rPr>
          <w:rFonts w:ascii="Verdana" w:eastAsia="Times New Roman" w:hAnsi="Verdana" w:cs="Times New Roman"/>
          <w:color w:val="000000"/>
          <w:sz w:val="24"/>
          <w:szCs w:val="24"/>
          <w:lang w:val="es-UY" w:eastAsia="es-AR"/>
        </w:rPr>
        <w:t xml:space="preserve"> </w:t>
      </w:r>
      <w:proofErr w:type="spellStart"/>
      <w:r w:rsidRPr="00794B24">
        <w:rPr>
          <w:rFonts w:ascii="Verdana" w:eastAsia="Times New Roman" w:hAnsi="Verdana" w:cs="Times New Roman"/>
          <w:color w:val="000000"/>
          <w:sz w:val="24"/>
          <w:szCs w:val="24"/>
          <w:lang w:val="es-UY" w:eastAsia="es-AR"/>
        </w:rPr>
        <w:t>Piraval</w:t>
      </w:r>
      <w:proofErr w:type="spellEnd"/>
      <w:r w:rsidRPr="00794B24">
        <w:rPr>
          <w:rFonts w:ascii="Verdana" w:eastAsia="Times New Roman" w:hAnsi="Verdana" w:cs="Times New Roman"/>
          <w:color w:val="000000"/>
          <w:sz w:val="24"/>
          <w:szCs w:val="24"/>
          <w:lang w:val="es-UY" w:eastAsia="es-AR"/>
        </w:rPr>
        <w:t xml:space="preserve">, Facundo Gómez Reyes, Marta Alicia Maldonado </w:t>
      </w:r>
      <w:proofErr w:type="spellStart"/>
      <w:r w:rsidRPr="00794B24">
        <w:rPr>
          <w:rFonts w:ascii="Verdana" w:eastAsia="Times New Roman" w:hAnsi="Verdana" w:cs="Times New Roman"/>
          <w:color w:val="000000"/>
          <w:sz w:val="24"/>
          <w:szCs w:val="24"/>
          <w:lang w:val="es-UY" w:eastAsia="es-AR"/>
        </w:rPr>
        <w:t>Pac</w:t>
      </w:r>
      <w:proofErr w:type="spellEnd"/>
      <w:r w:rsidRPr="00794B24">
        <w:rPr>
          <w:rFonts w:ascii="Verdana" w:eastAsia="Times New Roman" w:hAnsi="Verdana" w:cs="Times New Roman"/>
          <w:color w:val="000000"/>
          <w:sz w:val="24"/>
          <w:szCs w:val="24"/>
          <w:lang w:val="es-UY" w:eastAsia="es-AR"/>
        </w:rPr>
        <w:t xml:space="preserve">, personas </w:t>
      </w:r>
      <w:r w:rsidRPr="00794B24">
        <w:rPr>
          <w:rFonts w:ascii="Verdana" w:eastAsia="Times New Roman" w:hAnsi="Verdana" w:cs="Times New Roman"/>
          <w:color w:val="000000"/>
          <w:sz w:val="24"/>
          <w:szCs w:val="24"/>
          <w:lang w:val="es-UY" w:eastAsia="es-AR"/>
        </w:rPr>
        <w:lastRenderedPageBreak/>
        <w:t xml:space="preserve">incluidas en la petición original; así como Alberto Quiché </w:t>
      </w:r>
      <w:proofErr w:type="spellStart"/>
      <w:r w:rsidRPr="00794B24">
        <w:rPr>
          <w:rFonts w:ascii="Verdana" w:eastAsia="Times New Roman" w:hAnsi="Verdana" w:cs="Times New Roman"/>
          <w:color w:val="000000"/>
          <w:sz w:val="24"/>
          <w:szCs w:val="24"/>
          <w:lang w:val="es-UY" w:eastAsia="es-AR"/>
        </w:rPr>
        <w:t>Cuxeva</w:t>
      </w:r>
      <w:proofErr w:type="spellEnd"/>
      <w:r w:rsidRPr="00794B24">
        <w:rPr>
          <w:rFonts w:ascii="Verdana" w:eastAsia="Times New Roman" w:hAnsi="Verdana" w:cs="Times New Roman"/>
          <w:color w:val="000000"/>
          <w:sz w:val="24"/>
          <w:szCs w:val="24"/>
          <w:lang w:val="es-UY" w:eastAsia="es-AR"/>
        </w:rPr>
        <w:t xml:space="preserve">, Dora Marina Martínez </w:t>
      </w:r>
      <w:proofErr w:type="spellStart"/>
      <w:r w:rsidRPr="00794B24">
        <w:rPr>
          <w:rFonts w:ascii="Verdana" w:eastAsia="Times New Roman" w:hAnsi="Verdana" w:cs="Times New Roman"/>
          <w:color w:val="000000"/>
          <w:sz w:val="24"/>
          <w:szCs w:val="24"/>
          <w:lang w:val="es-UY" w:eastAsia="es-AR"/>
        </w:rPr>
        <w:t>Sofoija</w:t>
      </w:r>
      <w:proofErr w:type="spellEnd"/>
      <w:r w:rsidRPr="00794B24">
        <w:rPr>
          <w:rFonts w:ascii="Verdana" w:eastAsia="Times New Roman" w:hAnsi="Verdana" w:cs="Times New Roman"/>
          <w:color w:val="000000"/>
          <w:sz w:val="24"/>
          <w:szCs w:val="24"/>
          <w:lang w:val="es-UY" w:eastAsia="es-AR"/>
        </w:rPr>
        <w:t xml:space="preserve">, Ingrid Janeth </w:t>
      </w:r>
      <w:proofErr w:type="spellStart"/>
      <w:r w:rsidRPr="00794B24">
        <w:rPr>
          <w:rFonts w:ascii="Verdana" w:eastAsia="Times New Roman" w:hAnsi="Verdana" w:cs="Times New Roman"/>
          <w:color w:val="000000"/>
          <w:sz w:val="24"/>
          <w:szCs w:val="24"/>
          <w:lang w:val="es-UY" w:eastAsia="es-AR"/>
        </w:rPr>
        <w:t>Barillas</w:t>
      </w:r>
      <w:proofErr w:type="spellEnd"/>
      <w:r w:rsidRPr="00794B24">
        <w:rPr>
          <w:rFonts w:ascii="Verdana" w:eastAsia="Times New Roman" w:hAnsi="Verdana" w:cs="Times New Roman"/>
          <w:color w:val="000000"/>
          <w:sz w:val="24"/>
          <w:szCs w:val="24"/>
          <w:lang w:val="es-UY" w:eastAsia="es-AR"/>
        </w:rPr>
        <w:t xml:space="preserve"> Martínez, Jorge Armando Tavares Barreno, Luis Armando Linares Ruano, </w:t>
      </w:r>
      <w:proofErr w:type="spellStart"/>
      <w:r w:rsidRPr="00794B24">
        <w:rPr>
          <w:rFonts w:ascii="Verdana" w:eastAsia="Times New Roman" w:hAnsi="Verdana" w:cs="Times New Roman"/>
          <w:color w:val="000000"/>
          <w:sz w:val="24"/>
          <w:szCs w:val="24"/>
          <w:lang w:val="es-UY" w:eastAsia="es-AR"/>
        </w:rPr>
        <w:t>Mardo</w:t>
      </w:r>
      <w:proofErr w:type="spellEnd"/>
      <w:r w:rsidRPr="00794B24">
        <w:rPr>
          <w:rFonts w:ascii="Verdana" w:eastAsia="Times New Roman" w:hAnsi="Verdana" w:cs="Times New Roman"/>
          <w:color w:val="000000"/>
          <w:sz w:val="24"/>
          <w:szCs w:val="24"/>
          <w:lang w:val="es-UY" w:eastAsia="es-AR"/>
        </w:rPr>
        <w:t xml:space="preserve"> Luis Hernández, Melvin </w:t>
      </w:r>
      <w:proofErr w:type="spellStart"/>
      <w:r w:rsidRPr="00794B24">
        <w:rPr>
          <w:rFonts w:ascii="Verdana" w:eastAsia="Times New Roman" w:hAnsi="Verdana" w:cs="Times New Roman"/>
          <w:color w:val="000000"/>
          <w:sz w:val="24"/>
          <w:szCs w:val="24"/>
          <w:lang w:val="es-UY" w:eastAsia="es-AR"/>
        </w:rPr>
        <w:t>Yovani</w:t>
      </w:r>
      <w:proofErr w:type="spellEnd"/>
      <w:r w:rsidRPr="00794B24">
        <w:rPr>
          <w:rFonts w:ascii="Verdana" w:eastAsia="Times New Roman" w:hAnsi="Verdana" w:cs="Times New Roman"/>
          <w:color w:val="000000"/>
          <w:sz w:val="24"/>
          <w:szCs w:val="24"/>
          <w:lang w:val="es-UY" w:eastAsia="es-AR"/>
        </w:rPr>
        <w:t xml:space="preserve"> </w:t>
      </w:r>
      <w:proofErr w:type="spellStart"/>
      <w:r w:rsidRPr="00794B24">
        <w:rPr>
          <w:rFonts w:ascii="Verdana" w:eastAsia="Times New Roman" w:hAnsi="Verdana" w:cs="Times New Roman"/>
          <w:color w:val="000000"/>
          <w:sz w:val="24"/>
          <w:szCs w:val="24"/>
          <w:lang w:val="es-UY" w:eastAsia="es-AR"/>
        </w:rPr>
        <w:t>Ajtun</w:t>
      </w:r>
      <w:proofErr w:type="spellEnd"/>
      <w:r w:rsidRPr="00794B24">
        <w:rPr>
          <w:rFonts w:ascii="Verdana" w:eastAsia="Times New Roman" w:hAnsi="Verdana" w:cs="Times New Roman"/>
          <w:color w:val="000000"/>
          <w:sz w:val="24"/>
          <w:szCs w:val="24"/>
          <w:lang w:val="es-UY" w:eastAsia="es-AR"/>
        </w:rPr>
        <w:t xml:space="preserve"> Escobar, Miguel Lucas </w:t>
      </w:r>
      <w:proofErr w:type="spellStart"/>
      <w:r w:rsidRPr="00794B24">
        <w:rPr>
          <w:rFonts w:ascii="Verdana" w:eastAsia="Times New Roman" w:hAnsi="Verdana" w:cs="Times New Roman"/>
          <w:color w:val="000000"/>
          <w:sz w:val="24"/>
          <w:szCs w:val="24"/>
          <w:lang w:val="es-UY" w:eastAsia="es-AR"/>
        </w:rPr>
        <w:t>Vail</w:t>
      </w:r>
      <w:proofErr w:type="spellEnd"/>
      <w:r w:rsidRPr="00794B24">
        <w:rPr>
          <w:rFonts w:ascii="Verdana" w:eastAsia="Times New Roman" w:hAnsi="Verdana" w:cs="Times New Roman"/>
          <w:color w:val="000000"/>
          <w:sz w:val="24"/>
          <w:szCs w:val="24"/>
          <w:lang w:val="es-UY" w:eastAsia="es-AR"/>
        </w:rPr>
        <w:t xml:space="preserve">, Rita Mariana </w:t>
      </w:r>
      <w:proofErr w:type="spellStart"/>
      <w:r w:rsidRPr="00794B24">
        <w:rPr>
          <w:rFonts w:ascii="Verdana" w:eastAsia="Times New Roman" w:hAnsi="Verdana" w:cs="Times New Roman"/>
          <w:color w:val="000000"/>
          <w:sz w:val="24"/>
          <w:szCs w:val="24"/>
          <w:lang w:val="es-UY" w:eastAsia="es-AR"/>
        </w:rPr>
        <w:t>Dubon</w:t>
      </w:r>
      <w:proofErr w:type="spellEnd"/>
      <w:r w:rsidRPr="00794B24">
        <w:rPr>
          <w:rFonts w:ascii="Verdana" w:eastAsia="Times New Roman" w:hAnsi="Verdana" w:cs="Times New Roman"/>
          <w:color w:val="000000"/>
          <w:sz w:val="24"/>
          <w:szCs w:val="24"/>
          <w:lang w:val="es-UY" w:eastAsia="es-AR"/>
        </w:rPr>
        <w:t xml:space="preserve"> Orozco y Teresa Magdalena Ramírez Castro, presuntas víctimas adicionadas al trámite de la petición por los peticionarios mediante comunicación del 4 de octubre de 2004. Entre otras pretensiones, el recurso de amparo tenía como objeto que la Corte de Constitucionalidad ordenara al Ejecutivo el traslado de fondos necesarios para la compra, distribución sistemática y diaria de los tratamientos antirretrovirales necesarios para mantener la vida y la salud de las personas que viven con el VIH/SIDA en Guatemala; así como la compra de tratamientos antirretrovirales genéricos de calidad, para una atención masiva y no selectiva de las personas que viven con el VIH/SIDA.</w:t>
      </w:r>
      <w:bookmarkStart w:id="12" w:name="_ftnref14"/>
      <w:r w:rsidRPr="00794B24">
        <w:rPr>
          <w:rStyle w:val="Refdenotaalpie"/>
          <w:rFonts w:ascii="Verdana" w:eastAsia="Times New Roman" w:hAnsi="Verdana" w:cs="Times New Roman"/>
          <w:color w:val="000000"/>
          <w:sz w:val="24"/>
          <w:szCs w:val="24"/>
          <w:vertAlign w:val="superscript"/>
          <w:lang w:val="es-UY" w:eastAsia="es-AR"/>
        </w:rPr>
        <w:footnoteReference w:id="14"/>
      </w:r>
      <w:r>
        <w:rPr>
          <w:rFonts w:ascii="Verdana" w:eastAsia="Times New Roman" w:hAnsi="Verdana" w:cs="Times New Roman"/>
          <w:color w:val="000000"/>
          <w:sz w:val="24"/>
          <w:szCs w:val="24"/>
          <w:lang w:val="es-UY" w:eastAsia="es-AR"/>
        </w:rPr>
        <w:t xml:space="preserve"> </w:t>
      </w:r>
      <w:bookmarkEnd w:id="12"/>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25117" w:rsidP="00794B24">
      <w:pPr>
        <w:spacing w:after="0" w:line="240" w:lineRule="auto"/>
        <w:jc w:val="both"/>
        <w:rPr>
          <w:rFonts w:ascii="Verdana" w:eastAsia="Times New Roman" w:hAnsi="Verdana" w:cs="Times New Roman"/>
          <w:sz w:val="24"/>
          <w:szCs w:val="24"/>
          <w:lang w:eastAsia="es-AR"/>
        </w:rPr>
      </w:pPr>
      <w:r>
        <w:rPr>
          <w:rFonts w:ascii="Verdana" w:eastAsia="Times New Roman" w:hAnsi="Verdana" w:cs="Times New Roman"/>
          <w:color w:val="000000"/>
          <w:sz w:val="24"/>
          <w:szCs w:val="24"/>
          <w:lang w:val="es-UY" w:eastAsia="es-AR"/>
        </w:rPr>
        <w:t>3</w:t>
      </w:r>
      <w:r w:rsidR="00794B24" w:rsidRPr="00794B24">
        <w:rPr>
          <w:rFonts w:ascii="Verdana" w:eastAsia="Times New Roman" w:hAnsi="Verdana" w:cs="Times New Roman"/>
          <w:color w:val="000000"/>
          <w:sz w:val="24"/>
          <w:szCs w:val="24"/>
          <w:lang w:val="es-UY" w:eastAsia="es-AR"/>
        </w:rPr>
        <w:t>2.</w:t>
      </w:r>
      <w:r>
        <w:rPr>
          <w:rFonts w:ascii="Verdana" w:eastAsia="Times New Roman" w:hAnsi="Verdana" w:cs="Times New Roman"/>
          <w:color w:val="000000"/>
          <w:sz w:val="24"/>
          <w:szCs w:val="24"/>
          <w:lang w:val="es-UY" w:eastAsia="es-AR"/>
        </w:rPr>
        <w:tab/>
      </w:r>
      <w:r w:rsidR="00794B24" w:rsidRPr="00794B24">
        <w:rPr>
          <w:rFonts w:ascii="Verdana" w:eastAsia="Times New Roman" w:hAnsi="Verdana" w:cs="Times New Roman"/>
          <w:color w:val="000000"/>
          <w:sz w:val="24"/>
          <w:szCs w:val="24"/>
          <w:lang w:val="es-UY" w:eastAsia="es-AR"/>
        </w:rPr>
        <w:t xml:space="preserve">El 29 de enero de 2003 la Corte de Constitucionalidad declaró improcedente el recurso de amparo intentado tanto por los peticionarios como por las presuntas víctimas arriba relacionadas, con el objeto de que se protegiera su derecho a la vida y a la salud. Esta decisión fue notificada a las partes el 25 de febrero de 2003. </w:t>
      </w:r>
    </w:p>
    <w:p w:rsidR="00794B24" w:rsidRPr="00794B24" w:rsidRDefault="00794B24" w:rsidP="00794B24">
      <w:pPr>
        <w:spacing w:after="0" w:line="240" w:lineRule="auto"/>
        <w:ind w:left="360"/>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33.</w:t>
      </w:r>
      <w:r w:rsidR="00725117">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 El Estado en su petitorio insta a los peticionarios a continuar haciendo uso de los recursos existentes en la jurisdicción interna pero no indica cuales son los recursos que deben ser agotados.</w:t>
      </w:r>
      <w:bookmarkStart w:id="13" w:name="_ftnref15"/>
      <w:r w:rsidRPr="00794B24">
        <w:rPr>
          <w:rStyle w:val="Refdenotaalpie"/>
          <w:rFonts w:ascii="Verdana" w:eastAsia="Times New Roman" w:hAnsi="Verdana" w:cs="Times New Roman"/>
          <w:color w:val="000000"/>
          <w:sz w:val="24"/>
          <w:szCs w:val="24"/>
          <w:vertAlign w:val="superscript"/>
          <w:lang w:val="es-UY" w:eastAsia="es-AR"/>
        </w:rPr>
        <w:footnoteReference w:id="15"/>
      </w:r>
      <w:r>
        <w:rPr>
          <w:rFonts w:ascii="Verdana" w:eastAsia="Times New Roman" w:hAnsi="Verdana" w:cs="Times New Roman"/>
          <w:color w:val="000000"/>
          <w:sz w:val="24"/>
          <w:szCs w:val="24"/>
          <w:lang w:val="es-UY" w:eastAsia="es-AR"/>
        </w:rPr>
        <w:t xml:space="preserve"> </w:t>
      </w:r>
      <w:hyperlink r:id="rId12" w:anchor="_ftn15" w:tooltip="" w:history="1">
        <w:r w:rsidRPr="00794B24">
          <w:rPr>
            <w:rFonts w:ascii="Verdana" w:eastAsia="Times New Roman" w:hAnsi="Verdana" w:cs="Times New Roman"/>
            <w:color w:val="000000"/>
            <w:sz w:val="24"/>
            <w:szCs w:val="24"/>
            <w:u w:val="single"/>
            <w:vertAlign w:val="superscript"/>
            <w:lang w:val="es-UY" w:eastAsia="es-AR"/>
          </w:rPr>
          <w:t>[15]</w:t>
        </w:r>
      </w:hyperlink>
      <w:bookmarkEnd w:id="13"/>
      <w:r w:rsidRPr="00794B24">
        <w:rPr>
          <w:rFonts w:ascii="Verdana" w:eastAsia="Times New Roman" w:hAnsi="Verdana" w:cs="Times New Roman"/>
          <w:color w:val="000000"/>
          <w:sz w:val="24"/>
          <w:szCs w:val="24"/>
          <w:lang w:val="es-UY" w:eastAsia="es-AR"/>
        </w:rPr>
        <w:t xml:space="preserve"> Conforme a la jurisprudencia de la Corte Interamericana de Derechos Humanos, el Estado que alega el no agotamiento tiene a su cargo el señalamiento de los recursos internos que deben agotarse y de su efectividad. Por lo tanto, la CIDH considera aplicable lo dispuesto en el artículo 46(2</w:t>
      </w:r>
      <w:proofErr w:type="gramStart"/>
      <w:r w:rsidRPr="00794B24">
        <w:rPr>
          <w:rFonts w:ascii="Verdana" w:eastAsia="Times New Roman" w:hAnsi="Verdana" w:cs="Times New Roman"/>
          <w:color w:val="000000"/>
          <w:sz w:val="24"/>
          <w:szCs w:val="24"/>
          <w:lang w:val="es-UY" w:eastAsia="es-AR"/>
        </w:rPr>
        <w:t>)(</w:t>
      </w:r>
      <w:proofErr w:type="gramEnd"/>
      <w:r w:rsidRPr="00794B24">
        <w:rPr>
          <w:rFonts w:ascii="Verdana" w:eastAsia="Times New Roman" w:hAnsi="Verdana" w:cs="Times New Roman"/>
          <w:color w:val="000000"/>
          <w:sz w:val="24"/>
          <w:szCs w:val="24"/>
          <w:lang w:val="es-UY" w:eastAsia="es-AR"/>
        </w:rPr>
        <w:t xml:space="preserve">a) de la Convención Americana. </w:t>
      </w:r>
    </w:p>
    <w:p w:rsidR="00794B24" w:rsidRPr="00794B24" w:rsidRDefault="00794B24" w:rsidP="00794B24">
      <w:pPr>
        <w:spacing w:after="0" w:line="240" w:lineRule="auto"/>
        <w:jc w:val="both"/>
        <w:rPr>
          <w:rFonts w:ascii="Verdana" w:eastAsia="Times New Roman" w:hAnsi="Verdana" w:cs="Times New Roman"/>
          <w:sz w:val="24"/>
          <w:szCs w:val="24"/>
          <w:lang w:eastAsia="es-AR"/>
        </w:rPr>
      </w:pP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34.</w:t>
      </w:r>
      <w:r w:rsidR="00725117">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 En el presente caso, los peticionarios intentaron ante las instancias internas el recurso judicial contemplado por la legislación adjetiva guatemalteca a fin de tutelar los derechos que alegan violados mediante el sometimiento del caso ante la Corte de Constitucionalidad, que a su juicio es la autoridad judicial competente para conocer del recurso de amparo. El Estado no ha alegado que este no sea un recurso adecuado en los términos de la Convención.</w:t>
      </w:r>
    </w:p>
    <w:p w:rsidR="00794B24" w:rsidRPr="00794B24" w:rsidRDefault="00794B24" w:rsidP="00794B24">
      <w:pPr>
        <w:spacing w:after="0" w:line="240" w:lineRule="auto"/>
        <w:jc w:val="both"/>
        <w:rPr>
          <w:rFonts w:ascii="Verdana" w:eastAsia="Times New Roman" w:hAnsi="Verdana" w:cs="Times New Roman"/>
          <w:sz w:val="24"/>
          <w:szCs w:val="24"/>
          <w:lang w:eastAsia="es-AR"/>
        </w:rPr>
      </w:pP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lastRenderedPageBreak/>
        <w:t xml:space="preserve">35. </w:t>
      </w:r>
      <w:r w:rsidR="00725117">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En consecuencia, sin prejuzgar sobre las cuestiones de fondo, la Comisión considera satisfechos los requisitos establecidos en los artículos 47(b) y (c) de la Convención.</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94B24">
      <w:pPr>
        <w:spacing w:after="0" w:line="240" w:lineRule="auto"/>
        <w:ind w:left="720"/>
        <w:jc w:val="both"/>
        <w:rPr>
          <w:rFonts w:ascii="Verdana" w:eastAsia="Times New Roman" w:hAnsi="Verdana" w:cs="Times New Roman"/>
          <w:sz w:val="24"/>
          <w:szCs w:val="24"/>
          <w:lang w:eastAsia="es-AR"/>
        </w:rPr>
      </w:pPr>
      <w:r w:rsidRPr="00794B24">
        <w:rPr>
          <w:rFonts w:ascii="Verdana" w:eastAsia="Times New Roman" w:hAnsi="Verdana" w:cs="Times New Roman"/>
          <w:b/>
          <w:bCs/>
          <w:color w:val="000000"/>
          <w:sz w:val="24"/>
          <w:szCs w:val="24"/>
          <w:lang w:val="es-UY" w:eastAsia="es-AR"/>
        </w:rPr>
        <w:t xml:space="preserve">2.       Plazo de presentación </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b/>
          <w:bCs/>
          <w:color w:val="000000"/>
          <w:sz w:val="24"/>
          <w:szCs w:val="24"/>
          <w:lang w:val="es-UY" w:eastAsia="es-AR"/>
        </w:rPr>
        <w:t> </w:t>
      </w:r>
    </w:p>
    <w:p w:rsidR="00794B24" w:rsidRPr="00794B24" w:rsidRDefault="00794B24" w:rsidP="00725117">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36.</w:t>
      </w:r>
      <w:r w:rsidR="00725117">
        <w:rPr>
          <w:rFonts w:ascii="Verdana" w:eastAsia="Times New Roman" w:hAnsi="Verdana" w:cs="Times New Roman"/>
          <w:b/>
          <w:bCs/>
          <w:color w:val="000000"/>
          <w:sz w:val="24"/>
          <w:szCs w:val="24"/>
          <w:lang w:val="es-UY" w:eastAsia="es-AR"/>
        </w:rPr>
        <w:tab/>
      </w:r>
      <w:r w:rsidRPr="00794B24">
        <w:rPr>
          <w:rFonts w:ascii="Verdana" w:eastAsia="Times New Roman" w:hAnsi="Verdana" w:cs="Times New Roman"/>
          <w:b/>
          <w:bCs/>
          <w:color w:val="000000"/>
          <w:sz w:val="24"/>
          <w:szCs w:val="24"/>
          <w:lang w:val="es-UY" w:eastAsia="es-AR"/>
        </w:rPr>
        <w:t xml:space="preserve"> </w:t>
      </w:r>
      <w:r w:rsidRPr="00794B24">
        <w:rPr>
          <w:rFonts w:ascii="Verdana" w:eastAsia="Times New Roman" w:hAnsi="Verdana" w:cs="Times New Roman"/>
          <w:sz w:val="24"/>
          <w:szCs w:val="24"/>
          <w:lang w:val="es-ES" w:eastAsia="es-AR"/>
        </w:rPr>
        <w:t>El artículo 46(1</w:t>
      </w:r>
      <w:proofErr w:type="gramStart"/>
      <w:r w:rsidRPr="00794B24">
        <w:rPr>
          <w:rFonts w:ascii="Verdana" w:eastAsia="Times New Roman" w:hAnsi="Verdana" w:cs="Times New Roman"/>
          <w:sz w:val="24"/>
          <w:szCs w:val="24"/>
          <w:lang w:val="es-ES" w:eastAsia="es-AR"/>
        </w:rPr>
        <w:t>)(</w:t>
      </w:r>
      <w:proofErr w:type="gramEnd"/>
      <w:r w:rsidRPr="00794B24">
        <w:rPr>
          <w:rFonts w:ascii="Verdana" w:eastAsia="Times New Roman" w:hAnsi="Verdana" w:cs="Times New Roman"/>
          <w:sz w:val="24"/>
          <w:szCs w:val="24"/>
          <w:lang w:val="es-ES" w:eastAsia="es-AR"/>
        </w:rPr>
        <w:t xml:space="preserve">b) de la Convención establece que la petición debe ser presentada dentro del plazo de seis meses a partir de la fecha en que el presunto lesionado en sus derechos haya sido notificado de </w:t>
      </w:r>
      <w:r>
        <w:rPr>
          <w:rFonts w:ascii="Verdana" w:eastAsia="Times New Roman" w:hAnsi="Verdana" w:cs="Times New Roman"/>
          <w:sz w:val="24"/>
          <w:szCs w:val="24"/>
          <w:lang w:val="es-ES" w:eastAsia="es-AR"/>
        </w:rPr>
        <w:t>la decisión definitiva.</w:t>
      </w:r>
      <w:r w:rsidRPr="00794B24">
        <w:rPr>
          <w:rFonts w:ascii="Verdana" w:eastAsia="Times New Roman" w:hAnsi="Verdana" w:cs="Times New Roman"/>
          <w:sz w:val="24"/>
          <w:szCs w:val="24"/>
          <w:lang w:val="es-ES" w:eastAsia="es-AR"/>
        </w:rPr>
        <w:t xml:space="preserve"> El presente reclamo fue presentado el 26 de agosto de 2003, dentro de los seis meses posteriores a la decisión de la Corte de Constitucionalidad de fecha 29 de enero de 2003, que denegó el recurso de amparo promovido por los peticionarios con el objeto de que se preservara el derecho a la vida y a la salud de las personas portadoras del VIH/SIDA. </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val="es-ES" w:eastAsia="es-AR"/>
        </w:rPr>
        <w:t> </w:t>
      </w:r>
    </w:p>
    <w:p w:rsidR="00794B24" w:rsidRPr="00725117" w:rsidRDefault="00794B24" w:rsidP="00725117">
      <w:pPr>
        <w:pStyle w:val="Prrafodelista"/>
        <w:numPr>
          <w:ilvl w:val="0"/>
          <w:numId w:val="1"/>
        </w:numPr>
        <w:spacing w:after="0" w:line="240" w:lineRule="auto"/>
        <w:jc w:val="both"/>
        <w:outlineLvl w:val="2"/>
        <w:rPr>
          <w:rFonts w:ascii="Verdana" w:eastAsia="Times New Roman" w:hAnsi="Verdana" w:cs="Times New Roman"/>
          <w:b/>
          <w:bCs/>
          <w:sz w:val="24"/>
          <w:szCs w:val="24"/>
          <w:lang w:eastAsia="es-AR"/>
        </w:rPr>
      </w:pPr>
      <w:r w:rsidRPr="00725117">
        <w:rPr>
          <w:rFonts w:ascii="Verdana" w:eastAsia="Times New Roman" w:hAnsi="Verdana" w:cs="Times New Roman"/>
          <w:b/>
          <w:bCs/>
          <w:color w:val="000000"/>
          <w:sz w:val="24"/>
          <w:szCs w:val="24"/>
          <w:lang w:val="es-UY" w:eastAsia="es-AR"/>
        </w:rPr>
        <w:t>Duplicación de procedimientos y cosa juzgada internacionales</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val="es-UY" w:eastAsia="es-AR"/>
        </w:rPr>
        <w:t> </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val="es-UY" w:eastAsia="es-AR"/>
        </w:rPr>
        <w:t>37.</w:t>
      </w:r>
      <w:r w:rsidR="00725117">
        <w:rPr>
          <w:rFonts w:ascii="Verdana" w:eastAsia="Times New Roman" w:hAnsi="Verdana" w:cs="Times New Roman"/>
          <w:sz w:val="24"/>
          <w:szCs w:val="24"/>
          <w:lang w:val="es-UY" w:eastAsia="es-AR"/>
        </w:rPr>
        <w:tab/>
      </w:r>
      <w:r w:rsidRPr="00794B24">
        <w:rPr>
          <w:rFonts w:ascii="Verdana" w:eastAsia="Times New Roman" w:hAnsi="Verdana" w:cs="Times New Roman"/>
          <w:color w:val="000000"/>
          <w:sz w:val="24"/>
          <w:szCs w:val="24"/>
          <w:lang w:val="es-UY" w:eastAsia="es-AR"/>
        </w:rPr>
        <w:t xml:space="preserve">Corresponde dar por cumplidos los requisitos establecidos en los artículos 46(1)(c) y 47(d) de la Convención en tanto no surge del expediente que la materia de la petición se encuentre pendiente de otro procedimiento de arreglo internacional, ni que reproduzca una petición ya examinada por éste u otro órgano internacional. </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94B24">
      <w:pPr>
        <w:spacing w:after="0" w:line="240" w:lineRule="auto"/>
        <w:ind w:left="720"/>
        <w:jc w:val="both"/>
        <w:outlineLvl w:val="2"/>
        <w:rPr>
          <w:rFonts w:ascii="Verdana" w:eastAsia="Times New Roman" w:hAnsi="Verdana" w:cs="Times New Roman"/>
          <w:b/>
          <w:bCs/>
          <w:sz w:val="24"/>
          <w:szCs w:val="24"/>
          <w:lang w:eastAsia="es-AR"/>
        </w:rPr>
      </w:pPr>
      <w:r w:rsidRPr="00794B24">
        <w:rPr>
          <w:rFonts w:ascii="Verdana" w:eastAsia="Times New Roman" w:hAnsi="Verdana" w:cs="Times New Roman"/>
          <w:b/>
          <w:bCs/>
          <w:color w:val="000000"/>
          <w:sz w:val="24"/>
          <w:szCs w:val="24"/>
          <w:lang w:val="es-UY" w:eastAsia="es-AR"/>
        </w:rPr>
        <w:t>4.       Caracterización de los hechos alegados</w:t>
      </w:r>
    </w:p>
    <w:p w:rsidR="00725117" w:rsidRDefault="00725117" w:rsidP="00794B24">
      <w:pPr>
        <w:spacing w:after="0" w:line="240" w:lineRule="auto"/>
        <w:jc w:val="both"/>
        <w:rPr>
          <w:rFonts w:ascii="Verdana" w:eastAsia="Times New Roman" w:hAnsi="Verdana" w:cs="Times New Roman"/>
          <w:color w:val="000000"/>
          <w:sz w:val="24"/>
          <w:szCs w:val="24"/>
          <w:lang w:val="es-UY" w:eastAsia="es-AR"/>
        </w:rPr>
      </w:pP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38.</w:t>
      </w:r>
      <w:r w:rsidR="00725117">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Los peticionarios sostienen que el Estado está incumpliendo con su obligación de respetar los derechos y su obligación positiva de proteger de manera adecuada los derechos a la vida, la integridad personal y la salud de las 49 personas individualizadas como presuntas víctimas. Señalan, además, que los hechos denunciados constituyen también violaciones a otros derechos de los individuos tales como las garantías judiciales, la igualdad ante la ley, protección judicial, y el desarrollo progresivo de los derechos económicos, sociales y culturales, todos ellos comprendidos dentro de los preceptos de la Convención Americana.</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39.</w:t>
      </w:r>
      <w:r w:rsidR="00725117">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 Al respecto, la Comisión analizará en los méritos, si bajo los artículos 1(1) y 4 de la Convención Americana el Estado está en la obligación positiva de proveer tratamiento antirretroviral como alegan los peticionarios. Asimismo, estudiará si la provisión de tratamiento y medicinas a las presuntas víctimas por entidades privadas releva al Estado de la obligación de proveerlos, en el supuesto de una respuesta positiva a la primera cuestión.</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lastRenderedPageBreak/>
        <w:t> </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40.</w:t>
      </w:r>
      <w:r w:rsidR="00725117">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En cuanto a los alegatos referentes a la falta de tutela judicial efectiva, la Comisión considera que podrían caracterizar una violación al derecho consagrado en el artículo </w:t>
      </w:r>
      <w:r>
        <w:rPr>
          <w:rFonts w:ascii="Verdana" w:eastAsia="Times New Roman" w:hAnsi="Verdana" w:cs="Times New Roman"/>
          <w:color w:val="000000"/>
          <w:sz w:val="24"/>
          <w:szCs w:val="24"/>
          <w:lang w:val="es-UY" w:eastAsia="es-AR"/>
        </w:rPr>
        <w:t xml:space="preserve">25 de la Convención Americana, </w:t>
      </w:r>
      <w:r w:rsidRPr="00794B24">
        <w:rPr>
          <w:rFonts w:ascii="Verdana" w:eastAsia="Times New Roman" w:hAnsi="Verdana" w:cs="Times New Roman"/>
          <w:color w:val="000000"/>
          <w:sz w:val="24"/>
          <w:szCs w:val="24"/>
          <w:lang w:val="es-UY" w:eastAsia="es-AR"/>
        </w:rPr>
        <w:t>en el evento de que resulten probados durante la etapa de fondo. Los peticionarios no demostraron que en este caso se caracterizara una violación independiente del artículo 8 de la Convención, y en consecuencia se abstiene de pronunciarse al respecto.</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41.</w:t>
      </w:r>
      <w:r w:rsidR="00725117">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 Respecto a la alegada violación al artículo 5 de la Convención Americana, la Comisión considera que, </w:t>
      </w:r>
      <w:r w:rsidRPr="00794B24">
        <w:rPr>
          <w:rFonts w:ascii="Verdana" w:eastAsia="Times New Roman" w:hAnsi="Verdana" w:cs="Times New Roman"/>
          <w:sz w:val="24"/>
          <w:szCs w:val="24"/>
          <w:lang w:val="es-ES_tradnl" w:eastAsia="es-AR"/>
        </w:rPr>
        <w:t xml:space="preserve">en las circunstancias del presente caso, se encuentra subsumido en el derecho a la vida consagrado en el artículo 4 de la Convención Americana. </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ES_tradnl" w:eastAsia="es-AR"/>
        </w:rPr>
        <w:t> </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42.</w:t>
      </w:r>
      <w:r w:rsidR="00725117">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En cuanto a la alegada violación del artículo 26 de la Convención Americana, la Comisión considera que en cuanto se trata del derecho a la salud hay una obligación de cumplimiento progresivo, y esto se refiere al derecho a la salud en general, tanto curativa como preventiva, y cuya atención es debida a toda la población. En este sentido, la Comisión comparte lo sostenido por la Corte al indicar que </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94B24">
      <w:pPr>
        <w:spacing w:after="0" w:line="240" w:lineRule="auto"/>
        <w:ind w:left="720" w:right="720"/>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val="es-ES_tradnl" w:eastAsia="es-AR"/>
        </w:rPr>
        <w:t>Los derechos económicos, sociales y culturales tienen una dimensión tanto individual como colectiva.  Su desarrollo progresivo, sobre el cual ya se ha pronunciado el Comité de Derechos Económicos, Sociales y Culturales de las Naciones Unidas</w:t>
      </w:r>
      <w:bookmarkStart w:id="14" w:name="_ftnref16"/>
      <w:r w:rsidRPr="00794B24">
        <w:rPr>
          <w:rStyle w:val="Refdenotaalpie"/>
          <w:rFonts w:ascii="Verdana" w:eastAsia="Times New Roman" w:hAnsi="Verdana" w:cs="Times New Roman"/>
          <w:sz w:val="24"/>
          <w:szCs w:val="24"/>
          <w:vertAlign w:val="superscript"/>
          <w:lang w:val="es-ES_tradnl" w:eastAsia="es-AR"/>
        </w:rPr>
        <w:footnoteReference w:id="16"/>
      </w:r>
      <w:bookmarkEnd w:id="14"/>
      <w:r w:rsidRPr="00794B24">
        <w:rPr>
          <w:rFonts w:ascii="Verdana" w:eastAsia="Times New Roman" w:hAnsi="Verdana" w:cs="Times New Roman"/>
          <w:sz w:val="24"/>
          <w:szCs w:val="24"/>
          <w:lang w:val="es-ES_tradnl" w:eastAsia="es-AR"/>
        </w:rPr>
        <w:t xml:space="preserve"> se debe medir, en el criterio de este Tribunal, en función de la creciente cobertura de los derechos económicos, sociales y culturales en general, y del derecho a la seguridad social y a la pensión en particular, sobre el conjunto de la población, teniendo presentes los imperativos de la equidad social, y no en función de las circunstancias de un muy limitado grupo de pensionistas no necesariamente representativos de la situación general prevaleciente.</w:t>
      </w:r>
      <w:bookmarkStart w:id="15" w:name="_ftnref17"/>
      <w:r w:rsidRPr="00794B24">
        <w:rPr>
          <w:rStyle w:val="Refdenotaalpie"/>
          <w:rFonts w:ascii="Verdana" w:eastAsia="Times New Roman" w:hAnsi="Verdana" w:cs="Times New Roman"/>
          <w:sz w:val="24"/>
          <w:szCs w:val="24"/>
          <w:vertAlign w:val="superscript"/>
          <w:lang w:val="es-ES_tradnl" w:eastAsia="es-AR"/>
        </w:rPr>
        <w:footnoteReference w:id="17"/>
      </w:r>
      <w:r>
        <w:rPr>
          <w:rFonts w:ascii="Verdana" w:eastAsia="Times New Roman" w:hAnsi="Verdana" w:cs="Times New Roman"/>
          <w:sz w:val="24"/>
          <w:szCs w:val="24"/>
          <w:lang w:val="es-ES_tradnl" w:eastAsia="es-AR"/>
        </w:rPr>
        <w:t xml:space="preserve"> </w:t>
      </w:r>
      <w:bookmarkEnd w:id="15"/>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25117">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xml:space="preserve">43. Dichas reflexiones se aplican igualmente al derecho a la salud. Independientemente de lo señalado respecto al carácter progresivo del derecho a la salud, existen al menos dos situaciones de exigibilidad inmediata. El primer supuesto es el de no-discriminación, en el sentido </w:t>
      </w:r>
      <w:r w:rsidRPr="00794B24">
        <w:rPr>
          <w:rFonts w:ascii="Verdana" w:eastAsia="Times New Roman" w:hAnsi="Verdana" w:cs="Times New Roman"/>
          <w:color w:val="000000"/>
          <w:sz w:val="24"/>
          <w:szCs w:val="24"/>
          <w:lang w:val="es-UY" w:eastAsia="es-AR"/>
        </w:rPr>
        <w:lastRenderedPageBreak/>
        <w:t>de que el Estado no pued</w:t>
      </w:r>
      <w:r>
        <w:rPr>
          <w:rFonts w:ascii="Verdana" w:eastAsia="Times New Roman" w:hAnsi="Verdana" w:cs="Times New Roman"/>
          <w:color w:val="000000"/>
          <w:sz w:val="24"/>
          <w:szCs w:val="24"/>
          <w:lang w:val="es-UY" w:eastAsia="es-AR"/>
        </w:rPr>
        <w:t>e garantizar el</w:t>
      </w:r>
      <w:r w:rsidRPr="00794B24">
        <w:rPr>
          <w:rFonts w:ascii="Verdana" w:eastAsia="Times New Roman" w:hAnsi="Verdana" w:cs="Times New Roman"/>
          <w:color w:val="000000"/>
          <w:sz w:val="24"/>
          <w:szCs w:val="24"/>
          <w:lang w:val="es-UY" w:eastAsia="es-AR"/>
        </w:rPr>
        <w:t xml:space="preserve"> derecho a la salud de manera discriminatoria. En el presente caso los peticionarios no sustentaron una práctica discriminatoria en este ámbito. En efecto, los peticionarios no probaron que a las presuntas víctimas se les hubiese negado la atención médica o los medicamentos que a otras personas que se encuentran en la misma situación se les haya dado. Tampoco aportaron argumentos o pruebas para sustentar que los pacientes de VIH/SIDA reciben un tratamiento diferenciado, sin una justificación racional, frente a personas que padecen otro tipo de enfermedades. Por lo tanto, corresponde igualmente declarar la inadmisibilidad con relación al artículo 24 de la Convención Americana.</w:t>
      </w:r>
    </w:p>
    <w:p w:rsidR="00794B24" w:rsidRPr="00794B24" w:rsidRDefault="00794B24" w:rsidP="00794B24">
      <w:pPr>
        <w:spacing w:after="0" w:line="240" w:lineRule="auto"/>
        <w:ind w:firstLine="720"/>
        <w:jc w:val="both"/>
        <w:rPr>
          <w:rFonts w:ascii="Verdana" w:eastAsia="Times New Roman" w:hAnsi="Verdana" w:cs="Times New Roman"/>
          <w:sz w:val="24"/>
          <w:szCs w:val="24"/>
          <w:lang w:eastAsia="es-AR"/>
        </w:rPr>
      </w:pPr>
      <w:bookmarkStart w:id="16" w:name="_GoBack"/>
      <w:bookmarkEnd w:id="16"/>
    </w:p>
    <w:p w:rsidR="00794B24" w:rsidRPr="00794B24" w:rsidRDefault="00794B24" w:rsidP="00725117">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44.</w:t>
      </w:r>
      <w:r w:rsidR="00725117">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 El segundo supuesto se presenta</w:t>
      </w:r>
      <w:r w:rsidRPr="00794B24">
        <w:rPr>
          <w:rFonts w:ascii="Verdana" w:eastAsia="Times New Roman" w:hAnsi="Verdana" w:cs="Times New Roman"/>
          <w:sz w:val="24"/>
          <w:szCs w:val="24"/>
          <w:lang w:val="es-ES" w:eastAsia="es-AR"/>
        </w:rPr>
        <w:t xml:space="preserve"> cuando hay un grave o inminente riesgo de pérdida de la vida de la persona, cuyo deber de garantía corresponde al Estado. En relación con este último supuesto, la Comisión observa que los hechos descritos pueden llegar a caracterizar una violación al derecho a la vida consagrado en el artículo 4 de la Convención Americana. En tal virtud, la Comisión considera que en las circunstancias del presente asunto, corresponde establecer, a los fines de la admisibilidad, que las alegaciones de los peticionarios relativas a la salud quedan subsumidas en las claras pautas establecidas sobre los alcances del deber de garantía del derecho a la vida que surge de los artículos 1(1) y 4 de la Convención Americana y no dentro del artículo 26 del mismo instrumento.</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val="es-CO" w:eastAsia="es-AR"/>
        </w:rPr>
        <w:t>45.</w:t>
      </w:r>
      <w:r w:rsidR="00725117">
        <w:rPr>
          <w:rFonts w:ascii="Verdana" w:eastAsia="Times New Roman" w:hAnsi="Verdana" w:cs="Times New Roman"/>
          <w:sz w:val="24"/>
          <w:szCs w:val="24"/>
          <w:lang w:val="es-CO" w:eastAsia="es-AR"/>
        </w:rPr>
        <w:tab/>
      </w:r>
      <w:r w:rsidRPr="00794B24">
        <w:rPr>
          <w:rFonts w:ascii="Verdana" w:eastAsia="Times New Roman" w:hAnsi="Verdana" w:cs="Times New Roman"/>
          <w:sz w:val="24"/>
          <w:szCs w:val="24"/>
          <w:lang w:val="es-CO" w:eastAsia="es-AR"/>
        </w:rPr>
        <w:t xml:space="preserve"> En consecuencia, sin prejuzgar sobre las cuestiones de fondo, la Comisión considera </w:t>
      </w:r>
      <w:r w:rsidRPr="00794B24">
        <w:rPr>
          <w:rFonts w:ascii="Verdana" w:eastAsia="Times New Roman" w:hAnsi="Verdana" w:cs="Times New Roman"/>
          <w:sz w:val="24"/>
          <w:szCs w:val="24"/>
          <w:lang w:val="es-ES" w:eastAsia="es-AR"/>
        </w:rPr>
        <w:t>que se han satisfecho los requisitos previstos en el artículo 47(b) y (c) del referido instrumento internacional.</w:t>
      </w: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94B24">
      <w:pPr>
        <w:spacing w:after="0" w:line="240" w:lineRule="auto"/>
        <w:ind w:left="1440" w:hanging="720"/>
        <w:jc w:val="both"/>
        <w:rPr>
          <w:rFonts w:ascii="Verdana" w:eastAsia="Times New Roman" w:hAnsi="Verdana" w:cs="Times New Roman"/>
          <w:sz w:val="24"/>
          <w:szCs w:val="24"/>
          <w:lang w:eastAsia="es-AR"/>
        </w:rPr>
      </w:pPr>
      <w:r w:rsidRPr="00794B24">
        <w:rPr>
          <w:rFonts w:ascii="Verdana" w:eastAsia="Times New Roman" w:hAnsi="Verdana" w:cs="Times New Roman"/>
          <w:b/>
          <w:bCs/>
          <w:color w:val="000000"/>
          <w:sz w:val="24"/>
          <w:szCs w:val="24"/>
          <w:lang w:eastAsia="es-AR"/>
        </w:rPr>
        <w:t>V</w:t>
      </w:r>
      <w:r w:rsidRPr="00794B24">
        <w:rPr>
          <w:rFonts w:ascii="Verdana" w:eastAsia="Times New Roman" w:hAnsi="Verdana" w:cs="Times New Roman"/>
          <w:b/>
          <w:bCs/>
          <w:color w:val="000000"/>
          <w:sz w:val="24"/>
          <w:szCs w:val="24"/>
          <w:lang w:val="es-UY" w:eastAsia="es-AR"/>
        </w:rPr>
        <w:t>.</w:t>
      </w:r>
      <w:r w:rsidR="00725117">
        <w:rPr>
          <w:rFonts w:ascii="Verdana" w:eastAsia="Times New Roman" w:hAnsi="Verdana" w:cs="Times New Roman"/>
          <w:color w:val="000000"/>
          <w:sz w:val="24"/>
          <w:szCs w:val="24"/>
          <w:lang w:val="es-UY" w:eastAsia="es-AR"/>
        </w:rPr>
        <w:t xml:space="preserve"> </w:t>
      </w:r>
      <w:r w:rsidRPr="00794B24">
        <w:rPr>
          <w:rFonts w:ascii="Verdana" w:eastAsia="Times New Roman" w:hAnsi="Verdana" w:cs="Times New Roman"/>
          <w:b/>
          <w:bCs/>
          <w:color w:val="000000"/>
          <w:sz w:val="24"/>
          <w:szCs w:val="24"/>
          <w:lang w:val="es-UY" w:eastAsia="es-AR"/>
        </w:rPr>
        <w:t>CONCLUSIONES</w:t>
      </w:r>
    </w:p>
    <w:p w:rsidR="00794B24" w:rsidRPr="00794B24" w:rsidRDefault="00794B24" w:rsidP="00794B24">
      <w:pPr>
        <w:spacing w:after="0" w:line="240" w:lineRule="auto"/>
        <w:ind w:left="720"/>
        <w:jc w:val="both"/>
        <w:rPr>
          <w:rFonts w:ascii="Verdana" w:eastAsia="Times New Roman" w:hAnsi="Verdana" w:cs="Times New Roman"/>
          <w:sz w:val="24"/>
          <w:szCs w:val="24"/>
          <w:lang w:eastAsia="es-AR"/>
        </w:rPr>
      </w:pPr>
      <w:r w:rsidRPr="00794B24">
        <w:rPr>
          <w:rFonts w:ascii="Verdana" w:eastAsia="Times New Roman" w:hAnsi="Verdana" w:cs="Times New Roman"/>
          <w:b/>
          <w:bCs/>
          <w:color w:val="000000"/>
          <w:sz w:val="24"/>
          <w:szCs w:val="24"/>
          <w:lang w:val="es-UY" w:eastAsia="es-AR"/>
        </w:rPr>
        <w:t> </w:t>
      </w:r>
    </w:p>
    <w:p w:rsidR="00794B24" w:rsidRPr="00794B24" w:rsidRDefault="00794B24" w:rsidP="00725117">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46.</w:t>
      </w:r>
      <w:r w:rsidR="00725117">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La Comisión concluye que, de conformidad a los requisitos establecidos en los artículos 46 y 47 de la Convención Americana, es competente para examinar los reclamos presentados por los peticionarios en relación con el derecho a la vida y a la tutela judicial efectiva, en relación con la obligación general de respetar los derechos. En cuanto a los reclamos referidos a las presuntas violaciones de los derechos a la integridad personal y a los derechos económicos, sociales y culturales, la Comisión encontró que, en las circunstancias de la presente petición, se encuentran subsumidos en la alegada violación del derecho a la vida. Finalmente, la Comisión declaró la inadmisibilidad de los reclamos referidos a la presunta violación del derecho a la igualdad ante la ley.</w:t>
      </w:r>
    </w:p>
    <w:p w:rsidR="00794B24" w:rsidRPr="00794B24" w:rsidRDefault="00794B24" w:rsidP="00794B24">
      <w:pPr>
        <w:spacing w:after="0" w:line="240" w:lineRule="auto"/>
        <w:jc w:val="both"/>
        <w:rPr>
          <w:rFonts w:ascii="Verdana" w:eastAsia="Times New Roman" w:hAnsi="Verdana" w:cs="Times New Roman"/>
          <w:sz w:val="24"/>
          <w:szCs w:val="24"/>
          <w:lang w:eastAsia="es-AR"/>
        </w:rPr>
      </w:pPr>
    </w:p>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lastRenderedPageBreak/>
        <w:t xml:space="preserve">47. </w:t>
      </w:r>
      <w:r w:rsidR="00725117">
        <w:rPr>
          <w:rFonts w:ascii="Verdana" w:eastAsia="Times New Roman" w:hAnsi="Verdana" w:cs="Times New Roman"/>
          <w:color w:val="000000"/>
          <w:sz w:val="24"/>
          <w:szCs w:val="24"/>
          <w:lang w:val="es-UY" w:eastAsia="es-AR"/>
        </w:rPr>
        <w:tab/>
      </w:r>
      <w:r w:rsidRPr="00794B24">
        <w:rPr>
          <w:rFonts w:ascii="Verdana" w:eastAsia="Times New Roman" w:hAnsi="Verdana" w:cs="Times New Roman"/>
          <w:color w:val="000000"/>
          <w:sz w:val="24"/>
          <w:szCs w:val="24"/>
          <w:lang w:val="es-UY" w:eastAsia="es-AR"/>
        </w:rPr>
        <w:t xml:space="preserve"> Con fundamento en los argumentos de hecho y de derecho antes expuestos y sin que ello signifique prejuzgar sobre el fondo del asunto,</w:t>
      </w:r>
    </w:p>
    <w:p w:rsidR="00794B24" w:rsidRPr="00794B24" w:rsidRDefault="00794B24" w:rsidP="00794B24">
      <w:pPr>
        <w:spacing w:after="0" w:line="240" w:lineRule="auto"/>
        <w:ind w:left="360"/>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94B24" w:rsidRDefault="00794B24" w:rsidP="00794B24">
      <w:pPr>
        <w:spacing w:after="0" w:line="240" w:lineRule="auto"/>
        <w:ind w:left="360"/>
        <w:jc w:val="center"/>
        <w:rPr>
          <w:rFonts w:ascii="Verdana" w:eastAsia="Times New Roman" w:hAnsi="Verdana" w:cs="Times New Roman"/>
          <w:sz w:val="24"/>
          <w:szCs w:val="24"/>
          <w:lang w:eastAsia="es-AR"/>
        </w:rPr>
      </w:pPr>
      <w:r w:rsidRPr="00794B24">
        <w:rPr>
          <w:rFonts w:ascii="Verdana" w:eastAsia="Times New Roman" w:hAnsi="Verdana" w:cs="Times New Roman"/>
          <w:b/>
          <w:bCs/>
          <w:color w:val="000000"/>
          <w:sz w:val="24"/>
          <w:szCs w:val="24"/>
          <w:lang w:val="es-UY" w:eastAsia="es-AR"/>
        </w:rPr>
        <w:t>LA COMISIÓN INTERAMERICANA DE DERECHOS HUMANOS,</w:t>
      </w:r>
    </w:p>
    <w:p w:rsidR="00794B24" w:rsidRPr="00794B24" w:rsidRDefault="00794B24" w:rsidP="00794B24">
      <w:pPr>
        <w:spacing w:after="0" w:line="240" w:lineRule="auto"/>
        <w:ind w:left="-90" w:firstLine="810"/>
        <w:jc w:val="both"/>
        <w:rPr>
          <w:rFonts w:ascii="Verdana" w:eastAsia="Times New Roman" w:hAnsi="Verdana" w:cs="Times New Roman"/>
          <w:sz w:val="24"/>
          <w:szCs w:val="24"/>
          <w:lang w:eastAsia="es-AR"/>
        </w:rPr>
      </w:pPr>
      <w:r w:rsidRPr="00794B24">
        <w:rPr>
          <w:rFonts w:ascii="Verdana" w:eastAsia="Times New Roman" w:hAnsi="Verdana" w:cs="Times New Roman"/>
          <w:b/>
          <w:bCs/>
          <w:color w:val="000000"/>
          <w:sz w:val="24"/>
          <w:szCs w:val="24"/>
          <w:lang w:val="es-UY" w:eastAsia="es-AR"/>
        </w:rPr>
        <w:t> </w:t>
      </w:r>
    </w:p>
    <w:p w:rsidR="00794B24" w:rsidRPr="00794B24" w:rsidRDefault="00794B24" w:rsidP="00794B24">
      <w:pPr>
        <w:spacing w:after="0" w:line="240" w:lineRule="auto"/>
        <w:ind w:left="360"/>
        <w:jc w:val="both"/>
        <w:rPr>
          <w:rFonts w:ascii="Verdana" w:eastAsia="Times New Roman" w:hAnsi="Verdana" w:cs="Times New Roman"/>
          <w:sz w:val="24"/>
          <w:szCs w:val="24"/>
          <w:lang w:eastAsia="es-AR"/>
        </w:rPr>
      </w:pPr>
      <w:r w:rsidRPr="00794B24">
        <w:rPr>
          <w:rFonts w:ascii="Verdana" w:eastAsia="Times New Roman" w:hAnsi="Verdana" w:cs="Times New Roman"/>
          <w:b/>
          <w:bCs/>
          <w:color w:val="000000"/>
          <w:sz w:val="24"/>
          <w:szCs w:val="24"/>
          <w:lang w:val="es-UY" w:eastAsia="es-AR"/>
        </w:rPr>
        <w:t>DECIDE:</w:t>
      </w:r>
    </w:p>
    <w:p w:rsidR="00794B24" w:rsidRPr="00794B24" w:rsidRDefault="00794B24" w:rsidP="00794B24">
      <w:pPr>
        <w:spacing w:after="0" w:line="240" w:lineRule="auto"/>
        <w:ind w:left="-90" w:firstLine="810"/>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25117" w:rsidRDefault="00794B24" w:rsidP="00725117">
      <w:pPr>
        <w:pStyle w:val="Prrafodelista"/>
        <w:numPr>
          <w:ilvl w:val="0"/>
          <w:numId w:val="2"/>
        </w:numPr>
        <w:spacing w:after="0" w:line="240" w:lineRule="auto"/>
        <w:jc w:val="both"/>
        <w:rPr>
          <w:rFonts w:ascii="Verdana" w:eastAsia="Times New Roman" w:hAnsi="Verdana" w:cs="Times New Roman"/>
          <w:sz w:val="24"/>
          <w:szCs w:val="24"/>
          <w:lang w:eastAsia="es-AR"/>
        </w:rPr>
      </w:pPr>
      <w:r w:rsidRPr="00725117">
        <w:rPr>
          <w:rFonts w:ascii="Verdana" w:eastAsia="Times New Roman" w:hAnsi="Verdana" w:cs="Times New Roman"/>
          <w:color w:val="000000"/>
          <w:sz w:val="24"/>
          <w:szCs w:val="24"/>
          <w:lang w:val="es-UY" w:eastAsia="es-AR"/>
        </w:rPr>
        <w:t xml:space="preserve"> Declarar admisible el presente caso con relación a los artículos 4 y 25 en concordancia con el artículo 1(1) de la Convención Americana.</w:t>
      </w:r>
    </w:p>
    <w:p w:rsidR="00794B24" w:rsidRPr="00794B24" w:rsidRDefault="00794B24" w:rsidP="00794B24">
      <w:pPr>
        <w:spacing w:after="0" w:line="240" w:lineRule="auto"/>
        <w:ind w:firstLine="720"/>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25117" w:rsidRDefault="00794B24" w:rsidP="00725117">
      <w:pPr>
        <w:pStyle w:val="Prrafodelista"/>
        <w:numPr>
          <w:ilvl w:val="0"/>
          <w:numId w:val="2"/>
        </w:numPr>
        <w:spacing w:after="0" w:line="240" w:lineRule="auto"/>
        <w:jc w:val="both"/>
        <w:rPr>
          <w:rFonts w:ascii="Verdana" w:eastAsia="Times New Roman" w:hAnsi="Verdana" w:cs="Times New Roman"/>
          <w:sz w:val="24"/>
          <w:szCs w:val="24"/>
          <w:lang w:eastAsia="es-AR"/>
        </w:rPr>
      </w:pPr>
      <w:r w:rsidRPr="00725117">
        <w:rPr>
          <w:rFonts w:ascii="Verdana" w:eastAsia="Times New Roman" w:hAnsi="Verdana" w:cs="Times New Roman"/>
          <w:color w:val="000000"/>
          <w:sz w:val="24"/>
          <w:szCs w:val="24"/>
          <w:lang w:val="es-UY" w:eastAsia="es-AR"/>
        </w:rPr>
        <w:t xml:space="preserve"> Notificar esta decisión al Estado guatemalteco y al peticionario.</w:t>
      </w:r>
    </w:p>
    <w:p w:rsidR="00794B24" w:rsidRPr="00794B24" w:rsidRDefault="00794B24" w:rsidP="00794B24">
      <w:pPr>
        <w:spacing w:after="0" w:line="240" w:lineRule="auto"/>
        <w:ind w:firstLine="720"/>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25117" w:rsidRDefault="00794B24" w:rsidP="00725117">
      <w:pPr>
        <w:pStyle w:val="Prrafodelista"/>
        <w:numPr>
          <w:ilvl w:val="0"/>
          <w:numId w:val="2"/>
        </w:numPr>
        <w:spacing w:after="0" w:line="240" w:lineRule="auto"/>
        <w:jc w:val="both"/>
        <w:rPr>
          <w:rFonts w:ascii="Verdana" w:eastAsia="Times New Roman" w:hAnsi="Verdana" w:cs="Times New Roman"/>
          <w:sz w:val="24"/>
          <w:szCs w:val="24"/>
          <w:lang w:eastAsia="es-AR"/>
        </w:rPr>
      </w:pPr>
      <w:r w:rsidRPr="00725117">
        <w:rPr>
          <w:rFonts w:ascii="Verdana" w:eastAsia="Times New Roman" w:hAnsi="Verdana" w:cs="Times New Roman"/>
          <w:color w:val="000000"/>
          <w:sz w:val="24"/>
          <w:szCs w:val="24"/>
          <w:lang w:val="es-UY" w:eastAsia="es-AR"/>
        </w:rPr>
        <w:t xml:space="preserve"> Continuar con el análisis del fondo de la cuestión.</w:t>
      </w:r>
    </w:p>
    <w:p w:rsidR="00794B24" w:rsidRPr="00794B24" w:rsidRDefault="00794B24" w:rsidP="00794B24">
      <w:pPr>
        <w:spacing w:after="0" w:line="240" w:lineRule="auto"/>
        <w:ind w:firstLine="720"/>
        <w:jc w:val="both"/>
        <w:rPr>
          <w:rFonts w:ascii="Verdana" w:eastAsia="Times New Roman" w:hAnsi="Verdana" w:cs="Times New Roman"/>
          <w:sz w:val="24"/>
          <w:szCs w:val="24"/>
          <w:lang w:eastAsia="es-AR"/>
        </w:rPr>
      </w:pPr>
      <w:r w:rsidRPr="00794B24">
        <w:rPr>
          <w:rFonts w:ascii="Verdana" w:eastAsia="Times New Roman" w:hAnsi="Verdana" w:cs="Times New Roman"/>
          <w:color w:val="000000"/>
          <w:sz w:val="24"/>
          <w:szCs w:val="24"/>
          <w:lang w:val="es-UY" w:eastAsia="es-AR"/>
        </w:rPr>
        <w:t> </w:t>
      </w:r>
    </w:p>
    <w:p w:rsidR="00794B24" w:rsidRPr="00725117" w:rsidRDefault="00794B24" w:rsidP="00725117">
      <w:pPr>
        <w:pStyle w:val="Prrafodelista"/>
        <w:numPr>
          <w:ilvl w:val="0"/>
          <w:numId w:val="2"/>
        </w:numPr>
        <w:spacing w:after="0" w:line="240" w:lineRule="auto"/>
        <w:rPr>
          <w:rFonts w:ascii="Verdana" w:eastAsia="Times New Roman" w:hAnsi="Verdana" w:cs="Times New Roman"/>
          <w:sz w:val="24"/>
          <w:szCs w:val="24"/>
          <w:lang w:eastAsia="es-AR"/>
        </w:rPr>
      </w:pPr>
      <w:r w:rsidRPr="00725117">
        <w:rPr>
          <w:rFonts w:ascii="Verdana" w:eastAsia="Times New Roman" w:hAnsi="Verdana" w:cs="Times New Roman"/>
          <w:color w:val="000000"/>
          <w:sz w:val="24"/>
          <w:szCs w:val="24"/>
          <w:lang w:val="es-UY" w:eastAsia="es-AR"/>
        </w:rPr>
        <w:t xml:space="preserve"> Publicar esta decisión e incluirla en su Informe Anual a la Asamblea General de la OEA.</w:t>
      </w:r>
    </w:p>
    <w:p w:rsidR="00794B24" w:rsidRPr="00794B24" w:rsidRDefault="00794B24" w:rsidP="00794B24">
      <w:pPr>
        <w:spacing w:after="0" w:line="240" w:lineRule="auto"/>
        <w:rPr>
          <w:rFonts w:ascii="Verdana" w:eastAsia="Times New Roman" w:hAnsi="Verdana" w:cs="Times New Roman"/>
          <w:sz w:val="24"/>
          <w:szCs w:val="24"/>
          <w:lang w:eastAsia="es-AR"/>
        </w:rPr>
      </w:pPr>
    </w:p>
    <w:p w:rsidR="00794B24" w:rsidRPr="00794B24" w:rsidRDefault="00794B24" w:rsidP="00794B24">
      <w:pPr>
        <w:autoSpaceDE w:val="0"/>
        <w:autoSpaceDN w:val="0"/>
        <w:spacing w:after="0" w:line="240" w:lineRule="auto"/>
        <w:ind w:firstLine="720"/>
        <w:jc w:val="both"/>
        <w:rPr>
          <w:rFonts w:ascii="Verdana" w:eastAsia="Times New Roman" w:hAnsi="Verdana" w:cs="Times New Roman"/>
          <w:sz w:val="24"/>
          <w:szCs w:val="24"/>
          <w:lang w:eastAsia="es-AR"/>
        </w:rPr>
      </w:pPr>
      <w:r w:rsidRPr="00794B24">
        <w:rPr>
          <w:rFonts w:ascii="Verdana" w:eastAsia="Times New Roman" w:hAnsi="Verdana" w:cs="Times New Roman"/>
          <w:sz w:val="24"/>
          <w:szCs w:val="24"/>
          <w:lang w:val="es-ES_tradnl" w:eastAsia="es-AR"/>
        </w:rPr>
        <w:t xml:space="preserve">Dado y firmado en la sede de la Comisión Interamericana de Derechos Humanos, en la ciudad de Washington, D.C., a los 7 días del mes de marzo de 2005. (Firmado): Clare K. Roberts, Presidente; Susana Villarán, Primera Vicepresidenta; Paulo </w:t>
      </w:r>
      <w:proofErr w:type="spellStart"/>
      <w:r w:rsidRPr="00794B24">
        <w:rPr>
          <w:rFonts w:ascii="Verdana" w:eastAsia="Times New Roman" w:hAnsi="Verdana" w:cs="Times New Roman"/>
          <w:sz w:val="24"/>
          <w:szCs w:val="24"/>
          <w:lang w:val="es-ES_tradnl" w:eastAsia="es-AR"/>
        </w:rPr>
        <w:t>Sérgio</w:t>
      </w:r>
      <w:proofErr w:type="spellEnd"/>
      <w:r w:rsidRPr="00794B24">
        <w:rPr>
          <w:rFonts w:ascii="Verdana" w:eastAsia="Times New Roman" w:hAnsi="Verdana" w:cs="Times New Roman"/>
          <w:sz w:val="24"/>
          <w:szCs w:val="24"/>
          <w:lang w:val="es-ES_tradnl" w:eastAsia="es-AR"/>
        </w:rPr>
        <w:t xml:space="preserve"> </w:t>
      </w:r>
      <w:proofErr w:type="spellStart"/>
      <w:r w:rsidRPr="00794B24">
        <w:rPr>
          <w:rFonts w:ascii="Verdana" w:eastAsia="Times New Roman" w:hAnsi="Verdana" w:cs="Times New Roman"/>
          <w:sz w:val="24"/>
          <w:szCs w:val="24"/>
          <w:lang w:val="es-ES_tradnl" w:eastAsia="es-AR"/>
        </w:rPr>
        <w:t>Pinheiro</w:t>
      </w:r>
      <w:proofErr w:type="spellEnd"/>
      <w:r w:rsidRPr="00794B24">
        <w:rPr>
          <w:rFonts w:ascii="Verdana" w:eastAsia="Times New Roman" w:hAnsi="Verdana" w:cs="Times New Roman"/>
          <w:sz w:val="24"/>
          <w:szCs w:val="24"/>
          <w:lang w:val="es-ES_tradnl" w:eastAsia="es-AR"/>
        </w:rPr>
        <w:t xml:space="preserve">, Segundo Vicepresidente; Comisionados Evelio Fernández </w:t>
      </w:r>
      <w:proofErr w:type="spellStart"/>
      <w:r w:rsidRPr="00794B24">
        <w:rPr>
          <w:rFonts w:ascii="Verdana" w:eastAsia="Times New Roman" w:hAnsi="Verdana" w:cs="Times New Roman"/>
          <w:sz w:val="24"/>
          <w:szCs w:val="24"/>
          <w:lang w:val="es-ES_tradnl" w:eastAsia="es-AR"/>
        </w:rPr>
        <w:t>Arévalos</w:t>
      </w:r>
      <w:proofErr w:type="spellEnd"/>
      <w:r w:rsidRPr="00794B24">
        <w:rPr>
          <w:rFonts w:ascii="Verdana" w:eastAsia="Times New Roman" w:hAnsi="Verdana" w:cs="Times New Roman"/>
          <w:sz w:val="24"/>
          <w:szCs w:val="24"/>
          <w:lang w:val="es-ES_tradnl" w:eastAsia="es-AR"/>
        </w:rPr>
        <w:t xml:space="preserve">, José </w:t>
      </w:r>
      <w:proofErr w:type="spellStart"/>
      <w:r w:rsidRPr="00794B24">
        <w:rPr>
          <w:rFonts w:ascii="Verdana" w:eastAsia="Times New Roman" w:hAnsi="Verdana" w:cs="Times New Roman"/>
          <w:sz w:val="24"/>
          <w:szCs w:val="24"/>
          <w:lang w:val="es-ES_tradnl" w:eastAsia="es-AR"/>
        </w:rPr>
        <w:t>Zalaquett</w:t>
      </w:r>
      <w:proofErr w:type="spellEnd"/>
      <w:r w:rsidRPr="00794B24">
        <w:rPr>
          <w:rFonts w:ascii="Verdana" w:eastAsia="Times New Roman" w:hAnsi="Verdana" w:cs="Times New Roman"/>
          <w:sz w:val="24"/>
          <w:szCs w:val="24"/>
          <w:lang w:val="es-ES_tradnl" w:eastAsia="es-AR"/>
        </w:rPr>
        <w:t>, Freddy Gutiérrez y Florentín Meléndez.</w:t>
      </w:r>
    </w:p>
    <w:p w:rsidR="00794B24" w:rsidRPr="00794B24" w:rsidRDefault="00794B24" w:rsidP="00794B24">
      <w:pPr>
        <w:spacing w:after="0" w:line="240" w:lineRule="auto"/>
        <w:rPr>
          <w:rFonts w:ascii="Verdana" w:eastAsia="Times New Roman" w:hAnsi="Verdana" w:cs="Times New Roman"/>
          <w:sz w:val="24"/>
          <w:szCs w:val="24"/>
          <w:lang w:eastAsia="es-AR"/>
        </w:rPr>
      </w:pPr>
      <w:r w:rsidRPr="00794B24">
        <w:rPr>
          <w:rFonts w:ascii="Verdana" w:eastAsia="Times New Roman" w:hAnsi="Verdana" w:cs="Times New Roman"/>
          <w:sz w:val="24"/>
          <w:szCs w:val="24"/>
          <w:lang w:eastAsia="es-AR"/>
        </w:rPr>
        <w:t> </w:t>
      </w:r>
    </w:p>
    <w:p w:rsidR="00794B24" w:rsidRPr="00794B24" w:rsidRDefault="00794B24" w:rsidP="00794B24">
      <w:pPr>
        <w:spacing w:after="0" w:line="240" w:lineRule="auto"/>
        <w:rPr>
          <w:rFonts w:ascii="Verdana" w:eastAsia="Times New Roman" w:hAnsi="Verdana" w:cs="Times New Roman"/>
          <w:sz w:val="24"/>
          <w:szCs w:val="24"/>
          <w:lang w:eastAsia="es-AR"/>
        </w:rPr>
      </w:pPr>
      <w:r w:rsidRPr="00794B24">
        <w:rPr>
          <w:rFonts w:ascii="Verdana" w:eastAsia="Times New Roman" w:hAnsi="Verdana" w:cs="Times New Roman"/>
          <w:sz w:val="24"/>
          <w:szCs w:val="24"/>
          <w:lang w:eastAsia="es-AR"/>
        </w:rPr>
        <w:pict>
          <v:rect id="_x0000_i1025" style="width:145.85pt;height:.75pt" o:hrpct="330" o:hrstd="t" o:hr="t" fillcolor="#a0a0a0" stroked="f"/>
        </w:pict>
      </w:r>
    </w:p>
    <w:sectPr w:rsidR="00794B24" w:rsidRPr="00794B24">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B2D" w:rsidRDefault="00EC7B2D" w:rsidP="00794B24">
      <w:pPr>
        <w:spacing w:after="0" w:line="240" w:lineRule="auto"/>
      </w:pPr>
      <w:r>
        <w:separator/>
      </w:r>
    </w:p>
  </w:endnote>
  <w:endnote w:type="continuationSeparator" w:id="0">
    <w:p w:rsidR="00EC7B2D" w:rsidRDefault="00EC7B2D" w:rsidP="00794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8812457"/>
      <w:docPartObj>
        <w:docPartGallery w:val="Page Numbers (Bottom of Page)"/>
        <w:docPartUnique/>
      </w:docPartObj>
    </w:sdtPr>
    <w:sdtContent>
      <w:p w:rsidR="00725117" w:rsidRDefault="00725117">
        <w:pPr>
          <w:pStyle w:val="Piedepgina"/>
          <w:jc w:val="center"/>
        </w:pPr>
        <w:r>
          <w:fldChar w:fldCharType="begin"/>
        </w:r>
        <w:r>
          <w:instrText>PAGE   \* MERGEFORMAT</w:instrText>
        </w:r>
        <w:r>
          <w:fldChar w:fldCharType="separate"/>
        </w:r>
        <w:r w:rsidR="00797DC8" w:rsidRPr="00797DC8">
          <w:rPr>
            <w:noProof/>
            <w:lang w:val="es-ES"/>
          </w:rPr>
          <w:t>1</w:t>
        </w:r>
        <w:r>
          <w:fldChar w:fldCharType="end"/>
        </w:r>
      </w:p>
    </w:sdtContent>
  </w:sdt>
  <w:p w:rsidR="00725117" w:rsidRDefault="0072511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B2D" w:rsidRDefault="00EC7B2D" w:rsidP="00794B24">
      <w:pPr>
        <w:spacing w:after="0" w:line="240" w:lineRule="auto"/>
      </w:pPr>
      <w:r>
        <w:separator/>
      </w:r>
    </w:p>
  </w:footnote>
  <w:footnote w:type="continuationSeparator" w:id="0">
    <w:p w:rsidR="00EC7B2D" w:rsidRDefault="00EC7B2D" w:rsidP="00794B24">
      <w:pPr>
        <w:spacing w:after="0" w:line="240" w:lineRule="auto"/>
      </w:pPr>
      <w:r>
        <w:continuationSeparator/>
      </w:r>
    </w:p>
  </w:footnote>
  <w:footnote w:id="1">
    <w:p w:rsidR="00794B24" w:rsidRPr="00794B24" w:rsidRDefault="00794B24" w:rsidP="00794B24">
      <w:pPr>
        <w:spacing w:after="0" w:line="240" w:lineRule="auto"/>
        <w:jc w:val="both"/>
        <w:rPr>
          <w:rFonts w:ascii="Verdana" w:eastAsia="Times New Roman" w:hAnsi="Verdana" w:cs="Times New Roman"/>
          <w:sz w:val="24"/>
          <w:szCs w:val="24"/>
          <w:lang w:eastAsia="es-AR"/>
        </w:rPr>
      </w:pPr>
      <w:r w:rsidRPr="00794B24">
        <w:rPr>
          <w:rStyle w:val="Refdenotaalpie"/>
          <w:rFonts w:ascii="Verdana" w:hAnsi="Verdana"/>
          <w:sz w:val="20"/>
          <w:szCs w:val="20"/>
        </w:rPr>
        <w:footnoteRef/>
      </w:r>
      <w:r w:rsidRPr="00794B24">
        <w:rPr>
          <w:rFonts w:ascii="Verdana" w:hAnsi="Verdana"/>
          <w:sz w:val="20"/>
          <w:szCs w:val="20"/>
        </w:rPr>
        <w:t xml:space="preserve"> </w:t>
      </w:r>
      <w:r w:rsidRPr="00794B24">
        <w:rPr>
          <w:rFonts w:ascii="Verdana" w:eastAsia="Times New Roman" w:hAnsi="Verdana" w:cs="Times New Roman"/>
          <w:sz w:val="24"/>
          <w:szCs w:val="24"/>
          <w:lang w:val="es-UY" w:eastAsia="es-AR"/>
        </w:rPr>
        <w:t>Copia de la carta dirigida al Presidente de la República de fecha 27 de mayo de 2002, obra en el expediente.</w:t>
      </w:r>
    </w:p>
  </w:footnote>
  <w:footnote w:id="2">
    <w:p w:rsidR="00794B24" w:rsidRPr="00794B24" w:rsidRDefault="00794B24" w:rsidP="00794B24">
      <w:pPr>
        <w:pStyle w:val="Textonotapie"/>
        <w:spacing w:before="0" w:beforeAutospacing="0" w:after="0" w:afterAutospacing="0"/>
        <w:jc w:val="both"/>
        <w:rPr>
          <w:rFonts w:ascii="Verdana" w:hAnsi="Verdana"/>
          <w:sz w:val="20"/>
          <w:szCs w:val="20"/>
        </w:rPr>
      </w:pPr>
      <w:r w:rsidRPr="00794B24">
        <w:rPr>
          <w:rStyle w:val="Refdenotaalpie"/>
          <w:rFonts w:ascii="Verdana" w:hAnsi="Verdana"/>
          <w:sz w:val="20"/>
          <w:szCs w:val="20"/>
        </w:rPr>
        <w:footnoteRef/>
      </w:r>
      <w:r w:rsidRPr="00794B24">
        <w:rPr>
          <w:rFonts w:ascii="Verdana" w:hAnsi="Verdana"/>
          <w:sz w:val="20"/>
          <w:szCs w:val="20"/>
        </w:rPr>
        <w:t xml:space="preserve"> </w:t>
      </w:r>
      <w:r w:rsidRPr="00794B24">
        <w:rPr>
          <w:rFonts w:ascii="Verdana" w:hAnsi="Verdana"/>
          <w:lang w:val="es-UY"/>
        </w:rPr>
        <w:t>Copia del recurso de amparo presentado ante la Corte de Constitucionalidad el 26 de julio de 2002 obra en el expediente.</w:t>
      </w:r>
    </w:p>
  </w:footnote>
  <w:footnote w:id="3">
    <w:p w:rsidR="00794B24" w:rsidRPr="00FC2D4E" w:rsidRDefault="00794B24" w:rsidP="00FC2D4E">
      <w:pPr>
        <w:spacing w:after="0" w:line="240" w:lineRule="auto"/>
        <w:jc w:val="both"/>
        <w:rPr>
          <w:rFonts w:ascii="Verdana" w:eastAsia="Times New Roman" w:hAnsi="Verdana" w:cs="Times New Roman"/>
          <w:sz w:val="20"/>
          <w:szCs w:val="20"/>
          <w:lang w:eastAsia="es-AR"/>
        </w:rPr>
      </w:pPr>
      <w:r w:rsidRPr="00FC2D4E">
        <w:rPr>
          <w:rStyle w:val="Refdenotaalpie"/>
          <w:rFonts w:ascii="Verdana" w:hAnsi="Verdana"/>
          <w:sz w:val="20"/>
          <w:szCs w:val="20"/>
        </w:rPr>
        <w:footnoteRef/>
      </w:r>
      <w:r w:rsidRPr="00FC2D4E">
        <w:rPr>
          <w:rFonts w:ascii="Verdana" w:hAnsi="Verdana"/>
          <w:sz w:val="20"/>
          <w:szCs w:val="20"/>
        </w:rPr>
        <w:t xml:space="preserve"> </w:t>
      </w:r>
      <w:r w:rsidRPr="00794B24">
        <w:rPr>
          <w:rFonts w:ascii="Verdana" w:eastAsia="Times New Roman" w:hAnsi="Verdana" w:cs="Times New Roman"/>
          <w:sz w:val="20"/>
          <w:szCs w:val="20"/>
          <w:lang w:val="es-UY" w:eastAsia="es-AR"/>
        </w:rPr>
        <w:t xml:space="preserve">El Señor Facundo Gómez falleció el 26 de febrero de 2003, la señora Reina López Mújica falleció el 6 de noviembre de 2003, y el señor </w:t>
      </w:r>
      <w:proofErr w:type="spellStart"/>
      <w:r w:rsidRPr="00794B24">
        <w:rPr>
          <w:rFonts w:ascii="Verdana" w:eastAsia="Times New Roman" w:hAnsi="Verdana" w:cs="Times New Roman"/>
          <w:sz w:val="20"/>
          <w:szCs w:val="20"/>
          <w:lang w:val="es-UY" w:eastAsia="es-AR"/>
        </w:rPr>
        <w:t>Ismar</w:t>
      </w:r>
      <w:proofErr w:type="spellEnd"/>
      <w:r w:rsidRPr="00794B24">
        <w:rPr>
          <w:rFonts w:ascii="Verdana" w:eastAsia="Times New Roman" w:hAnsi="Verdana" w:cs="Times New Roman"/>
          <w:sz w:val="20"/>
          <w:szCs w:val="20"/>
          <w:lang w:val="es-UY" w:eastAsia="es-AR"/>
        </w:rPr>
        <w:t xml:space="preserve"> Ramírez murió el 4 de diciembre de 2003.</w:t>
      </w:r>
    </w:p>
  </w:footnote>
  <w:footnote w:id="4">
    <w:p w:rsidR="00794B24" w:rsidRDefault="00794B24" w:rsidP="00FC2D4E">
      <w:pPr>
        <w:pStyle w:val="Textonotapie"/>
        <w:spacing w:before="0" w:beforeAutospacing="0" w:after="0" w:afterAutospacing="0"/>
        <w:jc w:val="both"/>
      </w:pPr>
      <w:r w:rsidRPr="00FC2D4E">
        <w:rPr>
          <w:rStyle w:val="Refdenotaalpie"/>
          <w:rFonts w:ascii="Verdana" w:hAnsi="Verdana"/>
          <w:sz w:val="20"/>
          <w:szCs w:val="20"/>
        </w:rPr>
        <w:footnoteRef/>
      </w:r>
      <w:r w:rsidRPr="00FC2D4E">
        <w:rPr>
          <w:rFonts w:ascii="Verdana" w:hAnsi="Verdana"/>
          <w:sz w:val="20"/>
          <w:szCs w:val="20"/>
        </w:rPr>
        <w:t xml:space="preserve"> </w:t>
      </w:r>
      <w:r w:rsidR="00FC2D4E" w:rsidRPr="00794B24">
        <w:rPr>
          <w:rFonts w:ascii="Verdana" w:hAnsi="Verdana"/>
          <w:sz w:val="20"/>
          <w:szCs w:val="20"/>
          <w:lang w:val="es-UY"/>
        </w:rPr>
        <w:t xml:space="preserve">“El Ministerio de Salud Pública y Asistencia Social de Guatemala le proporcionaría medicamento únicamente a 27 personas que viven con la enfermedad.” “El Instituto Guatemalteco de Seguridad Social atiende a 1200 personas con VIH/SIDA, cotizantes con un desabastecimiento regular que </w:t>
      </w:r>
      <w:r w:rsidR="00FC2D4E" w:rsidRPr="00794B24">
        <w:rPr>
          <w:rFonts w:ascii="Verdana" w:hAnsi="Verdana"/>
          <w:sz w:val="20"/>
          <w:szCs w:val="20"/>
          <w:lang w:val="es-UY"/>
        </w:rPr>
        <w:t>está</w:t>
      </w:r>
      <w:r w:rsidR="00FC2D4E" w:rsidRPr="00794B24">
        <w:rPr>
          <w:rFonts w:ascii="Verdana" w:hAnsi="Verdana"/>
          <w:sz w:val="20"/>
          <w:szCs w:val="20"/>
          <w:lang w:val="es-UY"/>
        </w:rPr>
        <w:t xml:space="preserve"> causando serios problemas contra la resistencia a los medicamentos con el agravante de no hacer los exámenes de laboratorio necesarios para un adecuando seguimiento”. Comunicación de 26 de agosto de 2003.</w:t>
      </w:r>
    </w:p>
  </w:footnote>
  <w:footnote w:id="5">
    <w:p w:rsidR="00794B24" w:rsidRPr="00FC2D4E" w:rsidRDefault="00794B24" w:rsidP="00FC2D4E">
      <w:pPr>
        <w:pStyle w:val="Textonotapie"/>
        <w:spacing w:before="0" w:beforeAutospacing="0" w:after="0" w:afterAutospacing="0"/>
        <w:jc w:val="both"/>
        <w:rPr>
          <w:rFonts w:ascii="Verdana" w:hAnsi="Verdana"/>
          <w:sz w:val="20"/>
          <w:szCs w:val="20"/>
        </w:rPr>
      </w:pPr>
      <w:r w:rsidRPr="00FC2D4E">
        <w:rPr>
          <w:rStyle w:val="Refdenotaalpie"/>
          <w:rFonts w:ascii="Verdana" w:hAnsi="Verdana"/>
          <w:sz w:val="20"/>
          <w:szCs w:val="20"/>
        </w:rPr>
        <w:footnoteRef/>
      </w:r>
      <w:r w:rsidRPr="00FC2D4E">
        <w:rPr>
          <w:rFonts w:ascii="Verdana" w:hAnsi="Verdana"/>
          <w:sz w:val="20"/>
          <w:szCs w:val="20"/>
        </w:rPr>
        <w:t xml:space="preserve">  </w:t>
      </w:r>
      <w:r w:rsidRPr="00794B24">
        <w:rPr>
          <w:rFonts w:ascii="Verdana" w:hAnsi="Verdana"/>
          <w:sz w:val="20"/>
          <w:szCs w:val="20"/>
          <w:lang w:val="es-UY"/>
        </w:rPr>
        <w:t>Decreto 27-2000, Ley General para el Combate del Virus de Inmunodeficiencia Humana VIH y del Síndrome de Inmunodeficiencia Adquirida SIDA y de la promoción, protección y defensa de los derechos humanos ante el VIH/SIDA, Ciudad de Guatemala, julio del año 2000</w:t>
      </w:r>
      <w:r w:rsidRPr="00794B24">
        <w:rPr>
          <w:rFonts w:ascii="Verdana" w:hAnsi="Verdana"/>
          <w:b/>
          <w:bCs/>
          <w:sz w:val="20"/>
          <w:szCs w:val="20"/>
          <w:lang w:val="es-UY"/>
        </w:rPr>
        <w:t>.</w:t>
      </w:r>
    </w:p>
  </w:footnote>
  <w:footnote w:id="6">
    <w:p w:rsidR="00794B24" w:rsidRPr="00FC2D4E" w:rsidRDefault="00794B24" w:rsidP="00FC2D4E">
      <w:pPr>
        <w:pStyle w:val="Textonotapie"/>
        <w:spacing w:before="0" w:beforeAutospacing="0" w:after="0" w:afterAutospacing="0"/>
        <w:jc w:val="both"/>
        <w:rPr>
          <w:rFonts w:ascii="Verdana" w:hAnsi="Verdana"/>
          <w:sz w:val="20"/>
          <w:szCs w:val="20"/>
        </w:rPr>
      </w:pPr>
      <w:r w:rsidRPr="00FC2D4E">
        <w:rPr>
          <w:rStyle w:val="Refdenotaalpie"/>
          <w:rFonts w:ascii="Verdana" w:hAnsi="Verdana"/>
          <w:sz w:val="20"/>
          <w:szCs w:val="20"/>
        </w:rPr>
        <w:footnoteRef/>
      </w:r>
      <w:r w:rsidRPr="00FC2D4E">
        <w:rPr>
          <w:rFonts w:ascii="Verdana" w:hAnsi="Verdana"/>
          <w:sz w:val="20"/>
          <w:szCs w:val="20"/>
        </w:rPr>
        <w:t xml:space="preserve"> </w:t>
      </w:r>
      <w:r w:rsidRPr="00FC2D4E">
        <w:rPr>
          <w:rFonts w:ascii="Verdana" w:hAnsi="Verdana"/>
          <w:sz w:val="20"/>
          <w:szCs w:val="20"/>
          <w:lang w:val="es-UY"/>
        </w:rPr>
        <w:t xml:space="preserve">Comunicación de </w:t>
      </w:r>
      <w:proofErr w:type="spellStart"/>
      <w:r w:rsidRPr="00FC2D4E">
        <w:rPr>
          <w:rFonts w:ascii="Verdana" w:hAnsi="Verdana"/>
          <w:sz w:val="20"/>
          <w:szCs w:val="20"/>
          <w:lang w:val="es-UY"/>
        </w:rPr>
        <w:t>lo</w:t>
      </w:r>
      <w:r w:rsidR="00FC2D4E">
        <w:rPr>
          <w:rFonts w:ascii="Verdana" w:hAnsi="Verdana"/>
          <w:sz w:val="20"/>
          <w:szCs w:val="20"/>
          <w:lang w:val="es-UY"/>
        </w:rPr>
        <w:t>S</w:t>
      </w:r>
      <w:proofErr w:type="spellEnd"/>
      <w:r w:rsidRPr="00FC2D4E">
        <w:rPr>
          <w:rFonts w:ascii="Verdana" w:hAnsi="Verdana"/>
          <w:sz w:val="20"/>
          <w:szCs w:val="20"/>
          <w:lang w:val="es-UY"/>
        </w:rPr>
        <w:t xml:space="preserve"> peticionarios de 26 de agosto de 2003.</w:t>
      </w:r>
    </w:p>
  </w:footnote>
  <w:footnote w:id="7">
    <w:p w:rsidR="00794B24" w:rsidRPr="00FC2D4E" w:rsidRDefault="00794B24" w:rsidP="00FC2D4E">
      <w:pPr>
        <w:autoSpaceDE w:val="0"/>
        <w:autoSpaceDN w:val="0"/>
        <w:spacing w:after="0" w:line="240" w:lineRule="auto"/>
        <w:jc w:val="both"/>
        <w:rPr>
          <w:rFonts w:ascii="Verdana" w:eastAsia="Times New Roman" w:hAnsi="Verdana" w:cs="Times New Roman"/>
          <w:sz w:val="20"/>
          <w:szCs w:val="20"/>
          <w:lang w:eastAsia="es-AR"/>
        </w:rPr>
      </w:pPr>
      <w:r w:rsidRPr="00FC2D4E">
        <w:rPr>
          <w:rStyle w:val="Refdenotaalpie"/>
          <w:rFonts w:ascii="Verdana" w:hAnsi="Verdana"/>
          <w:sz w:val="20"/>
          <w:szCs w:val="20"/>
        </w:rPr>
        <w:footnoteRef/>
      </w:r>
      <w:r w:rsidRPr="00FC2D4E">
        <w:rPr>
          <w:rFonts w:ascii="Verdana" w:hAnsi="Verdana"/>
          <w:sz w:val="20"/>
          <w:szCs w:val="20"/>
        </w:rPr>
        <w:t xml:space="preserve"> </w:t>
      </w:r>
      <w:r w:rsidR="00FC2D4E" w:rsidRPr="00FC2D4E">
        <w:rPr>
          <w:rFonts w:ascii="Verdana" w:eastAsia="Times New Roman" w:hAnsi="Verdana" w:cs="Times New Roman"/>
          <w:sz w:val="20"/>
          <w:szCs w:val="20"/>
          <w:lang w:val="es-UY" w:eastAsia="es-AR"/>
        </w:rPr>
        <w:t xml:space="preserve">En palabras del Doctor Mario Bolaños, Ministro de Salud </w:t>
      </w:r>
      <w:r w:rsidR="00FC2D4E" w:rsidRPr="00FC2D4E">
        <w:rPr>
          <w:rFonts w:ascii="Verdana" w:eastAsia="Times New Roman" w:hAnsi="Verdana" w:cs="Times New Roman"/>
          <w:sz w:val="20"/>
          <w:szCs w:val="20"/>
          <w:lang w:val="es-UY" w:eastAsia="es-AR"/>
        </w:rPr>
        <w:t>Pública</w:t>
      </w:r>
      <w:r w:rsidR="00FC2D4E" w:rsidRPr="00FC2D4E">
        <w:rPr>
          <w:rFonts w:ascii="Verdana" w:eastAsia="Times New Roman" w:hAnsi="Verdana" w:cs="Times New Roman"/>
          <w:sz w:val="20"/>
          <w:szCs w:val="20"/>
          <w:lang w:val="es-UY" w:eastAsia="es-AR"/>
        </w:rPr>
        <w:t>, la falta de recursos es la razón por la que el Ministerio s</w:t>
      </w:r>
      <w:r w:rsidR="00FC2D4E" w:rsidRPr="00794B24">
        <w:rPr>
          <w:rFonts w:ascii="Verdana" w:eastAsia="Times New Roman" w:hAnsi="Verdana" w:cs="Times New Roman"/>
          <w:sz w:val="20"/>
          <w:szCs w:val="20"/>
          <w:lang w:val="es-UY" w:eastAsia="es-AR"/>
        </w:rPr>
        <w:t>ó</w:t>
      </w:r>
      <w:r w:rsidR="00FC2D4E" w:rsidRPr="00FC2D4E">
        <w:rPr>
          <w:rFonts w:ascii="Verdana" w:eastAsia="Times New Roman" w:hAnsi="Verdana" w:cs="Times New Roman"/>
          <w:sz w:val="20"/>
          <w:szCs w:val="20"/>
          <w:lang w:val="es-UY" w:eastAsia="es-AR"/>
        </w:rPr>
        <w:t>lo puede dar cobertura a 27 personas que viven con el VIH/SIDA. Comunicación de los peticionarios de 26 de agosto de 2003.</w:t>
      </w:r>
    </w:p>
  </w:footnote>
  <w:footnote w:id="8">
    <w:p w:rsidR="00794B24" w:rsidRPr="00FC2D4E" w:rsidRDefault="00794B24" w:rsidP="00FC2D4E">
      <w:pPr>
        <w:pStyle w:val="Textonotapie"/>
        <w:spacing w:before="0" w:beforeAutospacing="0" w:after="0" w:afterAutospacing="0"/>
        <w:jc w:val="both"/>
        <w:rPr>
          <w:rFonts w:ascii="Verdana" w:hAnsi="Verdana"/>
          <w:sz w:val="20"/>
          <w:szCs w:val="20"/>
        </w:rPr>
      </w:pPr>
      <w:r w:rsidRPr="00FC2D4E">
        <w:rPr>
          <w:rStyle w:val="Refdenotaalpie"/>
          <w:rFonts w:ascii="Verdana" w:hAnsi="Verdana"/>
          <w:sz w:val="20"/>
          <w:szCs w:val="20"/>
        </w:rPr>
        <w:footnoteRef/>
      </w:r>
      <w:r w:rsidRPr="00FC2D4E">
        <w:rPr>
          <w:rFonts w:ascii="Verdana" w:hAnsi="Verdana"/>
          <w:sz w:val="20"/>
          <w:szCs w:val="20"/>
        </w:rPr>
        <w:t xml:space="preserve"> </w:t>
      </w:r>
      <w:r w:rsidR="00FC2D4E" w:rsidRPr="00FC2D4E">
        <w:rPr>
          <w:rFonts w:ascii="Verdana" w:hAnsi="Verdana"/>
          <w:sz w:val="20"/>
          <w:szCs w:val="20"/>
          <w:lang w:val="es-UY"/>
        </w:rPr>
        <w:t>En Brasil y en Cuba se fabrican antirretrovirales genéricos cuyo costo asciende a $340 anuales por paciente. Comunicación de los peticionarios de 26 de agosto de 2003.</w:t>
      </w:r>
    </w:p>
  </w:footnote>
  <w:footnote w:id="9">
    <w:p w:rsidR="00794B24" w:rsidRPr="00FC2D4E" w:rsidRDefault="00794B24" w:rsidP="00FC2D4E">
      <w:pPr>
        <w:pStyle w:val="Textonotapie"/>
        <w:spacing w:before="0" w:beforeAutospacing="0" w:after="0" w:afterAutospacing="0"/>
        <w:jc w:val="both"/>
        <w:rPr>
          <w:rFonts w:ascii="Verdana" w:hAnsi="Verdana"/>
          <w:sz w:val="20"/>
          <w:szCs w:val="20"/>
        </w:rPr>
      </w:pPr>
      <w:r w:rsidRPr="00FC2D4E">
        <w:rPr>
          <w:rStyle w:val="Refdenotaalpie"/>
          <w:rFonts w:ascii="Verdana" w:hAnsi="Verdana"/>
          <w:sz w:val="20"/>
          <w:szCs w:val="20"/>
        </w:rPr>
        <w:footnoteRef/>
      </w:r>
      <w:r w:rsidRPr="00FC2D4E">
        <w:rPr>
          <w:rFonts w:ascii="Verdana" w:hAnsi="Verdana"/>
          <w:sz w:val="20"/>
          <w:szCs w:val="20"/>
        </w:rPr>
        <w:t xml:space="preserve"> </w:t>
      </w:r>
      <w:r w:rsidR="00FC2D4E" w:rsidRPr="00FC2D4E">
        <w:rPr>
          <w:rFonts w:ascii="Verdana" w:hAnsi="Verdana"/>
          <w:sz w:val="20"/>
          <w:szCs w:val="20"/>
          <w:lang w:val="es-UY"/>
        </w:rPr>
        <w:t>Corte IDH</w:t>
      </w:r>
      <w:r w:rsidR="00FC2D4E" w:rsidRPr="00794B24">
        <w:rPr>
          <w:rFonts w:ascii="Verdana" w:hAnsi="Verdana"/>
          <w:sz w:val="20"/>
          <w:szCs w:val="20"/>
          <w:lang w:val="es-UY"/>
        </w:rPr>
        <w:t>,</w:t>
      </w:r>
      <w:r w:rsidR="00FC2D4E" w:rsidRPr="00FC2D4E">
        <w:rPr>
          <w:rFonts w:ascii="Verdana" w:hAnsi="Verdana"/>
          <w:sz w:val="20"/>
          <w:szCs w:val="20"/>
          <w:lang w:val="es-UY"/>
        </w:rPr>
        <w:t xml:space="preserve"> Caso </w:t>
      </w:r>
      <w:proofErr w:type="spellStart"/>
      <w:r w:rsidR="00FC2D4E" w:rsidRPr="00FC2D4E">
        <w:rPr>
          <w:rFonts w:ascii="Verdana" w:hAnsi="Verdana"/>
          <w:sz w:val="20"/>
          <w:szCs w:val="20"/>
          <w:lang w:val="es-UY"/>
        </w:rPr>
        <w:t>Ivcher</w:t>
      </w:r>
      <w:proofErr w:type="spellEnd"/>
      <w:r w:rsidR="00FC2D4E" w:rsidRPr="00FC2D4E">
        <w:rPr>
          <w:rFonts w:ascii="Verdana" w:hAnsi="Verdana"/>
          <w:sz w:val="20"/>
          <w:szCs w:val="20"/>
          <w:lang w:val="es-UY"/>
        </w:rPr>
        <w:t xml:space="preserve"> </w:t>
      </w:r>
      <w:proofErr w:type="spellStart"/>
      <w:r w:rsidR="00FC2D4E" w:rsidRPr="00FC2D4E">
        <w:rPr>
          <w:rFonts w:ascii="Verdana" w:hAnsi="Verdana"/>
          <w:sz w:val="20"/>
          <w:szCs w:val="20"/>
          <w:lang w:val="es-UY"/>
        </w:rPr>
        <w:t>Bronstein</w:t>
      </w:r>
      <w:proofErr w:type="spellEnd"/>
      <w:r w:rsidR="00FC2D4E" w:rsidRPr="00FC2D4E">
        <w:rPr>
          <w:rFonts w:ascii="Verdana" w:hAnsi="Verdana"/>
          <w:sz w:val="20"/>
          <w:szCs w:val="20"/>
          <w:lang w:val="es-UY"/>
        </w:rPr>
        <w:t>, Sentencia de 6 de febrero de 2001, párr. 135.</w:t>
      </w:r>
    </w:p>
  </w:footnote>
  <w:footnote w:id="10">
    <w:p w:rsidR="00794B24" w:rsidRPr="00FC2D4E" w:rsidRDefault="00794B24" w:rsidP="00FC2D4E">
      <w:pPr>
        <w:pStyle w:val="Textonotapie"/>
        <w:spacing w:before="0" w:beforeAutospacing="0" w:after="0" w:afterAutospacing="0"/>
        <w:jc w:val="both"/>
        <w:rPr>
          <w:rFonts w:ascii="Verdana" w:hAnsi="Verdana"/>
          <w:sz w:val="20"/>
          <w:szCs w:val="20"/>
        </w:rPr>
      </w:pPr>
      <w:r w:rsidRPr="00FC2D4E">
        <w:rPr>
          <w:rStyle w:val="Refdenotaalpie"/>
          <w:rFonts w:ascii="Verdana" w:hAnsi="Verdana"/>
          <w:sz w:val="20"/>
          <w:szCs w:val="20"/>
        </w:rPr>
        <w:footnoteRef/>
      </w:r>
      <w:r w:rsidRPr="00FC2D4E">
        <w:rPr>
          <w:rFonts w:ascii="Verdana" w:hAnsi="Verdana"/>
          <w:sz w:val="20"/>
          <w:szCs w:val="20"/>
        </w:rPr>
        <w:t xml:space="preserve"> </w:t>
      </w:r>
      <w:r w:rsidR="00FC2D4E" w:rsidRPr="00FC2D4E">
        <w:rPr>
          <w:rFonts w:ascii="Verdana" w:hAnsi="Verdana"/>
          <w:sz w:val="20"/>
          <w:szCs w:val="20"/>
          <w:lang w:val="es-UY"/>
        </w:rPr>
        <w:t>La mayoría de tales coberturas estaría siendo proporcionada por instituciones u organizaciones no gubernamentales tales como Médicos sin Fronteras</w:t>
      </w:r>
      <w:r w:rsidR="00FC2D4E" w:rsidRPr="00794B24">
        <w:rPr>
          <w:rFonts w:ascii="Verdana" w:hAnsi="Verdana"/>
          <w:sz w:val="20"/>
          <w:szCs w:val="20"/>
          <w:lang w:val="es-UY"/>
        </w:rPr>
        <w:t xml:space="preserve">. </w:t>
      </w:r>
      <w:r w:rsidR="00FC2D4E" w:rsidRPr="00FC2D4E">
        <w:rPr>
          <w:rFonts w:ascii="Verdana" w:hAnsi="Verdana"/>
          <w:sz w:val="20"/>
          <w:szCs w:val="20"/>
          <w:lang w:val="es-UY"/>
        </w:rPr>
        <w:t xml:space="preserve">Comunicación de los </w:t>
      </w:r>
      <w:r w:rsidR="00FC2D4E" w:rsidRPr="00794B24">
        <w:rPr>
          <w:rFonts w:ascii="Verdana" w:hAnsi="Verdana"/>
          <w:sz w:val="20"/>
          <w:szCs w:val="20"/>
          <w:lang w:val="es-UY"/>
        </w:rPr>
        <w:t>p</w:t>
      </w:r>
      <w:r w:rsidR="00FC2D4E" w:rsidRPr="00FC2D4E">
        <w:rPr>
          <w:rFonts w:ascii="Verdana" w:hAnsi="Verdana"/>
          <w:sz w:val="20"/>
          <w:szCs w:val="20"/>
          <w:lang w:val="es-UY"/>
        </w:rPr>
        <w:t>eticionarios de 17 de agosto de 2004.</w:t>
      </w:r>
    </w:p>
  </w:footnote>
  <w:footnote w:id="11">
    <w:p w:rsidR="00794B24" w:rsidRPr="00FC2D4E" w:rsidRDefault="00794B24" w:rsidP="00FC2D4E">
      <w:pPr>
        <w:autoSpaceDE w:val="0"/>
        <w:autoSpaceDN w:val="0"/>
        <w:spacing w:after="0" w:line="240" w:lineRule="auto"/>
        <w:jc w:val="both"/>
        <w:rPr>
          <w:rFonts w:ascii="Verdana" w:hAnsi="Verdana"/>
          <w:sz w:val="20"/>
          <w:szCs w:val="20"/>
        </w:rPr>
      </w:pPr>
      <w:r w:rsidRPr="00FC2D4E">
        <w:rPr>
          <w:rStyle w:val="Refdenotaalpie"/>
          <w:rFonts w:ascii="Verdana" w:hAnsi="Verdana"/>
          <w:sz w:val="20"/>
          <w:szCs w:val="20"/>
        </w:rPr>
        <w:footnoteRef/>
      </w:r>
      <w:r w:rsidRPr="00FC2D4E">
        <w:rPr>
          <w:rFonts w:ascii="Verdana" w:hAnsi="Verdana"/>
          <w:sz w:val="20"/>
          <w:szCs w:val="20"/>
        </w:rPr>
        <w:t xml:space="preserve"> </w:t>
      </w:r>
      <w:r w:rsidR="00FC2D4E" w:rsidRPr="00FC2D4E">
        <w:rPr>
          <w:rFonts w:ascii="Verdana" w:eastAsia="Times New Roman" w:hAnsi="Verdana" w:cs="Times New Roman"/>
          <w:sz w:val="20"/>
          <w:szCs w:val="20"/>
          <w:lang w:val="es-UY" w:eastAsia="es-AR"/>
        </w:rPr>
        <w:t xml:space="preserve">El Estado manifiesta que en cuanto a las 11 personas que </w:t>
      </w:r>
      <w:r w:rsidR="00FC2D4E" w:rsidRPr="00FC2D4E">
        <w:rPr>
          <w:rFonts w:ascii="Verdana" w:eastAsia="Times New Roman" w:hAnsi="Verdana" w:cs="Times New Roman"/>
          <w:sz w:val="20"/>
          <w:szCs w:val="20"/>
          <w:lang w:val="es-UY" w:eastAsia="es-AR"/>
        </w:rPr>
        <w:t>aún</w:t>
      </w:r>
      <w:r w:rsidR="00FC2D4E" w:rsidRPr="00FC2D4E">
        <w:rPr>
          <w:rFonts w:ascii="Verdana" w:eastAsia="Times New Roman" w:hAnsi="Verdana" w:cs="Times New Roman"/>
          <w:sz w:val="20"/>
          <w:szCs w:val="20"/>
          <w:lang w:val="es-UY" w:eastAsia="es-AR"/>
        </w:rPr>
        <w:t xml:space="preserve"> no cuentan con tratamiento, sus datos y direcciones han sido trasladados con carácter urgente al Ministro de Salud Pública y </w:t>
      </w:r>
      <w:r w:rsidR="00FC2D4E" w:rsidRPr="00794B24">
        <w:rPr>
          <w:rFonts w:ascii="Verdana" w:eastAsia="Times New Roman" w:hAnsi="Verdana" w:cs="Times New Roman"/>
          <w:sz w:val="20"/>
          <w:szCs w:val="20"/>
          <w:lang w:val="es-UY" w:eastAsia="es-AR"/>
        </w:rPr>
        <w:t xml:space="preserve">a </w:t>
      </w:r>
      <w:r w:rsidR="00FC2D4E" w:rsidRPr="00FC2D4E">
        <w:rPr>
          <w:rFonts w:ascii="Verdana" w:eastAsia="Times New Roman" w:hAnsi="Verdana" w:cs="Times New Roman"/>
          <w:sz w:val="20"/>
          <w:szCs w:val="20"/>
          <w:lang w:val="es-UY" w:eastAsia="es-AR"/>
        </w:rPr>
        <w:t>la Directora del Programa Nacional del SIDA.</w:t>
      </w:r>
    </w:p>
  </w:footnote>
  <w:footnote w:id="12">
    <w:p w:rsidR="00794B24" w:rsidRPr="00FC2D4E" w:rsidRDefault="00794B24" w:rsidP="00FC2D4E">
      <w:pPr>
        <w:pStyle w:val="Textonotapie"/>
        <w:spacing w:before="0" w:beforeAutospacing="0" w:after="0" w:afterAutospacing="0"/>
        <w:jc w:val="both"/>
        <w:rPr>
          <w:rFonts w:ascii="Verdana" w:hAnsi="Verdana"/>
          <w:sz w:val="20"/>
          <w:szCs w:val="20"/>
        </w:rPr>
      </w:pPr>
      <w:r w:rsidRPr="00FC2D4E">
        <w:rPr>
          <w:rStyle w:val="Refdenotaalpie"/>
          <w:rFonts w:ascii="Verdana" w:hAnsi="Verdana"/>
          <w:sz w:val="20"/>
          <w:szCs w:val="20"/>
        </w:rPr>
        <w:footnoteRef/>
      </w:r>
      <w:r w:rsidRPr="00FC2D4E">
        <w:rPr>
          <w:rFonts w:ascii="Verdana" w:hAnsi="Verdana"/>
          <w:sz w:val="20"/>
          <w:szCs w:val="20"/>
        </w:rPr>
        <w:t xml:space="preserve"> </w:t>
      </w:r>
      <w:r w:rsidR="00FC2D4E" w:rsidRPr="00794B24">
        <w:rPr>
          <w:rFonts w:ascii="Verdana" w:hAnsi="Verdana"/>
          <w:spacing w:val="-2"/>
          <w:sz w:val="20"/>
          <w:szCs w:val="20"/>
          <w:lang w:val="es-ES_tradnl"/>
        </w:rPr>
        <w:t xml:space="preserve">CIDH, </w:t>
      </w:r>
      <w:r w:rsidR="00FC2D4E" w:rsidRPr="00794B24">
        <w:rPr>
          <w:rFonts w:ascii="Verdana" w:hAnsi="Verdana"/>
          <w:i/>
          <w:iCs/>
          <w:spacing w:val="-2"/>
          <w:sz w:val="20"/>
          <w:szCs w:val="20"/>
          <w:lang w:val="es-ES_tradnl"/>
        </w:rPr>
        <w:t>Caso de Emérita Montoya González</w:t>
      </w:r>
      <w:r w:rsidR="00FC2D4E" w:rsidRPr="00794B24">
        <w:rPr>
          <w:rFonts w:ascii="Verdana" w:hAnsi="Verdana"/>
          <w:spacing w:val="-2"/>
          <w:sz w:val="20"/>
          <w:szCs w:val="20"/>
          <w:lang w:val="es-ES_tradnl"/>
        </w:rPr>
        <w:t>, Informe 4</w:t>
      </w:r>
      <w:r w:rsidR="00FC2D4E">
        <w:rPr>
          <w:rFonts w:ascii="Verdana" w:hAnsi="Verdana"/>
          <w:spacing w:val="-2"/>
          <w:sz w:val="20"/>
          <w:szCs w:val="20"/>
          <w:lang w:val="es-ES_tradnl"/>
        </w:rPr>
        <w:t>8/96, Caso 11.553 (Costa Rica),</w:t>
      </w:r>
      <w:r w:rsidR="00FC2D4E" w:rsidRPr="00794B24">
        <w:rPr>
          <w:rFonts w:ascii="Verdana" w:hAnsi="Verdana"/>
          <w:spacing w:val="-2"/>
          <w:sz w:val="20"/>
          <w:szCs w:val="20"/>
          <w:lang w:val="es-ES_tradnl"/>
        </w:rPr>
        <w:t xml:space="preserve"> 14 de marzo de 1997, </w:t>
      </w:r>
      <w:proofErr w:type="spellStart"/>
      <w:r w:rsidR="00FC2D4E" w:rsidRPr="00794B24">
        <w:rPr>
          <w:rFonts w:ascii="Verdana" w:hAnsi="Verdana"/>
          <w:spacing w:val="-2"/>
          <w:sz w:val="20"/>
          <w:szCs w:val="20"/>
          <w:lang w:val="es-ES_tradnl"/>
        </w:rPr>
        <w:t>párrs</w:t>
      </w:r>
      <w:proofErr w:type="spellEnd"/>
      <w:r w:rsidR="00FC2D4E" w:rsidRPr="00794B24">
        <w:rPr>
          <w:rFonts w:ascii="Verdana" w:hAnsi="Verdana"/>
          <w:spacing w:val="-2"/>
          <w:sz w:val="20"/>
          <w:szCs w:val="20"/>
          <w:lang w:val="es-ES_tradnl"/>
        </w:rPr>
        <w:t xml:space="preserve">. 28, 31; Caso María Eugenia Morales de Sierra, Informe </w:t>
      </w:r>
      <w:r w:rsidR="00FC2D4E" w:rsidRPr="00794B24">
        <w:rPr>
          <w:rFonts w:ascii="Verdana" w:hAnsi="Verdana"/>
          <w:sz w:val="20"/>
          <w:szCs w:val="20"/>
          <w:lang w:val="es-CO"/>
        </w:rPr>
        <w:t>28/98 sobre admisibilidad, Caso 11.625 (Guatemala), párr. 28.</w:t>
      </w:r>
    </w:p>
  </w:footnote>
  <w:footnote w:id="13">
    <w:p w:rsidR="00794B24" w:rsidRPr="00FC2D4E" w:rsidRDefault="00794B24" w:rsidP="00FC2D4E">
      <w:pPr>
        <w:pStyle w:val="Textonotapie"/>
        <w:spacing w:before="0" w:beforeAutospacing="0" w:after="0" w:afterAutospacing="0"/>
        <w:jc w:val="both"/>
        <w:rPr>
          <w:sz w:val="20"/>
          <w:szCs w:val="20"/>
        </w:rPr>
      </w:pPr>
      <w:r w:rsidRPr="00FC2D4E">
        <w:rPr>
          <w:rStyle w:val="Refdenotaalpie"/>
          <w:rFonts w:ascii="Verdana" w:hAnsi="Verdana"/>
          <w:sz w:val="20"/>
          <w:szCs w:val="20"/>
        </w:rPr>
        <w:footnoteRef/>
      </w:r>
      <w:r w:rsidRPr="00FC2D4E">
        <w:rPr>
          <w:rFonts w:ascii="Verdana" w:hAnsi="Verdana"/>
          <w:sz w:val="20"/>
          <w:szCs w:val="20"/>
        </w:rPr>
        <w:t xml:space="preserve"> </w:t>
      </w:r>
      <w:r w:rsidR="00FC2D4E" w:rsidRPr="00794B24">
        <w:rPr>
          <w:rFonts w:ascii="Verdana" w:hAnsi="Verdana"/>
          <w:spacing w:val="-2"/>
          <w:sz w:val="20"/>
          <w:szCs w:val="20"/>
          <w:lang w:val="es-ES_tradnl"/>
        </w:rPr>
        <w:t xml:space="preserve">Corte IDH, Opinión Consultiva OC-14/94, </w:t>
      </w:r>
      <w:r w:rsidR="00FC2D4E" w:rsidRPr="00794B24">
        <w:rPr>
          <w:rFonts w:ascii="Verdana" w:hAnsi="Verdana"/>
          <w:i/>
          <w:iCs/>
          <w:spacing w:val="-2"/>
          <w:sz w:val="20"/>
          <w:szCs w:val="20"/>
          <w:lang w:val="es-ES_tradnl"/>
        </w:rPr>
        <w:t>"Responsabilidad internacional por expedición y aplicación de leyes violatorias de la Convención (Artículos 1 y 2 de la Convención Americana)</w:t>
      </w:r>
      <w:r w:rsidR="00FC2D4E" w:rsidRPr="00794B24">
        <w:rPr>
          <w:rFonts w:ascii="Verdana" w:hAnsi="Verdana"/>
          <w:spacing w:val="-2"/>
          <w:sz w:val="20"/>
          <w:szCs w:val="20"/>
          <w:lang w:val="es-ES_tradnl"/>
        </w:rPr>
        <w:t xml:space="preserve">", del 9 de diciembre de 1994, párr. 45, </w:t>
      </w:r>
      <w:r w:rsidR="00FC2D4E" w:rsidRPr="00794B24">
        <w:rPr>
          <w:rFonts w:ascii="Verdana" w:hAnsi="Verdana"/>
          <w:i/>
          <w:iCs/>
          <w:spacing w:val="-2"/>
          <w:sz w:val="20"/>
          <w:szCs w:val="20"/>
          <w:lang w:val="es-ES_tradnl"/>
        </w:rPr>
        <w:t>véase también</w:t>
      </w:r>
      <w:r w:rsidR="00FC2D4E" w:rsidRPr="00794B24">
        <w:rPr>
          <w:rFonts w:ascii="Verdana" w:hAnsi="Verdana"/>
          <w:spacing w:val="-2"/>
          <w:sz w:val="20"/>
          <w:szCs w:val="20"/>
          <w:lang w:val="es-ES_tradnl"/>
        </w:rPr>
        <w:t xml:space="preserve">, </w:t>
      </w:r>
      <w:proofErr w:type="spellStart"/>
      <w:r w:rsidR="00FC2D4E" w:rsidRPr="00794B24">
        <w:rPr>
          <w:rFonts w:ascii="Verdana" w:hAnsi="Verdana"/>
          <w:spacing w:val="-2"/>
          <w:sz w:val="20"/>
          <w:szCs w:val="20"/>
          <w:lang w:val="es-ES_tradnl"/>
        </w:rPr>
        <w:t>párrs</w:t>
      </w:r>
      <w:proofErr w:type="spellEnd"/>
      <w:r w:rsidR="00FC2D4E" w:rsidRPr="00794B24">
        <w:rPr>
          <w:rFonts w:ascii="Verdana" w:hAnsi="Verdana"/>
          <w:spacing w:val="-2"/>
          <w:sz w:val="20"/>
          <w:szCs w:val="20"/>
          <w:lang w:val="es-ES_tradnl"/>
        </w:rPr>
        <w:t>. 46-47</w:t>
      </w:r>
    </w:p>
  </w:footnote>
  <w:footnote w:id="14">
    <w:p w:rsidR="00794B24" w:rsidRPr="00794B24" w:rsidRDefault="00794B24" w:rsidP="00794B24">
      <w:pPr>
        <w:autoSpaceDE w:val="0"/>
        <w:autoSpaceDN w:val="0"/>
        <w:spacing w:after="0" w:line="240" w:lineRule="auto"/>
        <w:jc w:val="both"/>
        <w:rPr>
          <w:rFonts w:ascii="Verdana" w:eastAsia="Times New Roman" w:hAnsi="Verdana" w:cs="Times New Roman"/>
          <w:sz w:val="20"/>
          <w:szCs w:val="20"/>
          <w:lang w:eastAsia="es-AR"/>
        </w:rPr>
      </w:pPr>
      <w:r w:rsidRPr="00794B24">
        <w:rPr>
          <w:rStyle w:val="Refdenotaalpie"/>
          <w:rFonts w:ascii="Verdana" w:hAnsi="Verdana"/>
          <w:sz w:val="20"/>
          <w:szCs w:val="20"/>
        </w:rPr>
        <w:footnoteRef/>
      </w:r>
      <w:r w:rsidRPr="00794B24">
        <w:rPr>
          <w:rFonts w:ascii="Verdana" w:hAnsi="Verdana"/>
          <w:sz w:val="20"/>
          <w:szCs w:val="20"/>
        </w:rPr>
        <w:t xml:space="preserve"> </w:t>
      </w:r>
      <w:r w:rsidRPr="00794B24">
        <w:rPr>
          <w:rFonts w:ascii="Verdana" w:eastAsia="Times New Roman" w:hAnsi="Verdana" w:cs="Times New Roman"/>
          <w:sz w:val="20"/>
          <w:szCs w:val="20"/>
          <w:lang w:val="es-UY" w:eastAsia="es-AR"/>
        </w:rPr>
        <w:t>Copia del recurso de amparo presentado ante la Corte de Constitucionalidad el 26 de julio de 2002 obra en el expediente</w:t>
      </w:r>
      <w:r w:rsidRPr="00794B24">
        <w:rPr>
          <w:rFonts w:ascii="Verdana" w:eastAsia="Times New Roman" w:hAnsi="Verdana" w:cs="Times New Roman"/>
          <w:sz w:val="20"/>
          <w:szCs w:val="20"/>
          <w:lang w:val="es-UY" w:eastAsia="es-AR"/>
        </w:rPr>
        <w:t>.</w:t>
      </w:r>
    </w:p>
  </w:footnote>
  <w:footnote w:id="15">
    <w:p w:rsidR="00794B24" w:rsidRPr="00794B24" w:rsidRDefault="00794B24" w:rsidP="00794B24">
      <w:pPr>
        <w:pStyle w:val="Textonotapie"/>
        <w:spacing w:before="0" w:beforeAutospacing="0" w:after="0" w:afterAutospacing="0"/>
        <w:jc w:val="both"/>
        <w:rPr>
          <w:rFonts w:ascii="Verdana" w:hAnsi="Verdana"/>
          <w:sz w:val="20"/>
          <w:szCs w:val="20"/>
        </w:rPr>
      </w:pPr>
      <w:r w:rsidRPr="00794B24">
        <w:rPr>
          <w:rStyle w:val="Refdenotaalpie"/>
          <w:rFonts w:ascii="Verdana" w:hAnsi="Verdana"/>
          <w:sz w:val="20"/>
          <w:szCs w:val="20"/>
        </w:rPr>
        <w:footnoteRef/>
      </w:r>
      <w:r w:rsidRPr="00794B24">
        <w:rPr>
          <w:rFonts w:ascii="Verdana" w:hAnsi="Verdana"/>
          <w:sz w:val="20"/>
          <w:szCs w:val="20"/>
        </w:rPr>
        <w:t xml:space="preserve"> </w:t>
      </w:r>
      <w:r w:rsidRPr="00794B24">
        <w:rPr>
          <w:rFonts w:ascii="Verdana" w:hAnsi="Verdana"/>
          <w:sz w:val="20"/>
          <w:szCs w:val="20"/>
          <w:lang w:val="es-UY"/>
        </w:rPr>
        <w:t>Corte IDH, Caso Velásquez Rodríguez. Excepciones Preliminares. Sentencia de 26 de junio de 1987. Serie C Nº 1, párr. 88.</w:t>
      </w:r>
    </w:p>
  </w:footnote>
  <w:footnote w:id="16">
    <w:p w:rsidR="00794B24" w:rsidRPr="00794B24" w:rsidRDefault="00794B24" w:rsidP="00794B24">
      <w:pPr>
        <w:spacing w:after="0" w:line="240" w:lineRule="auto"/>
        <w:jc w:val="both"/>
        <w:rPr>
          <w:rFonts w:ascii="Verdana" w:eastAsia="Times New Roman" w:hAnsi="Verdana" w:cs="Times New Roman"/>
          <w:sz w:val="20"/>
          <w:szCs w:val="20"/>
          <w:lang w:eastAsia="es-AR"/>
        </w:rPr>
      </w:pPr>
      <w:r w:rsidRPr="00794B24">
        <w:rPr>
          <w:rStyle w:val="Refdenotaalpie"/>
          <w:rFonts w:ascii="Verdana" w:hAnsi="Verdana"/>
          <w:sz w:val="20"/>
          <w:szCs w:val="20"/>
        </w:rPr>
        <w:footnoteRef/>
      </w:r>
      <w:r w:rsidRPr="00794B24">
        <w:rPr>
          <w:rFonts w:ascii="Verdana" w:hAnsi="Verdana"/>
          <w:sz w:val="20"/>
          <w:szCs w:val="20"/>
        </w:rPr>
        <w:t xml:space="preserve"> </w:t>
      </w:r>
      <w:r w:rsidRPr="00794B24">
        <w:rPr>
          <w:rFonts w:ascii="Verdana" w:eastAsia="Times New Roman" w:hAnsi="Verdana" w:cs="Times New Roman"/>
          <w:sz w:val="20"/>
          <w:szCs w:val="20"/>
          <w:lang w:val="es-ES" w:eastAsia="es-AR"/>
        </w:rPr>
        <w:t>U.N. Doc. E/1991/23, Comité de Derechos Económicos, Sociales y Culturales de las Naciones Unidas, Observación General Nº 3: La índole de las obligaciones de los Estados partes (párrafo 1 del artículo 2 del Pacto), adoptada en el Quinto Período de Sesiones, 1990, punto 9.</w:t>
      </w:r>
    </w:p>
  </w:footnote>
  <w:footnote w:id="17">
    <w:p w:rsidR="00794B24" w:rsidRPr="00794B24" w:rsidRDefault="00794B24" w:rsidP="00794B24">
      <w:pPr>
        <w:pStyle w:val="Textonotapie"/>
        <w:spacing w:before="0" w:beforeAutospacing="0" w:after="0" w:afterAutospacing="0"/>
        <w:jc w:val="both"/>
        <w:rPr>
          <w:rFonts w:ascii="Verdana" w:hAnsi="Verdana"/>
          <w:sz w:val="20"/>
          <w:szCs w:val="20"/>
        </w:rPr>
      </w:pPr>
      <w:r w:rsidRPr="00794B24">
        <w:rPr>
          <w:rStyle w:val="Refdenotaalpie"/>
          <w:rFonts w:ascii="Verdana" w:hAnsi="Verdana"/>
          <w:sz w:val="20"/>
          <w:szCs w:val="20"/>
        </w:rPr>
        <w:footnoteRef/>
      </w:r>
      <w:r w:rsidRPr="00794B24">
        <w:rPr>
          <w:rFonts w:ascii="Verdana" w:hAnsi="Verdana"/>
          <w:sz w:val="20"/>
          <w:szCs w:val="20"/>
        </w:rPr>
        <w:t xml:space="preserve"> </w:t>
      </w:r>
      <w:r w:rsidRPr="00794B24">
        <w:rPr>
          <w:rFonts w:ascii="Verdana" w:hAnsi="Verdana"/>
          <w:sz w:val="20"/>
          <w:szCs w:val="20"/>
          <w:lang w:val="pt-BR"/>
        </w:rPr>
        <w:t xml:space="preserve">Corte IDH, Caso Cinco Pensionistas, sentencia de </w:t>
      </w:r>
      <w:proofErr w:type="spellStart"/>
      <w:r w:rsidRPr="00794B24">
        <w:rPr>
          <w:rFonts w:ascii="Verdana" w:hAnsi="Verdana"/>
          <w:sz w:val="20"/>
          <w:szCs w:val="20"/>
          <w:lang w:val="pt-BR"/>
        </w:rPr>
        <w:t>fondo</w:t>
      </w:r>
      <w:proofErr w:type="spellEnd"/>
      <w:r w:rsidRPr="00794B24">
        <w:rPr>
          <w:rFonts w:ascii="Verdana" w:hAnsi="Verdana"/>
          <w:sz w:val="20"/>
          <w:szCs w:val="20"/>
          <w:lang w:val="pt-BR"/>
        </w:rPr>
        <w:t xml:space="preserve"> de 28 de </w:t>
      </w:r>
      <w:proofErr w:type="spellStart"/>
      <w:r w:rsidRPr="00794B24">
        <w:rPr>
          <w:rFonts w:ascii="Verdana" w:hAnsi="Verdana"/>
          <w:sz w:val="20"/>
          <w:szCs w:val="20"/>
          <w:lang w:val="pt-BR"/>
        </w:rPr>
        <w:t>febrero</w:t>
      </w:r>
      <w:proofErr w:type="spellEnd"/>
      <w:r w:rsidRPr="00794B24">
        <w:rPr>
          <w:rFonts w:ascii="Verdana" w:hAnsi="Verdana"/>
          <w:sz w:val="20"/>
          <w:szCs w:val="20"/>
          <w:lang w:val="pt-BR"/>
        </w:rPr>
        <w:t xml:space="preserve"> de 2003, </w:t>
      </w:r>
      <w:proofErr w:type="spellStart"/>
      <w:r w:rsidRPr="00794B24">
        <w:rPr>
          <w:rFonts w:ascii="Verdana" w:hAnsi="Verdana"/>
          <w:sz w:val="20"/>
          <w:szCs w:val="20"/>
          <w:lang w:val="pt-BR"/>
        </w:rPr>
        <w:t>párr</w:t>
      </w:r>
      <w:proofErr w:type="spellEnd"/>
      <w:r w:rsidRPr="00794B24">
        <w:rPr>
          <w:rFonts w:ascii="Verdana" w:hAnsi="Verdana"/>
          <w:sz w:val="20"/>
          <w:szCs w:val="20"/>
          <w:lang w:val="pt-BR"/>
        </w:rPr>
        <w:t>. 147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6120A"/>
    <w:multiLevelType w:val="hybridMultilevel"/>
    <w:tmpl w:val="DB3877E8"/>
    <w:lvl w:ilvl="0" w:tplc="AD6CA260">
      <w:start w:val="1"/>
      <w:numFmt w:val="decimal"/>
      <w:lvlText w:val="%1."/>
      <w:lvlJc w:val="left"/>
      <w:pPr>
        <w:ind w:left="1080" w:hanging="360"/>
      </w:pPr>
      <w:rPr>
        <w:rFonts w:hint="default"/>
        <w:color w:val="000000"/>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
    <w:nsid w:val="7A5F5A0B"/>
    <w:multiLevelType w:val="hybridMultilevel"/>
    <w:tmpl w:val="5FC68DBC"/>
    <w:lvl w:ilvl="0" w:tplc="BD726CB8">
      <w:start w:val="1"/>
      <w:numFmt w:val="decimal"/>
      <w:lvlText w:val="%1."/>
      <w:lvlJc w:val="left"/>
      <w:pPr>
        <w:ind w:left="1080" w:hanging="360"/>
      </w:pPr>
      <w:rPr>
        <w:rFonts w:hint="default"/>
        <w:b/>
        <w:color w:val="000000"/>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B24"/>
    <w:rsid w:val="00725117"/>
    <w:rsid w:val="00794B24"/>
    <w:rsid w:val="00797DC8"/>
    <w:rsid w:val="00EC7B2D"/>
    <w:rsid w:val="00F87122"/>
    <w:rsid w:val="00FC2D4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794B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paragraph" w:styleId="Ttulo2">
    <w:name w:val="heading 2"/>
    <w:basedOn w:val="Normal"/>
    <w:link w:val="Ttulo2Car"/>
    <w:uiPriority w:val="9"/>
    <w:qFormat/>
    <w:rsid w:val="00794B24"/>
    <w:pPr>
      <w:spacing w:before="100" w:beforeAutospacing="1" w:after="100" w:afterAutospacing="1" w:line="240" w:lineRule="auto"/>
      <w:outlineLvl w:val="1"/>
    </w:pPr>
    <w:rPr>
      <w:rFonts w:ascii="Times New Roman" w:eastAsia="Times New Roman" w:hAnsi="Times New Roman" w:cs="Times New Roman"/>
      <w:b/>
      <w:bCs/>
      <w:sz w:val="36"/>
      <w:szCs w:val="36"/>
      <w:lang w:eastAsia="es-AR"/>
    </w:rPr>
  </w:style>
  <w:style w:type="paragraph" w:styleId="Ttulo3">
    <w:name w:val="heading 3"/>
    <w:basedOn w:val="Normal"/>
    <w:link w:val="Ttulo3Car"/>
    <w:uiPriority w:val="9"/>
    <w:qFormat/>
    <w:rsid w:val="00794B24"/>
    <w:pPr>
      <w:spacing w:before="100" w:beforeAutospacing="1" w:after="100" w:afterAutospacing="1" w:line="240" w:lineRule="auto"/>
      <w:outlineLvl w:val="2"/>
    </w:pPr>
    <w:rPr>
      <w:rFonts w:ascii="Times New Roman" w:eastAsia="Times New Roman" w:hAnsi="Times New Roman" w:cs="Times New Roman"/>
      <w:b/>
      <w:bCs/>
      <w:sz w:val="27"/>
      <w:szCs w:val="27"/>
      <w:lang w:eastAsia="es-AR"/>
    </w:rPr>
  </w:style>
  <w:style w:type="paragraph" w:styleId="Ttulo4">
    <w:name w:val="heading 4"/>
    <w:basedOn w:val="Normal"/>
    <w:next w:val="Normal"/>
    <w:link w:val="Ttulo4Car"/>
    <w:uiPriority w:val="9"/>
    <w:unhideWhenUsed/>
    <w:qFormat/>
    <w:rsid w:val="00794B24"/>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794B2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4B24"/>
    <w:rPr>
      <w:rFonts w:ascii="Times New Roman" w:eastAsia="Times New Roman" w:hAnsi="Times New Roman" w:cs="Times New Roman"/>
      <w:b/>
      <w:bCs/>
      <w:kern w:val="36"/>
      <w:sz w:val="48"/>
      <w:szCs w:val="48"/>
      <w:lang w:eastAsia="es-AR"/>
    </w:rPr>
  </w:style>
  <w:style w:type="character" w:customStyle="1" w:styleId="Ttulo2Car">
    <w:name w:val="Título 2 Car"/>
    <w:basedOn w:val="Fuentedeprrafopredeter"/>
    <w:link w:val="Ttulo2"/>
    <w:uiPriority w:val="9"/>
    <w:rsid w:val="00794B24"/>
    <w:rPr>
      <w:rFonts w:ascii="Times New Roman" w:eastAsia="Times New Roman" w:hAnsi="Times New Roman" w:cs="Times New Roman"/>
      <w:b/>
      <w:bCs/>
      <w:sz w:val="36"/>
      <w:szCs w:val="36"/>
      <w:lang w:eastAsia="es-AR"/>
    </w:rPr>
  </w:style>
  <w:style w:type="character" w:customStyle="1" w:styleId="Ttulo3Car">
    <w:name w:val="Título 3 Car"/>
    <w:basedOn w:val="Fuentedeprrafopredeter"/>
    <w:link w:val="Ttulo3"/>
    <w:uiPriority w:val="9"/>
    <w:rsid w:val="00794B24"/>
    <w:rPr>
      <w:rFonts w:ascii="Times New Roman" w:eastAsia="Times New Roman" w:hAnsi="Times New Roman" w:cs="Times New Roman"/>
      <w:b/>
      <w:bCs/>
      <w:sz w:val="27"/>
      <w:szCs w:val="27"/>
      <w:lang w:eastAsia="es-AR"/>
    </w:rPr>
  </w:style>
  <w:style w:type="character" w:styleId="Hipervnculo">
    <w:name w:val="Hyperlink"/>
    <w:basedOn w:val="Fuentedeprrafopredeter"/>
    <w:uiPriority w:val="99"/>
    <w:semiHidden/>
    <w:unhideWhenUsed/>
    <w:rsid w:val="00794B24"/>
    <w:rPr>
      <w:color w:val="0000FF"/>
      <w:u w:val="single"/>
    </w:rPr>
  </w:style>
  <w:style w:type="character" w:styleId="Refdenotaalpie">
    <w:name w:val="footnote reference"/>
    <w:basedOn w:val="Fuentedeprrafopredeter"/>
    <w:uiPriority w:val="99"/>
    <w:semiHidden/>
    <w:unhideWhenUsed/>
    <w:rsid w:val="00794B24"/>
  </w:style>
  <w:style w:type="character" w:customStyle="1" w:styleId="charchar">
    <w:name w:val="charchar"/>
    <w:basedOn w:val="Fuentedeprrafopredeter"/>
    <w:rsid w:val="00794B24"/>
  </w:style>
  <w:style w:type="paragraph" w:styleId="NormalWeb">
    <w:name w:val="Normal (Web)"/>
    <w:basedOn w:val="Normal"/>
    <w:uiPriority w:val="99"/>
    <w:semiHidden/>
    <w:unhideWhenUsed/>
    <w:rsid w:val="00794B24"/>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794B24"/>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794B24"/>
    <w:rPr>
      <w:rFonts w:ascii="Times New Roman" w:eastAsia="Times New Roman" w:hAnsi="Times New Roman" w:cs="Times New Roman"/>
      <w:sz w:val="24"/>
      <w:szCs w:val="24"/>
      <w:lang w:eastAsia="es-AR"/>
    </w:rPr>
  </w:style>
  <w:style w:type="character" w:customStyle="1" w:styleId="Ttulo4Car">
    <w:name w:val="Título 4 Car"/>
    <w:basedOn w:val="Fuentedeprrafopredeter"/>
    <w:link w:val="Ttulo4"/>
    <w:uiPriority w:val="9"/>
    <w:rsid w:val="00794B24"/>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794B24"/>
    <w:rPr>
      <w:rFonts w:asciiTheme="majorHAnsi" w:eastAsiaTheme="majorEastAsia" w:hAnsiTheme="majorHAnsi" w:cstheme="majorBidi"/>
      <w:color w:val="243F60" w:themeColor="accent1" w:themeShade="7F"/>
    </w:rPr>
  </w:style>
  <w:style w:type="paragraph" w:styleId="Lista2">
    <w:name w:val="List 2"/>
    <w:basedOn w:val="Normal"/>
    <w:uiPriority w:val="99"/>
    <w:unhideWhenUsed/>
    <w:rsid w:val="00794B24"/>
    <w:pPr>
      <w:ind w:left="566" w:hanging="283"/>
      <w:contextualSpacing/>
    </w:pPr>
  </w:style>
  <w:style w:type="paragraph" w:styleId="Lista3">
    <w:name w:val="List 3"/>
    <w:basedOn w:val="Normal"/>
    <w:uiPriority w:val="99"/>
    <w:unhideWhenUsed/>
    <w:rsid w:val="00794B24"/>
    <w:pPr>
      <w:ind w:left="849" w:hanging="283"/>
      <w:contextualSpacing/>
    </w:pPr>
  </w:style>
  <w:style w:type="paragraph" w:styleId="Continuarlista2">
    <w:name w:val="List Continue 2"/>
    <w:basedOn w:val="Normal"/>
    <w:uiPriority w:val="99"/>
    <w:unhideWhenUsed/>
    <w:rsid w:val="00794B24"/>
    <w:pPr>
      <w:spacing w:after="120"/>
      <w:ind w:left="566"/>
      <w:contextualSpacing/>
    </w:pPr>
  </w:style>
  <w:style w:type="paragraph" w:styleId="Ttulo">
    <w:name w:val="Title"/>
    <w:basedOn w:val="Normal"/>
    <w:next w:val="Normal"/>
    <w:link w:val="TtuloCar"/>
    <w:uiPriority w:val="10"/>
    <w:qFormat/>
    <w:rsid w:val="00794B2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94B24"/>
    <w:rPr>
      <w:rFonts w:asciiTheme="majorHAnsi" w:eastAsiaTheme="majorEastAsia" w:hAnsiTheme="majorHAnsi" w:cstheme="majorBidi"/>
      <w:color w:val="17365D" w:themeColor="text2" w:themeShade="BF"/>
      <w:spacing w:val="5"/>
      <w:kern w:val="28"/>
      <w:sz w:val="52"/>
      <w:szCs w:val="52"/>
    </w:rPr>
  </w:style>
  <w:style w:type="paragraph" w:styleId="Textoindependiente">
    <w:name w:val="Body Text"/>
    <w:basedOn w:val="Normal"/>
    <w:link w:val="TextoindependienteCar"/>
    <w:uiPriority w:val="99"/>
    <w:unhideWhenUsed/>
    <w:rsid w:val="00794B24"/>
    <w:pPr>
      <w:spacing w:after="120"/>
    </w:pPr>
  </w:style>
  <w:style w:type="character" w:customStyle="1" w:styleId="TextoindependienteCar">
    <w:name w:val="Texto independiente Car"/>
    <w:basedOn w:val="Fuentedeprrafopredeter"/>
    <w:link w:val="Textoindependiente"/>
    <w:uiPriority w:val="99"/>
    <w:rsid w:val="00794B24"/>
  </w:style>
  <w:style w:type="paragraph" w:styleId="Subttulo">
    <w:name w:val="Subtitle"/>
    <w:basedOn w:val="Normal"/>
    <w:next w:val="Normal"/>
    <w:link w:val="SubttuloCar"/>
    <w:uiPriority w:val="11"/>
    <w:qFormat/>
    <w:rsid w:val="00794B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794B24"/>
    <w:rPr>
      <w:rFonts w:asciiTheme="majorHAnsi" w:eastAsiaTheme="majorEastAsia" w:hAnsiTheme="majorHAnsi" w:cstheme="majorBidi"/>
      <w:i/>
      <w:iCs/>
      <w:color w:val="4F81BD" w:themeColor="accent1"/>
      <w:spacing w:val="15"/>
      <w:sz w:val="24"/>
      <w:szCs w:val="24"/>
    </w:rPr>
  </w:style>
  <w:style w:type="paragraph" w:styleId="Textoindependienteprimerasangra">
    <w:name w:val="Body Text First Indent"/>
    <w:basedOn w:val="Textoindependiente"/>
    <w:link w:val="TextoindependienteprimerasangraCar"/>
    <w:uiPriority w:val="99"/>
    <w:unhideWhenUsed/>
    <w:rsid w:val="00794B24"/>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794B24"/>
  </w:style>
  <w:style w:type="paragraph" w:styleId="Sangradetextonormal">
    <w:name w:val="Body Text Indent"/>
    <w:basedOn w:val="Normal"/>
    <w:link w:val="SangradetextonormalCar"/>
    <w:uiPriority w:val="99"/>
    <w:semiHidden/>
    <w:unhideWhenUsed/>
    <w:rsid w:val="00794B24"/>
    <w:pPr>
      <w:spacing w:after="120"/>
      <w:ind w:left="283"/>
    </w:pPr>
  </w:style>
  <w:style w:type="character" w:customStyle="1" w:styleId="SangradetextonormalCar">
    <w:name w:val="Sangría de texto normal Car"/>
    <w:basedOn w:val="Fuentedeprrafopredeter"/>
    <w:link w:val="Sangradetextonormal"/>
    <w:uiPriority w:val="99"/>
    <w:semiHidden/>
    <w:rsid w:val="00794B24"/>
  </w:style>
  <w:style w:type="paragraph" w:styleId="Textoindependienteprimerasangra2">
    <w:name w:val="Body Text First Indent 2"/>
    <w:basedOn w:val="Sangradetextonormal"/>
    <w:link w:val="Textoindependienteprimerasangra2Car"/>
    <w:uiPriority w:val="99"/>
    <w:unhideWhenUsed/>
    <w:rsid w:val="00794B24"/>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794B24"/>
  </w:style>
  <w:style w:type="paragraph" w:styleId="Prrafodelista">
    <w:name w:val="List Paragraph"/>
    <w:basedOn w:val="Normal"/>
    <w:uiPriority w:val="34"/>
    <w:qFormat/>
    <w:rsid w:val="00FC2D4E"/>
    <w:pPr>
      <w:ind w:left="720"/>
      <w:contextualSpacing/>
    </w:pPr>
  </w:style>
  <w:style w:type="paragraph" w:styleId="Encabezado">
    <w:name w:val="header"/>
    <w:basedOn w:val="Normal"/>
    <w:link w:val="EncabezadoCar"/>
    <w:uiPriority w:val="99"/>
    <w:unhideWhenUsed/>
    <w:rsid w:val="0072511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25117"/>
  </w:style>
  <w:style w:type="paragraph" w:styleId="Piedepgina">
    <w:name w:val="footer"/>
    <w:basedOn w:val="Normal"/>
    <w:link w:val="PiedepginaCar"/>
    <w:uiPriority w:val="99"/>
    <w:unhideWhenUsed/>
    <w:rsid w:val="0072511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251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794B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paragraph" w:styleId="Ttulo2">
    <w:name w:val="heading 2"/>
    <w:basedOn w:val="Normal"/>
    <w:link w:val="Ttulo2Car"/>
    <w:uiPriority w:val="9"/>
    <w:qFormat/>
    <w:rsid w:val="00794B24"/>
    <w:pPr>
      <w:spacing w:before="100" w:beforeAutospacing="1" w:after="100" w:afterAutospacing="1" w:line="240" w:lineRule="auto"/>
      <w:outlineLvl w:val="1"/>
    </w:pPr>
    <w:rPr>
      <w:rFonts w:ascii="Times New Roman" w:eastAsia="Times New Roman" w:hAnsi="Times New Roman" w:cs="Times New Roman"/>
      <w:b/>
      <w:bCs/>
      <w:sz w:val="36"/>
      <w:szCs w:val="36"/>
      <w:lang w:eastAsia="es-AR"/>
    </w:rPr>
  </w:style>
  <w:style w:type="paragraph" w:styleId="Ttulo3">
    <w:name w:val="heading 3"/>
    <w:basedOn w:val="Normal"/>
    <w:link w:val="Ttulo3Car"/>
    <w:uiPriority w:val="9"/>
    <w:qFormat/>
    <w:rsid w:val="00794B24"/>
    <w:pPr>
      <w:spacing w:before="100" w:beforeAutospacing="1" w:after="100" w:afterAutospacing="1" w:line="240" w:lineRule="auto"/>
      <w:outlineLvl w:val="2"/>
    </w:pPr>
    <w:rPr>
      <w:rFonts w:ascii="Times New Roman" w:eastAsia="Times New Roman" w:hAnsi="Times New Roman" w:cs="Times New Roman"/>
      <w:b/>
      <w:bCs/>
      <w:sz w:val="27"/>
      <w:szCs w:val="27"/>
      <w:lang w:eastAsia="es-AR"/>
    </w:rPr>
  </w:style>
  <w:style w:type="paragraph" w:styleId="Ttulo4">
    <w:name w:val="heading 4"/>
    <w:basedOn w:val="Normal"/>
    <w:next w:val="Normal"/>
    <w:link w:val="Ttulo4Car"/>
    <w:uiPriority w:val="9"/>
    <w:unhideWhenUsed/>
    <w:qFormat/>
    <w:rsid w:val="00794B24"/>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794B2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4B24"/>
    <w:rPr>
      <w:rFonts w:ascii="Times New Roman" w:eastAsia="Times New Roman" w:hAnsi="Times New Roman" w:cs="Times New Roman"/>
      <w:b/>
      <w:bCs/>
      <w:kern w:val="36"/>
      <w:sz w:val="48"/>
      <w:szCs w:val="48"/>
      <w:lang w:eastAsia="es-AR"/>
    </w:rPr>
  </w:style>
  <w:style w:type="character" w:customStyle="1" w:styleId="Ttulo2Car">
    <w:name w:val="Título 2 Car"/>
    <w:basedOn w:val="Fuentedeprrafopredeter"/>
    <w:link w:val="Ttulo2"/>
    <w:uiPriority w:val="9"/>
    <w:rsid w:val="00794B24"/>
    <w:rPr>
      <w:rFonts w:ascii="Times New Roman" w:eastAsia="Times New Roman" w:hAnsi="Times New Roman" w:cs="Times New Roman"/>
      <w:b/>
      <w:bCs/>
      <w:sz w:val="36"/>
      <w:szCs w:val="36"/>
      <w:lang w:eastAsia="es-AR"/>
    </w:rPr>
  </w:style>
  <w:style w:type="character" w:customStyle="1" w:styleId="Ttulo3Car">
    <w:name w:val="Título 3 Car"/>
    <w:basedOn w:val="Fuentedeprrafopredeter"/>
    <w:link w:val="Ttulo3"/>
    <w:uiPriority w:val="9"/>
    <w:rsid w:val="00794B24"/>
    <w:rPr>
      <w:rFonts w:ascii="Times New Roman" w:eastAsia="Times New Roman" w:hAnsi="Times New Roman" w:cs="Times New Roman"/>
      <w:b/>
      <w:bCs/>
      <w:sz w:val="27"/>
      <w:szCs w:val="27"/>
      <w:lang w:eastAsia="es-AR"/>
    </w:rPr>
  </w:style>
  <w:style w:type="character" w:styleId="Hipervnculo">
    <w:name w:val="Hyperlink"/>
    <w:basedOn w:val="Fuentedeprrafopredeter"/>
    <w:uiPriority w:val="99"/>
    <w:semiHidden/>
    <w:unhideWhenUsed/>
    <w:rsid w:val="00794B24"/>
    <w:rPr>
      <w:color w:val="0000FF"/>
      <w:u w:val="single"/>
    </w:rPr>
  </w:style>
  <w:style w:type="character" w:styleId="Refdenotaalpie">
    <w:name w:val="footnote reference"/>
    <w:basedOn w:val="Fuentedeprrafopredeter"/>
    <w:uiPriority w:val="99"/>
    <w:semiHidden/>
    <w:unhideWhenUsed/>
    <w:rsid w:val="00794B24"/>
  </w:style>
  <w:style w:type="character" w:customStyle="1" w:styleId="charchar">
    <w:name w:val="charchar"/>
    <w:basedOn w:val="Fuentedeprrafopredeter"/>
    <w:rsid w:val="00794B24"/>
  </w:style>
  <w:style w:type="paragraph" w:styleId="NormalWeb">
    <w:name w:val="Normal (Web)"/>
    <w:basedOn w:val="Normal"/>
    <w:uiPriority w:val="99"/>
    <w:semiHidden/>
    <w:unhideWhenUsed/>
    <w:rsid w:val="00794B24"/>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794B24"/>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794B24"/>
    <w:rPr>
      <w:rFonts w:ascii="Times New Roman" w:eastAsia="Times New Roman" w:hAnsi="Times New Roman" w:cs="Times New Roman"/>
      <w:sz w:val="24"/>
      <w:szCs w:val="24"/>
      <w:lang w:eastAsia="es-AR"/>
    </w:rPr>
  </w:style>
  <w:style w:type="character" w:customStyle="1" w:styleId="Ttulo4Car">
    <w:name w:val="Título 4 Car"/>
    <w:basedOn w:val="Fuentedeprrafopredeter"/>
    <w:link w:val="Ttulo4"/>
    <w:uiPriority w:val="9"/>
    <w:rsid w:val="00794B24"/>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794B24"/>
    <w:rPr>
      <w:rFonts w:asciiTheme="majorHAnsi" w:eastAsiaTheme="majorEastAsia" w:hAnsiTheme="majorHAnsi" w:cstheme="majorBidi"/>
      <w:color w:val="243F60" w:themeColor="accent1" w:themeShade="7F"/>
    </w:rPr>
  </w:style>
  <w:style w:type="paragraph" w:styleId="Lista2">
    <w:name w:val="List 2"/>
    <w:basedOn w:val="Normal"/>
    <w:uiPriority w:val="99"/>
    <w:unhideWhenUsed/>
    <w:rsid w:val="00794B24"/>
    <w:pPr>
      <w:ind w:left="566" w:hanging="283"/>
      <w:contextualSpacing/>
    </w:pPr>
  </w:style>
  <w:style w:type="paragraph" w:styleId="Lista3">
    <w:name w:val="List 3"/>
    <w:basedOn w:val="Normal"/>
    <w:uiPriority w:val="99"/>
    <w:unhideWhenUsed/>
    <w:rsid w:val="00794B24"/>
    <w:pPr>
      <w:ind w:left="849" w:hanging="283"/>
      <w:contextualSpacing/>
    </w:pPr>
  </w:style>
  <w:style w:type="paragraph" w:styleId="Continuarlista2">
    <w:name w:val="List Continue 2"/>
    <w:basedOn w:val="Normal"/>
    <w:uiPriority w:val="99"/>
    <w:unhideWhenUsed/>
    <w:rsid w:val="00794B24"/>
    <w:pPr>
      <w:spacing w:after="120"/>
      <w:ind w:left="566"/>
      <w:contextualSpacing/>
    </w:pPr>
  </w:style>
  <w:style w:type="paragraph" w:styleId="Ttulo">
    <w:name w:val="Title"/>
    <w:basedOn w:val="Normal"/>
    <w:next w:val="Normal"/>
    <w:link w:val="TtuloCar"/>
    <w:uiPriority w:val="10"/>
    <w:qFormat/>
    <w:rsid w:val="00794B2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94B24"/>
    <w:rPr>
      <w:rFonts w:asciiTheme="majorHAnsi" w:eastAsiaTheme="majorEastAsia" w:hAnsiTheme="majorHAnsi" w:cstheme="majorBidi"/>
      <w:color w:val="17365D" w:themeColor="text2" w:themeShade="BF"/>
      <w:spacing w:val="5"/>
      <w:kern w:val="28"/>
      <w:sz w:val="52"/>
      <w:szCs w:val="52"/>
    </w:rPr>
  </w:style>
  <w:style w:type="paragraph" w:styleId="Textoindependiente">
    <w:name w:val="Body Text"/>
    <w:basedOn w:val="Normal"/>
    <w:link w:val="TextoindependienteCar"/>
    <w:uiPriority w:val="99"/>
    <w:unhideWhenUsed/>
    <w:rsid w:val="00794B24"/>
    <w:pPr>
      <w:spacing w:after="120"/>
    </w:pPr>
  </w:style>
  <w:style w:type="character" w:customStyle="1" w:styleId="TextoindependienteCar">
    <w:name w:val="Texto independiente Car"/>
    <w:basedOn w:val="Fuentedeprrafopredeter"/>
    <w:link w:val="Textoindependiente"/>
    <w:uiPriority w:val="99"/>
    <w:rsid w:val="00794B24"/>
  </w:style>
  <w:style w:type="paragraph" w:styleId="Subttulo">
    <w:name w:val="Subtitle"/>
    <w:basedOn w:val="Normal"/>
    <w:next w:val="Normal"/>
    <w:link w:val="SubttuloCar"/>
    <w:uiPriority w:val="11"/>
    <w:qFormat/>
    <w:rsid w:val="00794B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794B24"/>
    <w:rPr>
      <w:rFonts w:asciiTheme="majorHAnsi" w:eastAsiaTheme="majorEastAsia" w:hAnsiTheme="majorHAnsi" w:cstheme="majorBidi"/>
      <w:i/>
      <w:iCs/>
      <w:color w:val="4F81BD" w:themeColor="accent1"/>
      <w:spacing w:val="15"/>
      <w:sz w:val="24"/>
      <w:szCs w:val="24"/>
    </w:rPr>
  </w:style>
  <w:style w:type="paragraph" w:styleId="Textoindependienteprimerasangra">
    <w:name w:val="Body Text First Indent"/>
    <w:basedOn w:val="Textoindependiente"/>
    <w:link w:val="TextoindependienteprimerasangraCar"/>
    <w:uiPriority w:val="99"/>
    <w:unhideWhenUsed/>
    <w:rsid w:val="00794B24"/>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794B24"/>
  </w:style>
  <w:style w:type="paragraph" w:styleId="Sangradetextonormal">
    <w:name w:val="Body Text Indent"/>
    <w:basedOn w:val="Normal"/>
    <w:link w:val="SangradetextonormalCar"/>
    <w:uiPriority w:val="99"/>
    <w:semiHidden/>
    <w:unhideWhenUsed/>
    <w:rsid w:val="00794B24"/>
    <w:pPr>
      <w:spacing w:after="120"/>
      <w:ind w:left="283"/>
    </w:pPr>
  </w:style>
  <w:style w:type="character" w:customStyle="1" w:styleId="SangradetextonormalCar">
    <w:name w:val="Sangría de texto normal Car"/>
    <w:basedOn w:val="Fuentedeprrafopredeter"/>
    <w:link w:val="Sangradetextonormal"/>
    <w:uiPriority w:val="99"/>
    <w:semiHidden/>
    <w:rsid w:val="00794B24"/>
  </w:style>
  <w:style w:type="paragraph" w:styleId="Textoindependienteprimerasangra2">
    <w:name w:val="Body Text First Indent 2"/>
    <w:basedOn w:val="Sangradetextonormal"/>
    <w:link w:val="Textoindependienteprimerasangra2Car"/>
    <w:uiPriority w:val="99"/>
    <w:unhideWhenUsed/>
    <w:rsid w:val="00794B24"/>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794B24"/>
  </w:style>
  <w:style w:type="paragraph" w:styleId="Prrafodelista">
    <w:name w:val="List Paragraph"/>
    <w:basedOn w:val="Normal"/>
    <w:uiPriority w:val="34"/>
    <w:qFormat/>
    <w:rsid w:val="00FC2D4E"/>
    <w:pPr>
      <w:ind w:left="720"/>
      <w:contextualSpacing/>
    </w:pPr>
  </w:style>
  <w:style w:type="paragraph" w:styleId="Encabezado">
    <w:name w:val="header"/>
    <w:basedOn w:val="Normal"/>
    <w:link w:val="EncabezadoCar"/>
    <w:uiPriority w:val="99"/>
    <w:unhideWhenUsed/>
    <w:rsid w:val="0072511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25117"/>
  </w:style>
  <w:style w:type="paragraph" w:styleId="Piedepgina">
    <w:name w:val="footer"/>
    <w:basedOn w:val="Normal"/>
    <w:link w:val="PiedepginaCar"/>
    <w:uiPriority w:val="99"/>
    <w:unhideWhenUsed/>
    <w:rsid w:val="0072511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25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202044">
      <w:bodyDiv w:val="1"/>
      <w:marLeft w:val="0"/>
      <w:marRight w:val="0"/>
      <w:marTop w:val="0"/>
      <w:marBottom w:val="0"/>
      <w:divBdr>
        <w:top w:val="none" w:sz="0" w:space="0" w:color="auto"/>
        <w:left w:val="none" w:sz="0" w:space="0" w:color="auto"/>
        <w:bottom w:val="none" w:sz="0" w:space="0" w:color="auto"/>
        <w:right w:val="none" w:sz="0" w:space="0" w:color="auto"/>
      </w:divBdr>
      <w:divsChild>
        <w:div w:id="1410930603">
          <w:marLeft w:val="0"/>
          <w:marRight w:val="0"/>
          <w:marTop w:val="0"/>
          <w:marBottom w:val="0"/>
          <w:divBdr>
            <w:top w:val="none" w:sz="0" w:space="0" w:color="auto"/>
            <w:left w:val="none" w:sz="0" w:space="0" w:color="auto"/>
            <w:bottom w:val="none" w:sz="0" w:space="0" w:color="auto"/>
            <w:right w:val="none" w:sz="0" w:space="0" w:color="auto"/>
          </w:divBdr>
        </w:div>
        <w:div w:id="2038236134">
          <w:marLeft w:val="0"/>
          <w:marRight w:val="0"/>
          <w:marTop w:val="0"/>
          <w:marBottom w:val="0"/>
          <w:divBdr>
            <w:top w:val="none" w:sz="0" w:space="0" w:color="auto"/>
            <w:left w:val="none" w:sz="0" w:space="0" w:color="auto"/>
            <w:bottom w:val="none" w:sz="0" w:space="0" w:color="auto"/>
            <w:right w:val="none" w:sz="0" w:space="0" w:color="auto"/>
          </w:divBdr>
          <w:divsChild>
            <w:div w:id="2052224848">
              <w:marLeft w:val="0"/>
              <w:marRight w:val="0"/>
              <w:marTop w:val="0"/>
              <w:marBottom w:val="0"/>
              <w:divBdr>
                <w:top w:val="none" w:sz="0" w:space="0" w:color="auto"/>
                <w:left w:val="none" w:sz="0" w:space="0" w:color="auto"/>
                <w:bottom w:val="none" w:sz="0" w:space="0" w:color="auto"/>
                <w:right w:val="none" w:sz="0" w:space="0" w:color="auto"/>
              </w:divBdr>
            </w:div>
            <w:div w:id="1834374615">
              <w:marLeft w:val="0"/>
              <w:marRight w:val="0"/>
              <w:marTop w:val="0"/>
              <w:marBottom w:val="0"/>
              <w:divBdr>
                <w:top w:val="none" w:sz="0" w:space="0" w:color="auto"/>
                <w:left w:val="none" w:sz="0" w:space="0" w:color="auto"/>
                <w:bottom w:val="none" w:sz="0" w:space="0" w:color="auto"/>
                <w:right w:val="none" w:sz="0" w:space="0" w:color="auto"/>
              </w:divBdr>
            </w:div>
            <w:div w:id="1159807734">
              <w:marLeft w:val="0"/>
              <w:marRight w:val="0"/>
              <w:marTop w:val="0"/>
              <w:marBottom w:val="0"/>
              <w:divBdr>
                <w:top w:val="none" w:sz="0" w:space="0" w:color="auto"/>
                <w:left w:val="none" w:sz="0" w:space="0" w:color="auto"/>
                <w:bottom w:val="none" w:sz="0" w:space="0" w:color="auto"/>
                <w:right w:val="none" w:sz="0" w:space="0" w:color="auto"/>
              </w:divBdr>
            </w:div>
            <w:div w:id="1759987284">
              <w:marLeft w:val="0"/>
              <w:marRight w:val="0"/>
              <w:marTop w:val="0"/>
              <w:marBottom w:val="0"/>
              <w:divBdr>
                <w:top w:val="none" w:sz="0" w:space="0" w:color="auto"/>
                <w:left w:val="none" w:sz="0" w:space="0" w:color="auto"/>
                <w:bottom w:val="none" w:sz="0" w:space="0" w:color="auto"/>
                <w:right w:val="none" w:sz="0" w:space="0" w:color="auto"/>
              </w:divBdr>
            </w:div>
            <w:div w:id="540477889">
              <w:marLeft w:val="0"/>
              <w:marRight w:val="0"/>
              <w:marTop w:val="0"/>
              <w:marBottom w:val="0"/>
              <w:divBdr>
                <w:top w:val="none" w:sz="0" w:space="0" w:color="auto"/>
                <w:left w:val="none" w:sz="0" w:space="0" w:color="auto"/>
                <w:bottom w:val="none" w:sz="0" w:space="0" w:color="auto"/>
                <w:right w:val="none" w:sz="0" w:space="0" w:color="auto"/>
              </w:divBdr>
            </w:div>
            <w:div w:id="695616646">
              <w:marLeft w:val="0"/>
              <w:marRight w:val="0"/>
              <w:marTop w:val="0"/>
              <w:marBottom w:val="0"/>
              <w:divBdr>
                <w:top w:val="none" w:sz="0" w:space="0" w:color="auto"/>
                <w:left w:val="none" w:sz="0" w:space="0" w:color="auto"/>
                <w:bottom w:val="none" w:sz="0" w:space="0" w:color="auto"/>
                <w:right w:val="none" w:sz="0" w:space="0" w:color="auto"/>
              </w:divBdr>
            </w:div>
            <w:div w:id="1597982444">
              <w:marLeft w:val="0"/>
              <w:marRight w:val="0"/>
              <w:marTop w:val="0"/>
              <w:marBottom w:val="0"/>
              <w:divBdr>
                <w:top w:val="none" w:sz="0" w:space="0" w:color="auto"/>
                <w:left w:val="none" w:sz="0" w:space="0" w:color="auto"/>
                <w:bottom w:val="none" w:sz="0" w:space="0" w:color="auto"/>
                <w:right w:val="none" w:sz="0" w:space="0" w:color="auto"/>
              </w:divBdr>
            </w:div>
            <w:div w:id="1587181358">
              <w:marLeft w:val="0"/>
              <w:marRight w:val="0"/>
              <w:marTop w:val="0"/>
              <w:marBottom w:val="0"/>
              <w:divBdr>
                <w:top w:val="none" w:sz="0" w:space="0" w:color="auto"/>
                <w:left w:val="none" w:sz="0" w:space="0" w:color="auto"/>
                <w:bottom w:val="none" w:sz="0" w:space="0" w:color="auto"/>
                <w:right w:val="none" w:sz="0" w:space="0" w:color="auto"/>
              </w:divBdr>
            </w:div>
            <w:div w:id="1008408813">
              <w:marLeft w:val="0"/>
              <w:marRight w:val="0"/>
              <w:marTop w:val="0"/>
              <w:marBottom w:val="0"/>
              <w:divBdr>
                <w:top w:val="none" w:sz="0" w:space="0" w:color="auto"/>
                <w:left w:val="none" w:sz="0" w:space="0" w:color="auto"/>
                <w:bottom w:val="none" w:sz="0" w:space="0" w:color="auto"/>
                <w:right w:val="none" w:sz="0" w:space="0" w:color="auto"/>
              </w:divBdr>
            </w:div>
            <w:div w:id="1402946492">
              <w:marLeft w:val="0"/>
              <w:marRight w:val="0"/>
              <w:marTop w:val="0"/>
              <w:marBottom w:val="0"/>
              <w:divBdr>
                <w:top w:val="none" w:sz="0" w:space="0" w:color="auto"/>
                <w:left w:val="none" w:sz="0" w:space="0" w:color="auto"/>
                <w:bottom w:val="none" w:sz="0" w:space="0" w:color="auto"/>
                <w:right w:val="none" w:sz="0" w:space="0" w:color="auto"/>
              </w:divBdr>
            </w:div>
            <w:div w:id="506289879">
              <w:marLeft w:val="0"/>
              <w:marRight w:val="0"/>
              <w:marTop w:val="0"/>
              <w:marBottom w:val="0"/>
              <w:divBdr>
                <w:top w:val="none" w:sz="0" w:space="0" w:color="auto"/>
                <w:left w:val="none" w:sz="0" w:space="0" w:color="auto"/>
                <w:bottom w:val="none" w:sz="0" w:space="0" w:color="auto"/>
                <w:right w:val="none" w:sz="0" w:space="0" w:color="auto"/>
              </w:divBdr>
            </w:div>
            <w:div w:id="1882742406">
              <w:marLeft w:val="0"/>
              <w:marRight w:val="0"/>
              <w:marTop w:val="0"/>
              <w:marBottom w:val="0"/>
              <w:divBdr>
                <w:top w:val="none" w:sz="0" w:space="0" w:color="auto"/>
                <w:left w:val="none" w:sz="0" w:space="0" w:color="auto"/>
                <w:bottom w:val="none" w:sz="0" w:space="0" w:color="auto"/>
                <w:right w:val="none" w:sz="0" w:space="0" w:color="auto"/>
              </w:divBdr>
            </w:div>
            <w:div w:id="1402751990">
              <w:marLeft w:val="0"/>
              <w:marRight w:val="0"/>
              <w:marTop w:val="0"/>
              <w:marBottom w:val="0"/>
              <w:divBdr>
                <w:top w:val="none" w:sz="0" w:space="0" w:color="auto"/>
                <w:left w:val="none" w:sz="0" w:space="0" w:color="auto"/>
                <w:bottom w:val="none" w:sz="0" w:space="0" w:color="auto"/>
                <w:right w:val="none" w:sz="0" w:space="0" w:color="auto"/>
              </w:divBdr>
            </w:div>
            <w:div w:id="912352975">
              <w:marLeft w:val="0"/>
              <w:marRight w:val="0"/>
              <w:marTop w:val="0"/>
              <w:marBottom w:val="0"/>
              <w:divBdr>
                <w:top w:val="none" w:sz="0" w:space="0" w:color="auto"/>
                <w:left w:val="none" w:sz="0" w:space="0" w:color="auto"/>
                <w:bottom w:val="none" w:sz="0" w:space="0" w:color="auto"/>
                <w:right w:val="none" w:sz="0" w:space="0" w:color="auto"/>
              </w:divBdr>
            </w:div>
            <w:div w:id="669452327">
              <w:marLeft w:val="0"/>
              <w:marRight w:val="0"/>
              <w:marTop w:val="0"/>
              <w:marBottom w:val="0"/>
              <w:divBdr>
                <w:top w:val="none" w:sz="0" w:space="0" w:color="auto"/>
                <w:left w:val="none" w:sz="0" w:space="0" w:color="auto"/>
                <w:bottom w:val="none" w:sz="0" w:space="0" w:color="auto"/>
                <w:right w:val="none" w:sz="0" w:space="0" w:color="auto"/>
              </w:divBdr>
            </w:div>
            <w:div w:id="1033117429">
              <w:marLeft w:val="0"/>
              <w:marRight w:val="0"/>
              <w:marTop w:val="0"/>
              <w:marBottom w:val="0"/>
              <w:divBdr>
                <w:top w:val="none" w:sz="0" w:space="0" w:color="auto"/>
                <w:left w:val="none" w:sz="0" w:space="0" w:color="auto"/>
                <w:bottom w:val="none" w:sz="0" w:space="0" w:color="auto"/>
                <w:right w:val="none" w:sz="0" w:space="0" w:color="auto"/>
              </w:divBdr>
            </w:div>
            <w:div w:id="73735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idh.oas.org/annualrep/2005sp/Guatemala642.03sp.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idh.oas.org/annualrep/2005sp/Guatemala642.03sp.ht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cidh.oas.org/annualrep/2005sp/Guatemala642.03sp.htm" TargetMode="External"/><Relationship Id="rId4" Type="http://schemas.microsoft.com/office/2007/relationships/stylesWithEffects" Target="stylesWithEffects.xml"/><Relationship Id="rId9" Type="http://schemas.openxmlformats.org/officeDocument/2006/relationships/hyperlink" Target="http://www.cidh.oas.org/annualrep/2005sp/Guatemala642.03sp.htm"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262E6-8C32-45D1-B5FE-1D7BA915B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16</Pages>
  <Words>5386</Words>
  <Characters>29627</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Cejil Autorizado</Company>
  <LinksUpToDate>false</LinksUpToDate>
  <CharactersWithSpaces>34944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Usuario Autorizado</cp:lastModifiedBy>
  <cp:revision>2</cp:revision>
  <cp:lastPrinted>2018-01-09T22:43:00Z</cp:lastPrinted>
  <dcterms:created xsi:type="dcterms:W3CDTF">2018-01-09T22:13:00Z</dcterms:created>
  <dcterms:modified xsi:type="dcterms:W3CDTF">2018-01-09T22:43:00Z</dcterms:modified>
</cp:coreProperties>
</file>