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5C6" w:rsidRPr="006E3083" w:rsidRDefault="009F0722" w:rsidP="006E3083">
      <w:pPr>
        <w:suppressAutoHyphens/>
        <w:ind w:left="5760" w:firstLine="720"/>
        <w:rPr>
          <w:rFonts w:ascii="Cambria" w:hAnsi="Cambria" w:cs="Arial"/>
          <w:b/>
          <w:sz w:val="20"/>
          <w:szCs w:val="20"/>
          <w:lang w:val="es-ES"/>
        </w:rPr>
      </w:pPr>
      <w:bookmarkStart w:id="0" w:name="_GoBack"/>
      <w:bookmarkEnd w:id="0"/>
      <w:r w:rsidRPr="006E3083">
        <w:rPr>
          <w:rFonts w:ascii="Cambria" w:hAnsi="Cambria" w:cs="Arial"/>
          <w:sz w:val="20"/>
          <w:szCs w:val="20"/>
          <w:lang w:val="es-CO"/>
        </w:rPr>
        <w:t xml:space="preserve">      </w:t>
      </w:r>
      <w:r w:rsidR="00A005C6" w:rsidRPr="006E3083">
        <w:rPr>
          <w:rFonts w:ascii="Cambria" w:hAnsi="Cambria" w:cs="Arial"/>
          <w:sz w:val="20"/>
          <w:szCs w:val="20"/>
          <w:lang w:val="es-CO"/>
        </w:rPr>
        <w:t xml:space="preserve"> </w:t>
      </w:r>
      <w:r w:rsidR="00A005C6" w:rsidRPr="006E3083">
        <w:rPr>
          <w:rFonts w:ascii="Cambria" w:hAnsi="Cambria" w:cs="Arial"/>
          <w:sz w:val="20"/>
          <w:szCs w:val="20"/>
          <w:lang w:val="es-CO"/>
        </w:rPr>
        <w:tab/>
      </w:r>
      <w:r w:rsidR="008823D2">
        <w:rPr>
          <w:rFonts w:ascii="Cambria" w:hAnsi="Cambria" w:cs="Arial"/>
          <w:sz w:val="20"/>
          <w:szCs w:val="20"/>
          <w:lang w:val="es-CO"/>
        </w:rPr>
        <w:t xml:space="preserve">            </w:t>
      </w:r>
      <w:r w:rsidR="00A005C6" w:rsidRPr="006E3083">
        <w:rPr>
          <w:rFonts w:ascii="Cambria" w:hAnsi="Cambria" w:cs="Arial"/>
          <w:sz w:val="20"/>
          <w:szCs w:val="20"/>
          <w:lang w:val="es-CO"/>
        </w:rPr>
        <w:t xml:space="preserve">  8 de marzo </w:t>
      </w:r>
      <w:r w:rsidR="00A005C6" w:rsidRPr="006E3083">
        <w:rPr>
          <w:rFonts w:ascii="Cambria" w:hAnsi="Cambria" w:cs="Arial"/>
          <w:sz w:val="20"/>
          <w:szCs w:val="20"/>
          <w:lang w:val="es-ES"/>
        </w:rPr>
        <w:t>de 2016</w:t>
      </w:r>
    </w:p>
    <w:p w:rsidR="00A005C6" w:rsidRPr="006E3083" w:rsidRDefault="00A005C6" w:rsidP="00A005C6">
      <w:pPr>
        <w:widowControl w:val="0"/>
        <w:autoSpaceDE w:val="0"/>
        <w:autoSpaceDN w:val="0"/>
        <w:adjustRightInd w:val="0"/>
        <w:spacing w:after="0" w:line="240" w:lineRule="auto"/>
        <w:jc w:val="both"/>
        <w:rPr>
          <w:rFonts w:ascii="Cambria" w:hAnsi="Cambria" w:cs="Arial"/>
          <w:b/>
          <w:sz w:val="20"/>
          <w:szCs w:val="20"/>
          <w:lang w:val="es-ES"/>
        </w:rPr>
      </w:pPr>
      <w:r w:rsidRPr="006E3083">
        <w:rPr>
          <w:rFonts w:ascii="Cambria" w:hAnsi="Cambria" w:cs="Arial"/>
          <w:b/>
          <w:sz w:val="20"/>
          <w:szCs w:val="20"/>
          <w:lang w:val="es-ES"/>
        </w:rPr>
        <w:t>Ref.:</w:t>
      </w:r>
      <w:bookmarkStart w:id="1" w:name="Peticion_n"/>
      <w:bookmarkEnd w:id="1"/>
      <w:r w:rsidRPr="006E3083">
        <w:rPr>
          <w:rFonts w:ascii="Cambria" w:hAnsi="Cambria" w:cs="Arial"/>
          <w:b/>
          <w:sz w:val="20"/>
          <w:szCs w:val="20"/>
          <w:lang w:val="es-ES"/>
        </w:rPr>
        <w:tab/>
        <w:t xml:space="preserve">Caso No. </w:t>
      </w:r>
      <w:r w:rsidRPr="006E3083">
        <w:rPr>
          <w:rFonts w:ascii="Cambria" w:hAnsi="Cambria"/>
          <w:b/>
          <w:sz w:val="20"/>
          <w:szCs w:val="20"/>
          <w:lang w:val="es-ES"/>
        </w:rPr>
        <w:t>12.</w:t>
      </w:r>
      <w:r w:rsidR="00101589" w:rsidRPr="006E3083">
        <w:rPr>
          <w:rFonts w:ascii="Cambria" w:hAnsi="Cambria"/>
          <w:b/>
          <w:sz w:val="20"/>
          <w:szCs w:val="20"/>
          <w:lang w:val="es-ES"/>
        </w:rPr>
        <w:t>923</w:t>
      </w:r>
    </w:p>
    <w:p w:rsidR="00A005C6" w:rsidRPr="006E3083" w:rsidRDefault="00101589" w:rsidP="00A005C6">
      <w:pPr>
        <w:widowControl w:val="0"/>
        <w:autoSpaceDE w:val="0"/>
        <w:autoSpaceDN w:val="0"/>
        <w:adjustRightInd w:val="0"/>
        <w:spacing w:after="0" w:line="240" w:lineRule="auto"/>
        <w:ind w:firstLine="720"/>
        <w:jc w:val="both"/>
        <w:rPr>
          <w:rFonts w:ascii="Cambria" w:hAnsi="Cambria" w:cs="Arial"/>
          <w:b/>
          <w:sz w:val="20"/>
          <w:szCs w:val="20"/>
          <w:lang w:val="es-CO"/>
        </w:rPr>
      </w:pPr>
      <w:r w:rsidRPr="006E3083">
        <w:rPr>
          <w:rFonts w:ascii="Cambria" w:hAnsi="Cambria" w:cs="Arial"/>
          <w:b/>
          <w:sz w:val="20"/>
          <w:szCs w:val="20"/>
          <w:lang w:val="es-CO"/>
        </w:rPr>
        <w:t xml:space="preserve">Rocío San Miguel Sosa y otras </w:t>
      </w:r>
    </w:p>
    <w:p w:rsidR="00A005C6" w:rsidRPr="006E3083" w:rsidRDefault="00A005C6" w:rsidP="00A005C6">
      <w:pPr>
        <w:tabs>
          <w:tab w:val="left" w:pos="720"/>
          <w:tab w:val="center" w:pos="6480"/>
        </w:tabs>
        <w:spacing w:after="0"/>
        <w:ind w:left="720"/>
        <w:jc w:val="both"/>
        <w:rPr>
          <w:rFonts w:ascii="Cambria" w:hAnsi="Cambria" w:cs="Arial"/>
          <w:b/>
          <w:sz w:val="20"/>
          <w:szCs w:val="20"/>
          <w:lang w:val="es-ES_tradnl"/>
        </w:rPr>
      </w:pPr>
      <w:r w:rsidRPr="006E3083">
        <w:rPr>
          <w:rFonts w:ascii="Cambria" w:hAnsi="Cambria" w:cs="Arial"/>
          <w:b/>
          <w:sz w:val="20"/>
          <w:szCs w:val="20"/>
          <w:lang w:val="es-CR"/>
        </w:rPr>
        <w:t>Venezuela</w:t>
      </w:r>
      <w:r w:rsidRPr="006E3083">
        <w:rPr>
          <w:rFonts w:ascii="Cambria" w:hAnsi="Cambria" w:cs="Arial"/>
          <w:b/>
          <w:sz w:val="20"/>
          <w:szCs w:val="20"/>
          <w:lang w:val="es-ES_tradnl"/>
        </w:rPr>
        <w:t xml:space="preserve"> </w:t>
      </w:r>
    </w:p>
    <w:p w:rsidR="00A005C6" w:rsidRPr="006E3083" w:rsidRDefault="00A005C6" w:rsidP="00A005C6">
      <w:pPr>
        <w:tabs>
          <w:tab w:val="left" w:pos="720"/>
          <w:tab w:val="center" w:pos="6480"/>
        </w:tabs>
        <w:spacing w:after="0"/>
        <w:jc w:val="both"/>
        <w:rPr>
          <w:rFonts w:ascii="Cambria" w:hAnsi="Cambria" w:cs="Arial"/>
          <w:sz w:val="20"/>
          <w:szCs w:val="20"/>
          <w:lang w:val="es-PE"/>
        </w:rPr>
      </w:pPr>
    </w:p>
    <w:p w:rsidR="00A005C6" w:rsidRPr="006E3083" w:rsidRDefault="00A005C6" w:rsidP="00A005C6">
      <w:pPr>
        <w:tabs>
          <w:tab w:val="left" w:pos="720"/>
          <w:tab w:val="center" w:pos="6480"/>
        </w:tabs>
        <w:spacing w:after="0"/>
        <w:jc w:val="both"/>
        <w:rPr>
          <w:rFonts w:ascii="Cambria" w:hAnsi="Cambria" w:cs="Arial"/>
          <w:sz w:val="20"/>
          <w:szCs w:val="20"/>
          <w:lang w:val="es-PE"/>
        </w:rPr>
      </w:pPr>
      <w:r w:rsidRPr="006E3083">
        <w:rPr>
          <w:rFonts w:ascii="Cambria" w:hAnsi="Cambria" w:cs="Arial"/>
          <w:sz w:val="20"/>
          <w:szCs w:val="20"/>
          <w:lang w:val="es-PE"/>
        </w:rPr>
        <w:t>Señor Secretario:</w:t>
      </w:r>
    </w:p>
    <w:p w:rsidR="00A005C6" w:rsidRPr="006E3083" w:rsidRDefault="00A005C6" w:rsidP="00A005C6">
      <w:pPr>
        <w:spacing w:after="0"/>
        <w:rPr>
          <w:rFonts w:ascii="Cambria" w:hAnsi="Cambria" w:cs="Arial"/>
          <w:sz w:val="20"/>
          <w:szCs w:val="20"/>
          <w:lang w:val="es-CO"/>
        </w:rPr>
      </w:pPr>
    </w:p>
    <w:p w:rsidR="00A005C6" w:rsidRPr="006E3083" w:rsidRDefault="00A005C6" w:rsidP="00A005C6">
      <w:pPr>
        <w:widowControl w:val="0"/>
        <w:autoSpaceDE w:val="0"/>
        <w:autoSpaceDN w:val="0"/>
        <w:adjustRightInd w:val="0"/>
        <w:spacing w:after="0" w:line="240" w:lineRule="auto"/>
        <w:ind w:firstLine="720"/>
        <w:jc w:val="both"/>
        <w:rPr>
          <w:rFonts w:ascii="Cambria" w:hAnsi="Cambria" w:cs="Arial"/>
          <w:sz w:val="20"/>
          <w:szCs w:val="20"/>
          <w:lang w:val="es-CO"/>
        </w:rPr>
      </w:pPr>
      <w:r w:rsidRPr="006E3083">
        <w:rPr>
          <w:rFonts w:ascii="Cambria" w:hAnsi="Cambria"/>
          <w:sz w:val="20"/>
          <w:szCs w:val="20"/>
          <w:lang w:val="es-CO"/>
        </w:rPr>
        <w:t>Tengo el agrado de dirigirme a usted en nombre de la Comisión Interamericana de Derechos Humanos con el objeto</w:t>
      </w:r>
      <w:r w:rsidRPr="006E3083">
        <w:rPr>
          <w:rFonts w:ascii="Cambria" w:hAnsi="Cambria" w:cs="Arial"/>
          <w:sz w:val="20"/>
          <w:szCs w:val="20"/>
          <w:lang w:val="es-CO"/>
        </w:rPr>
        <w:t xml:space="preserve"> de someter a la jurisdicción de la Honorable Corte Interamericana de Derechos Humanos, el caso 12.</w:t>
      </w:r>
      <w:r w:rsidR="009F0722" w:rsidRPr="006E3083">
        <w:rPr>
          <w:rFonts w:ascii="Cambria" w:hAnsi="Cambria" w:cs="Arial"/>
          <w:sz w:val="20"/>
          <w:szCs w:val="20"/>
          <w:lang w:val="es-CO"/>
        </w:rPr>
        <w:t>923</w:t>
      </w:r>
      <w:r w:rsidRPr="006E3083">
        <w:rPr>
          <w:rFonts w:ascii="Cambria" w:hAnsi="Cambria" w:cs="Arial"/>
          <w:sz w:val="20"/>
          <w:szCs w:val="20"/>
          <w:lang w:val="es-CO"/>
        </w:rPr>
        <w:t xml:space="preserve"> – </w:t>
      </w:r>
      <w:r w:rsidR="009F0722" w:rsidRPr="006E3083">
        <w:rPr>
          <w:rFonts w:ascii="Cambria" w:hAnsi="Cambria" w:cs="Arial"/>
          <w:sz w:val="20"/>
          <w:szCs w:val="20"/>
          <w:lang w:val="es-CO"/>
        </w:rPr>
        <w:t xml:space="preserve">Rocío San Miguel Sosa y otras </w:t>
      </w:r>
      <w:r w:rsidRPr="006E3083">
        <w:rPr>
          <w:rFonts w:ascii="Cambria" w:hAnsi="Cambria" w:cs="Arial"/>
          <w:sz w:val="20"/>
          <w:szCs w:val="20"/>
          <w:lang w:val="es-CO"/>
        </w:rPr>
        <w:t xml:space="preserve">respecto de la República Bolivariana de Venezuela (en adelante “el Estado”, “el Estado venezolano” o “Venezuela”). </w:t>
      </w:r>
    </w:p>
    <w:p w:rsidR="00A005C6" w:rsidRPr="006E3083" w:rsidRDefault="00A005C6" w:rsidP="00A005C6">
      <w:pPr>
        <w:spacing w:after="0"/>
        <w:jc w:val="both"/>
        <w:rPr>
          <w:rFonts w:ascii="Cambria" w:hAnsi="Cambria" w:cs="Arial"/>
          <w:sz w:val="20"/>
          <w:szCs w:val="20"/>
          <w:lang w:val="es-CO"/>
        </w:rPr>
      </w:pPr>
    </w:p>
    <w:p w:rsidR="006E3083" w:rsidRPr="006E3083" w:rsidRDefault="00A005C6" w:rsidP="006E3083">
      <w:pPr>
        <w:widowControl w:val="0"/>
        <w:autoSpaceDE w:val="0"/>
        <w:autoSpaceDN w:val="0"/>
        <w:adjustRightInd w:val="0"/>
        <w:spacing w:after="0" w:line="240" w:lineRule="auto"/>
        <w:ind w:firstLine="720"/>
        <w:jc w:val="both"/>
        <w:rPr>
          <w:rFonts w:ascii="Cambria" w:hAnsi="Cambria" w:cs="Arial"/>
          <w:snapToGrid w:val="0"/>
          <w:sz w:val="20"/>
          <w:szCs w:val="20"/>
          <w:lang w:val="es-ES_tradnl"/>
        </w:rPr>
      </w:pPr>
      <w:r w:rsidRPr="006E3083">
        <w:rPr>
          <w:rFonts w:ascii="Cambria" w:hAnsi="Cambria"/>
          <w:sz w:val="20"/>
          <w:szCs w:val="20"/>
          <w:lang w:val="es-ES"/>
        </w:rPr>
        <w:t xml:space="preserve">El caso se relaciona con </w:t>
      </w:r>
      <w:r w:rsidR="006E3083" w:rsidRPr="006E3083">
        <w:rPr>
          <w:rFonts w:ascii="Cambria" w:hAnsi="Cambria"/>
          <w:sz w:val="20"/>
          <w:szCs w:val="20"/>
          <w:lang w:val="es-ES"/>
        </w:rPr>
        <w:t>el despido arbitrario de Rocío San Miguel</w:t>
      </w:r>
      <w:r w:rsidR="00B00832">
        <w:rPr>
          <w:rFonts w:ascii="Cambria" w:hAnsi="Cambria"/>
          <w:sz w:val="20"/>
          <w:szCs w:val="20"/>
          <w:lang w:val="es-ES"/>
        </w:rPr>
        <w:t xml:space="preserve"> Sosa</w:t>
      </w:r>
      <w:r w:rsidR="006E3083" w:rsidRPr="006E3083">
        <w:rPr>
          <w:rFonts w:ascii="Cambria" w:hAnsi="Cambria"/>
          <w:sz w:val="20"/>
          <w:szCs w:val="20"/>
          <w:lang w:val="es-VE"/>
        </w:rPr>
        <w:t xml:space="preserve">, Magally Chang Girón y Thais Coromoto Peña de sus respectivos cargos públicos en el Consejo Nacional de Fronteras el 12 de marzo de 2004 tras haber firmado la convocatoria a referendo revocatorio del mandato presidencial del entonces Presidente Hugo Chávez Frías. </w:t>
      </w:r>
    </w:p>
    <w:p w:rsidR="006E3083" w:rsidRPr="006E3083" w:rsidRDefault="006E3083" w:rsidP="006E3083">
      <w:pPr>
        <w:widowControl w:val="0"/>
        <w:autoSpaceDE w:val="0"/>
        <w:autoSpaceDN w:val="0"/>
        <w:adjustRightInd w:val="0"/>
        <w:spacing w:after="0" w:line="240" w:lineRule="auto"/>
        <w:jc w:val="both"/>
        <w:rPr>
          <w:rFonts w:ascii="Cambria" w:hAnsi="Cambria"/>
          <w:sz w:val="20"/>
          <w:szCs w:val="20"/>
          <w:lang w:val="es-VE"/>
        </w:rPr>
      </w:pPr>
    </w:p>
    <w:p w:rsidR="006E3083" w:rsidRPr="006E3083" w:rsidRDefault="006E3083" w:rsidP="006E3083">
      <w:pPr>
        <w:widowControl w:val="0"/>
        <w:autoSpaceDE w:val="0"/>
        <w:autoSpaceDN w:val="0"/>
        <w:adjustRightInd w:val="0"/>
        <w:spacing w:after="0" w:line="240" w:lineRule="auto"/>
        <w:ind w:firstLine="720"/>
        <w:jc w:val="both"/>
        <w:rPr>
          <w:rFonts w:ascii="Times New Roman" w:hAnsi="Times New Roman"/>
          <w:sz w:val="20"/>
          <w:szCs w:val="20"/>
          <w:lang w:val="es-ES"/>
        </w:rPr>
      </w:pPr>
      <w:r w:rsidRPr="006E3083">
        <w:rPr>
          <w:rFonts w:ascii="Cambria" w:hAnsi="Cambria"/>
          <w:sz w:val="20"/>
          <w:szCs w:val="20"/>
          <w:lang w:val="es-VE"/>
        </w:rPr>
        <w:t xml:space="preserve">Este proceso político tuvo lugar en un contexto de significativa polarización en el que </w:t>
      </w:r>
      <w:r w:rsidR="00B83452">
        <w:rPr>
          <w:rFonts w:ascii="Cambria" w:hAnsi="Cambria"/>
          <w:sz w:val="20"/>
          <w:szCs w:val="20"/>
          <w:lang w:val="es-VE"/>
        </w:rPr>
        <w:t xml:space="preserve">el </w:t>
      </w:r>
      <w:r w:rsidRPr="006E3083">
        <w:rPr>
          <w:rFonts w:ascii="Cambria" w:hAnsi="Cambria"/>
          <w:color w:val="000000"/>
          <w:sz w:val="20"/>
          <w:szCs w:val="20"/>
          <w:lang w:val="es-VE"/>
        </w:rPr>
        <w:t xml:space="preserve">entonces Presidente de la República </w:t>
      </w:r>
      <w:r w:rsidR="00B83452">
        <w:rPr>
          <w:rFonts w:ascii="Cambria" w:hAnsi="Cambria"/>
          <w:color w:val="000000"/>
          <w:sz w:val="20"/>
          <w:szCs w:val="20"/>
          <w:lang w:val="es-VE"/>
        </w:rPr>
        <w:t>y</w:t>
      </w:r>
      <w:r w:rsidRPr="006E3083">
        <w:rPr>
          <w:rFonts w:ascii="Cambria" w:hAnsi="Cambria"/>
          <w:color w:val="000000"/>
          <w:sz w:val="20"/>
          <w:szCs w:val="20"/>
          <w:lang w:val="es-VE"/>
        </w:rPr>
        <w:t xml:space="preserve"> otros altos funcionarios estatales efectuaron declaraciones contemporáneas o bien en el momento de las firmas, o bien en el momento de la presentación de las mismas al Consejo Nacional Electoral, cuyos contenidos reflejan claramente que se trató de formas de presión para no firmar, de amenazas de represalias e incluso de la acusación infundada de terroristas a quienes firmaron. Parte del contexto de las firmas y el despido tuvo que ver con la creación y publicación de la denominada “lista Tascón” que incluía a las personas que firmaron la convocatoria a referendo revocatorio. Dicha lista fue encargada por el propio Presidente de la República a un Diputado con la finalidad de “que salgan los rostros” de lo que se denominó como un supuesto “megafraude”. Asimismo, se convocó a un proceso de “reparos” de firmas que no se limitó a corregir posibles usos fraudulentos de firmas e identidades, sino que incluyó un llamado general a que las personas que firmaron válidamente se retractaran. </w:t>
      </w:r>
    </w:p>
    <w:p w:rsidR="006E3083" w:rsidRPr="006E3083" w:rsidRDefault="006E3083" w:rsidP="006E3083">
      <w:pPr>
        <w:pStyle w:val="Prrafodelista"/>
        <w:ind w:left="0"/>
        <w:jc w:val="both"/>
        <w:rPr>
          <w:sz w:val="20"/>
          <w:szCs w:val="20"/>
          <w:lang w:val="es-ES"/>
        </w:rPr>
      </w:pPr>
    </w:p>
    <w:p w:rsidR="006E3083" w:rsidRPr="006E3083" w:rsidRDefault="006E3083" w:rsidP="006E3083">
      <w:pPr>
        <w:pStyle w:val="Prrafodelista"/>
        <w:ind w:left="0" w:firstLine="720"/>
        <w:jc w:val="both"/>
        <w:rPr>
          <w:sz w:val="20"/>
          <w:szCs w:val="20"/>
          <w:lang w:val="es-CO"/>
        </w:rPr>
      </w:pPr>
      <w:r w:rsidRPr="006E3083">
        <w:rPr>
          <w:sz w:val="20"/>
          <w:szCs w:val="20"/>
          <w:lang w:val="es-ES"/>
        </w:rPr>
        <w:t>Además de todos estos elementos de contexto, la Comisión tomó nota de: i) las declaraciones de las tres víctimas, en particular, la de Rocío San Miguel</w:t>
      </w:r>
      <w:r w:rsidR="00B83452">
        <w:rPr>
          <w:sz w:val="20"/>
          <w:szCs w:val="20"/>
          <w:lang w:val="es-ES"/>
        </w:rPr>
        <w:t xml:space="preserve"> Sosa</w:t>
      </w:r>
      <w:r w:rsidRPr="006E3083">
        <w:rPr>
          <w:sz w:val="20"/>
          <w:szCs w:val="20"/>
          <w:lang w:val="es-ES"/>
        </w:rPr>
        <w:t xml:space="preserve">, quien hizo referencia y aportó la transcripción de una </w:t>
      </w:r>
      <w:r w:rsidRPr="006E3083">
        <w:rPr>
          <w:rFonts w:cs="Times"/>
          <w:sz w:val="20"/>
          <w:szCs w:val="20"/>
          <w:lang w:val="es-ES"/>
        </w:rPr>
        <w:t xml:space="preserve">conversación con el Secretario Ejecutivo del Consejo Nacional de Fronteras y </w:t>
      </w:r>
      <w:r w:rsidRPr="006E3083">
        <w:rPr>
          <w:sz w:val="20"/>
          <w:szCs w:val="20"/>
          <w:lang w:val="es-ES_tradnl"/>
        </w:rPr>
        <w:t xml:space="preserve">con la consultora jurídica de la Vicepresidencia de las cuales resulta evidente que la razón del despido fue la firma de la convocatoria a referendo revocatorio; </w:t>
      </w:r>
      <w:r w:rsidRPr="006E3083">
        <w:rPr>
          <w:rFonts w:cs="Times"/>
          <w:sz w:val="20"/>
          <w:szCs w:val="20"/>
          <w:lang w:val="es-ES"/>
        </w:rPr>
        <w:t xml:space="preserve">ii) el hecho de que de los 23 empleados del Consejo Nacional de Fronteras, las únicas cuatro personas despedidas fueron las que firmaron la </w:t>
      </w:r>
      <w:r w:rsidRPr="006E3083">
        <w:rPr>
          <w:sz w:val="20"/>
          <w:szCs w:val="20"/>
          <w:lang w:val="es-VE"/>
        </w:rPr>
        <w:t>solicitud de referendo revocatorio; iii) las varias referencias que el Estado no controvirtió que indican que de estas cuatro personas la única que pudo conservar su empleo fue precisamente quien objetó su firma; iv) el hecho de que a las tres víctimas se les habían venido renova</w:t>
      </w:r>
      <w:r w:rsidR="00D050EC">
        <w:rPr>
          <w:sz w:val="20"/>
          <w:szCs w:val="20"/>
          <w:lang w:val="es-VE"/>
        </w:rPr>
        <w:t>n</w:t>
      </w:r>
      <w:r w:rsidRPr="006E3083">
        <w:rPr>
          <w:sz w:val="20"/>
          <w:szCs w:val="20"/>
          <w:lang w:val="es-VE"/>
        </w:rPr>
        <w:t xml:space="preserve">do reiteradamente sus contratos por periodos de ocho, siete y cuatro años respectivamente; y v) la información que indica que </w:t>
      </w:r>
      <w:r w:rsidRPr="006E3083">
        <w:rPr>
          <w:sz w:val="20"/>
          <w:szCs w:val="20"/>
          <w:lang w:val="es-ES"/>
        </w:rPr>
        <w:t>el caso de Rocío San Miguel</w:t>
      </w:r>
      <w:r w:rsidR="00F37DA2">
        <w:rPr>
          <w:sz w:val="20"/>
          <w:szCs w:val="20"/>
          <w:lang w:val="es-ES"/>
        </w:rPr>
        <w:t xml:space="preserve"> Sosa</w:t>
      </w:r>
      <w:r w:rsidRPr="006E3083">
        <w:rPr>
          <w:rFonts w:eastAsia="Calibri"/>
          <w:sz w:val="20"/>
          <w:szCs w:val="20"/>
          <w:lang w:val="es-VE"/>
        </w:rPr>
        <w:t>, Magally Chang Girón y Thais Coromoto Peña, no fue un caso aislado sino que se documentaron múltiples denuncias sobre despidos en el sector público como represalia por haber firmado la convocatoria a referendo revocatorio.</w:t>
      </w:r>
    </w:p>
    <w:p w:rsidR="006E3083" w:rsidRDefault="006E3083" w:rsidP="006E3083">
      <w:pPr>
        <w:pStyle w:val="Prrafodelista"/>
        <w:rPr>
          <w:sz w:val="20"/>
          <w:szCs w:val="20"/>
          <w:lang w:val="es-VE"/>
        </w:rPr>
      </w:pPr>
    </w:p>
    <w:p w:rsidR="006E3083" w:rsidRDefault="006E3083" w:rsidP="006E3083">
      <w:pPr>
        <w:pStyle w:val="Prrafodelista"/>
        <w:rPr>
          <w:sz w:val="20"/>
          <w:szCs w:val="20"/>
          <w:lang w:val="es-VE"/>
        </w:rPr>
      </w:pPr>
    </w:p>
    <w:p w:rsidR="006E3083" w:rsidRPr="006E3083" w:rsidRDefault="006E3083" w:rsidP="006E3083">
      <w:pPr>
        <w:widowControl w:val="0"/>
        <w:autoSpaceDE w:val="0"/>
        <w:autoSpaceDN w:val="0"/>
        <w:adjustRightInd w:val="0"/>
        <w:spacing w:after="0" w:line="240" w:lineRule="auto"/>
        <w:jc w:val="both"/>
        <w:rPr>
          <w:rFonts w:ascii="Cambria" w:hAnsi="Cambria" w:cs="Arial"/>
          <w:snapToGrid w:val="0"/>
          <w:sz w:val="20"/>
          <w:szCs w:val="20"/>
          <w:lang w:val="es-CO"/>
        </w:rPr>
      </w:pPr>
      <w:r w:rsidRPr="006E3083">
        <w:rPr>
          <w:rFonts w:ascii="Cambria" w:hAnsi="Cambria" w:cs="Arial"/>
          <w:snapToGrid w:val="0"/>
          <w:sz w:val="20"/>
          <w:szCs w:val="20"/>
          <w:lang w:val="es-ES_tradnl"/>
        </w:rPr>
        <w:t>Señor</w:t>
      </w:r>
    </w:p>
    <w:p w:rsidR="006E3083" w:rsidRPr="006E3083" w:rsidRDefault="006E3083" w:rsidP="006E3083">
      <w:pPr>
        <w:widowControl w:val="0"/>
        <w:autoSpaceDE w:val="0"/>
        <w:autoSpaceDN w:val="0"/>
        <w:adjustRightInd w:val="0"/>
        <w:spacing w:after="0" w:line="240" w:lineRule="auto"/>
        <w:jc w:val="both"/>
        <w:rPr>
          <w:rFonts w:ascii="Cambria" w:hAnsi="Cambria" w:cs="Arial"/>
          <w:snapToGrid w:val="0"/>
          <w:sz w:val="20"/>
          <w:szCs w:val="20"/>
          <w:lang w:val="es-CO"/>
        </w:rPr>
      </w:pPr>
      <w:r w:rsidRPr="006E3083">
        <w:rPr>
          <w:rFonts w:ascii="Cambria" w:hAnsi="Cambria" w:cs="Arial"/>
          <w:snapToGrid w:val="0"/>
          <w:sz w:val="20"/>
          <w:szCs w:val="20"/>
          <w:lang w:val="es-CO"/>
        </w:rPr>
        <w:t xml:space="preserve">Pablo </w:t>
      </w:r>
      <w:r w:rsidRPr="006E3083">
        <w:rPr>
          <w:rFonts w:ascii="Cambria" w:hAnsi="Cambria"/>
          <w:sz w:val="20"/>
          <w:szCs w:val="20"/>
          <w:lang w:val="es-ES"/>
        </w:rPr>
        <w:t>Saavedra</w:t>
      </w:r>
      <w:r w:rsidRPr="006E3083">
        <w:rPr>
          <w:rFonts w:ascii="Cambria" w:hAnsi="Cambria" w:cs="Arial"/>
          <w:snapToGrid w:val="0"/>
          <w:sz w:val="20"/>
          <w:szCs w:val="20"/>
          <w:lang w:val="es-CO"/>
        </w:rPr>
        <w:t xml:space="preserve"> Alessandri, Secretario</w:t>
      </w:r>
    </w:p>
    <w:p w:rsidR="006E3083" w:rsidRPr="006E3083" w:rsidRDefault="006E3083" w:rsidP="006E3083">
      <w:pPr>
        <w:widowControl w:val="0"/>
        <w:autoSpaceDE w:val="0"/>
        <w:autoSpaceDN w:val="0"/>
        <w:adjustRightInd w:val="0"/>
        <w:spacing w:after="0" w:line="240" w:lineRule="auto"/>
        <w:jc w:val="both"/>
        <w:rPr>
          <w:rFonts w:ascii="Cambria" w:hAnsi="Cambria" w:cs="Arial"/>
          <w:snapToGrid w:val="0"/>
          <w:sz w:val="20"/>
          <w:szCs w:val="20"/>
          <w:lang w:val="es-ES_tradnl"/>
        </w:rPr>
      </w:pPr>
      <w:r w:rsidRPr="006E3083">
        <w:rPr>
          <w:rFonts w:ascii="Cambria" w:hAnsi="Cambria" w:cs="Arial"/>
          <w:snapToGrid w:val="0"/>
          <w:sz w:val="20"/>
          <w:szCs w:val="20"/>
          <w:lang w:val="es-ES_tradnl"/>
        </w:rPr>
        <w:t>Corte Interamericana de Derechos Humanos</w:t>
      </w:r>
    </w:p>
    <w:p w:rsidR="006E3083" w:rsidRPr="006E3083" w:rsidRDefault="006E3083" w:rsidP="006E3083">
      <w:pPr>
        <w:widowControl w:val="0"/>
        <w:autoSpaceDE w:val="0"/>
        <w:autoSpaceDN w:val="0"/>
        <w:adjustRightInd w:val="0"/>
        <w:spacing w:after="0" w:line="240" w:lineRule="auto"/>
        <w:jc w:val="both"/>
        <w:rPr>
          <w:rFonts w:ascii="Cambria" w:hAnsi="Cambria" w:cs="Arial"/>
          <w:snapToGrid w:val="0"/>
          <w:sz w:val="20"/>
          <w:szCs w:val="20"/>
          <w:lang w:val="es-ES_tradnl"/>
        </w:rPr>
      </w:pPr>
      <w:r w:rsidRPr="006E3083">
        <w:rPr>
          <w:rFonts w:ascii="Cambria" w:hAnsi="Cambria" w:cs="Arial"/>
          <w:snapToGrid w:val="0"/>
          <w:sz w:val="20"/>
          <w:szCs w:val="20"/>
          <w:lang w:val="es-ES_tradnl"/>
        </w:rPr>
        <w:t>Apartado 6906-1000</w:t>
      </w:r>
    </w:p>
    <w:p w:rsidR="006E3083" w:rsidRPr="006E3083" w:rsidRDefault="006E3083" w:rsidP="006E3083">
      <w:pPr>
        <w:widowControl w:val="0"/>
        <w:autoSpaceDE w:val="0"/>
        <w:autoSpaceDN w:val="0"/>
        <w:adjustRightInd w:val="0"/>
        <w:spacing w:after="0" w:line="240" w:lineRule="auto"/>
        <w:jc w:val="both"/>
        <w:rPr>
          <w:rFonts w:ascii="Cambria" w:hAnsi="Cambria" w:cs="Arial"/>
          <w:snapToGrid w:val="0"/>
          <w:sz w:val="20"/>
          <w:szCs w:val="20"/>
          <w:lang w:val="es-ES_tradnl"/>
        </w:rPr>
      </w:pPr>
      <w:r w:rsidRPr="006E3083">
        <w:rPr>
          <w:rFonts w:ascii="Cambria" w:hAnsi="Cambria" w:cs="Arial"/>
          <w:snapToGrid w:val="0"/>
          <w:sz w:val="20"/>
          <w:szCs w:val="20"/>
          <w:lang w:val="es-ES_tradnl"/>
        </w:rPr>
        <w:t>San José, Costa Rica</w:t>
      </w:r>
    </w:p>
    <w:p w:rsidR="006E3083" w:rsidRPr="006E3083" w:rsidRDefault="006E3083" w:rsidP="006E3083">
      <w:pPr>
        <w:widowControl w:val="0"/>
        <w:autoSpaceDE w:val="0"/>
        <w:autoSpaceDN w:val="0"/>
        <w:adjustRightInd w:val="0"/>
        <w:spacing w:after="0" w:line="240" w:lineRule="auto"/>
        <w:ind w:firstLine="720"/>
        <w:jc w:val="both"/>
        <w:rPr>
          <w:rFonts w:ascii="Cambria" w:hAnsi="Cambria"/>
          <w:sz w:val="20"/>
          <w:szCs w:val="20"/>
          <w:lang w:val="es-ES"/>
        </w:rPr>
      </w:pPr>
    </w:p>
    <w:p w:rsidR="006E3083" w:rsidRPr="006E3083" w:rsidRDefault="006E3083" w:rsidP="006E3083">
      <w:pPr>
        <w:widowControl w:val="0"/>
        <w:autoSpaceDE w:val="0"/>
        <w:autoSpaceDN w:val="0"/>
        <w:adjustRightInd w:val="0"/>
        <w:spacing w:after="0" w:line="240" w:lineRule="auto"/>
        <w:jc w:val="both"/>
        <w:rPr>
          <w:rFonts w:ascii="Cambria" w:hAnsi="Cambria"/>
          <w:sz w:val="20"/>
          <w:szCs w:val="20"/>
          <w:lang w:val="es-ES"/>
        </w:rPr>
      </w:pPr>
      <w:r w:rsidRPr="006E3083">
        <w:rPr>
          <w:rFonts w:ascii="Cambria" w:hAnsi="Cambria"/>
          <w:sz w:val="20"/>
          <w:szCs w:val="20"/>
          <w:lang w:val="es-ES"/>
        </w:rPr>
        <w:t>Anexos</w:t>
      </w:r>
    </w:p>
    <w:p w:rsidR="006E3083" w:rsidRPr="006E3083" w:rsidRDefault="006E3083" w:rsidP="006E3083">
      <w:pPr>
        <w:pBdr>
          <w:top w:val="nil"/>
        </w:pBdr>
        <w:spacing w:after="0" w:line="240" w:lineRule="auto"/>
        <w:ind w:firstLine="720"/>
        <w:jc w:val="both"/>
        <w:rPr>
          <w:rFonts w:ascii="Cambria" w:hAnsi="Cambria"/>
          <w:sz w:val="20"/>
          <w:szCs w:val="20"/>
          <w:lang w:val="es-ES_tradnl"/>
        </w:rPr>
      </w:pPr>
      <w:r w:rsidRPr="006E3083">
        <w:rPr>
          <w:rFonts w:ascii="Cambria" w:hAnsi="Cambria"/>
          <w:sz w:val="20"/>
          <w:szCs w:val="20"/>
          <w:lang w:val="es-ES_tradnl"/>
        </w:rPr>
        <w:lastRenderedPageBreak/>
        <w:t>La Comisión consideró que todos los elementos descritos son consistentes entre sí y permiten llegar a la convicción de que la terminación de los contratos de Rocío San Miguel Sosa, Magally Chang Girón y Thais Coromoto Peña, constituyó un acto de desviación de poder en el cual se utilizó la existencia de una facultad discrecional en los contratos como un velo de legalidad respecto de la verdadera motivación de sancionar a las víctimas por la expresión de su opinión política mediante la firma de la convocatoria al referendo revocatorio. La Comisión determinó que esta sanción implícita constituyó una violación a los derechos políticos, una discriminación por opinión política y una restricción indirecta a la libertad de expresión.</w:t>
      </w:r>
    </w:p>
    <w:p w:rsidR="006E3083" w:rsidRPr="006E3083" w:rsidRDefault="006E3083" w:rsidP="006E3083">
      <w:pPr>
        <w:pBdr>
          <w:top w:val="nil"/>
        </w:pBdr>
        <w:spacing w:after="0" w:line="240" w:lineRule="auto"/>
        <w:jc w:val="both"/>
        <w:rPr>
          <w:rFonts w:ascii="Cambria" w:hAnsi="Cambria"/>
          <w:sz w:val="20"/>
          <w:szCs w:val="20"/>
          <w:lang w:val="es-ES_tradnl"/>
        </w:rPr>
      </w:pPr>
    </w:p>
    <w:p w:rsidR="006E3083" w:rsidRPr="006E3083" w:rsidRDefault="006E3083" w:rsidP="006E3083">
      <w:pPr>
        <w:pBdr>
          <w:top w:val="nil"/>
        </w:pBdr>
        <w:spacing w:after="0" w:line="240" w:lineRule="auto"/>
        <w:ind w:firstLine="720"/>
        <w:jc w:val="both"/>
        <w:rPr>
          <w:rFonts w:ascii="Cambria" w:hAnsi="Cambria"/>
          <w:sz w:val="20"/>
          <w:szCs w:val="20"/>
          <w:lang w:val="es-VE"/>
        </w:rPr>
      </w:pPr>
      <w:r w:rsidRPr="006E3083">
        <w:rPr>
          <w:rFonts w:ascii="Cambria" w:hAnsi="Cambria"/>
          <w:sz w:val="20"/>
          <w:szCs w:val="20"/>
          <w:lang w:val="es-ES_tradnl"/>
        </w:rPr>
        <w:t xml:space="preserve">Finalmente, la Comisión concluyó que </w:t>
      </w:r>
      <w:r w:rsidRPr="006E3083">
        <w:rPr>
          <w:rFonts w:ascii="Cambria" w:hAnsi="Cambria"/>
          <w:sz w:val="20"/>
          <w:szCs w:val="20"/>
          <w:lang w:val="es-VE"/>
        </w:rPr>
        <w:t>ni el recurso de amparo ni la investigación penal, incluido el recurso de apelación contra el sobreseimiento, constituyeron recursos eficaces para examinar un supuesto de desviación de poder materializado en una discriminación encubierta.</w:t>
      </w:r>
      <w:r w:rsidRPr="006E3083">
        <w:rPr>
          <w:rFonts w:ascii="Cambria" w:hAnsi="Cambria"/>
          <w:sz w:val="20"/>
          <w:szCs w:val="20"/>
          <w:lang w:val="es-ES_tradnl"/>
        </w:rPr>
        <w:t xml:space="preserve">  Asimismo, la Comisión determinó que el recurso de amparo no fue resuelto en un plazo razonable. </w:t>
      </w:r>
    </w:p>
    <w:p w:rsidR="00A005C6" w:rsidRPr="006E3083" w:rsidRDefault="00A005C6" w:rsidP="00A005C6">
      <w:pPr>
        <w:widowControl w:val="0"/>
        <w:autoSpaceDE w:val="0"/>
        <w:autoSpaceDN w:val="0"/>
        <w:adjustRightInd w:val="0"/>
        <w:spacing w:after="0" w:line="240" w:lineRule="auto"/>
        <w:ind w:firstLine="720"/>
        <w:jc w:val="both"/>
        <w:rPr>
          <w:rFonts w:ascii="Cambria" w:hAnsi="Cambria"/>
          <w:sz w:val="20"/>
          <w:szCs w:val="20"/>
          <w:lang w:val="es-ES"/>
        </w:rPr>
      </w:pPr>
    </w:p>
    <w:p w:rsidR="00A005C6" w:rsidRPr="006E3083" w:rsidRDefault="00A005C6" w:rsidP="00A005C6">
      <w:pPr>
        <w:suppressAutoHyphens/>
        <w:spacing w:after="0" w:line="240" w:lineRule="auto"/>
        <w:ind w:firstLine="720"/>
        <w:jc w:val="both"/>
        <w:rPr>
          <w:rFonts w:ascii="Cambria" w:hAnsi="Cambria" w:cs="Arial"/>
          <w:sz w:val="20"/>
          <w:szCs w:val="20"/>
          <w:lang w:val="es-CO"/>
        </w:rPr>
      </w:pPr>
      <w:r w:rsidRPr="006E3083">
        <w:rPr>
          <w:rFonts w:ascii="Cambria" w:hAnsi="Cambria" w:cs="Arial"/>
          <w:sz w:val="20"/>
          <w:szCs w:val="20"/>
          <w:lang w:val="es-CO"/>
        </w:rPr>
        <w:t xml:space="preserve">El Estado </w:t>
      </w:r>
      <w:r w:rsidRPr="006E3083">
        <w:rPr>
          <w:rFonts w:ascii="Cambria" w:hAnsi="Cambria"/>
          <w:sz w:val="20"/>
          <w:szCs w:val="20"/>
          <w:lang w:val="es-AR"/>
        </w:rPr>
        <w:t>ratificó</w:t>
      </w:r>
      <w:r w:rsidRPr="006E3083">
        <w:rPr>
          <w:rFonts w:ascii="Cambria" w:hAnsi="Cambria" w:cs="Arial"/>
          <w:sz w:val="20"/>
          <w:szCs w:val="20"/>
          <w:lang w:val="es-CO"/>
        </w:rPr>
        <w:t xml:space="preserve"> la Convención Americana sobre Derechos Humanos el 9 de agosto de 1997  y aceptó la competencia contenciosa de la Corte el 24 de junio de 1981.</w:t>
      </w:r>
      <w:r w:rsidRPr="006E3083">
        <w:rPr>
          <w:rFonts w:ascii="Cambria" w:hAnsi="Cambria" w:cs="Arial"/>
          <w:sz w:val="20"/>
          <w:szCs w:val="20"/>
          <w:lang w:val="es-ES"/>
        </w:rPr>
        <w:t xml:space="preserve"> El Estado denunció la Convención Americana el 10 de septiembre de 2012. Los hechos del presente caso tuvieron lugar antes del 10 de septiembre de 2013, fecha en que entró en vigencia la denuncia de la Convención Americana. </w:t>
      </w:r>
    </w:p>
    <w:p w:rsidR="00A005C6" w:rsidRPr="006E3083" w:rsidRDefault="00A005C6" w:rsidP="00A005C6">
      <w:pPr>
        <w:spacing w:after="0"/>
        <w:jc w:val="both"/>
        <w:rPr>
          <w:rFonts w:ascii="Cambria" w:hAnsi="Cambria" w:cs="Arial"/>
          <w:snapToGrid w:val="0"/>
          <w:sz w:val="20"/>
          <w:szCs w:val="20"/>
          <w:lang w:val="es-CO"/>
        </w:rPr>
      </w:pPr>
    </w:p>
    <w:p w:rsidR="00A005C6" w:rsidRPr="006E3083" w:rsidRDefault="00A005C6" w:rsidP="00A005C6">
      <w:pPr>
        <w:suppressAutoHyphens/>
        <w:spacing w:after="0" w:line="240" w:lineRule="auto"/>
        <w:ind w:firstLine="720"/>
        <w:jc w:val="both"/>
        <w:rPr>
          <w:rFonts w:ascii="Cambria" w:hAnsi="Cambria" w:cs="Arial"/>
          <w:sz w:val="20"/>
          <w:szCs w:val="20"/>
          <w:lang w:val="es-CO"/>
        </w:rPr>
      </w:pPr>
      <w:r w:rsidRPr="006E3083">
        <w:rPr>
          <w:rFonts w:ascii="Cambria" w:hAnsi="Cambria"/>
          <w:sz w:val="20"/>
          <w:szCs w:val="20"/>
          <w:lang w:val="es-CO"/>
        </w:rPr>
        <w:t xml:space="preserve">La Comisión ha designado al Comisionado </w:t>
      </w:r>
      <w:r w:rsidR="003D5C73">
        <w:rPr>
          <w:rFonts w:ascii="Cambria" w:hAnsi="Cambria"/>
          <w:sz w:val="20"/>
          <w:szCs w:val="20"/>
          <w:lang w:val="es-CO"/>
        </w:rPr>
        <w:t>Francisco Eguiguren,</w:t>
      </w:r>
      <w:r w:rsidRPr="006E3083">
        <w:rPr>
          <w:rFonts w:ascii="Cambria" w:hAnsi="Cambria"/>
          <w:sz w:val="20"/>
          <w:szCs w:val="20"/>
          <w:lang w:val="es-CO"/>
        </w:rPr>
        <w:t xml:space="preserve"> al Secretario Ejecutivo Emilio Álvarez Icaza L.</w:t>
      </w:r>
      <w:r w:rsidR="003D5C73">
        <w:rPr>
          <w:rFonts w:ascii="Cambria" w:hAnsi="Cambria"/>
          <w:sz w:val="20"/>
          <w:szCs w:val="20"/>
          <w:lang w:val="es-CO"/>
        </w:rPr>
        <w:t xml:space="preserve"> y al Relator Especial para la Libertad de Expresión Edison Lanza,</w:t>
      </w:r>
      <w:r w:rsidRPr="006E3083">
        <w:rPr>
          <w:rFonts w:ascii="Cambria" w:hAnsi="Cambria"/>
          <w:sz w:val="20"/>
          <w:szCs w:val="20"/>
          <w:lang w:val="es-CO"/>
        </w:rPr>
        <w:t xml:space="preserve"> como sus delegados. Asimismo, Elizabeth Abi-Mershed, Secretaria Ejecutiva Adjunta y Silvia Serrano Guzmán y </w:t>
      </w:r>
      <w:r w:rsidR="00E86C5D">
        <w:rPr>
          <w:rFonts w:ascii="Cambria" w:hAnsi="Cambria"/>
          <w:sz w:val="20"/>
          <w:szCs w:val="20"/>
          <w:lang w:val="es-CO"/>
        </w:rPr>
        <w:t>Christian González Chacón</w:t>
      </w:r>
      <w:r w:rsidRPr="006E3083">
        <w:rPr>
          <w:rFonts w:ascii="Cambria" w:hAnsi="Cambria"/>
          <w:sz w:val="20"/>
          <w:szCs w:val="20"/>
          <w:lang w:val="es-CO"/>
        </w:rPr>
        <w:t>, abogada</w:t>
      </w:r>
      <w:r w:rsidR="00E86C5D">
        <w:rPr>
          <w:rFonts w:ascii="Cambria" w:hAnsi="Cambria"/>
          <w:sz w:val="20"/>
          <w:szCs w:val="20"/>
          <w:lang w:val="es-CO"/>
        </w:rPr>
        <w:t xml:space="preserve"> y abogado</w:t>
      </w:r>
      <w:r w:rsidRPr="006E3083">
        <w:rPr>
          <w:rFonts w:ascii="Cambria" w:hAnsi="Cambria"/>
          <w:sz w:val="20"/>
          <w:szCs w:val="20"/>
          <w:lang w:val="es-CO"/>
        </w:rPr>
        <w:t xml:space="preserve"> de la Secretaría Ejecutiva de</w:t>
      </w:r>
      <w:r w:rsidR="00E86C5D">
        <w:rPr>
          <w:rFonts w:ascii="Cambria" w:hAnsi="Cambria"/>
          <w:sz w:val="20"/>
          <w:szCs w:val="20"/>
          <w:lang w:val="es-CO"/>
        </w:rPr>
        <w:t xml:space="preserve"> la CIDH, actuarán como asesora y asesor</w:t>
      </w:r>
      <w:r w:rsidRPr="006E3083">
        <w:rPr>
          <w:rFonts w:ascii="Cambria" w:hAnsi="Cambria"/>
          <w:sz w:val="20"/>
          <w:szCs w:val="20"/>
          <w:lang w:val="es-CO"/>
        </w:rPr>
        <w:t xml:space="preserve"> legales.</w:t>
      </w:r>
    </w:p>
    <w:p w:rsidR="00A005C6" w:rsidRPr="004A135E" w:rsidRDefault="00A005C6" w:rsidP="00A005C6">
      <w:pPr>
        <w:suppressAutoHyphens/>
        <w:spacing w:after="0" w:line="240" w:lineRule="auto"/>
        <w:ind w:firstLine="720"/>
        <w:jc w:val="both"/>
        <w:rPr>
          <w:rFonts w:ascii="Cambria" w:hAnsi="Cambria" w:cs="Arial"/>
          <w:sz w:val="20"/>
          <w:szCs w:val="20"/>
          <w:lang w:val="es-CR"/>
        </w:rPr>
      </w:pPr>
    </w:p>
    <w:p w:rsidR="00A005C6" w:rsidRPr="006E3083" w:rsidRDefault="00A005C6" w:rsidP="00A005C6">
      <w:pPr>
        <w:suppressAutoHyphens/>
        <w:spacing w:after="0" w:line="240" w:lineRule="auto"/>
        <w:ind w:firstLine="720"/>
        <w:jc w:val="both"/>
        <w:rPr>
          <w:rFonts w:ascii="Cambria" w:hAnsi="Cambria"/>
          <w:sz w:val="20"/>
          <w:szCs w:val="20"/>
          <w:lang w:val="es-AR"/>
        </w:rPr>
      </w:pPr>
      <w:r w:rsidRPr="006E3083">
        <w:rPr>
          <w:rFonts w:ascii="Cambria" w:hAnsi="Cambria" w:cs="Arial"/>
          <w:sz w:val="20"/>
          <w:szCs w:val="20"/>
          <w:lang w:val="es-CO"/>
        </w:rPr>
        <w:t xml:space="preserve">De conformidad con el artículo 35 del Reglamento de la Corte Interamericana, la Comisión adjunta </w:t>
      </w:r>
      <w:r w:rsidRPr="006E3083">
        <w:rPr>
          <w:rFonts w:ascii="Cambria" w:hAnsi="Cambria"/>
          <w:sz w:val="20"/>
          <w:szCs w:val="20"/>
          <w:lang w:val="es-CO"/>
        </w:rPr>
        <w:t xml:space="preserve">copia del informe de fondo </w:t>
      </w:r>
      <w:r w:rsidR="009D31A5">
        <w:rPr>
          <w:rFonts w:ascii="Cambria" w:hAnsi="Cambria"/>
          <w:sz w:val="20"/>
          <w:szCs w:val="20"/>
          <w:lang w:val="es-CO"/>
        </w:rPr>
        <w:t>75</w:t>
      </w:r>
      <w:r w:rsidRPr="006E3083">
        <w:rPr>
          <w:rFonts w:ascii="Cambria" w:hAnsi="Cambria"/>
          <w:sz w:val="20"/>
          <w:szCs w:val="20"/>
          <w:lang w:val="es-CO"/>
        </w:rPr>
        <w:t xml:space="preserve">/15 elaborado en observancia del artículo 50 de la Convención, así como copia de la totalidad del expediente ante la Comisión Interamericana (Apéndice I) y los anexos utilizados en la elaboración del informe </w:t>
      </w:r>
      <w:r w:rsidR="009D31A5">
        <w:rPr>
          <w:rFonts w:ascii="Cambria" w:hAnsi="Cambria"/>
          <w:sz w:val="20"/>
          <w:szCs w:val="20"/>
          <w:lang w:val="es-CO"/>
        </w:rPr>
        <w:t>75</w:t>
      </w:r>
      <w:r w:rsidRPr="006E3083">
        <w:rPr>
          <w:rFonts w:ascii="Cambria" w:hAnsi="Cambria"/>
          <w:sz w:val="20"/>
          <w:szCs w:val="20"/>
          <w:lang w:val="es-CO"/>
        </w:rPr>
        <w:t xml:space="preserve">/15 (Anexos).  Dicho informe de fondo </w:t>
      </w:r>
      <w:r w:rsidRPr="006E3083">
        <w:rPr>
          <w:rFonts w:ascii="Cambria" w:hAnsi="Cambria"/>
          <w:sz w:val="20"/>
          <w:szCs w:val="20"/>
          <w:lang w:val="es-AR"/>
        </w:rPr>
        <w:t>fue notificado al Estado de Venezuela mediante comunicación de</w:t>
      </w:r>
      <w:r w:rsidR="009D31A5">
        <w:rPr>
          <w:rFonts w:ascii="Cambria" w:hAnsi="Cambria"/>
          <w:sz w:val="20"/>
          <w:szCs w:val="20"/>
          <w:lang w:val="es-AR"/>
        </w:rPr>
        <w:t xml:space="preserve"> 8 de diciembre de 2015</w:t>
      </w:r>
      <w:r w:rsidRPr="006E3083">
        <w:rPr>
          <w:rFonts w:ascii="Cambria" w:hAnsi="Cambria"/>
          <w:sz w:val="20"/>
          <w:szCs w:val="20"/>
          <w:lang w:val="es-AR"/>
        </w:rPr>
        <w:t xml:space="preserve"> otorgándole un plazo de dos meses para informar sobre el cumplimiento de las recomendaciones.  El Estado venezolano no dio respuesta alguna al informe de fondo de la Comisión. </w:t>
      </w:r>
    </w:p>
    <w:p w:rsidR="00A005C6" w:rsidRPr="006E3083" w:rsidRDefault="00A005C6" w:rsidP="00A005C6">
      <w:pPr>
        <w:spacing w:after="0"/>
        <w:ind w:firstLine="720"/>
        <w:jc w:val="both"/>
        <w:rPr>
          <w:rFonts w:ascii="Cambria" w:hAnsi="Cambria"/>
          <w:sz w:val="20"/>
          <w:szCs w:val="20"/>
          <w:lang w:val="es-AR"/>
        </w:rPr>
      </w:pPr>
    </w:p>
    <w:p w:rsidR="009D31A5" w:rsidRDefault="00A005C6" w:rsidP="009D31A5">
      <w:pPr>
        <w:suppressAutoHyphens/>
        <w:spacing w:after="0" w:line="240" w:lineRule="auto"/>
        <w:ind w:firstLine="720"/>
        <w:jc w:val="both"/>
        <w:rPr>
          <w:rFonts w:ascii="Cambria" w:hAnsi="Cambria"/>
          <w:sz w:val="20"/>
          <w:szCs w:val="20"/>
          <w:lang w:val="es-AR"/>
        </w:rPr>
      </w:pPr>
      <w:r w:rsidRPr="006E3083">
        <w:rPr>
          <w:rFonts w:ascii="Cambria" w:hAnsi="Cambria"/>
          <w:sz w:val="20"/>
          <w:szCs w:val="20"/>
          <w:lang w:val="es-AR"/>
        </w:rPr>
        <w:t>En virtud de lo anterior, l</w:t>
      </w:r>
      <w:r w:rsidRPr="006E3083">
        <w:rPr>
          <w:rFonts w:ascii="Cambria" w:hAnsi="Cambria"/>
          <w:sz w:val="20"/>
          <w:szCs w:val="20"/>
          <w:lang w:val="es-CO"/>
        </w:rPr>
        <w:t xml:space="preserve">a Comisión Interamericana somete a la jurisdicción de la Corte la totalidad de los hechos y violaciones de derechos humanos descritos en el informe de fondo </w:t>
      </w:r>
      <w:r w:rsidR="009D31A5">
        <w:rPr>
          <w:rFonts w:ascii="Cambria" w:hAnsi="Cambria"/>
          <w:sz w:val="20"/>
          <w:szCs w:val="20"/>
          <w:lang w:val="es-CO"/>
        </w:rPr>
        <w:t>75</w:t>
      </w:r>
      <w:r w:rsidRPr="006E3083">
        <w:rPr>
          <w:rFonts w:ascii="Cambria" w:hAnsi="Cambria"/>
          <w:sz w:val="20"/>
          <w:szCs w:val="20"/>
          <w:lang w:val="es-CO"/>
        </w:rPr>
        <w:t xml:space="preserve">/15, por la necesidad de obtención </w:t>
      </w:r>
      <w:r w:rsidR="009D31A5">
        <w:rPr>
          <w:rFonts w:ascii="Cambria" w:hAnsi="Cambria"/>
          <w:sz w:val="20"/>
          <w:szCs w:val="20"/>
          <w:lang w:val="es-CO"/>
        </w:rPr>
        <w:t xml:space="preserve">de justicia para las tres víctimas. </w:t>
      </w:r>
    </w:p>
    <w:p w:rsidR="009D31A5" w:rsidRDefault="009D31A5" w:rsidP="009D31A5">
      <w:pPr>
        <w:suppressAutoHyphens/>
        <w:spacing w:after="0" w:line="240" w:lineRule="auto"/>
        <w:ind w:firstLine="720"/>
        <w:jc w:val="both"/>
        <w:rPr>
          <w:rFonts w:ascii="Cambria" w:hAnsi="Cambria"/>
          <w:sz w:val="20"/>
          <w:szCs w:val="20"/>
          <w:lang w:val="es-AR"/>
        </w:rPr>
      </w:pPr>
    </w:p>
    <w:p w:rsidR="009D31A5" w:rsidRPr="009D31A5" w:rsidRDefault="00A005C6" w:rsidP="009D31A5">
      <w:pPr>
        <w:suppressAutoHyphens/>
        <w:spacing w:after="0" w:line="240" w:lineRule="auto"/>
        <w:ind w:firstLine="720"/>
        <w:jc w:val="both"/>
        <w:rPr>
          <w:rFonts w:ascii="Cambria" w:hAnsi="Cambria"/>
          <w:sz w:val="20"/>
          <w:szCs w:val="20"/>
          <w:lang w:val="es-AR"/>
        </w:rPr>
      </w:pPr>
      <w:r w:rsidRPr="006E3083">
        <w:rPr>
          <w:rFonts w:ascii="Cambria" w:hAnsi="Cambria"/>
          <w:sz w:val="20"/>
          <w:szCs w:val="20"/>
          <w:lang w:val="es-CO"/>
        </w:rPr>
        <w:t xml:space="preserve">En ese sentido, la Comisión solicita a la Corte que concluya y declare que el Estado de Venezuela </w:t>
      </w:r>
      <w:r w:rsidR="009D31A5">
        <w:rPr>
          <w:rFonts w:ascii="Cambria" w:hAnsi="Cambria"/>
          <w:sz w:val="20"/>
          <w:szCs w:val="20"/>
          <w:lang w:val="es-ES"/>
        </w:rPr>
        <w:t xml:space="preserve">es responsable por </w:t>
      </w:r>
      <w:r w:rsidR="009D31A5" w:rsidRPr="009D31A5">
        <w:rPr>
          <w:rFonts w:ascii="Cambria" w:hAnsi="Cambria"/>
          <w:sz w:val="20"/>
          <w:szCs w:val="20"/>
          <w:lang w:val="es-ES"/>
        </w:rPr>
        <w:t>la violación de los derechos políticos, el derecho a la libertad de expresión, el derecho a la igualdad ante la ley y no discriminación, a las garantías judiciales y a la protección judicial consagrados en los artículos 23, 13, 24, 8 y 25 de la Convención Americana, en relación con el artículo 1.1 del mismo instrumento en perjuicio de Rocío San Miguel Sosa, Magally Chang Girón y Thais Coromoto Peña.</w:t>
      </w:r>
    </w:p>
    <w:p w:rsidR="00A005C6" w:rsidRPr="006E3083" w:rsidRDefault="00A005C6" w:rsidP="00A005C6">
      <w:pPr>
        <w:pStyle w:val="Ttulo1"/>
        <w:numPr>
          <w:ilvl w:val="0"/>
          <w:numId w:val="0"/>
        </w:numPr>
        <w:ind w:left="1440"/>
        <w:jc w:val="both"/>
        <w:rPr>
          <w:b w:val="0"/>
          <w:szCs w:val="20"/>
          <w:lang w:val="es-CR"/>
        </w:rPr>
      </w:pPr>
    </w:p>
    <w:p w:rsidR="00A005C6" w:rsidRPr="006E3083" w:rsidRDefault="00A005C6" w:rsidP="00A005C6">
      <w:pPr>
        <w:autoSpaceDE w:val="0"/>
        <w:autoSpaceDN w:val="0"/>
        <w:adjustRightInd w:val="0"/>
        <w:spacing w:after="0"/>
        <w:ind w:firstLine="720"/>
        <w:jc w:val="both"/>
        <w:rPr>
          <w:rFonts w:ascii="Cambria" w:hAnsi="Cambria"/>
          <w:sz w:val="20"/>
          <w:szCs w:val="20"/>
          <w:lang w:val="es-CO"/>
        </w:rPr>
      </w:pPr>
      <w:r w:rsidRPr="006E3083">
        <w:rPr>
          <w:rFonts w:ascii="Cambria" w:hAnsi="Cambria"/>
          <w:sz w:val="20"/>
          <w:szCs w:val="20"/>
          <w:lang w:val="es-CO"/>
        </w:rPr>
        <w:t>En consecuencia, la Comisión solicita a la Corte que establezca las siguientes medidas de reparación:</w:t>
      </w:r>
    </w:p>
    <w:p w:rsidR="00A005C6" w:rsidRDefault="00A005C6" w:rsidP="00A005C6">
      <w:pPr>
        <w:tabs>
          <w:tab w:val="left" w:pos="720"/>
        </w:tabs>
        <w:autoSpaceDE w:val="0"/>
        <w:autoSpaceDN w:val="0"/>
        <w:adjustRightInd w:val="0"/>
        <w:spacing w:after="0"/>
        <w:ind w:left="720" w:right="720"/>
        <w:jc w:val="both"/>
        <w:rPr>
          <w:rFonts w:ascii="Cambria" w:hAnsi="Cambria"/>
          <w:sz w:val="20"/>
          <w:szCs w:val="20"/>
          <w:lang w:val="es-CO"/>
        </w:rPr>
      </w:pPr>
    </w:p>
    <w:p w:rsidR="00A71C4E" w:rsidRPr="00A71C4E" w:rsidRDefault="00A71C4E" w:rsidP="00A71C4E">
      <w:pPr>
        <w:numPr>
          <w:ilvl w:val="0"/>
          <w:numId w:val="5"/>
        </w:numPr>
        <w:tabs>
          <w:tab w:val="left" w:pos="1080"/>
          <w:tab w:val="left" w:pos="8820"/>
        </w:tabs>
        <w:spacing w:after="0" w:line="240" w:lineRule="auto"/>
        <w:ind w:left="720" w:right="720" w:firstLine="0"/>
        <w:jc w:val="both"/>
        <w:rPr>
          <w:rFonts w:ascii="Cambria" w:hAnsi="Cambria"/>
          <w:sz w:val="20"/>
          <w:szCs w:val="20"/>
          <w:lang w:val="es-ES"/>
        </w:rPr>
      </w:pPr>
      <w:r w:rsidRPr="00A71C4E">
        <w:rPr>
          <w:rFonts w:ascii="Cambria" w:hAnsi="Cambria"/>
          <w:sz w:val="20"/>
          <w:szCs w:val="20"/>
          <w:lang w:val="es-ES"/>
        </w:rPr>
        <w:t xml:space="preserve">Reincorporar a las víctimas a la función pública en un cargo de igual categoría al que tendrían actualmente de no haber sido separadas de sus cargos. En caso de que esta no sea la voluntad de las víctimas o que existan razones </w:t>
      </w:r>
      <w:r w:rsidRPr="006934D9">
        <w:rPr>
          <w:rFonts w:ascii="Cambria" w:hAnsi="Cambria"/>
          <w:sz w:val="20"/>
          <w:szCs w:val="20"/>
          <w:lang w:val="es-ES"/>
        </w:rPr>
        <w:t>objetivas</w:t>
      </w:r>
      <w:r w:rsidRPr="00A71C4E">
        <w:rPr>
          <w:rFonts w:ascii="Cambria" w:hAnsi="Cambria"/>
          <w:sz w:val="20"/>
          <w:szCs w:val="20"/>
          <w:lang w:val="es-ES"/>
        </w:rPr>
        <w:t xml:space="preserve"> que impidan la reincorporación, el Estado deberá pagar una indemnización por este motivo, que es independiente de las reparaciones relativas al daño material y moral incluidas en la recomendación número dos. </w:t>
      </w:r>
    </w:p>
    <w:p w:rsidR="00A71C4E" w:rsidRDefault="00A71C4E" w:rsidP="00A71C4E">
      <w:pPr>
        <w:tabs>
          <w:tab w:val="left" w:pos="1080"/>
          <w:tab w:val="left" w:pos="8820"/>
        </w:tabs>
        <w:spacing w:after="0" w:line="240" w:lineRule="auto"/>
        <w:ind w:left="720" w:right="720"/>
        <w:jc w:val="both"/>
        <w:rPr>
          <w:rFonts w:ascii="Cambria" w:hAnsi="Cambria"/>
          <w:sz w:val="20"/>
          <w:szCs w:val="20"/>
          <w:lang w:val="es-ES"/>
        </w:rPr>
      </w:pPr>
    </w:p>
    <w:p w:rsidR="00A71C4E" w:rsidRPr="00A71C4E" w:rsidRDefault="00A71C4E" w:rsidP="00A71C4E">
      <w:pPr>
        <w:numPr>
          <w:ilvl w:val="0"/>
          <w:numId w:val="5"/>
        </w:numPr>
        <w:tabs>
          <w:tab w:val="left" w:pos="1080"/>
          <w:tab w:val="left" w:pos="8820"/>
        </w:tabs>
        <w:spacing w:after="0" w:line="240" w:lineRule="auto"/>
        <w:ind w:left="720" w:right="720" w:firstLine="0"/>
        <w:jc w:val="both"/>
        <w:rPr>
          <w:rFonts w:ascii="Cambria" w:hAnsi="Cambria"/>
          <w:sz w:val="20"/>
          <w:szCs w:val="20"/>
          <w:lang w:val="es-ES"/>
        </w:rPr>
      </w:pPr>
      <w:r w:rsidRPr="00321C90">
        <w:rPr>
          <w:rFonts w:ascii="Cambria" w:hAnsi="Cambria"/>
          <w:sz w:val="20"/>
          <w:szCs w:val="20"/>
          <w:lang w:val="es-ES"/>
        </w:rPr>
        <w:t>Reparar adecuadamente las violaciones de derechos humanos declaradas en el informe tanto en el aspecto material como moral</w:t>
      </w:r>
      <w:r>
        <w:rPr>
          <w:rFonts w:ascii="Cambria" w:hAnsi="Cambria"/>
          <w:sz w:val="20"/>
          <w:szCs w:val="20"/>
          <w:lang w:val="es-ES"/>
        </w:rPr>
        <w:t>.</w:t>
      </w:r>
    </w:p>
    <w:p w:rsidR="00A71C4E" w:rsidRPr="00A71C4E" w:rsidRDefault="00A71C4E" w:rsidP="00A71C4E">
      <w:pPr>
        <w:pStyle w:val="Prrafodelista"/>
        <w:tabs>
          <w:tab w:val="left" w:pos="1080"/>
          <w:tab w:val="left" w:pos="8820"/>
        </w:tabs>
        <w:ind w:right="720"/>
        <w:rPr>
          <w:sz w:val="20"/>
          <w:szCs w:val="20"/>
          <w:lang w:val="es-ES"/>
        </w:rPr>
      </w:pPr>
    </w:p>
    <w:p w:rsidR="00A71C4E" w:rsidRPr="00A71C4E" w:rsidRDefault="00A71C4E" w:rsidP="00A71C4E">
      <w:pPr>
        <w:numPr>
          <w:ilvl w:val="0"/>
          <w:numId w:val="5"/>
        </w:numPr>
        <w:tabs>
          <w:tab w:val="left" w:pos="1080"/>
          <w:tab w:val="left" w:pos="8820"/>
        </w:tabs>
        <w:spacing w:after="0" w:line="240" w:lineRule="auto"/>
        <w:ind w:left="720" w:right="720" w:firstLine="0"/>
        <w:jc w:val="both"/>
        <w:rPr>
          <w:rFonts w:ascii="Cambria" w:hAnsi="Cambria"/>
          <w:sz w:val="20"/>
          <w:szCs w:val="20"/>
          <w:lang w:val="es-ES"/>
        </w:rPr>
      </w:pPr>
      <w:r w:rsidRPr="00A71C4E">
        <w:rPr>
          <w:rFonts w:ascii="Cambria" w:hAnsi="Cambria"/>
          <w:sz w:val="20"/>
          <w:szCs w:val="20"/>
          <w:lang w:val="es-ES"/>
        </w:rPr>
        <w:t xml:space="preserve">Llevar a cabo los procedimientos penales, administrativos o de otra índole que correspondan, relacionados con las violaciones de derechos humanos declaradas en el </w:t>
      </w:r>
      <w:r w:rsidRPr="00A71C4E">
        <w:rPr>
          <w:rFonts w:ascii="Cambria" w:hAnsi="Cambria"/>
          <w:sz w:val="20"/>
          <w:szCs w:val="20"/>
          <w:lang w:val="es-ES"/>
        </w:rPr>
        <w:lastRenderedPageBreak/>
        <w:t xml:space="preserve">presente informe de manera imparcial, efectiva y dentro de un plazo razonable, con el objeto de esclarecer los hechos en forma completa y establecer las respectivas responsabilidades. </w:t>
      </w:r>
    </w:p>
    <w:p w:rsidR="00A71C4E" w:rsidRDefault="00A71C4E" w:rsidP="00A71C4E">
      <w:pPr>
        <w:tabs>
          <w:tab w:val="left" w:pos="1080"/>
          <w:tab w:val="left" w:pos="8820"/>
        </w:tabs>
        <w:spacing w:after="0" w:line="240" w:lineRule="auto"/>
        <w:ind w:left="720" w:right="720"/>
        <w:jc w:val="both"/>
        <w:rPr>
          <w:rFonts w:ascii="Cambria" w:hAnsi="Cambria"/>
          <w:sz w:val="20"/>
          <w:szCs w:val="20"/>
          <w:lang w:val="es-ES"/>
        </w:rPr>
      </w:pPr>
    </w:p>
    <w:p w:rsidR="00A71C4E" w:rsidRPr="00A71C4E" w:rsidRDefault="00A71C4E" w:rsidP="00A71C4E">
      <w:pPr>
        <w:numPr>
          <w:ilvl w:val="0"/>
          <w:numId w:val="5"/>
        </w:numPr>
        <w:tabs>
          <w:tab w:val="left" w:pos="1080"/>
          <w:tab w:val="left" w:pos="8820"/>
        </w:tabs>
        <w:spacing w:after="0" w:line="240" w:lineRule="auto"/>
        <w:ind w:left="720" w:right="720" w:firstLine="0"/>
        <w:jc w:val="both"/>
        <w:rPr>
          <w:rFonts w:ascii="Cambria" w:hAnsi="Cambria"/>
          <w:sz w:val="20"/>
          <w:szCs w:val="20"/>
          <w:lang w:val="es-ES"/>
        </w:rPr>
      </w:pPr>
      <w:r w:rsidRPr="00A71C4E">
        <w:rPr>
          <w:rFonts w:ascii="Cambria" w:hAnsi="Cambria"/>
          <w:sz w:val="20"/>
          <w:szCs w:val="20"/>
          <w:lang w:val="es-ES"/>
        </w:rPr>
        <w:t xml:space="preserve">Adoptar medidas de no repetición necesarias para evitar que en el futuro se produzcan hechos similares. En particular, adoptar medidas legislativas, administrativas o de otra índole para prevenir la discriminación por razones políticas.  En este marco, asegurar la existencia de reglas claras sobre el acceso y utilización de datos recogidos en procesos electorales, con las salvaguardas necesarias para garantizar la libre expresión de la opinión política sin temor a posibles represalias. Asimismo, llevar a cabo programas de capacitación: i) a funcionarios públicos de todos los niveles sobre la prohibición de discriminación con base en la opinión política; y ii) a operadores jurídicos llamados a conocer posibles denuncias de discriminación encubierta o desviación de poder. </w:t>
      </w:r>
    </w:p>
    <w:p w:rsidR="00A005C6" w:rsidRPr="006E3083" w:rsidRDefault="00A005C6" w:rsidP="00A005C6">
      <w:pPr>
        <w:suppressAutoHyphens/>
        <w:spacing w:after="0" w:line="240" w:lineRule="auto"/>
        <w:ind w:firstLine="720"/>
        <w:jc w:val="both"/>
        <w:rPr>
          <w:rFonts w:ascii="Cambria" w:hAnsi="Cambria"/>
          <w:sz w:val="20"/>
          <w:szCs w:val="20"/>
          <w:lang w:val="es-ES_tradnl"/>
        </w:rPr>
      </w:pPr>
    </w:p>
    <w:p w:rsidR="00A71C4E" w:rsidRPr="00A71C4E" w:rsidRDefault="00A005C6" w:rsidP="00A71C4E">
      <w:pPr>
        <w:spacing w:after="0" w:line="240" w:lineRule="auto"/>
        <w:ind w:firstLine="720"/>
        <w:jc w:val="both"/>
        <w:rPr>
          <w:rFonts w:ascii="Cambria" w:eastAsia="Times New Roman" w:hAnsi="Cambria" w:cs="Cambria"/>
          <w:sz w:val="20"/>
          <w:szCs w:val="20"/>
          <w:lang w:val="es-CO"/>
        </w:rPr>
      </w:pPr>
      <w:r w:rsidRPr="006E3083">
        <w:rPr>
          <w:rFonts w:ascii="Cambria" w:hAnsi="Cambria" w:cs="Arial"/>
          <w:sz w:val="20"/>
          <w:szCs w:val="20"/>
          <w:lang w:val="es-CL"/>
        </w:rPr>
        <w:t xml:space="preserve">Además de la necesidad de obtención de justicia, la Comisión </w:t>
      </w:r>
      <w:r w:rsidRPr="006E3083">
        <w:rPr>
          <w:rFonts w:ascii="Cambria" w:hAnsi="Cambria" w:cs="Arial"/>
          <w:sz w:val="20"/>
          <w:szCs w:val="20"/>
          <w:lang w:val="es-AR"/>
        </w:rPr>
        <w:t xml:space="preserve">destaca que el presente caso permitirá a la Corte </w:t>
      </w:r>
      <w:r w:rsidR="00A71C4E" w:rsidRPr="00A71C4E">
        <w:rPr>
          <w:rFonts w:ascii="Cambria" w:eastAsia="Times New Roman" w:hAnsi="Cambria" w:cs="Cambria"/>
          <w:sz w:val="20"/>
          <w:szCs w:val="20"/>
          <w:lang w:val="es-CO"/>
        </w:rPr>
        <w:t xml:space="preserve">pronunciarse sobre el ejercicio de los derechos políticos y las salvaguardas que deben existir para que las personas puedan expresar su opinión política en el marco de procesos como referendos revocatorios, sin temor a represalias </w:t>
      </w:r>
      <w:r w:rsidR="00A71C4E">
        <w:rPr>
          <w:rFonts w:ascii="Cambria" w:eastAsia="Times New Roman" w:hAnsi="Cambria" w:cs="Cambria"/>
          <w:sz w:val="20"/>
          <w:szCs w:val="20"/>
          <w:lang w:val="es-CO"/>
        </w:rPr>
        <w:t xml:space="preserve">tales </w:t>
      </w:r>
      <w:r w:rsidR="00A71C4E" w:rsidRPr="00A71C4E">
        <w:rPr>
          <w:rFonts w:ascii="Cambria" w:eastAsia="Times New Roman" w:hAnsi="Cambria" w:cs="Cambria"/>
          <w:sz w:val="20"/>
          <w:szCs w:val="20"/>
          <w:lang w:val="es-CO"/>
        </w:rPr>
        <w:t xml:space="preserve">como formas de discriminación con base en </w:t>
      </w:r>
      <w:r w:rsidR="00A71C4E">
        <w:rPr>
          <w:rFonts w:ascii="Cambria" w:eastAsia="Times New Roman" w:hAnsi="Cambria" w:cs="Cambria"/>
          <w:sz w:val="20"/>
          <w:szCs w:val="20"/>
          <w:lang w:val="es-CO"/>
        </w:rPr>
        <w:t>dichas opiniones y</w:t>
      </w:r>
      <w:r w:rsidR="00A71C4E" w:rsidRPr="00A71C4E">
        <w:rPr>
          <w:rFonts w:ascii="Cambria" w:eastAsia="Times New Roman" w:hAnsi="Cambria" w:cs="Cambria"/>
          <w:sz w:val="20"/>
          <w:szCs w:val="20"/>
          <w:lang w:val="es-CO"/>
        </w:rPr>
        <w:t xml:space="preserve"> restricciones indirectas a la libertad de expresión. Este asunto ofrece una oportunidad para que la Corte Interamericana profundice su jurisprudencia sobre casos de desviación de poder y establezca los criterios de análisis y la relevancia de la información contextual y de los indicios para determinar la existencia de motivaciones inconvencionales encubiertas en el ejercicio del poder público. También permitirá desarrollar </w:t>
      </w:r>
      <w:r w:rsidR="00C026DA">
        <w:rPr>
          <w:rFonts w:ascii="Cambria" w:eastAsia="Times New Roman" w:hAnsi="Cambria" w:cs="Cambria"/>
          <w:sz w:val="20"/>
          <w:szCs w:val="20"/>
          <w:lang w:val="es-CO"/>
        </w:rPr>
        <w:t>la temática relativa a la</w:t>
      </w:r>
      <w:r w:rsidR="00A71C4E" w:rsidRPr="00A71C4E">
        <w:rPr>
          <w:rFonts w:ascii="Cambria" w:eastAsia="Times New Roman" w:hAnsi="Cambria" w:cs="Cambria"/>
          <w:sz w:val="20"/>
          <w:szCs w:val="20"/>
          <w:lang w:val="es-CO"/>
        </w:rPr>
        <w:t xml:space="preserve"> difusión de ideas de índole política por parte de servidores públicos a la luz del derecho a la libertad de expresión. Asimismo, el caso permitirá a la Corte pronunciarse sobre las características que debe tener un recurso para poder responder adecuada y efectivamente a alegatos de discriminación encubierta y/o desviación de poder en el ejercicio del poder público. </w:t>
      </w:r>
    </w:p>
    <w:p w:rsidR="00A71C4E" w:rsidRDefault="00A71C4E" w:rsidP="00A005C6">
      <w:pPr>
        <w:suppressAutoHyphens/>
        <w:spacing w:after="0" w:line="240" w:lineRule="auto"/>
        <w:ind w:firstLine="720"/>
        <w:jc w:val="both"/>
        <w:rPr>
          <w:rFonts w:ascii="Cambria" w:hAnsi="Cambria" w:cs="Arial"/>
          <w:sz w:val="20"/>
          <w:szCs w:val="20"/>
          <w:lang w:val="es-CL"/>
        </w:rPr>
      </w:pPr>
    </w:p>
    <w:p w:rsidR="00A005C6" w:rsidRPr="00B63524" w:rsidRDefault="00A005C6" w:rsidP="00A005C6">
      <w:pPr>
        <w:suppressAutoHyphens/>
        <w:spacing w:after="0" w:line="240" w:lineRule="auto"/>
        <w:ind w:firstLine="720"/>
        <w:jc w:val="both"/>
        <w:rPr>
          <w:rFonts w:ascii="Cambria" w:hAnsi="Cambria" w:cs="Arial"/>
          <w:sz w:val="20"/>
          <w:szCs w:val="20"/>
          <w:lang w:val="es-CL"/>
        </w:rPr>
      </w:pPr>
      <w:r w:rsidRPr="006E3083">
        <w:rPr>
          <w:rFonts w:ascii="Cambria" w:hAnsi="Cambria" w:cs="Arial"/>
          <w:sz w:val="20"/>
          <w:szCs w:val="20"/>
          <w:lang w:val="es-CL"/>
        </w:rPr>
        <w:t xml:space="preserve">En </w:t>
      </w:r>
      <w:r w:rsidRPr="00B63524">
        <w:rPr>
          <w:rFonts w:ascii="Cambria" w:hAnsi="Cambria" w:cs="Arial"/>
          <w:sz w:val="20"/>
          <w:szCs w:val="20"/>
          <w:lang w:val="es-CL"/>
        </w:rPr>
        <w:t xml:space="preserve">virtud de que estas cuestiones afectan de manera relevante el orden público interamericano, de conformidad con el </w:t>
      </w:r>
      <w:r w:rsidRPr="00B63524">
        <w:rPr>
          <w:rFonts w:ascii="Cambria" w:hAnsi="Cambria" w:cs="Arial"/>
          <w:sz w:val="20"/>
          <w:szCs w:val="20"/>
          <w:lang w:val="es-AR"/>
        </w:rPr>
        <w:t>artículo</w:t>
      </w:r>
      <w:r w:rsidRPr="00B63524">
        <w:rPr>
          <w:rFonts w:ascii="Cambria" w:hAnsi="Cambria" w:cs="Arial"/>
          <w:sz w:val="20"/>
          <w:szCs w:val="20"/>
          <w:lang w:val="es-CL"/>
        </w:rPr>
        <w:t xml:space="preserve"> 35.1 f) del Reglamento de la Corte Interamericana, la Comisión se permite ofrecer la</w:t>
      </w:r>
      <w:r w:rsidR="00C026DA" w:rsidRPr="00B63524">
        <w:rPr>
          <w:rFonts w:ascii="Cambria" w:hAnsi="Cambria" w:cs="Arial"/>
          <w:sz w:val="20"/>
          <w:szCs w:val="20"/>
          <w:lang w:val="es-CL"/>
        </w:rPr>
        <w:t>s</w:t>
      </w:r>
      <w:r w:rsidRPr="00B63524">
        <w:rPr>
          <w:rFonts w:ascii="Cambria" w:hAnsi="Cambria" w:cs="Arial"/>
          <w:sz w:val="20"/>
          <w:szCs w:val="20"/>
          <w:lang w:val="es-CL"/>
        </w:rPr>
        <w:t xml:space="preserve"> siguiente</w:t>
      </w:r>
      <w:r w:rsidR="00C026DA" w:rsidRPr="00B63524">
        <w:rPr>
          <w:rFonts w:ascii="Cambria" w:hAnsi="Cambria" w:cs="Arial"/>
          <w:sz w:val="20"/>
          <w:szCs w:val="20"/>
          <w:lang w:val="es-CL"/>
        </w:rPr>
        <w:t>s</w:t>
      </w:r>
      <w:r w:rsidRPr="00B63524">
        <w:rPr>
          <w:rFonts w:ascii="Cambria" w:hAnsi="Cambria" w:cs="Arial"/>
          <w:sz w:val="20"/>
          <w:szCs w:val="20"/>
          <w:lang w:val="es-CL"/>
        </w:rPr>
        <w:t xml:space="preserve"> declaraci</w:t>
      </w:r>
      <w:r w:rsidR="00C026DA" w:rsidRPr="00B63524">
        <w:rPr>
          <w:rFonts w:ascii="Cambria" w:hAnsi="Cambria" w:cs="Arial"/>
          <w:sz w:val="20"/>
          <w:szCs w:val="20"/>
          <w:lang w:val="es-CL"/>
        </w:rPr>
        <w:t>o</w:t>
      </w:r>
      <w:r w:rsidRPr="00B63524">
        <w:rPr>
          <w:rFonts w:ascii="Cambria" w:hAnsi="Cambria" w:cs="Arial"/>
          <w:sz w:val="20"/>
          <w:szCs w:val="20"/>
          <w:lang w:val="es-CL"/>
        </w:rPr>
        <w:t>n</w:t>
      </w:r>
      <w:r w:rsidR="00C026DA" w:rsidRPr="00B63524">
        <w:rPr>
          <w:rFonts w:ascii="Cambria" w:hAnsi="Cambria" w:cs="Arial"/>
          <w:sz w:val="20"/>
          <w:szCs w:val="20"/>
          <w:lang w:val="es-CL"/>
        </w:rPr>
        <w:t>es</w:t>
      </w:r>
      <w:r w:rsidRPr="00B63524">
        <w:rPr>
          <w:rFonts w:ascii="Cambria" w:hAnsi="Cambria" w:cs="Arial"/>
          <w:sz w:val="20"/>
          <w:szCs w:val="20"/>
          <w:lang w:val="es-CL"/>
        </w:rPr>
        <w:t xml:space="preserve"> pericial</w:t>
      </w:r>
      <w:r w:rsidR="00C026DA" w:rsidRPr="00B63524">
        <w:rPr>
          <w:rFonts w:ascii="Cambria" w:hAnsi="Cambria" w:cs="Arial"/>
          <w:sz w:val="20"/>
          <w:szCs w:val="20"/>
          <w:lang w:val="es-CL"/>
        </w:rPr>
        <w:t>es</w:t>
      </w:r>
      <w:r w:rsidRPr="00B63524">
        <w:rPr>
          <w:rFonts w:ascii="Cambria" w:hAnsi="Cambria" w:cs="Arial"/>
          <w:sz w:val="20"/>
          <w:szCs w:val="20"/>
          <w:lang w:val="es-CL"/>
        </w:rPr>
        <w:t>:</w:t>
      </w:r>
    </w:p>
    <w:p w:rsidR="00A005C6" w:rsidRPr="00B63524" w:rsidRDefault="00A005C6" w:rsidP="00A005C6">
      <w:pPr>
        <w:autoSpaceDE w:val="0"/>
        <w:autoSpaceDN w:val="0"/>
        <w:adjustRightInd w:val="0"/>
        <w:spacing w:after="0"/>
        <w:ind w:right="480"/>
        <w:jc w:val="both"/>
        <w:rPr>
          <w:rFonts w:ascii="Cambria" w:hAnsi="Cambria" w:cs="Arial"/>
          <w:sz w:val="20"/>
          <w:szCs w:val="20"/>
          <w:lang w:val="es-CL"/>
        </w:rPr>
      </w:pPr>
    </w:p>
    <w:p w:rsidR="001A1A79" w:rsidRPr="00B63524" w:rsidRDefault="00A005C6" w:rsidP="00A10492">
      <w:pPr>
        <w:pStyle w:val="Textosinformato"/>
        <w:tabs>
          <w:tab w:val="left" w:pos="9540"/>
        </w:tabs>
        <w:ind w:firstLine="720"/>
        <w:jc w:val="both"/>
        <w:rPr>
          <w:rFonts w:ascii="Cambria" w:eastAsia="Calibri" w:hAnsi="Cambria"/>
          <w:sz w:val="20"/>
          <w:szCs w:val="20"/>
          <w:lang w:val="es-ES" w:eastAsia="ko-KR"/>
        </w:rPr>
      </w:pPr>
      <w:r w:rsidRPr="00B63524">
        <w:rPr>
          <w:rFonts w:ascii="Cambria" w:hAnsi="Cambria" w:cs="Courier New"/>
          <w:b/>
          <w:sz w:val="20"/>
          <w:szCs w:val="20"/>
          <w:lang w:val="es-ES_tradnl"/>
        </w:rPr>
        <w:t>Perito/a cuyo nombre será informado a la brevedad</w:t>
      </w:r>
      <w:r w:rsidRPr="00B63524">
        <w:rPr>
          <w:rFonts w:ascii="Cambria" w:hAnsi="Cambria"/>
          <w:iCs/>
          <w:sz w:val="20"/>
          <w:szCs w:val="20"/>
          <w:lang w:val="es-ES_tradnl"/>
        </w:rPr>
        <w:t xml:space="preserve">, </w:t>
      </w:r>
      <w:r w:rsidR="00366749" w:rsidRPr="00B63524">
        <w:rPr>
          <w:rFonts w:ascii="Cambria" w:hAnsi="Cambria"/>
          <w:sz w:val="20"/>
          <w:szCs w:val="20"/>
          <w:lang w:val="es-ES"/>
        </w:rPr>
        <w:t xml:space="preserve">quien declarará sobre los estándares </w:t>
      </w:r>
      <w:r w:rsidR="00A82E2F">
        <w:rPr>
          <w:rFonts w:ascii="Cambria" w:hAnsi="Cambria"/>
          <w:sz w:val="20"/>
          <w:szCs w:val="20"/>
          <w:lang w:val="es-ES"/>
        </w:rPr>
        <w:t>d</w:t>
      </w:r>
      <w:r w:rsidR="00366749" w:rsidRPr="00B63524">
        <w:rPr>
          <w:rFonts w:ascii="Cambria" w:hAnsi="Cambria"/>
          <w:sz w:val="20"/>
          <w:szCs w:val="20"/>
          <w:lang w:val="es-ES"/>
        </w:rPr>
        <w:t xml:space="preserve">el derecho internacional de los derechos humanos sobre los derechos políticos y, específicamente, sobre las salvaguardas que deben existir para que dichos derechos puedan ser ejercidos libremente y sin temor a represalias. </w:t>
      </w:r>
      <w:r w:rsidR="009B7B3A" w:rsidRPr="00B63524">
        <w:rPr>
          <w:rFonts w:ascii="Cambria" w:hAnsi="Cambria"/>
          <w:sz w:val="20"/>
          <w:szCs w:val="20"/>
          <w:lang w:val="es-ES"/>
        </w:rPr>
        <w:t xml:space="preserve">El/la perito/a pondrá especial </w:t>
      </w:r>
      <w:r w:rsidR="009B7B3A" w:rsidRPr="00B63524">
        <w:rPr>
          <w:rFonts w:ascii="Cambria" w:eastAsia="Calibri" w:hAnsi="Cambria"/>
          <w:sz w:val="20"/>
          <w:szCs w:val="20"/>
          <w:lang w:val="es-ES" w:eastAsia="ko-KR"/>
        </w:rPr>
        <w:t xml:space="preserve">énfasis en procesos políticos tales como referendos revocatorios y desarrollará el ejercicio libre de los derechos políticos en tales procesos por parte de servidores públicos. El/la perito/a podrá referirse al contexto venezolano </w:t>
      </w:r>
      <w:r w:rsidR="003547CE" w:rsidRPr="00B63524">
        <w:rPr>
          <w:rFonts w:ascii="Cambria" w:eastAsia="Calibri" w:hAnsi="Cambria"/>
          <w:sz w:val="20"/>
          <w:szCs w:val="20"/>
          <w:lang w:val="es-ES" w:eastAsia="ko-KR"/>
        </w:rPr>
        <w:t xml:space="preserve">tomando en cuenta </w:t>
      </w:r>
      <w:r w:rsidR="009B7B3A" w:rsidRPr="00B63524">
        <w:rPr>
          <w:rFonts w:ascii="Cambria" w:eastAsia="Calibri" w:hAnsi="Cambria"/>
          <w:sz w:val="20"/>
          <w:szCs w:val="20"/>
          <w:lang w:val="es-ES" w:eastAsia="ko-KR"/>
        </w:rPr>
        <w:t xml:space="preserve">el informe de fondo 75/15 y podrá ejemplificar los contenidos de su peritaje aplicándolos al caso concreto. </w:t>
      </w:r>
    </w:p>
    <w:p w:rsidR="009B7B3A" w:rsidRDefault="009B7B3A" w:rsidP="00A005C6">
      <w:pPr>
        <w:pStyle w:val="Textosinformato"/>
        <w:tabs>
          <w:tab w:val="left" w:pos="8910"/>
        </w:tabs>
        <w:ind w:left="720" w:right="630"/>
        <w:jc w:val="both"/>
        <w:rPr>
          <w:rFonts w:ascii="Cambria" w:hAnsi="Cambria"/>
          <w:sz w:val="20"/>
          <w:szCs w:val="20"/>
          <w:lang w:val="es-ES"/>
        </w:rPr>
      </w:pPr>
    </w:p>
    <w:p w:rsidR="001A1A79" w:rsidRDefault="001A1A79" w:rsidP="001A1A79">
      <w:pPr>
        <w:spacing w:after="0" w:line="240" w:lineRule="auto"/>
        <w:ind w:firstLine="720"/>
        <w:jc w:val="both"/>
        <w:rPr>
          <w:rFonts w:ascii="Cambria" w:hAnsi="Cambria"/>
          <w:color w:val="222222"/>
          <w:sz w:val="20"/>
          <w:szCs w:val="20"/>
          <w:lang w:val="es-ES"/>
        </w:rPr>
      </w:pPr>
      <w:r w:rsidRPr="006E3083">
        <w:rPr>
          <w:rFonts w:ascii="Cambria" w:hAnsi="Cambria" w:cs="Courier New"/>
          <w:b/>
          <w:sz w:val="20"/>
          <w:szCs w:val="20"/>
          <w:lang w:val="es-ES_tradnl"/>
        </w:rPr>
        <w:t>Perito/a cuyo nombre será informado a la brevedad</w:t>
      </w:r>
      <w:r w:rsidRPr="006E3083">
        <w:rPr>
          <w:rFonts w:ascii="Cambria" w:hAnsi="Cambria"/>
          <w:iCs/>
          <w:sz w:val="20"/>
          <w:szCs w:val="20"/>
          <w:lang w:val="es-ES_tradnl"/>
        </w:rPr>
        <w:t xml:space="preserve">, </w:t>
      </w:r>
      <w:r w:rsidRPr="006E3083">
        <w:rPr>
          <w:rFonts w:ascii="Cambria" w:hAnsi="Cambria"/>
          <w:sz w:val="20"/>
          <w:szCs w:val="20"/>
          <w:lang w:val="es-ES"/>
        </w:rPr>
        <w:t xml:space="preserve">quien declarará sobre </w:t>
      </w:r>
      <w:r>
        <w:rPr>
          <w:rFonts w:ascii="Cambria" w:hAnsi="Cambria"/>
          <w:color w:val="222222"/>
          <w:sz w:val="20"/>
          <w:szCs w:val="20"/>
          <w:lang w:val="es-ES"/>
        </w:rPr>
        <w:t xml:space="preserve">los estándares del derecho internacional de los derechos humanos aplicables al derecho a la libertad de pensamiento y expresión por parte de servidores públicos. Específicamente, la experticia se referirá al contenido y alcance del derecho de servidores </w:t>
      </w:r>
      <w:r w:rsidRPr="001A1A79">
        <w:rPr>
          <w:rFonts w:ascii="Cambria" w:eastAsia="Times New Roman" w:hAnsi="Cambria" w:cs="Cambria"/>
          <w:sz w:val="20"/>
          <w:szCs w:val="20"/>
          <w:lang w:val="es-CO"/>
        </w:rPr>
        <w:t>públicos</w:t>
      </w:r>
      <w:r>
        <w:rPr>
          <w:rFonts w:ascii="Cambria" w:hAnsi="Cambria"/>
          <w:color w:val="222222"/>
          <w:sz w:val="20"/>
          <w:szCs w:val="20"/>
          <w:lang w:val="es-ES"/>
        </w:rPr>
        <w:t xml:space="preserve"> a mantener y expresar opiniones de índole políticas, con atención a los desarrollos en la jurisprudencia y doctrina internacional y comparada. </w:t>
      </w:r>
    </w:p>
    <w:p w:rsidR="001A1A79" w:rsidRPr="006E3083" w:rsidRDefault="001A1A79" w:rsidP="001A1A79">
      <w:pPr>
        <w:pStyle w:val="Textosinformato"/>
        <w:tabs>
          <w:tab w:val="left" w:pos="8910"/>
        </w:tabs>
        <w:ind w:left="720" w:right="630"/>
        <w:jc w:val="both"/>
        <w:rPr>
          <w:sz w:val="20"/>
          <w:szCs w:val="20"/>
          <w:lang w:val="es-ES"/>
        </w:rPr>
      </w:pPr>
    </w:p>
    <w:p w:rsidR="001A1A79" w:rsidRPr="006E3083" w:rsidRDefault="001A1A79" w:rsidP="008757ED">
      <w:pPr>
        <w:pStyle w:val="Textosinformato"/>
        <w:tabs>
          <w:tab w:val="left" w:pos="9540"/>
        </w:tabs>
        <w:ind w:firstLine="720"/>
        <w:jc w:val="both"/>
        <w:rPr>
          <w:sz w:val="20"/>
          <w:szCs w:val="20"/>
          <w:lang w:val="es-ES"/>
        </w:rPr>
      </w:pPr>
      <w:r w:rsidRPr="006E3083">
        <w:rPr>
          <w:rFonts w:ascii="Cambria" w:hAnsi="Cambria" w:cs="Courier New"/>
          <w:b/>
          <w:sz w:val="20"/>
          <w:szCs w:val="20"/>
          <w:lang w:val="es-ES_tradnl"/>
        </w:rPr>
        <w:t>Perito/a cuyo nombre será informado a la brevedad</w:t>
      </w:r>
      <w:r w:rsidRPr="006E3083">
        <w:rPr>
          <w:rFonts w:ascii="Cambria" w:hAnsi="Cambria"/>
          <w:iCs/>
          <w:sz w:val="20"/>
          <w:szCs w:val="20"/>
          <w:lang w:val="es-ES_tradnl"/>
        </w:rPr>
        <w:t xml:space="preserve">, </w:t>
      </w:r>
      <w:r w:rsidRPr="006E3083">
        <w:rPr>
          <w:rFonts w:ascii="Cambria" w:hAnsi="Cambria"/>
          <w:sz w:val="20"/>
          <w:szCs w:val="20"/>
          <w:lang w:val="es-ES"/>
        </w:rPr>
        <w:t xml:space="preserve">quien declarará sobre </w:t>
      </w:r>
      <w:r w:rsidR="008757ED">
        <w:rPr>
          <w:rFonts w:ascii="Cambria" w:hAnsi="Cambria"/>
          <w:sz w:val="20"/>
          <w:szCs w:val="20"/>
          <w:lang w:val="es-ES"/>
        </w:rPr>
        <w:t xml:space="preserve">el concepto de desviación de poder y discriminación encubierta. Específicamente, el/la perito/a se referirá a los criterios que deben ser tomados en cuenta para evaluar en un caso concreto si el ejercicio del </w:t>
      </w:r>
      <w:r w:rsidR="00712494">
        <w:rPr>
          <w:rFonts w:ascii="Cambria" w:hAnsi="Cambria"/>
          <w:sz w:val="20"/>
          <w:szCs w:val="20"/>
          <w:lang w:val="es-ES"/>
        </w:rPr>
        <w:t>p</w:t>
      </w:r>
      <w:r w:rsidR="008757ED">
        <w:rPr>
          <w:rFonts w:ascii="Cambria" w:hAnsi="Cambria"/>
          <w:sz w:val="20"/>
          <w:szCs w:val="20"/>
          <w:lang w:val="es-ES"/>
        </w:rPr>
        <w:t xml:space="preserve">oder </w:t>
      </w:r>
      <w:r w:rsidR="00712494">
        <w:rPr>
          <w:rFonts w:ascii="Cambria" w:hAnsi="Cambria"/>
          <w:sz w:val="20"/>
          <w:szCs w:val="20"/>
          <w:lang w:val="es-ES"/>
        </w:rPr>
        <w:t>p</w:t>
      </w:r>
      <w:r w:rsidR="008757ED">
        <w:rPr>
          <w:rFonts w:ascii="Cambria" w:hAnsi="Cambria"/>
          <w:sz w:val="20"/>
          <w:szCs w:val="20"/>
          <w:lang w:val="es-ES"/>
        </w:rPr>
        <w:t>úblico tiene una motivación inconvencional distinta de la motivación formalmente declarada. El/la perito/a especificará la relevancia de la prueba contextual e indiciaria en este tipo de casos. Asimismo, el/la perito/a se referirá a las características que debe tener un recurso judicial para ser considerado efectivo frente a casos de desviación de poder y discriminación encubierta.</w:t>
      </w:r>
      <w:r w:rsidR="00712494">
        <w:rPr>
          <w:rFonts w:ascii="Cambria" w:hAnsi="Cambria"/>
          <w:sz w:val="20"/>
          <w:szCs w:val="20"/>
          <w:lang w:val="es-ES"/>
        </w:rPr>
        <w:t xml:space="preserve"> El/la perito/a </w:t>
      </w:r>
      <w:r w:rsidR="00712494" w:rsidRPr="00712494">
        <w:rPr>
          <w:rFonts w:ascii="Cambria" w:eastAsia="Calibri" w:hAnsi="Cambria"/>
          <w:sz w:val="20"/>
          <w:szCs w:val="20"/>
          <w:lang w:val="es-ES" w:eastAsia="ko-KR"/>
        </w:rPr>
        <w:t>ejemplificar los contenidos de su peritaje aplicándolos al caso concreto.</w:t>
      </w:r>
    </w:p>
    <w:p w:rsidR="00A005C6" w:rsidRPr="006E3083" w:rsidRDefault="00A005C6" w:rsidP="00A005C6">
      <w:pPr>
        <w:suppressAutoHyphens/>
        <w:spacing w:after="0" w:line="240" w:lineRule="auto"/>
        <w:jc w:val="both"/>
        <w:rPr>
          <w:rFonts w:ascii="Cambria" w:hAnsi="Cambria"/>
          <w:iCs/>
          <w:sz w:val="20"/>
          <w:szCs w:val="20"/>
          <w:lang w:val="es-ES"/>
        </w:rPr>
      </w:pPr>
    </w:p>
    <w:p w:rsidR="00A005C6" w:rsidRPr="006E3083" w:rsidRDefault="008757ED" w:rsidP="00A005C6">
      <w:pPr>
        <w:tabs>
          <w:tab w:val="left" w:pos="0"/>
        </w:tabs>
        <w:spacing w:after="0"/>
        <w:ind w:firstLine="720"/>
        <w:jc w:val="both"/>
        <w:rPr>
          <w:rFonts w:ascii="Cambria" w:hAnsi="Cambria"/>
          <w:sz w:val="20"/>
          <w:szCs w:val="20"/>
          <w:lang w:val="es-CO"/>
        </w:rPr>
      </w:pPr>
      <w:r>
        <w:rPr>
          <w:rFonts w:ascii="Cambria" w:hAnsi="Cambria" w:cs="Courier New"/>
          <w:sz w:val="20"/>
          <w:szCs w:val="20"/>
          <w:lang w:val="es-ES_tradnl"/>
        </w:rPr>
        <w:t xml:space="preserve">Los </w:t>
      </w:r>
      <w:r w:rsidR="00A005C6" w:rsidRPr="006E3083">
        <w:rPr>
          <w:rFonts w:ascii="Cambria" w:hAnsi="Cambria" w:cs="Courier New"/>
          <w:sz w:val="20"/>
          <w:szCs w:val="20"/>
          <w:lang w:val="es-ES_tradnl"/>
        </w:rPr>
        <w:t>CV</w:t>
      </w:r>
      <w:r>
        <w:rPr>
          <w:rFonts w:ascii="Cambria" w:hAnsi="Cambria" w:cs="Courier New"/>
          <w:sz w:val="20"/>
          <w:szCs w:val="20"/>
          <w:lang w:val="es-ES_tradnl"/>
        </w:rPr>
        <w:t>s</w:t>
      </w:r>
      <w:r w:rsidR="00A005C6" w:rsidRPr="006E3083">
        <w:rPr>
          <w:rFonts w:ascii="Cambria" w:hAnsi="Cambria" w:cs="Courier New"/>
          <w:sz w:val="20"/>
          <w:szCs w:val="20"/>
          <w:lang w:val="es-ES_tradnl"/>
        </w:rPr>
        <w:t xml:space="preserve"> </w:t>
      </w:r>
      <w:r w:rsidR="00A005C6" w:rsidRPr="006E3083">
        <w:rPr>
          <w:rFonts w:ascii="Cambria" w:hAnsi="Cambria"/>
          <w:sz w:val="20"/>
          <w:szCs w:val="20"/>
          <w:lang w:val="es-AR"/>
        </w:rPr>
        <w:t>de</w:t>
      </w:r>
      <w:r>
        <w:rPr>
          <w:rFonts w:ascii="Cambria" w:hAnsi="Cambria"/>
          <w:sz w:val="20"/>
          <w:szCs w:val="20"/>
          <w:lang w:val="es-AR"/>
        </w:rPr>
        <w:t xml:space="preserve"> los/as peritos/as </w:t>
      </w:r>
      <w:r w:rsidR="00A005C6" w:rsidRPr="006E3083">
        <w:rPr>
          <w:rFonts w:ascii="Cambria" w:hAnsi="Cambria"/>
          <w:sz w:val="20"/>
          <w:szCs w:val="20"/>
          <w:lang w:val="es-CO"/>
        </w:rPr>
        <w:t>será</w:t>
      </w:r>
      <w:r>
        <w:rPr>
          <w:rFonts w:ascii="Cambria" w:hAnsi="Cambria"/>
          <w:sz w:val="20"/>
          <w:szCs w:val="20"/>
          <w:lang w:val="es-CO"/>
        </w:rPr>
        <w:t xml:space="preserve">n </w:t>
      </w:r>
      <w:r w:rsidR="00A005C6" w:rsidRPr="006E3083">
        <w:rPr>
          <w:rFonts w:ascii="Cambria" w:hAnsi="Cambria"/>
          <w:sz w:val="20"/>
          <w:szCs w:val="20"/>
          <w:lang w:val="es-CO"/>
        </w:rPr>
        <w:t xml:space="preserve">incluido en los anexos al informe de fondo </w:t>
      </w:r>
      <w:r>
        <w:rPr>
          <w:rFonts w:ascii="Cambria" w:hAnsi="Cambria"/>
          <w:sz w:val="20"/>
          <w:szCs w:val="20"/>
          <w:lang w:val="es-CO"/>
        </w:rPr>
        <w:t>75</w:t>
      </w:r>
      <w:r w:rsidR="00A005C6" w:rsidRPr="006E3083">
        <w:rPr>
          <w:rFonts w:ascii="Cambria" w:hAnsi="Cambria"/>
          <w:sz w:val="20"/>
          <w:szCs w:val="20"/>
          <w:lang w:val="es-CO"/>
        </w:rPr>
        <w:t xml:space="preserve">/15. </w:t>
      </w:r>
    </w:p>
    <w:p w:rsidR="00A005C6" w:rsidRPr="006E3083" w:rsidRDefault="00A005C6" w:rsidP="00A005C6">
      <w:pPr>
        <w:tabs>
          <w:tab w:val="left" w:pos="0"/>
        </w:tabs>
        <w:spacing w:after="0"/>
        <w:jc w:val="both"/>
        <w:rPr>
          <w:rFonts w:ascii="Cambria" w:hAnsi="Cambria"/>
          <w:sz w:val="20"/>
          <w:szCs w:val="20"/>
          <w:lang w:val="es-CO"/>
        </w:rPr>
      </w:pPr>
    </w:p>
    <w:p w:rsidR="00804A08" w:rsidRDefault="00804A08" w:rsidP="00A005C6">
      <w:pPr>
        <w:suppressAutoHyphens/>
        <w:spacing w:after="0" w:line="240" w:lineRule="auto"/>
        <w:ind w:firstLine="720"/>
        <w:jc w:val="both"/>
        <w:rPr>
          <w:rFonts w:ascii="Cambria" w:hAnsi="Cambria"/>
          <w:sz w:val="20"/>
          <w:szCs w:val="20"/>
          <w:lang w:val="es-ES_tradnl"/>
        </w:rPr>
      </w:pPr>
    </w:p>
    <w:p w:rsidR="00A005C6" w:rsidRPr="006E3083" w:rsidRDefault="00A005C6" w:rsidP="00A005C6">
      <w:pPr>
        <w:suppressAutoHyphens/>
        <w:spacing w:after="0" w:line="240" w:lineRule="auto"/>
        <w:ind w:firstLine="720"/>
        <w:jc w:val="both"/>
        <w:rPr>
          <w:rFonts w:ascii="Cambria" w:hAnsi="Cambria"/>
          <w:sz w:val="20"/>
          <w:szCs w:val="20"/>
          <w:lang w:val="es-ES_tradnl"/>
        </w:rPr>
      </w:pPr>
      <w:r w:rsidRPr="006E3083">
        <w:rPr>
          <w:rFonts w:ascii="Cambria" w:hAnsi="Cambria"/>
          <w:sz w:val="20"/>
          <w:szCs w:val="20"/>
          <w:lang w:val="es-ES_tradnl"/>
        </w:rPr>
        <w:t xml:space="preserve">La Comisión pone en conocimiento de la Corte la siguiente información sobre quienes actuaron </w:t>
      </w:r>
      <w:r w:rsidRPr="006E3083">
        <w:rPr>
          <w:rFonts w:ascii="Cambria" w:hAnsi="Cambria"/>
          <w:iCs/>
          <w:sz w:val="20"/>
          <w:szCs w:val="20"/>
          <w:lang w:val="es-ES_tradnl"/>
        </w:rPr>
        <w:t>como</w:t>
      </w:r>
      <w:r w:rsidRPr="006E3083">
        <w:rPr>
          <w:rFonts w:ascii="Cambria" w:hAnsi="Cambria"/>
          <w:sz w:val="20"/>
          <w:szCs w:val="20"/>
          <w:lang w:val="es-ES_tradnl"/>
        </w:rPr>
        <w:t xml:space="preserve"> peticionarios a lo largo del trámite del caso: </w:t>
      </w:r>
    </w:p>
    <w:p w:rsidR="00A005C6" w:rsidRPr="006E3083" w:rsidRDefault="00A005C6" w:rsidP="00A005C6">
      <w:pPr>
        <w:suppressAutoHyphens/>
        <w:spacing w:after="0" w:line="240" w:lineRule="auto"/>
        <w:jc w:val="both"/>
        <w:rPr>
          <w:rFonts w:ascii="Cambria" w:hAnsi="Cambria"/>
          <w:sz w:val="20"/>
          <w:szCs w:val="20"/>
          <w:lang w:val="es-CO"/>
        </w:rPr>
      </w:pPr>
    </w:p>
    <w:p w:rsidR="00E433E8" w:rsidRPr="00B63524" w:rsidRDefault="00E433E8" w:rsidP="00E433E8">
      <w:pPr>
        <w:spacing w:after="0"/>
        <w:jc w:val="both"/>
        <w:rPr>
          <w:rFonts w:ascii="Cambria" w:hAnsi="Cambria"/>
          <w:sz w:val="20"/>
          <w:szCs w:val="20"/>
          <w:lang w:val="es-ES"/>
        </w:rPr>
      </w:pPr>
    </w:p>
    <w:tbl>
      <w:tblPr>
        <w:tblW w:w="0" w:type="auto"/>
        <w:tblCellMar>
          <w:left w:w="0" w:type="dxa"/>
          <w:right w:w="0" w:type="dxa"/>
        </w:tblCellMar>
        <w:tblLook w:val="04A0" w:firstRow="1" w:lastRow="0" w:firstColumn="1" w:lastColumn="0" w:noHBand="0" w:noVBand="1"/>
      </w:tblPr>
      <w:tblGrid>
        <w:gridCol w:w="5058"/>
        <w:gridCol w:w="3780"/>
      </w:tblGrid>
      <w:tr w:rsidR="00E433E8" w:rsidRPr="006206C9" w:rsidTr="00E433E8">
        <w:trPr>
          <w:trHeight w:val="427"/>
        </w:trPr>
        <w:tc>
          <w:tcPr>
            <w:tcW w:w="5058" w:type="dxa"/>
            <w:tcMar>
              <w:top w:w="0" w:type="dxa"/>
              <w:left w:w="108" w:type="dxa"/>
              <w:bottom w:w="0" w:type="dxa"/>
              <w:right w:w="108" w:type="dxa"/>
            </w:tcMar>
          </w:tcPr>
          <w:p w:rsidR="00E433E8" w:rsidRPr="006206C9" w:rsidRDefault="006206C9" w:rsidP="00E433E8">
            <w:pPr>
              <w:spacing w:after="0"/>
              <w:ind w:left="720"/>
              <w:rPr>
                <w:rFonts w:ascii="Cambria" w:hAnsi="Cambria"/>
                <w:sz w:val="20"/>
                <w:szCs w:val="20"/>
                <w:highlight w:val="black"/>
                <w:lang w:val="es-ES"/>
              </w:rPr>
            </w:pPr>
            <w:bookmarkStart w:id="2" w:name="email"/>
            <w:bookmarkEnd w:id="2"/>
            <w:r w:rsidRPr="006206C9">
              <w:rPr>
                <w:rFonts w:ascii="Cambria" w:hAnsi="Cambria"/>
                <w:sz w:val="20"/>
                <w:szCs w:val="20"/>
                <w:highlight w:val="black"/>
                <w:lang w:val="es-ES"/>
              </w:rPr>
              <w:t>Xxxxxxxxxxxxxxxx</w:t>
            </w:r>
          </w:p>
          <w:p w:rsidR="006206C9" w:rsidRPr="00B63524" w:rsidRDefault="006206C9" w:rsidP="00E433E8">
            <w:pPr>
              <w:spacing w:after="0"/>
              <w:ind w:left="720"/>
              <w:rPr>
                <w:rFonts w:ascii="Cambria" w:hAnsi="Cambria"/>
                <w:sz w:val="20"/>
                <w:szCs w:val="20"/>
                <w:lang w:val="es-ES"/>
              </w:rPr>
            </w:pPr>
            <w:r w:rsidRPr="006206C9">
              <w:rPr>
                <w:rFonts w:ascii="Cambria" w:hAnsi="Cambria"/>
                <w:sz w:val="20"/>
                <w:szCs w:val="20"/>
                <w:highlight w:val="black"/>
                <w:lang w:val="es-ES"/>
              </w:rPr>
              <w:t>xxxxxxxxxxxxxxxxxxxxx</w:t>
            </w:r>
          </w:p>
          <w:p w:rsidR="00E433E8" w:rsidRPr="00B63524" w:rsidRDefault="00E433E8" w:rsidP="00E433E8">
            <w:pPr>
              <w:spacing w:after="0"/>
              <w:rPr>
                <w:rFonts w:ascii="Cambria" w:eastAsia="Calibri" w:hAnsi="Cambria"/>
                <w:spacing w:val="-2"/>
                <w:sz w:val="20"/>
                <w:szCs w:val="20"/>
                <w:lang w:val="es-ES"/>
              </w:rPr>
            </w:pPr>
          </w:p>
        </w:tc>
        <w:tc>
          <w:tcPr>
            <w:tcW w:w="3780" w:type="dxa"/>
            <w:tcMar>
              <w:top w:w="0" w:type="dxa"/>
              <w:left w:w="108" w:type="dxa"/>
              <w:bottom w:w="0" w:type="dxa"/>
              <w:right w:w="108" w:type="dxa"/>
            </w:tcMar>
            <w:hideMark/>
          </w:tcPr>
          <w:p w:rsidR="00E433E8" w:rsidRPr="006206C9" w:rsidRDefault="006206C9" w:rsidP="00E433E8">
            <w:pPr>
              <w:spacing w:after="0"/>
              <w:rPr>
                <w:rFonts w:ascii="Cambria" w:eastAsia="Calibri" w:hAnsi="Cambria"/>
                <w:spacing w:val="-2"/>
                <w:sz w:val="20"/>
                <w:szCs w:val="20"/>
                <w:highlight w:val="black"/>
                <w:lang w:val="es-UY"/>
              </w:rPr>
            </w:pPr>
            <w:r w:rsidRPr="006206C9">
              <w:rPr>
                <w:rFonts w:ascii="Cambria" w:hAnsi="Cambria"/>
                <w:sz w:val="20"/>
                <w:szCs w:val="20"/>
                <w:highlight w:val="black"/>
                <w:lang w:val="es-UY"/>
              </w:rPr>
              <w:t>xxxxxxxxxxxxxxxxx</w:t>
            </w:r>
          </w:p>
          <w:p w:rsidR="00E433E8" w:rsidRPr="006206C9" w:rsidRDefault="006206C9" w:rsidP="00E433E8">
            <w:pPr>
              <w:spacing w:after="0"/>
              <w:rPr>
                <w:rFonts w:ascii="Cambria" w:hAnsi="Cambria"/>
                <w:sz w:val="20"/>
                <w:szCs w:val="20"/>
                <w:highlight w:val="black"/>
                <w:lang w:val="es-UY"/>
              </w:rPr>
            </w:pPr>
            <w:r w:rsidRPr="006206C9">
              <w:rPr>
                <w:rFonts w:ascii="Cambria" w:hAnsi="Cambria"/>
                <w:sz w:val="20"/>
                <w:szCs w:val="20"/>
                <w:highlight w:val="black"/>
                <w:lang w:val="es-UY"/>
              </w:rPr>
              <w:t>xxxxxxxxxxxxxxxxxxxxxxxxxxxxx</w:t>
            </w:r>
          </w:p>
          <w:p w:rsidR="00E433E8" w:rsidRPr="006206C9" w:rsidRDefault="006206C9" w:rsidP="00E433E8">
            <w:pPr>
              <w:spacing w:after="0"/>
              <w:rPr>
                <w:rFonts w:ascii="Cambria" w:hAnsi="Cambria"/>
                <w:sz w:val="20"/>
                <w:szCs w:val="20"/>
                <w:highlight w:val="black"/>
                <w:lang w:val="es-UY"/>
              </w:rPr>
            </w:pPr>
            <w:r w:rsidRPr="006206C9">
              <w:rPr>
                <w:rFonts w:ascii="Cambria" w:hAnsi="Cambria"/>
                <w:sz w:val="20"/>
                <w:szCs w:val="20"/>
                <w:highlight w:val="black"/>
                <w:lang w:val="es-UY"/>
              </w:rPr>
              <w:t>xxxxxxxxxxxxxxxxxxxxxxxxxxxxxxxxxx</w:t>
            </w:r>
          </w:p>
          <w:p w:rsidR="00E433E8" w:rsidRPr="006206C9" w:rsidRDefault="006206C9" w:rsidP="00E433E8">
            <w:pPr>
              <w:spacing w:after="0"/>
              <w:rPr>
                <w:rFonts w:ascii="Cambria" w:hAnsi="Cambria"/>
                <w:sz w:val="20"/>
                <w:szCs w:val="20"/>
                <w:highlight w:val="black"/>
                <w:lang w:val="es-UY"/>
              </w:rPr>
            </w:pPr>
            <w:r w:rsidRPr="006206C9">
              <w:rPr>
                <w:rFonts w:ascii="Cambria" w:hAnsi="Cambria"/>
                <w:sz w:val="20"/>
                <w:szCs w:val="20"/>
                <w:highlight w:val="black"/>
                <w:lang w:val="es-UY"/>
              </w:rPr>
              <w:t>xxxxxxxxxxxxxxxxxxxxxxx</w:t>
            </w:r>
          </w:p>
          <w:p w:rsidR="00E433E8" w:rsidRPr="00B63524" w:rsidRDefault="006206C9" w:rsidP="00E433E8">
            <w:pPr>
              <w:spacing w:after="0"/>
              <w:rPr>
                <w:rFonts w:ascii="Cambria" w:eastAsia="Calibri" w:hAnsi="Cambria"/>
                <w:spacing w:val="-2"/>
                <w:sz w:val="20"/>
                <w:szCs w:val="20"/>
                <w:lang w:val="es-ES"/>
              </w:rPr>
            </w:pPr>
            <w:r w:rsidRPr="006206C9">
              <w:rPr>
                <w:rFonts w:ascii="Cambria" w:hAnsi="Cambria"/>
                <w:sz w:val="20"/>
                <w:szCs w:val="20"/>
                <w:highlight w:val="black"/>
                <w:lang w:val="es-ES"/>
              </w:rPr>
              <w:t>xxxxxxxxxxxxxxxxxxxxxxxxxxxxxxxx</w:t>
            </w:r>
          </w:p>
        </w:tc>
      </w:tr>
    </w:tbl>
    <w:p w:rsidR="00A005C6" w:rsidRPr="006E3083" w:rsidRDefault="00A005C6" w:rsidP="00A005C6">
      <w:pPr>
        <w:autoSpaceDE w:val="0"/>
        <w:autoSpaceDN w:val="0"/>
        <w:adjustRightInd w:val="0"/>
        <w:spacing w:after="0"/>
        <w:rPr>
          <w:rFonts w:ascii="Cambria" w:hAnsi="Cambria" w:cs="Arial"/>
          <w:b/>
          <w:sz w:val="20"/>
          <w:szCs w:val="20"/>
          <w:lang w:val="es-ES_tradnl"/>
        </w:rPr>
      </w:pPr>
    </w:p>
    <w:p w:rsidR="00A005C6" w:rsidRPr="006E3083" w:rsidRDefault="00A005C6" w:rsidP="00A005C6">
      <w:pPr>
        <w:tabs>
          <w:tab w:val="left" w:pos="0"/>
        </w:tabs>
        <w:spacing w:after="0"/>
        <w:ind w:firstLine="720"/>
        <w:jc w:val="both"/>
        <w:rPr>
          <w:rFonts w:ascii="Cambria" w:hAnsi="Cambria" w:cs="Arial"/>
          <w:sz w:val="20"/>
          <w:szCs w:val="20"/>
          <w:lang w:val="es-CO"/>
        </w:rPr>
      </w:pPr>
      <w:r w:rsidRPr="006E3083">
        <w:rPr>
          <w:rFonts w:ascii="Cambria" w:hAnsi="Cambria" w:cs="Arial"/>
          <w:sz w:val="20"/>
          <w:szCs w:val="20"/>
          <w:lang w:val="es-CO"/>
        </w:rPr>
        <w:t>Aprovecho la oportunidad para saludar a usted muy atentamente,</w:t>
      </w:r>
    </w:p>
    <w:p w:rsidR="00A005C6" w:rsidRPr="006E3083" w:rsidRDefault="00A005C6" w:rsidP="00A005C6">
      <w:pPr>
        <w:suppressAutoHyphens/>
        <w:spacing w:after="0"/>
        <w:ind w:left="5040"/>
        <w:rPr>
          <w:rFonts w:ascii="Cambria" w:hAnsi="Cambria" w:cs="Arial"/>
          <w:snapToGrid w:val="0"/>
          <w:sz w:val="20"/>
          <w:szCs w:val="20"/>
          <w:lang w:val="es-CO"/>
        </w:rPr>
      </w:pPr>
    </w:p>
    <w:p w:rsidR="00A005C6" w:rsidRPr="006E3083" w:rsidRDefault="00A005C6" w:rsidP="00A005C6">
      <w:pPr>
        <w:suppressAutoHyphens/>
        <w:spacing w:after="0"/>
        <w:ind w:left="5040"/>
        <w:rPr>
          <w:rFonts w:ascii="Cambria" w:hAnsi="Cambria" w:cs="Arial"/>
          <w:snapToGrid w:val="0"/>
          <w:sz w:val="20"/>
          <w:szCs w:val="20"/>
          <w:lang w:val="es-CO"/>
        </w:rPr>
      </w:pPr>
    </w:p>
    <w:p w:rsidR="00A005C6" w:rsidRDefault="00A005C6" w:rsidP="00A005C6">
      <w:pPr>
        <w:suppressAutoHyphens/>
        <w:spacing w:after="0"/>
        <w:ind w:left="5040"/>
        <w:rPr>
          <w:rFonts w:ascii="Cambria" w:hAnsi="Cambria" w:cs="Arial"/>
          <w:snapToGrid w:val="0"/>
          <w:sz w:val="20"/>
          <w:szCs w:val="20"/>
          <w:lang w:val="es-CO"/>
        </w:rPr>
      </w:pPr>
    </w:p>
    <w:p w:rsidR="005E0572" w:rsidRPr="00220443" w:rsidRDefault="006206C9" w:rsidP="00A005C6">
      <w:pPr>
        <w:suppressAutoHyphens/>
        <w:spacing w:after="0"/>
        <w:ind w:left="5040"/>
        <w:rPr>
          <w:rFonts w:ascii="Cambria" w:hAnsi="Cambria" w:cs="Arial"/>
          <w:snapToGrid w:val="0"/>
          <w:color w:val="A6A6A6"/>
          <w:sz w:val="18"/>
          <w:szCs w:val="20"/>
          <w:lang w:val="es-CO"/>
        </w:rPr>
      </w:pPr>
      <w:r w:rsidRPr="00220443">
        <w:rPr>
          <w:rFonts w:ascii="Cambria" w:hAnsi="Cambria" w:cs="Arial"/>
          <w:snapToGrid w:val="0"/>
          <w:color w:val="A6A6A6"/>
          <w:sz w:val="18"/>
          <w:szCs w:val="20"/>
          <w:lang w:val="es-CO"/>
        </w:rPr>
        <w:t>Firmado en el original</w:t>
      </w:r>
    </w:p>
    <w:p w:rsidR="00A005C6" w:rsidRPr="006E3083" w:rsidRDefault="00A005C6" w:rsidP="00A005C6">
      <w:pPr>
        <w:suppressAutoHyphens/>
        <w:spacing w:after="0"/>
        <w:ind w:left="3600" w:firstLine="720"/>
        <w:rPr>
          <w:rFonts w:ascii="Cambria" w:hAnsi="Cambria" w:cs="Arial"/>
          <w:snapToGrid w:val="0"/>
          <w:sz w:val="20"/>
          <w:szCs w:val="20"/>
          <w:lang w:val="es-CO"/>
        </w:rPr>
      </w:pPr>
      <w:r w:rsidRPr="006E3083">
        <w:rPr>
          <w:rFonts w:ascii="Cambria" w:hAnsi="Cambria" w:cs="Arial"/>
          <w:snapToGrid w:val="0"/>
          <w:sz w:val="20"/>
          <w:szCs w:val="20"/>
          <w:lang w:val="es-CO"/>
        </w:rPr>
        <w:t xml:space="preserve">       </w:t>
      </w:r>
      <w:r w:rsidR="006206C9">
        <w:rPr>
          <w:rFonts w:ascii="Cambria" w:hAnsi="Cambria" w:cs="Arial"/>
          <w:snapToGrid w:val="0"/>
          <w:sz w:val="20"/>
          <w:szCs w:val="20"/>
          <w:lang w:val="es-CO"/>
        </w:rPr>
        <w:t xml:space="preserve">      </w:t>
      </w:r>
      <w:r w:rsidRPr="006E3083">
        <w:rPr>
          <w:rFonts w:ascii="Cambria" w:hAnsi="Cambria" w:cs="Arial"/>
          <w:snapToGrid w:val="0"/>
          <w:sz w:val="20"/>
          <w:szCs w:val="20"/>
          <w:lang w:val="es-CO"/>
        </w:rPr>
        <w:t xml:space="preserve"> Elizabeth Abi-Mershed </w:t>
      </w:r>
    </w:p>
    <w:p w:rsidR="00A005C6" w:rsidRPr="006E3083" w:rsidRDefault="00A005C6" w:rsidP="00A005C6">
      <w:pPr>
        <w:suppressAutoHyphens/>
        <w:spacing w:after="0"/>
        <w:ind w:left="2880" w:firstLine="720"/>
        <w:rPr>
          <w:rFonts w:ascii="Cambria" w:hAnsi="Cambria"/>
          <w:sz w:val="20"/>
          <w:szCs w:val="20"/>
          <w:lang w:val="es-CO"/>
        </w:rPr>
      </w:pPr>
      <w:r w:rsidRPr="006E3083">
        <w:rPr>
          <w:rFonts w:ascii="Cambria" w:hAnsi="Cambria" w:cs="Arial"/>
          <w:snapToGrid w:val="0"/>
          <w:sz w:val="20"/>
          <w:szCs w:val="20"/>
          <w:lang w:val="es-CO"/>
        </w:rPr>
        <w:t xml:space="preserve">                 </w:t>
      </w:r>
      <w:r w:rsidR="005E0572">
        <w:rPr>
          <w:rFonts w:ascii="Cambria" w:hAnsi="Cambria" w:cs="Arial"/>
          <w:snapToGrid w:val="0"/>
          <w:sz w:val="20"/>
          <w:szCs w:val="20"/>
          <w:lang w:val="es-CO"/>
        </w:rPr>
        <w:t xml:space="preserve">   </w:t>
      </w:r>
      <w:r w:rsidR="006206C9">
        <w:rPr>
          <w:rFonts w:ascii="Cambria" w:hAnsi="Cambria" w:cs="Arial"/>
          <w:snapToGrid w:val="0"/>
          <w:sz w:val="20"/>
          <w:szCs w:val="20"/>
          <w:lang w:val="es-CO"/>
        </w:rPr>
        <w:t xml:space="preserve">     </w:t>
      </w:r>
      <w:r w:rsidRPr="006E3083">
        <w:rPr>
          <w:rFonts w:ascii="Cambria" w:hAnsi="Cambria" w:cs="Arial"/>
          <w:snapToGrid w:val="0"/>
          <w:sz w:val="20"/>
          <w:szCs w:val="20"/>
          <w:lang w:val="es-CO"/>
        </w:rPr>
        <w:t xml:space="preserve">Secretaria Ejecutiva Adjunta </w:t>
      </w:r>
    </w:p>
    <w:p w:rsidR="00A005C6" w:rsidRPr="006206C9" w:rsidRDefault="00A005C6" w:rsidP="00A005C6">
      <w:pPr>
        <w:spacing w:after="0" w:line="240" w:lineRule="auto"/>
        <w:rPr>
          <w:rFonts w:ascii="Cambria" w:hAnsi="Cambria"/>
          <w:sz w:val="20"/>
          <w:szCs w:val="20"/>
          <w:lang w:val="es-UY"/>
        </w:rPr>
      </w:pPr>
    </w:p>
    <w:p w:rsidR="001C784D" w:rsidRPr="006206C9" w:rsidRDefault="001C784D">
      <w:pPr>
        <w:rPr>
          <w:sz w:val="20"/>
          <w:szCs w:val="20"/>
          <w:lang w:val="es-UY"/>
        </w:rPr>
      </w:pPr>
    </w:p>
    <w:sectPr w:rsidR="001C784D" w:rsidRPr="006206C9" w:rsidSect="00B63524">
      <w:headerReference w:type="default" r:id="rId9"/>
      <w:footerReference w:type="default" r:id="rId10"/>
      <w:headerReference w:type="first" r:id="rId11"/>
      <w:footerReference w:type="first" r:id="rId12"/>
      <w:pgSz w:w="12240" w:h="15840"/>
      <w:pgMar w:top="1440" w:right="1440" w:bottom="810" w:left="12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4CD" w:rsidRDefault="001E04CD">
      <w:pPr>
        <w:spacing w:after="0" w:line="240" w:lineRule="auto"/>
      </w:pPr>
      <w:r>
        <w:separator/>
      </w:r>
    </w:p>
  </w:endnote>
  <w:endnote w:type="continuationSeparator" w:id="0">
    <w:p w:rsidR="001E04CD" w:rsidRDefault="001E0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524" w:rsidRPr="00A72869" w:rsidRDefault="00B63524">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AF717E">
      <w:rPr>
        <w:noProof/>
        <w:color w:val="7F7F7F"/>
        <w:sz w:val="16"/>
      </w:rPr>
      <w:t>4</w:t>
    </w:r>
    <w:r w:rsidRPr="00A72869">
      <w:rPr>
        <w:noProof/>
        <w:color w:val="7F7F7F"/>
        <w:sz w:val="16"/>
      </w:rPr>
      <w:fldChar w:fldCharType="end"/>
    </w:r>
  </w:p>
  <w:p w:rsidR="00B63524" w:rsidRDefault="00B6352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524" w:rsidRDefault="00B63524" w:rsidP="00B63524">
    <w:pPr>
      <w:pStyle w:val="Piedepgina"/>
      <w:spacing w:line="360" w:lineRule="auto"/>
    </w:pPr>
    <w:r>
      <w:pict>
        <v:rect id="_x0000_i1026" style="width:0;height:1.5pt" o:hralign="center" o:hrstd="t" o:hr="t" fillcolor="#a0a0a0" stroked="f"/>
      </w:pict>
    </w:r>
  </w:p>
  <w:p w:rsidR="00B63524" w:rsidRDefault="00FF72E2" w:rsidP="00B63524">
    <w:pPr>
      <w:pStyle w:val="Piedepgina"/>
      <w:jc w:val="center"/>
    </w:pPr>
    <w:r>
      <w:rPr>
        <w:noProof/>
        <w:lang w:val="es-AR" w:eastAsia="es-AR"/>
      </w:rPr>
      <w:drawing>
        <wp:inline distT="0" distB="0" distL="0" distR="0">
          <wp:extent cx="5118100" cy="320675"/>
          <wp:effectExtent l="0" t="0" r="6350" b="3175"/>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0" cy="3206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4CD" w:rsidRDefault="001E04CD">
      <w:pPr>
        <w:spacing w:after="0" w:line="240" w:lineRule="auto"/>
      </w:pPr>
      <w:r>
        <w:separator/>
      </w:r>
    </w:p>
  </w:footnote>
  <w:footnote w:type="continuationSeparator" w:id="0">
    <w:p w:rsidR="001E04CD" w:rsidRDefault="001E04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524" w:rsidRPr="0058688A" w:rsidRDefault="00FF72E2" w:rsidP="00B63524">
    <w:pPr>
      <w:pStyle w:val="Encabezado"/>
      <w:jc w:val="center"/>
      <w:rPr>
        <w:lang w:val="es-ES_tradnl"/>
      </w:rPr>
    </w:pPr>
    <w:r>
      <w:rPr>
        <w:noProof/>
        <w:lang w:val="es-AR" w:eastAsia="es-AR"/>
      </w:rPr>
      <w:drawing>
        <wp:inline distT="0" distB="0" distL="0" distR="0">
          <wp:extent cx="2291715" cy="118745"/>
          <wp:effectExtent l="0" t="0" r="0" b="0"/>
          <wp:docPr id="4" name="Imagen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118745"/>
                  </a:xfrm>
                  <a:prstGeom prst="rect">
                    <a:avLst/>
                  </a:prstGeom>
                  <a:noFill/>
                  <a:ln>
                    <a:noFill/>
                  </a:ln>
                </pic:spPr>
              </pic:pic>
            </a:graphicData>
          </a:graphic>
        </wp:inline>
      </w:drawing>
    </w:r>
  </w:p>
  <w:p w:rsidR="00B63524" w:rsidRDefault="00B63524">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524" w:rsidRDefault="00FF72E2" w:rsidP="00B63524">
    <w:pPr>
      <w:pStyle w:val="Encabezado"/>
    </w:pPr>
    <w:r>
      <w:rPr>
        <w:noProof/>
        <w:lang w:val="es-AR" w:eastAsia="es-AR"/>
      </w:rPr>
      <w:drawing>
        <wp:inline distT="0" distB="0" distL="0" distR="0">
          <wp:extent cx="2351405" cy="451485"/>
          <wp:effectExtent l="0" t="0" r="0" b="5715"/>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405" cy="451485"/>
                  </a:xfrm>
                  <a:prstGeom prst="rect">
                    <a:avLst/>
                  </a:prstGeom>
                  <a:noFill/>
                  <a:ln>
                    <a:noFill/>
                  </a:ln>
                </pic:spPr>
              </pic:pic>
            </a:graphicData>
          </a:graphic>
        </wp:inline>
      </w:drawing>
    </w:r>
    <w:r w:rsidR="00B63524">
      <w:tab/>
    </w:r>
    <w:r w:rsidR="00B63524">
      <w:tab/>
    </w:r>
    <w:r>
      <w:rPr>
        <w:noProof/>
        <w:lang w:val="es-AR" w:eastAsia="es-AR"/>
      </w:rPr>
      <w:drawing>
        <wp:inline distT="0" distB="0" distL="0" distR="0">
          <wp:extent cx="1650365" cy="474980"/>
          <wp:effectExtent l="0" t="0" r="6985" b="127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0365" cy="474980"/>
                  </a:xfrm>
                  <a:prstGeom prst="rect">
                    <a:avLst/>
                  </a:prstGeom>
                  <a:noFill/>
                  <a:ln>
                    <a:noFill/>
                  </a:ln>
                </pic:spPr>
              </pic:pic>
            </a:graphicData>
          </a:graphic>
        </wp:inline>
      </w:drawing>
    </w:r>
  </w:p>
  <w:p w:rsidR="00B63524" w:rsidRDefault="00B63524" w:rsidP="00B63524">
    <w:pPr>
      <w:pStyle w:val="Encabezado"/>
    </w:pPr>
  </w:p>
  <w:p w:rsidR="00B63524" w:rsidRDefault="00B63524" w:rsidP="00B63524">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10500"/>
    <w:multiLevelType w:val="hybridMultilevel"/>
    <w:tmpl w:val="424CC726"/>
    <w:lvl w:ilvl="0" w:tplc="F11C5958">
      <w:start w:val="1"/>
      <w:numFmt w:val="lowerLetter"/>
      <w:lvlText w:val="%1)"/>
      <w:lvlJc w:val="left"/>
      <w:pPr>
        <w:tabs>
          <w:tab w:val="num" w:pos="1700"/>
        </w:tabs>
        <w:ind w:left="1700" w:hanging="980"/>
      </w:pPr>
      <w:rPr>
        <w:rFonts w:cs="Times New Roman" w:hint="default"/>
      </w:rPr>
    </w:lvl>
    <w:lvl w:ilvl="1" w:tplc="00190409" w:tentative="1">
      <w:start w:val="1"/>
      <w:numFmt w:val="lowerLetter"/>
      <w:lvlText w:val="%2."/>
      <w:lvlJc w:val="left"/>
      <w:pPr>
        <w:tabs>
          <w:tab w:val="num" w:pos="1800"/>
        </w:tabs>
        <w:ind w:left="1800" w:hanging="360"/>
      </w:pPr>
      <w:rPr>
        <w:rFonts w:cs="Times New Roman"/>
      </w:rPr>
    </w:lvl>
    <w:lvl w:ilvl="2" w:tplc="001B0409" w:tentative="1">
      <w:start w:val="1"/>
      <w:numFmt w:val="lowerRoman"/>
      <w:lvlText w:val="%3."/>
      <w:lvlJc w:val="right"/>
      <w:pPr>
        <w:tabs>
          <w:tab w:val="num" w:pos="2520"/>
        </w:tabs>
        <w:ind w:left="2520" w:hanging="180"/>
      </w:pPr>
      <w:rPr>
        <w:rFonts w:cs="Times New Roman"/>
      </w:rPr>
    </w:lvl>
    <w:lvl w:ilvl="3" w:tplc="000F0409" w:tentative="1">
      <w:start w:val="1"/>
      <w:numFmt w:val="decimal"/>
      <w:lvlText w:val="%4."/>
      <w:lvlJc w:val="left"/>
      <w:pPr>
        <w:tabs>
          <w:tab w:val="num" w:pos="3240"/>
        </w:tabs>
        <w:ind w:left="3240" w:hanging="360"/>
      </w:pPr>
      <w:rPr>
        <w:rFonts w:cs="Times New Roman"/>
      </w:rPr>
    </w:lvl>
    <w:lvl w:ilvl="4" w:tplc="00190409" w:tentative="1">
      <w:start w:val="1"/>
      <w:numFmt w:val="lowerLetter"/>
      <w:lvlText w:val="%5."/>
      <w:lvlJc w:val="left"/>
      <w:pPr>
        <w:tabs>
          <w:tab w:val="num" w:pos="3960"/>
        </w:tabs>
        <w:ind w:left="3960" w:hanging="360"/>
      </w:pPr>
      <w:rPr>
        <w:rFonts w:cs="Times New Roman"/>
      </w:rPr>
    </w:lvl>
    <w:lvl w:ilvl="5" w:tplc="001B0409" w:tentative="1">
      <w:start w:val="1"/>
      <w:numFmt w:val="lowerRoman"/>
      <w:lvlText w:val="%6."/>
      <w:lvlJc w:val="right"/>
      <w:pPr>
        <w:tabs>
          <w:tab w:val="num" w:pos="4680"/>
        </w:tabs>
        <w:ind w:left="4680" w:hanging="180"/>
      </w:pPr>
      <w:rPr>
        <w:rFonts w:cs="Times New Roman"/>
      </w:rPr>
    </w:lvl>
    <w:lvl w:ilvl="6" w:tplc="000F0409" w:tentative="1">
      <w:start w:val="1"/>
      <w:numFmt w:val="decimal"/>
      <w:lvlText w:val="%7."/>
      <w:lvlJc w:val="left"/>
      <w:pPr>
        <w:tabs>
          <w:tab w:val="num" w:pos="5400"/>
        </w:tabs>
        <w:ind w:left="5400" w:hanging="360"/>
      </w:pPr>
      <w:rPr>
        <w:rFonts w:cs="Times New Roman"/>
      </w:rPr>
    </w:lvl>
    <w:lvl w:ilvl="7" w:tplc="00190409" w:tentative="1">
      <w:start w:val="1"/>
      <w:numFmt w:val="lowerLetter"/>
      <w:lvlText w:val="%8."/>
      <w:lvlJc w:val="left"/>
      <w:pPr>
        <w:tabs>
          <w:tab w:val="num" w:pos="6120"/>
        </w:tabs>
        <w:ind w:left="6120" w:hanging="360"/>
      </w:pPr>
      <w:rPr>
        <w:rFonts w:cs="Times New Roman"/>
      </w:rPr>
    </w:lvl>
    <w:lvl w:ilvl="8" w:tplc="001B0409" w:tentative="1">
      <w:start w:val="1"/>
      <w:numFmt w:val="lowerRoman"/>
      <w:lvlText w:val="%9."/>
      <w:lvlJc w:val="right"/>
      <w:pPr>
        <w:tabs>
          <w:tab w:val="num" w:pos="6840"/>
        </w:tabs>
        <w:ind w:left="6840" w:hanging="180"/>
      </w:pPr>
      <w:rPr>
        <w:rFonts w:cs="Times New Roman"/>
      </w:rPr>
    </w:lvl>
  </w:abstractNum>
  <w:abstractNum w:abstractNumId="1">
    <w:nsid w:val="3BBA7DE2"/>
    <w:multiLevelType w:val="hybridMultilevel"/>
    <w:tmpl w:val="527AABA2"/>
    <w:lvl w:ilvl="0" w:tplc="FC1A0092">
      <w:start w:val="1"/>
      <w:numFmt w:val="decimal"/>
      <w:lvlText w:val="%1."/>
      <w:lvlJc w:val="left"/>
      <w:pPr>
        <w:tabs>
          <w:tab w:val="num" w:pos="1260"/>
        </w:tabs>
        <w:ind w:left="1260" w:hanging="360"/>
      </w:pPr>
      <w:rPr>
        <w:rFonts w:ascii="Cambria" w:hAnsi="Cambria"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DC61D90"/>
    <w:multiLevelType w:val="hybridMultilevel"/>
    <w:tmpl w:val="18829E1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C86020B"/>
    <w:multiLevelType w:val="hybridMultilevel"/>
    <w:tmpl w:val="02ACE750"/>
    <w:lvl w:ilvl="0" w:tplc="828CAA02">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5C6"/>
    <w:rsid w:val="00101589"/>
    <w:rsid w:val="001A1A79"/>
    <w:rsid w:val="001C784D"/>
    <w:rsid w:val="001E04CD"/>
    <w:rsid w:val="00220443"/>
    <w:rsid w:val="002A6791"/>
    <w:rsid w:val="002D3DDF"/>
    <w:rsid w:val="003547CE"/>
    <w:rsid w:val="00366749"/>
    <w:rsid w:val="003D5C73"/>
    <w:rsid w:val="004A135E"/>
    <w:rsid w:val="005E0572"/>
    <w:rsid w:val="006206C9"/>
    <w:rsid w:val="006E3083"/>
    <w:rsid w:val="00712494"/>
    <w:rsid w:val="00804A08"/>
    <w:rsid w:val="00840039"/>
    <w:rsid w:val="008757ED"/>
    <w:rsid w:val="008823D2"/>
    <w:rsid w:val="009B7B3A"/>
    <w:rsid w:val="009D31A5"/>
    <w:rsid w:val="009F0722"/>
    <w:rsid w:val="00A005C6"/>
    <w:rsid w:val="00A10492"/>
    <w:rsid w:val="00A13EA3"/>
    <w:rsid w:val="00A71C4E"/>
    <w:rsid w:val="00A82E2F"/>
    <w:rsid w:val="00AF717E"/>
    <w:rsid w:val="00B00832"/>
    <w:rsid w:val="00B63524"/>
    <w:rsid w:val="00B83452"/>
    <w:rsid w:val="00C026DA"/>
    <w:rsid w:val="00CD09D4"/>
    <w:rsid w:val="00CD4361"/>
    <w:rsid w:val="00D050EC"/>
    <w:rsid w:val="00E433E8"/>
    <w:rsid w:val="00E86C5D"/>
    <w:rsid w:val="00F37DA2"/>
    <w:rsid w:val="00FB73A2"/>
    <w:rsid w:val="00FF72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Batang"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qFormat/>
    <w:rsid w:val="00A005C6"/>
    <w:pPr>
      <w:keepNext/>
      <w:numPr>
        <w:numId w:val="1"/>
      </w:numPr>
      <w:spacing w:after="0" w:line="240" w:lineRule="auto"/>
      <w:outlineLvl w:val="0"/>
    </w:pPr>
    <w:rPr>
      <w:rFonts w:ascii="Cambria" w:eastAsia="Times New Roman" w:hAnsi="Cambria"/>
      <w:b/>
      <w:bCs/>
      <w:color w:val="365F91"/>
      <w:sz w:val="20"/>
      <w:szCs w:val="28"/>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A005C6"/>
    <w:rPr>
      <w:rFonts w:ascii="Cambria" w:eastAsia="Times New Roman" w:hAnsi="Cambria"/>
      <w:b/>
      <w:bCs/>
      <w:color w:val="365F91"/>
      <w:szCs w:val="28"/>
      <w:bdr w:val="nil"/>
    </w:rPr>
  </w:style>
  <w:style w:type="paragraph" w:styleId="Encabezado">
    <w:name w:val="header"/>
    <w:basedOn w:val="Normal"/>
    <w:link w:val="EncabezadoCar"/>
    <w:unhideWhenUsed/>
    <w:rsid w:val="00A005C6"/>
    <w:pPr>
      <w:tabs>
        <w:tab w:val="center" w:pos="4680"/>
        <w:tab w:val="right" w:pos="9360"/>
      </w:tabs>
      <w:spacing w:after="0" w:line="240" w:lineRule="auto"/>
    </w:pPr>
    <w:rPr>
      <w:rFonts w:eastAsia="MS Mincho"/>
    </w:rPr>
  </w:style>
  <w:style w:type="character" w:customStyle="1" w:styleId="EncabezadoCar">
    <w:name w:val="Encabezado Car"/>
    <w:link w:val="Encabezado"/>
    <w:rsid w:val="00A005C6"/>
    <w:rPr>
      <w:rFonts w:eastAsia="MS Mincho"/>
      <w:sz w:val="22"/>
      <w:szCs w:val="22"/>
    </w:rPr>
  </w:style>
  <w:style w:type="paragraph" w:styleId="Piedepgina">
    <w:name w:val="footer"/>
    <w:basedOn w:val="Normal"/>
    <w:link w:val="PiedepginaCar"/>
    <w:unhideWhenUsed/>
    <w:rsid w:val="00A005C6"/>
    <w:pPr>
      <w:tabs>
        <w:tab w:val="center" w:pos="4680"/>
        <w:tab w:val="right" w:pos="9360"/>
      </w:tabs>
      <w:spacing w:after="0" w:line="240" w:lineRule="auto"/>
    </w:pPr>
    <w:rPr>
      <w:rFonts w:eastAsia="MS Mincho"/>
    </w:rPr>
  </w:style>
  <w:style w:type="character" w:customStyle="1" w:styleId="PiedepginaCar">
    <w:name w:val="Pie de página Car"/>
    <w:link w:val="Piedepgina"/>
    <w:rsid w:val="00A005C6"/>
    <w:rPr>
      <w:rFonts w:eastAsia="MS Mincho"/>
      <w:sz w:val="22"/>
      <w:szCs w:val="22"/>
    </w:rPr>
  </w:style>
  <w:style w:type="paragraph" w:styleId="Prrafodelista">
    <w:name w:val="List Paragraph"/>
    <w:link w:val="PrrafodelistaCar"/>
    <w:uiPriority w:val="34"/>
    <w:qFormat/>
    <w:rsid w:val="00A005C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paragraph" w:styleId="Textoindependiente3">
    <w:name w:val="Body Text 3"/>
    <w:basedOn w:val="Normal"/>
    <w:link w:val="Textoindependiente3Car"/>
    <w:uiPriority w:val="99"/>
    <w:semiHidden/>
    <w:unhideWhenUsed/>
    <w:rsid w:val="00A005C6"/>
    <w:pPr>
      <w:spacing w:after="120"/>
    </w:pPr>
    <w:rPr>
      <w:sz w:val="16"/>
      <w:szCs w:val="16"/>
      <w:lang w:val="es-US"/>
    </w:rPr>
  </w:style>
  <w:style w:type="character" w:customStyle="1" w:styleId="Textoindependiente3Car">
    <w:name w:val="Texto independiente 3 Car"/>
    <w:link w:val="Textoindependiente3"/>
    <w:uiPriority w:val="99"/>
    <w:semiHidden/>
    <w:rsid w:val="00A005C6"/>
    <w:rPr>
      <w:sz w:val="16"/>
      <w:szCs w:val="16"/>
      <w:lang w:val="es-US"/>
    </w:rPr>
  </w:style>
  <w:style w:type="paragraph" w:styleId="Textosinformato">
    <w:name w:val="Plain Text"/>
    <w:basedOn w:val="Normal"/>
    <w:link w:val="TextosinformatoCar"/>
    <w:uiPriority w:val="99"/>
    <w:semiHidden/>
    <w:unhideWhenUsed/>
    <w:rsid w:val="00A005C6"/>
    <w:pPr>
      <w:spacing w:after="0" w:line="240" w:lineRule="auto"/>
    </w:pPr>
    <w:rPr>
      <w:szCs w:val="21"/>
    </w:rPr>
  </w:style>
  <w:style w:type="character" w:customStyle="1" w:styleId="TextosinformatoCar">
    <w:name w:val="Texto sin formato Car"/>
    <w:link w:val="Textosinformato"/>
    <w:uiPriority w:val="99"/>
    <w:semiHidden/>
    <w:rsid w:val="00A005C6"/>
    <w:rPr>
      <w:sz w:val="22"/>
      <w:szCs w:val="21"/>
    </w:rPr>
  </w:style>
  <w:style w:type="character" w:customStyle="1" w:styleId="PrrafodelistaCar">
    <w:name w:val="Párrafo de lista Car"/>
    <w:link w:val="Prrafodelista"/>
    <w:uiPriority w:val="34"/>
    <w:locked/>
    <w:rsid w:val="006E3083"/>
    <w:rPr>
      <w:rFonts w:ascii="Cambria" w:eastAsia="Cambria" w:hAnsi="Cambria" w:cs="Cambria"/>
      <w:color w:val="000000"/>
      <w:sz w:val="24"/>
      <w:szCs w:val="24"/>
      <w:u w:color="000000"/>
      <w:bdr w:val="nil"/>
      <w:lang w:eastAsia="es-ES"/>
    </w:rPr>
  </w:style>
  <w:style w:type="character" w:styleId="Hipervnculo">
    <w:name w:val="Hyperlink"/>
    <w:uiPriority w:val="99"/>
    <w:semiHidden/>
    <w:unhideWhenUsed/>
    <w:rsid w:val="00E433E8"/>
    <w:rPr>
      <w:color w:val="0000FF"/>
      <w:u w:val="single"/>
    </w:rPr>
  </w:style>
  <w:style w:type="paragraph" w:styleId="Textodeglobo">
    <w:name w:val="Balloon Text"/>
    <w:basedOn w:val="Normal"/>
    <w:link w:val="TextodegloboCar"/>
    <w:uiPriority w:val="99"/>
    <w:semiHidden/>
    <w:unhideWhenUsed/>
    <w:rsid w:val="00AF71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717E"/>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Batang"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qFormat/>
    <w:rsid w:val="00A005C6"/>
    <w:pPr>
      <w:keepNext/>
      <w:numPr>
        <w:numId w:val="1"/>
      </w:numPr>
      <w:spacing w:after="0" w:line="240" w:lineRule="auto"/>
      <w:outlineLvl w:val="0"/>
    </w:pPr>
    <w:rPr>
      <w:rFonts w:ascii="Cambria" w:eastAsia="Times New Roman" w:hAnsi="Cambria"/>
      <w:b/>
      <w:bCs/>
      <w:color w:val="365F91"/>
      <w:sz w:val="20"/>
      <w:szCs w:val="28"/>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A005C6"/>
    <w:rPr>
      <w:rFonts w:ascii="Cambria" w:eastAsia="Times New Roman" w:hAnsi="Cambria"/>
      <w:b/>
      <w:bCs/>
      <w:color w:val="365F91"/>
      <w:szCs w:val="28"/>
      <w:bdr w:val="nil"/>
    </w:rPr>
  </w:style>
  <w:style w:type="paragraph" w:styleId="Encabezado">
    <w:name w:val="header"/>
    <w:basedOn w:val="Normal"/>
    <w:link w:val="EncabezadoCar"/>
    <w:unhideWhenUsed/>
    <w:rsid w:val="00A005C6"/>
    <w:pPr>
      <w:tabs>
        <w:tab w:val="center" w:pos="4680"/>
        <w:tab w:val="right" w:pos="9360"/>
      </w:tabs>
      <w:spacing w:after="0" w:line="240" w:lineRule="auto"/>
    </w:pPr>
    <w:rPr>
      <w:rFonts w:eastAsia="MS Mincho"/>
    </w:rPr>
  </w:style>
  <w:style w:type="character" w:customStyle="1" w:styleId="EncabezadoCar">
    <w:name w:val="Encabezado Car"/>
    <w:link w:val="Encabezado"/>
    <w:rsid w:val="00A005C6"/>
    <w:rPr>
      <w:rFonts w:eastAsia="MS Mincho"/>
      <w:sz w:val="22"/>
      <w:szCs w:val="22"/>
    </w:rPr>
  </w:style>
  <w:style w:type="paragraph" w:styleId="Piedepgina">
    <w:name w:val="footer"/>
    <w:basedOn w:val="Normal"/>
    <w:link w:val="PiedepginaCar"/>
    <w:unhideWhenUsed/>
    <w:rsid w:val="00A005C6"/>
    <w:pPr>
      <w:tabs>
        <w:tab w:val="center" w:pos="4680"/>
        <w:tab w:val="right" w:pos="9360"/>
      </w:tabs>
      <w:spacing w:after="0" w:line="240" w:lineRule="auto"/>
    </w:pPr>
    <w:rPr>
      <w:rFonts w:eastAsia="MS Mincho"/>
    </w:rPr>
  </w:style>
  <w:style w:type="character" w:customStyle="1" w:styleId="PiedepginaCar">
    <w:name w:val="Pie de página Car"/>
    <w:link w:val="Piedepgina"/>
    <w:rsid w:val="00A005C6"/>
    <w:rPr>
      <w:rFonts w:eastAsia="MS Mincho"/>
      <w:sz w:val="22"/>
      <w:szCs w:val="22"/>
    </w:rPr>
  </w:style>
  <w:style w:type="paragraph" w:styleId="Prrafodelista">
    <w:name w:val="List Paragraph"/>
    <w:link w:val="PrrafodelistaCar"/>
    <w:uiPriority w:val="34"/>
    <w:qFormat/>
    <w:rsid w:val="00A005C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paragraph" w:styleId="Textoindependiente3">
    <w:name w:val="Body Text 3"/>
    <w:basedOn w:val="Normal"/>
    <w:link w:val="Textoindependiente3Car"/>
    <w:uiPriority w:val="99"/>
    <w:semiHidden/>
    <w:unhideWhenUsed/>
    <w:rsid w:val="00A005C6"/>
    <w:pPr>
      <w:spacing w:after="120"/>
    </w:pPr>
    <w:rPr>
      <w:sz w:val="16"/>
      <w:szCs w:val="16"/>
      <w:lang w:val="es-US"/>
    </w:rPr>
  </w:style>
  <w:style w:type="character" w:customStyle="1" w:styleId="Textoindependiente3Car">
    <w:name w:val="Texto independiente 3 Car"/>
    <w:link w:val="Textoindependiente3"/>
    <w:uiPriority w:val="99"/>
    <w:semiHidden/>
    <w:rsid w:val="00A005C6"/>
    <w:rPr>
      <w:sz w:val="16"/>
      <w:szCs w:val="16"/>
      <w:lang w:val="es-US"/>
    </w:rPr>
  </w:style>
  <w:style w:type="paragraph" w:styleId="Textosinformato">
    <w:name w:val="Plain Text"/>
    <w:basedOn w:val="Normal"/>
    <w:link w:val="TextosinformatoCar"/>
    <w:uiPriority w:val="99"/>
    <w:semiHidden/>
    <w:unhideWhenUsed/>
    <w:rsid w:val="00A005C6"/>
    <w:pPr>
      <w:spacing w:after="0" w:line="240" w:lineRule="auto"/>
    </w:pPr>
    <w:rPr>
      <w:szCs w:val="21"/>
    </w:rPr>
  </w:style>
  <w:style w:type="character" w:customStyle="1" w:styleId="TextosinformatoCar">
    <w:name w:val="Texto sin formato Car"/>
    <w:link w:val="Textosinformato"/>
    <w:uiPriority w:val="99"/>
    <w:semiHidden/>
    <w:rsid w:val="00A005C6"/>
    <w:rPr>
      <w:sz w:val="22"/>
      <w:szCs w:val="21"/>
    </w:rPr>
  </w:style>
  <w:style w:type="character" w:customStyle="1" w:styleId="PrrafodelistaCar">
    <w:name w:val="Párrafo de lista Car"/>
    <w:link w:val="Prrafodelista"/>
    <w:uiPriority w:val="34"/>
    <w:locked/>
    <w:rsid w:val="006E3083"/>
    <w:rPr>
      <w:rFonts w:ascii="Cambria" w:eastAsia="Cambria" w:hAnsi="Cambria" w:cs="Cambria"/>
      <w:color w:val="000000"/>
      <w:sz w:val="24"/>
      <w:szCs w:val="24"/>
      <w:u w:color="000000"/>
      <w:bdr w:val="nil"/>
      <w:lang w:eastAsia="es-ES"/>
    </w:rPr>
  </w:style>
  <w:style w:type="character" w:styleId="Hipervnculo">
    <w:name w:val="Hyperlink"/>
    <w:uiPriority w:val="99"/>
    <w:semiHidden/>
    <w:unhideWhenUsed/>
    <w:rsid w:val="00E433E8"/>
    <w:rPr>
      <w:color w:val="0000FF"/>
      <w:u w:val="single"/>
    </w:rPr>
  </w:style>
  <w:style w:type="paragraph" w:styleId="Textodeglobo">
    <w:name w:val="Balloon Text"/>
    <w:basedOn w:val="Normal"/>
    <w:link w:val="TextodegloboCar"/>
    <w:uiPriority w:val="99"/>
    <w:semiHidden/>
    <w:unhideWhenUsed/>
    <w:rsid w:val="00AF71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717E"/>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213700">
      <w:bodyDiv w:val="1"/>
      <w:marLeft w:val="0"/>
      <w:marRight w:val="0"/>
      <w:marTop w:val="0"/>
      <w:marBottom w:val="0"/>
      <w:divBdr>
        <w:top w:val="none" w:sz="0" w:space="0" w:color="auto"/>
        <w:left w:val="none" w:sz="0" w:space="0" w:color="auto"/>
        <w:bottom w:val="none" w:sz="0" w:space="0" w:color="auto"/>
        <w:right w:val="none" w:sz="0" w:space="0" w:color="auto"/>
      </w:divBdr>
    </w:div>
    <w:div w:id="1013843854">
      <w:bodyDiv w:val="1"/>
      <w:marLeft w:val="0"/>
      <w:marRight w:val="0"/>
      <w:marTop w:val="0"/>
      <w:marBottom w:val="0"/>
      <w:divBdr>
        <w:top w:val="none" w:sz="0" w:space="0" w:color="auto"/>
        <w:left w:val="none" w:sz="0" w:space="0" w:color="auto"/>
        <w:bottom w:val="none" w:sz="0" w:space="0" w:color="auto"/>
        <w:right w:val="none" w:sz="0" w:space="0" w:color="auto"/>
      </w:divBdr>
    </w:div>
    <w:div w:id="176580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BEF61-9AE8-40C9-A10D-E7716B37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1923</Words>
  <Characters>10581</Characters>
  <Application>Microsoft Office Word</Application>
  <DocSecurity>0</DocSecurity>
  <Lines>88</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2017-11-06T18:59:00Z</cp:lastPrinted>
  <dcterms:created xsi:type="dcterms:W3CDTF">2017-11-06T18:59:00Z</dcterms:created>
  <dcterms:modified xsi:type="dcterms:W3CDTF">2017-11-06T18:59:00Z</dcterms:modified>
</cp:coreProperties>
</file>