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E51" w:rsidRPr="00155FD0" w:rsidRDefault="00A36ED5" w:rsidP="00490E51">
      <w:pPr>
        <w:suppressAutoHyphens/>
        <w:spacing w:after="0" w:line="240" w:lineRule="auto"/>
        <w:ind w:left="5760" w:firstLine="720"/>
        <w:rPr>
          <w:rFonts w:ascii="Cambria" w:hAnsi="Cambria" w:cs="Arial"/>
          <w:b/>
          <w:lang w:val="es-CO"/>
        </w:rPr>
      </w:pPr>
      <w:bookmarkStart w:id="0" w:name="_GoBack"/>
      <w:bookmarkEnd w:id="0"/>
      <w:r w:rsidRPr="00155FD0">
        <w:rPr>
          <w:rFonts w:ascii="Cambria" w:hAnsi="Cambria" w:cs="Arial"/>
          <w:lang w:val="es-CO"/>
        </w:rPr>
        <w:t xml:space="preserve">   </w:t>
      </w:r>
      <w:r w:rsidRPr="00155FD0">
        <w:rPr>
          <w:rFonts w:ascii="Cambria" w:hAnsi="Cambria" w:cs="Arial"/>
          <w:lang w:val="es-CO"/>
        </w:rPr>
        <w:tab/>
        <w:t xml:space="preserve">    15 </w:t>
      </w:r>
      <w:r w:rsidR="00490E51" w:rsidRPr="00155FD0">
        <w:rPr>
          <w:rFonts w:ascii="Cambria" w:hAnsi="Cambria" w:cs="Arial"/>
          <w:lang w:val="es-CO"/>
        </w:rPr>
        <w:t xml:space="preserve">de </w:t>
      </w:r>
      <w:r w:rsidR="006E6070" w:rsidRPr="00155FD0">
        <w:rPr>
          <w:rFonts w:ascii="Cambria" w:hAnsi="Cambria" w:cs="Arial"/>
          <w:lang w:val="es-CO"/>
        </w:rPr>
        <w:t>ma</w:t>
      </w:r>
      <w:r w:rsidRPr="00155FD0">
        <w:rPr>
          <w:rFonts w:ascii="Cambria" w:hAnsi="Cambria" w:cs="Arial"/>
          <w:lang w:val="es-CO"/>
        </w:rPr>
        <w:t xml:space="preserve">rzo </w:t>
      </w:r>
      <w:r w:rsidR="00490E51" w:rsidRPr="00155FD0">
        <w:rPr>
          <w:rFonts w:ascii="Cambria" w:hAnsi="Cambria" w:cs="Arial"/>
          <w:lang w:val="es-CO"/>
        </w:rPr>
        <w:t>de 201</w:t>
      </w:r>
      <w:r w:rsidRPr="00155FD0">
        <w:rPr>
          <w:rFonts w:ascii="Cambria" w:hAnsi="Cambria" w:cs="Arial"/>
          <w:lang w:val="es-CO"/>
        </w:rPr>
        <w:t>7</w:t>
      </w:r>
    </w:p>
    <w:p w:rsidR="006E6070" w:rsidRPr="00155FD0" w:rsidRDefault="006E6070" w:rsidP="00490E51">
      <w:pPr>
        <w:widowControl w:val="0"/>
        <w:autoSpaceDE w:val="0"/>
        <w:autoSpaceDN w:val="0"/>
        <w:adjustRightInd w:val="0"/>
        <w:spacing w:after="0" w:line="240" w:lineRule="auto"/>
        <w:jc w:val="both"/>
        <w:rPr>
          <w:rFonts w:ascii="Cambria" w:hAnsi="Cambria" w:cs="Arial"/>
          <w:b/>
          <w:lang w:val="es-CO"/>
        </w:rPr>
      </w:pPr>
    </w:p>
    <w:p w:rsidR="00457863" w:rsidRPr="00155FD0" w:rsidRDefault="00457863" w:rsidP="00490E51">
      <w:pPr>
        <w:widowControl w:val="0"/>
        <w:autoSpaceDE w:val="0"/>
        <w:autoSpaceDN w:val="0"/>
        <w:adjustRightInd w:val="0"/>
        <w:spacing w:after="0" w:line="240" w:lineRule="auto"/>
        <w:jc w:val="both"/>
        <w:rPr>
          <w:rFonts w:ascii="Cambria" w:hAnsi="Cambria" w:cs="Arial"/>
          <w:b/>
          <w:lang w:val="es-CO"/>
        </w:rPr>
      </w:pPr>
    </w:p>
    <w:p w:rsidR="00490E51" w:rsidRPr="00155FD0" w:rsidRDefault="00490E51" w:rsidP="00490E51">
      <w:pPr>
        <w:widowControl w:val="0"/>
        <w:autoSpaceDE w:val="0"/>
        <w:autoSpaceDN w:val="0"/>
        <w:adjustRightInd w:val="0"/>
        <w:spacing w:after="0" w:line="240" w:lineRule="auto"/>
        <w:jc w:val="both"/>
        <w:rPr>
          <w:rFonts w:ascii="Cambria" w:hAnsi="Cambria" w:cs="Arial"/>
          <w:b/>
          <w:lang w:val="es-CO"/>
        </w:rPr>
      </w:pPr>
      <w:r w:rsidRPr="00155FD0">
        <w:rPr>
          <w:rFonts w:ascii="Cambria" w:hAnsi="Cambria" w:cs="Arial"/>
          <w:b/>
          <w:lang w:val="es-CO"/>
        </w:rPr>
        <w:t>Ref.:</w:t>
      </w:r>
      <w:bookmarkStart w:id="1" w:name="Peticion_n"/>
      <w:bookmarkEnd w:id="1"/>
      <w:r w:rsidRPr="00155FD0">
        <w:rPr>
          <w:rFonts w:ascii="Cambria" w:hAnsi="Cambria" w:cs="Arial"/>
          <w:b/>
          <w:lang w:val="es-CO"/>
        </w:rPr>
        <w:tab/>
        <w:t>Caso</w:t>
      </w:r>
      <w:r w:rsidR="006E6070" w:rsidRPr="00155FD0">
        <w:rPr>
          <w:rFonts w:ascii="Cambria" w:hAnsi="Cambria" w:cs="Arial"/>
          <w:b/>
          <w:lang w:val="es-CO"/>
        </w:rPr>
        <w:t xml:space="preserve"> 11.</w:t>
      </w:r>
      <w:r w:rsidR="00A36ED5" w:rsidRPr="00155FD0">
        <w:rPr>
          <w:rFonts w:ascii="Cambria" w:hAnsi="Cambria" w:cs="Arial"/>
          <w:b/>
          <w:lang w:val="es-CO"/>
        </w:rPr>
        <w:t>388</w:t>
      </w:r>
    </w:p>
    <w:p w:rsidR="00490E51" w:rsidRPr="00155FD0" w:rsidRDefault="00A36ED5" w:rsidP="006E6070">
      <w:pPr>
        <w:widowControl w:val="0"/>
        <w:autoSpaceDE w:val="0"/>
        <w:autoSpaceDN w:val="0"/>
        <w:adjustRightInd w:val="0"/>
        <w:spacing w:after="0" w:line="240" w:lineRule="auto"/>
        <w:ind w:left="720"/>
        <w:jc w:val="both"/>
        <w:rPr>
          <w:rFonts w:ascii="Cambria" w:hAnsi="Cambria" w:cs="Arial"/>
          <w:b/>
          <w:lang w:val="es-CR"/>
        </w:rPr>
      </w:pPr>
      <w:r w:rsidRPr="00155FD0">
        <w:rPr>
          <w:rFonts w:ascii="Cambria" w:hAnsi="Cambria" w:cs="Arial"/>
          <w:b/>
          <w:lang w:val="es-CO"/>
        </w:rPr>
        <w:t>María Eugenia Villaseñor</w:t>
      </w:r>
      <w:r w:rsidR="006E6070" w:rsidRPr="00155FD0">
        <w:rPr>
          <w:rFonts w:ascii="Cambria" w:hAnsi="Cambria" w:cs="Arial"/>
          <w:b/>
          <w:lang w:val="es-CO"/>
        </w:rPr>
        <w:t xml:space="preserve"> y otros </w:t>
      </w:r>
    </w:p>
    <w:p w:rsidR="00490E51" w:rsidRPr="00155FD0" w:rsidRDefault="00A36ED5" w:rsidP="00490E51">
      <w:pPr>
        <w:tabs>
          <w:tab w:val="left" w:pos="720"/>
          <w:tab w:val="center" w:pos="6480"/>
        </w:tabs>
        <w:spacing w:after="0" w:line="240" w:lineRule="auto"/>
        <w:ind w:left="720"/>
        <w:jc w:val="both"/>
        <w:rPr>
          <w:rFonts w:ascii="Cambria" w:hAnsi="Cambria" w:cs="Arial"/>
          <w:b/>
          <w:lang w:val="es-ES_tradnl"/>
        </w:rPr>
      </w:pPr>
      <w:r w:rsidRPr="00155FD0">
        <w:rPr>
          <w:rFonts w:ascii="Cambria" w:hAnsi="Cambria" w:cs="Arial"/>
          <w:b/>
          <w:lang w:val="es-CR"/>
        </w:rPr>
        <w:t>Guatemala</w:t>
      </w:r>
      <w:r w:rsidR="00490E51" w:rsidRPr="00155FD0">
        <w:rPr>
          <w:rFonts w:ascii="Cambria" w:hAnsi="Cambria" w:cs="Arial"/>
          <w:b/>
          <w:lang w:val="es-ES_tradnl"/>
        </w:rPr>
        <w:t xml:space="preserve"> </w:t>
      </w:r>
    </w:p>
    <w:p w:rsidR="00490E51" w:rsidRPr="00155FD0" w:rsidRDefault="00490E51" w:rsidP="00490E51">
      <w:pPr>
        <w:tabs>
          <w:tab w:val="left" w:pos="720"/>
          <w:tab w:val="center" w:pos="6480"/>
        </w:tabs>
        <w:spacing w:after="0" w:line="240" w:lineRule="auto"/>
        <w:jc w:val="both"/>
        <w:rPr>
          <w:rFonts w:ascii="Cambria" w:hAnsi="Cambria" w:cs="Arial"/>
          <w:lang w:val="es-PE"/>
        </w:rPr>
      </w:pPr>
    </w:p>
    <w:p w:rsidR="00490E51" w:rsidRPr="00155FD0" w:rsidRDefault="00490E51" w:rsidP="00490E51">
      <w:pPr>
        <w:tabs>
          <w:tab w:val="left" w:pos="720"/>
          <w:tab w:val="center" w:pos="6480"/>
        </w:tabs>
        <w:spacing w:after="0" w:line="240" w:lineRule="auto"/>
        <w:jc w:val="both"/>
        <w:rPr>
          <w:rFonts w:ascii="Cambria" w:hAnsi="Cambria" w:cs="Arial"/>
          <w:lang w:val="es-PE"/>
        </w:rPr>
      </w:pPr>
      <w:r w:rsidRPr="00155FD0">
        <w:rPr>
          <w:rFonts w:ascii="Cambria" w:hAnsi="Cambria" w:cs="Arial"/>
          <w:lang w:val="es-PE"/>
        </w:rPr>
        <w:t>Señor Secretario:</w:t>
      </w:r>
    </w:p>
    <w:p w:rsidR="00490E51" w:rsidRPr="00155FD0" w:rsidRDefault="00490E51" w:rsidP="00490E51">
      <w:pPr>
        <w:spacing w:after="0" w:line="240" w:lineRule="auto"/>
        <w:rPr>
          <w:rFonts w:ascii="Cambria" w:hAnsi="Cambria" w:cs="Arial"/>
          <w:lang w:val="es-CO"/>
        </w:rPr>
      </w:pPr>
    </w:p>
    <w:p w:rsidR="00490E51" w:rsidRPr="00155FD0" w:rsidRDefault="00490E51" w:rsidP="00490E51">
      <w:pPr>
        <w:widowControl w:val="0"/>
        <w:autoSpaceDE w:val="0"/>
        <w:autoSpaceDN w:val="0"/>
        <w:adjustRightInd w:val="0"/>
        <w:spacing w:after="0" w:line="240" w:lineRule="auto"/>
        <w:ind w:firstLine="720"/>
        <w:jc w:val="both"/>
        <w:rPr>
          <w:rFonts w:ascii="Cambria" w:hAnsi="Cambria" w:cs="Arial"/>
          <w:lang w:val="es-CO"/>
        </w:rPr>
      </w:pPr>
      <w:r w:rsidRPr="00155FD0">
        <w:rPr>
          <w:rFonts w:ascii="Cambria" w:hAnsi="Cambria"/>
          <w:lang w:val="es-CO"/>
        </w:rPr>
        <w:t>Tengo el agrado de dirigirme a usted en nombre de la Comisión Interamericana de Derechos Humanos</w:t>
      </w:r>
      <w:r w:rsidR="0021017B" w:rsidRPr="00155FD0">
        <w:rPr>
          <w:rFonts w:ascii="Cambria" w:hAnsi="Cambria"/>
          <w:lang w:val="es-CO"/>
        </w:rPr>
        <w:t xml:space="preserve"> (en adelante “la Comisión Interamericana”, “la Comisión” o “la CIDH”)</w:t>
      </w:r>
      <w:r w:rsidRPr="00155FD0">
        <w:rPr>
          <w:rFonts w:ascii="Cambria" w:hAnsi="Cambria"/>
          <w:lang w:val="es-CO"/>
        </w:rPr>
        <w:t xml:space="preserve"> con el objeto</w:t>
      </w:r>
      <w:r w:rsidRPr="00155FD0">
        <w:rPr>
          <w:rFonts w:ascii="Cambria" w:hAnsi="Cambria" w:cs="Arial"/>
          <w:lang w:val="es-CO"/>
        </w:rPr>
        <w:t xml:space="preserve"> de someter a la jurisdicción de la Honorable Corte Interamericana de Derechos Humanos</w:t>
      </w:r>
      <w:r w:rsidR="0033216C" w:rsidRPr="00155FD0">
        <w:rPr>
          <w:rFonts w:ascii="Cambria" w:hAnsi="Cambria" w:cs="Arial"/>
          <w:lang w:val="es-CO"/>
        </w:rPr>
        <w:t xml:space="preserve"> (“la Corte Interamericana” o “la Corte”)</w:t>
      </w:r>
      <w:r w:rsidR="00F65763" w:rsidRPr="00155FD0">
        <w:rPr>
          <w:rFonts w:ascii="Cambria" w:hAnsi="Cambria" w:cs="Arial"/>
          <w:lang w:val="es-CO"/>
        </w:rPr>
        <w:t>,</w:t>
      </w:r>
      <w:r w:rsidRPr="00155FD0">
        <w:rPr>
          <w:rFonts w:ascii="Cambria" w:hAnsi="Cambria" w:cs="Arial"/>
          <w:lang w:val="es-CO"/>
        </w:rPr>
        <w:t xml:space="preserve"> </w:t>
      </w:r>
      <w:r w:rsidR="006E6070" w:rsidRPr="00155FD0">
        <w:rPr>
          <w:rFonts w:ascii="Cambria" w:hAnsi="Cambria" w:cs="Arial"/>
          <w:lang w:val="es-CO"/>
        </w:rPr>
        <w:t>el caso 11.</w:t>
      </w:r>
      <w:r w:rsidR="000C75D9" w:rsidRPr="00155FD0">
        <w:rPr>
          <w:rFonts w:ascii="Cambria" w:hAnsi="Cambria" w:cs="Arial"/>
          <w:lang w:val="es-CO"/>
        </w:rPr>
        <w:t>388</w:t>
      </w:r>
      <w:r w:rsidRPr="00155FD0">
        <w:rPr>
          <w:rFonts w:ascii="Cambria" w:hAnsi="Cambria" w:cs="Arial"/>
          <w:lang w:val="es-CO"/>
        </w:rPr>
        <w:t xml:space="preserve"> – </w:t>
      </w:r>
      <w:r w:rsidR="000C75D9" w:rsidRPr="00155FD0">
        <w:rPr>
          <w:rFonts w:ascii="Cambria" w:hAnsi="Cambria" w:cs="Arial"/>
          <w:lang w:val="es-CO"/>
        </w:rPr>
        <w:t>María Eugenia Villaseñor y otros</w:t>
      </w:r>
      <w:r w:rsidR="006E6070" w:rsidRPr="00155FD0">
        <w:rPr>
          <w:rFonts w:ascii="Cambria" w:hAnsi="Cambria" w:cs="Arial"/>
          <w:lang w:val="es-CO"/>
        </w:rPr>
        <w:t xml:space="preserve"> </w:t>
      </w:r>
      <w:r w:rsidRPr="00155FD0">
        <w:rPr>
          <w:rFonts w:ascii="Cambria" w:hAnsi="Cambria" w:cs="Arial"/>
          <w:lang w:val="es-CO"/>
        </w:rPr>
        <w:t xml:space="preserve">respecto de la República de </w:t>
      </w:r>
      <w:r w:rsidR="000C75D9" w:rsidRPr="00155FD0">
        <w:rPr>
          <w:rFonts w:ascii="Cambria" w:hAnsi="Cambria" w:cs="Arial"/>
          <w:lang w:val="es-CO"/>
        </w:rPr>
        <w:t>Guatemala</w:t>
      </w:r>
      <w:r w:rsidRPr="00155FD0">
        <w:rPr>
          <w:rFonts w:ascii="Cambria" w:hAnsi="Cambria" w:cs="Arial"/>
          <w:lang w:val="es-CO"/>
        </w:rPr>
        <w:t xml:space="preserve"> (en adelante “el Estado”, “el Estado </w:t>
      </w:r>
      <w:r w:rsidR="000C75D9" w:rsidRPr="00155FD0">
        <w:rPr>
          <w:rFonts w:ascii="Cambria" w:hAnsi="Cambria" w:cs="Arial"/>
          <w:lang w:val="es-CO"/>
        </w:rPr>
        <w:t>guatemalteco</w:t>
      </w:r>
      <w:r w:rsidRPr="00155FD0">
        <w:rPr>
          <w:rFonts w:ascii="Cambria" w:hAnsi="Cambria" w:cs="Arial"/>
          <w:lang w:val="es-CO"/>
        </w:rPr>
        <w:t>” o “</w:t>
      </w:r>
      <w:r w:rsidR="000C75D9" w:rsidRPr="00155FD0">
        <w:rPr>
          <w:rFonts w:ascii="Cambria" w:hAnsi="Cambria" w:cs="Arial"/>
          <w:lang w:val="es-CO"/>
        </w:rPr>
        <w:t>Guatemala</w:t>
      </w:r>
      <w:r w:rsidRPr="00155FD0">
        <w:rPr>
          <w:rFonts w:ascii="Cambria" w:hAnsi="Cambria" w:cs="Arial"/>
          <w:lang w:val="es-CO"/>
        </w:rPr>
        <w:t xml:space="preserve">”). </w:t>
      </w:r>
    </w:p>
    <w:p w:rsidR="00490E51" w:rsidRPr="00155FD0" w:rsidRDefault="00490E51" w:rsidP="00490E51">
      <w:pPr>
        <w:spacing w:after="0" w:line="240" w:lineRule="auto"/>
        <w:jc w:val="both"/>
        <w:rPr>
          <w:rFonts w:ascii="Cambria" w:hAnsi="Cambria" w:cs="Arial"/>
          <w:lang w:val="es-CO"/>
        </w:rPr>
      </w:pPr>
    </w:p>
    <w:p w:rsidR="0021017B" w:rsidRPr="00155FD0" w:rsidRDefault="0021017B" w:rsidP="0021017B">
      <w:pPr>
        <w:widowControl w:val="0"/>
        <w:autoSpaceDE w:val="0"/>
        <w:autoSpaceDN w:val="0"/>
        <w:adjustRightInd w:val="0"/>
        <w:spacing w:after="0" w:line="240" w:lineRule="auto"/>
        <w:ind w:firstLine="720"/>
        <w:jc w:val="both"/>
        <w:rPr>
          <w:rFonts w:ascii="Cambria" w:hAnsi="Cambria"/>
          <w:lang w:val="es-ES"/>
        </w:rPr>
      </w:pPr>
      <w:r w:rsidRPr="00155FD0">
        <w:rPr>
          <w:rFonts w:ascii="Cambria" w:hAnsi="Cambria"/>
          <w:lang w:val="es-ES"/>
        </w:rPr>
        <w:t xml:space="preserve">El caso se relaciona con una secuencia prolongada de amenazas, agresiones, hostigamientos e intimidación sufridas por María Eugenia Villaseñor en su calidad de jueza en Guatemala. La víctima participó en múltiples procesos judiciales entre los años 1991 y 2012, algunos de los cuales tuvieron impacto a nivel nacional e internacional. Uno de los casos conocidos por la señora Villaseñor fue el caso de Myrna Mack Chang, decidido por la Corte Interamericana. A lo largo de los años mencionados, la señora Villaseñor denunció a través de diversos medios que fue víctima de: i) allanamientos en su domicilio; ii) amenazas de muerte por vía telefónica, mensajes de texto o incluso de personas no identificadas fuera de su domicilio; iii) intento de secuestro a su hija, secuestro a uno de los agentes policiales que resguardaba su domicilio, golpiza a su hermana y fallecimiento de su sobrina producto de una envestida de un automóvil; iv) robos de información personal; v) intentos de ingreso a su vehículo, destrucción de llantas y cable telefónico; y vi) declaraciones y comunicaciones de personas no identificadas denigrando sobre su labor de jueza. La Comisión determinó que lo anterior tuvo lugar en un contexto de inseguridad de </w:t>
      </w:r>
      <w:r w:rsidR="008F60D0" w:rsidRPr="00155FD0">
        <w:rPr>
          <w:rFonts w:ascii="Cambria" w:hAnsi="Cambria"/>
          <w:lang w:val="es-ES"/>
        </w:rPr>
        <w:t>jueces y juezas</w:t>
      </w:r>
      <w:r w:rsidRPr="00155FD0">
        <w:rPr>
          <w:rFonts w:ascii="Cambria" w:hAnsi="Cambria"/>
          <w:lang w:val="es-ES"/>
        </w:rPr>
        <w:t xml:space="preserve"> en Guatemala, en particular relacionados con el conocimiento de casos de violaciones de derechos humanos cometidos por agentes estatales. </w:t>
      </w:r>
    </w:p>
    <w:p w:rsidR="0021017B" w:rsidRPr="00155FD0" w:rsidRDefault="0021017B" w:rsidP="0021017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MS Mincho" w:hAnsi="Cambria"/>
          <w:color w:val="auto"/>
          <w:sz w:val="22"/>
          <w:szCs w:val="22"/>
          <w:bdr w:val="none" w:sz="0" w:space="0" w:color="auto"/>
          <w:lang w:val="es-ES" w:eastAsia="en-US"/>
        </w:rPr>
      </w:pPr>
    </w:p>
    <w:p w:rsidR="0021017B" w:rsidRPr="00155FD0" w:rsidRDefault="0021017B" w:rsidP="00D4499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2"/>
          <w:szCs w:val="22"/>
          <w:lang w:val="es-ES"/>
        </w:rPr>
      </w:pPr>
      <w:r w:rsidRPr="00155FD0">
        <w:rPr>
          <w:rFonts w:ascii="Cambria" w:hAnsi="Cambria"/>
          <w:sz w:val="22"/>
          <w:szCs w:val="22"/>
          <w:lang w:val="es-ES"/>
        </w:rPr>
        <w:t>Las denuncias y la información en conocimiento del Estado sobre la situación de la señora Villaseñor, no fueron investigadas debidamente con la finalidad de identificar las fuentes de riesgo, contribuir a erradicarlas, individualizar a los responsables e imponer las sanciones correspondientes. La Comisión consideró que esta situación se vio agravada tomando en cuenta la participación de la señora Villaseñor como jueza, en el ejercicio de una función públic</w:t>
      </w:r>
      <w:r w:rsidR="005978F1" w:rsidRPr="00155FD0">
        <w:rPr>
          <w:rFonts w:ascii="Cambria" w:hAnsi="Cambria"/>
          <w:sz w:val="22"/>
          <w:szCs w:val="22"/>
          <w:lang w:val="es-ES"/>
        </w:rPr>
        <w:t xml:space="preserve">a, </w:t>
      </w:r>
      <w:r w:rsidRPr="00155FD0">
        <w:rPr>
          <w:rFonts w:ascii="Cambria" w:hAnsi="Cambria"/>
          <w:sz w:val="22"/>
          <w:szCs w:val="22"/>
          <w:lang w:val="es-ES"/>
        </w:rPr>
        <w:t xml:space="preserve">en distintos procesos relacionados con violaciones de derechos humanos o delitos patrimoniales supuestamente cometidos por agentes estatales, incluyendo agentes militares y policiales. A pesar de lo anterior, la situación de impunidad de todos los hechos denunciados es total. </w:t>
      </w:r>
    </w:p>
    <w:p w:rsidR="0021017B" w:rsidRPr="00155FD0" w:rsidRDefault="0021017B" w:rsidP="0021017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2"/>
          <w:szCs w:val="22"/>
          <w:lang w:val="es-ES"/>
        </w:rPr>
      </w:pPr>
    </w:p>
    <w:p w:rsidR="00457863" w:rsidRPr="00155FD0" w:rsidRDefault="00457863" w:rsidP="0021017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2"/>
          <w:szCs w:val="22"/>
          <w:lang w:val="es-ES"/>
        </w:rPr>
      </w:pPr>
    </w:p>
    <w:p w:rsidR="00457863" w:rsidRPr="00155FD0" w:rsidRDefault="00457863" w:rsidP="00457863">
      <w:pPr>
        <w:widowControl w:val="0"/>
        <w:autoSpaceDE w:val="0"/>
        <w:autoSpaceDN w:val="0"/>
        <w:adjustRightInd w:val="0"/>
        <w:spacing w:after="0" w:line="240" w:lineRule="auto"/>
        <w:jc w:val="both"/>
        <w:rPr>
          <w:rFonts w:ascii="Cambria" w:hAnsi="Cambria" w:cs="Arial"/>
          <w:snapToGrid w:val="0"/>
          <w:lang w:val="es-CO"/>
        </w:rPr>
      </w:pPr>
      <w:r w:rsidRPr="00155FD0">
        <w:rPr>
          <w:rFonts w:ascii="Cambria" w:hAnsi="Cambria" w:cs="Arial"/>
          <w:snapToGrid w:val="0"/>
          <w:lang w:val="es-ES_tradnl"/>
        </w:rPr>
        <w:t>Señor</w:t>
      </w:r>
    </w:p>
    <w:p w:rsidR="00457863" w:rsidRPr="00155FD0" w:rsidRDefault="00457863" w:rsidP="00457863">
      <w:pPr>
        <w:widowControl w:val="0"/>
        <w:autoSpaceDE w:val="0"/>
        <w:autoSpaceDN w:val="0"/>
        <w:adjustRightInd w:val="0"/>
        <w:spacing w:after="0" w:line="240" w:lineRule="auto"/>
        <w:jc w:val="both"/>
        <w:rPr>
          <w:rFonts w:ascii="Cambria" w:hAnsi="Cambria" w:cs="Arial"/>
          <w:snapToGrid w:val="0"/>
          <w:lang w:val="es-CO"/>
        </w:rPr>
      </w:pPr>
      <w:r w:rsidRPr="00155FD0">
        <w:rPr>
          <w:rFonts w:ascii="Cambria" w:hAnsi="Cambria" w:cs="Arial"/>
          <w:snapToGrid w:val="0"/>
          <w:lang w:val="es-CO"/>
        </w:rPr>
        <w:t xml:space="preserve">Pablo </w:t>
      </w:r>
      <w:r w:rsidRPr="00155FD0">
        <w:rPr>
          <w:rFonts w:ascii="Cambria" w:hAnsi="Cambria"/>
          <w:lang w:val="es-ES"/>
        </w:rPr>
        <w:t>Saavedra</w:t>
      </w:r>
      <w:r w:rsidRPr="00155FD0">
        <w:rPr>
          <w:rFonts w:ascii="Cambria" w:hAnsi="Cambria" w:cs="Arial"/>
          <w:snapToGrid w:val="0"/>
          <w:lang w:val="es-CO"/>
        </w:rPr>
        <w:t xml:space="preserve"> Alessandri, Secretario</w:t>
      </w:r>
    </w:p>
    <w:p w:rsidR="00457863" w:rsidRPr="00155FD0" w:rsidRDefault="00457863" w:rsidP="00457863">
      <w:pPr>
        <w:widowControl w:val="0"/>
        <w:autoSpaceDE w:val="0"/>
        <w:autoSpaceDN w:val="0"/>
        <w:adjustRightInd w:val="0"/>
        <w:spacing w:after="0" w:line="240" w:lineRule="auto"/>
        <w:jc w:val="both"/>
        <w:rPr>
          <w:rFonts w:ascii="Cambria" w:hAnsi="Cambria" w:cs="Arial"/>
          <w:snapToGrid w:val="0"/>
          <w:lang w:val="es-ES_tradnl"/>
        </w:rPr>
      </w:pPr>
      <w:r w:rsidRPr="00155FD0">
        <w:rPr>
          <w:rFonts w:ascii="Cambria" w:hAnsi="Cambria" w:cs="Arial"/>
          <w:snapToGrid w:val="0"/>
          <w:lang w:val="es-ES_tradnl"/>
        </w:rPr>
        <w:t>Corte Interamericana de Derechos Humanos</w:t>
      </w:r>
    </w:p>
    <w:p w:rsidR="00457863" w:rsidRPr="00155FD0" w:rsidRDefault="00457863" w:rsidP="00457863">
      <w:pPr>
        <w:widowControl w:val="0"/>
        <w:autoSpaceDE w:val="0"/>
        <w:autoSpaceDN w:val="0"/>
        <w:adjustRightInd w:val="0"/>
        <w:spacing w:after="0" w:line="240" w:lineRule="auto"/>
        <w:jc w:val="both"/>
        <w:rPr>
          <w:rFonts w:ascii="Cambria" w:hAnsi="Cambria" w:cs="Arial"/>
          <w:snapToGrid w:val="0"/>
          <w:lang w:val="es-ES_tradnl"/>
        </w:rPr>
      </w:pPr>
      <w:r w:rsidRPr="00155FD0">
        <w:rPr>
          <w:rFonts w:ascii="Cambria" w:hAnsi="Cambria" w:cs="Arial"/>
          <w:snapToGrid w:val="0"/>
          <w:lang w:val="es-ES_tradnl"/>
        </w:rPr>
        <w:t>Apartado 6906-1000</w:t>
      </w:r>
    </w:p>
    <w:p w:rsidR="00457863" w:rsidRPr="00155FD0" w:rsidRDefault="00457863" w:rsidP="00457863">
      <w:pPr>
        <w:widowControl w:val="0"/>
        <w:autoSpaceDE w:val="0"/>
        <w:autoSpaceDN w:val="0"/>
        <w:adjustRightInd w:val="0"/>
        <w:spacing w:after="0" w:line="240" w:lineRule="auto"/>
        <w:jc w:val="both"/>
        <w:rPr>
          <w:rFonts w:ascii="Cambria" w:hAnsi="Cambria" w:cs="Arial"/>
          <w:snapToGrid w:val="0"/>
          <w:lang w:val="es-ES_tradnl"/>
        </w:rPr>
      </w:pPr>
      <w:r w:rsidRPr="00155FD0">
        <w:rPr>
          <w:rFonts w:ascii="Cambria" w:hAnsi="Cambria" w:cs="Arial"/>
          <w:snapToGrid w:val="0"/>
          <w:lang w:val="es-ES_tradnl"/>
        </w:rPr>
        <w:t>San José, Costa Rica</w:t>
      </w:r>
    </w:p>
    <w:p w:rsidR="00457863" w:rsidRPr="00155FD0" w:rsidRDefault="00457863" w:rsidP="00457863">
      <w:pPr>
        <w:widowControl w:val="0"/>
        <w:autoSpaceDE w:val="0"/>
        <w:autoSpaceDN w:val="0"/>
        <w:adjustRightInd w:val="0"/>
        <w:spacing w:after="0" w:line="240" w:lineRule="auto"/>
        <w:jc w:val="both"/>
        <w:rPr>
          <w:rFonts w:ascii="Cambria" w:hAnsi="Cambria" w:cs="Arial"/>
          <w:lang w:val="es-AR"/>
        </w:rPr>
      </w:pPr>
    </w:p>
    <w:p w:rsidR="001D21B1" w:rsidRDefault="001D21B1" w:rsidP="00457863">
      <w:pPr>
        <w:widowControl w:val="0"/>
        <w:autoSpaceDE w:val="0"/>
        <w:autoSpaceDN w:val="0"/>
        <w:adjustRightInd w:val="0"/>
        <w:spacing w:after="0" w:line="240" w:lineRule="auto"/>
        <w:jc w:val="both"/>
        <w:rPr>
          <w:rFonts w:ascii="Cambria" w:hAnsi="Cambria" w:cs="Arial"/>
          <w:lang w:val="es-AR"/>
        </w:rPr>
      </w:pPr>
    </w:p>
    <w:p w:rsidR="00457863" w:rsidRPr="00155FD0" w:rsidRDefault="00457863" w:rsidP="00457863">
      <w:pPr>
        <w:widowControl w:val="0"/>
        <w:autoSpaceDE w:val="0"/>
        <w:autoSpaceDN w:val="0"/>
        <w:adjustRightInd w:val="0"/>
        <w:spacing w:after="0" w:line="240" w:lineRule="auto"/>
        <w:jc w:val="both"/>
        <w:rPr>
          <w:rFonts w:ascii="Cambria" w:hAnsi="Cambria" w:cs="Arial"/>
          <w:snapToGrid w:val="0"/>
          <w:lang w:val="es-CO"/>
        </w:rPr>
      </w:pPr>
      <w:r w:rsidRPr="00155FD0">
        <w:rPr>
          <w:rFonts w:ascii="Cambria" w:hAnsi="Cambria" w:cs="Arial"/>
          <w:lang w:val="es-AR"/>
        </w:rPr>
        <w:lastRenderedPageBreak/>
        <w:t>Anexos</w:t>
      </w:r>
    </w:p>
    <w:p w:rsidR="00457863" w:rsidRPr="00155FD0" w:rsidRDefault="00457863" w:rsidP="0021017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2"/>
          <w:szCs w:val="22"/>
          <w:lang w:val="es-ES"/>
        </w:rPr>
      </w:pPr>
    </w:p>
    <w:p w:rsidR="0021017B" w:rsidRPr="00155FD0" w:rsidRDefault="00854F7E" w:rsidP="00C83C7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2"/>
          <w:szCs w:val="22"/>
          <w:lang w:val="es-ES"/>
        </w:rPr>
      </w:pPr>
      <w:r w:rsidRPr="00155FD0">
        <w:rPr>
          <w:rFonts w:ascii="Cambria" w:hAnsi="Cambria"/>
          <w:sz w:val="22"/>
          <w:szCs w:val="22"/>
          <w:lang w:val="es-ES"/>
        </w:rPr>
        <w:t>Por otra parte</w:t>
      </w:r>
      <w:r w:rsidR="0021017B" w:rsidRPr="00155FD0">
        <w:rPr>
          <w:rFonts w:ascii="Cambria" w:hAnsi="Cambria"/>
          <w:sz w:val="22"/>
          <w:szCs w:val="22"/>
          <w:lang w:val="es-ES"/>
        </w:rPr>
        <w:t>, a pesar de la vigencia de medidas cautelares de la CIDH entre 1994 y 2013, en su</w:t>
      </w:r>
      <w:r w:rsidR="00FB1414" w:rsidRPr="00155FD0">
        <w:rPr>
          <w:rFonts w:ascii="Cambria" w:hAnsi="Cambria"/>
          <w:sz w:val="22"/>
          <w:szCs w:val="22"/>
          <w:lang w:val="es-ES"/>
        </w:rPr>
        <w:t xml:space="preserve"> informe de fondo se identificaron múltiples </w:t>
      </w:r>
      <w:r w:rsidR="0021017B" w:rsidRPr="00155FD0">
        <w:rPr>
          <w:rFonts w:ascii="Cambria" w:hAnsi="Cambria"/>
          <w:sz w:val="22"/>
          <w:szCs w:val="22"/>
          <w:lang w:val="es-ES"/>
        </w:rPr>
        <w:t xml:space="preserve">falencias en la implementación de las medidas de protección que pudieron contribuir a la continuidad del riesgo que estaba enfrentando la señora Villaseñor en el ejercicio de sus funciones. La Comisión resaltó las distintas resoluciones del Procurador de los Derechos Humanos, quien hizo referencia a la insuficiencia de las medidas de protección implementadas por el Estado y la continua situación de riesgo sufrida por la víctima. </w:t>
      </w:r>
    </w:p>
    <w:p w:rsidR="0021017B" w:rsidRPr="00155FD0" w:rsidRDefault="0021017B" w:rsidP="0021017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2"/>
          <w:szCs w:val="22"/>
          <w:lang w:val="es-ES"/>
        </w:rPr>
      </w:pPr>
    </w:p>
    <w:p w:rsidR="0021017B" w:rsidRPr="00155FD0" w:rsidRDefault="0021017B" w:rsidP="00C83C79">
      <w:pPr>
        <w:widowControl w:val="0"/>
        <w:autoSpaceDE w:val="0"/>
        <w:autoSpaceDN w:val="0"/>
        <w:adjustRightInd w:val="0"/>
        <w:spacing w:after="0" w:line="240" w:lineRule="auto"/>
        <w:ind w:firstLine="720"/>
        <w:jc w:val="both"/>
        <w:rPr>
          <w:rFonts w:ascii="Cambria" w:hAnsi="Cambria"/>
          <w:lang w:val="es-ES"/>
        </w:rPr>
      </w:pPr>
      <w:r w:rsidRPr="00155FD0">
        <w:rPr>
          <w:rFonts w:ascii="Cambria" w:hAnsi="Cambria"/>
          <w:lang w:val="es-ES"/>
        </w:rPr>
        <w:t>En consecuencia, la CIDH determinó la responsabilidad internacional del Estado de Guatemala por la violación de los derechos a las garantías judiciales y protección judicial, así como por la violación de derecho a la integridad personal, todo en relación con el principio de independencia judicial.</w:t>
      </w:r>
    </w:p>
    <w:p w:rsidR="00490E51" w:rsidRPr="00155FD0" w:rsidRDefault="00490E51" w:rsidP="00264C0E">
      <w:pPr>
        <w:widowControl w:val="0"/>
        <w:autoSpaceDE w:val="0"/>
        <w:autoSpaceDN w:val="0"/>
        <w:adjustRightInd w:val="0"/>
        <w:spacing w:after="0" w:line="240" w:lineRule="auto"/>
        <w:jc w:val="both"/>
        <w:rPr>
          <w:rFonts w:ascii="Cambria" w:hAnsi="Cambria"/>
          <w:lang w:val="es-ES"/>
        </w:rPr>
      </w:pPr>
    </w:p>
    <w:p w:rsidR="00264C0E" w:rsidRPr="00155FD0" w:rsidRDefault="00866AB4" w:rsidP="00264C0E">
      <w:pPr>
        <w:widowControl w:val="0"/>
        <w:autoSpaceDE w:val="0"/>
        <w:autoSpaceDN w:val="0"/>
        <w:adjustRightInd w:val="0"/>
        <w:spacing w:after="0" w:line="240" w:lineRule="auto"/>
        <w:ind w:firstLine="720"/>
        <w:jc w:val="both"/>
        <w:rPr>
          <w:rFonts w:ascii="Cambria" w:hAnsi="Cambria"/>
          <w:lang w:val="es-MX" w:eastAsia="ja-JP"/>
        </w:rPr>
      </w:pPr>
      <w:r w:rsidRPr="00155FD0">
        <w:rPr>
          <w:rFonts w:ascii="Cambria" w:hAnsi="Cambria"/>
          <w:lang w:val="es-PE"/>
        </w:rPr>
        <w:t xml:space="preserve">El Estado </w:t>
      </w:r>
      <w:r w:rsidR="00264C0E" w:rsidRPr="00155FD0">
        <w:rPr>
          <w:rFonts w:ascii="Cambria" w:hAnsi="Cambria"/>
          <w:lang w:val="es-PE"/>
        </w:rPr>
        <w:t>guatemalteco ratificó la Convención Americana sobre Derechos Humanos</w:t>
      </w:r>
      <w:r w:rsidR="00C94919" w:rsidRPr="00155FD0">
        <w:rPr>
          <w:rFonts w:ascii="Cambria" w:hAnsi="Cambria"/>
          <w:lang w:val="es-PE"/>
        </w:rPr>
        <w:t xml:space="preserve"> (en adelante “la Convención Americana” o “la Convención”</w:t>
      </w:r>
      <w:r w:rsidR="00264C0E" w:rsidRPr="00155FD0">
        <w:rPr>
          <w:rFonts w:ascii="Cambria" w:hAnsi="Cambria"/>
          <w:lang w:val="es-PE"/>
        </w:rPr>
        <w:t xml:space="preserve"> el 25 de mayo de 1978 y aceptó la competencia contenciosa de la Corte Interamericana el 9 de marzo de 1987.</w:t>
      </w:r>
    </w:p>
    <w:p w:rsidR="00490E51" w:rsidRPr="00155FD0" w:rsidRDefault="00490E51" w:rsidP="00490E51">
      <w:pPr>
        <w:widowControl w:val="0"/>
        <w:autoSpaceDE w:val="0"/>
        <w:autoSpaceDN w:val="0"/>
        <w:adjustRightInd w:val="0"/>
        <w:spacing w:after="0" w:line="240" w:lineRule="auto"/>
        <w:ind w:firstLine="720"/>
        <w:jc w:val="both"/>
        <w:rPr>
          <w:rFonts w:ascii="Cambria" w:hAnsi="Cambria"/>
          <w:lang w:val="es-ES"/>
        </w:rPr>
      </w:pPr>
    </w:p>
    <w:p w:rsidR="00490E51" w:rsidRPr="00155FD0" w:rsidRDefault="00490E51" w:rsidP="00490E51">
      <w:pPr>
        <w:spacing w:after="0" w:line="240" w:lineRule="auto"/>
        <w:ind w:firstLine="720"/>
        <w:jc w:val="both"/>
        <w:rPr>
          <w:rFonts w:ascii="Cambria" w:hAnsi="Cambria" w:cs="Arial"/>
          <w:lang w:val="es-CO"/>
        </w:rPr>
      </w:pPr>
      <w:r w:rsidRPr="00155FD0">
        <w:rPr>
          <w:rFonts w:ascii="Cambria" w:hAnsi="Cambria"/>
          <w:lang w:val="es-CO"/>
        </w:rPr>
        <w:t>La Comisión ha designado al Comisionado José de Jesús Orozco Henrí</w:t>
      </w:r>
      <w:r w:rsidR="00866AB4" w:rsidRPr="00155FD0">
        <w:rPr>
          <w:rFonts w:ascii="Cambria" w:hAnsi="Cambria"/>
          <w:lang w:val="es-CO"/>
        </w:rPr>
        <w:t xml:space="preserve">quez y al Secretario Ejecutivo Paulo Abrão </w:t>
      </w:r>
      <w:r w:rsidRPr="00155FD0">
        <w:rPr>
          <w:rFonts w:ascii="Cambria" w:hAnsi="Cambria"/>
          <w:lang w:val="es-CO"/>
        </w:rPr>
        <w:t xml:space="preserve">como sus delegados. Asimismo, Elizabeth Abi-Mershed, </w:t>
      </w:r>
      <w:r w:rsidRPr="00155FD0">
        <w:rPr>
          <w:rFonts w:ascii="Cambria" w:hAnsi="Cambria" w:cs="Arial"/>
          <w:lang w:val="es-CO"/>
        </w:rPr>
        <w:t>Secretaria</w:t>
      </w:r>
      <w:r w:rsidRPr="00155FD0">
        <w:rPr>
          <w:rFonts w:ascii="Cambria" w:hAnsi="Cambria"/>
          <w:lang w:val="es-CO"/>
        </w:rPr>
        <w:t xml:space="preserve"> Ejecutiva Adjunta y Silvia Serrano Guzmán y</w:t>
      </w:r>
      <w:r w:rsidR="004F41FE" w:rsidRPr="00155FD0">
        <w:rPr>
          <w:rFonts w:ascii="Cambria" w:hAnsi="Cambria"/>
          <w:lang w:val="es-CO"/>
        </w:rPr>
        <w:t xml:space="preserve"> Erick Acu</w:t>
      </w:r>
      <w:r w:rsidR="004F41FE" w:rsidRPr="00155FD0">
        <w:rPr>
          <w:rFonts w:ascii="Cambria" w:hAnsi="Cambria"/>
          <w:lang w:val="es-ES"/>
        </w:rPr>
        <w:t>ña Pereda</w:t>
      </w:r>
      <w:r w:rsidRPr="00155FD0">
        <w:rPr>
          <w:rFonts w:ascii="Cambria" w:hAnsi="Cambria"/>
          <w:lang w:val="es-CO"/>
        </w:rPr>
        <w:t xml:space="preserve"> abogada y abogado de la Secretaría Ejecutiva de la CIDH, actuarán como asesora</w:t>
      </w:r>
      <w:r w:rsidR="009F2492" w:rsidRPr="00155FD0">
        <w:rPr>
          <w:rFonts w:ascii="Cambria" w:hAnsi="Cambria"/>
          <w:lang w:val="es-CO"/>
        </w:rPr>
        <w:t>s</w:t>
      </w:r>
      <w:r w:rsidRPr="00155FD0">
        <w:rPr>
          <w:rFonts w:ascii="Cambria" w:hAnsi="Cambria"/>
          <w:lang w:val="es-CO"/>
        </w:rPr>
        <w:t xml:space="preserve"> y asesor legales.</w:t>
      </w:r>
    </w:p>
    <w:p w:rsidR="00490E51" w:rsidRPr="00155FD0" w:rsidRDefault="00490E51" w:rsidP="00490E51">
      <w:pPr>
        <w:autoSpaceDE w:val="0"/>
        <w:autoSpaceDN w:val="0"/>
        <w:adjustRightInd w:val="0"/>
        <w:spacing w:after="0" w:line="240" w:lineRule="auto"/>
        <w:ind w:right="480"/>
        <w:jc w:val="both"/>
        <w:rPr>
          <w:rFonts w:ascii="Cambria" w:hAnsi="Cambria"/>
          <w:b/>
          <w:lang w:val="es-CR"/>
        </w:rPr>
      </w:pPr>
    </w:p>
    <w:p w:rsidR="00490E51" w:rsidRPr="00155FD0" w:rsidRDefault="00490E51" w:rsidP="00490E51">
      <w:pPr>
        <w:spacing w:after="0" w:line="240" w:lineRule="auto"/>
        <w:ind w:firstLine="720"/>
        <w:jc w:val="both"/>
        <w:rPr>
          <w:rFonts w:ascii="Cambria" w:hAnsi="Cambria"/>
          <w:lang w:val="es-AR"/>
        </w:rPr>
      </w:pPr>
      <w:r w:rsidRPr="00155FD0">
        <w:rPr>
          <w:rFonts w:ascii="Cambria" w:hAnsi="Cambria" w:cs="Arial"/>
          <w:lang w:val="es-CO"/>
        </w:rPr>
        <w:t xml:space="preserve">De conformidad con el artículo 35 del Reglamento de la Corte Interamericana, la Comisión adjunta </w:t>
      </w:r>
      <w:r w:rsidR="00D43738" w:rsidRPr="00155FD0">
        <w:rPr>
          <w:rFonts w:ascii="Cambria" w:hAnsi="Cambria"/>
          <w:lang w:val="es-CO"/>
        </w:rPr>
        <w:t>copia del informe de admisibilidad y</w:t>
      </w:r>
      <w:r w:rsidR="008650D2" w:rsidRPr="00155FD0">
        <w:rPr>
          <w:rFonts w:ascii="Cambria" w:hAnsi="Cambria"/>
          <w:lang w:val="es-CO"/>
        </w:rPr>
        <w:t xml:space="preserve"> fondo 46</w:t>
      </w:r>
      <w:r w:rsidR="00D43738" w:rsidRPr="00155FD0">
        <w:rPr>
          <w:rFonts w:ascii="Cambria" w:hAnsi="Cambria"/>
          <w:lang w:val="es-CO"/>
        </w:rPr>
        <w:t>/16</w:t>
      </w:r>
      <w:r w:rsidRPr="00155FD0">
        <w:rPr>
          <w:rFonts w:ascii="Cambria" w:hAnsi="Cambria"/>
          <w:lang w:val="es-CO"/>
        </w:rPr>
        <w:t xml:space="preserve"> elaborado en observancia del artículo 50 de la Convención, así como copia de la totalidad del expediente </w:t>
      </w:r>
      <w:r w:rsidRPr="00155FD0">
        <w:rPr>
          <w:rFonts w:ascii="Cambria" w:hAnsi="Cambria"/>
          <w:lang w:val="es-AR"/>
        </w:rPr>
        <w:t>ante</w:t>
      </w:r>
      <w:r w:rsidRPr="00155FD0">
        <w:rPr>
          <w:rFonts w:ascii="Cambria" w:hAnsi="Cambria"/>
          <w:lang w:val="es-CO"/>
        </w:rPr>
        <w:t xml:space="preserve"> la Comisión Interamericana (Apéndice I) y los anexos utilizados en la elaboración </w:t>
      </w:r>
      <w:r w:rsidRPr="00155FD0">
        <w:rPr>
          <w:rFonts w:ascii="Cambria" w:hAnsi="Cambria"/>
          <w:lang w:val="es-AR"/>
        </w:rPr>
        <w:t>del</w:t>
      </w:r>
      <w:r w:rsidRPr="00155FD0">
        <w:rPr>
          <w:rFonts w:ascii="Cambria" w:hAnsi="Cambria"/>
          <w:lang w:val="es-CO"/>
        </w:rPr>
        <w:t xml:space="preserve"> informe </w:t>
      </w:r>
      <w:r w:rsidR="008650D2" w:rsidRPr="00155FD0">
        <w:rPr>
          <w:rFonts w:ascii="Cambria" w:hAnsi="Cambria"/>
          <w:lang w:val="es-CO"/>
        </w:rPr>
        <w:t>46</w:t>
      </w:r>
      <w:r w:rsidR="006229DB" w:rsidRPr="00155FD0">
        <w:rPr>
          <w:rFonts w:ascii="Cambria" w:hAnsi="Cambria"/>
          <w:lang w:val="es-CO"/>
        </w:rPr>
        <w:t>/16</w:t>
      </w:r>
      <w:r w:rsidRPr="00155FD0">
        <w:rPr>
          <w:rFonts w:ascii="Cambria" w:hAnsi="Cambria"/>
          <w:lang w:val="es-CO"/>
        </w:rPr>
        <w:t xml:space="preserve"> (Anexos). Dicho informe de fondo </w:t>
      </w:r>
      <w:r w:rsidRPr="00155FD0">
        <w:rPr>
          <w:rFonts w:ascii="Cambria" w:hAnsi="Cambria"/>
          <w:lang w:val="es-AR"/>
        </w:rPr>
        <w:t xml:space="preserve">fue notificado al Estado de </w:t>
      </w:r>
      <w:r w:rsidR="005D20A0" w:rsidRPr="00155FD0">
        <w:rPr>
          <w:rFonts w:ascii="Cambria" w:hAnsi="Cambria"/>
          <w:lang w:val="es-AR"/>
        </w:rPr>
        <w:t xml:space="preserve">Guatemala </w:t>
      </w:r>
      <w:r w:rsidRPr="00155FD0">
        <w:rPr>
          <w:rFonts w:ascii="Cambria" w:hAnsi="Cambria"/>
          <w:lang w:val="es-AR"/>
        </w:rPr>
        <w:t xml:space="preserve">mediante comunicación de </w:t>
      </w:r>
      <w:r w:rsidR="005D20A0" w:rsidRPr="00155FD0">
        <w:rPr>
          <w:rFonts w:ascii="Cambria" w:hAnsi="Cambria"/>
          <w:lang w:val="es-AR"/>
        </w:rPr>
        <w:t>15</w:t>
      </w:r>
      <w:r w:rsidRPr="00155FD0">
        <w:rPr>
          <w:rFonts w:ascii="Cambria" w:hAnsi="Cambria"/>
          <w:lang w:val="es-AR"/>
        </w:rPr>
        <w:t xml:space="preserve"> de </w:t>
      </w:r>
      <w:r w:rsidR="005D20A0" w:rsidRPr="00155FD0">
        <w:rPr>
          <w:rFonts w:ascii="Cambria" w:hAnsi="Cambria"/>
          <w:lang w:val="es-AR"/>
        </w:rPr>
        <w:t>diciembre de 2016</w:t>
      </w:r>
      <w:r w:rsidRPr="00155FD0">
        <w:rPr>
          <w:rFonts w:ascii="Cambria" w:hAnsi="Cambria"/>
          <w:lang w:val="es-AR"/>
        </w:rPr>
        <w:t xml:space="preserve">, otorgándole un plazo de dos meses para informar sobre el cumplimiento de las recomendaciones. </w:t>
      </w:r>
    </w:p>
    <w:p w:rsidR="00490E51" w:rsidRPr="00155FD0" w:rsidRDefault="00490E51" w:rsidP="00490E51">
      <w:pPr>
        <w:spacing w:after="0" w:line="240" w:lineRule="auto"/>
        <w:ind w:firstLine="720"/>
        <w:jc w:val="both"/>
        <w:rPr>
          <w:rFonts w:ascii="Cambria" w:hAnsi="Cambria"/>
          <w:lang w:val="es-AR"/>
        </w:rPr>
      </w:pPr>
    </w:p>
    <w:p w:rsidR="00490E51" w:rsidRPr="00155FD0" w:rsidRDefault="00490E51" w:rsidP="00490E51">
      <w:pPr>
        <w:pStyle w:val="p1"/>
        <w:ind w:firstLine="720"/>
        <w:jc w:val="both"/>
        <w:rPr>
          <w:rStyle w:val="s1"/>
          <w:rFonts w:ascii="Cambria" w:hAnsi="Cambria"/>
          <w:color w:val="auto"/>
          <w:sz w:val="22"/>
          <w:szCs w:val="22"/>
          <w:lang w:val="es-CO"/>
        </w:rPr>
      </w:pPr>
      <w:r w:rsidRPr="00155FD0">
        <w:rPr>
          <w:rStyle w:val="s1"/>
          <w:rFonts w:ascii="Cambria" w:hAnsi="Cambria"/>
          <w:color w:val="auto"/>
          <w:sz w:val="22"/>
          <w:szCs w:val="22"/>
          <w:lang w:val="es-CO"/>
        </w:rPr>
        <w:t xml:space="preserve">La Comisión observa que el Estado </w:t>
      </w:r>
      <w:r w:rsidR="00C94919" w:rsidRPr="00155FD0">
        <w:rPr>
          <w:rStyle w:val="s1"/>
          <w:rFonts w:ascii="Cambria" w:hAnsi="Cambria"/>
          <w:color w:val="auto"/>
          <w:sz w:val="22"/>
          <w:szCs w:val="22"/>
          <w:lang w:val="es-CO"/>
        </w:rPr>
        <w:t xml:space="preserve">guatemalteco solicitó la suspensión del plazo establecido en el artículo 51 de la Convención Americana </w:t>
      </w:r>
      <w:r w:rsidR="003D179D" w:rsidRPr="00155FD0">
        <w:rPr>
          <w:rStyle w:val="s1"/>
          <w:rFonts w:ascii="Cambria" w:hAnsi="Cambria"/>
          <w:color w:val="auto"/>
          <w:sz w:val="22"/>
          <w:szCs w:val="22"/>
          <w:lang w:val="es-CO"/>
        </w:rPr>
        <w:t>y expresó su interés en un diálogo con María Eugenia Villaseñor. Sin embargo, en Estado no renunció expresamente a la interposición de excepciones preliminares relacionadas con dicho plazo en la eventualidad del sometimiento del caso a la Corte Interamericana, tal como lo exige el artículo 46</w:t>
      </w:r>
      <w:r w:rsidR="00155FD0" w:rsidRPr="00155FD0">
        <w:rPr>
          <w:rStyle w:val="s1"/>
          <w:rFonts w:ascii="Cambria" w:hAnsi="Cambria"/>
          <w:color w:val="auto"/>
          <w:sz w:val="22"/>
          <w:szCs w:val="22"/>
          <w:lang w:val="es-CO"/>
        </w:rPr>
        <w:t xml:space="preserve"> b)</w:t>
      </w:r>
      <w:r w:rsidR="003D179D" w:rsidRPr="00155FD0">
        <w:rPr>
          <w:rStyle w:val="s1"/>
          <w:rFonts w:ascii="Cambria" w:hAnsi="Cambria"/>
          <w:color w:val="auto"/>
          <w:sz w:val="22"/>
          <w:szCs w:val="22"/>
          <w:lang w:val="es-CO"/>
        </w:rPr>
        <w:t xml:space="preserve"> del Reglamento de la CIDH. En ese sentido, la Comisión </w:t>
      </w:r>
      <w:r w:rsidR="00A26203" w:rsidRPr="00155FD0">
        <w:rPr>
          <w:rStyle w:val="s1"/>
          <w:rFonts w:ascii="Cambria" w:hAnsi="Cambria"/>
          <w:color w:val="auto"/>
          <w:sz w:val="22"/>
          <w:szCs w:val="22"/>
          <w:lang w:val="es-CO"/>
        </w:rPr>
        <w:t xml:space="preserve">no otorgó la suspensión del plazo en los términos en que fue solicitada. </w:t>
      </w:r>
    </w:p>
    <w:p w:rsidR="00490E51" w:rsidRPr="00155FD0" w:rsidRDefault="00490E51" w:rsidP="00490E51">
      <w:pPr>
        <w:pStyle w:val="p1"/>
        <w:ind w:firstLine="720"/>
        <w:jc w:val="both"/>
        <w:rPr>
          <w:rStyle w:val="s1"/>
          <w:rFonts w:ascii="Cambria" w:hAnsi="Cambria"/>
          <w:color w:val="auto"/>
          <w:sz w:val="22"/>
          <w:szCs w:val="22"/>
          <w:lang w:val="es-CO"/>
        </w:rPr>
      </w:pPr>
    </w:p>
    <w:p w:rsidR="00490E51" w:rsidRPr="00155FD0" w:rsidRDefault="00490E51" w:rsidP="00490E51">
      <w:pPr>
        <w:spacing w:after="0" w:line="240" w:lineRule="auto"/>
        <w:ind w:firstLine="720"/>
        <w:jc w:val="both"/>
        <w:rPr>
          <w:rFonts w:ascii="Cambria" w:hAnsi="Cambria"/>
          <w:lang w:val="es-AR"/>
        </w:rPr>
      </w:pPr>
      <w:r w:rsidRPr="00155FD0">
        <w:rPr>
          <w:rFonts w:ascii="Cambria" w:hAnsi="Cambria"/>
          <w:lang w:val="es-AR"/>
        </w:rPr>
        <w:t>En virtud de lo anterior, l</w:t>
      </w:r>
      <w:r w:rsidRPr="00155FD0">
        <w:rPr>
          <w:rFonts w:ascii="Cambria" w:hAnsi="Cambria"/>
          <w:lang w:val="es-CO"/>
        </w:rPr>
        <w:t xml:space="preserve">a Comisión Interamericana somete a la jurisdicción de la Corte la </w:t>
      </w:r>
      <w:r w:rsidRPr="00155FD0">
        <w:rPr>
          <w:rFonts w:ascii="Cambria" w:hAnsi="Cambria"/>
          <w:lang w:val="es-ES"/>
        </w:rPr>
        <w:t>totalidad</w:t>
      </w:r>
      <w:r w:rsidRPr="00155FD0">
        <w:rPr>
          <w:rFonts w:ascii="Cambria" w:hAnsi="Cambria"/>
          <w:lang w:val="es-CO"/>
        </w:rPr>
        <w:t xml:space="preserve"> de los hechos y violaciones de derechos humanos descritos en el informe de</w:t>
      </w:r>
      <w:r w:rsidR="00E0709A" w:rsidRPr="00155FD0">
        <w:rPr>
          <w:rFonts w:ascii="Cambria" w:hAnsi="Cambria"/>
          <w:lang w:val="es-CO"/>
        </w:rPr>
        <w:t xml:space="preserve"> admisibilidad y </w:t>
      </w:r>
      <w:r w:rsidRPr="00155FD0">
        <w:rPr>
          <w:rFonts w:ascii="Cambria" w:hAnsi="Cambria"/>
          <w:lang w:val="es-CO"/>
        </w:rPr>
        <w:t xml:space="preserve">fondo </w:t>
      </w:r>
      <w:r w:rsidR="008650D2" w:rsidRPr="00155FD0">
        <w:rPr>
          <w:rFonts w:ascii="Cambria" w:hAnsi="Cambria"/>
          <w:lang w:val="es-CO"/>
        </w:rPr>
        <w:t>46</w:t>
      </w:r>
      <w:r w:rsidR="00E0709A" w:rsidRPr="00155FD0">
        <w:rPr>
          <w:rFonts w:ascii="Cambria" w:hAnsi="Cambria"/>
          <w:lang w:val="es-CO"/>
        </w:rPr>
        <w:t>/16</w:t>
      </w:r>
      <w:r w:rsidRPr="00155FD0">
        <w:rPr>
          <w:rFonts w:ascii="Cambria" w:hAnsi="Cambria"/>
          <w:lang w:val="es-CO"/>
        </w:rPr>
        <w:t xml:space="preserve">, por la necesidad de obtención de justicia </w:t>
      </w:r>
      <w:r w:rsidR="008F3AB1" w:rsidRPr="00155FD0">
        <w:rPr>
          <w:rFonts w:ascii="Cambria" w:hAnsi="Cambria"/>
          <w:lang w:val="es-CO"/>
        </w:rPr>
        <w:t>para la señora Villaseñor</w:t>
      </w:r>
      <w:r w:rsidR="008608C6" w:rsidRPr="00155FD0">
        <w:rPr>
          <w:rFonts w:ascii="Cambria" w:hAnsi="Cambria"/>
          <w:lang w:val="es-CO"/>
        </w:rPr>
        <w:t xml:space="preserve"> y sus familiares</w:t>
      </w:r>
      <w:r w:rsidR="00436289" w:rsidRPr="00155FD0">
        <w:rPr>
          <w:rFonts w:ascii="Cambria" w:hAnsi="Cambria"/>
          <w:lang w:val="es-CO"/>
        </w:rPr>
        <w:t xml:space="preserve">. </w:t>
      </w:r>
    </w:p>
    <w:p w:rsidR="00490E51" w:rsidRPr="00155FD0" w:rsidRDefault="00490E51" w:rsidP="00490E51">
      <w:pPr>
        <w:spacing w:after="0" w:line="240" w:lineRule="auto"/>
        <w:ind w:firstLine="720"/>
        <w:jc w:val="both"/>
        <w:rPr>
          <w:rFonts w:ascii="Cambria" w:hAnsi="Cambria"/>
          <w:lang w:val="es-AR"/>
        </w:rPr>
      </w:pPr>
    </w:p>
    <w:p w:rsidR="00B32B34" w:rsidRPr="00155FD0" w:rsidRDefault="00490E51" w:rsidP="00B32B3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2"/>
          <w:szCs w:val="22"/>
        </w:rPr>
      </w:pPr>
      <w:r w:rsidRPr="00155FD0">
        <w:rPr>
          <w:rFonts w:ascii="Cambria" w:hAnsi="Cambria"/>
          <w:sz w:val="22"/>
          <w:szCs w:val="22"/>
          <w:lang w:val="es-CO"/>
        </w:rPr>
        <w:t>En ese sentido, la Comisión solicita a la Corte que concluya y declare la responsabilidad internacional del</w:t>
      </w:r>
      <w:r w:rsidRPr="00155FD0">
        <w:rPr>
          <w:rFonts w:ascii="Cambria" w:hAnsi="Cambria" w:cs="Arial"/>
          <w:sz w:val="22"/>
          <w:szCs w:val="22"/>
          <w:lang w:val="es-CL"/>
        </w:rPr>
        <w:t xml:space="preserve"> Estado de</w:t>
      </w:r>
      <w:r w:rsidR="00DF5D08" w:rsidRPr="00155FD0">
        <w:rPr>
          <w:rFonts w:ascii="Cambria" w:hAnsi="Cambria" w:cs="Arial"/>
          <w:sz w:val="22"/>
          <w:szCs w:val="22"/>
          <w:lang w:val="es-CL"/>
        </w:rPr>
        <w:t xml:space="preserve"> Guatemala p</w:t>
      </w:r>
      <w:r w:rsidRPr="00155FD0">
        <w:rPr>
          <w:rFonts w:ascii="Cambria" w:hAnsi="Cambria" w:cs="Arial"/>
          <w:sz w:val="22"/>
          <w:szCs w:val="22"/>
          <w:lang w:val="es-CL"/>
        </w:rPr>
        <w:t>or</w:t>
      </w:r>
      <w:r w:rsidR="00B32B34" w:rsidRPr="00155FD0">
        <w:rPr>
          <w:rFonts w:ascii="Cambria" w:hAnsi="Cambria" w:cs="Arial"/>
          <w:sz w:val="22"/>
          <w:szCs w:val="22"/>
          <w:lang w:val="es-CL"/>
        </w:rPr>
        <w:t xml:space="preserve"> la violación de los </w:t>
      </w:r>
      <w:r w:rsidR="00B32B34" w:rsidRPr="00155FD0">
        <w:rPr>
          <w:rFonts w:ascii="Cambria" w:hAnsi="Cambria"/>
          <w:sz w:val="22"/>
          <w:szCs w:val="22"/>
        </w:rPr>
        <w:t>derechos a la integridad personal, garantías judiciales y protección judicial, establecidos en los artículos 5.1, 8.1 y 25.1 de la Convención Americana, en relación con las obligaciones establecidas en el artículo 1.1 del mismo instrumento</w:t>
      </w:r>
      <w:r w:rsidR="00E754D2" w:rsidRPr="00155FD0">
        <w:rPr>
          <w:rFonts w:ascii="Cambria" w:hAnsi="Cambria"/>
          <w:sz w:val="22"/>
          <w:szCs w:val="22"/>
        </w:rPr>
        <w:t xml:space="preserve">, en perjuicio de las personas que se indican en el informe de admisibilidad y fondo 46/16. </w:t>
      </w:r>
    </w:p>
    <w:p w:rsidR="009C0E7E" w:rsidRPr="00155FD0" w:rsidRDefault="009C0E7E" w:rsidP="00490E51">
      <w:pPr>
        <w:autoSpaceDE w:val="0"/>
        <w:autoSpaceDN w:val="0"/>
        <w:adjustRightInd w:val="0"/>
        <w:spacing w:after="0" w:line="240" w:lineRule="auto"/>
        <w:ind w:left="720"/>
        <w:jc w:val="both"/>
        <w:rPr>
          <w:rFonts w:ascii="Cambria" w:hAnsi="Cambria"/>
          <w:lang w:val="es-CO"/>
        </w:rPr>
      </w:pPr>
    </w:p>
    <w:p w:rsidR="00490E51" w:rsidRPr="00155FD0" w:rsidRDefault="00490E51" w:rsidP="00490E51">
      <w:pPr>
        <w:spacing w:after="0" w:line="240" w:lineRule="auto"/>
        <w:ind w:firstLine="720"/>
        <w:jc w:val="both"/>
        <w:rPr>
          <w:rFonts w:ascii="Cambria" w:hAnsi="Cambria"/>
          <w:lang w:val="es-CO"/>
        </w:rPr>
      </w:pPr>
      <w:r w:rsidRPr="00155FD0">
        <w:rPr>
          <w:rFonts w:ascii="Cambria" w:hAnsi="Cambria"/>
          <w:lang w:val="es-CO"/>
        </w:rPr>
        <w:t xml:space="preserve">En consecuencia, la Comisión solicita a la Corte que establezca las siguientes medidas de </w:t>
      </w:r>
      <w:r w:rsidRPr="00155FD0">
        <w:rPr>
          <w:rFonts w:ascii="Cambria" w:hAnsi="Cambria"/>
          <w:lang w:val="es-ES_tradnl"/>
        </w:rPr>
        <w:t>reparación</w:t>
      </w:r>
      <w:r w:rsidRPr="00155FD0">
        <w:rPr>
          <w:rFonts w:ascii="Cambria" w:hAnsi="Cambria"/>
          <w:lang w:val="es-CO"/>
        </w:rPr>
        <w:t>:</w:t>
      </w:r>
    </w:p>
    <w:p w:rsidR="00610EC6" w:rsidRDefault="00610EC6" w:rsidP="00610EC6">
      <w:pPr>
        <w:tabs>
          <w:tab w:val="left" w:pos="1080"/>
        </w:tabs>
        <w:spacing w:after="0" w:line="240" w:lineRule="auto"/>
        <w:ind w:right="720"/>
        <w:jc w:val="both"/>
        <w:rPr>
          <w:rFonts w:ascii="Cambria" w:hAnsi="Cambria"/>
          <w:lang w:val="es-CO"/>
        </w:rPr>
      </w:pPr>
    </w:p>
    <w:p w:rsidR="00610EC6" w:rsidRPr="00CD0682" w:rsidRDefault="00610EC6" w:rsidP="00CD0682">
      <w:pPr>
        <w:pStyle w:val="Sangradetextonormal"/>
        <w:numPr>
          <w:ilvl w:val="6"/>
          <w:numId w:val="7"/>
        </w:numPr>
        <w:pBdr>
          <w:top w:val="none" w:sz="0" w:space="0" w:color="auto"/>
          <w:left w:val="none" w:sz="0" w:space="0" w:color="auto"/>
          <w:bottom w:val="none" w:sz="0" w:space="0" w:color="auto"/>
          <w:right w:val="none" w:sz="0" w:space="0" w:color="auto"/>
          <w:between w:val="none" w:sz="0" w:space="0" w:color="auto"/>
          <w:bar w:val="none" w:sz="0" w:color="auto"/>
        </w:pBdr>
        <w:tabs>
          <w:tab w:val="clear" w:pos="5400"/>
          <w:tab w:val="left" w:pos="720"/>
          <w:tab w:val="left" w:pos="1080"/>
          <w:tab w:val="left" w:pos="1170"/>
        </w:tabs>
        <w:ind w:left="0" w:firstLine="720"/>
        <w:jc w:val="both"/>
        <w:rPr>
          <w:rFonts w:ascii="Cambria" w:hAnsi="Cambria"/>
          <w:sz w:val="22"/>
          <w:szCs w:val="22"/>
          <w:lang w:val="es-ES"/>
        </w:rPr>
      </w:pPr>
      <w:r w:rsidRPr="00CD0682">
        <w:rPr>
          <w:rFonts w:ascii="Cambria" w:hAnsi="Cambria"/>
          <w:sz w:val="22"/>
          <w:szCs w:val="22"/>
          <w:lang w:val="es-ES"/>
        </w:rPr>
        <w:lastRenderedPageBreak/>
        <w:t>Reparar integralmente las violaciones de de</w:t>
      </w:r>
      <w:r w:rsidR="00AD0833" w:rsidRPr="00CD0682">
        <w:rPr>
          <w:rFonts w:ascii="Cambria" w:hAnsi="Cambria"/>
          <w:sz w:val="22"/>
          <w:szCs w:val="22"/>
          <w:lang w:val="es-ES"/>
        </w:rPr>
        <w:t>rechos humanos declaradas en el</w:t>
      </w:r>
      <w:r w:rsidRPr="00CD0682">
        <w:rPr>
          <w:rFonts w:ascii="Cambria" w:hAnsi="Cambria"/>
          <w:sz w:val="22"/>
          <w:szCs w:val="22"/>
          <w:lang w:val="es-ES"/>
        </w:rPr>
        <w:t xml:space="preserve"> informe tanto en el aspecto material como moral.</w:t>
      </w:r>
    </w:p>
    <w:p w:rsidR="00610EC6" w:rsidRPr="00CD0682" w:rsidRDefault="00610EC6" w:rsidP="00CD0682">
      <w:pPr>
        <w:pStyle w:val="Sangradetextonormal"/>
        <w:numPr>
          <w:ilvl w:val="6"/>
          <w:numId w:val="7"/>
        </w:numPr>
        <w:pBdr>
          <w:top w:val="none" w:sz="0" w:space="0" w:color="auto"/>
          <w:left w:val="none" w:sz="0" w:space="0" w:color="auto"/>
          <w:bottom w:val="none" w:sz="0" w:space="0" w:color="auto"/>
          <w:right w:val="none" w:sz="0" w:space="0" w:color="auto"/>
          <w:between w:val="none" w:sz="0" w:space="0" w:color="auto"/>
          <w:bar w:val="none" w:sz="0" w:color="auto"/>
        </w:pBdr>
        <w:tabs>
          <w:tab w:val="clear" w:pos="5400"/>
          <w:tab w:val="left" w:pos="720"/>
          <w:tab w:val="left" w:pos="1080"/>
          <w:tab w:val="left" w:pos="1170"/>
        </w:tabs>
        <w:ind w:left="0" w:firstLine="720"/>
        <w:jc w:val="both"/>
        <w:rPr>
          <w:rFonts w:ascii="Cambria" w:hAnsi="Cambria"/>
          <w:sz w:val="22"/>
          <w:szCs w:val="22"/>
          <w:lang w:val="es-ES"/>
        </w:rPr>
      </w:pPr>
      <w:r w:rsidRPr="00CD0682">
        <w:rPr>
          <w:rFonts w:ascii="Cambria" w:hAnsi="Cambria"/>
          <w:sz w:val="22"/>
          <w:szCs w:val="22"/>
        </w:rPr>
        <w:t>Desarrollar y completar una investigación independiente, imparcial, completa, efectiva y de manera expedita, sobre las denuncias presentadas por la señora María Eugenia Villaseñor. Esta investigación deberá explorar y agotar de manera exhaustiva las líneas lógicas de investigación derivadas de su labor como jueza, así como identificar y, de ser el caso, sancionar a todas las personas que participaron en los hechos.</w:t>
      </w:r>
    </w:p>
    <w:p w:rsidR="00610EC6" w:rsidRPr="00CD0682" w:rsidRDefault="00610EC6" w:rsidP="00CD0682">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 w:val="left" w:pos="1170"/>
        </w:tabs>
        <w:ind w:left="0" w:firstLine="720"/>
        <w:jc w:val="both"/>
        <w:rPr>
          <w:rFonts w:ascii="Cambria" w:hAnsi="Cambria"/>
          <w:sz w:val="22"/>
          <w:szCs w:val="22"/>
          <w:lang w:val="es-ES"/>
        </w:rPr>
      </w:pPr>
    </w:p>
    <w:p w:rsidR="00610EC6" w:rsidRPr="00CD0682" w:rsidRDefault="00610EC6" w:rsidP="00CD0682">
      <w:pPr>
        <w:pStyle w:val="Sangradetextonormal"/>
        <w:numPr>
          <w:ilvl w:val="6"/>
          <w:numId w:val="7"/>
        </w:numPr>
        <w:pBdr>
          <w:top w:val="none" w:sz="0" w:space="0" w:color="auto"/>
          <w:left w:val="none" w:sz="0" w:space="0" w:color="auto"/>
          <w:bottom w:val="none" w:sz="0" w:space="0" w:color="auto"/>
          <w:right w:val="none" w:sz="0" w:space="0" w:color="auto"/>
          <w:between w:val="none" w:sz="0" w:space="0" w:color="auto"/>
          <w:bar w:val="none" w:sz="0" w:color="auto"/>
        </w:pBdr>
        <w:tabs>
          <w:tab w:val="clear" w:pos="5400"/>
          <w:tab w:val="left" w:pos="720"/>
          <w:tab w:val="left" w:pos="1080"/>
          <w:tab w:val="left" w:pos="1170"/>
        </w:tabs>
        <w:ind w:left="0" w:firstLine="720"/>
        <w:jc w:val="both"/>
        <w:rPr>
          <w:rFonts w:ascii="Cambria" w:hAnsi="Cambria"/>
          <w:sz w:val="22"/>
          <w:szCs w:val="22"/>
          <w:lang w:val="es-ES"/>
        </w:rPr>
      </w:pPr>
      <w:r w:rsidRPr="00CD0682">
        <w:rPr>
          <w:rFonts w:ascii="Cambria" w:hAnsi="Cambria"/>
          <w:sz w:val="22"/>
          <w:szCs w:val="22"/>
        </w:rPr>
        <w:t>Disponer las medidas administrativas, disciplinarias o penales correspondientes frente a las acciones u omisiones de los funcionarios estatales que contribuyeron a la denegación de justicia e impunidad en la que se encuentran los hechos del caso.</w:t>
      </w:r>
    </w:p>
    <w:p w:rsidR="00610EC6" w:rsidRPr="00CD0682" w:rsidRDefault="00610EC6" w:rsidP="00CD0682">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 w:val="left" w:pos="1170"/>
        </w:tabs>
        <w:ind w:left="0" w:firstLine="720"/>
        <w:jc w:val="both"/>
        <w:rPr>
          <w:rFonts w:ascii="Cambria" w:hAnsi="Cambria"/>
          <w:sz w:val="22"/>
          <w:szCs w:val="22"/>
          <w:lang w:val="es-ES"/>
        </w:rPr>
      </w:pPr>
    </w:p>
    <w:p w:rsidR="00490E51" w:rsidRPr="00CD0682" w:rsidRDefault="00610EC6" w:rsidP="00CD0682">
      <w:pPr>
        <w:pStyle w:val="Sangradetextonormal"/>
        <w:numPr>
          <w:ilvl w:val="6"/>
          <w:numId w:val="7"/>
        </w:numPr>
        <w:pBdr>
          <w:top w:val="none" w:sz="0" w:space="0" w:color="auto"/>
          <w:left w:val="none" w:sz="0" w:space="0" w:color="auto"/>
          <w:bottom w:val="none" w:sz="0" w:space="0" w:color="auto"/>
          <w:right w:val="none" w:sz="0" w:space="0" w:color="auto"/>
          <w:between w:val="none" w:sz="0" w:space="0" w:color="auto"/>
          <w:bar w:val="none" w:sz="0" w:color="auto"/>
        </w:pBdr>
        <w:tabs>
          <w:tab w:val="clear" w:pos="5400"/>
          <w:tab w:val="left" w:pos="720"/>
          <w:tab w:val="left" w:pos="1080"/>
          <w:tab w:val="left" w:pos="1170"/>
        </w:tabs>
        <w:ind w:left="0" w:firstLine="720"/>
        <w:jc w:val="both"/>
        <w:rPr>
          <w:rFonts w:ascii="Cambria" w:hAnsi="Cambria"/>
          <w:sz w:val="22"/>
          <w:szCs w:val="22"/>
          <w:lang w:val="es-ES"/>
        </w:rPr>
      </w:pPr>
      <w:r w:rsidRPr="00CD0682">
        <w:rPr>
          <w:rFonts w:ascii="Cambria" w:hAnsi="Cambria"/>
          <w:sz w:val="22"/>
          <w:szCs w:val="22"/>
        </w:rPr>
        <w:t>Implementar medidas de no repetición para asegurar que las investigaciones de denuncias realizadas por jueces y juezas, así como las eventuales medidas de protección a ser implementadas a su favor, cumplan con los estándares establecidos en el informe.</w:t>
      </w:r>
    </w:p>
    <w:p w:rsidR="00490E51" w:rsidRPr="00155FD0" w:rsidRDefault="00490E51" w:rsidP="00610EC6">
      <w:pPr>
        <w:tabs>
          <w:tab w:val="left" w:pos="720"/>
          <w:tab w:val="left" w:pos="900"/>
          <w:tab w:val="left" w:pos="990"/>
          <w:tab w:val="left" w:pos="1080"/>
          <w:tab w:val="left" w:pos="1170"/>
          <w:tab w:val="left" w:pos="9214"/>
        </w:tabs>
        <w:spacing w:after="0" w:line="240" w:lineRule="auto"/>
        <w:ind w:left="720" w:right="720"/>
        <w:jc w:val="both"/>
        <w:rPr>
          <w:rFonts w:ascii="Cambria" w:hAnsi="Cambria"/>
          <w:lang w:val="es-ES"/>
        </w:rPr>
      </w:pPr>
    </w:p>
    <w:p w:rsidR="00911034" w:rsidRPr="00155FD0" w:rsidRDefault="00490E51" w:rsidP="00F96E82">
      <w:pPr>
        <w:spacing w:after="0" w:line="240" w:lineRule="auto"/>
        <w:jc w:val="both"/>
        <w:rPr>
          <w:rFonts w:ascii="Cambria" w:eastAsia="Times New Roman" w:hAnsi="Cambria" w:cs="Cambria"/>
          <w:lang w:val="es-CO"/>
        </w:rPr>
      </w:pPr>
      <w:r w:rsidRPr="00155FD0">
        <w:rPr>
          <w:rFonts w:ascii="Cambria" w:hAnsi="Cambria" w:cs="Arial"/>
          <w:lang w:val="es-CL"/>
        </w:rPr>
        <w:tab/>
        <w:t xml:space="preserve">Además de la necesidad de obtención de justicia, la Comisión destaca que el presente caso involucra cuestiones de orden público interamericano. Específicamente, </w:t>
      </w:r>
      <w:r w:rsidRPr="00155FD0">
        <w:rPr>
          <w:rFonts w:ascii="Cambria" w:eastAsia="Times New Roman" w:hAnsi="Cambria" w:cs="Cambria"/>
          <w:lang w:val="es-CO"/>
        </w:rPr>
        <w:t xml:space="preserve">el </w:t>
      </w:r>
      <w:r w:rsidR="00911034" w:rsidRPr="00155FD0">
        <w:rPr>
          <w:rFonts w:ascii="Cambria" w:eastAsia="Times New Roman" w:hAnsi="Cambria" w:cs="Cambria"/>
          <w:lang w:val="es-CO"/>
        </w:rPr>
        <w:t xml:space="preserve">caso permitirá a la Corte </w:t>
      </w:r>
      <w:r w:rsidR="00F96E82" w:rsidRPr="00B203BD">
        <w:rPr>
          <w:rFonts w:ascii="Cambria" w:eastAsia="Times New Roman" w:hAnsi="Cambria" w:cs="Cambria"/>
          <w:lang w:val="es-CO"/>
        </w:rPr>
        <w:t xml:space="preserve">profundizar su jurisprudencia sobre el principio de independencia judicial y sus implicaciones bajo la Convención Americana, en particular, los derechos subjetivos en cabeza de los operadores judiciales que se ven reforzados por dicho principio. La Corte Interamericana se ha pronunciado al respecto particularmente en casos relacionados con la destitución o cese de jueces y juezas. El presente caso ofrece la oportunidad para que </w:t>
      </w:r>
      <w:r w:rsidR="00F96E82">
        <w:rPr>
          <w:rFonts w:ascii="Cambria" w:eastAsia="Times New Roman" w:hAnsi="Cambria" w:cs="Cambria"/>
          <w:lang w:val="es-CO"/>
        </w:rPr>
        <w:t>la Corte Interamericana se pron</w:t>
      </w:r>
      <w:r w:rsidR="00F96E82" w:rsidRPr="00B203BD">
        <w:rPr>
          <w:rFonts w:ascii="Cambria" w:eastAsia="Times New Roman" w:hAnsi="Cambria" w:cs="Cambria"/>
          <w:lang w:val="es-CO"/>
        </w:rPr>
        <w:t xml:space="preserve">uncie sobre otro de los componentes fundamentales del principio de independencia judicial, a saber, la garantía contra presiones externas y las implicaciones </w:t>
      </w:r>
      <w:r w:rsidR="00F96E82">
        <w:rPr>
          <w:rFonts w:ascii="Cambria" w:eastAsia="Times New Roman" w:hAnsi="Cambria" w:cs="Cambria"/>
          <w:lang w:val="es-CO"/>
        </w:rPr>
        <w:t xml:space="preserve">de dicha garantía respecto de los derechos a la </w:t>
      </w:r>
      <w:r w:rsidR="00F96E82" w:rsidRPr="00B203BD">
        <w:rPr>
          <w:rFonts w:ascii="Cambria" w:eastAsia="Times New Roman" w:hAnsi="Cambria" w:cs="Cambria"/>
          <w:lang w:val="es-CO"/>
        </w:rPr>
        <w:t xml:space="preserve">vida e integridad personal de los jueces y juezas cuando dichas presiones se manifiestan en situaciones amenazas, </w:t>
      </w:r>
      <w:r w:rsidR="00F96E82">
        <w:rPr>
          <w:rFonts w:ascii="Cambria" w:eastAsia="Times New Roman" w:hAnsi="Cambria" w:cs="Cambria"/>
          <w:lang w:val="es-CO"/>
        </w:rPr>
        <w:t>hostigamientos y atentados conti</w:t>
      </w:r>
      <w:r w:rsidR="00F96E82" w:rsidRPr="00B203BD">
        <w:rPr>
          <w:rFonts w:ascii="Cambria" w:eastAsia="Times New Roman" w:hAnsi="Cambria" w:cs="Cambria"/>
          <w:lang w:val="es-CO"/>
        </w:rPr>
        <w:t>n</w:t>
      </w:r>
      <w:r w:rsidR="00F96E82">
        <w:rPr>
          <w:rFonts w:ascii="Cambria" w:eastAsia="Times New Roman" w:hAnsi="Cambria" w:cs="Cambria"/>
          <w:lang w:val="es-CO"/>
        </w:rPr>
        <w:t>u</w:t>
      </w:r>
      <w:r w:rsidR="00F96E82" w:rsidRPr="00B203BD">
        <w:rPr>
          <w:rFonts w:ascii="Cambria" w:eastAsia="Times New Roman" w:hAnsi="Cambria" w:cs="Cambria"/>
          <w:lang w:val="es-CO"/>
        </w:rPr>
        <w:t xml:space="preserve">os que ponen en riesgo tales derechos. En </w:t>
      </w:r>
      <w:r w:rsidR="00F96E82">
        <w:rPr>
          <w:rFonts w:ascii="Cambria" w:eastAsia="Times New Roman" w:hAnsi="Cambria" w:cs="Cambria"/>
          <w:lang w:val="es-CO"/>
        </w:rPr>
        <w:t>ese sentido, la Corte podrá prof</w:t>
      </w:r>
      <w:r w:rsidR="00F96E82" w:rsidRPr="00B203BD">
        <w:rPr>
          <w:rFonts w:ascii="Cambria" w:eastAsia="Times New Roman" w:hAnsi="Cambria" w:cs="Cambria"/>
          <w:lang w:val="es-CO"/>
        </w:rPr>
        <w:t>undizar sobre lo anterior desde el punto de vista del principio de independencia judicial, así como desde el deber de garantí</w:t>
      </w:r>
      <w:r w:rsidR="00F96E82">
        <w:rPr>
          <w:rFonts w:ascii="Cambria" w:eastAsia="Times New Roman" w:hAnsi="Cambria" w:cs="Cambria"/>
          <w:lang w:val="es-CO"/>
        </w:rPr>
        <w:t xml:space="preserve">a  </w:t>
      </w:r>
      <w:r w:rsidR="00F96E82" w:rsidRPr="00B203BD">
        <w:rPr>
          <w:rFonts w:ascii="Cambria" w:eastAsia="Times New Roman" w:hAnsi="Cambria" w:cs="Cambria"/>
          <w:lang w:val="es-CO"/>
        </w:rPr>
        <w:t>– tanto prevención como investigación – de los derechos a la vida e integridad personal.</w:t>
      </w:r>
    </w:p>
    <w:p w:rsidR="00490E51" w:rsidRPr="00155FD0" w:rsidRDefault="00490E51" w:rsidP="00490E51">
      <w:pPr>
        <w:tabs>
          <w:tab w:val="left" w:pos="720"/>
          <w:tab w:val="left" w:pos="9214"/>
        </w:tabs>
        <w:spacing w:after="0" w:line="240" w:lineRule="auto"/>
        <w:jc w:val="both"/>
        <w:rPr>
          <w:rFonts w:ascii="Cambria" w:hAnsi="Cambria" w:cs="Arial"/>
          <w:lang w:val="es-CO"/>
        </w:rPr>
      </w:pPr>
    </w:p>
    <w:p w:rsidR="00490E51" w:rsidRPr="00155FD0" w:rsidRDefault="00490E51" w:rsidP="00490E51">
      <w:pPr>
        <w:tabs>
          <w:tab w:val="left" w:pos="720"/>
          <w:tab w:val="left" w:pos="9214"/>
        </w:tabs>
        <w:spacing w:after="0" w:line="240" w:lineRule="auto"/>
        <w:jc w:val="both"/>
        <w:rPr>
          <w:rFonts w:ascii="Cambria" w:hAnsi="Cambria" w:cs="Arial"/>
          <w:lang w:val="es-CL"/>
        </w:rPr>
      </w:pPr>
      <w:r w:rsidRPr="00155FD0">
        <w:rPr>
          <w:rFonts w:ascii="Cambria" w:hAnsi="Cambria" w:cs="Arial"/>
          <w:lang w:val="es-CL"/>
        </w:rPr>
        <w:tab/>
        <w:t xml:space="preserve">En virtud de que estas cuestiones afectan de manera relevante el orden público </w:t>
      </w:r>
      <w:r w:rsidRPr="00155FD0">
        <w:rPr>
          <w:rFonts w:ascii="Cambria" w:eastAsia="Times New Roman" w:hAnsi="Cambria" w:cs="Courier New"/>
          <w:lang w:val="es-ES_tradnl"/>
        </w:rPr>
        <w:t>interamericano</w:t>
      </w:r>
      <w:r w:rsidRPr="00155FD0">
        <w:rPr>
          <w:rFonts w:ascii="Cambria" w:hAnsi="Cambria" w:cs="Arial"/>
          <w:lang w:val="es-CL"/>
        </w:rPr>
        <w:t>, de conformidad con el artículo 35.1 f) del Reglamento de la Corte Interamericana, la Comisión se permite ofrecer la siguiente declaraci</w:t>
      </w:r>
      <w:r w:rsidR="009F1914" w:rsidRPr="00155FD0">
        <w:rPr>
          <w:rFonts w:ascii="Cambria" w:hAnsi="Cambria" w:cs="Arial"/>
          <w:lang w:val="es-CL"/>
        </w:rPr>
        <w:t>ón</w:t>
      </w:r>
      <w:r w:rsidRPr="00155FD0">
        <w:rPr>
          <w:rFonts w:ascii="Cambria" w:hAnsi="Cambria" w:cs="Arial"/>
          <w:lang w:val="es-CL"/>
        </w:rPr>
        <w:t xml:space="preserve"> pericial:</w:t>
      </w:r>
    </w:p>
    <w:p w:rsidR="00490E51" w:rsidRPr="00155FD0" w:rsidRDefault="00490E51" w:rsidP="00490E51">
      <w:pPr>
        <w:tabs>
          <w:tab w:val="left" w:pos="0"/>
        </w:tabs>
        <w:spacing w:after="0" w:line="240" w:lineRule="auto"/>
        <w:ind w:firstLine="720"/>
        <w:jc w:val="both"/>
        <w:rPr>
          <w:rFonts w:ascii="Cambria" w:hAnsi="Cambria" w:cs="Courier New"/>
          <w:b/>
          <w:lang w:val="es-ES_tradnl"/>
        </w:rPr>
      </w:pPr>
    </w:p>
    <w:p w:rsidR="00490E51" w:rsidRPr="00155FD0" w:rsidRDefault="00490E51" w:rsidP="006D79CC">
      <w:pPr>
        <w:tabs>
          <w:tab w:val="left" w:pos="720"/>
          <w:tab w:val="left" w:pos="9214"/>
        </w:tabs>
        <w:spacing w:after="0" w:line="240" w:lineRule="auto"/>
        <w:jc w:val="both"/>
        <w:rPr>
          <w:rFonts w:ascii="Cambria" w:eastAsia="Times New Roman" w:hAnsi="Cambria" w:cs="Courier New"/>
          <w:lang w:val="es-ES_tradnl"/>
        </w:rPr>
      </w:pPr>
      <w:r w:rsidRPr="00155FD0">
        <w:rPr>
          <w:rFonts w:ascii="Cambria" w:eastAsia="Times New Roman" w:hAnsi="Cambria" w:cs="Courier New"/>
          <w:lang w:val="es-ES_tradnl"/>
        </w:rPr>
        <w:tab/>
      </w:r>
      <w:r w:rsidRPr="00155FD0">
        <w:rPr>
          <w:rFonts w:ascii="Cambria" w:eastAsia="Times New Roman" w:hAnsi="Cambria" w:cs="Courier New"/>
          <w:b/>
          <w:lang w:val="es-ES_tradnl"/>
        </w:rPr>
        <w:t>Perito/a cuyo nombre será informado a la brevedad</w:t>
      </w:r>
      <w:r w:rsidR="009F1914" w:rsidRPr="00155FD0">
        <w:rPr>
          <w:rFonts w:ascii="Cambria" w:eastAsia="Times New Roman" w:hAnsi="Cambria" w:cs="Courier New"/>
          <w:lang w:val="es-ES_tradnl"/>
        </w:rPr>
        <w:t xml:space="preserve">, </w:t>
      </w:r>
      <w:r w:rsidR="00F96E82">
        <w:rPr>
          <w:rFonts w:ascii="Cambria" w:eastAsia="Times New Roman" w:hAnsi="Cambria" w:cs="Courier New"/>
          <w:lang w:val="es-ES_tradnl"/>
        </w:rPr>
        <w:t>los estándares internacionales en materia del principio de independencia judicial y su</w:t>
      </w:r>
      <w:r w:rsidR="008F6F88">
        <w:rPr>
          <w:rFonts w:ascii="Cambria" w:eastAsia="Times New Roman" w:hAnsi="Cambria" w:cs="Courier New"/>
          <w:lang w:val="es-ES_tradnl"/>
        </w:rPr>
        <w:t>s implicaciones concretas en la “garantía contra presiones externas”. El/la perito/a desarrollará las obligaciones estatales específicas que derivan de dicha garantía, así como su interrelación con los deberes de respecto y garantía de los derechos a la vida e integridad judicial de los jueces y juezas</w:t>
      </w:r>
      <w:r w:rsidR="00342A86">
        <w:rPr>
          <w:rFonts w:ascii="Cambria" w:eastAsia="Times New Roman" w:hAnsi="Cambria" w:cs="Courier New"/>
          <w:lang w:val="es-ES_tradnl"/>
        </w:rPr>
        <w:t xml:space="preserve">. </w:t>
      </w:r>
      <w:r w:rsidR="006807EA">
        <w:rPr>
          <w:rFonts w:ascii="Cambria" w:eastAsia="Times New Roman" w:hAnsi="Cambria" w:cs="Courier New"/>
          <w:lang w:val="es-ES_tradnl"/>
        </w:rPr>
        <w:t xml:space="preserve">El/la perito/a se referirá a la manera en que deben implementarse tales obligaciones particularmente en contextos generales de presiones externas contra jueces y juezas que conocen casos de violaciones de derechos humanos. Finalmente, el/la perito/a podrá referirse a la situación en Guatemala en el marco temporal de los hechos del caso. </w:t>
      </w:r>
    </w:p>
    <w:p w:rsidR="00490E51" w:rsidRPr="00155FD0" w:rsidRDefault="00490E51" w:rsidP="006D79CC">
      <w:pPr>
        <w:tabs>
          <w:tab w:val="left" w:pos="720"/>
          <w:tab w:val="left" w:pos="9214"/>
        </w:tabs>
        <w:spacing w:after="0" w:line="240" w:lineRule="auto"/>
        <w:jc w:val="both"/>
        <w:rPr>
          <w:rFonts w:ascii="Cambria" w:hAnsi="Cambria" w:cs="Courier New"/>
          <w:b/>
          <w:lang w:val="es-ES_tradnl"/>
        </w:rPr>
      </w:pPr>
    </w:p>
    <w:p w:rsidR="00490E51" w:rsidRPr="00155FD0" w:rsidRDefault="00B9338D" w:rsidP="006D79CC">
      <w:pPr>
        <w:tabs>
          <w:tab w:val="left" w:pos="0"/>
        </w:tabs>
        <w:spacing w:after="0" w:line="240" w:lineRule="auto"/>
        <w:ind w:firstLine="720"/>
        <w:jc w:val="both"/>
        <w:rPr>
          <w:rFonts w:ascii="Cambria" w:hAnsi="Cambria"/>
          <w:lang w:val="es-CO"/>
        </w:rPr>
      </w:pPr>
      <w:r w:rsidRPr="00155FD0">
        <w:rPr>
          <w:rFonts w:ascii="Cambria" w:hAnsi="Cambria" w:cs="Courier New"/>
          <w:lang w:val="es-ES_tradnl"/>
        </w:rPr>
        <w:t xml:space="preserve">El CV </w:t>
      </w:r>
      <w:r w:rsidR="00490E51" w:rsidRPr="00155FD0">
        <w:rPr>
          <w:rFonts w:ascii="Cambria" w:hAnsi="Cambria" w:cs="Courier New"/>
          <w:lang w:val="es-ES_tradnl"/>
        </w:rPr>
        <w:t>de</w:t>
      </w:r>
      <w:r w:rsidRPr="00155FD0">
        <w:rPr>
          <w:rFonts w:ascii="Cambria" w:hAnsi="Cambria" w:cs="Courier New"/>
          <w:lang w:val="es-ES_tradnl"/>
        </w:rPr>
        <w:t xml:space="preserve">l/la </w:t>
      </w:r>
      <w:r w:rsidR="00490E51" w:rsidRPr="00155FD0">
        <w:rPr>
          <w:rFonts w:ascii="Cambria" w:hAnsi="Cambria"/>
          <w:lang w:val="es-AR"/>
        </w:rPr>
        <w:t xml:space="preserve">perito/a ofrecido/a </w:t>
      </w:r>
      <w:r w:rsidR="00490E51" w:rsidRPr="00155FD0">
        <w:rPr>
          <w:rFonts w:ascii="Cambria" w:hAnsi="Cambria"/>
          <w:lang w:val="es-CO"/>
        </w:rPr>
        <w:t>será incluido en los anexos al informe de</w:t>
      </w:r>
      <w:r w:rsidR="00171BA9">
        <w:rPr>
          <w:rFonts w:ascii="Cambria" w:hAnsi="Cambria"/>
          <w:lang w:val="es-CO"/>
        </w:rPr>
        <w:t xml:space="preserve"> admisibilidad y</w:t>
      </w:r>
      <w:r w:rsidR="00490E51" w:rsidRPr="00155FD0">
        <w:rPr>
          <w:rFonts w:ascii="Cambria" w:hAnsi="Cambria"/>
          <w:lang w:val="es-CO"/>
        </w:rPr>
        <w:t xml:space="preserve"> fondo. </w:t>
      </w:r>
    </w:p>
    <w:p w:rsidR="00490E51" w:rsidRPr="00155FD0" w:rsidRDefault="00490E51" w:rsidP="006D79CC">
      <w:pPr>
        <w:tabs>
          <w:tab w:val="left" w:pos="0"/>
        </w:tabs>
        <w:spacing w:after="0" w:line="240" w:lineRule="auto"/>
        <w:ind w:firstLine="720"/>
        <w:jc w:val="both"/>
        <w:rPr>
          <w:rFonts w:ascii="Cambria" w:hAnsi="Cambria"/>
          <w:lang w:val="es-CO"/>
        </w:rPr>
      </w:pPr>
    </w:p>
    <w:p w:rsidR="00490E51" w:rsidRDefault="00490E51" w:rsidP="006D79CC">
      <w:pPr>
        <w:tabs>
          <w:tab w:val="left" w:pos="720"/>
          <w:tab w:val="left" w:pos="9214"/>
        </w:tabs>
        <w:spacing w:after="0" w:line="240" w:lineRule="auto"/>
        <w:jc w:val="both"/>
        <w:rPr>
          <w:rFonts w:ascii="Cambria" w:hAnsi="Cambria"/>
          <w:lang w:val="es-ES_tradnl"/>
        </w:rPr>
      </w:pPr>
      <w:r w:rsidRPr="00155FD0">
        <w:rPr>
          <w:rFonts w:ascii="Cambria" w:hAnsi="Cambria"/>
          <w:lang w:val="es-ES_tradnl"/>
        </w:rPr>
        <w:tab/>
        <w:t xml:space="preserve">La Comisión pone en conocimiento de la Corte </w:t>
      </w:r>
      <w:r w:rsidR="00F23BAB">
        <w:rPr>
          <w:rFonts w:ascii="Cambria" w:hAnsi="Cambria"/>
          <w:lang w:val="es-ES_tradnl"/>
        </w:rPr>
        <w:t xml:space="preserve">que la señora María Eugenia Villaseñor actualmente realiza su propia representación. Sus datos de contacto son: </w:t>
      </w:r>
    </w:p>
    <w:p w:rsidR="00F23BAB" w:rsidRPr="005422BA" w:rsidRDefault="00F23BAB" w:rsidP="00F23BAB">
      <w:pPr>
        <w:widowControl w:val="0"/>
        <w:autoSpaceDE w:val="0"/>
        <w:autoSpaceDN w:val="0"/>
        <w:adjustRightInd w:val="0"/>
        <w:spacing w:after="0" w:line="240" w:lineRule="auto"/>
        <w:jc w:val="center"/>
        <w:rPr>
          <w:rFonts w:ascii="Cambria" w:hAnsi="Cambria" w:cs="Helvetica"/>
          <w:color w:val="0000FF"/>
          <w:lang w:val="es-UY"/>
        </w:rPr>
      </w:pPr>
    </w:p>
    <w:p w:rsidR="001D21B1" w:rsidRDefault="001D21B1" w:rsidP="00F23BAB">
      <w:pPr>
        <w:widowControl w:val="0"/>
        <w:autoSpaceDE w:val="0"/>
        <w:autoSpaceDN w:val="0"/>
        <w:adjustRightInd w:val="0"/>
        <w:spacing w:after="0" w:line="240" w:lineRule="auto"/>
        <w:jc w:val="center"/>
        <w:rPr>
          <w:rFonts w:ascii="Cambria" w:hAnsi="Cambria" w:cs="Helvetica"/>
          <w:color w:val="000000"/>
          <w:lang w:val="es-UY"/>
        </w:rPr>
      </w:pPr>
    </w:p>
    <w:p w:rsidR="001D21B1" w:rsidRDefault="001D21B1" w:rsidP="00F23BAB">
      <w:pPr>
        <w:widowControl w:val="0"/>
        <w:autoSpaceDE w:val="0"/>
        <w:autoSpaceDN w:val="0"/>
        <w:adjustRightInd w:val="0"/>
        <w:spacing w:after="0" w:line="240" w:lineRule="auto"/>
        <w:jc w:val="center"/>
        <w:rPr>
          <w:rFonts w:ascii="Cambria" w:hAnsi="Cambria" w:cs="Helvetica"/>
          <w:color w:val="000000"/>
          <w:lang w:val="es-UY"/>
        </w:rPr>
      </w:pPr>
    </w:p>
    <w:p w:rsidR="00F23BAB" w:rsidRPr="005422BA" w:rsidRDefault="00F23BAB" w:rsidP="00F23BAB">
      <w:pPr>
        <w:widowControl w:val="0"/>
        <w:autoSpaceDE w:val="0"/>
        <w:autoSpaceDN w:val="0"/>
        <w:adjustRightInd w:val="0"/>
        <w:spacing w:after="0" w:line="240" w:lineRule="auto"/>
        <w:jc w:val="center"/>
        <w:rPr>
          <w:rFonts w:ascii="Cambria" w:hAnsi="Cambria" w:cs="Helvetica"/>
          <w:color w:val="000000"/>
          <w:lang w:val="es-UY"/>
        </w:rPr>
      </w:pPr>
      <w:r w:rsidRPr="005422BA">
        <w:rPr>
          <w:rFonts w:ascii="Cambria" w:hAnsi="Cambria" w:cs="Helvetica"/>
          <w:color w:val="000000"/>
          <w:lang w:val="es-UY"/>
        </w:rPr>
        <w:t>María Eugenia Villaseñor Velarde</w:t>
      </w:r>
    </w:p>
    <w:p w:rsidR="00F23BAB" w:rsidRPr="005422BA" w:rsidRDefault="005422BA" w:rsidP="00F23BAB">
      <w:pPr>
        <w:tabs>
          <w:tab w:val="left" w:pos="720"/>
          <w:tab w:val="left" w:pos="9214"/>
        </w:tabs>
        <w:spacing w:after="0" w:line="240" w:lineRule="auto"/>
        <w:jc w:val="center"/>
        <w:rPr>
          <w:rFonts w:ascii="Cambria" w:hAnsi="Cambria" w:cs="Helvetica"/>
          <w:color w:val="000000"/>
          <w:highlight w:val="black"/>
          <w:lang w:val="es-UY"/>
        </w:rPr>
      </w:pPr>
      <w:r w:rsidRPr="005422BA">
        <w:rPr>
          <w:rFonts w:ascii="Cambria" w:hAnsi="Cambria" w:cs="Helvetica"/>
          <w:color w:val="000000"/>
          <w:highlight w:val="black"/>
          <w:lang w:val="es-UY"/>
        </w:rPr>
        <w:t>Xxxxxxxxxxxxxxxxxxxxxxxxx</w:t>
      </w:r>
    </w:p>
    <w:p w:rsidR="005422BA" w:rsidRPr="005422BA" w:rsidRDefault="005422BA" w:rsidP="00F23BAB">
      <w:pPr>
        <w:tabs>
          <w:tab w:val="left" w:pos="720"/>
          <w:tab w:val="left" w:pos="9214"/>
        </w:tabs>
        <w:spacing w:after="0" w:line="240" w:lineRule="auto"/>
        <w:jc w:val="center"/>
        <w:rPr>
          <w:rFonts w:ascii="Cambria" w:hAnsi="Cambria" w:cs="Helvetica"/>
          <w:color w:val="000000"/>
          <w:highlight w:val="black"/>
          <w:lang w:val="es-UY"/>
        </w:rPr>
      </w:pPr>
      <w:r w:rsidRPr="005422BA">
        <w:rPr>
          <w:rFonts w:ascii="Cambria" w:hAnsi="Cambria" w:cs="Helvetica"/>
          <w:color w:val="000000"/>
          <w:highlight w:val="black"/>
          <w:lang w:val="es-UY"/>
        </w:rPr>
        <w:t>Xxxxxxxxxxxxxxxxxxxxxxxxxx</w:t>
      </w:r>
    </w:p>
    <w:p w:rsidR="005422BA" w:rsidRPr="00E366B5" w:rsidRDefault="005422BA" w:rsidP="00F23BAB">
      <w:pPr>
        <w:tabs>
          <w:tab w:val="left" w:pos="720"/>
          <w:tab w:val="left" w:pos="9214"/>
        </w:tabs>
        <w:spacing w:after="0" w:line="240" w:lineRule="auto"/>
        <w:jc w:val="center"/>
        <w:rPr>
          <w:rFonts w:ascii="Cambria" w:hAnsi="Cambria"/>
          <w:color w:val="000000"/>
          <w:lang w:val="es-ES_tradnl"/>
        </w:rPr>
      </w:pPr>
      <w:proofErr w:type="gramStart"/>
      <w:r w:rsidRPr="005422BA">
        <w:rPr>
          <w:rFonts w:ascii="Cambria" w:hAnsi="Cambria" w:cs="Helvetica"/>
          <w:color w:val="000000"/>
          <w:highlight w:val="black"/>
          <w:lang w:val="es-UY"/>
        </w:rPr>
        <w:t>xxxxxxxxxxxxxxxxxxxxxxxxxxxxxxxx</w:t>
      </w:r>
      <w:proofErr w:type="gramEnd"/>
    </w:p>
    <w:p w:rsidR="00490E51" w:rsidRPr="00155FD0" w:rsidRDefault="00490E51" w:rsidP="006D79CC">
      <w:pPr>
        <w:tabs>
          <w:tab w:val="left" w:pos="720"/>
          <w:tab w:val="left" w:pos="9214"/>
        </w:tabs>
        <w:spacing w:after="0" w:line="240" w:lineRule="auto"/>
        <w:jc w:val="center"/>
        <w:rPr>
          <w:rFonts w:ascii="Cambria" w:hAnsi="Cambria"/>
          <w:lang w:val="es-ES_tradnl"/>
        </w:rPr>
      </w:pPr>
    </w:p>
    <w:tbl>
      <w:tblPr>
        <w:tblW w:w="11733" w:type="dxa"/>
        <w:tblCellMar>
          <w:left w:w="0" w:type="dxa"/>
          <w:right w:w="0" w:type="dxa"/>
        </w:tblCellMar>
        <w:tblLook w:val="04A0" w:firstRow="1" w:lastRow="0" w:firstColumn="1" w:lastColumn="0" w:noHBand="0" w:noVBand="1"/>
      </w:tblPr>
      <w:tblGrid>
        <w:gridCol w:w="8118"/>
        <w:gridCol w:w="3615"/>
      </w:tblGrid>
      <w:tr w:rsidR="00490E51" w:rsidRPr="00155FD0" w:rsidTr="006D79CC">
        <w:trPr>
          <w:trHeight w:val="427"/>
        </w:trPr>
        <w:tc>
          <w:tcPr>
            <w:tcW w:w="8118" w:type="dxa"/>
            <w:tcMar>
              <w:top w:w="0" w:type="dxa"/>
              <w:left w:w="108" w:type="dxa"/>
              <w:bottom w:w="0" w:type="dxa"/>
              <w:right w:w="108" w:type="dxa"/>
            </w:tcMar>
          </w:tcPr>
          <w:p w:rsidR="006D79CC" w:rsidRPr="00155FD0" w:rsidRDefault="006D79CC" w:rsidP="003453F4">
            <w:pPr>
              <w:spacing w:after="0" w:line="240" w:lineRule="auto"/>
              <w:rPr>
                <w:rFonts w:ascii="Cambria" w:hAnsi="Cambria"/>
                <w:lang w:val="es-ES"/>
              </w:rPr>
            </w:pPr>
            <w:bookmarkStart w:id="2" w:name="email"/>
            <w:bookmarkEnd w:id="2"/>
          </w:p>
        </w:tc>
        <w:tc>
          <w:tcPr>
            <w:tcW w:w="3615" w:type="dxa"/>
            <w:tcMar>
              <w:top w:w="0" w:type="dxa"/>
              <w:left w:w="108" w:type="dxa"/>
              <w:bottom w:w="0" w:type="dxa"/>
              <w:right w:w="108" w:type="dxa"/>
            </w:tcMar>
          </w:tcPr>
          <w:p w:rsidR="00490E51" w:rsidRPr="00155FD0" w:rsidRDefault="00490E51" w:rsidP="006D79CC">
            <w:pPr>
              <w:spacing w:after="0" w:line="240" w:lineRule="auto"/>
              <w:ind w:left="810" w:hanging="810"/>
              <w:jc w:val="center"/>
              <w:rPr>
                <w:rFonts w:ascii="Cambria" w:hAnsi="Cambria"/>
                <w:lang w:val="es-ES"/>
              </w:rPr>
            </w:pPr>
          </w:p>
        </w:tc>
      </w:tr>
    </w:tbl>
    <w:p w:rsidR="00490E51" w:rsidRPr="00155FD0" w:rsidRDefault="00490E51" w:rsidP="00490E51">
      <w:pPr>
        <w:tabs>
          <w:tab w:val="left" w:pos="0"/>
        </w:tabs>
        <w:spacing w:after="0" w:line="240" w:lineRule="auto"/>
        <w:ind w:firstLine="720"/>
        <w:jc w:val="both"/>
        <w:rPr>
          <w:rFonts w:ascii="Cambria" w:hAnsi="Cambria" w:cs="Arial"/>
          <w:lang w:val="es-CO"/>
        </w:rPr>
      </w:pPr>
      <w:r w:rsidRPr="00155FD0">
        <w:rPr>
          <w:rFonts w:ascii="Cambria" w:hAnsi="Cambria" w:cs="Arial"/>
          <w:lang w:val="es-CO"/>
        </w:rPr>
        <w:t>Aprovecho la oportunidad para saludar a usted muy atentamente,</w:t>
      </w:r>
    </w:p>
    <w:p w:rsidR="00490E51" w:rsidRPr="00155FD0" w:rsidRDefault="00490E51" w:rsidP="00490E51">
      <w:pPr>
        <w:suppressAutoHyphens/>
        <w:spacing w:after="0" w:line="240" w:lineRule="auto"/>
        <w:rPr>
          <w:rFonts w:ascii="Cambria" w:hAnsi="Cambria" w:cs="Arial"/>
          <w:snapToGrid w:val="0"/>
          <w:lang w:val="es-CO"/>
        </w:rPr>
      </w:pPr>
    </w:p>
    <w:p w:rsidR="00490E51" w:rsidRPr="00155FD0" w:rsidRDefault="00490E51" w:rsidP="00490E51">
      <w:pPr>
        <w:suppressAutoHyphens/>
        <w:spacing w:after="0" w:line="240" w:lineRule="auto"/>
        <w:jc w:val="center"/>
        <w:rPr>
          <w:rFonts w:ascii="Cambria" w:hAnsi="Cambria" w:cs="Arial"/>
          <w:snapToGrid w:val="0"/>
          <w:lang w:val="es-CO"/>
        </w:rPr>
      </w:pPr>
    </w:p>
    <w:p w:rsidR="00490E51" w:rsidRPr="00155FD0" w:rsidRDefault="00490E51" w:rsidP="00490E51">
      <w:pPr>
        <w:suppressAutoHyphens/>
        <w:spacing w:after="0" w:line="240" w:lineRule="auto"/>
        <w:jc w:val="center"/>
        <w:rPr>
          <w:rFonts w:ascii="Cambria" w:hAnsi="Cambria" w:cs="Arial"/>
          <w:snapToGrid w:val="0"/>
          <w:lang w:val="es-CO"/>
        </w:rPr>
      </w:pPr>
      <w:r w:rsidRPr="00155FD0">
        <w:rPr>
          <w:rFonts w:ascii="Cambria" w:hAnsi="Cambria" w:cs="Arial"/>
          <w:snapToGrid w:val="0"/>
          <w:lang w:val="es-CO"/>
        </w:rPr>
        <w:t xml:space="preserve">                                                                                                           </w:t>
      </w:r>
    </w:p>
    <w:p w:rsidR="00490E51" w:rsidRPr="006B50EC" w:rsidRDefault="005422BA" w:rsidP="005422BA">
      <w:pPr>
        <w:suppressAutoHyphens/>
        <w:spacing w:after="0" w:line="240" w:lineRule="auto"/>
        <w:ind w:left="5040"/>
        <w:rPr>
          <w:rFonts w:ascii="Cambria" w:hAnsi="Cambria" w:cs="Arial"/>
          <w:snapToGrid w:val="0"/>
          <w:color w:val="A6A6A6"/>
          <w:sz w:val="18"/>
          <w:lang w:val="es-CO"/>
        </w:rPr>
      </w:pPr>
      <w:r w:rsidRPr="006B50EC">
        <w:rPr>
          <w:rFonts w:ascii="Cambria" w:hAnsi="Cambria" w:cs="Arial"/>
          <w:snapToGrid w:val="0"/>
          <w:color w:val="A6A6A6"/>
          <w:sz w:val="18"/>
          <w:lang w:val="es-CO"/>
        </w:rPr>
        <w:t xml:space="preserve">             Firmado en el original</w:t>
      </w:r>
    </w:p>
    <w:p w:rsidR="00490E51" w:rsidRPr="00155FD0" w:rsidRDefault="00490E51" w:rsidP="00490E51">
      <w:pPr>
        <w:suppressAutoHyphens/>
        <w:spacing w:after="0" w:line="240" w:lineRule="auto"/>
        <w:rPr>
          <w:rFonts w:ascii="Cambria" w:hAnsi="Cambria" w:cs="Arial"/>
          <w:snapToGrid w:val="0"/>
          <w:lang w:val="es-CO"/>
        </w:rPr>
      </w:pPr>
      <w:r w:rsidRPr="00155FD0">
        <w:rPr>
          <w:rFonts w:ascii="Cambria" w:hAnsi="Cambria" w:cs="Arial"/>
          <w:snapToGrid w:val="0"/>
          <w:lang w:val="es-CO"/>
        </w:rPr>
        <w:t xml:space="preserve">                                                                                                              Elizabeth Abi-Mershed </w:t>
      </w:r>
    </w:p>
    <w:p w:rsidR="00490E51" w:rsidRPr="00155FD0" w:rsidRDefault="00490E51" w:rsidP="00490E51">
      <w:pPr>
        <w:suppressAutoHyphens/>
        <w:spacing w:after="0" w:line="240" w:lineRule="auto"/>
        <w:ind w:left="4320"/>
        <w:rPr>
          <w:rFonts w:ascii="Cambria" w:hAnsi="Cambria"/>
          <w:lang w:val="es-CO"/>
        </w:rPr>
      </w:pPr>
      <w:r w:rsidRPr="00155FD0">
        <w:rPr>
          <w:rFonts w:ascii="Cambria" w:hAnsi="Cambria" w:cs="Arial"/>
          <w:snapToGrid w:val="0"/>
          <w:lang w:val="es-CO"/>
        </w:rPr>
        <w:t xml:space="preserve">                 Secretaria Ejecutiva Adjunta </w:t>
      </w:r>
    </w:p>
    <w:p w:rsidR="00490E51" w:rsidRPr="005422BA" w:rsidRDefault="00490E51" w:rsidP="00490E51">
      <w:pPr>
        <w:spacing w:after="0" w:line="240" w:lineRule="auto"/>
        <w:rPr>
          <w:rFonts w:ascii="Cambria" w:hAnsi="Cambria"/>
          <w:lang w:val="es-UY"/>
        </w:rPr>
      </w:pPr>
    </w:p>
    <w:p w:rsidR="00490E51" w:rsidRPr="005422BA" w:rsidRDefault="00490E51" w:rsidP="00490E51">
      <w:pPr>
        <w:spacing w:after="0" w:line="240" w:lineRule="auto"/>
        <w:rPr>
          <w:rFonts w:ascii="Cambria" w:hAnsi="Cambria"/>
          <w:lang w:val="es-UY"/>
        </w:rPr>
      </w:pPr>
    </w:p>
    <w:p w:rsidR="00411F7C" w:rsidRPr="005422BA" w:rsidRDefault="00411F7C">
      <w:pPr>
        <w:rPr>
          <w:lang w:val="es-UY"/>
        </w:rPr>
      </w:pPr>
    </w:p>
    <w:sectPr w:rsidR="00411F7C" w:rsidRPr="005422BA" w:rsidSect="003D05AA">
      <w:headerReference w:type="default" r:id="rId7"/>
      <w:footerReference w:type="default" r:id="rId8"/>
      <w:headerReference w:type="first" r:id="rId9"/>
      <w:footerReference w:type="first" r:id="rId10"/>
      <w:pgSz w:w="12240" w:h="15840"/>
      <w:pgMar w:top="1260" w:right="1440" w:bottom="630" w:left="126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093" w:rsidRDefault="00682093">
      <w:pPr>
        <w:spacing w:after="0" w:line="240" w:lineRule="auto"/>
      </w:pPr>
      <w:r>
        <w:separator/>
      </w:r>
    </w:p>
  </w:endnote>
  <w:endnote w:type="continuationSeparator" w:id="0">
    <w:p w:rsidR="00682093" w:rsidRDefault="00682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F UI Text">
    <w:charset w:val="00"/>
    <w:family w:val="auto"/>
    <w:pitch w:val="variable"/>
    <w:sig w:usb0="E00002FF" w:usb1="5000785B" w:usb2="00000000" w:usb3="00000000" w:csb0="0000019F" w:csb1="00000000"/>
  </w:font>
  <w:font w:name=".SFUIText-Regular">
    <w:charset w:val="00"/>
    <w:family w:val="auto"/>
    <w:pitch w:val="variable"/>
    <w:sig w:usb0="E00002FF" w:usb1="5000785B"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5AA" w:rsidRPr="00A72869" w:rsidRDefault="003D05AA">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59414E">
      <w:rPr>
        <w:noProof/>
        <w:color w:val="7F7F7F"/>
        <w:sz w:val="16"/>
      </w:rPr>
      <w:t>4</w:t>
    </w:r>
    <w:r w:rsidRPr="00A72869">
      <w:rPr>
        <w:noProof/>
        <w:color w:val="7F7F7F"/>
        <w:sz w:val="16"/>
      </w:rPr>
      <w:fldChar w:fldCharType="end"/>
    </w:r>
  </w:p>
  <w:p w:rsidR="003D05AA" w:rsidRDefault="003D05A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5AA" w:rsidRDefault="003D05AA" w:rsidP="003D05AA">
    <w:pPr>
      <w:pStyle w:val="Piedepgina"/>
      <w:spacing w:line="360" w:lineRule="auto"/>
    </w:pPr>
    <w:r>
      <w:pict>
        <v:rect id="_x0000_i1026" style="width:0;height:1.5pt" o:hralign="center" o:hrstd="t" o:hr="t" fillcolor="#a0a0a0" stroked="f"/>
      </w:pict>
    </w:r>
  </w:p>
  <w:p w:rsidR="003D05AA" w:rsidRDefault="003D05AA" w:rsidP="003D05AA">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1" type="#_x0000_t75" style="width:403.2pt;height:25.3pt;visibility:visible">
          <v:imagedata r:id="rId1" o:title="footer-es"/>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093" w:rsidRDefault="00682093">
      <w:pPr>
        <w:spacing w:after="0" w:line="240" w:lineRule="auto"/>
      </w:pPr>
      <w:r>
        <w:separator/>
      </w:r>
    </w:p>
  </w:footnote>
  <w:footnote w:type="continuationSeparator" w:id="0">
    <w:p w:rsidR="00682093" w:rsidRDefault="006820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5AA" w:rsidRPr="0058688A" w:rsidRDefault="003D05AA" w:rsidP="003D05AA">
    <w:pPr>
      <w:pStyle w:val="Encabezado"/>
      <w:jc w:val="center"/>
      <w:rPr>
        <w:lang w:val="es-ES_tradnl"/>
      </w:rPr>
    </w:pPr>
    <w:r>
      <w:rPr>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0.2pt;height:9.6pt">
          <v:imagedata r:id="rId1" o:title="cidh-peq"/>
        </v:shape>
      </w:pict>
    </w:r>
  </w:p>
  <w:p w:rsidR="003D05AA" w:rsidRDefault="003D05AA">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5AA" w:rsidRDefault="003D05AA" w:rsidP="003D05AA">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9" type="#_x0000_t75" style="width:185pt;height:35.8pt;visibility:visible">
          <v:imagedata r:id="rId1" o:title="cidh-es"/>
        </v:shape>
      </w:pict>
    </w:r>
    <w:r>
      <w:tab/>
    </w:r>
    <w:r>
      <w:tab/>
    </w:r>
    <w:r w:rsidRPr="008A5CB5">
      <w:rPr>
        <w:noProof/>
      </w:rPr>
      <w:pict>
        <v:shape id="Picture 2" o:spid="_x0000_i1030" type="#_x0000_t75" style="width:129.6pt;height:37.55pt;visibility:visible">
          <v:imagedata r:id="rId2" o:title="oea-es"/>
        </v:shape>
      </w:pict>
    </w:r>
  </w:p>
  <w:p w:rsidR="003D05AA" w:rsidRDefault="003D05AA" w:rsidP="003D05AA">
    <w:pPr>
      <w:pStyle w:val="Encabezado"/>
    </w:pPr>
  </w:p>
  <w:p w:rsidR="003D05AA" w:rsidRDefault="003D05AA" w:rsidP="003D05AA">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A38E6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9050020"/>
    <w:multiLevelType w:val="hybridMultilevel"/>
    <w:tmpl w:val="95AEC2CC"/>
    <w:lvl w:ilvl="0" w:tplc="88743C72">
      <w:start w:val="1"/>
      <w:numFmt w:val="decimal"/>
      <w:lvlText w:val="%1."/>
      <w:lvlJc w:val="left"/>
      <w:pPr>
        <w:tabs>
          <w:tab w:val="num" w:pos="1429"/>
        </w:tabs>
        <w:ind w:firstLine="720"/>
      </w:pPr>
      <w:rPr>
        <w:rFonts w:ascii="Cambria" w:hAnsi="Cambria" w:cs="Times New Roman" w:hint="default"/>
        <w:b w:val="0"/>
        <w:i w:val="0"/>
        <w:color w:val="auto"/>
        <w:sz w:val="20"/>
        <w:szCs w:val="20"/>
        <w:lang w:val="es-PE"/>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6B0058BA">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D950353"/>
    <w:multiLevelType w:val="hybridMultilevel"/>
    <w:tmpl w:val="D6AAF3BE"/>
    <w:lvl w:ilvl="0" w:tplc="827C5788">
      <w:start w:val="1"/>
      <w:numFmt w:val="decimal"/>
      <w:lvlText w:val="%1."/>
      <w:lvlJc w:val="left"/>
      <w:pPr>
        <w:ind w:left="720" w:hanging="360"/>
      </w:pPr>
      <w:rPr>
        <w:rFonts w:hint="default"/>
        <w:lang w:val="es-C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C87AC3"/>
    <w:multiLevelType w:val="hybridMultilevel"/>
    <w:tmpl w:val="DE920C52"/>
    <w:lvl w:ilvl="0" w:tplc="0409000F">
      <w:start w:val="1"/>
      <w:numFmt w:val="decimal"/>
      <w:lvlText w:val="%1."/>
      <w:lvlJc w:val="left"/>
      <w:pPr>
        <w:tabs>
          <w:tab w:val="num" w:pos="2160"/>
        </w:tabs>
        <w:ind w:left="2160" w:hanging="360"/>
      </w:pPr>
    </w:lvl>
    <w:lvl w:ilvl="1" w:tplc="36E8ACC4">
      <w:start w:val="4"/>
      <w:numFmt w:val="upp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nsid w:val="3BBA7DE2"/>
    <w:multiLevelType w:val="hybridMultilevel"/>
    <w:tmpl w:val="527AABA2"/>
    <w:lvl w:ilvl="0" w:tplc="FC1A0092">
      <w:start w:val="1"/>
      <w:numFmt w:val="decimal"/>
      <w:lvlText w:val="%1."/>
      <w:lvlJc w:val="left"/>
      <w:pPr>
        <w:tabs>
          <w:tab w:val="num" w:pos="1260"/>
        </w:tabs>
        <w:ind w:left="1260" w:hanging="360"/>
      </w:pPr>
      <w:rPr>
        <w:rFonts w:ascii="Cambria" w:hAnsi="Cambria" w:cs="Times New Roman" w:hint="default"/>
        <w:b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65146B17"/>
    <w:multiLevelType w:val="hybridMultilevel"/>
    <w:tmpl w:val="DD54A0D2"/>
    <w:lvl w:ilvl="0" w:tplc="A79A8BDA">
      <w:start w:val="1"/>
      <w:numFmt w:val="decimal"/>
      <w:lvlText w:val="%1."/>
      <w:lvlJc w:val="left"/>
      <w:pPr>
        <w:tabs>
          <w:tab w:val="num" w:pos="2160"/>
        </w:tabs>
        <w:ind w:left="2160" w:hanging="1440"/>
      </w:pPr>
      <w:rPr>
        <w:rFonts w:ascii="Calibri" w:hAnsi="Calibri" w:hint="default"/>
        <w:b w:val="0"/>
        <w:i w:val="0"/>
        <w:sz w:val="22"/>
        <w:szCs w:val="20"/>
        <w:lang w:val="es-ES"/>
      </w:rPr>
    </w:lvl>
    <w:lvl w:ilvl="1" w:tplc="04090019">
      <w:start w:val="6"/>
      <w:numFmt w:val="upperRoman"/>
      <w:lvlText w:val="%2."/>
      <w:lvlJc w:val="left"/>
      <w:pPr>
        <w:tabs>
          <w:tab w:val="num" w:pos="2160"/>
        </w:tabs>
        <w:ind w:left="2160" w:hanging="720"/>
      </w:pPr>
      <w:rPr>
        <w:rFonts w:hint="default"/>
      </w:rPr>
    </w:lvl>
    <w:lvl w:ilvl="2" w:tplc="2D8EE518">
      <w:start w:val="1"/>
      <w:numFmt w:val="upperLetter"/>
      <w:lvlText w:val="%3."/>
      <w:lvlJc w:val="left"/>
      <w:pPr>
        <w:tabs>
          <w:tab w:val="num" w:pos="3060"/>
        </w:tabs>
        <w:ind w:left="3060" w:hanging="720"/>
      </w:pPr>
      <w:rPr>
        <w:rFonts w:ascii="Cambria" w:hAnsi="Cambria" w:hint="default"/>
        <w:i w:val="0"/>
        <w:sz w:val="20"/>
        <w:szCs w:val="20"/>
      </w:rPr>
    </w:lvl>
    <w:lvl w:ilvl="3" w:tplc="1BC6FDD6">
      <w:start w:val="1"/>
      <w:numFmt w:val="lowerRoman"/>
      <w:lvlText w:val="%4."/>
      <w:lvlJc w:val="left"/>
      <w:pPr>
        <w:tabs>
          <w:tab w:val="num" w:pos="3600"/>
        </w:tabs>
        <w:ind w:left="3600" w:hanging="720"/>
      </w:pPr>
      <w:rPr>
        <w:rFonts w:cs="Times New Roman" w:hint="default"/>
      </w:rPr>
    </w:lvl>
    <w:lvl w:ilvl="4" w:tplc="C350752E">
      <w:start w:val="1"/>
      <w:numFmt w:val="lowerRoman"/>
      <w:lvlText w:val="%5)"/>
      <w:lvlJc w:val="left"/>
      <w:pPr>
        <w:tabs>
          <w:tab w:val="num" w:pos="4320"/>
        </w:tabs>
        <w:ind w:left="4320" w:hanging="720"/>
      </w:pPr>
      <w:rPr>
        <w:rFonts w:hint="default"/>
      </w:rPr>
    </w:lvl>
    <w:lvl w:ilvl="5" w:tplc="D396B2D4">
      <w:start w:val="1"/>
      <w:numFmt w:val="lowerLetter"/>
      <w:lvlText w:val="%6."/>
      <w:lvlJc w:val="left"/>
      <w:pPr>
        <w:tabs>
          <w:tab w:val="num" w:pos="4860"/>
        </w:tabs>
        <w:ind w:left="4860" w:hanging="360"/>
      </w:pPr>
      <w:rPr>
        <w:rFonts w:hint="default"/>
      </w:r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65CF134A"/>
    <w:multiLevelType w:val="hybridMultilevel"/>
    <w:tmpl w:val="F46EA5C0"/>
    <w:lvl w:ilvl="0" w:tplc="34946016">
      <w:start w:val="1"/>
      <w:numFmt w:val="lowerLetter"/>
      <w:lvlText w:val="%1)"/>
      <w:lvlJc w:val="left"/>
      <w:pPr>
        <w:tabs>
          <w:tab w:val="num" w:pos="1443"/>
        </w:tabs>
        <w:ind w:left="1443" w:hanging="735"/>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num w:numId="1">
    <w:abstractNumId w:val="2"/>
  </w:num>
  <w:num w:numId="2">
    <w:abstractNumId w:val="4"/>
  </w:num>
  <w:num w:numId="3">
    <w:abstractNumId w:val="6"/>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grammar="clean"/>
  <w:doNotTrackMoves/>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0E51"/>
    <w:rsid w:val="00051541"/>
    <w:rsid w:val="000A7364"/>
    <w:rsid w:val="000C3F7C"/>
    <w:rsid w:val="000C75D9"/>
    <w:rsid w:val="00155FD0"/>
    <w:rsid w:val="00171BA9"/>
    <w:rsid w:val="001D21B1"/>
    <w:rsid w:val="0021017B"/>
    <w:rsid w:val="00227017"/>
    <w:rsid w:val="00227179"/>
    <w:rsid w:val="00264C0E"/>
    <w:rsid w:val="002A4B6A"/>
    <w:rsid w:val="002D5161"/>
    <w:rsid w:val="00331802"/>
    <w:rsid w:val="0033216C"/>
    <w:rsid w:val="00337BB2"/>
    <w:rsid w:val="00342A86"/>
    <w:rsid w:val="003453F4"/>
    <w:rsid w:val="003D05AA"/>
    <w:rsid w:val="003D179D"/>
    <w:rsid w:val="00411F7C"/>
    <w:rsid w:val="00436289"/>
    <w:rsid w:val="00457863"/>
    <w:rsid w:val="00490E51"/>
    <w:rsid w:val="00492824"/>
    <w:rsid w:val="004F41FE"/>
    <w:rsid w:val="004F5534"/>
    <w:rsid w:val="005422BA"/>
    <w:rsid w:val="0056163F"/>
    <w:rsid w:val="0059414E"/>
    <w:rsid w:val="00594DC5"/>
    <w:rsid w:val="005978F1"/>
    <w:rsid w:val="00597D70"/>
    <w:rsid w:val="005D20A0"/>
    <w:rsid w:val="00610EC6"/>
    <w:rsid w:val="006229DB"/>
    <w:rsid w:val="006807EA"/>
    <w:rsid w:val="00682093"/>
    <w:rsid w:val="006B50EC"/>
    <w:rsid w:val="006D79CC"/>
    <w:rsid w:val="006E6070"/>
    <w:rsid w:val="007A08B3"/>
    <w:rsid w:val="007E4020"/>
    <w:rsid w:val="0080639E"/>
    <w:rsid w:val="00854F7E"/>
    <w:rsid w:val="008608C6"/>
    <w:rsid w:val="008650D2"/>
    <w:rsid w:val="00866AB4"/>
    <w:rsid w:val="008F3AB1"/>
    <w:rsid w:val="008F60D0"/>
    <w:rsid w:val="008F6F88"/>
    <w:rsid w:val="0090414A"/>
    <w:rsid w:val="00911034"/>
    <w:rsid w:val="00925E6D"/>
    <w:rsid w:val="00926D21"/>
    <w:rsid w:val="00935C84"/>
    <w:rsid w:val="00983A17"/>
    <w:rsid w:val="009C0E7E"/>
    <w:rsid w:val="009E19C0"/>
    <w:rsid w:val="009F1914"/>
    <w:rsid w:val="009F2492"/>
    <w:rsid w:val="00A13371"/>
    <w:rsid w:val="00A26203"/>
    <w:rsid w:val="00A36ED5"/>
    <w:rsid w:val="00A572D2"/>
    <w:rsid w:val="00AD0833"/>
    <w:rsid w:val="00AF0292"/>
    <w:rsid w:val="00B216C2"/>
    <w:rsid w:val="00B32B34"/>
    <w:rsid w:val="00B6067F"/>
    <w:rsid w:val="00B9338D"/>
    <w:rsid w:val="00C66FE6"/>
    <w:rsid w:val="00C83C79"/>
    <w:rsid w:val="00C94919"/>
    <w:rsid w:val="00CB194A"/>
    <w:rsid w:val="00CD0682"/>
    <w:rsid w:val="00D43738"/>
    <w:rsid w:val="00D4499E"/>
    <w:rsid w:val="00DF5D08"/>
    <w:rsid w:val="00E0709A"/>
    <w:rsid w:val="00E366B5"/>
    <w:rsid w:val="00E4572F"/>
    <w:rsid w:val="00E57B4F"/>
    <w:rsid w:val="00E6094A"/>
    <w:rsid w:val="00E754D2"/>
    <w:rsid w:val="00E81DDC"/>
    <w:rsid w:val="00F23BAB"/>
    <w:rsid w:val="00F47B0A"/>
    <w:rsid w:val="00F65763"/>
    <w:rsid w:val="00F96E82"/>
    <w:rsid w:val="00FB1414"/>
    <w:rsid w:val="00FB7DB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90E51"/>
    <w:pPr>
      <w:tabs>
        <w:tab w:val="center" w:pos="4680"/>
        <w:tab w:val="right" w:pos="9360"/>
      </w:tabs>
      <w:spacing w:after="0" w:line="240" w:lineRule="auto"/>
    </w:pPr>
  </w:style>
  <w:style w:type="character" w:customStyle="1" w:styleId="EncabezadoCar">
    <w:name w:val="Encabezado Car"/>
    <w:link w:val="Encabezado"/>
    <w:rsid w:val="00490E51"/>
    <w:rPr>
      <w:rFonts w:eastAsia="MS Mincho"/>
      <w:sz w:val="22"/>
      <w:szCs w:val="22"/>
    </w:rPr>
  </w:style>
  <w:style w:type="paragraph" w:styleId="Piedepgina">
    <w:name w:val="footer"/>
    <w:basedOn w:val="Normal"/>
    <w:link w:val="PiedepginaCar"/>
    <w:unhideWhenUsed/>
    <w:rsid w:val="00490E51"/>
    <w:pPr>
      <w:tabs>
        <w:tab w:val="center" w:pos="4680"/>
        <w:tab w:val="right" w:pos="9360"/>
      </w:tabs>
      <w:spacing w:after="0" w:line="240" w:lineRule="auto"/>
    </w:pPr>
  </w:style>
  <w:style w:type="character" w:customStyle="1" w:styleId="PiedepginaCar">
    <w:name w:val="Pie de página Car"/>
    <w:link w:val="Piedepgina"/>
    <w:rsid w:val="00490E51"/>
    <w:rPr>
      <w:rFonts w:eastAsia="MS Mincho"/>
      <w:sz w:val="22"/>
      <w:szCs w:val="22"/>
    </w:rPr>
  </w:style>
  <w:style w:type="character" w:styleId="Hipervnculo">
    <w:name w:val="Hyperlink"/>
    <w:uiPriority w:val="99"/>
    <w:semiHidden/>
    <w:unhideWhenUsed/>
    <w:rsid w:val="00490E51"/>
    <w:rPr>
      <w:color w:val="0000FF"/>
      <w:u w:val="single"/>
    </w:rPr>
  </w:style>
  <w:style w:type="paragraph" w:customStyle="1" w:styleId="p1">
    <w:name w:val="p1"/>
    <w:basedOn w:val="Normal"/>
    <w:rsid w:val="00490E51"/>
    <w:pPr>
      <w:spacing w:after="0" w:line="240" w:lineRule="auto"/>
    </w:pPr>
    <w:rPr>
      <w:rFonts w:ascii=".SF UI Text" w:hAnsi=".SF UI Text"/>
      <w:color w:val="454545"/>
      <w:sz w:val="26"/>
      <w:szCs w:val="26"/>
    </w:rPr>
  </w:style>
  <w:style w:type="character" w:customStyle="1" w:styleId="s1">
    <w:name w:val="s1"/>
    <w:rsid w:val="00490E51"/>
    <w:rPr>
      <w:rFonts w:ascii=".SFUIText-Regular" w:hAnsi=".SFUIText-Regular" w:hint="default"/>
      <w:b w:val="0"/>
      <w:bCs w:val="0"/>
      <w:i w:val="0"/>
      <w:iCs w:val="0"/>
      <w:sz w:val="34"/>
      <w:szCs w:val="34"/>
    </w:rPr>
  </w:style>
  <w:style w:type="paragraph" w:styleId="Sangradetextonormal">
    <w:name w:val="Body Text Indent"/>
    <w:link w:val="SangradetextonormalCar"/>
    <w:rsid w:val="006E6070"/>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6E6070"/>
    <w:rPr>
      <w:rFonts w:ascii="Times New Roman" w:eastAsia="Times New Roman" w:hAnsi="Times New Roman"/>
      <w:color w:val="000000"/>
      <w:sz w:val="24"/>
      <w:szCs w:val="24"/>
      <w:u w:color="000000"/>
      <w:bdr w:val="nil"/>
      <w:lang w:val="es-ES_tradnl" w:eastAsia="es-ES"/>
    </w:rPr>
  </w:style>
  <w:style w:type="paragraph" w:styleId="Listavistosa-nfasis1">
    <w:name w:val="Colorful List Accent 1"/>
    <w:basedOn w:val="Normal"/>
    <w:uiPriority w:val="72"/>
    <w:qFormat/>
    <w:rsid w:val="009C0E7E"/>
    <w:pPr>
      <w:pBdr>
        <w:top w:val="nil"/>
        <w:left w:val="nil"/>
        <w:bottom w:val="nil"/>
        <w:right w:val="nil"/>
        <w:between w:val="nil"/>
        <w:bar w:val="nil"/>
      </w:pBdr>
      <w:spacing w:after="0" w:line="240" w:lineRule="auto"/>
      <w:ind w:left="720"/>
    </w:pPr>
    <w:rPr>
      <w:rFonts w:ascii="Times New Roman" w:eastAsia="Arial Unicode MS" w:hAnsi="Times New Roman"/>
      <w:sz w:val="24"/>
      <w:szCs w:val="24"/>
      <w:bdr w:val="nil"/>
    </w:rPr>
  </w:style>
  <w:style w:type="paragraph" w:styleId="Textodeglobo">
    <w:name w:val="Balloon Text"/>
    <w:basedOn w:val="Normal"/>
    <w:link w:val="TextodegloboCar"/>
    <w:uiPriority w:val="99"/>
    <w:semiHidden/>
    <w:unhideWhenUsed/>
    <w:rsid w:val="0022701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270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9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1611</Words>
  <Characters>8865</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10456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2018-01-31T16:46:00Z</cp:lastPrinted>
  <dcterms:created xsi:type="dcterms:W3CDTF">2018-01-31T16:46:00Z</dcterms:created>
  <dcterms:modified xsi:type="dcterms:W3CDTF">2018-01-31T16:46:00Z</dcterms:modified>
</cp:coreProperties>
</file>