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2D5" w:rsidRPr="00F65AAF" w:rsidRDefault="00DB52D5" w:rsidP="00DB52D5">
      <w:pPr>
        <w:pStyle w:val="Ttulo"/>
        <w:spacing w:before="0" w:beforeAutospacing="0" w:after="0" w:afterAutospacing="0"/>
        <w:jc w:val="center"/>
        <w:rPr>
          <w:rFonts w:ascii="Univers" w:hAnsi="Univers"/>
          <w:sz w:val="20"/>
          <w:szCs w:val="20"/>
          <w:lang w:val="es-AR"/>
        </w:rPr>
      </w:pPr>
      <w:r w:rsidRPr="00F65AAF">
        <w:rPr>
          <w:rFonts w:ascii="Univers" w:hAnsi="Univers"/>
          <w:b/>
          <w:bCs/>
          <w:sz w:val="20"/>
          <w:szCs w:val="20"/>
          <w:lang w:val="es-AR"/>
        </w:rPr>
        <w:t xml:space="preserve">INFORME No. </w:t>
      </w:r>
      <w:r w:rsidR="00011147">
        <w:rPr>
          <w:rFonts w:ascii="Univers" w:hAnsi="Univers"/>
          <w:b/>
          <w:bCs/>
          <w:sz w:val="20"/>
          <w:szCs w:val="20"/>
          <w:lang w:val="es-AR"/>
        </w:rPr>
        <w:t>106</w:t>
      </w:r>
      <w:r w:rsidRPr="00F65AAF">
        <w:rPr>
          <w:rFonts w:ascii="Univers" w:hAnsi="Univers"/>
          <w:b/>
          <w:bCs/>
          <w:sz w:val="20"/>
          <w:szCs w:val="20"/>
          <w:lang w:val="es-AR"/>
        </w:rPr>
        <w:t>/10</w:t>
      </w:r>
    </w:p>
    <w:p w:rsidR="00DB52D5" w:rsidRPr="00F65AAF" w:rsidRDefault="00DB52D5" w:rsidP="00DB52D5">
      <w:pPr>
        <w:jc w:val="center"/>
        <w:rPr>
          <w:rFonts w:ascii="Univers" w:hAnsi="Univers"/>
        </w:rPr>
      </w:pPr>
      <w:r w:rsidRPr="00F65AAF">
        <w:rPr>
          <w:rFonts w:ascii="Univers" w:hAnsi="Univers"/>
        </w:rPr>
        <w:t xml:space="preserve">PETICIÓN </w:t>
      </w:r>
      <w:r w:rsidR="00A100F4" w:rsidRPr="00F65AAF">
        <w:rPr>
          <w:rFonts w:ascii="Univers" w:hAnsi="Univers"/>
        </w:rPr>
        <w:t>147</w:t>
      </w:r>
      <w:r w:rsidRPr="00F65AAF">
        <w:rPr>
          <w:rFonts w:ascii="Univers" w:hAnsi="Univers"/>
        </w:rPr>
        <w:t>-</w:t>
      </w:r>
      <w:r w:rsidR="00A100F4" w:rsidRPr="00F65AAF">
        <w:rPr>
          <w:rFonts w:ascii="Univers" w:hAnsi="Univers"/>
        </w:rPr>
        <w:t>98</w:t>
      </w:r>
    </w:p>
    <w:p w:rsidR="00DB52D5" w:rsidRPr="00F65AAF" w:rsidRDefault="00DB52D5" w:rsidP="00DB52D5">
      <w:pPr>
        <w:jc w:val="center"/>
        <w:rPr>
          <w:rFonts w:ascii="Univers" w:hAnsi="Univers"/>
        </w:rPr>
      </w:pPr>
      <w:r w:rsidRPr="00F65AAF">
        <w:rPr>
          <w:rFonts w:ascii="Univers" w:hAnsi="Univers"/>
        </w:rPr>
        <w:t>ADMISIBILIDAD</w:t>
      </w:r>
    </w:p>
    <w:p w:rsidR="00DB52D5" w:rsidRPr="00F65AAF" w:rsidRDefault="00A100F4" w:rsidP="00DB52D5">
      <w:pPr>
        <w:jc w:val="center"/>
        <w:rPr>
          <w:rFonts w:ascii="Univers" w:hAnsi="Univers"/>
        </w:rPr>
      </w:pPr>
      <w:r w:rsidRPr="00F65AAF">
        <w:rPr>
          <w:rFonts w:ascii="Univers" w:hAnsi="Univers"/>
        </w:rPr>
        <w:t>OSCAR MUELLE FLORES</w:t>
      </w:r>
    </w:p>
    <w:p w:rsidR="00DB52D5" w:rsidRPr="00F65AAF" w:rsidRDefault="00DB52D5" w:rsidP="00DB52D5">
      <w:pPr>
        <w:jc w:val="center"/>
        <w:rPr>
          <w:rFonts w:ascii="Univers" w:hAnsi="Univers"/>
        </w:rPr>
      </w:pPr>
      <w:r w:rsidRPr="00F65AAF">
        <w:rPr>
          <w:rFonts w:ascii="Univers" w:hAnsi="Univers"/>
        </w:rPr>
        <w:t>PERÚ</w:t>
      </w:r>
    </w:p>
    <w:p w:rsidR="00DB52D5" w:rsidRPr="00F65AAF" w:rsidRDefault="00331D11" w:rsidP="00DB52D5">
      <w:pPr>
        <w:jc w:val="center"/>
        <w:rPr>
          <w:rFonts w:ascii="Univers" w:hAnsi="Univers"/>
        </w:rPr>
      </w:pPr>
      <w:r>
        <w:rPr>
          <w:rFonts w:ascii="Univers" w:hAnsi="Univers"/>
        </w:rPr>
        <w:t>16</w:t>
      </w:r>
      <w:r w:rsidR="006E1D11" w:rsidRPr="00F65AAF">
        <w:rPr>
          <w:rFonts w:ascii="Univers" w:hAnsi="Univers"/>
        </w:rPr>
        <w:t xml:space="preserve"> de </w:t>
      </w:r>
      <w:r w:rsidR="00B32D14" w:rsidRPr="00F65AAF">
        <w:rPr>
          <w:rFonts w:ascii="Univers" w:hAnsi="Univers"/>
        </w:rPr>
        <w:t>julio</w:t>
      </w:r>
      <w:r w:rsidR="00A100F4" w:rsidRPr="00F65AAF">
        <w:rPr>
          <w:rFonts w:ascii="Univers" w:hAnsi="Univers"/>
        </w:rPr>
        <w:t xml:space="preserve"> </w:t>
      </w:r>
      <w:r w:rsidR="00DB52D5" w:rsidRPr="00F65AAF">
        <w:rPr>
          <w:rFonts w:ascii="Univers" w:hAnsi="Univers"/>
        </w:rPr>
        <w:t>de 2010</w:t>
      </w:r>
    </w:p>
    <w:p w:rsidR="00DB52D5" w:rsidRPr="00DA0F0D" w:rsidRDefault="00DB52D5" w:rsidP="00DB52D5">
      <w:pPr>
        <w:ind w:firstLine="720"/>
        <w:jc w:val="both"/>
        <w:rPr>
          <w:rFonts w:ascii="Univers" w:hAnsi="Univers"/>
          <w:sz w:val="16"/>
          <w:szCs w:val="16"/>
        </w:rPr>
      </w:pPr>
    </w:p>
    <w:p w:rsidR="00DB52D5" w:rsidRPr="00F65AAF" w:rsidRDefault="00DB52D5" w:rsidP="00DB52D5">
      <w:pPr>
        <w:ind w:firstLine="720"/>
        <w:jc w:val="both"/>
        <w:rPr>
          <w:rFonts w:ascii="Univers" w:hAnsi="Univers"/>
        </w:rPr>
      </w:pPr>
      <w:r w:rsidRPr="00F65AAF">
        <w:rPr>
          <w:rFonts w:ascii="Univers" w:hAnsi="Univers"/>
          <w:b/>
        </w:rPr>
        <w:t>I.</w:t>
      </w:r>
      <w:r w:rsidRPr="00F65AAF">
        <w:rPr>
          <w:rFonts w:ascii="Univers" w:hAnsi="Univers"/>
          <w:b/>
        </w:rPr>
        <w:tab/>
        <w:t>RESUMEN</w:t>
      </w:r>
    </w:p>
    <w:p w:rsidR="00DB52D5" w:rsidRPr="00F65AAF" w:rsidRDefault="00DB52D5" w:rsidP="00DB52D5">
      <w:pPr>
        <w:ind w:firstLine="720"/>
        <w:jc w:val="both"/>
        <w:rPr>
          <w:rFonts w:ascii="Univers" w:hAnsi="Univers"/>
        </w:rPr>
      </w:pPr>
    </w:p>
    <w:p w:rsidR="00245D71" w:rsidRPr="00F65AAF" w:rsidRDefault="00DB52D5" w:rsidP="00245D71">
      <w:pPr>
        <w:pStyle w:val="Textonotaalfinal"/>
        <w:numPr>
          <w:ilvl w:val="0"/>
          <w:numId w:val="17"/>
        </w:numPr>
        <w:tabs>
          <w:tab w:val="clear" w:pos="720"/>
          <w:tab w:val="num" w:pos="0"/>
        </w:tabs>
        <w:ind w:left="0" w:firstLine="720"/>
        <w:rPr>
          <w:lang w:val="es-AR"/>
        </w:rPr>
      </w:pPr>
      <w:r w:rsidRPr="00F65AAF">
        <w:rPr>
          <w:lang w:val="es-AR"/>
        </w:rPr>
        <w:t xml:space="preserve">El </w:t>
      </w:r>
      <w:r w:rsidR="00A100F4" w:rsidRPr="00F65AAF">
        <w:rPr>
          <w:lang w:val="es-AR"/>
        </w:rPr>
        <w:t>8</w:t>
      </w:r>
      <w:r w:rsidRPr="00F65AAF">
        <w:rPr>
          <w:lang w:val="es-AR"/>
        </w:rPr>
        <w:t xml:space="preserve"> de </w:t>
      </w:r>
      <w:r w:rsidR="00A100F4" w:rsidRPr="00F65AAF">
        <w:rPr>
          <w:lang w:val="es-AR"/>
        </w:rPr>
        <w:t xml:space="preserve">abril </w:t>
      </w:r>
      <w:r w:rsidRPr="00F65AAF">
        <w:rPr>
          <w:lang w:val="es-AR"/>
        </w:rPr>
        <w:t xml:space="preserve">de </w:t>
      </w:r>
      <w:r w:rsidR="00A100F4" w:rsidRPr="00F65AAF">
        <w:rPr>
          <w:lang w:val="es-AR"/>
        </w:rPr>
        <w:t>1998</w:t>
      </w:r>
      <w:r w:rsidRPr="00F65AAF">
        <w:rPr>
          <w:lang w:val="es-AR"/>
        </w:rPr>
        <w:t xml:space="preserve"> la Comisión Interamericana de Derechos Humanos (en adelante “la Comisión”, “la Comisión Interamericana” o “la CIDH”) recibió una petición presentada</w:t>
      </w:r>
      <w:r w:rsidR="006E1D11" w:rsidRPr="00F65AAF">
        <w:rPr>
          <w:lang w:val="es-AR"/>
        </w:rPr>
        <w:t xml:space="preserve"> en nombre propio</w:t>
      </w:r>
      <w:r w:rsidRPr="00F65AAF">
        <w:rPr>
          <w:lang w:val="es-AR"/>
        </w:rPr>
        <w:t xml:space="preserve"> por </w:t>
      </w:r>
      <w:r w:rsidR="00A100F4" w:rsidRPr="00F65AAF">
        <w:rPr>
          <w:lang w:val="es-AR"/>
        </w:rPr>
        <w:t xml:space="preserve">Oscar Muelle Flores </w:t>
      </w:r>
      <w:r w:rsidRPr="00F65AAF">
        <w:rPr>
          <w:lang w:val="es-AR"/>
        </w:rPr>
        <w:t>(en adelante “el peticionario” o “la presunta víctima”) en la cual se alega la responsabilidad de la República del Perú (en adelante “el Estado” o “el Estado peruano”) por el</w:t>
      </w:r>
      <w:r w:rsidR="005A24D0" w:rsidRPr="00F65AAF">
        <w:rPr>
          <w:lang w:val="es-AR"/>
        </w:rPr>
        <w:t xml:space="preserve"> presunto incumplimiento de dos </w:t>
      </w:r>
      <w:r w:rsidRPr="00F65AAF">
        <w:rPr>
          <w:lang w:val="es-AR"/>
        </w:rPr>
        <w:t>sentencia</w:t>
      </w:r>
      <w:r w:rsidR="005A24D0" w:rsidRPr="00F65AAF">
        <w:rPr>
          <w:lang w:val="es-AR"/>
        </w:rPr>
        <w:t xml:space="preserve">s </w:t>
      </w:r>
      <w:r w:rsidRPr="00F65AAF">
        <w:rPr>
          <w:lang w:val="es-AR"/>
        </w:rPr>
        <w:t xml:space="preserve">de amparo que le reconoce ciertos derechos, incluyendo, según lo afirmado, </w:t>
      </w:r>
      <w:r w:rsidR="00F815BC" w:rsidRPr="00F65AAF">
        <w:rPr>
          <w:lang w:val="es-AR"/>
        </w:rPr>
        <w:t>su incorporación al régimen de pensiones y compensaciones del Decreto Ley 20</w:t>
      </w:r>
      <w:r w:rsidR="004A4878" w:rsidRPr="00F65AAF">
        <w:rPr>
          <w:lang w:val="es-AR"/>
        </w:rPr>
        <w:t>.</w:t>
      </w:r>
      <w:r w:rsidR="00F815BC" w:rsidRPr="00F65AAF">
        <w:rPr>
          <w:lang w:val="es-AR"/>
        </w:rPr>
        <w:t xml:space="preserve">530 y el pago renovable de </w:t>
      </w:r>
      <w:r w:rsidR="00160441" w:rsidRPr="00F65AAF">
        <w:rPr>
          <w:lang w:val="es-AR"/>
        </w:rPr>
        <w:t xml:space="preserve">su </w:t>
      </w:r>
      <w:r w:rsidR="00F815BC" w:rsidRPr="00F65AAF">
        <w:rPr>
          <w:lang w:val="es-AR"/>
        </w:rPr>
        <w:t>pensión de cesantía.</w:t>
      </w:r>
      <w:r w:rsidRPr="00F65AAF">
        <w:rPr>
          <w:lang w:val="es-AR"/>
        </w:rPr>
        <w:t xml:space="preserve"> </w:t>
      </w:r>
      <w:r w:rsidR="006E1D11" w:rsidRPr="00F65AAF">
        <w:rPr>
          <w:lang w:val="es-AR"/>
        </w:rPr>
        <w:t>El peticionario alegó que</w:t>
      </w:r>
      <w:r w:rsidR="00160441" w:rsidRPr="00F65AAF">
        <w:t xml:space="preserve"> </w:t>
      </w:r>
      <w:r w:rsidR="00F815BC" w:rsidRPr="00F65AAF">
        <w:t xml:space="preserve">el Estado peruano no </w:t>
      </w:r>
      <w:r w:rsidR="00160441" w:rsidRPr="00F65AAF">
        <w:t xml:space="preserve">ha </w:t>
      </w:r>
      <w:r w:rsidR="00F815BC" w:rsidRPr="00F65AAF">
        <w:t>cumplido con su obligación de ejecutar las sentencias de la Corte Suprema de Justicia</w:t>
      </w:r>
      <w:r w:rsidR="00160441" w:rsidRPr="00F65AAF">
        <w:t xml:space="preserve"> y del Tribunal Constitucional</w:t>
      </w:r>
      <w:r w:rsidR="00245D71" w:rsidRPr="00F65AAF">
        <w:t xml:space="preserve">. </w:t>
      </w:r>
      <w:r w:rsidR="00A703AC" w:rsidRPr="00F65AAF">
        <w:rPr>
          <w:lang w:val="es-AR"/>
        </w:rPr>
        <w:t>Sostuvo</w:t>
      </w:r>
      <w:r w:rsidR="006E1D11" w:rsidRPr="00F65AAF">
        <w:rPr>
          <w:lang w:val="es-AR"/>
        </w:rPr>
        <w:t xml:space="preserve"> que lo anterior </w:t>
      </w:r>
      <w:r w:rsidR="003A7599" w:rsidRPr="00F65AAF">
        <w:t>constituye</w:t>
      </w:r>
      <w:r w:rsidR="006E1D11" w:rsidRPr="00F65AAF">
        <w:t xml:space="preserve"> una violación de los derechos consagrados en los artículos 24 y 25 de la Convención Americana.</w:t>
      </w:r>
    </w:p>
    <w:p w:rsidR="00245D71" w:rsidRPr="00F65AAF" w:rsidRDefault="00245D71" w:rsidP="00245D71">
      <w:pPr>
        <w:pStyle w:val="Textonotaalfinal"/>
        <w:ind w:left="720"/>
        <w:rPr>
          <w:lang w:val="es-AR"/>
        </w:rPr>
      </w:pPr>
    </w:p>
    <w:p w:rsidR="00F3141E" w:rsidRPr="00F65AAF" w:rsidRDefault="00245D71" w:rsidP="00245D71">
      <w:pPr>
        <w:pStyle w:val="Textonotaalfinal"/>
        <w:numPr>
          <w:ilvl w:val="0"/>
          <w:numId w:val="17"/>
        </w:numPr>
        <w:tabs>
          <w:tab w:val="clear" w:pos="720"/>
          <w:tab w:val="num" w:pos="0"/>
        </w:tabs>
        <w:ind w:left="0" w:firstLine="720"/>
        <w:rPr>
          <w:lang w:val="es-AR"/>
        </w:rPr>
      </w:pPr>
      <w:r w:rsidRPr="00F65AAF">
        <w:rPr>
          <w:lang w:val="es-AR"/>
        </w:rPr>
        <w:t>P</w:t>
      </w:r>
      <w:r w:rsidR="00DB52D5" w:rsidRPr="00F65AAF">
        <w:rPr>
          <w:lang w:val="es-AR"/>
        </w:rPr>
        <w:t xml:space="preserve">or su parte, el Estado </w:t>
      </w:r>
      <w:r w:rsidR="00F3141E" w:rsidRPr="00F65AAF">
        <w:rPr>
          <w:rFonts w:cs="Arial"/>
          <w:iCs/>
        </w:rPr>
        <w:t>describió las diligencias judiciales realizadas en las dos acciones de amparo interpuestas por el peticionario</w:t>
      </w:r>
      <w:r w:rsidR="006E1D11" w:rsidRPr="00F65AAF">
        <w:rPr>
          <w:rFonts w:cs="Arial"/>
          <w:iCs/>
        </w:rPr>
        <w:t xml:space="preserve"> y</w:t>
      </w:r>
      <w:r w:rsidR="00F3141E" w:rsidRPr="00F65AAF">
        <w:rPr>
          <w:rFonts w:cs="Arial"/>
          <w:iCs/>
        </w:rPr>
        <w:t xml:space="preserve"> </w:t>
      </w:r>
      <w:r w:rsidR="006E1D11" w:rsidRPr="00F65AAF">
        <w:rPr>
          <w:rFonts w:cs="Arial"/>
          <w:iCs/>
        </w:rPr>
        <w:t>a</w:t>
      </w:r>
      <w:r w:rsidR="00F3141E" w:rsidRPr="00F65AAF">
        <w:rPr>
          <w:rFonts w:cs="Arial"/>
          <w:iCs/>
        </w:rPr>
        <w:t>firmó que las dos acciones fueron declaradas fundadas</w:t>
      </w:r>
      <w:r w:rsidR="006E1D11" w:rsidRPr="00F65AAF">
        <w:rPr>
          <w:rFonts w:cs="Arial"/>
          <w:iCs/>
        </w:rPr>
        <w:t>, encontrándose actualmente en etapa de ejecución.</w:t>
      </w:r>
    </w:p>
    <w:p w:rsidR="00DD478A" w:rsidRPr="00F65AAF" w:rsidRDefault="00DD478A" w:rsidP="00DD478A">
      <w:pPr>
        <w:ind w:left="720"/>
        <w:jc w:val="both"/>
        <w:rPr>
          <w:rFonts w:cs="Arial"/>
          <w:iCs/>
        </w:rPr>
      </w:pPr>
    </w:p>
    <w:p w:rsidR="00DB52D5" w:rsidRPr="00F65AAF" w:rsidRDefault="00DB52D5" w:rsidP="00DB52D5">
      <w:pPr>
        <w:pStyle w:val="Textonotaalfinal"/>
        <w:numPr>
          <w:ilvl w:val="0"/>
          <w:numId w:val="17"/>
        </w:numPr>
        <w:tabs>
          <w:tab w:val="clear" w:pos="720"/>
          <w:tab w:val="num" w:pos="0"/>
        </w:tabs>
        <w:ind w:left="0" w:firstLine="720"/>
        <w:rPr>
          <w:lang w:val="es-AR"/>
        </w:rPr>
      </w:pPr>
      <w:r w:rsidRPr="00F65AAF">
        <w:rPr>
          <w:lang w:val="es-AR"/>
        </w:rPr>
        <w:t>Tras examinar la posición de las partes a la luz de los requisitos de admisibilidad establecidos en los artículos 46 y 47 de la Convención, la Comisión concluyó que es competente para conocer el reclamo</w:t>
      </w:r>
      <w:r w:rsidR="006E1D11" w:rsidRPr="00F65AAF">
        <w:rPr>
          <w:lang w:val="es-AR"/>
        </w:rPr>
        <w:t xml:space="preserve"> y que</w:t>
      </w:r>
      <w:r w:rsidRPr="00F65AAF">
        <w:rPr>
          <w:lang w:val="es-AR"/>
        </w:rPr>
        <w:t xml:space="preserve"> los hechos allí narrados </w:t>
      </w:r>
      <w:r w:rsidR="006E1D11" w:rsidRPr="00F65AAF">
        <w:rPr>
          <w:lang w:val="es-AR"/>
        </w:rPr>
        <w:t>podrían</w:t>
      </w:r>
      <w:r w:rsidRPr="00F65AAF">
        <w:rPr>
          <w:lang w:val="es-AR"/>
        </w:rPr>
        <w:t xml:space="preserve"> caracterizar una violación </w:t>
      </w:r>
      <w:r w:rsidR="00D8323A" w:rsidRPr="00F65AAF">
        <w:rPr>
          <w:lang w:val="es-AR"/>
        </w:rPr>
        <w:t>a los</w:t>
      </w:r>
      <w:r w:rsidRPr="00F65AAF">
        <w:rPr>
          <w:lang w:val="es-AR"/>
        </w:rPr>
        <w:t xml:space="preserve"> derecho</w:t>
      </w:r>
      <w:r w:rsidR="00D8323A" w:rsidRPr="00F65AAF">
        <w:rPr>
          <w:lang w:val="es-AR"/>
        </w:rPr>
        <w:t>s</w:t>
      </w:r>
      <w:r w:rsidRPr="00F65AAF">
        <w:rPr>
          <w:lang w:val="es-AR"/>
        </w:rPr>
        <w:t xml:space="preserve"> protegido</w:t>
      </w:r>
      <w:r w:rsidR="00D8323A" w:rsidRPr="00F65AAF">
        <w:rPr>
          <w:lang w:val="es-AR"/>
        </w:rPr>
        <w:t>s</w:t>
      </w:r>
      <w:r w:rsidRPr="00F65AAF">
        <w:rPr>
          <w:lang w:val="es-AR"/>
        </w:rPr>
        <w:t xml:space="preserve"> </w:t>
      </w:r>
      <w:r w:rsidR="00D8323A" w:rsidRPr="00F65AAF">
        <w:rPr>
          <w:lang w:val="es-AR"/>
        </w:rPr>
        <w:t>por</w:t>
      </w:r>
      <w:r w:rsidR="006E1D11" w:rsidRPr="00F65AAF">
        <w:rPr>
          <w:lang w:val="es-AR"/>
        </w:rPr>
        <w:t xml:space="preserve"> los artículos</w:t>
      </w:r>
      <w:r w:rsidR="00D8323A" w:rsidRPr="00F65AAF">
        <w:rPr>
          <w:lang w:val="es-AR"/>
        </w:rPr>
        <w:t xml:space="preserve"> 8.1</w:t>
      </w:r>
      <w:r w:rsidR="007E0270" w:rsidRPr="00F65AAF">
        <w:rPr>
          <w:lang w:val="es-AR"/>
        </w:rPr>
        <w:t>, 21</w:t>
      </w:r>
      <w:r w:rsidR="00D8323A" w:rsidRPr="00F65AAF">
        <w:rPr>
          <w:lang w:val="es-AR"/>
        </w:rPr>
        <w:t xml:space="preserve"> y 25.2.c</w:t>
      </w:r>
      <w:r w:rsidR="006E1D11" w:rsidRPr="00F65AAF">
        <w:rPr>
          <w:lang w:val="es-AR"/>
        </w:rPr>
        <w:t xml:space="preserve"> de</w:t>
      </w:r>
      <w:r w:rsidRPr="00F65AAF">
        <w:rPr>
          <w:lang w:val="es-AR"/>
        </w:rPr>
        <w:t xml:space="preserve"> la Convención</w:t>
      </w:r>
      <w:r w:rsidR="006E1D11" w:rsidRPr="00F65AAF">
        <w:rPr>
          <w:lang w:val="es-AR"/>
        </w:rPr>
        <w:t xml:space="preserve"> Americana</w:t>
      </w:r>
      <w:r w:rsidRPr="00F65AAF">
        <w:rPr>
          <w:lang w:val="es-AR"/>
        </w:rPr>
        <w:t xml:space="preserve">. Asimismo, decidió notificar el presente Informe de </w:t>
      </w:r>
      <w:r w:rsidR="00160441" w:rsidRPr="00F65AAF">
        <w:rPr>
          <w:lang w:val="es-AR"/>
        </w:rPr>
        <w:t>A</w:t>
      </w:r>
      <w:r w:rsidRPr="00F65AAF">
        <w:rPr>
          <w:lang w:val="es-AR"/>
        </w:rPr>
        <w:t>dmisibilidad a las partes y publicarlo en su Informe Anual.</w:t>
      </w:r>
    </w:p>
    <w:p w:rsidR="00DB52D5" w:rsidRPr="00F65AAF" w:rsidRDefault="00DB52D5" w:rsidP="00DB52D5">
      <w:pPr>
        <w:pStyle w:val="Textonotaalfinal"/>
        <w:ind w:firstLine="720"/>
        <w:rPr>
          <w:lang w:val="es-AR"/>
        </w:rPr>
      </w:pPr>
    </w:p>
    <w:p w:rsidR="00DB52D5" w:rsidRPr="00F65AAF" w:rsidRDefault="00DB52D5" w:rsidP="00DB52D5">
      <w:pPr>
        <w:pStyle w:val="Textonotaalfinal"/>
        <w:ind w:firstLine="720"/>
        <w:rPr>
          <w:lang w:val="es-AR"/>
        </w:rPr>
      </w:pPr>
      <w:r w:rsidRPr="00F65AAF">
        <w:rPr>
          <w:b/>
          <w:lang w:val="es-AR"/>
        </w:rPr>
        <w:t>II.</w:t>
      </w:r>
      <w:r w:rsidRPr="00F65AAF">
        <w:rPr>
          <w:b/>
          <w:lang w:val="es-AR"/>
        </w:rPr>
        <w:tab/>
        <w:t>TRÁMITE ANTE LA COMISIÓN</w:t>
      </w:r>
    </w:p>
    <w:p w:rsidR="00DB52D5" w:rsidRPr="00F65AAF" w:rsidRDefault="00DB52D5" w:rsidP="00DB52D5">
      <w:pPr>
        <w:pStyle w:val="Textonotaalfinal"/>
        <w:ind w:firstLine="720"/>
        <w:rPr>
          <w:lang w:val="es-AR"/>
        </w:rPr>
      </w:pPr>
    </w:p>
    <w:p w:rsidR="00DB52D5" w:rsidRPr="00F65AAF" w:rsidRDefault="00DB52D5" w:rsidP="00DB52D5">
      <w:pPr>
        <w:pStyle w:val="Textonotaalfinal"/>
        <w:numPr>
          <w:ilvl w:val="0"/>
          <w:numId w:val="17"/>
        </w:numPr>
        <w:tabs>
          <w:tab w:val="clear" w:pos="720"/>
          <w:tab w:val="num" w:pos="0"/>
        </w:tabs>
        <w:ind w:left="0" w:firstLine="720"/>
        <w:rPr>
          <w:lang w:val="es-AR"/>
        </w:rPr>
      </w:pPr>
      <w:r w:rsidRPr="00F65AAF">
        <w:rPr>
          <w:lang w:val="es-AR"/>
        </w:rPr>
        <w:t xml:space="preserve">La Comisión recibió la petición el </w:t>
      </w:r>
      <w:r w:rsidR="00A100F4" w:rsidRPr="00F65AAF">
        <w:rPr>
          <w:lang w:val="es-AR"/>
        </w:rPr>
        <w:t>8</w:t>
      </w:r>
      <w:r w:rsidRPr="00F65AAF">
        <w:rPr>
          <w:lang w:val="es-AR"/>
        </w:rPr>
        <w:t xml:space="preserve"> de </w:t>
      </w:r>
      <w:r w:rsidR="00A100F4" w:rsidRPr="00F65AAF">
        <w:rPr>
          <w:lang w:val="es-AR"/>
        </w:rPr>
        <w:t xml:space="preserve">abril </w:t>
      </w:r>
      <w:r w:rsidRPr="00F65AAF">
        <w:rPr>
          <w:lang w:val="es-AR"/>
        </w:rPr>
        <w:t xml:space="preserve">de </w:t>
      </w:r>
      <w:r w:rsidR="00A100F4" w:rsidRPr="00F65AAF">
        <w:rPr>
          <w:lang w:val="es-AR"/>
        </w:rPr>
        <w:t>1998</w:t>
      </w:r>
      <w:r w:rsidRPr="00F65AAF">
        <w:rPr>
          <w:lang w:val="es-AR"/>
        </w:rPr>
        <w:t xml:space="preserve">, </w:t>
      </w:r>
      <w:r w:rsidR="007E0270" w:rsidRPr="00F65AAF">
        <w:rPr>
          <w:lang w:val="es-AR"/>
        </w:rPr>
        <w:t>registrándola bajo</w:t>
      </w:r>
      <w:r w:rsidRPr="00F65AAF">
        <w:rPr>
          <w:lang w:val="es-AR"/>
        </w:rPr>
        <w:t xml:space="preserve"> el número P </w:t>
      </w:r>
      <w:r w:rsidR="00A100F4" w:rsidRPr="00F65AAF">
        <w:rPr>
          <w:lang w:val="es-AR"/>
        </w:rPr>
        <w:t>147</w:t>
      </w:r>
      <w:r w:rsidRPr="00F65AAF">
        <w:rPr>
          <w:lang w:val="es-AR"/>
        </w:rPr>
        <w:t>-</w:t>
      </w:r>
      <w:r w:rsidR="00A100F4" w:rsidRPr="00F65AAF">
        <w:rPr>
          <w:lang w:val="es-AR"/>
        </w:rPr>
        <w:t>98</w:t>
      </w:r>
      <w:r w:rsidRPr="00F65AAF">
        <w:rPr>
          <w:lang w:val="es-AR"/>
        </w:rPr>
        <w:t xml:space="preserve">. </w:t>
      </w:r>
      <w:r w:rsidR="00CC35DC" w:rsidRPr="00F65AAF">
        <w:rPr>
          <w:lang w:val="es-AR"/>
        </w:rPr>
        <w:t>El 28 de abril de 2004 la CIDH solicitó informaci</w:t>
      </w:r>
      <w:r w:rsidR="006E1D11" w:rsidRPr="00F65AAF">
        <w:rPr>
          <w:lang w:val="es-AR"/>
        </w:rPr>
        <w:t>ón</w:t>
      </w:r>
      <w:r w:rsidR="00CC35DC" w:rsidRPr="00F65AAF">
        <w:rPr>
          <w:lang w:val="es-AR"/>
        </w:rPr>
        <w:t xml:space="preserve"> </w:t>
      </w:r>
      <w:r w:rsidR="008E6DA6" w:rsidRPr="00F65AAF">
        <w:rPr>
          <w:lang w:val="es-AR"/>
        </w:rPr>
        <w:t>actualizada</w:t>
      </w:r>
      <w:r w:rsidR="003C6568" w:rsidRPr="00F65AAF">
        <w:rPr>
          <w:lang w:val="es-AR"/>
        </w:rPr>
        <w:t xml:space="preserve"> al peticionario</w:t>
      </w:r>
      <w:r w:rsidR="00CC35DC" w:rsidRPr="00F65AAF">
        <w:rPr>
          <w:lang w:val="es-AR"/>
        </w:rPr>
        <w:t xml:space="preserve">, </w:t>
      </w:r>
      <w:r w:rsidR="008E6DA6" w:rsidRPr="00F65AAF">
        <w:rPr>
          <w:lang w:val="es-AR"/>
        </w:rPr>
        <w:t>la que fue remitida el</w:t>
      </w:r>
      <w:r w:rsidR="00CC35DC" w:rsidRPr="00F65AAF">
        <w:rPr>
          <w:lang w:val="es-AR"/>
        </w:rPr>
        <w:t xml:space="preserve"> 14 de junio del mismo año. </w:t>
      </w:r>
    </w:p>
    <w:p w:rsidR="00DB52D5" w:rsidRPr="00F65AAF" w:rsidRDefault="00DB52D5" w:rsidP="00DB52D5">
      <w:pPr>
        <w:pStyle w:val="Textonotaalfinal"/>
        <w:ind w:firstLine="720"/>
        <w:rPr>
          <w:lang w:val="es-AR"/>
        </w:rPr>
      </w:pPr>
      <w:r w:rsidRPr="00F65AAF">
        <w:rPr>
          <w:lang w:val="es-AR"/>
        </w:rPr>
        <w:t xml:space="preserve"> </w:t>
      </w:r>
    </w:p>
    <w:p w:rsidR="00DB52D5" w:rsidRPr="00F65AAF" w:rsidRDefault="00DB52D5" w:rsidP="00DB52D5">
      <w:pPr>
        <w:pStyle w:val="Textonotaalfinal"/>
        <w:numPr>
          <w:ilvl w:val="0"/>
          <w:numId w:val="17"/>
        </w:numPr>
        <w:tabs>
          <w:tab w:val="clear" w:pos="720"/>
          <w:tab w:val="num" w:pos="0"/>
        </w:tabs>
        <w:ind w:left="0" w:firstLine="720"/>
        <w:rPr>
          <w:lang w:val="es-AR"/>
        </w:rPr>
      </w:pPr>
      <w:r w:rsidRPr="00F65AAF">
        <w:rPr>
          <w:lang w:val="es-AR"/>
        </w:rPr>
        <w:t xml:space="preserve">El </w:t>
      </w:r>
      <w:r w:rsidR="00CC35DC" w:rsidRPr="00F65AAF">
        <w:rPr>
          <w:lang w:val="es-AR"/>
        </w:rPr>
        <w:t>13</w:t>
      </w:r>
      <w:r w:rsidRPr="00F65AAF">
        <w:rPr>
          <w:lang w:val="es-AR"/>
        </w:rPr>
        <w:t xml:space="preserve"> de </w:t>
      </w:r>
      <w:r w:rsidR="00CC35DC" w:rsidRPr="00F65AAF">
        <w:rPr>
          <w:lang w:val="es-AR"/>
        </w:rPr>
        <w:t>abril de 2009</w:t>
      </w:r>
      <w:r w:rsidRPr="00F65AAF">
        <w:rPr>
          <w:lang w:val="es-AR"/>
        </w:rPr>
        <w:t xml:space="preserve"> la CIDH transmitió las partes pertinentes de la petición original y comunicaciones adicionales al Estado y, de conformidad con su Reglamento, otorgó un plazo de dos meses para que presentara respuesta. El </w:t>
      </w:r>
      <w:r w:rsidR="00160441" w:rsidRPr="00F65AAF">
        <w:rPr>
          <w:lang w:val="es-AR"/>
        </w:rPr>
        <w:t>1</w:t>
      </w:r>
      <w:r w:rsidRPr="00F65AAF">
        <w:rPr>
          <w:lang w:val="es-AR"/>
        </w:rPr>
        <w:t xml:space="preserve"> de </w:t>
      </w:r>
      <w:r w:rsidR="00160441" w:rsidRPr="00F65AAF">
        <w:rPr>
          <w:lang w:val="es-AR"/>
        </w:rPr>
        <w:t xml:space="preserve">marzo </w:t>
      </w:r>
      <w:r w:rsidR="00DD4E21" w:rsidRPr="00F65AAF">
        <w:rPr>
          <w:lang w:val="es-AR"/>
        </w:rPr>
        <w:t>de 2010</w:t>
      </w:r>
      <w:r w:rsidRPr="00F65AAF">
        <w:rPr>
          <w:lang w:val="es-AR"/>
        </w:rPr>
        <w:t xml:space="preserve"> el Estado presentó su respuesta</w:t>
      </w:r>
      <w:r w:rsidR="008E6DA6" w:rsidRPr="00F65AAF">
        <w:rPr>
          <w:lang w:val="es-AR"/>
        </w:rPr>
        <w:t xml:space="preserve">, la cual fue trasladada al peticionario el </w:t>
      </w:r>
      <w:r w:rsidR="007F798E" w:rsidRPr="00F65AAF">
        <w:rPr>
          <w:lang w:val="es-AR"/>
        </w:rPr>
        <w:t>7 de abril de 2010.</w:t>
      </w:r>
    </w:p>
    <w:p w:rsidR="00EB581C" w:rsidRPr="00F65AAF" w:rsidRDefault="00EB581C" w:rsidP="00EB581C">
      <w:pPr>
        <w:pStyle w:val="Textonotaalfinal"/>
        <w:rPr>
          <w:lang w:val="es-AR"/>
        </w:rPr>
      </w:pPr>
    </w:p>
    <w:p w:rsidR="00EB581C" w:rsidRPr="00F65AAF" w:rsidRDefault="00EB581C" w:rsidP="00DB52D5">
      <w:pPr>
        <w:pStyle w:val="Textonotaalfinal"/>
        <w:numPr>
          <w:ilvl w:val="0"/>
          <w:numId w:val="17"/>
        </w:numPr>
        <w:tabs>
          <w:tab w:val="clear" w:pos="720"/>
          <w:tab w:val="num" w:pos="0"/>
        </w:tabs>
        <w:ind w:left="0" w:firstLine="720"/>
        <w:rPr>
          <w:lang w:val="es-AR"/>
        </w:rPr>
      </w:pPr>
      <w:r w:rsidRPr="00F65AAF">
        <w:rPr>
          <w:lang w:val="es-AR"/>
        </w:rPr>
        <w:t>Mediante comunicación fechada 29 de mayo de 2010, recibida en la Secretaría Ejecutiva el 8 de julio de 2010, el peticionario presentó información adicional, que fue puesta en conocimiento del Estado el 13 de julio de 2010.</w:t>
      </w:r>
    </w:p>
    <w:p w:rsidR="00160441" w:rsidRPr="00F65AAF" w:rsidRDefault="00160441" w:rsidP="00160441">
      <w:pPr>
        <w:pStyle w:val="ListParagraph"/>
      </w:pPr>
    </w:p>
    <w:p w:rsidR="00DB52D5" w:rsidRPr="00F65AAF" w:rsidRDefault="00DB52D5" w:rsidP="00DB52D5">
      <w:pPr>
        <w:ind w:firstLine="720"/>
        <w:jc w:val="both"/>
        <w:rPr>
          <w:rFonts w:ascii="Univers" w:hAnsi="Univers"/>
          <w:b/>
        </w:rPr>
      </w:pPr>
      <w:r w:rsidRPr="00F65AAF">
        <w:rPr>
          <w:rFonts w:ascii="Univers" w:hAnsi="Univers"/>
          <w:b/>
        </w:rPr>
        <w:t>III.</w:t>
      </w:r>
      <w:r w:rsidRPr="00F65AAF">
        <w:rPr>
          <w:rFonts w:ascii="Univers" w:hAnsi="Univers"/>
          <w:b/>
        </w:rPr>
        <w:tab/>
        <w:t>POSICIÓN DE LAS PARTES</w:t>
      </w:r>
    </w:p>
    <w:p w:rsidR="00DB52D5" w:rsidRPr="00F65AAF" w:rsidRDefault="00DB52D5" w:rsidP="00DB52D5">
      <w:pPr>
        <w:pStyle w:val="Textonotaalfinal"/>
        <w:ind w:left="720"/>
        <w:rPr>
          <w:lang w:val="es-AR"/>
        </w:rPr>
      </w:pPr>
    </w:p>
    <w:p w:rsidR="00DB52D5" w:rsidRPr="00F65AAF" w:rsidRDefault="00DB52D5" w:rsidP="00DB52D5">
      <w:pPr>
        <w:pStyle w:val="Textonotaalfinal"/>
        <w:ind w:left="720"/>
        <w:rPr>
          <w:b/>
          <w:lang w:val="es-AR"/>
        </w:rPr>
      </w:pPr>
      <w:r w:rsidRPr="00F65AAF">
        <w:rPr>
          <w:b/>
          <w:lang w:val="es-AR"/>
        </w:rPr>
        <w:t>A.</w:t>
      </w:r>
      <w:r w:rsidRPr="00F65AAF">
        <w:rPr>
          <w:b/>
          <w:lang w:val="es-AR"/>
        </w:rPr>
        <w:tab/>
        <w:t>Posición del Peticionario</w:t>
      </w:r>
    </w:p>
    <w:p w:rsidR="00DB52D5" w:rsidRPr="00F65AAF" w:rsidRDefault="00DB52D5" w:rsidP="00DB52D5">
      <w:pPr>
        <w:pStyle w:val="Textonotaalfinal"/>
        <w:ind w:left="720"/>
        <w:rPr>
          <w:b/>
          <w:lang w:val="es-AR"/>
        </w:rPr>
      </w:pPr>
    </w:p>
    <w:p w:rsidR="00C20EC7" w:rsidRPr="00F65AAF" w:rsidRDefault="00245D71" w:rsidP="00C20EC7">
      <w:pPr>
        <w:pStyle w:val="Textonotaalfinal"/>
        <w:numPr>
          <w:ilvl w:val="0"/>
          <w:numId w:val="17"/>
        </w:numPr>
        <w:tabs>
          <w:tab w:val="clear" w:pos="720"/>
          <w:tab w:val="left" w:pos="0"/>
        </w:tabs>
        <w:ind w:left="0" w:firstLine="720"/>
        <w:rPr>
          <w:lang w:val="es-AR"/>
        </w:rPr>
      </w:pPr>
      <w:r w:rsidRPr="00F65AAF">
        <w:rPr>
          <w:lang w:val="es-AR"/>
        </w:rPr>
        <w:t>El peticionario a</w:t>
      </w:r>
      <w:r w:rsidR="00DB52D5" w:rsidRPr="00F65AAF">
        <w:rPr>
          <w:lang w:val="es-AR"/>
        </w:rPr>
        <w:t xml:space="preserve">legó que </w:t>
      </w:r>
      <w:r w:rsidR="007F798E" w:rsidRPr="00F65AAF">
        <w:rPr>
          <w:lang w:val="es-AR"/>
        </w:rPr>
        <w:t>e</w:t>
      </w:r>
      <w:r w:rsidR="00DB52D5" w:rsidRPr="00F65AAF">
        <w:rPr>
          <w:lang w:val="es-AR"/>
        </w:rPr>
        <w:t xml:space="preserve">l </w:t>
      </w:r>
      <w:r w:rsidR="009E6BA5" w:rsidRPr="00F65AAF">
        <w:rPr>
          <w:lang w:val="es-AR"/>
        </w:rPr>
        <w:t>30</w:t>
      </w:r>
      <w:r w:rsidR="00DB52D5" w:rsidRPr="00F65AAF">
        <w:rPr>
          <w:lang w:val="es-AR"/>
        </w:rPr>
        <w:t xml:space="preserve"> de </w:t>
      </w:r>
      <w:r w:rsidR="009E6BA5" w:rsidRPr="00F65AAF">
        <w:rPr>
          <w:lang w:val="es-AR"/>
        </w:rPr>
        <w:t xml:space="preserve">septiembre de </w:t>
      </w:r>
      <w:r w:rsidR="00DB52D5" w:rsidRPr="00F65AAF">
        <w:rPr>
          <w:lang w:val="es-AR"/>
        </w:rPr>
        <w:t>19</w:t>
      </w:r>
      <w:r w:rsidR="009E6BA5" w:rsidRPr="00F65AAF">
        <w:rPr>
          <w:lang w:val="es-AR"/>
        </w:rPr>
        <w:t>90</w:t>
      </w:r>
      <w:r w:rsidR="00DB52D5" w:rsidRPr="00F65AAF">
        <w:rPr>
          <w:lang w:val="es-AR"/>
        </w:rPr>
        <w:t xml:space="preserve"> se </w:t>
      </w:r>
      <w:r w:rsidR="009E6BA5" w:rsidRPr="00F65AAF">
        <w:rPr>
          <w:lang w:val="es-AR"/>
        </w:rPr>
        <w:t xml:space="preserve">jubiló </w:t>
      </w:r>
      <w:r w:rsidR="00DB52D5" w:rsidRPr="00F65AAF">
        <w:rPr>
          <w:lang w:val="es-AR"/>
        </w:rPr>
        <w:t xml:space="preserve">como </w:t>
      </w:r>
      <w:r w:rsidR="009E6BA5" w:rsidRPr="00F65AAF">
        <w:rPr>
          <w:lang w:val="es-AR"/>
        </w:rPr>
        <w:t xml:space="preserve">Gerente General Adjunto de la Empresa Minera Especial “Tintaya” Sociedad </w:t>
      </w:r>
      <w:r w:rsidR="002355A8" w:rsidRPr="00F65AAF">
        <w:rPr>
          <w:lang w:val="es-AR"/>
        </w:rPr>
        <w:t>Anónima</w:t>
      </w:r>
      <w:r w:rsidR="00DB52D5" w:rsidRPr="00F65AAF">
        <w:rPr>
          <w:lang w:val="es-AR"/>
        </w:rPr>
        <w:t>,</w:t>
      </w:r>
      <w:r w:rsidR="007F798E" w:rsidRPr="00F65AAF">
        <w:rPr>
          <w:lang w:val="es-AR"/>
        </w:rPr>
        <w:t xml:space="preserve"> </w:t>
      </w:r>
      <w:r w:rsidR="00E84F88" w:rsidRPr="00F65AAF">
        <w:rPr>
          <w:lang w:val="es-AR"/>
        </w:rPr>
        <w:t>para</w:t>
      </w:r>
      <w:r w:rsidR="007F798E" w:rsidRPr="00F65AAF">
        <w:rPr>
          <w:lang w:val="es-AR"/>
        </w:rPr>
        <w:t xml:space="preserve"> ese entonces una</w:t>
      </w:r>
      <w:r w:rsidR="009E6BA5" w:rsidRPr="00F65AAF">
        <w:rPr>
          <w:lang w:val="es-AR"/>
        </w:rPr>
        <w:t xml:space="preserve"> empresa estatal. </w:t>
      </w:r>
      <w:r w:rsidR="00C20EC7" w:rsidRPr="00F65AAF">
        <w:rPr>
          <w:lang w:val="es-AR"/>
        </w:rPr>
        <w:t xml:space="preserve">Según su relato, </w:t>
      </w:r>
      <w:r w:rsidR="007F798E" w:rsidRPr="00F65AAF">
        <w:rPr>
          <w:lang w:val="es-AR"/>
        </w:rPr>
        <w:t>fue incorporado</w:t>
      </w:r>
      <w:r w:rsidR="00C20EC7" w:rsidRPr="00F65AAF">
        <w:rPr>
          <w:lang w:val="es-AR"/>
        </w:rPr>
        <w:t xml:space="preserve"> al régimen pensionario del </w:t>
      </w:r>
      <w:r w:rsidR="002863C5" w:rsidRPr="00F65AAF">
        <w:rPr>
          <w:lang w:val="es-AR"/>
        </w:rPr>
        <w:t>D</w:t>
      </w:r>
      <w:r w:rsidR="00C20EC7" w:rsidRPr="00F65AAF">
        <w:rPr>
          <w:lang w:val="es-AR"/>
        </w:rPr>
        <w:t xml:space="preserve">ecreto </w:t>
      </w:r>
      <w:r w:rsidR="002863C5" w:rsidRPr="00F65AAF">
        <w:rPr>
          <w:lang w:val="es-AR"/>
        </w:rPr>
        <w:t>L</w:t>
      </w:r>
      <w:r w:rsidR="00C20EC7" w:rsidRPr="00F65AAF">
        <w:rPr>
          <w:lang w:val="es-AR"/>
        </w:rPr>
        <w:t>ey 20.530</w:t>
      </w:r>
      <w:r w:rsidR="007F798E" w:rsidRPr="00F65AAF">
        <w:rPr>
          <w:lang w:val="es-AR"/>
        </w:rPr>
        <w:t xml:space="preserve"> mediante</w:t>
      </w:r>
      <w:r w:rsidR="00C20EC7" w:rsidRPr="00F65AAF">
        <w:rPr>
          <w:lang w:val="es-AR"/>
        </w:rPr>
        <w:t xml:space="preserve"> la Resolución Gerencial N°AD-0884/90-R del 15 de mayo de 1990, con base en los Acuerdos de Directorio N°155/88 del 22 de diciembre de 1988 y 029/90 del 8 de febrero de 1990. Estos acuerdos autorizaban a la Administración </w:t>
      </w:r>
      <w:r w:rsidR="007F798E" w:rsidRPr="00F65AAF">
        <w:rPr>
          <w:lang w:val="es-AR"/>
        </w:rPr>
        <w:t xml:space="preserve">Pública </w:t>
      </w:r>
      <w:r w:rsidR="00C20EC7" w:rsidRPr="00F65AAF">
        <w:rPr>
          <w:lang w:val="es-AR"/>
        </w:rPr>
        <w:t xml:space="preserve">incorporar </w:t>
      </w:r>
      <w:r w:rsidR="007F798E" w:rsidRPr="00F65AAF">
        <w:rPr>
          <w:lang w:val="es-AR"/>
        </w:rPr>
        <w:t>a servidores al</w:t>
      </w:r>
      <w:r w:rsidR="00C20EC7" w:rsidRPr="00F65AAF">
        <w:rPr>
          <w:lang w:val="es-AR"/>
        </w:rPr>
        <w:t xml:space="preserve"> régimen de pensiones mencionado y establecía las normas reglamentarias para ese fin. </w:t>
      </w:r>
    </w:p>
    <w:p w:rsidR="00C20EC7" w:rsidRPr="00F65AAF" w:rsidRDefault="00C20EC7" w:rsidP="00C20EC7">
      <w:pPr>
        <w:pStyle w:val="Textonotaalfinal"/>
        <w:tabs>
          <w:tab w:val="left" w:pos="0"/>
        </w:tabs>
        <w:ind w:left="720"/>
        <w:rPr>
          <w:lang w:val="es-AR"/>
        </w:rPr>
      </w:pPr>
    </w:p>
    <w:p w:rsidR="00E84F88" w:rsidRPr="00F65AAF" w:rsidRDefault="003E5B55" w:rsidP="00C20EC7">
      <w:pPr>
        <w:pStyle w:val="Textonotaalfinal"/>
        <w:numPr>
          <w:ilvl w:val="0"/>
          <w:numId w:val="17"/>
        </w:numPr>
        <w:tabs>
          <w:tab w:val="clear" w:pos="720"/>
          <w:tab w:val="left" w:pos="0"/>
        </w:tabs>
        <w:ind w:left="0" w:firstLine="720"/>
        <w:rPr>
          <w:lang w:val="es-AR"/>
        </w:rPr>
      </w:pPr>
      <w:r w:rsidRPr="00F65AAF">
        <w:rPr>
          <w:lang w:val="es-AR"/>
        </w:rPr>
        <w:t>Señaló que h</w:t>
      </w:r>
      <w:r w:rsidR="00C20EC7" w:rsidRPr="00F65AAF">
        <w:rPr>
          <w:lang w:val="es-AR"/>
        </w:rPr>
        <w:t xml:space="preserve">asta febrero de 1991 </w:t>
      </w:r>
      <w:r w:rsidRPr="00F65AAF">
        <w:rPr>
          <w:lang w:val="es-AR"/>
        </w:rPr>
        <w:t>recibió</w:t>
      </w:r>
      <w:r w:rsidR="00C20EC7" w:rsidRPr="00F65AAF">
        <w:rPr>
          <w:lang w:val="es-AR"/>
        </w:rPr>
        <w:t xml:space="preserve"> la pensión que le correspondía.</w:t>
      </w:r>
      <w:r w:rsidR="000A5C80" w:rsidRPr="00F65AAF">
        <w:rPr>
          <w:lang w:val="es-AR"/>
        </w:rPr>
        <w:t xml:space="preserve"> En </w:t>
      </w:r>
      <w:r w:rsidR="00E84F88" w:rsidRPr="00F65AAF">
        <w:rPr>
          <w:lang w:val="es-AR"/>
        </w:rPr>
        <w:t>dicho mes</w:t>
      </w:r>
      <w:r w:rsidR="000A5C80" w:rsidRPr="00F65AAF">
        <w:rPr>
          <w:lang w:val="es-AR"/>
        </w:rPr>
        <w:t xml:space="preserve">, sin embargo, </w:t>
      </w:r>
      <w:r w:rsidR="00C20EC7" w:rsidRPr="00F65AAF">
        <w:rPr>
          <w:lang w:val="es-AR"/>
        </w:rPr>
        <w:t xml:space="preserve">por comunicación interna de la empresa </w:t>
      </w:r>
      <w:r w:rsidRPr="00F65AAF">
        <w:rPr>
          <w:lang w:val="es-AR"/>
        </w:rPr>
        <w:t>(</w:t>
      </w:r>
      <w:r w:rsidR="00C20EC7" w:rsidRPr="00F65AAF">
        <w:rPr>
          <w:lang w:val="es-AR"/>
        </w:rPr>
        <w:t>N</w:t>
      </w:r>
      <w:r w:rsidR="00E84F88" w:rsidRPr="00F65AAF">
        <w:rPr>
          <w:lang w:val="es-AR"/>
        </w:rPr>
        <w:t xml:space="preserve">o. </w:t>
      </w:r>
      <w:r w:rsidR="00C20EC7" w:rsidRPr="00F65AAF">
        <w:rPr>
          <w:lang w:val="es-AR"/>
        </w:rPr>
        <w:t>GA-0130/91</w:t>
      </w:r>
      <w:r w:rsidRPr="00F65AAF">
        <w:rPr>
          <w:lang w:val="es-AR"/>
        </w:rPr>
        <w:t xml:space="preserve">) </w:t>
      </w:r>
      <w:r w:rsidR="00E84F88" w:rsidRPr="00F65AAF">
        <w:rPr>
          <w:lang w:val="es-AR"/>
        </w:rPr>
        <w:t xml:space="preserve">tomó </w:t>
      </w:r>
      <w:r w:rsidR="007E0270" w:rsidRPr="00F65AAF">
        <w:rPr>
          <w:lang w:val="es-AR"/>
        </w:rPr>
        <w:t>conocimiento</w:t>
      </w:r>
      <w:r w:rsidR="007F798E" w:rsidRPr="00F65AAF">
        <w:rPr>
          <w:lang w:val="es-AR"/>
        </w:rPr>
        <w:t xml:space="preserve"> de la</w:t>
      </w:r>
      <w:r w:rsidR="00C20EC7" w:rsidRPr="00F65AAF">
        <w:rPr>
          <w:lang w:val="es-AR"/>
        </w:rPr>
        <w:t xml:space="preserve"> </w:t>
      </w:r>
      <w:r w:rsidR="007F798E" w:rsidRPr="00F65AAF">
        <w:rPr>
          <w:lang w:val="es-AR"/>
        </w:rPr>
        <w:t>suspensión de</w:t>
      </w:r>
      <w:r w:rsidR="00C20EC7" w:rsidRPr="00F65AAF">
        <w:rPr>
          <w:lang w:val="es-AR"/>
        </w:rPr>
        <w:t xml:space="preserve"> la aplicación del </w:t>
      </w:r>
      <w:r w:rsidR="007F798E" w:rsidRPr="00F65AAF">
        <w:rPr>
          <w:lang w:val="es-AR"/>
        </w:rPr>
        <w:t xml:space="preserve">Decreto Ley 20.530 </w:t>
      </w:r>
      <w:r w:rsidR="00C20EC7" w:rsidRPr="00F65AAF">
        <w:rPr>
          <w:lang w:val="es-AR"/>
        </w:rPr>
        <w:t>a los</w:t>
      </w:r>
      <w:r w:rsidR="007F798E" w:rsidRPr="00F65AAF">
        <w:rPr>
          <w:lang w:val="es-AR"/>
        </w:rPr>
        <w:t xml:space="preserve"> ex</w:t>
      </w:r>
      <w:r w:rsidR="00C20EC7" w:rsidRPr="00F65AAF">
        <w:rPr>
          <w:lang w:val="es-AR"/>
        </w:rPr>
        <w:t xml:space="preserve"> trabajadores de la misma.</w:t>
      </w:r>
      <w:r w:rsidR="007F798E" w:rsidRPr="00F65AAF">
        <w:rPr>
          <w:lang w:val="es-AR"/>
        </w:rPr>
        <w:t xml:space="preserve"> </w:t>
      </w:r>
    </w:p>
    <w:p w:rsidR="00E84F88" w:rsidRPr="00F65AAF" w:rsidRDefault="00E84F88" w:rsidP="00E84F88">
      <w:pPr>
        <w:pStyle w:val="Textonotaalfinal"/>
        <w:tabs>
          <w:tab w:val="left" w:pos="0"/>
        </w:tabs>
        <w:rPr>
          <w:lang w:val="es-AR"/>
        </w:rPr>
      </w:pPr>
    </w:p>
    <w:p w:rsidR="00C20EC7" w:rsidRPr="00F65AAF" w:rsidRDefault="00E84F88" w:rsidP="00C20EC7">
      <w:pPr>
        <w:pStyle w:val="Textonotaalfinal"/>
        <w:numPr>
          <w:ilvl w:val="0"/>
          <w:numId w:val="17"/>
        </w:numPr>
        <w:tabs>
          <w:tab w:val="clear" w:pos="720"/>
          <w:tab w:val="left" w:pos="0"/>
        </w:tabs>
        <w:ind w:left="0" w:firstLine="720"/>
        <w:rPr>
          <w:lang w:val="es-AR"/>
        </w:rPr>
      </w:pPr>
      <w:r w:rsidRPr="00F65AAF">
        <w:rPr>
          <w:lang w:val="es-AR"/>
        </w:rPr>
        <w:t>A</w:t>
      </w:r>
      <w:r w:rsidR="00C20EC7" w:rsidRPr="00F65AAF">
        <w:rPr>
          <w:lang w:val="es-AR"/>
        </w:rPr>
        <w:t xml:space="preserve">nte </w:t>
      </w:r>
      <w:r w:rsidRPr="00F65AAF">
        <w:rPr>
          <w:lang w:val="es-AR"/>
        </w:rPr>
        <w:t>tal</w:t>
      </w:r>
      <w:r w:rsidR="00C20EC7" w:rsidRPr="00F65AAF">
        <w:rPr>
          <w:lang w:val="es-AR"/>
        </w:rPr>
        <w:t xml:space="preserve"> situación</w:t>
      </w:r>
      <w:r w:rsidRPr="00F65AAF">
        <w:rPr>
          <w:lang w:val="es-AR"/>
        </w:rPr>
        <w:t xml:space="preserve"> el peticionario</w:t>
      </w:r>
      <w:r w:rsidR="00C20EC7" w:rsidRPr="00F65AAF">
        <w:rPr>
          <w:lang w:val="es-AR"/>
        </w:rPr>
        <w:t xml:space="preserve"> interpuso una acción de amparo</w:t>
      </w:r>
      <w:r w:rsidR="007F798E" w:rsidRPr="00F65AAF">
        <w:rPr>
          <w:lang w:val="es-AR"/>
        </w:rPr>
        <w:t>,</w:t>
      </w:r>
      <w:r w:rsidR="00C20EC7" w:rsidRPr="00F65AAF">
        <w:rPr>
          <w:lang w:val="es-AR"/>
        </w:rPr>
        <w:t xml:space="preserve"> </w:t>
      </w:r>
      <w:r w:rsidRPr="00F65AAF">
        <w:rPr>
          <w:lang w:val="es-AR"/>
        </w:rPr>
        <w:t xml:space="preserve">que fue </w:t>
      </w:r>
      <w:r w:rsidR="007F798E" w:rsidRPr="00F65AAF">
        <w:rPr>
          <w:lang w:val="es-AR"/>
        </w:rPr>
        <w:t xml:space="preserve">declarada fundada </w:t>
      </w:r>
      <w:r w:rsidR="00C20EC7" w:rsidRPr="00F65AAF">
        <w:rPr>
          <w:lang w:val="es-AR"/>
        </w:rPr>
        <w:t>el 19 de julio de 1991</w:t>
      </w:r>
      <w:r w:rsidRPr="00F65AAF">
        <w:rPr>
          <w:lang w:val="es-AR"/>
        </w:rPr>
        <w:t xml:space="preserve">, fallo confirmado </w:t>
      </w:r>
      <w:r w:rsidR="00C20EC7" w:rsidRPr="00F65AAF">
        <w:rPr>
          <w:lang w:val="es-AR"/>
        </w:rPr>
        <w:t xml:space="preserve">en segunda instancia el 29 de mayo de 1992 y por la Corte Suprema de Justicia el 2 de febrero de 1993. </w:t>
      </w:r>
      <w:r w:rsidRPr="00F65AAF">
        <w:rPr>
          <w:lang w:val="es-AR"/>
        </w:rPr>
        <w:t>De acuerdo con el peticionario,</w:t>
      </w:r>
      <w:r w:rsidR="007F798E" w:rsidRPr="00F65AAF">
        <w:rPr>
          <w:lang w:val="es-AR"/>
        </w:rPr>
        <w:t xml:space="preserve"> la ejecutoria suprema </w:t>
      </w:r>
      <w:r w:rsidR="00471A9C" w:rsidRPr="00F65AAF">
        <w:rPr>
          <w:lang w:val="es-AR"/>
        </w:rPr>
        <w:t xml:space="preserve">determinó que: </w:t>
      </w:r>
    </w:p>
    <w:p w:rsidR="00471A9C" w:rsidRPr="00F65AAF" w:rsidRDefault="00471A9C" w:rsidP="00471A9C">
      <w:pPr>
        <w:pStyle w:val="ListParagraph"/>
      </w:pPr>
    </w:p>
    <w:p w:rsidR="00C20EC7" w:rsidRPr="00F65AAF" w:rsidRDefault="00471A9C" w:rsidP="007F798E">
      <w:pPr>
        <w:pStyle w:val="Textonotaalfinal"/>
        <w:tabs>
          <w:tab w:val="left" w:pos="0"/>
        </w:tabs>
        <w:ind w:left="720" w:right="720"/>
        <w:rPr>
          <w:lang w:val="es-AR"/>
        </w:rPr>
      </w:pPr>
      <w:r w:rsidRPr="00F65AAF">
        <w:rPr>
          <w:lang w:val="es-AR"/>
        </w:rPr>
        <w:t xml:space="preserve">“es </w:t>
      </w:r>
      <w:r w:rsidR="005D0F3A" w:rsidRPr="00F65AAF">
        <w:rPr>
          <w:lang w:val="es-AR"/>
        </w:rPr>
        <w:t>inaplicable</w:t>
      </w:r>
      <w:r w:rsidRPr="00F65AAF">
        <w:rPr>
          <w:lang w:val="es-AR"/>
        </w:rPr>
        <w:t xml:space="preserve"> para el accionante la Comunicación GA-0131/91 en el cual se dispone la suspensión ordenada por la demandada a la incorporación del actor al régimen de pensiones y compensaciones del Decreto Ley 20</w:t>
      </w:r>
      <w:r w:rsidR="002863C5" w:rsidRPr="00F65AAF">
        <w:rPr>
          <w:lang w:val="es-AR"/>
        </w:rPr>
        <w:t>.</w:t>
      </w:r>
      <w:r w:rsidRPr="00F65AAF">
        <w:rPr>
          <w:lang w:val="es-AR"/>
        </w:rPr>
        <w:t>530, y al pago de su pensión, restableciéndose sus derechos al estado anterior de la agresión constitucional…</w:t>
      </w:r>
      <w:r w:rsidR="006F5569" w:rsidRPr="00F65AAF">
        <w:rPr>
          <w:rStyle w:val="Refdenotaalpie"/>
          <w:lang w:val="es-AR"/>
        </w:rPr>
        <w:footnoteReference w:id="2"/>
      </w:r>
      <w:r w:rsidRPr="00F65AAF">
        <w:rPr>
          <w:lang w:val="es-AR"/>
        </w:rPr>
        <w:t>”</w:t>
      </w:r>
    </w:p>
    <w:p w:rsidR="00471A9C" w:rsidRPr="00F65AAF" w:rsidRDefault="006F5569" w:rsidP="00471A9C">
      <w:pPr>
        <w:pStyle w:val="Textonotaalfinal"/>
        <w:tabs>
          <w:tab w:val="left" w:pos="0"/>
        </w:tabs>
        <w:ind w:left="720"/>
        <w:rPr>
          <w:lang w:val="es-AR"/>
        </w:rPr>
      </w:pPr>
      <w:r w:rsidRPr="00F65AAF">
        <w:rPr>
          <w:lang w:val="es-AR"/>
        </w:rPr>
        <w:t xml:space="preserve"> </w:t>
      </w:r>
    </w:p>
    <w:p w:rsidR="00E84F88" w:rsidRPr="00F65AAF" w:rsidRDefault="006F5569" w:rsidP="00C20EC7">
      <w:pPr>
        <w:numPr>
          <w:ilvl w:val="0"/>
          <w:numId w:val="17"/>
        </w:numPr>
        <w:tabs>
          <w:tab w:val="left" w:pos="0"/>
        </w:tabs>
        <w:ind w:left="0" w:firstLine="720"/>
        <w:jc w:val="both"/>
        <w:rPr>
          <w:rFonts w:ascii="Univers" w:hAnsi="Univers"/>
        </w:rPr>
      </w:pPr>
      <w:r w:rsidRPr="00F65AAF">
        <w:rPr>
          <w:rFonts w:ascii="Univers" w:hAnsi="Univers"/>
        </w:rPr>
        <w:t xml:space="preserve">El peticionario </w:t>
      </w:r>
      <w:r w:rsidR="00E84F88" w:rsidRPr="00F65AAF">
        <w:rPr>
          <w:rFonts w:ascii="Univers" w:hAnsi="Univers"/>
        </w:rPr>
        <w:t>sostiene</w:t>
      </w:r>
      <w:r w:rsidRPr="00F65AAF">
        <w:rPr>
          <w:rFonts w:ascii="Univers" w:hAnsi="Univers"/>
        </w:rPr>
        <w:t xml:space="preserve"> que</w:t>
      </w:r>
      <w:r w:rsidR="00E84F88" w:rsidRPr="00F65AAF">
        <w:rPr>
          <w:rFonts w:ascii="Univers" w:hAnsi="Univers"/>
        </w:rPr>
        <w:t>,</w:t>
      </w:r>
      <w:r w:rsidRPr="00F65AAF">
        <w:rPr>
          <w:rFonts w:ascii="Univers" w:hAnsi="Univers"/>
        </w:rPr>
        <w:t xml:space="preserve"> </w:t>
      </w:r>
      <w:r w:rsidR="00E84F88" w:rsidRPr="00F65AAF">
        <w:rPr>
          <w:rFonts w:ascii="Univers" w:hAnsi="Univers"/>
        </w:rPr>
        <w:t>a pesar de</w:t>
      </w:r>
      <w:r w:rsidRPr="00F65AAF">
        <w:rPr>
          <w:rFonts w:ascii="Univers" w:hAnsi="Univers"/>
        </w:rPr>
        <w:t xml:space="preserve"> la decisión favorable </w:t>
      </w:r>
      <w:r w:rsidR="00E84F88" w:rsidRPr="00F65AAF">
        <w:rPr>
          <w:rFonts w:ascii="Univers" w:hAnsi="Univers"/>
        </w:rPr>
        <w:t>obtenida a través de</w:t>
      </w:r>
      <w:r w:rsidRPr="00F65AAF">
        <w:rPr>
          <w:rFonts w:ascii="Univers" w:hAnsi="Univers"/>
        </w:rPr>
        <w:t xml:space="preserve"> la acción de amparo, el 17 de febrero de 1993</w:t>
      </w:r>
      <w:r w:rsidR="00471A9C" w:rsidRPr="00F65AAF">
        <w:rPr>
          <w:rFonts w:ascii="Univers" w:hAnsi="Univers"/>
        </w:rPr>
        <w:t xml:space="preserve"> la Empresa expidió </w:t>
      </w:r>
      <w:r w:rsidR="00E84F88" w:rsidRPr="00F65AAF">
        <w:rPr>
          <w:rFonts w:ascii="Univers" w:hAnsi="Univers"/>
        </w:rPr>
        <w:t>un nuevo</w:t>
      </w:r>
      <w:r w:rsidR="00471A9C" w:rsidRPr="00F65AAF">
        <w:rPr>
          <w:rFonts w:ascii="Univers" w:hAnsi="Univers"/>
        </w:rPr>
        <w:t xml:space="preserve"> Acuerdo </w:t>
      </w:r>
      <w:r w:rsidR="0024071B">
        <w:rPr>
          <w:rFonts w:ascii="Univers" w:hAnsi="Univers"/>
        </w:rPr>
        <w:t>Nº</w:t>
      </w:r>
      <w:r w:rsidR="00E84F88" w:rsidRPr="00F65AAF">
        <w:rPr>
          <w:rFonts w:ascii="Univers" w:hAnsi="Univers"/>
        </w:rPr>
        <w:t xml:space="preserve"> </w:t>
      </w:r>
      <w:r w:rsidR="00471A9C" w:rsidRPr="00F65AAF">
        <w:rPr>
          <w:rFonts w:ascii="Univers" w:hAnsi="Univers"/>
        </w:rPr>
        <w:t>023/93</w:t>
      </w:r>
      <w:r w:rsidRPr="00F65AAF">
        <w:rPr>
          <w:rFonts w:ascii="Univers" w:hAnsi="Univers"/>
        </w:rPr>
        <w:t>,</w:t>
      </w:r>
      <w:r w:rsidR="00471A9C" w:rsidRPr="00F65AAF">
        <w:rPr>
          <w:rFonts w:ascii="Univers" w:hAnsi="Univers"/>
        </w:rPr>
        <w:t xml:space="preserve"> </w:t>
      </w:r>
      <w:r w:rsidRPr="00F65AAF">
        <w:rPr>
          <w:rFonts w:ascii="Univers" w:hAnsi="Univers"/>
        </w:rPr>
        <w:t xml:space="preserve">suspendiendo </w:t>
      </w:r>
      <w:r w:rsidR="00E84F88" w:rsidRPr="00F65AAF">
        <w:rPr>
          <w:rFonts w:ascii="Univers" w:hAnsi="Univers"/>
        </w:rPr>
        <w:t>los emitidos por el Directorio de la compañía en el año 1990,</w:t>
      </w:r>
      <w:r w:rsidR="001D0D9F">
        <w:rPr>
          <w:rFonts w:ascii="Univers" w:hAnsi="Univers"/>
        </w:rPr>
        <w:t xml:space="preserve"> Nºs.</w:t>
      </w:r>
      <w:r w:rsidR="00EF0806" w:rsidRPr="00F65AAF">
        <w:rPr>
          <w:rFonts w:ascii="Univers" w:hAnsi="Univers"/>
        </w:rPr>
        <w:t xml:space="preserve"> </w:t>
      </w:r>
      <w:r w:rsidR="005D0F3A" w:rsidRPr="00F65AAF">
        <w:rPr>
          <w:rFonts w:ascii="Univers" w:hAnsi="Univers"/>
        </w:rPr>
        <w:t>155 y 029/90</w:t>
      </w:r>
      <w:r w:rsidR="00E84F88" w:rsidRPr="00F65AAF">
        <w:rPr>
          <w:rFonts w:ascii="Univers" w:hAnsi="Univers"/>
        </w:rPr>
        <w:t>,</w:t>
      </w:r>
      <w:r w:rsidR="005D0F3A" w:rsidRPr="00F65AAF">
        <w:rPr>
          <w:rFonts w:ascii="Univers" w:hAnsi="Univers"/>
        </w:rPr>
        <w:t xml:space="preserve"> y </w:t>
      </w:r>
      <w:r w:rsidR="00E84F88" w:rsidRPr="00F65AAF">
        <w:rPr>
          <w:rFonts w:ascii="Univers" w:hAnsi="Univers"/>
        </w:rPr>
        <w:t xml:space="preserve">en consecuencia suspendiendo también </w:t>
      </w:r>
      <w:r w:rsidR="005D0F3A" w:rsidRPr="00F65AAF">
        <w:rPr>
          <w:rFonts w:ascii="Univers" w:hAnsi="Univers"/>
        </w:rPr>
        <w:t>el pago de las pensiones de jubilación a los ex trabajadores</w:t>
      </w:r>
      <w:r w:rsidR="00C50793" w:rsidRPr="00F65AAF">
        <w:rPr>
          <w:rFonts w:ascii="Univers" w:hAnsi="Univers"/>
        </w:rPr>
        <w:t>, incluido el mismo</w:t>
      </w:r>
      <w:r w:rsidR="005D0F3A" w:rsidRPr="00F65AAF">
        <w:rPr>
          <w:rFonts w:ascii="Univers" w:hAnsi="Univers"/>
        </w:rPr>
        <w:t xml:space="preserve">. </w:t>
      </w:r>
    </w:p>
    <w:p w:rsidR="00E84F88" w:rsidRPr="00F65AAF" w:rsidRDefault="00E84F88" w:rsidP="00E84F88">
      <w:pPr>
        <w:tabs>
          <w:tab w:val="left" w:pos="0"/>
        </w:tabs>
        <w:jc w:val="both"/>
        <w:rPr>
          <w:rFonts w:ascii="Univers" w:hAnsi="Univers"/>
        </w:rPr>
      </w:pPr>
    </w:p>
    <w:p w:rsidR="00272C12" w:rsidRPr="00F65AAF" w:rsidRDefault="00E84F88" w:rsidP="00C20EC7">
      <w:pPr>
        <w:numPr>
          <w:ilvl w:val="0"/>
          <w:numId w:val="17"/>
        </w:numPr>
        <w:tabs>
          <w:tab w:val="left" w:pos="0"/>
        </w:tabs>
        <w:ind w:left="0" w:firstLine="720"/>
        <w:jc w:val="both"/>
        <w:rPr>
          <w:rFonts w:ascii="Univers" w:hAnsi="Univers"/>
        </w:rPr>
      </w:pPr>
      <w:r w:rsidRPr="00F65AAF">
        <w:rPr>
          <w:rFonts w:ascii="Univers" w:hAnsi="Univers"/>
        </w:rPr>
        <w:t>En tales circunstancias, el</w:t>
      </w:r>
      <w:r w:rsidR="005D0F3A" w:rsidRPr="00F65AAF">
        <w:rPr>
          <w:rFonts w:ascii="Univers" w:hAnsi="Univers"/>
        </w:rPr>
        <w:t xml:space="preserve"> peticionario interpuso </w:t>
      </w:r>
      <w:r w:rsidRPr="00F65AAF">
        <w:rPr>
          <w:rFonts w:ascii="Univers" w:hAnsi="Univers"/>
        </w:rPr>
        <w:t>un nuevo recurso</w:t>
      </w:r>
      <w:r w:rsidR="005D0F3A" w:rsidRPr="00F65AAF">
        <w:rPr>
          <w:rFonts w:ascii="Univers" w:hAnsi="Univers"/>
        </w:rPr>
        <w:t xml:space="preserve"> de amparo </w:t>
      </w:r>
      <w:r w:rsidR="00272C12" w:rsidRPr="00F65AAF">
        <w:rPr>
          <w:rFonts w:ascii="Univers" w:hAnsi="Univers"/>
        </w:rPr>
        <w:t>que fue declarad</w:t>
      </w:r>
      <w:r w:rsidRPr="00F65AAF">
        <w:rPr>
          <w:rFonts w:ascii="Univers" w:hAnsi="Univers"/>
        </w:rPr>
        <w:t>o</w:t>
      </w:r>
      <w:r w:rsidR="00272C12" w:rsidRPr="00F65AAF">
        <w:rPr>
          <w:rFonts w:ascii="Univers" w:hAnsi="Univers"/>
        </w:rPr>
        <w:t xml:space="preserve"> infundad</w:t>
      </w:r>
      <w:r w:rsidRPr="00F65AAF">
        <w:rPr>
          <w:rFonts w:ascii="Univers" w:hAnsi="Univers"/>
        </w:rPr>
        <w:t>o</w:t>
      </w:r>
      <w:r w:rsidR="00272C12" w:rsidRPr="00F65AAF">
        <w:rPr>
          <w:rFonts w:ascii="Univers" w:hAnsi="Univers"/>
        </w:rPr>
        <w:t xml:space="preserve"> en primera instancia</w:t>
      </w:r>
      <w:r w:rsidR="006F5569" w:rsidRPr="00F65AAF">
        <w:rPr>
          <w:rFonts w:ascii="Univers" w:hAnsi="Univers"/>
        </w:rPr>
        <w:t xml:space="preserve"> y segunda instancia,</w:t>
      </w:r>
      <w:r w:rsidR="00272C12" w:rsidRPr="00F65AAF">
        <w:rPr>
          <w:rFonts w:ascii="Univers" w:hAnsi="Univers"/>
        </w:rPr>
        <w:t xml:space="preserve"> </w:t>
      </w:r>
      <w:r w:rsidRPr="00F65AAF">
        <w:rPr>
          <w:rFonts w:ascii="Univers" w:hAnsi="Univers"/>
        </w:rPr>
        <w:t xml:space="preserve">mediante sentencias de </w:t>
      </w:r>
      <w:r w:rsidR="00272C12" w:rsidRPr="00F65AAF">
        <w:rPr>
          <w:rFonts w:ascii="Univers" w:hAnsi="Univers"/>
        </w:rPr>
        <w:t xml:space="preserve">23 de febrero </w:t>
      </w:r>
      <w:r w:rsidR="006F5569" w:rsidRPr="00F65AAF">
        <w:rPr>
          <w:rFonts w:ascii="Univers" w:hAnsi="Univers"/>
        </w:rPr>
        <w:t>y</w:t>
      </w:r>
      <w:r w:rsidR="00272C12" w:rsidRPr="00F65AAF">
        <w:rPr>
          <w:rFonts w:ascii="Univers" w:hAnsi="Univers"/>
        </w:rPr>
        <w:t xml:space="preserve"> 14 de julio de 1995</w:t>
      </w:r>
      <w:r w:rsidR="006F5569" w:rsidRPr="00F65AAF">
        <w:rPr>
          <w:rFonts w:ascii="Univers" w:hAnsi="Univers"/>
        </w:rPr>
        <w:t>, respectivamente</w:t>
      </w:r>
      <w:r w:rsidR="00272C12" w:rsidRPr="00F65AAF">
        <w:rPr>
          <w:rFonts w:ascii="Univers" w:hAnsi="Univers"/>
        </w:rPr>
        <w:t xml:space="preserve">. Ambos </w:t>
      </w:r>
      <w:r w:rsidRPr="00F65AAF">
        <w:rPr>
          <w:rFonts w:ascii="Univers" w:hAnsi="Univers"/>
        </w:rPr>
        <w:t>fallos</w:t>
      </w:r>
      <w:r w:rsidR="00272C12" w:rsidRPr="00F65AAF">
        <w:rPr>
          <w:rFonts w:ascii="Univers" w:hAnsi="Univers"/>
        </w:rPr>
        <w:t xml:space="preserve"> consideraron que la segunda acción de amparo era </w:t>
      </w:r>
      <w:r w:rsidRPr="00F65AAF">
        <w:rPr>
          <w:rFonts w:ascii="Univers" w:hAnsi="Univers"/>
        </w:rPr>
        <w:t>innecesaria</w:t>
      </w:r>
      <w:r w:rsidR="00272C12" w:rsidRPr="00F65AAF">
        <w:rPr>
          <w:rFonts w:ascii="Univers" w:hAnsi="Univers"/>
        </w:rPr>
        <w:t xml:space="preserve"> porque la</w:t>
      </w:r>
      <w:r w:rsidRPr="00F65AAF">
        <w:rPr>
          <w:rFonts w:ascii="Univers" w:hAnsi="Univers"/>
        </w:rPr>
        <w:t xml:space="preserve"> decisión adoptada en la</w:t>
      </w:r>
      <w:r w:rsidR="00272C12" w:rsidRPr="00F65AAF">
        <w:rPr>
          <w:rFonts w:ascii="Univers" w:hAnsi="Univers"/>
        </w:rPr>
        <w:t xml:space="preserve"> primera acción</w:t>
      </w:r>
      <w:r w:rsidRPr="00F65AAF">
        <w:rPr>
          <w:rFonts w:ascii="Univers" w:hAnsi="Univers"/>
        </w:rPr>
        <w:t xml:space="preserve"> de amparo</w:t>
      </w:r>
      <w:r w:rsidR="00272C12" w:rsidRPr="00F65AAF">
        <w:rPr>
          <w:rFonts w:ascii="Univers" w:hAnsi="Univers"/>
        </w:rPr>
        <w:t xml:space="preserve"> interpuesta tenía autoridad de cosa juzgada y debería oponerse a quien pretendiera ejecutar igual agresión.</w:t>
      </w:r>
      <w:r w:rsidR="006F5569" w:rsidRPr="00F65AAF">
        <w:rPr>
          <w:rFonts w:ascii="Univers" w:hAnsi="Univers"/>
        </w:rPr>
        <w:t xml:space="preserve"> </w:t>
      </w:r>
      <w:r w:rsidR="006D70A2" w:rsidRPr="00F65AAF">
        <w:rPr>
          <w:rFonts w:ascii="Univers" w:hAnsi="Univers"/>
        </w:rPr>
        <w:t>L</w:t>
      </w:r>
      <w:r w:rsidR="0009386A" w:rsidRPr="00F65AAF">
        <w:rPr>
          <w:rFonts w:ascii="Univers" w:hAnsi="Univers"/>
        </w:rPr>
        <w:t xml:space="preserve">a Corte Suprema de Justicia confirmó </w:t>
      </w:r>
      <w:r w:rsidRPr="00F65AAF">
        <w:rPr>
          <w:rFonts w:ascii="Univers" w:hAnsi="Univers"/>
        </w:rPr>
        <w:t>las sentencias venidas en grado</w:t>
      </w:r>
      <w:r w:rsidR="0009386A" w:rsidRPr="00F65AAF">
        <w:rPr>
          <w:rFonts w:ascii="Univers" w:hAnsi="Univers"/>
        </w:rPr>
        <w:t xml:space="preserve"> el 26 de agosto de 1997.</w:t>
      </w:r>
    </w:p>
    <w:p w:rsidR="00F6582E" w:rsidRPr="00F65AAF" w:rsidRDefault="00F6582E" w:rsidP="00F6582E">
      <w:pPr>
        <w:tabs>
          <w:tab w:val="left" w:pos="0"/>
        </w:tabs>
        <w:jc w:val="both"/>
        <w:rPr>
          <w:rFonts w:ascii="Univers" w:hAnsi="Univers"/>
        </w:rPr>
      </w:pPr>
    </w:p>
    <w:p w:rsidR="00C438A6" w:rsidRPr="00F65AAF" w:rsidRDefault="00F6582E" w:rsidP="00C438A6">
      <w:pPr>
        <w:numPr>
          <w:ilvl w:val="0"/>
          <w:numId w:val="17"/>
        </w:numPr>
        <w:tabs>
          <w:tab w:val="left" w:pos="0"/>
        </w:tabs>
        <w:ind w:left="0" w:firstLine="720"/>
        <w:jc w:val="both"/>
        <w:rPr>
          <w:rFonts w:ascii="Univers" w:hAnsi="Univers"/>
        </w:rPr>
      </w:pPr>
      <w:r w:rsidRPr="00F65AAF">
        <w:rPr>
          <w:rFonts w:ascii="Univers" w:hAnsi="Univers"/>
        </w:rPr>
        <w:t xml:space="preserve">El peticionario </w:t>
      </w:r>
      <w:r w:rsidR="00E84F88" w:rsidRPr="00F65AAF">
        <w:rPr>
          <w:rFonts w:ascii="Univers" w:hAnsi="Univers"/>
        </w:rPr>
        <w:t xml:space="preserve">alega que posteriormente, </w:t>
      </w:r>
      <w:r w:rsidR="006D70A2" w:rsidRPr="00F65AAF">
        <w:rPr>
          <w:rFonts w:ascii="Univers" w:hAnsi="Univers"/>
        </w:rPr>
        <w:t>e</w:t>
      </w:r>
      <w:r w:rsidR="0009386A" w:rsidRPr="00F65AAF">
        <w:rPr>
          <w:rFonts w:ascii="Univers" w:hAnsi="Univers"/>
        </w:rPr>
        <w:t>l 10 de diciembre de1999</w:t>
      </w:r>
      <w:r w:rsidR="005269A6" w:rsidRPr="00F65AAF">
        <w:rPr>
          <w:rFonts w:ascii="Univers" w:hAnsi="Univers"/>
        </w:rPr>
        <w:t>,</w:t>
      </w:r>
      <w:r w:rsidR="00272C12" w:rsidRPr="00F65AAF">
        <w:rPr>
          <w:rFonts w:ascii="Univers" w:hAnsi="Univers"/>
        </w:rPr>
        <w:t xml:space="preserve"> </w:t>
      </w:r>
      <w:r w:rsidR="0009386A" w:rsidRPr="00F65AAF">
        <w:rPr>
          <w:rFonts w:ascii="Univers" w:hAnsi="Univers"/>
        </w:rPr>
        <w:t>el Tribunal Constitucional revocó la resolución expedida por la Corte</w:t>
      </w:r>
      <w:r w:rsidR="006F5569" w:rsidRPr="00F65AAF">
        <w:rPr>
          <w:rFonts w:ascii="Univers" w:hAnsi="Univers"/>
        </w:rPr>
        <w:t xml:space="preserve"> Suprema</w:t>
      </w:r>
      <w:r w:rsidR="0009386A" w:rsidRPr="00F65AAF">
        <w:rPr>
          <w:rFonts w:ascii="Univers" w:hAnsi="Univers"/>
        </w:rPr>
        <w:t xml:space="preserve"> de Justicia</w:t>
      </w:r>
      <w:r w:rsidR="005269A6" w:rsidRPr="00F65AAF">
        <w:rPr>
          <w:rFonts w:ascii="Univers" w:hAnsi="Univers"/>
        </w:rPr>
        <w:t xml:space="preserve"> en la segunda acción de amparo, declarándola </w:t>
      </w:r>
      <w:r w:rsidR="0009386A" w:rsidRPr="00F65AAF">
        <w:rPr>
          <w:rFonts w:ascii="Univers" w:hAnsi="Univers"/>
        </w:rPr>
        <w:t>fundada.</w:t>
      </w:r>
      <w:r w:rsidR="006D70A2" w:rsidRPr="00F65AAF">
        <w:rPr>
          <w:rFonts w:ascii="Univers" w:hAnsi="Univers"/>
        </w:rPr>
        <w:t xml:space="preserve"> </w:t>
      </w:r>
      <w:r w:rsidR="005269A6" w:rsidRPr="00F65AAF">
        <w:rPr>
          <w:rFonts w:ascii="Univers" w:hAnsi="Univers"/>
        </w:rPr>
        <w:t>En dicha ocasión</w:t>
      </w:r>
      <w:r w:rsidR="006D70A2" w:rsidRPr="00F65AAF">
        <w:rPr>
          <w:rFonts w:ascii="Univers" w:hAnsi="Univers"/>
        </w:rPr>
        <w:t xml:space="preserve"> el Tribunal Constitucional</w:t>
      </w:r>
      <w:r w:rsidR="0009386A" w:rsidRPr="00F65AAF">
        <w:rPr>
          <w:rFonts w:ascii="Univers" w:hAnsi="Univers"/>
        </w:rPr>
        <w:t xml:space="preserve"> </w:t>
      </w:r>
      <w:r w:rsidR="006D70A2" w:rsidRPr="00F65AAF">
        <w:rPr>
          <w:rFonts w:ascii="Univers" w:hAnsi="Univers"/>
        </w:rPr>
        <w:t>determinó</w:t>
      </w:r>
      <w:r w:rsidR="0009386A" w:rsidRPr="00F65AAF">
        <w:rPr>
          <w:rFonts w:ascii="Univers" w:hAnsi="Univers"/>
        </w:rPr>
        <w:t xml:space="preserve"> </w:t>
      </w:r>
      <w:r w:rsidR="006A10E0" w:rsidRPr="00F65AAF">
        <w:rPr>
          <w:rFonts w:ascii="Univers" w:hAnsi="Univers"/>
        </w:rPr>
        <w:t xml:space="preserve">que </w:t>
      </w:r>
      <w:r w:rsidR="0009386A" w:rsidRPr="00F65AAF">
        <w:rPr>
          <w:rFonts w:ascii="Univers" w:hAnsi="Univers"/>
        </w:rPr>
        <w:t xml:space="preserve">el acuerdo </w:t>
      </w:r>
      <w:r w:rsidR="006A10E0" w:rsidRPr="00F65AAF">
        <w:rPr>
          <w:rFonts w:ascii="Univers" w:hAnsi="Univers"/>
        </w:rPr>
        <w:t>No.</w:t>
      </w:r>
      <w:r w:rsidR="00EF0806" w:rsidRPr="00F65AAF">
        <w:rPr>
          <w:rFonts w:ascii="Univers" w:hAnsi="Univers"/>
        </w:rPr>
        <w:t xml:space="preserve"> 023/93 </w:t>
      </w:r>
      <w:r w:rsidR="006A10E0" w:rsidRPr="00F65AAF">
        <w:rPr>
          <w:rFonts w:ascii="Univers" w:hAnsi="Univers"/>
        </w:rPr>
        <w:t xml:space="preserve">no era aplicable al peticionario </w:t>
      </w:r>
      <w:r w:rsidR="00EF0806" w:rsidRPr="00F65AAF">
        <w:rPr>
          <w:rFonts w:ascii="Univers" w:hAnsi="Univers"/>
        </w:rPr>
        <w:t xml:space="preserve">y ordenó </w:t>
      </w:r>
      <w:r w:rsidR="006D70A2" w:rsidRPr="00F65AAF">
        <w:rPr>
          <w:rFonts w:ascii="Univers" w:hAnsi="Univers"/>
        </w:rPr>
        <w:t>a la</w:t>
      </w:r>
      <w:r w:rsidR="00EF0806" w:rsidRPr="00F65AAF">
        <w:rPr>
          <w:rFonts w:ascii="Univers" w:hAnsi="Univers"/>
        </w:rPr>
        <w:t xml:space="preserve"> </w:t>
      </w:r>
      <w:r w:rsidR="006D70A2" w:rsidRPr="00F65AAF">
        <w:rPr>
          <w:rFonts w:ascii="Univers" w:hAnsi="Univers"/>
        </w:rPr>
        <w:t>e</w:t>
      </w:r>
      <w:r w:rsidR="00EF0806" w:rsidRPr="00F65AAF">
        <w:rPr>
          <w:rFonts w:ascii="Univers" w:hAnsi="Univers"/>
        </w:rPr>
        <w:t>mpresa</w:t>
      </w:r>
      <w:r w:rsidR="006D70A2" w:rsidRPr="00F65AAF">
        <w:rPr>
          <w:rFonts w:ascii="Univers" w:hAnsi="Univers"/>
        </w:rPr>
        <w:t xml:space="preserve"> demandada</w:t>
      </w:r>
      <w:r w:rsidR="00EF0806" w:rsidRPr="00F65AAF">
        <w:rPr>
          <w:rFonts w:ascii="Univers" w:hAnsi="Univers"/>
        </w:rPr>
        <w:t xml:space="preserve"> cumpl</w:t>
      </w:r>
      <w:r w:rsidR="006D70A2" w:rsidRPr="00F65AAF">
        <w:rPr>
          <w:rFonts w:ascii="Univers" w:hAnsi="Univers"/>
        </w:rPr>
        <w:t>ir</w:t>
      </w:r>
      <w:r w:rsidR="00EF0806" w:rsidRPr="00F65AAF">
        <w:rPr>
          <w:rFonts w:ascii="Univers" w:hAnsi="Univers"/>
        </w:rPr>
        <w:t xml:space="preserve"> con el pago continuado de pensión de cesantía renovable que </w:t>
      </w:r>
      <w:r w:rsidR="006A10E0" w:rsidRPr="00F65AAF">
        <w:rPr>
          <w:rFonts w:ascii="Univers" w:hAnsi="Univers"/>
        </w:rPr>
        <w:t>el Sr. Muelle</w:t>
      </w:r>
      <w:r w:rsidR="00EF0806" w:rsidRPr="00F65AAF">
        <w:rPr>
          <w:rFonts w:ascii="Univers" w:hAnsi="Univers"/>
        </w:rPr>
        <w:t xml:space="preserve"> venía percibiendo. </w:t>
      </w:r>
    </w:p>
    <w:p w:rsidR="00F6582E" w:rsidRPr="00F65AAF" w:rsidRDefault="00F6582E" w:rsidP="00F6582E">
      <w:pPr>
        <w:tabs>
          <w:tab w:val="left" w:pos="0"/>
        </w:tabs>
        <w:jc w:val="both"/>
        <w:rPr>
          <w:rFonts w:ascii="Univers" w:hAnsi="Univers"/>
        </w:rPr>
      </w:pPr>
    </w:p>
    <w:p w:rsidR="00F6582E" w:rsidRPr="00F65AAF" w:rsidRDefault="00F6582E" w:rsidP="00F6582E">
      <w:pPr>
        <w:pStyle w:val="Textonotaalfinal"/>
        <w:numPr>
          <w:ilvl w:val="0"/>
          <w:numId w:val="17"/>
        </w:numPr>
        <w:tabs>
          <w:tab w:val="clear" w:pos="720"/>
          <w:tab w:val="num" w:pos="0"/>
        </w:tabs>
        <w:ind w:left="0" w:firstLine="720"/>
        <w:rPr>
          <w:lang w:val="es-AR"/>
        </w:rPr>
      </w:pPr>
      <w:r w:rsidRPr="00F65AAF">
        <w:rPr>
          <w:lang w:val="es-AR"/>
        </w:rPr>
        <w:t xml:space="preserve">De acuerdo con la información presentada por las partes, el 7 de abril de 1997 el </w:t>
      </w:r>
      <w:r w:rsidR="00D8323A" w:rsidRPr="00F65AAF">
        <w:rPr>
          <w:lang w:val="es-AR"/>
        </w:rPr>
        <w:t>Quinto</w:t>
      </w:r>
      <w:r w:rsidRPr="00F65AAF">
        <w:rPr>
          <w:lang w:val="es-AR"/>
        </w:rPr>
        <w:t xml:space="preserve"> Juzgado Civil de Lima expidió una resolución ordenando el cumplimiento de la ejecutoria suprema</w:t>
      </w:r>
      <w:r w:rsidR="006A10E0" w:rsidRPr="00F65AAF">
        <w:rPr>
          <w:lang w:val="es-AR"/>
        </w:rPr>
        <w:t xml:space="preserve"> de 1993</w:t>
      </w:r>
      <w:r w:rsidRPr="00F65AAF">
        <w:rPr>
          <w:lang w:val="es-AR"/>
        </w:rPr>
        <w:t xml:space="preserve">, en los siguientes términos:  </w:t>
      </w:r>
    </w:p>
    <w:p w:rsidR="00F6582E" w:rsidRPr="00F65AAF" w:rsidRDefault="00F6582E" w:rsidP="00F6582E">
      <w:pPr>
        <w:pStyle w:val="ListParagraph"/>
      </w:pPr>
    </w:p>
    <w:p w:rsidR="00E96DAE" w:rsidRPr="00F65AAF" w:rsidRDefault="001D0D9F" w:rsidP="00F6582E">
      <w:pPr>
        <w:pStyle w:val="Textonotaalfinal"/>
        <w:ind w:left="720" w:right="720"/>
        <w:rPr>
          <w:lang w:val="es-AR"/>
        </w:rPr>
      </w:pPr>
      <w:r w:rsidRPr="00F65AAF">
        <w:t>REQUIERASE POR ULTIMA VEZ A LA DEMANDADA empresa minera especial Tintaya Sociedad anónima (hoy, BHP Tintaya S.A</w:t>
      </w:r>
      <w:r>
        <w:t>.</w:t>
      </w:r>
      <w:r w:rsidRPr="00F65AAF">
        <w:t>) para que dentro del tercer día, cumpla sin restricción alguna el ordenado por Ejecutoria Suprema de fecha de dos de febre</w:t>
      </w:r>
      <w:r>
        <w:t>ro de mil novecientos</w:t>
      </w:r>
      <w:r w:rsidRPr="001D0D9F">
        <w:rPr>
          <w:lang w:val="es-PE"/>
        </w:rPr>
        <w:t xml:space="preserve"> noventitr</w:t>
      </w:r>
      <w:r>
        <w:rPr>
          <w:lang w:val="es-PE"/>
        </w:rPr>
        <w:t>é</w:t>
      </w:r>
      <w:r w:rsidRPr="001D0D9F">
        <w:rPr>
          <w:lang w:val="es-PE"/>
        </w:rPr>
        <w:t>s</w:t>
      </w:r>
      <w:r w:rsidRPr="00F65AAF">
        <w:t xml:space="preserve"> bajo apercibimiento de expeditarse las copias certificadas para formular la denuncia penal correspondiente…</w:t>
      </w:r>
      <w:r w:rsidRPr="00F65AAF">
        <w:rPr>
          <w:rStyle w:val="Refdenotaalpie"/>
          <w:lang w:val="es-AR"/>
        </w:rPr>
        <w:footnoteReference w:id="3"/>
      </w:r>
    </w:p>
    <w:p w:rsidR="006A10E0" w:rsidRPr="00F65AAF" w:rsidRDefault="006A10E0" w:rsidP="006A10E0">
      <w:pPr>
        <w:numPr>
          <w:ilvl w:val="0"/>
          <w:numId w:val="17"/>
        </w:numPr>
        <w:tabs>
          <w:tab w:val="left" w:pos="0"/>
        </w:tabs>
        <w:ind w:left="0" w:firstLine="720"/>
        <w:jc w:val="both"/>
        <w:rPr>
          <w:rFonts w:ascii="Univers" w:hAnsi="Univers"/>
        </w:rPr>
      </w:pPr>
      <w:r w:rsidRPr="00F65AAF">
        <w:rPr>
          <w:rFonts w:ascii="Univers" w:hAnsi="Univers"/>
        </w:rPr>
        <w:t>De la documentación aportada por el peticionario, surge que</w:t>
      </w:r>
      <w:r w:rsidR="00556F0D" w:rsidRPr="00F65AAF">
        <w:rPr>
          <w:rFonts w:ascii="Univers" w:hAnsi="Univers"/>
        </w:rPr>
        <w:t xml:space="preserve"> en 1994</w:t>
      </w:r>
      <w:r w:rsidRPr="00F65AAF">
        <w:rPr>
          <w:rFonts w:ascii="Univers" w:hAnsi="Univers"/>
        </w:rPr>
        <w:t xml:space="preserve"> la empresa demandada interpuso una demanda en la vía contencioso administrativa para que se declarara la improcedencia de la incorporación del señor Muelle Flores al régimen pensionario del Decreto Ley 20.530. Sin embargo, la Sala de Derecho Constitucional y Social de la Corte Suprema de Justicia en resolución de 29 de octubre de 1997 declaró infundada dicha demanda, confirmando la pertenencia del peticionario al mencionado régimen pensionario.</w:t>
      </w:r>
    </w:p>
    <w:p w:rsidR="00E96DAE" w:rsidRPr="00F65AAF" w:rsidRDefault="00E96DAE" w:rsidP="00E96DAE">
      <w:pPr>
        <w:pStyle w:val="ListParagraph"/>
        <w:rPr>
          <w:rFonts w:ascii="Univers" w:hAnsi="Univers"/>
        </w:rPr>
      </w:pPr>
    </w:p>
    <w:p w:rsidR="00B10B77" w:rsidRPr="00F65AAF" w:rsidRDefault="00C438A6" w:rsidP="00B10B77">
      <w:pPr>
        <w:numPr>
          <w:ilvl w:val="0"/>
          <w:numId w:val="17"/>
        </w:numPr>
        <w:tabs>
          <w:tab w:val="left" w:pos="0"/>
        </w:tabs>
        <w:ind w:left="0" w:firstLine="720"/>
        <w:jc w:val="both"/>
        <w:rPr>
          <w:rFonts w:ascii="Univers" w:hAnsi="Univers"/>
        </w:rPr>
      </w:pPr>
      <w:r w:rsidRPr="00F65AAF">
        <w:rPr>
          <w:rFonts w:ascii="Univers" w:hAnsi="Univers"/>
        </w:rPr>
        <w:lastRenderedPageBreak/>
        <w:t>El peticionario</w:t>
      </w:r>
      <w:r w:rsidR="006D70A2" w:rsidRPr="00F65AAF">
        <w:rPr>
          <w:rFonts w:ascii="Univers" w:hAnsi="Univers"/>
        </w:rPr>
        <w:t xml:space="preserve"> indicó </w:t>
      </w:r>
      <w:r w:rsidR="00850DCC" w:rsidRPr="00F65AAF">
        <w:rPr>
          <w:rFonts w:ascii="Univers" w:hAnsi="Univers"/>
        </w:rPr>
        <w:t xml:space="preserve">también </w:t>
      </w:r>
      <w:r w:rsidR="006D70A2" w:rsidRPr="00F65AAF">
        <w:rPr>
          <w:rFonts w:ascii="Univers" w:hAnsi="Univers"/>
        </w:rPr>
        <w:t>haber</w:t>
      </w:r>
      <w:r w:rsidRPr="00F65AAF">
        <w:rPr>
          <w:rFonts w:ascii="Univers" w:hAnsi="Univers"/>
        </w:rPr>
        <w:t xml:space="preserve"> interp</w:t>
      </w:r>
      <w:r w:rsidR="006D70A2" w:rsidRPr="00F65AAF">
        <w:rPr>
          <w:rFonts w:ascii="Univers" w:hAnsi="Univers"/>
        </w:rPr>
        <w:t>uesto</w:t>
      </w:r>
      <w:r w:rsidRPr="00F65AAF">
        <w:rPr>
          <w:rFonts w:ascii="Univers" w:hAnsi="Univers"/>
        </w:rPr>
        <w:t xml:space="preserve"> </w:t>
      </w:r>
      <w:r w:rsidR="006A10E0" w:rsidRPr="00F65AAF">
        <w:rPr>
          <w:rFonts w:ascii="Univers" w:hAnsi="Univers"/>
        </w:rPr>
        <w:t xml:space="preserve">en 1993 una </w:t>
      </w:r>
      <w:r w:rsidR="006D70A2" w:rsidRPr="00F65AAF">
        <w:rPr>
          <w:rFonts w:ascii="Univers" w:hAnsi="Univers"/>
        </w:rPr>
        <w:t xml:space="preserve">denuncia </w:t>
      </w:r>
      <w:r w:rsidRPr="00F65AAF">
        <w:rPr>
          <w:rFonts w:ascii="Univers" w:hAnsi="Univers"/>
        </w:rPr>
        <w:t>penal contra algunos funcionarios de la empresa por los delitos de violación de la libertad de trabajo y abuso de autoridad</w:t>
      </w:r>
      <w:r w:rsidR="00070D55" w:rsidRPr="00F65AAF">
        <w:rPr>
          <w:rFonts w:ascii="Univers" w:hAnsi="Univers"/>
        </w:rPr>
        <w:t>. Sin embargo,</w:t>
      </w:r>
      <w:r w:rsidR="006D70A2" w:rsidRPr="00F65AAF">
        <w:rPr>
          <w:rFonts w:ascii="Univers" w:hAnsi="Univers"/>
        </w:rPr>
        <w:t xml:space="preserve"> afirmó que</w:t>
      </w:r>
      <w:r w:rsidR="00070D55" w:rsidRPr="00F65AAF">
        <w:rPr>
          <w:rFonts w:ascii="Univers" w:hAnsi="Univers"/>
        </w:rPr>
        <w:t xml:space="preserve"> </w:t>
      </w:r>
      <w:r w:rsidRPr="00F65AAF">
        <w:rPr>
          <w:rFonts w:ascii="Univers" w:hAnsi="Univers"/>
        </w:rPr>
        <w:t xml:space="preserve">el 30 de junio de 1997 la </w:t>
      </w:r>
      <w:r w:rsidR="00B10B77" w:rsidRPr="00F65AAF">
        <w:rPr>
          <w:rFonts w:ascii="Univers" w:hAnsi="Univers"/>
        </w:rPr>
        <w:t xml:space="preserve">Segunda </w:t>
      </w:r>
      <w:r w:rsidRPr="00F65AAF">
        <w:rPr>
          <w:rFonts w:ascii="Univers" w:hAnsi="Univers"/>
        </w:rPr>
        <w:t xml:space="preserve">Sala Penal entendió que la acción penal habría prescrito y ordenó el archivo del proceso. </w:t>
      </w:r>
    </w:p>
    <w:p w:rsidR="00B10B77" w:rsidRPr="00F65AAF" w:rsidRDefault="00B10B77" w:rsidP="00B10B77">
      <w:pPr>
        <w:pStyle w:val="ListParagraph"/>
        <w:ind w:left="0"/>
        <w:rPr>
          <w:rFonts w:ascii="Univers" w:hAnsi="Univers"/>
        </w:rPr>
      </w:pPr>
    </w:p>
    <w:p w:rsidR="00636B14" w:rsidRPr="00F65AAF" w:rsidRDefault="006D70A2" w:rsidP="00636B14">
      <w:pPr>
        <w:numPr>
          <w:ilvl w:val="0"/>
          <w:numId w:val="17"/>
        </w:numPr>
        <w:tabs>
          <w:tab w:val="left" w:pos="0"/>
        </w:tabs>
        <w:ind w:left="0" w:firstLine="720"/>
        <w:jc w:val="both"/>
        <w:rPr>
          <w:rFonts w:ascii="Univers" w:hAnsi="Univers"/>
        </w:rPr>
      </w:pPr>
      <w:r w:rsidRPr="00F65AAF">
        <w:rPr>
          <w:rFonts w:ascii="Univers" w:hAnsi="Univers"/>
        </w:rPr>
        <w:t>El peticionario destacó que si bien</w:t>
      </w:r>
      <w:r w:rsidR="001E3CDE" w:rsidRPr="00F65AAF">
        <w:rPr>
          <w:rFonts w:ascii="Univers" w:hAnsi="Univers"/>
        </w:rPr>
        <w:t xml:space="preserve"> desde 1999</w:t>
      </w:r>
      <w:r w:rsidR="00B10B77" w:rsidRPr="00F65AAF">
        <w:rPr>
          <w:rFonts w:ascii="Univers" w:hAnsi="Univers"/>
        </w:rPr>
        <w:t xml:space="preserve"> la </w:t>
      </w:r>
      <w:r w:rsidRPr="00F65AAF">
        <w:rPr>
          <w:rFonts w:ascii="Univers" w:hAnsi="Univers"/>
        </w:rPr>
        <w:t>E</w:t>
      </w:r>
      <w:r w:rsidR="00B10B77" w:rsidRPr="00F65AAF">
        <w:rPr>
          <w:rFonts w:ascii="Univers" w:hAnsi="Univers"/>
        </w:rPr>
        <w:t>mpresa</w:t>
      </w:r>
      <w:r w:rsidRPr="00F65AAF">
        <w:rPr>
          <w:rFonts w:ascii="Univers" w:hAnsi="Univers"/>
        </w:rPr>
        <w:t xml:space="preserve"> Minera Especial “Tintaya”</w:t>
      </w:r>
      <w:r w:rsidR="00B10B77" w:rsidRPr="00F65AAF">
        <w:rPr>
          <w:rFonts w:ascii="Univers" w:hAnsi="Univers"/>
        </w:rPr>
        <w:t xml:space="preserve"> </w:t>
      </w:r>
      <w:r w:rsidR="001E3CDE" w:rsidRPr="00F65AAF">
        <w:rPr>
          <w:rFonts w:ascii="Univers" w:hAnsi="Univers"/>
        </w:rPr>
        <w:t xml:space="preserve">le </w:t>
      </w:r>
      <w:r w:rsidR="00B10B77" w:rsidRPr="00F65AAF">
        <w:rPr>
          <w:rFonts w:ascii="Univers" w:hAnsi="Univers"/>
        </w:rPr>
        <w:t xml:space="preserve">viene abonando la suma de </w:t>
      </w:r>
      <w:r w:rsidRPr="00F65AAF">
        <w:rPr>
          <w:rFonts w:ascii="Univers" w:hAnsi="Univers"/>
        </w:rPr>
        <w:t>ochocientos soles</w:t>
      </w:r>
      <w:r w:rsidR="00B10B77" w:rsidRPr="00F65AAF">
        <w:rPr>
          <w:rFonts w:ascii="Univers" w:hAnsi="Univers"/>
        </w:rPr>
        <w:t xml:space="preserve"> mensuales</w:t>
      </w:r>
      <w:r w:rsidRPr="00F65AAF">
        <w:rPr>
          <w:rFonts w:ascii="Univers" w:hAnsi="Univers"/>
        </w:rPr>
        <w:t>, este valor</w:t>
      </w:r>
      <w:r w:rsidR="00B10B77" w:rsidRPr="00F65AAF">
        <w:rPr>
          <w:rFonts w:ascii="Univers" w:hAnsi="Univers"/>
        </w:rPr>
        <w:t xml:space="preserve"> </w:t>
      </w:r>
      <w:r w:rsidRPr="00F65AAF">
        <w:rPr>
          <w:rFonts w:ascii="Univers" w:hAnsi="Univers"/>
        </w:rPr>
        <w:t>no corresponde</w:t>
      </w:r>
      <w:r w:rsidR="00636B14" w:rsidRPr="00F65AAF">
        <w:rPr>
          <w:rFonts w:ascii="Univers" w:hAnsi="Univers"/>
        </w:rPr>
        <w:t xml:space="preserve"> </w:t>
      </w:r>
      <w:r w:rsidRPr="00F65AAF">
        <w:rPr>
          <w:rFonts w:ascii="Univers" w:hAnsi="Univers"/>
        </w:rPr>
        <w:t>al determinado por la Corte Suprema de Justicia el</w:t>
      </w:r>
      <w:r w:rsidR="002863C5" w:rsidRPr="00F65AAF">
        <w:rPr>
          <w:rFonts w:ascii="Univers" w:hAnsi="Univers"/>
        </w:rPr>
        <w:t xml:space="preserve"> 2 </w:t>
      </w:r>
      <w:r w:rsidR="00556F0D" w:rsidRPr="00F65AAF">
        <w:rPr>
          <w:rFonts w:ascii="Univers" w:hAnsi="Univers"/>
        </w:rPr>
        <w:t>d</w:t>
      </w:r>
      <w:r w:rsidR="002863C5" w:rsidRPr="00F65AAF">
        <w:rPr>
          <w:rFonts w:ascii="Univers" w:hAnsi="Univers"/>
        </w:rPr>
        <w:t xml:space="preserve">e febrero de 1993 y </w:t>
      </w:r>
      <w:r w:rsidR="001E3CDE" w:rsidRPr="00F65AAF">
        <w:rPr>
          <w:rFonts w:ascii="Univers" w:hAnsi="Univers"/>
        </w:rPr>
        <w:t xml:space="preserve">por </w:t>
      </w:r>
      <w:r w:rsidR="00636B14" w:rsidRPr="00F65AAF">
        <w:rPr>
          <w:rFonts w:ascii="Univers" w:hAnsi="Univers"/>
        </w:rPr>
        <w:t xml:space="preserve">el Tribunal Constitucional </w:t>
      </w:r>
      <w:r w:rsidR="001E3CDE" w:rsidRPr="00F65AAF">
        <w:rPr>
          <w:rFonts w:ascii="Univers" w:hAnsi="Univers"/>
        </w:rPr>
        <w:t xml:space="preserve">el </w:t>
      </w:r>
      <w:r w:rsidR="00636B14" w:rsidRPr="00F65AAF">
        <w:rPr>
          <w:rFonts w:ascii="Univers" w:hAnsi="Univers"/>
        </w:rPr>
        <w:t>10 de diciembre de 1999</w:t>
      </w:r>
      <w:r w:rsidR="001E3CDE" w:rsidRPr="00F65AAF">
        <w:rPr>
          <w:rFonts w:ascii="Univers" w:hAnsi="Univers"/>
        </w:rPr>
        <w:t>. Destacó que en la última resolución el Tribunal Constitucional</w:t>
      </w:r>
      <w:r w:rsidR="00636B14" w:rsidRPr="00F65AAF">
        <w:rPr>
          <w:rFonts w:ascii="Univers" w:hAnsi="Univers"/>
        </w:rPr>
        <w:t xml:space="preserve"> determinó el pago renovable de su pensión</w:t>
      </w:r>
      <w:r w:rsidR="001E3CDE" w:rsidRPr="00F65AAF">
        <w:rPr>
          <w:rFonts w:ascii="Univers" w:hAnsi="Univers"/>
        </w:rPr>
        <w:t xml:space="preserve"> y equiparable al de los trabajadores en actividad, lo que no ha sido cumplido por la empresa demandada</w:t>
      </w:r>
      <w:r w:rsidR="00636B14" w:rsidRPr="00F65AAF">
        <w:rPr>
          <w:rFonts w:ascii="Univers" w:hAnsi="Univers"/>
        </w:rPr>
        <w:t xml:space="preserve">. </w:t>
      </w:r>
      <w:r w:rsidR="001E3CDE" w:rsidRPr="00F65AAF">
        <w:rPr>
          <w:rFonts w:ascii="Univers" w:hAnsi="Univers"/>
        </w:rPr>
        <w:t>El peticionario</w:t>
      </w:r>
      <w:r w:rsidR="00C062ED" w:rsidRPr="00F65AAF">
        <w:rPr>
          <w:rFonts w:ascii="Univers" w:hAnsi="Univers"/>
        </w:rPr>
        <w:t xml:space="preserve"> </w:t>
      </w:r>
      <w:r w:rsidR="001E3CDE" w:rsidRPr="00F65AAF">
        <w:rPr>
          <w:rFonts w:ascii="Univers" w:hAnsi="Univers"/>
        </w:rPr>
        <w:t xml:space="preserve">manifestó </w:t>
      </w:r>
      <w:r w:rsidR="00C062ED" w:rsidRPr="00F65AAF">
        <w:rPr>
          <w:rFonts w:ascii="Univers" w:hAnsi="Univers"/>
        </w:rPr>
        <w:t xml:space="preserve">que no es posible cuantificar el monto exacto a que tiene derecho en vista de que no tiene acceso a </w:t>
      </w:r>
      <w:r w:rsidR="001E3CDE" w:rsidRPr="00F65AAF">
        <w:rPr>
          <w:rFonts w:ascii="Univers" w:hAnsi="Univers"/>
        </w:rPr>
        <w:t xml:space="preserve">las </w:t>
      </w:r>
      <w:r w:rsidR="00C062ED" w:rsidRPr="00F65AAF">
        <w:rPr>
          <w:rFonts w:ascii="Univers" w:hAnsi="Univers"/>
        </w:rPr>
        <w:t xml:space="preserve">planillas de pago de los trabajadores en actividad de la </w:t>
      </w:r>
      <w:r w:rsidR="001E3CDE" w:rsidRPr="00F65AAF">
        <w:rPr>
          <w:rFonts w:ascii="Univers" w:hAnsi="Univers"/>
        </w:rPr>
        <w:t>e</w:t>
      </w:r>
      <w:r w:rsidR="00C062ED" w:rsidRPr="00F65AAF">
        <w:rPr>
          <w:rFonts w:ascii="Univers" w:hAnsi="Univers"/>
        </w:rPr>
        <w:t>mpresa</w:t>
      </w:r>
      <w:r w:rsidR="001E3CDE" w:rsidRPr="00F65AAF">
        <w:rPr>
          <w:rFonts w:ascii="Univers" w:hAnsi="Univers"/>
        </w:rPr>
        <w:t xml:space="preserve"> demandada</w:t>
      </w:r>
      <w:r w:rsidR="00C062ED" w:rsidRPr="00F65AAF">
        <w:rPr>
          <w:rFonts w:ascii="Univers" w:hAnsi="Univers"/>
        </w:rPr>
        <w:t>. Inform</w:t>
      </w:r>
      <w:r w:rsidR="001E3CDE" w:rsidRPr="00F65AAF">
        <w:rPr>
          <w:rFonts w:ascii="Univers" w:hAnsi="Univers"/>
        </w:rPr>
        <w:t>ó, sin embargo,</w:t>
      </w:r>
      <w:r w:rsidR="00C062ED" w:rsidRPr="00F65AAF">
        <w:rPr>
          <w:rFonts w:ascii="Univers" w:hAnsi="Univers"/>
        </w:rPr>
        <w:t xml:space="preserve"> que el monto</w:t>
      </w:r>
      <w:r w:rsidR="001E3CDE" w:rsidRPr="00F65AAF">
        <w:rPr>
          <w:rFonts w:ascii="Univers" w:hAnsi="Univers"/>
        </w:rPr>
        <w:t xml:space="preserve"> que le viene abonando la empresa</w:t>
      </w:r>
      <w:r w:rsidR="00C062ED" w:rsidRPr="00F65AAF">
        <w:rPr>
          <w:rFonts w:ascii="Univers" w:hAnsi="Univers"/>
        </w:rPr>
        <w:t xml:space="preserve"> ha sido disminuido considerablemente</w:t>
      </w:r>
      <w:r w:rsidR="001E3CDE" w:rsidRPr="00F65AAF">
        <w:rPr>
          <w:rFonts w:ascii="Univers" w:hAnsi="Univers"/>
        </w:rPr>
        <w:t xml:space="preserve"> en términos reales,</w:t>
      </w:r>
      <w:r w:rsidR="00C062ED" w:rsidRPr="00F65AAF">
        <w:rPr>
          <w:rFonts w:ascii="Univers" w:hAnsi="Univers"/>
        </w:rPr>
        <w:t xml:space="preserve"> ya que no toma en cuenta la inflación de más de 2000% que afligió </w:t>
      </w:r>
      <w:r w:rsidR="00BF78E0">
        <w:rPr>
          <w:rFonts w:ascii="Univers" w:hAnsi="Univers"/>
        </w:rPr>
        <w:t>A</w:t>
      </w:r>
      <w:r w:rsidR="00C062ED" w:rsidRPr="00F65AAF">
        <w:rPr>
          <w:rFonts w:ascii="Univers" w:hAnsi="Univers"/>
        </w:rPr>
        <w:t>l Perú en los</w:t>
      </w:r>
      <w:r w:rsidR="001E3CDE" w:rsidRPr="00F65AAF">
        <w:rPr>
          <w:rFonts w:ascii="Univers" w:hAnsi="Univers"/>
        </w:rPr>
        <w:t xml:space="preserve"> años</w:t>
      </w:r>
      <w:r w:rsidR="00C062ED" w:rsidRPr="00F65AAF">
        <w:rPr>
          <w:rFonts w:ascii="Univers" w:hAnsi="Univers"/>
        </w:rPr>
        <w:t xml:space="preserve"> </w:t>
      </w:r>
      <w:r w:rsidR="001E3CDE" w:rsidRPr="00F65AAF">
        <w:rPr>
          <w:rFonts w:ascii="Univers" w:hAnsi="Univers"/>
        </w:rPr>
        <w:t>19</w:t>
      </w:r>
      <w:r w:rsidR="00C062ED" w:rsidRPr="00F65AAF">
        <w:rPr>
          <w:rFonts w:ascii="Univers" w:hAnsi="Univers"/>
        </w:rPr>
        <w:t xml:space="preserve">90 y no obedece a los criterios de renovabilidad y nivelación del régimen del Decreto </w:t>
      </w:r>
      <w:r w:rsidR="002863C5" w:rsidRPr="00F65AAF">
        <w:rPr>
          <w:rFonts w:ascii="Univers" w:hAnsi="Univers"/>
        </w:rPr>
        <w:t xml:space="preserve">Ley </w:t>
      </w:r>
      <w:r w:rsidR="00C062ED" w:rsidRPr="00F65AAF">
        <w:rPr>
          <w:rFonts w:ascii="Univers" w:hAnsi="Univers"/>
        </w:rPr>
        <w:t>20</w:t>
      </w:r>
      <w:r w:rsidR="002863C5" w:rsidRPr="00F65AAF">
        <w:rPr>
          <w:rFonts w:ascii="Univers" w:hAnsi="Univers"/>
        </w:rPr>
        <w:t>.</w:t>
      </w:r>
      <w:r w:rsidR="009C3351" w:rsidRPr="00F65AAF">
        <w:rPr>
          <w:rFonts w:ascii="Univers" w:hAnsi="Univers"/>
        </w:rPr>
        <w:t>530.</w:t>
      </w:r>
    </w:p>
    <w:p w:rsidR="009C3351" w:rsidRPr="00F65AAF" w:rsidRDefault="009C3351" w:rsidP="009C3351">
      <w:pPr>
        <w:tabs>
          <w:tab w:val="left" w:pos="0"/>
        </w:tabs>
        <w:jc w:val="both"/>
        <w:rPr>
          <w:rFonts w:ascii="Univers" w:hAnsi="Univers"/>
        </w:rPr>
      </w:pPr>
    </w:p>
    <w:p w:rsidR="009C3351" w:rsidRPr="00F65AAF" w:rsidRDefault="001D0D9F" w:rsidP="00636B14">
      <w:pPr>
        <w:numPr>
          <w:ilvl w:val="0"/>
          <w:numId w:val="17"/>
        </w:numPr>
        <w:tabs>
          <w:tab w:val="left" w:pos="0"/>
        </w:tabs>
        <w:ind w:left="0" w:firstLine="720"/>
        <w:jc w:val="both"/>
        <w:rPr>
          <w:rFonts w:ascii="Univers" w:hAnsi="Univers"/>
        </w:rPr>
      </w:pPr>
      <w:r w:rsidRPr="00F65AAF">
        <w:rPr>
          <w:rFonts w:ascii="Univers" w:hAnsi="Univers"/>
        </w:rPr>
        <w:t>El peticionario sostiene además que la obligada a efectuar el pago de los haberes pensionales pendientes es la empresa privada BHP “Tintaya” S.A</w:t>
      </w:r>
      <w:r>
        <w:rPr>
          <w:rFonts w:ascii="Univers" w:hAnsi="Univers"/>
        </w:rPr>
        <w:t>.</w:t>
      </w:r>
      <w:r w:rsidRPr="00F65AAF">
        <w:rPr>
          <w:rFonts w:ascii="Univers" w:hAnsi="Univers"/>
        </w:rPr>
        <w:t>, hoy Xstraya Tintaya S.A., en razón de haber asumido al momento de la privatización los activos y pasivos de la Empresa Minera Especial “Tintaya” S.A., de propiedad del Estado peruano, a la que prestó servicios en calidad de Gerente General.</w:t>
      </w:r>
    </w:p>
    <w:p w:rsidR="007E0270" w:rsidRPr="00F65AAF" w:rsidRDefault="007E0270" w:rsidP="007E0270">
      <w:pPr>
        <w:tabs>
          <w:tab w:val="left" w:pos="0"/>
        </w:tabs>
        <w:jc w:val="both"/>
        <w:rPr>
          <w:rFonts w:ascii="Univers" w:hAnsi="Univers"/>
        </w:rPr>
      </w:pPr>
    </w:p>
    <w:p w:rsidR="007E0270" w:rsidRPr="00F65AAF" w:rsidRDefault="007E0270" w:rsidP="00636B14">
      <w:pPr>
        <w:numPr>
          <w:ilvl w:val="0"/>
          <w:numId w:val="17"/>
        </w:numPr>
        <w:tabs>
          <w:tab w:val="left" w:pos="0"/>
        </w:tabs>
        <w:ind w:left="0" w:firstLine="720"/>
        <w:jc w:val="both"/>
        <w:rPr>
          <w:rFonts w:ascii="Univers" w:hAnsi="Univers"/>
        </w:rPr>
      </w:pPr>
      <w:r w:rsidRPr="00F65AAF">
        <w:rPr>
          <w:rFonts w:ascii="Univers" w:hAnsi="Univers"/>
        </w:rPr>
        <w:t xml:space="preserve">En su comunicación de fecha 29 de mayo de 2010, </w:t>
      </w:r>
      <w:r w:rsidR="00C04DED" w:rsidRPr="00F65AAF">
        <w:rPr>
          <w:rFonts w:ascii="Univers" w:hAnsi="Univers"/>
        </w:rPr>
        <w:t>recibida por</w:t>
      </w:r>
      <w:r w:rsidRPr="00F65AAF">
        <w:rPr>
          <w:rFonts w:ascii="Univers" w:hAnsi="Univers"/>
        </w:rPr>
        <w:t xml:space="preserve"> la CIDH el 8 de julio de 2010, el peticionario informó que el 26 de abril de 2010, el 38º Juzgado Civil de Lima</w:t>
      </w:r>
      <w:r w:rsidR="00C04DED" w:rsidRPr="00F65AAF">
        <w:rPr>
          <w:rFonts w:ascii="Univers" w:hAnsi="Univers"/>
        </w:rPr>
        <w:t>,</w:t>
      </w:r>
      <w:r w:rsidRPr="00F65AAF">
        <w:rPr>
          <w:rFonts w:ascii="Univers" w:hAnsi="Univers"/>
        </w:rPr>
        <w:t xml:space="preserve"> </w:t>
      </w:r>
      <w:r w:rsidR="00C04DED" w:rsidRPr="00F65AAF">
        <w:rPr>
          <w:rFonts w:ascii="Univers" w:hAnsi="Univers"/>
        </w:rPr>
        <w:t xml:space="preserve">a instancias de la empresa Xstraya Tintaya S.A., </w:t>
      </w:r>
      <w:r w:rsidRPr="00F65AAF">
        <w:rPr>
          <w:rFonts w:ascii="Univers" w:hAnsi="Univers"/>
        </w:rPr>
        <w:t xml:space="preserve">emitió una </w:t>
      </w:r>
      <w:r w:rsidR="00C04DED" w:rsidRPr="00F65AAF">
        <w:rPr>
          <w:rFonts w:ascii="Univers" w:hAnsi="Univers"/>
        </w:rPr>
        <w:t>decisión</w:t>
      </w:r>
      <w:r w:rsidRPr="00F65AAF">
        <w:rPr>
          <w:rFonts w:ascii="Univers" w:hAnsi="Univers"/>
        </w:rPr>
        <w:t xml:space="preserve"> declarando la nulidad de sus propias resoluciones anteriores que ordenan a </w:t>
      </w:r>
      <w:r w:rsidR="00C04DED" w:rsidRPr="00F65AAF">
        <w:rPr>
          <w:rFonts w:ascii="Univers" w:hAnsi="Univers"/>
        </w:rPr>
        <w:t>dicha</w:t>
      </w:r>
      <w:r w:rsidRPr="00F65AAF">
        <w:rPr>
          <w:rFonts w:ascii="Univers" w:hAnsi="Univers"/>
        </w:rPr>
        <w:t xml:space="preserve"> empresa efectuar el pago de los haberes pensionales pendientes, y disponiendo </w:t>
      </w:r>
      <w:r w:rsidR="00C04DED" w:rsidRPr="00F65AAF">
        <w:rPr>
          <w:rFonts w:ascii="Univers" w:hAnsi="Univers"/>
        </w:rPr>
        <w:t xml:space="preserve">al tiempo </w:t>
      </w:r>
      <w:r w:rsidRPr="00F65AAF">
        <w:rPr>
          <w:rFonts w:ascii="Univers" w:hAnsi="Univers"/>
        </w:rPr>
        <w:t>que el Sr. Muelle efectúe su reclamo de pago al Estado en lugar de a la empresa, conforme a la ley.</w:t>
      </w:r>
      <w:r w:rsidR="00C04DED" w:rsidRPr="00F65AAF">
        <w:rPr>
          <w:rFonts w:ascii="Univers" w:hAnsi="Univers"/>
        </w:rPr>
        <w:t xml:space="preserve"> Dicha providencia fue notificada al peticionario el 17 de mayo de 2010, y en la misma fecha la presunta víctima interpuso recurso de apelación.</w:t>
      </w:r>
    </w:p>
    <w:p w:rsidR="006C662E" w:rsidRPr="00F65AAF" w:rsidRDefault="006C662E" w:rsidP="006C662E">
      <w:pPr>
        <w:pStyle w:val="Ttulo1"/>
        <w:rPr>
          <w:rFonts w:ascii="Univers" w:hAnsi="Univers"/>
          <w:sz w:val="20"/>
          <w:szCs w:val="20"/>
        </w:rPr>
      </w:pPr>
      <w:r w:rsidRPr="00F65AAF">
        <w:rPr>
          <w:rFonts w:ascii="Univers" w:hAnsi="Univers"/>
          <w:sz w:val="20"/>
          <w:szCs w:val="20"/>
        </w:rPr>
        <w:tab/>
        <w:t>B.</w:t>
      </w:r>
      <w:r w:rsidRPr="00F65AAF">
        <w:rPr>
          <w:rFonts w:ascii="Univers" w:hAnsi="Univers"/>
          <w:sz w:val="20"/>
          <w:szCs w:val="20"/>
        </w:rPr>
        <w:tab/>
        <w:t>Posición del Estado</w:t>
      </w:r>
    </w:p>
    <w:p w:rsidR="00DB52D5" w:rsidRPr="00F65AAF" w:rsidRDefault="00DB52D5" w:rsidP="00DB52D5">
      <w:pPr>
        <w:pStyle w:val="Textonotaalfinal"/>
        <w:ind w:left="720"/>
        <w:rPr>
          <w:b/>
          <w:lang w:val="es-AR"/>
        </w:rPr>
      </w:pPr>
    </w:p>
    <w:p w:rsidR="0080323F" w:rsidRPr="00F65AAF" w:rsidRDefault="00DB52D5" w:rsidP="006C662E">
      <w:pPr>
        <w:pStyle w:val="Textonotaalfinal"/>
        <w:numPr>
          <w:ilvl w:val="0"/>
          <w:numId w:val="17"/>
        </w:numPr>
        <w:tabs>
          <w:tab w:val="clear" w:pos="720"/>
          <w:tab w:val="num" w:pos="0"/>
        </w:tabs>
        <w:ind w:left="0" w:firstLine="720"/>
        <w:rPr>
          <w:lang w:val="es-AR"/>
        </w:rPr>
      </w:pPr>
      <w:r w:rsidRPr="00F65AAF">
        <w:rPr>
          <w:lang w:val="es-AR"/>
        </w:rPr>
        <w:t xml:space="preserve">El Estado </w:t>
      </w:r>
      <w:r w:rsidR="00A703AC" w:rsidRPr="00F65AAF">
        <w:rPr>
          <w:lang w:val="es-AR"/>
        </w:rPr>
        <w:t xml:space="preserve">en su contestación a la denuncia </w:t>
      </w:r>
      <w:r w:rsidRPr="00F65AAF">
        <w:rPr>
          <w:lang w:val="es-AR"/>
        </w:rPr>
        <w:t xml:space="preserve">describió </w:t>
      </w:r>
      <w:r w:rsidR="00A703AC" w:rsidRPr="00F65AAF">
        <w:rPr>
          <w:lang w:val="es-AR"/>
        </w:rPr>
        <w:t>los procesos y</w:t>
      </w:r>
      <w:r w:rsidR="006C662E" w:rsidRPr="00F65AAF">
        <w:rPr>
          <w:lang w:val="es-AR"/>
        </w:rPr>
        <w:t xml:space="preserve"> </w:t>
      </w:r>
      <w:r w:rsidRPr="00F65AAF">
        <w:rPr>
          <w:lang w:val="es-AR"/>
        </w:rPr>
        <w:t>resoluciones judiciales emitidas respecto de la situación</w:t>
      </w:r>
      <w:r w:rsidR="001E3CDE" w:rsidRPr="00F65AAF">
        <w:rPr>
          <w:lang w:val="es-AR"/>
        </w:rPr>
        <w:t xml:space="preserve"> </w:t>
      </w:r>
      <w:r w:rsidRPr="00F65AAF">
        <w:rPr>
          <w:lang w:val="es-AR"/>
        </w:rPr>
        <w:t>del</w:t>
      </w:r>
      <w:r w:rsidR="006C662E" w:rsidRPr="00F65AAF">
        <w:rPr>
          <w:lang w:val="es-AR"/>
        </w:rPr>
        <w:t xml:space="preserve"> peticionario. </w:t>
      </w:r>
      <w:r w:rsidR="00A703AC" w:rsidRPr="00F65AAF">
        <w:rPr>
          <w:lang w:val="es-AR"/>
        </w:rPr>
        <w:t>Reconoció</w:t>
      </w:r>
      <w:r w:rsidR="0080323F" w:rsidRPr="00F65AAF">
        <w:rPr>
          <w:lang w:val="es-AR"/>
        </w:rPr>
        <w:t xml:space="preserve"> que</w:t>
      </w:r>
      <w:r w:rsidR="00C6062F" w:rsidRPr="00F65AAF">
        <w:rPr>
          <w:lang w:val="es-AR"/>
        </w:rPr>
        <w:t xml:space="preserve"> en el presente asunto está acreditada la agresión al derecho pensionario del Sr. Muelle, que</w:t>
      </w:r>
      <w:r w:rsidR="0080323F" w:rsidRPr="00F65AAF">
        <w:rPr>
          <w:lang w:val="es-AR"/>
        </w:rPr>
        <w:t xml:space="preserve"> el Tribunal Constitucional consideró</w:t>
      </w:r>
      <w:r w:rsidR="00C6062F" w:rsidRPr="00F65AAF">
        <w:rPr>
          <w:lang w:val="es-AR"/>
        </w:rPr>
        <w:t xml:space="preserve"> en su fallo de 10 de diciembre de 1999,</w:t>
      </w:r>
      <w:r w:rsidR="0080323F" w:rsidRPr="00F65AAF">
        <w:rPr>
          <w:lang w:val="es-AR"/>
        </w:rPr>
        <w:t xml:space="preserve"> que los derechos pensionarios adquiridos por el peticionario al amparo del Decreto Ley 20.530 no pueden ser desconocidos por la </w:t>
      </w:r>
      <w:r w:rsidR="00A703AC" w:rsidRPr="00F65AAF">
        <w:rPr>
          <w:lang w:val="es-AR"/>
        </w:rPr>
        <w:t xml:space="preserve">empresa </w:t>
      </w:r>
      <w:r w:rsidR="0080323F" w:rsidRPr="00F65AAF">
        <w:rPr>
          <w:lang w:val="es-AR"/>
        </w:rPr>
        <w:t xml:space="preserve">demandada en forma unilateral y fuera de los plazos </w:t>
      </w:r>
      <w:r w:rsidR="00A703AC" w:rsidRPr="00F65AAF">
        <w:rPr>
          <w:lang w:val="es-AR"/>
        </w:rPr>
        <w:t>previstos por</w:t>
      </w:r>
      <w:r w:rsidR="0080323F" w:rsidRPr="00F65AAF">
        <w:rPr>
          <w:lang w:val="es-AR"/>
        </w:rPr>
        <w:t xml:space="preserve"> ley. </w:t>
      </w:r>
    </w:p>
    <w:p w:rsidR="0080323F" w:rsidRPr="00F65AAF" w:rsidRDefault="0080323F" w:rsidP="0080323F">
      <w:pPr>
        <w:pStyle w:val="Textonotaalfinal"/>
        <w:ind w:left="720"/>
        <w:rPr>
          <w:lang w:val="es-AR"/>
        </w:rPr>
      </w:pPr>
    </w:p>
    <w:p w:rsidR="004C3ECD" w:rsidRPr="00F65AAF" w:rsidRDefault="004C3ECD" w:rsidP="006C662E">
      <w:pPr>
        <w:pStyle w:val="Textonotaalfinal"/>
        <w:numPr>
          <w:ilvl w:val="0"/>
          <w:numId w:val="17"/>
        </w:numPr>
        <w:tabs>
          <w:tab w:val="clear" w:pos="720"/>
          <w:tab w:val="num" w:pos="0"/>
        </w:tabs>
        <w:ind w:left="0" w:firstLine="720"/>
        <w:rPr>
          <w:lang w:val="es-AR"/>
        </w:rPr>
      </w:pPr>
      <w:r w:rsidRPr="00F65AAF">
        <w:rPr>
          <w:lang w:val="es-AR"/>
        </w:rPr>
        <w:t>Señaló que el 38</w:t>
      </w:r>
      <w:r w:rsidR="00091C32" w:rsidRPr="00F65AAF">
        <w:t>º</w:t>
      </w:r>
      <w:r w:rsidRPr="00F65AAF">
        <w:rPr>
          <w:lang w:val="es-AR"/>
        </w:rPr>
        <w:t xml:space="preserve"> Juzgado Civil de Lima asumió la competencia sobre la ejecución de</w:t>
      </w:r>
      <w:r w:rsidR="001E3CDE" w:rsidRPr="00F65AAF">
        <w:rPr>
          <w:lang w:val="es-AR"/>
        </w:rPr>
        <w:t xml:space="preserve"> la</w:t>
      </w:r>
      <w:r w:rsidRPr="00F65AAF">
        <w:rPr>
          <w:lang w:val="es-AR"/>
        </w:rPr>
        <w:t xml:space="preserve"> sentencia de fecha de 2 de febrero de 1993 ordenando que la Empresa Minera Especial Tintaya S.A. cumpla con el pago de la pensión dentro del régimen del Decreto Ley 20.530. Afirmó que en la etapa de ejecución</w:t>
      </w:r>
      <w:r w:rsidR="001E3CDE" w:rsidRPr="00F65AAF">
        <w:rPr>
          <w:lang w:val="es-AR"/>
        </w:rPr>
        <w:t xml:space="preserve"> el peticionario ha</w:t>
      </w:r>
      <w:r w:rsidRPr="00F65AAF">
        <w:rPr>
          <w:lang w:val="es-AR"/>
        </w:rPr>
        <w:t xml:space="preserve"> solicita</w:t>
      </w:r>
      <w:r w:rsidR="001E3CDE" w:rsidRPr="00F65AAF">
        <w:rPr>
          <w:lang w:val="es-AR"/>
        </w:rPr>
        <w:t>do</w:t>
      </w:r>
      <w:r w:rsidRPr="00F65AAF">
        <w:rPr>
          <w:lang w:val="es-AR"/>
        </w:rPr>
        <w:t xml:space="preserve"> la nivelación de su pensión con el cargo de gerente general de la citada empresa. </w:t>
      </w:r>
    </w:p>
    <w:p w:rsidR="004C3ECD" w:rsidRPr="00DA0F0D" w:rsidRDefault="004C3ECD" w:rsidP="004C3ECD">
      <w:pPr>
        <w:pStyle w:val="ListParagraph"/>
        <w:rPr>
          <w:rFonts w:ascii="Univers" w:hAnsi="Univers"/>
        </w:rPr>
      </w:pPr>
    </w:p>
    <w:p w:rsidR="004C3ECD" w:rsidRPr="00F65AAF" w:rsidRDefault="001E3CDE" w:rsidP="00A703AC">
      <w:pPr>
        <w:pStyle w:val="Textonotaalfinal"/>
        <w:numPr>
          <w:ilvl w:val="0"/>
          <w:numId w:val="17"/>
        </w:numPr>
        <w:tabs>
          <w:tab w:val="clear" w:pos="720"/>
          <w:tab w:val="num" w:pos="0"/>
        </w:tabs>
        <w:ind w:left="0" w:firstLine="720"/>
        <w:rPr>
          <w:lang w:val="es-AR"/>
        </w:rPr>
      </w:pPr>
      <w:r w:rsidRPr="00F65AAF">
        <w:rPr>
          <w:lang w:val="es-AR"/>
        </w:rPr>
        <w:t>Indicó que</w:t>
      </w:r>
      <w:r w:rsidR="003A7FDF" w:rsidRPr="00F65AAF">
        <w:rPr>
          <w:lang w:val="es-AR"/>
        </w:rPr>
        <w:t xml:space="preserve"> el 6 de abril de 2009 el 38</w:t>
      </w:r>
      <w:r w:rsidR="003A7FDF" w:rsidRPr="00F65AAF">
        <w:t xml:space="preserve">º Juzgado Civil de Lima notificó </w:t>
      </w:r>
      <w:r w:rsidR="00B3277B">
        <w:t xml:space="preserve">a </w:t>
      </w:r>
      <w:r w:rsidR="003A7FDF" w:rsidRPr="00F65AAF">
        <w:t>la Empresa y requirió el cumpl</w:t>
      </w:r>
      <w:r w:rsidR="00145CA5" w:rsidRPr="00F65AAF">
        <w:t xml:space="preserve">imento de la </w:t>
      </w:r>
      <w:r w:rsidRPr="00F65AAF">
        <w:t>e</w:t>
      </w:r>
      <w:r w:rsidR="00145CA5" w:rsidRPr="00F65AAF">
        <w:t xml:space="preserve">jecutoria </w:t>
      </w:r>
      <w:r w:rsidRPr="00F65AAF">
        <w:t>s</w:t>
      </w:r>
      <w:r w:rsidR="00145CA5" w:rsidRPr="00F65AAF">
        <w:t>uprema</w:t>
      </w:r>
      <w:r w:rsidRPr="00F65AAF">
        <w:t xml:space="preserve"> de fecha 2 de febrero de 1993</w:t>
      </w:r>
      <w:r w:rsidR="003A7FDF" w:rsidRPr="00F65AAF">
        <w:t xml:space="preserve">, bajo </w:t>
      </w:r>
      <w:r w:rsidR="00BD3B91" w:rsidRPr="00F65AAF">
        <w:t>apercibi</w:t>
      </w:r>
      <w:r w:rsidR="002863C5" w:rsidRPr="00F65AAF">
        <w:t xml:space="preserve">miento </w:t>
      </w:r>
      <w:r w:rsidR="00A703AC" w:rsidRPr="00F65AAF">
        <w:t>según lo decretado</w:t>
      </w:r>
      <w:r w:rsidR="002863C5" w:rsidRPr="00F65AAF">
        <w:t xml:space="preserve"> en la Resolución</w:t>
      </w:r>
      <w:r w:rsidR="00BD3B91" w:rsidRPr="00F65AAF">
        <w:t xml:space="preserve"> de fecha de 7 de abril de 1997, </w:t>
      </w:r>
      <w:r w:rsidR="00A703AC" w:rsidRPr="00F65AAF">
        <w:t>de que de no cumplirse con lo ordenado en el fallo</w:t>
      </w:r>
      <w:r w:rsidR="00BD3B91" w:rsidRPr="00F65AAF">
        <w:t xml:space="preserve"> </w:t>
      </w:r>
      <w:r w:rsidR="00A703AC" w:rsidRPr="00F65AAF">
        <w:t>se expedirán</w:t>
      </w:r>
      <w:r w:rsidR="00BD3B91" w:rsidRPr="00F65AAF">
        <w:t xml:space="preserve"> copias certificadas para formular denuncia penal</w:t>
      </w:r>
      <w:r w:rsidR="00A703AC" w:rsidRPr="00F65AAF">
        <w:t xml:space="preserve"> contra los responsables</w:t>
      </w:r>
      <w:r w:rsidR="00BD3B91" w:rsidRPr="00F65AAF">
        <w:t xml:space="preserve">. </w:t>
      </w:r>
      <w:r w:rsidR="00C50793" w:rsidRPr="00F65AAF">
        <w:rPr>
          <w:lang w:val="es-AR"/>
        </w:rPr>
        <w:t>Según explic</w:t>
      </w:r>
      <w:r w:rsidR="005D63C6" w:rsidRPr="00F65AAF">
        <w:rPr>
          <w:lang w:val="es-AR"/>
        </w:rPr>
        <w:t>ó</w:t>
      </w:r>
      <w:r w:rsidR="00C50793" w:rsidRPr="00F65AAF">
        <w:rPr>
          <w:lang w:val="es-AR"/>
        </w:rPr>
        <w:t xml:space="preserve"> el Estado, previamente</w:t>
      </w:r>
      <w:r w:rsidR="005D63C6" w:rsidRPr="00F65AAF">
        <w:rPr>
          <w:lang w:val="es-AR"/>
        </w:rPr>
        <w:t xml:space="preserve"> la compañía</w:t>
      </w:r>
      <w:r w:rsidR="00091C32" w:rsidRPr="00F65AAF">
        <w:rPr>
          <w:lang w:val="es-AR"/>
        </w:rPr>
        <w:t xml:space="preserve"> </w:t>
      </w:r>
      <w:r w:rsidR="009C3351" w:rsidRPr="00F65AAF">
        <w:rPr>
          <w:lang w:val="es-AR"/>
        </w:rPr>
        <w:t>Xstraya Tintaya</w:t>
      </w:r>
      <w:r w:rsidR="00091C32" w:rsidRPr="00F65AAF">
        <w:rPr>
          <w:lang w:val="es-AR"/>
        </w:rPr>
        <w:t xml:space="preserve"> S.A.</w:t>
      </w:r>
      <w:r w:rsidRPr="00F65AAF">
        <w:rPr>
          <w:lang w:val="es-AR"/>
        </w:rPr>
        <w:t xml:space="preserve">, </w:t>
      </w:r>
      <w:r w:rsidR="00091C32" w:rsidRPr="00F65AAF">
        <w:rPr>
          <w:lang w:val="es-AR"/>
        </w:rPr>
        <w:t>se apersonó</w:t>
      </w:r>
      <w:r w:rsidRPr="00F65AAF">
        <w:rPr>
          <w:lang w:val="es-AR"/>
        </w:rPr>
        <w:t xml:space="preserve"> </w:t>
      </w:r>
      <w:r w:rsidR="00091C32" w:rsidRPr="00F65AAF">
        <w:rPr>
          <w:lang w:val="es-AR"/>
        </w:rPr>
        <w:t>al proceso</w:t>
      </w:r>
      <w:r w:rsidRPr="00F65AAF">
        <w:rPr>
          <w:lang w:val="es-AR"/>
        </w:rPr>
        <w:t xml:space="preserve"> de ejecución</w:t>
      </w:r>
      <w:r w:rsidR="00091C32" w:rsidRPr="00F65AAF">
        <w:rPr>
          <w:lang w:val="es-AR"/>
        </w:rPr>
        <w:t xml:space="preserve"> afirmando que </w:t>
      </w:r>
      <w:r w:rsidRPr="00F65AAF">
        <w:rPr>
          <w:lang w:val="es-AR"/>
        </w:rPr>
        <w:t xml:space="preserve">no </w:t>
      </w:r>
      <w:r w:rsidR="00A703AC" w:rsidRPr="00F65AAF">
        <w:rPr>
          <w:lang w:val="es-AR"/>
        </w:rPr>
        <w:t>es</w:t>
      </w:r>
      <w:r w:rsidRPr="00F65AAF">
        <w:rPr>
          <w:lang w:val="es-AR"/>
        </w:rPr>
        <w:t xml:space="preserve"> </w:t>
      </w:r>
      <w:r w:rsidR="00091C32" w:rsidRPr="00F65AAF">
        <w:rPr>
          <w:lang w:val="es-AR"/>
        </w:rPr>
        <w:t>responsable de ningún pasivo previsional</w:t>
      </w:r>
      <w:r w:rsidR="00A703AC" w:rsidRPr="00F65AAF">
        <w:rPr>
          <w:lang w:val="es-AR"/>
        </w:rPr>
        <w:t xml:space="preserve"> y</w:t>
      </w:r>
      <w:r w:rsidR="00091C32" w:rsidRPr="00F65AAF">
        <w:rPr>
          <w:lang w:val="es-AR"/>
        </w:rPr>
        <w:t xml:space="preserve"> que la entidad competente para</w:t>
      </w:r>
      <w:r w:rsidR="004C3ECD" w:rsidRPr="00F65AAF">
        <w:rPr>
          <w:lang w:val="es-AR"/>
        </w:rPr>
        <w:t xml:space="preserve"> </w:t>
      </w:r>
      <w:r w:rsidR="00091C32" w:rsidRPr="00F65AAF">
        <w:rPr>
          <w:lang w:val="es-AR"/>
        </w:rPr>
        <w:t>el pago de l</w:t>
      </w:r>
      <w:r w:rsidR="00B3277B">
        <w:rPr>
          <w:lang w:val="es-AR"/>
        </w:rPr>
        <w:t>os</w:t>
      </w:r>
      <w:r w:rsidR="00091C32" w:rsidRPr="00F65AAF">
        <w:rPr>
          <w:lang w:val="es-AR"/>
        </w:rPr>
        <w:t xml:space="preserve"> </w:t>
      </w:r>
      <w:r w:rsidR="00A703AC" w:rsidRPr="00F65AAF">
        <w:rPr>
          <w:lang w:val="es-AR"/>
        </w:rPr>
        <w:t>haberes pensiona</w:t>
      </w:r>
      <w:r w:rsidR="0024071B">
        <w:rPr>
          <w:lang w:val="es-AR"/>
        </w:rPr>
        <w:t>b</w:t>
      </w:r>
      <w:r w:rsidR="00A703AC" w:rsidRPr="00F65AAF">
        <w:rPr>
          <w:lang w:val="es-AR"/>
        </w:rPr>
        <w:t>les pendientes</w:t>
      </w:r>
      <w:r w:rsidR="00091C32" w:rsidRPr="00F65AAF">
        <w:rPr>
          <w:lang w:val="es-AR"/>
        </w:rPr>
        <w:t xml:space="preserve"> es el Ministerio de </w:t>
      </w:r>
      <w:r w:rsidR="00145CA5" w:rsidRPr="00F65AAF">
        <w:rPr>
          <w:lang w:val="es-AR"/>
        </w:rPr>
        <w:t>Economía</w:t>
      </w:r>
      <w:r w:rsidR="00091C32" w:rsidRPr="00F65AAF">
        <w:rPr>
          <w:lang w:val="es-AR"/>
        </w:rPr>
        <w:t xml:space="preserve"> y Finanzas</w:t>
      </w:r>
      <w:r w:rsidR="00D750D0" w:rsidRPr="00F65AAF">
        <w:rPr>
          <w:lang w:val="es-AR"/>
        </w:rPr>
        <w:t>,</w:t>
      </w:r>
      <w:r w:rsidR="00091C32" w:rsidRPr="00F65AAF">
        <w:rPr>
          <w:lang w:val="es-AR"/>
        </w:rPr>
        <w:t xml:space="preserve"> conforme</w:t>
      </w:r>
      <w:r w:rsidR="00D750D0" w:rsidRPr="00F65AAF">
        <w:rPr>
          <w:lang w:val="es-AR"/>
        </w:rPr>
        <w:t xml:space="preserve"> a lo</w:t>
      </w:r>
      <w:r w:rsidR="00091C32" w:rsidRPr="00F65AAF">
        <w:rPr>
          <w:lang w:val="es-AR"/>
        </w:rPr>
        <w:t xml:space="preserve"> </w:t>
      </w:r>
      <w:r w:rsidR="00D750D0" w:rsidRPr="00F65AAF">
        <w:rPr>
          <w:lang w:val="es-AR"/>
        </w:rPr>
        <w:t xml:space="preserve">dispuesto en </w:t>
      </w:r>
      <w:r w:rsidR="00091C32" w:rsidRPr="00F65AAF">
        <w:rPr>
          <w:lang w:val="es-AR"/>
        </w:rPr>
        <w:t xml:space="preserve">la Ley </w:t>
      </w:r>
      <w:r w:rsidR="009C3351" w:rsidRPr="00F65AAF">
        <w:rPr>
          <w:lang w:val="es-AR"/>
        </w:rPr>
        <w:t>No.</w:t>
      </w:r>
      <w:r w:rsidR="003A7FDF" w:rsidRPr="00F65AAF">
        <w:t xml:space="preserve"> 27.719 ratificada por la ley 28.115, de 06 de diciembre de 2003.</w:t>
      </w:r>
      <w:r w:rsidR="00C50793" w:rsidRPr="00F65AAF">
        <w:t xml:space="preserve">  El Estado no </w:t>
      </w:r>
      <w:r w:rsidR="005D63C6" w:rsidRPr="00F65AAF">
        <w:t xml:space="preserve">se pronunció sobre </w:t>
      </w:r>
      <w:r w:rsidR="00C50793" w:rsidRPr="00F65AAF">
        <w:t xml:space="preserve">tal manifestación de la compañía </w:t>
      </w:r>
      <w:r w:rsidR="00BF78E0">
        <w:t>demandada</w:t>
      </w:r>
      <w:r w:rsidR="00C50793" w:rsidRPr="00F65AAF">
        <w:t xml:space="preserve"> en el proceso de ejecución </w:t>
      </w:r>
      <w:r w:rsidR="005D63C6" w:rsidRPr="00F65AAF">
        <w:t>de sentencia</w:t>
      </w:r>
      <w:r w:rsidR="00C50793" w:rsidRPr="00F65AAF">
        <w:t>.</w:t>
      </w:r>
    </w:p>
    <w:p w:rsidR="00A703AC" w:rsidRPr="00F65AAF" w:rsidRDefault="00A703AC" w:rsidP="00145CA5">
      <w:pPr>
        <w:pStyle w:val="Textonotaalfinal"/>
        <w:ind w:left="720"/>
        <w:rPr>
          <w:lang w:val="es-AR"/>
        </w:rPr>
      </w:pPr>
    </w:p>
    <w:p w:rsidR="00DB52D5" w:rsidRPr="00F65AAF" w:rsidRDefault="00DB52D5" w:rsidP="00DB52D5">
      <w:pPr>
        <w:ind w:firstLine="720"/>
        <w:jc w:val="both"/>
        <w:rPr>
          <w:rFonts w:ascii="Univers" w:hAnsi="Univers"/>
          <w:b/>
        </w:rPr>
      </w:pPr>
      <w:r w:rsidRPr="00F65AAF">
        <w:rPr>
          <w:rFonts w:ascii="Univers" w:hAnsi="Univers"/>
          <w:b/>
        </w:rPr>
        <w:t>IV.</w:t>
      </w:r>
      <w:r w:rsidRPr="00F65AAF">
        <w:rPr>
          <w:rFonts w:ascii="Univers" w:hAnsi="Univers"/>
          <w:b/>
        </w:rPr>
        <w:tab/>
        <w:t>ANÁLISIS DE COMPETENCIA Y ADMISIBILIDAD</w:t>
      </w:r>
    </w:p>
    <w:p w:rsidR="00DB52D5" w:rsidRPr="00F65AAF" w:rsidRDefault="00DB52D5" w:rsidP="00DB52D5">
      <w:pPr>
        <w:pStyle w:val="Sangra3detindependiente"/>
        <w:spacing w:after="0"/>
        <w:ind w:firstLine="720"/>
        <w:jc w:val="both"/>
        <w:rPr>
          <w:rFonts w:ascii="Univers" w:hAnsi="Univers"/>
          <w:sz w:val="20"/>
          <w:szCs w:val="20"/>
          <w:lang w:val="es-AR"/>
        </w:rPr>
      </w:pPr>
    </w:p>
    <w:p w:rsidR="00DB52D5" w:rsidRPr="00F65AAF" w:rsidRDefault="00DB52D5" w:rsidP="00DB52D5">
      <w:pPr>
        <w:pStyle w:val="Textonotaalfinal"/>
        <w:ind w:left="1440" w:hanging="720"/>
        <w:rPr>
          <w:b/>
          <w:lang w:val="es-AR"/>
        </w:rPr>
      </w:pPr>
      <w:r w:rsidRPr="00F65AAF">
        <w:rPr>
          <w:b/>
          <w:lang w:val="es-AR"/>
        </w:rPr>
        <w:t>A.</w:t>
      </w:r>
      <w:r w:rsidRPr="00F65AAF">
        <w:rPr>
          <w:b/>
          <w:lang w:val="es-AR"/>
        </w:rPr>
        <w:tab/>
        <w:t>Competencia</w:t>
      </w:r>
      <w:r w:rsidRPr="00F65AAF">
        <w:rPr>
          <w:b/>
          <w:i/>
          <w:lang w:val="es-AR"/>
        </w:rPr>
        <w:t xml:space="preserve"> ratione personae, ratione loci, ratione temporis </w:t>
      </w:r>
      <w:r w:rsidRPr="00F65AAF">
        <w:rPr>
          <w:b/>
          <w:lang w:val="es-AR"/>
        </w:rPr>
        <w:t xml:space="preserve">y </w:t>
      </w:r>
      <w:r w:rsidRPr="00F65AAF">
        <w:rPr>
          <w:b/>
          <w:i/>
          <w:lang w:val="es-AR"/>
        </w:rPr>
        <w:t>ratione materiae</w:t>
      </w:r>
      <w:r w:rsidRPr="00F65AAF">
        <w:rPr>
          <w:b/>
          <w:lang w:val="es-AR"/>
        </w:rPr>
        <w:t xml:space="preserve"> de la Comisión</w:t>
      </w:r>
    </w:p>
    <w:p w:rsidR="00DB52D5" w:rsidRPr="00F65AAF" w:rsidRDefault="00DB52D5" w:rsidP="00DB52D5">
      <w:pPr>
        <w:pStyle w:val="Textonotaalfinal"/>
        <w:ind w:firstLine="720"/>
        <w:rPr>
          <w:lang w:val="es-AR"/>
        </w:rPr>
      </w:pPr>
    </w:p>
    <w:p w:rsidR="00DB52D5" w:rsidRPr="00F65AAF" w:rsidRDefault="00DB52D5" w:rsidP="00DB52D5">
      <w:pPr>
        <w:pStyle w:val="Textonotaalfinal"/>
        <w:numPr>
          <w:ilvl w:val="0"/>
          <w:numId w:val="17"/>
        </w:numPr>
        <w:tabs>
          <w:tab w:val="clear" w:pos="720"/>
          <w:tab w:val="num" w:pos="0"/>
        </w:tabs>
        <w:ind w:left="0" w:firstLine="720"/>
        <w:rPr>
          <w:lang w:val="es-AR"/>
        </w:rPr>
      </w:pPr>
      <w:r w:rsidRPr="00F65AAF">
        <w:rPr>
          <w:lang w:val="es-AR"/>
        </w:rPr>
        <w:t xml:space="preserve">El peticionario se encuentra facultado por el artículo 44 de la Convención Americana para presentar denuncias ante la CIDH. La petición señala como presunta víctima a una persona natural, respecto a quien Perú se comprometió a respetar y garantizar los derechos consagrados en la Convención Americana. Por otro lado, Perú ratificó la Convención Americana el 28 de julio de 1978. Por lo tanto, la Comisión tiene competencia </w:t>
      </w:r>
      <w:r w:rsidRPr="00F65AAF">
        <w:rPr>
          <w:i/>
          <w:lang w:val="es-AR"/>
        </w:rPr>
        <w:t>ratione personae</w:t>
      </w:r>
      <w:r w:rsidRPr="00F65AAF">
        <w:rPr>
          <w:lang w:val="es-AR"/>
        </w:rPr>
        <w:t xml:space="preserve"> para examinar la petición.</w:t>
      </w:r>
    </w:p>
    <w:p w:rsidR="00DB52D5" w:rsidRPr="00F65AAF" w:rsidRDefault="00DB52D5" w:rsidP="00DB52D5">
      <w:pPr>
        <w:pStyle w:val="Textonotaalfinal"/>
        <w:ind w:firstLine="720"/>
        <w:rPr>
          <w:lang w:val="es-AR"/>
        </w:rPr>
      </w:pPr>
    </w:p>
    <w:p w:rsidR="00DB52D5" w:rsidRPr="00F65AAF" w:rsidRDefault="00DB52D5" w:rsidP="00DB52D5">
      <w:pPr>
        <w:pStyle w:val="Textonotaalfinal"/>
        <w:numPr>
          <w:ilvl w:val="0"/>
          <w:numId w:val="17"/>
        </w:numPr>
        <w:tabs>
          <w:tab w:val="clear" w:pos="720"/>
          <w:tab w:val="num" w:pos="0"/>
        </w:tabs>
        <w:ind w:left="0" w:firstLine="720"/>
        <w:rPr>
          <w:lang w:val="es-AR"/>
        </w:rPr>
      </w:pPr>
      <w:r w:rsidRPr="00F65AAF">
        <w:rPr>
          <w:lang w:val="es-AR"/>
        </w:rPr>
        <w:t xml:space="preserve">La Comisión tiene competencia </w:t>
      </w:r>
      <w:r w:rsidRPr="00F65AAF">
        <w:rPr>
          <w:i/>
          <w:lang w:val="es-AR"/>
        </w:rPr>
        <w:t>ratione loci</w:t>
      </w:r>
      <w:r w:rsidRPr="00F65AAF">
        <w:rPr>
          <w:lang w:val="es-AR"/>
        </w:rPr>
        <w:t xml:space="preserve"> para conocer la petición por cuanto en ella se alegan violaciones de derechos protegidos en la Convención Americana que habrían tenido lugar dentro del territorio de un Estado parte de dicho tratado.</w:t>
      </w:r>
    </w:p>
    <w:p w:rsidR="00DB52D5" w:rsidRPr="00F65AAF" w:rsidRDefault="00DB52D5" w:rsidP="00DB52D5">
      <w:pPr>
        <w:pStyle w:val="Textonotaalfinal"/>
        <w:ind w:firstLine="720"/>
        <w:rPr>
          <w:lang w:val="es-AR"/>
        </w:rPr>
      </w:pPr>
    </w:p>
    <w:p w:rsidR="00DB52D5" w:rsidRPr="00F65AAF" w:rsidRDefault="00DB52D5" w:rsidP="00DB52D5">
      <w:pPr>
        <w:pStyle w:val="Textonotaalfinal"/>
        <w:numPr>
          <w:ilvl w:val="0"/>
          <w:numId w:val="17"/>
        </w:numPr>
        <w:tabs>
          <w:tab w:val="clear" w:pos="720"/>
          <w:tab w:val="num" w:pos="0"/>
        </w:tabs>
        <w:ind w:left="0" w:firstLine="720"/>
        <w:rPr>
          <w:lang w:val="es-AR"/>
        </w:rPr>
      </w:pPr>
      <w:r w:rsidRPr="00F65AAF">
        <w:rPr>
          <w:lang w:val="es-AR"/>
        </w:rPr>
        <w:t xml:space="preserve">La CIDH tiene competencia </w:t>
      </w:r>
      <w:r w:rsidRPr="00F65AAF">
        <w:rPr>
          <w:i/>
          <w:lang w:val="es-AR"/>
        </w:rPr>
        <w:t>ratione temporis</w:t>
      </w:r>
      <w:r w:rsidRPr="00F65AAF">
        <w:rPr>
          <w:lang w:val="es-AR"/>
        </w:rPr>
        <w:t xml:space="preserve"> por cuanto los hechos alegados en la petición tuvieron lugar cuando la obligación de respetar y garantizar los derechos establecidos en la Convención Americana ya se encontraba vigente para el Estado peruano.</w:t>
      </w:r>
    </w:p>
    <w:p w:rsidR="00DB52D5" w:rsidRPr="00F65AAF" w:rsidRDefault="00DB52D5" w:rsidP="00DB52D5">
      <w:pPr>
        <w:pStyle w:val="Textonotaalfinal"/>
        <w:ind w:firstLine="720"/>
        <w:rPr>
          <w:lang w:val="es-AR"/>
        </w:rPr>
      </w:pPr>
    </w:p>
    <w:p w:rsidR="00DB52D5" w:rsidRPr="00F65AAF" w:rsidRDefault="00DB52D5" w:rsidP="00DB52D5">
      <w:pPr>
        <w:pStyle w:val="Textonotaalfinal"/>
        <w:numPr>
          <w:ilvl w:val="0"/>
          <w:numId w:val="17"/>
        </w:numPr>
        <w:tabs>
          <w:tab w:val="clear" w:pos="720"/>
          <w:tab w:val="num" w:pos="0"/>
        </w:tabs>
        <w:ind w:left="0" w:firstLine="720"/>
        <w:rPr>
          <w:lang w:val="es-AR"/>
        </w:rPr>
      </w:pPr>
      <w:r w:rsidRPr="00F65AAF">
        <w:rPr>
          <w:lang w:val="es-AR"/>
        </w:rPr>
        <w:t xml:space="preserve">Finalmente, la Comisión tiene competencia </w:t>
      </w:r>
      <w:r w:rsidRPr="00F65AAF">
        <w:rPr>
          <w:i/>
          <w:lang w:val="es-AR"/>
        </w:rPr>
        <w:t>ratione materiae</w:t>
      </w:r>
      <w:r w:rsidRPr="00F65AAF">
        <w:rPr>
          <w:lang w:val="es-AR"/>
        </w:rPr>
        <w:t xml:space="preserve"> porque en la petición se denuncian </w:t>
      </w:r>
      <w:r w:rsidR="00DB4CED" w:rsidRPr="00F65AAF">
        <w:rPr>
          <w:lang w:val="es-AR"/>
        </w:rPr>
        <w:t xml:space="preserve">presuntas </w:t>
      </w:r>
      <w:r w:rsidRPr="00F65AAF">
        <w:rPr>
          <w:lang w:val="es-AR"/>
        </w:rPr>
        <w:t>violaciones a derechos humanos protegidos por la Convención Americana.</w:t>
      </w:r>
    </w:p>
    <w:p w:rsidR="00DB52D5" w:rsidRPr="00F65AAF" w:rsidRDefault="00DB52D5" w:rsidP="00DB52D5">
      <w:pPr>
        <w:pStyle w:val="Textonotaalfinal"/>
        <w:ind w:firstLine="720"/>
        <w:rPr>
          <w:lang w:val="es-AR"/>
        </w:rPr>
      </w:pPr>
    </w:p>
    <w:p w:rsidR="00DB52D5" w:rsidRPr="00F65AAF" w:rsidRDefault="00DB52D5" w:rsidP="00DB52D5">
      <w:pPr>
        <w:pStyle w:val="Textonotaalfinal"/>
        <w:ind w:firstLine="720"/>
        <w:rPr>
          <w:lang w:val="es-AR"/>
        </w:rPr>
      </w:pPr>
      <w:r w:rsidRPr="00F65AAF">
        <w:rPr>
          <w:b/>
          <w:lang w:val="es-AR"/>
        </w:rPr>
        <w:t>B.</w:t>
      </w:r>
      <w:r w:rsidRPr="00F65AAF">
        <w:rPr>
          <w:b/>
          <w:lang w:val="es-AR"/>
        </w:rPr>
        <w:tab/>
        <w:t>Agotamiento de los recursos internos</w:t>
      </w:r>
    </w:p>
    <w:p w:rsidR="00DB52D5" w:rsidRPr="00F65AAF" w:rsidRDefault="00DB52D5" w:rsidP="00DB52D5">
      <w:pPr>
        <w:pStyle w:val="Textonotaalfinal"/>
        <w:ind w:firstLine="720"/>
        <w:rPr>
          <w:lang w:val="es-AR"/>
        </w:rPr>
      </w:pPr>
    </w:p>
    <w:p w:rsidR="00F35E1C" w:rsidRPr="00F65AAF" w:rsidRDefault="00D8323A" w:rsidP="00F35E1C">
      <w:pPr>
        <w:pStyle w:val="Textonotaalfinal"/>
        <w:numPr>
          <w:ilvl w:val="0"/>
          <w:numId w:val="17"/>
        </w:numPr>
        <w:tabs>
          <w:tab w:val="clear" w:pos="720"/>
          <w:tab w:val="num" w:pos="0"/>
        </w:tabs>
        <w:ind w:left="0" w:firstLine="720"/>
        <w:rPr>
          <w:lang w:val="es-AR"/>
        </w:rPr>
      </w:pPr>
      <w:r w:rsidRPr="00F65AAF">
        <w:t>El artículo 46.1.a</w:t>
      </w:r>
      <w:r w:rsidR="00F35E1C" w:rsidRPr="00F65AAF">
        <w:t xml:space="preserve">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tengan la oportunidad de solucionarla antes de que sea conocida por una instancia internacional.</w:t>
      </w:r>
    </w:p>
    <w:p w:rsidR="00011147" w:rsidRPr="00F65AAF" w:rsidRDefault="00011147" w:rsidP="00F35E1C">
      <w:pPr>
        <w:pStyle w:val="Textonotaalfinal"/>
        <w:rPr>
          <w:lang w:val="es-AR"/>
        </w:rPr>
      </w:pPr>
    </w:p>
    <w:p w:rsidR="00CB59A2" w:rsidRPr="00F65AAF" w:rsidRDefault="00F35E1C" w:rsidP="00F35E1C">
      <w:pPr>
        <w:pStyle w:val="Textonotaalfinal"/>
        <w:numPr>
          <w:ilvl w:val="0"/>
          <w:numId w:val="17"/>
        </w:numPr>
        <w:tabs>
          <w:tab w:val="clear" w:pos="720"/>
          <w:tab w:val="num" w:pos="0"/>
        </w:tabs>
        <w:ind w:left="0" w:firstLine="720"/>
        <w:rPr>
          <w:lang w:val="es-AR"/>
        </w:rPr>
      </w:pPr>
      <w:r w:rsidRPr="00F65AAF">
        <w:rPr>
          <w:rFonts w:eastAsia="Times New Roman"/>
        </w:rPr>
        <w:t>El requisito de agotamiento previo se aplica cuando en el sistema nacional están efectivamente disponibles recursos que son adecuados y eficaces para remediar la presunta violación.  En este sentido, el artículo 46.2 especifica que el requisito no se aplica cuando no existe en la legislación interna el debido proceso legal para la protección del derecho en cuestión; o si la presunta víctima no tuvo acceso a los recursos de la jurisdicción interna; o si hay retardo injustificado en la decisión sobre dichos recursos. Como indica el artículo 31 del Reglamento de la Comisión, cuando el peticionario alega una de estas excepciones, corresponde al Estado demostrar que los recursos internos no han sido agotados, a menos que ello se deduzca claramente del expediente</w:t>
      </w:r>
      <w:r w:rsidRPr="00F65AAF">
        <w:rPr>
          <w:rStyle w:val="Refdenotaalpie"/>
          <w:rFonts w:eastAsia="Times New Roman"/>
        </w:rPr>
        <w:footnoteReference w:id="4"/>
      </w:r>
      <w:r w:rsidRPr="00F65AAF">
        <w:rPr>
          <w:rFonts w:eastAsia="Times New Roman"/>
        </w:rPr>
        <w:t>.</w:t>
      </w:r>
      <w:r w:rsidRPr="00F65AAF">
        <w:rPr>
          <w:lang w:val="es-AR"/>
        </w:rPr>
        <w:t xml:space="preserve"> </w:t>
      </w:r>
      <w:r w:rsidR="0050579F" w:rsidRPr="00F65AAF">
        <w:rPr>
          <w:lang w:val="es-AR"/>
        </w:rPr>
        <w:t>En el presente caso</w:t>
      </w:r>
      <w:r w:rsidR="00CB59A2" w:rsidRPr="00F65AAF">
        <w:rPr>
          <w:lang w:val="es-AR"/>
        </w:rPr>
        <w:t>,</w:t>
      </w:r>
      <w:r w:rsidR="0050579F" w:rsidRPr="00F65AAF">
        <w:rPr>
          <w:lang w:val="es-AR"/>
        </w:rPr>
        <w:t xml:space="preserve"> </w:t>
      </w:r>
      <w:r w:rsidR="00365C4A" w:rsidRPr="00F65AAF">
        <w:t>el Estado peruano no alegó la</w:t>
      </w:r>
      <w:r w:rsidR="00CB59A2" w:rsidRPr="00F65AAF">
        <w:t xml:space="preserve"> falta de agotamiento de recursos internos, </w:t>
      </w:r>
      <w:r w:rsidR="00365C4A" w:rsidRPr="00F65AAF">
        <w:t>sino que por el contrario, en su contestación describió detalladamente los procesos judiciales adelantados en el plano interno y las decisiones recaídas sobre los mismos</w:t>
      </w:r>
      <w:r w:rsidR="00CB59A2" w:rsidRPr="00F65AAF">
        <w:rPr>
          <w:rStyle w:val="Refdenotaalpie"/>
        </w:rPr>
        <w:footnoteReference w:id="5"/>
      </w:r>
      <w:r w:rsidR="00CB59A2" w:rsidRPr="00F65AAF">
        <w:t>.</w:t>
      </w:r>
    </w:p>
    <w:p w:rsidR="00CB59A2" w:rsidRPr="00F65AAF" w:rsidRDefault="00CB59A2" w:rsidP="00CB59A2">
      <w:pPr>
        <w:pStyle w:val="Textonotaalfinal"/>
        <w:rPr>
          <w:lang w:val="es-AR"/>
        </w:rPr>
      </w:pPr>
    </w:p>
    <w:p w:rsidR="00433FB5" w:rsidRPr="00F65AAF" w:rsidRDefault="0050579F" w:rsidP="00DB52D5">
      <w:pPr>
        <w:pStyle w:val="Textonotaalfinal"/>
        <w:numPr>
          <w:ilvl w:val="0"/>
          <w:numId w:val="17"/>
        </w:numPr>
        <w:tabs>
          <w:tab w:val="clear" w:pos="720"/>
          <w:tab w:val="num" w:pos="0"/>
        </w:tabs>
        <w:ind w:left="0" w:firstLine="720"/>
        <w:rPr>
          <w:lang w:val="es-AR"/>
        </w:rPr>
      </w:pPr>
      <w:r w:rsidRPr="00F65AAF">
        <w:rPr>
          <w:lang w:val="es-AR"/>
        </w:rPr>
        <w:t>E</w:t>
      </w:r>
      <w:r w:rsidR="00DB52D5" w:rsidRPr="00F65AAF">
        <w:rPr>
          <w:lang w:val="es-AR"/>
        </w:rPr>
        <w:t xml:space="preserve">l peticionario alegó el incumplimiento de </w:t>
      </w:r>
      <w:r w:rsidR="00365C4A" w:rsidRPr="00F65AAF">
        <w:rPr>
          <w:lang w:val="es-AR"/>
        </w:rPr>
        <w:t>la</w:t>
      </w:r>
      <w:r w:rsidR="00145CA5" w:rsidRPr="00F65AAF">
        <w:rPr>
          <w:lang w:val="es-AR"/>
        </w:rPr>
        <w:t xml:space="preserve"> </w:t>
      </w:r>
      <w:r w:rsidR="00DB52D5" w:rsidRPr="00F65AAF">
        <w:rPr>
          <w:lang w:val="es-AR"/>
        </w:rPr>
        <w:t>sentencia</w:t>
      </w:r>
      <w:r w:rsidR="00365C4A" w:rsidRPr="00F65AAF">
        <w:rPr>
          <w:lang w:val="es-AR"/>
        </w:rPr>
        <w:t xml:space="preserve"> firme</w:t>
      </w:r>
      <w:r w:rsidR="00DB52D5" w:rsidRPr="00F65AAF">
        <w:rPr>
          <w:lang w:val="es-AR"/>
        </w:rPr>
        <w:t xml:space="preserve"> dictada</w:t>
      </w:r>
      <w:r w:rsidRPr="00F65AAF">
        <w:rPr>
          <w:lang w:val="es-AR"/>
        </w:rPr>
        <w:t xml:space="preserve"> </w:t>
      </w:r>
      <w:r w:rsidR="00DB52D5" w:rsidRPr="00F65AAF">
        <w:rPr>
          <w:lang w:val="es-AR"/>
        </w:rPr>
        <w:t xml:space="preserve">el </w:t>
      </w:r>
      <w:r w:rsidR="00145CA5" w:rsidRPr="00F65AAF">
        <w:rPr>
          <w:lang w:val="es-AR"/>
        </w:rPr>
        <w:t xml:space="preserve">2 de febrero de 1993 </w:t>
      </w:r>
      <w:r w:rsidR="00DB52D5" w:rsidRPr="00F65AAF">
        <w:rPr>
          <w:lang w:val="es-AR"/>
        </w:rPr>
        <w:t xml:space="preserve">por </w:t>
      </w:r>
      <w:r w:rsidR="00145CA5" w:rsidRPr="00F65AAF">
        <w:rPr>
          <w:lang w:val="es-AR"/>
        </w:rPr>
        <w:t xml:space="preserve">la Corte Suprema y </w:t>
      </w:r>
      <w:r w:rsidR="00365C4A" w:rsidRPr="00F65AAF">
        <w:rPr>
          <w:lang w:val="es-AR"/>
        </w:rPr>
        <w:t xml:space="preserve">ratificada el </w:t>
      </w:r>
      <w:r w:rsidR="00145CA5" w:rsidRPr="00F65AAF">
        <w:rPr>
          <w:lang w:val="es-AR"/>
        </w:rPr>
        <w:t xml:space="preserve">10 de diciembre de 1999 por </w:t>
      </w:r>
      <w:r w:rsidR="00365C4A" w:rsidRPr="00F65AAF">
        <w:rPr>
          <w:lang w:val="es-AR"/>
        </w:rPr>
        <w:t>sentencia d</w:t>
      </w:r>
      <w:r w:rsidR="00145CA5" w:rsidRPr="00F65AAF">
        <w:rPr>
          <w:lang w:val="es-AR"/>
        </w:rPr>
        <w:t xml:space="preserve">el Tribunal Constitucional. </w:t>
      </w:r>
      <w:r w:rsidRPr="00F65AAF">
        <w:rPr>
          <w:lang w:val="es-AR"/>
        </w:rPr>
        <w:t>Asimismo</w:t>
      </w:r>
      <w:r w:rsidR="00145CA5" w:rsidRPr="00F65AAF">
        <w:rPr>
          <w:lang w:val="es-AR"/>
        </w:rPr>
        <w:t xml:space="preserve">, </w:t>
      </w:r>
      <w:r w:rsidR="00365C4A" w:rsidRPr="00F65AAF">
        <w:rPr>
          <w:lang w:val="es-AR"/>
        </w:rPr>
        <w:t>acreditó</w:t>
      </w:r>
      <w:r w:rsidRPr="00F65AAF">
        <w:rPr>
          <w:lang w:val="es-AR"/>
        </w:rPr>
        <w:t xml:space="preserve"> </w:t>
      </w:r>
      <w:r w:rsidR="00365C4A" w:rsidRPr="00F65AAF">
        <w:rPr>
          <w:lang w:val="es-AR"/>
        </w:rPr>
        <w:t>la existencia</w:t>
      </w:r>
      <w:r w:rsidR="00145CA5" w:rsidRPr="00F65AAF">
        <w:rPr>
          <w:lang w:val="es-AR"/>
        </w:rPr>
        <w:t xml:space="preserve"> </w:t>
      </w:r>
      <w:r w:rsidR="00365C4A" w:rsidRPr="00F65AAF">
        <w:rPr>
          <w:lang w:val="es-AR"/>
        </w:rPr>
        <w:t>de una tercera</w:t>
      </w:r>
      <w:r w:rsidR="00145CA5" w:rsidRPr="00F65AAF">
        <w:rPr>
          <w:lang w:val="es-AR"/>
        </w:rPr>
        <w:t xml:space="preserve"> sentencia</w:t>
      </w:r>
      <w:r w:rsidR="00365C4A" w:rsidRPr="00F65AAF">
        <w:rPr>
          <w:lang w:val="es-AR"/>
        </w:rPr>
        <w:t>, dictada también por</w:t>
      </w:r>
      <w:r w:rsidR="00145CA5" w:rsidRPr="00F65AAF">
        <w:rPr>
          <w:lang w:val="es-AR"/>
        </w:rPr>
        <w:t xml:space="preserve"> </w:t>
      </w:r>
      <w:r w:rsidR="00433FB5" w:rsidRPr="00F65AAF">
        <w:rPr>
          <w:lang w:val="es-AR"/>
        </w:rPr>
        <w:t xml:space="preserve">la Corte </w:t>
      </w:r>
      <w:r w:rsidR="00433FB5" w:rsidRPr="00F65AAF">
        <w:rPr>
          <w:lang w:val="es-AR"/>
        </w:rPr>
        <w:lastRenderedPageBreak/>
        <w:t>Suprema de Justicia</w:t>
      </w:r>
      <w:r w:rsidR="00365C4A" w:rsidRPr="00F65AAF">
        <w:rPr>
          <w:lang w:val="es-AR"/>
        </w:rPr>
        <w:t>,</w:t>
      </w:r>
      <w:r w:rsidR="00433FB5" w:rsidRPr="00F65AAF">
        <w:rPr>
          <w:lang w:val="es-AR"/>
        </w:rPr>
        <w:t xml:space="preserve"> de </w:t>
      </w:r>
      <w:r w:rsidR="00365C4A" w:rsidRPr="00F65AAF">
        <w:rPr>
          <w:lang w:val="es-AR"/>
        </w:rPr>
        <w:t xml:space="preserve">fecha </w:t>
      </w:r>
      <w:r w:rsidR="00433FB5" w:rsidRPr="00F65AAF">
        <w:rPr>
          <w:lang w:val="es-AR"/>
        </w:rPr>
        <w:t>29 de octubre de 1997</w:t>
      </w:r>
      <w:r w:rsidRPr="00F65AAF">
        <w:rPr>
          <w:lang w:val="es-AR"/>
        </w:rPr>
        <w:t xml:space="preserve">, </w:t>
      </w:r>
      <w:r w:rsidR="00365C4A" w:rsidRPr="00F65AAF">
        <w:rPr>
          <w:lang w:val="es-AR"/>
        </w:rPr>
        <w:t>que</w:t>
      </w:r>
      <w:r w:rsidR="00433FB5" w:rsidRPr="00F65AAF">
        <w:rPr>
          <w:lang w:val="es-AR"/>
        </w:rPr>
        <w:t xml:space="preserve"> </w:t>
      </w:r>
      <w:r w:rsidRPr="00F65AAF">
        <w:rPr>
          <w:lang w:val="es-AR"/>
        </w:rPr>
        <w:t>reiteró</w:t>
      </w:r>
      <w:r w:rsidR="00433FB5" w:rsidRPr="00F65AAF">
        <w:rPr>
          <w:lang w:val="es-AR"/>
        </w:rPr>
        <w:t xml:space="preserve"> </w:t>
      </w:r>
      <w:r w:rsidRPr="00F65AAF">
        <w:rPr>
          <w:lang w:val="es-AR"/>
        </w:rPr>
        <w:t>que el señor Oscar Muelle Flores se encuentra cobijado por el régimen pensionario previsto en el</w:t>
      </w:r>
      <w:r w:rsidR="00FD38D3" w:rsidRPr="00F65AAF">
        <w:rPr>
          <w:lang w:val="es-AR"/>
        </w:rPr>
        <w:t xml:space="preserve"> Decreto Ley 20.530.</w:t>
      </w:r>
    </w:p>
    <w:p w:rsidR="00433FB5" w:rsidRPr="00F65AAF" w:rsidRDefault="00433FB5" w:rsidP="00433FB5">
      <w:pPr>
        <w:pStyle w:val="ListParagraph"/>
      </w:pPr>
    </w:p>
    <w:p w:rsidR="00DB52D5" w:rsidRPr="00F65AAF" w:rsidRDefault="00DB52D5" w:rsidP="0050579F">
      <w:pPr>
        <w:pStyle w:val="Textonotaalfinal"/>
        <w:numPr>
          <w:ilvl w:val="0"/>
          <w:numId w:val="17"/>
        </w:numPr>
        <w:tabs>
          <w:tab w:val="clear" w:pos="720"/>
          <w:tab w:val="num" w:pos="0"/>
        </w:tabs>
        <w:ind w:left="0" w:firstLine="720"/>
        <w:rPr>
          <w:lang w:val="es-AR"/>
        </w:rPr>
      </w:pPr>
      <w:r w:rsidRPr="00F65AAF">
        <w:t>En casos de alegado incumplimiento de resoluciones judiciales, la CIDH ha sostenido que,</w:t>
      </w:r>
      <w:r w:rsidR="0050579F" w:rsidRPr="00F65AAF">
        <w:t xml:space="preserve"> habiendo sido</w:t>
      </w:r>
      <w:r w:rsidRPr="00F65AAF">
        <w:t xml:space="preserve"> </w:t>
      </w:r>
      <w:r w:rsidR="00F35E1C" w:rsidRPr="00F65AAF">
        <w:t>reportada</w:t>
      </w:r>
      <w:r w:rsidR="0050579F" w:rsidRPr="00F65AAF">
        <w:t xml:space="preserve"> esa situación bajo los mecanismos previstos en la legislación interna, corresponde al</w:t>
      </w:r>
      <w:r w:rsidRPr="00F65AAF">
        <w:t xml:space="preserve"> órgano judicial competente </w:t>
      </w:r>
      <w:r w:rsidR="0050579F" w:rsidRPr="00F65AAF">
        <w:t>adoptar</w:t>
      </w:r>
      <w:r w:rsidRPr="00F65AAF">
        <w:t xml:space="preserve"> las medidas necesarias para que la resolución sea ejecutada</w:t>
      </w:r>
      <w:r w:rsidRPr="00F65AAF">
        <w:rPr>
          <w:rStyle w:val="Refdenotaalpie"/>
          <w:lang w:val="es-AR"/>
        </w:rPr>
        <w:footnoteReference w:id="6"/>
      </w:r>
      <w:r w:rsidRPr="00F65AAF">
        <w:t>.</w:t>
      </w:r>
      <w:r w:rsidR="00F35E1C" w:rsidRPr="00F65AAF">
        <w:t xml:space="preserve"> En el presente caso se desprende que el señor Oscar Muelle Flores no solo reportó un alegado incumplimiento de sentencia a las autoridades judiciales pertinentes, sino que presentó acciones judiciales dirigidas a subsanar esa situ</w:t>
      </w:r>
      <w:r w:rsidR="00C04DED" w:rsidRPr="00F65AAF">
        <w:t xml:space="preserve">ación, </w:t>
      </w:r>
      <w:r w:rsidR="00833970" w:rsidRPr="00F65AAF">
        <w:t>ha participado</w:t>
      </w:r>
      <w:r w:rsidR="00C04DED" w:rsidRPr="00F65AAF">
        <w:t xml:space="preserve"> </w:t>
      </w:r>
      <w:r w:rsidR="00F35E1C" w:rsidRPr="00F65AAF">
        <w:t>activamente del proceso de ejecución de sentencia</w:t>
      </w:r>
      <w:r w:rsidR="003C6568" w:rsidRPr="00F65AAF">
        <w:t xml:space="preserve"> ante</w:t>
      </w:r>
      <w:r w:rsidR="00355267" w:rsidRPr="00F65AAF">
        <w:t xml:space="preserve"> el </w:t>
      </w:r>
      <w:r w:rsidR="0060180A" w:rsidRPr="00F65AAF">
        <w:t>38º Juzgado Civil de Lima</w:t>
      </w:r>
      <w:r w:rsidR="00C04DED" w:rsidRPr="00F65AAF">
        <w:t xml:space="preserve">, siendo su última actuación un recurso de apelación de 17 de mayo de 2010 contra la decisión de nulidad dictada por </w:t>
      </w:r>
      <w:r w:rsidR="00833970" w:rsidRPr="00F65AAF">
        <w:t>dicho</w:t>
      </w:r>
      <w:r w:rsidR="00C04DED" w:rsidRPr="00F65AAF">
        <w:t xml:space="preserve"> juzgado el 26 de abril de 2010</w:t>
      </w:r>
      <w:r w:rsidR="0060180A" w:rsidRPr="00F65AAF">
        <w:t>.</w:t>
      </w:r>
      <w:r w:rsidR="00FD38D3" w:rsidRPr="00F65AAF">
        <w:t xml:space="preserve"> No obstante lo anterior, el proceso de ejecución de la ejecutoria suprema de 2 de febrero de 1993 continúa en trámite, según el peticionario, por deficiencias atribuibles al Estado. El Estado por su parte confirm</w:t>
      </w:r>
      <w:r w:rsidR="00C04DED" w:rsidRPr="00F65AAF">
        <w:t>ó en su escrito del 1</w:t>
      </w:r>
      <w:r w:rsidR="00B3277B">
        <w:t>º</w:t>
      </w:r>
      <w:r w:rsidR="00C04DED" w:rsidRPr="00F65AAF">
        <w:t xml:space="preserve"> de marzo de 2010,</w:t>
      </w:r>
      <w:r w:rsidR="00FD38D3" w:rsidRPr="00F65AAF">
        <w:t xml:space="preserve"> que dicho proceso al 6 de abril de 2009 se mantenía abierto, pero no indic</w:t>
      </w:r>
      <w:r w:rsidR="00833970" w:rsidRPr="00F65AAF">
        <w:t>ó</w:t>
      </w:r>
      <w:r w:rsidR="00FD38D3" w:rsidRPr="00F65AAF">
        <w:t xml:space="preserve"> cu</w:t>
      </w:r>
      <w:r w:rsidR="00B3277B">
        <w:t>á</w:t>
      </w:r>
      <w:r w:rsidR="00FD38D3" w:rsidRPr="00F65AAF">
        <w:t>les serían las medidas en marcha o previstas para completarlo</w:t>
      </w:r>
      <w:r w:rsidR="00C04DED" w:rsidRPr="00F65AAF">
        <w:t>, limitándose a manifestar que “</w:t>
      </w:r>
      <w:r w:rsidR="00C04DED" w:rsidRPr="00F65AAF">
        <w:rPr>
          <w:lang w:val="es-ES"/>
        </w:rPr>
        <w:t>se estará enviando información complementaria”</w:t>
      </w:r>
      <w:r w:rsidR="00FD38D3" w:rsidRPr="00F65AAF">
        <w:t>.</w:t>
      </w:r>
    </w:p>
    <w:p w:rsidR="003C6568" w:rsidRPr="00F65AAF" w:rsidRDefault="003C6568" w:rsidP="003C6568">
      <w:pPr>
        <w:pStyle w:val="Textonotaalfinal"/>
        <w:rPr>
          <w:rFonts w:ascii="Verdana" w:hAnsi="Verdana"/>
        </w:rPr>
      </w:pPr>
    </w:p>
    <w:p w:rsidR="006510B6" w:rsidRPr="00F65AAF" w:rsidRDefault="003C6568" w:rsidP="003C6568">
      <w:pPr>
        <w:pStyle w:val="Textonotaalfinal"/>
        <w:numPr>
          <w:ilvl w:val="0"/>
          <w:numId w:val="17"/>
        </w:numPr>
        <w:tabs>
          <w:tab w:val="clear" w:pos="720"/>
          <w:tab w:val="num" w:pos="0"/>
        </w:tabs>
        <w:ind w:left="0" w:firstLine="720"/>
        <w:rPr>
          <w:lang w:val="es-AR"/>
        </w:rPr>
      </w:pPr>
      <w:r w:rsidRPr="00F65AAF">
        <w:t xml:space="preserve">Con fundamento en las consideraciones anteriores, la Comisión considera que el peticionario </w:t>
      </w:r>
      <w:r w:rsidR="00FD38D3" w:rsidRPr="00F65AAF">
        <w:t>interpuso</w:t>
      </w:r>
      <w:r w:rsidRPr="00F65AAF">
        <w:t xml:space="preserve"> los recursos internos </w:t>
      </w:r>
      <w:r w:rsidR="00FD38D3" w:rsidRPr="00F65AAF">
        <w:t>disponibles para obtener la</w:t>
      </w:r>
      <w:r w:rsidRPr="00F65AAF">
        <w:t xml:space="preserve"> ejecución de </w:t>
      </w:r>
      <w:r w:rsidR="00FD38D3" w:rsidRPr="00F65AAF">
        <w:t xml:space="preserve">la </w:t>
      </w:r>
      <w:r w:rsidRPr="00F65AAF">
        <w:t>sentencia</w:t>
      </w:r>
      <w:r w:rsidR="00FD38D3" w:rsidRPr="00F65AAF">
        <w:t>, sin resultado alguno hasta la fecha, por lo que</w:t>
      </w:r>
      <w:r w:rsidRPr="00F65AAF">
        <w:t xml:space="preserve"> se ha configurado un retardo injustificado en l</w:t>
      </w:r>
      <w:r w:rsidR="00D8323A" w:rsidRPr="00F65AAF">
        <w:t>os términos del artículo 46.2.c</w:t>
      </w:r>
      <w:r w:rsidRPr="00F65AAF">
        <w:t xml:space="preserve"> de la Convención Americana.</w:t>
      </w:r>
    </w:p>
    <w:p w:rsidR="003C6568" w:rsidRPr="00F65AAF" w:rsidRDefault="003C6568" w:rsidP="006510B6">
      <w:pPr>
        <w:pStyle w:val="Textonotaalfinal"/>
        <w:ind w:left="720"/>
        <w:rPr>
          <w:b/>
          <w:lang w:val="es-AR"/>
        </w:rPr>
      </w:pPr>
    </w:p>
    <w:p w:rsidR="006510B6" w:rsidRPr="00F65AAF" w:rsidRDefault="006510B6" w:rsidP="006510B6">
      <w:pPr>
        <w:pStyle w:val="Textonotaalfinal"/>
        <w:ind w:left="720"/>
        <w:rPr>
          <w:lang w:val="es-AR"/>
        </w:rPr>
      </w:pPr>
      <w:r w:rsidRPr="00F65AAF">
        <w:rPr>
          <w:b/>
          <w:lang w:val="es-AR"/>
        </w:rPr>
        <w:t>C.</w:t>
      </w:r>
      <w:r w:rsidRPr="00F65AAF">
        <w:rPr>
          <w:b/>
          <w:lang w:val="es-AR"/>
        </w:rPr>
        <w:tab/>
        <w:t>Plazo de presentación</w:t>
      </w:r>
    </w:p>
    <w:p w:rsidR="006510B6" w:rsidRPr="00F65AAF" w:rsidRDefault="006510B6" w:rsidP="006510B6">
      <w:pPr>
        <w:pStyle w:val="ListParagraph"/>
      </w:pPr>
    </w:p>
    <w:p w:rsidR="006510B6" w:rsidRPr="00F65AAF" w:rsidRDefault="006658BA" w:rsidP="006510B6">
      <w:pPr>
        <w:pStyle w:val="Textonotaalfinal"/>
        <w:numPr>
          <w:ilvl w:val="0"/>
          <w:numId w:val="17"/>
        </w:numPr>
        <w:tabs>
          <w:tab w:val="clear" w:pos="720"/>
          <w:tab w:val="num" w:pos="0"/>
        </w:tabs>
        <w:ind w:left="0" w:firstLine="720"/>
        <w:rPr>
          <w:lang w:val="es-AR"/>
        </w:rPr>
      </w:pPr>
      <w:r w:rsidRPr="00F65AAF">
        <w:t>El artículo 46.1.b) d</w:t>
      </w:r>
      <w:r w:rsidRPr="00F65AAF">
        <w:rPr>
          <w:bCs/>
          <w:iCs/>
        </w:rPr>
        <w:t>e la Convención establece que para que la petición pueda ser declarada admisible, es necesario</w:t>
      </w:r>
      <w:r w:rsidRPr="00F65AAF">
        <w:t xml:space="preserve"> que se haya presentado dentro del plazo de seis meses contados a partir de la fecha en que el interesado fue notificado de la decisión final que agotó la jurisdicción interna. Esta regla no tiene aplicación cuando la Comisión encuentra que se ha configurado alguna de las excepciones al agotamiento de los recursos internos consagradas en el artículo 46.2 de la Convención. En tales casos, la Comisión debe determinar si la petición fue presentada en un tiempo razonable de conformidad con el artículo 32 de su Reglamento.</w:t>
      </w:r>
    </w:p>
    <w:p w:rsidR="003C6568" w:rsidRPr="00F65AAF" w:rsidRDefault="003C6568" w:rsidP="003C6568">
      <w:pPr>
        <w:pStyle w:val="Textonotaalfinal"/>
        <w:rPr>
          <w:lang w:val="es-AR"/>
        </w:rPr>
      </w:pPr>
    </w:p>
    <w:p w:rsidR="003C6568" w:rsidRPr="00F65AAF" w:rsidRDefault="003C6568" w:rsidP="006510B6">
      <w:pPr>
        <w:pStyle w:val="Textonotaalfinal"/>
        <w:numPr>
          <w:ilvl w:val="0"/>
          <w:numId w:val="17"/>
        </w:numPr>
        <w:tabs>
          <w:tab w:val="clear" w:pos="720"/>
          <w:tab w:val="num" w:pos="0"/>
        </w:tabs>
        <w:ind w:left="0" w:firstLine="720"/>
        <w:rPr>
          <w:lang w:val="es-AR"/>
        </w:rPr>
      </w:pPr>
      <w:r w:rsidRPr="00F65AAF">
        <w:rPr>
          <w:lang w:val="es-AR"/>
        </w:rPr>
        <w:t>Tomando en cuenta el rol activo que ha tenido la presunta víctima en el proceso de ejecución de sentencia y de que la alegada vulneración al derecho a la protección judicial se habría mantenido hasta la fecha de presentación de la petición, la CIDH considera satisfecho el requisito</w:t>
      </w:r>
      <w:r w:rsidR="00D8323A" w:rsidRPr="00F65AAF">
        <w:rPr>
          <w:lang w:val="es-AR"/>
        </w:rPr>
        <w:t xml:space="preserve"> previsto en el artículo 46.1.b</w:t>
      </w:r>
      <w:r w:rsidRPr="00F65AAF">
        <w:rPr>
          <w:lang w:val="es-AR"/>
        </w:rPr>
        <w:t xml:space="preserve"> de la Convención Americana. </w:t>
      </w:r>
    </w:p>
    <w:p w:rsidR="003C6568" w:rsidRDefault="003C6568" w:rsidP="003C6568">
      <w:pPr>
        <w:pStyle w:val="Textonotaalfinal"/>
        <w:rPr>
          <w:b/>
          <w:lang w:val="es-AR"/>
        </w:rPr>
      </w:pPr>
    </w:p>
    <w:p w:rsidR="00DA0F0D" w:rsidRPr="00F65AAF" w:rsidRDefault="00DA0F0D" w:rsidP="003C6568">
      <w:pPr>
        <w:pStyle w:val="Textonotaalfinal"/>
        <w:rPr>
          <w:b/>
          <w:lang w:val="es-AR"/>
        </w:rPr>
      </w:pPr>
    </w:p>
    <w:p w:rsidR="00DB52D5" w:rsidRPr="00F65AAF" w:rsidRDefault="00DB52D5" w:rsidP="00DB52D5">
      <w:pPr>
        <w:pStyle w:val="Textonotaalfinal"/>
        <w:ind w:firstLine="720"/>
        <w:rPr>
          <w:lang w:val="es-AR"/>
        </w:rPr>
      </w:pPr>
      <w:r w:rsidRPr="00F65AAF">
        <w:rPr>
          <w:b/>
          <w:lang w:val="es-AR"/>
        </w:rPr>
        <w:t>D.</w:t>
      </w:r>
      <w:r w:rsidRPr="00F65AAF">
        <w:rPr>
          <w:b/>
          <w:lang w:val="es-AR"/>
        </w:rPr>
        <w:tab/>
        <w:t>Duplicidad de procedimientos y cosa juzgada</w:t>
      </w:r>
    </w:p>
    <w:p w:rsidR="00DB52D5" w:rsidRPr="00DA0F0D" w:rsidRDefault="00DB52D5" w:rsidP="00DB52D5">
      <w:pPr>
        <w:pStyle w:val="Textonotaalfinal"/>
        <w:rPr>
          <w:sz w:val="16"/>
          <w:szCs w:val="16"/>
          <w:lang w:val="es-AR"/>
        </w:rPr>
      </w:pPr>
    </w:p>
    <w:p w:rsidR="006658BA" w:rsidRPr="00F65AAF" w:rsidRDefault="00D8323A" w:rsidP="006658BA">
      <w:pPr>
        <w:pStyle w:val="Textonotaalfinal"/>
        <w:numPr>
          <w:ilvl w:val="0"/>
          <w:numId w:val="17"/>
        </w:numPr>
        <w:tabs>
          <w:tab w:val="clear" w:pos="720"/>
          <w:tab w:val="num" w:pos="0"/>
        </w:tabs>
        <w:ind w:left="0" w:firstLine="720"/>
        <w:rPr>
          <w:lang w:val="es-AR"/>
        </w:rPr>
      </w:pPr>
      <w:r w:rsidRPr="00F65AAF">
        <w:rPr>
          <w:lang w:val="es-AR"/>
        </w:rPr>
        <w:t>El artículo 46.1.c</w:t>
      </w:r>
      <w:r w:rsidR="00DB52D5" w:rsidRPr="00F65AAF">
        <w:rPr>
          <w:lang w:val="es-AR"/>
        </w:rPr>
        <w:t xml:space="preserve"> de la Convención dispone que la admisión de las peticiones está sujeta a que la materia </w:t>
      </w:r>
      <w:r w:rsidR="00DB52D5" w:rsidRPr="00F65AAF">
        <w:rPr>
          <w:rFonts w:cs="Arial"/>
          <w:lang w:val="es-AR"/>
        </w:rPr>
        <w:t>“</w:t>
      </w:r>
      <w:r w:rsidR="00DB52D5" w:rsidRPr="00F65AAF">
        <w:rPr>
          <w:lang w:val="es-AR"/>
        </w:rPr>
        <w:t>no esté pendiente de otro procedimiento de arreglo internacional</w:t>
      </w:r>
      <w:r w:rsidR="00DB52D5" w:rsidRPr="00F65AAF">
        <w:rPr>
          <w:rFonts w:cs="Arial"/>
          <w:lang w:val="es-AR"/>
        </w:rPr>
        <w:t>”</w:t>
      </w:r>
      <w:r w:rsidR="00DB52D5" w:rsidRPr="00F65AAF">
        <w:rPr>
          <w:lang w:val="es-AR"/>
        </w:rPr>
        <w:t xml:space="preserve"> y en el artículo 47.d) de la Convención se estipula que la Comisión no admitirá la petición que sea sustancialmente la reproducción de petición o comunicación anterior ya examinada por la Comisión o por otro organismo internacional.  En el presente caso, las partes no han esgrimido la existencia de ninguna de esas dos circunstancias, ni ellas se deducen del expediente.</w:t>
      </w:r>
    </w:p>
    <w:p w:rsidR="00DD6BC3" w:rsidRPr="00F65AAF" w:rsidRDefault="00DD6BC3" w:rsidP="00DD6BC3">
      <w:pPr>
        <w:pStyle w:val="Ttulo1"/>
        <w:ind w:firstLine="720"/>
        <w:rPr>
          <w:rFonts w:ascii="Univers" w:hAnsi="Univers"/>
          <w:sz w:val="20"/>
          <w:szCs w:val="20"/>
        </w:rPr>
      </w:pPr>
      <w:r w:rsidRPr="00F65AAF">
        <w:rPr>
          <w:rFonts w:ascii="Univers" w:hAnsi="Univers"/>
          <w:sz w:val="20"/>
          <w:szCs w:val="20"/>
        </w:rPr>
        <w:t>E.</w:t>
      </w:r>
      <w:r w:rsidRPr="00F65AAF">
        <w:rPr>
          <w:rFonts w:ascii="Univers" w:hAnsi="Univers"/>
          <w:sz w:val="20"/>
          <w:szCs w:val="20"/>
        </w:rPr>
        <w:tab/>
        <w:t>Caracterización de los hechos alegados</w:t>
      </w:r>
    </w:p>
    <w:p w:rsidR="006658BA" w:rsidRPr="00F65AAF" w:rsidRDefault="006658BA" w:rsidP="006658BA">
      <w:pPr>
        <w:pStyle w:val="Textonotaalfinal"/>
        <w:ind w:left="720"/>
        <w:rPr>
          <w:lang w:val="es-AR"/>
        </w:rPr>
      </w:pPr>
    </w:p>
    <w:p w:rsidR="006658BA" w:rsidRPr="00F65AAF" w:rsidRDefault="006658BA" w:rsidP="006658BA">
      <w:pPr>
        <w:pStyle w:val="Textonotaalfinal"/>
        <w:numPr>
          <w:ilvl w:val="0"/>
          <w:numId w:val="17"/>
        </w:numPr>
        <w:tabs>
          <w:tab w:val="clear" w:pos="720"/>
          <w:tab w:val="num" w:pos="0"/>
        </w:tabs>
        <w:ind w:left="0" w:firstLine="720"/>
        <w:rPr>
          <w:lang w:val="es-AR"/>
        </w:rPr>
      </w:pPr>
      <w:r w:rsidRPr="00F65AAF">
        <w:t xml:space="preserve">A los fines de admisibilidad, la Comisión debe decidir si en la petición se exponen hechos que podrían caracterizar una violación, como estipula el artículo 47.b de la Convención Americana, si la petición es </w:t>
      </w:r>
      <w:r w:rsidRPr="00F65AAF">
        <w:rPr>
          <w:rFonts w:cs="Arial"/>
        </w:rPr>
        <w:t>"</w:t>
      </w:r>
      <w:r w:rsidRPr="00F65AAF">
        <w:t>manifiestamente infundada</w:t>
      </w:r>
      <w:r w:rsidRPr="00F65AAF">
        <w:rPr>
          <w:rFonts w:cs="Arial"/>
        </w:rPr>
        <w:t>"</w:t>
      </w:r>
      <w:r w:rsidRPr="00F65AAF">
        <w:t xml:space="preserve"> o si es </w:t>
      </w:r>
      <w:r w:rsidRPr="00F65AAF">
        <w:rPr>
          <w:rFonts w:cs="Arial"/>
        </w:rPr>
        <w:t>"</w:t>
      </w:r>
      <w:r w:rsidRPr="00F65AAF">
        <w:t>evidente su total improcedencia</w:t>
      </w:r>
      <w:r w:rsidRPr="00F65AAF">
        <w:rPr>
          <w:rFonts w:cs="Arial"/>
        </w:rPr>
        <w:t>"</w:t>
      </w:r>
      <w:r w:rsidRPr="00F65AAF">
        <w:t xml:space="preserve">, según el inciso (c) del mismo artículo. El estándar de apreciación de estos extremos es diferente del requerido </w:t>
      </w:r>
      <w:r w:rsidRPr="00F65AAF">
        <w:lastRenderedPageBreak/>
        <w:t xml:space="preserve">para decidir sobre los méritos de una denuncia. La Comisión debe realizar una evaluación </w:t>
      </w:r>
      <w:r w:rsidRPr="00F65AAF">
        <w:rPr>
          <w:i/>
        </w:rPr>
        <w:t>prima facie</w:t>
      </w:r>
      <w:r w:rsidRPr="00F65AAF">
        <w:t xml:space="preserve"> 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rsidR="006658BA" w:rsidRPr="00DA0F0D" w:rsidRDefault="006658BA" w:rsidP="00DA0F0D">
      <w:pPr>
        <w:rPr>
          <w:rFonts w:cs="Arial"/>
          <w:iCs/>
          <w:sz w:val="16"/>
          <w:szCs w:val="16"/>
        </w:rPr>
      </w:pPr>
    </w:p>
    <w:p w:rsidR="008E5A31" w:rsidRPr="00F65AAF" w:rsidRDefault="00DB52D5" w:rsidP="00583C91">
      <w:pPr>
        <w:pStyle w:val="Textonotaalfinal"/>
        <w:numPr>
          <w:ilvl w:val="0"/>
          <w:numId w:val="17"/>
        </w:numPr>
        <w:tabs>
          <w:tab w:val="clear" w:pos="720"/>
          <w:tab w:val="num" w:pos="0"/>
        </w:tabs>
        <w:ind w:left="0" w:firstLine="720"/>
      </w:pPr>
      <w:r w:rsidRPr="00F65AAF">
        <w:t xml:space="preserve">Con relación a la </w:t>
      </w:r>
      <w:r w:rsidR="00F6582E" w:rsidRPr="00F65AAF">
        <w:t>presunta</w:t>
      </w:r>
      <w:r w:rsidRPr="00F65AAF">
        <w:t xml:space="preserve"> violación al derecho </w:t>
      </w:r>
      <w:r w:rsidR="00F6582E" w:rsidRPr="00F65AAF">
        <w:t>a la protección judicial</w:t>
      </w:r>
      <w:r w:rsidR="003C6568" w:rsidRPr="00F65AAF">
        <w:t>,</w:t>
      </w:r>
      <w:r w:rsidR="00251282" w:rsidRPr="00F65AAF">
        <w:t xml:space="preserve"> </w:t>
      </w:r>
      <w:r w:rsidR="00F6582E" w:rsidRPr="00F65AAF">
        <w:t xml:space="preserve">la Comisión considera que de ser ciertos los hechos alegados por el peticionario, éstos podrían caracterizar la violación al derecho </w:t>
      </w:r>
      <w:r w:rsidR="00D8323A" w:rsidRPr="00F65AAF">
        <w:t>protegido en el artículo 25.2.c</w:t>
      </w:r>
      <w:r w:rsidR="00F6582E" w:rsidRPr="00F65AAF">
        <w:t xml:space="preserve"> de la Convención Americana. </w:t>
      </w:r>
    </w:p>
    <w:p w:rsidR="008E5A31" w:rsidRPr="00DA0F0D" w:rsidRDefault="008E5A31" w:rsidP="008E5A31">
      <w:pPr>
        <w:pStyle w:val="Textonotaalfinal"/>
        <w:rPr>
          <w:sz w:val="16"/>
          <w:szCs w:val="16"/>
        </w:rPr>
      </w:pPr>
    </w:p>
    <w:p w:rsidR="00C15D60" w:rsidRPr="00F65AAF" w:rsidRDefault="008E5A31" w:rsidP="00583C91">
      <w:pPr>
        <w:pStyle w:val="Textonotaalfinal"/>
        <w:numPr>
          <w:ilvl w:val="0"/>
          <w:numId w:val="17"/>
        </w:numPr>
        <w:tabs>
          <w:tab w:val="clear" w:pos="720"/>
          <w:tab w:val="num" w:pos="0"/>
        </w:tabs>
        <w:ind w:left="0" w:firstLine="720"/>
      </w:pPr>
      <w:r w:rsidRPr="00F65AAF">
        <w:t xml:space="preserve">Por otra parte, </w:t>
      </w:r>
      <w:r w:rsidR="0050247E" w:rsidRPr="00F65AAF">
        <w:t xml:space="preserve">la </w:t>
      </w:r>
      <w:r w:rsidR="009B2A21" w:rsidRPr="00F65AAF">
        <w:t xml:space="preserve">presunta </w:t>
      </w:r>
      <w:r w:rsidR="0050247E" w:rsidRPr="00F65AAF">
        <w:t xml:space="preserve">demora de más de 17 años en el proceso de ejecución de sentencia pudiera caracterizar una violación al derecho a ser oído por un juez o tribunal competente en un plazo razonable.  Además, la jurisprudencia del Sistema Interamericano ha establecido que la </w:t>
      </w:r>
      <w:r w:rsidR="0050247E" w:rsidRPr="00F65AAF">
        <w:rPr>
          <w:rFonts w:cs="Arial"/>
        </w:rPr>
        <w:t>afectación</w:t>
      </w:r>
      <w:r w:rsidR="0050247E" w:rsidRPr="00F65AAF">
        <w:t xml:space="preserve"> patrimonial causada por el incumplimiento de sentencias que pretendían proteger el derecho a una pensión puede </w:t>
      </w:r>
      <w:r w:rsidR="00DD1710" w:rsidRPr="00F65AAF">
        <w:t xml:space="preserve">en ciertas circunstancias </w:t>
      </w:r>
      <w:r w:rsidR="0050247E" w:rsidRPr="00F65AAF">
        <w:t>caracterizar una violación del derecho a la propieda</w:t>
      </w:r>
      <w:r w:rsidR="00695DD7" w:rsidRPr="00F65AAF">
        <w:t>d</w:t>
      </w:r>
      <w:r w:rsidR="00695DD7" w:rsidRPr="00F65AAF">
        <w:rPr>
          <w:rStyle w:val="Refdenotaalpie"/>
          <w:lang w:val="es-AR"/>
        </w:rPr>
        <w:footnoteReference w:id="7"/>
      </w:r>
      <w:r w:rsidR="0050247E" w:rsidRPr="00F65AAF">
        <w:t xml:space="preserve">. </w:t>
      </w:r>
      <w:r w:rsidRPr="00F65AAF">
        <w:t>En consecuencia</w:t>
      </w:r>
      <w:r w:rsidR="00F6582E" w:rsidRPr="00F65AAF">
        <w:t xml:space="preserve">, en virtud del principio </w:t>
      </w:r>
      <w:r w:rsidR="00F6582E" w:rsidRPr="00F65AAF">
        <w:rPr>
          <w:i/>
        </w:rPr>
        <w:t>iura novit curia</w:t>
      </w:r>
      <w:r w:rsidR="00F6582E" w:rsidRPr="00F65AAF">
        <w:t xml:space="preserve">, la CIDH </w:t>
      </w:r>
      <w:r w:rsidR="00D8323A" w:rsidRPr="00F65AAF">
        <w:t>analizará en la etapa de fondo la posible</w:t>
      </w:r>
      <w:r w:rsidR="00F6582E" w:rsidRPr="00F65AAF">
        <w:t xml:space="preserve"> violación </w:t>
      </w:r>
      <w:r w:rsidRPr="00F65AAF">
        <w:t>a los</w:t>
      </w:r>
      <w:r w:rsidR="00B8674D" w:rsidRPr="00F65AAF">
        <w:t xml:space="preserve"> derecho</w:t>
      </w:r>
      <w:r w:rsidRPr="00F65AAF">
        <w:t>s</w:t>
      </w:r>
      <w:r w:rsidR="00B8674D" w:rsidRPr="00F65AAF">
        <w:t xml:space="preserve"> consagrado</w:t>
      </w:r>
      <w:r w:rsidRPr="00F65AAF">
        <w:t>s</w:t>
      </w:r>
      <w:r w:rsidR="00F6582E" w:rsidRPr="00F65AAF">
        <w:t xml:space="preserve"> en </w:t>
      </w:r>
      <w:r w:rsidRPr="00F65AAF">
        <w:t>los</w:t>
      </w:r>
      <w:r w:rsidR="00B8674D" w:rsidRPr="00F65AAF">
        <w:t xml:space="preserve"> artículo</w:t>
      </w:r>
      <w:r w:rsidRPr="00F65AAF">
        <w:t>s</w:t>
      </w:r>
      <w:r w:rsidR="00F6582E" w:rsidRPr="00F65AAF">
        <w:t xml:space="preserve"> 8.1</w:t>
      </w:r>
      <w:r w:rsidRPr="00F65AAF">
        <w:t xml:space="preserve"> y 21</w:t>
      </w:r>
      <w:r w:rsidR="00F6582E" w:rsidRPr="00F65AAF">
        <w:t xml:space="preserve"> </w:t>
      </w:r>
      <w:r w:rsidR="00073F7A" w:rsidRPr="00F65AAF">
        <w:t>de la Convención Americana</w:t>
      </w:r>
      <w:r w:rsidR="00F6582E" w:rsidRPr="00F65AAF">
        <w:t>.</w:t>
      </w:r>
    </w:p>
    <w:p w:rsidR="00583C91" w:rsidRPr="00DA0F0D" w:rsidRDefault="00583C91" w:rsidP="00583C91">
      <w:pPr>
        <w:pStyle w:val="Textonotaalfinal"/>
        <w:rPr>
          <w:sz w:val="16"/>
          <w:szCs w:val="16"/>
        </w:rPr>
      </w:pPr>
    </w:p>
    <w:p w:rsidR="00583C91" w:rsidRPr="00DA0F0D" w:rsidRDefault="00583C91" w:rsidP="00583C91">
      <w:pPr>
        <w:pStyle w:val="Textonotaalfinal"/>
        <w:numPr>
          <w:ilvl w:val="0"/>
          <w:numId w:val="17"/>
        </w:numPr>
        <w:tabs>
          <w:tab w:val="clear" w:pos="720"/>
          <w:tab w:val="num" w:pos="0"/>
        </w:tabs>
        <w:ind w:left="0" w:firstLine="720"/>
      </w:pPr>
      <w:r w:rsidRPr="00DA0F0D">
        <w:rPr>
          <w:lang w:val="es-EC"/>
        </w:rPr>
        <w:t xml:space="preserve">De la información aportada por los peticionarios, la Comisión no cuenta con suficientes elementos para pronunciarse sobre la posible caracterización de una violación </w:t>
      </w:r>
      <w:r w:rsidR="00D8323A" w:rsidRPr="00DA0F0D">
        <w:rPr>
          <w:lang w:val="es-EC"/>
        </w:rPr>
        <w:t>al</w:t>
      </w:r>
      <w:r w:rsidRPr="00DA0F0D">
        <w:rPr>
          <w:lang w:val="es-EC"/>
        </w:rPr>
        <w:t xml:space="preserve"> derecho consagrado en el artículo 24 de la Convención Americana.</w:t>
      </w:r>
    </w:p>
    <w:p w:rsidR="00C15D60" w:rsidRPr="00DA0F0D" w:rsidRDefault="00C15D60" w:rsidP="00C15D60">
      <w:pPr>
        <w:pStyle w:val="Ttulo1"/>
        <w:ind w:firstLine="720"/>
        <w:rPr>
          <w:rFonts w:ascii="Univers" w:hAnsi="Univers"/>
          <w:sz w:val="20"/>
          <w:szCs w:val="20"/>
        </w:rPr>
      </w:pPr>
      <w:r w:rsidRPr="00DA0F0D">
        <w:rPr>
          <w:rFonts w:ascii="Univers" w:hAnsi="Univers"/>
          <w:sz w:val="20"/>
          <w:szCs w:val="20"/>
        </w:rPr>
        <w:t>V.</w:t>
      </w:r>
      <w:r w:rsidRPr="00DA0F0D">
        <w:rPr>
          <w:rFonts w:ascii="Univers" w:hAnsi="Univers"/>
          <w:sz w:val="20"/>
          <w:szCs w:val="20"/>
        </w:rPr>
        <w:tab/>
        <w:t>CONCLUSIONES</w:t>
      </w:r>
    </w:p>
    <w:p w:rsidR="00C15D60" w:rsidRPr="00DA0F0D" w:rsidRDefault="00C15D60" w:rsidP="00C15D60">
      <w:pPr>
        <w:pStyle w:val="ListParagraph"/>
        <w:rPr>
          <w:rFonts w:ascii="Univers" w:hAnsi="Univers"/>
          <w:sz w:val="16"/>
          <w:szCs w:val="16"/>
        </w:rPr>
      </w:pPr>
    </w:p>
    <w:p w:rsidR="00C15D60" w:rsidRPr="00DA0F0D" w:rsidRDefault="00C15D60" w:rsidP="00C15D60">
      <w:pPr>
        <w:pStyle w:val="Textonotaalfinal"/>
        <w:numPr>
          <w:ilvl w:val="0"/>
          <w:numId w:val="17"/>
        </w:numPr>
        <w:tabs>
          <w:tab w:val="clear" w:pos="720"/>
          <w:tab w:val="num" w:pos="0"/>
        </w:tabs>
        <w:ind w:left="0" w:firstLine="720"/>
        <w:rPr>
          <w:lang w:val="es-AR"/>
        </w:rPr>
      </w:pPr>
      <w:r w:rsidRPr="00DA0F0D">
        <w:t>Con fundamento en las consideraciones de hecho y de derecho expuestas, y sin prejuzgar sobre el fondo de la cuestión, la Comisión Interameri</w:t>
      </w:r>
      <w:r w:rsidR="00D8323A" w:rsidRPr="00DA0F0D">
        <w:t>cana concluye que la</w:t>
      </w:r>
      <w:r w:rsidRPr="00DA0F0D">
        <w:t xml:space="preserve"> petición 147-98 satisface los requisitos de admisibilidad enunciados en los artículos 46 y 47 de la Convención Americana y en consecuencia</w:t>
      </w:r>
      <w:r w:rsidR="00B3277B">
        <w:t>.</w:t>
      </w:r>
    </w:p>
    <w:p w:rsidR="00C15D60" w:rsidRPr="00DA0F0D" w:rsidRDefault="00C15D60" w:rsidP="00DA0F0D">
      <w:pPr>
        <w:jc w:val="both"/>
        <w:rPr>
          <w:rFonts w:ascii="Univers" w:hAnsi="Univers"/>
          <w:sz w:val="16"/>
          <w:szCs w:val="16"/>
        </w:rPr>
      </w:pPr>
    </w:p>
    <w:p w:rsidR="00C15D60" w:rsidRPr="00DA0F0D" w:rsidRDefault="00C15D60" w:rsidP="00C15D60">
      <w:pPr>
        <w:jc w:val="center"/>
        <w:rPr>
          <w:rFonts w:ascii="Univers" w:hAnsi="Univers"/>
          <w:b/>
        </w:rPr>
      </w:pPr>
      <w:r w:rsidRPr="00DA0F0D">
        <w:rPr>
          <w:rFonts w:ascii="Univers" w:hAnsi="Univers"/>
          <w:b/>
        </w:rPr>
        <w:t>LA COMISIÓN INTERAMERICANA DE DERECHOS HUMANOS,</w:t>
      </w:r>
    </w:p>
    <w:p w:rsidR="00C15D60" w:rsidRDefault="00C15D60" w:rsidP="00C15D60">
      <w:pPr>
        <w:rPr>
          <w:rFonts w:ascii="Univers" w:hAnsi="Univers"/>
          <w:b/>
        </w:rPr>
      </w:pPr>
      <w:r w:rsidRPr="00DA0F0D">
        <w:rPr>
          <w:rFonts w:ascii="Univers" w:hAnsi="Univers"/>
          <w:b/>
        </w:rPr>
        <w:t>DECIDE:</w:t>
      </w:r>
    </w:p>
    <w:p w:rsidR="00DA0F0D" w:rsidRPr="00DA0F0D" w:rsidRDefault="00DA0F0D" w:rsidP="00C15D60">
      <w:pPr>
        <w:rPr>
          <w:rFonts w:ascii="Univers" w:hAnsi="Univers"/>
          <w:b/>
          <w:sz w:val="16"/>
          <w:szCs w:val="16"/>
        </w:rPr>
      </w:pPr>
    </w:p>
    <w:p w:rsidR="00C15D60" w:rsidRPr="00F65AAF" w:rsidRDefault="00583C91" w:rsidP="00C15D60">
      <w:pPr>
        <w:numPr>
          <w:ilvl w:val="0"/>
          <w:numId w:val="16"/>
        </w:numPr>
        <w:tabs>
          <w:tab w:val="left" w:pos="1440"/>
        </w:tabs>
        <w:ind w:left="0" w:firstLine="720"/>
        <w:jc w:val="both"/>
        <w:rPr>
          <w:rFonts w:ascii="Univers" w:hAnsi="Univers"/>
        </w:rPr>
      </w:pPr>
      <w:r w:rsidRPr="00F65AAF">
        <w:rPr>
          <w:rFonts w:ascii="Univers" w:hAnsi="Univers"/>
        </w:rPr>
        <w:t>Declarar admisible la</w:t>
      </w:r>
      <w:r w:rsidR="00764417" w:rsidRPr="00F65AAF">
        <w:rPr>
          <w:rFonts w:ascii="Univers" w:hAnsi="Univers"/>
        </w:rPr>
        <w:t xml:space="preserve"> petición</w:t>
      </w:r>
      <w:r w:rsidR="00C15D60" w:rsidRPr="00F65AAF">
        <w:rPr>
          <w:rFonts w:ascii="Univers" w:hAnsi="Univers"/>
          <w:lang w:val="es-ES"/>
        </w:rPr>
        <w:t xml:space="preserve"> </w:t>
      </w:r>
      <w:r w:rsidR="00764417" w:rsidRPr="00F65AAF">
        <w:rPr>
          <w:rFonts w:ascii="Univers" w:hAnsi="Univers"/>
          <w:lang w:val="es-ES"/>
        </w:rPr>
        <w:t>147-98</w:t>
      </w:r>
      <w:r w:rsidR="00C15D60" w:rsidRPr="00F65AAF">
        <w:rPr>
          <w:rFonts w:ascii="Univers" w:hAnsi="Univers"/>
          <w:lang w:val="es-ES"/>
        </w:rPr>
        <w:t xml:space="preserve">, </w:t>
      </w:r>
      <w:r w:rsidR="00C15D60" w:rsidRPr="00F65AAF">
        <w:rPr>
          <w:rFonts w:ascii="Univers" w:hAnsi="Univers"/>
        </w:rPr>
        <w:t xml:space="preserve">con relación a los artículos </w:t>
      </w:r>
      <w:r w:rsidRPr="00F65AAF">
        <w:rPr>
          <w:rFonts w:ascii="Univers" w:hAnsi="Univers"/>
        </w:rPr>
        <w:t>8.1</w:t>
      </w:r>
      <w:r w:rsidR="00936D1D" w:rsidRPr="00F65AAF">
        <w:rPr>
          <w:rFonts w:ascii="Univers" w:hAnsi="Univers"/>
        </w:rPr>
        <w:t>, 21</w:t>
      </w:r>
      <w:r w:rsidR="00FD38D3" w:rsidRPr="00F65AAF">
        <w:rPr>
          <w:rFonts w:ascii="Univers" w:hAnsi="Univers"/>
        </w:rPr>
        <w:t xml:space="preserve"> </w:t>
      </w:r>
      <w:r w:rsidR="00764417" w:rsidRPr="00F65AAF">
        <w:rPr>
          <w:rFonts w:ascii="Univers" w:hAnsi="Univers"/>
        </w:rPr>
        <w:t>y 25</w:t>
      </w:r>
      <w:r w:rsidR="00DD1710" w:rsidRPr="00F65AAF">
        <w:rPr>
          <w:rFonts w:ascii="Univers" w:hAnsi="Univers"/>
        </w:rPr>
        <w:t>.2.c</w:t>
      </w:r>
      <w:r w:rsidR="00764417" w:rsidRPr="00F65AAF">
        <w:rPr>
          <w:rFonts w:ascii="Univers" w:hAnsi="Univers"/>
        </w:rPr>
        <w:t xml:space="preserve"> </w:t>
      </w:r>
      <w:r w:rsidR="00531948">
        <w:rPr>
          <w:rFonts w:ascii="Univers" w:hAnsi="Univers"/>
        </w:rPr>
        <w:t>de la Convención Americana.</w:t>
      </w:r>
    </w:p>
    <w:p w:rsidR="00764417" w:rsidRPr="00F65AAF" w:rsidRDefault="00764417" w:rsidP="00764417">
      <w:pPr>
        <w:tabs>
          <w:tab w:val="left" w:pos="1440"/>
        </w:tabs>
        <w:ind w:left="720"/>
        <w:jc w:val="both"/>
        <w:rPr>
          <w:rFonts w:ascii="Univers" w:hAnsi="Univers"/>
        </w:rPr>
      </w:pPr>
    </w:p>
    <w:p w:rsidR="00583C91" w:rsidRPr="00F65AAF" w:rsidRDefault="00583C91" w:rsidP="00C15D60">
      <w:pPr>
        <w:numPr>
          <w:ilvl w:val="0"/>
          <w:numId w:val="16"/>
        </w:numPr>
        <w:tabs>
          <w:tab w:val="left" w:pos="1440"/>
        </w:tabs>
        <w:ind w:left="0" w:firstLine="720"/>
        <w:jc w:val="both"/>
        <w:rPr>
          <w:rFonts w:ascii="Univers" w:hAnsi="Univers"/>
        </w:rPr>
      </w:pPr>
      <w:r w:rsidRPr="00F65AAF">
        <w:rPr>
          <w:rFonts w:ascii="Univers" w:hAnsi="Univers"/>
        </w:rPr>
        <w:t>Declarar</w:t>
      </w:r>
      <w:r w:rsidR="00FD38D3" w:rsidRPr="00F65AAF">
        <w:rPr>
          <w:rFonts w:ascii="Univers" w:hAnsi="Univers"/>
        </w:rPr>
        <w:t>la inadmisible</w:t>
      </w:r>
      <w:r w:rsidRPr="00F65AAF">
        <w:rPr>
          <w:rFonts w:ascii="Univers" w:hAnsi="Univers"/>
        </w:rPr>
        <w:t xml:space="preserve">, con relación al artículo 24 de la Convención Americana.  </w:t>
      </w:r>
    </w:p>
    <w:p w:rsidR="00583C91" w:rsidRPr="00F65AAF" w:rsidRDefault="00583C91" w:rsidP="00583C91">
      <w:pPr>
        <w:tabs>
          <w:tab w:val="left" w:pos="1440"/>
        </w:tabs>
        <w:jc w:val="both"/>
        <w:rPr>
          <w:rFonts w:ascii="Univers" w:hAnsi="Univers"/>
        </w:rPr>
      </w:pPr>
    </w:p>
    <w:p w:rsidR="00C15D60" w:rsidRPr="00F65AAF" w:rsidRDefault="00C15D60" w:rsidP="00C15D60">
      <w:pPr>
        <w:numPr>
          <w:ilvl w:val="0"/>
          <w:numId w:val="16"/>
        </w:numPr>
        <w:tabs>
          <w:tab w:val="left" w:pos="1440"/>
        </w:tabs>
        <w:ind w:left="0" w:firstLine="720"/>
        <w:jc w:val="both"/>
        <w:rPr>
          <w:rFonts w:ascii="Univers" w:hAnsi="Univers"/>
        </w:rPr>
      </w:pPr>
      <w:r w:rsidRPr="00F65AAF">
        <w:rPr>
          <w:rFonts w:ascii="Univers" w:hAnsi="Univers"/>
        </w:rPr>
        <w:t xml:space="preserve">Notificar esta decisión al Estado y </w:t>
      </w:r>
      <w:r w:rsidR="00FD38D3" w:rsidRPr="00F65AAF">
        <w:rPr>
          <w:rFonts w:ascii="Univers" w:hAnsi="Univers"/>
        </w:rPr>
        <w:t>al peticionario</w:t>
      </w:r>
      <w:r w:rsidRPr="00F65AAF">
        <w:rPr>
          <w:rFonts w:ascii="Univers" w:hAnsi="Univers"/>
        </w:rPr>
        <w:t>.</w:t>
      </w:r>
    </w:p>
    <w:p w:rsidR="00C15D60" w:rsidRPr="00F65AAF" w:rsidRDefault="00C15D60" w:rsidP="00C15D60">
      <w:pPr>
        <w:tabs>
          <w:tab w:val="left" w:pos="1440"/>
        </w:tabs>
        <w:rPr>
          <w:rFonts w:ascii="Univers" w:hAnsi="Univers"/>
        </w:rPr>
      </w:pPr>
    </w:p>
    <w:p w:rsidR="00C15D60" w:rsidRPr="00F65AAF" w:rsidRDefault="00C15D60" w:rsidP="00C15D60">
      <w:pPr>
        <w:numPr>
          <w:ilvl w:val="0"/>
          <w:numId w:val="16"/>
        </w:numPr>
        <w:tabs>
          <w:tab w:val="left" w:pos="1440"/>
        </w:tabs>
        <w:ind w:left="0" w:firstLine="720"/>
        <w:jc w:val="both"/>
        <w:rPr>
          <w:rFonts w:ascii="Univers" w:hAnsi="Univers"/>
        </w:rPr>
      </w:pPr>
      <w:r w:rsidRPr="00F65AAF">
        <w:rPr>
          <w:rFonts w:ascii="Univers" w:hAnsi="Univers"/>
        </w:rPr>
        <w:t>Publicar esta decisión e incluirla en el Informe Anual, a ser presentado a la Asamblea General de la OEA.</w:t>
      </w:r>
    </w:p>
    <w:p w:rsidR="00857349" w:rsidRPr="00857349" w:rsidRDefault="00857349" w:rsidP="00857349">
      <w:pPr>
        <w:ind w:firstLine="720"/>
        <w:outlineLvl w:val="0"/>
        <w:rPr>
          <w:rFonts w:ascii="Univers" w:hAnsi="Univers"/>
          <w:b/>
          <w:sz w:val="18"/>
          <w:szCs w:val="18"/>
        </w:rPr>
      </w:pPr>
    </w:p>
    <w:p w:rsidR="00857349" w:rsidRPr="00857349" w:rsidRDefault="00857349" w:rsidP="00857349">
      <w:pPr>
        <w:ind w:firstLine="720"/>
        <w:jc w:val="both"/>
        <w:rPr>
          <w:rFonts w:ascii="Univers" w:hAnsi="Univers" w:cs="Arial"/>
          <w:noProof/>
          <w:spacing w:val="-2"/>
          <w:lang w:val="es-CL"/>
        </w:rPr>
      </w:pPr>
      <w:r w:rsidRPr="00857349">
        <w:rPr>
          <w:rFonts w:ascii="Univers" w:hAnsi="Univers" w:cs="Arial"/>
          <w:noProof/>
          <w:spacing w:val="-2"/>
          <w:lang w:val="es-CL"/>
        </w:rPr>
        <w:t>Dado y firmado en la ciudad de Washington, D.C., a los 1</w:t>
      </w:r>
      <w:r>
        <w:rPr>
          <w:rFonts w:ascii="Univers" w:hAnsi="Univers" w:cs="Arial"/>
          <w:noProof/>
          <w:spacing w:val="-2"/>
          <w:lang w:val="es-CL"/>
        </w:rPr>
        <w:t>6</w:t>
      </w:r>
      <w:r w:rsidRPr="00857349">
        <w:rPr>
          <w:rFonts w:ascii="Univers" w:hAnsi="Univers" w:cs="Arial"/>
          <w:noProof/>
          <w:spacing w:val="-2"/>
          <w:lang w:val="es-CL"/>
        </w:rPr>
        <w:t xml:space="preserve"> días del mes de julio de 2010.  (Firmado): Felipe González, Presidente; </w:t>
      </w:r>
      <w:r w:rsidRPr="00857349">
        <w:rPr>
          <w:rFonts w:ascii="Univers" w:hAnsi="Univers"/>
          <w:spacing w:val="-2"/>
        </w:rPr>
        <w:t>Paulo Sergio Pinheiro</w:t>
      </w:r>
      <w:r w:rsidRPr="00857349">
        <w:rPr>
          <w:rFonts w:ascii="Univers" w:hAnsi="Univers" w:cs="Arial"/>
          <w:noProof/>
          <w:spacing w:val="-2"/>
          <w:lang w:val="es-CL"/>
        </w:rPr>
        <w:t xml:space="preserve">, Primer Vicepresidente; </w:t>
      </w:r>
      <w:r w:rsidRPr="00857349">
        <w:rPr>
          <w:rFonts w:ascii="Univers" w:hAnsi="Univers"/>
          <w:spacing w:val="-2"/>
        </w:rPr>
        <w:t>Dinah Shelton</w:t>
      </w:r>
      <w:r w:rsidRPr="00857349">
        <w:rPr>
          <w:rFonts w:ascii="Univers" w:hAnsi="Univers" w:cs="Arial"/>
          <w:noProof/>
          <w:spacing w:val="-2"/>
          <w:lang w:val="es-CL"/>
        </w:rPr>
        <w:t xml:space="preserve">, Segunda Vicepresidenta; </w:t>
      </w:r>
      <w:r w:rsidRPr="00857349">
        <w:rPr>
          <w:rFonts w:ascii="Univers" w:hAnsi="Univers"/>
          <w:spacing w:val="-2"/>
          <w:lang w:val="es-SV"/>
        </w:rPr>
        <w:t xml:space="preserve">María Silvia Guillén, </w:t>
      </w:r>
      <w:r w:rsidRPr="00857349">
        <w:rPr>
          <w:rFonts w:ascii="Univers" w:hAnsi="Univers"/>
          <w:spacing w:val="-2"/>
        </w:rPr>
        <w:t>José de Jesús Orozco Henríquez</w:t>
      </w:r>
      <w:r w:rsidRPr="00857349">
        <w:rPr>
          <w:rFonts w:ascii="Univers" w:hAnsi="Univers" w:cs="Arial"/>
          <w:noProof/>
          <w:spacing w:val="-2"/>
          <w:lang w:val="es-CL"/>
        </w:rPr>
        <w:t xml:space="preserve"> y </w:t>
      </w:r>
      <w:r w:rsidRPr="00857349">
        <w:rPr>
          <w:rFonts w:ascii="Univers" w:hAnsi="Univers"/>
          <w:spacing w:val="-2"/>
          <w:lang w:val="es-CL"/>
        </w:rPr>
        <w:t xml:space="preserve">Luz Patricia Mejía Guerrero, </w:t>
      </w:r>
      <w:r w:rsidRPr="00857349">
        <w:rPr>
          <w:rFonts w:ascii="Univers" w:hAnsi="Univers" w:cs="Arial"/>
          <w:noProof/>
          <w:spacing w:val="-2"/>
          <w:lang w:val="es-CL"/>
        </w:rPr>
        <w:t>Miembros de la Comisión.</w:t>
      </w:r>
    </w:p>
    <w:p w:rsidR="00857349" w:rsidRPr="00857349" w:rsidRDefault="00857349" w:rsidP="00857349">
      <w:pPr>
        <w:suppressAutoHyphens/>
        <w:ind w:firstLine="720"/>
        <w:jc w:val="both"/>
        <w:rPr>
          <w:rFonts w:ascii="Univers" w:hAnsi="Univers"/>
          <w:noProof/>
          <w:spacing w:val="-2"/>
          <w:lang w:val="es-CL"/>
        </w:rPr>
      </w:pPr>
    </w:p>
    <w:sectPr w:rsidR="00857349" w:rsidRPr="00857349" w:rsidSect="00936D1D">
      <w:headerReference w:type="even" r:id="rId7"/>
      <w:headerReference w:type="default" r:id="rId8"/>
      <w:footerReference w:type="even"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0F8" w:rsidRDefault="000D40F8">
      <w:r>
        <w:separator/>
      </w:r>
    </w:p>
  </w:endnote>
  <w:endnote w:type="continuationSeparator" w:id="0">
    <w:p w:rsidR="000D40F8" w:rsidRDefault="000D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48" w:rsidRDefault="0053194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31948" w:rsidRDefault="0053194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0F8" w:rsidRPr="008371A3" w:rsidRDefault="000D40F8">
      <w:pPr>
        <w:rPr>
          <w:rFonts w:ascii="Univers" w:hAnsi="Univers"/>
          <w:sz w:val="16"/>
          <w:szCs w:val="16"/>
        </w:rPr>
      </w:pPr>
      <w:r w:rsidRPr="008371A3">
        <w:rPr>
          <w:rFonts w:ascii="Univers" w:hAnsi="Univers"/>
          <w:sz w:val="16"/>
          <w:szCs w:val="16"/>
        </w:rPr>
        <w:separator/>
      </w:r>
    </w:p>
  </w:footnote>
  <w:footnote w:type="continuationSeparator" w:id="0">
    <w:p w:rsidR="000D40F8" w:rsidRPr="008371A3" w:rsidRDefault="000D40F8" w:rsidP="00967D5D">
      <w:pPr>
        <w:rPr>
          <w:rFonts w:ascii="Univers" w:hAnsi="Univers"/>
          <w:sz w:val="16"/>
          <w:szCs w:val="16"/>
        </w:rPr>
      </w:pPr>
      <w:r w:rsidRPr="008371A3">
        <w:rPr>
          <w:rFonts w:ascii="Univers" w:hAnsi="Univers"/>
          <w:sz w:val="16"/>
          <w:szCs w:val="16"/>
        </w:rPr>
        <w:separator/>
      </w:r>
    </w:p>
    <w:p w:rsidR="000D40F8" w:rsidRPr="008371A3" w:rsidRDefault="000D40F8" w:rsidP="00967D5D">
      <w:pPr>
        <w:pStyle w:val="Piedepgina"/>
        <w:rPr>
          <w:rFonts w:ascii="Univers" w:hAnsi="Univers"/>
          <w:sz w:val="16"/>
          <w:szCs w:val="16"/>
        </w:rPr>
      </w:pPr>
      <w:r w:rsidRPr="008371A3">
        <w:rPr>
          <w:rFonts w:ascii="Univers" w:hAnsi="Univers"/>
          <w:sz w:val="16"/>
          <w:szCs w:val="16"/>
        </w:rPr>
        <w:t>…continuación</w:t>
      </w:r>
    </w:p>
  </w:footnote>
  <w:footnote w:type="continuationNotice" w:id="1">
    <w:p w:rsidR="000D40F8" w:rsidRPr="008371A3" w:rsidRDefault="000D40F8" w:rsidP="00967D5D">
      <w:pPr>
        <w:jc w:val="right"/>
        <w:rPr>
          <w:rFonts w:ascii="Univers" w:hAnsi="Univers"/>
          <w:sz w:val="16"/>
          <w:szCs w:val="16"/>
          <w:lang w:val="es-ES_tradnl"/>
        </w:rPr>
      </w:pPr>
      <w:r w:rsidRPr="008371A3">
        <w:rPr>
          <w:rFonts w:ascii="Univers" w:hAnsi="Univers"/>
          <w:sz w:val="16"/>
          <w:szCs w:val="16"/>
          <w:lang w:val="es-ES_tradnl"/>
        </w:rPr>
        <w:t>Continúa…</w:t>
      </w:r>
    </w:p>
  </w:footnote>
  <w:footnote w:id="2">
    <w:p w:rsidR="00531948" w:rsidRPr="0050579F" w:rsidRDefault="00531948" w:rsidP="00223B3B">
      <w:pPr>
        <w:pStyle w:val="Textonotapie"/>
        <w:spacing w:after="120"/>
        <w:ind w:firstLine="720"/>
        <w:jc w:val="both"/>
        <w:rPr>
          <w:rFonts w:ascii="Univers" w:hAnsi="Univers"/>
          <w:sz w:val="16"/>
          <w:szCs w:val="16"/>
        </w:rPr>
      </w:pPr>
      <w:r w:rsidRPr="0050579F">
        <w:rPr>
          <w:rStyle w:val="Refdenotaalpie"/>
          <w:rFonts w:ascii="Univers" w:hAnsi="Univers"/>
          <w:sz w:val="16"/>
          <w:szCs w:val="16"/>
        </w:rPr>
        <w:footnoteRef/>
      </w:r>
      <w:r w:rsidRPr="0050579F">
        <w:rPr>
          <w:rFonts w:ascii="Univers" w:hAnsi="Univers"/>
          <w:sz w:val="16"/>
          <w:szCs w:val="16"/>
        </w:rPr>
        <w:t xml:space="preserve"> Comunicación del peticionario recibida el 12 de noviembre de 1998, anexos, Resolución de la Corte Suprema de Justicia de fecha 2 d</w:t>
      </w:r>
      <w:r>
        <w:rPr>
          <w:rFonts w:ascii="Univers" w:hAnsi="Univers"/>
          <w:sz w:val="16"/>
          <w:szCs w:val="16"/>
        </w:rPr>
        <w:t>e febrero de 1993</w:t>
      </w:r>
      <w:proofErr w:type="gramStart"/>
      <w:r>
        <w:rPr>
          <w:rFonts w:ascii="Univers" w:hAnsi="Univers"/>
          <w:sz w:val="16"/>
          <w:szCs w:val="16"/>
        </w:rPr>
        <w:t>,Expediente</w:t>
      </w:r>
      <w:proofErr w:type="gramEnd"/>
      <w:r>
        <w:rPr>
          <w:rFonts w:ascii="Univers" w:hAnsi="Univers"/>
          <w:sz w:val="16"/>
          <w:szCs w:val="16"/>
        </w:rPr>
        <w:t xml:space="preserve"> Nº </w:t>
      </w:r>
      <w:r w:rsidRPr="0050579F">
        <w:rPr>
          <w:rFonts w:ascii="Univers" w:hAnsi="Univers"/>
          <w:sz w:val="16"/>
          <w:szCs w:val="16"/>
        </w:rPr>
        <w:t>1783-92</w:t>
      </w:r>
      <w:r>
        <w:rPr>
          <w:rFonts w:ascii="Univers" w:hAnsi="Univers"/>
          <w:sz w:val="16"/>
          <w:szCs w:val="16"/>
        </w:rPr>
        <w:t>.</w:t>
      </w:r>
    </w:p>
  </w:footnote>
  <w:footnote w:id="3">
    <w:p w:rsidR="00531948" w:rsidRPr="0015791A" w:rsidRDefault="00531948" w:rsidP="00223B3B">
      <w:pPr>
        <w:pStyle w:val="Textonotapie"/>
        <w:spacing w:after="120"/>
        <w:ind w:firstLine="720"/>
        <w:jc w:val="both"/>
      </w:pPr>
      <w:r w:rsidRPr="00FB3163">
        <w:rPr>
          <w:rStyle w:val="Refdenotaalpie"/>
          <w:rFonts w:ascii="Univers" w:hAnsi="Univers"/>
          <w:sz w:val="16"/>
          <w:szCs w:val="16"/>
        </w:rPr>
        <w:footnoteRef/>
      </w:r>
      <w:r w:rsidRPr="00FB3163">
        <w:rPr>
          <w:rFonts w:ascii="Univers" w:hAnsi="Univers"/>
          <w:sz w:val="16"/>
          <w:szCs w:val="16"/>
        </w:rPr>
        <w:t xml:space="preserve"> Comunicación del peticionario recibida el 14 de junio de 2004, anexos, Resolución del 5º Juzgado Civil de Lima de 7</w:t>
      </w:r>
      <w:r>
        <w:rPr>
          <w:rFonts w:ascii="Univers" w:hAnsi="Univers"/>
          <w:sz w:val="16"/>
          <w:szCs w:val="16"/>
        </w:rPr>
        <w:t xml:space="preserve"> de abril de 1997, Expediente Nº</w:t>
      </w:r>
      <w:r w:rsidRPr="00FB3163">
        <w:rPr>
          <w:rFonts w:ascii="Univers" w:hAnsi="Univers"/>
          <w:sz w:val="16"/>
          <w:szCs w:val="16"/>
        </w:rPr>
        <w:t xml:space="preserve"> 58-96</w:t>
      </w:r>
      <w:r>
        <w:rPr>
          <w:rFonts w:ascii="Univers" w:hAnsi="Univers"/>
          <w:sz w:val="16"/>
          <w:szCs w:val="16"/>
        </w:rPr>
        <w:t>.</w:t>
      </w:r>
    </w:p>
  </w:footnote>
  <w:footnote w:id="4">
    <w:p w:rsidR="00531948" w:rsidRPr="00F35E1C" w:rsidRDefault="00531948" w:rsidP="00223B3B">
      <w:pPr>
        <w:pStyle w:val="Textonotapie"/>
        <w:spacing w:after="120"/>
        <w:ind w:firstLine="720"/>
        <w:jc w:val="both"/>
        <w:rPr>
          <w:rFonts w:ascii="Univers" w:hAnsi="Univers"/>
          <w:sz w:val="16"/>
          <w:szCs w:val="16"/>
          <w:lang w:val="es-ES"/>
        </w:rPr>
      </w:pPr>
      <w:r w:rsidRPr="00F35E1C">
        <w:rPr>
          <w:rStyle w:val="Refdenotaalpie"/>
          <w:rFonts w:ascii="Univers" w:hAnsi="Univers"/>
          <w:sz w:val="16"/>
          <w:szCs w:val="16"/>
        </w:rPr>
        <w:footnoteRef/>
      </w:r>
      <w:r w:rsidRPr="00F35E1C">
        <w:rPr>
          <w:rFonts w:ascii="Univers" w:hAnsi="Univers"/>
          <w:sz w:val="16"/>
          <w:szCs w:val="16"/>
        </w:rPr>
        <w:t xml:space="preserve"> CIDH, Informe N</w:t>
      </w:r>
      <w:r>
        <w:rPr>
          <w:rFonts w:ascii="Univers" w:hAnsi="Univers"/>
          <w:sz w:val="16"/>
          <w:szCs w:val="16"/>
        </w:rPr>
        <w:t>o.</w:t>
      </w:r>
      <w:r w:rsidRPr="00F35E1C">
        <w:rPr>
          <w:rFonts w:ascii="Univers" w:hAnsi="Univers"/>
          <w:sz w:val="16"/>
          <w:szCs w:val="16"/>
        </w:rPr>
        <w:t xml:space="preserve"> 32/05, petición </w:t>
      </w:r>
      <w:r w:rsidRPr="00F35E1C">
        <w:rPr>
          <w:rFonts w:ascii="Univers" w:hAnsi="Univers"/>
          <w:color w:val="000000"/>
          <w:sz w:val="16"/>
          <w:szCs w:val="16"/>
          <w:lang w:val="es-UY"/>
        </w:rPr>
        <w:t xml:space="preserve">642/03, Admisibilidad, Luís Rolando Cuscul Pivaral y otras personas afectadas por el VIH/SIDA, Guatemala, 7 de marzo de 2005, </w:t>
      </w:r>
      <w:r w:rsidRPr="00F35E1C">
        <w:rPr>
          <w:rFonts w:ascii="Univers" w:hAnsi="Univers"/>
          <w:sz w:val="16"/>
          <w:szCs w:val="16"/>
        </w:rPr>
        <w:t>párrs. 33-35; Corte I.D.H.</w:t>
      </w:r>
      <w:r w:rsidRPr="00F35E1C">
        <w:rPr>
          <w:rFonts w:ascii="Univers" w:hAnsi="Univers"/>
          <w:i/>
          <w:iCs/>
          <w:sz w:val="16"/>
          <w:szCs w:val="16"/>
        </w:rPr>
        <w:t>, Caso de la Comunidad Mayagna (Sumo) Awas Tingni. Excepciones Preliminares</w:t>
      </w:r>
      <w:r w:rsidRPr="00F35E1C">
        <w:rPr>
          <w:rFonts w:ascii="Univers" w:hAnsi="Univers"/>
          <w:color w:val="000000"/>
          <w:sz w:val="16"/>
          <w:szCs w:val="16"/>
        </w:rPr>
        <w:t xml:space="preserve">, </w:t>
      </w:r>
      <w:r>
        <w:rPr>
          <w:rFonts w:ascii="Univers" w:hAnsi="Univers"/>
          <w:color w:val="000000"/>
          <w:sz w:val="16"/>
          <w:szCs w:val="16"/>
        </w:rPr>
        <w:t xml:space="preserve">Sentencia de 1 de febrero de 2000, Serie C No. 66, </w:t>
      </w:r>
      <w:r w:rsidRPr="00F35E1C">
        <w:rPr>
          <w:rFonts w:ascii="Univers" w:hAnsi="Univers"/>
          <w:sz w:val="16"/>
          <w:szCs w:val="16"/>
        </w:rPr>
        <w:t>párr. 53; Corte I.D.H.</w:t>
      </w:r>
      <w:r w:rsidRPr="00F35E1C">
        <w:rPr>
          <w:rFonts w:ascii="Univers" w:hAnsi="Univers"/>
          <w:i/>
          <w:iCs/>
          <w:sz w:val="16"/>
          <w:szCs w:val="16"/>
        </w:rPr>
        <w:t>, Caso Durand y Ugarte. Excepciones Preliminares.</w:t>
      </w:r>
      <w:r w:rsidRPr="00F35E1C">
        <w:rPr>
          <w:rFonts w:ascii="Univers" w:hAnsi="Univers"/>
          <w:sz w:val="16"/>
          <w:szCs w:val="16"/>
        </w:rPr>
        <w:t xml:space="preserve"> Sentencia de 28 de mayo de 1999. Serie C No. 50, párr. 33; y Corte I.D.H.</w:t>
      </w:r>
      <w:r w:rsidRPr="00F35E1C">
        <w:rPr>
          <w:rFonts w:ascii="Univers" w:hAnsi="Univers"/>
          <w:i/>
          <w:iCs/>
          <w:sz w:val="16"/>
          <w:szCs w:val="16"/>
        </w:rPr>
        <w:t>, Caso Cantoral Benavides. Excepciones Preliminares</w:t>
      </w:r>
      <w:r w:rsidRPr="00F35E1C">
        <w:rPr>
          <w:rFonts w:ascii="Univers" w:hAnsi="Univers"/>
          <w:sz w:val="16"/>
          <w:szCs w:val="16"/>
        </w:rPr>
        <w:t>. Sentencia de 3 de septiembre de 1998. Serie C No. 40, párr. 31.</w:t>
      </w:r>
    </w:p>
  </w:footnote>
  <w:footnote w:id="5">
    <w:p w:rsidR="00531948" w:rsidRPr="005212E0" w:rsidRDefault="00531948" w:rsidP="00223B3B">
      <w:pPr>
        <w:spacing w:after="120"/>
        <w:ind w:firstLine="720"/>
        <w:jc w:val="both"/>
        <w:rPr>
          <w:rFonts w:eastAsia="Times New Roman"/>
          <w:sz w:val="16"/>
          <w:szCs w:val="16"/>
          <w:lang w:val="es-ES"/>
        </w:rPr>
      </w:pPr>
      <w:r w:rsidRPr="00F35E1C">
        <w:rPr>
          <w:rStyle w:val="Refdenotaalpie"/>
          <w:rFonts w:ascii="Univers" w:hAnsi="Univers"/>
          <w:sz w:val="16"/>
          <w:szCs w:val="16"/>
        </w:rPr>
        <w:footnoteRef/>
      </w:r>
      <w:r w:rsidRPr="00F35E1C">
        <w:rPr>
          <w:rFonts w:ascii="Univers" w:hAnsi="Univers"/>
          <w:sz w:val="16"/>
          <w:szCs w:val="16"/>
        </w:rPr>
        <w:t xml:space="preserve"> CIDH, Informe </w:t>
      </w:r>
      <w:r>
        <w:rPr>
          <w:rFonts w:ascii="Univers" w:hAnsi="Univers"/>
          <w:sz w:val="16"/>
          <w:szCs w:val="16"/>
        </w:rPr>
        <w:t xml:space="preserve">No. </w:t>
      </w:r>
      <w:r w:rsidRPr="00F35E1C">
        <w:rPr>
          <w:rFonts w:ascii="Univers" w:hAnsi="Univers"/>
          <w:sz w:val="16"/>
          <w:szCs w:val="16"/>
        </w:rPr>
        <w:t xml:space="preserve">10/09, Petición 4071-02, Argentina, </w:t>
      </w:r>
      <w:r w:rsidRPr="00F35E1C">
        <w:rPr>
          <w:rFonts w:ascii="Univers" w:hAnsi="Univers"/>
          <w:i/>
          <w:sz w:val="16"/>
          <w:szCs w:val="16"/>
        </w:rPr>
        <w:t>Mercedes Eladia Farelo</w:t>
      </w:r>
      <w:r w:rsidRPr="00F35E1C">
        <w:rPr>
          <w:rFonts w:ascii="Univers" w:eastAsia="Times New Roman" w:hAnsi="Univers"/>
          <w:color w:val="000000"/>
          <w:sz w:val="16"/>
          <w:szCs w:val="16"/>
          <w:lang w:val="es-ES"/>
        </w:rPr>
        <w:t>, 13 de marzo de 2009. párr. 37.</w:t>
      </w:r>
    </w:p>
  </w:footnote>
  <w:footnote w:id="6">
    <w:p w:rsidR="00531948" w:rsidRPr="00E62927" w:rsidRDefault="00531948" w:rsidP="00223B3B">
      <w:pPr>
        <w:pStyle w:val="Textonotapie"/>
        <w:spacing w:after="120"/>
        <w:ind w:firstLine="720"/>
        <w:jc w:val="both"/>
        <w:rPr>
          <w:rFonts w:ascii="Univers" w:hAnsi="Univers"/>
          <w:sz w:val="16"/>
          <w:szCs w:val="16"/>
        </w:rPr>
      </w:pPr>
      <w:r w:rsidRPr="00E62927">
        <w:rPr>
          <w:rStyle w:val="Refdenotaalpie"/>
          <w:rFonts w:ascii="Univers" w:hAnsi="Univers"/>
          <w:sz w:val="16"/>
          <w:szCs w:val="16"/>
        </w:rPr>
        <w:footnoteRef/>
      </w:r>
      <w:r w:rsidRPr="00E62927">
        <w:rPr>
          <w:rFonts w:ascii="Univers" w:hAnsi="Univers"/>
          <w:sz w:val="16"/>
          <w:szCs w:val="16"/>
        </w:rPr>
        <w:t xml:space="preserve"> CID</w:t>
      </w:r>
      <w:r>
        <w:rPr>
          <w:rFonts w:ascii="Univers" w:hAnsi="Univers"/>
          <w:sz w:val="16"/>
          <w:szCs w:val="16"/>
        </w:rPr>
        <w:t>H, Informe No.</w:t>
      </w:r>
      <w:r w:rsidRPr="00E62927">
        <w:rPr>
          <w:rFonts w:ascii="Univers" w:hAnsi="Univers"/>
          <w:sz w:val="16"/>
          <w:szCs w:val="16"/>
        </w:rPr>
        <w:t xml:space="preserve"> 43/09, Petición 1166-05, Perú, </w:t>
      </w:r>
      <w:r w:rsidRPr="00B3277B">
        <w:rPr>
          <w:rFonts w:ascii="Univers" w:hAnsi="Univers"/>
          <w:i/>
          <w:sz w:val="16"/>
          <w:szCs w:val="16"/>
        </w:rPr>
        <w:t>Jorge Rafael Valdivia Ruiz</w:t>
      </w:r>
      <w:r>
        <w:rPr>
          <w:rFonts w:ascii="Univers" w:hAnsi="Univers"/>
          <w:sz w:val="16"/>
          <w:szCs w:val="16"/>
        </w:rPr>
        <w:t>, 27 de marzo de 2009, pár</w:t>
      </w:r>
      <w:r w:rsidRPr="00E62927">
        <w:rPr>
          <w:rFonts w:ascii="Univers" w:hAnsi="Univers"/>
          <w:sz w:val="16"/>
          <w:szCs w:val="16"/>
        </w:rPr>
        <w:t>r. 38.</w:t>
      </w:r>
    </w:p>
  </w:footnote>
  <w:footnote w:id="7">
    <w:p w:rsidR="00531948" w:rsidRPr="00936D1D" w:rsidRDefault="00531948" w:rsidP="00223B3B">
      <w:pPr>
        <w:pStyle w:val="Textonotapie"/>
        <w:spacing w:after="120"/>
        <w:ind w:firstLine="720"/>
        <w:jc w:val="both"/>
        <w:rPr>
          <w:rFonts w:ascii="Univers" w:hAnsi="Univers"/>
          <w:sz w:val="16"/>
          <w:szCs w:val="16"/>
          <w:lang w:val="es-ES"/>
        </w:rPr>
      </w:pPr>
      <w:r w:rsidRPr="0024071B">
        <w:rPr>
          <w:rStyle w:val="Refdenotaalpie"/>
          <w:rFonts w:ascii="Univers" w:hAnsi="Univers"/>
          <w:sz w:val="16"/>
          <w:szCs w:val="16"/>
        </w:rPr>
        <w:footnoteRef/>
      </w:r>
      <w:r w:rsidRPr="0024071B">
        <w:rPr>
          <w:rFonts w:ascii="Univers" w:hAnsi="Univers"/>
          <w:sz w:val="16"/>
          <w:szCs w:val="16"/>
        </w:rPr>
        <w:t xml:space="preserve"> Véase, Corte I.D.H., </w:t>
      </w:r>
      <w:r w:rsidRPr="0024071B">
        <w:rPr>
          <w:rFonts w:ascii="Univers" w:hAnsi="Univers"/>
          <w:i/>
          <w:sz w:val="16"/>
          <w:szCs w:val="16"/>
        </w:rPr>
        <w:t>Caso</w:t>
      </w:r>
      <w:r w:rsidRPr="0024071B">
        <w:rPr>
          <w:rFonts w:ascii="Univers" w:hAnsi="Univers"/>
          <w:sz w:val="16"/>
          <w:szCs w:val="16"/>
        </w:rPr>
        <w:t xml:space="preserve"> </w:t>
      </w:r>
      <w:r w:rsidRPr="0024071B">
        <w:rPr>
          <w:rFonts w:ascii="Univers" w:hAnsi="Univers"/>
          <w:bCs/>
          <w:i/>
          <w:sz w:val="16"/>
          <w:szCs w:val="16"/>
        </w:rPr>
        <w:t>Acevedo Buendía y otros (“Cesantes y Jubilados de la Contraloría”)</w:t>
      </w:r>
      <w:r w:rsidRPr="0024071B">
        <w:rPr>
          <w:rFonts w:ascii="Univers" w:hAnsi="Univers"/>
          <w:b/>
          <w:bCs/>
          <w:sz w:val="16"/>
          <w:szCs w:val="16"/>
        </w:rPr>
        <w:t xml:space="preserve">. </w:t>
      </w:r>
      <w:r w:rsidRPr="0024071B">
        <w:rPr>
          <w:rFonts w:ascii="Univers" w:hAnsi="Univers"/>
          <w:sz w:val="16"/>
          <w:szCs w:val="16"/>
        </w:rPr>
        <w:t>Sentencia de 1 de julio de 200</w:t>
      </w:r>
      <w:r>
        <w:rPr>
          <w:rFonts w:ascii="Univers" w:hAnsi="Univers"/>
          <w:sz w:val="16"/>
          <w:szCs w:val="16"/>
        </w:rPr>
        <w:t>9. Serie C No. 198, párr. 85; Véase tambié</w:t>
      </w:r>
      <w:r w:rsidRPr="0024071B">
        <w:rPr>
          <w:rFonts w:ascii="Univers" w:hAnsi="Univers"/>
          <w:sz w:val="16"/>
          <w:szCs w:val="16"/>
        </w:rPr>
        <w:t xml:space="preserve">n </w:t>
      </w:r>
      <w:r w:rsidRPr="0024071B">
        <w:rPr>
          <w:rFonts w:ascii="Univers" w:hAnsi="Univers"/>
          <w:sz w:val="16"/>
          <w:szCs w:val="16"/>
          <w:lang w:val="es-ES_tradnl"/>
        </w:rPr>
        <w:t xml:space="preserve">Corte I.D.H., </w:t>
      </w:r>
      <w:r w:rsidRPr="0024071B">
        <w:rPr>
          <w:rFonts w:ascii="Univers" w:hAnsi="Univers"/>
          <w:i/>
          <w:sz w:val="16"/>
          <w:szCs w:val="16"/>
          <w:lang w:val="es-ES_tradnl"/>
        </w:rPr>
        <w:t>Caso “Cinco Pensionistas”.</w:t>
      </w:r>
      <w:r w:rsidRPr="0024071B">
        <w:rPr>
          <w:rFonts w:ascii="Univers" w:hAnsi="Univers"/>
          <w:sz w:val="16"/>
          <w:szCs w:val="16"/>
          <w:lang w:val="es-ES_tradnl"/>
        </w:rPr>
        <w:t xml:space="preserve"> Sentencia de 28</w:t>
      </w:r>
      <w:r>
        <w:rPr>
          <w:rFonts w:ascii="Univers" w:hAnsi="Univers"/>
          <w:sz w:val="16"/>
          <w:szCs w:val="16"/>
          <w:lang w:val="es-ES_tradnl"/>
        </w:rPr>
        <w:t xml:space="preserve"> de febrero de 2003. Serie C Nº 98, pár</w:t>
      </w:r>
      <w:r w:rsidRPr="0024071B">
        <w:rPr>
          <w:rFonts w:ascii="Univers" w:hAnsi="Univers"/>
          <w:sz w:val="16"/>
          <w:szCs w:val="16"/>
          <w:lang w:val="es-ES_tradnl"/>
        </w:rPr>
        <w:t>r. 103.</w:t>
      </w:r>
      <w:r>
        <w:rPr>
          <w:rFonts w:ascii="Univers" w:hAnsi="Univers"/>
          <w:sz w:val="16"/>
          <w:szCs w:val="16"/>
          <w:lang w:val="es-ES_tradnl"/>
        </w:rPr>
        <w:t xml:space="preserve"> </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48" w:rsidRDefault="0053194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7</w:t>
    </w:r>
    <w:r>
      <w:rPr>
        <w:rStyle w:val="Nmerodepgina"/>
      </w:rPr>
      <w:fldChar w:fldCharType="end"/>
    </w:r>
  </w:p>
  <w:p w:rsidR="00531948" w:rsidRDefault="0053194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48" w:rsidRPr="006D0D96" w:rsidRDefault="00531948">
    <w:pPr>
      <w:pStyle w:val="Encabezado"/>
      <w:framePr w:wrap="around" w:vAnchor="text" w:hAnchor="margin" w:xAlign="center" w:y="1"/>
      <w:rPr>
        <w:rStyle w:val="Nmerodepgina"/>
        <w:rFonts w:ascii="Univers" w:hAnsi="Univers"/>
      </w:rPr>
    </w:pPr>
    <w:r w:rsidRPr="006D0D96">
      <w:rPr>
        <w:rStyle w:val="Nmerodepgina"/>
        <w:rFonts w:ascii="Univers" w:hAnsi="Univers"/>
      </w:rPr>
      <w:fldChar w:fldCharType="begin"/>
    </w:r>
    <w:r w:rsidRPr="006D0D96">
      <w:rPr>
        <w:rStyle w:val="Nmerodepgina"/>
        <w:rFonts w:ascii="Univers" w:hAnsi="Univers"/>
      </w:rPr>
      <w:instrText xml:space="preserve">PAGE  </w:instrText>
    </w:r>
    <w:r w:rsidRPr="006D0D96">
      <w:rPr>
        <w:rStyle w:val="Nmerodepgina"/>
        <w:rFonts w:ascii="Univers" w:hAnsi="Univers"/>
      </w:rPr>
      <w:fldChar w:fldCharType="separate"/>
    </w:r>
    <w:r w:rsidR="00A90168">
      <w:rPr>
        <w:rStyle w:val="Nmerodepgina"/>
        <w:rFonts w:ascii="Univers" w:hAnsi="Univers"/>
        <w:noProof/>
      </w:rPr>
      <w:t>6</w:t>
    </w:r>
    <w:r w:rsidRPr="006D0D96">
      <w:rPr>
        <w:rStyle w:val="Nmerodepgina"/>
        <w:rFonts w:ascii="Univers" w:hAnsi="Univers"/>
      </w:rPr>
      <w:fldChar w:fldCharType="end"/>
    </w:r>
  </w:p>
  <w:p w:rsidR="00531948" w:rsidRPr="006D0D96" w:rsidRDefault="00531948">
    <w:pPr>
      <w:pStyle w:val="Encabezado"/>
      <w:rPr>
        <w:rFonts w:ascii="Univers" w:hAnsi="Univers"/>
      </w:rPr>
    </w:pPr>
  </w:p>
  <w:p w:rsidR="00531948" w:rsidRPr="006D0D96" w:rsidRDefault="00531948">
    <w:pPr>
      <w:pStyle w:val="Encabezado"/>
      <w:rPr>
        <w:rFonts w:ascii="Univers" w:hAnsi="Univer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2E01"/>
    <w:multiLevelType w:val="hybridMultilevel"/>
    <w:tmpl w:val="853CB768"/>
    <w:lvl w:ilvl="0" w:tplc="9092D9F4">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5E542DA"/>
    <w:multiLevelType w:val="multilevel"/>
    <w:tmpl w:val="F9665C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BFC6BA1"/>
    <w:multiLevelType w:val="hybridMultilevel"/>
    <w:tmpl w:val="3AF2AFA6"/>
    <w:lvl w:ilvl="0" w:tplc="7F8A412A">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CBA4C27"/>
    <w:multiLevelType w:val="hybridMultilevel"/>
    <w:tmpl w:val="D0F60830"/>
    <w:lvl w:ilvl="0" w:tplc="33362016">
      <w:start w:val="100"/>
      <w:numFmt w:val="decimal"/>
      <w:lvlText w:val="%1."/>
      <w:lvlJc w:val="left"/>
      <w:pPr>
        <w:tabs>
          <w:tab w:val="num" w:pos="1068"/>
        </w:tabs>
        <w:ind w:left="-12" w:firstLine="720"/>
      </w:pPr>
      <w:rPr>
        <w:rFonts w:hint="default"/>
      </w:rPr>
    </w:lvl>
    <w:lvl w:ilvl="1" w:tplc="8E9C991E">
      <w:start w:val="5"/>
      <w:numFmt w:val="decimal"/>
      <w:lvlText w:val="%2."/>
      <w:lvlJc w:val="left"/>
      <w:pPr>
        <w:tabs>
          <w:tab w:val="num" w:pos="1080"/>
        </w:tabs>
        <w:ind w:left="0" w:firstLine="720"/>
      </w:pPr>
      <w:rPr>
        <w:rFonts w:hint="default"/>
        <w:sz w:val="18"/>
        <w:szCs w:val="18"/>
      </w:rPr>
    </w:lvl>
    <w:lvl w:ilvl="2" w:tplc="8E2A64BC">
      <w:start w:val="2"/>
      <w:numFmt w:val="upperLetter"/>
      <w:lvlText w:val="%3."/>
      <w:lvlJc w:val="left"/>
      <w:pPr>
        <w:tabs>
          <w:tab w:val="num" w:pos="3033"/>
        </w:tabs>
        <w:ind w:left="3033" w:hanging="705"/>
      </w:pPr>
      <w:rPr>
        <w:rFonts w:hint="default"/>
      </w:rPr>
    </w:lvl>
    <w:lvl w:ilvl="3" w:tplc="2554775E">
      <w:start w:val="3"/>
      <w:numFmt w:val="lowerLetter"/>
      <w:lvlText w:val="%4."/>
      <w:lvlJc w:val="left"/>
      <w:pPr>
        <w:tabs>
          <w:tab w:val="num" w:pos="3228"/>
        </w:tabs>
        <w:ind w:left="3228" w:hanging="360"/>
      </w:pPr>
      <w:rPr>
        <w:rFonts w:hint="default"/>
      </w:r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
    <w:nsid w:val="20366F6A"/>
    <w:multiLevelType w:val="hybridMultilevel"/>
    <w:tmpl w:val="EF009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D983EE9"/>
    <w:multiLevelType w:val="hybridMultilevel"/>
    <w:tmpl w:val="E1484A74"/>
    <w:lvl w:ilvl="0" w:tplc="81A2C166">
      <w:start w:val="1"/>
      <w:numFmt w:val="decimal"/>
      <w:lvlText w:val="%1."/>
      <w:lvlJc w:val="left"/>
      <w:pPr>
        <w:tabs>
          <w:tab w:val="num" w:pos="720"/>
        </w:tabs>
        <w:ind w:left="0" w:firstLine="720"/>
      </w:pPr>
      <w:rPr>
        <w:rFonts w:ascii="Univers" w:hAnsi="Univers" w:hint="default"/>
        <w:b w:val="0"/>
        <w:i w:val="0"/>
        <w:sz w:val="20"/>
        <w:szCs w:val="20"/>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5C97D0C"/>
    <w:multiLevelType w:val="hybridMultilevel"/>
    <w:tmpl w:val="C234E2F6"/>
    <w:lvl w:ilvl="0" w:tplc="684464BC">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6D81FE4"/>
    <w:multiLevelType w:val="hybridMultilevel"/>
    <w:tmpl w:val="6184A3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B7A3C04"/>
    <w:multiLevelType w:val="hybridMultilevel"/>
    <w:tmpl w:val="E5A8141A"/>
    <w:lvl w:ilvl="0" w:tplc="AF365EC2">
      <w:start w:val="1"/>
      <w:numFmt w:val="decimal"/>
      <w:lvlText w:val="%1."/>
      <w:lvlJc w:val="left"/>
      <w:pPr>
        <w:tabs>
          <w:tab w:val="num" w:pos="-108"/>
        </w:tabs>
        <w:ind w:left="-108" w:firstLine="648"/>
      </w:pPr>
      <w:rPr>
        <w:rFonts w:ascii="Univers" w:hAnsi="Univers" w:hint="default"/>
        <w:b w:val="0"/>
        <w:i w:val="0"/>
        <w:sz w:val="20"/>
        <w:szCs w:val="20"/>
      </w:rPr>
    </w:lvl>
    <w:lvl w:ilvl="1" w:tplc="FFFFFFFF">
      <w:start w:val="51"/>
      <w:numFmt w:val="decimal"/>
      <w:lvlText w:val="%2."/>
      <w:lvlJc w:val="left"/>
      <w:pPr>
        <w:tabs>
          <w:tab w:val="num" w:pos="2250"/>
        </w:tabs>
        <w:ind w:left="2250" w:hanging="1350"/>
      </w:pPr>
      <w:rPr>
        <w:rFonts w:hint="default"/>
      </w:rPr>
    </w:lvl>
    <w:lvl w:ilvl="2" w:tplc="FFFFFFFF">
      <w:start w:val="119"/>
      <w:numFmt w:val="decimal"/>
      <w:lvlText w:val="%3"/>
      <w:lvlJc w:val="left"/>
      <w:pPr>
        <w:tabs>
          <w:tab w:val="num" w:pos="3240"/>
        </w:tabs>
        <w:ind w:left="3240" w:hanging="1440"/>
      </w:pPr>
      <w:rPr>
        <w:rFonts w:hint="default"/>
      </w:r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0">
    <w:nsid w:val="50340FCA"/>
    <w:multiLevelType w:val="hybridMultilevel"/>
    <w:tmpl w:val="969443EA"/>
    <w:lvl w:ilvl="0" w:tplc="E7400CD6">
      <w:start w:val="1"/>
      <w:numFmt w:val="decimal"/>
      <w:lvlText w:val="%1."/>
      <w:lvlJc w:val="left"/>
      <w:pPr>
        <w:tabs>
          <w:tab w:val="num" w:pos="2070"/>
        </w:tabs>
        <w:ind w:left="2070" w:hanging="630"/>
      </w:pPr>
      <w:rPr>
        <w:rFonts w:ascii="Univers" w:hAnsi="Univer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61234B8"/>
    <w:multiLevelType w:val="hybridMultilevel"/>
    <w:tmpl w:val="283AC446"/>
    <w:lvl w:ilvl="0" w:tplc="DE40FAC0">
      <w:start w:val="1"/>
      <w:numFmt w:val="decimal"/>
      <w:lvlText w:val="%1."/>
      <w:lvlJc w:val="left"/>
      <w:pPr>
        <w:tabs>
          <w:tab w:val="num" w:pos="2700"/>
        </w:tabs>
        <w:ind w:left="270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DDA2D98"/>
    <w:multiLevelType w:val="hybridMultilevel"/>
    <w:tmpl w:val="BB2055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F17303C"/>
    <w:multiLevelType w:val="hybridMultilevel"/>
    <w:tmpl w:val="3D72B042"/>
    <w:lvl w:ilvl="0" w:tplc="42869A92">
      <w:start w:val="1"/>
      <w:numFmt w:val="upperRoman"/>
      <w:lvlText w:val="%1."/>
      <w:lvlJc w:val="left"/>
      <w:pPr>
        <w:tabs>
          <w:tab w:val="num" w:pos="1620"/>
        </w:tabs>
        <w:ind w:left="1620" w:hanging="720"/>
      </w:pPr>
      <w:rPr>
        <w:rFonts w:ascii="Univers" w:hAnsi="Univers" w:hint="default"/>
        <w:sz w:val="20"/>
        <w:szCs w:val="20"/>
      </w:rPr>
    </w:lvl>
    <w:lvl w:ilvl="1" w:tplc="7D44F636">
      <w:start w:val="1"/>
      <w:numFmt w:val="decimal"/>
      <w:lvlText w:val="%2."/>
      <w:lvlJc w:val="left"/>
      <w:pPr>
        <w:tabs>
          <w:tab w:val="num" w:pos="2070"/>
        </w:tabs>
        <w:ind w:left="2070" w:hanging="630"/>
      </w:pPr>
      <w:rPr>
        <w:rFonts w:ascii="Verdana" w:eastAsia="MS Mincho" w:hAnsi="Verdana" w:cs="Times New Roman"/>
        <w:b w:val="0"/>
        <w:sz w:val="20"/>
      </w:rPr>
    </w:lvl>
    <w:lvl w:ilvl="2" w:tplc="0FB26082">
      <w:start w:val="1"/>
      <w:numFmt w:val="upperLetter"/>
      <w:lvlText w:val="%3."/>
      <w:lvlJc w:val="left"/>
      <w:pPr>
        <w:tabs>
          <w:tab w:val="num" w:pos="2985"/>
        </w:tabs>
        <w:ind w:left="2985" w:hanging="645"/>
      </w:pPr>
      <w:rPr>
        <w:rFonts w:ascii="Univers" w:hAnsi="Univers" w:hint="default"/>
        <w:sz w:val="20"/>
        <w:szCs w:val="20"/>
      </w:rPr>
    </w:lvl>
    <w:lvl w:ilvl="3" w:tplc="8AB856F2">
      <w:start w:val="1"/>
      <w:numFmt w:val="decimal"/>
      <w:lvlText w:val="%4."/>
      <w:lvlJc w:val="left"/>
      <w:pPr>
        <w:tabs>
          <w:tab w:val="num" w:pos="3510"/>
        </w:tabs>
        <w:ind w:left="3510" w:hanging="630"/>
      </w:pPr>
      <w:rPr>
        <w:rFonts w:ascii="Univers" w:hAnsi="Univers" w:hint="default"/>
        <w:b/>
        <w:sz w:val="2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DEE24E2"/>
    <w:multiLevelType w:val="hybridMultilevel"/>
    <w:tmpl w:val="19C280AC"/>
    <w:lvl w:ilvl="0" w:tplc="1A88147A">
      <w:start w:val="2"/>
      <w:numFmt w:val="upperLetter"/>
      <w:lvlText w:val="%1."/>
      <w:lvlJc w:val="left"/>
      <w:pPr>
        <w:tabs>
          <w:tab w:val="num" w:pos="1365"/>
        </w:tabs>
        <w:ind w:left="1365" w:hanging="645"/>
      </w:pPr>
      <w:rPr>
        <w:rFonts w:hint="default"/>
      </w:rPr>
    </w:lvl>
    <w:lvl w:ilvl="1" w:tplc="7EE80C66">
      <w:start w:val="1"/>
      <w:numFmt w:val="decimal"/>
      <w:lvlText w:val="%2."/>
      <w:lvlJc w:val="left"/>
      <w:pPr>
        <w:tabs>
          <w:tab w:val="num" w:pos="2070"/>
        </w:tabs>
        <w:ind w:left="2070" w:hanging="630"/>
      </w:pPr>
      <w:rPr>
        <w:rFonts w:ascii="Verdana" w:hAnsi="Verdana" w:hint="default"/>
        <w:b/>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2A57CDC"/>
    <w:multiLevelType w:val="hybridMultilevel"/>
    <w:tmpl w:val="CF76A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793109B"/>
    <w:multiLevelType w:val="hybridMultilevel"/>
    <w:tmpl w:val="98C08F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EDF75DF"/>
    <w:multiLevelType w:val="hybridMultilevel"/>
    <w:tmpl w:val="5CA21A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4"/>
  </w:num>
  <w:num w:numId="3">
    <w:abstractNumId w:val="10"/>
  </w:num>
  <w:num w:numId="4">
    <w:abstractNumId w:val="12"/>
  </w:num>
  <w:num w:numId="5">
    <w:abstractNumId w:val="11"/>
  </w:num>
  <w:num w:numId="6">
    <w:abstractNumId w:val="0"/>
  </w:num>
  <w:num w:numId="7">
    <w:abstractNumId w:val="15"/>
  </w:num>
  <w:num w:numId="8">
    <w:abstractNumId w:val="4"/>
  </w:num>
  <w:num w:numId="9">
    <w:abstractNumId w:val="17"/>
  </w:num>
  <w:num w:numId="10">
    <w:abstractNumId w:val="16"/>
  </w:num>
  <w:num w:numId="11">
    <w:abstractNumId w:val="7"/>
  </w:num>
  <w:num w:numId="12">
    <w:abstractNumId w:val="1"/>
  </w:num>
  <w:num w:numId="13">
    <w:abstractNumId w:val="9"/>
  </w:num>
  <w:num w:numId="14">
    <w:abstractNumId w:val="3"/>
  </w:num>
  <w:num w:numId="15">
    <w:abstractNumId w:val="5"/>
  </w:num>
  <w:num w:numId="16">
    <w:abstractNumId w:val="6"/>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5C9"/>
    <w:rsid w:val="00011147"/>
    <w:rsid w:val="000239D3"/>
    <w:rsid w:val="00033432"/>
    <w:rsid w:val="00050710"/>
    <w:rsid w:val="00057099"/>
    <w:rsid w:val="00070D55"/>
    <w:rsid w:val="00073F7A"/>
    <w:rsid w:val="00091C32"/>
    <w:rsid w:val="0009386A"/>
    <w:rsid w:val="000A5C80"/>
    <w:rsid w:val="000B2BD5"/>
    <w:rsid w:val="000D40F8"/>
    <w:rsid w:val="000D422F"/>
    <w:rsid w:val="000E6458"/>
    <w:rsid w:val="000F13D5"/>
    <w:rsid w:val="00102D20"/>
    <w:rsid w:val="0014109E"/>
    <w:rsid w:val="00145CA5"/>
    <w:rsid w:val="0015791A"/>
    <w:rsid w:val="00157C06"/>
    <w:rsid w:val="00160441"/>
    <w:rsid w:val="001617B9"/>
    <w:rsid w:val="00194640"/>
    <w:rsid w:val="001A0F60"/>
    <w:rsid w:val="001A1547"/>
    <w:rsid w:val="001B34B9"/>
    <w:rsid w:val="001C339A"/>
    <w:rsid w:val="001D0D9F"/>
    <w:rsid w:val="001E3CDE"/>
    <w:rsid w:val="00223B3B"/>
    <w:rsid w:val="002355A8"/>
    <w:rsid w:val="0024071B"/>
    <w:rsid w:val="00245D71"/>
    <w:rsid w:val="00246013"/>
    <w:rsid w:val="0024662E"/>
    <w:rsid w:val="00251282"/>
    <w:rsid w:val="00257653"/>
    <w:rsid w:val="00272C12"/>
    <w:rsid w:val="00281498"/>
    <w:rsid w:val="002863C5"/>
    <w:rsid w:val="00290757"/>
    <w:rsid w:val="002A3F01"/>
    <w:rsid w:val="002B6AA9"/>
    <w:rsid w:val="00301AF9"/>
    <w:rsid w:val="003051F0"/>
    <w:rsid w:val="00331D11"/>
    <w:rsid w:val="00331FA7"/>
    <w:rsid w:val="00355267"/>
    <w:rsid w:val="003579D8"/>
    <w:rsid w:val="00361040"/>
    <w:rsid w:val="00361C24"/>
    <w:rsid w:val="0036538B"/>
    <w:rsid w:val="00365C4A"/>
    <w:rsid w:val="00385FAB"/>
    <w:rsid w:val="003A7599"/>
    <w:rsid w:val="003A7FDF"/>
    <w:rsid w:val="003C1E46"/>
    <w:rsid w:val="003C6568"/>
    <w:rsid w:val="003E5B55"/>
    <w:rsid w:val="003F1235"/>
    <w:rsid w:val="003F63CE"/>
    <w:rsid w:val="00415FBD"/>
    <w:rsid w:val="00426702"/>
    <w:rsid w:val="00433FB5"/>
    <w:rsid w:val="00441A17"/>
    <w:rsid w:val="00456D89"/>
    <w:rsid w:val="004609FE"/>
    <w:rsid w:val="00471A9C"/>
    <w:rsid w:val="004849F9"/>
    <w:rsid w:val="00485B48"/>
    <w:rsid w:val="004868D9"/>
    <w:rsid w:val="004A4878"/>
    <w:rsid w:val="004C3ECD"/>
    <w:rsid w:val="004D42AD"/>
    <w:rsid w:val="004F144D"/>
    <w:rsid w:val="0050247E"/>
    <w:rsid w:val="0050579F"/>
    <w:rsid w:val="005269A6"/>
    <w:rsid w:val="00531506"/>
    <w:rsid w:val="00531948"/>
    <w:rsid w:val="00544145"/>
    <w:rsid w:val="00556F0D"/>
    <w:rsid w:val="00583C91"/>
    <w:rsid w:val="005A24D0"/>
    <w:rsid w:val="005D0F3A"/>
    <w:rsid w:val="005D63C6"/>
    <w:rsid w:val="005E0026"/>
    <w:rsid w:val="0060180A"/>
    <w:rsid w:val="0062700D"/>
    <w:rsid w:val="00627C6B"/>
    <w:rsid w:val="00635B6E"/>
    <w:rsid w:val="00636B14"/>
    <w:rsid w:val="006510B6"/>
    <w:rsid w:val="006658BA"/>
    <w:rsid w:val="00683418"/>
    <w:rsid w:val="00695DD7"/>
    <w:rsid w:val="006A10E0"/>
    <w:rsid w:val="006C662E"/>
    <w:rsid w:val="006D0640"/>
    <w:rsid w:val="006D4A02"/>
    <w:rsid w:val="006D70A2"/>
    <w:rsid w:val="006E1D11"/>
    <w:rsid w:val="006F0552"/>
    <w:rsid w:val="006F5569"/>
    <w:rsid w:val="0070376B"/>
    <w:rsid w:val="00764417"/>
    <w:rsid w:val="007A2403"/>
    <w:rsid w:val="007B5F8A"/>
    <w:rsid w:val="007C4672"/>
    <w:rsid w:val="007E0270"/>
    <w:rsid w:val="007F798E"/>
    <w:rsid w:val="00801EAC"/>
    <w:rsid w:val="0080323F"/>
    <w:rsid w:val="008041D8"/>
    <w:rsid w:val="00816D7E"/>
    <w:rsid w:val="0082462B"/>
    <w:rsid w:val="00833970"/>
    <w:rsid w:val="00841CE5"/>
    <w:rsid w:val="00850DCC"/>
    <w:rsid w:val="00857349"/>
    <w:rsid w:val="00862FAF"/>
    <w:rsid w:val="00877D4C"/>
    <w:rsid w:val="00884985"/>
    <w:rsid w:val="008B16BF"/>
    <w:rsid w:val="008C468A"/>
    <w:rsid w:val="008C7D34"/>
    <w:rsid w:val="008E5A31"/>
    <w:rsid w:val="008E6DA6"/>
    <w:rsid w:val="00902497"/>
    <w:rsid w:val="00936D1D"/>
    <w:rsid w:val="00967D5D"/>
    <w:rsid w:val="009958CE"/>
    <w:rsid w:val="009A327F"/>
    <w:rsid w:val="009B2A21"/>
    <w:rsid w:val="009C1851"/>
    <w:rsid w:val="009C3351"/>
    <w:rsid w:val="009C7C7A"/>
    <w:rsid w:val="009E6BA5"/>
    <w:rsid w:val="00A100F4"/>
    <w:rsid w:val="00A14117"/>
    <w:rsid w:val="00A21D40"/>
    <w:rsid w:val="00A37162"/>
    <w:rsid w:val="00A44F7C"/>
    <w:rsid w:val="00A66935"/>
    <w:rsid w:val="00A703AC"/>
    <w:rsid w:val="00A90168"/>
    <w:rsid w:val="00A9727F"/>
    <w:rsid w:val="00AE42A5"/>
    <w:rsid w:val="00B05070"/>
    <w:rsid w:val="00B10B77"/>
    <w:rsid w:val="00B3277B"/>
    <w:rsid w:val="00B32D14"/>
    <w:rsid w:val="00B33E9A"/>
    <w:rsid w:val="00B545BB"/>
    <w:rsid w:val="00B5698A"/>
    <w:rsid w:val="00B77DB5"/>
    <w:rsid w:val="00B845D5"/>
    <w:rsid w:val="00B8674D"/>
    <w:rsid w:val="00BD3B91"/>
    <w:rsid w:val="00BE3B76"/>
    <w:rsid w:val="00BE7021"/>
    <w:rsid w:val="00BF4D1B"/>
    <w:rsid w:val="00BF78E0"/>
    <w:rsid w:val="00C04DED"/>
    <w:rsid w:val="00C062ED"/>
    <w:rsid w:val="00C104B6"/>
    <w:rsid w:val="00C15D60"/>
    <w:rsid w:val="00C164DB"/>
    <w:rsid w:val="00C20EC7"/>
    <w:rsid w:val="00C337C6"/>
    <w:rsid w:val="00C34B76"/>
    <w:rsid w:val="00C438A6"/>
    <w:rsid w:val="00C50793"/>
    <w:rsid w:val="00C53087"/>
    <w:rsid w:val="00C6062F"/>
    <w:rsid w:val="00C8017A"/>
    <w:rsid w:val="00CA4699"/>
    <w:rsid w:val="00CB59A2"/>
    <w:rsid w:val="00CC35DC"/>
    <w:rsid w:val="00CE7BDA"/>
    <w:rsid w:val="00CF0A34"/>
    <w:rsid w:val="00CF0DDA"/>
    <w:rsid w:val="00D1713E"/>
    <w:rsid w:val="00D30898"/>
    <w:rsid w:val="00D750D0"/>
    <w:rsid w:val="00D812E6"/>
    <w:rsid w:val="00D8323A"/>
    <w:rsid w:val="00DA0F0D"/>
    <w:rsid w:val="00DB14AF"/>
    <w:rsid w:val="00DB4CED"/>
    <w:rsid w:val="00DB52D5"/>
    <w:rsid w:val="00DB55A0"/>
    <w:rsid w:val="00DD1710"/>
    <w:rsid w:val="00DD478A"/>
    <w:rsid w:val="00DD4E21"/>
    <w:rsid w:val="00DD6BC3"/>
    <w:rsid w:val="00DF1581"/>
    <w:rsid w:val="00DF684F"/>
    <w:rsid w:val="00E00E79"/>
    <w:rsid w:val="00E464EA"/>
    <w:rsid w:val="00E47E7C"/>
    <w:rsid w:val="00E7082F"/>
    <w:rsid w:val="00E80F68"/>
    <w:rsid w:val="00E8148A"/>
    <w:rsid w:val="00E84F88"/>
    <w:rsid w:val="00E96DAE"/>
    <w:rsid w:val="00EB581C"/>
    <w:rsid w:val="00EB69C1"/>
    <w:rsid w:val="00EC2BED"/>
    <w:rsid w:val="00ED5CE0"/>
    <w:rsid w:val="00EF0806"/>
    <w:rsid w:val="00EF7195"/>
    <w:rsid w:val="00F07254"/>
    <w:rsid w:val="00F21CAA"/>
    <w:rsid w:val="00F3141E"/>
    <w:rsid w:val="00F339D3"/>
    <w:rsid w:val="00F35E1C"/>
    <w:rsid w:val="00F450F9"/>
    <w:rsid w:val="00F6337C"/>
    <w:rsid w:val="00F6582E"/>
    <w:rsid w:val="00F65AAF"/>
    <w:rsid w:val="00F815BC"/>
    <w:rsid w:val="00FB1ED8"/>
    <w:rsid w:val="00FB3163"/>
    <w:rsid w:val="00FB38FE"/>
    <w:rsid w:val="00FC0337"/>
    <w:rsid w:val="00FD38D3"/>
    <w:rsid w:val="00FE4C55"/>
    <w:rsid w:val="00FF73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MS Mincho" w:hAnsi="Verdana"/>
      <w:lang w:eastAsia="en-US"/>
    </w:rPr>
  </w:style>
  <w:style w:type="paragraph" w:styleId="Ttulo1">
    <w:name w:val="heading 1"/>
    <w:basedOn w:val="Normal"/>
    <w:next w:val="Normal"/>
    <w:link w:val="Ttulo1Car"/>
    <w:qFormat/>
    <w:rsid w:val="006C662E"/>
    <w:pPr>
      <w:keepNext/>
      <w:spacing w:before="240" w:after="60"/>
      <w:outlineLvl w:val="0"/>
    </w:pPr>
    <w:rPr>
      <w:rFonts w:ascii="Cambria" w:eastAsia="Times New Roman" w:hAnsi="Cambria"/>
      <w:b/>
      <w:bCs/>
      <w:kern w:val="32"/>
      <w:sz w:val="32"/>
      <w:szCs w:val="32"/>
    </w:rPr>
  </w:style>
  <w:style w:type="paragraph" w:styleId="Ttulo2">
    <w:name w:val="heading 2"/>
    <w:aliases w:val="Heading 2 Char"/>
    <w:basedOn w:val="Normal"/>
    <w:link w:val="Ttulo2Car"/>
    <w:qFormat/>
    <w:pPr>
      <w:keepNext/>
      <w:tabs>
        <w:tab w:val="num" w:pos="1440"/>
      </w:tabs>
      <w:ind w:left="1440" w:hanging="720"/>
      <w:jc w:val="both"/>
      <w:outlineLvl w:val="1"/>
    </w:pPr>
    <w:rPr>
      <w:rFonts w:ascii="Univers" w:hAnsi="Univers"/>
      <w:b/>
      <w:bCs/>
      <w:sz w:val="22"/>
      <w:szCs w:val="22"/>
      <w:lang w:val="en-US"/>
    </w:rPr>
  </w:style>
  <w:style w:type="paragraph" w:styleId="Ttulo6">
    <w:name w:val="heading 6"/>
    <w:basedOn w:val="Normal"/>
    <w:next w:val="Normal"/>
    <w:qFormat/>
    <w:rsid w:val="00DB52D5"/>
    <w:pPr>
      <w:spacing w:before="240" w:after="60"/>
      <w:outlineLvl w:val="5"/>
    </w:pPr>
    <w:rPr>
      <w:rFonts w:ascii="Times New Roman" w:hAnsi="Times New Roman"/>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2Car">
    <w:name w:val="Título 2 Car"/>
    <w:aliases w:val="Heading 2 Char Car"/>
    <w:link w:val="Ttulo2"/>
    <w:rPr>
      <w:rFonts w:ascii="Univers" w:eastAsia="MS Mincho" w:hAnsi="Univers"/>
      <w:b/>
      <w:bCs/>
      <w:sz w:val="22"/>
      <w:szCs w:val="22"/>
      <w:lang w:val="en-US" w:eastAsia="en-US" w:bidi="ar-SA"/>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
    <w:basedOn w:val="Normal"/>
    <w:link w:val="TextonotapieCar1"/>
    <w:semiHidden/>
    <w:rPr>
      <w:rFonts w:ascii="Times New Roman" w:hAnsi="Times New Roman"/>
    </w:rPr>
  </w:style>
  <w:style w:type="character" w:styleId="Refdenotaalpie">
    <w:name w:val="footnote reference"/>
    <w:aliases w:val="Footnotes refss"/>
    <w:semiHidden/>
    <w:rPr>
      <w:vertAlign w:val="superscript"/>
    </w:rPr>
  </w:style>
  <w:style w:type="character" w:styleId="nfasis">
    <w:name w:val="Emphasis"/>
    <w:qFormat/>
    <w:rPr>
      <w:i/>
    </w:rPr>
  </w:style>
  <w:style w:type="paragraph" w:styleId="Textoindependiente">
    <w:name w:val="Body Text"/>
    <w:basedOn w:val="Normal"/>
    <w:pPr>
      <w:spacing w:before="100" w:beforeAutospacing="1" w:after="100" w:afterAutospacing="1"/>
    </w:pPr>
    <w:rPr>
      <w:rFonts w:ascii="Arial Unicode MS" w:eastAsia="Arial Unicode MS" w:hAnsi="Arial Unicode MS" w:cs="Arial Unicode MS"/>
      <w:sz w:val="24"/>
      <w:szCs w:val="24"/>
      <w:lang w:val="en-US"/>
    </w:rPr>
  </w:style>
  <w:style w:type="paragraph" w:styleId="Sangradetextonormal">
    <w:name w:val="Body Text Indent"/>
    <w:basedOn w:val="Normal"/>
    <w:pPr>
      <w:spacing w:after="120"/>
      <w:ind w:left="360"/>
    </w:pPr>
  </w:style>
  <w:style w:type="paragraph" w:styleId="Sangra2detindependiente">
    <w:name w:val="Body Text Indent 2"/>
    <w:basedOn w:val="Normal"/>
    <w:pPr>
      <w:spacing w:after="120" w:line="480" w:lineRule="auto"/>
      <w:ind w:left="360"/>
    </w:p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320"/>
        <w:tab w:val="right" w:pos="8640"/>
      </w:tabs>
    </w:p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44BFE"/>
    <w:pPr>
      <w:spacing w:before="100" w:beforeAutospacing="1" w:after="100" w:afterAutospacing="1"/>
    </w:pPr>
    <w:rPr>
      <w:rFonts w:ascii="Times New Roman" w:eastAsia="Times New Roman" w:hAnsi="Times New Roman"/>
      <w:sz w:val="24"/>
      <w:szCs w:val="24"/>
      <w:lang w:val="en-US"/>
    </w:rPr>
  </w:style>
  <w:style w:type="paragraph" w:styleId="Sangra3detindependiente">
    <w:name w:val="Body Text Indent 3"/>
    <w:basedOn w:val="Normal"/>
    <w:rsid w:val="009C6A98"/>
    <w:pPr>
      <w:spacing w:after="120"/>
      <w:ind w:left="360"/>
    </w:pPr>
    <w:rPr>
      <w:rFonts w:ascii="Times New Roman" w:hAnsi="Times New Roman"/>
      <w:sz w:val="16"/>
      <w:szCs w:val="16"/>
      <w:lang w:val="en-US"/>
    </w:rPr>
  </w:style>
  <w:style w:type="paragraph" w:styleId="Textonotaalfinal">
    <w:name w:val="endnote text"/>
    <w:basedOn w:val="Normal"/>
    <w:link w:val="TextonotaalfinalCar"/>
    <w:semiHidden/>
    <w:rsid w:val="00293A4F"/>
    <w:pPr>
      <w:jc w:val="both"/>
    </w:pPr>
    <w:rPr>
      <w:rFonts w:ascii="Univers" w:hAnsi="Univers"/>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locked/>
    <w:rsid w:val="007A0A7A"/>
    <w:rPr>
      <w:rFonts w:eastAsia="MS Mincho"/>
      <w:lang w:val="es-AR" w:eastAsia="en-US" w:bidi="ar-SA"/>
    </w:rPr>
  </w:style>
  <w:style w:type="paragraph" w:styleId="Ttulo">
    <w:name w:val="Title"/>
    <w:basedOn w:val="Normal"/>
    <w:qFormat/>
    <w:rsid w:val="00DB52D5"/>
    <w:pPr>
      <w:spacing w:before="100" w:beforeAutospacing="1" w:after="100" w:afterAutospacing="1"/>
    </w:pPr>
    <w:rPr>
      <w:rFonts w:ascii="Times New Roman" w:hAnsi="Times New Roman"/>
      <w:sz w:val="24"/>
      <w:szCs w:val="24"/>
      <w:lang w:val="en-US"/>
    </w:rPr>
  </w:style>
  <w:style w:type="paragraph" w:customStyle="1" w:styleId="ListParagraph">
    <w:name w:val="List Paragraph"/>
    <w:basedOn w:val="Normal"/>
    <w:uiPriority w:val="34"/>
    <w:qFormat/>
    <w:rsid w:val="00471A9C"/>
    <w:pPr>
      <w:ind w:left="708"/>
    </w:pPr>
  </w:style>
  <w:style w:type="character" w:customStyle="1" w:styleId="Ttulo1Car">
    <w:name w:val="Título 1 Car"/>
    <w:link w:val="Ttulo1"/>
    <w:rsid w:val="006C662E"/>
    <w:rPr>
      <w:rFonts w:ascii="Cambria" w:eastAsia="Times New Roman" w:hAnsi="Cambria" w:cs="Times New Roman"/>
      <w:b/>
      <w:bCs/>
      <w:kern w:val="32"/>
      <w:sz w:val="32"/>
      <w:szCs w:val="32"/>
      <w:lang w:eastAsia="en-US"/>
    </w:rPr>
  </w:style>
  <w:style w:type="character" w:customStyle="1" w:styleId="TextonotaalfinalCar">
    <w:name w:val="Texto nota al final Car"/>
    <w:link w:val="Textonotaalfinal"/>
    <w:semiHidden/>
    <w:rsid w:val="006C662E"/>
    <w:rPr>
      <w:rFonts w:ascii="Univers" w:eastAsia="MS Mincho" w:hAnsi="Univers"/>
      <w:lang w:val="es-ES_tradnl" w:eastAsia="en-US"/>
    </w:rPr>
  </w:style>
  <w:style w:type="character" w:styleId="Refdecomentario">
    <w:name w:val="annotation reference"/>
    <w:rsid w:val="00355267"/>
    <w:rPr>
      <w:sz w:val="16"/>
      <w:szCs w:val="16"/>
    </w:rPr>
  </w:style>
  <w:style w:type="paragraph" w:styleId="Textocomentario">
    <w:name w:val="annotation text"/>
    <w:basedOn w:val="Normal"/>
    <w:link w:val="TextocomentarioCar"/>
    <w:rsid w:val="00355267"/>
  </w:style>
  <w:style w:type="character" w:customStyle="1" w:styleId="TextocomentarioCar">
    <w:name w:val="Texto comentario Car"/>
    <w:link w:val="Textocomentario"/>
    <w:rsid w:val="00355267"/>
    <w:rPr>
      <w:rFonts w:ascii="Verdana" w:eastAsia="MS Mincho" w:hAnsi="Verdana"/>
      <w:lang w:eastAsia="en-US"/>
    </w:rPr>
  </w:style>
  <w:style w:type="paragraph" w:styleId="Asuntodelcomentario">
    <w:name w:val="annotation subject"/>
    <w:basedOn w:val="Textocomentario"/>
    <w:next w:val="Textocomentario"/>
    <w:link w:val="AsuntodelcomentarioCar"/>
    <w:rsid w:val="00355267"/>
    <w:rPr>
      <w:b/>
      <w:bCs/>
    </w:rPr>
  </w:style>
  <w:style w:type="character" w:customStyle="1" w:styleId="AsuntodelcomentarioCar">
    <w:name w:val="Asunto del comentario Car"/>
    <w:link w:val="Asuntodelcomentario"/>
    <w:rsid w:val="00355267"/>
    <w:rPr>
      <w:rFonts w:ascii="Verdana" w:eastAsia="MS Mincho" w:hAnsi="Verdana"/>
      <w:b/>
      <w:bCs/>
      <w:lang w:eastAsia="en-US"/>
    </w:rPr>
  </w:style>
  <w:style w:type="character" w:customStyle="1" w:styleId="footnotecharacters">
    <w:name w:val="footnotecharacters"/>
    <w:rsid w:val="00F35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3179</Words>
  <Characters>17488</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106/10</vt:lpstr>
      <vt:lpstr>Informe No. 106/10</vt:lpstr>
    </vt:vector>
  </TitlesOfParts>
  <Company>Organization of American States</Company>
  <LinksUpToDate>false</LinksUpToDate>
  <CharactersWithSpaces>20626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106/10</dc:title>
  <dc:creator>cla</dc:creator>
  <cp:lastModifiedBy>Usuario Autorizado</cp:lastModifiedBy>
  <cp:revision>3</cp:revision>
  <cp:lastPrinted>2018-01-31T17:54:00Z</cp:lastPrinted>
  <dcterms:created xsi:type="dcterms:W3CDTF">2018-01-31T17:54:00Z</dcterms:created>
  <dcterms:modified xsi:type="dcterms:W3CDTF">2018-01-31T17:54:00Z</dcterms:modified>
</cp:coreProperties>
</file>