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4F4" w:rsidRPr="007B2915" w:rsidRDefault="00BA14F4" w:rsidP="00BA14F4">
      <w:pPr>
        <w:pStyle w:val="Ttulo"/>
        <w:ind w:firstLine="567"/>
        <w:rPr>
          <w:rFonts w:ascii="Cambria" w:hAnsi="Cambria"/>
          <w:sz w:val="18"/>
          <w:szCs w:val="18"/>
        </w:rPr>
      </w:pPr>
      <w:r w:rsidRPr="007B2915">
        <w:rPr>
          <w:rFonts w:ascii="Cambria" w:hAnsi="Cambria"/>
          <w:sz w:val="18"/>
          <w:szCs w:val="18"/>
        </w:rPr>
        <w:t xml:space="preserve">INFORME No. </w:t>
      </w:r>
      <w:r w:rsidR="007B2915" w:rsidRPr="007B2915">
        <w:rPr>
          <w:rFonts w:ascii="Cambria" w:hAnsi="Cambria"/>
          <w:sz w:val="18"/>
          <w:szCs w:val="18"/>
        </w:rPr>
        <w:t>3</w:t>
      </w:r>
      <w:r w:rsidR="004802B1" w:rsidRPr="007B2915">
        <w:rPr>
          <w:rFonts w:ascii="Cambria" w:hAnsi="Cambria"/>
          <w:sz w:val="18"/>
          <w:szCs w:val="18"/>
        </w:rPr>
        <w:t>/17</w:t>
      </w:r>
      <w:r w:rsidR="00E1382B" w:rsidRPr="007B2915">
        <w:rPr>
          <w:rStyle w:val="Refdenotaalpie"/>
        </w:rPr>
        <w:footnoteReference w:id="2"/>
      </w:r>
    </w:p>
    <w:p w:rsidR="00BA14F4" w:rsidRPr="007B2915" w:rsidRDefault="00BA14F4" w:rsidP="00BA14F4">
      <w:pPr>
        <w:ind w:firstLine="567"/>
        <w:jc w:val="center"/>
        <w:rPr>
          <w:rFonts w:ascii="Cambria" w:hAnsi="Cambria"/>
          <w:b/>
          <w:bCs/>
          <w:sz w:val="18"/>
          <w:szCs w:val="18"/>
          <w:lang w:val="es-AR"/>
        </w:rPr>
      </w:pPr>
      <w:r w:rsidRPr="007B2915">
        <w:rPr>
          <w:rFonts w:ascii="Cambria" w:hAnsi="Cambria"/>
          <w:b/>
          <w:bCs/>
          <w:sz w:val="18"/>
          <w:szCs w:val="18"/>
          <w:lang w:val="es-AR"/>
        </w:rPr>
        <w:t>CASO 12.772</w:t>
      </w:r>
    </w:p>
    <w:p w:rsidR="00BA14F4" w:rsidRPr="007B2915" w:rsidRDefault="00BA14F4" w:rsidP="00BA14F4">
      <w:pPr>
        <w:ind w:firstLine="567"/>
        <w:jc w:val="center"/>
        <w:rPr>
          <w:rFonts w:ascii="Cambria" w:hAnsi="Cambria" w:cs="Arial"/>
          <w:bCs/>
          <w:sz w:val="18"/>
          <w:szCs w:val="18"/>
          <w:lang w:val="es-AR"/>
        </w:rPr>
      </w:pPr>
      <w:r w:rsidRPr="007B2915">
        <w:rPr>
          <w:rFonts w:ascii="Cambria" w:hAnsi="Cambria" w:cs="Arial"/>
          <w:bCs/>
          <w:sz w:val="18"/>
          <w:szCs w:val="18"/>
          <w:lang w:val="es-AR"/>
        </w:rPr>
        <w:t>FONDO</w:t>
      </w:r>
    </w:p>
    <w:p w:rsidR="00BA14F4" w:rsidRPr="007B2915" w:rsidRDefault="00BA14F4" w:rsidP="00BA14F4">
      <w:pPr>
        <w:ind w:firstLine="567"/>
        <w:jc w:val="center"/>
        <w:rPr>
          <w:rFonts w:ascii="Cambria" w:hAnsi="Cambria" w:cs="Arial"/>
          <w:bCs/>
          <w:sz w:val="18"/>
          <w:szCs w:val="18"/>
          <w:lang w:val="es-AR"/>
        </w:rPr>
      </w:pPr>
      <w:r w:rsidRPr="007B2915">
        <w:rPr>
          <w:rFonts w:ascii="Cambria" w:hAnsi="Cambria" w:cs="Arial"/>
          <w:bCs/>
          <w:sz w:val="18"/>
          <w:szCs w:val="18"/>
          <w:lang w:val="es-AR"/>
        </w:rPr>
        <w:t>OSCAR MUELLE FLORES</w:t>
      </w:r>
    </w:p>
    <w:p w:rsidR="00BA14F4" w:rsidRPr="007B2915" w:rsidRDefault="00BA14F4" w:rsidP="00BA14F4">
      <w:pPr>
        <w:ind w:firstLine="567"/>
        <w:jc w:val="center"/>
        <w:rPr>
          <w:rFonts w:ascii="Cambria" w:hAnsi="Cambria" w:cs="Arial"/>
          <w:bCs/>
          <w:sz w:val="18"/>
          <w:szCs w:val="18"/>
          <w:lang w:val="es-AR"/>
        </w:rPr>
      </w:pPr>
      <w:r w:rsidRPr="007B2915">
        <w:rPr>
          <w:rFonts w:ascii="Cambria" w:hAnsi="Cambria" w:cs="Arial"/>
          <w:bCs/>
          <w:sz w:val="18"/>
          <w:szCs w:val="18"/>
          <w:lang w:val="es-AR"/>
        </w:rPr>
        <w:t>PERÚ</w:t>
      </w:r>
    </w:p>
    <w:p w:rsidR="00BA14F4" w:rsidRPr="007B2915" w:rsidRDefault="007B2915" w:rsidP="00BA14F4">
      <w:pPr>
        <w:ind w:firstLine="567"/>
        <w:jc w:val="center"/>
        <w:rPr>
          <w:rFonts w:ascii="Cambria" w:hAnsi="Cambria" w:cs="Arial"/>
          <w:bCs/>
          <w:sz w:val="18"/>
          <w:szCs w:val="18"/>
          <w:lang w:val="es-AR"/>
        </w:rPr>
      </w:pPr>
      <w:r w:rsidRPr="007B2915">
        <w:rPr>
          <w:rFonts w:ascii="Cambria" w:hAnsi="Cambria" w:cs="Arial"/>
          <w:bCs/>
          <w:sz w:val="18"/>
          <w:szCs w:val="18"/>
          <w:lang w:val="es-AR"/>
        </w:rPr>
        <w:t>27 de enero de 2017</w:t>
      </w:r>
    </w:p>
    <w:p w:rsidR="00DB43BD" w:rsidRPr="007B2915" w:rsidRDefault="00DB43BD" w:rsidP="000D044A">
      <w:pPr>
        <w:ind w:firstLine="567"/>
        <w:jc w:val="both"/>
        <w:rPr>
          <w:rFonts w:ascii="Cambria" w:hAnsi="Cambria" w:cs="Arial"/>
          <w:sz w:val="20"/>
          <w:szCs w:val="20"/>
          <w:lang w:val="es-AR"/>
        </w:rPr>
      </w:pPr>
    </w:p>
    <w:p w:rsidR="00DB43BD" w:rsidRPr="007B2915" w:rsidRDefault="00DB43BD" w:rsidP="000D044A">
      <w:pPr>
        <w:ind w:firstLine="567"/>
        <w:jc w:val="both"/>
        <w:rPr>
          <w:rFonts w:ascii="Cambria" w:hAnsi="Cambria" w:cs="Arial"/>
          <w:sz w:val="20"/>
          <w:szCs w:val="20"/>
          <w:lang w:val="es-AR"/>
        </w:rPr>
      </w:pPr>
    </w:p>
    <w:p w:rsidR="00DB43BD" w:rsidRPr="007B2915" w:rsidRDefault="00DB43BD" w:rsidP="00D8343A">
      <w:pPr>
        <w:pStyle w:val="Ttulo1"/>
        <w:ind w:firstLine="0"/>
        <w:rPr>
          <w:color w:val="auto"/>
        </w:rPr>
      </w:pPr>
      <w:bookmarkStart w:id="0" w:name="_Toc370830569"/>
      <w:bookmarkStart w:id="1" w:name="_Toc370831280"/>
      <w:bookmarkStart w:id="2" w:name="_Toc412635569"/>
      <w:bookmarkStart w:id="3" w:name="_Toc416685625"/>
      <w:bookmarkStart w:id="4" w:name="_Toc346449077"/>
      <w:bookmarkStart w:id="5" w:name="_Toc474398484"/>
      <w:r w:rsidRPr="007B2915">
        <w:rPr>
          <w:color w:val="auto"/>
        </w:rPr>
        <w:t>RESUMEN</w:t>
      </w:r>
      <w:bookmarkEnd w:id="0"/>
      <w:bookmarkEnd w:id="1"/>
      <w:bookmarkEnd w:id="2"/>
      <w:bookmarkEnd w:id="3"/>
      <w:bookmarkEnd w:id="4"/>
      <w:bookmarkEnd w:id="5"/>
    </w:p>
    <w:p w:rsidR="00DB43BD" w:rsidRPr="007B2915" w:rsidRDefault="00DB43BD" w:rsidP="00D8343A">
      <w:pPr>
        <w:ind w:firstLine="567"/>
        <w:jc w:val="both"/>
        <w:rPr>
          <w:rFonts w:ascii="Cambria" w:hAnsi="Cambria" w:cs="Arial"/>
          <w:sz w:val="20"/>
          <w:szCs w:val="20"/>
          <w:lang w:val="es-AR"/>
        </w:rPr>
      </w:pPr>
    </w:p>
    <w:p w:rsidR="00DB43BD" w:rsidRPr="007B2915" w:rsidRDefault="00DB43BD" w:rsidP="00D8343A">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rPr>
      </w:pPr>
      <w:r w:rsidRPr="007B2915">
        <w:rPr>
          <w:rFonts w:ascii="Cambria" w:hAnsi="Cambria"/>
          <w:color w:val="auto"/>
          <w:sz w:val="20"/>
          <w:szCs w:val="20"/>
        </w:rPr>
        <w:t xml:space="preserve">El </w:t>
      </w:r>
      <w:r w:rsidR="00BA14F4" w:rsidRPr="007B2915">
        <w:rPr>
          <w:rFonts w:ascii="Cambria" w:hAnsi="Cambria"/>
          <w:color w:val="auto"/>
          <w:sz w:val="20"/>
          <w:szCs w:val="20"/>
        </w:rPr>
        <w:t>8 de abril de 1998</w:t>
      </w:r>
      <w:r w:rsidRPr="007B2915">
        <w:rPr>
          <w:rFonts w:ascii="Cambria" w:hAnsi="Cambria"/>
          <w:color w:val="auto"/>
          <w:sz w:val="20"/>
          <w:szCs w:val="20"/>
        </w:rPr>
        <w:t xml:space="preserve"> la Comisión Interamericana de Derechos Humanos (en adelante “la Comisión”, “la Comisión Interamericana” o “la CIDH”) recibió </w:t>
      </w:r>
      <w:r w:rsidR="00BA14F4" w:rsidRPr="007B2915">
        <w:rPr>
          <w:rFonts w:ascii="Cambria" w:hAnsi="Cambria"/>
          <w:color w:val="auto"/>
          <w:sz w:val="20"/>
          <w:szCs w:val="20"/>
        </w:rPr>
        <w:t xml:space="preserve">una </w:t>
      </w:r>
      <w:r w:rsidR="00EC016B" w:rsidRPr="007B2915">
        <w:rPr>
          <w:rFonts w:ascii="Cambria" w:hAnsi="Cambria"/>
          <w:color w:val="auto"/>
          <w:sz w:val="20"/>
          <w:szCs w:val="20"/>
        </w:rPr>
        <w:t>petici</w:t>
      </w:r>
      <w:r w:rsidR="00BA14F4" w:rsidRPr="007B2915">
        <w:rPr>
          <w:rFonts w:ascii="Cambria" w:hAnsi="Cambria"/>
          <w:color w:val="auto"/>
          <w:sz w:val="20"/>
          <w:szCs w:val="20"/>
        </w:rPr>
        <w:t>ón</w:t>
      </w:r>
      <w:r w:rsidRPr="007B2915">
        <w:rPr>
          <w:rFonts w:ascii="Cambria" w:hAnsi="Cambria"/>
          <w:color w:val="auto"/>
          <w:sz w:val="20"/>
          <w:szCs w:val="20"/>
        </w:rPr>
        <w:t xml:space="preserve"> presentada</w:t>
      </w:r>
      <w:r w:rsidR="00BA14F4" w:rsidRPr="007B2915">
        <w:rPr>
          <w:rFonts w:ascii="Cambria" w:hAnsi="Cambria"/>
          <w:color w:val="auto"/>
          <w:sz w:val="20"/>
          <w:szCs w:val="20"/>
        </w:rPr>
        <w:t xml:space="preserve"> en nombre propio por Oscar Muelle Flores (en adelante “el peticionario” o “la presunta víctima”</w:t>
      </w:r>
      <w:r w:rsidR="009129E3" w:rsidRPr="007B2915">
        <w:rPr>
          <w:rFonts w:ascii="Cambria" w:hAnsi="Cambria"/>
          <w:color w:val="auto"/>
          <w:sz w:val="20"/>
          <w:szCs w:val="20"/>
        </w:rPr>
        <w:t>)</w:t>
      </w:r>
      <w:r w:rsidR="00BA14F4" w:rsidRPr="007B2915">
        <w:rPr>
          <w:rFonts w:ascii="Cambria" w:hAnsi="Cambria"/>
          <w:color w:val="auto"/>
          <w:sz w:val="20"/>
          <w:szCs w:val="20"/>
        </w:rPr>
        <w:t>. En dicha petición se alegó</w:t>
      </w:r>
      <w:r w:rsidRPr="007B2915">
        <w:rPr>
          <w:rFonts w:ascii="Cambria" w:hAnsi="Cambria"/>
          <w:color w:val="auto"/>
          <w:sz w:val="20"/>
          <w:szCs w:val="20"/>
        </w:rPr>
        <w:t xml:space="preserve"> la responsabilidad internacional de la República </w:t>
      </w:r>
      <w:r w:rsidR="00BA14F4" w:rsidRPr="007B2915">
        <w:rPr>
          <w:rFonts w:ascii="Cambria" w:hAnsi="Cambria"/>
          <w:color w:val="auto"/>
          <w:sz w:val="20"/>
          <w:szCs w:val="20"/>
        </w:rPr>
        <w:t>del Perú</w:t>
      </w:r>
      <w:r w:rsidRPr="007B2915">
        <w:rPr>
          <w:rFonts w:ascii="Cambria" w:hAnsi="Cambria"/>
          <w:color w:val="auto"/>
          <w:sz w:val="20"/>
          <w:szCs w:val="20"/>
        </w:rPr>
        <w:t xml:space="preserve"> (en adelante “el Estado”, “el Estado </w:t>
      </w:r>
      <w:r w:rsidR="00BA14F4" w:rsidRPr="007B2915">
        <w:rPr>
          <w:rFonts w:ascii="Cambria" w:hAnsi="Cambria"/>
          <w:color w:val="auto"/>
          <w:sz w:val="20"/>
          <w:szCs w:val="20"/>
        </w:rPr>
        <w:t>peruano</w:t>
      </w:r>
      <w:r w:rsidRPr="007B2915">
        <w:rPr>
          <w:rFonts w:ascii="Cambria" w:hAnsi="Cambria"/>
          <w:color w:val="auto"/>
          <w:sz w:val="20"/>
          <w:szCs w:val="20"/>
        </w:rPr>
        <w:t>” o “</w:t>
      </w:r>
      <w:r w:rsidR="00BA14F4" w:rsidRPr="007B2915">
        <w:rPr>
          <w:rFonts w:ascii="Cambria" w:hAnsi="Cambria"/>
          <w:color w:val="auto"/>
          <w:sz w:val="20"/>
          <w:szCs w:val="20"/>
        </w:rPr>
        <w:t xml:space="preserve">Perú”) por la falta de cumplimiento de dos sentencias </w:t>
      </w:r>
      <w:r w:rsidR="00D7384C" w:rsidRPr="007B2915">
        <w:rPr>
          <w:rFonts w:ascii="Cambria" w:hAnsi="Cambria"/>
          <w:color w:val="auto"/>
          <w:sz w:val="20"/>
          <w:szCs w:val="20"/>
        </w:rPr>
        <w:t xml:space="preserve">judiciales </w:t>
      </w:r>
      <w:r w:rsidR="00BA14F4" w:rsidRPr="007B2915">
        <w:rPr>
          <w:rFonts w:ascii="Cambria" w:hAnsi="Cambria"/>
          <w:color w:val="auto"/>
          <w:sz w:val="20"/>
          <w:szCs w:val="20"/>
        </w:rPr>
        <w:t>de amparo</w:t>
      </w:r>
      <w:r w:rsidR="00E92036" w:rsidRPr="007B2915">
        <w:rPr>
          <w:rFonts w:ascii="Cambria" w:hAnsi="Cambria"/>
          <w:color w:val="auto"/>
          <w:sz w:val="20"/>
          <w:szCs w:val="20"/>
        </w:rPr>
        <w:t xml:space="preserve"> emitidas en 1993 y 1999</w:t>
      </w:r>
      <w:r w:rsidR="00BA14F4" w:rsidRPr="007B2915">
        <w:rPr>
          <w:rFonts w:ascii="Cambria" w:hAnsi="Cambria"/>
          <w:color w:val="auto"/>
          <w:sz w:val="20"/>
          <w:szCs w:val="20"/>
        </w:rPr>
        <w:t xml:space="preserve"> que le reconocían </w:t>
      </w:r>
      <w:r w:rsidR="00E92036" w:rsidRPr="007B2915">
        <w:rPr>
          <w:rFonts w:ascii="Cambria" w:hAnsi="Cambria"/>
          <w:color w:val="auto"/>
          <w:sz w:val="20"/>
          <w:szCs w:val="20"/>
        </w:rPr>
        <w:t xml:space="preserve">derechos </w:t>
      </w:r>
      <w:r w:rsidR="0094627F" w:rsidRPr="007B2915">
        <w:rPr>
          <w:rFonts w:ascii="Cambria" w:hAnsi="Cambria"/>
          <w:color w:val="auto"/>
          <w:sz w:val="20"/>
          <w:szCs w:val="20"/>
        </w:rPr>
        <w:t xml:space="preserve">pensionarios como ex-trabajador </w:t>
      </w:r>
      <w:r w:rsidR="00E92036" w:rsidRPr="007B2915">
        <w:rPr>
          <w:rFonts w:ascii="Cambria" w:hAnsi="Cambria"/>
          <w:color w:val="auto"/>
          <w:sz w:val="20"/>
          <w:szCs w:val="20"/>
        </w:rPr>
        <w:t xml:space="preserve">de </w:t>
      </w:r>
      <w:r w:rsidR="0094627F" w:rsidRPr="007B2915">
        <w:rPr>
          <w:rFonts w:ascii="Cambria" w:hAnsi="Cambria"/>
          <w:color w:val="auto"/>
          <w:sz w:val="20"/>
          <w:szCs w:val="20"/>
        </w:rPr>
        <w:t>la</w:t>
      </w:r>
      <w:r w:rsidR="00E92036" w:rsidRPr="007B2915">
        <w:rPr>
          <w:rFonts w:ascii="Cambria" w:hAnsi="Cambria"/>
          <w:color w:val="auto"/>
          <w:sz w:val="20"/>
          <w:szCs w:val="20"/>
        </w:rPr>
        <w:t xml:space="preserve"> empresa estatal</w:t>
      </w:r>
      <w:r w:rsidR="0094627F" w:rsidRPr="007B2915">
        <w:rPr>
          <w:rFonts w:ascii="Cambria" w:hAnsi="Cambria"/>
          <w:color w:val="auto"/>
          <w:sz w:val="20"/>
          <w:szCs w:val="20"/>
        </w:rPr>
        <w:t xml:space="preserve"> minera Tintaya</w:t>
      </w:r>
      <w:r w:rsidR="003956C5" w:rsidRPr="007B2915">
        <w:rPr>
          <w:rFonts w:ascii="Cambria" w:hAnsi="Cambria"/>
          <w:color w:val="auto"/>
          <w:sz w:val="20"/>
          <w:szCs w:val="20"/>
        </w:rPr>
        <w:t>.</w:t>
      </w:r>
    </w:p>
    <w:p w:rsidR="00DB43BD" w:rsidRPr="007B2915" w:rsidRDefault="00DB43BD" w:rsidP="00D8343A">
      <w:pPr>
        <w:pStyle w:val="Sangradetextonormal"/>
        <w:ind w:left="0" w:firstLine="567"/>
        <w:rPr>
          <w:rFonts w:ascii="Cambria" w:hAnsi="Cambria"/>
          <w:color w:val="auto"/>
          <w:sz w:val="20"/>
          <w:szCs w:val="20"/>
        </w:rPr>
      </w:pPr>
    </w:p>
    <w:p w:rsidR="00DB43BD" w:rsidRPr="007B2915" w:rsidRDefault="00BA14F4" w:rsidP="00D8343A">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rPr>
      </w:pPr>
      <w:r w:rsidRPr="007B2915">
        <w:rPr>
          <w:rFonts w:ascii="Cambria" w:hAnsi="Cambria"/>
          <w:color w:val="auto"/>
          <w:sz w:val="20"/>
          <w:szCs w:val="20"/>
        </w:rPr>
        <w:t>El Estado reconoció que las dos acciones de amparo interpuestas por el señor Muelle  fueron declaradas fundadas</w:t>
      </w:r>
      <w:r w:rsidR="00D7384C" w:rsidRPr="007B2915">
        <w:rPr>
          <w:rFonts w:ascii="Cambria" w:hAnsi="Cambria"/>
          <w:color w:val="auto"/>
          <w:sz w:val="20"/>
          <w:szCs w:val="20"/>
        </w:rPr>
        <w:t xml:space="preserve"> y que</w:t>
      </w:r>
      <w:r w:rsidRPr="007B2915">
        <w:rPr>
          <w:rFonts w:ascii="Cambria" w:hAnsi="Cambria"/>
          <w:color w:val="auto"/>
          <w:sz w:val="20"/>
          <w:szCs w:val="20"/>
        </w:rPr>
        <w:t xml:space="preserve"> </w:t>
      </w:r>
      <w:r w:rsidR="00033D71" w:rsidRPr="007B2915">
        <w:rPr>
          <w:rFonts w:ascii="Cambria" w:hAnsi="Cambria"/>
          <w:color w:val="auto"/>
          <w:sz w:val="20"/>
          <w:szCs w:val="20"/>
        </w:rPr>
        <w:t>el proceso</w:t>
      </w:r>
      <w:r w:rsidR="00D7384C" w:rsidRPr="007B2915">
        <w:rPr>
          <w:rFonts w:ascii="Cambria" w:hAnsi="Cambria"/>
          <w:color w:val="auto"/>
          <w:sz w:val="20"/>
          <w:szCs w:val="20"/>
        </w:rPr>
        <w:t xml:space="preserve"> judicial</w:t>
      </w:r>
      <w:r w:rsidR="00033D71" w:rsidRPr="007B2915">
        <w:rPr>
          <w:rFonts w:ascii="Cambria" w:hAnsi="Cambria"/>
          <w:color w:val="auto"/>
          <w:sz w:val="20"/>
          <w:szCs w:val="20"/>
        </w:rPr>
        <w:t xml:space="preserve"> para determinar la pensión</w:t>
      </w:r>
      <w:r w:rsidR="00D7384C" w:rsidRPr="007B2915">
        <w:rPr>
          <w:rFonts w:ascii="Cambria" w:hAnsi="Cambria"/>
          <w:color w:val="auto"/>
          <w:sz w:val="20"/>
          <w:szCs w:val="20"/>
        </w:rPr>
        <w:t xml:space="preserve"> específica</w:t>
      </w:r>
      <w:r w:rsidR="00033D71" w:rsidRPr="007B2915">
        <w:rPr>
          <w:rFonts w:ascii="Cambria" w:hAnsi="Cambria"/>
          <w:color w:val="auto"/>
          <w:sz w:val="20"/>
          <w:szCs w:val="20"/>
        </w:rPr>
        <w:t xml:space="preserve"> del señor Muelle se encuentra actualmente</w:t>
      </w:r>
      <w:r w:rsidRPr="007B2915">
        <w:rPr>
          <w:rFonts w:ascii="Cambria" w:hAnsi="Cambria"/>
          <w:color w:val="auto"/>
          <w:sz w:val="20"/>
          <w:szCs w:val="20"/>
        </w:rPr>
        <w:t xml:space="preserve"> en etapa de ejecución.</w:t>
      </w:r>
      <w:r w:rsidR="00033D71" w:rsidRPr="007B2915">
        <w:rPr>
          <w:rFonts w:ascii="Cambria" w:hAnsi="Cambria"/>
          <w:color w:val="auto"/>
          <w:sz w:val="20"/>
          <w:szCs w:val="20"/>
        </w:rPr>
        <w:t xml:space="preserve"> Indicó que </w:t>
      </w:r>
      <w:r w:rsidR="00D7384C" w:rsidRPr="007B2915">
        <w:rPr>
          <w:rFonts w:ascii="Cambria" w:hAnsi="Cambria"/>
          <w:color w:val="auto"/>
          <w:sz w:val="20"/>
          <w:szCs w:val="20"/>
        </w:rPr>
        <w:t xml:space="preserve">los beneficios </w:t>
      </w:r>
      <w:r w:rsidR="00033D71" w:rsidRPr="007B2915">
        <w:rPr>
          <w:rFonts w:ascii="Cambria" w:hAnsi="Cambria"/>
          <w:color w:val="auto"/>
          <w:sz w:val="20"/>
          <w:szCs w:val="20"/>
        </w:rPr>
        <w:t xml:space="preserve">a favor de la presunta víctima serán determinados en sede judicial. Resaltó que el señor Muelle ha contado con todas las garantías judiciales en los diversos procesos iniciados. </w:t>
      </w:r>
    </w:p>
    <w:p w:rsidR="00DB43BD" w:rsidRPr="007B2915" w:rsidRDefault="00DB43BD" w:rsidP="00D8343A">
      <w:pPr>
        <w:pStyle w:val="Sangradetextonormal"/>
        <w:ind w:left="0" w:firstLine="0"/>
        <w:rPr>
          <w:rFonts w:ascii="Cambria" w:hAnsi="Cambria"/>
          <w:color w:val="auto"/>
          <w:sz w:val="20"/>
          <w:szCs w:val="20"/>
        </w:rPr>
      </w:pPr>
    </w:p>
    <w:p w:rsidR="00DB43BD" w:rsidRPr="007B2915" w:rsidRDefault="00DB43BD" w:rsidP="00D8343A">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rPr>
      </w:pPr>
      <w:r w:rsidRPr="007B2915">
        <w:rPr>
          <w:rFonts w:ascii="Cambria" w:hAnsi="Cambria"/>
          <w:color w:val="auto"/>
          <w:sz w:val="20"/>
          <w:szCs w:val="20"/>
        </w:rPr>
        <w:t>Tras analizar la información disponible, la Comisión concluyó que el Estado</w:t>
      </w:r>
      <w:r w:rsidR="001D385C" w:rsidRPr="007B2915">
        <w:rPr>
          <w:rFonts w:ascii="Cambria" w:hAnsi="Cambria"/>
          <w:color w:val="auto"/>
          <w:sz w:val="20"/>
          <w:szCs w:val="20"/>
        </w:rPr>
        <w:t xml:space="preserve"> peruano</w:t>
      </w:r>
      <w:r w:rsidRPr="007B2915">
        <w:rPr>
          <w:rFonts w:ascii="Cambria" w:hAnsi="Cambria"/>
          <w:color w:val="auto"/>
          <w:sz w:val="20"/>
          <w:szCs w:val="20"/>
        </w:rPr>
        <w:t xml:space="preserve"> es responsable por la violación </w:t>
      </w:r>
      <w:r w:rsidR="00BB4DF5" w:rsidRPr="007B2915">
        <w:rPr>
          <w:rFonts w:ascii="Cambria" w:hAnsi="Cambria"/>
          <w:color w:val="auto"/>
          <w:sz w:val="20"/>
          <w:szCs w:val="20"/>
        </w:rPr>
        <w:t>de</w:t>
      </w:r>
      <w:r w:rsidR="0094627F" w:rsidRPr="007B2915">
        <w:rPr>
          <w:rFonts w:ascii="Cambria" w:hAnsi="Cambria"/>
          <w:color w:val="auto"/>
          <w:sz w:val="20"/>
          <w:szCs w:val="20"/>
        </w:rPr>
        <w:t xml:space="preserve"> </w:t>
      </w:r>
      <w:r w:rsidR="00BB4DF5" w:rsidRPr="007B2915">
        <w:rPr>
          <w:rFonts w:ascii="Cambria" w:hAnsi="Cambria"/>
          <w:color w:val="auto"/>
          <w:sz w:val="20"/>
          <w:szCs w:val="20"/>
        </w:rPr>
        <w:t>l</w:t>
      </w:r>
      <w:r w:rsidR="0094627F" w:rsidRPr="007B2915">
        <w:rPr>
          <w:rFonts w:ascii="Cambria" w:hAnsi="Cambria"/>
          <w:color w:val="auto"/>
          <w:sz w:val="20"/>
          <w:szCs w:val="20"/>
        </w:rPr>
        <w:t>os derechos a las garantías judiciales,</w:t>
      </w:r>
      <w:r w:rsidR="00BB4DF5" w:rsidRPr="007B2915">
        <w:rPr>
          <w:rFonts w:ascii="Cambria" w:hAnsi="Cambria"/>
          <w:color w:val="auto"/>
          <w:sz w:val="20"/>
          <w:szCs w:val="20"/>
        </w:rPr>
        <w:t xml:space="preserve"> </w:t>
      </w:r>
      <w:r w:rsidR="0094627F" w:rsidRPr="007B2915">
        <w:rPr>
          <w:rFonts w:ascii="Cambria" w:hAnsi="Cambria"/>
          <w:color w:val="auto"/>
          <w:sz w:val="20"/>
          <w:szCs w:val="20"/>
        </w:rPr>
        <w:t xml:space="preserve">propiedad privada y </w:t>
      </w:r>
      <w:r w:rsidR="002B28FF" w:rsidRPr="007B2915">
        <w:rPr>
          <w:rFonts w:ascii="Cambria" w:hAnsi="Cambria"/>
          <w:color w:val="auto"/>
          <w:sz w:val="20"/>
          <w:szCs w:val="20"/>
        </w:rPr>
        <w:t>protección judicial</w:t>
      </w:r>
      <w:r w:rsidR="00BB4DF5" w:rsidRPr="007B2915">
        <w:rPr>
          <w:rFonts w:ascii="Cambria" w:hAnsi="Cambria"/>
          <w:color w:val="auto"/>
          <w:sz w:val="20"/>
          <w:szCs w:val="20"/>
        </w:rPr>
        <w:t>, establecido</w:t>
      </w:r>
      <w:r w:rsidR="00D7384C" w:rsidRPr="007B2915">
        <w:rPr>
          <w:rFonts w:ascii="Cambria" w:hAnsi="Cambria"/>
          <w:color w:val="auto"/>
          <w:sz w:val="20"/>
          <w:szCs w:val="20"/>
        </w:rPr>
        <w:t>s</w:t>
      </w:r>
      <w:r w:rsidRPr="007B2915">
        <w:rPr>
          <w:rFonts w:ascii="Cambria" w:hAnsi="Cambria"/>
          <w:color w:val="auto"/>
          <w:sz w:val="20"/>
          <w:szCs w:val="20"/>
        </w:rPr>
        <w:t xml:space="preserve"> </w:t>
      </w:r>
      <w:r w:rsidR="0094627F" w:rsidRPr="007B2915">
        <w:rPr>
          <w:rFonts w:ascii="Cambria" w:hAnsi="Cambria"/>
          <w:color w:val="auto"/>
          <w:sz w:val="20"/>
          <w:szCs w:val="20"/>
        </w:rPr>
        <w:t>en los</w:t>
      </w:r>
      <w:r w:rsidR="00BB4DF5" w:rsidRPr="007B2915">
        <w:rPr>
          <w:rFonts w:ascii="Cambria" w:hAnsi="Cambria"/>
          <w:color w:val="auto"/>
          <w:sz w:val="20"/>
          <w:szCs w:val="20"/>
        </w:rPr>
        <w:t xml:space="preserve"> artículo</w:t>
      </w:r>
      <w:r w:rsidR="0094627F" w:rsidRPr="007B2915">
        <w:rPr>
          <w:rFonts w:ascii="Cambria" w:hAnsi="Cambria"/>
          <w:color w:val="auto"/>
          <w:sz w:val="20"/>
          <w:szCs w:val="20"/>
        </w:rPr>
        <w:t>s 8</w:t>
      </w:r>
      <w:r w:rsidR="001D385C" w:rsidRPr="007B2915">
        <w:rPr>
          <w:rFonts w:ascii="Cambria" w:hAnsi="Cambria"/>
          <w:color w:val="auto"/>
          <w:sz w:val="20"/>
          <w:szCs w:val="20"/>
        </w:rPr>
        <w:t>.1</w:t>
      </w:r>
      <w:r w:rsidR="0094627F" w:rsidRPr="007B2915">
        <w:rPr>
          <w:rFonts w:ascii="Cambria" w:hAnsi="Cambria"/>
          <w:color w:val="auto"/>
          <w:sz w:val="20"/>
          <w:szCs w:val="20"/>
        </w:rPr>
        <w:t>, 21 y</w:t>
      </w:r>
      <w:r w:rsidR="00D93143" w:rsidRPr="007B2915">
        <w:rPr>
          <w:rFonts w:ascii="Cambria" w:hAnsi="Cambria"/>
          <w:color w:val="auto"/>
          <w:sz w:val="20"/>
          <w:szCs w:val="20"/>
        </w:rPr>
        <w:t xml:space="preserve"> </w:t>
      </w:r>
      <w:r w:rsidR="002B28FF" w:rsidRPr="007B2915">
        <w:rPr>
          <w:rFonts w:ascii="Cambria" w:hAnsi="Cambria"/>
          <w:color w:val="auto"/>
          <w:sz w:val="20"/>
          <w:szCs w:val="20"/>
        </w:rPr>
        <w:t>25</w:t>
      </w:r>
      <w:r w:rsidR="001D385C" w:rsidRPr="007B2915">
        <w:rPr>
          <w:rFonts w:ascii="Cambria" w:hAnsi="Cambria"/>
          <w:color w:val="auto"/>
          <w:sz w:val="20"/>
          <w:szCs w:val="20"/>
        </w:rPr>
        <w:t>.2.c)</w:t>
      </w:r>
      <w:r w:rsidRPr="007B2915">
        <w:rPr>
          <w:rFonts w:ascii="Cambria" w:hAnsi="Cambria"/>
          <w:color w:val="auto"/>
          <w:sz w:val="20"/>
          <w:szCs w:val="20"/>
        </w:rPr>
        <w:t xml:space="preserve"> de la Convención Americana, en relación con las obligaciones establecidas en </w:t>
      </w:r>
      <w:r w:rsidR="00146883" w:rsidRPr="007B2915">
        <w:rPr>
          <w:rFonts w:ascii="Cambria" w:hAnsi="Cambria"/>
          <w:color w:val="auto"/>
          <w:sz w:val="20"/>
          <w:szCs w:val="20"/>
        </w:rPr>
        <w:t>los</w:t>
      </w:r>
      <w:r w:rsidRPr="007B2915">
        <w:rPr>
          <w:rFonts w:ascii="Cambria" w:hAnsi="Cambria"/>
          <w:color w:val="auto"/>
          <w:sz w:val="20"/>
          <w:szCs w:val="20"/>
        </w:rPr>
        <w:t xml:space="preserve"> artículo</w:t>
      </w:r>
      <w:r w:rsidR="00146883" w:rsidRPr="007B2915">
        <w:rPr>
          <w:rFonts w:ascii="Cambria" w:hAnsi="Cambria"/>
          <w:color w:val="auto"/>
          <w:sz w:val="20"/>
          <w:szCs w:val="20"/>
        </w:rPr>
        <w:t>s</w:t>
      </w:r>
      <w:r w:rsidRPr="007B2915">
        <w:rPr>
          <w:rFonts w:ascii="Cambria" w:hAnsi="Cambria"/>
          <w:color w:val="auto"/>
          <w:sz w:val="20"/>
          <w:szCs w:val="20"/>
        </w:rPr>
        <w:t xml:space="preserve"> 1.1</w:t>
      </w:r>
      <w:r w:rsidR="00146883" w:rsidRPr="007B2915">
        <w:rPr>
          <w:rFonts w:ascii="Cambria" w:hAnsi="Cambria"/>
          <w:color w:val="auto"/>
          <w:sz w:val="20"/>
          <w:szCs w:val="20"/>
        </w:rPr>
        <w:t xml:space="preserve"> y 2</w:t>
      </w:r>
      <w:r w:rsidRPr="007B2915">
        <w:rPr>
          <w:rFonts w:ascii="Cambria" w:hAnsi="Cambria"/>
          <w:color w:val="auto"/>
          <w:sz w:val="20"/>
          <w:szCs w:val="20"/>
        </w:rPr>
        <w:t xml:space="preserve"> del mismo instrumento, en perjuicio de </w:t>
      </w:r>
      <w:r w:rsidR="00BB4DF5" w:rsidRPr="007B2915">
        <w:rPr>
          <w:rFonts w:ascii="Cambria" w:hAnsi="Cambria"/>
          <w:color w:val="auto"/>
          <w:sz w:val="20"/>
          <w:szCs w:val="20"/>
        </w:rPr>
        <w:t>Oscar Muelle Flores</w:t>
      </w:r>
      <w:r w:rsidRPr="007B2915">
        <w:rPr>
          <w:rFonts w:ascii="Cambria" w:hAnsi="Cambria"/>
          <w:color w:val="auto"/>
          <w:sz w:val="20"/>
          <w:szCs w:val="20"/>
        </w:rPr>
        <w:t xml:space="preserve">.  </w:t>
      </w:r>
    </w:p>
    <w:p w:rsidR="00DB43BD" w:rsidRPr="007B2915" w:rsidRDefault="00DB43BD" w:rsidP="00D8343A">
      <w:pPr>
        <w:pStyle w:val="NormalWeb"/>
        <w:spacing w:before="0" w:beforeAutospacing="0" w:after="0" w:afterAutospacing="0"/>
        <w:ind w:firstLine="567"/>
        <w:jc w:val="both"/>
        <w:rPr>
          <w:rFonts w:ascii="Cambria" w:hAnsi="Cambria" w:cs="Arial"/>
          <w:sz w:val="20"/>
          <w:szCs w:val="20"/>
          <w:lang w:val="es-AR"/>
        </w:rPr>
      </w:pPr>
    </w:p>
    <w:p w:rsidR="00DB43BD" w:rsidRPr="007B2915" w:rsidRDefault="00DB43BD" w:rsidP="00D8343A">
      <w:pPr>
        <w:pStyle w:val="Ttulo1"/>
        <w:ind w:firstLine="0"/>
        <w:rPr>
          <w:color w:val="auto"/>
        </w:rPr>
      </w:pPr>
      <w:bookmarkStart w:id="6" w:name="_Toc370830570"/>
      <w:bookmarkStart w:id="7" w:name="_Toc370831281"/>
      <w:bookmarkStart w:id="8" w:name="_Toc412635570"/>
      <w:bookmarkStart w:id="9" w:name="_Toc416685626"/>
      <w:bookmarkStart w:id="10" w:name="_Toc346449078"/>
      <w:bookmarkStart w:id="11" w:name="_Toc474398485"/>
      <w:r w:rsidRPr="007B2915">
        <w:rPr>
          <w:color w:val="auto"/>
        </w:rPr>
        <w:t>TRÁMITE ANTE LA COMISIÓN</w:t>
      </w:r>
      <w:bookmarkEnd w:id="6"/>
      <w:bookmarkEnd w:id="7"/>
      <w:bookmarkEnd w:id="8"/>
      <w:bookmarkEnd w:id="9"/>
      <w:bookmarkEnd w:id="10"/>
      <w:bookmarkEnd w:id="11"/>
      <w:r w:rsidRPr="007B2915">
        <w:rPr>
          <w:color w:val="auto"/>
        </w:rPr>
        <w:t xml:space="preserve"> </w:t>
      </w:r>
    </w:p>
    <w:p w:rsidR="00DB43BD" w:rsidRPr="007B2915" w:rsidRDefault="00DB43BD" w:rsidP="00D8343A">
      <w:pPr>
        <w:ind w:firstLine="567"/>
        <w:jc w:val="both"/>
        <w:rPr>
          <w:rFonts w:ascii="Cambria" w:hAnsi="Cambria" w:cs="Arial"/>
          <w:sz w:val="20"/>
          <w:szCs w:val="20"/>
          <w:lang w:val="es-AR"/>
        </w:rPr>
      </w:pPr>
    </w:p>
    <w:p w:rsidR="008D1C84" w:rsidRPr="007B2915" w:rsidRDefault="00BB4DF5" w:rsidP="00D8343A">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s="Arial"/>
          <w:color w:val="auto"/>
          <w:sz w:val="20"/>
          <w:szCs w:val="20"/>
          <w:lang w:val="es-AR"/>
        </w:rPr>
      </w:pPr>
      <w:r w:rsidRPr="007B2915">
        <w:rPr>
          <w:rFonts w:ascii="Cambria" w:hAnsi="Cambria"/>
          <w:color w:val="auto"/>
          <w:sz w:val="20"/>
          <w:szCs w:val="20"/>
        </w:rPr>
        <w:t>El trámite del caso durante la etapa de admisibilidad se encuentra</w:t>
      </w:r>
      <w:r w:rsidR="00E51E1B" w:rsidRPr="007B2915">
        <w:rPr>
          <w:rFonts w:ascii="Cambria" w:hAnsi="Cambria"/>
          <w:color w:val="auto"/>
          <w:sz w:val="20"/>
          <w:szCs w:val="20"/>
        </w:rPr>
        <w:t xml:space="preserve"> detallado</w:t>
      </w:r>
      <w:r w:rsidRPr="007B2915">
        <w:rPr>
          <w:rFonts w:ascii="Cambria" w:hAnsi="Cambria"/>
          <w:color w:val="auto"/>
          <w:sz w:val="20"/>
          <w:szCs w:val="20"/>
        </w:rPr>
        <w:t xml:space="preserve"> en el </w:t>
      </w:r>
      <w:r w:rsidR="00B71238" w:rsidRPr="007B2915">
        <w:rPr>
          <w:rFonts w:ascii="Cambria" w:hAnsi="Cambria"/>
          <w:color w:val="auto"/>
          <w:sz w:val="20"/>
          <w:szCs w:val="20"/>
        </w:rPr>
        <w:t>i</w:t>
      </w:r>
      <w:r w:rsidRPr="007B2915">
        <w:rPr>
          <w:rFonts w:ascii="Cambria" w:hAnsi="Cambria"/>
          <w:color w:val="auto"/>
          <w:sz w:val="20"/>
          <w:szCs w:val="20"/>
        </w:rPr>
        <w:t xml:space="preserve">nforme de </w:t>
      </w:r>
      <w:r w:rsidR="00B71238" w:rsidRPr="007B2915">
        <w:rPr>
          <w:rFonts w:ascii="Cambria" w:hAnsi="Cambria"/>
          <w:color w:val="auto"/>
          <w:sz w:val="20"/>
          <w:szCs w:val="20"/>
        </w:rPr>
        <w:t>a</w:t>
      </w:r>
      <w:r w:rsidRPr="007B2915">
        <w:rPr>
          <w:rFonts w:ascii="Cambria" w:hAnsi="Cambria"/>
          <w:color w:val="auto"/>
          <w:sz w:val="20"/>
          <w:szCs w:val="20"/>
        </w:rPr>
        <w:t>dmisibilidad No. 106/10 de 16 de julio de 2010</w:t>
      </w:r>
      <w:r w:rsidRPr="007B2915">
        <w:rPr>
          <w:rStyle w:val="Refdenotaalpie"/>
          <w:rFonts w:ascii="Cambria" w:hAnsi="Cambria"/>
          <w:color w:val="auto"/>
          <w:sz w:val="20"/>
          <w:szCs w:val="20"/>
        </w:rPr>
        <w:footnoteReference w:id="3"/>
      </w:r>
      <w:r w:rsidRPr="007B2915">
        <w:rPr>
          <w:rFonts w:ascii="Cambria" w:hAnsi="Cambria"/>
          <w:color w:val="auto"/>
          <w:sz w:val="20"/>
          <w:szCs w:val="20"/>
        </w:rPr>
        <w:t xml:space="preserve">.  </w:t>
      </w:r>
      <w:r w:rsidR="002B28FF" w:rsidRPr="007B2915">
        <w:rPr>
          <w:rFonts w:ascii="Cambria" w:hAnsi="Cambria"/>
          <w:color w:val="auto"/>
          <w:sz w:val="20"/>
          <w:szCs w:val="20"/>
        </w:rPr>
        <w:t>La CIDH declaró admisible</w:t>
      </w:r>
      <w:r w:rsidR="00E51E1B" w:rsidRPr="007B2915">
        <w:rPr>
          <w:rFonts w:ascii="Cambria" w:hAnsi="Cambria"/>
          <w:color w:val="auto"/>
          <w:sz w:val="20"/>
          <w:szCs w:val="20"/>
        </w:rPr>
        <w:t xml:space="preserve"> la petición respecto de</w:t>
      </w:r>
      <w:r w:rsidR="002B28FF" w:rsidRPr="007B2915">
        <w:rPr>
          <w:rFonts w:ascii="Cambria" w:hAnsi="Cambria"/>
          <w:color w:val="auto"/>
          <w:sz w:val="20"/>
          <w:szCs w:val="20"/>
        </w:rPr>
        <w:t xml:space="preserve"> los derechos establecidos en los artículos </w:t>
      </w:r>
      <w:r w:rsidRPr="007B2915">
        <w:rPr>
          <w:rFonts w:ascii="Cambria" w:hAnsi="Cambria"/>
          <w:color w:val="auto"/>
          <w:sz w:val="20"/>
          <w:szCs w:val="20"/>
        </w:rPr>
        <w:t>8, 21 y 25 de la Convención Americana</w:t>
      </w:r>
      <w:r w:rsidR="002B28FF" w:rsidRPr="007B2915">
        <w:rPr>
          <w:rFonts w:ascii="Cambria" w:hAnsi="Cambria"/>
          <w:color w:val="auto"/>
          <w:sz w:val="20"/>
          <w:szCs w:val="20"/>
        </w:rPr>
        <w:t>.</w:t>
      </w:r>
      <w:r w:rsidRPr="007B2915">
        <w:rPr>
          <w:rFonts w:ascii="Cambria" w:hAnsi="Cambria"/>
          <w:color w:val="auto"/>
          <w:sz w:val="20"/>
          <w:szCs w:val="20"/>
        </w:rPr>
        <w:t xml:space="preserve"> Asimismo, la Comisión declaró inadmisible </w:t>
      </w:r>
      <w:r w:rsidR="00BE6656" w:rsidRPr="007B2915">
        <w:rPr>
          <w:rFonts w:ascii="Cambria" w:hAnsi="Cambria"/>
          <w:color w:val="auto"/>
          <w:sz w:val="20"/>
          <w:szCs w:val="20"/>
        </w:rPr>
        <w:t>el alegato relativo a la presunta violación del</w:t>
      </w:r>
      <w:r w:rsidRPr="007B2915">
        <w:rPr>
          <w:rFonts w:ascii="Cambria" w:hAnsi="Cambria"/>
          <w:color w:val="auto"/>
          <w:sz w:val="20"/>
          <w:szCs w:val="20"/>
        </w:rPr>
        <w:t xml:space="preserve"> artículo 24 de dicho instrumento.</w:t>
      </w:r>
    </w:p>
    <w:p w:rsidR="008D1C84" w:rsidRPr="007B2915" w:rsidRDefault="008D1C84" w:rsidP="00D8343A">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s="Arial"/>
          <w:color w:val="auto"/>
          <w:sz w:val="20"/>
          <w:szCs w:val="20"/>
          <w:lang w:val="es-AR"/>
        </w:rPr>
      </w:pPr>
    </w:p>
    <w:p w:rsidR="00BB4DF5" w:rsidRPr="007B2915" w:rsidRDefault="008D1C84" w:rsidP="00D8343A">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s="Arial"/>
          <w:color w:val="auto"/>
          <w:sz w:val="20"/>
          <w:szCs w:val="20"/>
          <w:lang w:val="es-AR"/>
        </w:rPr>
      </w:pPr>
      <w:r w:rsidRPr="007B2915">
        <w:rPr>
          <w:rFonts w:ascii="Cambria" w:hAnsi="Cambria"/>
          <w:color w:val="auto"/>
          <w:sz w:val="20"/>
          <w:szCs w:val="20"/>
        </w:rPr>
        <w:t xml:space="preserve">El </w:t>
      </w:r>
      <w:r w:rsidR="00755023" w:rsidRPr="007B2915">
        <w:rPr>
          <w:rFonts w:ascii="Cambria" w:hAnsi="Cambria"/>
          <w:color w:val="auto"/>
          <w:sz w:val="20"/>
          <w:szCs w:val="20"/>
        </w:rPr>
        <w:t>21 de julio de 2010</w:t>
      </w:r>
      <w:r w:rsidRPr="007B2915">
        <w:rPr>
          <w:rFonts w:ascii="Cambria" w:hAnsi="Cambria"/>
          <w:color w:val="auto"/>
          <w:sz w:val="20"/>
          <w:szCs w:val="20"/>
        </w:rPr>
        <w:t xml:space="preserve"> la Comisión notificó a las partes el informe de admisibilidad. </w:t>
      </w:r>
      <w:r w:rsidR="00FB719C" w:rsidRPr="007B2915">
        <w:rPr>
          <w:rFonts w:ascii="Cambria" w:hAnsi="Cambria"/>
          <w:color w:val="auto"/>
          <w:sz w:val="20"/>
          <w:szCs w:val="20"/>
        </w:rPr>
        <w:t xml:space="preserve">Asimismo, la CIDH se puso a disposición de las partes para una eventual solución amistosa. </w:t>
      </w:r>
      <w:r w:rsidR="001F254D" w:rsidRPr="007B2915">
        <w:rPr>
          <w:rFonts w:ascii="Cambria" w:hAnsi="Cambria"/>
          <w:color w:val="auto"/>
          <w:sz w:val="20"/>
          <w:szCs w:val="20"/>
        </w:rPr>
        <w:t xml:space="preserve">Ninguna de las partes dio respuesta a la posibilidad de iniciar un proceso de solución amistosa. </w:t>
      </w:r>
      <w:r w:rsidR="00403617" w:rsidRPr="007B2915">
        <w:rPr>
          <w:rFonts w:ascii="Cambria" w:hAnsi="Cambria"/>
          <w:color w:val="auto"/>
          <w:sz w:val="20"/>
          <w:szCs w:val="20"/>
        </w:rPr>
        <w:t xml:space="preserve">El </w:t>
      </w:r>
      <w:r w:rsidR="00755023" w:rsidRPr="007B2915">
        <w:rPr>
          <w:rFonts w:ascii="Cambria" w:hAnsi="Cambria"/>
          <w:color w:val="auto"/>
          <w:sz w:val="20"/>
          <w:szCs w:val="20"/>
        </w:rPr>
        <w:t>30 de octubre de 2010 el peticionario</w:t>
      </w:r>
      <w:r w:rsidR="00BB4DF5" w:rsidRPr="007B2915">
        <w:rPr>
          <w:rFonts w:ascii="Cambria" w:hAnsi="Cambria"/>
          <w:color w:val="auto"/>
          <w:sz w:val="20"/>
          <w:szCs w:val="20"/>
        </w:rPr>
        <w:t xml:space="preserve"> presentó sus observaciones adicionales </w:t>
      </w:r>
      <w:r w:rsidR="00755023" w:rsidRPr="007B2915">
        <w:rPr>
          <w:rFonts w:ascii="Cambria" w:hAnsi="Cambria"/>
          <w:color w:val="auto"/>
          <w:sz w:val="20"/>
          <w:szCs w:val="20"/>
        </w:rPr>
        <w:t>sobre el</w:t>
      </w:r>
      <w:r w:rsidR="00BB4DF5" w:rsidRPr="007B2915">
        <w:rPr>
          <w:rFonts w:ascii="Cambria" w:hAnsi="Cambria"/>
          <w:color w:val="auto"/>
          <w:sz w:val="20"/>
          <w:szCs w:val="20"/>
        </w:rPr>
        <w:t xml:space="preserve"> fondo. </w:t>
      </w:r>
      <w:r w:rsidR="00755023" w:rsidRPr="007B2915">
        <w:rPr>
          <w:rFonts w:ascii="Cambria" w:hAnsi="Cambria"/>
          <w:color w:val="auto"/>
          <w:sz w:val="20"/>
          <w:szCs w:val="20"/>
        </w:rPr>
        <w:t>El 8 de abril de 2011 el Estado presentó sus observaciones adicionales sobre el fondo. Posteriormente, la Comisión recibió comunicaciones de ambas partes</w:t>
      </w:r>
      <w:r w:rsidR="0094627F" w:rsidRPr="007B2915">
        <w:rPr>
          <w:rStyle w:val="Refdenotaalpie"/>
          <w:rFonts w:ascii="Cambria" w:hAnsi="Cambria"/>
          <w:color w:val="auto"/>
          <w:sz w:val="20"/>
          <w:szCs w:val="20"/>
        </w:rPr>
        <w:footnoteReference w:id="4"/>
      </w:r>
      <w:r w:rsidR="00755023" w:rsidRPr="007B2915">
        <w:rPr>
          <w:rFonts w:ascii="Cambria" w:hAnsi="Cambria"/>
          <w:color w:val="auto"/>
          <w:sz w:val="20"/>
          <w:szCs w:val="20"/>
        </w:rPr>
        <w:t>, las cuales fueron debidamente trasladadas</w:t>
      </w:r>
      <w:r w:rsidR="00A13E4C" w:rsidRPr="007B2915">
        <w:rPr>
          <w:rFonts w:ascii="Cambria" w:hAnsi="Cambria"/>
          <w:color w:val="auto"/>
          <w:sz w:val="20"/>
          <w:szCs w:val="20"/>
        </w:rPr>
        <w:t xml:space="preserve"> a la parte contraria</w:t>
      </w:r>
      <w:r w:rsidR="00755023" w:rsidRPr="007B2915">
        <w:rPr>
          <w:rFonts w:ascii="Cambria" w:hAnsi="Cambria"/>
          <w:color w:val="auto"/>
          <w:sz w:val="20"/>
          <w:szCs w:val="20"/>
        </w:rPr>
        <w:t>.</w:t>
      </w:r>
    </w:p>
    <w:p w:rsidR="00DB43BD" w:rsidRPr="007B2915" w:rsidRDefault="00DB43BD" w:rsidP="00D8343A">
      <w:pPr>
        <w:rPr>
          <w:rFonts w:ascii="Cambria" w:hAnsi="Cambria"/>
          <w:sz w:val="20"/>
          <w:szCs w:val="20"/>
          <w:lang w:val="es-ES"/>
        </w:rPr>
      </w:pPr>
      <w:bookmarkStart w:id="12" w:name="_Toc370830571"/>
      <w:bookmarkStart w:id="13" w:name="_Toc370831282"/>
    </w:p>
    <w:p w:rsidR="00DB43BD" w:rsidRPr="007B2915" w:rsidRDefault="00DB43BD" w:rsidP="00D8343A">
      <w:pPr>
        <w:pStyle w:val="Ttulo1"/>
        <w:ind w:firstLine="0"/>
        <w:rPr>
          <w:color w:val="auto"/>
        </w:rPr>
      </w:pPr>
      <w:bookmarkStart w:id="14" w:name="_Toc412635571"/>
      <w:bookmarkStart w:id="15" w:name="_Toc416685627"/>
      <w:bookmarkStart w:id="16" w:name="_Toc346449079"/>
      <w:bookmarkStart w:id="17" w:name="_Toc474398486"/>
      <w:r w:rsidRPr="007B2915">
        <w:rPr>
          <w:color w:val="auto"/>
        </w:rPr>
        <w:t>POSICIÓN DE LAS PARTES</w:t>
      </w:r>
      <w:bookmarkEnd w:id="12"/>
      <w:bookmarkEnd w:id="13"/>
      <w:bookmarkEnd w:id="14"/>
      <w:bookmarkEnd w:id="15"/>
      <w:bookmarkEnd w:id="16"/>
      <w:bookmarkEnd w:id="17"/>
    </w:p>
    <w:p w:rsidR="00DB43BD" w:rsidRPr="007B2915" w:rsidRDefault="00DB43BD" w:rsidP="00D8343A">
      <w:pPr>
        <w:ind w:firstLine="567"/>
        <w:rPr>
          <w:rFonts w:ascii="Cambria" w:hAnsi="Cambria"/>
          <w:sz w:val="20"/>
          <w:szCs w:val="20"/>
          <w:lang w:val="es-AR"/>
        </w:rPr>
      </w:pPr>
    </w:p>
    <w:p w:rsidR="00DB43BD" w:rsidRPr="007B2915" w:rsidRDefault="00DB43BD" w:rsidP="00D8343A">
      <w:pPr>
        <w:pStyle w:val="Ttulo2"/>
        <w:rPr>
          <w:szCs w:val="20"/>
        </w:rPr>
      </w:pPr>
      <w:bookmarkStart w:id="18" w:name="_Toc370831283"/>
      <w:bookmarkStart w:id="19" w:name="_Toc412635572"/>
      <w:bookmarkStart w:id="20" w:name="_Toc416685628"/>
      <w:bookmarkStart w:id="21" w:name="_Toc346449080"/>
      <w:bookmarkStart w:id="22" w:name="_Toc474398487"/>
      <w:r w:rsidRPr="007B2915">
        <w:rPr>
          <w:szCs w:val="20"/>
        </w:rPr>
        <w:t xml:space="preserve">A. </w:t>
      </w:r>
      <w:r w:rsidRPr="007B2915">
        <w:rPr>
          <w:szCs w:val="20"/>
        </w:rPr>
        <w:tab/>
        <w:t xml:space="preserve">Posición </w:t>
      </w:r>
      <w:bookmarkEnd w:id="18"/>
      <w:bookmarkEnd w:id="19"/>
      <w:bookmarkEnd w:id="20"/>
      <w:r w:rsidR="00E92036" w:rsidRPr="007B2915">
        <w:rPr>
          <w:szCs w:val="20"/>
        </w:rPr>
        <w:t>del peticionario</w:t>
      </w:r>
      <w:bookmarkEnd w:id="21"/>
      <w:bookmarkEnd w:id="22"/>
    </w:p>
    <w:p w:rsidR="00DB43BD" w:rsidRPr="007B2915" w:rsidRDefault="00DB43BD" w:rsidP="00D8343A">
      <w:pPr>
        <w:ind w:firstLine="567"/>
        <w:rPr>
          <w:rFonts w:ascii="Cambria" w:hAnsi="Cambria"/>
          <w:sz w:val="20"/>
          <w:szCs w:val="20"/>
          <w:lang w:val="es-AR"/>
        </w:rPr>
      </w:pPr>
    </w:p>
    <w:p w:rsidR="00033D71" w:rsidRPr="007B2915" w:rsidRDefault="00E92036" w:rsidP="00D8343A">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rPr>
      </w:pPr>
      <w:r w:rsidRPr="007B2915">
        <w:rPr>
          <w:rFonts w:ascii="Cambria" w:hAnsi="Cambria"/>
          <w:color w:val="auto"/>
          <w:sz w:val="20"/>
          <w:szCs w:val="20"/>
        </w:rPr>
        <w:lastRenderedPageBreak/>
        <w:t xml:space="preserve">El peticionario alegó que el Estado es responsable internacionalmente por la falta de cumplimiento de dos sentencias de amparo emitidas en 1993 y 1999 que le reconocían derechos pensionarios como ex-trabajador de </w:t>
      </w:r>
      <w:r w:rsidR="00696713" w:rsidRPr="007B2915">
        <w:rPr>
          <w:rFonts w:ascii="Cambria" w:hAnsi="Cambria"/>
          <w:color w:val="auto"/>
          <w:sz w:val="20"/>
          <w:szCs w:val="20"/>
        </w:rPr>
        <w:t>la</w:t>
      </w:r>
      <w:r w:rsidRPr="007B2915">
        <w:rPr>
          <w:rFonts w:ascii="Cambria" w:hAnsi="Cambria"/>
          <w:color w:val="auto"/>
          <w:sz w:val="20"/>
          <w:szCs w:val="20"/>
        </w:rPr>
        <w:t xml:space="preserve"> empresa estatal</w:t>
      </w:r>
      <w:r w:rsidR="00696713" w:rsidRPr="007B2915">
        <w:rPr>
          <w:rFonts w:ascii="Cambria" w:hAnsi="Cambria"/>
          <w:color w:val="auto"/>
          <w:sz w:val="20"/>
          <w:szCs w:val="20"/>
        </w:rPr>
        <w:t xml:space="preserve"> minera Tintaya</w:t>
      </w:r>
      <w:r w:rsidRPr="007B2915">
        <w:rPr>
          <w:rFonts w:ascii="Cambria" w:hAnsi="Cambria"/>
          <w:color w:val="auto"/>
          <w:sz w:val="20"/>
          <w:szCs w:val="20"/>
        </w:rPr>
        <w:t xml:space="preserve">. </w:t>
      </w:r>
      <w:r w:rsidR="00033D71" w:rsidRPr="007B2915">
        <w:rPr>
          <w:rFonts w:ascii="Cambria" w:hAnsi="Cambria"/>
          <w:color w:val="auto"/>
          <w:sz w:val="20"/>
          <w:szCs w:val="20"/>
        </w:rPr>
        <w:t xml:space="preserve">El detalle de los hechos y los procesos seguidos se encuentra en la sección de Hechos Probados. </w:t>
      </w:r>
    </w:p>
    <w:p w:rsidR="00033D71" w:rsidRPr="007B2915" w:rsidRDefault="00033D71" w:rsidP="00D8343A">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rPr>
      </w:pPr>
    </w:p>
    <w:p w:rsidR="00E92036" w:rsidRPr="007B2915" w:rsidRDefault="00E92036" w:rsidP="00D8343A">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rPr>
      </w:pPr>
      <w:r w:rsidRPr="007B2915">
        <w:rPr>
          <w:rFonts w:ascii="Cambria" w:hAnsi="Cambria"/>
          <w:color w:val="auto"/>
          <w:sz w:val="20"/>
          <w:szCs w:val="20"/>
        </w:rPr>
        <w:t xml:space="preserve">El señor Muelle indicó que </w:t>
      </w:r>
      <w:r w:rsidR="00CA2E8A" w:rsidRPr="007B2915">
        <w:rPr>
          <w:rFonts w:ascii="Cambria" w:hAnsi="Cambria"/>
          <w:color w:val="auto"/>
          <w:sz w:val="20"/>
          <w:szCs w:val="20"/>
        </w:rPr>
        <w:t xml:space="preserve">en septiembre de 1990 se jubiló de una empresa minera estatal y fue incorporado al régimen pensionario del Decreto Ley </w:t>
      </w:r>
      <w:r w:rsidR="00D8343A" w:rsidRPr="007B2915">
        <w:rPr>
          <w:rFonts w:ascii="Cambria" w:hAnsi="Cambria"/>
          <w:color w:val="auto"/>
          <w:sz w:val="20"/>
          <w:szCs w:val="20"/>
        </w:rPr>
        <w:t>20530</w:t>
      </w:r>
      <w:r w:rsidR="00A17476" w:rsidRPr="007B2915">
        <w:rPr>
          <w:rFonts w:ascii="Cambria" w:hAnsi="Cambria"/>
          <w:color w:val="auto"/>
          <w:sz w:val="20"/>
          <w:szCs w:val="20"/>
        </w:rPr>
        <w:t>, el cual establecía la nivelación de pensiones y compensaciones por servicios civiles prestados al Estado</w:t>
      </w:r>
      <w:r w:rsidR="002C567B" w:rsidRPr="007B2915">
        <w:rPr>
          <w:rFonts w:ascii="Cambria" w:hAnsi="Cambria"/>
          <w:color w:val="auto"/>
          <w:sz w:val="20"/>
          <w:szCs w:val="20"/>
        </w:rPr>
        <w:t xml:space="preserve"> con relación al trabajador en actividad.</w:t>
      </w:r>
      <w:r w:rsidR="00A9658F" w:rsidRPr="007B2915">
        <w:rPr>
          <w:rFonts w:ascii="Cambria" w:hAnsi="Cambria"/>
          <w:color w:val="auto"/>
          <w:sz w:val="20"/>
          <w:szCs w:val="20"/>
        </w:rPr>
        <w:t xml:space="preserve"> Sostuvo que</w:t>
      </w:r>
      <w:r w:rsidR="000A217F" w:rsidRPr="007B2915">
        <w:rPr>
          <w:rFonts w:ascii="Cambria" w:hAnsi="Cambria"/>
          <w:color w:val="auto"/>
          <w:sz w:val="20"/>
          <w:szCs w:val="20"/>
        </w:rPr>
        <w:t xml:space="preserve"> venía recibiendo dicha pensión hasta que</w:t>
      </w:r>
      <w:r w:rsidR="00A9658F" w:rsidRPr="007B2915">
        <w:rPr>
          <w:rFonts w:ascii="Cambria" w:hAnsi="Cambria"/>
          <w:color w:val="auto"/>
          <w:sz w:val="20"/>
          <w:szCs w:val="20"/>
        </w:rPr>
        <w:t xml:space="preserve"> en febrero de 1991 recibió una comunicación de la empresa donde se </w:t>
      </w:r>
      <w:r w:rsidR="002C567B" w:rsidRPr="007B2915">
        <w:rPr>
          <w:rFonts w:ascii="Cambria" w:hAnsi="Cambria"/>
          <w:color w:val="auto"/>
          <w:sz w:val="20"/>
          <w:szCs w:val="20"/>
        </w:rPr>
        <w:t xml:space="preserve">le </w:t>
      </w:r>
      <w:r w:rsidR="00A9658F" w:rsidRPr="007B2915">
        <w:rPr>
          <w:rFonts w:ascii="Cambria" w:hAnsi="Cambria"/>
          <w:color w:val="auto"/>
          <w:sz w:val="20"/>
          <w:szCs w:val="20"/>
        </w:rPr>
        <w:t xml:space="preserve">indicó que se </w:t>
      </w:r>
      <w:r w:rsidR="00A13E4C" w:rsidRPr="007B2915">
        <w:rPr>
          <w:rFonts w:ascii="Cambria" w:hAnsi="Cambria"/>
          <w:color w:val="auto"/>
          <w:sz w:val="20"/>
          <w:szCs w:val="20"/>
        </w:rPr>
        <w:t>decidió suspender</w:t>
      </w:r>
      <w:r w:rsidR="00A9658F" w:rsidRPr="007B2915">
        <w:rPr>
          <w:rFonts w:ascii="Cambria" w:hAnsi="Cambria"/>
          <w:color w:val="auto"/>
          <w:sz w:val="20"/>
          <w:szCs w:val="20"/>
        </w:rPr>
        <w:t xml:space="preserve"> la aplicación del Decreto </w:t>
      </w:r>
      <w:r w:rsidR="002C567B" w:rsidRPr="007B2915">
        <w:rPr>
          <w:rFonts w:ascii="Cambria" w:hAnsi="Cambria"/>
          <w:color w:val="auto"/>
          <w:sz w:val="20"/>
          <w:szCs w:val="20"/>
        </w:rPr>
        <w:t>L</w:t>
      </w:r>
      <w:r w:rsidR="00A9658F" w:rsidRPr="007B2915">
        <w:rPr>
          <w:rFonts w:ascii="Cambria" w:hAnsi="Cambria"/>
          <w:color w:val="auto"/>
          <w:sz w:val="20"/>
          <w:szCs w:val="20"/>
        </w:rPr>
        <w:t xml:space="preserve">ey </w:t>
      </w:r>
      <w:r w:rsidR="00D8343A" w:rsidRPr="007B2915">
        <w:rPr>
          <w:rFonts w:ascii="Cambria" w:hAnsi="Cambria"/>
          <w:color w:val="auto"/>
          <w:sz w:val="20"/>
          <w:szCs w:val="20"/>
        </w:rPr>
        <w:t>20530</w:t>
      </w:r>
      <w:r w:rsidR="00A9658F" w:rsidRPr="007B2915">
        <w:rPr>
          <w:rFonts w:ascii="Cambria" w:hAnsi="Cambria"/>
          <w:color w:val="auto"/>
          <w:sz w:val="20"/>
          <w:szCs w:val="20"/>
        </w:rPr>
        <w:t xml:space="preserve"> a</w:t>
      </w:r>
      <w:r w:rsidR="00A13E4C" w:rsidRPr="007B2915">
        <w:rPr>
          <w:rFonts w:ascii="Cambria" w:hAnsi="Cambria"/>
          <w:color w:val="auto"/>
          <w:sz w:val="20"/>
          <w:szCs w:val="20"/>
        </w:rPr>
        <w:t xml:space="preserve"> su favor</w:t>
      </w:r>
      <w:r w:rsidR="00A970ED" w:rsidRPr="007B2915">
        <w:rPr>
          <w:rFonts w:ascii="Cambria" w:hAnsi="Cambria"/>
          <w:color w:val="auto"/>
          <w:sz w:val="20"/>
          <w:szCs w:val="20"/>
        </w:rPr>
        <w:t>.</w:t>
      </w:r>
    </w:p>
    <w:p w:rsidR="00A9658F" w:rsidRPr="007B2915" w:rsidRDefault="00A9658F" w:rsidP="00D8343A">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olor w:val="auto"/>
          <w:sz w:val="20"/>
          <w:szCs w:val="20"/>
        </w:rPr>
      </w:pPr>
    </w:p>
    <w:p w:rsidR="00A9658F" w:rsidRPr="007B2915" w:rsidRDefault="00A9658F" w:rsidP="00D8343A">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rPr>
      </w:pPr>
      <w:r w:rsidRPr="007B2915">
        <w:rPr>
          <w:rFonts w:ascii="Cambria" w:hAnsi="Cambria"/>
          <w:color w:val="auto"/>
          <w:sz w:val="20"/>
          <w:szCs w:val="20"/>
        </w:rPr>
        <w:t>El peticionario sostuvo que presentó un</w:t>
      </w:r>
      <w:r w:rsidR="002C567B" w:rsidRPr="007B2915">
        <w:rPr>
          <w:rFonts w:ascii="Cambria" w:hAnsi="Cambria"/>
          <w:color w:val="auto"/>
          <w:sz w:val="20"/>
          <w:szCs w:val="20"/>
        </w:rPr>
        <w:t xml:space="preserve">a acción de </w:t>
      </w:r>
      <w:r w:rsidRPr="007B2915">
        <w:rPr>
          <w:rFonts w:ascii="Cambria" w:hAnsi="Cambria"/>
          <w:color w:val="auto"/>
          <w:sz w:val="20"/>
          <w:szCs w:val="20"/>
        </w:rPr>
        <w:t xml:space="preserve">amparo para cuestionar dicha decisión, </w:t>
      </w:r>
      <w:r w:rsidR="002C567B" w:rsidRPr="007B2915">
        <w:rPr>
          <w:rFonts w:ascii="Cambria" w:hAnsi="Cambria"/>
          <w:color w:val="auto"/>
          <w:sz w:val="20"/>
          <w:szCs w:val="20"/>
        </w:rPr>
        <w:t>la</w:t>
      </w:r>
      <w:r w:rsidRPr="007B2915">
        <w:rPr>
          <w:rFonts w:ascii="Cambria" w:hAnsi="Cambria"/>
          <w:color w:val="auto"/>
          <w:sz w:val="20"/>
          <w:szCs w:val="20"/>
        </w:rPr>
        <w:t xml:space="preserve"> cual fue conocid</w:t>
      </w:r>
      <w:r w:rsidR="002C567B" w:rsidRPr="007B2915">
        <w:rPr>
          <w:rFonts w:ascii="Cambria" w:hAnsi="Cambria"/>
          <w:color w:val="auto"/>
          <w:sz w:val="20"/>
          <w:szCs w:val="20"/>
        </w:rPr>
        <w:t>a</w:t>
      </w:r>
      <w:r w:rsidRPr="007B2915">
        <w:rPr>
          <w:rFonts w:ascii="Cambria" w:hAnsi="Cambria"/>
          <w:color w:val="auto"/>
          <w:sz w:val="20"/>
          <w:szCs w:val="20"/>
        </w:rPr>
        <w:t xml:space="preserve"> en última instancia por la Corte Suprema de Justicia. Indicó que en su sentencia de febrero de 1993 la Corte Suprema ordenó la reincorporación del señor Muelle al régimen pensionario del Decreto Ley </w:t>
      </w:r>
      <w:r w:rsidR="00D8343A" w:rsidRPr="007B2915">
        <w:rPr>
          <w:rFonts w:ascii="Cambria" w:hAnsi="Cambria"/>
          <w:color w:val="auto"/>
          <w:sz w:val="20"/>
          <w:szCs w:val="20"/>
        </w:rPr>
        <w:t>20530</w:t>
      </w:r>
      <w:r w:rsidRPr="007B2915">
        <w:rPr>
          <w:rFonts w:ascii="Cambria" w:hAnsi="Cambria"/>
          <w:color w:val="auto"/>
          <w:sz w:val="20"/>
          <w:szCs w:val="20"/>
        </w:rPr>
        <w:t xml:space="preserve">. El peticionario agregó que </w:t>
      </w:r>
      <w:r w:rsidR="005D77A9" w:rsidRPr="007B2915">
        <w:rPr>
          <w:rFonts w:ascii="Cambria" w:hAnsi="Cambria"/>
          <w:color w:val="auto"/>
          <w:sz w:val="20"/>
          <w:szCs w:val="20"/>
        </w:rPr>
        <w:t xml:space="preserve">frente a ello la empresa emitió un acuerdo en el que </w:t>
      </w:r>
      <w:r w:rsidR="00317083" w:rsidRPr="007B2915">
        <w:rPr>
          <w:rFonts w:ascii="Cambria" w:hAnsi="Cambria"/>
          <w:color w:val="auto"/>
          <w:sz w:val="20"/>
          <w:szCs w:val="20"/>
        </w:rPr>
        <w:t>intentó anular su incorporación al régimen de dicha norma</w:t>
      </w:r>
      <w:r w:rsidR="005D77A9" w:rsidRPr="007B2915">
        <w:rPr>
          <w:rFonts w:ascii="Cambria" w:hAnsi="Cambria"/>
          <w:color w:val="auto"/>
          <w:sz w:val="20"/>
          <w:szCs w:val="20"/>
        </w:rPr>
        <w:t>. Sostuvo que debido a dicha situación</w:t>
      </w:r>
      <w:r w:rsidRPr="007B2915">
        <w:rPr>
          <w:rFonts w:ascii="Cambria" w:hAnsi="Cambria"/>
          <w:color w:val="auto"/>
          <w:sz w:val="20"/>
          <w:szCs w:val="20"/>
        </w:rPr>
        <w:t xml:space="preserve"> presentó un segundo recurso de amparo, el cual fue conocido en última instancia por el Tribunal Constitucional.</w:t>
      </w:r>
      <w:r w:rsidR="00BB5844" w:rsidRPr="007B2915">
        <w:rPr>
          <w:rFonts w:ascii="Cambria" w:hAnsi="Cambria"/>
          <w:color w:val="auto"/>
          <w:sz w:val="20"/>
          <w:szCs w:val="20"/>
        </w:rPr>
        <w:t xml:space="preserve"> Añadió que en su sentencia</w:t>
      </w:r>
      <w:r w:rsidR="00033D71" w:rsidRPr="007B2915">
        <w:rPr>
          <w:rFonts w:ascii="Cambria" w:hAnsi="Cambria"/>
          <w:color w:val="auto"/>
          <w:sz w:val="20"/>
          <w:szCs w:val="20"/>
        </w:rPr>
        <w:t xml:space="preserve"> de diciembre de 1999</w:t>
      </w:r>
      <w:r w:rsidR="002C30FE" w:rsidRPr="007B2915">
        <w:rPr>
          <w:rFonts w:ascii="Cambria" w:hAnsi="Cambria"/>
          <w:color w:val="auto"/>
          <w:sz w:val="20"/>
          <w:szCs w:val="20"/>
        </w:rPr>
        <w:t xml:space="preserve"> dicho </w:t>
      </w:r>
      <w:r w:rsidR="00033D71" w:rsidRPr="007B2915">
        <w:rPr>
          <w:rFonts w:ascii="Cambria" w:hAnsi="Cambria"/>
          <w:color w:val="auto"/>
          <w:sz w:val="20"/>
          <w:szCs w:val="20"/>
        </w:rPr>
        <w:t xml:space="preserve">Tribunal ordenó a la empresa cumplir con el </w:t>
      </w:r>
      <w:r w:rsidR="001A75C8" w:rsidRPr="007B2915">
        <w:rPr>
          <w:rFonts w:ascii="Cambria" w:hAnsi="Cambria"/>
          <w:color w:val="auto"/>
          <w:sz w:val="20"/>
          <w:szCs w:val="20"/>
        </w:rPr>
        <w:t>“</w:t>
      </w:r>
      <w:r w:rsidR="00033D71" w:rsidRPr="007B2915">
        <w:rPr>
          <w:rFonts w:ascii="Cambria" w:hAnsi="Cambria"/>
          <w:color w:val="auto"/>
          <w:sz w:val="20"/>
          <w:szCs w:val="20"/>
        </w:rPr>
        <w:t>pago continuado</w:t>
      </w:r>
      <w:r w:rsidR="001A75C8" w:rsidRPr="007B2915">
        <w:rPr>
          <w:rFonts w:ascii="Cambria" w:hAnsi="Cambria"/>
          <w:color w:val="auto"/>
          <w:sz w:val="20"/>
          <w:szCs w:val="20"/>
        </w:rPr>
        <w:t>”</w:t>
      </w:r>
      <w:r w:rsidR="00033D71" w:rsidRPr="007B2915">
        <w:rPr>
          <w:rFonts w:ascii="Cambria" w:hAnsi="Cambria"/>
          <w:color w:val="auto"/>
          <w:sz w:val="20"/>
          <w:szCs w:val="20"/>
        </w:rPr>
        <w:t xml:space="preserve"> de pensiones que el señor Muelle venía percibiendo. El peticionario manifestó que a pesar de ello a la fecha dichas sentencias no han sido ejecutadas. </w:t>
      </w:r>
    </w:p>
    <w:p w:rsidR="00E92036" w:rsidRPr="007B2915" w:rsidRDefault="00E92036" w:rsidP="00D8343A">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olor w:val="auto"/>
          <w:sz w:val="20"/>
          <w:szCs w:val="20"/>
        </w:rPr>
      </w:pPr>
    </w:p>
    <w:p w:rsidR="002C39DB" w:rsidRPr="007B2915" w:rsidRDefault="00F71CC8" w:rsidP="00D8343A">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rPr>
      </w:pPr>
      <w:r w:rsidRPr="007B2915">
        <w:rPr>
          <w:rFonts w:ascii="Cambria" w:hAnsi="Cambria"/>
          <w:color w:val="auto"/>
          <w:sz w:val="20"/>
          <w:szCs w:val="20"/>
          <w:lang w:val="es-ES"/>
        </w:rPr>
        <w:t xml:space="preserve">Respecto del </w:t>
      </w:r>
      <w:r w:rsidRPr="007B2915">
        <w:rPr>
          <w:rFonts w:ascii="Cambria" w:hAnsi="Cambria"/>
          <w:b/>
          <w:color w:val="auto"/>
          <w:sz w:val="20"/>
          <w:szCs w:val="20"/>
          <w:lang w:val="es-ES"/>
        </w:rPr>
        <w:t>derecho a la</w:t>
      </w:r>
      <w:r w:rsidR="00796BC7" w:rsidRPr="007B2915">
        <w:rPr>
          <w:rFonts w:ascii="Cambria" w:hAnsi="Cambria"/>
          <w:b/>
          <w:color w:val="auto"/>
          <w:sz w:val="20"/>
          <w:szCs w:val="20"/>
          <w:lang w:val="es-ES"/>
        </w:rPr>
        <w:t>s garantías judiciales y</w:t>
      </w:r>
      <w:r w:rsidRPr="007B2915">
        <w:rPr>
          <w:rFonts w:ascii="Cambria" w:hAnsi="Cambria"/>
          <w:b/>
          <w:color w:val="auto"/>
          <w:sz w:val="20"/>
          <w:szCs w:val="20"/>
          <w:lang w:val="es-ES"/>
        </w:rPr>
        <w:t xml:space="preserve"> protección judicial</w:t>
      </w:r>
      <w:r w:rsidRPr="007B2915">
        <w:rPr>
          <w:rFonts w:ascii="Cambria" w:hAnsi="Cambria"/>
          <w:color w:val="auto"/>
          <w:sz w:val="20"/>
          <w:szCs w:val="20"/>
          <w:lang w:val="es-ES"/>
        </w:rPr>
        <w:t>,</w:t>
      </w:r>
      <w:r w:rsidR="006E0CBE" w:rsidRPr="007B2915">
        <w:rPr>
          <w:rFonts w:ascii="Cambria" w:hAnsi="Cambria"/>
          <w:color w:val="auto"/>
          <w:sz w:val="20"/>
          <w:szCs w:val="20"/>
          <w:lang w:val="es-ES"/>
        </w:rPr>
        <w:t xml:space="preserve"> el peticionario alegó que el Estado lo vulneró en tanto incumplió su obligación de cumplir con las sentencias </w:t>
      </w:r>
      <w:r w:rsidR="003F2324" w:rsidRPr="007B2915">
        <w:rPr>
          <w:rFonts w:ascii="Cambria" w:hAnsi="Cambria"/>
          <w:color w:val="auto"/>
          <w:sz w:val="20"/>
          <w:szCs w:val="20"/>
          <w:lang w:val="es-ES"/>
        </w:rPr>
        <w:t xml:space="preserve">judiciales </w:t>
      </w:r>
      <w:r w:rsidR="006E0CBE" w:rsidRPr="007B2915">
        <w:rPr>
          <w:rFonts w:ascii="Cambria" w:hAnsi="Cambria"/>
          <w:color w:val="auto"/>
          <w:sz w:val="20"/>
          <w:szCs w:val="20"/>
          <w:lang w:val="es-ES"/>
        </w:rPr>
        <w:t xml:space="preserve">que ordenaron la nivelación de sus derechos pensionarios. </w:t>
      </w:r>
      <w:r w:rsidR="002C39DB" w:rsidRPr="007B2915">
        <w:rPr>
          <w:rFonts w:ascii="Cambria" w:hAnsi="Cambria"/>
          <w:color w:val="auto"/>
          <w:sz w:val="20"/>
          <w:szCs w:val="20"/>
          <w:lang w:val="es-ES"/>
        </w:rPr>
        <w:t xml:space="preserve">En relación con el </w:t>
      </w:r>
      <w:r w:rsidR="002C39DB" w:rsidRPr="007B2915">
        <w:rPr>
          <w:rFonts w:ascii="Cambria" w:hAnsi="Cambria"/>
          <w:b/>
          <w:color w:val="auto"/>
          <w:sz w:val="20"/>
          <w:szCs w:val="20"/>
          <w:lang w:val="es-ES"/>
        </w:rPr>
        <w:t>derecho a la propiedad privada</w:t>
      </w:r>
      <w:r w:rsidR="002C39DB" w:rsidRPr="007B2915">
        <w:rPr>
          <w:rFonts w:ascii="Cambria" w:hAnsi="Cambria"/>
          <w:color w:val="auto"/>
          <w:sz w:val="20"/>
          <w:szCs w:val="20"/>
          <w:lang w:val="es-ES"/>
        </w:rPr>
        <w:t xml:space="preserve">, </w:t>
      </w:r>
      <w:r w:rsidR="00D30782" w:rsidRPr="007B2915">
        <w:rPr>
          <w:rFonts w:ascii="Cambria" w:hAnsi="Cambria"/>
          <w:color w:val="auto"/>
          <w:sz w:val="20"/>
          <w:szCs w:val="20"/>
          <w:lang w:val="es-ES"/>
        </w:rPr>
        <w:t>el peticionario alegó que la falta de pago de sus pensiones conforme a lo ordenado por sentencias judiciales en firme afectó su patrimonio.</w:t>
      </w:r>
    </w:p>
    <w:p w:rsidR="00B22F7D" w:rsidRPr="007B2915" w:rsidRDefault="00B22F7D" w:rsidP="00D8343A">
      <w:pPr>
        <w:rPr>
          <w:rFonts w:ascii="Cambria" w:hAnsi="Cambria"/>
          <w:sz w:val="20"/>
          <w:szCs w:val="20"/>
          <w:lang w:val="es-ES_tradnl"/>
        </w:rPr>
      </w:pPr>
    </w:p>
    <w:p w:rsidR="00DB43BD" w:rsidRPr="007B2915" w:rsidRDefault="00DB43BD" w:rsidP="00D8343A">
      <w:pPr>
        <w:pStyle w:val="Ttulo2"/>
        <w:rPr>
          <w:szCs w:val="20"/>
        </w:rPr>
      </w:pPr>
      <w:bookmarkStart w:id="23" w:name="_Toc370831284"/>
      <w:bookmarkStart w:id="24" w:name="_Toc412635573"/>
      <w:bookmarkStart w:id="25" w:name="_Toc416685629"/>
      <w:bookmarkStart w:id="26" w:name="_Toc346449081"/>
      <w:bookmarkStart w:id="27" w:name="_Toc474398488"/>
      <w:r w:rsidRPr="007B2915">
        <w:rPr>
          <w:szCs w:val="20"/>
        </w:rPr>
        <w:t xml:space="preserve">B. </w:t>
      </w:r>
      <w:r w:rsidRPr="007B2915">
        <w:rPr>
          <w:szCs w:val="20"/>
        </w:rPr>
        <w:tab/>
        <w:t>Posición del Estado</w:t>
      </w:r>
      <w:bookmarkEnd w:id="23"/>
      <w:bookmarkEnd w:id="24"/>
      <w:bookmarkEnd w:id="25"/>
      <w:bookmarkEnd w:id="26"/>
      <w:bookmarkEnd w:id="27"/>
    </w:p>
    <w:p w:rsidR="00DB43BD" w:rsidRPr="007B2915" w:rsidRDefault="00DB43BD" w:rsidP="00D8343A">
      <w:pPr>
        <w:ind w:firstLine="567"/>
        <w:rPr>
          <w:rFonts w:ascii="Cambria" w:hAnsi="Cambria"/>
          <w:sz w:val="20"/>
          <w:szCs w:val="20"/>
          <w:lang w:val="es-AR"/>
        </w:rPr>
      </w:pPr>
    </w:p>
    <w:p w:rsidR="002D143C" w:rsidRPr="007B2915" w:rsidRDefault="0082235D" w:rsidP="00D8343A">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rPr>
      </w:pPr>
      <w:r w:rsidRPr="007B2915">
        <w:rPr>
          <w:rFonts w:ascii="Cambria" w:hAnsi="Cambria"/>
          <w:color w:val="auto"/>
          <w:sz w:val="20"/>
          <w:szCs w:val="20"/>
        </w:rPr>
        <w:t xml:space="preserve">El Estado </w:t>
      </w:r>
      <w:r w:rsidR="001D06C1" w:rsidRPr="007B2915">
        <w:rPr>
          <w:rFonts w:ascii="Cambria" w:hAnsi="Cambria"/>
          <w:color w:val="auto"/>
          <w:sz w:val="20"/>
          <w:szCs w:val="20"/>
        </w:rPr>
        <w:t xml:space="preserve">reconoció la ocurrencia de los hechos denunciados por </w:t>
      </w:r>
      <w:r w:rsidR="00AF6F28" w:rsidRPr="007B2915">
        <w:rPr>
          <w:rFonts w:ascii="Cambria" w:hAnsi="Cambria"/>
          <w:color w:val="auto"/>
          <w:sz w:val="20"/>
          <w:szCs w:val="20"/>
        </w:rPr>
        <w:t xml:space="preserve">el peticionario, así como de las sentencias emitidas por la Corte Suprema de Justicia y el Tribunal Constitucional en 1993 y 1999, respectivamente. Sostuvo que, sin perjuicio de ello, no es responsable </w:t>
      </w:r>
      <w:r w:rsidR="007976D3" w:rsidRPr="007B2915">
        <w:rPr>
          <w:rFonts w:ascii="Cambria" w:hAnsi="Cambria"/>
          <w:color w:val="auto"/>
          <w:sz w:val="20"/>
          <w:szCs w:val="20"/>
        </w:rPr>
        <w:t>por</w:t>
      </w:r>
      <w:r w:rsidR="00AF6F28" w:rsidRPr="007B2915">
        <w:rPr>
          <w:rFonts w:ascii="Cambria" w:hAnsi="Cambria"/>
          <w:color w:val="auto"/>
          <w:sz w:val="20"/>
          <w:szCs w:val="20"/>
        </w:rPr>
        <w:t xml:space="preserve"> las violaciones alegadas por el peticionario</w:t>
      </w:r>
      <w:r w:rsidR="00306C6B" w:rsidRPr="007B2915">
        <w:rPr>
          <w:rFonts w:ascii="Cambria" w:hAnsi="Cambria"/>
          <w:color w:val="auto"/>
          <w:sz w:val="20"/>
          <w:szCs w:val="20"/>
        </w:rPr>
        <w:t xml:space="preserve"> en tanto</w:t>
      </w:r>
      <w:r w:rsidR="007976D3" w:rsidRPr="007B2915">
        <w:rPr>
          <w:rFonts w:ascii="Cambria" w:hAnsi="Cambria"/>
          <w:color w:val="auto"/>
          <w:sz w:val="20"/>
          <w:szCs w:val="20"/>
        </w:rPr>
        <w:t xml:space="preserve"> en </w:t>
      </w:r>
      <w:r w:rsidR="00306C6B" w:rsidRPr="007B2915">
        <w:rPr>
          <w:rFonts w:ascii="Cambria" w:hAnsi="Cambria"/>
          <w:color w:val="auto"/>
          <w:sz w:val="20"/>
          <w:szCs w:val="20"/>
        </w:rPr>
        <w:t>cada uno de los procesos seguidos por el señor Muelle</w:t>
      </w:r>
      <w:r w:rsidR="007976D3" w:rsidRPr="007B2915">
        <w:rPr>
          <w:rFonts w:ascii="Cambria" w:hAnsi="Cambria"/>
          <w:color w:val="auto"/>
          <w:sz w:val="20"/>
          <w:szCs w:val="20"/>
        </w:rPr>
        <w:t xml:space="preserve"> se</w:t>
      </w:r>
      <w:r w:rsidR="00306C6B" w:rsidRPr="007B2915">
        <w:rPr>
          <w:rFonts w:ascii="Cambria" w:hAnsi="Cambria"/>
          <w:color w:val="auto"/>
          <w:sz w:val="20"/>
          <w:szCs w:val="20"/>
        </w:rPr>
        <w:t xml:space="preserve"> respetaron las garantías judiciales</w:t>
      </w:r>
      <w:r w:rsidR="00AF6F28" w:rsidRPr="007B2915">
        <w:rPr>
          <w:rFonts w:ascii="Cambria" w:hAnsi="Cambria"/>
          <w:color w:val="auto"/>
          <w:sz w:val="20"/>
          <w:szCs w:val="20"/>
        </w:rPr>
        <w:t xml:space="preserve">. </w:t>
      </w:r>
      <w:r w:rsidR="002D143C" w:rsidRPr="007B2915">
        <w:rPr>
          <w:rFonts w:ascii="Cambria" w:hAnsi="Cambria"/>
          <w:color w:val="auto"/>
          <w:sz w:val="20"/>
          <w:szCs w:val="20"/>
          <w:lang w:val="es-ES"/>
        </w:rPr>
        <w:t>Agregó que las deudas de carácter pensionario se rigen por las disposiciones internas de cada país. Sostuvo que debido a ello los montos de los beneficios sociales a favor del peticionario “se determinarán en aplicación de las normas vigentes en su momento”.</w:t>
      </w:r>
    </w:p>
    <w:p w:rsidR="002D143C" w:rsidRPr="007B2915" w:rsidRDefault="002D143C" w:rsidP="00D8343A">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rPr>
      </w:pPr>
    </w:p>
    <w:p w:rsidR="00306C6B" w:rsidRPr="007B2915" w:rsidRDefault="00031423" w:rsidP="00D8343A">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rPr>
      </w:pPr>
      <w:r w:rsidRPr="007B2915">
        <w:rPr>
          <w:rFonts w:ascii="Cambria" w:hAnsi="Cambria"/>
          <w:color w:val="auto"/>
          <w:sz w:val="20"/>
          <w:szCs w:val="20"/>
        </w:rPr>
        <w:t>E</w:t>
      </w:r>
      <w:r w:rsidR="00306C6B" w:rsidRPr="007B2915">
        <w:rPr>
          <w:rFonts w:ascii="Cambria" w:hAnsi="Cambria"/>
          <w:color w:val="auto"/>
          <w:sz w:val="20"/>
          <w:szCs w:val="20"/>
        </w:rPr>
        <w:t>l Estado indicó que el Tribunal Constitucional</w:t>
      </w:r>
      <w:r w:rsidR="009D4297" w:rsidRPr="007B2915">
        <w:rPr>
          <w:rFonts w:ascii="Cambria" w:hAnsi="Cambria"/>
          <w:color w:val="auto"/>
          <w:sz w:val="20"/>
          <w:szCs w:val="20"/>
        </w:rPr>
        <w:t xml:space="preserve">, </w:t>
      </w:r>
      <w:r w:rsidR="00306C6B" w:rsidRPr="007B2915">
        <w:rPr>
          <w:rFonts w:ascii="Cambria" w:hAnsi="Cambria"/>
          <w:color w:val="auto"/>
          <w:sz w:val="20"/>
          <w:szCs w:val="20"/>
        </w:rPr>
        <w:t xml:space="preserve">emitió una sentencia en el año 2005 en donde indicó que “cuando los pensionistas </w:t>
      </w:r>
      <w:r w:rsidR="009D4297" w:rsidRPr="007B2915">
        <w:rPr>
          <w:rFonts w:ascii="Cambria" w:hAnsi="Cambria"/>
          <w:color w:val="auto"/>
          <w:sz w:val="20"/>
          <w:szCs w:val="20"/>
        </w:rPr>
        <w:t>pretenden que se mantenga un sistema de reajuste pensionario (…) no están buscando otra cosa que utilizar ventajosamente su derecho a la pensión</w:t>
      </w:r>
      <w:r w:rsidR="00306C6B" w:rsidRPr="007B2915">
        <w:rPr>
          <w:rFonts w:ascii="Cambria" w:hAnsi="Cambria"/>
          <w:color w:val="auto"/>
          <w:sz w:val="20"/>
          <w:szCs w:val="20"/>
        </w:rPr>
        <w:t>”</w:t>
      </w:r>
      <w:r w:rsidR="009D4297" w:rsidRPr="007B2915">
        <w:rPr>
          <w:rFonts w:ascii="Cambria" w:hAnsi="Cambria"/>
          <w:color w:val="auto"/>
          <w:sz w:val="20"/>
          <w:szCs w:val="20"/>
        </w:rPr>
        <w:t xml:space="preserve">. El Estado sostuvo que conforme a dicha sentencia la pretensión del señor Muelle para que se le abone una pensión equivalente al cargo que tenía de Gerente General no debe proceder. </w:t>
      </w:r>
    </w:p>
    <w:p w:rsidR="002D143C" w:rsidRPr="007B2915" w:rsidRDefault="002D143C" w:rsidP="00BB6415">
      <w:pPr>
        <w:pStyle w:val="Cuadrculamedia1-nfasis2"/>
        <w:ind w:left="0"/>
        <w:rPr>
          <w:rFonts w:ascii="Cambria" w:hAnsi="Cambria"/>
          <w:sz w:val="20"/>
          <w:szCs w:val="20"/>
          <w:lang w:val="es-ES"/>
        </w:rPr>
      </w:pPr>
    </w:p>
    <w:p w:rsidR="00031423" w:rsidRPr="007B2915" w:rsidRDefault="002D143C" w:rsidP="00D8343A">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rPr>
      </w:pPr>
      <w:r w:rsidRPr="007B2915">
        <w:rPr>
          <w:rFonts w:ascii="Cambria" w:hAnsi="Cambria"/>
          <w:color w:val="auto"/>
          <w:sz w:val="20"/>
          <w:szCs w:val="20"/>
        </w:rPr>
        <w:t>En su</w:t>
      </w:r>
      <w:r w:rsidR="00031423" w:rsidRPr="007B2915">
        <w:rPr>
          <w:rFonts w:ascii="Cambria" w:hAnsi="Cambria"/>
          <w:color w:val="auto"/>
          <w:sz w:val="20"/>
          <w:szCs w:val="20"/>
        </w:rPr>
        <w:t>s</w:t>
      </w:r>
      <w:r w:rsidRPr="007B2915">
        <w:rPr>
          <w:rFonts w:ascii="Cambria" w:hAnsi="Cambria"/>
          <w:color w:val="auto"/>
          <w:sz w:val="20"/>
          <w:szCs w:val="20"/>
        </w:rPr>
        <w:t xml:space="preserve"> informe</w:t>
      </w:r>
      <w:r w:rsidR="00031423" w:rsidRPr="007B2915">
        <w:rPr>
          <w:rFonts w:ascii="Cambria" w:hAnsi="Cambria"/>
          <w:color w:val="auto"/>
          <w:sz w:val="20"/>
          <w:szCs w:val="20"/>
        </w:rPr>
        <w:t>s</w:t>
      </w:r>
      <w:r w:rsidRPr="007B2915">
        <w:rPr>
          <w:rFonts w:ascii="Cambria" w:hAnsi="Cambria"/>
          <w:color w:val="auto"/>
          <w:sz w:val="20"/>
          <w:szCs w:val="20"/>
        </w:rPr>
        <w:t xml:space="preserve"> de noviembre de 2012 </w:t>
      </w:r>
      <w:r w:rsidR="00031423" w:rsidRPr="007B2915">
        <w:rPr>
          <w:rFonts w:ascii="Cambria" w:hAnsi="Cambria"/>
          <w:color w:val="auto"/>
          <w:sz w:val="20"/>
          <w:szCs w:val="20"/>
        </w:rPr>
        <w:t xml:space="preserve">y 2013, </w:t>
      </w:r>
      <w:r w:rsidRPr="007B2915">
        <w:rPr>
          <w:rFonts w:ascii="Cambria" w:hAnsi="Cambria"/>
          <w:color w:val="auto"/>
          <w:sz w:val="20"/>
          <w:szCs w:val="20"/>
        </w:rPr>
        <w:t xml:space="preserve">el Estado peruano sostuvo que </w:t>
      </w:r>
      <w:r w:rsidR="00031423" w:rsidRPr="007B2915">
        <w:rPr>
          <w:rFonts w:ascii="Cambria" w:hAnsi="Cambria"/>
          <w:color w:val="auto"/>
          <w:sz w:val="20"/>
          <w:szCs w:val="20"/>
        </w:rPr>
        <w:t>el proceso de cumplimiento de la sentencia de la Corte Suprema de Justicia de 1993 se encuentra en etapa de ejecución de sentencia.</w:t>
      </w:r>
      <w:r w:rsidR="00A72B2E" w:rsidRPr="007B2915">
        <w:rPr>
          <w:rFonts w:ascii="Cambria" w:hAnsi="Cambria"/>
          <w:color w:val="auto"/>
          <w:sz w:val="20"/>
          <w:szCs w:val="20"/>
        </w:rPr>
        <w:t xml:space="preserve"> Reiteró</w:t>
      </w:r>
      <w:r w:rsidR="00031423" w:rsidRPr="007B2915">
        <w:rPr>
          <w:rFonts w:ascii="Cambria" w:hAnsi="Cambria"/>
          <w:color w:val="auto"/>
          <w:sz w:val="20"/>
          <w:szCs w:val="20"/>
        </w:rPr>
        <w:t xml:space="preserve"> que </w:t>
      </w:r>
      <w:r w:rsidR="00445D29" w:rsidRPr="007B2915">
        <w:rPr>
          <w:rFonts w:ascii="Cambria" w:hAnsi="Cambria"/>
          <w:color w:val="auto"/>
          <w:sz w:val="20"/>
          <w:szCs w:val="20"/>
        </w:rPr>
        <w:t>el establecimiento</w:t>
      </w:r>
      <w:r w:rsidR="00031423" w:rsidRPr="007B2915">
        <w:rPr>
          <w:rFonts w:ascii="Cambria" w:hAnsi="Cambria"/>
          <w:color w:val="auto"/>
          <w:sz w:val="20"/>
          <w:szCs w:val="20"/>
        </w:rPr>
        <w:t xml:space="preserve"> de las pensiones y demás beneficios económicos “serán determinados en sede judicial”.</w:t>
      </w:r>
    </w:p>
    <w:p w:rsidR="00BD53F4" w:rsidRPr="007B2915" w:rsidRDefault="00BD53F4" w:rsidP="00D8343A">
      <w:pPr>
        <w:jc w:val="both"/>
        <w:rPr>
          <w:rFonts w:ascii="Cambria" w:hAnsi="Cambria"/>
          <w:sz w:val="20"/>
          <w:szCs w:val="20"/>
          <w:lang w:val="es-AR"/>
        </w:rPr>
      </w:pPr>
    </w:p>
    <w:p w:rsidR="00DB43BD" w:rsidRPr="007B2915" w:rsidRDefault="0082235D" w:rsidP="00D8343A">
      <w:pPr>
        <w:pStyle w:val="Ttulo1"/>
        <w:ind w:firstLine="0"/>
        <w:rPr>
          <w:color w:val="auto"/>
          <w:lang w:val="es-ES_tradnl"/>
        </w:rPr>
      </w:pPr>
      <w:bookmarkStart w:id="28" w:name="_Toc346449082"/>
      <w:bookmarkStart w:id="29" w:name="_Toc474398489"/>
      <w:r w:rsidRPr="007B2915">
        <w:rPr>
          <w:color w:val="auto"/>
        </w:rPr>
        <w:t>HECHOS PROBADOS</w:t>
      </w:r>
      <w:bookmarkEnd w:id="28"/>
      <w:bookmarkEnd w:id="29"/>
    </w:p>
    <w:p w:rsidR="00DB43BD" w:rsidRPr="007B2915" w:rsidRDefault="00DB43BD" w:rsidP="00D8343A">
      <w:pPr>
        <w:ind w:firstLine="567"/>
        <w:rPr>
          <w:rFonts w:ascii="Cambria" w:hAnsi="Cambria"/>
          <w:sz w:val="20"/>
          <w:szCs w:val="20"/>
          <w:lang w:val="es-ES_tradnl"/>
        </w:rPr>
      </w:pPr>
      <w:r w:rsidRPr="007B2915">
        <w:rPr>
          <w:rFonts w:ascii="Cambria" w:hAnsi="Cambria"/>
          <w:sz w:val="20"/>
          <w:szCs w:val="20"/>
          <w:lang w:val="es-ES_tradnl"/>
        </w:rPr>
        <w:t xml:space="preserve"> </w:t>
      </w:r>
    </w:p>
    <w:p w:rsidR="00DB43BD" w:rsidRPr="007B2915" w:rsidRDefault="006813E1" w:rsidP="006813E1">
      <w:pPr>
        <w:pStyle w:val="Ttulo2"/>
        <w:jc w:val="both"/>
        <w:rPr>
          <w:szCs w:val="20"/>
        </w:rPr>
      </w:pPr>
      <w:bookmarkStart w:id="30" w:name="_Toc370830573"/>
      <w:bookmarkStart w:id="31" w:name="_Toc370831286"/>
      <w:bookmarkStart w:id="32" w:name="_Toc412635575"/>
      <w:bookmarkStart w:id="33" w:name="_Toc416685631"/>
      <w:bookmarkStart w:id="34" w:name="_Toc346449083"/>
      <w:bookmarkStart w:id="35" w:name="_Toc474398490"/>
      <w:r w:rsidRPr="007B2915">
        <w:rPr>
          <w:szCs w:val="20"/>
        </w:rPr>
        <w:t>A</w:t>
      </w:r>
      <w:r w:rsidR="00DB43BD" w:rsidRPr="007B2915">
        <w:rPr>
          <w:szCs w:val="20"/>
        </w:rPr>
        <w:t>.</w:t>
      </w:r>
      <w:r w:rsidR="00DB43BD" w:rsidRPr="007B2915">
        <w:rPr>
          <w:szCs w:val="20"/>
        </w:rPr>
        <w:tab/>
      </w:r>
      <w:bookmarkEnd w:id="30"/>
      <w:bookmarkEnd w:id="31"/>
      <w:bookmarkEnd w:id="32"/>
      <w:bookmarkEnd w:id="33"/>
      <w:r w:rsidR="0082235D" w:rsidRPr="007B2915">
        <w:rPr>
          <w:szCs w:val="20"/>
        </w:rPr>
        <w:t xml:space="preserve">Sobre la </w:t>
      </w:r>
      <w:r w:rsidR="00667622" w:rsidRPr="007B2915">
        <w:rPr>
          <w:szCs w:val="20"/>
        </w:rPr>
        <w:t>situación del señor Muelle hasta febrero de 1991</w:t>
      </w:r>
      <w:bookmarkEnd w:id="34"/>
      <w:bookmarkEnd w:id="35"/>
    </w:p>
    <w:p w:rsidR="00DB43BD" w:rsidRPr="007B2915" w:rsidRDefault="00DB43BD" w:rsidP="00D8343A">
      <w:pPr>
        <w:ind w:firstLine="567"/>
        <w:rPr>
          <w:rFonts w:ascii="Cambria" w:hAnsi="Cambria" w:cs="Arial"/>
          <w:iCs/>
          <w:sz w:val="20"/>
          <w:szCs w:val="20"/>
          <w:lang w:val="es-ES_tradnl"/>
        </w:rPr>
      </w:pPr>
    </w:p>
    <w:p w:rsidR="00524B6F" w:rsidRPr="007B2915" w:rsidRDefault="00611A5C" w:rsidP="00D8343A">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rPr>
      </w:pPr>
      <w:bookmarkStart w:id="36" w:name="_Toc370830574"/>
      <w:bookmarkStart w:id="37" w:name="_Toc370831287"/>
      <w:r w:rsidRPr="007B2915">
        <w:rPr>
          <w:rFonts w:ascii="Cambria" w:hAnsi="Cambria"/>
          <w:color w:val="auto"/>
          <w:sz w:val="20"/>
          <w:szCs w:val="20"/>
        </w:rPr>
        <w:lastRenderedPageBreak/>
        <w:t xml:space="preserve">Oscar Muelle Flores </w:t>
      </w:r>
      <w:r w:rsidR="00524B6F" w:rsidRPr="007B2915">
        <w:rPr>
          <w:rFonts w:ascii="Cambria" w:hAnsi="Cambria"/>
          <w:color w:val="auto"/>
          <w:sz w:val="20"/>
          <w:szCs w:val="20"/>
        </w:rPr>
        <w:t>trabajó para la empresa minera estatal “Tintaya”</w:t>
      </w:r>
      <w:r w:rsidR="00524B6F" w:rsidRPr="007B2915">
        <w:rPr>
          <w:rStyle w:val="Refdenotaalpie"/>
          <w:rFonts w:ascii="Cambria" w:hAnsi="Cambria"/>
          <w:color w:val="auto"/>
          <w:sz w:val="20"/>
          <w:szCs w:val="20"/>
        </w:rPr>
        <w:footnoteReference w:id="5"/>
      </w:r>
      <w:r w:rsidR="00524B6F" w:rsidRPr="007B2915">
        <w:rPr>
          <w:rFonts w:ascii="Cambria" w:hAnsi="Cambria"/>
          <w:color w:val="auto"/>
          <w:sz w:val="20"/>
          <w:szCs w:val="20"/>
        </w:rPr>
        <w:t xml:space="preserve"> desde el 1 de junio de 1981 hasta 1990</w:t>
      </w:r>
      <w:r w:rsidR="00524B6F" w:rsidRPr="007B2915">
        <w:rPr>
          <w:rStyle w:val="Refdenotaalpie"/>
          <w:rFonts w:ascii="Cambria" w:hAnsi="Cambria"/>
          <w:color w:val="auto"/>
          <w:sz w:val="20"/>
          <w:szCs w:val="20"/>
        </w:rPr>
        <w:footnoteReference w:id="6"/>
      </w:r>
      <w:r w:rsidR="00524B6F" w:rsidRPr="007B2915">
        <w:rPr>
          <w:rFonts w:ascii="Cambria" w:hAnsi="Cambria"/>
          <w:color w:val="auto"/>
          <w:sz w:val="20"/>
          <w:szCs w:val="20"/>
        </w:rPr>
        <w:t>. El señor Muelle ocupó diversos cargos dentro de la empresa, siendo el último el de Gerente General</w:t>
      </w:r>
      <w:r w:rsidR="00524B6F" w:rsidRPr="007B2915">
        <w:rPr>
          <w:rStyle w:val="Refdenotaalpie"/>
          <w:rFonts w:ascii="Cambria" w:hAnsi="Cambria"/>
          <w:color w:val="auto"/>
          <w:sz w:val="20"/>
          <w:szCs w:val="20"/>
        </w:rPr>
        <w:footnoteReference w:id="7"/>
      </w:r>
      <w:r w:rsidR="00524B6F" w:rsidRPr="007B2915">
        <w:rPr>
          <w:rFonts w:ascii="Cambria" w:hAnsi="Cambria"/>
          <w:color w:val="auto"/>
          <w:sz w:val="20"/>
          <w:szCs w:val="20"/>
        </w:rPr>
        <w:t xml:space="preserve">. </w:t>
      </w:r>
    </w:p>
    <w:p w:rsidR="00EB7938" w:rsidRPr="007B2915" w:rsidRDefault="00EB7938" w:rsidP="00D8343A">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olor w:val="auto"/>
          <w:sz w:val="20"/>
          <w:szCs w:val="20"/>
        </w:rPr>
      </w:pPr>
    </w:p>
    <w:p w:rsidR="00035A3E" w:rsidRPr="007B2915" w:rsidRDefault="00BA205D" w:rsidP="00D8343A">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rPr>
      </w:pPr>
      <w:r w:rsidRPr="007B2915">
        <w:rPr>
          <w:rFonts w:ascii="Cambria" w:hAnsi="Cambria"/>
          <w:color w:val="auto"/>
          <w:sz w:val="20"/>
          <w:szCs w:val="20"/>
        </w:rPr>
        <w:t>El 15 de mayo de 1990 la empresa</w:t>
      </w:r>
      <w:r w:rsidR="00445D29" w:rsidRPr="007B2915">
        <w:rPr>
          <w:rFonts w:ascii="Cambria" w:hAnsi="Cambria"/>
          <w:color w:val="auto"/>
          <w:sz w:val="20"/>
          <w:szCs w:val="20"/>
        </w:rPr>
        <w:t xml:space="preserve"> estatal</w:t>
      </w:r>
      <w:r w:rsidRPr="007B2915">
        <w:rPr>
          <w:rFonts w:ascii="Cambria" w:hAnsi="Cambria"/>
          <w:color w:val="auto"/>
          <w:sz w:val="20"/>
          <w:szCs w:val="20"/>
        </w:rPr>
        <w:t xml:space="preserve"> emitió </w:t>
      </w:r>
      <w:r w:rsidR="00524B6F" w:rsidRPr="007B2915">
        <w:rPr>
          <w:rFonts w:ascii="Cambria" w:hAnsi="Cambria"/>
          <w:color w:val="auto"/>
          <w:sz w:val="20"/>
          <w:szCs w:val="20"/>
        </w:rPr>
        <w:t>la Resolución No. A</w:t>
      </w:r>
      <w:r w:rsidR="00035A3E" w:rsidRPr="007B2915">
        <w:rPr>
          <w:rFonts w:ascii="Cambria" w:hAnsi="Cambria"/>
          <w:color w:val="auto"/>
          <w:sz w:val="20"/>
          <w:szCs w:val="20"/>
        </w:rPr>
        <w:t>D-0884/90-R</w:t>
      </w:r>
      <w:r w:rsidR="00035A3E" w:rsidRPr="007B2915">
        <w:rPr>
          <w:rStyle w:val="Refdenotaalpie"/>
          <w:rFonts w:ascii="Cambria" w:hAnsi="Cambria"/>
          <w:color w:val="auto"/>
          <w:sz w:val="20"/>
          <w:szCs w:val="20"/>
        </w:rPr>
        <w:footnoteReference w:id="8"/>
      </w:r>
      <w:r w:rsidR="00035A3E" w:rsidRPr="007B2915">
        <w:rPr>
          <w:rFonts w:ascii="Cambria" w:hAnsi="Cambria"/>
          <w:color w:val="auto"/>
          <w:sz w:val="20"/>
          <w:szCs w:val="20"/>
        </w:rPr>
        <w:t>.</w:t>
      </w:r>
      <w:r w:rsidRPr="007B2915">
        <w:rPr>
          <w:rFonts w:ascii="Cambria" w:hAnsi="Cambria"/>
          <w:color w:val="auto"/>
          <w:sz w:val="20"/>
          <w:szCs w:val="20"/>
        </w:rPr>
        <w:t xml:space="preserve"> </w:t>
      </w:r>
      <w:r w:rsidR="00035A3E" w:rsidRPr="007B2915">
        <w:rPr>
          <w:rFonts w:ascii="Cambria" w:hAnsi="Cambria"/>
          <w:color w:val="auto"/>
          <w:sz w:val="20"/>
          <w:szCs w:val="20"/>
        </w:rPr>
        <w:t xml:space="preserve">Dicha resolución </w:t>
      </w:r>
      <w:r w:rsidRPr="007B2915">
        <w:rPr>
          <w:rFonts w:ascii="Cambria" w:hAnsi="Cambria"/>
          <w:color w:val="auto"/>
          <w:sz w:val="20"/>
          <w:szCs w:val="20"/>
        </w:rPr>
        <w:t xml:space="preserve">incorporó al señor Muelle al régimen pensionario del Decreto Ley </w:t>
      </w:r>
      <w:r w:rsidR="00D8343A" w:rsidRPr="007B2915">
        <w:rPr>
          <w:rFonts w:ascii="Cambria" w:hAnsi="Cambria"/>
          <w:color w:val="auto"/>
          <w:sz w:val="20"/>
          <w:szCs w:val="20"/>
        </w:rPr>
        <w:t>20530</w:t>
      </w:r>
      <w:r w:rsidR="006813E1" w:rsidRPr="007B2915">
        <w:rPr>
          <w:rFonts w:ascii="Cambria" w:hAnsi="Cambria"/>
          <w:color w:val="auto"/>
          <w:sz w:val="20"/>
          <w:szCs w:val="20"/>
        </w:rPr>
        <w:t xml:space="preserve"> - Régimen de Pensiones y Compensaciones por Servicios Civiles Prestados al Estado</w:t>
      </w:r>
      <w:r w:rsidR="00F13781" w:rsidRPr="007B2915">
        <w:rPr>
          <w:rStyle w:val="Refdenotaalpie"/>
          <w:rFonts w:ascii="Cambria" w:hAnsi="Cambria"/>
          <w:color w:val="auto"/>
          <w:sz w:val="20"/>
          <w:szCs w:val="20"/>
        </w:rPr>
        <w:footnoteReference w:id="9"/>
      </w:r>
      <w:r w:rsidR="00035A3E" w:rsidRPr="007B2915">
        <w:rPr>
          <w:rFonts w:ascii="Cambria" w:hAnsi="Cambria"/>
          <w:color w:val="auto"/>
          <w:sz w:val="20"/>
          <w:szCs w:val="20"/>
        </w:rPr>
        <w:t>, en donde se le reconoció 35 años, 10 meses y 27 días de servicios brindados al Estado</w:t>
      </w:r>
      <w:r w:rsidR="00C83080" w:rsidRPr="007B2915">
        <w:rPr>
          <w:rStyle w:val="Refdenotaalpie"/>
          <w:rFonts w:ascii="Cambria" w:hAnsi="Cambria"/>
          <w:color w:val="auto"/>
          <w:sz w:val="20"/>
          <w:szCs w:val="20"/>
          <w:lang w:val="es-AR"/>
        </w:rPr>
        <w:footnoteReference w:id="10"/>
      </w:r>
      <w:r w:rsidRPr="007B2915">
        <w:rPr>
          <w:rFonts w:ascii="Cambria" w:hAnsi="Cambria"/>
          <w:color w:val="auto"/>
          <w:sz w:val="20"/>
          <w:szCs w:val="20"/>
        </w:rPr>
        <w:t>.</w:t>
      </w:r>
      <w:r w:rsidR="00AC0E8A" w:rsidRPr="007B2915">
        <w:rPr>
          <w:rFonts w:ascii="Cambria" w:hAnsi="Cambria"/>
          <w:color w:val="auto"/>
          <w:sz w:val="20"/>
          <w:szCs w:val="20"/>
        </w:rPr>
        <w:t xml:space="preserve"> </w:t>
      </w:r>
    </w:p>
    <w:p w:rsidR="006813E1" w:rsidRPr="007B2915" w:rsidRDefault="006813E1" w:rsidP="006813E1">
      <w:pPr>
        <w:pStyle w:val="Cuadrculamedia1-nfasis2"/>
        <w:rPr>
          <w:rFonts w:ascii="Cambria" w:hAnsi="Cambria"/>
          <w:sz w:val="20"/>
          <w:szCs w:val="20"/>
          <w:lang w:val="es-ES"/>
        </w:rPr>
      </w:pPr>
    </w:p>
    <w:p w:rsidR="006813E1" w:rsidRPr="007B2915" w:rsidRDefault="006813E1" w:rsidP="00D8343A">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rPr>
      </w:pPr>
      <w:r w:rsidRPr="007B2915">
        <w:rPr>
          <w:rFonts w:ascii="Cambria" w:hAnsi="Cambria"/>
          <w:color w:val="auto"/>
          <w:sz w:val="20"/>
          <w:szCs w:val="20"/>
        </w:rPr>
        <w:t xml:space="preserve">El Decreto Ley 20530 </w:t>
      </w:r>
      <w:r w:rsidR="00F13781" w:rsidRPr="007B2915">
        <w:rPr>
          <w:rFonts w:ascii="Cambria" w:hAnsi="Cambria"/>
          <w:color w:val="auto"/>
          <w:sz w:val="20"/>
          <w:szCs w:val="20"/>
        </w:rPr>
        <w:t xml:space="preserve">establece, </w:t>
      </w:r>
      <w:r w:rsidR="00E734E0" w:rsidRPr="007B2915">
        <w:rPr>
          <w:rFonts w:ascii="Cambria" w:hAnsi="Cambria"/>
          <w:color w:val="auto"/>
          <w:sz w:val="20"/>
          <w:szCs w:val="20"/>
        </w:rPr>
        <w:t xml:space="preserve">en lo pertinente, </w:t>
      </w:r>
      <w:r w:rsidR="00F13781" w:rsidRPr="007B2915">
        <w:rPr>
          <w:rFonts w:ascii="Cambria" w:hAnsi="Cambria"/>
          <w:color w:val="auto"/>
          <w:sz w:val="20"/>
          <w:szCs w:val="20"/>
        </w:rPr>
        <w:t>lo siguiente:</w:t>
      </w:r>
    </w:p>
    <w:p w:rsidR="00F13781" w:rsidRPr="007B2915" w:rsidRDefault="00F13781" w:rsidP="00353ED9">
      <w:pPr>
        <w:pStyle w:val="Cuadrculamedia1-nfasis2"/>
        <w:rPr>
          <w:rFonts w:ascii="Cambria" w:hAnsi="Cambria"/>
          <w:sz w:val="20"/>
          <w:szCs w:val="20"/>
          <w:lang w:val="es-ES"/>
        </w:rPr>
      </w:pPr>
    </w:p>
    <w:p w:rsidR="00F13781" w:rsidRPr="007B2915" w:rsidRDefault="00F13781" w:rsidP="004802B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color w:val="auto"/>
          <w:sz w:val="20"/>
          <w:szCs w:val="20"/>
        </w:rPr>
      </w:pPr>
      <w:r w:rsidRPr="007B2915">
        <w:rPr>
          <w:rFonts w:ascii="Cambria" w:hAnsi="Cambria"/>
          <w:color w:val="auto"/>
          <w:sz w:val="20"/>
          <w:szCs w:val="20"/>
        </w:rPr>
        <w:t>Artículo 4. El trabajador adquiere derecho a la pensión al alcanzar quince años de servicios reales y remunerados, si es hombre; y doce y medio si es mujer.</w:t>
      </w:r>
    </w:p>
    <w:p w:rsidR="00F13781" w:rsidRPr="007B2915" w:rsidRDefault="00F13781" w:rsidP="004802B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rPr>
          <w:rFonts w:ascii="Cambria" w:hAnsi="Cambria"/>
          <w:color w:val="auto"/>
          <w:sz w:val="20"/>
          <w:szCs w:val="20"/>
        </w:rPr>
      </w:pPr>
      <w:r w:rsidRPr="007B2915">
        <w:rPr>
          <w:rFonts w:ascii="Cambria" w:hAnsi="Cambria"/>
          <w:color w:val="auto"/>
          <w:sz w:val="20"/>
          <w:szCs w:val="20"/>
        </w:rPr>
        <w:t xml:space="preserve"> </w:t>
      </w:r>
      <w:r w:rsidRPr="007B2915">
        <w:rPr>
          <w:rFonts w:ascii="Cambria" w:hAnsi="Cambria"/>
          <w:color w:val="auto"/>
          <w:sz w:val="20"/>
          <w:szCs w:val="20"/>
        </w:rPr>
        <w:tab/>
      </w:r>
    </w:p>
    <w:p w:rsidR="00F13781" w:rsidRPr="007B2915" w:rsidRDefault="00F13781" w:rsidP="004802B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color w:val="auto"/>
          <w:sz w:val="20"/>
          <w:szCs w:val="20"/>
        </w:rPr>
      </w:pPr>
      <w:r w:rsidRPr="007B2915">
        <w:rPr>
          <w:rFonts w:ascii="Cambria" w:hAnsi="Cambria" w:hint="eastAsia"/>
          <w:color w:val="auto"/>
          <w:sz w:val="20"/>
          <w:szCs w:val="20"/>
        </w:rPr>
        <w:t>Artículo 12.‐ A efecto de regular pensión o compensación, procede la acumulación de</w:t>
      </w:r>
      <w:r w:rsidRPr="007B2915">
        <w:rPr>
          <w:rFonts w:ascii="Cambria" w:hAnsi="Cambria"/>
          <w:color w:val="auto"/>
          <w:sz w:val="20"/>
          <w:szCs w:val="20"/>
        </w:rPr>
        <w:t xml:space="preserve"> servicios, siempre que éstos no hubiesen sido simultáneos.</w:t>
      </w:r>
    </w:p>
    <w:p w:rsidR="00F13781" w:rsidRPr="007B2915" w:rsidRDefault="00F13781" w:rsidP="004802B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color w:val="auto"/>
          <w:sz w:val="20"/>
          <w:szCs w:val="20"/>
        </w:rPr>
      </w:pPr>
    </w:p>
    <w:p w:rsidR="00F13781" w:rsidRPr="007B2915" w:rsidRDefault="00F13781" w:rsidP="004802B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color w:val="auto"/>
          <w:sz w:val="20"/>
          <w:szCs w:val="20"/>
        </w:rPr>
      </w:pPr>
      <w:r w:rsidRPr="007B2915">
        <w:rPr>
          <w:rFonts w:ascii="Cambria" w:hAnsi="Cambria" w:hint="eastAsia"/>
          <w:color w:val="auto"/>
          <w:sz w:val="20"/>
          <w:szCs w:val="20"/>
        </w:rPr>
        <w:t>Artículo 13.‐  En los casos de acumulación de servicios a que se refiere el Artículo</w:t>
      </w:r>
      <w:r w:rsidRPr="007B2915">
        <w:rPr>
          <w:rFonts w:ascii="Cambria" w:hAnsi="Cambria"/>
          <w:color w:val="auto"/>
          <w:sz w:val="20"/>
          <w:szCs w:val="20"/>
        </w:rPr>
        <w:t xml:space="preserve"> anterior, el pago de la pensión o compensación se efectuará por la entidad en que cese el trabajador. </w:t>
      </w:r>
    </w:p>
    <w:p w:rsidR="00F13781" w:rsidRPr="007B2915" w:rsidRDefault="00F13781" w:rsidP="004802B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color w:val="auto"/>
          <w:sz w:val="20"/>
          <w:szCs w:val="20"/>
        </w:rPr>
      </w:pPr>
    </w:p>
    <w:p w:rsidR="00F13781" w:rsidRPr="007B2915" w:rsidRDefault="00F13781" w:rsidP="004802B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color w:val="auto"/>
          <w:sz w:val="20"/>
          <w:szCs w:val="20"/>
        </w:rPr>
      </w:pPr>
      <w:r w:rsidRPr="007B2915">
        <w:rPr>
          <w:rFonts w:ascii="Cambria" w:hAnsi="Cambria"/>
          <w:color w:val="auto"/>
          <w:sz w:val="20"/>
          <w:szCs w:val="20"/>
        </w:rPr>
        <w:t>Artículo 49. Las pensiones son renovables cuando:</w:t>
      </w:r>
    </w:p>
    <w:p w:rsidR="00F13781" w:rsidRPr="007B2915" w:rsidRDefault="00F13781" w:rsidP="004802B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color w:val="auto"/>
          <w:sz w:val="20"/>
          <w:szCs w:val="20"/>
        </w:rPr>
      </w:pPr>
      <w:r w:rsidRPr="007B2915">
        <w:rPr>
          <w:rFonts w:ascii="Cambria" w:hAnsi="Cambria"/>
          <w:color w:val="auto"/>
          <w:sz w:val="20"/>
          <w:szCs w:val="20"/>
        </w:rPr>
        <w:t>a)   Al cesar, los hombres cuenten con 30 o más años de servicios y las mujeres con 25 o más años de servicios, tengan 60 o 55 años de edad o más, respectivamente, y no hubiesen sido inhabilitados por sentencia judicial ejecutoriada o destituidos por medida disciplinaria; (…)</w:t>
      </w:r>
    </w:p>
    <w:p w:rsidR="00F13781" w:rsidRPr="007B2915" w:rsidRDefault="00F13781" w:rsidP="004802B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color w:val="auto"/>
          <w:sz w:val="20"/>
          <w:szCs w:val="20"/>
        </w:rPr>
      </w:pPr>
    </w:p>
    <w:p w:rsidR="00F13781" w:rsidRPr="007B2915" w:rsidRDefault="00F13781" w:rsidP="004802B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color w:val="auto"/>
          <w:sz w:val="20"/>
          <w:szCs w:val="20"/>
        </w:rPr>
      </w:pPr>
      <w:r w:rsidRPr="007B2915">
        <w:rPr>
          <w:rFonts w:ascii="Cambria" w:hAnsi="Cambria"/>
          <w:color w:val="auto"/>
          <w:sz w:val="20"/>
          <w:szCs w:val="20"/>
        </w:rPr>
        <w:t>Artículo 50. La renovación de la pensión se efectuará en base a las modificaciones de la Escala de Remuneraciones, se tramitará de oficio, se otorgará por Resolución del Titular del Pliego correspondiente, y regirá a partir del mes siguiente a aquél en que se varíe la citada escala</w:t>
      </w:r>
      <w:r w:rsidR="00E734E0" w:rsidRPr="007B2915">
        <w:rPr>
          <w:rFonts w:ascii="Cambria" w:hAnsi="Cambria"/>
          <w:color w:val="auto"/>
          <w:sz w:val="20"/>
          <w:szCs w:val="20"/>
        </w:rPr>
        <w:t>.</w:t>
      </w:r>
    </w:p>
    <w:p w:rsidR="00035A3E" w:rsidRPr="007B2915" w:rsidRDefault="00035A3E" w:rsidP="00BB6415">
      <w:pPr>
        <w:pStyle w:val="Cuadrculamedia1-nfasis2"/>
        <w:ind w:left="0"/>
        <w:rPr>
          <w:rFonts w:ascii="Cambria" w:hAnsi="Cambria"/>
          <w:sz w:val="20"/>
          <w:szCs w:val="20"/>
          <w:lang w:val="es-ES"/>
        </w:rPr>
      </w:pPr>
    </w:p>
    <w:p w:rsidR="000D2456" w:rsidRPr="007B2915" w:rsidRDefault="000D2456" w:rsidP="00BB6415">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s="Times"/>
          <w:color w:val="auto"/>
          <w:sz w:val="20"/>
          <w:szCs w:val="20"/>
          <w:bdr w:val="none" w:sz="0" w:space="0" w:color="auto"/>
        </w:rPr>
      </w:pPr>
      <w:r w:rsidRPr="007B2915">
        <w:rPr>
          <w:rFonts w:ascii="Cambria" w:hAnsi="Cambria" w:cs="Verdana"/>
          <w:color w:val="auto"/>
          <w:sz w:val="20"/>
          <w:szCs w:val="20"/>
          <w:bdr w:val="none" w:sz="0" w:space="0" w:color="auto"/>
        </w:rPr>
        <w:t xml:space="preserve">La </w:t>
      </w:r>
      <w:r w:rsidRPr="007B2915">
        <w:rPr>
          <w:rFonts w:ascii="Cambria" w:hAnsi="Cambria"/>
          <w:color w:val="auto"/>
          <w:sz w:val="20"/>
          <w:szCs w:val="20"/>
        </w:rPr>
        <w:t>Disposición</w:t>
      </w:r>
      <w:r w:rsidRPr="007B2915">
        <w:rPr>
          <w:rFonts w:ascii="Cambria" w:hAnsi="Cambria" w:cs="Verdana"/>
          <w:color w:val="auto"/>
          <w:sz w:val="20"/>
          <w:szCs w:val="20"/>
          <w:bdr w:val="none" w:sz="0" w:space="0" w:color="auto"/>
        </w:rPr>
        <w:t xml:space="preserve"> Transitoria Octava de la Constitución Política de 1979, estableció el derecho a la nivelación progresiva de las pensiones de cesantes con más de 20 años de servicios, en los siguientes términos:</w:t>
      </w:r>
    </w:p>
    <w:p w:rsidR="000D2456" w:rsidRPr="007B2915" w:rsidRDefault="000D2456" w:rsidP="00BB641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Cambria" w:hAnsi="Cambria" w:cs="Times"/>
          <w:sz w:val="20"/>
          <w:szCs w:val="20"/>
          <w:bdr w:val="none" w:sz="0" w:space="0" w:color="auto"/>
          <w:lang w:val="es-ES"/>
        </w:rPr>
      </w:pPr>
      <w:r w:rsidRPr="007B2915">
        <w:rPr>
          <w:rFonts w:ascii="Cambria" w:hAnsi="Cambria" w:cs="Verdana"/>
          <w:sz w:val="20"/>
          <w:szCs w:val="20"/>
          <w:bdr w:val="none" w:sz="0" w:space="0" w:color="auto"/>
          <w:lang w:val="es-ES"/>
        </w:rPr>
        <w:t> </w:t>
      </w:r>
    </w:p>
    <w:p w:rsidR="000D2456" w:rsidRPr="007B2915" w:rsidRDefault="000D2456" w:rsidP="00BB6415">
      <w:pPr>
        <w:pStyle w:val="Cuadrculamedia1-nfasis2"/>
        <w:ind w:right="720"/>
        <w:jc w:val="both"/>
        <w:rPr>
          <w:rFonts w:ascii="Cambria" w:hAnsi="Cambria"/>
          <w:sz w:val="20"/>
          <w:szCs w:val="20"/>
          <w:lang w:val="es-ES"/>
        </w:rPr>
      </w:pPr>
      <w:r w:rsidRPr="007B2915">
        <w:rPr>
          <w:rFonts w:ascii="Cambria" w:hAnsi="Cambria" w:cs="Verdana"/>
          <w:sz w:val="20"/>
          <w:szCs w:val="20"/>
          <w:bdr w:val="none" w:sz="0" w:space="0" w:color="auto"/>
          <w:lang w:val="es-ES"/>
        </w:rPr>
        <w:t>OCTAVA.- Las pensiones de los cesantes con más de veinte años de servicios y de los jubilados de la administración pública, no sometidas al régimen del Seguro Social del Perú o a otros regímenes especiales, se nivelan progresivamente con los haberes de los servidores públicos en actividad de las respectivas categorías, durante el término de diez ejercicios, a partir del 1 de enero de 1980 deben consignarse en el Presupuesto de la República las partidas consiguientes</w:t>
      </w:r>
      <w:r w:rsidR="00C91409" w:rsidRPr="007B2915">
        <w:rPr>
          <w:rStyle w:val="Refdenotaalpie"/>
          <w:rFonts w:ascii="Cambria" w:hAnsi="Cambria" w:cs="Verdana"/>
          <w:sz w:val="20"/>
          <w:szCs w:val="20"/>
          <w:bdr w:val="none" w:sz="0" w:space="0" w:color="auto"/>
        </w:rPr>
        <w:footnoteReference w:id="11"/>
      </w:r>
      <w:r w:rsidR="00AB3AC4" w:rsidRPr="007B2915">
        <w:rPr>
          <w:rFonts w:ascii="Cambria" w:hAnsi="Cambria" w:cs="Verdana"/>
          <w:sz w:val="20"/>
          <w:szCs w:val="20"/>
          <w:bdr w:val="none" w:sz="0" w:space="0" w:color="auto"/>
          <w:lang w:val="es-ES"/>
        </w:rPr>
        <w:t>.</w:t>
      </w:r>
    </w:p>
    <w:p w:rsidR="000D2456" w:rsidRPr="007B2915" w:rsidRDefault="000D2456" w:rsidP="00BB6415">
      <w:pPr>
        <w:pStyle w:val="Cuadrculamedia1-nfasis2"/>
        <w:ind w:left="0"/>
        <w:rPr>
          <w:rFonts w:ascii="Cambria" w:hAnsi="Cambria"/>
          <w:sz w:val="20"/>
          <w:szCs w:val="20"/>
          <w:lang w:val="es-ES"/>
        </w:rPr>
      </w:pPr>
    </w:p>
    <w:p w:rsidR="00060A9E" w:rsidRPr="007B2915" w:rsidRDefault="00060A9E" w:rsidP="00BB6415">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s="Times"/>
          <w:color w:val="auto"/>
          <w:sz w:val="20"/>
          <w:szCs w:val="20"/>
          <w:bdr w:val="none" w:sz="0" w:space="0" w:color="auto"/>
        </w:rPr>
      </w:pPr>
      <w:r w:rsidRPr="007B2915">
        <w:rPr>
          <w:rFonts w:ascii="Cambria" w:hAnsi="Cambria" w:cs="Verdana"/>
          <w:color w:val="auto"/>
          <w:sz w:val="20"/>
          <w:szCs w:val="20"/>
          <w:bdr w:val="none" w:sz="0" w:space="0" w:color="auto"/>
        </w:rPr>
        <w:t>Mediante el Decreto Ley 23495 de 20 de noviembre de 1982 y su Reglamento, se desarrolló la anterior norma constitucional, estableciendo el derecho a la nivelación automática y progresiva a favor de los beneficiarios del Decreto Ley 20530:</w:t>
      </w:r>
    </w:p>
    <w:p w:rsidR="00060A9E" w:rsidRPr="007B2915" w:rsidRDefault="00060A9E" w:rsidP="00060A9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mbria" w:hAnsi="Cambria" w:cs="Times"/>
          <w:sz w:val="20"/>
          <w:szCs w:val="20"/>
          <w:bdr w:val="none" w:sz="0" w:space="0" w:color="auto"/>
          <w:lang w:val="es-ES"/>
        </w:rPr>
      </w:pPr>
      <w:r w:rsidRPr="007B2915">
        <w:rPr>
          <w:rFonts w:ascii="Cambria" w:hAnsi="Cambria" w:cs="Verdana"/>
          <w:sz w:val="20"/>
          <w:szCs w:val="20"/>
          <w:bdr w:val="none" w:sz="0" w:space="0" w:color="auto"/>
          <w:lang w:val="es-ES"/>
        </w:rPr>
        <w:t> </w:t>
      </w:r>
    </w:p>
    <w:p w:rsidR="00060A9E" w:rsidRPr="007B2915" w:rsidRDefault="00060A9E" w:rsidP="00BB6415">
      <w:pPr>
        <w:pStyle w:val="Cuadrculamedia1-nfasis2"/>
        <w:ind w:right="720"/>
        <w:jc w:val="both"/>
        <w:rPr>
          <w:rFonts w:ascii="Cambria" w:hAnsi="Cambria"/>
          <w:sz w:val="20"/>
          <w:szCs w:val="20"/>
          <w:lang w:val="es-ES"/>
        </w:rPr>
      </w:pPr>
      <w:proofErr w:type="gramStart"/>
      <w:r w:rsidRPr="007B2915">
        <w:rPr>
          <w:rFonts w:ascii="Cambria" w:hAnsi="Cambria" w:cs="Verdana"/>
          <w:sz w:val="20"/>
          <w:szCs w:val="20"/>
          <w:bdr w:val="none" w:sz="0" w:space="0" w:color="auto"/>
          <w:lang w:val="es-ES"/>
        </w:rPr>
        <w:t>cualquier</w:t>
      </w:r>
      <w:proofErr w:type="gramEnd"/>
      <w:r w:rsidRPr="007B2915">
        <w:rPr>
          <w:rFonts w:ascii="Cambria" w:hAnsi="Cambria" w:cs="Verdana"/>
          <w:sz w:val="20"/>
          <w:szCs w:val="20"/>
          <w:bdr w:val="none" w:sz="0" w:space="0" w:color="auto"/>
          <w:lang w:val="es-ES"/>
        </w:rPr>
        <w:t xml:space="preserve"> incremento posterior a la nivelación que se otorgue a los servidores públicos en actividad que desempeñen el cargo u otro similar al último cargo en que prestó servicios el cesante o jubilado, dará lugar al incremento de la pensión en igual monto al que corresponde al </w:t>
      </w:r>
      <w:hyperlink r:id="rId8" w:history="1">
        <w:r w:rsidRPr="007B2915">
          <w:rPr>
            <w:rFonts w:ascii="Cambria" w:hAnsi="Cambria" w:cs="Verdana"/>
            <w:sz w:val="20"/>
            <w:szCs w:val="20"/>
            <w:u w:val="single" w:color="0632A0"/>
            <w:bdr w:val="none" w:sz="0" w:space="0" w:color="auto"/>
            <w:lang w:val="es-ES"/>
          </w:rPr>
          <w:t>servidor</w:t>
        </w:r>
      </w:hyperlink>
      <w:r w:rsidRPr="007B2915">
        <w:rPr>
          <w:rFonts w:ascii="Cambria" w:hAnsi="Cambria" w:cs="Verdana"/>
          <w:sz w:val="20"/>
          <w:szCs w:val="20"/>
          <w:bdr w:val="none" w:sz="0" w:space="0" w:color="auto"/>
          <w:lang w:val="es-ES"/>
        </w:rPr>
        <w:t xml:space="preserve"> en actividad</w:t>
      </w:r>
      <w:r w:rsidR="00E307E0" w:rsidRPr="007B2915">
        <w:rPr>
          <w:rStyle w:val="Refdenotaalpie"/>
          <w:rFonts w:ascii="Cambria" w:hAnsi="Cambria" w:cs="Verdana"/>
          <w:sz w:val="20"/>
          <w:szCs w:val="20"/>
          <w:bdr w:val="none" w:sz="0" w:space="0" w:color="auto"/>
        </w:rPr>
        <w:footnoteReference w:id="12"/>
      </w:r>
      <w:r w:rsidR="004A3EAF" w:rsidRPr="007B2915">
        <w:rPr>
          <w:rFonts w:ascii="Cambria" w:hAnsi="Cambria" w:cs="Verdana"/>
          <w:sz w:val="20"/>
          <w:szCs w:val="20"/>
          <w:bdr w:val="none" w:sz="0" w:space="0" w:color="auto"/>
          <w:lang w:val="es-ES"/>
        </w:rPr>
        <w:t>.</w:t>
      </w:r>
    </w:p>
    <w:p w:rsidR="00060A9E" w:rsidRPr="007B2915" w:rsidRDefault="00060A9E" w:rsidP="00BB6415">
      <w:pPr>
        <w:pStyle w:val="Cuadrculamedia1-nfasis2"/>
        <w:ind w:left="0"/>
        <w:rPr>
          <w:rFonts w:ascii="Cambria" w:hAnsi="Cambria"/>
          <w:sz w:val="20"/>
          <w:szCs w:val="20"/>
          <w:lang w:val="es-ES"/>
        </w:rPr>
      </w:pPr>
    </w:p>
    <w:p w:rsidR="00BA205D" w:rsidRPr="007B2915" w:rsidRDefault="00AC0E8A" w:rsidP="00D8343A">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rPr>
      </w:pPr>
      <w:r w:rsidRPr="007B2915">
        <w:rPr>
          <w:rFonts w:ascii="Cambria" w:hAnsi="Cambria"/>
          <w:color w:val="auto"/>
          <w:sz w:val="20"/>
          <w:szCs w:val="20"/>
        </w:rPr>
        <w:t xml:space="preserve">La decisión </w:t>
      </w:r>
      <w:r w:rsidR="009B146B" w:rsidRPr="007B2915">
        <w:rPr>
          <w:rFonts w:ascii="Cambria" w:hAnsi="Cambria"/>
          <w:color w:val="auto"/>
          <w:sz w:val="20"/>
          <w:szCs w:val="20"/>
        </w:rPr>
        <w:t xml:space="preserve">contenida en la </w:t>
      </w:r>
      <w:r w:rsidR="00F13781" w:rsidRPr="007B2915">
        <w:rPr>
          <w:rFonts w:ascii="Cambria" w:hAnsi="Cambria"/>
          <w:color w:val="auto"/>
          <w:sz w:val="20"/>
          <w:szCs w:val="20"/>
        </w:rPr>
        <w:t xml:space="preserve">Resolución No. AD-0884/90-R </w:t>
      </w:r>
      <w:r w:rsidRPr="007B2915">
        <w:rPr>
          <w:rFonts w:ascii="Cambria" w:hAnsi="Cambria"/>
          <w:color w:val="auto"/>
          <w:sz w:val="20"/>
          <w:szCs w:val="20"/>
        </w:rPr>
        <w:t xml:space="preserve">se basó en los </w:t>
      </w:r>
      <w:r w:rsidR="00CC2753" w:rsidRPr="007B2915">
        <w:rPr>
          <w:rFonts w:ascii="Cambria" w:hAnsi="Cambria"/>
          <w:color w:val="auto"/>
          <w:sz w:val="20"/>
          <w:szCs w:val="20"/>
          <w:lang w:val="es-AR"/>
        </w:rPr>
        <w:t>Acuerdos de Directorio No.</w:t>
      </w:r>
      <w:r w:rsidR="009B146B" w:rsidRPr="007B2915">
        <w:rPr>
          <w:rFonts w:ascii="Cambria" w:hAnsi="Cambria"/>
          <w:color w:val="auto"/>
          <w:sz w:val="20"/>
          <w:szCs w:val="20"/>
          <w:lang w:val="es-AR"/>
        </w:rPr>
        <w:t xml:space="preserve"> </w:t>
      </w:r>
      <w:r w:rsidRPr="007B2915">
        <w:rPr>
          <w:rFonts w:ascii="Cambria" w:hAnsi="Cambria"/>
          <w:color w:val="auto"/>
          <w:sz w:val="20"/>
          <w:szCs w:val="20"/>
          <w:lang w:val="es-AR"/>
        </w:rPr>
        <w:t>155/88 del 22 de diciembre de 1988 y 029/90 del 8 de febrero de 1990</w:t>
      </w:r>
      <w:r w:rsidR="00C83080" w:rsidRPr="007B2915">
        <w:rPr>
          <w:rStyle w:val="Refdenotaalpie"/>
          <w:rFonts w:ascii="Cambria" w:hAnsi="Cambria"/>
          <w:color w:val="auto"/>
          <w:sz w:val="20"/>
          <w:szCs w:val="20"/>
          <w:lang w:val="es-AR"/>
        </w:rPr>
        <w:footnoteReference w:id="13"/>
      </w:r>
      <w:r w:rsidRPr="007B2915">
        <w:rPr>
          <w:rFonts w:ascii="Cambria" w:hAnsi="Cambria"/>
          <w:color w:val="auto"/>
          <w:sz w:val="20"/>
          <w:szCs w:val="20"/>
          <w:lang w:val="es-AR"/>
        </w:rPr>
        <w:t>. Estos acuerdos autorizaban a la Administración Pública incorporar a servidores al régimen de pensiones mencionado y establecía las normas reglamentarias para ese fin</w:t>
      </w:r>
      <w:r w:rsidR="00CC2753" w:rsidRPr="007B2915">
        <w:rPr>
          <w:rStyle w:val="Refdenotaalpie"/>
          <w:rFonts w:ascii="Cambria" w:hAnsi="Cambria"/>
          <w:color w:val="auto"/>
          <w:sz w:val="20"/>
          <w:szCs w:val="20"/>
          <w:lang w:val="es-AR"/>
        </w:rPr>
        <w:footnoteReference w:id="14"/>
      </w:r>
      <w:r w:rsidRPr="007B2915">
        <w:rPr>
          <w:rFonts w:ascii="Cambria" w:hAnsi="Cambria"/>
          <w:color w:val="auto"/>
          <w:sz w:val="20"/>
          <w:szCs w:val="20"/>
          <w:lang w:val="es-AR"/>
        </w:rPr>
        <w:t>.</w:t>
      </w:r>
      <w:r w:rsidR="00CC2753" w:rsidRPr="007B2915">
        <w:rPr>
          <w:rFonts w:ascii="Cambria" w:hAnsi="Cambria"/>
          <w:color w:val="auto"/>
          <w:sz w:val="20"/>
          <w:szCs w:val="20"/>
          <w:lang w:val="es-AR"/>
        </w:rPr>
        <w:t xml:space="preserve"> </w:t>
      </w:r>
    </w:p>
    <w:p w:rsidR="00BA205D" w:rsidRPr="007B2915" w:rsidRDefault="00BA205D" w:rsidP="00D8343A">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rPr>
      </w:pPr>
    </w:p>
    <w:p w:rsidR="00215CCD" w:rsidRPr="007B2915" w:rsidRDefault="00B46C2E" w:rsidP="00D8343A">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rPr>
      </w:pPr>
      <w:r w:rsidRPr="007B2915">
        <w:rPr>
          <w:rFonts w:ascii="Cambria" w:hAnsi="Cambria"/>
          <w:color w:val="auto"/>
          <w:sz w:val="20"/>
          <w:szCs w:val="20"/>
        </w:rPr>
        <w:t>El señor Muelle</w:t>
      </w:r>
      <w:r w:rsidR="00F86F9A" w:rsidRPr="007B2915">
        <w:rPr>
          <w:rFonts w:ascii="Cambria" w:hAnsi="Cambria"/>
          <w:color w:val="auto"/>
          <w:sz w:val="20"/>
          <w:szCs w:val="20"/>
        </w:rPr>
        <w:t>, quien se jubiló el 30 de septiembre de 1990,</w:t>
      </w:r>
      <w:r w:rsidR="00215CCD" w:rsidRPr="007B2915">
        <w:rPr>
          <w:rFonts w:ascii="Cambria" w:hAnsi="Cambria"/>
          <w:color w:val="auto"/>
          <w:sz w:val="20"/>
          <w:szCs w:val="20"/>
        </w:rPr>
        <w:t xml:space="preserve"> recibió su pensión</w:t>
      </w:r>
      <w:r w:rsidR="005A1BFD" w:rsidRPr="007B2915">
        <w:rPr>
          <w:rFonts w:ascii="Cambria" w:hAnsi="Cambria"/>
          <w:color w:val="auto"/>
          <w:sz w:val="20"/>
          <w:szCs w:val="20"/>
        </w:rPr>
        <w:t xml:space="preserve"> conforme al Decreto Ley </w:t>
      </w:r>
      <w:r w:rsidR="00D8343A" w:rsidRPr="007B2915">
        <w:rPr>
          <w:rFonts w:ascii="Cambria" w:hAnsi="Cambria"/>
          <w:color w:val="auto"/>
          <w:sz w:val="20"/>
          <w:szCs w:val="20"/>
        </w:rPr>
        <w:t>20530</w:t>
      </w:r>
      <w:r w:rsidR="005A1BFD" w:rsidRPr="007B2915">
        <w:rPr>
          <w:rFonts w:ascii="Cambria" w:hAnsi="Cambria"/>
          <w:color w:val="auto"/>
          <w:sz w:val="20"/>
          <w:szCs w:val="20"/>
        </w:rPr>
        <w:t xml:space="preserve"> </w:t>
      </w:r>
      <w:r w:rsidR="00215CCD" w:rsidRPr="007B2915">
        <w:rPr>
          <w:rFonts w:ascii="Cambria" w:hAnsi="Cambria"/>
          <w:color w:val="auto"/>
          <w:sz w:val="20"/>
          <w:szCs w:val="20"/>
        </w:rPr>
        <w:t>hasta febrero de 1991</w:t>
      </w:r>
      <w:r w:rsidR="005A1BFD" w:rsidRPr="007B2915">
        <w:rPr>
          <w:rStyle w:val="Refdenotaalpie"/>
          <w:rFonts w:ascii="Cambria" w:hAnsi="Cambria"/>
          <w:color w:val="auto"/>
          <w:sz w:val="20"/>
          <w:szCs w:val="20"/>
        </w:rPr>
        <w:footnoteReference w:id="15"/>
      </w:r>
      <w:r w:rsidR="00215CCD" w:rsidRPr="007B2915">
        <w:rPr>
          <w:rFonts w:ascii="Cambria" w:hAnsi="Cambria"/>
          <w:color w:val="auto"/>
          <w:sz w:val="20"/>
          <w:szCs w:val="20"/>
        </w:rPr>
        <w:t>.</w:t>
      </w:r>
      <w:r w:rsidR="00CC2753" w:rsidRPr="007B2915">
        <w:rPr>
          <w:rFonts w:ascii="Cambria" w:hAnsi="Cambria"/>
          <w:color w:val="auto"/>
          <w:sz w:val="20"/>
          <w:szCs w:val="20"/>
        </w:rPr>
        <w:t xml:space="preserve"> </w:t>
      </w:r>
      <w:r w:rsidR="002D5ECB" w:rsidRPr="007B2915">
        <w:rPr>
          <w:rFonts w:ascii="Cambria" w:hAnsi="Cambria"/>
          <w:color w:val="auto"/>
          <w:sz w:val="20"/>
          <w:szCs w:val="20"/>
          <w:lang w:val="es-ES"/>
        </w:rPr>
        <w:t>El 27</w:t>
      </w:r>
      <w:r w:rsidR="00215CCD" w:rsidRPr="007B2915">
        <w:rPr>
          <w:rFonts w:ascii="Cambria" w:hAnsi="Cambria"/>
          <w:color w:val="auto"/>
          <w:sz w:val="20"/>
          <w:szCs w:val="20"/>
          <w:lang w:val="es-ES"/>
        </w:rPr>
        <w:t xml:space="preserve"> febrero de 1991 el señor Muelle recibió </w:t>
      </w:r>
      <w:r w:rsidR="00C337A1" w:rsidRPr="007B2915">
        <w:rPr>
          <w:rFonts w:ascii="Cambria" w:hAnsi="Cambria"/>
          <w:color w:val="auto"/>
          <w:sz w:val="20"/>
          <w:szCs w:val="20"/>
          <w:lang w:val="es-ES"/>
        </w:rPr>
        <w:t>una comunicación de la empre</w:t>
      </w:r>
      <w:r w:rsidR="002D5ECB" w:rsidRPr="007B2915">
        <w:rPr>
          <w:rFonts w:ascii="Cambria" w:hAnsi="Cambria"/>
          <w:color w:val="auto"/>
          <w:sz w:val="20"/>
          <w:szCs w:val="20"/>
          <w:lang w:val="es-ES"/>
        </w:rPr>
        <w:t>s</w:t>
      </w:r>
      <w:r w:rsidR="00C337A1" w:rsidRPr="007B2915">
        <w:rPr>
          <w:rFonts w:ascii="Cambria" w:hAnsi="Cambria"/>
          <w:color w:val="auto"/>
          <w:sz w:val="20"/>
          <w:szCs w:val="20"/>
          <w:lang w:val="es-ES"/>
        </w:rPr>
        <w:t xml:space="preserve">a en donde se le indicó que se suspendía </w:t>
      </w:r>
      <w:r w:rsidR="00C337A1" w:rsidRPr="007B2915">
        <w:rPr>
          <w:rFonts w:ascii="Cambria" w:hAnsi="Cambria"/>
          <w:color w:val="auto"/>
          <w:sz w:val="20"/>
          <w:szCs w:val="20"/>
          <w:lang w:val="es-AR"/>
        </w:rPr>
        <w:t>la ap</w:t>
      </w:r>
      <w:r w:rsidR="002D5ECB" w:rsidRPr="007B2915">
        <w:rPr>
          <w:rFonts w:ascii="Cambria" w:hAnsi="Cambria"/>
          <w:color w:val="auto"/>
          <w:sz w:val="20"/>
          <w:szCs w:val="20"/>
          <w:lang w:val="es-AR"/>
        </w:rPr>
        <w:t xml:space="preserve">licación del Decreto Ley </w:t>
      </w:r>
      <w:r w:rsidR="00D8343A" w:rsidRPr="007B2915">
        <w:rPr>
          <w:rFonts w:ascii="Cambria" w:hAnsi="Cambria"/>
          <w:color w:val="auto"/>
          <w:sz w:val="20"/>
          <w:szCs w:val="20"/>
          <w:lang w:val="es-AR"/>
        </w:rPr>
        <w:t>20530</w:t>
      </w:r>
      <w:r w:rsidR="002D5ECB" w:rsidRPr="007B2915">
        <w:rPr>
          <w:rStyle w:val="Refdenotaalpie"/>
          <w:rFonts w:ascii="Cambria" w:hAnsi="Cambria"/>
          <w:color w:val="auto"/>
          <w:sz w:val="20"/>
          <w:szCs w:val="20"/>
        </w:rPr>
        <w:footnoteReference w:id="16"/>
      </w:r>
      <w:r w:rsidR="002D5ECB" w:rsidRPr="007B2915">
        <w:rPr>
          <w:rFonts w:ascii="Cambria" w:hAnsi="Cambria"/>
          <w:color w:val="auto"/>
          <w:sz w:val="20"/>
          <w:szCs w:val="20"/>
          <w:lang w:val="es-AR"/>
        </w:rPr>
        <w:t xml:space="preserve">. </w:t>
      </w:r>
    </w:p>
    <w:p w:rsidR="006D487A" w:rsidRPr="007B2915" w:rsidRDefault="006D487A" w:rsidP="00D8343A">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olor w:val="auto"/>
          <w:sz w:val="20"/>
          <w:szCs w:val="20"/>
        </w:rPr>
      </w:pPr>
    </w:p>
    <w:p w:rsidR="00DB43BD" w:rsidRPr="007B2915" w:rsidRDefault="00DB43BD" w:rsidP="00D8343A">
      <w:pPr>
        <w:pStyle w:val="Ttulo2"/>
        <w:rPr>
          <w:szCs w:val="20"/>
        </w:rPr>
      </w:pPr>
      <w:bookmarkStart w:id="38" w:name="_Toc412635576"/>
      <w:bookmarkStart w:id="39" w:name="_Toc416685632"/>
      <w:bookmarkStart w:id="40" w:name="_Toc346449084"/>
      <w:bookmarkStart w:id="41" w:name="_Toc474398491"/>
      <w:r w:rsidRPr="007B2915">
        <w:rPr>
          <w:szCs w:val="20"/>
        </w:rPr>
        <w:t>B.</w:t>
      </w:r>
      <w:r w:rsidRPr="007B2915">
        <w:rPr>
          <w:szCs w:val="20"/>
        </w:rPr>
        <w:tab/>
      </w:r>
      <w:bookmarkEnd w:id="36"/>
      <w:bookmarkEnd w:id="37"/>
      <w:bookmarkEnd w:id="38"/>
      <w:bookmarkEnd w:id="39"/>
      <w:r w:rsidR="000C0D34" w:rsidRPr="007B2915">
        <w:rPr>
          <w:szCs w:val="20"/>
        </w:rPr>
        <w:t xml:space="preserve">Sobre </w:t>
      </w:r>
      <w:r w:rsidR="005D5E12" w:rsidRPr="007B2915">
        <w:rPr>
          <w:szCs w:val="20"/>
        </w:rPr>
        <w:t xml:space="preserve">el primer recurso de amparo </w:t>
      </w:r>
      <w:r w:rsidR="00D8343A" w:rsidRPr="007B2915">
        <w:rPr>
          <w:szCs w:val="20"/>
        </w:rPr>
        <w:t xml:space="preserve">presentado </w:t>
      </w:r>
      <w:r w:rsidR="005D5E12" w:rsidRPr="007B2915">
        <w:rPr>
          <w:szCs w:val="20"/>
        </w:rPr>
        <w:t>por el señor Muelle</w:t>
      </w:r>
      <w:bookmarkEnd w:id="40"/>
      <w:bookmarkEnd w:id="41"/>
    </w:p>
    <w:p w:rsidR="00DB43BD" w:rsidRPr="007B2915" w:rsidRDefault="00DB43BD" w:rsidP="00D8343A">
      <w:pPr>
        <w:ind w:firstLine="567"/>
        <w:rPr>
          <w:rFonts w:ascii="Cambria" w:hAnsi="Cambria" w:cs="Arial"/>
          <w:iCs/>
          <w:sz w:val="20"/>
          <w:szCs w:val="20"/>
          <w:lang w:val="es-ES_tradnl"/>
        </w:rPr>
      </w:pPr>
    </w:p>
    <w:p w:rsidR="008E6225" w:rsidRPr="007B2915" w:rsidRDefault="003225C0" w:rsidP="00D8343A">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rPr>
      </w:pPr>
      <w:r w:rsidRPr="007B2915">
        <w:rPr>
          <w:rFonts w:ascii="Cambria" w:hAnsi="Cambria"/>
          <w:color w:val="auto"/>
          <w:sz w:val="20"/>
          <w:szCs w:val="20"/>
        </w:rPr>
        <w:t>El 18 de abril</w:t>
      </w:r>
      <w:r w:rsidR="00CC2753" w:rsidRPr="007B2915">
        <w:rPr>
          <w:rFonts w:ascii="Cambria" w:hAnsi="Cambria"/>
          <w:color w:val="auto"/>
          <w:sz w:val="20"/>
          <w:szCs w:val="20"/>
        </w:rPr>
        <w:t xml:space="preserve"> 1991 e</w:t>
      </w:r>
      <w:r w:rsidR="00C337A1" w:rsidRPr="007B2915">
        <w:rPr>
          <w:rFonts w:ascii="Cambria" w:hAnsi="Cambria"/>
          <w:color w:val="auto"/>
          <w:sz w:val="20"/>
          <w:szCs w:val="20"/>
        </w:rPr>
        <w:t>l señor Muelle</w:t>
      </w:r>
      <w:r w:rsidR="00CC2753" w:rsidRPr="007B2915">
        <w:rPr>
          <w:rFonts w:ascii="Cambria" w:hAnsi="Cambria"/>
          <w:color w:val="auto"/>
          <w:sz w:val="20"/>
          <w:szCs w:val="20"/>
        </w:rPr>
        <w:t xml:space="preserve"> interpuso un recurso de amparo a efectos </w:t>
      </w:r>
      <w:r w:rsidR="002C2CDA" w:rsidRPr="007B2915">
        <w:rPr>
          <w:rFonts w:ascii="Cambria" w:hAnsi="Cambria"/>
          <w:color w:val="auto"/>
          <w:sz w:val="20"/>
          <w:szCs w:val="20"/>
        </w:rPr>
        <w:t>de que v</w:t>
      </w:r>
      <w:r w:rsidR="00A1413B" w:rsidRPr="007B2915">
        <w:rPr>
          <w:rFonts w:ascii="Cambria" w:hAnsi="Cambria"/>
          <w:color w:val="auto"/>
          <w:sz w:val="20"/>
          <w:szCs w:val="20"/>
        </w:rPr>
        <w:t>olviera</w:t>
      </w:r>
      <w:r w:rsidR="002C2CDA" w:rsidRPr="007B2915">
        <w:rPr>
          <w:rFonts w:ascii="Cambria" w:hAnsi="Cambria"/>
          <w:color w:val="auto"/>
          <w:sz w:val="20"/>
          <w:szCs w:val="20"/>
        </w:rPr>
        <w:t xml:space="preserve"> a ser incorporado al régimen pensionario del </w:t>
      </w:r>
      <w:r w:rsidR="002C2CDA" w:rsidRPr="007B2915">
        <w:rPr>
          <w:rFonts w:ascii="Cambria" w:hAnsi="Cambria"/>
          <w:color w:val="auto"/>
          <w:sz w:val="20"/>
          <w:szCs w:val="20"/>
          <w:lang w:val="es-AR"/>
        </w:rPr>
        <w:t xml:space="preserve">Decreto Ley </w:t>
      </w:r>
      <w:r w:rsidR="00D8343A" w:rsidRPr="007B2915">
        <w:rPr>
          <w:rFonts w:ascii="Cambria" w:hAnsi="Cambria"/>
          <w:color w:val="auto"/>
          <w:sz w:val="20"/>
          <w:szCs w:val="20"/>
          <w:lang w:val="es-AR"/>
        </w:rPr>
        <w:t>20530</w:t>
      </w:r>
      <w:r w:rsidR="002C2CDA" w:rsidRPr="007B2915">
        <w:rPr>
          <w:rStyle w:val="Refdenotaalpie"/>
          <w:rFonts w:ascii="Cambria" w:hAnsi="Cambria"/>
          <w:color w:val="auto"/>
          <w:sz w:val="20"/>
          <w:szCs w:val="20"/>
          <w:lang w:val="es-AR"/>
        </w:rPr>
        <w:footnoteReference w:id="17"/>
      </w:r>
      <w:r w:rsidR="002C2CDA" w:rsidRPr="007B2915">
        <w:rPr>
          <w:rFonts w:ascii="Cambria" w:hAnsi="Cambria"/>
          <w:color w:val="auto"/>
          <w:sz w:val="20"/>
          <w:szCs w:val="20"/>
          <w:lang w:val="es-AR"/>
        </w:rPr>
        <w:t>.</w:t>
      </w:r>
      <w:r w:rsidR="002C2CDA" w:rsidRPr="007B2915">
        <w:rPr>
          <w:rFonts w:ascii="Cambria" w:hAnsi="Cambria"/>
          <w:color w:val="auto"/>
          <w:sz w:val="20"/>
          <w:szCs w:val="20"/>
        </w:rPr>
        <w:t xml:space="preserve"> </w:t>
      </w:r>
      <w:r w:rsidR="00492688" w:rsidRPr="007B2915">
        <w:rPr>
          <w:rFonts w:ascii="Cambria" w:hAnsi="Cambria"/>
          <w:color w:val="auto"/>
          <w:sz w:val="20"/>
          <w:szCs w:val="20"/>
        </w:rPr>
        <w:t>E</w:t>
      </w:r>
      <w:r w:rsidR="002C2CDA" w:rsidRPr="007B2915">
        <w:rPr>
          <w:rFonts w:ascii="Cambria" w:hAnsi="Cambria"/>
          <w:color w:val="auto"/>
          <w:sz w:val="20"/>
          <w:szCs w:val="20"/>
        </w:rPr>
        <w:t>l</w:t>
      </w:r>
      <w:r w:rsidR="0063577F" w:rsidRPr="007B2915">
        <w:rPr>
          <w:rFonts w:ascii="Cambria" w:hAnsi="Cambria"/>
          <w:color w:val="auto"/>
          <w:sz w:val="20"/>
          <w:szCs w:val="20"/>
        </w:rPr>
        <w:t xml:space="preserve"> 19 de julio de 1991</w:t>
      </w:r>
      <w:r w:rsidR="002C2CDA" w:rsidRPr="007B2915">
        <w:rPr>
          <w:rFonts w:ascii="Cambria" w:hAnsi="Cambria"/>
          <w:color w:val="auto"/>
          <w:sz w:val="20"/>
          <w:szCs w:val="20"/>
        </w:rPr>
        <w:t xml:space="preserve"> el Quinto Juzgado Civil</w:t>
      </w:r>
      <w:r w:rsidR="00492688" w:rsidRPr="007B2915">
        <w:rPr>
          <w:rFonts w:ascii="Cambria" w:hAnsi="Cambria"/>
          <w:color w:val="auto"/>
          <w:sz w:val="20"/>
          <w:szCs w:val="20"/>
        </w:rPr>
        <w:t xml:space="preserve"> de Lima</w:t>
      </w:r>
      <w:r w:rsidR="002C2CDA" w:rsidRPr="007B2915">
        <w:rPr>
          <w:rFonts w:ascii="Cambria" w:hAnsi="Cambria"/>
          <w:color w:val="auto"/>
          <w:sz w:val="20"/>
          <w:szCs w:val="20"/>
        </w:rPr>
        <w:t xml:space="preserve"> declaró fundada la demanda</w:t>
      </w:r>
      <w:r w:rsidR="00802F8F" w:rsidRPr="007B2915">
        <w:rPr>
          <w:rFonts w:ascii="Cambria" w:hAnsi="Cambria"/>
          <w:color w:val="auto"/>
          <w:sz w:val="20"/>
          <w:szCs w:val="20"/>
        </w:rPr>
        <w:t xml:space="preserve"> y ordenó que se dej</w:t>
      </w:r>
      <w:r w:rsidR="00FE3EB8" w:rsidRPr="007B2915">
        <w:rPr>
          <w:rFonts w:ascii="Cambria" w:hAnsi="Cambria"/>
          <w:color w:val="auto"/>
          <w:sz w:val="20"/>
          <w:szCs w:val="20"/>
        </w:rPr>
        <w:t>ara</w:t>
      </w:r>
      <w:r w:rsidR="00802F8F" w:rsidRPr="007B2915">
        <w:rPr>
          <w:rFonts w:ascii="Cambria" w:hAnsi="Cambria"/>
          <w:color w:val="auto"/>
          <w:sz w:val="20"/>
          <w:szCs w:val="20"/>
        </w:rPr>
        <w:t xml:space="preserve"> sin efecto la suspensión del régimen de pensiones y compensaciones del Decreto Ley 20530 a favor del señor Muelle</w:t>
      </w:r>
      <w:r w:rsidR="002C2CDA" w:rsidRPr="007B2915">
        <w:rPr>
          <w:rStyle w:val="Refdenotaalpie"/>
          <w:rFonts w:ascii="Cambria" w:hAnsi="Cambria"/>
          <w:color w:val="auto"/>
          <w:sz w:val="20"/>
          <w:szCs w:val="20"/>
        </w:rPr>
        <w:footnoteReference w:id="18"/>
      </w:r>
      <w:r w:rsidR="00802F8F" w:rsidRPr="007B2915">
        <w:rPr>
          <w:rFonts w:ascii="Cambria" w:hAnsi="Cambria"/>
          <w:color w:val="auto"/>
          <w:sz w:val="20"/>
          <w:szCs w:val="20"/>
        </w:rPr>
        <w:t xml:space="preserve">. </w:t>
      </w:r>
      <w:r w:rsidR="008E6225" w:rsidRPr="007B2915">
        <w:rPr>
          <w:rFonts w:ascii="Cambria" w:hAnsi="Cambria"/>
          <w:color w:val="auto"/>
          <w:sz w:val="20"/>
          <w:szCs w:val="20"/>
        </w:rPr>
        <w:t>En relación con la incorporación del señor Muelle a dicho régimen, el juzgado sostuvo lo siguiente:</w:t>
      </w:r>
    </w:p>
    <w:p w:rsidR="008E6225" w:rsidRPr="007B2915" w:rsidRDefault="008E6225" w:rsidP="008E6225">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rPr>
      </w:pPr>
    </w:p>
    <w:p w:rsidR="009F5D29" w:rsidRPr="007B2915" w:rsidRDefault="008E6225" w:rsidP="00B67442">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color w:val="auto"/>
          <w:sz w:val="20"/>
          <w:szCs w:val="20"/>
        </w:rPr>
      </w:pPr>
      <w:r w:rsidRPr="007B2915">
        <w:rPr>
          <w:rFonts w:ascii="Cambria" w:hAnsi="Cambria"/>
          <w:color w:val="auto"/>
          <w:sz w:val="20"/>
          <w:szCs w:val="20"/>
        </w:rPr>
        <w:t xml:space="preserve">(…) esta incorporación ha creado una relación jurídica sustantiva entre empleado y empleadora, es decir, </w:t>
      </w:r>
      <w:r w:rsidR="00B67442" w:rsidRPr="007B2915">
        <w:rPr>
          <w:rFonts w:ascii="Cambria" w:hAnsi="Cambria"/>
          <w:color w:val="auto"/>
          <w:sz w:val="20"/>
          <w:szCs w:val="20"/>
        </w:rPr>
        <w:t xml:space="preserve">ha originado derechos y obligaciones de carácter material, que ambas partes deben cumplir (…). Por lo tanto, </w:t>
      </w:r>
      <w:r w:rsidR="009F5D29" w:rsidRPr="007B2915">
        <w:rPr>
          <w:rFonts w:ascii="Cambria" w:hAnsi="Cambria"/>
          <w:color w:val="auto"/>
          <w:sz w:val="20"/>
          <w:szCs w:val="20"/>
        </w:rPr>
        <w:t xml:space="preserve">la demandada no puede suspender unilateralmente dicha relación jurídica, menos con el solo informe del gerente administrativo (…) ya que no expresa la decisión de la persona jurídica demandada. La modificación o la extinción de dichos derechos </w:t>
      </w:r>
      <w:proofErr w:type="gramStart"/>
      <w:r w:rsidR="009F5D29" w:rsidRPr="007B2915">
        <w:rPr>
          <w:rFonts w:ascii="Cambria" w:hAnsi="Cambria"/>
          <w:color w:val="auto"/>
          <w:sz w:val="20"/>
          <w:szCs w:val="20"/>
        </w:rPr>
        <w:t>deberá</w:t>
      </w:r>
      <w:proofErr w:type="gramEnd"/>
      <w:r w:rsidR="009F5D29" w:rsidRPr="007B2915">
        <w:rPr>
          <w:rFonts w:ascii="Cambria" w:hAnsi="Cambria"/>
          <w:color w:val="auto"/>
          <w:sz w:val="20"/>
          <w:szCs w:val="20"/>
        </w:rPr>
        <w:t xml:space="preserve"> obtenerse por acuerdo entre las partes o por decisión jurisdiccional</w:t>
      </w:r>
      <w:r w:rsidR="009F5D29" w:rsidRPr="007B2915">
        <w:rPr>
          <w:rStyle w:val="Refdenotaalpie"/>
          <w:rFonts w:ascii="Cambria" w:hAnsi="Cambria"/>
          <w:color w:val="auto"/>
          <w:sz w:val="20"/>
          <w:szCs w:val="20"/>
        </w:rPr>
        <w:footnoteReference w:id="19"/>
      </w:r>
      <w:r w:rsidR="009F5D29" w:rsidRPr="007B2915">
        <w:rPr>
          <w:rFonts w:ascii="Cambria" w:hAnsi="Cambria"/>
          <w:color w:val="auto"/>
          <w:sz w:val="20"/>
          <w:szCs w:val="20"/>
        </w:rPr>
        <w:t>.</w:t>
      </w:r>
    </w:p>
    <w:p w:rsidR="0063577F" w:rsidRPr="007B2915" w:rsidRDefault="0063577F" w:rsidP="00D8343A">
      <w:pPr>
        <w:pStyle w:val="Cuadrculamedia1-nfasis2"/>
        <w:rPr>
          <w:rFonts w:ascii="Cambria" w:hAnsi="Cambria"/>
          <w:sz w:val="20"/>
          <w:szCs w:val="20"/>
          <w:lang w:val="es-ES"/>
        </w:rPr>
      </w:pPr>
    </w:p>
    <w:p w:rsidR="0031059E" w:rsidRPr="007B2915" w:rsidRDefault="0031059E" w:rsidP="00D8343A">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rPr>
      </w:pPr>
      <w:r w:rsidRPr="007B2915">
        <w:rPr>
          <w:rFonts w:ascii="Cambria" w:hAnsi="Cambria"/>
          <w:color w:val="auto"/>
          <w:sz w:val="20"/>
          <w:szCs w:val="20"/>
        </w:rPr>
        <w:t xml:space="preserve">El juzgado concluyó que el acto emitido por la empresa “ha transgredido el derecho a la seguridad social, a la igualdad y el derecho al trabajo garantizadas </w:t>
      </w:r>
      <w:r w:rsidR="00E63BD3" w:rsidRPr="007B2915">
        <w:rPr>
          <w:rFonts w:ascii="Cambria" w:hAnsi="Cambria" w:cs="Arial"/>
          <w:color w:val="auto"/>
          <w:sz w:val="20"/>
          <w:szCs w:val="20"/>
        </w:rPr>
        <w:t>[en]</w:t>
      </w:r>
      <w:r w:rsidRPr="007B2915">
        <w:rPr>
          <w:rFonts w:ascii="Cambria" w:hAnsi="Cambria"/>
          <w:color w:val="auto"/>
          <w:sz w:val="20"/>
          <w:szCs w:val="20"/>
        </w:rPr>
        <w:t xml:space="preserve"> la Constitución Política del Estado”</w:t>
      </w:r>
      <w:r w:rsidRPr="007B2915">
        <w:rPr>
          <w:rStyle w:val="Refdenotaalpie"/>
          <w:rFonts w:ascii="Cambria" w:hAnsi="Cambria"/>
          <w:color w:val="auto"/>
          <w:sz w:val="20"/>
          <w:szCs w:val="20"/>
        </w:rPr>
        <w:footnoteReference w:id="20"/>
      </w:r>
      <w:r w:rsidRPr="007B2915">
        <w:rPr>
          <w:rFonts w:ascii="Cambria" w:hAnsi="Cambria"/>
          <w:color w:val="auto"/>
          <w:sz w:val="20"/>
          <w:szCs w:val="20"/>
        </w:rPr>
        <w:t>.</w:t>
      </w:r>
    </w:p>
    <w:p w:rsidR="0031059E" w:rsidRPr="007B2915" w:rsidRDefault="0031059E" w:rsidP="0031059E">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rPr>
      </w:pPr>
    </w:p>
    <w:p w:rsidR="00C83E17" w:rsidRPr="007B2915" w:rsidRDefault="0063577F" w:rsidP="00D8343A">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rPr>
      </w:pPr>
      <w:r w:rsidRPr="007B2915">
        <w:rPr>
          <w:rFonts w:ascii="Cambria" w:hAnsi="Cambria"/>
          <w:color w:val="auto"/>
          <w:sz w:val="20"/>
          <w:szCs w:val="20"/>
        </w:rPr>
        <w:lastRenderedPageBreak/>
        <w:t>El 29 de mayo de 1992</w:t>
      </w:r>
      <w:r w:rsidR="00901950" w:rsidRPr="007B2915">
        <w:rPr>
          <w:rFonts w:ascii="Cambria" w:hAnsi="Cambria"/>
          <w:color w:val="auto"/>
          <w:sz w:val="20"/>
          <w:szCs w:val="20"/>
        </w:rPr>
        <w:t xml:space="preserve"> la Segunda Sala Civil de la Corte Superior de Lima</w:t>
      </w:r>
      <w:r w:rsidR="002D5ECB" w:rsidRPr="007B2915">
        <w:rPr>
          <w:rFonts w:ascii="Cambria" w:hAnsi="Cambria"/>
          <w:color w:val="auto"/>
          <w:sz w:val="20"/>
          <w:szCs w:val="20"/>
        </w:rPr>
        <w:t xml:space="preserve"> confirmó la decisión de primera instancia</w:t>
      </w:r>
      <w:r w:rsidR="002D5ECB" w:rsidRPr="007B2915">
        <w:rPr>
          <w:rStyle w:val="Refdenotaalpie"/>
          <w:rFonts w:ascii="Cambria" w:hAnsi="Cambria"/>
          <w:color w:val="auto"/>
          <w:sz w:val="20"/>
          <w:szCs w:val="20"/>
        </w:rPr>
        <w:footnoteReference w:id="21"/>
      </w:r>
      <w:r w:rsidR="002D5ECB" w:rsidRPr="007B2915">
        <w:rPr>
          <w:rFonts w:ascii="Cambria" w:hAnsi="Cambria"/>
          <w:color w:val="auto"/>
          <w:sz w:val="20"/>
          <w:szCs w:val="20"/>
        </w:rPr>
        <w:t xml:space="preserve">. </w:t>
      </w:r>
      <w:r w:rsidRPr="007B2915">
        <w:rPr>
          <w:rFonts w:ascii="Cambria" w:hAnsi="Cambria"/>
          <w:color w:val="auto"/>
          <w:sz w:val="20"/>
          <w:szCs w:val="20"/>
        </w:rPr>
        <w:t>El 2 de febrero de 1993 la Corte Suprema de Justicia</w:t>
      </w:r>
      <w:r w:rsidR="00416C07" w:rsidRPr="007B2915">
        <w:rPr>
          <w:rFonts w:ascii="Cambria" w:hAnsi="Cambria"/>
          <w:color w:val="auto"/>
          <w:sz w:val="20"/>
          <w:szCs w:val="20"/>
        </w:rPr>
        <w:t xml:space="preserve"> </w:t>
      </w:r>
      <w:r w:rsidR="00C25C73" w:rsidRPr="007B2915">
        <w:rPr>
          <w:rFonts w:ascii="Cambria" w:hAnsi="Cambria"/>
          <w:color w:val="auto"/>
          <w:sz w:val="20"/>
          <w:szCs w:val="20"/>
        </w:rPr>
        <w:t>confirmó la decisión de la Corte Superior</w:t>
      </w:r>
      <w:r w:rsidR="00C83E17" w:rsidRPr="007B2915">
        <w:rPr>
          <w:rStyle w:val="Refdenotaalpie"/>
          <w:rFonts w:ascii="Cambria" w:hAnsi="Cambria"/>
          <w:color w:val="auto"/>
          <w:sz w:val="20"/>
          <w:szCs w:val="20"/>
          <w:lang w:val="es-AR"/>
        </w:rPr>
        <w:footnoteReference w:id="22"/>
      </w:r>
      <w:r w:rsidR="00C83E17" w:rsidRPr="007B2915">
        <w:rPr>
          <w:rFonts w:ascii="Cambria" w:hAnsi="Cambria"/>
          <w:color w:val="auto"/>
          <w:sz w:val="20"/>
          <w:szCs w:val="20"/>
        </w:rPr>
        <w:t>.</w:t>
      </w:r>
      <w:r w:rsidR="00C25C73" w:rsidRPr="007B2915">
        <w:rPr>
          <w:rFonts w:ascii="Cambria" w:hAnsi="Cambria"/>
          <w:color w:val="auto"/>
          <w:sz w:val="20"/>
          <w:szCs w:val="20"/>
        </w:rPr>
        <w:t xml:space="preserve"> </w:t>
      </w:r>
      <w:r w:rsidR="004D1181" w:rsidRPr="007B2915">
        <w:rPr>
          <w:rFonts w:ascii="Cambria" w:hAnsi="Cambria"/>
          <w:color w:val="auto"/>
          <w:sz w:val="20"/>
          <w:szCs w:val="20"/>
        </w:rPr>
        <w:t>La Corte Suprema sostuvo lo siguiente:</w:t>
      </w:r>
    </w:p>
    <w:p w:rsidR="004D1181" w:rsidRPr="007B2915" w:rsidRDefault="004D1181" w:rsidP="004D1181">
      <w:pPr>
        <w:pStyle w:val="Cuadrculamedia1-nfasis2"/>
        <w:rPr>
          <w:rFonts w:ascii="Cambria" w:hAnsi="Cambria"/>
          <w:sz w:val="20"/>
          <w:szCs w:val="20"/>
        </w:rPr>
      </w:pPr>
    </w:p>
    <w:p w:rsidR="004D1181" w:rsidRPr="007B2915" w:rsidRDefault="004D1181" w:rsidP="004D118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color w:val="auto"/>
          <w:sz w:val="20"/>
          <w:szCs w:val="20"/>
        </w:rPr>
      </w:pPr>
      <w:r w:rsidRPr="007B2915">
        <w:rPr>
          <w:rFonts w:ascii="Cambria" w:hAnsi="Cambria"/>
          <w:color w:val="auto"/>
          <w:sz w:val="20"/>
          <w:szCs w:val="20"/>
        </w:rPr>
        <w:t>(…) tratándose de derechos reconocidos a favor del empleado que la propia empresa unilateralmente desconoció con posterioridad, es procedente la acción de amparo para restablecer el derecho conculcado garantizado en el artículo 57</w:t>
      </w:r>
      <w:r w:rsidRPr="007B2915">
        <w:rPr>
          <w:rStyle w:val="Refdenotaalpie"/>
          <w:rFonts w:ascii="Cambria" w:hAnsi="Cambria"/>
          <w:color w:val="auto"/>
          <w:sz w:val="20"/>
          <w:szCs w:val="20"/>
        </w:rPr>
        <w:footnoteReference w:id="23"/>
      </w:r>
      <w:r w:rsidRPr="007B2915">
        <w:rPr>
          <w:rFonts w:ascii="Cambria" w:hAnsi="Cambria"/>
          <w:color w:val="auto"/>
          <w:sz w:val="20"/>
          <w:szCs w:val="20"/>
        </w:rPr>
        <w:t xml:space="preserve"> de la Constitución Política del Estado</w:t>
      </w:r>
      <w:r w:rsidRPr="007B2915">
        <w:rPr>
          <w:rStyle w:val="Refdenotaalpie"/>
          <w:rFonts w:ascii="Cambria" w:hAnsi="Cambria"/>
          <w:color w:val="auto"/>
          <w:sz w:val="20"/>
          <w:szCs w:val="20"/>
          <w:lang w:val="es-AR"/>
        </w:rPr>
        <w:footnoteReference w:id="24"/>
      </w:r>
      <w:r w:rsidRPr="007B2915">
        <w:rPr>
          <w:rFonts w:ascii="Cambria" w:hAnsi="Cambria"/>
          <w:color w:val="auto"/>
          <w:sz w:val="20"/>
          <w:szCs w:val="20"/>
        </w:rPr>
        <w:t>.</w:t>
      </w:r>
    </w:p>
    <w:p w:rsidR="00C83E17" w:rsidRPr="007B2915" w:rsidRDefault="00C83E17" w:rsidP="00C83E17">
      <w:pPr>
        <w:pStyle w:val="Cuadrculamedia1-nfasis2"/>
        <w:rPr>
          <w:rFonts w:ascii="Cambria" w:hAnsi="Cambria"/>
          <w:sz w:val="20"/>
          <w:szCs w:val="20"/>
          <w:lang w:val="es-ES"/>
        </w:rPr>
      </w:pPr>
    </w:p>
    <w:p w:rsidR="0063577F" w:rsidRPr="007B2915" w:rsidRDefault="00C83E17" w:rsidP="00D8343A">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rPr>
      </w:pPr>
      <w:r w:rsidRPr="007B2915">
        <w:rPr>
          <w:rFonts w:ascii="Cambria" w:hAnsi="Cambria"/>
          <w:color w:val="auto"/>
          <w:sz w:val="20"/>
          <w:szCs w:val="20"/>
        </w:rPr>
        <w:t xml:space="preserve">La Corte Suprema </w:t>
      </w:r>
      <w:r w:rsidR="00C25C73" w:rsidRPr="007B2915">
        <w:rPr>
          <w:rFonts w:ascii="Cambria" w:hAnsi="Cambria"/>
          <w:color w:val="auto"/>
          <w:sz w:val="20"/>
          <w:szCs w:val="20"/>
        </w:rPr>
        <w:t>ordenó</w:t>
      </w:r>
      <w:r w:rsidR="00416C07" w:rsidRPr="007B2915">
        <w:rPr>
          <w:rFonts w:ascii="Cambria" w:hAnsi="Cambria"/>
          <w:color w:val="auto"/>
          <w:sz w:val="20"/>
          <w:szCs w:val="20"/>
        </w:rPr>
        <w:t xml:space="preserve"> lo siguiente:</w:t>
      </w:r>
    </w:p>
    <w:p w:rsidR="00416C07" w:rsidRPr="007B2915" w:rsidRDefault="00416C07" w:rsidP="00D8343A">
      <w:pPr>
        <w:pStyle w:val="Cuadrculamedia1-nfasis2"/>
        <w:jc w:val="both"/>
        <w:rPr>
          <w:rFonts w:ascii="Cambria" w:hAnsi="Cambria"/>
          <w:sz w:val="20"/>
          <w:szCs w:val="20"/>
          <w:lang w:val="es-ES"/>
        </w:rPr>
      </w:pPr>
    </w:p>
    <w:p w:rsidR="00416C07" w:rsidRPr="007B2915" w:rsidRDefault="00416C07" w:rsidP="00D8343A">
      <w:pPr>
        <w:pStyle w:val="Textonotaalfinal"/>
        <w:tabs>
          <w:tab w:val="left" w:pos="0"/>
        </w:tabs>
        <w:spacing w:before="0" w:beforeAutospacing="0" w:after="0" w:afterAutospacing="0"/>
        <w:ind w:left="720" w:right="720"/>
        <w:jc w:val="both"/>
        <w:rPr>
          <w:rFonts w:ascii="Cambria" w:hAnsi="Cambria"/>
          <w:sz w:val="20"/>
          <w:szCs w:val="20"/>
          <w:lang w:val="es-AR"/>
        </w:rPr>
      </w:pPr>
      <w:r w:rsidRPr="007B2915">
        <w:rPr>
          <w:rFonts w:ascii="Cambria" w:hAnsi="Cambria"/>
          <w:sz w:val="20"/>
          <w:szCs w:val="20"/>
          <w:lang w:val="es-ES"/>
        </w:rPr>
        <w:t xml:space="preserve">(…) </w:t>
      </w:r>
      <w:r w:rsidRPr="007B2915">
        <w:rPr>
          <w:rFonts w:ascii="Cambria" w:hAnsi="Cambria"/>
          <w:sz w:val="20"/>
          <w:szCs w:val="20"/>
          <w:lang w:val="es-AR"/>
        </w:rPr>
        <w:t>es inaplicable para el accionante la Comunicación GA-0131/91 en el cual se dispone la suspensión ordenada por la demandada a la incorporación del actor al régimen de pensiones y co</w:t>
      </w:r>
      <w:r w:rsidR="00C25C73" w:rsidRPr="007B2915">
        <w:rPr>
          <w:rFonts w:ascii="Cambria" w:hAnsi="Cambria"/>
          <w:sz w:val="20"/>
          <w:szCs w:val="20"/>
          <w:lang w:val="es-AR"/>
        </w:rPr>
        <w:t>mpensaciones del Decreto Ley 20</w:t>
      </w:r>
      <w:r w:rsidRPr="007B2915">
        <w:rPr>
          <w:rFonts w:ascii="Cambria" w:hAnsi="Cambria"/>
          <w:sz w:val="20"/>
          <w:szCs w:val="20"/>
          <w:lang w:val="es-AR"/>
        </w:rPr>
        <w:t>530, y al pago de su pensión, restableciéndose sus derechos al estado anterior de la agresión constitucional (…)</w:t>
      </w:r>
      <w:r w:rsidR="00C25C73" w:rsidRPr="007B2915">
        <w:rPr>
          <w:rFonts w:ascii="Cambria" w:hAnsi="Cambria"/>
          <w:sz w:val="20"/>
          <w:szCs w:val="20"/>
          <w:lang w:val="es-AR"/>
        </w:rPr>
        <w:t xml:space="preserve"> y constituyendo la presente una resolución final</w:t>
      </w:r>
      <w:r w:rsidRPr="007B2915">
        <w:rPr>
          <w:rStyle w:val="Refdenotaalpie"/>
          <w:rFonts w:ascii="Cambria" w:hAnsi="Cambria"/>
          <w:sz w:val="20"/>
          <w:szCs w:val="20"/>
          <w:lang w:val="es-AR"/>
        </w:rPr>
        <w:footnoteReference w:id="25"/>
      </w:r>
      <w:r w:rsidRPr="007B2915">
        <w:rPr>
          <w:rFonts w:ascii="Cambria" w:hAnsi="Cambria"/>
          <w:sz w:val="20"/>
          <w:szCs w:val="20"/>
          <w:lang w:val="es-AR"/>
        </w:rPr>
        <w:t>.</w:t>
      </w:r>
    </w:p>
    <w:p w:rsidR="00116208" w:rsidRPr="007B2915" w:rsidRDefault="00116208" w:rsidP="00D8343A">
      <w:pPr>
        <w:jc w:val="both"/>
        <w:rPr>
          <w:rFonts w:ascii="Cambria" w:hAnsi="Cambria" w:cs="Arial"/>
          <w:iCs/>
          <w:sz w:val="20"/>
          <w:szCs w:val="20"/>
          <w:lang w:val="es-ES_tradnl"/>
        </w:rPr>
      </w:pPr>
    </w:p>
    <w:p w:rsidR="00D16323" w:rsidRPr="007B2915" w:rsidRDefault="00D16323" w:rsidP="00D8343A">
      <w:pPr>
        <w:pStyle w:val="Ttulo2"/>
        <w:rPr>
          <w:szCs w:val="20"/>
        </w:rPr>
      </w:pPr>
      <w:bookmarkStart w:id="42" w:name="_Toc346449085"/>
      <w:bookmarkStart w:id="43" w:name="_Toc474398492"/>
      <w:r w:rsidRPr="007B2915">
        <w:rPr>
          <w:szCs w:val="20"/>
        </w:rPr>
        <w:t>C.</w:t>
      </w:r>
      <w:r w:rsidRPr="007B2915">
        <w:rPr>
          <w:szCs w:val="20"/>
        </w:rPr>
        <w:tab/>
      </w:r>
      <w:r w:rsidR="0063577F" w:rsidRPr="007B2915">
        <w:rPr>
          <w:szCs w:val="20"/>
        </w:rPr>
        <w:t xml:space="preserve">Sobre el </w:t>
      </w:r>
      <w:r w:rsidR="008454BD" w:rsidRPr="007B2915">
        <w:rPr>
          <w:szCs w:val="20"/>
        </w:rPr>
        <w:t>segundo</w:t>
      </w:r>
      <w:r w:rsidR="0063577F" w:rsidRPr="007B2915">
        <w:rPr>
          <w:szCs w:val="20"/>
        </w:rPr>
        <w:t xml:space="preserve"> recurso de amparo </w:t>
      </w:r>
      <w:r w:rsidR="00D8343A" w:rsidRPr="007B2915">
        <w:rPr>
          <w:szCs w:val="20"/>
        </w:rPr>
        <w:t xml:space="preserve">presentado </w:t>
      </w:r>
      <w:r w:rsidR="0063577F" w:rsidRPr="007B2915">
        <w:rPr>
          <w:szCs w:val="20"/>
        </w:rPr>
        <w:t>por el señor Muelle</w:t>
      </w:r>
      <w:bookmarkEnd w:id="42"/>
      <w:bookmarkEnd w:id="43"/>
    </w:p>
    <w:p w:rsidR="00F1152D" w:rsidRPr="007B2915" w:rsidRDefault="00F1152D" w:rsidP="00F1152D">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s="Arial"/>
          <w:iCs/>
          <w:color w:val="auto"/>
          <w:sz w:val="20"/>
          <w:szCs w:val="20"/>
        </w:rPr>
      </w:pPr>
    </w:p>
    <w:p w:rsidR="00AD1243" w:rsidRPr="007B2915" w:rsidRDefault="00064FA9" w:rsidP="00D8343A">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rPr>
      </w:pPr>
      <w:r w:rsidRPr="007B2915">
        <w:rPr>
          <w:rFonts w:ascii="Cambria" w:hAnsi="Cambria"/>
          <w:color w:val="auto"/>
          <w:sz w:val="20"/>
          <w:szCs w:val="20"/>
        </w:rPr>
        <w:t>Días después del fallo de la Corte Suprema de Justicia a favor del señor Muelle, e</w:t>
      </w:r>
      <w:r w:rsidR="002B3605" w:rsidRPr="007B2915">
        <w:rPr>
          <w:rFonts w:ascii="Cambria" w:hAnsi="Cambria"/>
          <w:color w:val="auto"/>
          <w:sz w:val="20"/>
          <w:szCs w:val="20"/>
        </w:rPr>
        <w:t xml:space="preserve">l 17 de febrero de 1993 la empresa expidió el Acuerdo de Directorio No. 023/93 mediante la cual se suspendían los </w:t>
      </w:r>
      <w:r w:rsidR="002B3605" w:rsidRPr="007B2915">
        <w:rPr>
          <w:rFonts w:ascii="Cambria" w:hAnsi="Cambria"/>
          <w:color w:val="auto"/>
          <w:sz w:val="20"/>
          <w:szCs w:val="20"/>
          <w:lang w:val="es-AR"/>
        </w:rPr>
        <w:t>acuerdos 155/88 y 029/90</w:t>
      </w:r>
      <w:r w:rsidR="008454BD" w:rsidRPr="007B2915">
        <w:rPr>
          <w:rStyle w:val="Refdenotaalpie"/>
          <w:rFonts w:ascii="Cambria" w:hAnsi="Cambria"/>
          <w:color w:val="auto"/>
          <w:sz w:val="20"/>
          <w:szCs w:val="20"/>
        </w:rPr>
        <w:footnoteReference w:id="26"/>
      </w:r>
      <w:r w:rsidR="00543679" w:rsidRPr="007B2915">
        <w:rPr>
          <w:rFonts w:ascii="Cambria" w:hAnsi="Cambria"/>
          <w:color w:val="auto"/>
          <w:sz w:val="20"/>
          <w:szCs w:val="20"/>
          <w:lang w:val="es-AR"/>
        </w:rPr>
        <w:t xml:space="preserve"> mediante los cuales, como se indicó</w:t>
      </w:r>
      <w:r w:rsidR="00E7172F" w:rsidRPr="007B2915">
        <w:rPr>
          <w:rFonts w:ascii="Cambria" w:hAnsi="Cambria"/>
          <w:color w:val="auto"/>
          <w:sz w:val="20"/>
          <w:szCs w:val="20"/>
          <w:lang w:val="es-AR"/>
        </w:rPr>
        <w:t xml:space="preserve"> anteriormente, se establecía la facultad de la empresa de incorporar a los trabajadores al régimen pen</w:t>
      </w:r>
      <w:r w:rsidR="00932D0B" w:rsidRPr="007B2915">
        <w:rPr>
          <w:rFonts w:ascii="Cambria" w:hAnsi="Cambria"/>
          <w:color w:val="auto"/>
          <w:sz w:val="20"/>
          <w:szCs w:val="20"/>
          <w:lang w:val="es-AR"/>
        </w:rPr>
        <w:t>sionario del Decreto Ley 20530.</w:t>
      </w:r>
      <w:r w:rsidR="008454BD" w:rsidRPr="007B2915">
        <w:rPr>
          <w:rFonts w:ascii="Cambria" w:hAnsi="Cambria"/>
          <w:color w:val="auto"/>
          <w:sz w:val="20"/>
          <w:szCs w:val="20"/>
          <w:lang w:val="es-AR"/>
        </w:rPr>
        <w:t xml:space="preserve"> </w:t>
      </w:r>
      <w:r w:rsidRPr="007B2915">
        <w:rPr>
          <w:rFonts w:ascii="Cambria" w:hAnsi="Cambria"/>
          <w:color w:val="auto"/>
          <w:sz w:val="20"/>
          <w:szCs w:val="20"/>
          <w:lang w:val="es-AR"/>
        </w:rPr>
        <w:t xml:space="preserve">En consecuencia, </w:t>
      </w:r>
      <w:r w:rsidR="008454BD" w:rsidRPr="007B2915">
        <w:rPr>
          <w:rFonts w:ascii="Cambria" w:hAnsi="Cambria"/>
          <w:color w:val="auto"/>
          <w:sz w:val="20"/>
          <w:szCs w:val="20"/>
          <w:lang w:val="es-AR"/>
        </w:rPr>
        <w:t>se dispuso suspender el pago de las pensiones de jubilación a sus ex-trabajadores</w:t>
      </w:r>
      <w:r w:rsidR="008454BD" w:rsidRPr="007B2915">
        <w:rPr>
          <w:rStyle w:val="Refdenotaalpie"/>
          <w:rFonts w:ascii="Cambria" w:hAnsi="Cambria"/>
          <w:color w:val="auto"/>
          <w:sz w:val="20"/>
          <w:szCs w:val="20"/>
        </w:rPr>
        <w:footnoteReference w:id="27"/>
      </w:r>
      <w:r w:rsidR="008454BD" w:rsidRPr="007B2915">
        <w:rPr>
          <w:rFonts w:ascii="Cambria" w:hAnsi="Cambria"/>
          <w:color w:val="auto"/>
          <w:sz w:val="20"/>
          <w:szCs w:val="20"/>
          <w:lang w:val="es-AR"/>
        </w:rPr>
        <w:t>.</w:t>
      </w:r>
    </w:p>
    <w:p w:rsidR="00E42AF7" w:rsidRPr="007B2915" w:rsidRDefault="00E42AF7" w:rsidP="00D8343A">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rPr>
      </w:pPr>
    </w:p>
    <w:p w:rsidR="002B3605" w:rsidRPr="007B2915" w:rsidRDefault="002B3605" w:rsidP="00D8343A">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rPr>
      </w:pPr>
      <w:r w:rsidRPr="007B2915">
        <w:rPr>
          <w:rFonts w:ascii="Cambria" w:hAnsi="Cambria"/>
          <w:color w:val="auto"/>
          <w:sz w:val="20"/>
          <w:szCs w:val="20"/>
        </w:rPr>
        <w:t>El señor Muelle interpuso un</w:t>
      </w:r>
      <w:r w:rsidR="006A3BA3" w:rsidRPr="007B2915">
        <w:rPr>
          <w:rFonts w:ascii="Cambria" w:hAnsi="Cambria"/>
          <w:color w:val="auto"/>
          <w:sz w:val="20"/>
          <w:szCs w:val="20"/>
        </w:rPr>
        <w:t>a segunda</w:t>
      </w:r>
      <w:r w:rsidRPr="007B2915">
        <w:rPr>
          <w:rFonts w:ascii="Cambria" w:hAnsi="Cambria"/>
          <w:color w:val="auto"/>
          <w:sz w:val="20"/>
          <w:szCs w:val="20"/>
        </w:rPr>
        <w:t xml:space="preserve"> </w:t>
      </w:r>
      <w:r w:rsidR="006A3BA3" w:rsidRPr="007B2915">
        <w:rPr>
          <w:rFonts w:ascii="Cambria" w:hAnsi="Cambria"/>
          <w:color w:val="auto"/>
          <w:sz w:val="20"/>
          <w:szCs w:val="20"/>
        </w:rPr>
        <w:t xml:space="preserve">acción de </w:t>
      </w:r>
      <w:r w:rsidRPr="007B2915">
        <w:rPr>
          <w:rFonts w:ascii="Cambria" w:hAnsi="Cambria"/>
          <w:color w:val="auto"/>
          <w:sz w:val="20"/>
          <w:szCs w:val="20"/>
        </w:rPr>
        <w:t>amparo</w:t>
      </w:r>
      <w:r w:rsidR="008454BD" w:rsidRPr="007B2915">
        <w:rPr>
          <w:rFonts w:ascii="Cambria" w:hAnsi="Cambria"/>
          <w:color w:val="auto"/>
          <w:sz w:val="20"/>
          <w:szCs w:val="20"/>
        </w:rPr>
        <w:t xml:space="preserve"> a efectos de que no se apli</w:t>
      </w:r>
      <w:r w:rsidR="006A3BA3" w:rsidRPr="007B2915">
        <w:rPr>
          <w:rFonts w:ascii="Cambria" w:hAnsi="Cambria"/>
          <w:color w:val="auto"/>
          <w:sz w:val="20"/>
          <w:szCs w:val="20"/>
        </w:rPr>
        <w:t>cara</w:t>
      </w:r>
      <w:r w:rsidR="008454BD" w:rsidRPr="007B2915">
        <w:rPr>
          <w:rFonts w:ascii="Cambria" w:hAnsi="Cambria"/>
          <w:color w:val="auto"/>
          <w:sz w:val="20"/>
          <w:szCs w:val="20"/>
        </w:rPr>
        <w:t xml:space="preserve"> el Acuerdo No. 023/93</w:t>
      </w:r>
      <w:r w:rsidR="008454BD" w:rsidRPr="007B2915">
        <w:rPr>
          <w:rStyle w:val="Refdenotaalpie"/>
          <w:rFonts w:ascii="Cambria" w:hAnsi="Cambria"/>
          <w:color w:val="auto"/>
          <w:sz w:val="20"/>
          <w:szCs w:val="20"/>
        </w:rPr>
        <w:footnoteReference w:id="28"/>
      </w:r>
      <w:r w:rsidRPr="007B2915">
        <w:rPr>
          <w:rFonts w:ascii="Cambria" w:hAnsi="Cambria"/>
          <w:color w:val="auto"/>
          <w:sz w:val="20"/>
          <w:szCs w:val="20"/>
        </w:rPr>
        <w:t>.</w:t>
      </w:r>
      <w:r w:rsidR="008454BD" w:rsidRPr="007B2915">
        <w:rPr>
          <w:rFonts w:ascii="Cambria" w:hAnsi="Cambria"/>
          <w:color w:val="auto"/>
          <w:sz w:val="20"/>
          <w:szCs w:val="20"/>
        </w:rPr>
        <w:t xml:space="preserve"> Asimismo, solicitó que se le restituy</w:t>
      </w:r>
      <w:r w:rsidR="006A3BA3" w:rsidRPr="007B2915">
        <w:rPr>
          <w:rFonts w:ascii="Cambria" w:hAnsi="Cambria"/>
          <w:color w:val="auto"/>
          <w:sz w:val="20"/>
          <w:szCs w:val="20"/>
        </w:rPr>
        <w:t>era</w:t>
      </w:r>
      <w:r w:rsidR="008454BD" w:rsidRPr="007B2915">
        <w:rPr>
          <w:rFonts w:ascii="Cambria" w:hAnsi="Cambria"/>
          <w:color w:val="auto"/>
          <w:sz w:val="20"/>
          <w:szCs w:val="20"/>
        </w:rPr>
        <w:t xml:space="preserve"> su derecho a continuar percibiendo su pensión según el Decreto Ley 20530 y la Ley 25273</w:t>
      </w:r>
      <w:r w:rsidR="008454BD" w:rsidRPr="007B2915">
        <w:rPr>
          <w:rStyle w:val="Refdenotaalpie"/>
          <w:rFonts w:ascii="Cambria" w:hAnsi="Cambria"/>
          <w:color w:val="auto"/>
          <w:sz w:val="20"/>
          <w:szCs w:val="20"/>
        </w:rPr>
        <w:footnoteReference w:id="29"/>
      </w:r>
      <w:r w:rsidR="008454BD" w:rsidRPr="007B2915">
        <w:rPr>
          <w:rFonts w:ascii="Cambria" w:hAnsi="Cambria"/>
          <w:color w:val="auto"/>
          <w:sz w:val="20"/>
          <w:szCs w:val="20"/>
        </w:rPr>
        <w:t>.</w:t>
      </w:r>
    </w:p>
    <w:p w:rsidR="002B3605" w:rsidRPr="007B2915" w:rsidRDefault="002B3605" w:rsidP="00D8343A">
      <w:pPr>
        <w:pStyle w:val="Cuadrculamedia1-nfasis2"/>
        <w:rPr>
          <w:rFonts w:ascii="Cambria" w:hAnsi="Cambria"/>
          <w:sz w:val="20"/>
          <w:szCs w:val="20"/>
          <w:lang w:val="es-ES_tradnl"/>
        </w:rPr>
      </w:pPr>
    </w:p>
    <w:p w:rsidR="002B3605" w:rsidRPr="007B2915" w:rsidRDefault="002B3605" w:rsidP="00D8343A">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rPr>
      </w:pPr>
      <w:r w:rsidRPr="007B2915">
        <w:rPr>
          <w:rFonts w:ascii="Cambria" w:hAnsi="Cambria"/>
          <w:color w:val="auto"/>
          <w:sz w:val="20"/>
          <w:szCs w:val="20"/>
        </w:rPr>
        <w:t>El 23 de febrero de 1995</w:t>
      </w:r>
      <w:r w:rsidR="00542254" w:rsidRPr="007B2915">
        <w:rPr>
          <w:rFonts w:ascii="Cambria" w:hAnsi="Cambria"/>
          <w:color w:val="auto"/>
          <w:sz w:val="20"/>
          <w:szCs w:val="20"/>
        </w:rPr>
        <w:t xml:space="preserve"> el Decimoséptimo Juzgado Civil de Lima declaró improcedente la demanda</w:t>
      </w:r>
      <w:r w:rsidR="00542254" w:rsidRPr="007B2915">
        <w:rPr>
          <w:rStyle w:val="Refdenotaalpie"/>
          <w:rFonts w:ascii="Cambria" w:hAnsi="Cambria"/>
          <w:color w:val="auto"/>
          <w:sz w:val="20"/>
          <w:szCs w:val="20"/>
        </w:rPr>
        <w:footnoteReference w:id="30"/>
      </w:r>
      <w:r w:rsidR="00542254" w:rsidRPr="007B2915">
        <w:rPr>
          <w:rFonts w:ascii="Cambria" w:hAnsi="Cambria"/>
          <w:color w:val="auto"/>
          <w:sz w:val="20"/>
          <w:szCs w:val="20"/>
        </w:rPr>
        <w:t>.</w:t>
      </w:r>
      <w:r w:rsidR="003C128C" w:rsidRPr="007B2915">
        <w:rPr>
          <w:rFonts w:ascii="Cambria" w:hAnsi="Cambria"/>
          <w:color w:val="auto"/>
          <w:sz w:val="20"/>
          <w:szCs w:val="20"/>
        </w:rPr>
        <w:t xml:space="preserve"> El juzgado concluyó lo siguiente:</w:t>
      </w:r>
    </w:p>
    <w:p w:rsidR="003C128C" w:rsidRPr="007B2915" w:rsidRDefault="003C128C" w:rsidP="00D8343A">
      <w:pPr>
        <w:pStyle w:val="Cuadrculamedia1-nfasis2"/>
        <w:rPr>
          <w:rFonts w:ascii="Cambria" w:hAnsi="Cambria"/>
          <w:sz w:val="20"/>
          <w:szCs w:val="20"/>
        </w:rPr>
      </w:pPr>
    </w:p>
    <w:p w:rsidR="003C128C" w:rsidRPr="007B2915" w:rsidRDefault="003C128C" w:rsidP="00D8343A">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color w:val="auto"/>
          <w:sz w:val="20"/>
          <w:szCs w:val="20"/>
        </w:rPr>
      </w:pPr>
      <w:r w:rsidRPr="007B2915">
        <w:rPr>
          <w:rFonts w:ascii="Cambria" w:hAnsi="Cambria"/>
          <w:color w:val="auto"/>
          <w:sz w:val="20"/>
          <w:szCs w:val="20"/>
        </w:rPr>
        <w:t xml:space="preserve">(…) el Acuerdo No. 023/93 (…) no vulnera o amenaza derecho constitucional alguno de aquel, pues no modifica ni extingue su derecho de incorporación al régimen de pensiones y compensaciones del Decreto Ley 20530, el que se encuentra plenamente garantizado, cautelado y protegido por la sentencia definitiva </w:t>
      </w:r>
      <w:r w:rsidR="00264882" w:rsidRPr="007B2915">
        <w:rPr>
          <w:rFonts w:ascii="Cambria" w:hAnsi="Cambria"/>
          <w:color w:val="auto"/>
          <w:sz w:val="20"/>
          <w:szCs w:val="20"/>
        </w:rPr>
        <w:t xml:space="preserve">(…) </w:t>
      </w:r>
      <w:r w:rsidRPr="007B2915">
        <w:rPr>
          <w:rFonts w:ascii="Cambria" w:hAnsi="Cambria"/>
          <w:color w:val="auto"/>
          <w:sz w:val="20"/>
          <w:szCs w:val="20"/>
        </w:rPr>
        <w:t>favorable en proceso constitucional que iniciara ante el Quinto Juzgado Especializado (…) y que está en plena ejecución y cuyo cabal cumplimiento debe verificarse ante dicho juzgado</w:t>
      </w:r>
      <w:r w:rsidRPr="007B2915">
        <w:rPr>
          <w:rStyle w:val="Refdenotaalpie"/>
          <w:rFonts w:ascii="Cambria" w:hAnsi="Cambria"/>
          <w:color w:val="auto"/>
          <w:sz w:val="20"/>
          <w:szCs w:val="20"/>
        </w:rPr>
        <w:footnoteReference w:id="31"/>
      </w:r>
      <w:r w:rsidRPr="007B2915">
        <w:rPr>
          <w:rFonts w:ascii="Cambria" w:hAnsi="Cambria"/>
          <w:color w:val="auto"/>
          <w:sz w:val="20"/>
          <w:szCs w:val="20"/>
        </w:rPr>
        <w:t>.</w:t>
      </w:r>
    </w:p>
    <w:p w:rsidR="002B3605" w:rsidRPr="007B2915" w:rsidRDefault="002B3605" w:rsidP="00D8343A">
      <w:pPr>
        <w:pStyle w:val="Cuadrculamedia1-nfasis2"/>
        <w:rPr>
          <w:rFonts w:ascii="Cambria" w:hAnsi="Cambria"/>
          <w:sz w:val="20"/>
          <w:szCs w:val="20"/>
          <w:lang w:val="es-ES"/>
        </w:rPr>
      </w:pPr>
    </w:p>
    <w:p w:rsidR="002B3605" w:rsidRPr="007B2915" w:rsidRDefault="002B3605" w:rsidP="00D8343A">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rPr>
      </w:pPr>
      <w:r w:rsidRPr="007B2915">
        <w:rPr>
          <w:rFonts w:ascii="Cambria" w:hAnsi="Cambria"/>
          <w:color w:val="auto"/>
          <w:sz w:val="20"/>
          <w:szCs w:val="20"/>
        </w:rPr>
        <w:t>El 14 de julio de 1995</w:t>
      </w:r>
      <w:r w:rsidR="00A27468" w:rsidRPr="007B2915">
        <w:rPr>
          <w:rFonts w:ascii="Cambria" w:hAnsi="Cambria"/>
          <w:color w:val="auto"/>
          <w:sz w:val="20"/>
          <w:szCs w:val="20"/>
        </w:rPr>
        <w:t xml:space="preserve"> la Primera Sala Civil de la Corte Superior de Justicia de Lima se pronunció sobre la apelación del señor Muelle y confirmó la sentencia de primera instancia</w:t>
      </w:r>
      <w:r w:rsidR="00A27468" w:rsidRPr="007B2915">
        <w:rPr>
          <w:rStyle w:val="Refdenotaalpie"/>
          <w:rFonts w:ascii="Cambria" w:hAnsi="Cambria"/>
          <w:color w:val="auto"/>
          <w:sz w:val="20"/>
          <w:szCs w:val="20"/>
        </w:rPr>
        <w:footnoteReference w:id="32"/>
      </w:r>
      <w:r w:rsidR="00A27468" w:rsidRPr="007B2915">
        <w:rPr>
          <w:rFonts w:ascii="Cambria" w:hAnsi="Cambria"/>
          <w:color w:val="auto"/>
          <w:sz w:val="20"/>
          <w:szCs w:val="20"/>
        </w:rPr>
        <w:t xml:space="preserve">. La Sala consideró que la decisión de la Corte Suprema de febrero de 1993 “tiene autoridad de cosa juzgada (…) de manera que no puede iniciarse otra acción de garantía contra </w:t>
      </w:r>
      <w:r w:rsidR="00A27468" w:rsidRPr="007B2915">
        <w:rPr>
          <w:rFonts w:ascii="Cambria" w:hAnsi="Cambria" w:cs="Arial"/>
          <w:color w:val="auto"/>
          <w:sz w:val="20"/>
          <w:szCs w:val="20"/>
        </w:rPr>
        <w:t>[dicho] acto</w:t>
      </w:r>
      <w:r w:rsidR="00A27468" w:rsidRPr="007B2915">
        <w:rPr>
          <w:rFonts w:ascii="Cambria" w:hAnsi="Cambria"/>
          <w:color w:val="auto"/>
          <w:sz w:val="20"/>
          <w:szCs w:val="20"/>
        </w:rPr>
        <w:t>”</w:t>
      </w:r>
      <w:r w:rsidR="00A27468" w:rsidRPr="007B2915">
        <w:rPr>
          <w:rStyle w:val="Refdenotaalpie"/>
          <w:rFonts w:ascii="Cambria" w:hAnsi="Cambria"/>
          <w:color w:val="auto"/>
          <w:sz w:val="20"/>
          <w:szCs w:val="20"/>
        </w:rPr>
        <w:footnoteReference w:id="33"/>
      </w:r>
      <w:r w:rsidR="00A27468" w:rsidRPr="007B2915">
        <w:rPr>
          <w:rFonts w:ascii="Cambria" w:hAnsi="Cambria"/>
          <w:color w:val="auto"/>
          <w:sz w:val="20"/>
          <w:szCs w:val="20"/>
        </w:rPr>
        <w:t>.</w:t>
      </w:r>
    </w:p>
    <w:p w:rsidR="002B3605" w:rsidRPr="007B2915" w:rsidRDefault="002B3605" w:rsidP="00D8343A">
      <w:pPr>
        <w:pStyle w:val="Cuadrculamedia1-nfasis2"/>
        <w:rPr>
          <w:rFonts w:ascii="Cambria" w:hAnsi="Cambria"/>
          <w:sz w:val="20"/>
          <w:szCs w:val="20"/>
          <w:lang w:val="es-ES"/>
        </w:rPr>
      </w:pPr>
    </w:p>
    <w:p w:rsidR="002B3605" w:rsidRPr="007B2915" w:rsidRDefault="002B3605" w:rsidP="00D8343A">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rPr>
      </w:pPr>
      <w:r w:rsidRPr="007B2915">
        <w:rPr>
          <w:rFonts w:ascii="Cambria" w:hAnsi="Cambria"/>
          <w:color w:val="auto"/>
          <w:sz w:val="20"/>
          <w:szCs w:val="20"/>
        </w:rPr>
        <w:t>El 26 de agosto de 1997 la Corte Suprema de Justicia</w:t>
      </w:r>
      <w:r w:rsidR="004026A8" w:rsidRPr="007B2915">
        <w:rPr>
          <w:rFonts w:ascii="Cambria" w:hAnsi="Cambria"/>
          <w:color w:val="auto"/>
          <w:sz w:val="20"/>
          <w:szCs w:val="20"/>
        </w:rPr>
        <w:t xml:space="preserve"> se pronunció sobre el recurso de casación presentado por el señor Muelle y declaró improcedente el recurso de amp</w:t>
      </w:r>
      <w:r w:rsidR="00264882" w:rsidRPr="007B2915">
        <w:rPr>
          <w:rFonts w:ascii="Cambria" w:hAnsi="Cambria"/>
          <w:color w:val="auto"/>
          <w:sz w:val="20"/>
          <w:szCs w:val="20"/>
        </w:rPr>
        <w:t>a</w:t>
      </w:r>
      <w:r w:rsidR="004026A8" w:rsidRPr="007B2915">
        <w:rPr>
          <w:rFonts w:ascii="Cambria" w:hAnsi="Cambria"/>
          <w:color w:val="auto"/>
          <w:sz w:val="20"/>
          <w:szCs w:val="20"/>
        </w:rPr>
        <w:t>ro</w:t>
      </w:r>
      <w:r w:rsidR="004026A8" w:rsidRPr="007B2915">
        <w:rPr>
          <w:rStyle w:val="Refdenotaalpie"/>
          <w:rFonts w:ascii="Cambria" w:hAnsi="Cambria"/>
          <w:color w:val="auto"/>
          <w:sz w:val="20"/>
          <w:szCs w:val="20"/>
        </w:rPr>
        <w:footnoteReference w:id="34"/>
      </w:r>
      <w:r w:rsidR="004026A8" w:rsidRPr="007B2915">
        <w:rPr>
          <w:rFonts w:ascii="Cambria" w:hAnsi="Cambria"/>
          <w:color w:val="auto"/>
          <w:sz w:val="20"/>
          <w:szCs w:val="20"/>
        </w:rPr>
        <w:t>. En vista de ello, el señor Muelle presentó un recurso extraordinario ante el Tribunal Constitucional</w:t>
      </w:r>
      <w:r w:rsidR="004026A8" w:rsidRPr="007B2915">
        <w:rPr>
          <w:rStyle w:val="Refdenotaalpie"/>
          <w:rFonts w:ascii="Cambria" w:hAnsi="Cambria"/>
          <w:color w:val="auto"/>
          <w:sz w:val="20"/>
          <w:szCs w:val="20"/>
        </w:rPr>
        <w:footnoteReference w:id="35"/>
      </w:r>
      <w:r w:rsidR="004026A8" w:rsidRPr="007B2915">
        <w:rPr>
          <w:rFonts w:ascii="Cambria" w:hAnsi="Cambria"/>
          <w:color w:val="auto"/>
          <w:sz w:val="20"/>
          <w:szCs w:val="20"/>
        </w:rPr>
        <w:t>.</w:t>
      </w:r>
    </w:p>
    <w:p w:rsidR="002B3605" w:rsidRPr="007B2915" w:rsidRDefault="002B3605" w:rsidP="00D8343A">
      <w:pPr>
        <w:pStyle w:val="Cuadrculamedia1-nfasis2"/>
        <w:rPr>
          <w:rFonts w:ascii="Cambria" w:hAnsi="Cambria"/>
          <w:sz w:val="20"/>
          <w:szCs w:val="20"/>
          <w:lang w:val="es-ES"/>
        </w:rPr>
      </w:pPr>
    </w:p>
    <w:p w:rsidR="002B3605" w:rsidRPr="007B2915" w:rsidRDefault="002B3605" w:rsidP="00D8343A">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rPr>
      </w:pPr>
      <w:r w:rsidRPr="007B2915">
        <w:rPr>
          <w:rFonts w:ascii="Cambria" w:hAnsi="Cambria"/>
          <w:color w:val="auto"/>
          <w:sz w:val="20"/>
          <w:szCs w:val="20"/>
        </w:rPr>
        <w:t xml:space="preserve">El 10 de diciembre de 1999 el Tribunal Constitucional revocó la resolución </w:t>
      </w:r>
      <w:r w:rsidR="004C7B32" w:rsidRPr="007B2915">
        <w:rPr>
          <w:rFonts w:ascii="Cambria" w:hAnsi="Cambria"/>
          <w:color w:val="auto"/>
          <w:sz w:val="20"/>
          <w:szCs w:val="20"/>
        </w:rPr>
        <w:t>de la Corte Suprema de Justicia y declaró fundado el recurso de amparo</w:t>
      </w:r>
      <w:r w:rsidR="004C7B32" w:rsidRPr="007B2915">
        <w:rPr>
          <w:rStyle w:val="Refdenotaalpie"/>
          <w:rFonts w:ascii="Cambria" w:hAnsi="Cambria"/>
          <w:color w:val="auto"/>
          <w:sz w:val="20"/>
          <w:szCs w:val="20"/>
        </w:rPr>
        <w:footnoteReference w:id="36"/>
      </w:r>
      <w:r w:rsidR="004C7B32" w:rsidRPr="007B2915">
        <w:rPr>
          <w:rFonts w:ascii="Cambria" w:hAnsi="Cambria"/>
          <w:color w:val="auto"/>
          <w:sz w:val="20"/>
          <w:szCs w:val="20"/>
        </w:rPr>
        <w:t>.</w:t>
      </w:r>
      <w:r w:rsidR="00932525" w:rsidRPr="007B2915">
        <w:rPr>
          <w:rFonts w:ascii="Cambria" w:hAnsi="Cambria"/>
          <w:color w:val="auto"/>
          <w:sz w:val="20"/>
          <w:szCs w:val="20"/>
        </w:rPr>
        <w:t xml:space="preserve"> El Tribunal indicó lo siguiente:</w:t>
      </w:r>
    </w:p>
    <w:p w:rsidR="00932525" w:rsidRPr="007B2915" w:rsidRDefault="00932525" w:rsidP="00D8343A">
      <w:pPr>
        <w:pStyle w:val="Cuadrculamedia1-nfasis2"/>
        <w:rPr>
          <w:rFonts w:ascii="Cambria" w:hAnsi="Cambria"/>
          <w:sz w:val="20"/>
          <w:szCs w:val="20"/>
        </w:rPr>
      </w:pPr>
    </w:p>
    <w:p w:rsidR="00932525" w:rsidRPr="007B2915" w:rsidRDefault="00932525" w:rsidP="00D8343A">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color w:val="auto"/>
          <w:sz w:val="20"/>
          <w:szCs w:val="20"/>
        </w:rPr>
      </w:pPr>
      <w:r w:rsidRPr="007B2915">
        <w:rPr>
          <w:rFonts w:ascii="Cambria" w:hAnsi="Cambria"/>
          <w:color w:val="auto"/>
          <w:sz w:val="20"/>
          <w:szCs w:val="20"/>
        </w:rPr>
        <w:t>(…) los derechos pensionarios adquiridos por el demandante al amparo del Decreto Ley 20530 no pueden ser desconocidos por la demandada en forma unilateral y fuera de los plazos de ley, sino que contra resoluciones que constituyen cosa decidida, sólo procede determinar su nulidad a través de un proceso regular en sede judicial</w:t>
      </w:r>
      <w:r w:rsidRPr="007B2915">
        <w:rPr>
          <w:rStyle w:val="Refdenotaalpie"/>
          <w:rFonts w:ascii="Cambria" w:hAnsi="Cambria"/>
          <w:color w:val="auto"/>
          <w:sz w:val="20"/>
          <w:szCs w:val="20"/>
        </w:rPr>
        <w:footnoteReference w:id="37"/>
      </w:r>
      <w:r w:rsidRPr="007B2915">
        <w:rPr>
          <w:rFonts w:ascii="Cambria" w:hAnsi="Cambria"/>
          <w:color w:val="auto"/>
          <w:sz w:val="20"/>
          <w:szCs w:val="20"/>
        </w:rPr>
        <w:t>.</w:t>
      </w:r>
    </w:p>
    <w:p w:rsidR="00932525" w:rsidRPr="007B2915" w:rsidRDefault="00932525" w:rsidP="00D8343A">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rPr>
      </w:pPr>
    </w:p>
    <w:p w:rsidR="00932525" w:rsidRPr="007B2915" w:rsidRDefault="00932525" w:rsidP="00D8343A">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rPr>
      </w:pPr>
      <w:r w:rsidRPr="007B2915">
        <w:rPr>
          <w:rFonts w:ascii="Cambria" w:hAnsi="Cambria"/>
          <w:color w:val="auto"/>
          <w:sz w:val="20"/>
          <w:szCs w:val="20"/>
        </w:rPr>
        <w:t>El Tribunal Constitucional señaló que no resulta aplicable el Acuerdo No. 023/93 y ordenó a la empresa que “cumpla con el pago continuado de su pensión de cesantía renovable que venía percibiendo”</w:t>
      </w:r>
      <w:r w:rsidRPr="007B2915">
        <w:rPr>
          <w:rStyle w:val="Refdenotaalpie"/>
          <w:rFonts w:ascii="Cambria" w:hAnsi="Cambria"/>
          <w:color w:val="auto"/>
          <w:sz w:val="20"/>
          <w:szCs w:val="20"/>
        </w:rPr>
        <w:footnoteReference w:id="38"/>
      </w:r>
      <w:r w:rsidRPr="007B2915">
        <w:rPr>
          <w:rFonts w:ascii="Cambria" w:hAnsi="Cambria"/>
          <w:color w:val="auto"/>
          <w:sz w:val="20"/>
          <w:szCs w:val="20"/>
        </w:rPr>
        <w:t>.</w:t>
      </w:r>
    </w:p>
    <w:p w:rsidR="00D31A7B" w:rsidRDefault="00D31A7B" w:rsidP="00D8343A">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rPr>
      </w:pPr>
    </w:p>
    <w:p w:rsidR="007B2915" w:rsidRPr="007B2915" w:rsidRDefault="007B2915" w:rsidP="00D8343A">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rPr>
      </w:pPr>
    </w:p>
    <w:p w:rsidR="002B3605" w:rsidRPr="007B2915" w:rsidRDefault="00D733A0" w:rsidP="00C3155B">
      <w:pPr>
        <w:pStyle w:val="Ttulo2"/>
        <w:jc w:val="both"/>
        <w:rPr>
          <w:szCs w:val="20"/>
        </w:rPr>
      </w:pPr>
      <w:bookmarkStart w:id="44" w:name="_Toc346449086"/>
      <w:bookmarkStart w:id="45" w:name="_Toc474398493"/>
      <w:r w:rsidRPr="007B2915">
        <w:rPr>
          <w:szCs w:val="20"/>
        </w:rPr>
        <w:t>D</w:t>
      </w:r>
      <w:r w:rsidR="002B3605" w:rsidRPr="007B2915">
        <w:rPr>
          <w:szCs w:val="20"/>
        </w:rPr>
        <w:t>.</w:t>
      </w:r>
      <w:r w:rsidR="002B3605" w:rsidRPr="007B2915">
        <w:rPr>
          <w:szCs w:val="20"/>
        </w:rPr>
        <w:tab/>
      </w:r>
      <w:r w:rsidR="00F16B84" w:rsidRPr="007B2915">
        <w:rPr>
          <w:szCs w:val="20"/>
        </w:rPr>
        <w:t xml:space="preserve">Sobre </w:t>
      </w:r>
      <w:r w:rsidR="000D691D" w:rsidRPr="007B2915">
        <w:rPr>
          <w:szCs w:val="20"/>
        </w:rPr>
        <w:t>otros</w:t>
      </w:r>
      <w:r w:rsidR="00F16B84" w:rsidRPr="007B2915">
        <w:rPr>
          <w:szCs w:val="20"/>
        </w:rPr>
        <w:t xml:space="preserve"> recursos interpuestos</w:t>
      </w:r>
      <w:r w:rsidR="00D8343A" w:rsidRPr="007B2915">
        <w:rPr>
          <w:szCs w:val="20"/>
        </w:rPr>
        <w:t xml:space="preserve"> y el proceso de ejecución de cumplimiento de sentencia</w:t>
      </w:r>
      <w:bookmarkEnd w:id="44"/>
      <w:bookmarkEnd w:id="45"/>
    </w:p>
    <w:p w:rsidR="002B3605" w:rsidRPr="007B2915" w:rsidRDefault="002B3605" w:rsidP="00D8343A">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lang w:val="es-AR"/>
        </w:rPr>
      </w:pPr>
    </w:p>
    <w:p w:rsidR="00032AA0" w:rsidRPr="007B2915" w:rsidRDefault="00032AA0" w:rsidP="00D8343A">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s-AR"/>
        </w:rPr>
      </w:pPr>
      <w:r w:rsidRPr="007B2915">
        <w:rPr>
          <w:rFonts w:ascii="Cambria" w:hAnsi="Cambria"/>
          <w:color w:val="auto"/>
          <w:sz w:val="20"/>
          <w:szCs w:val="20"/>
          <w:lang w:val="es-AR"/>
        </w:rPr>
        <w:t xml:space="preserve">La CIDH toma nota de que durante el trámite de los dos recursos de amparo previamente descritos, así como con posterioridad a los mismos, diversos tribunales expidieron resoluciones frente a </w:t>
      </w:r>
      <w:r w:rsidRPr="007B2915">
        <w:rPr>
          <w:rFonts w:ascii="Cambria" w:hAnsi="Cambria"/>
          <w:color w:val="auto"/>
          <w:sz w:val="20"/>
          <w:szCs w:val="20"/>
          <w:lang w:val="es-AR"/>
        </w:rPr>
        <w:lastRenderedPageBreak/>
        <w:t xml:space="preserve">nuevas solicitudes y demandas del señor Muelle como de la empresa. A continuación la Comisión recapitula </w:t>
      </w:r>
      <w:r w:rsidR="00D733A0" w:rsidRPr="007B2915">
        <w:rPr>
          <w:rFonts w:ascii="Cambria" w:hAnsi="Cambria"/>
          <w:color w:val="auto"/>
          <w:sz w:val="20"/>
          <w:szCs w:val="20"/>
          <w:lang w:val="es-AR"/>
        </w:rPr>
        <w:t>las</w:t>
      </w:r>
      <w:r w:rsidRPr="007B2915">
        <w:rPr>
          <w:rFonts w:ascii="Cambria" w:hAnsi="Cambria"/>
          <w:color w:val="auto"/>
          <w:sz w:val="20"/>
          <w:szCs w:val="20"/>
          <w:lang w:val="es-AR"/>
        </w:rPr>
        <w:t xml:space="preserve"> </w:t>
      </w:r>
      <w:r w:rsidR="00C12B2A" w:rsidRPr="007B2915">
        <w:rPr>
          <w:rFonts w:ascii="Cambria" w:hAnsi="Cambria"/>
          <w:color w:val="auto"/>
          <w:sz w:val="20"/>
          <w:szCs w:val="20"/>
          <w:lang w:val="es-AR"/>
        </w:rPr>
        <w:t xml:space="preserve">solicitudes, demandas y </w:t>
      </w:r>
      <w:r w:rsidRPr="007B2915">
        <w:rPr>
          <w:rFonts w:ascii="Cambria" w:hAnsi="Cambria"/>
          <w:color w:val="auto"/>
          <w:sz w:val="20"/>
          <w:szCs w:val="20"/>
          <w:lang w:val="es-AR"/>
        </w:rPr>
        <w:t>decisiones</w:t>
      </w:r>
      <w:r w:rsidR="00D733A0" w:rsidRPr="007B2915">
        <w:rPr>
          <w:rFonts w:ascii="Cambria" w:hAnsi="Cambria"/>
          <w:color w:val="auto"/>
          <w:sz w:val="20"/>
          <w:szCs w:val="20"/>
          <w:lang w:val="es-AR"/>
        </w:rPr>
        <w:t xml:space="preserve"> pres</w:t>
      </w:r>
      <w:r w:rsidR="00E44CA0" w:rsidRPr="007B2915">
        <w:rPr>
          <w:rFonts w:ascii="Cambria" w:hAnsi="Cambria"/>
          <w:color w:val="auto"/>
          <w:sz w:val="20"/>
          <w:szCs w:val="20"/>
          <w:lang w:val="es-AR"/>
        </w:rPr>
        <w:t>entadas por las partes con relevancia a efectos del análisis</w:t>
      </w:r>
      <w:r w:rsidRPr="007B2915">
        <w:rPr>
          <w:rFonts w:ascii="Cambria" w:hAnsi="Cambria"/>
          <w:color w:val="auto"/>
          <w:sz w:val="20"/>
          <w:szCs w:val="20"/>
          <w:lang w:val="es-AR"/>
        </w:rPr>
        <w:t>.</w:t>
      </w:r>
    </w:p>
    <w:p w:rsidR="00032AA0" w:rsidRPr="007B2915" w:rsidRDefault="00032AA0" w:rsidP="00D8343A">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lang w:val="es-AR"/>
        </w:rPr>
      </w:pPr>
    </w:p>
    <w:p w:rsidR="00F1152D" w:rsidRPr="007B2915" w:rsidRDefault="00F1152D" w:rsidP="009563AE">
      <w:pPr>
        <w:pStyle w:val="Ttulo3"/>
      </w:pPr>
      <w:bookmarkStart w:id="46" w:name="_Toc346449087"/>
      <w:bookmarkStart w:id="47" w:name="_Toc474398494"/>
      <w:r w:rsidRPr="007B2915">
        <w:t xml:space="preserve">1. </w:t>
      </w:r>
      <w:r w:rsidRPr="007B2915">
        <w:tab/>
        <w:t>Demanda presentada por la empresa</w:t>
      </w:r>
      <w:bookmarkEnd w:id="46"/>
      <w:bookmarkEnd w:id="47"/>
    </w:p>
    <w:p w:rsidR="00F1152D" w:rsidRPr="007B2915" w:rsidRDefault="00F1152D" w:rsidP="00F1152D">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2880" w:firstLine="0"/>
        <w:jc w:val="both"/>
        <w:rPr>
          <w:rFonts w:ascii="Cambria" w:hAnsi="Cambria" w:cs="Arial"/>
          <w:b/>
          <w:iCs/>
          <w:color w:val="auto"/>
          <w:sz w:val="20"/>
          <w:szCs w:val="20"/>
        </w:rPr>
      </w:pPr>
    </w:p>
    <w:p w:rsidR="00F1152D" w:rsidRPr="007B2915" w:rsidRDefault="00F1152D" w:rsidP="00F1152D">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s-AR"/>
        </w:rPr>
      </w:pPr>
      <w:r w:rsidRPr="007B2915">
        <w:rPr>
          <w:rFonts w:ascii="Cambria" w:hAnsi="Cambria"/>
          <w:color w:val="auto"/>
          <w:sz w:val="20"/>
          <w:szCs w:val="20"/>
          <w:lang w:val="es-AR"/>
        </w:rPr>
        <w:t>El 15 de agosto de 1996 la empresa presentó una demanda a efectos de declarar la improcedencia de</w:t>
      </w:r>
      <w:r w:rsidR="0019281D" w:rsidRPr="007B2915">
        <w:rPr>
          <w:rFonts w:ascii="Cambria" w:hAnsi="Cambria"/>
          <w:color w:val="auto"/>
          <w:sz w:val="20"/>
          <w:szCs w:val="20"/>
          <w:lang w:val="es-AR"/>
        </w:rPr>
        <w:t xml:space="preserve"> la</w:t>
      </w:r>
      <w:r w:rsidRPr="007B2915">
        <w:rPr>
          <w:rFonts w:ascii="Cambria" w:hAnsi="Cambria"/>
          <w:color w:val="auto"/>
          <w:sz w:val="20"/>
          <w:szCs w:val="20"/>
          <w:lang w:val="es-AR"/>
        </w:rPr>
        <w:t xml:space="preserve"> reincorporación del señor Muelle al régimen pensionario del Decreto Ley 20530</w:t>
      </w:r>
      <w:r w:rsidRPr="007B2915">
        <w:rPr>
          <w:rStyle w:val="Refdenotaalpie"/>
          <w:rFonts w:ascii="Cambria" w:hAnsi="Cambria"/>
          <w:color w:val="auto"/>
          <w:sz w:val="20"/>
          <w:szCs w:val="20"/>
          <w:lang w:val="es-AR"/>
        </w:rPr>
        <w:footnoteReference w:id="39"/>
      </w:r>
      <w:r w:rsidRPr="007B2915">
        <w:rPr>
          <w:rFonts w:ascii="Cambria" w:hAnsi="Cambria"/>
          <w:color w:val="auto"/>
          <w:sz w:val="20"/>
          <w:szCs w:val="20"/>
          <w:lang w:val="es-AR"/>
        </w:rPr>
        <w:t>. El 2 de septiembre de 1996 la Sala Contencioso Administrativa de la Corte Superior de Lima declaró fundada la demanda</w:t>
      </w:r>
      <w:r w:rsidRPr="007B2915">
        <w:rPr>
          <w:rStyle w:val="Refdenotaalpie"/>
          <w:rFonts w:ascii="Cambria" w:hAnsi="Cambria"/>
          <w:color w:val="auto"/>
          <w:sz w:val="20"/>
          <w:szCs w:val="20"/>
          <w:lang w:val="es-AR"/>
        </w:rPr>
        <w:footnoteReference w:id="40"/>
      </w:r>
      <w:r w:rsidRPr="007B2915">
        <w:rPr>
          <w:rFonts w:ascii="Cambria" w:hAnsi="Cambria"/>
          <w:color w:val="auto"/>
          <w:sz w:val="20"/>
          <w:szCs w:val="20"/>
          <w:lang w:val="es-AR"/>
        </w:rPr>
        <w:t xml:space="preserve">. El señor Muelle presentó un recurso de nulidad </w:t>
      </w:r>
      <w:r w:rsidR="0019281D" w:rsidRPr="007B2915">
        <w:rPr>
          <w:rFonts w:ascii="Cambria" w:hAnsi="Cambria"/>
          <w:color w:val="auto"/>
          <w:sz w:val="20"/>
          <w:szCs w:val="20"/>
          <w:lang w:val="es-AR"/>
        </w:rPr>
        <w:t xml:space="preserve">contra </w:t>
      </w:r>
      <w:r w:rsidRPr="007B2915">
        <w:rPr>
          <w:rFonts w:ascii="Cambria" w:hAnsi="Cambria"/>
          <w:color w:val="auto"/>
          <w:sz w:val="20"/>
          <w:szCs w:val="20"/>
          <w:lang w:val="es-AR"/>
        </w:rPr>
        <w:t>dicha sentencia</w:t>
      </w:r>
      <w:r w:rsidRPr="007B2915">
        <w:rPr>
          <w:rStyle w:val="Refdenotaalpie"/>
          <w:rFonts w:ascii="Cambria" w:hAnsi="Cambria"/>
          <w:color w:val="auto"/>
          <w:sz w:val="20"/>
          <w:szCs w:val="20"/>
          <w:lang w:val="es-AR"/>
        </w:rPr>
        <w:footnoteReference w:id="41"/>
      </w:r>
      <w:r w:rsidRPr="007B2915">
        <w:rPr>
          <w:rFonts w:ascii="Cambria" w:hAnsi="Cambria"/>
          <w:color w:val="auto"/>
          <w:sz w:val="20"/>
          <w:szCs w:val="20"/>
          <w:lang w:val="es-AR"/>
        </w:rPr>
        <w:t>.</w:t>
      </w:r>
    </w:p>
    <w:p w:rsidR="00F1152D" w:rsidRPr="007B2915" w:rsidRDefault="00F1152D" w:rsidP="00F1152D">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lang w:val="es-AR"/>
        </w:rPr>
      </w:pPr>
    </w:p>
    <w:p w:rsidR="00F1152D" w:rsidRPr="007B2915" w:rsidRDefault="00F1152D" w:rsidP="00F1152D">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s-AR"/>
        </w:rPr>
      </w:pPr>
      <w:r w:rsidRPr="007B2915">
        <w:rPr>
          <w:rFonts w:ascii="Cambria" w:hAnsi="Cambria"/>
          <w:color w:val="auto"/>
          <w:sz w:val="20"/>
          <w:szCs w:val="20"/>
          <w:lang w:val="es-AR"/>
        </w:rPr>
        <w:t xml:space="preserve">El 22 de agosto de 1997 la </w:t>
      </w:r>
      <w:r w:rsidRPr="007B2915">
        <w:rPr>
          <w:rFonts w:ascii="Cambria" w:hAnsi="Cambria"/>
          <w:color w:val="auto"/>
          <w:sz w:val="20"/>
          <w:szCs w:val="20"/>
          <w:lang w:val="es-ES"/>
        </w:rPr>
        <w:t xml:space="preserve">Sala Constitucional y Social de la Corte Suprema </w:t>
      </w:r>
      <w:r w:rsidR="00B91978" w:rsidRPr="007B2915">
        <w:rPr>
          <w:rFonts w:ascii="Cambria" w:hAnsi="Cambria"/>
          <w:color w:val="auto"/>
          <w:sz w:val="20"/>
          <w:szCs w:val="20"/>
          <w:lang w:val="es-ES"/>
        </w:rPr>
        <w:t xml:space="preserve">se pronunció </w:t>
      </w:r>
      <w:r w:rsidRPr="007B2915">
        <w:rPr>
          <w:rFonts w:ascii="Cambria" w:hAnsi="Cambria"/>
          <w:color w:val="auto"/>
          <w:sz w:val="20"/>
          <w:szCs w:val="20"/>
          <w:lang w:val="es-ES"/>
        </w:rPr>
        <w:t>declar</w:t>
      </w:r>
      <w:r w:rsidR="00B91978" w:rsidRPr="007B2915">
        <w:rPr>
          <w:rFonts w:ascii="Cambria" w:hAnsi="Cambria"/>
          <w:color w:val="auto"/>
          <w:sz w:val="20"/>
          <w:szCs w:val="20"/>
          <w:lang w:val="es-ES"/>
        </w:rPr>
        <w:t>ando</w:t>
      </w:r>
      <w:r w:rsidRPr="007B2915">
        <w:rPr>
          <w:rFonts w:ascii="Cambria" w:hAnsi="Cambria"/>
          <w:color w:val="auto"/>
          <w:sz w:val="20"/>
          <w:szCs w:val="20"/>
          <w:lang w:val="es-ES"/>
        </w:rPr>
        <w:t xml:space="preserve"> infundada la demanda presentada por la empresa</w:t>
      </w:r>
      <w:r w:rsidRPr="007B2915">
        <w:rPr>
          <w:rStyle w:val="Refdenotaalpie"/>
          <w:rFonts w:ascii="Cambria" w:hAnsi="Cambria"/>
          <w:color w:val="auto"/>
          <w:sz w:val="20"/>
          <w:szCs w:val="20"/>
          <w:lang w:val="es-AR"/>
        </w:rPr>
        <w:footnoteReference w:id="42"/>
      </w:r>
      <w:r w:rsidRPr="007B2915">
        <w:rPr>
          <w:rFonts w:ascii="Cambria" w:hAnsi="Cambria"/>
          <w:color w:val="auto"/>
          <w:sz w:val="20"/>
          <w:szCs w:val="20"/>
          <w:lang w:val="es-ES"/>
        </w:rPr>
        <w:t>. La Sala sostuvo lo siguiente:</w:t>
      </w:r>
    </w:p>
    <w:p w:rsidR="00F1152D" w:rsidRPr="007B2915" w:rsidRDefault="00F1152D" w:rsidP="00F1152D">
      <w:pPr>
        <w:pStyle w:val="Cuadrculamedia1-nfasis2"/>
        <w:rPr>
          <w:rFonts w:ascii="Cambria" w:hAnsi="Cambria"/>
          <w:sz w:val="20"/>
          <w:szCs w:val="20"/>
          <w:lang w:val="es-AR"/>
        </w:rPr>
      </w:pPr>
    </w:p>
    <w:p w:rsidR="00F1152D" w:rsidRPr="007B2915" w:rsidRDefault="00F1152D" w:rsidP="00F1152D">
      <w:pPr>
        <w:pStyle w:val="Cuadrculamedia1-nfasis2"/>
        <w:ind w:right="720"/>
        <w:jc w:val="both"/>
        <w:rPr>
          <w:rFonts w:ascii="Cambria" w:hAnsi="Cambria"/>
          <w:sz w:val="20"/>
          <w:szCs w:val="20"/>
          <w:lang w:val="es-AR"/>
        </w:rPr>
      </w:pPr>
      <w:r w:rsidRPr="007B2915">
        <w:rPr>
          <w:rFonts w:ascii="Cambria" w:hAnsi="Cambria"/>
          <w:sz w:val="20"/>
          <w:szCs w:val="20"/>
          <w:lang w:val="es-AR"/>
        </w:rPr>
        <w:t>Si bien es cierto que el artículo 14 inciso b) del Decreto Ley 20530 impide la acumulación de los servicios prestados al sector público, bajo regímenes laborales distintos, también lo es que la reincorporación del recurrente al régimen pensionario a cargo del Estado se produjo (…) en aplicación de la Quinta Disposición Transitoria del citado Decreto Ley, al verificarse el cumplimiento de los requisitos exigidos por dicha norma</w:t>
      </w:r>
      <w:r w:rsidRPr="007B2915">
        <w:rPr>
          <w:rStyle w:val="Refdenotaalpie"/>
          <w:rFonts w:ascii="Cambria" w:hAnsi="Cambria"/>
          <w:sz w:val="20"/>
          <w:szCs w:val="20"/>
          <w:lang w:val="es-AR"/>
        </w:rPr>
        <w:footnoteReference w:id="43"/>
      </w:r>
      <w:r w:rsidRPr="007B2915">
        <w:rPr>
          <w:rFonts w:ascii="Cambria" w:hAnsi="Cambria"/>
          <w:sz w:val="20"/>
          <w:szCs w:val="20"/>
          <w:lang w:val="es-AR"/>
        </w:rPr>
        <w:t>.</w:t>
      </w:r>
    </w:p>
    <w:p w:rsidR="00F1152D" w:rsidRPr="007B2915" w:rsidRDefault="00F1152D" w:rsidP="00F1152D">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olor w:val="auto"/>
          <w:sz w:val="20"/>
          <w:szCs w:val="20"/>
          <w:lang w:val="es-AR"/>
        </w:rPr>
      </w:pPr>
    </w:p>
    <w:p w:rsidR="00F1152D" w:rsidRPr="007B2915" w:rsidRDefault="00F1152D" w:rsidP="00F1152D">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s-AR"/>
        </w:rPr>
      </w:pPr>
      <w:r w:rsidRPr="007B2915">
        <w:rPr>
          <w:rFonts w:ascii="Cambria" w:hAnsi="Cambria"/>
          <w:color w:val="auto"/>
          <w:sz w:val="20"/>
          <w:szCs w:val="20"/>
          <w:lang w:val="es-AR"/>
        </w:rPr>
        <w:t>La Sala indicó que la aplicación de dicha disposición al señor Muelle quedó convalidada con la emisión de la Ley No. 25273 de 6 de julio de 1990, la cual estableció excepciones al artículo 14.b) del Decreto Ley 20530</w:t>
      </w:r>
      <w:r w:rsidRPr="007B2915">
        <w:rPr>
          <w:rStyle w:val="Refdenotaalpie"/>
          <w:rFonts w:ascii="Cambria" w:hAnsi="Cambria"/>
          <w:color w:val="auto"/>
          <w:sz w:val="20"/>
          <w:szCs w:val="20"/>
          <w:lang w:val="es-AR"/>
        </w:rPr>
        <w:footnoteReference w:id="44"/>
      </w:r>
      <w:r w:rsidRPr="007B2915">
        <w:rPr>
          <w:rFonts w:ascii="Cambria" w:hAnsi="Cambria"/>
          <w:color w:val="auto"/>
          <w:sz w:val="20"/>
          <w:szCs w:val="20"/>
          <w:lang w:val="es-AR"/>
        </w:rPr>
        <w:t>. Agregó que</w:t>
      </w:r>
      <w:r w:rsidR="00262A72" w:rsidRPr="007B2915">
        <w:rPr>
          <w:rFonts w:ascii="Cambria" w:hAnsi="Cambria"/>
          <w:color w:val="auto"/>
          <w:sz w:val="20"/>
          <w:szCs w:val="20"/>
          <w:lang w:val="es-AR"/>
        </w:rPr>
        <w:t>,</w:t>
      </w:r>
      <w:r w:rsidRPr="007B2915">
        <w:rPr>
          <w:rFonts w:ascii="Cambria" w:hAnsi="Cambria"/>
          <w:color w:val="auto"/>
          <w:sz w:val="20"/>
          <w:szCs w:val="20"/>
          <w:lang w:val="es-AR"/>
        </w:rPr>
        <w:t xml:space="preserve"> en consecuencia y en virtud del principio de retroactividad benigna de </w:t>
      </w:r>
      <w:proofErr w:type="gramStart"/>
      <w:r w:rsidRPr="007B2915">
        <w:rPr>
          <w:rFonts w:ascii="Cambria" w:hAnsi="Cambria"/>
          <w:color w:val="auto"/>
          <w:sz w:val="20"/>
          <w:szCs w:val="20"/>
          <w:lang w:val="es-AR"/>
        </w:rPr>
        <w:t>las leyes establecido</w:t>
      </w:r>
      <w:proofErr w:type="gramEnd"/>
      <w:r w:rsidRPr="007B2915">
        <w:rPr>
          <w:rFonts w:ascii="Cambria" w:hAnsi="Cambria"/>
          <w:color w:val="auto"/>
          <w:sz w:val="20"/>
          <w:szCs w:val="20"/>
          <w:lang w:val="es-AR"/>
        </w:rPr>
        <w:t xml:space="preserve"> en el artículo 187 de la Constitución vigente en la época, la Ley No. 25273 debía ser aplicada a la situación del señor Muelle</w:t>
      </w:r>
      <w:r w:rsidRPr="007B2915">
        <w:rPr>
          <w:rStyle w:val="Refdenotaalpie"/>
          <w:rFonts w:ascii="Cambria" w:hAnsi="Cambria"/>
          <w:color w:val="auto"/>
          <w:sz w:val="20"/>
          <w:szCs w:val="20"/>
          <w:lang w:val="es-AR"/>
        </w:rPr>
        <w:footnoteReference w:id="45"/>
      </w:r>
      <w:r w:rsidRPr="007B2915">
        <w:rPr>
          <w:rFonts w:ascii="Cambria" w:hAnsi="Cambria"/>
          <w:color w:val="auto"/>
          <w:sz w:val="20"/>
          <w:szCs w:val="20"/>
          <w:lang w:val="es-AR"/>
        </w:rPr>
        <w:t>. La Sala concluyó indicando lo siguiente:</w:t>
      </w:r>
    </w:p>
    <w:p w:rsidR="00F1152D" w:rsidRPr="007B2915" w:rsidRDefault="00F1152D" w:rsidP="00F1152D">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lang w:val="es-AR"/>
        </w:rPr>
      </w:pPr>
    </w:p>
    <w:p w:rsidR="00F1152D" w:rsidRPr="007B2915" w:rsidRDefault="00F1152D" w:rsidP="00F1152D">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color w:val="auto"/>
          <w:sz w:val="20"/>
          <w:szCs w:val="20"/>
          <w:lang w:val="es-AR"/>
        </w:rPr>
      </w:pPr>
      <w:r w:rsidRPr="007B2915">
        <w:rPr>
          <w:rFonts w:ascii="Cambria" w:hAnsi="Cambria"/>
          <w:color w:val="auto"/>
          <w:sz w:val="20"/>
          <w:szCs w:val="20"/>
          <w:lang w:val="es-AR"/>
        </w:rPr>
        <w:t>(…) si bien puede ser cierto que la Ley No. 25273 ha quedado derogada por la Tercera Disposición Final y Transitoria de la Constitución de 1993, esto no perjudica en modo alguno el derecho adquirido por el recurrente</w:t>
      </w:r>
      <w:r w:rsidRPr="007B2915">
        <w:rPr>
          <w:rStyle w:val="Refdenotaalpie"/>
          <w:rFonts w:ascii="Cambria" w:hAnsi="Cambria"/>
          <w:color w:val="auto"/>
          <w:sz w:val="20"/>
          <w:szCs w:val="20"/>
          <w:lang w:val="es-AR"/>
        </w:rPr>
        <w:footnoteReference w:id="46"/>
      </w:r>
      <w:r w:rsidRPr="007B2915">
        <w:rPr>
          <w:rFonts w:ascii="Cambria" w:hAnsi="Cambria"/>
          <w:color w:val="auto"/>
          <w:sz w:val="20"/>
          <w:szCs w:val="20"/>
          <w:lang w:val="es-AR"/>
        </w:rPr>
        <w:t>.</w:t>
      </w:r>
    </w:p>
    <w:p w:rsidR="00F1152D" w:rsidRDefault="00F1152D" w:rsidP="00F1152D">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s="Arial"/>
          <w:b/>
          <w:iCs/>
          <w:color w:val="auto"/>
          <w:sz w:val="20"/>
          <w:szCs w:val="20"/>
        </w:rPr>
      </w:pPr>
    </w:p>
    <w:p w:rsidR="007B2915" w:rsidRPr="007B2915" w:rsidRDefault="007B2915" w:rsidP="00F1152D">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s="Arial"/>
          <w:b/>
          <w:iCs/>
          <w:color w:val="auto"/>
          <w:sz w:val="20"/>
          <w:szCs w:val="20"/>
        </w:rPr>
      </w:pPr>
    </w:p>
    <w:p w:rsidR="00F1152D" w:rsidRPr="007B2915" w:rsidRDefault="00F1152D" w:rsidP="009563AE">
      <w:pPr>
        <w:pStyle w:val="Ttulo3"/>
      </w:pPr>
      <w:bookmarkStart w:id="48" w:name="_Toc346449088"/>
      <w:bookmarkStart w:id="49" w:name="_Toc474398495"/>
      <w:r w:rsidRPr="007B2915">
        <w:t xml:space="preserve">2. </w:t>
      </w:r>
      <w:r w:rsidRPr="007B2915">
        <w:tab/>
        <w:t>Proceso de ejecución de la sentencia</w:t>
      </w:r>
      <w:r w:rsidR="00C3317C" w:rsidRPr="007B2915">
        <w:t xml:space="preserve"> de amparo</w:t>
      </w:r>
      <w:r w:rsidRPr="007B2915">
        <w:t xml:space="preserve"> de 2 de febrero de 1993</w:t>
      </w:r>
      <w:bookmarkEnd w:id="48"/>
      <w:bookmarkEnd w:id="49"/>
    </w:p>
    <w:p w:rsidR="00F1152D" w:rsidRPr="007B2915" w:rsidRDefault="00F1152D" w:rsidP="00F1152D">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olor w:val="auto"/>
          <w:sz w:val="20"/>
          <w:szCs w:val="20"/>
          <w:lang w:val="es-AR"/>
        </w:rPr>
      </w:pPr>
    </w:p>
    <w:p w:rsidR="000D691D" w:rsidRPr="007B2915" w:rsidRDefault="000D691D" w:rsidP="00D8343A">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s-AR"/>
        </w:rPr>
      </w:pPr>
      <w:r w:rsidRPr="007B2915">
        <w:rPr>
          <w:rFonts w:ascii="Cambria" w:hAnsi="Cambria"/>
          <w:color w:val="auto"/>
          <w:sz w:val="20"/>
          <w:szCs w:val="20"/>
          <w:lang w:val="es-AR"/>
        </w:rPr>
        <w:t>El 18 de diciembre de 1995 el Quinto Juzgado Especializado en lo Civil de Lima</w:t>
      </w:r>
      <w:r w:rsidR="00032AA0" w:rsidRPr="007B2915">
        <w:rPr>
          <w:rFonts w:ascii="Cambria" w:hAnsi="Cambria"/>
          <w:color w:val="auto"/>
          <w:sz w:val="20"/>
          <w:szCs w:val="20"/>
          <w:lang w:val="es-AR"/>
        </w:rPr>
        <w:t>, frente a una solicitud del señor Muelle,</w:t>
      </w:r>
      <w:r w:rsidRPr="007B2915">
        <w:rPr>
          <w:rFonts w:ascii="Cambria" w:hAnsi="Cambria"/>
          <w:color w:val="auto"/>
          <w:sz w:val="20"/>
          <w:szCs w:val="20"/>
          <w:lang w:val="es-AR"/>
        </w:rPr>
        <w:t xml:space="preserve"> emitió una resolución indicando lo siguiente:</w:t>
      </w:r>
    </w:p>
    <w:p w:rsidR="000D691D" w:rsidRPr="007B2915" w:rsidRDefault="000D691D" w:rsidP="00D8343A">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lang w:val="es-AR"/>
        </w:rPr>
      </w:pPr>
    </w:p>
    <w:p w:rsidR="000D691D" w:rsidRPr="007B2915" w:rsidRDefault="000D691D" w:rsidP="00D8343A">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color w:val="auto"/>
          <w:sz w:val="20"/>
          <w:szCs w:val="20"/>
          <w:lang w:val="es-AR"/>
        </w:rPr>
      </w:pPr>
      <w:r w:rsidRPr="007B2915">
        <w:rPr>
          <w:rFonts w:ascii="Cambria" w:hAnsi="Cambria"/>
          <w:color w:val="auto"/>
          <w:sz w:val="20"/>
          <w:szCs w:val="20"/>
          <w:lang w:val="es-AR"/>
        </w:rPr>
        <w:lastRenderedPageBreak/>
        <w:t>(…) la empresa (…) ha venido obstaculizando la ejecución de la sentencia, con el pretexto de encontrarse jurídicamente imposibilitada de acceder a la pretensión, porque los servicios del demandante que dieron origen al otorgamiento de su pensión pertenecen a regímenes laborales distintos no acumulables; (…) requiérase a Magma Copper Corporation – Tintaya para que en el término de tres días de notificado proceda a dar cumplimiento a la ejecutoria suprema del 2 de febrero de 1993</w:t>
      </w:r>
      <w:r w:rsidRPr="007B2915">
        <w:rPr>
          <w:rStyle w:val="Refdenotaalpie"/>
          <w:rFonts w:ascii="Cambria" w:hAnsi="Cambria"/>
          <w:color w:val="auto"/>
          <w:sz w:val="20"/>
          <w:szCs w:val="20"/>
          <w:lang w:val="es-AR"/>
        </w:rPr>
        <w:footnoteReference w:id="47"/>
      </w:r>
      <w:r w:rsidRPr="007B2915">
        <w:rPr>
          <w:rFonts w:ascii="Cambria" w:hAnsi="Cambria"/>
          <w:color w:val="auto"/>
          <w:sz w:val="20"/>
          <w:szCs w:val="20"/>
          <w:lang w:val="es-AR"/>
        </w:rPr>
        <w:t>.</w:t>
      </w:r>
    </w:p>
    <w:p w:rsidR="00832EE3" w:rsidRPr="007B2915" w:rsidRDefault="00832EE3" w:rsidP="00F1152D">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ascii="Cambria" w:hAnsi="Cambria"/>
          <w:color w:val="auto"/>
          <w:sz w:val="20"/>
          <w:szCs w:val="20"/>
          <w:lang w:val="es-AR"/>
        </w:rPr>
      </w:pPr>
    </w:p>
    <w:p w:rsidR="00F175E1" w:rsidRPr="007B2915" w:rsidRDefault="00032AA0" w:rsidP="00D8343A">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s-AR"/>
        </w:rPr>
      </w:pPr>
      <w:r w:rsidRPr="007B2915">
        <w:rPr>
          <w:rFonts w:ascii="Cambria" w:hAnsi="Cambria"/>
          <w:color w:val="auto"/>
          <w:sz w:val="20"/>
          <w:szCs w:val="20"/>
          <w:lang w:val="es-AR"/>
        </w:rPr>
        <w:t>Por otra parte, e</w:t>
      </w:r>
      <w:r w:rsidR="00416C07" w:rsidRPr="007B2915">
        <w:rPr>
          <w:rFonts w:ascii="Cambria" w:hAnsi="Cambria"/>
          <w:color w:val="auto"/>
          <w:sz w:val="20"/>
          <w:szCs w:val="20"/>
          <w:lang w:val="es-AR"/>
        </w:rPr>
        <w:t>l 7 de abril de 1997 el Quinto Juzgado Civil de Lima</w:t>
      </w:r>
      <w:r w:rsidRPr="007B2915">
        <w:rPr>
          <w:rFonts w:ascii="Cambria" w:hAnsi="Cambria"/>
          <w:color w:val="auto"/>
          <w:sz w:val="20"/>
          <w:szCs w:val="20"/>
          <w:lang w:val="es-AR"/>
        </w:rPr>
        <w:t>, a solicitud del señor Muelle,</w:t>
      </w:r>
      <w:r w:rsidR="00416C07" w:rsidRPr="007B2915">
        <w:rPr>
          <w:rFonts w:ascii="Cambria" w:hAnsi="Cambria"/>
          <w:color w:val="auto"/>
          <w:sz w:val="20"/>
          <w:szCs w:val="20"/>
          <w:lang w:val="es-AR"/>
        </w:rPr>
        <w:t xml:space="preserve"> expidió una </w:t>
      </w:r>
      <w:r w:rsidRPr="007B2915">
        <w:rPr>
          <w:rFonts w:ascii="Cambria" w:hAnsi="Cambria"/>
          <w:color w:val="auto"/>
          <w:sz w:val="20"/>
          <w:szCs w:val="20"/>
          <w:lang w:val="es-AR"/>
        </w:rPr>
        <w:t xml:space="preserve">nueva </w:t>
      </w:r>
      <w:r w:rsidR="00416C07" w:rsidRPr="007B2915">
        <w:rPr>
          <w:rFonts w:ascii="Cambria" w:hAnsi="Cambria"/>
          <w:color w:val="auto"/>
          <w:sz w:val="20"/>
          <w:szCs w:val="20"/>
          <w:lang w:val="es-AR"/>
        </w:rPr>
        <w:t>resolución en la que señaló lo siguiente:</w:t>
      </w:r>
    </w:p>
    <w:p w:rsidR="002B3605" w:rsidRPr="007B2915" w:rsidRDefault="002B3605" w:rsidP="00D8343A">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rPr>
      </w:pPr>
    </w:p>
    <w:p w:rsidR="00416C07" w:rsidRPr="007B2915" w:rsidRDefault="00416C07" w:rsidP="00D8343A">
      <w:pPr>
        <w:pStyle w:val="Textonotaalfinal"/>
        <w:spacing w:before="0" w:beforeAutospacing="0" w:after="0" w:afterAutospacing="0"/>
        <w:ind w:left="720" w:right="720"/>
        <w:jc w:val="both"/>
        <w:rPr>
          <w:rFonts w:ascii="Cambria" w:hAnsi="Cambria"/>
          <w:sz w:val="20"/>
          <w:szCs w:val="20"/>
          <w:lang w:val="es-AR"/>
        </w:rPr>
      </w:pPr>
      <w:r w:rsidRPr="007B2915">
        <w:rPr>
          <w:rFonts w:ascii="Cambria" w:hAnsi="Cambria"/>
          <w:sz w:val="20"/>
          <w:szCs w:val="20"/>
          <w:lang w:val="es-ES"/>
        </w:rPr>
        <w:t>REQUIERASE POR ULTIMA VEZ A LA DEMANDADA empresa minera especial Tintaya Sociedad anónima (hoy, BHP Tintaya S.A.) para que dentro del tercer día, cumpla sin restricción alguna el ordenado por Ejecutoria Suprema de fecha de dos de febrero de mil novecientos</w:t>
      </w:r>
      <w:r w:rsidRPr="007B2915">
        <w:rPr>
          <w:rFonts w:ascii="Cambria" w:hAnsi="Cambria"/>
          <w:sz w:val="20"/>
          <w:szCs w:val="20"/>
          <w:lang w:val="es-PE"/>
        </w:rPr>
        <w:t xml:space="preserve"> </w:t>
      </w:r>
      <w:r w:rsidRPr="007B2915">
        <w:rPr>
          <w:rFonts w:ascii="Cambria" w:hAnsi="Cambria"/>
          <w:sz w:val="20"/>
          <w:szCs w:val="20"/>
          <w:lang w:val="es-ES"/>
        </w:rPr>
        <w:t>bajo apercibimiento de expeditarse las copias certificadas para formular la denuncia penal correspondiente (…)</w:t>
      </w:r>
      <w:r w:rsidRPr="007B2915">
        <w:rPr>
          <w:rStyle w:val="Refdenotaalpie"/>
          <w:rFonts w:ascii="Cambria" w:hAnsi="Cambria"/>
          <w:sz w:val="20"/>
          <w:szCs w:val="20"/>
          <w:lang w:val="es-AR"/>
        </w:rPr>
        <w:footnoteReference w:id="48"/>
      </w:r>
      <w:r w:rsidRPr="007B2915">
        <w:rPr>
          <w:rFonts w:ascii="Cambria" w:hAnsi="Cambria"/>
          <w:sz w:val="20"/>
          <w:szCs w:val="20"/>
          <w:lang w:val="es-ES"/>
        </w:rPr>
        <w:t>.</w:t>
      </w:r>
    </w:p>
    <w:p w:rsidR="00B732DC" w:rsidRPr="007B2915" w:rsidRDefault="00B732DC" w:rsidP="00D8343A">
      <w:pPr>
        <w:pStyle w:val="Cuadrculamedia1-nfasis2"/>
        <w:ind w:left="0"/>
        <w:rPr>
          <w:rFonts w:ascii="Cambria" w:hAnsi="Cambria"/>
          <w:sz w:val="20"/>
          <w:szCs w:val="20"/>
          <w:lang w:val="es-AR"/>
        </w:rPr>
      </w:pPr>
    </w:p>
    <w:p w:rsidR="00B732DC" w:rsidRPr="007B2915" w:rsidRDefault="00CB18FF" w:rsidP="00D8343A">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s-AR"/>
        </w:rPr>
      </w:pPr>
      <w:r w:rsidRPr="007B2915">
        <w:rPr>
          <w:rFonts w:ascii="Cambria" w:hAnsi="Cambria"/>
          <w:color w:val="auto"/>
          <w:sz w:val="20"/>
          <w:szCs w:val="20"/>
          <w:lang w:val="es-AR"/>
        </w:rPr>
        <w:t>El 24 de agosto de 2000 el señor Muelle</w:t>
      </w:r>
      <w:r w:rsidR="0050620A" w:rsidRPr="007B2915">
        <w:rPr>
          <w:rFonts w:ascii="Cambria" w:hAnsi="Cambria"/>
          <w:color w:val="auto"/>
          <w:sz w:val="20"/>
          <w:szCs w:val="20"/>
          <w:lang w:val="es-AR"/>
        </w:rPr>
        <w:t xml:space="preserve"> </w:t>
      </w:r>
      <w:r w:rsidR="00831DCC" w:rsidRPr="007B2915">
        <w:rPr>
          <w:rFonts w:ascii="Cambria" w:hAnsi="Cambria"/>
          <w:color w:val="auto"/>
          <w:sz w:val="20"/>
          <w:szCs w:val="20"/>
          <w:lang w:val="es-AR"/>
        </w:rPr>
        <w:t>envió una comunicación a la Oficina de Normalización Previsional (ONP)</w:t>
      </w:r>
      <w:r w:rsidR="0050620A" w:rsidRPr="007B2915">
        <w:rPr>
          <w:rFonts w:ascii="Cambria" w:hAnsi="Cambria"/>
          <w:color w:val="auto"/>
          <w:sz w:val="20"/>
          <w:szCs w:val="20"/>
          <w:lang w:val="es-AR"/>
        </w:rPr>
        <w:t xml:space="preserve"> </w:t>
      </w:r>
      <w:r w:rsidR="00831DCC" w:rsidRPr="007B2915">
        <w:rPr>
          <w:rFonts w:ascii="Cambria" w:hAnsi="Cambria"/>
          <w:color w:val="auto"/>
          <w:sz w:val="20"/>
          <w:szCs w:val="20"/>
          <w:lang w:val="es-AR"/>
        </w:rPr>
        <w:t xml:space="preserve">informando </w:t>
      </w:r>
      <w:r w:rsidR="0050620A" w:rsidRPr="007B2915">
        <w:rPr>
          <w:rFonts w:ascii="Cambria" w:hAnsi="Cambria"/>
          <w:color w:val="auto"/>
          <w:sz w:val="20"/>
          <w:szCs w:val="20"/>
          <w:lang w:val="es-AR"/>
        </w:rPr>
        <w:t>que a partir de 1999 la empresa le empezó a abonar mensualmente la suma de 800 nuevos soles</w:t>
      </w:r>
      <w:r w:rsidR="00831DCC" w:rsidRPr="007B2915">
        <w:rPr>
          <w:rStyle w:val="Refdenotaalpie"/>
          <w:rFonts w:ascii="Cambria" w:hAnsi="Cambria"/>
          <w:color w:val="auto"/>
          <w:sz w:val="20"/>
          <w:szCs w:val="20"/>
          <w:lang w:val="es-AR"/>
        </w:rPr>
        <w:footnoteReference w:id="49"/>
      </w:r>
      <w:r w:rsidR="0050620A" w:rsidRPr="007B2915">
        <w:rPr>
          <w:rFonts w:ascii="Cambria" w:hAnsi="Cambria"/>
          <w:color w:val="auto"/>
          <w:sz w:val="20"/>
          <w:szCs w:val="20"/>
          <w:lang w:val="es-AR"/>
        </w:rPr>
        <w:t>.</w:t>
      </w:r>
      <w:r w:rsidR="00B50ED4" w:rsidRPr="007B2915">
        <w:rPr>
          <w:rFonts w:ascii="Cambria" w:hAnsi="Cambria"/>
          <w:color w:val="auto"/>
          <w:sz w:val="20"/>
          <w:szCs w:val="20"/>
          <w:lang w:val="es-AR"/>
        </w:rPr>
        <w:t xml:space="preserve"> </w:t>
      </w:r>
      <w:r w:rsidR="00831DCC" w:rsidRPr="007B2915">
        <w:rPr>
          <w:rFonts w:ascii="Cambria" w:hAnsi="Cambria"/>
          <w:color w:val="auto"/>
          <w:sz w:val="20"/>
          <w:szCs w:val="20"/>
          <w:lang w:val="es-AR"/>
        </w:rPr>
        <w:t xml:space="preserve">Sostuvo que la empresa no ha “efectuado el cálculo nivelado y retroactivo de la pensión que legalmente </w:t>
      </w:r>
      <w:r w:rsidR="00831DCC" w:rsidRPr="007B2915">
        <w:rPr>
          <w:rFonts w:ascii="Cambria" w:hAnsi="Cambria" w:cs="Arial"/>
          <w:color w:val="auto"/>
          <w:sz w:val="20"/>
          <w:szCs w:val="20"/>
          <w:lang w:val="es-AR"/>
        </w:rPr>
        <w:t>[le] corresponde</w:t>
      </w:r>
      <w:r w:rsidR="00831DCC" w:rsidRPr="007B2915">
        <w:rPr>
          <w:rFonts w:ascii="Cambria" w:hAnsi="Cambria"/>
          <w:color w:val="auto"/>
          <w:sz w:val="20"/>
          <w:szCs w:val="20"/>
          <w:lang w:val="es-AR"/>
        </w:rPr>
        <w:t>”</w:t>
      </w:r>
      <w:r w:rsidR="00831DCC" w:rsidRPr="007B2915">
        <w:rPr>
          <w:rStyle w:val="Refdenotaalpie"/>
          <w:rFonts w:ascii="Cambria" w:hAnsi="Cambria"/>
          <w:color w:val="auto"/>
          <w:sz w:val="20"/>
          <w:szCs w:val="20"/>
          <w:lang w:val="es-AR"/>
        </w:rPr>
        <w:footnoteReference w:id="50"/>
      </w:r>
      <w:r w:rsidR="00831DCC" w:rsidRPr="007B2915">
        <w:rPr>
          <w:rFonts w:ascii="Cambria" w:hAnsi="Cambria"/>
          <w:color w:val="auto"/>
          <w:sz w:val="20"/>
          <w:szCs w:val="20"/>
          <w:lang w:val="es-AR"/>
        </w:rPr>
        <w:t xml:space="preserve">. </w:t>
      </w:r>
      <w:r w:rsidRPr="007B2915">
        <w:rPr>
          <w:rFonts w:ascii="Cambria" w:hAnsi="Cambria"/>
          <w:color w:val="auto"/>
          <w:sz w:val="20"/>
          <w:szCs w:val="20"/>
          <w:lang w:val="es-AR"/>
        </w:rPr>
        <w:t>La ONP le respondi</w:t>
      </w:r>
      <w:r w:rsidR="00783BEE" w:rsidRPr="007B2915">
        <w:rPr>
          <w:rFonts w:ascii="Cambria" w:hAnsi="Cambria"/>
          <w:color w:val="auto"/>
          <w:sz w:val="20"/>
          <w:szCs w:val="20"/>
          <w:lang w:val="es-AR"/>
        </w:rPr>
        <w:t>ó indicando que “no es competente para pronunciarse sobre su solicitud, debiendo (…) formular su reclamo ante la empresa que la viene pagando sus pensiones”</w:t>
      </w:r>
      <w:r w:rsidR="00783BEE" w:rsidRPr="007B2915">
        <w:rPr>
          <w:rStyle w:val="Refdenotaalpie"/>
          <w:rFonts w:ascii="Cambria" w:hAnsi="Cambria"/>
          <w:color w:val="auto"/>
          <w:sz w:val="20"/>
          <w:szCs w:val="20"/>
          <w:lang w:val="es-AR"/>
        </w:rPr>
        <w:footnoteReference w:id="51"/>
      </w:r>
      <w:r w:rsidR="00783BEE" w:rsidRPr="007B2915">
        <w:rPr>
          <w:rFonts w:ascii="Cambria" w:hAnsi="Cambria"/>
          <w:color w:val="auto"/>
          <w:sz w:val="20"/>
          <w:szCs w:val="20"/>
          <w:lang w:val="es-AR"/>
        </w:rPr>
        <w:t>.</w:t>
      </w:r>
    </w:p>
    <w:p w:rsidR="00B732DC" w:rsidRPr="007B2915" w:rsidRDefault="00B732DC" w:rsidP="00D8343A">
      <w:pPr>
        <w:pStyle w:val="Cuadrculamedia1-nfasis2"/>
        <w:rPr>
          <w:rFonts w:ascii="Cambria" w:hAnsi="Cambria"/>
          <w:sz w:val="20"/>
          <w:szCs w:val="20"/>
          <w:lang w:val="es-AR"/>
        </w:rPr>
      </w:pPr>
    </w:p>
    <w:p w:rsidR="00B732DC" w:rsidRPr="007B2915" w:rsidRDefault="00B732DC" w:rsidP="00D8343A">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s-AR"/>
        </w:rPr>
      </w:pPr>
      <w:r w:rsidRPr="007B2915">
        <w:rPr>
          <w:rFonts w:ascii="Cambria" w:hAnsi="Cambria"/>
          <w:color w:val="auto"/>
          <w:sz w:val="20"/>
          <w:szCs w:val="20"/>
          <w:lang w:val="es-AR"/>
        </w:rPr>
        <w:t xml:space="preserve">El Estado indicó que el 5 de enero y 23 de marzo de 2009 el </w:t>
      </w:r>
      <w:r w:rsidRPr="007B2915">
        <w:rPr>
          <w:rFonts w:ascii="Cambria" w:hAnsi="Cambria"/>
          <w:color w:val="auto"/>
          <w:sz w:val="20"/>
          <w:szCs w:val="20"/>
        </w:rPr>
        <w:t xml:space="preserve">38º Juzgado Civil de Lima, el cual asumió competencia para la ejecución de la sentencia de </w:t>
      </w:r>
      <w:r w:rsidR="008E32A9" w:rsidRPr="007B2915">
        <w:rPr>
          <w:rFonts w:ascii="Cambria" w:hAnsi="Cambria"/>
          <w:color w:val="auto"/>
          <w:sz w:val="20"/>
          <w:szCs w:val="20"/>
        </w:rPr>
        <w:t xml:space="preserve">febrero </w:t>
      </w:r>
      <w:r w:rsidRPr="007B2915">
        <w:rPr>
          <w:rFonts w:ascii="Cambria" w:hAnsi="Cambria"/>
          <w:color w:val="auto"/>
          <w:sz w:val="20"/>
          <w:szCs w:val="20"/>
        </w:rPr>
        <w:t>de 1993, expidió dos resoluciones</w:t>
      </w:r>
      <w:r w:rsidRPr="007B2915">
        <w:rPr>
          <w:rStyle w:val="Refdenotaalpie"/>
          <w:rFonts w:ascii="Cambria" w:hAnsi="Cambria"/>
          <w:color w:val="auto"/>
          <w:sz w:val="20"/>
          <w:szCs w:val="20"/>
        </w:rPr>
        <w:footnoteReference w:id="52"/>
      </w:r>
      <w:r w:rsidRPr="007B2915">
        <w:rPr>
          <w:rFonts w:ascii="Cambria" w:hAnsi="Cambria"/>
          <w:color w:val="auto"/>
          <w:sz w:val="20"/>
          <w:szCs w:val="20"/>
        </w:rPr>
        <w:t>. En dichas resoluciones el juzgado ordenó a la empresa que cumpla con lo dispuesto en la sentencia ya mencionada</w:t>
      </w:r>
      <w:r w:rsidR="00336FCB" w:rsidRPr="007B2915">
        <w:rPr>
          <w:rFonts w:ascii="Cambria" w:hAnsi="Cambria"/>
          <w:color w:val="auto"/>
          <w:sz w:val="20"/>
          <w:szCs w:val="20"/>
        </w:rPr>
        <w:t xml:space="preserve"> y ordenó su ejecución en tres días</w:t>
      </w:r>
      <w:r w:rsidRPr="007B2915">
        <w:rPr>
          <w:rStyle w:val="Refdenotaalpie"/>
          <w:rFonts w:ascii="Cambria" w:hAnsi="Cambria"/>
          <w:color w:val="auto"/>
          <w:sz w:val="20"/>
          <w:szCs w:val="20"/>
        </w:rPr>
        <w:footnoteReference w:id="53"/>
      </w:r>
      <w:r w:rsidRPr="007B2915">
        <w:rPr>
          <w:rFonts w:ascii="Cambria" w:hAnsi="Cambria"/>
          <w:color w:val="auto"/>
          <w:sz w:val="20"/>
          <w:szCs w:val="20"/>
        </w:rPr>
        <w:t>.</w:t>
      </w:r>
    </w:p>
    <w:p w:rsidR="00B732DC" w:rsidRPr="007B2915" w:rsidRDefault="00B732DC" w:rsidP="00D8343A">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lang w:val="es-AR"/>
        </w:rPr>
      </w:pPr>
    </w:p>
    <w:p w:rsidR="00B50ED4" w:rsidRPr="007B2915" w:rsidRDefault="00B50ED4" w:rsidP="00D8343A">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s-AR"/>
        </w:rPr>
      </w:pPr>
      <w:r w:rsidRPr="007B2915">
        <w:rPr>
          <w:rFonts w:ascii="Cambria" w:hAnsi="Cambria"/>
          <w:color w:val="auto"/>
          <w:sz w:val="20"/>
          <w:szCs w:val="20"/>
          <w:lang w:val="es-AR"/>
        </w:rPr>
        <w:t xml:space="preserve">El 26 de abril de 2010 el </w:t>
      </w:r>
      <w:r w:rsidRPr="007B2915">
        <w:rPr>
          <w:rFonts w:ascii="Cambria" w:hAnsi="Cambria"/>
          <w:color w:val="auto"/>
          <w:sz w:val="20"/>
          <w:szCs w:val="20"/>
        </w:rPr>
        <w:t xml:space="preserve">38º Juzgado Civil de Lima emitió una </w:t>
      </w:r>
      <w:r w:rsidR="00663088" w:rsidRPr="007B2915">
        <w:rPr>
          <w:rFonts w:ascii="Cambria" w:hAnsi="Cambria"/>
          <w:color w:val="auto"/>
          <w:sz w:val="20"/>
          <w:szCs w:val="20"/>
        </w:rPr>
        <w:t>nueva resolución</w:t>
      </w:r>
      <w:r w:rsidR="00663088" w:rsidRPr="007B2915">
        <w:rPr>
          <w:rStyle w:val="Refdenotaalpie"/>
          <w:rFonts w:ascii="Cambria" w:hAnsi="Cambria"/>
          <w:color w:val="auto"/>
          <w:sz w:val="20"/>
          <w:szCs w:val="20"/>
        </w:rPr>
        <w:footnoteReference w:id="54"/>
      </w:r>
      <w:r w:rsidR="00663088" w:rsidRPr="007B2915">
        <w:rPr>
          <w:rFonts w:ascii="Cambria" w:hAnsi="Cambria"/>
          <w:color w:val="auto"/>
          <w:sz w:val="20"/>
          <w:szCs w:val="20"/>
        </w:rPr>
        <w:t>.</w:t>
      </w:r>
      <w:r w:rsidR="003D49F9" w:rsidRPr="007B2915">
        <w:rPr>
          <w:rFonts w:ascii="Cambria" w:hAnsi="Cambria"/>
          <w:color w:val="auto"/>
          <w:sz w:val="20"/>
          <w:szCs w:val="20"/>
        </w:rPr>
        <w:t xml:space="preserve"> El </w:t>
      </w:r>
      <w:r w:rsidR="0024117D" w:rsidRPr="007B2915">
        <w:rPr>
          <w:rFonts w:ascii="Cambria" w:hAnsi="Cambria"/>
          <w:color w:val="auto"/>
          <w:sz w:val="20"/>
          <w:szCs w:val="20"/>
        </w:rPr>
        <w:t>J</w:t>
      </w:r>
      <w:r w:rsidR="003D49F9" w:rsidRPr="007B2915">
        <w:rPr>
          <w:rFonts w:ascii="Cambria" w:hAnsi="Cambria"/>
          <w:color w:val="auto"/>
          <w:sz w:val="20"/>
          <w:szCs w:val="20"/>
        </w:rPr>
        <w:t>uzgado señaló lo siguiente:</w:t>
      </w:r>
    </w:p>
    <w:p w:rsidR="003D49F9" w:rsidRPr="007B2915" w:rsidRDefault="003D49F9" w:rsidP="00D8343A">
      <w:pPr>
        <w:pStyle w:val="Cuadrculamedia1-nfasis2"/>
        <w:rPr>
          <w:rFonts w:ascii="Cambria" w:hAnsi="Cambria"/>
          <w:sz w:val="20"/>
          <w:szCs w:val="20"/>
          <w:lang w:val="es-AR"/>
        </w:rPr>
      </w:pPr>
    </w:p>
    <w:p w:rsidR="003D49F9" w:rsidRPr="007B2915" w:rsidRDefault="003D49F9" w:rsidP="00D8343A">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color w:val="auto"/>
          <w:sz w:val="20"/>
          <w:szCs w:val="20"/>
          <w:lang w:val="es-AR"/>
        </w:rPr>
      </w:pPr>
      <w:r w:rsidRPr="007B2915">
        <w:rPr>
          <w:rFonts w:ascii="Cambria" w:hAnsi="Cambria"/>
          <w:color w:val="auto"/>
          <w:sz w:val="20"/>
          <w:szCs w:val="20"/>
          <w:lang w:val="es-AR"/>
        </w:rPr>
        <w:t>(…) pese a los reiterados requerimientos que se le hicieran a la empresa demandada, para efectos de dar cumplimiento a lo dispuesto por ejecutoria suprema, ésta no cumple (…).</w:t>
      </w:r>
    </w:p>
    <w:p w:rsidR="003D49F9" w:rsidRPr="007B2915" w:rsidRDefault="003D49F9" w:rsidP="00D8343A">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color w:val="auto"/>
          <w:sz w:val="20"/>
          <w:szCs w:val="20"/>
          <w:lang w:val="es-AR"/>
        </w:rPr>
      </w:pPr>
      <w:r w:rsidRPr="007B2915">
        <w:rPr>
          <w:rFonts w:ascii="Cambria" w:hAnsi="Cambria"/>
          <w:color w:val="auto"/>
          <w:sz w:val="20"/>
          <w:szCs w:val="20"/>
          <w:lang w:val="es-AR"/>
        </w:rPr>
        <w:t xml:space="preserve">Posteriormente, el 2007 fue desarchivado el expediente a petición del actor, quien solicitó a la vez, el cumplimiento de la </w:t>
      </w:r>
      <w:r w:rsidR="002F60DB" w:rsidRPr="007B2915">
        <w:rPr>
          <w:rFonts w:ascii="Cambria" w:hAnsi="Cambria"/>
          <w:color w:val="auto"/>
          <w:sz w:val="20"/>
          <w:szCs w:val="20"/>
          <w:lang w:val="es-AR"/>
        </w:rPr>
        <w:t xml:space="preserve">ejecutoria suprema en esta instancia, la cual fue puesto en conocimiento de la parte ejecutada, quien al absolver manifiesta que, la empresa minera Tintaya con posterioridad a la expedición de la ejecutoria suprema, inició su proceso de </w:t>
      </w:r>
      <w:r w:rsidR="002F60DB" w:rsidRPr="007B2915">
        <w:rPr>
          <w:rFonts w:ascii="Cambria" w:hAnsi="Cambria"/>
          <w:color w:val="auto"/>
          <w:sz w:val="20"/>
          <w:szCs w:val="20"/>
          <w:lang w:val="es-AR"/>
        </w:rPr>
        <w:lastRenderedPageBreak/>
        <w:t xml:space="preserve">privatización y como consecuencia de ello (…) </w:t>
      </w:r>
      <w:r w:rsidR="00A015DF" w:rsidRPr="007B2915">
        <w:rPr>
          <w:rFonts w:ascii="Cambria" w:hAnsi="Cambria"/>
          <w:color w:val="auto"/>
          <w:sz w:val="20"/>
          <w:szCs w:val="20"/>
          <w:lang w:val="es-AR"/>
        </w:rPr>
        <w:t>la obligada al pago conforme a la ejecutoria suprema dejó de existir hace muchos años (…)</w:t>
      </w:r>
      <w:r w:rsidR="00BB74A3" w:rsidRPr="007B2915">
        <w:rPr>
          <w:rStyle w:val="Refdenotaalpie"/>
          <w:rFonts w:ascii="Cambria" w:hAnsi="Cambria"/>
          <w:color w:val="auto"/>
          <w:sz w:val="20"/>
          <w:szCs w:val="20"/>
        </w:rPr>
        <w:footnoteReference w:id="55"/>
      </w:r>
      <w:r w:rsidR="00A015DF" w:rsidRPr="007B2915">
        <w:rPr>
          <w:rFonts w:ascii="Cambria" w:hAnsi="Cambria"/>
          <w:color w:val="auto"/>
          <w:sz w:val="20"/>
          <w:szCs w:val="20"/>
          <w:lang w:val="es-AR"/>
        </w:rPr>
        <w:t>.</w:t>
      </w:r>
    </w:p>
    <w:p w:rsidR="00A015DF" w:rsidRPr="007B2915" w:rsidRDefault="00A015DF" w:rsidP="00D8343A">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color w:val="auto"/>
          <w:sz w:val="20"/>
          <w:szCs w:val="20"/>
          <w:lang w:val="es-AR"/>
        </w:rPr>
      </w:pPr>
    </w:p>
    <w:p w:rsidR="00A015DF" w:rsidRPr="007B2915" w:rsidRDefault="00A015DF" w:rsidP="00D8343A">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s-AR"/>
        </w:rPr>
      </w:pPr>
      <w:r w:rsidRPr="007B2915">
        <w:rPr>
          <w:rFonts w:ascii="Cambria" w:hAnsi="Cambria"/>
          <w:color w:val="auto"/>
          <w:sz w:val="20"/>
          <w:szCs w:val="20"/>
          <w:lang w:val="es-AR"/>
        </w:rPr>
        <w:t>Por lo señalado, el juzgado concluyó lo siguiente:</w:t>
      </w:r>
    </w:p>
    <w:p w:rsidR="00A015DF" w:rsidRPr="007B2915" w:rsidRDefault="00A015DF" w:rsidP="00D8343A">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lang w:val="es-AR"/>
        </w:rPr>
      </w:pPr>
    </w:p>
    <w:p w:rsidR="00A015DF" w:rsidRPr="007B2915" w:rsidRDefault="00A015DF" w:rsidP="00D8343A">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color w:val="auto"/>
          <w:sz w:val="20"/>
          <w:szCs w:val="20"/>
          <w:lang w:val="es-AR"/>
        </w:rPr>
      </w:pPr>
      <w:r w:rsidRPr="007B2915">
        <w:rPr>
          <w:rFonts w:ascii="Cambria" w:hAnsi="Cambria"/>
          <w:color w:val="auto"/>
          <w:sz w:val="20"/>
          <w:szCs w:val="20"/>
          <w:lang w:val="es-AR"/>
        </w:rPr>
        <w:t>(…) la pretensión del ejecutante ante esta instancia se hace inviable (…) atendiendo a que la actual propietaria es una empresa privada, diferente conforme se ha expuesto</w:t>
      </w:r>
      <w:r w:rsidR="00BB74A3" w:rsidRPr="007B2915">
        <w:rPr>
          <w:rFonts w:ascii="Cambria" w:hAnsi="Cambria"/>
          <w:color w:val="auto"/>
          <w:sz w:val="20"/>
          <w:szCs w:val="20"/>
          <w:lang w:val="es-AR"/>
        </w:rPr>
        <w:t xml:space="preserve"> (…); dejándose a salvo el derecho del recurrente para que con relación a su pretensión, resuelta por la ejecutoria suprema el año de 1993, lo haga valer en la forma legal correspondiente</w:t>
      </w:r>
      <w:r w:rsidR="00BB74A3" w:rsidRPr="007B2915">
        <w:rPr>
          <w:rStyle w:val="Refdenotaalpie"/>
          <w:rFonts w:ascii="Cambria" w:hAnsi="Cambria"/>
          <w:color w:val="auto"/>
          <w:sz w:val="20"/>
          <w:szCs w:val="20"/>
        </w:rPr>
        <w:footnoteReference w:id="56"/>
      </w:r>
      <w:r w:rsidR="00BB74A3" w:rsidRPr="007B2915">
        <w:rPr>
          <w:rFonts w:ascii="Cambria" w:hAnsi="Cambria"/>
          <w:color w:val="auto"/>
          <w:sz w:val="20"/>
          <w:szCs w:val="20"/>
          <w:lang w:val="es-AR"/>
        </w:rPr>
        <w:t>.</w:t>
      </w:r>
    </w:p>
    <w:p w:rsidR="00B50ED4" w:rsidRPr="007B2915" w:rsidRDefault="00B50ED4" w:rsidP="00D8343A">
      <w:pPr>
        <w:pStyle w:val="Cuadrculamedia1-nfasis2"/>
        <w:rPr>
          <w:rFonts w:ascii="Cambria" w:hAnsi="Cambria"/>
          <w:sz w:val="20"/>
          <w:szCs w:val="20"/>
          <w:lang w:val="es-AR"/>
        </w:rPr>
      </w:pPr>
    </w:p>
    <w:p w:rsidR="00B50ED4" w:rsidRPr="007B2915" w:rsidRDefault="00B50ED4" w:rsidP="00D8343A">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s-AR"/>
        </w:rPr>
      </w:pPr>
      <w:r w:rsidRPr="007B2915">
        <w:rPr>
          <w:rFonts w:ascii="Cambria" w:hAnsi="Cambria"/>
          <w:color w:val="auto"/>
          <w:sz w:val="20"/>
          <w:szCs w:val="20"/>
          <w:lang w:val="es-AR"/>
        </w:rPr>
        <w:t xml:space="preserve">El </w:t>
      </w:r>
      <w:r w:rsidR="00A5412A" w:rsidRPr="007B2915">
        <w:rPr>
          <w:rFonts w:ascii="Cambria" w:hAnsi="Cambria"/>
          <w:color w:val="auto"/>
          <w:sz w:val="20"/>
          <w:szCs w:val="20"/>
          <w:lang w:val="es-AR"/>
        </w:rPr>
        <w:t xml:space="preserve">17 de mayo de 2010 </w:t>
      </w:r>
      <w:r w:rsidRPr="007B2915">
        <w:rPr>
          <w:rFonts w:ascii="Cambria" w:hAnsi="Cambria"/>
          <w:color w:val="auto"/>
          <w:sz w:val="20"/>
          <w:szCs w:val="20"/>
          <w:lang w:val="es-AR"/>
        </w:rPr>
        <w:t>señor Muelle presentó un recurso de apelación</w:t>
      </w:r>
      <w:r w:rsidR="00A5412A" w:rsidRPr="007B2915">
        <w:rPr>
          <w:rFonts w:ascii="Cambria" w:hAnsi="Cambria"/>
          <w:color w:val="auto"/>
          <w:sz w:val="20"/>
          <w:szCs w:val="20"/>
          <w:lang w:val="es-AR"/>
        </w:rPr>
        <w:t xml:space="preserve"> frente a la resolución del </w:t>
      </w:r>
      <w:r w:rsidR="00A5412A" w:rsidRPr="007B2915">
        <w:rPr>
          <w:rFonts w:ascii="Cambria" w:hAnsi="Cambria"/>
          <w:color w:val="auto"/>
          <w:sz w:val="20"/>
          <w:szCs w:val="20"/>
        </w:rPr>
        <w:t>38º Juzgado Civil de Lima</w:t>
      </w:r>
      <w:r w:rsidR="00A5412A" w:rsidRPr="007B2915">
        <w:rPr>
          <w:rStyle w:val="Refdenotaalpie"/>
          <w:rFonts w:ascii="Cambria" w:hAnsi="Cambria"/>
          <w:color w:val="auto"/>
          <w:sz w:val="20"/>
          <w:szCs w:val="20"/>
        </w:rPr>
        <w:footnoteReference w:id="57"/>
      </w:r>
      <w:r w:rsidRPr="007B2915">
        <w:rPr>
          <w:rFonts w:ascii="Cambria" w:hAnsi="Cambria"/>
          <w:color w:val="auto"/>
          <w:sz w:val="20"/>
          <w:szCs w:val="20"/>
          <w:lang w:val="es-AR"/>
        </w:rPr>
        <w:t>.</w:t>
      </w:r>
      <w:r w:rsidR="00353553" w:rsidRPr="007B2915">
        <w:rPr>
          <w:rFonts w:ascii="Cambria" w:hAnsi="Cambria"/>
          <w:color w:val="auto"/>
          <w:sz w:val="20"/>
          <w:szCs w:val="20"/>
          <w:lang w:val="es-AR"/>
        </w:rPr>
        <w:t xml:space="preserve"> Dos días después dicho juzgado elevó el recurso a la Sala Civil</w:t>
      </w:r>
      <w:r w:rsidR="00353553" w:rsidRPr="007B2915">
        <w:rPr>
          <w:rStyle w:val="Refdenotaalpie"/>
          <w:rFonts w:ascii="Cambria" w:hAnsi="Cambria"/>
          <w:color w:val="auto"/>
          <w:sz w:val="20"/>
          <w:szCs w:val="20"/>
          <w:lang w:val="es-AR"/>
        </w:rPr>
        <w:footnoteReference w:id="58"/>
      </w:r>
      <w:r w:rsidR="00353553" w:rsidRPr="007B2915">
        <w:rPr>
          <w:rFonts w:ascii="Cambria" w:hAnsi="Cambria"/>
          <w:color w:val="auto"/>
          <w:sz w:val="20"/>
          <w:szCs w:val="20"/>
          <w:lang w:val="es-AR"/>
        </w:rPr>
        <w:t xml:space="preserve">. El peticionario informó que el titular del </w:t>
      </w:r>
      <w:r w:rsidR="00353553" w:rsidRPr="007B2915">
        <w:rPr>
          <w:rFonts w:ascii="Cambria" w:hAnsi="Cambria"/>
          <w:color w:val="auto"/>
          <w:sz w:val="20"/>
          <w:szCs w:val="20"/>
        </w:rPr>
        <w:t>38º Juzgado Civil de Lima fue reemplaz</w:t>
      </w:r>
      <w:r w:rsidR="004E3FBD" w:rsidRPr="007B2915">
        <w:rPr>
          <w:rFonts w:ascii="Cambria" w:hAnsi="Cambria"/>
          <w:color w:val="auto"/>
          <w:sz w:val="20"/>
          <w:szCs w:val="20"/>
        </w:rPr>
        <w:t>ado</w:t>
      </w:r>
      <w:r w:rsidR="00353553" w:rsidRPr="007B2915">
        <w:rPr>
          <w:rFonts w:ascii="Cambria" w:hAnsi="Cambria"/>
          <w:color w:val="auto"/>
          <w:sz w:val="20"/>
          <w:szCs w:val="20"/>
        </w:rPr>
        <w:t xml:space="preserve"> por lo que recién se elevó a trámite su recurso a la Segunda Sala Civil de la Corte Superior de Lima en octubre de 2010</w:t>
      </w:r>
      <w:r w:rsidR="00353553" w:rsidRPr="007B2915">
        <w:rPr>
          <w:rStyle w:val="Refdenotaalpie"/>
          <w:rFonts w:ascii="Cambria" w:hAnsi="Cambria"/>
          <w:color w:val="auto"/>
          <w:sz w:val="20"/>
          <w:szCs w:val="20"/>
          <w:lang w:val="es-AR"/>
        </w:rPr>
        <w:footnoteReference w:id="59"/>
      </w:r>
      <w:r w:rsidR="00353553" w:rsidRPr="007B2915">
        <w:rPr>
          <w:rFonts w:ascii="Cambria" w:hAnsi="Cambria"/>
          <w:color w:val="auto"/>
          <w:sz w:val="20"/>
          <w:szCs w:val="20"/>
        </w:rPr>
        <w:t>. El peticionario agregó que dicha Sala se eximió de conocer el recurso de apelación “por supuesta antigüedad del cas</w:t>
      </w:r>
      <w:r w:rsidR="00095578" w:rsidRPr="007B2915">
        <w:rPr>
          <w:rFonts w:ascii="Cambria" w:hAnsi="Cambria"/>
          <w:color w:val="auto"/>
          <w:sz w:val="20"/>
          <w:szCs w:val="20"/>
        </w:rPr>
        <w:t>o</w:t>
      </w:r>
      <w:r w:rsidR="00353553" w:rsidRPr="007B2915">
        <w:rPr>
          <w:rFonts w:ascii="Cambria" w:hAnsi="Cambria"/>
          <w:color w:val="auto"/>
          <w:sz w:val="20"/>
          <w:szCs w:val="20"/>
        </w:rPr>
        <w:t>”</w:t>
      </w:r>
      <w:r w:rsidR="00095578" w:rsidRPr="007B2915">
        <w:rPr>
          <w:rFonts w:ascii="Cambria" w:hAnsi="Cambria"/>
          <w:color w:val="auto"/>
          <w:sz w:val="20"/>
          <w:szCs w:val="20"/>
        </w:rPr>
        <w:t xml:space="preserve"> y devolvió el expediente al 38º Juzgado Civil de Lima</w:t>
      </w:r>
      <w:r w:rsidR="00095578" w:rsidRPr="007B2915">
        <w:rPr>
          <w:rStyle w:val="Refdenotaalpie"/>
          <w:rFonts w:ascii="Cambria" w:hAnsi="Cambria"/>
          <w:color w:val="auto"/>
          <w:sz w:val="20"/>
          <w:szCs w:val="20"/>
          <w:lang w:val="es-AR"/>
        </w:rPr>
        <w:footnoteReference w:id="60"/>
      </w:r>
      <w:r w:rsidR="00095578" w:rsidRPr="007B2915">
        <w:rPr>
          <w:rFonts w:ascii="Cambria" w:hAnsi="Cambria"/>
          <w:color w:val="auto"/>
          <w:sz w:val="20"/>
          <w:szCs w:val="20"/>
          <w:lang w:val="es-AR"/>
        </w:rPr>
        <w:t>.</w:t>
      </w:r>
    </w:p>
    <w:p w:rsidR="00B50ED4" w:rsidRPr="007B2915" w:rsidRDefault="00B50ED4" w:rsidP="00D8343A">
      <w:pPr>
        <w:pStyle w:val="Cuadrculamedia1-nfasis2"/>
        <w:rPr>
          <w:rFonts w:ascii="Cambria" w:hAnsi="Cambria"/>
          <w:sz w:val="20"/>
          <w:szCs w:val="20"/>
          <w:lang w:val="es-AR"/>
        </w:rPr>
      </w:pPr>
    </w:p>
    <w:p w:rsidR="00FF1F23" w:rsidRPr="007B2915" w:rsidRDefault="00FF1F23" w:rsidP="00D8343A">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s-AR"/>
        </w:rPr>
      </w:pPr>
      <w:r w:rsidRPr="007B2915">
        <w:rPr>
          <w:rFonts w:ascii="Cambria" w:hAnsi="Cambria"/>
          <w:color w:val="auto"/>
          <w:sz w:val="20"/>
          <w:szCs w:val="20"/>
          <w:lang w:val="es-AR"/>
        </w:rPr>
        <w:t>El 13 de abril de 2011 la Segunda Sala Civil de la Corte Superior de Lima anuló la resolución de</w:t>
      </w:r>
      <w:r w:rsidR="00EB41A4" w:rsidRPr="007B2915">
        <w:rPr>
          <w:rFonts w:ascii="Cambria" w:hAnsi="Cambria"/>
          <w:color w:val="auto"/>
          <w:sz w:val="20"/>
          <w:szCs w:val="20"/>
          <w:lang w:val="es-AR"/>
        </w:rPr>
        <w:t>l</w:t>
      </w:r>
      <w:r w:rsidRPr="007B2915">
        <w:rPr>
          <w:rFonts w:ascii="Cambria" w:hAnsi="Cambria"/>
          <w:color w:val="auto"/>
          <w:sz w:val="20"/>
          <w:szCs w:val="20"/>
          <w:lang w:val="es-AR"/>
        </w:rPr>
        <w:t xml:space="preserve"> </w:t>
      </w:r>
      <w:r w:rsidR="00EB41A4" w:rsidRPr="007B2915">
        <w:rPr>
          <w:rFonts w:ascii="Cambria" w:hAnsi="Cambria"/>
          <w:color w:val="auto"/>
          <w:sz w:val="20"/>
          <w:szCs w:val="20"/>
        </w:rPr>
        <w:t>38º Juzgado Civil de Lima de abril de 2010</w:t>
      </w:r>
      <w:r w:rsidR="00E55432" w:rsidRPr="007B2915">
        <w:rPr>
          <w:rStyle w:val="Refdenotaalpie"/>
          <w:rFonts w:ascii="Cambria" w:hAnsi="Cambria"/>
          <w:color w:val="auto"/>
          <w:sz w:val="20"/>
          <w:szCs w:val="20"/>
        </w:rPr>
        <w:footnoteReference w:id="61"/>
      </w:r>
      <w:r w:rsidR="00EB41A4" w:rsidRPr="007B2915">
        <w:rPr>
          <w:rFonts w:ascii="Cambria" w:hAnsi="Cambria"/>
          <w:color w:val="auto"/>
          <w:sz w:val="20"/>
          <w:szCs w:val="20"/>
        </w:rPr>
        <w:t>.</w:t>
      </w:r>
      <w:r w:rsidR="00C2111D" w:rsidRPr="007B2915">
        <w:rPr>
          <w:rFonts w:ascii="Cambria" w:hAnsi="Cambria"/>
          <w:color w:val="auto"/>
          <w:sz w:val="20"/>
          <w:szCs w:val="20"/>
        </w:rPr>
        <w:t xml:space="preserve"> La Sala indicó lo siguiente:</w:t>
      </w:r>
    </w:p>
    <w:p w:rsidR="00C2111D" w:rsidRPr="007B2915" w:rsidRDefault="00C2111D" w:rsidP="00D8343A">
      <w:pPr>
        <w:pStyle w:val="Cuadrculamedia1-nfasis2"/>
        <w:rPr>
          <w:rFonts w:ascii="Cambria" w:hAnsi="Cambria"/>
          <w:sz w:val="20"/>
          <w:szCs w:val="20"/>
          <w:lang w:val="es-AR"/>
        </w:rPr>
      </w:pPr>
    </w:p>
    <w:p w:rsidR="00C2111D" w:rsidRPr="007B2915" w:rsidRDefault="00C2111D" w:rsidP="00D8343A">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color w:val="auto"/>
          <w:sz w:val="20"/>
          <w:szCs w:val="20"/>
          <w:lang w:val="es-AR"/>
        </w:rPr>
      </w:pPr>
      <w:r w:rsidRPr="007B2915">
        <w:rPr>
          <w:rFonts w:ascii="Cambria" w:hAnsi="Cambria"/>
          <w:color w:val="auto"/>
          <w:sz w:val="20"/>
          <w:szCs w:val="20"/>
          <w:lang w:val="es-AR"/>
        </w:rPr>
        <w:t xml:space="preserve">(…) el </w:t>
      </w:r>
      <w:r w:rsidRPr="007B2915">
        <w:rPr>
          <w:rFonts w:ascii="Cambria" w:hAnsi="Cambria" w:cs="Arial"/>
          <w:color w:val="auto"/>
          <w:sz w:val="20"/>
          <w:szCs w:val="20"/>
          <w:lang w:val="es-AR"/>
        </w:rPr>
        <w:t>[juzgado] resuelve el pedido formulado por el actor (…) asumiendo como enteramente cierto lo afirmado por la parte requerida al pago de las pensiones; y (…) sin previamente determinar si la empresa Magma Copper asumió o no los activos y pasivos de la primigenia demandada Empresa Minera Especial Tintaya durante el proceso de privatización; sin tener presente que de haber asumido tales activos y pasivos, (…) traslada tales activos y pasivos a los compradores</w:t>
      </w:r>
      <w:r w:rsidRPr="007B2915">
        <w:rPr>
          <w:rStyle w:val="Refdenotaalpie"/>
          <w:rFonts w:ascii="Cambria" w:hAnsi="Cambria"/>
          <w:color w:val="auto"/>
          <w:sz w:val="20"/>
          <w:szCs w:val="20"/>
        </w:rPr>
        <w:footnoteReference w:id="62"/>
      </w:r>
      <w:r w:rsidRPr="007B2915">
        <w:rPr>
          <w:rFonts w:ascii="Cambria" w:hAnsi="Cambria" w:cs="Arial"/>
          <w:color w:val="auto"/>
          <w:sz w:val="20"/>
          <w:szCs w:val="20"/>
          <w:lang w:val="es-AR"/>
        </w:rPr>
        <w:t>.</w:t>
      </w:r>
    </w:p>
    <w:p w:rsidR="00FF1F23" w:rsidRPr="007B2915" w:rsidRDefault="00FF1F23" w:rsidP="00D8343A">
      <w:pPr>
        <w:pStyle w:val="Cuadrculamedia1-nfasis2"/>
        <w:rPr>
          <w:rFonts w:ascii="Cambria" w:hAnsi="Cambria"/>
          <w:sz w:val="20"/>
          <w:szCs w:val="20"/>
          <w:lang w:val="es-AR"/>
        </w:rPr>
      </w:pPr>
    </w:p>
    <w:p w:rsidR="00414A9C" w:rsidRPr="007B2915" w:rsidRDefault="00414A9C" w:rsidP="00D8343A">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s-AR"/>
        </w:rPr>
      </w:pPr>
      <w:r w:rsidRPr="007B2915">
        <w:rPr>
          <w:rFonts w:ascii="Cambria" w:hAnsi="Cambria"/>
          <w:color w:val="auto"/>
          <w:sz w:val="20"/>
          <w:szCs w:val="20"/>
          <w:lang w:val="es-AR"/>
        </w:rPr>
        <w:t>Asimismo, la Sala sostuvo que el juzgado emitió su resolución “sin precisar los hechos y las normas legales correspondientes que sustenten esa determinación”</w:t>
      </w:r>
      <w:r w:rsidRPr="007B2915">
        <w:rPr>
          <w:rStyle w:val="Refdenotaalpie"/>
          <w:rFonts w:ascii="Cambria" w:hAnsi="Cambria"/>
          <w:color w:val="auto"/>
          <w:sz w:val="20"/>
          <w:szCs w:val="20"/>
        </w:rPr>
        <w:footnoteReference w:id="63"/>
      </w:r>
      <w:r w:rsidRPr="007B2915">
        <w:rPr>
          <w:rFonts w:ascii="Cambria" w:hAnsi="Cambria"/>
          <w:color w:val="auto"/>
          <w:sz w:val="20"/>
          <w:szCs w:val="20"/>
          <w:lang w:val="es-AR"/>
        </w:rPr>
        <w:t>. La Sala agregó que el juzgado infringió el derecho a la debida motivación de las resoluciones judiciales y resaltó que la pensión de jubilación del señor Muelle se encuentra en estado de ejecución de sentencia</w:t>
      </w:r>
      <w:r w:rsidRPr="007B2915">
        <w:rPr>
          <w:rStyle w:val="Refdenotaalpie"/>
          <w:rFonts w:ascii="Cambria" w:hAnsi="Cambria"/>
          <w:color w:val="auto"/>
          <w:sz w:val="20"/>
          <w:szCs w:val="20"/>
        </w:rPr>
        <w:footnoteReference w:id="64"/>
      </w:r>
      <w:r w:rsidRPr="007B2915">
        <w:rPr>
          <w:rFonts w:ascii="Cambria" w:hAnsi="Cambria"/>
          <w:color w:val="auto"/>
          <w:sz w:val="20"/>
          <w:szCs w:val="20"/>
          <w:lang w:val="es-AR"/>
        </w:rPr>
        <w:t>.</w:t>
      </w:r>
    </w:p>
    <w:p w:rsidR="006C19A9" w:rsidRPr="007B2915" w:rsidRDefault="006C19A9" w:rsidP="00D8343A">
      <w:pPr>
        <w:pStyle w:val="Cuadrculamedia1-nfasis2"/>
        <w:ind w:left="0"/>
        <w:rPr>
          <w:rFonts w:ascii="Cambria" w:hAnsi="Cambria"/>
          <w:sz w:val="20"/>
          <w:szCs w:val="20"/>
          <w:lang w:val="es-AR"/>
        </w:rPr>
      </w:pPr>
    </w:p>
    <w:p w:rsidR="00931B1B" w:rsidRPr="007B2915" w:rsidRDefault="006C19A9" w:rsidP="00D8343A">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s-AR"/>
        </w:rPr>
      </w:pPr>
      <w:r w:rsidRPr="007B2915">
        <w:rPr>
          <w:rFonts w:ascii="Cambria" w:hAnsi="Cambria"/>
          <w:color w:val="auto"/>
          <w:sz w:val="20"/>
          <w:szCs w:val="20"/>
          <w:lang w:val="es-AR"/>
        </w:rPr>
        <w:t xml:space="preserve">El peticionario indicó que el 17 de mayo de 2012 el </w:t>
      </w:r>
      <w:r w:rsidRPr="007B2915">
        <w:rPr>
          <w:rFonts w:ascii="Cambria" w:hAnsi="Cambria"/>
          <w:color w:val="auto"/>
          <w:sz w:val="20"/>
          <w:szCs w:val="20"/>
        </w:rPr>
        <w:t xml:space="preserve">33º Juzgado Civil de Lima emitió una resolución en donde requirió a la empresa a dar cumplimiento con lo ordenado en la sentencia de la Corte </w:t>
      </w:r>
      <w:r w:rsidRPr="007B2915">
        <w:rPr>
          <w:rFonts w:ascii="Cambria" w:hAnsi="Cambria"/>
          <w:color w:val="auto"/>
          <w:sz w:val="20"/>
          <w:szCs w:val="20"/>
        </w:rPr>
        <w:lastRenderedPageBreak/>
        <w:t>Suprema de Justicia de febrero de 1993</w:t>
      </w:r>
      <w:r w:rsidRPr="007B2915">
        <w:rPr>
          <w:rStyle w:val="Refdenotaalpie"/>
          <w:rFonts w:ascii="Cambria" w:hAnsi="Cambria"/>
          <w:color w:val="auto"/>
          <w:sz w:val="20"/>
          <w:szCs w:val="20"/>
        </w:rPr>
        <w:footnoteReference w:id="65"/>
      </w:r>
      <w:r w:rsidR="00367375" w:rsidRPr="007B2915">
        <w:rPr>
          <w:rFonts w:ascii="Cambria" w:hAnsi="Cambria"/>
          <w:color w:val="auto"/>
          <w:sz w:val="20"/>
          <w:szCs w:val="20"/>
        </w:rPr>
        <w:t>. La empresa presentó un recurso de apelación frente a dicha resolución</w:t>
      </w:r>
      <w:r w:rsidR="00367375" w:rsidRPr="007B2915">
        <w:rPr>
          <w:rStyle w:val="Refdenotaalpie"/>
          <w:rFonts w:ascii="Cambria" w:hAnsi="Cambria"/>
          <w:color w:val="auto"/>
          <w:sz w:val="20"/>
          <w:szCs w:val="20"/>
        </w:rPr>
        <w:footnoteReference w:id="66"/>
      </w:r>
      <w:r w:rsidR="00367375" w:rsidRPr="007B2915">
        <w:rPr>
          <w:rFonts w:ascii="Cambria" w:hAnsi="Cambria"/>
          <w:color w:val="auto"/>
          <w:sz w:val="20"/>
          <w:szCs w:val="20"/>
        </w:rPr>
        <w:t>.</w:t>
      </w:r>
      <w:r w:rsidR="00931B1B" w:rsidRPr="007B2915">
        <w:rPr>
          <w:rFonts w:ascii="Cambria" w:hAnsi="Cambria"/>
          <w:color w:val="auto"/>
          <w:sz w:val="20"/>
          <w:szCs w:val="20"/>
          <w:lang w:val="es-AR"/>
        </w:rPr>
        <w:t xml:space="preserve"> </w:t>
      </w:r>
    </w:p>
    <w:p w:rsidR="00931B1B" w:rsidRPr="007B2915" w:rsidRDefault="00931B1B" w:rsidP="00D8343A">
      <w:pPr>
        <w:pStyle w:val="Cuadrculamedia1-nfasis2"/>
        <w:rPr>
          <w:rFonts w:ascii="Cambria" w:hAnsi="Cambria"/>
          <w:sz w:val="20"/>
          <w:szCs w:val="20"/>
          <w:lang w:val="es-AR"/>
        </w:rPr>
      </w:pPr>
    </w:p>
    <w:p w:rsidR="002D143C" w:rsidRPr="007B2915" w:rsidRDefault="00931B1B" w:rsidP="00D8343A">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s-AR"/>
        </w:rPr>
      </w:pPr>
      <w:r w:rsidRPr="007B2915">
        <w:rPr>
          <w:rFonts w:ascii="Cambria" w:hAnsi="Cambria"/>
          <w:color w:val="auto"/>
          <w:sz w:val="20"/>
          <w:szCs w:val="20"/>
          <w:lang w:val="es-AR"/>
        </w:rPr>
        <w:t>E</w:t>
      </w:r>
      <w:r w:rsidR="002D143C" w:rsidRPr="007B2915">
        <w:rPr>
          <w:rFonts w:ascii="Cambria" w:hAnsi="Cambria"/>
          <w:color w:val="auto"/>
          <w:sz w:val="20"/>
          <w:szCs w:val="20"/>
          <w:lang w:val="es-AR"/>
        </w:rPr>
        <w:t xml:space="preserve">l 30 de octubre de 2012 el </w:t>
      </w:r>
      <w:r w:rsidR="002D143C" w:rsidRPr="007B2915">
        <w:rPr>
          <w:rFonts w:ascii="Cambria" w:hAnsi="Cambria"/>
          <w:color w:val="auto"/>
          <w:sz w:val="20"/>
          <w:szCs w:val="20"/>
        </w:rPr>
        <w:t xml:space="preserve">33º Juzgado Civil de Lima resolvió suspender el proceso de ejecución de sentencia </w:t>
      </w:r>
      <w:r w:rsidR="00367375" w:rsidRPr="007B2915">
        <w:rPr>
          <w:rFonts w:ascii="Cambria" w:hAnsi="Cambria"/>
          <w:color w:val="auto"/>
          <w:sz w:val="20"/>
          <w:szCs w:val="20"/>
        </w:rPr>
        <w:t>hasta que se resuelva el recurso de apelación presentado por la empresa</w:t>
      </w:r>
      <w:r w:rsidR="002D143C" w:rsidRPr="007B2915">
        <w:rPr>
          <w:rStyle w:val="Refdenotaalpie"/>
          <w:rFonts w:ascii="Cambria" w:hAnsi="Cambria"/>
          <w:color w:val="auto"/>
          <w:sz w:val="20"/>
          <w:szCs w:val="20"/>
        </w:rPr>
        <w:footnoteReference w:id="67"/>
      </w:r>
      <w:r w:rsidR="002D143C" w:rsidRPr="007B2915">
        <w:rPr>
          <w:rFonts w:ascii="Cambria" w:hAnsi="Cambria"/>
          <w:color w:val="auto"/>
          <w:sz w:val="20"/>
          <w:szCs w:val="20"/>
        </w:rPr>
        <w:t>.</w:t>
      </w:r>
      <w:r w:rsidR="00544B77" w:rsidRPr="007B2915">
        <w:rPr>
          <w:rFonts w:ascii="Cambria" w:hAnsi="Cambria"/>
          <w:color w:val="auto"/>
          <w:sz w:val="20"/>
          <w:szCs w:val="20"/>
        </w:rPr>
        <w:t xml:space="preserve"> El 20 de noviembre de 2012 el señor Muelle apeló dicha resolución en relación con el extremo que señala la suspensión del proceso de ejecución de sentencia</w:t>
      </w:r>
      <w:r w:rsidR="00544B77" w:rsidRPr="007B2915">
        <w:rPr>
          <w:rStyle w:val="Refdenotaalpie"/>
          <w:rFonts w:ascii="Cambria" w:hAnsi="Cambria"/>
          <w:color w:val="auto"/>
          <w:sz w:val="20"/>
          <w:szCs w:val="20"/>
        </w:rPr>
        <w:footnoteReference w:id="68"/>
      </w:r>
      <w:r w:rsidR="00544B77" w:rsidRPr="007B2915">
        <w:rPr>
          <w:rFonts w:ascii="Cambria" w:hAnsi="Cambria"/>
          <w:color w:val="auto"/>
          <w:sz w:val="20"/>
          <w:szCs w:val="20"/>
        </w:rPr>
        <w:t>. El señor Muelle alegó que dicha decisión afecta la calidad de cosa juzgada de las sentencias emitidas previamente que decidieron otorgarle sus derechos pensionarios, por lo que no se puede retardar su ejecución</w:t>
      </w:r>
      <w:r w:rsidR="00544B77" w:rsidRPr="007B2915">
        <w:rPr>
          <w:rStyle w:val="Refdenotaalpie"/>
          <w:rFonts w:ascii="Cambria" w:hAnsi="Cambria"/>
          <w:color w:val="auto"/>
          <w:sz w:val="20"/>
          <w:szCs w:val="20"/>
        </w:rPr>
        <w:footnoteReference w:id="69"/>
      </w:r>
      <w:r w:rsidR="00544B77" w:rsidRPr="007B2915">
        <w:rPr>
          <w:rFonts w:ascii="Cambria" w:hAnsi="Cambria"/>
          <w:color w:val="auto"/>
          <w:sz w:val="20"/>
          <w:szCs w:val="20"/>
        </w:rPr>
        <w:t>.</w:t>
      </w:r>
    </w:p>
    <w:p w:rsidR="00B50ED4" w:rsidRPr="007B2915" w:rsidRDefault="00B50ED4" w:rsidP="00D8343A">
      <w:pPr>
        <w:pStyle w:val="Cuadrculamedia1-nfasis2"/>
        <w:rPr>
          <w:rFonts w:ascii="Cambria" w:hAnsi="Cambria"/>
          <w:sz w:val="20"/>
          <w:szCs w:val="20"/>
          <w:lang w:val="es-AR"/>
        </w:rPr>
      </w:pPr>
    </w:p>
    <w:p w:rsidR="00B50ED4" w:rsidRPr="007B2915" w:rsidRDefault="00B50ED4" w:rsidP="00D8343A">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s-AR"/>
        </w:rPr>
      </w:pPr>
      <w:r w:rsidRPr="007B2915">
        <w:rPr>
          <w:rFonts w:ascii="Cambria" w:hAnsi="Cambria"/>
          <w:color w:val="auto"/>
          <w:sz w:val="20"/>
          <w:szCs w:val="20"/>
          <w:lang w:val="es-AR"/>
        </w:rPr>
        <w:t xml:space="preserve">El 10 de octubre de 2013 la Segunda Sala Civil de la Corte Superior de Justicia emitió una resolución en la que declaró nula la </w:t>
      </w:r>
      <w:r w:rsidR="00031423" w:rsidRPr="007B2915">
        <w:rPr>
          <w:rFonts w:ascii="Cambria" w:hAnsi="Cambria"/>
          <w:color w:val="auto"/>
          <w:sz w:val="20"/>
          <w:szCs w:val="20"/>
          <w:lang w:val="es-AR"/>
        </w:rPr>
        <w:t>resolución de 17 de mayo de 2012 del 33º Juzgado Civil de Lima</w:t>
      </w:r>
      <w:r w:rsidR="000C3451" w:rsidRPr="007B2915">
        <w:rPr>
          <w:rStyle w:val="Refdenotaalpie"/>
          <w:rFonts w:ascii="Cambria" w:hAnsi="Cambria"/>
          <w:color w:val="auto"/>
          <w:sz w:val="20"/>
          <w:szCs w:val="20"/>
          <w:lang w:val="es-AR"/>
        </w:rPr>
        <w:footnoteReference w:id="70"/>
      </w:r>
      <w:r w:rsidRPr="007B2915">
        <w:rPr>
          <w:rFonts w:ascii="Cambria" w:hAnsi="Cambria"/>
          <w:color w:val="auto"/>
          <w:sz w:val="20"/>
          <w:szCs w:val="20"/>
          <w:lang w:val="es-AR"/>
        </w:rPr>
        <w:t xml:space="preserve">. La Sala </w:t>
      </w:r>
      <w:r w:rsidR="00031423" w:rsidRPr="007B2915">
        <w:rPr>
          <w:rFonts w:ascii="Cambria" w:hAnsi="Cambria"/>
          <w:color w:val="auto"/>
          <w:sz w:val="20"/>
          <w:szCs w:val="20"/>
          <w:lang w:val="es-AR"/>
        </w:rPr>
        <w:t>señaló lo siguiente:</w:t>
      </w:r>
    </w:p>
    <w:p w:rsidR="00031423" w:rsidRPr="007B2915" w:rsidRDefault="00031423" w:rsidP="00D8343A">
      <w:pPr>
        <w:pStyle w:val="Cuadrculamedia1-nfasis2"/>
        <w:rPr>
          <w:rFonts w:ascii="Cambria" w:hAnsi="Cambria"/>
          <w:sz w:val="20"/>
          <w:szCs w:val="20"/>
          <w:lang w:val="es-AR"/>
        </w:rPr>
      </w:pPr>
    </w:p>
    <w:p w:rsidR="00031423" w:rsidRPr="007B2915" w:rsidRDefault="00031423" w:rsidP="00D8343A">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color w:val="auto"/>
          <w:sz w:val="20"/>
          <w:szCs w:val="20"/>
          <w:lang w:val="es-AR"/>
        </w:rPr>
      </w:pPr>
      <w:r w:rsidRPr="007B2915">
        <w:rPr>
          <w:rFonts w:ascii="Cambria" w:hAnsi="Cambria"/>
          <w:color w:val="auto"/>
          <w:sz w:val="20"/>
          <w:szCs w:val="20"/>
          <w:lang w:val="es-AR"/>
        </w:rPr>
        <w:t xml:space="preserve">(…) no se encuentra acreditado que la empresa apelante tenga la obligación de pagar los derechos pensionarios reclamados, pues desde su privatización no se asumió por la primigenia compradora dicha obligación (…). </w:t>
      </w:r>
    </w:p>
    <w:p w:rsidR="00D8343A" w:rsidRPr="007B2915" w:rsidRDefault="00031423" w:rsidP="00D8343A">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cs="Arial"/>
          <w:color w:val="auto"/>
          <w:sz w:val="20"/>
          <w:szCs w:val="20"/>
          <w:lang w:val="es-AR"/>
        </w:rPr>
      </w:pPr>
      <w:r w:rsidRPr="007B2915">
        <w:rPr>
          <w:rFonts w:ascii="Cambria" w:hAnsi="Cambria"/>
          <w:color w:val="auto"/>
          <w:sz w:val="20"/>
          <w:szCs w:val="20"/>
          <w:lang w:val="es-AR"/>
        </w:rPr>
        <w:t xml:space="preserve">(…) de otro lado (…) el régimen pensionario </w:t>
      </w:r>
      <w:r w:rsidRPr="007B2915">
        <w:rPr>
          <w:rFonts w:ascii="Cambria" w:hAnsi="Cambria" w:cs="Arial"/>
          <w:color w:val="auto"/>
          <w:sz w:val="20"/>
          <w:szCs w:val="20"/>
          <w:lang w:val="es-AR"/>
        </w:rPr>
        <w:t>[del Decreto Ley 20530]</w:t>
      </w:r>
      <w:r w:rsidR="008107A0" w:rsidRPr="007B2915">
        <w:rPr>
          <w:rFonts w:ascii="Cambria" w:hAnsi="Cambria" w:cs="Arial"/>
          <w:color w:val="auto"/>
          <w:sz w:val="20"/>
          <w:szCs w:val="20"/>
          <w:lang w:val="es-AR"/>
        </w:rPr>
        <w:t xml:space="preserve"> reguló las pensiones y compensaciones del Estado financiados con recursos del Estado (…). En ese sentido tratándose ahora de una entidad privada la apelante, no es posible que la misma asuma una obligación pensionario porque no administra fondos pensionarios y porque además no asumió dicha obligación, sino que la vinculación del actor lo fue con el Estado (…)</w:t>
      </w:r>
      <w:r w:rsidR="008107A0" w:rsidRPr="007B2915">
        <w:rPr>
          <w:rStyle w:val="Refdenotaalpie"/>
          <w:rFonts w:ascii="Cambria" w:hAnsi="Cambria"/>
          <w:color w:val="auto"/>
          <w:sz w:val="20"/>
          <w:szCs w:val="20"/>
          <w:lang w:val="es-AR"/>
        </w:rPr>
        <w:footnoteReference w:id="71"/>
      </w:r>
      <w:r w:rsidR="008107A0" w:rsidRPr="007B2915">
        <w:rPr>
          <w:rFonts w:ascii="Cambria" w:hAnsi="Cambria" w:cs="Arial"/>
          <w:color w:val="auto"/>
          <w:sz w:val="20"/>
          <w:szCs w:val="20"/>
          <w:lang w:val="es-AR"/>
        </w:rPr>
        <w:t>.</w:t>
      </w:r>
    </w:p>
    <w:p w:rsidR="00D8343A" w:rsidRPr="007B2915" w:rsidRDefault="00D8343A" w:rsidP="00D8343A">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cs="Arial"/>
          <w:color w:val="auto"/>
          <w:sz w:val="20"/>
          <w:szCs w:val="20"/>
          <w:lang w:val="es-AR"/>
        </w:rPr>
      </w:pPr>
    </w:p>
    <w:p w:rsidR="00031423" w:rsidRPr="007B2915" w:rsidRDefault="00031423" w:rsidP="00D8343A">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s-AR"/>
        </w:rPr>
      </w:pPr>
      <w:r w:rsidRPr="007B2915">
        <w:rPr>
          <w:rFonts w:ascii="Cambria" w:hAnsi="Cambria" w:cs="Arial"/>
          <w:color w:val="auto"/>
          <w:sz w:val="20"/>
          <w:szCs w:val="20"/>
          <w:lang w:val="es-AR"/>
        </w:rPr>
        <w:t xml:space="preserve"> </w:t>
      </w:r>
      <w:r w:rsidR="00D8343A" w:rsidRPr="007B2915">
        <w:rPr>
          <w:rFonts w:ascii="Cambria" w:hAnsi="Cambria" w:cs="Arial"/>
          <w:color w:val="auto"/>
          <w:sz w:val="20"/>
          <w:szCs w:val="20"/>
          <w:lang w:val="es-AR"/>
        </w:rPr>
        <w:t>La Sala ordenó que se “expida nueva resolución teniendo presente las consideraciones presentes”</w:t>
      </w:r>
      <w:r w:rsidR="00D8343A" w:rsidRPr="007B2915">
        <w:rPr>
          <w:rStyle w:val="Refdenotaalpie"/>
          <w:rFonts w:ascii="Cambria" w:hAnsi="Cambria"/>
          <w:color w:val="auto"/>
          <w:sz w:val="20"/>
          <w:szCs w:val="20"/>
          <w:lang w:val="es-AR"/>
        </w:rPr>
        <w:footnoteReference w:id="72"/>
      </w:r>
      <w:r w:rsidR="00D8343A" w:rsidRPr="007B2915">
        <w:rPr>
          <w:rFonts w:ascii="Cambria" w:hAnsi="Cambria" w:cs="Arial"/>
          <w:color w:val="auto"/>
          <w:sz w:val="20"/>
          <w:szCs w:val="20"/>
          <w:lang w:val="es-AR"/>
        </w:rPr>
        <w:t>. La Comisión no cuenta con información sobre los trámites posteriores de este proceso.</w:t>
      </w:r>
      <w:r w:rsidR="007D1187" w:rsidRPr="007B2915">
        <w:rPr>
          <w:rFonts w:ascii="Cambria" w:hAnsi="Cambria" w:cs="Arial"/>
          <w:color w:val="auto"/>
          <w:sz w:val="20"/>
          <w:szCs w:val="20"/>
          <w:lang w:val="es-AR"/>
        </w:rPr>
        <w:t xml:space="preserve"> Sin perjuicio de ello, la CIDH observa que no existe controversia entre las partes que, a la fecha, no se ha ejecutado la sentencia de la Corte Suprema de Justicia de 2 de febrero de 1993. </w:t>
      </w:r>
    </w:p>
    <w:p w:rsidR="009D4297" w:rsidRPr="007B2915" w:rsidRDefault="009D4297" w:rsidP="00D8343A">
      <w:pPr>
        <w:pStyle w:val="Cuadrculamedia1-nfasis2"/>
        <w:ind w:left="0"/>
        <w:rPr>
          <w:rFonts w:ascii="Cambria" w:hAnsi="Cambria"/>
          <w:sz w:val="20"/>
          <w:szCs w:val="20"/>
          <w:lang w:val="es-AR"/>
        </w:rPr>
      </w:pPr>
    </w:p>
    <w:p w:rsidR="009D4297" w:rsidRPr="007B2915" w:rsidRDefault="00B968A0" w:rsidP="00D8343A">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s-AR"/>
        </w:rPr>
      </w:pPr>
      <w:r w:rsidRPr="007B2915">
        <w:rPr>
          <w:rFonts w:ascii="Cambria" w:hAnsi="Cambria"/>
          <w:color w:val="auto"/>
          <w:sz w:val="20"/>
          <w:szCs w:val="20"/>
          <w:lang w:val="es-AR"/>
        </w:rPr>
        <w:t>Según la informació</w:t>
      </w:r>
      <w:r w:rsidR="00DA2F9B" w:rsidRPr="007B2915">
        <w:rPr>
          <w:rFonts w:ascii="Cambria" w:hAnsi="Cambria"/>
          <w:color w:val="auto"/>
          <w:sz w:val="20"/>
          <w:szCs w:val="20"/>
          <w:lang w:val="es-AR"/>
        </w:rPr>
        <w:t>n disponible</w:t>
      </w:r>
      <w:r w:rsidRPr="007B2915">
        <w:rPr>
          <w:rFonts w:ascii="Cambria" w:hAnsi="Cambria"/>
          <w:color w:val="auto"/>
          <w:sz w:val="20"/>
          <w:szCs w:val="20"/>
          <w:lang w:val="es-AR"/>
        </w:rPr>
        <w:t xml:space="preserve"> </w:t>
      </w:r>
      <w:r w:rsidR="009D4297" w:rsidRPr="007B2915">
        <w:rPr>
          <w:rFonts w:ascii="Cambria" w:hAnsi="Cambria"/>
          <w:color w:val="auto"/>
          <w:sz w:val="20"/>
          <w:szCs w:val="20"/>
          <w:lang w:val="es-AR"/>
        </w:rPr>
        <w:t xml:space="preserve">a la fecha el señor Muelle tiene 80 años de edad. </w:t>
      </w:r>
    </w:p>
    <w:p w:rsidR="00416C07" w:rsidRPr="007B2915" w:rsidRDefault="00416C07" w:rsidP="00D8343A">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rPr>
      </w:pPr>
    </w:p>
    <w:p w:rsidR="00D31A7B" w:rsidRPr="007B2915" w:rsidRDefault="00D31A7B" w:rsidP="00D8343A">
      <w:pPr>
        <w:pStyle w:val="Ttulo1"/>
        <w:ind w:firstLine="0"/>
        <w:rPr>
          <w:color w:val="auto"/>
          <w:lang w:val="es-ES_tradnl"/>
        </w:rPr>
      </w:pPr>
      <w:bookmarkStart w:id="50" w:name="_Toc346449089"/>
      <w:bookmarkStart w:id="51" w:name="_Toc474398496"/>
      <w:r w:rsidRPr="007B2915">
        <w:rPr>
          <w:color w:val="auto"/>
        </w:rPr>
        <w:t>ANÁLISIS DE FONDO</w:t>
      </w:r>
      <w:bookmarkEnd w:id="50"/>
      <w:bookmarkEnd w:id="51"/>
    </w:p>
    <w:p w:rsidR="00453315" w:rsidRPr="007B2915" w:rsidRDefault="00453315" w:rsidP="00D8343A">
      <w:pPr>
        <w:rPr>
          <w:rFonts w:ascii="Cambria" w:hAnsi="Cambria"/>
          <w:b/>
          <w:sz w:val="20"/>
          <w:szCs w:val="20"/>
          <w:lang w:val="es-ES"/>
        </w:rPr>
      </w:pPr>
      <w:bookmarkStart w:id="52" w:name="_Toc413687836"/>
    </w:p>
    <w:p w:rsidR="00FB5552" w:rsidRPr="007B2915" w:rsidRDefault="00670C12" w:rsidP="00670C12">
      <w:pPr>
        <w:pStyle w:val="Ttulo2"/>
        <w:numPr>
          <w:ilvl w:val="0"/>
          <w:numId w:val="62"/>
        </w:numPr>
        <w:rPr>
          <w:szCs w:val="20"/>
        </w:rPr>
      </w:pPr>
      <w:bookmarkStart w:id="53" w:name="_Toc346449090"/>
      <w:bookmarkStart w:id="54" w:name="_Toc474398497"/>
      <w:r w:rsidRPr="007B2915">
        <w:rPr>
          <w:szCs w:val="20"/>
        </w:rPr>
        <w:t>C</w:t>
      </w:r>
      <w:r w:rsidR="00D46C86" w:rsidRPr="007B2915">
        <w:rPr>
          <w:szCs w:val="20"/>
        </w:rPr>
        <w:t xml:space="preserve">onsideración </w:t>
      </w:r>
      <w:r w:rsidRPr="007B2915">
        <w:rPr>
          <w:szCs w:val="20"/>
        </w:rPr>
        <w:t>previa</w:t>
      </w:r>
      <w:bookmarkEnd w:id="53"/>
      <w:bookmarkEnd w:id="54"/>
    </w:p>
    <w:p w:rsidR="00670C12" w:rsidRPr="007B2915" w:rsidRDefault="00670C12" w:rsidP="00670C12">
      <w:pPr>
        <w:ind w:left="1440"/>
        <w:rPr>
          <w:rFonts w:ascii="Cambria" w:hAnsi="Cambria"/>
          <w:b/>
          <w:sz w:val="20"/>
          <w:szCs w:val="20"/>
        </w:rPr>
      </w:pPr>
    </w:p>
    <w:p w:rsidR="00322479" w:rsidRPr="007B2915" w:rsidRDefault="00A37B88" w:rsidP="00B579F9">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s-AR"/>
        </w:rPr>
      </w:pPr>
      <w:r w:rsidRPr="007B2915">
        <w:rPr>
          <w:rFonts w:ascii="Cambria" w:hAnsi="Cambria"/>
          <w:color w:val="auto"/>
          <w:sz w:val="20"/>
          <w:szCs w:val="20"/>
          <w:lang w:val="es-AR"/>
        </w:rPr>
        <w:t>La Comisión observa que en sus argumentos el Es</w:t>
      </w:r>
      <w:r w:rsidR="00D46C86" w:rsidRPr="007B2915">
        <w:rPr>
          <w:rFonts w:ascii="Cambria" w:hAnsi="Cambria"/>
          <w:color w:val="auto"/>
          <w:sz w:val="20"/>
          <w:szCs w:val="20"/>
          <w:lang w:val="es-AR"/>
        </w:rPr>
        <w:t>tado peruano hizo referencia a la decisión emitida por el Tribunal Constitucional el 3 de junio de 2005. Al respecto, la Comisión considera pertinente efectuar esta consideración previa a fin de delimitar e</w:t>
      </w:r>
      <w:r w:rsidR="00EB3DC6" w:rsidRPr="007B2915">
        <w:rPr>
          <w:rFonts w:ascii="Cambria" w:hAnsi="Cambria"/>
          <w:color w:val="auto"/>
          <w:sz w:val="20"/>
          <w:szCs w:val="20"/>
          <w:lang w:val="es-AR"/>
        </w:rPr>
        <w:t xml:space="preserve">l objeto del caso bajo estudio y del análisis que se efectuará a continuación. </w:t>
      </w:r>
    </w:p>
    <w:p w:rsidR="00322479" w:rsidRPr="007B2915" w:rsidRDefault="00322479" w:rsidP="00BB6415">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firstLine="0"/>
        <w:jc w:val="both"/>
        <w:rPr>
          <w:rFonts w:ascii="Cambria" w:hAnsi="Cambria"/>
          <w:color w:val="auto"/>
          <w:sz w:val="20"/>
          <w:szCs w:val="20"/>
          <w:lang w:val="es-AR"/>
        </w:rPr>
      </w:pPr>
    </w:p>
    <w:p w:rsidR="00DB3C79" w:rsidRPr="007B2915" w:rsidRDefault="00322479" w:rsidP="00514419">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s-ES"/>
        </w:rPr>
      </w:pPr>
      <w:r w:rsidRPr="007B2915">
        <w:rPr>
          <w:rFonts w:ascii="Cambria" w:hAnsi="Cambria"/>
          <w:color w:val="auto"/>
          <w:sz w:val="20"/>
          <w:szCs w:val="20"/>
          <w:lang w:val="es-ES"/>
        </w:rPr>
        <w:t>La CIDH entiende que la sentencia del Tribunal Constitucional referida por el Estado, se re</w:t>
      </w:r>
      <w:r w:rsidR="005B04E1" w:rsidRPr="007B2915">
        <w:rPr>
          <w:rFonts w:ascii="Cambria" w:hAnsi="Cambria"/>
          <w:color w:val="auto"/>
          <w:sz w:val="20"/>
          <w:szCs w:val="20"/>
          <w:lang w:val="es-ES"/>
        </w:rPr>
        <w:t>laciona con</w:t>
      </w:r>
      <w:r w:rsidRPr="007B2915">
        <w:rPr>
          <w:rFonts w:ascii="Cambria" w:hAnsi="Cambria"/>
          <w:color w:val="auto"/>
          <w:sz w:val="20"/>
          <w:szCs w:val="20"/>
          <w:lang w:val="es-ES"/>
        </w:rPr>
        <w:t xml:space="preserve"> la constitucionalidad de la reforma efectuada desde el año 2004 para </w:t>
      </w:r>
      <w:r w:rsidR="00C61356" w:rsidRPr="007B2915">
        <w:rPr>
          <w:rFonts w:ascii="Cambria" w:hAnsi="Cambria"/>
          <w:color w:val="auto"/>
          <w:sz w:val="20"/>
          <w:szCs w:val="20"/>
          <w:lang w:val="es-ES"/>
        </w:rPr>
        <w:t>eliminar</w:t>
      </w:r>
      <w:r w:rsidRPr="007B2915">
        <w:rPr>
          <w:rFonts w:ascii="Cambria" w:hAnsi="Cambria"/>
          <w:color w:val="auto"/>
          <w:sz w:val="20"/>
          <w:szCs w:val="20"/>
          <w:lang w:val="es-ES"/>
        </w:rPr>
        <w:t xml:space="preserve"> el régimen de nivelación de pensiones previsto en el Decreto Ley 20530. </w:t>
      </w:r>
      <w:r w:rsidR="00DB3C79" w:rsidRPr="007B2915">
        <w:rPr>
          <w:rFonts w:ascii="Cambria" w:hAnsi="Cambria"/>
          <w:color w:val="auto"/>
          <w:sz w:val="20"/>
          <w:szCs w:val="20"/>
          <w:lang w:val="es-ES"/>
        </w:rPr>
        <w:t>Si bien la Comisión Interamericana ya se pronunció sobre dicha reforma y determinó que la misma no violó la Convención Americana</w:t>
      </w:r>
      <w:r w:rsidR="009B251D" w:rsidRPr="007B2915">
        <w:rPr>
          <w:rStyle w:val="Refdenotaalpie"/>
          <w:rFonts w:ascii="Cambria" w:hAnsi="Cambria"/>
          <w:color w:val="auto"/>
          <w:sz w:val="20"/>
          <w:szCs w:val="20"/>
          <w:lang w:val="es-ES"/>
        </w:rPr>
        <w:footnoteReference w:id="73"/>
      </w:r>
      <w:r w:rsidR="00405DC8" w:rsidRPr="007B2915">
        <w:rPr>
          <w:rFonts w:ascii="Cambria" w:hAnsi="Cambria"/>
          <w:color w:val="auto"/>
          <w:sz w:val="20"/>
          <w:szCs w:val="20"/>
          <w:lang w:val="es-ES"/>
        </w:rPr>
        <w:t xml:space="preserve">, </w:t>
      </w:r>
      <w:r w:rsidR="00DB3C79" w:rsidRPr="007B2915">
        <w:rPr>
          <w:rFonts w:ascii="Cambria" w:hAnsi="Cambria"/>
          <w:color w:val="auto"/>
          <w:sz w:val="20"/>
          <w:szCs w:val="20"/>
          <w:lang w:val="es-ES"/>
        </w:rPr>
        <w:t xml:space="preserve">el problema jurídico que plantea el presente caso es distinto </w:t>
      </w:r>
      <w:r w:rsidR="00514419" w:rsidRPr="007B2915">
        <w:rPr>
          <w:rFonts w:ascii="Cambria" w:hAnsi="Cambria"/>
          <w:color w:val="auto"/>
          <w:sz w:val="20"/>
          <w:szCs w:val="20"/>
          <w:lang w:val="es-ES"/>
        </w:rPr>
        <w:t>en tanto</w:t>
      </w:r>
      <w:r w:rsidR="00DB3C79" w:rsidRPr="007B2915">
        <w:rPr>
          <w:rFonts w:ascii="Cambria" w:hAnsi="Cambria"/>
          <w:color w:val="auto"/>
          <w:sz w:val="20"/>
          <w:szCs w:val="20"/>
          <w:lang w:val="es-ES"/>
        </w:rPr>
        <w:t xml:space="preserve"> se relaciona con </w:t>
      </w:r>
      <w:r w:rsidR="00DB3C79" w:rsidRPr="007B2915">
        <w:rPr>
          <w:rFonts w:ascii="Cambria" w:hAnsi="Cambria"/>
          <w:color w:val="auto"/>
          <w:sz w:val="20"/>
          <w:szCs w:val="20"/>
          <w:lang w:val="es-ES"/>
        </w:rPr>
        <w:t xml:space="preserve">el alegado incumplimiento de dos sentencias de amparo que reconocieron </w:t>
      </w:r>
      <w:r w:rsidR="00DB3C79" w:rsidRPr="007B2915">
        <w:rPr>
          <w:rFonts w:ascii="Cambria" w:hAnsi="Cambria"/>
          <w:color w:val="auto"/>
          <w:sz w:val="20"/>
          <w:szCs w:val="20"/>
          <w:lang w:val="es-ES"/>
        </w:rPr>
        <w:t>determinados</w:t>
      </w:r>
      <w:r w:rsidR="00DB3C79" w:rsidRPr="007B2915">
        <w:rPr>
          <w:rFonts w:ascii="Cambria" w:hAnsi="Cambria"/>
          <w:color w:val="auto"/>
          <w:sz w:val="20"/>
          <w:szCs w:val="20"/>
          <w:lang w:val="es-ES"/>
        </w:rPr>
        <w:t xml:space="preserve"> derechos pensionarios a favor del señor Muelle conforme al Decreto Ley 20530. </w:t>
      </w:r>
      <w:r w:rsidR="00F641DA" w:rsidRPr="007B2915">
        <w:rPr>
          <w:rFonts w:ascii="Cambria" w:hAnsi="Cambria"/>
          <w:color w:val="auto"/>
          <w:sz w:val="20"/>
          <w:szCs w:val="20"/>
          <w:lang w:val="es-ES"/>
        </w:rPr>
        <w:t>L</w:t>
      </w:r>
      <w:r w:rsidR="00DB3C79" w:rsidRPr="007B2915">
        <w:rPr>
          <w:rFonts w:ascii="Cambria" w:hAnsi="Cambria"/>
          <w:color w:val="auto"/>
          <w:sz w:val="20"/>
          <w:szCs w:val="20"/>
          <w:lang w:val="es-ES"/>
        </w:rPr>
        <w:t>a Comisión</w:t>
      </w:r>
      <w:r w:rsidR="00F641DA" w:rsidRPr="007B2915">
        <w:rPr>
          <w:rFonts w:ascii="Cambria" w:hAnsi="Cambria"/>
          <w:color w:val="auto"/>
          <w:sz w:val="20"/>
          <w:szCs w:val="20"/>
          <w:lang w:val="es-ES"/>
        </w:rPr>
        <w:t xml:space="preserve"> aclara que </w:t>
      </w:r>
      <w:r w:rsidR="00DB3C79" w:rsidRPr="007B2915">
        <w:rPr>
          <w:rFonts w:ascii="Cambria" w:hAnsi="Cambria"/>
          <w:color w:val="auto"/>
          <w:sz w:val="20"/>
          <w:szCs w:val="20"/>
          <w:lang w:val="es-ES"/>
        </w:rPr>
        <w:t>se encuentra fuera del objeto de este asunto el alcance de dicho decreto, así como las reformas que</w:t>
      </w:r>
      <w:r w:rsidR="00F641DA" w:rsidRPr="007B2915">
        <w:rPr>
          <w:rFonts w:ascii="Cambria" w:hAnsi="Cambria"/>
          <w:color w:val="auto"/>
          <w:sz w:val="20"/>
          <w:szCs w:val="20"/>
          <w:lang w:val="es-ES"/>
        </w:rPr>
        <w:t xml:space="preserve"> modificaron el régimen previsto por el mismo.</w:t>
      </w:r>
    </w:p>
    <w:p w:rsidR="003A6F75" w:rsidRPr="007B2915" w:rsidRDefault="003A6F75" w:rsidP="0012475E">
      <w:pPr>
        <w:rPr>
          <w:rFonts w:ascii="Cambria" w:hAnsi="Cambria"/>
          <w:b/>
          <w:sz w:val="20"/>
          <w:szCs w:val="20"/>
          <w:lang w:val="es-ES"/>
        </w:rPr>
      </w:pPr>
    </w:p>
    <w:p w:rsidR="00670C12" w:rsidRPr="007B2915" w:rsidRDefault="00670C12" w:rsidP="009563AE">
      <w:pPr>
        <w:pStyle w:val="Ttulo2"/>
        <w:numPr>
          <w:ilvl w:val="0"/>
          <w:numId w:val="62"/>
        </w:numPr>
        <w:jc w:val="both"/>
        <w:rPr>
          <w:szCs w:val="20"/>
          <w:lang w:val="es-ES"/>
        </w:rPr>
      </w:pPr>
      <w:bookmarkStart w:id="55" w:name="_Toc346449091"/>
      <w:bookmarkStart w:id="56" w:name="_Toc474398498"/>
      <w:r w:rsidRPr="007B2915">
        <w:rPr>
          <w:szCs w:val="20"/>
          <w:lang w:val="es-ES"/>
        </w:rPr>
        <w:t>Derechos a las garantías judiciales, propiedad privada y protección judicial (artículos 8</w:t>
      </w:r>
      <w:r w:rsidR="0026734D" w:rsidRPr="007B2915">
        <w:rPr>
          <w:szCs w:val="20"/>
          <w:lang w:val="es-ES"/>
        </w:rPr>
        <w:t>.1</w:t>
      </w:r>
      <w:r w:rsidR="0026734D" w:rsidRPr="007B2915">
        <w:rPr>
          <w:rStyle w:val="Refdenotaalpie"/>
          <w:szCs w:val="20"/>
          <w:lang w:val="es-ES"/>
        </w:rPr>
        <w:footnoteReference w:id="74"/>
      </w:r>
      <w:r w:rsidRPr="007B2915">
        <w:rPr>
          <w:szCs w:val="20"/>
          <w:lang w:val="es-ES"/>
        </w:rPr>
        <w:t>, 21</w:t>
      </w:r>
      <w:r w:rsidR="0026734D" w:rsidRPr="007B2915">
        <w:rPr>
          <w:szCs w:val="20"/>
          <w:lang w:val="es-ES"/>
        </w:rPr>
        <w:t>.1</w:t>
      </w:r>
      <w:r w:rsidR="0026734D" w:rsidRPr="007B2915">
        <w:rPr>
          <w:rStyle w:val="Refdenotaalpie"/>
          <w:szCs w:val="20"/>
          <w:lang w:val="es-ES"/>
        </w:rPr>
        <w:footnoteReference w:id="75"/>
      </w:r>
      <w:r w:rsidRPr="007B2915">
        <w:rPr>
          <w:szCs w:val="20"/>
          <w:lang w:val="es-ES"/>
        </w:rPr>
        <w:t xml:space="preserve"> y 25</w:t>
      </w:r>
      <w:r w:rsidR="0026734D" w:rsidRPr="007B2915">
        <w:rPr>
          <w:szCs w:val="20"/>
          <w:lang w:val="es-ES"/>
        </w:rPr>
        <w:t>.2.c)</w:t>
      </w:r>
      <w:r w:rsidR="0026734D" w:rsidRPr="007B2915">
        <w:rPr>
          <w:rStyle w:val="Refdenotaalpie"/>
          <w:szCs w:val="20"/>
          <w:lang w:val="es-ES"/>
        </w:rPr>
        <w:footnoteReference w:id="76"/>
      </w:r>
      <w:r w:rsidRPr="007B2915">
        <w:rPr>
          <w:szCs w:val="20"/>
          <w:lang w:val="es-ES"/>
        </w:rPr>
        <w:t xml:space="preserve"> de la Convención Americana, en relación con el artículo 1.1 del mismo instrumento)</w:t>
      </w:r>
      <w:bookmarkEnd w:id="55"/>
      <w:bookmarkEnd w:id="56"/>
    </w:p>
    <w:p w:rsidR="00FB5552" w:rsidRPr="007B2915" w:rsidRDefault="00FB5552" w:rsidP="00D8343A">
      <w:pPr>
        <w:rPr>
          <w:rFonts w:ascii="Cambria" w:hAnsi="Cambria"/>
          <w:b/>
          <w:sz w:val="20"/>
          <w:szCs w:val="20"/>
          <w:lang w:val="es-ES"/>
        </w:rPr>
      </w:pPr>
    </w:p>
    <w:p w:rsidR="00C75BEB" w:rsidRPr="007B2915" w:rsidRDefault="009563AE" w:rsidP="009563AE">
      <w:pPr>
        <w:pStyle w:val="Ttulo3"/>
        <w:ind w:left="1440" w:hanging="720"/>
        <w:jc w:val="both"/>
      </w:pPr>
      <w:bookmarkStart w:id="57" w:name="_Toc346449092"/>
      <w:bookmarkStart w:id="58" w:name="_Toc474398499"/>
      <w:r w:rsidRPr="007B2915">
        <w:t xml:space="preserve">1. </w:t>
      </w:r>
      <w:r w:rsidRPr="007B2915">
        <w:tab/>
      </w:r>
      <w:r w:rsidR="00C121EE" w:rsidRPr="007B2915">
        <w:t>Consideraciones generales sobre la t</w:t>
      </w:r>
      <w:r w:rsidR="00C75BEB" w:rsidRPr="007B2915">
        <w:t xml:space="preserve">utela judicial efectiva </w:t>
      </w:r>
      <w:r w:rsidR="00C121EE" w:rsidRPr="007B2915">
        <w:t xml:space="preserve">y el cumplimiento de los fallos </w:t>
      </w:r>
      <w:r w:rsidR="00C75BEB" w:rsidRPr="007B2915">
        <w:t>internos</w:t>
      </w:r>
      <w:bookmarkEnd w:id="57"/>
      <w:bookmarkEnd w:id="58"/>
    </w:p>
    <w:p w:rsidR="00C75BEB" w:rsidRPr="007B2915" w:rsidRDefault="00C75BEB" w:rsidP="00D8343A">
      <w:pPr>
        <w:rPr>
          <w:rFonts w:ascii="Cambria" w:hAnsi="Cambria"/>
          <w:b/>
          <w:sz w:val="20"/>
          <w:szCs w:val="20"/>
          <w:lang w:val="es-ES"/>
        </w:rPr>
      </w:pPr>
    </w:p>
    <w:p w:rsidR="005035AE" w:rsidRPr="007B2915" w:rsidRDefault="005035AE" w:rsidP="00DF4763">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B2915">
        <w:rPr>
          <w:rFonts w:ascii="Cambria" w:hAnsi="Cambria"/>
          <w:sz w:val="20"/>
          <w:szCs w:val="20"/>
          <w:lang w:val="es-ES"/>
        </w:rPr>
        <w:t xml:space="preserve">La Corte Interamericana </w:t>
      </w:r>
      <w:r w:rsidR="00C41FBB" w:rsidRPr="007B2915">
        <w:rPr>
          <w:rFonts w:ascii="Cambria" w:hAnsi="Cambria"/>
          <w:sz w:val="20"/>
          <w:szCs w:val="20"/>
          <w:lang w:val="es-ES"/>
        </w:rPr>
        <w:t xml:space="preserve">ha señalado que </w:t>
      </w:r>
      <w:r w:rsidRPr="007B2915">
        <w:rPr>
          <w:rFonts w:ascii="Cambria" w:hAnsi="Cambria"/>
          <w:sz w:val="20"/>
          <w:szCs w:val="20"/>
          <w:lang w:val="es-ES"/>
        </w:rPr>
        <w:t>uno de los componentes del derecho a la protección judicial, establecido en el artículo 25 de la Convención Americana, es que los Estados “garanti</w:t>
      </w:r>
      <w:r w:rsidRPr="007B2915">
        <w:rPr>
          <w:rFonts w:ascii="Cambria" w:hAnsi="Cambria" w:cs="Arial"/>
          <w:sz w:val="20"/>
          <w:szCs w:val="20"/>
          <w:lang w:val="es-ES"/>
        </w:rPr>
        <w:t>[cen]</w:t>
      </w:r>
      <w:r w:rsidRPr="007B2915">
        <w:rPr>
          <w:rFonts w:ascii="Cambria" w:hAnsi="Cambria"/>
          <w:sz w:val="20"/>
          <w:szCs w:val="20"/>
          <w:lang w:val="es-ES"/>
        </w:rPr>
        <w:t xml:space="preserve"> los medios para ejecutar las respectivas decisiones y sentencias definitivas emitidas por (…) autoridades competentes</w:t>
      </w:r>
      <w:r w:rsidRPr="007B2915">
        <w:rPr>
          <w:rFonts w:ascii="Cambria" w:hAnsi="Cambria"/>
          <w:sz w:val="20"/>
          <w:szCs w:val="20"/>
          <w:vertAlign w:val="superscript"/>
          <w:lang w:val="es-ES"/>
        </w:rPr>
        <w:footnoteReference w:id="77"/>
      </w:r>
      <w:r w:rsidRPr="007B2915">
        <w:rPr>
          <w:rFonts w:ascii="Cambria" w:hAnsi="Cambria"/>
          <w:sz w:val="20"/>
          <w:szCs w:val="20"/>
          <w:lang w:val="es-ES"/>
        </w:rPr>
        <w:t xml:space="preserve">”. Ello a efectos de que se protejan efectivamente los derechos declarados o reconocidos frente a actos que violen </w:t>
      </w:r>
      <w:r w:rsidR="000E221F" w:rsidRPr="007B2915">
        <w:rPr>
          <w:rFonts w:ascii="Cambria" w:hAnsi="Cambria"/>
          <w:sz w:val="20"/>
          <w:szCs w:val="20"/>
          <w:lang w:val="es-ES"/>
        </w:rPr>
        <w:t xml:space="preserve">los </w:t>
      </w:r>
      <w:r w:rsidRPr="007B2915">
        <w:rPr>
          <w:rFonts w:ascii="Cambria" w:hAnsi="Cambria"/>
          <w:sz w:val="20"/>
          <w:szCs w:val="20"/>
          <w:lang w:val="es-ES"/>
        </w:rPr>
        <w:t>derechos fundamentales</w:t>
      </w:r>
      <w:r w:rsidRPr="007B2915">
        <w:rPr>
          <w:rStyle w:val="Refdenotaalpie"/>
          <w:rFonts w:ascii="Cambria" w:hAnsi="Cambria"/>
          <w:sz w:val="20"/>
          <w:szCs w:val="20"/>
          <w:lang w:val="es-ES"/>
        </w:rPr>
        <w:footnoteReference w:id="78"/>
      </w:r>
      <w:r w:rsidRPr="007B2915">
        <w:rPr>
          <w:rFonts w:ascii="Cambria" w:hAnsi="Cambria"/>
          <w:sz w:val="20"/>
          <w:szCs w:val="20"/>
          <w:lang w:val="es-ES"/>
        </w:rPr>
        <w:t>.</w:t>
      </w:r>
      <w:r w:rsidR="00DF4763" w:rsidRPr="007B2915">
        <w:rPr>
          <w:rFonts w:ascii="Cambria" w:hAnsi="Cambria"/>
          <w:sz w:val="20"/>
          <w:szCs w:val="20"/>
          <w:lang w:val="es-ES"/>
        </w:rPr>
        <w:t xml:space="preserve"> </w:t>
      </w:r>
      <w:r w:rsidRPr="007B2915">
        <w:rPr>
          <w:rFonts w:ascii="Cambria" w:hAnsi="Cambria"/>
          <w:sz w:val="20"/>
          <w:szCs w:val="20"/>
          <w:lang w:val="es-ES"/>
        </w:rPr>
        <w:t xml:space="preserve">Por su parte, la CIDH ha sostenido que </w:t>
      </w:r>
      <w:r w:rsidR="00DF4763" w:rsidRPr="007B2915">
        <w:rPr>
          <w:rFonts w:ascii="Cambria" w:hAnsi="Cambria"/>
          <w:sz w:val="20"/>
          <w:szCs w:val="20"/>
          <w:lang w:val="es-ES"/>
        </w:rPr>
        <w:t>“para que el Poder Judicial pueda servir de manera efectiva como órgano de control, garantía y protección de los derechos humanos, no sólo se requiere que éste exista de manera formal, sino que además sea independiente, imparcial y que sus sentencias sean cumplidas”</w:t>
      </w:r>
      <w:r w:rsidR="00DF4763" w:rsidRPr="007B2915">
        <w:rPr>
          <w:rStyle w:val="Refdenotaalpie"/>
          <w:rFonts w:ascii="Cambria" w:hAnsi="Cambria"/>
          <w:sz w:val="20"/>
          <w:szCs w:val="20"/>
          <w:lang w:val="es-ES"/>
        </w:rPr>
        <w:footnoteReference w:id="79"/>
      </w:r>
      <w:r w:rsidR="00DF4763" w:rsidRPr="007B2915">
        <w:rPr>
          <w:rFonts w:ascii="Cambria" w:hAnsi="Cambria"/>
          <w:sz w:val="20"/>
          <w:szCs w:val="20"/>
          <w:lang w:val="es-ES"/>
        </w:rPr>
        <w:t>.</w:t>
      </w:r>
    </w:p>
    <w:p w:rsidR="00DF4763" w:rsidRPr="007B2915" w:rsidRDefault="00DF4763" w:rsidP="00DF476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p>
    <w:p w:rsidR="00984EAC" w:rsidRPr="007B2915" w:rsidRDefault="00DF4763" w:rsidP="00286DB9">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B2915">
        <w:rPr>
          <w:rFonts w:ascii="Cambria" w:hAnsi="Cambria"/>
          <w:sz w:val="20"/>
          <w:szCs w:val="20"/>
          <w:lang w:val="es-ES"/>
        </w:rPr>
        <w:t xml:space="preserve">En ese sentido, </w:t>
      </w:r>
      <w:r w:rsidR="00C41FBB" w:rsidRPr="007B2915">
        <w:rPr>
          <w:rFonts w:ascii="Cambria" w:hAnsi="Cambria"/>
          <w:sz w:val="20"/>
          <w:szCs w:val="20"/>
          <w:lang w:val="es-ES"/>
        </w:rPr>
        <w:t>la efectividad de las sentencias depende de su ejecución</w:t>
      </w:r>
      <w:r w:rsidRPr="007B2915">
        <w:rPr>
          <w:rStyle w:val="Refdenotaalpie"/>
          <w:rFonts w:ascii="Cambria" w:hAnsi="Cambria"/>
          <w:sz w:val="20"/>
          <w:szCs w:val="20"/>
          <w:lang w:val="es-ES"/>
        </w:rPr>
        <w:footnoteReference w:id="80"/>
      </w:r>
      <w:r w:rsidR="00C41FBB" w:rsidRPr="007B2915">
        <w:rPr>
          <w:rFonts w:ascii="Cambria" w:hAnsi="Cambria"/>
          <w:sz w:val="20"/>
          <w:szCs w:val="20"/>
          <w:lang w:val="es-ES"/>
        </w:rPr>
        <w:t>.</w:t>
      </w:r>
      <w:r w:rsidRPr="007B2915">
        <w:rPr>
          <w:rFonts w:ascii="Cambria" w:hAnsi="Cambria"/>
          <w:sz w:val="20"/>
          <w:szCs w:val="20"/>
          <w:lang w:val="es-ES"/>
        </w:rPr>
        <w:t xml:space="preserve"> Lo contrario supone la negación misma del derecho involucrado</w:t>
      </w:r>
      <w:r w:rsidRPr="007B2915">
        <w:rPr>
          <w:rFonts w:ascii="Cambria" w:hAnsi="Cambria"/>
          <w:sz w:val="20"/>
          <w:szCs w:val="20"/>
          <w:vertAlign w:val="superscript"/>
          <w:lang w:val="es-ES"/>
        </w:rPr>
        <w:footnoteReference w:id="81"/>
      </w:r>
      <w:r w:rsidRPr="007B2915">
        <w:rPr>
          <w:rFonts w:ascii="Cambria" w:hAnsi="Cambria"/>
          <w:sz w:val="20"/>
          <w:szCs w:val="20"/>
          <w:lang w:val="es-ES"/>
        </w:rPr>
        <w:t>.</w:t>
      </w:r>
      <w:r w:rsidR="002035D4" w:rsidRPr="007B2915">
        <w:rPr>
          <w:rFonts w:ascii="Cambria" w:hAnsi="Cambria"/>
          <w:sz w:val="20"/>
          <w:szCs w:val="20"/>
          <w:lang w:val="es-ES"/>
        </w:rPr>
        <w:t xml:space="preserve"> La CIDH ha sostenido que las decisiones judiciales deben ser cumplidas, ya sea de forma voluntaria o de manera coercitiva de ser necesario</w:t>
      </w:r>
      <w:r w:rsidR="002035D4" w:rsidRPr="007B2915">
        <w:rPr>
          <w:rStyle w:val="Refdenotaalpie"/>
          <w:rFonts w:ascii="Cambria" w:hAnsi="Cambria"/>
          <w:sz w:val="20"/>
          <w:szCs w:val="20"/>
          <w:lang w:val="es-ES"/>
        </w:rPr>
        <w:footnoteReference w:id="82"/>
      </w:r>
      <w:r w:rsidR="002035D4" w:rsidRPr="007B2915">
        <w:rPr>
          <w:rFonts w:ascii="Cambria" w:hAnsi="Cambria"/>
          <w:sz w:val="20"/>
          <w:szCs w:val="20"/>
          <w:lang w:val="es-ES"/>
        </w:rPr>
        <w:t xml:space="preserve">. Asimismo, la Corte ha resaltado que la ejecución de las sentencias debe ser regida por aquellos estándares específicos que </w:t>
      </w:r>
      <w:r w:rsidR="002035D4" w:rsidRPr="007B2915">
        <w:rPr>
          <w:rFonts w:ascii="Cambria" w:hAnsi="Cambria"/>
          <w:sz w:val="20"/>
          <w:szCs w:val="20"/>
          <w:lang w:val="es-ES"/>
        </w:rPr>
        <w:lastRenderedPageBreak/>
        <w:t xml:space="preserve">permitan hacer efectivos los principios, </w:t>
      </w:r>
      <w:r w:rsidR="002035D4" w:rsidRPr="007B2915">
        <w:rPr>
          <w:rFonts w:ascii="Cambria" w:hAnsi="Cambria"/>
          <w:i/>
          <w:iCs/>
          <w:sz w:val="20"/>
          <w:szCs w:val="20"/>
          <w:lang w:val="es-ES"/>
        </w:rPr>
        <w:t>inter alia,</w:t>
      </w:r>
      <w:r w:rsidR="002035D4" w:rsidRPr="007B2915">
        <w:rPr>
          <w:rFonts w:ascii="Cambria" w:hAnsi="Cambria"/>
          <w:sz w:val="20"/>
          <w:szCs w:val="20"/>
          <w:lang w:val="es-ES"/>
        </w:rPr>
        <w:t xml:space="preserve"> de tutela judicial, debido proceso, seguridad jurídica, independencia judicial y estado de derecho</w:t>
      </w:r>
      <w:r w:rsidR="002035D4" w:rsidRPr="007B2915">
        <w:rPr>
          <w:rStyle w:val="Refdenotaalpie"/>
          <w:rFonts w:ascii="Cambria" w:hAnsi="Cambria"/>
          <w:sz w:val="20"/>
          <w:szCs w:val="20"/>
          <w:lang w:val="es-ES"/>
        </w:rPr>
        <w:footnoteReference w:id="83"/>
      </w:r>
      <w:r w:rsidR="002035D4" w:rsidRPr="007B2915">
        <w:rPr>
          <w:rFonts w:ascii="Cambria" w:hAnsi="Cambria"/>
          <w:sz w:val="20"/>
          <w:szCs w:val="20"/>
          <w:lang w:val="es-ES"/>
        </w:rPr>
        <w:t>.</w:t>
      </w:r>
      <w:r w:rsidR="00286DB9" w:rsidRPr="007B2915">
        <w:rPr>
          <w:rFonts w:ascii="Cambria" w:hAnsi="Cambria"/>
          <w:sz w:val="20"/>
          <w:szCs w:val="20"/>
          <w:lang w:val="es-ES"/>
        </w:rPr>
        <w:t xml:space="preserve"> </w:t>
      </w:r>
      <w:r w:rsidR="00984EAC" w:rsidRPr="007B2915">
        <w:rPr>
          <w:rFonts w:ascii="Cambria" w:hAnsi="Cambria"/>
          <w:sz w:val="20"/>
          <w:szCs w:val="20"/>
          <w:lang w:val="es-ES"/>
        </w:rPr>
        <w:t>En ese sentido, el principio de tutela judicial efectiva requiere que los procedimientos de ejecución sean accesibles para las partes, sin obstáculos o demoras indebidas, a fin de que alcancen su objetivo de manera rápida, sencilla e integral</w:t>
      </w:r>
      <w:r w:rsidR="00984EAC" w:rsidRPr="007B2915">
        <w:rPr>
          <w:rFonts w:ascii="Cambria" w:hAnsi="Cambria"/>
          <w:sz w:val="20"/>
          <w:szCs w:val="20"/>
          <w:vertAlign w:val="superscript"/>
          <w:lang w:val="es-ES"/>
        </w:rPr>
        <w:footnoteReference w:id="84"/>
      </w:r>
      <w:r w:rsidR="00984EAC" w:rsidRPr="007B2915">
        <w:rPr>
          <w:rFonts w:ascii="Cambria" w:hAnsi="Cambria"/>
          <w:sz w:val="20"/>
          <w:szCs w:val="20"/>
          <w:lang w:val="es-ES"/>
        </w:rPr>
        <w:t xml:space="preserve">. </w:t>
      </w:r>
    </w:p>
    <w:p w:rsidR="00984EAC" w:rsidRPr="007B2915" w:rsidRDefault="00984EAC" w:rsidP="00984EAC">
      <w:pPr>
        <w:pStyle w:val="Listavistosa-nfasis1"/>
        <w:rPr>
          <w:rFonts w:ascii="Cambria" w:hAnsi="Cambria"/>
          <w:sz w:val="20"/>
          <w:szCs w:val="20"/>
          <w:lang w:val="es-ES"/>
        </w:rPr>
      </w:pPr>
    </w:p>
    <w:p w:rsidR="002035D4" w:rsidRPr="007B2915" w:rsidRDefault="00984EAC" w:rsidP="00286DB9">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B2915">
        <w:rPr>
          <w:rFonts w:ascii="Cambria" w:hAnsi="Cambria"/>
          <w:sz w:val="20"/>
          <w:szCs w:val="20"/>
          <w:lang w:val="es-ES"/>
        </w:rPr>
        <w:t xml:space="preserve">Por su parte, </w:t>
      </w:r>
      <w:r w:rsidR="002035D4" w:rsidRPr="007B2915">
        <w:rPr>
          <w:rFonts w:ascii="Cambria" w:hAnsi="Cambria"/>
          <w:sz w:val="20"/>
          <w:szCs w:val="20"/>
          <w:lang w:val="es-ES"/>
        </w:rPr>
        <w:t xml:space="preserve">la Corte Europea de Derechos Humanos ha sostenido que </w:t>
      </w:r>
      <w:r w:rsidR="00286DB9" w:rsidRPr="007B2915">
        <w:rPr>
          <w:rFonts w:ascii="Cambria" w:hAnsi="Cambria"/>
          <w:sz w:val="20"/>
          <w:szCs w:val="20"/>
          <w:lang w:val="es-ES"/>
        </w:rPr>
        <w:t>para lograr plenamente la efectividad de la sentencia la ejecución debe ser completa, perfecta, integral</w:t>
      </w:r>
      <w:r w:rsidR="00AA0CCE" w:rsidRPr="007B2915">
        <w:rPr>
          <w:rStyle w:val="Refdenotaalpie"/>
          <w:rFonts w:ascii="Cambria" w:hAnsi="Cambria"/>
          <w:sz w:val="20"/>
          <w:szCs w:val="20"/>
          <w:lang w:val="es-ES"/>
        </w:rPr>
        <w:footnoteReference w:id="85"/>
      </w:r>
      <w:r w:rsidR="00286DB9" w:rsidRPr="007B2915">
        <w:rPr>
          <w:rFonts w:ascii="Cambria" w:hAnsi="Cambria"/>
          <w:sz w:val="20"/>
          <w:szCs w:val="20"/>
          <w:lang w:val="es-ES"/>
        </w:rPr>
        <w:t xml:space="preserve"> y sin demora</w:t>
      </w:r>
      <w:r w:rsidR="00286DB9" w:rsidRPr="007B2915">
        <w:rPr>
          <w:rStyle w:val="Refdenotaalpie"/>
          <w:rFonts w:ascii="Cambria" w:hAnsi="Cambria"/>
          <w:sz w:val="20"/>
          <w:szCs w:val="20"/>
          <w:lang w:val="es-ES"/>
        </w:rPr>
        <w:footnoteReference w:id="86"/>
      </w:r>
      <w:r w:rsidR="00286DB9" w:rsidRPr="007B2915">
        <w:rPr>
          <w:rFonts w:ascii="Cambria" w:hAnsi="Cambria"/>
          <w:sz w:val="20"/>
          <w:szCs w:val="20"/>
          <w:lang w:val="es-ES"/>
        </w:rPr>
        <w:t>.</w:t>
      </w:r>
      <w:r w:rsidRPr="007B2915">
        <w:rPr>
          <w:rFonts w:ascii="Cambria" w:hAnsi="Cambria"/>
          <w:sz w:val="20"/>
          <w:szCs w:val="20"/>
          <w:lang w:val="es-ES"/>
        </w:rPr>
        <w:t xml:space="preserve"> Es por ello que las disposiciones que rigen la independencia del orden jurisdiccional deben estar formuladas de manera idónea para asegurar la puntual ejecución de las sentencias sin que exista interferencia por los otros poderes del Estado y garantizar el carácter vinculante y obligatorio de las decisiones de última instancia</w:t>
      </w:r>
      <w:r w:rsidR="00AA5BEE" w:rsidRPr="007B2915">
        <w:rPr>
          <w:rFonts w:ascii="Cambria" w:hAnsi="Cambria"/>
          <w:sz w:val="20"/>
          <w:szCs w:val="20"/>
          <w:vertAlign w:val="superscript"/>
          <w:lang w:val="es-ES"/>
        </w:rPr>
        <w:footnoteReference w:id="87"/>
      </w:r>
      <w:r w:rsidRPr="007B2915">
        <w:rPr>
          <w:rFonts w:ascii="Cambria" w:hAnsi="Cambria"/>
          <w:sz w:val="20"/>
          <w:szCs w:val="20"/>
          <w:lang w:val="es-ES"/>
        </w:rPr>
        <w:t>.</w:t>
      </w:r>
    </w:p>
    <w:p w:rsidR="00C41FBB" w:rsidRPr="007B2915" w:rsidRDefault="00C41FBB" w:rsidP="00C41FBB">
      <w:pPr>
        <w:jc w:val="both"/>
        <w:rPr>
          <w:rFonts w:ascii="Cambria" w:hAnsi="Cambria"/>
          <w:sz w:val="20"/>
          <w:szCs w:val="20"/>
          <w:lang w:val="es-ES"/>
        </w:rPr>
      </w:pPr>
    </w:p>
    <w:p w:rsidR="00C41FBB" w:rsidRPr="007B2915" w:rsidRDefault="00C41FBB" w:rsidP="00C41FBB">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B2915">
        <w:rPr>
          <w:rFonts w:ascii="Cambria" w:hAnsi="Cambria"/>
          <w:sz w:val="20"/>
          <w:szCs w:val="20"/>
          <w:lang w:val="es-ES"/>
        </w:rPr>
        <w:t xml:space="preserve">La Corte </w:t>
      </w:r>
      <w:r w:rsidR="003A7B1E" w:rsidRPr="007B2915">
        <w:rPr>
          <w:rFonts w:ascii="Cambria" w:hAnsi="Cambria"/>
          <w:sz w:val="20"/>
          <w:szCs w:val="20"/>
          <w:lang w:val="es-ES"/>
        </w:rPr>
        <w:t>Interamericana ha sostenido</w:t>
      </w:r>
      <w:r w:rsidRPr="007B2915">
        <w:rPr>
          <w:rFonts w:ascii="Cambria" w:hAnsi="Cambria"/>
          <w:sz w:val="20"/>
          <w:szCs w:val="20"/>
          <w:lang w:val="es-ES"/>
        </w:rPr>
        <w:t xml:space="preserve"> que en un ordenamiento basado sobre el principio del Estado de Derecho todas las autoridades públicas, dentro del marco de su competencia, deben atender las decisiones judiciales, así como dar impulso y ejecución a las mismas sin obstaculizar el sentido y alcance de la decisión ni retrasar indebidamente su ejecución</w:t>
      </w:r>
      <w:r w:rsidRPr="007B2915">
        <w:rPr>
          <w:rFonts w:ascii="Cambria" w:hAnsi="Cambria"/>
          <w:sz w:val="20"/>
          <w:szCs w:val="20"/>
          <w:vertAlign w:val="superscript"/>
          <w:lang w:val="es-ES"/>
        </w:rPr>
        <w:footnoteReference w:id="88"/>
      </w:r>
      <w:r w:rsidRPr="007B2915">
        <w:rPr>
          <w:rFonts w:ascii="Cambria" w:hAnsi="Cambria"/>
          <w:sz w:val="20"/>
          <w:szCs w:val="20"/>
          <w:lang w:val="es-ES"/>
        </w:rPr>
        <w:t>.</w:t>
      </w:r>
      <w:r w:rsidR="00C45F94" w:rsidRPr="007B2915">
        <w:rPr>
          <w:rFonts w:ascii="Cambria" w:hAnsi="Cambria"/>
          <w:sz w:val="20"/>
          <w:szCs w:val="20"/>
          <w:lang w:val="es-ES"/>
        </w:rPr>
        <w:t xml:space="preserve"> En el mismo, sentido, la CIDH resal</w:t>
      </w:r>
      <w:r w:rsidR="004B376C" w:rsidRPr="007B2915">
        <w:rPr>
          <w:rFonts w:ascii="Cambria" w:hAnsi="Cambria"/>
          <w:sz w:val="20"/>
          <w:szCs w:val="20"/>
          <w:lang w:val="es-ES"/>
        </w:rPr>
        <w:t>t</w:t>
      </w:r>
      <w:r w:rsidR="00C45F94" w:rsidRPr="007B2915">
        <w:rPr>
          <w:rFonts w:ascii="Cambria" w:hAnsi="Cambria"/>
          <w:sz w:val="20"/>
          <w:szCs w:val="20"/>
          <w:lang w:val="es-ES"/>
        </w:rPr>
        <w:t>ó que “lograr la ejecución de las sentencias judiciales constituye así un aspecto fundamental a la esencia misma del Estado de derecho”</w:t>
      </w:r>
      <w:r w:rsidR="00C45F94" w:rsidRPr="007B2915">
        <w:rPr>
          <w:rStyle w:val="Refdenotaalpie"/>
          <w:rFonts w:ascii="Cambria" w:hAnsi="Cambria"/>
          <w:sz w:val="20"/>
          <w:szCs w:val="20"/>
          <w:lang w:val="es-ES"/>
        </w:rPr>
        <w:footnoteReference w:id="89"/>
      </w:r>
      <w:r w:rsidR="00C45F94" w:rsidRPr="007B2915">
        <w:rPr>
          <w:rFonts w:ascii="Cambria" w:hAnsi="Cambria"/>
          <w:sz w:val="20"/>
          <w:szCs w:val="20"/>
          <w:lang w:val="es-ES"/>
        </w:rPr>
        <w:t>.</w:t>
      </w:r>
    </w:p>
    <w:p w:rsidR="00C45F94" w:rsidRPr="007B2915" w:rsidRDefault="00C45F94" w:rsidP="00ED4C96">
      <w:pPr>
        <w:pStyle w:val="Listavistosa-nfasis1"/>
        <w:ind w:left="0"/>
        <w:rPr>
          <w:rFonts w:ascii="Cambria" w:hAnsi="Cambria"/>
          <w:sz w:val="20"/>
          <w:szCs w:val="20"/>
          <w:lang w:val="es-ES"/>
        </w:rPr>
      </w:pPr>
    </w:p>
    <w:p w:rsidR="002A52A4" w:rsidRPr="007B2915" w:rsidRDefault="002A52A4" w:rsidP="009563AE">
      <w:pPr>
        <w:pStyle w:val="Ttulo3"/>
      </w:pPr>
      <w:bookmarkStart w:id="59" w:name="_Toc346449093"/>
      <w:bookmarkStart w:id="60" w:name="_Toc474398500"/>
      <w:r w:rsidRPr="007B2915">
        <w:t>2.</w:t>
      </w:r>
      <w:r w:rsidRPr="007B2915">
        <w:tab/>
        <w:t>Información sobre la problemática de incumplimiento de fallos internos en Perú</w:t>
      </w:r>
      <w:bookmarkEnd w:id="59"/>
      <w:bookmarkEnd w:id="60"/>
    </w:p>
    <w:p w:rsidR="002A52A4" w:rsidRPr="007B2915" w:rsidRDefault="002A52A4" w:rsidP="00ED4C96">
      <w:pPr>
        <w:pStyle w:val="Listavistosa-nfasis1"/>
        <w:ind w:left="0"/>
        <w:rPr>
          <w:rFonts w:ascii="Cambria" w:hAnsi="Cambria"/>
          <w:sz w:val="20"/>
          <w:szCs w:val="20"/>
          <w:lang w:val="es-ES"/>
        </w:rPr>
      </w:pPr>
    </w:p>
    <w:p w:rsidR="00AC37A5" w:rsidRPr="007B2915" w:rsidRDefault="00B3255A" w:rsidP="00AC37A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B2915">
        <w:rPr>
          <w:rFonts w:ascii="Cambria" w:hAnsi="Cambria"/>
          <w:sz w:val="20"/>
          <w:szCs w:val="20"/>
          <w:lang w:val="es-ES"/>
        </w:rPr>
        <w:t>L</w:t>
      </w:r>
      <w:r w:rsidR="00AC37A5" w:rsidRPr="007B2915">
        <w:rPr>
          <w:rFonts w:ascii="Cambria" w:hAnsi="Cambria"/>
          <w:sz w:val="20"/>
          <w:szCs w:val="20"/>
          <w:lang w:val="es-ES"/>
        </w:rPr>
        <w:t>a CIDH toma nota de que el incumplimiento de las sentencias por parte del Estado peruano en contra de entidades estatales desde la década de 1990</w:t>
      </w:r>
      <w:r w:rsidR="008B39DE" w:rsidRPr="007B2915">
        <w:rPr>
          <w:rFonts w:ascii="Cambria" w:hAnsi="Cambria"/>
          <w:sz w:val="20"/>
          <w:szCs w:val="20"/>
          <w:lang w:val="es-ES"/>
        </w:rPr>
        <w:t xml:space="preserve"> trasciende a la situación individual del señor Muelle y </w:t>
      </w:r>
      <w:r w:rsidR="008C6F79" w:rsidRPr="007B2915">
        <w:rPr>
          <w:rFonts w:ascii="Cambria" w:hAnsi="Cambria"/>
          <w:sz w:val="20"/>
          <w:szCs w:val="20"/>
          <w:lang w:val="es-ES"/>
        </w:rPr>
        <w:t xml:space="preserve">hace parte de un contexto más general. </w:t>
      </w:r>
    </w:p>
    <w:p w:rsidR="00AC37A5" w:rsidRPr="007B2915" w:rsidRDefault="00AC37A5" w:rsidP="00AC37A5">
      <w:pPr>
        <w:pStyle w:val="Listavistosa-nfasis1"/>
        <w:rPr>
          <w:rFonts w:ascii="Cambria" w:hAnsi="Cambria"/>
          <w:sz w:val="20"/>
          <w:szCs w:val="20"/>
          <w:lang w:val="es-ES"/>
        </w:rPr>
      </w:pPr>
    </w:p>
    <w:p w:rsidR="00AC37A5" w:rsidRPr="007B2915" w:rsidRDefault="00327D59" w:rsidP="00AC37A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B2915">
        <w:rPr>
          <w:rFonts w:ascii="Cambria" w:hAnsi="Cambria"/>
          <w:sz w:val="20"/>
          <w:szCs w:val="20"/>
          <w:lang w:val="es-ES"/>
        </w:rPr>
        <w:t>Así, l</w:t>
      </w:r>
      <w:r w:rsidR="00AC37A5" w:rsidRPr="007B2915">
        <w:rPr>
          <w:rFonts w:ascii="Cambria" w:hAnsi="Cambria"/>
          <w:sz w:val="20"/>
          <w:szCs w:val="20"/>
          <w:lang w:val="es-ES"/>
        </w:rPr>
        <w:t>a Corte Interamericana ya se pronunció en dos casos sobre la falta de cumplimiento de sentencias en Perú a efectos de nivelar las pensiones de ex-trabajadores públicos conforme al Decreto Ley 20530 en la década de 1990</w:t>
      </w:r>
      <w:r w:rsidR="00AC37A5" w:rsidRPr="007B2915">
        <w:rPr>
          <w:rStyle w:val="Refdenotaalpie"/>
          <w:rFonts w:ascii="Cambria" w:hAnsi="Cambria"/>
          <w:sz w:val="20"/>
          <w:szCs w:val="20"/>
          <w:lang w:val="es-ES"/>
        </w:rPr>
        <w:footnoteReference w:id="90"/>
      </w:r>
      <w:r w:rsidR="00AC37A5" w:rsidRPr="007B2915">
        <w:rPr>
          <w:rFonts w:ascii="Cambria" w:hAnsi="Cambria"/>
          <w:sz w:val="20"/>
          <w:szCs w:val="20"/>
          <w:lang w:val="es-ES"/>
        </w:rPr>
        <w:t>. En las dos sentencias emitidas por la Corte se indicó que los fallos judiciales que restablecían determinados beneficios laborales y de pensiones a las víctimas no fueron ejecutados.</w:t>
      </w:r>
    </w:p>
    <w:p w:rsidR="00AC37A5" w:rsidRPr="007B2915" w:rsidRDefault="00AC37A5" w:rsidP="00AC37A5">
      <w:pPr>
        <w:pStyle w:val="Listavistosa-nfasis1"/>
        <w:rPr>
          <w:rFonts w:ascii="Cambria" w:hAnsi="Cambria"/>
          <w:sz w:val="20"/>
          <w:szCs w:val="20"/>
          <w:lang w:val="es-ES"/>
        </w:rPr>
      </w:pPr>
    </w:p>
    <w:p w:rsidR="00AC37A5" w:rsidRPr="007B2915" w:rsidRDefault="00AC37A5" w:rsidP="00AC37A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B2915">
        <w:rPr>
          <w:rFonts w:ascii="Cambria" w:hAnsi="Cambria"/>
          <w:sz w:val="20"/>
          <w:szCs w:val="20"/>
          <w:lang w:val="es-ES"/>
        </w:rPr>
        <w:t xml:space="preserve">Por su parte, </w:t>
      </w:r>
      <w:r w:rsidR="00E75570" w:rsidRPr="007B2915">
        <w:rPr>
          <w:rFonts w:ascii="Cambria" w:hAnsi="Cambria"/>
          <w:sz w:val="20"/>
          <w:szCs w:val="20"/>
          <w:lang w:val="es-ES"/>
        </w:rPr>
        <w:t xml:space="preserve">en el marco de uno de dichos casos, </w:t>
      </w:r>
      <w:r w:rsidRPr="007B2915">
        <w:rPr>
          <w:rFonts w:ascii="Cambria" w:hAnsi="Cambria"/>
          <w:sz w:val="20"/>
          <w:szCs w:val="20"/>
          <w:lang w:val="es-ES"/>
        </w:rPr>
        <w:t>la CIDH ha sostenido que el incumplimiento de sentencias por parte del Estado peruano “desdibuja la práctica y el sentido de la administración de justicia y resta confianza a los asociados en los pronunciamientos de los jueces”</w:t>
      </w:r>
      <w:r w:rsidRPr="007B2915">
        <w:rPr>
          <w:rStyle w:val="Refdenotaalpie"/>
          <w:rFonts w:ascii="Cambria" w:hAnsi="Cambria"/>
          <w:sz w:val="20"/>
          <w:szCs w:val="20"/>
          <w:lang w:val="es-ES"/>
        </w:rPr>
        <w:t xml:space="preserve"> </w:t>
      </w:r>
      <w:r w:rsidRPr="007B2915">
        <w:rPr>
          <w:rStyle w:val="Refdenotaalpie"/>
          <w:rFonts w:ascii="Cambria" w:hAnsi="Cambria"/>
          <w:sz w:val="20"/>
          <w:szCs w:val="20"/>
          <w:lang w:val="es-ES"/>
        </w:rPr>
        <w:footnoteReference w:id="91"/>
      </w:r>
      <w:r w:rsidRPr="007B2915">
        <w:rPr>
          <w:rFonts w:ascii="Cambria" w:hAnsi="Cambria"/>
          <w:sz w:val="20"/>
          <w:szCs w:val="20"/>
          <w:lang w:val="es-ES"/>
        </w:rPr>
        <w:t xml:space="preserve">. </w:t>
      </w:r>
      <w:r w:rsidR="007B795B" w:rsidRPr="007B2915">
        <w:rPr>
          <w:rFonts w:ascii="Cambria" w:hAnsi="Cambria"/>
          <w:sz w:val="20"/>
          <w:szCs w:val="20"/>
          <w:lang w:val="es-ES"/>
        </w:rPr>
        <w:t xml:space="preserve">Asimismo, </w:t>
      </w:r>
      <w:r w:rsidR="005551DE" w:rsidRPr="007B2915">
        <w:rPr>
          <w:rFonts w:ascii="Cambria" w:hAnsi="Cambria"/>
          <w:sz w:val="20"/>
          <w:szCs w:val="20"/>
          <w:lang w:val="es-ES"/>
        </w:rPr>
        <w:t xml:space="preserve">la Comisión ha admitido </w:t>
      </w:r>
      <w:r w:rsidR="00C708C6" w:rsidRPr="007B2915">
        <w:rPr>
          <w:rFonts w:ascii="Cambria" w:hAnsi="Cambria"/>
          <w:sz w:val="20"/>
          <w:szCs w:val="20"/>
          <w:lang w:val="es-ES"/>
        </w:rPr>
        <w:lastRenderedPageBreak/>
        <w:t>varios casos en los cuales se alega la misma problemática</w:t>
      </w:r>
      <w:r w:rsidR="00EE4B44" w:rsidRPr="007B2915">
        <w:rPr>
          <w:rStyle w:val="Refdenotaalpie"/>
          <w:rFonts w:ascii="Cambria" w:hAnsi="Cambria"/>
          <w:sz w:val="20"/>
          <w:szCs w:val="20"/>
          <w:lang w:val="es-ES"/>
        </w:rPr>
        <w:footnoteReference w:id="92"/>
      </w:r>
      <w:r w:rsidR="005551DE" w:rsidRPr="007B2915">
        <w:rPr>
          <w:rFonts w:ascii="Cambria" w:hAnsi="Cambria"/>
          <w:sz w:val="20"/>
          <w:szCs w:val="20"/>
          <w:lang w:val="es-ES"/>
        </w:rPr>
        <w:t xml:space="preserve">, los cuales se encuentran pendientes de una decisión sobre el fondo. </w:t>
      </w:r>
    </w:p>
    <w:p w:rsidR="00AC37A5" w:rsidRPr="007B2915" w:rsidRDefault="00AC37A5" w:rsidP="00AC37A5">
      <w:pPr>
        <w:pStyle w:val="Listavistosa-nfasis1"/>
        <w:rPr>
          <w:rFonts w:ascii="Cambria" w:hAnsi="Cambria"/>
          <w:sz w:val="20"/>
          <w:szCs w:val="20"/>
          <w:lang w:val="es-ES"/>
        </w:rPr>
      </w:pPr>
    </w:p>
    <w:p w:rsidR="00FB5552" w:rsidRPr="007B2915" w:rsidRDefault="00ED4C96" w:rsidP="00AC37A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B2915">
        <w:rPr>
          <w:rFonts w:ascii="Cambria" w:hAnsi="Cambria"/>
          <w:sz w:val="20"/>
          <w:szCs w:val="20"/>
          <w:lang w:val="es-ES"/>
        </w:rPr>
        <w:t xml:space="preserve">En </w:t>
      </w:r>
      <w:r w:rsidR="00BF6E33" w:rsidRPr="007B2915">
        <w:rPr>
          <w:rFonts w:ascii="Cambria" w:hAnsi="Cambria"/>
          <w:sz w:val="20"/>
          <w:szCs w:val="20"/>
          <w:lang w:val="es-ES"/>
        </w:rPr>
        <w:t xml:space="preserve">similar sentido, </w:t>
      </w:r>
      <w:r w:rsidR="00AC37A5" w:rsidRPr="007B2915">
        <w:rPr>
          <w:rFonts w:ascii="Cambria" w:hAnsi="Cambria"/>
          <w:sz w:val="20"/>
          <w:szCs w:val="20"/>
          <w:lang w:val="es-ES"/>
        </w:rPr>
        <w:t>la Comisión observa que en</w:t>
      </w:r>
      <w:r w:rsidR="00402ACF" w:rsidRPr="007B2915">
        <w:rPr>
          <w:rFonts w:ascii="Cambria" w:hAnsi="Cambria"/>
          <w:sz w:val="20"/>
          <w:szCs w:val="20"/>
          <w:lang w:val="es-ES"/>
        </w:rPr>
        <w:t xml:space="preserve"> octubre de 1998 la Defensoría del Pueblo</w:t>
      </w:r>
      <w:r w:rsidR="00AC37A5" w:rsidRPr="007B2915">
        <w:rPr>
          <w:rFonts w:ascii="Cambria" w:hAnsi="Cambria"/>
          <w:sz w:val="20"/>
          <w:szCs w:val="20"/>
          <w:lang w:val="es-ES"/>
        </w:rPr>
        <w:t xml:space="preserve"> emitió un informe</w:t>
      </w:r>
      <w:r w:rsidR="00402ACF" w:rsidRPr="007B2915">
        <w:rPr>
          <w:rFonts w:ascii="Cambria" w:hAnsi="Cambria"/>
          <w:sz w:val="20"/>
          <w:szCs w:val="20"/>
          <w:lang w:val="es-ES"/>
        </w:rPr>
        <w:t xml:space="preserve"> denominado “Incumplimiento de sentencias por parte de la administración estatal”</w:t>
      </w:r>
      <w:r w:rsidR="00402ACF" w:rsidRPr="007B2915">
        <w:rPr>
          <w:rStyle w:val="Refdenotaalpie"/>
          <w:rFonts w:ascii="Cambria" w:hAnsi="Cambria"/>
          <w:sz w:val="20"/>
          <w:szCs w:val="20"/>
          <w:lang w:val="es-ES"/>
        </w:rPr>
        <w:footnoteReference w:id="93"/>
      </w:r>
      <w:r w:rsidR="00402ACF" w:rsidRPr="007B2915">
        <w:rPr>
          <w:rFonts w:ascii="Cambria" w:hAnsi="Cambria"/>
          <w:sz w:val="20"/>
          <w:szCs w:val="20"/>
          <w:lang w:val="es-ES"/>
        </w:rPr>
        <w:t>.</w:t>
      </w:r>
      <w:r w:rsidR="00C11E4D" w:rsidRPr="007B2915">
        <w:rPr>
          <w:rFonts w:ascii="Cambria" w:hAnsi="Cambria"/>
          <w:sz w:val="20"/>
          <w:szCs w:val="20"/>
          <w:lang w:val="es-ES"/>
        </w:rPr>
        <w:t xml:space="preserve"> La Defensoría identificó que un problema que se presenta en el marco del Poder Judicial es la </w:t>
      </w:r>
      <w:r w:rsidR="00E201E0" w:rsidRPr="007B2915">
        <w:rPr>
          <w:rFonts w:ascii="Cambria" w:hAnsi="Cambria"/>
          <w:sz w:val="20"/>
          <w:szCs w:val="20"/>
          <w:lang w:val="es-ES"/>
        </w:rPr>
        <w:t>falta de ejecución de sentencias en contra de una entidad estatal</w:t>
      </w:r>
      <w:r w:rsidR="00CE74BB" w:rsidRPr="007B2915">
        <w:rPr>
          <w:rStyle w:val="Refdenotaalpie"/>
          <w:rFonts w:ascii="Cambria" w:hAnsi="Cambria"/>
          <w:sz w:val="20"/>
          <w:szCs w:val="20"/>
          <w:lang w:val="es-ES"/>
        </w:rPr>
        <w:footnoteReference w:id="94"/>
      </w:r>
      <w:r w:rsidR="00E201E0" w:rsidRPr="007B2915">
        <w:rPr>
          <w:rFonts w:ascii="Cambria" w:hAnsi="Cambria"/>
          <w:sz w:val="20"/>
          <w:szCs w:val="20"/>
          <w:lang w:val="es-ES"/>
        </w:rPr>
        <w:t>. Sostuvo que desde su creación</w:t>
      </w:r>
      <w:r w:rsidR="0012475E" w:rsidRPr="007B2915">
        <w:rPr>
          <w:rFonts w:ascii="Cambria" w:hAnsi="Cambria"/>
          <w:sz w:val="20"/>
          <w:szCs w:val="20"/>
          <w:lang w:val="es-ES"/>
        </w:rPr>
        <w:t xml:space="preserve"> en 1993</w:t>
      </w:r>
      <w:r w:rsidR="00E201E0" w:rsidRPr="007B2915">
        <w:rPr>
          <w:rFonts w:ascii="Cambria" w:hAnsi="Cambria"/>
          <w:sz w:val="20"/>
          <w:szCs w:val="20"/>
          <w:lang w:val="es-ES"/>
        </w:rPr>
        <w:t xml:space="preserve"> ha tramitado alrededor de 101 quejas </w:t>
      </w:r>
      <w:r w:rsidR="003D7813" w:rsidRPr="007B2915">
        <w:rPr>
          <w:rFonts w:ascii="Cambria" w:hAnsi="Cambria"/>
          <w:sz w:val="20"/>
          <w:szCs w:val="20"/>
          <w:lang w:val="es-ES"/>
        </w:rPr>
        <w:t>presentadas contra diversos entes estatales por incumplimiento de sentencias firmes en su contra</w:t>
      </w:r>
      <w:r w:rsidR="00CE74BB" w:rsidRPr="007B2915">
        <w:rPr>
          <w:rStyle w:val="Refdenotaalpie"/>
          <w:rFonts w:ascii="Cambria" w:hAnsi="Cambria"/>
          <w:sz w:val="20"/>
          <w:szCs w:val="20"/>
          <w:lang w:val="es-ES"/>
        </w:rPr>
        <w:footnoteReference w:id="95"/>
      </w:r>
      <w:r w:rsidR="00CE6E41" w:rsidRPr="007B2915">
        <w:rPr>
          <w:rFonts w:ascii="Cambria" w:hAnsi="Cambria"/>
          <w:sz w:val="20"/>
          <w:szCs w:val="20"/>
          <w:lang w:val="es-ES"/>
        </w:rPr>
        <w:t>. Indicó que más del 50% de las quejas se refieren a “mandatos judiciales de contenido laboral que son incumplidos”</w:t>
      </w:r>
      <w:r w:rsidR="00CE74BB" w:rsidRPr="007B2915">
        <w:rPr>
          <w:rStyle w:val="Refdenotaalpie"/>
          <w:rFonts w:ascii="Cambria" w:hAnsi="Cambria"/>
          <w:sz w:val="20"/>
          <w:szCs w:val="20"/>
          <w:lang w:val="es-ES"/>
        </w:rPr>
        <w:footnoteReference w:id="96"/>
      </w:r>
      <w:r w:rsidR="00CE6E41" w:rsidRPr="007B2915">
        <w:rPr>
          <w:rFonts w:ascii="Cambria" w:hAnsi="Cambria"/>
          <w:sz w:val="20"/>
          <w:szCs w:val="20"/>
          <w:lang w:val="es-ES"/>
        </w:rPr>
        <w:t>.</w:t>
      </w:r>
      <w:r w:rsidR="00CE74BB" w:rsidRPr="007B2915">
        <w:rPr>
          <w:rFonts w:ascii="Cambria" w:hAnsi="Cambria"/>
          <w:sz w:val="20"/>
          <w:szCs w:val="20"/>
          <w:lang w:val="es-ES"/>
        </w:rPr>
        <w:t xml:space="preserve"> La Defensoría explicó que en la gran mayoría de casos se refieren a mandatos judiciales que “implican el cumplimiento de una obligación de contenido patrimonial </w:t>
      </w:r>
      <w:r w:rsidR="00CE74BB" w:rsidRPr="007B2915">
        <w:rPr>
          <w:rFonts w:ascii="Cambria" w:hAnsi="Cambria" w:cs="Arial"/>
          <w:sz w:val="20"/>
          <w:szCs w:val="20"/>
          <w:lang w:val="es-ES"/>
        </w:rPr>
        <w:t>[como] la nivelación de pensiones</w:t>
      </w:r>
      <w:r w:rsidR="00CE74BB" w:rsidRPr="007B2915">
        <w:rPr>
          <w:rFonts w:ascii="Cambria" w:hAnsi="Cambria"/>
          <w:sz w:val="20"/>
          <w:szCs w:val="20"/>
          <w:lang w:val="es-ES"/>
        </w:rPr>
        <w:t>”</w:t>
      </w:r>
      <w:r w:rsidR="00CE74BB" w:rsidRPr="007B2915">
        <w:rPr>
          <w:rStyle w:val="Refdenotaalpie"/>
          <w:rFonts w:ascii="Cambria" w:hAnsi="Cambria"/>
          <w:sz w:val="20"/>
          <w:szCs w:val="20"/>
          <w:lang w:val="es-ES"/>
        </w:rPr>
        <w:footnoteReference w:id="97"/>
      </w:r>
      <w:r w:rsidR="00CE74BB" w:rsidRPr="007B2915">
        <w:rPr>
          <w:rFonts w:ascii="Cambria" w:hAnsi="Cambria"/>
          <w:sz w:val="20"/>
          <w:szCs w:val="20"/>
          <w:lang w:val="es-ES"/>
        </w:rPr>
        <w:t xml:space="preserve">. </w:t>
      </w:r>
    </w:p>
    <w:p w:rsidR="00CE74BB" w:rsidRPr="007B2915" w:rsidRDefault="00CE74BB" w:rsidP="003D7813">
      <w:pPr>
        <w:jc w:val="both"/>
        <w:rPr>
          <w:rFonts w:ascii="Cambria" w:hAnsi="Cambria"/>
          <w:sz w:val="20"/>
          <w:szCs w:val="20"/>
          <w:lang w:val="es-ES"/>
        </w:rPr>
      </w:pPr>
    </w:p>
    <w:p w:rsidR="00CE74BB" w:rsidRPr="007B2915" w:rsidRDefault="00CE74BB" w:rsidP="00FF337F">
      <w:pPr>
        <w:pStyle w:val="Sangradetextonorma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ind w:left="0"/>
        <w:jc w:val="both"/>
        <w:rPr>
          <w:rFonts w:ascii="Cambria" w:hAnsi="Cambria"/>
          <w:color w:val="auto"/>
          <w:sz w:val="20"/>
          <w:szCs w:val="20"/>
          <w:lang w:val="es-ES"/>
        </w:rPr>
      </w:pPr>
      <w:r w:rsidRPr="007B2915">
        <w:rPr>
          <w:rFonts w:ascii="Cambria" w:hAnsi="Cambria"/>
          <w:color w:val="auto"/>
          <w:sz w:val="20"/>
          <w:szCs w:val="20"/>
          <w:lang w:val="es-ES"/>
        </w:rPr>
        <w:t>La CIDH toma nota de que la Defensoría se pronunció expresamente sobre casos de sentencias que declararon fundadas acciones de amparo por ex-trabajadores que solicitaban el abono de sus pensiones conforme al Decreto Ley 20530</w:t>
      </w:r>
      <w:r w:rsidRPr="007B2915">
        <w:rPr>
          <w:rStyle w:val="Refdenotaalpie"/>
          <w:rFonts w:ascii="Cambria" w:hAnsi="Cambria"/>
          <w:color w:val="auto"/>
          <w:sz w:val="20"/>
          <w:szCs w:val="20"/>
          <w:lang w:val="es-ES"/>
        </w:rPr>
        <w:footnoteReference w:id="98"/>
      </w:r>
      <w:r w:rsidRPr="007B2915">
        <w:rPr>
          <w:rFonts w:ascii="Cambria" w:hAnsi="Cambria"/>
          <w:color w:val="auto"/>
          <w:sz w:val="20"/>
          <w:szCs w:val="20"/>
          <w:lang w:val="es-ES"/>
        </w:rPr>
        <w:t>.</w:t>
      </w:r>
      <w:r w:rsidR="00FF337F" w:rsidRPr="007B2915">
        <w:rPr>
          <w:rFonts w:ascii="Cambria" w:hAnsi="Cambria"/>
          <w:color w:val="auto"/>
          <w:sz w:val="20"/>
          <w:szCs w:val="20"/>
          <w:lang w:val="es-ES"/>
        </w:rPr>
        <w:t xml:space="preserve"> </w:t>
      </w:r>
      <w:r w:rsidR="007C614B" w:rsidRPr="007B2915">
        <w:rPr>
          <w:rFonts w:ascii="Cambria" w:hAnsi="Cambria"/>
          <w:color w:val="auto"/>
          <w:sz w:val="20"/>
          <w:szCs w:val="20"/>
          <w:lang w:val="es-ES"/>
        </w:rPr>
        <w:t>En su informe, l</w:t>
      </w:r>
      <w:r w:rsidR="00FF337F" w:rsidRPr="007B2915">
        <w:rPr>
          <w:rFonts w:ascii="Cambria" w:hAnsi="Cambria"/>
          <w:color w:val="auto"/>
          <w:sz w:val="20"/>
          <w:szCs w:val="20"/>
          <w:lang w:val="es-ES"/>
        </w:rPr>
        <w:t>a Defensoría concluyó lo siguiente:</w:t>
      </w:r>
    </w:p>
    <w:p w:rsidR="00FF337F" w:rsidRPr="007B2915" w:rsidRDefault="00FF337F" w:rsidP="00FF337F">
      <w:pPr>
        <w:pStyle w:val="Listavistosa-nfasis1"/>
        <w:rPr>
          <w:rFonts w:ascii="Cambria" w:hAnsi="Cambria"/>
          <w:sz w:val="20"/>
          <w:szCs w:val="20"/>
          <w:lang w:val="es-ES"/>
        </w:rPr>
      </w:pPr>
    </w:p>
    <w:p w:rsidR="00FF337F" w:rsidRPr="007B2915" w:rsidRDefault="00FF337F" w:rsidP="0061368E">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color w:val="auto"/>
          <w:sz w:val="20"/>
          <w:szCs w:val="20"/>
        </w:rPr>
      </w:pPr>
      <w:r w:rsidRPr="007B2915">
        <w:rPr>
          <w:rFonts w:ascii="Cambria" w:hAnsi="Cambria"/>
          <w:color w:val="auto"/>
          <w:sz w:val="20"/>
          <w:szCs w:val="20"/>
          <w:lang w:val="es-ES"/>
        </w:rPr>
        <w:t>(…)</w:t>
      </w:r>
      <w:r w:rsidR="0061368E" w:rsidRPr="007B2915">
        <w:rPr>
          <w:rFonts w:ascii="Cambria" w:hAnsi="Cambria"/>
          <w:color w:val="auto"/>
          <w:sz w:val="20"/>
          <w:szCs w:val="20"/>
          <w:lang w:val="es-ES"/>
        </w:rPr>
        <w:t xml:space="preserve"> </w:t>
      </w:r>
      <w:r w:rsidRPr="007B2915">
        <w:rPr>
          <w:rFonts w:ascii="Cambria" w:hAnsi="Cambria"/>
          <w:color w:val="auto"/>
          <w:sz w:val="20"/>
          <w:szCs w:val="20"/>
        </w:rPr>
        <w:t>la inejecución de una sentencia en contra de una entidad estatal, supondría eludir la responsabilidad que corresponde al Estado en el cumplimiento de sus obligaciones (…)</w:t>
      </w:r>
      <w:r w:rsidR="0051524B" w:rsidRPr="007B2915">
        <w:rPr>
          <w:rFonts w:ascii="Cambria" w:hAnsi="Cambria"/>
          <w:color w:val="auto"/>
          <w:sz w:val="20"/>
          <w:szCs w:val="20"/>
        </w:rPr>
        <w:t>.</w:t>
      </w:r>
    </w:p>
    <w:p w:rsidR="0051524B" w:rsidRPr="007B2915" w:rsidRDefault="0051524B" w:rsidP="0061368E">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color w:val="auto"/>
          <w:sz w:val="20"/>
          <w:szCs w:val="20"/>
        </w:rPr>
      </w:pPr>
    </w:p>
    <w:p w:rsidR="00FF337F" w:rsidRPr="007B2915" w:rsidRDefault="0061368E" w:rsidP="0061368E">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ind w:left="720" w:right="720" w:firstLine="0"/>
        <w:jc w:val="both"/>
        <w:rPr>
          <w:rFonts w:ascii="Cambria" w:hAnsi="Cambria"/>
          <w:color w:val="auto"/>
          <w:sz w:val="20"/>
          <w:szCs w:val="20"/>
          <w:lang w:val="es-ES"/>
        </w:rPr>
      </w:pPr>
      <w:r w:rsidRPr="007B2915">
        <w:rPr>
          <w:rFonts w:ascii="Cambria" w:hAnsi="Cambria"/>
          <w:color w:val="auto"/>
          <w:sz w:val="20"/>
          <w:szCs w:val="20"/>
        </w:rPr>
        <w:t>El juez que ejecuta la sentencia debe hacer efectiva la responsabilidad penal, haciendo la denuncia correspondiente, de los funcionarios públicos que incumplen mandatos judiciales en virtud de una simple negativa, así como de aquéllos que dilatan irrazonablemente el cumplimiento de algún requisito administrativo previo, y de aquéllos que oponen una imposibilidad legal que se funda en una incorrecta interpretación de las normas</w:t>
      </w:r>
      <w:r w:rsidRPr="007B2915">
        <w:rPr>
          <w:rStyle w:val="Refdenotaalpie"/>
          <w:rFonts w:ascii="Cambria" w:hAnsi="Cambria"/>
          <w:color w:val="auto"/>
          <w:sz w:val="20"/>
          <w:szCs w:val="20"/>
          <w:lang w:val="es-ES"/>
        </w:rPr>
        <w:footnoteReference w:id="99"/>
      </w:r>
      <w:r w:rsidRPr="007B2915">
        <w:rPr>
          <w:rFonts w:ascii="Cambria" w:hAnsi="Cambria"/>
          <w:color w:val="auto"/>
          <w:sz w:val="20"/>
          <w:szCs w:val="20"/>
        </w:rPr>
        <w:t>.</w:t>
      </w:r>
    </w:p>
    <w:p w:rsidR="00983FB0" w:rsidRPr="007B2915" w:rsidRDefault="00983FB0" w:rsidP="00EE033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p>
    <w:p w:rsidR="00587237" w:rsidRPr="007B2915" w:rsidRDefault="00587237" w:rsidP="009563AE">
      <w:pPr>
        <w:pStyle w:val="Ttulo3"/>
      </w:pPr>
      <w:bookmarkStart w:id="61" w:name="_Toc346449094"/>
      <w:bookmarkStart w:id="62" w:name="_Toc474398501"/>
      <w:r w:rsidRPr="007B2915">
        <w:t>3.</w:t>
      </w:r>
      <w:r w:rsidRPr="007B2915">
        <w:tab/>
        <w:t>Análisis del caso concreto</w:t>
      </w:r>
      <w:bookmarkEnd w:id="61"/>
      <w:bookmarkEnd w:id="62"/>
    </w:p>
    <w:p w:rsidR="00587237" w:rsidRPr="007B2915" w:rsidRDefault="00587237" w:rsidP="00EE033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p>
    <w:p w:rsidR="00ED4C96" w:rsidRPr="007B2915" w:rsidRDefault="00DF45DB" w:rsidP="00ED4C9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B2915">
        <w:rPr>
          <w:rFonts w:ascii="Cambria" w:hAnsi="Cambria"/>
          <w:sz w:val="20"/>
          <w:szCs w:val="20"/>
          <w:lang w:val="es-ES"/>
        </w:rPr>
        <w:t>Como se desprende de los hechos probados, e</w:t>
      </w:r>
      <w:r w:rsidR="00ED4C96" w:rsidRPr="007B2915">
        <w:rPr>
          <w:rFonts w:ascii="Cambria" w:hAnsi="Cambria"/>
          <w:sz w:val="20"/>
          <w:szCs w:val="20"/>
          <w:lang w:val="es-ES"/>
        </w:rPr>
        <w:t>n el presente asunto no está en controversia que el señor Muelle fue incorporado al régimen pensionario del Decreto Ley 20530 mediante una resolución emitida por la</w:t>
      </w:r>
      <w:r w:rsidRPr="007B2915">
        <w:rPr>
          <w:rFonts w:ascii="Cambria" w:hAnsi="Cambria"/>
          <w:sz w:val="20"/>
          <w:szCs w:val="20"/>
          <w:lang w:val="es-ES"/>
        </w:rPr>
        <w:t xml:space="preserve"> entonces</w:t>
      </w:r>
      <w:r w:rsidR="00ED4C96" w:rsidRPr="007B2915">
        <w:rPr>
          <w:rFonts w:ascii="Cambria" w:hAnsi="Cambria"/>
          <w:sz w:val="20"/>
          <w:szCs w:val="20"/>
          <w:lang w:val="es-ES"/>
        </w:rPr>
        <w:t xml:space="preserve"> empresa minera estatal Tintaya. Un par de meses después, la misma empresa le envió un</w:t>
      </w:r>
      <w:r w:rsidRPr="007B2915">
        <w:rPr>
          <w:rFonts w:ascii="Cambria" w:hAnsi="Cambria"/>
          <w:sz w:val="20"/>
          <w:szCs w:val="20"/>
          <w:lang w:val="es-ES"/>
        </w:rPr>
        <w:t xml:space="preserve">a </w:t>
      </w:r>
      <w:r w:rsidR="00ED4C96" w:rsidRPr="007B2915">
        <w:rPr>
          <w:rFonts w:ascii="Cambria" w:hAnsi="Cambria"/>
          <w:sz w:val="20"/>
          <w:szCs w:val="20"/>
          <w:lang w:val="es-ES"/>
        </w:rPr>
        <w:t>comunica</w:t>
      </w:r>
      <w:r w:rsidRPr="007B2915">
        <w:rPr>
          <w:rFonts w:ascii="Cambria" w:hAnsi="Cambria"/>
          <w:sz w:val="20"/>
          <w:szCs w:val="20"/>
          <w:lang w:val="es-ES"/>
        </w:rPr>
        <w:t>ción</w:t>
      </w:r>
      <w:r w:rsidR="00ED4C96" w:rsidRPr="007B2915">
        <w:rPr>
          <w:rFonts w:ascii="Cambria" w:hAnsi="Cambria"/>
          <w:sz w:val="20"/>
          <w:szCs w:val="20"/>
          <w:lang w:val="es-ES"/>
        </w:rPr>
        <w:t xml:space="preserve"> indicándole que se suspendía la aplicación de dicho régimen. Frente a esta situación, el señor Muelle presentó un</w:t>
      </w:r>
      <w:r w:rsidR="007B02CB" w:rsidRPr="007B2915">
        <w:rPr>
          <w:rFonts w:ascii="Cambria" w:hAnsi="Cambria"/>
          <w:sz w:val="20"/>
          <w:szCs w:val="20"/>
          <w:lang w:val="es-ES"/>
        </w:rPr>
        <w:t>a</w:t>
      </w:r>
      <w:r w:rsidR="00ED4C96" w:rsidRPr="007B2915">
        <w:rPr>
          <w:rFonts w:ascii="Cambria" w:hAnsi="Cambria"/>
          <w:sz w:val="20"/>
          <w:szCs w:val="20"/>
          <w:lang w:val="es-ES"/>
        </w:rPr>
        <w:t xml:space="preserve"> </w:t>
      </w:r>
      <w:r w:rsidR="00925682" w:rsidRPr="007B2915">
        <w:rPr>
          <w:rFonts w:ascii="Cambria" w:hAnsi="Cambria"/>
          <w:sz w:val="20"/>
          <w:szCs w:val="20"/>
          <w:lang w:val="es-ES"/>
        </w:rPr>
        <w:t>primer</w:t>
      </w:r>
      <w:r w:rsidR="007B02CB" w:rsidRPr="007B2915">
        <w:rPr>
          <w:rFonts w:ascii="Cambria" w:hAnsi="Cambria"/>
          <w:sz w:val="20"/>
          <w:szCs w:val="20"/>
          <w:lang w:val="es-ES"/>
        </w:rPr>
        <w:t>a acción</w:t>
      </w:r>
      <w:r w:rsidR="00ED4C96" w:rsidRPr="007B2915">
        <w:rPr>
          <w:rFonts w:ascii="Cambria" w:hAnsi="Cambria"/>
          <w:sz w:val="20"/>
          <w:szCs w:val="20"/>
          <w:lang w:val="es-ES"/>
        </w:rPr>
        <w:t xml:space="preserve"> de amparo. </w:t>
      </w:r>
      <w:r w:rsidR="007B02CB" w:rsidRPr="007B2915">
        <w:rPr>
          <w:rFonts w:ascii="Cambria" w:hAnsi="Cambria"/>
          <w:sz w:val="20"/>
          <w:szCs w:val="20"/>
          <w:lang w:val="es-ES"/>
        </w:rPr>
        <w:t xml:space="preserve">Tras varias instancias, este proceso de amparo culminó </w:t>
      </w:r>
      <w:r w:rsidR="007B02CB" w:rsidRPr="007B2915">
        <w:rPr>
          <w:rFonts w:ascii="Cambria" w:hAnsi="Cambria"/>
          <w:sz w:val="20"/>
          <w:szCs w:val="20"/>
          <w:lang w:val="es-ES"/>
        </w:rPr>
        <w:lastRenderedPageBreak/>
        <w:t>e</w:t>
      </w:r>
      <w:r w:rsidR="00ED4C96" w:rsidRPr="007B2915">
        <w:rPr>
          <w:rFonts w:ascii="Cambria" w:hAnsi="Cambria"/>
          <w:sz w:val="20"/>
          <w:szCs w:val="20"/>
          <w:lang w:val="es-ES"/>
        </w:rPr>
        <w:t xml:space="preserve">l 2 de febrero de 1993 </w:t>
      </w:r>
      <w:r w:rsidR="007B02CB" w:rsidRPr="007B2915">
        <w:rPr>
          <w:rFonts w:ascii="Cambria" w:hAnsi="Cambria"/>
          <w:sz w:val="20"/>
          <w:szCs w:val="20"/>
          <w:lang w:val="es-ES"/>
        </w:rPr>
        <w:t xml:space="preserve">cuando </w:t>
      </w:r>
      <w:r w:rsidR="00ED4C96" w:rsidRPr="007B2915">
        <w:rPr>
          <w:rFonts w:ascii="Cambria" w:hAnsi="Cambria"/>
          <w:sz w:val="20"/>
          <w:szCs w:val="20"/>
          <w:lang w:val="es-ES"/>
        </w:rPr>
        <w:t>la Corte Suprema de Justicia emitió una sentencia orden</w:t>
      </w:r>
      <w:r w:rsidR="007B02CB" w:rsidRPr="007B2915">
        <w:rPr>
          <w:rFonts w:ascii="Cambria" w:hAnsi="Cambria"/>
          <w:sz w:val="20"/>
          <w:szCs w:val="20"/>
          <w:lang w:val="es-ES"/>
        </w:rPr>
        <w:t>ando</w:t>
      </w:r>
      <w:r w:rsidR="00ED4C96" w:rsidRPr="007B2915">
        <w:rPr>
          <w:rFonts w:ascii="Cambria" w:hAnsi="Cambria"/>
          <w:sz w:val="20"/>
          <w:szCs w:val="20"/>
          <w:lang w:val="es-ES"/>
        </w:rPr>
        <w:t xml:space="preserve"> que se reincorpor</w:t>
      </w:r>
      <w:r w:rsidR="007B02CB" w:rsidRPr="007B2915">
        <w:rPr>
          <w:rFonts w:ascii="Cambria" w:hAnsi="Cambria"/>
          <w:sz w:val="20"/>
          <w:szCs w:val="20"/>
          <w:lang w:val="es-ES"/>
        </w:rPr>
        <w:t xml:space="preserve">ara </w:t>
      </w:r>
      <w:r w:rsidR="00ED4C96" w:rsidRPr="007B2915">
        <w:rPr>
          <w:rFonts w:ascii="Cambria" w:hAnsi="Cambria"/>
          <w:sz w:val="20"/>
          <w:szCs w:val="20"/>
          <w:lang w:val="es-ES"/>
        </w:rPr>
        <w:t>al señor Muelle al régimen pen</w:t>
      </w:r>
      <w:r w:rsidR="007B02CB" w:rsidRPr="007B2915">
        <w:rPr>
          <w:rFonts w:ascii="Cambria" w:hAnsi="Cambria"/>
          <w:sz w:val="20"/>
          <w:szCs w:val="20"/>
          <w:lang w:val="es-ES"/>
        </w:rPr>
        <w:t xml:space="preserve">sionario </w:t>
      </w:r>
      <w:r w:rsidR="00ED4C96" w:rsidRPr="007B2915">
        <w:rPr>
          <w:rFonts w:ascii="Cambria" w:hAnsi="Cambria"/>
          <w:sz w:val="20"/>
          <w:szCs w:val="20"/>
          <w:lang w:val="es-ES"/>
        </w:rPr>
        <w:t xml:space="preserve">del Decreto Ley 20530. </w:t>
      </w:r>
    </w:p>
    <w:p w:rsidR="00B87DF7" w:rsidRPr="007B2915" w:rsidRDefault="00B87DF7" w:rsidP="00BB6415">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rsidR="00072E36" w:rsidRPr="007B2915" w:rsidRDefault="00B87DF7" w:rsidP="00ED4C9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B2915">
        <w:rPr>
          <w:rFonts w:ascii="Cambria" w:hAnsi="Cambria"/>
          <w:sz w:val="20"/>
          <w:szCs w:val="20"/>
          <w:lang w:val="es-ES"/>
        </w:rPr>
        <w:t>Tan sólo días después de esta sentencia, la entonces empresa estatal emitió un Acuerdo que suspendió el pago de las pensiones de manera contraria a los derechos reconocidos al señor Muelle. Esto motivó que el peticionario interpusiera una segunda acción de amparo la cual fue resuelta en última instancia por el Tribunal Constitucional en 1999 ordenando el pago de su pensión renovable como la venía percibiendo</w:t>
      </w:r>
      <w:r w:rsidR="004B376C" w:rsidRPr="007B2915">
        <w:rPr>
          <w:rFonts w:ascii="Cambria" w:hAnsi="Cambria"/>
          <w:sz w:val="20"/>
          <w:szCs w:val="20"/>
          <w:lang w:val="es-ES"/>
        </w:rPr>
        <w:t xml:space="preserve"> en los meses iniciales</w:t>
      </w:r>
      <w:r w:rsidRPr="007B2915">
        <w:rPr>
          <w:rFonts w:ascii="Cambria" w:hAnsi="Cambria"/>
          <w:sz w:val="20"/>
          <w:szCs w:val="20"/>
          <w:lang w:val="es-ES"/>
        </w:rPr>
        <w:t xml:space="preserve">. </w:t>
      </w:r>
    </w:p>
    <w:p w:rsidR="00072E36" w:rsidRPr="007B2915" w:rsidRDefault="00072E36" w:rsidP="00BB641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p>
    <w:p w:rsidR="00B87DF7" w:rsidRPr="007B2915" w:rsidRDefault="00072E36" w:rsidP="00ED4C9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B2915">
        <w:rPr>
          <w:rFonts w:ascii="Cambria" w:hAnsi="Cambria"/>
          <w:sz w:val="20"/>
          <w:szCs w:val="20"/>
          <w:lang w:val="es-ES"/>
        </w:rPr>
        <w:t>Mientras esta acción de amparo se encontraba pendiente, se emitió otro fallo judicial favorable al señor Muelle en el marco de una demanda interpuesta por la empresa. En esta oportunidad</w:t>
      </w:r>
      <w:r w:rsidR="00DE75D2" w:rsidRPr="007B2915">
        <w:rPr>
          <w:rFonts w:ascii="Cambria" w:hAnsi="Cambria"/>
          <w:sz w:val="20"/>
          <w:szCs w:val="20"/>
          <w:lang w:val="es-ES"/>
        </w:rPr>
        <w:t xml:space="preserve"> las autoridades judiciales declararon la legalidad de la incorporación del señor Muelle al régimen pensionario del Decreto </w:t>
      </w:r>
      <w:r w:rsidR="00B05A7A" w:rsidRPr="007B2915">
        <w:rPr>
          <w:rFonts w:ascii="Cambria" w:hAnsi="Cambria"/>
          <w:sz w:val="20"/>
          <w:szCs w:val="20"/>
          <w:lang w:val="es-ES"/>
        </w:rPr>
        <w:t xml:space="preserve">Ley </w:t>
      </w:r>
      <w:r w:rsidR="00DE75D2" w:rsidRPr="007B2915">
        <w:rPr>
          <w:rFonts w:ascii="Cambria" w:hAnsi="Cambria"/>
          <w:sz w:val="20"/>
          <w:szCs w:val="20"/>
          <w:lang w:val="es-ES"/>
        </w:rPr>
        <w:t xml:space="preserve">20530. </w:t>
      </w:r>
    </w:p>
    <w:p w:rsidR="00BF2812" w:rsidRPr="007B2915" w:rsidRDefault="00BF2812" w:rsidP="00BB641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p>
    <w:p w:rsidR="00BF2812" w:rsidRPr="007B2915" w:rsidRDefault="00BF2812" w:rsidP="00ED4C9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B2915">
        <w:rPr>
          <w:rFonts w:ascii="Cambria" w:hAnsi="Cambria"/>
          <w:sz w:val="20"/>
          <w:szCs w:val="20"/>
          <w:lang w:val="es-ES"/>
        </w:rPr>
        <w:t>Además, en el marco del proceso de ejecución de</w:t>
      </w:r>
      <w:r w:rsidR="00433AB8" w:rsidRPr="007B2915">
        <w:rPr>
          <w:rFonts w:ascii="Cambria" w:hAnsi="Cambria"/>
          <w:sz w:val="20"/>
          <w:szCs w:val="20"/>
          <w:lang w:val="es-ES"/>
        </w:rPr>
        <w:t xml:space="preserve"> la sentencia de la Corte Suprema de febrero de 1993 se emitieron múltiples pronunciamientos judiciales </w:t>
      </w:r>
      <w:r w:rsidR="00225D3B" w:rsidRPr="007B2915">
        <w:rPr>
          <w:rFonts w:ascii="Cambria" w:hAnsi="Cambria"/>
          <w:sz w:val="20"/>
          <w:szCs w:val="20"/>
          <w:lang w:val="es-ES"/>
        </w:rPr>
        <w:t>en lo</w:t>
      </w:r>
      <w:r w:rsidR="00433AB8" w:rsidRPr="007B2915">
        <w:rPr>
          <w:rFonts w:ascii="Cambria" w:hAnsi="Cambria"/>
          <w:sz w:val="20"/>
          <w:szCs w:val="20"/>
          <w:lang w:val="es-ES"/>
        </w:rPr>
        <w:t>s cuales se determinó el incumplimiento de dicho fallo</w:t>
      </w:r>
      <w:r w:rsidR="001B448E" w:rsidRPr="007B2915">
        <w:rPr>
          <w:rFonts w:ascii="Cambria" w:hAnsi="Cambria"/>
          <w:sz w:val="20"/>
          <w:szCs w:val="20"/>
          <w:lang w:val="es-ES"/>
        </w:rPr>
        <w:t>. Así, el 18 de diciembre de 1995 se estableció que la empresa estaba obstaculizando el cumplimiento de la sentencia</w:t>
      </w:r>
      <w:r w:rsidR="009958A7" w:rsidRPr="007B2915">
        <w:rPr>
          <w:rFonts w:ascii="Cambria" w:hAnsi="Cambria"/>
          <w:sz w:val="20"/>
          <w:szCs w:val="20"/>
          <w:lang w:val="es-ES"/>
        </w:rPr>
        <w:t xml:space="preserve"> y se ordenó su ejecución en tres días. Esta orden fue reiterada</w:t>
      </w:r>
      <w:r w:rsidR="009B6FF3" w:rsidRPr="007B2915">
        <w:rPr>
          <w:rFonts w:ascii="Cambria" w:hAnsi="Cambria"/>
          <w:sz w:val="20"/>
          <w:szCs w:val="20"/>
          <w:lang w:val="es-ES"/>
        </w:rPr>
        <w:t xml:space="preserve"> al menos</w:t>
      </w:r>
      <w:r w:rsidR="0093770E" w:rsidRPr="007B2915">
        <w:rPr>
          <w:rFonts w:ascii="Cambria" w:hAnsi="Cambria"/>
          <w:sz w:val="20"/>
          <w:szCs w:val="20"/>
          <w:lang w:val="es-ES"/>
        </w:rPr>
        <w:t xml:space="preserve"> en tres oportunidades,</w:t>
      </w:r>
      <w:r w:rsidR="009B6FF3" w:rsidRPr="007B2915">
        <w:rPr>
          <w:rFonts w:ascii="Cambria" w:hAnsi="Cambria"/>
          <w:sz w:val="20"/>
          <w:szCs w:val="20"/>
          <w:lang w:val="es-ES"/>
        </w:rPr>
        <w:t xml:space="preserve"> </w:t>
      </w:r>
      <w:r w:rsidR="009958A7" w:rsidRPr="007B2915">
        <w:rPr>
          <w:rFonts w:ascii="Cambria" w:hAnsi="Cambria"/>
          <w:sz w:val="20"/>
          <w:szCs w:val="20"/>
          <w:lang w:val="es-ES"/>
        </w:rPr>
        <w:t xml:space="preserve">el </w:t>
      </w:r>
      <w:r w:rsidR="000074B5" w:rsidRPr="007B2915">
        <w:rPr>
          <w:rFonts w:ascii="Cambria" w:hAnsi="Cambria"/>
          <w:sz w:val="20"/>
          <w:szCs w:val="20"/>
          <w:lang w:val="es-ES"/>
        </w:rPr>
        <w:t>7 de abril de 1997, el 5 de enero de 2009 y el 23 de marzo de 2009</w:t>
      </w:r>
      <w:r w:rsidR="0093770E" w:rsidRPr="007B2915">
        <w:rPr>
          <w:rFonts w:ascii="Cambria" w:hAnsi="Cambria"/>
          <w:sz w:val="20"/>
          <w:szCs w:val="20"/>
          <w:lang w:val="es-ES"/>
        </w:rPr>
        <w:t>.</w:t>
      </w:r>
      <w:r w:rsidR="009958A7" w:rsidRPr="007B2915">
        <w:rPr>
          <w:rFonts w:ascii="Cambria" w:hAnsi="Cambria"/>
          <w:sz w:val="20"/>
          <w:szCs w:val="20"/>
          <w:lang w:val="es-ES"/>
        </w:rPr>
        <w:t xml:space="preserve"> </w:t>
      </w:r>
      <w:r w:rsidR="00F16E76" w:rsidRPr="007B2915">
        <w:rPr>
          <w:rFonts w:ascii="Cambria" w:hAnsi="Cambria"/>
          <w:sz w:val="20"/>
          <w:szCs w:val="20"/>
          <w:lang w:val="es-ES"/>
        </w:rPr>
        <w:t>La Comisión destaca que a pesar de que el incumplimiento del fallo resultaba evidente, ninguna de las autoridades judiciales que conoció el proceso de ejecución de sentencia implementó ningún meca</w:t>
      </w:r>
      <w:r w:rsidR="00EC12F5" w:rsidRPr="007B2915">
        <w:rPr>
          <w:rFonts w:ascii="Cambria" w:hAnsi="Cambria"/>
          <w:sz w:val="20"/>
          <w:szCs w:val="20"/>
          <w:lang w:val="es-ES"/>
        </w:rPr>
        <w:t>nismo coercitivo para asegurar la materialización del derecho reconocido al señor Muelle.</w:t>
      </w:r>
    </w:p>
    <w:p w:rsidR="00601CAD" w:rsidRPr="007B2915" w:rsidRDefault="00601CAD" w:rsidP="00900F5D">
      <w:pPr>
        <w:pStyle w:val="Listavistosa-nfasis1"/>
        <w:ind w:left="0"/>
        <w:rPr>
          <w:rFonts w:ascii="Cambria" w:hAnsi="Cambria"/>
          <w:sz w:val="20"/>
          <w:szCs w:val="20"/>
          <w:lang w:val="es-ES"/>
        </w:rPr>
      </w:pPr>
    </w:p>
    <w:p w:rsidR="000F60E8" w:rsidRPr="007B2915" w:rsidRDefault="00900F5D" w:rsidP="00065A1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B2915">
        <w:rPr>
          <w:rFonts w:ascii="Cambria" w:hAnsi="Cambria"/>
          <w:sz w:val="20"/>
          <w:szCs w:val="20"/>
          <w:lang w:val="es-ES"/>
        </w:rPr>
        <w:t>Adicionalmente, la CIDH toma nota de que uno de los alegatos de la empresa para no cumplir con dicho fallo fue que la misma fue privatizada años después</w:t>
      </w:r>
      <w:r w:rsidR="00D174F4" w:rsidRPr="007B2915">
        <w:rPr>
          <w:rFonts w:ascii="Cambria" w:hAnsi="Cambria"/>
          <w:sz w:val="20"/>
          <w:szCs w:val="20"/>
          <w:lang w:val="es-ES"/>
        </w:rPr>
        <w:t xml:space="preserve"> de emitido.</w:t>
      </w:r>
      <w:r w:rsidRPr="007B2915">
        <w:rPr>
          <w:rFonts w:ascii="Cambria" w:hAnsi="Cambria"/>
          <w:sz w:val="20"/>
          <w:szCs w:val="20"/>
          <w:lang w:val="es-ES"/>
        </w:rPr>
        <w:t xml:space="preserve"> </w:t>
      </w:r>
      <w:r w:rsidR="001E25BB" w:rsidRPr="007B2915">
        <w:rPr>
          <w:rFonts w:ascii="Cambria" w:hAnsi="Cambria"/>
          <w:sz w:val="20"/>
          <w:szCs w:val="20"/>
          <w:lang w:val="es-ES"/>
        </w:rPr>
        <w:t>Al respecto</w:t>
      </w:r>
      <w:r w:rsidRPr="007B2915">
        <w:rPr>
          <w:rFonts w:ascii="Cambria" w:hAnsi="Cambria"/>
          <w:sz w:val="20"/>
          <w:szCs w:val="20"/>
          <w:lang w:val="es-ES"/>
        </w:rPr>
        <w:t xml:space="preserve">, la Comisión </w:t>
      </w:r>
      <w:r w:rsidR="001E25BB" w:rsidRPr="007B2915">
        <w:rPr>
          <w:rFonts w:ascii="Cambria" w:hAnsi="Cambria"/>
          <w:sz w:val="20"/>
          <w:szCs w:val="20"/>
          <w:lang w:val="es-ES"/>
        </w:rPr>
        <w:t>nota</w:t>
      </w:r>
      <w:r w:rsidRPr="007B2915">
        <w:rPr>
          <w:rFonts w:ascii="Cambria" w:hAnsi="Cambria"/>
          <w:sz w:val="20"/>
          <w:szCs w:val="20"/>
          <w:lang w:val="es-ES"/>
        </w:rPr>
        <w:t xml:space="preserve"> </w:t>
      </w:r>
      <w:r w:rsidR="00D73093" w:rsidRPr="007B2915">
        <w:rPr>
          <w:rFonts w:ascii="Cambria" w:hAnsi="Cambria"/>
          <w:sz w:val="20"/>
          <w:szCs w:val="20"/>
          <w:lang w:val="es-ES"/>
        </w:rPr>
        <w:t xml:space="preserve">que el Comité de Derechos Económicos, Sociales y Culturales de Naciones Unidas ha sostenido que los Estados </w:t>
      </w:r>
      <w:r w:rsidR="00093244" w:rsidRPr="007B2915">
        <w:rPr>
          <w:rFonts w:ascii="Cambria" w:hAnsi="Cambria"/>
          <w:sz w:val="20"/>
          <w:szCs w:val="20"/>
          <w:lang w:val="es-ES"/>
        </w:rPr>
        <w:t>deben garantizar que las medidas de privatización de empresas estatales no “</w:t>
      </w:r>
      <w:proofErr w:type="gramStart"/>
      <w:r w:rsidR="00093244" w:rsidRPr="007B2915">
        <w:rPr>
          <w:rFonts w:ascii="Cambria" w:hAnsi="Cambria"/>
          <w:sz w:val="20"/>
          <w:szCs w:val="20"/>
          <w:lang w:val="es-ES"/>
        </w:rPr>
        <w:t>socav</w:t>
      </w:r>
      <w:r w:rsidR="00093244" w:rsidRPr="007B2915">
        <w:rPr>
          <w:rFonts w:ascii="Cambria" w:hAnsi="Cambria" w:cs="Arial"/>
          <w:sz w:val="20"/>
          <w:szCs w:val="20"/>
          <w:lang w:val="es-ES"/>
        </w:rPr>
        <w:t>[</w:t>
      </w:r>
      <w:proofErr w:type="gramEnd"/>
      <w:r w:rsidR="00093244" w:rsidRPr="007B2915">
        <w:rPr>
          <w:rFonts w:ascii="Cambria" w:hAnsi="Cambria" w:cs="Arial"/>
          <w:sz w:val="20"/>
          <w:szCs w:val="20"/>
          <w:lang w:val="es-ES"/>
        </w:rPr>
        <w:t>en] los derechos de los trabajadores</w:t>
      </w:r>
      <w:r w:rsidR="00093244" w:rsidRPr="007B2915">
        <w:rPr>
          <w:rFonts w:ascii="Cambria" w:hAnsi="Cambria"/>
          <w:sz w:val="20"/>
          <w:szCs w:val="20"/>
          <w:lang w:val="es-ES"/>
        </w:rPr>
        <w:t>”</w:t>
      </w:r>
      <w:r w:rsidR="00093244" w:rsidRPr="007B2915">
        <w:rPr>
          <w:rStyle w:val="Refdenotaalpie"/>
          <w:rFonts w:ascii="Cambria" w:hAnsi="Cambria"/>
          <w:sz w:val="20"/>
          <w:szCs w:val="20"/>
          <w:lang w:val="es-ES"/>
        </w:rPr>
        <w:footnoteReference w:id="100"/>
      </w:r>
      <w:r w:rsidR="00093244" w:rsidRPr="007B2915">
        <w:rPr>
          <w:rFonts w:ascii="Cambria" w:hAnsi="Cambria"/>
          <w:sz w:val="20"/>
          <w:szCs w:val="20"/>
          <w:lang w:val="es-ES"/>
        </w:rPr>
        <w:t xml:space="preserve">. </w:t>
      </w:r>
    </w:p>
    <w:p w:rsidR="000F60E8" w:rsidRPr="007B2915" w:rsidRDefault="000F60E8" w:rsidP="00BB641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p>
    <w:p w:rsidR="008D6390" w:rsidRPr="007B2915" w:rsidRDefault="008D6390" w:rsidP="00065A1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B2915">
        <w:rPr>
          <w:rFonts w:ascii="Cambria" w:hAnsi="Cambria"/>
          <w:sz w:val="20"/>
          <w:szCs w:val="20"/>
          <w:lang w:val="es-ES"/>
        </w:rPr>
        <w:t xml:space="preserve">En el mismo sentido, la Corte Europea </w:t>
      </w:r>
      <w:r w:rsidR="00FF3571" w:rsidRPr="007B2915">
        <w:rPr>
          <w:rFonts w:ascii="Cambria" w:hAnsi="Cambria"/>
          <w:sz w:val="20"/>
          <w:szCs w:val="20"/>
          <w:lang w:val="es-ES"/>
        </w:rPr>
        <w:t xml:space="preserve">conoció un caso similar al presente. En el asunto </w:t>
      </w:r>
      <w:r w:rsidR="00FF3571" w:rsidRPr="007B2915">
        <w:rPr>
          <w:rFonts w:ascii="Cambria" w:hAnsi="Cambria"/>
          <w:i/>
          <w:sz w:val="20"/>
          <w:szCs w:val="20"/>
          <w:lang w:val="es-ES"/>
        </w:rPr>
        <w:t>Arras y otros Vs. Italia</w:t>
      </w:r>
      <w:r w:rsidR="00FF3571" w:rsidRPr="007B2915">
        <w:rPr>
          <w:rFonts w:ascii="Cambria" w:hAnsi="Cambria"/>
          <w:sz w:val="20"/>
          <w:szCs w:val="20"/>
          <w:lang w:val="es-ES"/>
        </w:rPr>
        <w:t xml:space="preserve"> un grupo de ex-trabajadores de un banco estatal, que posteriormente fue privatizado, </w:t>
      </w:r>
      <w:r w:rsidR="00337BAC" w:rsidRPr="007B2915">
        <w:rPr>
          <w:rFonts w:ascii="Cambria" w:hAnsi="Cambria"/>
          <w:sz w:val="20"/>
          <w:szCs w:val="20"/>
          <w:lang w:val="es-ES"/>
        </w:rPr>
        <w:t>sufrió</w:t>
      </w:r>
      <w:r w:rsidR="003F260C" w:rsidRPr="007B2915">
        <w:rPr>
          <w:rFonts w:ascii="Cambria" w:hAnsi="Cambria"/>
          <w:sz w:val="20"/>
          <w:szCs w:val="20"/>
          <w:lang w:val="es-ES"/>
        </w:rPr>
        <w:t xml:space="preserve"> </w:t>
      </w:r>
      <w:r w:rsidR="00337BAC" w:rsidRPr="007B2915">
        <w:rPr>
          <w:rFonts w:ascii="Cambria" w:hAnsi="Cambria"/>
          <w:sz w:val="20"/>
          <w:szCs w:val="20"/>
          <w:lang w:val="es-ES"/>
        </w:rPr>
        <w:t xml:space="preserve">la disminución de sus pensiones. </w:t>
      </w:r>
      <w:r w:rsidR="00CD46D2" w:rsidRPr="007B2915">
        <w:rPr>
          <w:rFonts w:ascii="Cambria" w:hAnsi="Cambria"/>
          <w:sz w:val="20"/>
          <w:szCs w:val="20"/>
          <w:lang w:val="es-ES"/>
        </w:rPr>
        <w:t xml:space="preserve">Dichas personas demandaron al banco y, tras diversas instancias, </w:t>
      </w:r>
      <w:r w:rsidR="00A569E5" w:rsidRPr="007B2915">
        <w:rPr>
          <w:rFonts w:ascii="Cambria" w:hAnsi="Cambria"/>
          <w:sz w:val="20"/>
          <w:szCs w:val="20"/>
          <w:lang w:val="es-ES"/>
        </w:rPr>
        <w:t>la Corte de Casación consideró que los ex-trabajadores no debían haber sido afectados con la disminución de sus pensiones</w:t>
      </w:r>
      <w:r w:rsidR="00337BAC" w:rsidRPr="007B2915">
        <w:rPr>
          <w:rFonts w:ascii="Cambria" w:hAnsi="Cambria"/>
          <w:sz w:val="20"/>
          <w:szCs w:val="20"/>
          <w:lang w:val="es-ES"/>
        </w:rPr>
        <w:t>.</w:t>
      </w:r>
      <w:r w:rsidR="00A569E5" w:rsidRPr="007B2915">
        <w:rPr>
          <w:rFonts w:ascii="Cambria" w:hAnsi="Cambria"/>
          <w:sz w:val="20"/>
          <w:szCs w:val="20"/>
          <w:lang w:val="es-ES"/>
        </w:rPr>
        <w:t xml:space="preserve"> No obstante, sus pensiones no fueron modificadas. </w:t>
      </w:r>
      <w:r w:rsidR="00337BAC" w:rsidRPr="007B2915">
        <w:rPr>
          <w:rFonts w:ascii="Cambria" w:hAnsi="Cambria"/>
          <w:sz w:val="20"/>
          <w:szCs w:val="20"/>
          <w:lang w:val="es-ES"/>
        </w:rPr>
        <w:t>La Corte Europea consideró que</w:t>
      </w:r>
      <w:r w:rsidR="00CD46D2" w:rsidRPr="007B2915">
        <w:rPr>
          <w:rFonts w:ascii="Cambria" w:hAnsi="Cambria"/>
          <w:sz w:val="20"/>
          <w:szCs w:val="20"/>
          <w:lang w:val="es-ES"/>
        </w:rPr>
        <w:t xml:space="preserve"> </w:t>
      </w:r>
      <w:r w:rsidR="00337BAC" w:rsidRPr="007B2915">
        <w:rPr>
          <w:rFonts w:ascii="Cambria" w:hAnsi="Cambria"/>
          <w:sz w:val="20"/>
          <w:szCs w:val="20"/>
          <w:lang w:val="es-ES"/>
        </w:rPr>
        <w:t>la privat</w:t>
      </w:r>
      <w:r w:rsidR="00CD46D2" w:rsidRPr="007B2915">
        <w:rPr>
          <w:rFonts w:ascii="Cambria" w:hAnsi="Cambria"/>
          <w:sz w:val="20"/>
          <w:szCs w:val="20"/>
          <w:lang w:val="es-ES"/>
        </w:rPr>
        <w:t>ización de la empresa no era un elemento a tomar en cuenta al momento de analizar el derecho a la tutela judicial efectiva de los pensionados</w:t>
      </w:r>
      <w:r w:rsidR="00CD46D2" w:rsidRPr="007B2915">
        <w:rPr>
          <w:rStyle w:val="Refdenotaalpie"/>
          <w:rFonts w:ascii="Cambria" w:hAnsi="Cambria"/>
          <w:sz w:val="20"/>
          <w:szCs w:val="20"/>
          <w:lang w:val="es-ES"/>
        </w:rPr>
        <w:footnoteReference w:id="101"/>
      </w:r>
      <w:r w:rsidR="00CD46D2" w:rsidRPr="007B2915">
        <w:rPr>
          <w:rFonts w:ascii="Cambria" w:hAnsi="Cambria"/>
          <w:sz w:val="20"/>
          <w:szCs w:val="20"/>
          <w:lang w:val="es-ES"/>
        </w:rPr>
        <w:t xml:space="preserve">. </w:t>
      </w:r>
      <w:r w:rsidR="00337BAC" w:rsidRPr="007B2915">
        <w:rPr>
          <w:rFonts w:ascii="Cambria" w:hAnsi="Cambria"/>
          <w:sz w:val="20"/>
          <w:szCs w:val="20"/>
          <w:lang w:val="es-ES"/>
        </w:rPr>
        <w:t xml:space="preserve">  </w:t>
      </w:r>
    </w:p>
    <w:p w:rsidR="008D6390" w:rsidRPr="007B2915" w:rsidRDefault="008D6390" w:rsidP="008D6390">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p>
    <w:p w:rsidR="00EA7B72" w:rsidRPr="007B2915" w:rsidRDefault="00D174F4" w:rsidP="00065A1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B2915">
        <w:rPr>
          <w:rFonts w:ascii="Cambria" w:hAnsi="Cambria"/>
          <w:sz w:val="20"/>
          <w:szCs w:val="20"/>
          <w:lang w:val="es-ES"/>
        </w:rPr>
        <w:t>L</w:t>
      </w:r>
      <w:r w:rsidR="00A814EB" w:rsidRPr="007B2915">
        <w:rPr>
          <w:rFonts w:ascii="Cambria" w:hAnsi="Cambria"/>
          <w:sz w:val="20"/>
          <w:szCs w:val="20"/>
          <w:lang w:val="es-ES"/>
        </w:rPr>
        <w:t xml:space="preserve">a CIDH </w:t>
      </w:r>
      <w:r w:rsidRPr="007B2915">
        <w:rPr>
          <w:rFonts w:ascii="Cambria" w:hAnsi="Cambria"/>
          <w:sz w:val="20"/>
          <w:szCs w:val="20"/>
          <w:lang w:val="es-ES"/>
        </w:rPr>
        <w:t>coincide con lo indicado por el Comité</w:t>
      </w:r>
      <w:r w:rsidR="008D6390" w:rsidRPr="007B2915">
        <w:rPr>
          <w:rFonts w:ascii="Cambria" w:hAnsi="Cambria"/>
          <w:sz w:val="20"/>
          <w:szCs w:val="20"/>
          <w:lang w:val="es-ES"/>
        </w:rPr>
        <w:t xml:space="preserve"> y la Corte Europea de Derechos Humanos</w:t>
      </w:r>
      <w:r w:rsidRPr="007B2915">
        <w:rPr>
          <w:rFonts w:ascii="Cambria" w:hAnsi="Cambria"/>
          <w:sz w:val="20"/>
          <w:szCs w:val="20"/>
          <w:lang w:val="es-ES"/>
        </w:rPr>
        <w:t xml:space="preserve"> y </w:t>
      </w:r>
      <w:r w:rsidR="00A814EB" w:rsidRPr="007B2915">
        <w:rPr>
          <w:rFonts w:ascii="Cambria" w:hAnsi="Cambria"/>
          <w:sz w:val="20"/>
          <w:szCs w:val="20"/>
          <w:lang w:val="es-ES"/>
        </w:rPr>
        <w:t xml:space="preserve">considera que el </w:t>
      </w:r>
      <w:r w:rsidRPr="007B2915">
        <w:rPr>
          <w:rFonts w:ascii="Cambria" w:hAnsi="Cambria"/>
          <w:sz w:val="20"/>
          <w:szCs w:val="20"/>
          <w:lang w:val="es-ES"/>
        </w:rPr>
        <w:t xml:space="preserve">derecho a la tutela judicial efectiva imponía al Estado </w:t>
      </w:r>
      <w:r w:rsidR="00A814EB" w:rsidRPr="007B2915">
        <w:rPr>
          <w:rFonts w:ascii="Cambria" w:hAnsi="Cambria"/>
          <w:sz w:val="20"/>
          <w:szCs w:val="20"/>
          <w:lang w:val="es-ES"/>
        </w:rPr>
        <w:t>la obligación de asegurarse que</w:t>
      </w:r>
      <w:r w:rsidR="00620089" w:rsidRPr="007B2915">
        <w:rPr>
          <w:rFonts w:ascii="Cambria" w:hAnsi="Cambria"/>
          <w:sz w:val="20"/>
          <w:szCs w:val="20"/>
          <w:lang w:val="es-ES"/>
        </w:rPr>
        <w:t xml:space="preserve"> la privatizació</w:t>
      </w:r>
      <w:r w:rsidRPr="007B2915">
        <w:rPr>
          <w:rFonts w:ascii="Cambria" w:hAnsi="Cambria"/>
          <w:sz w:val="20"/>
          <w:szCs w:val="20"/>
          <w:lang w:val="es-ES"/>
        </w:rPr>
        <w:t>n de la</w:t>
      </w:r>
      <w:r w:rsidR="00620089" w:rsidRPr="007B2915">
        <w:rPr>
          <w:rFonts w:ascii="Cambria" w:hAnsi="Cambria"/>
          <w:sz w:val="20"/>
          <w:szCs w:val="20"/>
          <w:lang w:val="es-ES"/>
        </w:rPr>
        <w:t xml:space="preserve"> empresa estatal, no</w:t>
      </w:r>
      <w:r w:rsidR="00EC12F5" w:rsidRPr="007B2915">
        <w:rPr>
          <w:rFonts w:ascii="Cambria" w:hAnsi="Cambria"/>
          <w:sz w:val="20"/>
          <w:szCs w:val="20"/>
          <w:lang w:val="es-ES"/>
        </w:rPr>
        <w:t xml:space="preserve"> vaciara de contenido el derecho a la pensión</w:t>
      </w:r>
      <w:r w:rsidRPr="007B2915">
        <w:rPr>
          <w:rFonts w:ascii="Cambria" w:hAnsi="Cambria"/>
          <w:sz w:val="20"/>
          <w:szCs w:val="20"/>
          <w:lang w:val="es-ES"/>
        </w:rPr>
        <w:t xml:space="preserve"> en los términos reconocidos judicialmente al señor Muelle.</w:t>
      </w:r>
      <w:r w:rsidR="00A814EB" w:rsidRPr="007B2915">
        <w:rPr>
          <w:rFonts w:ascii="Cambria" w:hAnsi="Cambria"/>
          <w:sz w:val="20"/>
          <w:szCs w:val="20"/>
          <w:lang w:val="es-ES"/>
        </w:rPr>
        <w:t xml:space="preserve"> </w:t>
      </w:r>
      <w:r w:rsidRPr="007B2915">
        <w:rPr>
          <w:rFonts w:ascii="Cambria" w:hAnsi="Cambria"/>
          <w:sz w:val="20"/>
          <w:szCs w:val="20"/>
          <w:lang w:val="es-ES"/>
        </w:rPr>
        <w:t xml:space="preserve">La Comisión no cuenta con información sobre medida alguna adoptada por el Estado </w:t>
      </w:r>
      <w:r w:rsidR="002C44AB" w:rsidRPr="007B2915">
        <w:rPr>
          <w:rFonts w:ascii="Cambria" w:hAnsi="Cambria"/>
          <w:sz w:val="20"/>
          <w:szCs w:val="20"/>
          <w:lang w:val="es-ES"/>
        </w:rPr>
        <w:t xml:space="preserve">para asegurar que la privatización de la empresa no socavara el derecho a la tutela judicial efectiva del peticionario. </w:t>
      </w:r>
    </w:p>
    <w:p w:rsidR="00EA7B72" w:rsidRPr="007B2915" w:rsidRDefault="00EA7B72" w:rsidP="00BB641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p>
    <w:p w:rsidR="00065A11" w:rsidRPr="007B2915" w:rsidRDefault="00A814EB" w:rsidP="00065A11">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B2915">
        <w:rPr>
          <w:rFonts w:ascii="Cambria" w:hAnsi="Cambria"/>
          <w:sz w:val="20"/>
          <w:szCs w:val="20"/>
          <w:lang w:val="es-ES"/>
        </w:rPr>
        <w:t>Asimismo, la Comisión</w:t>
      </w:r>
      <w:r w:rsidR="000F20FE" w:rsidRPr="007B2915">
        <w:rPr>
          <w:rFonts w:ascii="Cambria" w:hAnsi="Cambria"/>
          <w:sz w:val="20"/>
          <w:szCs w:val="20"/>
          <w:lang w:val="es-ES"/>
        </w:rPr>
        <w:t xml:space="preserve"> resalta</w:t>
      </w:r>
      <w:r w:rsidRPr="007B2915">
        <w:rPr>
          <w:rFonts w:ascii="Cambria" w:hAnsi="Cambria"/>
          <w:sz w:val="20"/>
          <w:szCs w:val="20"/>
          <w:lang w:val="es-ES"/>
        </w:rPr>
        <w:t xml:space="preserve"> que </w:t>
      </w:r>
      <w:r w:rsidR="00065A11" w:rsidRPr="007B2915">
        <w:rPr>
          <w:rFonts w:ascii="Cambria" w:hAnsi="Cambria"/>
          <w:sz w:val="20"/>
          <w:szCs w:val="20"/>
          <w:lang w:val="es-ES"/>
        </w:rPr>
        <w:t xml:space="preserve">las resoluciones emitidas en el marco de la etapa de ejecución de la sentencia de la Corte Suprema no analizaron </w:t>
      </w:r>
      <w:r w:rsidR="00002520" w:rsidRPr="007B2915">
        <w:rPr>
          <w:rFonts w:ascii="Cambria" w:hAnsi="Cambria"/>
          <w:sz w:val="20"/>
          <w:szCs w:val="20"/>
          <w:lang w:val="es-ES"/>
        </w:rPr>
        <w:t xml:space="preserve">en detalle </w:t>
      </w:r>
      <w:r w:rsidR="00065A11" w:rsidRPr="007B2915">
        <w:rPr>
          <w:rFonts w:ascii="Cambria" w:hAnsi="Cambria"/>
          <w:sz w:val="20"/>
          <w:szCs w:val="20"/>
          <w:lang w:val="es-ES"/>
        </w:rPr>
        <w:t>dicha situación</w:t>
      </w:r>
      <w:r w:rsidR="00DF0B3E" w:rsidRPr="007B2915">
        <w:rPr>
          <w:rFonts w:ascii="Cambria" w:hAnsi="Cambria"/>
          <w:sz w:val="20"/>
          <w:szCs w:val="20"/>
          <w:lang w:val="es-ES"/>
        </w:rPr>
        <w:t xml:space="preserve"> y sus implicaciones en los derechos del señor Muelle,</w:t>
      </w:r>
      <w:r w:rsidR="00065A11" w:rsidRPr="007B2915">
        <w:rPr>
          <w:rFonts w:ascii="Cambria" w:hAnsi="Cambria"/>
          <w:sz w:val="20"/>
          <w:szCs w:val="20"/>
          <w:lang w:val="es-ES"/>
        </w:rPr>
        <w:t xml:space="preserve"> lo cual fue un factor adicional en la demora del trámite de cumplimiento</w:t>
      </w:r>
      <w:r w:rsidR="007C66F7" w:rsidRPr="007B2915">
        <w:rPr>
          <w:rFonts w:ascii="Cambria" w:hAnsi="Cambria"/>
          <w:sz w:val="20"/>
          <w:szCs w:val="20"/>
          <w:lang w:val="es-ES"/>
        </w:rPr>
        <w:t xml:space="preserve"> y, en definitiva, en la imposibilidad de que los fallos fa</w:t>
      </w:r>
      <w:r w:rsidR="000F7962" w:rsidRPr="007B2915">
        <w:rPr>
          <w:rFonts w:ascii="Cambria" w:hAnsi="Cambria"/>
          <w:sz w:val="20"/>
          <w:szCs w:val="20"/>
          <w:lang w:val="es-ES"/>
        </w:rPr>
        <w:t>vorables al</w:t>
      </w:r>
      <w:r w:rsidR="00DF0B3E" w:rsidRPr="007B2915">
        <w:rPr>
          <w:rFonts w:ascii="Cambria" w:hAnsi="Cambria"/>
          <w:sz w:val="20"/>
          <w:szCs w:val="20"/>
          <w:lang w:val="es-ES"/>
        </w:rPr>
        <w:t xml:space="preserve"> peticionarios</w:t>
      </w:r>
      <w:r w:rsidR="000F7962" w:rsidRPr="007B2915">
        <w:rPr>
          <w:rFonts w:ascii="Cambria" w:hAnsi="Cambria"/>
          <w:sz w:val="20"/>
          <w:szCs w:val="20"/>
          <w:lang w:val="es-ES"/>
        </w:rPr>
        <w:t xml:space="preserve"> </w:t>
      </w:r>
      <w:r w:rsidR="00DF0B3E" w:rsidRPr="007B2915">
        <w:rPr>
          <w:rFonts w:ascii="Cambria" w:hAnsi="Cambria"/>
          <w:sz w:val="20"/>
          <w:szCs w:val="20"/>
          <w:lang w:val="es-ES"/>
        </w:rPr>
        <w:t xml:space="preserve">fueran efectivamente ejecutados por la empresa o por otra autoridad estatal. </w:t>
      </w:r>
      <w:r w:rsidR="00EA7B72" w:rsidRPr="007B2915">
        <w:rPr>
          <w:rFonts w:ascii="Cambria" w:hAnsi="Cambria"/>
          <w:sz w:val="20"/>
          <w:szCs w:val="20"/>
          <w:lang w:val="es-ES"/>
        </w:rPr>
        <w:t xml:space="preserve">En efecto, no se adoptaron medidas para verificar si la empresa privatizada había asumido o no los pasivos de la empresa estatal y, en caso negativo, disponer qué autoridad estatal debía cumplir con la decisión de la Corte Suprema. Por el contrario, las autoridades judiciales en el </w:t>
      </w:r>
      <w:r w:rsidR="00EA7B72" w:rsidRPr="007B2915">
        <w:rPr>
          <w:rFonts w:ascii="Cambria" w:hAnsi="Cambria"/>
          <w:sz w:val="20"/>
          <w:szCs w:val="20"/>
          <w:lang w:val="es-ES"/>
        </w:rPr>
        <w:lastRenderedPageBreak/>
        <w:t xml:space="preserve">proceso de ejecución de sentencia se limitaron a concluir que no se había probado que la empresa privatizada había asumido los pasivos de la empresa estatal. En consecuencia, </w:t>
      </w:r>
      <w:r w:rsidR="007753E5" w:rsidRPr="007B2915">
        <w:rPr>
          <w:rFonts w:ascii="Cambria" w:hAnsi="Cambria"/>
          <w:sz w:val="20"/>
          <w:szCs w:val="20"/>
          <w:lang w:val="es-ES"/>
        </w:rPr>
        <w:t>además de la falta de cumpli</w:t>
      </w:r>
      <w:r w:rsidR="00336FCB" w:rsidRPr="007B2915">
        <w:rPr>
          <w:rFonts w:ascii="Cambria" w:hAnsi="Cambria"/>
          <w:sz w:val="20"/>
          <w:szCs w:val="20"/>
          <w:lang w:val="es-ES"/>
        </w:rPr>
        <w:t xml:space="preserve">miento por parte de la empresa, y </w:t>
      </w:r>
      <w:r w:rsidR="007753E5" w:rsidRPr="007B2915">
        <w:rPr>
          <w:rFonts w:ascii="Cambria" w:hAnsi="Cambria"/>
          <w:sz w:val="20"/>
          <w:szCs w:val="20"/>
          <w:lang w:val="es-ES"/>
        </w:rPr>
        <w:t xml:space="preserve">de la falta de adopción de medidas para evitar que su privatización violara los derechos del señor Muelle, </w:t>
      </w:r>
      <w:r w:rsidR="00EA7B72" w:rsidRPr="007B2915">
        <w:rPr>
          <w:rFonts w:ascii="Cambria" w:hAnsi="Cambria"/>
          <w:sz w:val="20"/>
          <w:szCs w:val="20"/>
          <w:lang w:val="es-ES"/>
        </w:rPr>
        <w:t xml:space="preserve">el proceso de ejecución de sentencia </w:t>
      </w:r>
      <w:r w:rsidR="007753E5" w:rsidRPr="007B2915">
        <w:rPr>
          <w:rFonts w:ascii="Cambria" w:hAnsi="Cambria"/>
          <w:sz w:val="20"/>
          <w:szCs w:val="20"/>
          <w:lang w:val="es-ES"/>
        </w:rPr>
        <w:t xml:space="preserve">tampoco </w:t>
      </w:r>
      <w:r w:rsidR="00EA7B72" w:rsidRPr="007B2915">
        <w:rPr>
          <w:rFonts w:ascii="Cambria" w:hAnsi="Cambria"/>
          <w:sz w:val="20"/>
          <w:szCs w:val="20"/>
          <w:lang w:val="es-ES"/>
        </w:rPr>
        <w:t>cumplió</w:t>
      </w:r>
      <w:r w:rsidR="007A7084" w:rsidRPr="007B2915">
        <w:rPr>
          <w:rFonts w:ascii="Cambria" w:hAnsi="Cambria"/>
          <w:sz w:val="20"/>
          <w:szCs w:val="20"/>
          <w:lang w:val="es-ES"/>
        </w:rPr>
        <w:t xml:space="preserve"> con su finalidad esencial y, en consecuencia, </w:t>
      </w:r>
      <w:r w:rsidR="00EA7B72" w:rsidRPr="007B2915">
        <w:rPr>
          <w:rFonts w:ascii="Cambria" w:hAnsi="Cambria"/>
          <w:sz w:val="20"/>
          <w:szCs w:val="20"/>
          <w:lang w:val="es-ES"/>
        </w:rPr>
        <w:t>resultó inefectivo</w:t>
      </w:r>
      <w:r w:rsidR="007A7084" w:rsidRPr="007B2915">
        <w:rPr>
          <w:rFonts w:ascii="Cambria" w:hAnsi="Cambria"/>
          <w:sz w:val="20"/>
          <w:szCs w:val="20"/>
          <w:lang w:val="es-ES"/>
        </w:rPr>
        <w:t>.</w:t>
      </w:r>
    </w:p>
    <w:p w:rsidR="00A814EB" w:rsidRPr="007B2915" w:rsidRDefault="00A814EB" w:rsidP="00065A11">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rsidR="00F5464B" w:rsidRPr="007B2915" w:rsidRDefault="00676575" w:rsidP="00227C8A">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B2915">
        <w:rPr>
          <w:rFonts w:ascii="Cambria" w:hAnsi="Cambria"/>
          <w:sz w:val="20"/>
          <w:szCs w:val="20"/>
          <w:lang w:val="es-ES"/>
        </w:rPr>
        <w:t xml:space="preserve">En virtud de lo anterior, </w:t>
      </w:r>
      <w:r w:rsidR="00227C8A" w:rsidRPr="007B2915">
        <w:rPr>
          <w:rFonts w:ascii="Cambria" w:hAnsi="Cambria"/>
          <w:sz w:val="20"/>
          <w:szCs w:val="20"/>
          <w:lang w:val="es-ES"/>
        </w:rPr>
        <w:t>la Comisión con</w:t>
      </w:r>
      <w:r w:rsidRPr="007B2915">
        <w:rPr>
          <w:rFonts w:ascii="Cambria" w:hAnsi="Cambria"/>
          <w:sz w:val="20"/>
          <w:szCs w:val="20"/>
          <w:lang w:val="es-ES"/>
        </w:rPr>
        <w:t>sidera</w:t>
      </w:r>
      <w:r w:rsidR="00227C8A" w:rsidRPr="007B2915">
        <w:rPr>
          <w:rFonts w:ascii="Cambria" w:hAnsi="Cambria"/>
          <w:sz w:val="20"/>
          <w:szCs w:val="20"/>
          <w:lang w:val="es-ES"/>
        </w:rPr>
        <w:t xml:space="preserve"> que pasados casi </w:t>
      </w:r>
      <w:r w:rsidR="00311E06" w:rsidRPr="007B2915">
        <w:rPr>
          <w:rFonts w:ascii="Cambria" w:hAnsi="Cambria"/>
          <w:sz w:val="20"/>
          <w:szCs w:val="20"/>
          <w:lang w:val="es-ES"/>
        </w:rPr>
        <w:t>24</w:t>
      </w:r>
      <w:r w:rsidR="00227C8A" w:rsidRPr="007B2915">
        <w:rPr>
          <w:rFonts w:ascii="Cambria" w:hAnsi="Cambria"/>
          <w:sz w:val="20"/>
          <w:szCs w:val="20"/>
          <w:lang w:val="es-ES"/>
        </w:rPr>
        <w:t xml:space="preserve"> años desde el primer fallo judicial a favor del señor Muelle, el Estado continúa violando su derecho a la tutela judicial efectiva ante la ausencia de ejecución de la</w:t>
      </w:r>
      <w:r w:rsidR="001C718B" w:rsidRPr="007B2915">
        <w:rPr>
          <w:rFonts w:ascii="Cambria" w:hAnsi="Cambria"/>
          <w:sz w:val="20"/>
          <w:szCs w:val="20"/>
          <w:lang w:val="es-ES"/>
        </w:rPr>
        <w:t>s</w:t>
      </w:r>
      <w:r w:rsidR="00227C8A" w:rsidRPr="007B2915">
        <w:rPr>
          <w:rFonts w:ascii="Cambria" w:hAnsi="Cambria"/>
          <w:sz w:val="20"/>
          <w:szCs w:val="20"/>
          <w:lang w:val="es-ES"/>
        </w:rPr>
        <w:t xml:space="preserve"> sentencia</w:t>
      </w:r>
      <w:r w:rsidR="001C718B" w:rsidRPr="007B2915">
        <w:rPr>
          <w:rFonts w:ascii="Cambria" w:hAnsi="Cambria"/>
          <w:sz w:val="20"/>
          <w:szCs w:val="20"/>
          <w:lang w:val="es-ES"/>
        </w:rPr>
        <w:t>s</w:t>
      </w:r>
      <w:r w:rsidR="00227C8A" w:rsidRPr="007B2915">
        <w:rPr>
          <w:rFonts w:ascii="Cambria" w:hAnsi="Cambria"/>
          <w:sz w:val="20"/>
          <w:szCs w:val="20"/>
          <w:lang w:val="es-ES"/>
        </w:rPr>
        <w:t xml:space="preserve"> en firme </w:t>
      </w:r>
      <w:r w:rsidR="001C718B" w:rsidRPr="007B2915">
        <w:rPr>
          <w:rFonts w:ascii="Cambria" w:hAnsi="Cambria"/>
          <w:sz w:val="20"/>
          <w:szCs w:val="20"/>
          <w:lang w:val="es-ES"/>
        </w:rPr>
        <w:t xml:space="preserve">emitidas en su favor así como </w:t>
      </w:r>
      <w:r w:rsidR="00227C8A" w:rsidRPr="007B2915">
        <w:rPr>
          <w:rFonts w:ascii="Cambria" w:hAnsi="Cambria"/>
          <w:sz w:val="20"/>
          <w:szCs w:val="20"/>
          <w:lang w:val="es-ES"/>
        </w:rPr>
        <w:t>la inefectividad de los mecanismos judiciales activados posteriormente para lograr dicho cumplimiento. Esta situación dejó al señor Muelle en un estado de ind</w:t>
      </w:r>
      <w:r w:rsidR="00937E12" w:rsidRPr="007B2915">
        <w:rPr>
          <w:rFonts w:ascii="Cambria" w:hAnsi="Cambria"/>
          <w:sz w:val="20"/>
          <w:szCs w:val="20"/>
          <w:lang w:val="es-ES"/>
        </w:rPr>
        <w:t>efensión e inseguridad jurídica</w:t>
      </w:r>
      <w:r w:rsidR="00227C8A" w:rsidRPr="007B2915">
        <w:rPr>
          <w:rFonts w:ascii="Cambria" w:hAnsi="Cambria"/>
          <w:sz w:val="20"/>
          <w:szCs w:val="20"/>
          <w:lang w:val="es-ES"/>
        </w:rPr>
        <w:t xml:space="preserve"> que le impidió restablecer debidamente los derechos reconocidos por las autoridades competentes</w:t>
      </w:r>
      <w:r w:rsidR="00937E12" w:rsidRPr="007B2915">
        <w:rPr>
          <w:rFonts w:ascii="Cambria" w:hAnsi="Cambria"/>
          <w:sz w:val="20"/>
          <w:szCs w:val="20"/>
          <w:lang w:val="es-ES"/>
        </w:rPr>
        <w:t xml:space="preserve"> y que se mantiene hasta la fecha.  </w:t>
      </w:r>
    </w:p>
    <w:p w:rsidR="00E26B66" w:rsidRPr="007B2915" w:rsidRDefault="00E26B66" w:rsidP="00E26B66">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p>
    <w:p w:rsidR="007361A3" w:rsidRPr="007B2915" w:rsidRDefault="00601CAD" w:rsidP="00601CAD">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r w:rsidRPr="007B2915">
        <w:rPr>
          <w:rFonts w:ascii="Cambria" w:hAnsi="Cambria"/>
          <w:sz w:val="20"/>
          <w:szCs w:val="20"/>
          <w:lang w:val="es-ES"/>
        </w:rPr>
        <w:t>En</w:t>
      </w:r>
      <w:r w:rsidR="00676575" w:rsidRPr="007B2915">
        <w:rPr>
          <w:rFonts w:ascii="Cambria" w:hAnsi="Cambria"/>
          <w:sz w:val="20"/>
          <w:szCs w:val="20"/>
          <w:lang w:val="es-ES"/>
        </w:rPr>
        <w:t xml:space="preserve"> consecuencia, la</w:t>
      </w:r>
      <w:r w:rsidRPr="007B2915">
        <w:rPr>
          <w:rFonts w:ascii="Cambria" w:hAnsi="Cambria"/>
          <w:sz w:val="20"/>
          <w:szCs w:val="20"/>
          <w:lang w:val="es-ES"/>
        </w:rPr>
        <w:t xml:space="preserve"> CIDH concluye que</w:t>
      </w:r>
      <w:r w:rsidR="00C261A7" w:rsidRPr="007B2915">
        <w:rPr>
          <w:rFonts w:ascii="Cambria" w:hAnsi="Cambria"/>
          <w:sz w:val="20"/>
          <w:szCs w:val="20"/>
          <w:lang w:val="es-ES"/>
        </w:rPr>
        <w:t xml:space="preserve"> el Estado</w:t>
      </w:r>
      <w:r w:rsidR="004D229F" w:rsidRPr="007B2915">
        <w:rPr>
          <w:rFonts w:ascii="Cambria" w:hAnsi="Cambria"/>
          <w:sz w:val="20"/>
          <w:szCs w:val="20"/>
          <w:lang w:val="es-ES"/>
        </w:rPr>
        <w:t xml:space="preserve"> peruano es responsable por la violación de los derechos establecidos en los artículos 25.1 y 25.2 c) </w:t>
      </w:r>
      <w:r w:rsidR="00C261A7" w:rsidRPr="007B2915">
        <w:rPr>
          <w:rFonts w:ascii="Cambria" w:hAnsi="Cambria"/>
          <w:sz w:val="20"/>
          <w:szCs w:val="20"/>
          <w:lang w:val="es-ES"/>
        </w:rPr>
        <w:t>de la Convención</w:t>
      </w:r>
      <w:r w:rsidR="00B2419B" w:rsidRPr="007B2915">
        <w:rPr>
          <w:rFonts w:ascii="Cambria" w:hAnsi="Cambria"/>
          <w:sz w:val="20"/>
          <w:szCs w:val="20"/>
          <w:lang w:val="es-ES"/>
        </w:rPr>
        <w:t xml:space="preserve"> Americana</w:t>
      </w:r>
      <w:r w:rsidR="00887718" w:rsidRPr="007B2915">
        <w:rPr>
          <w:rFonts w:ascii="Cambria" w:hAnsi="Cambria"/>
          <w:sz w:val="20"/>
          <w:szCs w:val="20"/>
          <w:lang w:val="es-ES"/>
        </w:rPr>
        <w:t xml:space="preserve"> </w:t>
      </w:r>
      <w:r w:rsidR="00B2419B" w:rsidRPr="007B2915">
        <w:rPr>
          <w:rFonts w:ascii="Cambria" w:hAnsi="Cambria"/>
          <w:sz w:val="20"/>
          <w:szCs w:val="20"/>
          <w:lang w:val="es-ES"/>
        </w:rPr>
        <w:t>en relación con</w:t>
      </w:r>
      <w:r w:rsidR="00887718" w:rsidRPr="007B2915">
        <w:rPr>
          <w:rFonts w:ascii="Cambria" w:hAnsi="Cambria"/>
          <w:sz w:val="20"/>
          <w:szCs w:val="20"/>
          <w:lang w:val="es-ES"/>
        </w:rPr>
        <w:t xml:space="preserve"> las obligaciones establecidas en</w:t>
      </w:r>
      <w:r w:rsidR="00B2419B" w:rsidRPr="007B2915">
        <w:rPr>
          <w:rFonts w:ascii="Cambria" w:hAnsi="Cambria"/>
          <w:sz w:val="20"/>
          <w:szCs w:val="20"/>
          <w:lang w:val="es-ES"/>
        </w:rPr>
        <w:t xml:space="preserve"> el artículo 1.1 del mismo instrumento</w:t>
      </w:r>
      <w:r w:rsidR="00887718" w:rsidRPr="007B2915">
        <w:rPr>
          <w:rFonts w:ascii="Cambria" w:hAnsi="Cambria"/>
          <w:sz w:val="20"/>
          <w:szCs w:val="20"/>
          <w:lang w:val="es-ES"/>
        </w:rPr>
        <w:t xml:space="preserve"> en perjuicio del señor Muelle Flores. </w:t>
      </w:r>
    </w:p>
    <w:p w:rsidR="007361A3" w:rsidRPr="007B2915" w:rsidRDefault="007361A3" w:rsidP="00BB641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p>
    <w:p w:rsidR="00C261A7" w:rsidRPr="007B2915" w:rsidRDefault="007361A3" w:rsidP="00BB6415">
      <w:pPr>
        <w:numPr>
          <w:ilvl w:val="0"/>
          <w:numId w:val="55"/>
        </w:numPr>
        <w:jc w:val="both"/>
        <w:rPr>
          <w:lang w:val="es-ES"/>
        </w:rPr>
      </w:pPr>
      <w:r w:rsidRPr="007B2915">
        <w:rPr>
          <w:rFonts w:ascii="Cambria" w:hAnsi="Cambria"/>
          <w:sz w:val="20"/>
          <w:szCs w:val="20"/>
          <w:lang w:val="es-ES"/>
        </w:rPr>
        <w:t xml:space="preserve">Adicionalmente y tomando en cuenta las consideraciones efectuadas </w:t>
      </w:r>
      <w:r w:rsidRPr="007B2915">
        <w:rPr>
          <w:rFonts w:ascii="Cambria" w:hAnsi="Cambria"/>
          <w:i/>
          <w:sz w:val="20"/>
          <w:szCs w:val="20"/>
          <w:lang w:val="es-ES"/>
        </w:rPr>
        <w:t xml:space="preserve">supra, </w:t>
      </w:r>
      <w:r w:rsidRPr="007B2915">
        <w:rPr>
          <w:rFonts w:ascii="Cambria" w:hAnsi="Cambria"/>
          <w:sz w:val="20"/>
          <w:szCs w:val="20"/>
          <w:lang w:val="es-ES"/>
        </w:rPr>
        <w:t xml:space="preserve">la Comisión considera que el caso del señor Muelle es un ejemplo más de una problemática </w:t>
      </w:r>
      <w:r w:rsidR="004C1B0D" w:rsidRPr="007B2915">
        <w:rPr>
          <w:rFonts w:ascii="Cambria" w:hAnsi="Cambria"/>
          <w:sz w:val="20"/>
          <w:szCs w:val="20"/>
          <w:lang w:val="es-ES"/>
        </w:rPr>
        <w:t xml:space="preserve">estructural </w:t>
      </w:r>
      <w:r w:rsidRPr="007B2915">
        <w:rPr>
          <w:rFonts w:ascii="Cambria" w:hAnsi="Cambria"/>
          <w:sz w:val="20"/>
          <w:szCs w:val="20"/>
          <w:lang w:val="es-ES"/>
        </w:rPr>
        <w:t xml:space="preserve">de alcance general consistente en el incumplimiento de sentencias judiciales agravado por una práctica conforme a la cual las autoridades judiciales a cargo de la ejecución de dichas sentencias no </w:t>
      </w:r>
      <w:r w:rsidR="005F3413" w:rsidRPr="007B2915">
        <w:rPr>
          <w:rFonts w:ascii="Cambria" w:hAnsi="Cambria"/>
          <w:sz w:val="20"/>
          <w:szCs w:val="20"/>
          <w:lang w:val="es-ES"/>
        </w:rPr>
        <w:t>implementan</w:t>
      </w:r>
      <w:r w:rsidRPr="007B2915">
        <w:rPr>
          <w:rFonts w:ascii="Cambria" w:hAnsi="Cambria"/>
          <w:sz w:val="20"/>
          <w:szCs w:val="20"/>
          <w:lang w:val="es-ES"/>
        </w:rPr>
        <w:t xml:space="preserve"> mecanismos coercitivos para asegurar dicho cumplimiento y, con ello, la materialización del derecho a la tutela judicial efectiva. </w:t>
      </w:r>
      <w:r w:rsidR="002B57CD" w:rsidRPr="007B2915">
        <w:rPr>
          <w:rFonts w:ascii="Cambria" w:hAnsi="Cambria"/>
          <w:sz w:val="20"/>
          <w:szCs w:val="20"/>
          <w:lang w:val="es-ES"/>
        </w:rPr>
        <w:t xml:space="preserve">La Comisión destaca que </w:t>
      </w:r>
      <w:r w:rsidR="001B6FDE" w:rsidRPr="007B2915">
        <w:rPr>
          <w:rFonts w:ascii="Cambria" w:hAnsi="Cambria"/>
          <w:sz w:val="20"/>
          <w:szCs w:val="20"/>
          <w:lang w:val="es-ES"/>
        </w:rPr>
        <w:t>a pesar de estar en conocimiento de esta problemática,</w:t>
      </w:r>
      <w:r w:rsidR="005F3413" w:rsidRPr="007B2915">
        <w:rPr>
          <w:rFonts w:ascii="Cambria" w:hAnsi="Cambria"/>
          <w:sz w:val="20"/>
          <w:szCs w:val="20"/>
          <w:lang w:val="es-ES"/>
        </w:rPr>
        <w:t xml:space="preserve"> </w:t>
      </w:r>
      <w:r w:rsidR="001B6FDE" w:rsidRPr="007B2915">
        <w:rPr>
          <w:rFonts w:ascii="Cambria" w:hAnsi="Cambria"/>
          <w:sz w:val="20"/>
          <w:szCs w:val="20"/>
          <w:lang w:val="es-ES"/>
        </w:rPr>
        <w:t xml:space="preserve">el Estado no ha adoptado las medidas generales necesarias para remediarla y evitar su repetición. </w:t>
      </w:r>
      <w:r w:rsidR="002B57CD" w:rsidRPr="007B2915">
        <w:rPr>
          <w:rFonts w:ascii="Cambria" w:hAnsi="Cambria"/>
          <w:sz w:val="20"/>
          <w:szCs w:val="20"/>
          <w:lang w:val="es-ES"/>
        </w:rPr>
        <w:t xml:space="preserve">En consecuencia, la Comisión considera que el Estado también es responsable por la violación del artículo 2 de la Convención Americana. </w:t>
      </w:r>
    </w:p>
    <w:bookmarkEnd w:id="52"/>
    <w:p w:rsidR="00675524" w:rsidRPr="007B2915" w:rsidRDefault="00675524" w:rsidP="00D8343A">
      <w:pPr>
        <w:rPr>
          <w:rFonts w:ascii="Cambria" w:hAnsi="Cambria"/>
          <w:sz w:val="20"/>
          <w:szCs w:val="20"/>
          <w:lang w:val="es-ES"/>
        </w:rPr>
      </w:pPr>
    </w:p>
    <w:p w:rsidR="00C75BEB" w:rsidRPr="007B2915" w:rsidRDefault="009563AE" w:rsidP="009563AE">
      <w:pPr>
        <w:pStyle w:val="Ttulo3"/>
      </w:pPr>
      <w:bookmarkStart w:id="63" w:name="_Toc346449095"/>
      <w:bookmarkStart w:id="64" w:name="_Toc474398502"/>
      <w:r w:rsidRPr="007B2915">
        <w:t xml:space="preserve">4. </w:t>
      </w:r>
      <w:r w:rsidRPr="007B2915">
        <w:tab/>
      </w:r>
      <w:r w:rsidR="00C75BEB" w:rsidRPr="007B2915">
        <w:t>Plazo razonable en la ejecución de fallos internos</w:t>
      </w:r>
      <w:bookmarkEnd w:id="63"/>
      <w:bookmarkEnd w:id="64"/>
    </w:p>
    <w:p w:rsidR="00C75BEB" w:rsidRPr="007B2915" w:rsidRDefault="00C75BEB" w:rsidP="00D8343A">
      <w:pPr>
        <w:rPr>
          <w:rFonts w:ascii="Cambria" w:hAnsi="Cambria"/>
          <w:sz w:val="20"/>
          <w:szCs w:val="20"/>
          <w:lang w:val="es-ES"/>
        </w:rPr>
      </w:pPr>
    </w:p>
    <w:p w:rsidR="001C455A" w:rsidRPr="007B2915" w:rsidRDefault="00286DB9" w:rsidP="00286DB9">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s>
        <w:jc w:val="both"/>
        <w:rPr>
          <w:rFonts w:ascii="Cambria" w:hAnsi="Cambria"/>
          <w:sz w:val="20"/>
          <w:szCs w:val="20"/>
          <w:lang w:val="es-ES"/>
        </w:rPr>
      </w:pPr>
      <w:r w:rsidRPr="007B2915">
        <w:rPr>
          <w:rFonts w:ascii="Cambria" w:hAnsi="Cambria"/>
          <w:sz w:val="20"/>
          <w:szCs w:val="20"/>
          <w:lang w:val="es-ES"/>
        </w:rPr>
        <w:t>El artículo 8.1 de la Convención Americana establece como uno de los elementos del debido proceso que los tribunales decidan los casos sometidos a su conocimiento en un plazo razonable. En este sentido, una demora prolongada puede llegar a constituir, por sí misma, una violación de las garantías judiciales</w:t>
      </w:r>
      <w:r w:rsidRPr="007B2915">
        <w:rPr>
          <w:rStyle w:val="Refdenotaalpie"/>
          <w:rFonts w:ascii="Cambria" w:hAnsi="Cambria"/>
          <w:sz w:val="20"/>
          <w:szCs w:val="20"/>
          <w:lang w:val="es-ES_tradnl"/>
        </w:rPr>
        <w:footnoteReference w:id="102"/>
      </w:r>
      <w:r w:rsidR="001C455A" w:rsidRPr="007B2915">
        <w:rPr>
          <w:rFonts w:ascii="Cambria" w:hAnsi="Cambria"/>
          <w:sz w:val="20"/>
          <w:szCs w:val="20"/>
          <w:lang w:val="es-ES"/>
        </w:rPr>
        <w:t xml:space="preserve">. Aunque la CIDH y la Corte se han pronunciado </w:t>
      </w:r>
      <w:r w:rsidR="006305F1" w:rsidRPr="007B2915">
        <w:rPr>
          <w:rFonts w:ascii="Cambria" w:hAnsi="Cambria"/>
          <w:sz w:val="20"/>
          <w:szCs w:val="20"/>
          <w:lang w:val="es-ES"/>
        </w:rPr>
        <w:t xml:space="preserve">de manera extensa </w:t>
      </w:r>
      <w:r w:rsidR="001C455A" w:rsidRPr="007B2915">
        <w:rPr>
          <w:rFonts w:ascii="Cambria" w:hAnsi="Cambria"/>
          <w:sz w:val="20"/>
          <w:szCs w:val="20"/>
          <w:lang w:val="es-ES"/>
        </w:rPr>
        <w:t>sobre el plazo razonable en procesos de carácter penal, ésta disposición también puede ser aplicada a la ejecución de una sentencia judicial en firme.</w:t>
      </w:r>
    </w:p>
    <w:p w:rsidR="001C455A" w:rsidRPr="007B2915" w:rsidRDefault="001C455A" w:rsidP="001C455A">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rsidR="001C455A" w:rsidRPr="007B2915" w:rsidRDefault="0005012D" w:rsidP="00286DB9">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s>
        <w:jc w:val="both"/>
        <w:rPr>
          <w:rFonts w:ascii="Cambria" w:hAnsi="Cambria"/>
          <w:sz w:val="20"/>
          <w:szCs w:val="20"/>
          <w:lang w:val="es-ES"/>
        </w:rPr>
      </w:pPr>
      <w:r w:rsidRPr="007B2915">
        <w:rPr>
          <w:rFonts w:ascii="Cambria" w:hAnsi="Cambria"/>
          <w:sz w:val="20"/>
          <w:szCs w:val="20"/>
          <w:lang w:val="es-ES"/>
        </w:rPr>
        <w:t>Ello ha sido reiterado en la jurisprudencia de la Corte Europea</w:t>
      </w:r>
      <w:r w:rsidR="007C70CE" w:rsidRPr="007B2915">
        <w:rPr>
          <w:rFonts w:ascii="Cambria" w:hAnsi="Cambria"/>
          <w:sz w:val="20"/>
          <w:szCs w:val="20"/>
          <w:lang w:val="es-ES"/>
        </w:rPr>
        <w:t>, al indicar que el retraso injustificado en la ejecución de una sentencia judicial puede constituir una violación del derecho a ser juzgado dentro un plazo razonable</w:t>
      </w:r>
      <w:r w:rsidR="007C70CE" w:rsidRPr="007B2915">
        <w:rPr>
          <w:rStyle w:val="Refdenotaalpie"/>
          <w:rFonts w:ascii="Cambria" w:hAnsi="Cambria"/>
          <w:sz w:val="20"/>
          <w:szCs w:val="20"/>
          <w:lang w:val="es-ES"/>
        </w:rPr>
        <w:footnoteReference w:id="103"/>
      </w:r>
      <w:r w:rsidR="007C70CE" w:rsidRPr="007B2915">
        <w:rPr>
          <w:rFonts w:ascii="Cambria" w:hAnsi="Cambria"/>
          <w:sz w:val="20"/>
          <w:szCs w:val="20"/>
          <w:lang w:val="es-ES"/>
        </w:rPr>
        <w:t>.</w:t>
      </w:r>
      <w:r w:rsidR="00135B52" w:rsidRPr="007B2915">
        <w:rPr>
          <w:rFonts w:ascii="Cambria" w:hAnsi="Cambria"/>
          <w:sz w:val="20"/>
          <w:szCs w:val="20"/>
          <w:lang w:val="es-ES"/>
        </w:rPr>
        <w:t xml:space="preserve"> La Corte Europea remarcó que en ningún caso el retraso de la ejecución de una sentencia judicial en firme “podrá comprometer la esencia del derecho recogido por el derecho </w:t>
      </w:r>
      <w:r w:rsidR="00135B52" w:rsidRPr="007B2915">
        <w:rPr>
          <w:rFonts w:ascii="Cambria" w:hAnsi="Cambria" w:cs="Arial"/>
          <w:sz w:val="20"/>
          <w:szCs w:val="20"/>
          <w:lang w:val="es-ES"/>
        </w:rPr>
        <w:t>[al debido proceso]</w:t>
      </w:r>
      <w:r w:rsidR="00135B52" w:rsidRPr="007B2915">
        <w:rPr>
          <w:rFonts w:ascii="Cambria" w:hAnsi="Cambria"/>
          <w:sz w:val="20"/>
          <w:szCs w:val="20"/>
          <w:lang w:val="es-ES"/>
        </w:rPr>
        <w:t>”</w:t>
      </w:r>
      <w:r w:rsidR="00135B52" w:rsidRPr="007B2915">
        <w:rPr>
          <w:rStyle w:val="Refdenotaalpie"/>
          <w:rFonts w:ascii="Cambria" w:hAnsi="Cambria"/>
          <w:sz w:val="20"/>
          <w:szCs w:val="20"/>
          <w:lang w:val="es-ES"/>
        </w:rPr>
        <w:footnoteReference w:id="104"/>
      </w:r>
      <w:r w:rsidR="00135B52" w:rsidRPr="007B2915">
        <w:rPr>
          <w:rFonts w:ascii="Cambria" w:hAnsi="Cambria"/>
          <w:sz w:val="20"/>
          <w:szCs w:val="20"/>
          <w:lang w:val="es-ES"/>
        </w:rPr>
        <w:t>.</w:t>
      </w:r>
    </w:p>
    <w:p w:rsidR="00286DB9" w:rsidRPr="007B2915" w:rsidRDefault="00286DB9" w:rsidP="006305F1">
      <w:pPr>
        <w:pStyle w:val="Sangradetextonormal"/>
        <w:ind w:left="0" w:firstLine="0"/>
        <w:rPr>
          <w:rFonts w:ascii="Cambria" w:hAnsi="Cambria"/>
          <w:color w:val="auto"/>
          <w:sz w:val="20"/>
          <w:szCs w:val="20"/>
          <w:lang w:val="es-ES"/>
        </w:rPr>
      </w:pPr>
      <w:bookmarkStart w:id="65" w:name="_GoBack"/>
      <w:bookmarkEnd w:id="65"/>
    </w:p>
    <w:p w:rsidR="00286DB9" w:rsidRPr="007B2915" w:rsidRDefault="00286DB9" w:rsidP="00286DB9">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s>
        <w:jc w:val="both"/>
        <w:rPr>
          <w:rFonts w:ascii="Cambria" w:hAnsi="Cambria"/>
          <w:sz w:val="20"/>
          <w:szCs w:val="20"/>
          <w:lang w:val="es-ES"/>
        </w:rPr>
      </w:pPr>
      <w:r w:rsidRPr="007B2915">
        <w:rPr>
          <w:rFonts w:ascii="Cambria" w:hAnsi="Cambria"/>
          <w:sz w:val="20"/>
          <w:szCs w:val="20"/>
          <w:lang w:val="es-ES_tradnl"/>
        </w:rPr>
        <w:t xml:space="preserve">Según los términos del artículo 8.1 de la Convención Americana, la Comisión tomará en consideración, a la luz de las circunstancias concretas del caso, los </w:t>
      </w:r>
      <w:r w:rsidR="008E3F6C" w:rsidRPr="007B2915">
        <w:rPr>
          <w:rFonts w:ascii="Cambria" w:hAnsi="Cambria"/>
          <w:sz w:val="20"/>
          <w:szCs w:val="20"/>
          <w:lang w:val="es-ES_tradnl"/>
        </w:rPr>
        <w:t xml:space="preserve">siguientes </w:t>
      </w:r>
      <w:r w:rsidRPr="007B2915">
        <w:rPr>
          <w:rFonts w:ascii="Cambria" w:hAnsi="Cambria"/>
          <w:sz w:val="20"/>
          <w:szCs w:val="20"/>
          <w:lang w:val="es-ES_tradnl"/>
        </w:rPr>
        <w:t xml:space="preserve">cuatro elementos </w:t>
      </w:r>
      <w:r w:rsidR="008E3F6C" w:rsidRPr="007B2915">
        <w:rPr>
          <w:rFonts w:ascii="Cambria" w:hAnsi="Cambria"/>
          <w:sz w:val="20"/>
          <w:szCs w:val="20"/>
          <w:lang w:val="es-ES_tradnl"/>
        </w:rPr>
        <w:t>para analizar la razonabilidad del plazo</w:t>
      </w:r>
      <w:r w:rsidRPr="007B2915">
        <w:rPr>
          <w:rFonts w:ascii="Cambria" w:hAnsi="Cambria"/>
          <w:sz w:val="20"/>
          <w:szCs w:val="20"/>
          <w:lang w:val="es-ES_tradnl"/>
        </w:rPr>
        <w:t>, a saber</w:t>
      </w:r>
      <w:r w:rsidRPr="007B2915">
        <w:rPr>
          <w:rFonts w:ascii="Cambria" w:hAnsi="Cambria"/>
          <w:sz w:val="20"/>
          <w:szCs w:val="20"/>
          <w:lang w:val="es-ES"/>
        </w:rPr>
        <w:t>: i) la complejidad del asunto; ii) la acti</w:t>
      </w:r>
      <w:r w:rsidR="0005012D" w:rsidRPr="007B2915">
        <w:rPr>
          <w:rFonts w:ascii="Cambria" w:hAnsi="Cambria"/>
          <w:sz w:val="20"/>
          <w:szCs w:val="20"/>
          <w:lang w:val="es-ES"/>
        </w:rPr>
        <w:t xml:space="preserve">vidad procesal del interesado; </w:t>
      </w:r>
      <w:r w:rsidRPr="007B2915">
        <w:rPr>
          <w:rFonts w:ascii="Cambria" w:hAnsi="Cambria"/>
          <w:sz w:val="20"/>
          <w:szCs w:val="20"/>
          <w:lang w:val="es-ES"/>
        </w:rPr>
        <w:t xml:space="preserve"> iii) la conducta de las autoridades judiciales;</w:t>
      </w:r>
      <w:r w:rsidRPr="007B2915">
        <w:rPr>
          <w:rFonts w:ascii="Cambria" w:hAnsi="Cambria"/>
          <w:sz w:val="20"/>
          <w:szCs w:val="20"/>
          <w:lang w:val="es-ES_tradnl"/>
        </w:rPr>
        <w:t xml:space="preserve"> y iv) afectación generada en la situación jurídica de la persona involucrada en el proceso</w:t>
      </w:r>
      <w:r w:rsidRPr="007B2915">
        <w:rPr>
          <w:rStyle w:val="Refdenotaalpie"/>
          <w:rFonts w:ascii="Cambria" w:hAnsi="Cambria"/>
          <w:sz w:val="20"/>
          <w:szCs w:val="20"/>
          <w:lang w:val="es-ES_tradnl"/>
        </w:rPr>
        <w:footnoteReference w:id="105"/>
      </w:r>
      <w:r w:rsidRPr="007B2915">
        <w:rPr>
          <w:rFonts w:ascii="Cambria" w:hAnsi="Cambria"/>
          <w:sz w:val="20"/>
          <w:szCs w:val="20"/>
          <w:lang w:val="es-ES"/>
        </w:rPr>
        <w:t>.</w:t>
      </w:r>
    </w:p>
    <w:p w:rsidR="00286DB9" w:rsidRPr="007B2915" w:rsidRDefault="00286DB9" w:rsidP="00286DB9">
      <w:pPr>
        <w:pStyle w:val="Sangradetextonormal"/>
        <w:rPr>
          <w:rFonts w:ascii="Cambria" w:hAnsi="Cambria"/>
          <w:color w:val="auto"/>
          <w:sz w:val="20"/>
          <w:szCs w:val="20"/>
          <w:lang w:val="es-ES"/>
        </w:rPr>
      </w:pPr>
    </w:p>
    <w:p w:rsidR="00286DB9" w:rsidRPr="007B2915" w:rsidRDefault="00286DB9" w:rsidP="00890F92">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s>
        <w:jc w:val="both"/>
        <w:rPr>
          <w:rFonts w:ascii="Cambria" w:hAnsi="Cambria"/>
          <w:sz w:val="20"/>
          <w:szCs w:val="20"/>
          <w:lang w:val="es-ES_tradnl"/>
        </w:rPr>
      </w:pPr>
      <w:r w:rsidRPr="007B2915">
        <w:rPr>
          <w:rFonts w:ascii="Cambria" w:hAnsi="Cambria" w:cs="Univers"/>
          <w:sz w:val="20"/>
          <w:szCs w:val="20"/>
          <w:lang w:val="es-ES" w:eastAsia="es-ES_tradnl"/>
        </w:rPr>
        <w:t xml:space="preserve">En relación a la complejidad, </w:t>
      </w:r>
      <w:r w:rsidR="0005012D" w:rsidRPr="007B2915">
        <w:rPr>
          <w:rFonts w:ascii="Cambria" w:hAnsi="Cambria" w:cs="Univers"/>
          <w:sz w:val="20"/>
          <w:szCs w:val="20"/>
          <w:lang w:val="es-ES" w:eastAsia="es-ES_tradnl"/>
        </w:rPr>
        <w:t>la CIDH toma nota de que el asunto no resultaba complejo en tanto existía una decisión judicial en firme que debía ser ejecutada. Asimismo, el Estado peruano no alegó que su implementación era comple</w:t>
      </w:r>
      <w:r w:rsidR="00330F60" w:rsidRPr="007B2915">
        <w:rPr>
          <w:rFonts w:ascii="Cambria" w:hAnsi="Cambria" w:cs="Univers"/>
          <w:sz w:val="20"/>
          <w:szCs w:val="20"/>
          <w:lang w:val="es-ES" w:eastAsia="es-ES_tradnl"/>
        </w:rPr>
        <w:t>ja.</w:t>
      </w:r>
      <w:r w:rsidR="00330F60" w:rsidRPr="007B2915">
        <w:rPr>
          <w:rFonts w:ascii="Cambria" w:hAnsi="Cambria"/>
          <w:sz w:val="20"/>
          <w:szCs w:val="20"/>
          <w:lang w:val="es-ES_tradnl"/>
        </w:rPr>
        <w:t xml:space="preserve"> </w:t>
      </w:r>
      <w:r w:rsidRPr="007B2915">
        <w:rPr>
          <w:rFonts w:ascii="Cambria" w:hAnsi="Cambria"/>
          <w:sz w:val="20"/>
          <w:szCs w:val="20"/>
          <w:lang w:val="es-ES"/>
        </w:rPr>
        <w:t>En cuanto a la participación de</w:t>
      </w:r>
      <w:r w:rsidR="00B26581" w:rsidRPr="007B2915">
        <w:rPr>
          <w:rFonts w:ascii="Cambria" w:hAnsi="Cambria"/>
          <w:sz w:val="20"/>
          <w:szCs w:val="20"/>
          <w:lang w:val="es-ES"/>
        </w:rPr>
        <w:t>l interesado</w:t>
      </w:r>
      <w:r w:rsidRPr="007B2915">
        <w:rPr>
          <w:rFonts w:ascii="Cambria" w:hAnsi="Cambria"/>
          <w:sz w:val="20"/>
          <w:szCs w:val="20"/>
          <w:lang w:val="es-ES"/>
        </w:rPr>
        <w:t xml:space="preserve">, la Comisión observa que </w:t>
      </w:r>
      <w:r w:rsidR="00330F60" w:rsidRPr="007B2915">
        <w:rPr>
          <w:rFonts w:ascii="Cambria" w:hAnsi="Cambria"/>
          <w:sz w:val="20"/>
          <w:szCs w:val="20"/>
          <w:lang w:val="es-ES_tradnl"/>
        </w:rPr>
        <w:t>el señor Muelle dio</w:t>
      </w:r>
      <w:r w:rsidRPr="007B2915">
        <w:rPr>
          <w:rFonts w:ascii="Cambria" w:hAnsi="Cambria"/>
          <w:sz w:val="20"/>
          <w:szCs w:val="20"/>
          <w:lang w:val="es-ES_tradnl"/>
        </w:rPr>
        <w:t xml:space="preserve"> seguimiento e impulso a la </w:t>
      </w:r>
      <w:r w:rsidR="00330F60" w:rsidRPr="007B2915">
        <w:rPr>
          <w:rFonts w:ascii="Cambria" w:hAnsi="Cambria"/>
          <w:sz w:val="20"/>
          <w:szCs w:val="20"/>
          <w:lang w:val="es-ES_tradnl"/>
        </w:rPr>
        <w:t>ejecución del fallo</w:t>
      </w:r>
      <w:r w:rsidRPr="007B2915">
        <w:rPr>
          <w:rFonts w:ascii="Cambria" w:hAnsi="Cambria"/>
          <w:sz w:val="20"/>
          <w:szCs w:val="20"/>
          <w:lang w:val="es-ES_tradnl"/>
        </w:rPr>
        <w:t xml:space="preserve">, quejándose en reiteradas ocasiones por la demora en </w:t>
      </w:r>
      <w:r w:rsidR="00330F60" w:rsidRPr="007B2915">
        <w:rPr>
          <w:rFonts w:ascii="Cambria" w:hAnsi="Cambria"/>
          <w:sz w:val="20"/>
          <w:szCs w:val="20"/>
          <w:lang w:val="es-ES_tradnl"/>
        </w:rPr>
        <w:t xml:space="preserve">su </w:t>
      </w:r>
      <w:r w:rsidRPr="007B2915">
        <w:rPr>
          <w:rFonts w:ascii="Cambria" w:hAnsi="Cambria"/>
          <w:sz w:val="20"/>
          <w:szCs w:val="20"/>
          <w:lang w:val="es-ES_tradnl"/>
        </w:rPr>
        <w:t>tramitación.</w:t>
      </w:r>
      <w:r w:rsidR="00890F92" w:rsidRPr="007B2915">
        <w:rPr>
          <w:rFonts w:ascii="Cambria" w:hAnsi="Cambria"/>
          <w:sz w:val="20"/>
          <w:szCs w:val="20"/>
          <w:lang w:val="es-ES_tradnl"/>
        </w:rPr>
        <w:t xml:space="preserve"> </w:t>
      </w:r>
      <w:r w:rsidR="006469CA" w:rsidRPr="007B2915">
        <w:rPr>
          <w:rFonts w:ascii="Cambria" w:hAnsi="Cambria"/>
          <w:sz w:val="20"/>
          <w:szCs w:val="20"/>
          <w:lang w:val="es-ES_tradnl"/>
        </w:rPr>
        <w:t>Por su parte, la empresa ha presentado diversos recursos cuestionando la reincorporación del señor Muelle en el régimen pensionario del Decreto Ley 20510 y alegando que al haberse privatizado no le corresponde cumplir con la sentencia de la Corte Suprema</w:t>
      </w:r>
      <w:r w:rsidR="00B26581" w:rsidRPr="007B2915">
        <w:rPr>
          <w:rFonts w:ascii="Cambria" w:hAnsi="Cambria"/>
          <w:sz w:val="20"/>
          <w:szCs w:val="20"/>
          <w:lang w:val="es-ES_tradnl"/>
        </w:rPr>
        <w:t>, cuestión que no fue debidamente resuelta por las</w:t>
      </w:r>
      <w:r w:rsidR="00F72084" w:rsidRPr="007B2915">
        <w:rPr>
          <w:rFonts w:ascii="Cambria" w:hAnsi="Cambria"/>
          <w:sz w:val="20"/>
          <w:szCs w:val="20"/>
          <w:lang w:val="es-ES_tradnl"/>
        </w:rPr>
        <w:t xml:space="preserve"> autoridades judiciales interna</w:t>
      </w:r>
      <w:r w:rsidR="000569CE" w:rsidRPr="007B2915">
        <w:rPr>
          <w:rFonts w:ascii="Cambria" w:hAnsi="Cambria"/>
          <w:sz w:val="20"/>
          <w:szCs w:val="20"/>
          <w:lang w:val="es-ES_tradnl"/>
        </w:rPr>
        <w:t>s</w:t>
      </w:r>
      <w:r w:rsidR="006469CA" w:rsidRPr="007B2915">
        <w:rPr>
          <w:rFonts w:ascii="Cambria" w:hAnsi="Cambria"/>
          <w:sz w:val="20"/>
          <w:szCs w:val="20"/>
          <w:lang w:val="es-ES_tradnl"/>
        </w:rPr>
        <w:t xml:space="preserve">. </w:t>
      </w:r>
      <w:r w:rsidRPr="007B2915">
        <w:rPr>
          <w:rFonts w:ascii="Cambria" w:hAnsi="Cambria"/>
          <w:sz w:val="20"/>
          <w:szCs w:val="20"/>
          <w:lang w:val="es-ES_tradnl"/>
        </w:rPr>
        <w:t xml:space="preserve">En relación con la </w:t>
      </w:r>
      <w:r w:rsidRPr="007B2915">
        <w:rPr>
          <w:rFonts w:ascii="Cambria" w:hAnsi="Cambria"/>
          <w:sz w:val="20"/>
          <w:szCs w:val="20"/>
          <w:lang w:val="es-ES"/>
        </w:rPr>
        <w:t>conducta de las autoridades judiciales, la Comisión</w:t>
      </w:r>
      <w:r w:rsidR="00B80D21" w:rsidRPr="007B2915">
        <w:rPr>
          <w:rFonts w:ascii="Cambria" w:hAnsi="Cambria"/>
          <w:sz w:val="20"/>
          <w:szCs w:val="20"/>
          <w:lang w:val="es-ES"/>
        </w:rPr>
        <w:t xml:space="preserve"> reitera lo indicado en la sección anterior sobre la manera en que las </w:t>
      </w:r>
      <w:r w:rsidR="006469CA" w:rsidRPr="007B2915">
        <w:rPr>
          <w:rFonts w:ascii="Cambria" w:hAnsi="Cambria"/>
          <w:sz w:val="20"/>
          <w:szCs w:val="20"/>
          <w:lang w:val="es-ES"/>
        </w:rPr>
        <w:t xml:space="preserve">resoluciones judiciales emitidas durante la etapa de ejecución de sentencia </w:t>
      </w:r>
      <w:r w:rsidR="00B80D21" w:rsidRPr="007B2915">
        <w:rPr>
          <w:rFonts w:ascii="Cambria" w:hAnsi="Cambria"/>
          <w:sz w:val="20"/>
          <w:szCs w:val="20"/>
          <w:lang w:val="es-ES"/>
        </w:rPr>
        <w:t xml:space="preserve">han sido inefectivas para lograr el cumplimiento de la misma. Igualmente resulta relevante en este punto destacar los largos periodos de inactividad en el marco de dicho proceso de ejecución y las demoras no justificadas por el Estado en la resolución de varios de los recursos de apelación interpuestos por ambas partes. </w:t>
      </w:r>
    </w:p>
    <w:p w:rsidR="00286DB9" w:rsidRPr="007B2915" w:rsidRDefault="00286DB9" w:rsidP="00BB6415">
      <w:pPr>
        <w:pStyle w:val="Sangradetextonormal"/>
        <w:ind w:left="0" w:firstLine="0"/>
        <w:rPr>
          <w:rFonts w:ascii="Cambria" w:hAnsi="Cambria" w:cs="Garamond"/>
          <w:color w:val="auto"/>
          <w:spacing w:val="-2"/>
          <w:sz w:val="20"/>
          <w:szCs w:val="20"/>
          <w:lang w:val="es-ES"/>
        </w:rPr>
      </w:pPr>
    </w:p>
    <w:p w:rsidR="00690694" w:rsidRPr="007B2915" w:rsidRDefault="00286DB9" w:rsidP="00BB6415">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s>
        <w:jc w:val="both"/>
        <w:rPr>
          <w:rFonts w:ascii="Cambria" w:hAnsi="Cambria" w:cs="Garamond"/>
          <w:spacing w:val="-2"/>
          <w:sz w:val="20"/>
          <w:szCs w:val="20"/>
          <w:lang w:val="es-ES"/>
        </w:rPr>
      </w:pPr>
      <w:r w:rsidRPr="007B2915">
        <w:rPr>
          <w:rFonts w:ascii="Cambria" w:hAnsi="Cambria"/>
          <w:sz w:val="20"/>
          <w:szCs w:val="20"/>
          <w:lang w:val="es-ES_tradnl"/>
        </w:rPr>
        <w:t>En cuanto al cuarto elemento, la Corte ha dicho que para determinar la razonabilidad del plazo se debe considerar la afectación generada por la duración del procedimiento en la situación jurídica de la persona involucrada en el mismo así como los intereses en juego</w:t>
      </w:r>
      <w:r w:rsidRPr="007B2915">
        <w:rPr>
          <w:rStyle w:val="Refdenotaalpie"/>
          <w:rFonts w:ascii="Cambria" w:hAnsi="Cambria"/>
          <w:sz w:val="20"/>
          <w:szCs w:val="20"/>
        </w:rPr>
        <w:footnoteReference w:id="106"/>
      </w:r>
      <w:r w:rsidRPr="007B2915">
        <w:rPr>
          <w:rFonts w:ascii="Cambria" w:hAnsi="Cambria"/>
          <w:sz w:val="20"/>
          <w:szCs w:val="20"/>
          <w:lang w:val="es-ES_tradnl"/>
        </w:rPr>
        <w:t xml:space="preserve">. La Comisión </w:t>
      </w:r>
      <w:r w:rsidR="00E1075B" w:rsidRPr="007B2915">
        <w:rPr>
          <w:rFonts w:ascii="Cambria" w:hAnsi="Cambria"/>
          <w:sz w:val="20"/>
          <w:szCs w:val="20"/>
          <w:lang w:val="es-ES_tradnl"/>
        </w:rPr>
        <w:t>toma nota de que el señor Muelle es un adulto mayor que tiene 80 años y que</w:t>
      </w:r>
      <w:r w:rsidR="00690694" w:rsidRPr="007B2915">
        <w:rPr>
          <w:rFonts w:ascii="Cambria" w:hAnsi="Cambria"/>
          <w:sz w:val="20"/>
          <w:szCs w:val="20"/>
          <w:lang w:val="es-ES_tradnl"/>
        </w:rPr>
        <w:t xml:space="preserve"> </w:t>
      </w:r>
      <w:r w:rsidR="00690694" w:rsidRPr="007B2915">
        <w:rPr>
          <w:rFonts w:ascii="Cambria" w:hAnsi="Cambria"/>
          <w:sz w:val="20"/>
          <w:szCs w:val="20"/>
          <w:lang w:val="es-ES"/>
        </w:rPr>
        <w:t>pasados  más de 26 años desde su jubilación en 1990, a la fecha no ha podido gozar de su pensión en los términos en que le fue reconocido judicialmente.</w:t>
      </w:r>
      <w:r w:rsidR="006469CA" w:rsidRPr="007B2915">
        <w:rPr>
          <w:rFonts w:ascii="Cambria" w:hAnsi="Cambria"/>
          <w:sz w:val="20"/>
          <w:szCs w:val="20"/>
          <w:lang w:val="es-ES_tradnl"/>
        </w:rPr>
        <w:t xml:space="preserve"> </w:t>
      </w:r>
      <w:r w:rsidR="00690694" w:rsidRPr="007B2915">
        <w:rPr>
          <w:rFonts w:ascii="Cambria" w:hAnsi="Cambria"/>
          <w:sz w:val="20"/>
          <w:szCs w:val="20"/>
          <w:lang w:val="es-ES_tradnl"/>
        </w:rPr>
        <w:t xml:space="preserve">El Estado no ha controvertido que la víctima se encuentra en una </w:t>
      </w:r>
      <w:r w:rsidR="006469CA" w:rsidRPr="007B2915">
        <w:rPr>
          <w:rFonts w:ascii="Cambria" w:hAnsi="Cambria"/>
          <w:sz w:val="20"/>
          <w:szCs w:val="20"/>
          <w:lang w:val="es-ES_tradnl"/>
        </w:rPr>
        <w:t>situación económica y de salud precaria</w:t>
      </w:r>
      <w:r w:rsidR="00690694" w:rsidRPr="007B2915">
        <w:rPr>
          <w:rFonts w:ascii="Cambria" w:hAnsi="Cambria"/>
          <w:sz w:val="20"/>
          <w:szCs w:val="20"/>
          <w:lang w:val="es-ES_tradnl"/>
        </w:rPr>
        <w:t>s</w:t>
      </w:r>
      <w:r w:rsidR="006469CA" w:rsidRPr="007B2915">
        <w:rPr>
          <w:rFonts w:ascii="Cambria" w:hAnsi="Cambria"/>
          <w:sz w:val="20"/>
          <w:szCs w:val="20"/>
          <w:lang w:val="es-ES_tradnl"/>
        </w:rPr>
        <w:t>.</w:t>
      </w:r>
      <w:r w:rsidR="00690694" w:rsidRPr="007B2915">
        <w:rPr>
          <w:rFonts w:ascii="Cambria" w:hAnsi="Cambria"/>
          <w:sz w:val="20"/>
          <w:szCs w:val="20"/>
          <w:lang w:val="es-ES_tradnl"/>
        </w:rPr>
        <w:t xml:space="preserve"> En ese sentido, la Comisión considera que este elemento resulta aplicable al presente caso y que </w:t>
      </w:r>
      <w:r w:rsidR="00BE2E9E" w:rsidRPr="007B2915">
        <w:rPr>
          <w:rFonts w:ascii="Cambria" w:hAnsi="Cambria"/>
          <w:sz w:val="20"/>
          <w:szCs w:val="20"/>
          <w:lang w:val="es-ES_tradnl"/>
        </w:rPr>
        <w:t xml:space="preserve">constituye un factor adicional para establecer la irrazonabilidad del plazo. </w:t>
      </w:r>
      <w:r w:rsidR="006469CA" w:rsidRPr="007B2915">
        <w:rPr>
          <w:rFonts w:ascii="Cambria" w:hAnsi="Cambria"/>
          <w:sz w:val="20"/>
          <w:szCs w:val="20"/>
          <w:lang w:val="es-ES_tradnl"/>
        </w:rPr>
        <w:t xml:space="preserve"> </w:t>
      </w:r>
    </w:p>
    <w:p w:rsidR="00690694" w:rsidRPr="007B2915" w:rsidRDefault="00690694" w:rsidP="006469CA">
      <w:pPr>
        <w:pStyle w:val="Sangradetextonormal"/>
        <w:ind w:left="0" w:firstLine="0"/>
        <w:rPr>
          <w:rFonts w:ascii="Cambria" w:hAnsi="Cambria" w:cs="Garamond"/>
          <w:color w:val="auto"/>
          <w:spacing w:val="-2"/>
          <w:sz w:val="20"/>
          <w:szCs w:val="20"/>
          <w:lang w:val="es-ES"/>
        </w:rPr>
      </w:pPr>
    </w:p>
    <w:p w:rsidR="00286DB9" w:rsidRPr="007B2915" w:rsidRDefault="00286DB9" w:rsidP="00286DB9">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s>
        <w:jc w:val="both"/>
        <w:rPr>
          <w:rFonts w:ascii="Cambria" w:hAnsi="Cambria"/>
          <w:sz w:val="20"/>
          <w:szCs w:val="20"/>
          <w:lang w:val="es-ES"/>
        </w:rPr>
      </w:pPr>
      <w:r w:rsidRPr="007B2915">
        <w:rPr>
          <w:rFonts w:ascii="Cambria" w:hAnsi="Cambria"/>
          <w:sz w:val="20"/>
          <w:szCs w:val="20"/>
          <w:lang w:val="es-ES_tradnl"/>
        </w:rPr>
        <w:t>En</w:t>
      </w:r>
      <w:r w:rsidRPr="007B2915">
        <w:rPr>
          <w:rFonts w:ascii="Cambria" w:hAnsi="Cambria"/>
          <w:sz w:val="20"/>
          <w:szCs w:val="20"/>
          <w:lang w:val="es-ES"/>
        </w:rPr>
        <w:t xml:space="preserve"> suma, </w:t>
      </w:r>
      <w:r w:rsidRPr="007B2915">
        <w:rPr>
          <w:rFonts w:ascii="Cambria" w:hAnsi="Cambria"/>
          <w:sz w:val="20"/>
          <w:szCs w:val="20"/>
          <w:lang w:val="es-ES_tradnl"/>
        </w:rPr>
        <w:t>la Comisión con</w:t>
      </w:r>
      <w:r w:rsidR="006469CA" w:rsidRPr="007B2915">
        <w:rPr>
          <w:rFonts w:ascii="Cambria" w:hAnsi="Cambria"/>
          <w:sz w:val="20"/>
          <w:szCs w:val="20"/>
          <w:lang w:val="es-ES_tradnl"/>
        </w:rPr>
        <w:t xml:space="preserve">sidera que el lapso de </w:t>
      </w:r>
      <w:r w:rsidR="007806C3" w:rsidRPr="007B2915">
        <w:rPr>
          <w:rFonts w:ascii="Cambria" w:hAnsi="Cambria"/>
          <w:sz w:val="20"/>
          <w:szCs w:val="20"/>
          <w:lang w:val="es-ES_tradnl"/>
        </w:rPr>
        <w:t xml:space="preserve">casi 27 </w:t>
      </w:r>
      <w:r w:rsidRPr="007B2915">
        <w:rPr>
          <w:rFonts w:ascii="Cambria" w:hAnsi="Cambria"/>
          <w:sz w:val="20"/>
          <w:szCs w:val="20"/>
          <w:lang w:val="es-ES_tradnl"/>
        </w:rPr>
        <w:t xml:space="preserve">años </w:t>
      </w:r>
      <w:r w:rsidR="006469CA" w:rsidRPr="007B2915">
        <w:rPr>
          <w:rFonts w:ascii="Cambria" w:hAnsi="Cambria"/>
          <w:sz w:val="20"/>
          <w:szCs w:val="20"/>
          <w:lang w:val="es-ES_tradnl"/>
        </w:rPr>
        <w:t xml:space="preserve">sin que se ejecute la sentencia de la Corte Suprema de febrero de 1993 </w:t>
      </w:r>
      <w:r w:rsidRPr="007B2915">
        <w:rPr>
          <w:rFonts w:ascii="Cambria" w:hAnsi="Cambria"/>
          <w:sz w:val="20"/>
          <w:szCs w:val="20"/>
          <w:lang w:val="es-ES_tradnl"/>
        </w:rPr>
        <w:t>sobrepasa un plazo que pueda considerarse razonable</w:t>
      </w:r>
      <w:r w:rsidR="006469CA" w:rsidRPr="007B2915">
        <w:rPr>
          <w:rFonts w:ascii="Cambria" w:hAnsi="Cambria"/>
          <w:sz w:val="20"/>
          <w:szCs w:val="20"/>
          <w:lang w:val="es-ES_tradnl"/>
        </w:rPr>
        <w:t xml:space="preserve">. En consecuencia, la CIDH concluye que el Estado </w:t>
      </w:r>
      <w:r w:rsidR="007806C3" w:rsidRPr="007B2915">
        <w:rPr>
          <w:rFonts w:ascii="Cambria" w:hAnsi="Cambria"/>
          <w:sz w:val="20"/>
          <w:szCs w:val="20"/>
          <w:lang w:val="es-ES_tradnl"/>
        </w:rPr>
        <w:t>peruano también es responsable por la violación d</w:t>
      </w:r>
      <w:r w:rsidR="006469CA" w:rsidRPr="007B2915">
        <w:rPr>
          <w:rFonts w:ascii="Cambria" w:hAnsi="Cambria"/>
          <w:sz w:val="20"/>
          <w:szCs w:val="20"/>
          <w:lang w:val="es-ES_tradnl"/>
        </w:rPr>
        <w:t>el derecho</w:t>
      </w:r>
      <w:r w:rsidR="007806C3" w:rsidRPr="007B2915">
        <w:rPr>
          <w:rFonts w:ascii="Cambria" w:hAnsi="Cambria"/>
          <w:sz w:val="20"/>
          <w:szCs w:val="20"/>
          <w:lang w:val="es-ES_tradnl"/>
        </w:rPr>
        <w:t xml:space="preserve"> a un plazo razonable </w:t>
      </w:r>
      <w:r w:rsidR="006469CA" w:rsidRPr="007B2915">
        <w:rPr>
          <w:rFonts w:ascii="Cambria" w:hAnsi="Cambria"/>
          <w:sz w:val="20"/>
          <w:szCs w:val="20"/>
          <w:lang w:val="es-ES_tradnl"/>
        </w:rPr>
        <w:t xml:space="preserve">establecido en el artículo 8.1 de la Convención Americana en relación con </w:t>
      </w:r>
      <w:r w:rsidR="007806C3" w:rsidRPr="007B2915">
        <w:rPr>
          <w:rFonts w:ascii="Cambria" w:hAnsi="Cambria"/>
          <w:sz w:val="20"/>
          <w:szCs w:val="20"/>
          <w:lang w:val="es-ES_tradnl"/>
        </w:rPr>
        <w:t>las obligaciones establecidas en el</w:t>
      </w:r>
      <w:r w:rsidR="006469CA" w:rsidRPr="007B2915">
        <w:rPr>
          <w:rFonts w:ascii="Cambria" w:hAnsi="Cambria"/>
          <w:sz w:val="20"/>
          <w:szCs w:val="20"/>
          <w:lang w:val="es-ES_tradnl"/>
        </w:rPr>
        <w:t xml:space="preserve"> artículo 1.1 del mismo instrumento en perjuicio del señor Muelle</w:t>
      </w:r>
      <w:r w:rsidR="00350EB2" w:rsidRPr="007B2915">
        <w:rPr>
          <w:rFonts w:ascii="Cambria" w:hAnsi="Cambria"/>
          <w:sz w:val="20"/>
          <w:szCs w:val="20"/>
          <w:lang w:val="es-ES_tradnl"/>
        </w:rPr>
        <w:t xml:space="preserve"> Flores.</w:t>
      </w:r>
    </w:p>
    <w:p w:rsidR="00286DB9" w:rsidRPr="007B2915" w:rsidRDefault="00286DB9" w:rsidP="00D8343A">
      <w:pPr>
        <w:rPr>
          <w:rFonts w:ascii="Cambria" w:hAnsi="Cambria"/>
          <w:sz w:val="20"/>
          <w:szCs w:val="20"/>
          <w:lang w:val="es-ES"/>
        </w:rPr>
      </w:pPr>
    </w:p>
    <w:p w:rsidR="00D702F7" w:rsidRPr="007B2915" w:rsidRDefault="00E77525" w:rsidP="00E77525">
      <w:pPr>
        <w:pStyle w:val="Ttulo3"/>
        <w:ind w:left="1440" w:hanging="720"/>
        <w:jc w:val="both"/>
      </w:pPr>
      <w:bookmarkStart w:id="66" w:name="_Toc346449096"/>
      <w:bookmarkStart w:id="67" w:name="_Toc474398503"/>
      <w:r w:rsidRPr="007B2915">
        <w:t xml:space="preserve">5. </w:t>
      </w:r>
      <w:r w:rsidRPr="007B2915">
        <w:tab/>
      </w:r>
      <w:r w:rsidR="00E1075B" w:rsidRPr="007B2915">
        <w:t xml:space="preserve">El derecho a la propiedad privada </w:t>
      </w:r>
      <w:r w:rsidR="000C6979" w:rsidRPr="007B2915">
        <w:t xml:space="preserve">en relación con </w:t>
      </w:r>
      <w:r w:rsidR="00E1075B" w:rsidRPr="007B2915">
        <w:t>la falta</w:t>
      </w:r>
      <w:r w:rsidR="00D702F7" w:rsidRPr="007B2915">
        <w:t xml:space="preserve"> </w:t>
      </w:r>
      <w:r w:rsidR="00E1075B" w:rsidRPr="007B2915">
        <w:t>de</w:t>
      </w:r>
      <w:r w:rsidR="00D702F7" w:rsidRPr="007B2915">
        <w:t xml:space="preserve"> ejecución de fallos internos</w:t>
      </w:r>
      <w:r w:rsidR="00447494" w:rsidRPr="007B2915">
        <w:t xml:space="preserve"> relativos a la pensión</w:t>
      </w:r>
      <w:bookmarkEnd w:id="66"/>
      <w:bookmarkEnd w:id="67"/>
    </w:p>
    <w:p w:rsidR="00D702F7" w:rsidRPr="007B2915" w:rsidRDefault="00D702F7" w:rsidP="00353ED9">
      <w:pPr>
        <w:rPr>
          <w:rFonts w:ascii="Cambria" w:hAnsi="Cambria"/>
          <w:sz w:val="20"/>
          <w:szCs w:val="20"/>
          <w:lang w:val="es-ES"/>
        </w:rPr>
      </w:pPr>
    </w:p>
    <w:p w:rsidR="009E2396" w:rsidRPr="007B2915" w:rsidRDefault="009E2396" w:rsidP="009E2396">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s>
        <w:jc w:val="both"/>
        <w:rPr>
          <w:rFonts w:ascii="Cambria" w:hAnsi="Cambria"/>
          <w:sz w:val="20"/>
          <w:szCs w:val="20"/>
          <w:lang w:val="es-ES_tradnl"/>
        </w:rPr>
      </w:pPr>
      <w:r w:rsidRPr="007B2915">
        <w:rPr>
          <w:rFonts w:ascii="Cambria" w:hAnsi="Cambria"/>
          <w:sz w:val="20"/>
          <w:szCs w:val="20"/>
          <w:lang w:val="es-ES_tradnl"/>
        </w:rPr>
        <w:t>Tanto la Comisión como la Corte han desarrollado en su jurisprudencia un concepto amplio de propiedad que abarca, entre otros, el uso y goce de los bienes, definidos como cosas materiales apropiables, así como todo derecho que pueda formar parte del patrimonio de una persona</w:t>
      </w:r>
      <w:r w:rsidRPr="007B2915">
        <w:rPr>
          <w:rStyle w:val="Refdenotaalpie"/>
          <w:rFonts w:ascii="Cambria" w:hAnsi="Cambria"/>
          <w:sz w:val="20"/>
          <w:szCs w:val="20"/>
          <w:lang w:val="es-ES_tradnl"/>
        </w:rPr>
        <w:footnoteReference w:id="107"/>
      </w:r>
      <w:r w:rsidRPr="007B2915">
        <w:rPr>
          <w:rFonts w:ascii="Cambria" w:hAnsi="Cambria"/>
          <w:sz w:val="20"/>
          <w:szCs w:val="20"/>
          <w:lang w:val="es-ES_tradnl"/>
        </w:rPr>
        <w:t xml:space="preserve">. Asimismo, la Corte ha protegido a través del </w:t>
      </w:r>
      <w:r w:rsidR="00350B36" w:rsidRPr="007B2915">
        <w:rPr>
          <w:rFonts w:ascii="Cambria" w:hAnsi="Cambria"/>
          <w:sz w:val="20"/>
          <w:szCs w:val="20"/>
          <w:lang w:val="es-ES_tradnl"/>
        </w:rPr>
        <w:t xml:space="preserve">derecho a la propiedad </w:t>
      </w:r>
      <w:r w:rsidRPr="007B2915">
        <w:rPr>
          <w:rFonts w:ascii="Cambria" w:hAnsi="Cambria"/>
          <w:sz w:val="20"/>
          <w:szCs w:val="20"/>
          <w:lang w:val="es-ES_tradnl"/>
        </w:rPr>
        <w:t>los derechos adquiridos, entendidos como derechos que se han incorporado</w:t>
      </w:r>
      <w:r w:rsidR="00350B36" w:rsidRPr="007B2915">
        <w:rPr>
          <w:rFonts w:ascii="Cambria" w:hAnsi="Cambria"/>
          <w:sz w:val="20"/>
          <w:szCs w:val="20"/>
          <w:lang w:val="es-ES_tradnl"/>
        </w:rPr>
        <w:t xml:space="preserve"> al patrimonio de las personas</w:t>
      </w:r>
      <w:r w:rsidR="00350B36" w:rsidRPr="007B2915">
        <w:rPr>
          <w:rStyle w:val="Refdenotaalpie"/>
          <w:rFonts w:ascii="Cambria" w:hAnsi="Cambria"/>
          <w:sz w:val="20"/>
          <w:szCs w:val="20"/>
          <w:lang w:val="es-ES_tradnl"/>
        </w:rPr>
        <w:footnoteReference w:id="108"/>
      </w:r>
      <w:r w:rsidRPr="007B2915">
        <w:rPr>
          <w:rFonts w:ascii="Cambria" w:hAnsi="Cambria"/>
          <w:sz w:val="20"/>
          <w:szCs w:val="20"/>
          <w:lang w:val="es-ES_tradnl"/>
        </w:rPr>
        <w:t xml:space="preserve">. </w:t>
      </w:r>
      <w:r w:rsidR="00F112FB" w:rsidRPr="007B2915">
        <w:rPr>
          <w:rFonts w:ascii="Cambria" w:hAnsi="Cambria"/>
          <w:sz w:val="20"/>
          <w:szCs w:val="20"/>
          <w:lang w:val="es-ES_tradnl"/>
        </w:rPr>
        <w:t>La Comisión recuerda que e</w:t>
      </w:r>
      <w:r w:rsidRPr="007B2915">
        <w:rPr>
          <w:rFonts w:ascii="Cambria" w:hAnsi="Cambria"/>
          <w:sz w:val="20"/>
          <w:szCs w:val="20"/>
          <w:lang w:val="es-ES_tradnl"/>
        </w:rPr>
        <w:t>l derecho a la propiedad no es absoluto y, en ese sentido, puede ser objeto d</w:t>
      </w:r>
      <w:r w:rsidR="000D5A17" w:rsidRPr="007B2915">
        <w:rPr>
          <w:rFonts w:ascii="Cambria" w:hAnsi="Cambria"/>
          <w:sz w:val="20"/>
          <w:szCs w:val="20"/>
          <w:lang w:val="es-ES_tradnl"/>
        </w:rPr>
        <w:t>e restricciones y limitaciones</w:t>
      </w:r>
      <w:r w:rsidRPr="007B2915">
        <w:rPr>
          <w:rFonts w:ascii="Cambria" w:hAnsi="Cambria"/>
          <w:sz w:val="20"/>
          <w:szCs w:val="20"/>
          <w:lang w:val="es-ES_tradnl"/>
        </w:rPr>
        <w:t>, siempre y cuando éstas se real</w:t>
      </w:r>
      <w:r w:rsidR="000D5A17" w:rsidRPr="007B2915">
        <w:rPr>
          <w:rFonts w:ascii="Cambria" w:hAnsi="Cambria"/>
          <w:sz w:val="20"/>
          <w:szCs w:val="20"/>
          <w:lang w:val="es-ES_tradnl"/>
        </w:rPr>
        <w:t>icen por la vía legal adecuada</w:t>
      </w:r>
      <w:r w:rsidRPr="007B2915">
        <w:rPr>
          <w:rFonts w:ascii="Cambria" w:hAnsi="Cambria"/>
          <w:sz w:val="20"/>
          <w:szCs w:val="20"/>
          <w:lang w:val="es-ES_tradnl"/>
        </w:rPr>
        <w:t xml:space="preserve"> y de conformidad con los parámetros establecidos en </w:t>
      </w:r>
      <w:r w:rsidR="000D5A17" w:rsidRPr="007B2915">
        <w:rPr>
          <w:rFonts w:ascii="Cambria" w:hAnsi="Cambria"/>
          <w:sz w:val="20"/>
          <w:szCs w:val="20"/>
          <w:lang w:val="es-ES_tradnl"/>
        </w:rPr>
        <w:t xml:space="preserve">el </w:t>
      </w:r>
      <w:r w:rsidRPr="007B2915">
        <w:rPr>
          <w:rFonts w:ascii="Cambria" w:hAnsi="Cambria"/>
          <w:sz w:val="20"/>
          <w:szCs w:val="20"/>
          <w:lang w:val="es-ES_tradnl"/>
        </w:rPr>
        <w:t>artículo 21</w:t>
      </w:r>
      <w:r w:rsidR="000D5A17" w:rsidRPr="007B2915">
        <w:rPr>
          <w:rFonts w:ascii="Cambria" w:hAnsi="Cambria"/>
          <w:sz w:val="20"/>
          <w:szCs w:val="20"/>
          <w:lang w:val="es-ES_tradnl"/>
        </w:rPr>
        <w:t xml:space="preserve"> de la Convención Americana</w:t>
      </w:r>
      <w:r w:rsidR="000D5A17" w:rsidRPr="007B2915">
        <w:rPr>
          <w:rStyle w:val="Refdenotaalpie"/>
          <w:rFonts w:ascii="Cambria" w:hAnsi="Cambria"/>
          <w:sz w:val="20"/>
          <w:szCs w:val="20"/>
          <w:lang w:val="es-ES_tradnl"/>
        </w:rPr>
        <w:footnoteReference w:id="109"/>
      </w:r>
      <w:r w:rsidR="000D5A17" w:rsidRPr="007B2915">
        <w:rPr>
          <w:rFonts w:ascii="Cambria" w:hAnsi="Cambria"/>
          <w:sz w:val="20"/>
          <w:szCs w:val="20"/>
          <w:lang w:val="es-ES_tradnl"/>
        </w:rPr>
        <w:t>.</w:t>
      </w:r>
    </w:p>
    <w:p w:rsidR="00E1075B" w:rsidRPr="007B2915" w:rsidRDefault="00E1075B" w:rsidP="009E2396">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rsidR="00F42A64" w:rsidRPr="007B2915" w:rsidRDefault="00EF427A" w:rsidP="00F42A64">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s>
        <w:jc w:val="both"/>
        <w:rPr>
          <w:rFonts w:ascii="Cambria" w:eastAsia="Times New Roman" w:hAnsi="Cambria"/>
          <w:sz w:val="20"/>
          <w:szCs w:val="20"/>
          <w:bdr w:val="none" w:sz="0" w:space="0" w:color="auto"/>
          <w:lang w:val="es-ES"/>
        </w:rPr>
      </w:pPr>
      <w:r w:rsidRPr="007B2915">
        <w:rPr>
          <w:rFonts w:ascii="Cambria" w:hAnsi="Cambria"/>
          <w:sz w:val="20"/>
          <w:szCs w:val="20"/>
          <w:lang w:val="es-ES_tradnl"/>
        </w:rPr>
        <w:lastRenderedPageBreak/>
        <w:t>En</w:t>
      </w:r>
      <w:r w:rsidRPr="007B2915">
        <w:rPr>
          <w:rFonts w:ascii="Cambria" w:hAnsi="Cambria"/>
          <w:sz w:val="20"/>
          <w:szCs w:val="20"/>
          <w:lang w:val="es-ES"/>
        </w:rPr>
        <w:t xml:space="preserve"> el </w:t>
      </w:r>
      <w:r w:rsidR="00F112FB" w:rsidRPr="007B2915">
        <w:rPr>
          <w:rFonts w:ascii="Cambria" w:hAnsi="Cambria"/>
          <w:sz w:val="20"/>
          <w:szCs w:val="20"/>
          <w:lang w:val="es-ES"/>
        </w:rPr>
        <w:t>c</w:t>
      </w:r>
      <w:r w:rsidRPr="007B2915">
        <w:rPr>
          <w:rFonts w:ascii="Cambria" w:hAnsi="Cambria"/>
          <w:sz w:val="20"/>
          <w:szCs w:val="20"/>
          <w:lang w:val="es-ES"/>
        </w:rPr>
        <w:t>aso</w:t>
      </w:r>
      <w:r w:rsidRPr="007B2915">
        <w:rPr>
          <w:rFonts w:ascii="Cambria" w:hAnsi="Cambria"/>
          <w:i/>
          <w:sz w:val="20"/>
          <w:szCs w:val="20"/>
          <w:lang w:val="es-ES"/>
        </w:rPr>
        <w:t xml:space="preserve"> Cinco Pensionistas vs. Perú</w:t>
      </w:r>
      <w:r w:rsidRPr="007B2915">
        <w:rPr>
          <w:rFonts w:ascii="Cambria" w:hAnsi="Cambria"/>
          <w:sz w:val="20"/>
          <w:szCs w:val="20"/>
          <w:lang w:val="es-ES"/>
        </w:rPr>
        <w:t>, la Corte Interamericana declaró una violación del derecho a la</w:t>
      </w:r>
      <w:r w:rsidR="00327D86" w:rsidRPr="007B2915">
        <w:rPr>
          <w:rFonts w:ascii="Cambria" w:hAnsi="Cambria"/>
          <w:sz w:val="20"/>
          <w:szCs w:val="20"/>
          <w:lang w:val="es-ES"/>
        </w:rPr>
        <w:t xml:space="preserve"> </w:t>
      </w:r>
      <w:r w:rsidRPr="007B2915">
        <w:rPr>
          <w:rFonts w:ascii="Cambria" w:hAnsi="Cambria"/>
          <w:sz w:val="20"/>
          <w:szCs w:val="20"/>
          <w:lang w:val="es-ES"/>
        </w:rPr>
        <w:t>propiedad por la afectación patrimonial causada por el incumplimie</w:t>
      </w:r>
      <w:r w:rsidR="00327D86" w:rsidRPr="007B2915">
        <w:rPr>
          <w:rFonts w:ascii="Cambria" w:hAnsi="Cambria"/>
          <w:sz w:val="20"/>
          <w:szCs w:val="20"/>
          <w:lang w:val="es-ES"/>
        </w:rPr>
        <w:t xml:space="preserve">nto de sentencias que </w:t>
      </w:r>
      <w:r w:rsidRPr="007B2915">
        <w:rPr>
          <w:rFonts w:ascii="Cambria" w:hAnsi="Cambria"/>
          <w:sz w:val="20"/>
          <w:szCs w:val="20"/>
          <w:lang w:val="es-ES"/>
        </w:rPr>
        <w:t>pretendían proteger el derecho a una pensión</w:t>
      </w:r>
      <w:r w:rsidR="00327D86" w:rsidRPr="007B2915">
        <w:rPr>
          <w:rFonts w:ascii="Cambria" w:hAnsi="Cambria"/>
          <w:sz w:val="20"/>
          <w:szCs w:val="20"/>
          <w:lang w:val="es-ES"/>
        </w:rPr>
        <w:t>, el cual</w:t>
      </w:r>
      <w:r w:rsidRPr="007B2915">
        <w:rPr>
          <w:rFonts w:ascii="Cambria" w:hAnsi="Cambria"/>
          <w:sz w:val="20"/>
          <w:szCs w:val="20"/>
          <w:lang w:val="es-ES"/>
        </w:rPr>
        <w:t xml:space="preserve"> había sido adquirido por las</w:t>
      </w:r>
      <w:r w:rsidR="00327D86" w:rsidRPr="007B2915">
        <w:rPr>
          <w:rFonts w:ascii="Cambria" w:hAnsi="Cambria"/>
          <w:sz w:val="20"/>
          <w:szCs w:val="20"/>
          <w:lang w:val="es-ES"/>
        </w:rPr>
        <w:t xml:space="preserve"> </w:t>
      </w:r>
      <w:r w:rsidRPr="007B2915">
        <w:rPr>
          <w:rFonts w:ascii="Cambria" w:hAnsi="Cambria"/>
          <w:sz w:val="20"/>
          <w:szCs w:val="20"/>
          <w:lang w:val="es-ES"/>
        </w:rPr>
        <w:t>víctimas de conformidad con la normativa interna</w:t>
      </w:r>
      <w:r w:rsidR="00E512EE" w:rsidRPr="007B2915">
        <w:rPr>
          <w:rFonts w:ascii="Cambria" w:hAnsi="Cambria"/>
          <w:sz w:val="20"/>
          <w:szCs w:val="20"/>
          <w:lang w:val="es-ES"/>
        </w:rPr>
        <w:t>.</w:t>
      </w:r>
      <w:r w:rsidRPr="007B2915">
        <w:rPr>
          <w:rFonts w:ascii="Cambria" w:hAnsi="Cambria"/>
          <w:sz w:val="20"/>
          <w:szCs w:val="20"/>
          <w:lang w:val="es-ES"/>
        </w:rPr>
        <w:t xml:space="preserve"> En esa sentencia </w:t>
      </w:r>
      <w:r w:rsidR="00327D86" w:rsidRPr="007B2915">
        <w:rPr>
          <w:rFonts w:ascii="Cambria" w:hAnsi="Cambria"/>
          <w:sz w:val="20"/>
          <w:szCs w:val="20"/>
          <w:lang w:val="es-ES"/>
        </w:rPr>
        <w:t xml:space="preserve">Corte </w:t>
      </w:r>
      <w:r w:rsidRPr="007B2915">
        <w:rPr>
          <w:rFonts w:ascii="Cambria" w:hAnsi="Cambria"/>
          <w:sz w:val="20"/>
          <w:szCs w:val="20"/>
          <w:lang w:val="es-ES"/>
        </w:rPr>
        <w:t>señaló que, desde el momento en que un pensionista paga sus contribuciones a un</w:t>
      </w:r>
      <w:r w:rsidR="00F12A5C" w:rsidRPr="007B2915">
        <w:rPr>
          <w:rFonts w:ascii="Cambria" w:hAnsi="Cambria"/>
          <w:sz w:val="20"/>
          <w:szCs w:val="20"/>
          <w:lang w:val="es-ES"/>
        </w:rPr>
        <w:t xml:space="preserve"> </w:t>
      </w:r>
      <w:r w:rsidRPr="007B2915">
        <w:rPr>
          <w:rFonts w:ascii="Cambria" w:hAnsi="Cambria"/>
          <w:sz w:val="20"/>
          <w:szCs w:val="20"/>
          <w:lang w:val="es-ES"/>
        </w:rPr>
        <w:t>fondo de pensiones y deja de prestar servicios a la institución concernida para acogerse al</w:t>
      </w:r>
      <w:r w:rsidR="00F12A5C" w:rsidRPr="007B2915">
        <w:rPr>
          <w:rFonts w:ascii="Cambria" w:hAnsi="Cambria"/>
          <w:sz w:val="20"/>
          <w:szCs w:val="20"/>
          <w:lang w:val="es-ES"/>
        </w:rPr>
        <w:t xml:space="preserve"> </w:t>
      </w:r>
      <w:r w:rsidRPr="007B2915">
        <w:rPr>
          <w:rFonts w:ascii="Cambria" w:hAnsi="Cambria"/>
          <w:sz w:val="20"/>
          <w:szCs w:val="20"/>
          <w:lang w:val="es-ES"/>
        </w:rPr>
        <w:t>régimen de jubilaciones previsto en la ley, adquiere el derecho a que su pensión se rija en</w:t>
      </w:r>
      <w:r w:rsidR="00F12A5C" w:rsidRPr="007B2915">
        <w:rPr>
          <w:rFonts w:ascii="Cambria" w:hAnsi="Cambria"/>
          <w:sz w:val="20"/>
          <w:szCs w:val="20"/>
          <w:lang w:val="es-ES"/>
        </w:rPr>
        <w:t xml:space="preserve"> </w:t>
      </w:r>
      <w:r w:rsidRPr="007B2915">
        <w:rPr>
          <w:rFonts w:ascii="Cambria" w:hAnsi="Cambria"/>
          <w:sz w:val="20"/>
          <w:szCs w:val="20"/>
          <w:lang w:val="es-ES"/>
        </w:rPr>
        <w:t>los términos y condiciones previstas en dicha ley. Asimismo, declaró que el derecho a la</w:t>
      </w:r>
      <w:r w:rsidR="00F12A5C" w:rsidRPr="007B2915">
        <w:rPr>
          <w:rFonts w:ascii="Cambria" w:hAnsi="Cambria"/>
          <w:sz w:val="20"/>
          <w:szCs w:val="20"/>
          <w:lang w:val="es-ES"/>
        </w:rPr>
        <w:t xml:space="preserve"> </w:t>
      </w:r>
      <w:r w:rsidRPr="007B2915">
        <w:rPr>
          <w:rFonts w:ascii="Cambria" w:hAnsi="Cambria"/>
          <w:sz w:val="20"/>
          <w:szCs w:val="20"/>
          <w:lang w:val="es-ES"/>
        </w:rPr>
        <w:t>pensión que adquiere dicha persona</w:t>
      </w:r>
      <w:r w:rsidR="00F12A5C" w:rsidRPr="007B2915">
        <w:rPr>
          <w:rFonts w:ascii="Cambria" w:hAnsi="Cambria"/>
          <w:sz w:val="20"/>
          <w:szCs w:val="20"/>
          <w:lang w:val="es-ES"/>
        </w:rPr>
        <w:t xml:space="preserve"> tiene “efectos patrimoniales”</w:t>
      </w:r>
      <w:r w:rsidRPr="007B2915">
        <w:rPr>
          <w:rFonts w:ascii="Cambria" w:hAnsi="Cambria"/>
          <w:sz w:val="20"/>
          <w:szCs w:val="20"/>
          <w:lang w:val="es-ES"/>
        </w:rPr>
        <w:t>, los cuales están</w:t>
      </w:r>
      <w:r w:rsidR="00F12A5C" w:rsidRPr="007B2915">
        <w:rPr>
          <w:rFonts w:ascii="Cambria" w:hAnsi="Cambria"/>
          <w:sz w:val="20"/>
          <w:szCs w:val="20"/>
          <w:lang w:val="es-ES"/>
        </w:rPr>
        <w:t xml:space="preserve"> </w:t>
      </w:r>
      <w:r w:rsidRPr="007B2915">
        <w:rPr>
          <w:rFonts w:ascii="Cambria" w:hAnsi="Cambria"/>
          <w:sz w:val="20"/>
          <w:szCs w:val="20"/>
          <w:lang w:val="es-ES"/>
        </w:rPr>
        <w:t>protegidos bajo el artículo 21 de la Convención</w:t>
      </w:r>
      <w:r w:rsidR="00F12A5C" w:rsidRPr="007B2915">
        <w:rPr>
          <w:rFonts w:ascii="Cambria" w:hAnsi="Cambria"/>
          <w:sz w:val="20"/>
          <w:szCs w:val="20"/>
          <w:lang w:val="es-ES"/>
        </w:rPr>
        <w:t xml:space="preserve"> Americana</w:t>
      </w:r>
      <w:r w:rsidR="00F42A64" w:rsidRPr="007B2915">
        <w:rPr>
          <w:rStyle w:val="Refdenotaalpie"/>
          <w:rFonts w:ascii="Cambria" w:eastAsia="Times New Roman" w:hAnsi="Cambria"/>
          <w:sz w:val="20"/>
          <w:szCs w:val="20"/>
          <w:bdr w:val="none" w:sz="0" w:space="0" w:color="auto"/>
        </w:rPr>
        <w:footnoteReference w:id="110"/>
      </w:r>
      <w:r w:rsidRPr="007B2915">
        <w:rPr>
          <w:rFonts w:ascii="Cambria" w:hAnsi="Cambria"/>
          <w:sz w:val="20"/>
          <w:szCs w:val="20"/>
          <w:lang w:val="es-ES"/>
        </w:rPr>
        <w:t xml:space="preserve">. Consecuentemente, en aquél caso </w:t>
      </w:r>
      <w:r w:rsidR="00F42A64" w:rsidRPr="007B2915">
        <w:rPr>
          <w:rFonts w:ascii="Cambria" w:hAnsi="Cambria"/>
          <w:sz w:val="20"/>
          <w:szCs w:val="20"/>
          <w:lang w:val="es-ES"/>
        </w:rPr>
        <w:t>la Corte</w:t>
      </w:r>
      <w:r w:rsidRPr="007B2915">
        <w:rPr>
          <w:rFonts w:ascii="Cambria" w:hAnsi="Cambria"/>
          <w:sz w:val="20"/>
          <w:szCs w:val="20"/>
          <w:lang w:val="es-ES"/>
        </w:rPr>
        <w:t xml:space="preserve"> declaró que al haber cambiado arbitrariamente el monto de las pensiones que</w:t>
      </w:r>
      <w:r w:rsidR="00F42A64" w:rsidRPr="007B2915">
        <w:rPr>
          <w:rFonts w:ascii="Cambria" w:hAnsi="Cambria"/>
          <w:sz w:val="20"/>
          <w:szCs w:val="20"/>
          <w:lang w:val="es-ES"/>
        </w:rPr>
        <w:t xml:space="preserve"> </w:t>
      </w:r>
      <w:r w:rsidRPr="007B2915">
        <w:rPr>
          <w:rFonts w:ascii="Cambria" w:hAnsi="Cambria"/>
          <w:sz w:val="20"/>
          <w:szCs w:val="20"/>
          <w:lang w:val="es-ES"/>
        </w:rPr>
        <w:t>venían percibiendo las presuntas víctimas y al no haber dado cumplimiento a las sentencias</w:t>
      </w:r>
      <w:r w:rsidR="00F42A64" w:rsidRPr="007B2915">
        <w:rPr>
          <w:rFonts w:ascii="Cambria" w:hAnsi="Cambria"/>
          <w:sz w:val="20"/>
          <w:szCs w:val="20"/>
          <w:lang w:val="es-ES"/>
        </w:rPr>
        <w:t xml:space="preserve"> </w:t>
      </w:r>
      <w:r w:rsidRPr="007B2915">
        <w:rPr>
          <w:rFonts w:ascii="Cambria" w:hAnsi="Cambria"/>
          <w:sz w:val="20"/>
          <w:szCs w:val="20"/>
          <w:lang w:val="es-ES"/>
        </w:rPr>
        <w:t>judiciales emitidas con ocasión de las acciones de garantía interpuestas, el Estado</w:t>
      </w:r>
      <w:r w:rsidR="00F42A64" w:rsidRPr="007B2915">
        <w:rPr>
          <w:rFonts w:ascii="Cambria" w:hAnsi="Cambria"/>
          <w:sz w:val="20"/>
          <w:szCs w:val="20"/>
          <w:lang w:val="es-ES"/>
        </w:rPr>
        <w:t xml:space="preserve"> </w:t>
      </w:r>
      <w:r w:rsidR="00F42A64" w:rsidRPr="007B2915">
        <w:rPr>
          <w:rFonts w:ascii="Cambria" w:eastAsia="Times New Roman" w:hAnsi="Cambria"/>
          <w:sz w:val="20"/>
          <w:szCs w:val="20"/>
          <w:bdr w:val="none" w:sz="0" w:space="0" w:color="auto"/>
          <w:lang w:val="es-ES"/>
        </w:rPr>
        <w:t>violó el derecho a la propiedad reconocido en el artículo 21 de la Convención Americana</w:t>
      </w:r>
      <w:r w:rsidR="00F42A64" w:rsidRPr="007B2915">
        <w:rPr>
          <w:rStyle w:val="Refdenotaalpie"/>
          <w:rFonts w:ascii="Cambria" w:eastAsia="Times New Roman" w:hAnsi="Cambria"/>
          <w:sz w:val="20"/>
          <w:szCs w:val="20"/>
          <w:bdr w:val="none" w:sz="0" w:space="0" w:color="auto"/>
        </w:rPr>
        <w:footnoteReference w:id="111"/>
      </w:r>
      <w:r w:rsidR="00F42A64" w:rsidRPr="007B2915">
        <w:rPr>
          <w:rFonts w:ascii="Cambria" w:eastAsia="Times New Roman" w:hAnsi="Cambria"/>
          <w:sz w:val="20"/>
          <w:szCs w:val="20"/>
          <w:bdr w:val="none" w:sz="0" w:space="0" w:color="auto"/>
          <w:lang w:val="es-ES"/>
        </w:rPr>
        <w:t>.</w:t>
      </w:r>
    </w:p>
    <w:p w:rsidR="00F42A64" w:rsidRPr="007B2915" w:rsidRDefault="00F42A64" w:rsidP="00F42A64">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
        </w:rPr>
      </w:pPr>
    </w:p>
    <w:p w:rsidR="0057219F" w:rsidRPr="007B2915" w:rsidRDefault="00F42A64" w:rsidP="002660A4">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s>
        <w:jc w:val="both"/>
        <w:rPr>
          <w:rFonts w:ascii="Cambria" w:eastAsia="Times New Roman" w:hAnsi="Cambria"/>
          <w:sz w:val="20"/>
          <w:szCs w:val="20"/>
          <w:bdr w:val="none" w:sz="0" w:space="0" w:color="auto"/>
          <w:lang w:val="es-ES"/>
        </w:rPr>
      </w:pPr>
      <w:r w:rsidRPr="007B2915">
        <w:rPr>
          <w:rFonts w:ascii="Cambria" w:hAnsi="Cambria"/>
          <w:sz w:val="20"/>
          <w:szCs w:val="20"/>
          <w:lang w:val="es-ES_tradnl"/>
        </w:rPr>
        <w:t>Posteriormente</w:t>
      </w:r>
      <w:r w:rsidRPr="007B2915">
        <w:rPr>
          <w:rFonts w:ascii="Cambria" w:eastAsia="Times New Roman" w:hAnsi="Cambria"/>
          <w:sz w:val="20"/>
          <w:szCs w:val="20"/>
          <w:bdr w:val="none" w:sz="0" w:space="0" w:color="auto"/>
          <w:lang w:val="es-ES"/>
        </w:rPr>
        <w:t>, en</w:t>
      </w:r>
      <w:r w:rsidR="00E512EE" w:rsidRPr="007B2915">
        <w:rPr>
          <w:rFonts w:ascii="Cambria" w:eastAsia="Times New Roman" w:hAnsi="Cambria"/>
          <w:sz w:val="20"/>
          <w:szCs w:val="20"/>
          <w:bdr w:val="none" w:sz="0" w:space="0" w:color="auto"/>
          <w:lang w:val="es-ES"/>
        </w:rPr>
        <w:t xml:space="preserve"> la sentencia del caso</w:t>
      </w:r>
      <w:r w:rsidR="00E512EE" w:rsidRPr="007B2915">
        <w:rPr>
          <w:rFonts w:ascii="Cambria" w:eastAsia="Times New Roman" w:hAnsi="Cambria"/>
          <w:i/>
          <w:sz w:val="20"/>
          <w:szCs w:val="20"/>
          <w:bdr w:val="none" w:sz="0" w:space="0" w:color="auto"/>
          <w:lang w:val="es-ES"/>
        </w:rPr>
        <w:t xml:space="preserve"> </w:t>
      </w:r>
      <w:r w:rsidRPr="007B2915">
        <w:rPr>
          <w:rFonts w:ascii="Cambria" w:eastAsia="Times New Roman" w:hAnsi="Cambria"/>
          <w:i/>
          <w:sz w:val="20"/>
          <w:szCs w:val="20"/>
          <w:bdr w:val="none" w:sz="0" w:space="0" w:color="auto"/>
          <w:lang w:val="es-ES"/>
        </w:rPr>
        <w:t xml:space="preserve"> </w:t>
      </w:r>
      <w:r w:rsidRPr="007B2915">
        <w:rPr>
          <w:rFonts w:ascii="Cambria" w:eastAsia="Times New Roman" w:hAnsi="Cambria"/>
          <w:bCs/>
          <w:i/>
          <w:sz w:val="20"/>
          <w:szCs w:val="20"/>
          <w:bdr w:val="none" w:sz="0" w:space="0" w:color="auto"/>
          <w:shd w:val="clear" w:color="auto" w:fill="FFFFFF"/>
          <w:lang w:val="es-ES"/>
        </w:rPr>
        <w:t xml:space="preserve">Acevedo Buendía y otros ("Cesantes y Jubilados de la Contraloría") </w:t>
      </w:r>
      <w:r w:rsidR="008365D7" w:rsidRPr="007B2915">
        <w:rPr>
          <w:rFonts w:ascii="Cambria" w:eastAsia="Times New Roman" w:hAnsi="Cambria"/>
          <w:bCs/>
          <w:i/>
          <w:sz w:val="20"/>
          <w:szCs w:val="20"/>
          <w:bdr w:val="none" w:sz="0" w:space="0" w:color="auto"/>
          <w:shd w:val="clear" w:color="auto" w:fill="FFFFFF"/>
          <w:lang w:val="es-ES"/>
        </w:rPr>
        <w:t>v</w:t>
      </w:r>
      <w:r w:rsidRPr="007B2915">
        <w:rPr>
          <w:rFonts w:ascii="Cambria" w:eastAsia="Times New Roman" w:hAnsi="Cambria"/>
          <w:bCs/>
          <w:i/>
          <w:sz w:val="20"/>
          <w:szCs w:val="20"/>
          <w:bdr w:val="none" w:sz="0" w:space="0" w:color="auto"/>
          <w:shd w:val="clear" w:color="auto" w:fill="FFFFFF"/>
          <w:lang w:val="es-ES"/>
        </w:rPr>
        <w:t>s. Perú</w:t>
      </w:r>
      <w:r w:rsidRPr="007B2915">
        <w:rPr>
          <w:rFonts w:ascii="Cambria" w:eastAsia="Times New Roman" w:hAnsi="Cambria"/>
          <w:bCs/>
          <w:sz w:val="20"/>
          <w:szCs w:val="20"/>
          <w:bdr w:val="none" w:sz="0" w:space="0" w:color="auto"/>
          <w:shd w:val="clear" w:color="auto" w:fill="FFFFFF"/>
          <w:lang w:val="es-ES"/>
        </w:rPr>
        <w:t xml:space="preserve">, la Corte Interamericana analizó </w:t>
      </w:r>
      <w:r w:rsidR="00D275FD" w:rsidRPr="007B2915">
        <w:rPr>
          <w:rFonts w:ascii="Cambria" w:eastAsia="Times New Roman" w:hAnsi="Cambria"/>
          <w:bCs/>
          <w:sz w:val="20"/>
          <w:szCs w:val="20"/>
          <w:bdr w:val="none" w:sz="0" w:space="0" w:color="auto"/>
          <w:shd w:val="clear" w:color="auto" w:fill="FFFFFF"/>
          <w:lang w:val="es-ES"/>
        </w:rPr>
        <w:t>un</w:t>
      </w:r>
      <w:r w:rsidR="000111F8" w:rsidRPr="007B2915">
        <w:rPr>
          <w:rFonts w:ascii="Cambria" w:eastAsia="Times New Roman" w:hAnsi="Cambria"/>
          <w:bCs/>
          <w:sz w:val="20"/>
          <w:szCs w:val="20"/>
          <w:bdr w:val="none" w:sz="0" w:space="0" w:color="auto"/>
          <w:shd w:val="clear" w:color="auto" w:fill="FFFFFF"/>
          <w:lang w:val="es-ES"/>
        </w:rPr>
        <w:t xml:space="preserve">a situación </w:t>
      </w:r>
      <w:r w:rsidR="00D275FD" w:rsidRPr="007B2915">
        <w:rPr>
          <w:rFonts w:ascii="Cambria" w:eastAsia="Times New Roman" w:hAnsi="Cambria"/>
          <w:bCs/>
          <w:sz w:val="20"/>
          <w:szCs w:val="20"/>
          <w:bdr w:val="none" w:sz="0" w:space="0" w:color="auto"/>
          <w:shd w:val="clear" w:color="auto" w:fill="FFFFFF"/>
          <w:lang w:val="es-ES"/>
        </w:rPr>
        <w:t xml:space="preserve">similar </w:t>
      </w:r>
      <w:r w:rsidR="000111F8" w:rsidRPr="007B2915">
        <w:rPr>
          <w:rFonts w:ascii="Cambria" w:eastAsia="Times New Roman" w:hAnsi="Cambria"/>
          <w:bCs/>
          <w:sz w:val="20"/>
          <w:szCs w:val="20"/>
          <w:bdr w:val="none" w:sz="0" w:space="0" w:color="auto"/>
          <w:shd w:val="clear" w:color="auto" w:fill="FFFFFF"/>
          <w:lang w:val="es-ES"/>
        </w:rPr>
        <w:t xml:space="preserve">sobre </w:t>
      </w:r>
      <w:r w:rsidR="00D275FD" w:rsidRPr="007B2915">
        <w:rPr>
          <w:rFonts w:ascii="Cambria" w:eastAsia="Times New Roman" w:hAnsi="Cambria"/>
          <w:bCs/>
          <w:sz w:val="20"/>
          <w:szCs w:val="20"/>
          <w:bdr w:val="none" w:sz="0" w:space="0" w:color="auto"/>
          <w:shd w:val="clear" w:color="auto" w:fill="FFFFFF"/>
          <w:lang w:val="es-ES"/>
        </w:rPr>
        <w:t xml:space="preserve">la falta de cumplimiento de sentencias que ordenaban a las víctimas acceder al régimen pensionario del Decreto Ley 20530. La Corte consideró que </w:t>
      </w:r>
      <w:r w:rsidR="0057219F" w:rsidRPr="007B2915">
        <w:rPr>
          <w:rFonts w:ascii="Cambria" w:eastAsia="Times New Roman" w:hAnsi="Cambria"/>
          <w:bCs/>
          <w:sz w:val="20"/>
          <w:szCs w:val="20"/>
          <w:bdr w:val="none" w:sz="0" w:space="0" w:color="auto"/>
          <w:shd w:val="clear" w:color="auto" w:fill="FFFFFF"/>
          <w:lang w:val="es-ES"/>
        </w:rPr>
        <w:t>dichas víctimas cumplieron con los requisitos establecidos por dicho decreto</w:t>
      </w:r>
      <w:r w:rsidR="00D275FD" w:rsidRPr="007B2915">
        <w:rPr>
          <w:rFonts w:ascii="Cambria" w:eastAsia="Times New Roman" w:hAnsi="Cambria"/>
          <w:bCs/>
          <w:sz w:val="20"/>
          <w:szCs w:val="20"/>
          <w:bdr w:val="none" w:sz="0" w:space="0" w:color="auto"/>
          <w:shd w:val="clear" w:color="auto" w:fill="FFFFFF"/>
          <w:lang w:val="es-ES"/>
        </w:rPr>
        <w:t xml:space="preserve"> </w:t>
      </w:r>
      <w:r w:rsidR="00B03B82" w:rsidRPr="007B2915">
        <w:rPr>
          <w:rFonts w:ascii="Cambria" w:eastAsia="Times New Roman" w:hAnsi="Cambria"/>
          <w:bCs/>
          <w:sz w:val="20"/>
          <w:szCs w:val="20"/>
          <w:bdr w:val="none" w:sz="0" w:space="0" w:color="auto"/>
          <w:shd w:val="clear" w:color="auto" w:fill="FFFFFF"/>
          <w:lang w:val="es-ES"/>
        </w:rPr>
        <w:t xml:space="preserve"> y qu</w:t>
      </w:r>
      <w:r w:rsidR="000111F8" w:rsidRPr="007B2915">
        <w:rPr>
          <w:rFonts w:ascii="Times" w:eastAsia="Times New Roman" w:hAnsi="Times"/>
          <w:sz w:val="20"/>
          <w:szCs w:val="20"/>
          <w:bdr w:val="none" w:sz="0" w:space="0" w:color="auto"/>
          <w:lang w:val="es-ES"/>
        </w:rPr>
        <w:t xml:space="preserve">e </w:t>
      </w:r>
      <w:r w:rsidR="0057219F" w:rsidRPr="007B2915">
        <w:rPr>
          <w:rFonts w:ascii="Cambria" w:eastAsia="Times New Roman" w:hAnsi="Cambria"/>
          <w:sz w:val="20"/>
          <w:szCs w:val="20"/>
          <w:bdr w:val="none" w:sz="0" w:space="0" w:color="auto"/>
          <w:lang w:val="es-ES"/>
        </w:rPr>
        <w:t>el derecho a la pensión que adquirieron generó un efecto en el</w:t>
      </w:r>
      <w:r w:rsidR="00B03B82" w:rsidRPr="007B2915">
        <w:rPr>
          <w:rFonts w:ascii="Cambria" w:eastAsia="Times New Roman" w:hAnsi="Cambria"/>
          <w:sz w:val="20"/>
          <w:szCs w:val="20"/>
          <w:bdr w:val="none" w:sz="0" w:space="0" w:color="auto"/>
          <w:lang w:val="es-ES"/>
        </w:rPr>
        <w:t xml:space="preserve"> </w:t>
      </w:r>
      <w:r w:rsidR="0057219F" w:rsidRPr="007B2915">
        <w:rPr>
          <w:rFonts w:ascii="Cambria" w:eastAsia="Times New Roman" w:hAnsi="Cambria"/>
          <w:sz w:val="20"/>
          <w:szCs w:val="20"/>
          <w:bdr w:val="none" w:sz="0" w:space="0" w:color="auto"/>
          <w:lang w:val="es-ES"/>
        </w:rPr>
        <w:t>patrimonio de éstas, quienes recibían los montos correspondientes cada mes</w:t>
      </w:r>
      <w:r w:rsidR="00B03B82" w:rsidRPr="007B2915">
        <w:rPr>
          <w:rStyle w:val="Refdenotaalpie"/>
          <w:rFonts w:ascii="Cambria" w:eastAsia="Times New Roman" w:hAnsi="Cambria"/>
          <w:sz w:val="20"/>
          <w:szCs w:val="20"/>
          <w:bdr w:val="none" w:sz="0" w:space="0" w:color="auto"/>
        </w:rPr>
        <w:footnoteReference w:id="112"/>
      </w:r>
      <w:r w:rsidR="0057219F" w:rsidRPr="007B2915">
        <w:rPr>
          <w:rFonts w:ascii="Cambria" w:eastAsia="Times New Roman" w:hAnsi="Cambria"/>
          <w:sz w:val="20"/>
          <w:szCs w:val="20"/>
          <w:bdr w:val="none" w:sz="0" w:space="0" w:color="auto"/>
          <w:lang w:val="es-ES"/>
        </w:rPr>
        <w:t xml:space="preserve">. </w:t>
      </w:r>
      <w:r w:rsidR="002660A4" w:rsidRPr="007B2915">
        <w:rPr>
          <w:rFonts w:ascii="Cambria" w:eastAsia="Times New Roman" w:hAnsi="Cambria"/>
          <w:sz w:val="20"/>
          <w:szCs w:val="20"/>
          <w:bdr w:val="none" w:sz="0" w:space="0" w:color="auto"/>
          <w:lang w:val="es-ES"/>
        </w:rPr>
        <w:t>La Corte tomó en cuenta que el Tribunal Constitucional emitió sentencias</w:t>
      </w:r>
      <w:r w:rsidR="003E0FCF" w:rsidRPr="007B2915">
        <w:rPr>
          <w:rFonts w:ascii="Cambria" w:eastAsia="Times New Roman" w:hAnsi="Cambria"/>
          <w:sz w:val="20"/>
          <w:szCs w:val="20"/>
          <w:bdr w:val="none" w:sz="0" w:space="0" w:color="auto"/>
          <w:lang w:val="es-ES"/>
        </w:rPr>
        <w:t xml:space="preserve"> mediante las cuales </w:t>
      </w:r>
      <w:r w:rsidR="002660A4" w:rsidRPr="007B2915">
        <w:rPr>
          <w:rFonts w:ascii="Cambria" w:eastAsia="Times New Roman" w:hAnsi="Cambria"/>
          <w:sz w:val="20"/>
          <w:szCs w:val="20"/>
          <w:bdr w:val="none" w:sz="0" w:space="0" w:color="auto"/>
          <w:lang w:val="es-ES"/>
        </w:rPr>
        <w:t xml:space="preserve">en donde ordenó al Estado reintegrar a las víctimas los montos pensionarios retenidos. En virtud de ello, la Corte consideró que se afectó a las víctimas en tanto no “pudieron gozar integralmente </w:t>
      </w:r>
      <w:r w:rsidR="0057219F" w:rsidRPr="007B2915">
        <w:rPr>
          <w:rFonts w:ascii="Cambria" w:eastAsia="Times New Roman" w:hAnsi="Cambria"/>
          <w:sz w:val="20"/>
          <w:szCs w:val="20"/>
          <w:bdr w:val="none" w:sz="0" w:space="0" w:color="auto"/>
          <w:lang w:val="es-ES"/>
        </w:rPr>
        <w:t>de su derecho a la propiedad sobre los efectos</w:t>
      </w:r>
      <w:r w:rsidR="002660A4" w:rsidRPr="007B2915">
        <w:rPr>
          <w:rFonts w:ascii="Cambria" w:eastAsia="Times New Roman" w:hAnsi="Cambria"/>
          <w:sz w:val="20"/>
          <w:szCs w:val="20"/>
          <w:bdr w:val="none" w:sz="0" w:space="0" w:color="auto"/>
          <w:lang w:val="es-ES"/>
        </w:rPr>
        <w:t xml:space="preserve"> </w:t>
      </w:r>
      <w:r w:rsidR="0057219F" w:rsidRPr="007B2915">
        <w:rPr>
          <w:rFonts w:ascii="Cambria" w:eastAsia="Times New Roman" w:hAnsi="Cambria"/>
          <w:sz w:val="20"/>
          <w:szCs w:val="20"/>
          <w:bdr w:val="none" w:sz="0" w:space="0" w:color="auto"/>
          <w:lang w:val="es-ES"/>
        </w:rPr>
        <w:t>patrimoniales de su pensión nivelable, legalmente reconocida, entendiendo aquéllos como</w:t>
      </w:r>
      <w:r w:rsidR="002660A4" w:rsidRPr="007B2915">
        <w:rPr>
          <w:rFonts w:ascii="Cambria" w:eastAsia="Times New Roman" w:hAnsi="Cambria"/>
          <w:sz w:val="20"/>
          <w:szCs w:val="20"/>
          <w:bdr w:val="none" w:sz="0" w:space="0" w:color="auto"/>
          <w:lang w:val="es-ES"/>
        </w:rPr>
        <w:t xml:space="preserve"> </w:t>
      </w:r>
      <w:r w:rsidR="0057219F" w:rsidRPr="007B2915">
        <w:rPr>
          <w:rFonts w:ascii="Cambria" w:eastAsia="Times New Roman" w:hAnsi="Cambria"/>
          <w:sz w:val="20"/>
          <w:szCs w:val="20"/>
          <w:bdr w:val="none" w:sz="0" w:space="0" w:color="auto"/>
          <w:lang w:val="es-ES"/>
        </w:rPr>
        <w:t>los montos dejados de percibir</w:t>
      </w:r>
      <w:r w:rsidR="002660A4" w:rsidRPr="007B2915">
        <w:rPr>
          <w:rFonts w:ascii="Cambria" w:eastAsia="Times New Roman" w:hAnsi="Cambria"/>
          <w:sz w:val="20"/>
          <w:szCs w:val="20"/>
          <w:bdr w:val="none" w:sz="0" w:space="0" w:color="auto"/>
          <w:lang w:val="es-ES"/>
        </w:rPr>
        <w:t>”</w:t>
      </w:r>
      <w:r w:rsidR="002660A4" w:rsidRPr="007B2915">
        <w:rPr>
          <w:rStyle w:val="Refdenotaalpie"/>
          <w:rFonts w:ascii="Cambria" w:eastAsia="Times New Roman" w:hAnsi="Cambria"/>
          <w:sz w:val="20"/>
          <w:szCs w:val="20"/>
          <w:bdr w:val="none" w:sz="0" w:space="0" w:color="auto"/>
        </w:rPr>
        <w:footnoteReference w:id="113"/>
      </w:r>
      <w:r w:rsidR="0057219F" w:rsidRPr="007B2915">
        <w:rPr>
          <w:rFonts w:ascii="Cambria" w:eastAsia="Times New Roman" w:hAnsi="Cambria"/>
          <w:sz w:val="20"/>
          <w:szCs w:val="20"/>
          <w:bdr w:val="none" w:sz="0" w:space="0" w:color="auto"/>
          <w:lang w:val="es-ES"/>
        </w:rPr>
        <w:t>.</w:t>
      </w:r>
    </w:p>
    <w:p w:rsidR="0057219F" w:rsidRPr="007B2915" w:rsidRDefault="0057219F" w:rsidP="0057219F">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rsidR="0057219F" w:rsidRPr="007B2915" w:rsidRDefault="0057219F" w:rsidP="00F7665F">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s>
        <w:jc w:val="both"/>
        <w:rPr>
          <w:rFonts w:ascii="Cambria" w:hAnsi="Cambria"/>
          <w:sz w:val="20"/>
          <w:szCs w:val="20"/>
          <w:lang w:val="es-ES"/>
        </w:rPr>
      </w:pPr>
      <w:r w:rsidRPr="007B2915">
        <w:rPr>
          <w:rFonts w:ascii="Cambria" w:hAnsi="Cambria"/>
          <w:sz w:val="20"/>
          <w:szCs w:val="20"/>
          <w:lang w:val="es-ES"/>
        </w:rPr>
        <w:t>La Comisión considera que dichos precedentes</w:t>
      </w:r>
      <w:r w:rsidR="00845B63" w:rsidRPr="007B2915">
        <w:rPr>
          <w:rFonts w:ascii="Cambria" w:hAnsi="Cambria"/>
          <w:sz w:val="20"/>
          <w:szCs w:val="20"/>
          <w:lang w:val="es-ES"/>
        </w:rPr>
        <w:t xml:space="preserve"> resultan plenamente aplicables</w:t>
      </w:r>
      <w:r w:rsidRPr="007B2915">
        <w:rPr>
          <w:rFonts w:ascii="Cambria" w:hAnsi="Cambria"/>
          <w:sz w:val="20"/>
          <w:szCs w:val="20"/>
          <w:lang w:val="es-ES"/>
        </w:rPr>
        <w:t xml:space="preserve"> al presente caso. Ello en tanto el señor Muelle, al igual que las víctimas en los dos asuntos ya señalados: i) accedió de manera legal al régimen pensionario del Decreto Ley 20530</w:t>
      </w:r>
      <w:r w:rsidR="00845B63" w:rsidRPr="007B2915">
        <w:rPr>
          <w:rFonts w:ascii="Cambria" w:hAnsi="Cambria"/>
          <w:sz w:val="20"/>
          <w:szCs w:val="20"/>
          <w:lang w:val="es-ES"/>
        </w:rPr>
        <w:t xml:space="preserve"> lo cual </w:t>
      </w:r>
      <w:r w:rsidR="00A07C81" w:rsidRPr="007B2915">
        <w:rPr>
          <w:rFonts w:ascii="Cambria" w:hAnsi="Cambria"/>
          <w:sz w:val="20"/>
          <w:szCs w:val="20"/>
          <w:lang w:val="es-ES"/>
        </w:rPr>
        <w:t xml:space="preserve">fue </w:t>
      </w:r>
      <w:r w:rsidR="00845B63" w:rsidRPr="007B2915">
        <w:rPr>
          <w:rFonts w:ascii="Cambria" w:hAnsi="Cambria"/>
          <w:sz w:val="20"/>
          <w:szCs w:val="20"/>
          <w:lang w:val="es-ES"/>
        </w:rPr>
        <w:t>declarado judicialmente en ambos amparos e incluso en la decisión sobre la demanda interpuesta por la propia empresa</w:t>
      </w:r>
      <w:r w:rsidRPr="007B2915">
        <w:rPr>
          <w:rFonts w:ascii="Cambria" w:hAnsi="Cambria"/>
          <w:sz w:val="20"/>
          <w:szCs w:val="20"/>
          <w:lang w:val="es-ES"/>
        </w:rPr>
        <w:t xml:space="preserve">; ii) </w:t>
      </w:r>
      <w:r w:rsidR="004F6BDA" w:rsidRPr="007B2915">
        <w:rPr>
          <w:rFonts w:ascii="Cambria" w:hAnsi="Cambria"/>
          <w:sz w:val="20"/>
          <w:szCs w:val="20"/>
          <w:lang w:val="es-ES"/>
        </w:rPr>
        <w:t>fue privado</w:t>
      </w:r>
      <w:r w:rsidRPr="007B2915">
        <w:rPr>
          <w:rFonts w:ascii="Cambria" w:hAnsi="Cambria"/>
          <w:sz w:val="20"/>
          <w:szCs w:val="20"/>
          <w:lang w:val="es-ES"/>
        </w:rPr>
        <w:t xml:space="preserve"> de continuar con los beneficios de dicho régimen; iii) </w:t>
      </w:r>
      <w:r w:rsidR="004F6BDA" w:rsidRPr="007B2915">
        <w:rPr>
          <w:rFonts w:ascii="Cambria" w:hAnsi="Cambria"/>
          <w:sz w:val="20"/>
          <w:szCs w:val="20"/>
          <w:lang w:val="es-ES"/>
        </w:rPr>
        <w:t>presentó recursos</w:t>
      </w:r>
      <w:r w:rsidR="00845B63" w:rsidRPr="007B2915">
        <w:rPr>
          <w:rFonts w:ascii="Cambria" w:hAnsi="Cambria"/>
          <w:sz w:val="20"/>
          <w:szCs w:val="20"/>
          <w:lang w:val="es-ES"/>
        </w:rPr>
        <w:t xml:space="preserve"> judiciales</w:t>
      </w:r>
      <w:r w:rsidR="004F6BDA" w:rsidRPr="007B2915">
        <w:rPr>
          <w:rFonts w:ascii="Cambria" w:hAnsi="Cambria"/>
          <w:sz w:val="20"/>
          <w:szCs w:val="20"/>
          <w:lang w:val="es-ES"/>
        </w:rPr>
        <w:t xml:space="preserve"> a efectos de solicitar su reincorporación;</w:t>
      </w:r>
      <w:r w:rsidR="00845B63" w:rsidRPr="007B2915">
        <w:rPr>
          <w:rFonts w:ascii="Cambria" w:hAnsi="Cambria"/>
          <w:sz w:val="20"/>
          <w:szCs w:val="20"/>
          <w:lang w:val="es-ES"/>
        </w:rPr>
        <w:t xml:space="preserve"> </w:t>
      </w:r>
      <w:r w:rsidR="004F6BDA" w:rsidRPr="007B2915">
        <w:rPr>
          <w:rFonts w:ascii="Cambria" w:hAnsi="Cambria"/>
          <w:sz w:val="20"/>
          <w:szCs w:val="20"/>
          <w:lang w:val="es-ES"/>
        </w:rPr>
        <w:t>iv) contó con sentencias judiciales en firme</w:t>
      </w:r>
      <w:r w:rsidR="00845B63" w:rsidRPr="007B2915">
        <w:rPr>
          <w:rFonts w:ascii="Cambria" w:hAnsi="Cambria"/>
          <w:sz w:val="20"/>
          <w:szCs w:val="20"/>
          <w:lang w:val="es-ES"/>
        </w:rPr>
        <w:t xml:space="preserve"> favorables a su pretensión</w:t>
      </w:r>
      <w:r w:rsidR="004F6BDA" w:rsidRPr="007B2915">
        <w:rPr>
          <w:rFonts w:ascii="Cambria" w:hAnsi="Cambria"/>
          <w:sz w:val="20"/>
          <w:szCs w:val="20"/>
          <w:lang w:val="es-ES"/>
        </w:rPr>
        <w:t>; y v) a la fecha no se ha cumplido con la ejecución de dichos fallos.</w:t>
      </w:r>
      <w:r w:rsidR="00836535" w:rsidRPr="007B2915">
        <w:rPr>
          <w:rFonts w:ascii="Cambria" w:hAnsi="Cambria"/>
          <w:sz w:val="20"/>
          <w:szCs w:val="20"/>
          <w:lang w:val="es-ES"/>
        </w:rPr>
        <w:t xml:space="preserve"> Todos estos elementos han generado un impacto en el patrimonio del señor Muelle Flores. </w:t>
      </w:r>
    </w:p>
    <w:p w:rsidR="002660A4" w:rsidRPr="007B2915" w:rsidRDefault="002660A4" w:rsidP="002660A4">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p>
    <w:p w:rsidR="00D44F28" w:rsidRPr="007B2915" w:rsidRDefault="002660A4" w:rsidP="002660A4">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s>
        <w:jc w:val="both"/>
        <w:rPr>
          <w:rFonts w:ascii="Cambria" w:hAnsi="Cambria"/>
          <w:sz w:val="20"/>
          <w:szCs w:val="20"/>
          <w:lang w:val="es-ES"/>
        </w:rPr>
      </w:pPr>
      <w:r w:rsidRPr="007B2915">
        <w:rPr>
          <w:rFonts w:ascii="Cambria" w:hAnsi="Cambria"/>
          <w:sz w:val="20"/>
          <w:szCs w:val="20"/>
          <w:lang w:val="es-ES"/>
        </w:rPr>
        <w:t>En conclusión, la Comisión considera que</w:t>
      </w:r>
      <w:r w:rsidR="003A3D70" w:rsidRPr="007B2915">
        <w:rPr>
          <w:rFonts w:ascii="Cambria" w:hAnsi="Cambria"/>
          <w:sz w:val="20"/>
          <w:szCs w:val="20"/>
          <w:lang w:val="es-ES"/>
        </w:rPr>
        <w:t xml:space="preserve"> </w:t>
      </w:r>
      <w:r w:rsidR="00D44F28" w:rsidRPr="007B2915">
        <w:rPr>
          <w:rFonts w:ascii="Cambria" w:hAnsi="Cambria"/>
          <w:sz w:val="20"/>
          <w:szCs w:val="20"/>
          <w:lang w:val="es-ES"/>
        </w:rPr>
        <w:t>el Estado</w:t>
      </w:r>
      <w:r w:rsidR="003A3D70" w:rsidRPr="007B2915">
        <w:rPr>
          <w:rFonts w:ascii="Cambria" w:hAnsi="Cambria"/>
          <w:sz w:val="20"/>
          <w:szCs w:val="20"/>
          <w:lang w:val="es-ES"/>
        </w:rPr>
        <w:t xml:space="preserve"> peruano es responsable por la violación del</w:t>
      </w:r>
      <w:r w:rsidR="00D44F28" w:rsidRPr="007B2915">
        <w:rPr>
          <w:rFonts w:ascii="Cambria" w:hAnsi="Cambria"/>
          <w:sz w:val="20"/>
          <w:szCs w:val="20"/>
          <w:lang w:val="es-ES"/>
        </w:rPr>
        <w:t xml:space="preserve"> derecho a la propiedad privada establecido en el artículo 21 de la Convención Americana en relación con</w:t>
      </w:r>
      <w:r w:rsidR="00026052" w:rsidRPr="007B2915">
        <w:rPr>
          <w:rFonts w:ascii="Cambria" w:hAnsi="Cambria"/>
          <w:sz w:val="20"/>
          <w:szCs w:val="20"/>
          <w:lang w:val="es-ES"/>
        </w:rPr>
        <w:t xml:space="preserve"> las obligaciones establecidas en</w:t>
      </w:r>
      <w:r w:rsidR="00D44F28" w:rsidRPr="007B2915">
        <w:rPr>
          <w:rFonts w:ascii="Cambria" w:hAnsi="Cambria"/>
          <w:sz w:val="20"/>
          <w:szCs w:val="20"/>
          <w:lang w:val="es-ES"/>
        </w:rPr>
        <w:t xml:space="preserve"> el artículo 1.1 del mismo instrumento en perjuicio del señor Muelle</w:t>
      </w:r>
      <w:r w:rsidR="00026052" w:rsidRPr="007B2915">
        <w:rPr>
          <w:rFonts w:ascii="Cambria" w:hAnsi="Cambria"/>
          <w:sz w:val="20"/>
          <w:szCs w:val="20"/>
          <w:lang w:val="es-ES"/>
        </w:rPr>
        <w:t xml:space="preserve"> Flores.</w:t>
      </w:r>
    </w:p>
    <w:p w:rsidR="002660A4" w:rsidRPr="007B2915" w:rsidRDefault="002660A4" w:rsidP="00C3155B">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p>
    <w:p w:rsidR="001D385C" w:rsidRPr="007B2915" w:rsidRDefault="001D385C" w:rsidP="001D385C">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s>
        <w:jc w:val="both"/>
        <w:rPr>
          <w:rFonts w:ascii="Cambria" w:eastAsia="Times New Roman" w:hAnsi="Cambria"/>
          <w:sz w:val="20"/>
          <w:szCs w:val="20"/>
          <w:bdr w:val="none" w:sz="0" w:space="0" w:color="auto"/>
          <w:lang w:val="es-ES"/>
        </w:rPr>
      </w:pPr>
      <w:r w:rsidRPr="007B2915">
        <w:rPr>
          <w:rFonts w:ascii="Cambria" w:hAnsi="Cambria"/>
          <w:sz w:val="20"/>
          <w:szCs w:val="20"/>
          <w:lang w:val="es-ES"/>
        </w:rPr>
        <w:t>Con</w:t>
      </w:r>
      <w:r w:rsidRPr="007B2915">
        <w:rPr>
          <w:rFonts w:ascii="Cambria" w:eastAsia="Times New Roman" w:hAnsi="Cambria"/>
          <w:sz w:val="20"/>
          <w:szCs w:val="20"/>
          <w:bdr w:val="none" w:sz="0" w:space="0" w:color="auto"/>
          <w:lang w:val="es-ES"/>
        </w:rPr>
        <w:t xml:space="preserve"> base en las consideraciones de hecho y de derecho expuestas</w:t>
      </w:r>
      <w:r w:rsidR="00380BAD" w:rsidRPr="007B2915">
        <w:rPr>
          <w:rFonts w:ascii="Cambria" w:eastAsia="Times New Roman" w:hAnsi="Cambria"/>
          <w:sz w:val="20"/>
          <w:szCs w:val="20"/>
          <w:bdr w:val="none" w:sz="0" w:space="0" w:color="auto"/>
          <w:lang w:val="es-ES"/>
        </w:rPr>
        <w:t xml:space="preserve"> a lo largo del presente informe de fondo,</w:t>
      </w:r>
      <w:r w:rsidRPr="007B2915">
        <w:rPr>
          <w:rFonts w:ascii="Cambria" w:eastAsia="Times New Roman" w:hAnsi="Cambria"/>
          <w:sz w:val="20"/>
          <w:szCs w:val="20"/>
          <w:bdr w:val="none" w:sz="0" w:space="0" w:color="auto"/>
          <w:lang w:val="es-ES"/>
        </w:rPr>
        <w:t xml:space="preserve"> la Comisión Interamericana concluye que el Estado de Perú es responsable por</w:t>
      </w:r>
      <w:r w:rsidRPr="007B2915">
        <w:rPr>
          <w:rFonts w:ascii="Cambria" w:hAnsi="Cambria"/>
          <w:sz w:val="20"/>
          <w:szCs w:val="20"/>
          <w:lang w:val="es-ES"/>
        </w:rPr>
        <w:t xml:space="preserve"> la violación de los derechos a las garantías judiciales, propiedad privada y protección judicial, establecido en los artículos 8.1, 21</w:t>
      </w:r>
      <w:r w:rsidR="00D74731" w:rsidRPr="007B2915">
        <w:rPr>
          <w:rFonts w:ascii="Cambria" w:hAnsi="Cambria"/>
          <w:sz w:val="20"/>
          <w:szCs w:val="20"/>
          <w:lang w:val="es-ES"/>
        </w:rPr>
        <w:t>, 25.1 y</w:t>
      </w:r>
      <w:r w:rsidRPr="007B2915">
        <w:rPr>
          <w:rFonts w:ascii="Cambria" w:hAnsi="Cambria"/>
          <w:sz w:val="20"/>
          <w:szCs w:val="20"/>
          <w:lang w:val="es-ES"/>
        </w:rPr>
        <w:t xml:space="preserve"> 25.2.c) de la Convención Americana, en relación con las obligaciones establecidas en el artículo 1.1 del mismo instrumento, en per</w:t>
      </w:r>
      <w:r w:rsidR="00C3155B" w:rsidRPr="007B2915">
        <w:rPr>
          <w:rFonts w:ascii="Cambria" w:hAnsi="Cambria"/>
          <w:sz w:val="20"/>
          <w:szCs w:val="20"/>
          <w:lang w:val="es-ES"/>
        </w:rPr>
        <w:t xml:space="preserve">juicio de Oscar Muelle Flores. </w:t>
      </w:r>
      <w:r w:rsidR="00D74731" w:rsidRPr="007B2915">
        <w:rPr>
          <w:rFonts w:ascii="Cambria" w:hAnsi="Cambria"/>
          <w:sz w:val="20"/>
          <w:szCs w:val="20"/>
          <w:lang w:val="es-ES"/>
        </w:rPr>
        <w:t>Asimismo, la Comisió</w:t>
      </w:r>
      <w:r w:rsidR="00BA1653" w:rsidRPr="007B2915">
        <w:rPr>
          <w:rFonts w:ascii="Cambria" w:hAnsi="Cambria"/>
          <w:sz w:val="20"/>
          <w:szCs w:val="20"/>
          <w:lang w:val="es-ES"/>
        </w:rPr>
        <w:t>n</w:t>
      </w:r>
      <w:r w:rsidR="00D74731" w:rsidRPr="007B2915">
        <w:rPr>
          <w:rFonts w:ascii="Cambria" w:hAnsi="Cambria"/>
          <w:sz w:val="20"/>
          <w:szCs w:val="20"/>
          <w:lang w:val="es-ES"/>
        </w:rPr>
        <w:t xml:space="preserve"> conc</w:t>
      </w:r>
      <w:r w:rsidR="00BA1653" w:rsidRPr="007B2915">
        <w:rPr>
          <w:rFonts w:ascii="Cambria" w:hAnsi="Cambria"/>
          <w:sz w:val="20"/>
          <w:szCs w:val="20"/>
          <w:lang w:val="es-ES"/>
        </w:rPr>
        <w:t>l</w:t>
      </w:r>
      <w:r w:rsidR="00C3155B" w:rsidRPr="007B2915">
        <w:rPr>
          <w:rFonts w:ascii="Cambria" w:hAnsi="Cambria"/>
          <w:sz w:val="20"/>
          <w:szCs w:val="20"/>
          <w:lang w:val="es-ES"/>
        </w:rPr>
        <w:t>uye que el Est</w:t>
      </w:r>
      <w:r w:rsidR="00D74731" w:rsidRPr="007B2915">
        <w:rPr>
          <w:rFonts w:ascii="Cambria" w:hAnsi="Cambria"/>
          <w:sz w:val="20"/>
          <w:szCs w:val="20"/>
          <w:lang w:val="es-ES"/>
        </w:rPr>
        <w:t>ado incumplió las obligaciones establecidas en el artículo 2 del mismo instrument</w:t>
      </w:r>
      <w:r w:rsidR="00832D3F" w:rsidRPr="007B2915">
        <w:rPr>
          <w:rFonts w:ascii="Cambria" w:hAnsi="Cambria"/>
          <w:sz w:val="20"/>
          <w:szCs w:val="20"/>
          <w:lang w:val="es-ES"/>
        </w:rPr>
        <w:t>o.</w:t>
      </w:r>
    </w:p>
    <w:p w:rsidR="001D385C" w:rsidRPr="007B2915" w:rsidRDefault="001D385C" w:rsidP="00D44F28">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rsidR="001D385C" w:rsidRPr="007B2915" w:rsidRDefault="001D385C" w:rsidP="00353ED9">
      <w:pPr>
        <w:pStyle w:val="Ttulo1"/>
        <w:ind w:firstLine="0"/>
        <w:rPr>
          <w:color w:val="auto"/>
          <w:lang w:val="es-ES_tradnl"/>
        </w:rPr>
      </w:pPr>
      <w:bookmarkStart w:id="68" w:name="_Toc346449098"/>
      <w:bookmarkStart w:id="69" w:name="_Toc474398504"/>
      <w:r w:rsidRPr="007B2915">
        <w:rPr>
          <w:color w:val="auto"/>
        </w:rPr>
        <w:lastRenderedPageBreak/>
        <w:t>RECOMENDACIONES</w:t>
      </w:r>
      <w:bookmarkEnd w:id="68"/>
      <w:bookmarkEnd w:id="69"/>
    </w:p>
    <w:p w:rsidR="001D385C" w:rsidRPr="007B2915" w:rsidRDefault="001D385C" w:rsidP="00D44F28">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rsidR="001D385C" w:rsidRPr="007B2915" w:rsidRDefault="001D385C" w:rsidP="002A36B0">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tabs>
          <w:tab w:val="num" w:pos="0"/>
        </w:tabs>
        <w:jc w:val="both"/>
        <w:rPr>
          <w:rFonts w:ascii="Cambria" w:eastAsia="Times New Roman" w:hAnsi="Cambria"/>
          <w:sz w:val="20"/>
          <w:szCs w:val="20"/>
          <w:bdr w:val="none" w:sz="0" w:space="0" w:color="auto"/>
          <w:lang w:val="es-ES"/>
        </w:rPr>
      </w:pPr>
      <w:r w:rsidRPr="007B2915">
        <w:rPr>
          <w:rFonts w:ascii="Cambria" w:eastAsia="Times New Roman" w:hAnsi="Cambria"/>
          <w:sz w:val="20"/>
          <w:szCs w:val="20"/>
          <w:bdr w:val="none" w:sz="0" w:space="0" w:color="auto"/>
          <w:lang w:val="es-ES"/>
        </w:rPr>
        <w:t xml:space="preserve">En virtud de las anteriores conclusiones, </w:t>
      </w:r>
    </w:p>
    <w:p w:rsidR="001D385C" w:rsidRPr="007B2915" w:rsidRDefault="001D385C" w:rsidP="002A36B0">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eastAsia="Times New Roman" w:hAnsi="Cambria"/>
          <w:sz w:val="20"/>
          <w:szCs w:val="20"/>
          <w:bdr w:val="none" w:sz="0" w:space="0" w:color="auto"/>
          <w:lang w:val="es-ES"/>
        </w:rPr>
      </w:pPr>
    </w:p>
    <w:p w:rsidR="001D385C" w:rsidRPr="007B2915" w:rsidRDefault="001D385C" w:rsidP="002A36B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b/>
          <w:sz w:val="20"/>
          <w:szCs w:val="20"/>
          <w:bdr w:val="none" w:sz="0" w:space="0" w:color="auto"/>
          <w:lang w:val="es-ES"/>
        </w:rPr>
      </w:pPr>
      <w:r w:rsidRPr="007B2915">
        <w:rPr>
          <w:rFonts w:ascii="Cambria" w:eastAsia="Times New Roman" w:hAnsi="Cambria"/>
          <w:b/>
          <w:sz w:val="20"/>
          <w:szCs w:val="20"/>
          <w:bdr w:val="none" w:sz="0" w:space="0" w:color="auto"/>
          <w:lang w:val="es-ES"/>
        </w:rPr>
        <w:t>LA COMISIÓN INTERAMERICANA DE DERECHOS HUMANOS</w:t>
      </w:r>
    </w:p>
    <w:p w:rsidR="002A36B0" w:rsidRPr="007B2915" w:rsidRDefault="001D385C" w:rsidP="00BB6415">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mbria" w:eastAsia="Times New Roman" w:hAnsi="Cambria"/>
          <w:sz w:val="20"/>
          <w:szCs w:val="20"/>
          <w:bdr w:val="none" w:sz="0" w:space="0" w:color="auto"/>
          <w:lang w:val="es-ES"/>
        </w:rPr>
      </w:pPr>
      <w:r w:rsidRPr="007B2915">
        <w:rPr>
          <w:rFonts w:ascii="Cambria" w:eastAsia="Times New Roman" w:hAnsi="Cambria"/>
          <w:b/>
          <w:sz w:val="20"/>
          <w:szCs w:val="20"/>
          <w:bdr w:val="none" w:sz="0" w:space="0" w:color="auto"/>
          <w:lang w:val="es-ES"/>
        </w:rPr>
        <w:t>RECOMIENDA AL ESTADO DE PERÚ,</w:t>
      </w:r>
    </w:p>
    <w:p w:rsidR="002A36B0" w:rsidRPr="007B2915" w:rsidRDefault="002A36B0" w:rsidP="001639F5">
      <w:pPr>
        <w:pBdr>
          <w:top w:val="none" w:sz="0" w:space="0" w:color="auto"/>
          <w:left w:val="none" w:sz="0" w:space="0" w:color="auto"/>
          <w:bottom w:val="none" w:sz="0" w:space="0" w:color="auto"/>
          <w:right w:val="none" w:sz="0" w:space="0" w:color="auto"/>
          <w:between w:val="none" w:sz="0" w:space="0" w:color="auto"/>
          <w:bar w:val="none" w:sz="0" w:color="auto"/>
        </w:pBdr>
        <w:ind w:right="720"/>
        <w:jc w:val="both"/>
        <w:rPr>
          <w:rFonts w:ascii="Cambria" w:eastAsia="Times New Roman" w:hAnsi="Cambria"/>
          <w:sz w:val="20"/>
          <w:szCs w:val="20"/>
          <w:bdr w:val="none" w:sz="0" w:space="0" w:color="auto"/>
          <w:lang w:val="es-ES"/>
        </w:rPr>
      </w:pPr>
    </w:p>
    <w:p w:rsidR="008D6835" w:rsidRPr="007B2915" w:rsidRDefault="002A36B0" w:rsidP="004802B1">
      <w:pPr>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ind w:left="0" w:right="720" w:firstLine="720"/>
        <w:jc w:val="both"/>
        <w:rPr>
          <w:rFonts w:ascii="Cambria" w:eastAsia="Times New Roman" w:hAnsi="Cambria"/>
          <w:sz w:val="20"/>
          <w:szCs w:val="20"/>
          <w:bdr w:val="none" w:sz="0" w:space="0" w:color="auto"/>
          <w:lang w:val="es-ES"/>
        </w:rPr>
      </w:pPr>
      <w:r w:rsidRPr="007B2915">
        <w:rPr>
          <w:rFonts w:ascii="Cambria" w:eastAsia="Times New Roman" w:hAnsi="Cambria"/>
          <w:sz w:val="20"/>
          <w:szCs w:val="20"/>
          <w:bdr w:val="none" w:sz="0" w:space="0" w:color="auto"/>
          <w:lang w:val="es-ES"/>
        </w:rPr>
        <w:t xml:space="preserve">Dar cumplimiento </w:t>
      </w:r>
      <w:r w:rsidR="00A21014" w:rsidRPr="007B2915">
        <w:rPr>
          <w:rFonts w:ascii="Cambria" w:eastAsia="Times New Roman" w:hAnsi="Cambria"/>
          <w:sz w:val="20"/>
          <w:szCs w:val="20"/>
          <w:bdr w:val="none" w:sz="0" w:space="0" w:color="auto"/>
          <w:lang w:val="es-ES"/>
        </w:rPr>
        <w:t>a la mayor brevedad posible</w:t>
      </w:r>
      <w:r w:rsidRPr="007B2915">
        <w:rPr>
          <w:rFonts w:ascii="Cambria" w:eastAsia="Times New Roman" w:hAnsi="Cambria"/>
          <w:sz w:val="20"/>
          <w:szCs w:val="20"/>
          <w:bdr w:val="none" w:sz="0" w:space="0" w:color="auto"/>
          <w:lang w:val="es-ES"/>
        </w:rPr>
        <w:t xml:space="preserve"> a las sentencias de la Corte Suprema de Justicia de </w:t>
      </w:r>
      <w:r w:rsidR="001639F5" w:rsidRPr="007B2915">
        <w:rPr>
          <w:rFonts w:ascii="Cambria" w:eastAsia="Times New Roman" w:hAnsi="Cambria"/>
          <w:sz w:val="20"/>
          <w:szCs w:val="20"/>
          <w:bdr w:val="none" w:sz="0" w:space="0" w:color="auto"/>
          <w:lang w:val="es-ES"/>
        </w:rPr>
        <w:t xml:space="preserve">2 de </w:t>
      </w:r>
      <w:r w:rsidRPr="007B2915">
        <w:rPr>
          <w:rFonts w:ascii="Cambria" w:eastAsia="Times New Roman" w:hAnsi="Cambria"/>
          <w:sz w:val="20"/>
          <w:szCs w:val="20"/>
          <w:bdr w:val="none" w:sz="0" w:space="0" w:color="auto"/>
          <w:lang w:val="es-ES"/>
        </w:rPr>
        <w:t xml:space="preserve">febrero de 1993 y del Tribunal Constitucional de </w:t>
      </w:r>
      <w:r w:rsidR="001639F5" w:rsidRPr="007B2915">
        <w:rPr>
          <w:rFonts w:ascii="Cambria" w:eastAsia="Times New Roman" w:hAnsi="Cambria"/>
          <w:sz w:val="20"/>
          <w:szCs w:val="20"/>
          <w:bdr w:val="none" w:sz="0" w:space="0" w:color="auto"/>
          <w:lang w:val="es-ES"/>
        </w:rPr>
        <w:t>10 de diciembre de 1999.</w:t>
      </w:r>
      <w:r w:rsidR="00A21014" w:rsidRPr="007B2915">
        <w:rPr>
          <w:rFonts w:ascii="Cambria" w:eastAsia="Times New Roman" w:hAnsi="Cambria"/>
          <w:sz w:val="20"/>
          <w:szCs w:val="20"/>
          <w:bdr w:val="none" w:sz="0" w:space="0" w:color="auto"/>
          <w:lang w:val="es-ES"/>
        </w:rPr>
        <w:t xml:space="preserve"> </w:t>
      </w:r>
      <w:r w:rsidR="00545007" w:rsidRPr="007B2915">
        <w:rPr>
          <w:rFonts w:ascii="Cambria" w:eastAsia="Times New Roman" w:hAnsi="Cambria"/>
          <w:sz w:val="20"/>
          <w:szCs w:val="20"/>
          <w:bdr w:val="none" w:sz="0" w:space="0" w:color="auto"/>
          <w:lang w:val="es-ES"/>
        </w:rPr>
        <w:t>Esto implica la adopció</w:t>
      </w:r>
      <w:r w:rsidR="009A09B5" w:rsidRPr="007B2915">
        <w:rPr>
          <w:rFonts w:ascii="Cambria" w:eastAsia="Times New Roman" w:hAnsi="Cambria"/>
          <w:sz w:val="20"/>
          <w:szCs w:val="20"/>
          <w:bdr w:val="none" w:sz="0" w:space="0" w:color="auto"/>
          <w:lang w:val="es-ES"/>
        </w:rPr>
        <w:t>n inmedia</w:t>
      </w:r>
      <w:r w:rsidR="00545007" w:rsidRPr="007B2915">
        <w:rPr>
          <w:rFonts w:ascii="Cambria" w:eastAsia="Times New Roman" w:hAnsi="Cambria"/>
          <w:sz w:val="20"/>
          <w:szCs w:val="20"/>
          <w:bdr w:val="none" w:sz="0" w:space="0" w:color="auto"/>
          <w:lang w:val="es-ES"/>
        </w:rPr>
        <w:t>ta</w:t>
      </w:r>
      <w:r w:rsidR="00FB2D1A" w:rsidRPr="007B2915">
        <w:rPr>
          <w:rFonts w:ascii="Cambria" w:eastAsia="Times New Roman" w:hAnsi="Cambria"/>
          <w:sz w:val="20"/>
          <w:szCs w:val="20"/>
          <w:bdr w:val="none" w:sz="0" w:space="0" w:color="auto"/>
          <w:lang w:val="es-ES"/>
        </w:rPr>
        <w:t xml:space="preserve"> por parte del Estado peruano</w:t>
      </w:r>
      <w:r w:rsidR="00545007" w:rsidRPr="007B2915">
        <w:rPr>
          <w:rFonts w:ascii="Cambria" w:eastAsia="Times New Roman" w:hAnsi="Cambria"/>
          <w:sz w:val="20"/>
          <w:szCs w:val="20"/>
          <w:bdr w:val="none" w:sz="0" w:space="0" w:color="auto"/>
          <w:lang w:val="es-ES"/>
        </w:rPr>
        <w:t xml:space="preserve"> de las medidas necesarias para el pago de la pensión al señor Muelle Flores en los términos en los cuales le fue reconocido judicialmente, es decir, bajo el </w:t>
      </w:r>
      <w:r w:rsidR="00C3155B" w:rsidRPr="007B2915">
        <w:rPr>
          <w:rFonts w:ascii="Cambria" w:eastAsia="Times New Roman" w:hAnsi="Cambria"/>
          <w:sz w:val="20"/>
          <w:szCs w:val="20"/>
          <w:bdr w:val="none" w:sz="0" w:space="0" w:color="auto"/>
          <w:lang w:val="es-ES"/>
        </w:rPr>
        <w:t>régimen</w:t>
      </w:r>
      <w:r w:rsidR="00545007" w:rsidRPr="007B2915">
        <w:rPr>
          <w:rFonts w:ascii="Cambria" w:eastAsia="Times New Roman" w:hAnsi="Cambria"/>
          <w:sz w:val="20"/>
          <w:szCs w:val="20"/>
          <w:bdr w:val="none" w:sz="0" w:space="0" w:color="auto"/>
          <w:lang w:val="es-ES"/>
        </w:rPr>
        <w:t xml:space="preserve"> del Decreto </w:t>
      </w:r>
      <w:r w:rsidR="00C3155B" w:rsidRPr="007B2915">
        <w:rPr>
          <w:rFonts w:ascii="Cambria" w:eastAsia="Times New Roman" w:hAnsi="Cambria"/>
          <w:sz w:val="20"/>
          <w:szCs w:val="20"/>
          <w:bdr w:val="none" w:sz="0" w:space="0" w:color="auto"/>
          <w:lang w:val="es-ES"/>
        </w:rPr>
        <w:t xml:space="preserve">Ley </w:t>
      </w:r>
      <w:r w:rsidR="00545007" w:rsidRPr="007B2915">
        <w:rPr>
          <w:rFonts w:ascii="Cambria" w:eastAsia="Times New Roman" w:hAnsi="Cambria"/>
          <w:sz w:val="20"/>
          <w:szCs w:val="20"/>
          <w:bdr w:val="none" w:sz="0" w:space="0" w:color="auto"/>
          <w:lang w:val="es-ES"/>
        </w:rPr>
        <w:t xml:space="preserve">20530. </w:t>
      </w:r>
      <w:r w:rsidR="006A0028" w:rsidRPr="007B2915">
        <w:rPr>
          <w:rFonts w:ascii="Cambria" w:eastAsia="Times New Roman" w:hAnsi="Cambria"/>
          <w:sz w:val="20"/>
          <w:szCs w:val="20"/>
          <w:bdr w:val="none" w:sz="0" w:space="0" w:color="auto"/>
          <w:lang w:val="es-ES"/>
        </w:rPr>
        <w:t>Lo anterior incluye el pago de las</w:t>
      </w:r>
      <w:r w:rsidR="00DD7AEB" w:rsidRPr="007B2915">
        <w:rPr>
          <w:rFonts w:ascii="Cambria" w:eastAsia="Times New Roman" w:hAnsi="Cambria"/>
          <w:sz w:val="20"/>
          <w:szCs w:val="20"/>
          <w:bdr w:val="none" w:sz="0" w:space="0" w:color="auto"/>
          <w:lang w:val="es-ES"/>
        </w:rPr>
        <w:t xml:space="preserve"> pensiones dejadas de percibir desde el momento de su jubilación hasta la fecha en que se haga efectivo el pago.</w:t>
      </w:r>
      <w:r w:rsidR="00A3745E" w:rsidRPr="007B2915">
        <w:rPr>
          <w:rFonts w:ascii="Cambria" w:eastAsia="Times New Roman" w:hAnsi="Cambria"/>
          <w:sz w:val="20"/>
          <w:szCs w:val="20"/>
          <w:bdr w:val="none" w:sz="0" w:space="0" w:color="auto"/>
          <w:lang w:val="es-ES"/>
        </w:rPr>
        <w:t xml:space="preserve"> </w:t>
      </w:r>
      <w:r w:rsidR="00FB2D1A" w:rsidRPr="007B2915">
        <w:rPr>
          <w:rFonts w:ascii="Cambria" w:eastAsia="Times New Roman" w:hAnsi="Cambria"/>
          <w:sz w:val="20"/>
          <w:szCs w:val="20"/>
          <w:bdr w:val="none" w:sz="0" w:space="0" w:color="auto"/>
          <w:lang w:val="es-ES"/>
        </w:rPr>
        <w:t xml:space="preserve">Tomando en cuenta los estándares desarrollados en el presente informe sobre las obligaciones del Estado en el marco de privatización de empresas estatales, Perú </w:t>
      </w:r>
      <w:r w:rsidR="00A3745E" w:rsidRPr="007B2915">
        <w:rPr>
          <w:rFonts w:ascii="Cambria" w:eastAsia="Times New Roman" w:hAnsi="Cambria"/>
          <w:sz w:val="20"/>
          <w:szCs w:val="20"/>
          <w:bdr w:val="none" w:sz="0" w:space="0" w:color="auto"/>
          <w:lang w:val="es-ES"/>
        </w:rPr>
        <w:t xml:space="preserve">no podrá oponer </w:t>
      </w:r>
      <w:r w:rsidR="00FB2D1A" w:rsidRPr="007B2915">
        <w:rPr>
          <w:rFonts w:ascii="Cambria" w:eastAsia="Times New Roman" w:hAnsi="Cambria"/>
          <w:sz w:val="20"/>
          <w:szCs w:val="20"/>
          <w:bdr w:val="none" w:sz="0" w:space="0" w:color="auto"/>
          <w:lang w:val="es-ES"/>
        </w:rPr>
        <w:t xml:space="preserve">la privatización de la empresa para </w:t>
      </w:r>
      <w:r w:rsidR="00A3745E" w:rsidRPr="007B2915">
        <w:rPr>
          <w:rFonts w:ascii="Cambria" w:eastAsia="Times New Roman" w:hAnsi="Cambria"/>
          <w:sz w:val="20"/>
          <w:szCs w:val="20"/>
          <w:bdr w:val="none" w:sz="0" w:space="0" w:color="auto"/>
          <w:lang w:val="es-ES"/>
        </w:rPr>
        <w:t>abstenerse de cumplir con esta recomendación.</w:t>
      </w:r>
    </w:p>
    <w:p w:rsidR="008D6835" w:rsidRPr="007B2915" w:rsidRDefault="008D6835" w:rsidP="004802B1">
      <w:pPr>
        <w:pBdr>
          <w:top w:val="none" w:sz="0" w:space="0" w:color="auto"/>
          <w:left w:val="none" w:sz="0" w:space="0" w:color="auto"/>
          <w:bottom w:val="none" w:sz="0" w:space="0" w:color="auto"/>
          <w:right w:val="none" w:sz="0" w:space="0" w:color="auto"/>
          <w:between w:val="none" w:sz="0" w:space="0" w:color="auto"/>
          <w:bar w:val="none" w:sz="0" w:color="auto"/>
        </w:pBdr>
        <w:ind w:right="720" w:firstLine="720"/>
        <w:jc w:val="both"/>
        <w:rPr>
          <w:rFonts w:ascii="Cambria" w:eastAsia="Times New Roman" w:hAnsi="Cambria"/>
          <w:sz w:val="20"/>
          <w:szCs w:val="20"/>
          <w:bdr w:val="none" w:sz="0" w:space="0" w:color="auto"/>
          <w:lang w:val="es-ES"/>
        </w:rPr>
      </w:pPr>
    </w:p>
    <w:p w:rsidR="002A36B0" w:rsidRPr="007B2915" w:rsidRDefault="008D6835" w:rsidP="004802B1">
      <w:pPr>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ind w:left="0" w:right="720" w:firstLine="720"/>
        <w:jc w:val="both"/>
        <w:rPr>
          <w:rFonts w:ascii="Cambria" w:eastAsia="Times New Roman" w:hAnsi="Cambria"/>
          <w:sz w:val="20"/>
          <w:szCs w:val="20"/>
          <w:bdr w:val="none" w:sz="0" w:space="0" w:color="auto"/>
          <w:lang w:val="es-ES"/>
        </w:rPr>
      </w:pPr>
      <w:r w:rsidRPr="007B2915">
        <w:rPr>
          <w:rFonts w:ascii="Cambria" w:eastAsia="Times New Roman" w:hAnsi="Cambria"/>
          <w:sz w:val="20"/>
          <w:szCs w:val="20"/>
          <w:bdr w:val="none" w:sz="0" w:space="0" w:color="auto"/>
          <w:lang w:val="es-ES"/>
        </w:rPr>
        <w:t xml:space="preserve">Reparar integralmente las violaciones declaradas en el presente informe, incluyendo una debida compensación que incluya el daño material e inmaterial causado. </w:t>
      </w:r>
      <w:r w:rsidR="00A3745E" w:rsidRPr="007B2915">
        <w:rPr>
          <w:rFonts w:ascii="Cambria" w:eastAsia="Times New Roman" w:hAnsi="Cambria"/>
          <w:sz w:val="20"/>
          <w:szCs w:val="20"/>
          <w:bdr w:val="none" w:sz="0" w:space="0" w:color="auto"/>
          <w:lang w:val="es-ES"/>
        </w:rPr>
        <w:t xml:space="preserve">  </w:t>
      </w:r>
    </w:p>
    <w:p w:rsidR="008D6835" w:rsidRPr="007B2915" w:rsidRDefault="008D6835" w:rsidP="004802B1">
      <w:pPr>
        <w:pBdr>
          <w:top w:val="none" w:sz="0" w:space="0" w:color="auto"/>
          <w:left w:val="none" w:sz="0" w:space="0" w:color="auto"/>
          <w:bottom w:val="none" w:sz="0" w:space="0" w:color="auto"/>
          <w:right w:val="none" w:sz="0" w:space="0" w:color="auto"/>
          <w:between w:val="none" w:sz="0" w:space="0" w:color="auto"/>
          <w:bar w:val="none" w:sz="0" w:color="auto"/>
        </w:pBdr>
        <w:ind w:right="720" w:firstLine="720"/>
        <w:jc w:val="both"/>
        <w:rPr>
          <w:rFonts w:ascii="Cambria" w:eastAsia="Times New Roman" w:hAnsi="Cambria"/>
          <w:sz w:val="20"/>
          <w:szCs w:val="20"/>
          <w:bdr w:val="none" w:sz="0" w:space="0" w:color="auto"/>
          <w:lang w:val="es-ES"/>
        </w:rPr>
      </w:pPr>
    </w:p>
    <w:p w:rsidR="008D6835" w:rsidRDefault="008D6835" w:rsidP="004802B1">
      <w:pPr>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ind w:left="0" w:right="720" w:firstLine="720"/>
        <w:jc w:val="both"/>
        <w:rPr>
          <w:rFonts w:ascii="Cambria" w:eastAsia="Times New Roman" w:hAnsi="Cambria"/>
          <w:sz w:val="20"/>
          <w:szCs w:val="20"/>
          <w:bdr w:val="none" w:sz="0" w:space="0" w:color="auto"/>
          <w:lang w:val="es-ES"/>
        </w:rPr>
      </w:pPr>
      <w:r w:rsidRPr="007B2915">
        <w:rPr>
          <w:rFonts w:ascii="Cambria" w:eastAsia="Times New Roman" w:hAnsi="Cambria"/>
          <w:sz w:val="20"/>
          <w:szCs w:val="20"/>
          <w:bdr w:val="none" w:sz="0" w:space="0" w:color="auto"/>
          <w:lang w:val="es-ES"/>
        </w:rPr>
        <w:t>Adoptar las medidas le</w:t>
      </w:r>
      <w:r w:rsidR="00800E2C" w:rsidRPr="007B2915">
        <w:rPr>
          <w:rFonts w:ascii="Cambria" w:eastAsia="Times New Roman" w:hAnsi="Cambria"/>
          <w:sz w:val="20"/>
          <w:szCs w:val="20"/>
          <w:bdr w:val="none" w:sz="0" w:space="0" w:color="auto"/>
          <w:lang w:val="es-ES"/>
        </w:rPr>
        <w:t>gislativas o de otra índol</w:t>
      </w:r>
      <w:r w:rsidRPr="007B2915">
        <w:rPr>
          <w:rFonts w:ascii="Cambria" w:eastAsia="Times New Roman" w:hAnsi="Cambria"/>
          <w:sz w:val="20"/>
          <w:szCs w:val="20"/>
          <w:bdr w:val="none" w:sz="0" w:space="0" w:color="auto"/>
          <w:lang w:val="es-ES"/>
        </w:rPr>
        <w:t xml:space="preserve">e necesarias para evitar la repetición de las violaciones declaradas en el presente informe. Al respecto, el Estado deberá disponer las medidas necesarias para: i) Asegurar que las empresas estatales cumplan con los fallos judiciales que reconocen derechos pensionarios a ex-trabajadores; ii) Asegurar que en el marco de la privatización de empresas privadas se dispongan las debidas salvaguardas para que tal actuación no </w:t>
      </w:r>
      <w:r w:rsidR="00F920FF" w:rsidRPr="007B2915">
        <w:rPr>
          <w:rFonts w:ascii="Cambria" w:eastAsia="Times New Roman" w:hAnsi="Cambria"/>
          <w:sz w:val="20"/>
          <w:szCs w:val="20"/>
          <w:bdr w:val="none" w:sz="0" w:space="0" w:color="auto"/>
          <w:lang w:val="es-ES"/>
        </w:rPr>
        <w:t>impida el cumplimiento de sentencias judiciales a favor de las personas jubiladas</w:t>
      </w:r>
      <w:r w:rsidR="00055B6D" w:rsidRPr="007B2915">
        <w:rPr>
          <w:rFonts w:ascii="Cambria" w:eastAsia="Times New Roman" w:hAnsi="Cambria"/>
          <w:sz w:val="20"/>
          <w:szCs w:val="20"/>
          <w:bdr w:val="none" w:sz="0" w:space="0" w:color="auto"/>
          <w:lang w:val="es-ES"/>
        </w:rPr>
        <w:t xml:space="preserve">; </w:t>
      </w:r>
      <w:r w:rsidRPr="007B2915">
        <w:rPr>
          <w:rFonts w:ascii="Cambria" w:eastAsia="Times New Roman" w:hAnsi="Cambria"/>
          <w:sz w:val="20"/>
          <w:szCs w:val="20"/>
          <w:bdr w:val="none" w:sz="0" w:space="0" w:color="auto"/>
          <w:lang w:val="es-ES"/>
        </w:rPr>
        <w:t>iii) Asegurar que los procesos de ejecución de sentencia cumplan con el estándar convencional de sencillez y ra</w:t>
      </w:r>
      <w:r w:rsidR="00055B6D" w:rsidRPr="007B2915">
        <w:rPr>
          <w:rFonts w:ascii="Cambria" w:eastAsia="Times New Roman" w:hAnsi="Cambria"/>
          <w:sz w:val="20"/>
          <w:szCs w:val="20"/>
          <w:bdr w:val="none" w:sz="0" w:space="0" w:color="auto"/>
          <w:lang w:val="es-ES"/>
        </w:rPr>
        <w:t xml:space="preserve">pidez; y iv) Asegurar que las autoridades judiciales que conocen tales procesos se encuentren facultados legalmente y apliquen en la práctica los mecanismos coercitivos necesarios para garantizar el cumplimiento de los fallos judiciales. </w:t>
      </w:r>
    </w:p>
    <w:p w:rsidR="007B2915" w:rsidRDefault="007B2915" w:rsidP="007B2915">
      <w:pPr>
        <w:pBdr>
          <w:top w:val="none" w:sz="0" w:space="0" w:color="auto"/>
          <w:left w:val="none" w:sz="0" w:space="0" w:color="auto"/>
          <w:bottom w:val="none" w:sz="0" w:space="0" w:color="auto"/>
          <w:right w:val="none" w:sz="0" w:space="0" w:color="auto"/>
          <w:between w:val="none" w:sz="0" w:space="0" w:color="auto"/>
          <w:bar w:val="none" w:sz="0" w:color="auto"/>
        </w:pBdr>
        <w:ind w:right="720"/>
        <w:jc w:val="both"/>
        <w:rPr>
          <w:rFonts w:ascii="Cambria" w:eastAsia="Times New Roman" w:hAnsi="Cambria"/>
          <w:sz w:val="20"/>
          <w:szCs w:val="20"/>
          <w:bdr w:val="none" w:sz="0" w:space="0" w:color="auto"/>
          <w:lang w:val="es-ES"/>
        </w:rPr>
      </w:pPr>
    </w:p>
    <w:p w:rsidR="007B2915" w:rsidRPr="000A19C9" w:rsidRDefault="007B2915" w:rsidP="00841940">
      <w:pPr>
        <w:ind w:right="713" w:firstLine="720"/>
        <w:jc w:val="both"/>
        <w:rPr>
          <w:rFonts w:ascii="Cambria" w:hAnsi="Cambria" w:cs="Arial"/>
          <w:noProof/>
          <w:spacing w:val="-2"/>
          <w:sz w:val="20"/>
          <w:szCs w:val="20"/>
          <w:lang w:val="es-CL"/>
        </w:rPr>
      </w:pPr>
      <w:r w:rsidRPr="000A19C9">
        <w:rPr>
          <w:rFonts w:ascii="Cambria" w:hAnsi="Cambria" w:cs="Arial"/>
          <w:noProof/>
          <w:spacing w:val="-2"/>
          <w:sz w:val="20"/>
          <w:szCs w:val="20"/>
          <w:lang w:val="es-CL"/>
        </w:rPr>
        <w:t xml:space="preserve">Dado y firmado en </w:t>
      </w:r>
      <w:r>
        <w:rPr>
          <w:rFonts w:ascii="Cambria" w:hAnsi="Cambria" w:cs="Arial"/>
          <w:noProof/>
          <w:spacing w:val="-2"/>
          <w:sz w:val="20"/>
          <w:szCs w:val="20"/>
          <w:lang w:val="es-CL"/>
        </w:rPr>
        <w:t>Washington, D.C.</w:t>
      </w:r>
      <w:r w:rsidRPr="000A19C9">
        <w:rPr>
          <w:rFonts w:ascii="Cambria" w:hAnsi="Cambria" w:cs="Arial"/>
          <w:noProof/>
          <w:spacing w:val="-2"/>
          <w:sz w:val="20"/>
          <w:szCs w:val="20"/>
          <w:lang w:val="es-CL"/>
        </w:rPr>
        <w:t xml:space="preserve">, a los </w:t>
      </w:r>
      <w:r>
        <w:rPr>
          <w:rFonts w:ascii="Cambria" w:hAnsi="Cambria" w:cs="Arial"/>
          <w:noProof/>
          <w:spacing w:val="-2"/>
          <w:sz w:val="20"/>
          <w:szCs w:val="20"/>
          <w:lang w:val="es-CL"/>
        </w:rPr>
        <w:t>27</w:t>
      </w:r>
      <w:r w:rsidRPr="000A19C9">
        <w:rPr>
          <w:rFonts w:ascii="Cambria" w:hAnsi="Cambria" w:cs="Arial"/>
          <w:noProof/>
          <w:spacing w:val="-2"/>
          <w:sz w:val="20"/>
          <w:szCs w:val="20"/>
          <w:lang w:val="es-CL"/>
        </w:rPr>
        <w:t xml:space="preserve"> días del mes de </w:t>
      </w:r>
      <w:r>
        <w:rPr>
          <w:rFonts w:ascii="Cambria" w:hAnsi="Cambria" w:cs="Arial"/>
          <w:noProof/>
          <w:spacing w:val="-2"/>
          <w:sz w:val="20"/>
          <w:szCs w:val="20"/>
          <w:lang w:val="es-CL"/>
        </w:rPr>
        <w:t>enero</w:t>
      </w:r>
      <w:r w:rsidRPr="000A19C9">
        <w:rPr>
          <w:rFonts w:ascii="Cambria" w:hAnsi="Cambria" w:cs="Arial"/>
          <w:noProof/>
          <w:spacing w:val="-2"/>
          <w:sz w:val="20"/>
          <w:szCs w:val="20"/>
          <w:lang w:val="es-CL"/>
        </w:rPr>
        <w:t xml:space="preserve"> de 201</w:t>
      </w:r>
      <w:r>
        <w:rPr>
          <w:rFonts w:ascii="Cambria" w:hAnsi="Cambria" w:cs="Arial"/>
          <w:noProof/>
          <w:spacing w:val="-2"/>
          <w:sz w:val="20"/>
          <w:szCs w:val="20"/>
          <w:lang w:val="es-CL"/>
        </w:rPr>
        <w:t>7</w:t>
      </w:r>
      <w:r w:rsidRPr="000A19C9">
        <w:rPr>
          <w:rFonts w:ascii="Cambria" w:hAnsi="Cambria" w:cs="Arial"/>
          <w:noProof/>
          <w:spacing w:val="-2"/>
          <w:sz w:val="20"/>
          <w:szCs w:val="20"/>
          <w:lang w:val="es-CL"/>
        </w:rPr>
        <w:t>.  (Firmado): James Cavallaro, Presidente; Margarette May Macaulay, Segunda Vicepresidenta; José de Jesús Orozco Henríquez, Paulo Vannuchi, Esmeralda E. Arosema Bernal de Troitiño</w:t>
      </w:r>
      <w:r>
        <w:rPr>
          <w:rFonts w:ascii="Cambria" w:hAnsi="Cambria" w:cs="Arial"/>
          <w:noProof/>
          <w:spacing w:val="-2"/>
          <w:sz w:val="20"/>
          <w:szCs w:val="20"/>
          <w:lang w:val="es-CL"/>
        </w:rPr>
        <w:t>,</w:t>
      </w:r>
      <w:r w:rsidRPr="000A19C9">
        <w:rPr>
          <w:rFonts w:ascii="Cambria" w:hAnsi="Cambria" w:cs="Arial"/>
          <w:noProof/>
          <w:spacing w:val="-2"/>
          <w:sz w:val="20"/>
          <w:szCs w:val="20"/>
          <w:lang w:val="es-CL"/>
        </w:rPr>
        <w:t xml:space="preserve"> y Enrique Gil Botero, Miembros de la Comisión.</w:t>
      </w:r>
      <w:r w:rsidRPr="000A19C9">
        <w:rPr>
          <w:rFonts w:ascii="Cambria" w:hAnsi="Cambria" w:cs="Arial"/>
          <w:noProof/>
          <w:sz w:val="20"/>
          <w:szCs w:val="20"/>
          <w:lang w:val="es-CL"/>
        </w:rPr>
        <w:t xml:space="preserve"> </w:t>
      </w:r>
    </w:p>
    <w:p w:rsidR="007B2915" w:rsidRPr="000A19C9" w:rsidRDefault="007B2915" w:rsidP="00841940">
      <w:pPr>
        <w:ind w:right="713" w:firstLine="720"/>
        <w:jc w:val="both"/>
        <w:rPr>
          <w:rFonts w:ascii="Cambria" w:hAnsi="Cambria" w:cs="Arial"/>
          <w:noProof/>
          <w:sz w:val="20"/>
          <w:szCs w:val="20"/>
          <w:lang w:val="es-CL"/>
        </w:rPr>
      </w:pPr>
    </w:p>
    <w:p w:rsidR="007B2915" w:rsidRPr="000A19C9" w:rsidRDefault="007B2915" w:rsidP="00841940">
      <w:pPr>
        <w:ind w:right="713" w:firstLine="720"/>
        <w:jc w:val="both"/>
        <w:rPr>
          <w:rFonts w:ascii="Cambria" w:hAnsi="Cambria" w:cs="Arial"/>
          <w:noProof/>
          <w:sz w:val="20"/>
          <w:szCs w:val="20"/>
          <w:lang w:val="es-CL"/>
        </w:rPr>
      </w:pPr>
      <w:r>
        <w:rPr>
          <w:rFonts w:ascii="Cambria" w:hAnsi="Cambria" w:cs="Arial"/>
          <w:noProof/>
          <w:sz w:val="20"/>
          <w:szCs w:val="20"/>
          <w:lang w:val="es-CL"/>
        </w:rPr>
        <w:t>El</w:t>
      </w:r>
      <w:r w:rsidRPr="000A19C9">
        <w:rPr>
          <w:rFonts w:ascii="Cambria" w:hAnsi="Cambria" w:cs="Arial"/>
          <w:noProof/>
          <w:sz w:val="20"/>
          <w:szCs w:val="20"/>
          <w:lang w:val="es-CL"/>
        </w:rPr>
        <w:t xml:space="preserve"> que suscribe, </w:t>
      </w:r>
      <w:r>
        <w:rPr>
          <w:rFonts w:ascii="Cambria" w:hAnsi="Cambria"/>
          <w:spacing w:val="-2"/>
          <w:sz w:val="20"/>
          <w:szCs w:val="20"/>
          <w:lang w:val="es-SV"/>
        </w:rPr>
        <w:t>Paulo Abr</w:t>
      </w:r>
      <w:r w:rsidRPr="009A4B60">
        <w:rPr>
          <w:rFonts w:ascii="Cambria" w:hAnsi="Cambria"/>
          <w:spacing w:val="-2"/>
          <w:sz w:val="20"/>
          <w:szCs w:val="20"/>
          <w:lang w:val="es-ES"/>
        </w:rPr>
        <w:t>ão</w:t>
      </w:r>
      <w:r w:rsidRPr="000A19C9">
        <w:rPr>
          <w:rFonts w:ascii="Cambria" w:hAnsi="Cambria" w:cs="Arial"/>
          <w:noProof/>
          <w:sz w:val="20"/>
          <w:szCs w:val="20"/>
          <w:lang w:val="es-CL"/>
        </w:rPr>
        <w:t>, en su carácter de Secretari</w:t>
      </w:r>
      <w:r>
        <w:rPr>
          <w:rFonts w:ascii="Cambria" w:hAnsi="Cambria" w:cs="Arial"/>
          <w:noProof/>
          <w:sz w:val="20"/>
          <w:szCs w:val="20"/>
          <w:lang w:val="es-CL"/>
        </w:rPr>
        <w:t>o</w:t>
      </w:r>
      <w:r w:rsidRPr="000A19C9">
        <w:rPr>
          <w:rFonts w:ascii="Cambria" w:hAnsi="Cambria" w:cs="Arial"/>
          <w:noProof/>
          <w:sz w:val="20"/>
          <w:szCs w:val="20"/>
          <w:lang w:val="es-CL"/>
        </w:rPr>
        <w:t xml:space="preserve"> Ejecutiv</w:t>
      </w:r>
      <w:r>
        <w:rPr>
          <w:rFonts w:ascii="Cambria" w:hAnsi="Cambria" w:cs="Arial"/>
          <w:noProof/>
          <w:sz w:val="20"/>
          <w:szCs w:val="20"/>
          <w:lang w:val="es-CL"/>
        </w:rPr>
        <w:t xml:space="preserve">o </w:t>
      </w:r>
      <w:r w:rsidRPr="000A19C9">
        <w:rPr>
          <w:rFonts w:ascii="Cambria" w:hAnsi="Cambria" w:cs="Arial"/>
          <w:noProof/>
          <w:sz w:val="20"/>
          <w:szCs w:val="20"/>
          <w:lang w:val="es-CL"/>
        </w:rPr>
        <w:t>de la Comisión Interamericana de Derechos Humanos, de conformidad con el artículo 49 del Reglamento de la Comisión, certifica que es copia fiel del original depositado en los archivos de la Secretaría de la CIDH.</w:t>
      </w:r>
    </w:p>
    <w:p w:rsidR="007B2915" w:rsidRPr="000A19C9" w:rsidRDefault="007B2915" w:rsidP="007B2915">
      <w:pPr>
        <w:suppressAutoHyphens/>
        <w:jc w:val="both"/>
        <w:rPr>
          <w:rFonts w:ascii="Cambria" w:hAnsi="Cambria" w:cs="Arial"/>
          <w:noProof/>
          <w:spacing w:val="-2"/>
          <w:sz w:val="20"/>
          <w:szCs w:val="20"/>
          <w:lang w:val="es-CL"/>
        </w:rPr>
      </w:pPr>
    </w:p>
    <w:p w:rsidR="007B2915" w:rsidRPr="000A19C9" w:rsidRDefault="007B2915" w:rsidP="007B2915">
      <w:pPr>
        <w:ind w:left="720" w:hanging="720"/>
        <w:jc w:val="center"/>
        <w:rPr>
          <w:rFonts w:ascii="Cambria" w:hAnsi="Cambria" w:cs="Arial"/>
          <w:sz w:val="20"/>
          <w:szCs w:val="20"/>
          <w:lang w:val="es-SV"/>
        </w:rPr>
      </w:pPr>
    </w:p>
    <w:p w:rsidR="007B2915" w:rsidRPr="000A19C9" w:rsidRDefault="007B2915" w:rsidP="007B2915">
      <w:pPr>
        <w:ind w:left="720" w:hanging="720"/>
        <w:jc w:val="center"/>
        <w:rPr>
          <w:rFonts w:ascii="Cambria" w:hAnsi="Cambria" w:cs="Arial"/>
          <w:sz w:val="20"/>
          <w:szCs w:val="20"/>
          <w:lang w:val="es-SV"/>
        </w:rPr>
      </w:pPr>
    </w:p>
    <w:p w:rsidR="007B2915" w:rsidRPr="000A19C9" w:rsidRDefault="007B2915" w:rsidP="007B2915">
      <w:pPr>
        <w:ind w:left="720" w:hanging="720"/>
        <w:jc w:val="center"/>
        <w:rPr>
          <w:rFonts w:ascii="Cambria" w:hAnsi="Cambria" w:cs="Arial"/>
          <w:sz w:val="20"/>
          <w:szCs w:val="20"/>
          <w:lang w:val="es-SV"/>
        </w:rPr>
      </w:pPr>
    </w:p>
    <w:p w:rsidR="007B2915" w:rsidRPr="000A19C9" w:rsidRDefault="007B2915" w:rsidP="007B2915">
      <w:pPr>
        <w:ind w:left="720" w:hanging="720"/>
        <w:jc w:val="center"/>
        <w:rPr>
          <w:rFonts w:ascii="Cambria" w:hAnsi="Cambria" w:cs="Arial"/>
          <w:sz w:val="20"/>
          <w:szCs w:val="20"/>
          <w:lang w:val="es-SV"/>
        </w:rPr>
      </w:pPr>
    </w:p>
    <w:p w:rsidR="007B2915" w:rsidRPr="000A19C9" w:rsidRDefault="007B2915" w:rsidP="007B2915">
      <w:pPr>
        <w:ind w:left="720" w:hanging="720"/>
        <w:jc w:val="center"/>
        <w:rPr>
          <w:rFonts w:ascii="Cambria" w:hAnsi="Cambria" w:cs="Arial"/>
          <w:sz w:val="20"/>
          <w:szCs w:val="20"/>
          <w:lang w:val="es-SV"/>
        </w:rPr>
      </w:pPr>
    </w:p>
    <w:p w:rsidR="007B2915" w:rsidRDefault="007B2915" w:rsidP="007B2915">
      <w:pPr>
        <w:pStyle w:val="MediumGrid1-Accent21"/>
        <w:ind w:left="0"/>
        <w:jc w:val="center"/>
        <w:rPr>
          <w:spacing w:val="-2"/>
          <w:sz w:val="20"/>
          <w:szCs w:val="20"/>
          <w:lang w:val="es-ES"/>
        </w:rPr>
      </w:pPr>
      <w:r>
        <w:rPr>
          <w:spacing w:val="-2"/>
          <w:sz w:val="20"/>
          <w:szCs w:val="20"/>
          <w:lang w:val="es-SV"/>
        </w:rPr>
        <w:t>Paulo Abr</w:t>
      </w:r>
      <w:r w:rsidRPr="009A4B60">
        <w:rPr>
          <w:spacing w:val="-2"/>
          <w:sz w:val="20"/>
          <w:szCs w:val="20"/>
          <w:lang w:val="es-ES"/>
        </w:rPr>
        <w:t>ão</w:t>
      </w:r>
    </w:p>
    <w:p w:rsidR="007B2915" w:rsidRPr="00B31442" w:rsidRDefault="007B2915" w:rsidP="007B2915">
      <w:pPr>
        <w:pStyle w:val="MediumGrid1-Accent21"/>
        <w:ind w:left="0"/>
        <w:jc w:val="center"/>
        <w:rPr>
          <w:color w:val="auto"/>
          <w:sz w:val="20"/>
          <w:szCs w:val="20"/>
          <w:lang w:val="es-MX"/>
        </w:rPr>
      </w:pPr>
      <w:r w:rsidRPr="000A19C9">
        <w:rPr>
          <w:rFonts w:cs="Arial"/>
          <w:noProof/>
          <w:sz w:val="20"/>
          <w:szCs w:val="20"/>
          <w:lang w:val="es-CL"/>
        </w:rPr>
        <w:t>Secretari</w:t>
      </w:r>
      <w:r>
        <w:rPr>
          <w:rFonts w:cs="Arial"/>
          <w:noProof/>
          <w:sz w:val="20"/>
          <w:szCs w:val="20"/>
          <w:lang w:val="es-CL"/>
        </w:rPr>
        <w:t>o</w:t>
      </w:r>
      <w:r w:rsidRPr="000A19C9">
        <w:rPr>
          <w:rFonts w:cs="Arial"/>
          <w:noProof/>
          <w:sz w:val="20"/>
          <w:szCs w:val="20"/>
          <w:lang w:val="es-CL"/>
        </w:rPr>
        <w:t xml:space="preserve"> Ejecutiv</w:t>
      </w:r>
      <w:r>
        <w:rPr>
          <w:rFonts w:cs="Arial"/>
          <w:noProof/>
          <w:sz w:val="20"/>
          <w:szCs w:val="20"/>
          <w:lang w:val="es-CL"/>
        </w:rPr>
        <w:t>o</w:t>
      </w:r>
    </w:p>
    <w:p w:rsidR="007B2915" w:rsidRPr="007B2915" w:rsidRDefault="007B2915" w:rsidP="007B2915">
      <w:pPr>
        <w:pBdr>
          <w:top w:val="none" w:sz="0" w:space="0" w:color="auto"/>
          <w:left w:val="none" w:sz="0" w:space="0" w:color="auto"/>
          <w:bottom w:val="none" w:sz="0" w:space="0" w:color="auto"/>
          <w:right w:val="none" w:sz="0" w:space="0" w:color="auto"/>
          <w:between w:val="none" w:sz="0" w:space="0" w:color="auto"/>
          <w:bar w:val="none" w:sz="0" w:color="auto"/>
        </w:pBdr>
        <w:ind w:right="720"/>
        <w:jc w:val="both"/>
        <w:rPr>
          <w:rFonts w:ascii="Cambria" w:eastAsia="Times New Roman" w:hAnsi="Cambria"/>
          <w:sz w:val="20"/>
          <w:szCs w:val="20"/>
          <w:bdr w:val="none" w:sz="0" w:space="0" w:color="auto"/>
          <w:lang w:val="es-ES"/>
        </w:rPr>
      </w:pPr>
    </w:p>
    <w:p w:rsidR="00970449" w:rsidRPr="007B2915" w:rsidRDefault="00970449" w:rsidP="00BB6415">
      <w:pPr>
        <w:pBdr>
          <w:top w:val="none" w:sz="0" w:space="0" w:color="auto"/>
          <w:left w:val="none" w:sz="0" w:space="0" w:color="auto"/>
          <w:bottom w:val="none" w:sz="0" w:space="0" w:color="auto"/>
          <w:right w:val="none" w:sz="0" w:space="0" w:color="auto"/>
          <w:between w:val="none" w:sz="0" w:space="0" w:color="auto"/>
          <w:bar w:val="none" w:sz="0" w:color="auto"/>
        </w:pBdr>
        <w:ind w:right="720"/>
        <w:jc w:val="both"/>
        <w:rPr>
          <w:rFonts w:ascii="Cambria" w:eastAsia="Times New Roman" w:hAnsi="Cambria"/>
          <w:sz w:val="20"/>
          <w:szCs w:val="20"/>
          <w:bdr w:val="none" w:sz="0" w:space="0" w:color="auto"/>
          <w:lang w:val="es-ES"/>
        </w:rPr>
      </w:pPr>
    </w:p>
    <w:p w:rsidR="00970449" w:rsidRPr="007B2915" w:rsidRDefault="00970449" w:rsidP="00BB6415">
      <w:pPr>
        <w:pBdr>
          <w:top w:val="none" w:sz="0" w:space="0" w:color="auto"/>
          <w:left w:val="none" w:sz="0" w:space="0" w:color="auto"/>
          <w:bottom w:val="none" w:sz="0" w:space="0" w:color="auto"/>
          <w:right w:val="none" w:sz="0" w:space="0" w:color="auto"/>
          <w:between w:val="none" w:sz="0" w:space="0" w:color="auto"/>
          <w:bar w:val="none" w:sz="0" w:color="auto"/>
        </w:pBdr>
        <w:ind w:right="720"/>
        <w:jc w:val="both"/>
        <w:rPr>
          <w:rFonts w:ascii="Cambria" w:eastAsia="Times New Roman" w:hAnsi="Cambria"/>
          <w:sz w:val="20"/>
          <w:szCs w:val="20"/>
          <w:bdr w:val="none" w:sz="0" w:space="0" w:color="auto"/>
          <w:lang w:val="es-ES"/>
        </w:rPr>
      </w:pPr>
    </w:p>
    <w:p w:rsidR="001D385C" w:rsidRPr="007B2915" w:rsidRDefault="001D385C" w:rsidP="00D44F28">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p w:rsidR="008D6835" w:rsidRPr="007B2915" w:rsidRDefault="008D6835" w:rsidP="00D44F28">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Cambria" w:hAnsi="Cambria"/>
          <w:sz w:val="20"/>
          <w:szCs w:val="20"/>
          <w:lang w:val="es-ES"/>
        </w:rPr>
      </w:pPr>
    </w:p>
    <w:sectPr w:rsidR="008D6835" w:rsidRPr="007B2915" w:rsidSect="00934A2C">
      <w:headerReference w:type="even" r:id="rId9"/>
      <w:headerReference w:type="default" r:id="rId10"/>
      <w:footerReference w:type="default" r:id="rId11"/>
      <w:footerReference w:type="first" r:id="rId12"/>
      <w:type w:val="oddPage"/>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4D4F" w:rsidRDefault="00CC4D4F">
      <w:r>
        <w:separator/>
      </w:r>
    </w:p>
  </w:endnote>
  <w:endnote w:type="continuationSeparator" w:id="0">
    <w:p w:rsidR="00CC4D4F" w:rsidRDefault="00CC4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00000007" w:usb1="00000000" w:usb2="00000000" w:usb3="00000000" w:csb0="00000093" w:csb1="00000000"/>
  </w:font>
  <w:font w:name="Times">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46D2" w:rsidRPr="00934A2C" w:rsidRDefault="00CD46D2">
    <w:pPr>
      <w:pStyle w:val="Piedepgina"/>
      <w:jc w:val="center"/>
      <w:rPr>
        <w:sz w:val="16"/>
        <w:szCs w:val="22"/>
      </w:rPr>
    </w:pPr>
    <w:r w:rsidRPr="00934A2C">
      <w:rPr>
        <w:sz w:val="16"/>
        <w:szCs w:val="22"/>
      </w:rPr>
      <w:fldChar w:fldCharType="begin"/>
    </w:r>
    <w:r w:rsidRPr="00934A2C">
      <w:rPr>
        <w:sz w:val="16"/>
        <w:szCs w:val="22"/>
      </w:rPr>
      <w:instrText xml:space="preserve"> PAGE   \* MERGEFORMAT </w:instrText>
    </w:r>
    <w:r w:rsidRPr="00934A2C">
      <w:rPr>
        <w:sz w:val="16"/>
        <w:szCs w:val="22"/>
      </w:rPr>
      <w:fldChar w:fldCharType="separate"/>
    </w:r>
    <w:r w:rsidR="00897BCB">
      <w:rPr>
        <w:noProof/>
        <w:sz w:val="16"/>
        <w:szCs w:val="22"/>
      </w:rPr>
      <w:t>2</w:t>
    </w:r>
    <w:r w:rsidRPr="00934A2C">
      <w:rPr>
        <w:noProof/>
        <w:sz w:val="16"/>
        <w:szCs w:val="22"/>
      </w:rPr>
      <w:fldChar w:fldCharType="end"/>
    </w:r>
  </w:p>
  <w:p w:rsidR="00CD46D2" w:rsidRDefault="00CD46D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46D2" w:rsidRPr="00934A2C" w:rsidRDefault="00CD46D2">
    <w:pPr>
      <w:pStyle w:val="Piedepgina"/>
      <w:jc w:val="center"/>
      <w:rPr>
        <w:sz w:val="16"/>
        <w:szCs w:val="22"/>
      </w:rPr>
    </w:pPr>
  </w:p>
  <w:p w:rsidR="00CD46D2" w:rsidRDefault="00CD46D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4D4F" w:rsidRPr="00DB43BD" w:rsidRDefault="00CC4D4F">
      <w:pPr>
        <w:rPr>
          <w:rFonts w:ascii="Cambria" w:hAnsi="Cambria"/>
          <w:sz w:val="16"/>
          <w:szCs w:val="16"/>
        </w:rPr>
      </w:pPr>
      <w:r w:rsidRPr="00DB43BD">
        <w:rPr>
          <w:rFonts w:ascii="Cambria" w:hAnsi="Cambria"/>
          <w:sz w:val="16"/>
          <w:szCs w:val="16"/>
        </w:rPr>
        <w:separator/>
      </w:r>
    </w:p>
  </w:footnote>
  <w:footnote w:type="continuationSeparator" w:id="0">
    <w:p w:rsidR="00CC4D4F" w:rsidRPr="00DB43BD" w:rsidRDefault="00CC4D4F" w:rsidP="000F35ED">
      <w:pPr>
        <w:rPr>
          <w:rFonts w:ascii="Cambria" w:hAnsi="Cambria"/>
          <w:sz w:val="16"/>
          <w:szCs w:val="16"/>
        </w:rPr>
      </w:pPr>
      <w:r w:rsidRPr="00DB43BD">
        <w:rPr>
          <w:rFonts w:ascii="Cambria" w:hAnsi="Cambria"/>
          <w:sz w:val="16"/>
          <w:szCs w:val="16"/>
        </w:rPr>
        <w:separator/>
      </w:r>
    </w:p>
    <w:p w:rsidR="00CC4D4F" w:rsidRPr="00DB43BD" w:rsidRDefault="00CC4D4F" w:rsidP="000F35ED">
      <w:pPr>
        <w:pStyle w:val="Piedepgina"/>
        <w:rPr>
          <w:sz w:val="16"/>
          <w:szCs w:val="16"/>
        </w:rPr>
      </w:pPr>
      <w:r w:rsidRPr="00DB43BD">
        <w:rPr>
          <w:sz w:val="16"/>
          <w:szCs w:val="16"/>
        </w:rPr>
        <w:t xml:space="preserve">[… </w:t>
      </w:r>
      <w:proofErr w:type="gramStart"/>
      <w:r w:rsidRPr="00DB43BD">
        <w:rPr>
          <w:sz w:val="16"/>
          <w:szCs w:val="16"/>
        </w:rPr>
        <w:t>continuación</w:t>
      </w:r>
      <w:proofErr w:type="gramEnd"/>
      <w:r w:rsidRPr="00DB43BD">
        <w:rPr>
          <w:sz w:val="16"/>
          <w:szCs w:val="16"/>
        </w:rPr>
        <w:t>]</w:t>
      </w:r>
    </w:p>
  </w:footnote>
  <w:footnote w:type="continuationNotice" w:id="1">
    <w:p w:rsidR="00CC4D4F" w:rsidRPr="00DB43BD" w:rsidRDefault="00CC4D4F" w:rsidP="000F35ED">
      <w:pPr>
        <w:jc w:val="right"/>
        <w:rPr>
          <w:rFonts w:ascii="Cambria" w:hAnsi="Cambria"/>
          <w:sz w:val="16"/>
          <w:szCs w:val="16"/>
          <w:lang w:val="es-ES"/>
        </w:rPr>
      </w:pPr>
      <w:r w:rsidRPr="00DB43BD">
        <w:rPr>
          <w:rFonts w:ascii="Cambria" w:hAnsi="Cambria"/>
          <w:sz w:val="16"/>
          <w:szCs w:val="16"/>
          <w:lang w:val="es-ES"/>
        </w:rPr>
        <w:t>[</w:t>
      </w:r>
      <w:proofErr w:type="gramStart"/>
      <w:r w:rsidRPr="00DB43BD">
        <w:rPr>
          <w:rFonts w:ascii="Cambria" w:hAnsi="Cambria"/>
          <w:sz w:val="16"/>
          <w:szCs w:val="16"/>
          <w:lang w:val="es-ES"/>
        </w:rPr>
        <w:t>continúa</w:t>
      </w:r>
      <w:proofErr w:type="gramEnd"/>
      <w:r w:rsidRPr="00DB43BD">
        <w:rPr>
          <w:rFonts w:ascii="Cambria" w:hAnsi="Cambria"/>
          <w:sz w:val="16"/>
          <w:szCs w:val="16"/>
          <w:lang w:val="es-ES"/>
        </w:rPr>
        <w:t>…]</w:t>
      </w:r>
    </w:p>
  </w:footnote>
  <w:footnote w:id="2">
    <w:p w:rsidR="00CD46D2" w:rsidRPr="00A64987" w:rsidRDefault="00CD46D2" w:rsidP="00A569E5">
      <w:pPr>
        <w:pStyle w:val="Textonotapie"/>
        <w:spacing w:before="120"/>
        <w:ind w:firstLine="720"/>
        <w:jc w:val="both"/>
        <w:rPr>
          <w:rFonts w:ascii="Cambria" w:hAnsi="Cambria" w:cs="Arial"/>
          <w:color w:val="auto"/>
          <w:sz w:val="16"/>
          <w:szCs w:val="16"/>
          <w:lang w:val="es-CO"/>
        </w:rPr>
      </w:pPr>
      <w:r w:rsidRPr="00A64987">
        <w:rPr>
          <w:rStyle w:val="Refdenotaalpie"/>
          <w:rFonts w:ascii="Cambria" w:hAnsi="Cambria" w:cs="Arial"/>
          <w:color w:val="auto"/>
          <w:sz w:val="16"/>
          <w:szCs w:val="16"/>
        </w:rPr>
        <w:footnoteRef/>
      </w:r>
      <w:r w:rsidRPr="00A64987">
        <w:rPr>
          <w:rFonts w:ascii="Cambria" w:hAnsi="Cambria" w:cs="Arial"/>
          <w:color w:val="auto"/>
          <w:sz w:val="16"/>
          <w:szCs w:val="16"/>
          <w:lang w:val="es-CO"/>
        </w:rPr>
        <w:t xml:space="preserve"> Conforme a lo dispuesto en el artículo 17.2 del Reglamento de la Comisión, el Comisionado Francisco Eguiguren, de nacionalidad peruana, no participó en el debate ni en la decisión del presente caso.</w:t>
      </w:r>
    </w:p>
  </w:footnote>
  <w:footnote w:id="3">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CIDH, Informe No. 106/10, Petición 147-98, Admisibilidad, Oscar Muelle Flores, Perú, 16 de julio de 2010. Disponible en: </w:t>
      </w:r>
      <w:hyperlink r:id="rId1" w:history="1">
        <w:r w:rsidRPr="00A64987">
          <w:rPr>
            <w:rStyle w:val="Hipervnculo"/>
            <w:rFonts w:ascii="Cambria" w:hAnsi="Cambria"/>
            <w:sz w:val="16"/>
            <w:szCs w:val="16"/>
            <w:lang w:val="es-ES"/>
          </w:rPr>
          <w:t>http://www.cidh.oas.org/annualrep/2010sp/PEAD147-98%20ES.doc</w:t>
        </w:r>
      </w:hyperlink>
      <w:r w:rsidRPr="00A64987">
        <w:rPr>
          <w:rFonts w:ascii="Cambria" w:hAnsi="Cambria"/>
          <w:sz w:val="16"/>
          <w:szCs w:val="16"/>
          <w:lang w:val="es-ES"/>
        </w:rPr>
        <w:t xml:space="preserve">. </w:t>
      </w:r>
    </w:p>
  </w:footnote>
  <w:footnote w:id="4">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Los peticionarios enviaron comunicaciones el 30 de octubre de 2010, 18 de julio de 2011, 8 de septiembre de 2012, 10 de junio de 2013 y 18 de diciembre de 2014. Por su parte, el Estado envió comunicaciones el 8 de abril de 2011, 2 de diciembre de 2011, 21 de marzo de 2012, 19 de diciembre de 2012 y 29 de enero de 2014.</w:t>
      </w:r>
    </w:p>
  </w:footnote>
  <w:footnote w:id="5">
    <w:p w:rsidR="00CD46D2" w:rsidRPr="00A64987" w:rsidRDefault="00CD46D2" w:rsidP="00A569E5">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spacing w:before="120"/>
        <w:ind w:left="0" w:firstLine="720"/>
        <w:jc w:val="both"/>
        <w:rPr>
          <w:rFonts w:ascii="Cambria" w:hAnsi="Cambria"/>
          <w:sz w:val="16"/>
          <w:szCs w:val="16"/>
        </w:rPr>
      </w:pPr>
      <w:r w:rsidRPr="00A64987">
        <w:rPr>
          <w:rStyle w:val="Refdenotaalpie"/>
          <w:rFonts w:ascii="Cambria" w:hAnsi="Cambria"/>
          <w:sz w:val="16"/>
          <w:szCs w:val="16"/>
        </w:rPr>
        <w:footnoteRef/>
      </w:r>
      <w:r w:rsidRPr="00A64987">
        <w:rPr>
          <w:rFonts w:ascii="Cambria" w:hAnsi="Cambria"/>
          <w:sz w:val="16"/>
          <w:szCs w:val="16"/>
          <w:lang w:val="es-ES"/>
        </w:rPr>
        <w:t xml:space="preserve"> De acuerdo a la documentación presentada por las partes, la CIDH toma nota de que posteriormente dicha empresa fue privatizada, denominándose en última instancia </w:t>
      </w:r>
      <w:r w:rsidRPr="00A64987">
        <w:rPr>
          <w:rFonts w:ascii="Cambria" w:hAnsi="Cambria"/>
          <w:sz w:val="16"/>
          <w:szCs w:val="16"/>
        </w:rPr>
        <w:t>Xstrata Tintaya S.A.</w:t>
      </w:r>
    </w:p>
  </w:footnote>
  <w:footnote w:id="6">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008065F0">
        <w:rPr>
          <w:rFonts w:ascii="Cambria" w:hAnsi="Cambria"/>
          <w:sz w:val="16"/>
          <w:szCs w:val="16"/>
          <w:lang w:val="es-ES"/>
        </w:rPr>
        <w:t xml:space="preserve">Anexo 1. </w:t>
      </w:r>
      <w:r w:rsidRPr="00A64987">
        <w:rPr>
          <w:rFonts w:ascii="Cambria" w:hAnsi="Cambria"/>
          <w:sz w:val="16"/>
          <w:szCs w:val="16"/>
          <w:lang w:val="es-ES"/>
        </w:rPr>
        <w:t>Escrito No. 2 de Laos, Aguilar, Celi y Vinatea Abogados, 24 de septiembre de 1996. Anexo a la comunicación del peticionario de 10 de noviembre de 1998.</w:t>
      </w:r>
    </w:p>
  </w:footnote>
  <w:footnote w:id="7">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008065F0">
        <w:rPr>
          <w:rFonts w:ascii="Cambria" w:hAnsi="Cambria"/>
          <w:sz w:val="16"/>
          <w:szCs w:val="16"/>
          <w:lang w:val="es-ES"/>
        </w:rPr>
        <w:t xml:space="preserve">Anexo 1. </w:t>
      </w:r>
      <w:r w:rsidRPr="00A64987">
        <w:rPr>
          <w:rFonts w:ascii="Cambria" w:hAnsi="Cambria"/>
          <w:sz w:val="16"/>
          <w:szCs w:val="16"/>
          <w:lang w:val="es-ES"/>
        </w:rPr>
        <w:t>Escrito No. 2 de Laos, Aguilar, Celi y Vinatea Abogados, 24 de septiembre de 1996. Anexo a la comunicación del peticionario de 10 de noviembre de 1998.</w:t>
      </w:r>
    </w:p>
  </w:footnote>
  <w:footnote w:id="8">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008065F0">
        <w:rPr>
          <w:rFonts w:ascii="Cambria" w:hAnsi="Cambria"/>
          <w:sz w:val="16"/>
          <w:szCs w:val="16"/>
          <w:lang w:val="es-ES"/>
        </w:rPr>
        <w:t xml:space="preserve">Anexo 1. </w:t>
      </w:r>
      <w:r w:rsidRPr="00A64987">
        <w:rPr>
          <w:rFonts w:ascii="Cambria" w:hAnsi="Cambria"/>
          <w:sz w:val="16"/>
          <w:szCs w:val="16"/>
          <w:lang w:val="es-ES"/>
        </w:rPr>
        <w:t>Escrito No. 2 de Laos, Aguilar, Celi y Vinatea Abogados, 24 de septiembre de 1996. Anexo a la comunicación del peticionario de 10 de noviembre de 1998.</w:t>
      </w:r>
    </w:p>
  </w:footnote>
  <w:footnote w:id="9">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hyperlink r:id="rId2" w:history="1">
        <w:r w:rsidRPr="00A64987">
          <w:rPr>
            <w:rStyle w:val="Hipervnculo"/>
            <w:rFonts w:ascii="Cambria" w:hAnsi="Cambria"/>
            <w:sz w:val="16"/>
            <w:szCs w:val="16"/>
            <w:u w:val="none"/>
            <w:lang w:val="es-ES"/>
          </w:rPr>
          <w:t>Decreto Ley 20530</w:t>
        </w:r>
      </w:hyperlink>
      <w:r w:rsidRPr="00A64987">
        <w:rPr>
          <w:rFonts w:ascii="Cambria" w:hAnsi="Cambria"/>
          <w:sz w:val="16"/>
          <w:szCs w:val="16"/>
          <w:lang w:val="es-ES"/>
        </w:rPr>
        <w:t>. Promulgado el 27 de febrero de 1974.</w:t>
      </w:r>
    </w:p>
  </w:footnote>
  <w:footnote w:id="10">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008065F0">
        <w:rPr>
          <w:rFonts w:ascii="Cambria" w:hAnsi="Cambria"/>
          <w:sz w:val="16"/>
          <w:szCs w:val="16"/>
          <w:lang w:val="es-ES"/>
        </w:rPr>
        <w:t xml:space="preserve">Anexo 2. </w:t>
      </w:r>
      <w:r w:rsidRPr="00A64987">
        <w:rPr>
          <w:rFonts w:ascii="Cambria" w:hAnsi="Cambria"/>
          <w:sz w:val="16"/>
          <w:szCs w:val="16"/>
          <w:lang w:val="es-ES"/>
        </w:rPr>
        <w:t>Dictamen de la Sala Constitucional y Social de la Corte Suprema, 22 de agosto de 1997. Anexo a la comunicación del peticionario de 10 de noviembre de 1998.</w:t>
      </w:r>
    </w:p>
  </w:footnote>
  <w:footnote w:id="11">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4802B1">
        <w:rPr>
          <w:rFonts w:ascii="Cambria" w:hAnsi="Cambria"/>
          <w:sz w:val="16"/>
          <w:szCs w:val="16"/>
          <w:lang w:val="es-ES"/>
        </w:rPr>
        <w:t xml:space="preserve"> </w:t>
      </w:r>
      <w:r w:rsidRPr="004802B1">
        <w:rPr>
          <w:rFonts w:ascii="Cambria" w:hAnsi="Cambria" w:cs="Verdana"/>
          <w:sz w:val="16"/>
          <w:szCs w:val="16"/>
          <w:bdr w:val="none" w:sz="0" w:space="0" w:color="auto"/>
          <w:lang w:val="es-ES"/>
        </w:rPr>
        <w:t>Constitución Política de la República de Perú de 1979.</w:t>
      </w:r>
    </w:p>
  </w:footnote>
  <w:footnote w:id="12">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4802B1">
        <w:rPr>
          <w:rFonts w:ascii="Cambria" w:hAnsi="Cambria"/>
          <w:sz w:val="16"/>
          <w:szCs w:val="16"/>
          <w:lang w:val="es-ES"/>
        </w:rPr>
        <w:t xml:space="preserve"> </w:t>
      </w:r>
      <w:r w:rsidRPr="004802B1">
        <w:rPr>
          <w:rFonts w:ascii="Cambria" w:hAnsi="Cambria" w:cs="Verdana"/>
          <w:sz w:val="16"/>
          <w:szCs w:val="16"/>
          <w:bdr w:val="none" w:sz="0" w:space="0" w:color="auto"/>
          <w:lang w:val="es-ES"/>
        </w:rPr>
        <w:t>Ley 23495. Promulgada el 20 de noviembre de 1982.</w:t>
      </w:r>
    </w:p>
  </w:footnote>
  <w:footnote w:id="13">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008065F0">
        <w:rPr>
          <w:rFonts w:ascii="Cambria" w:hAnsi="Cambria"/>
          <w:sz w:val="16"/>
          <w:szCs w:val="16"/>
          <w:lang w:val="es-ES"/>
        </w:rPr>
        <w:t xml:space="preserve">Anexo 2. </w:t>
      </w:r>
      <w:r w:rsidRPr="00A64987">
        <w:rPr>
          <w:rFonts w:ascii="Cambria" w:hAnsi="Cambria"/>
          <w:sz w:val="16"/>
          <w:szCs w:val="16"/>
          <w:lang w:val="es-ES"/>
        </w:rPr>
        <w:t>Dictamen de la Sala Constitucional y Social de la Corte Suprema, 22 de agosto de 1997. Anexo a la comunicación del peticionario de 10 de noviembre de 1998.</w:t>
      </w:r>
    </w:p>
  </w:footnote>
  <w:footnote w:id="14">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008065F0">
        <w:rPr>
          <w:rFonts w:ascii="Cambria" w:hAnsi="Cambria"/>
          <w:sz w:val="16"/>
          <w:szCs w:val="16"/>
          <w:lang w:val="es-ES"/>
        </w:rPr>
        <w:t xml:space="preserve">Anexo 2. </w:t>
      </w:r>
      <w:r w:rsidRPr="00A64987">
        <w:rPr>
          <w:rFonts w:ascii="Cambria" w:hAnsi="Cambria"/>
          <w:sz w:val="16"/>
          <w:szCs w:val="16"/>
          <w:lang w:val="es-ES"/>
        </w:rPr>
        <w:t>Dictamen de la Sala Constitucional y Social de la Corte Suprema, 22 de agosto de 1997. Anexo a la comunicación del peticionario de 10 de noviembre de 1998.</w:t>
      </w:r>
    </w:p>
  </w:footnote>
  <w:footnote w:id="15">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008065F0">
        <w:rPr>
          <w:rFonts w:ascii="Cambria" w:hAnsi="Cambria"/>
          <w:sz w:val="16"/>
          <w:szCs w:val="16"/>
          <w:lang w:val="es-ES"/>
        </w:rPr>
        <w:t xml:space="preserve">Anexo 3. </w:t>
      </w:r>
      <w:r w:rsidRPr="00A64987">
        <w:rPr>
          <w:rFonts w:ascii="Cambria" w:hAnsi="Cambria"/>
          <w:sz w:val="16"/>
          <w:szCs w:val="16"/>
          <w:lang w:val="es-ES"/>
        </w:rPr>
        <w:t>Sentencia de la Corte Suprema de Justicia, 2 de febrero de 1993. Anexo a la comunicación del peticionario de 10 de noviembre de 1998.</w:t>
      </w:r>
    </w:p>
  </w:footnote>
  <w:footnote w:id="16">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008065F0">
        <w:rPr>
          <w:rFonts w:ascii="Cambria" w:hAnsi="Cambria"/>
          <w:sz w:val="16"/>
          <w:szCs w:val="16"/>
          <w:lang w:val="es-ES"/>
        </w:rPr>
        <w:t xml:space="preserve">Anexo 3. </w:t>
      </w:r>
      <w:r w:rsidRPr="00A64987">
        <w:rPr>
          <w:rFonts w:ascii="Cambria" w:hAnsi="Cambria"/>
          <w:sz w:val="16"/>
          <w:szCs w:val="16"/>
          <w:lang w:val="es-ES"/>
        </w:rPr>
        <w:t>Sentencia de la Corte Suprema de Justicia, 2 de febrero de 1993. Anexo a la comunicación del peticionario de 10 de noviembre de 1998.</w:t>
      </w:r>
    </w:p>
  </w:footnote>
  <w:footnote w:id="17">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008065F0">
        <w:rPr>
          <w:rFonts w:ascii="Cambria" w:hAnsi="Cambria"/>
          <w:sz w:val="16"/>
          <w:szCs w:val="16"/>
          <w:lang w:val="es-ES"/>
        </w:rPr>
        <w:t xml:space="preserve">Anexo 4. </w:t>
      </w:r>
      <w:r w:rsidR="008065F0" w:rsidRPr="00A64987">
        <w:rPr>
          <w:rFonts w:ascii="Cambria" w:hAnsi="Cambria"/>
          <w:sz w:val="16"/>
          <w:szCs w:val="16"/>
          <w:lang w:val="es-ES"/>
        </w:rPr>
        <w:t>Denuncia de Oscar Muelle, 18 de abril de 1991</w:t>
      </w:r>
      <w:r w:rsidRPr="00A64987">
        <w:rPr>
          <w:rFonts w:ascii="Cambria" w:hAnsi="Cambria"/>
          <w:sz w:val="16"/>
          <w:szCs w:val="16"/>
          <w:lang w:val="es-ES"/>
        </w:rPr>
        <w:t>. Anexo a la comunicación Estado de 26 de febrero de 2010.</w:t>
      </w:r>
    </w:p>
  </w:footnote>
  <w:footnote w:id="18">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008065F0">
        <w:rPr>
          <w:rFonts w:ascii="Cambria" w:hAnsi="Cambria"/>
          <w:sz w:val="16"/>
          <w:szCs w:val="16"/>
          <w:lang w:val="es-ES"/>
        </w:rPr>
        <w:t xml:space="preserve">Anexo 5. </w:t>
      </w:r>
      <w:r w:rsidR="008065F0" w:rsidRPr="00A64987">
        <w:rPr>
          <w:rFonts w:ascii="Cambria" w:hAnsi="Cambria"/>
          <w:sz w:val="16"/>
          <w:szCs w:val="16"/>
          <w:lang w:val="es-ES"/>
        </w:rPr>
        <w:t>Sentencia del Quinto Juzgado Civil, 19 de julio de 1991</w:t>
      </w:r>
      <w:r w:rsidRPr="00A64987">
        <w:rPr>
          <w:rFonts w:ascii="Cambria" w:hAnsi="Cambria"/>
          <w:sz w:val="16"/>
          <w:szCs w:val="16"/>
          <w:lang w:val="es-ES"/>
        </w:rPr>
        <w:t>. Anexo a la comunicación Estado de 26 de febrero de 2010.</w:t>
      </w:r>
    </w:p>
  </w:footnote>
  <w:footnote w:id="19">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008065F0">
        <w:rPr>
          <w:rFonts w:ascii="Cambria" w:hAnsi="Cambria"/>
          <w:sz w:val="16"/>
          <w:szCs w:val="16"/>
          <w:lang w:val="es-ES"/>
        </w:rPr>
        <w:t xml:space="preserve">Anexo 5. </w:t>
      </w:r>
      <w:r w:rsidRPr="00A64987">
        <w:rPr>
          <w:rFonts w:ascii="Cambria" w:hAnsi="Cambria"/>
          <w:sz w:val="16"/>
          <w:szCs w:val="16"/>
          <w:lang w:val="es-ES"/>
        </w:rPr>
        <w:t>Sentencia del Quinto Juzgado Civil, 19 de julio de 1991. Anexo a la comunicación Estado de 26 de febrero de 2010.</w:t>
      </w:r>
    </w:p>
  </w:footnote>
  <w:footnote w:id="20">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008065F0">
        <w:rPr>
          <w:rFonts w:ascii="Cambria" w:hAnsi="Cambria"/>
          <w:sz w:val="16"/>
          <w:szCs w:val="16"/>
          <w:lang w:val="es-ES"/>
        </w:rPr>
        <w:t xml:space="preserve">Anexo 5. </w:t>
      </w:r>
      <w:r w:rsidRPr="00A64987">
        <w:rPr>
          <w:rFonts w:ascii="Cambria" w:hAnsi="Cambria"/>
          <w:sz w:val="16"/>
          <w:szCs w:val="16"/>
          <w:lang w:val="es-ES"/>
        </w:rPr>
        <w:t>Sentencia del Quinto Juzgado Civil, 19 de julio de 1991. Anexo a la comunicación Estado de 26 de febrero de 2010.</w:t>
      </w:r>
    </w:p>
  </w:footnote>
  <w:footnote w:id="21">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008065F0">
        <w:rPr>
          <w:rFonts w:ascii="Cambria" w:hAnsi="Cambria"/>
          <w:sz w:val="16"/>
          <w:szCs w:val="16"/>
          <w:lang w:val="es-ES"/>
        </w:rPr>
        <w:t xml:space="preserve">Anexo 3. </w:t>
      </w:r>
      <w:r w:rsidRPr="00A64987">
        <w:rPr>
          <w:rFonts w:ascii="Cambria" w:hAnsi="Cambria"/>
          <w:sz w:val="16"/>
          <w:szCs w:val="16"/>
          <w:lang w:val="es-ES"/>
        </w:rPr>
        <w:t>Sentencia de la Corte Suprema de Justicia, 2 de febrero de 1993. Anexo a la comunicación del peticionario de 10 de noviembre de 1998.</w:t>
      </w:r>
    </w:p>
  </w:footnote>
  <w:footnote w:id="22">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008065F0">
        <w:rPr>
          <w:rFonts w:ascii="Cambria" w:hAnsi="Cambria"/>
          <w:sz w:val="16"/>
          <w:szCs w:val="16"/>
          <w:lang w:val="es-ES"/>
        </w:rPr>
        <w:t xml:space="preserve">Anexo 3. </w:t>
      </w:r>
      <w:r w:rsidRPr="00A64987">
        <w:rPr>
          <w:rFonts w:ascii="Cambria" w:hAnsi="Cambria"/>
          <w:sz w:val="16"/>
          <w:szCs w:val="16"/>
          <w:lang w:val="es-ES"/>
        </w:rPr>
        <w:t>Sentencia de la Corte Suprema de Justicia, 2 de febrero de 1993. Anexo a la comunicación del peticionario de 10 de noviembre de 1998.</w:t>
      </w:r>
    </w:p>
  </w:footnote>
  <w:footnote w:id="23">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Artículo 57 de la entonces Constitución Política del Estado peruano: Los derechos reconocidos de los trabajadores son irrenunciables. Su ejercicio esta garantizado por la Constitución. Todo pacto en contrario es nulo. En la interpretación o duda sobre el alcance y contenido de cualquier disposición en materia de trabajo, se esta a lo que es mas favorable al trabajador.</w:t>
      </w:r>
    </w:p>
  </w:footnote>
  <w:footnote w:id="24">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008065F0">
        <w:rPr>
          <w:rFonts w:ascii="Cambria" w:hAnsi="Cambria"/>
          <w:sz w:val="16"/>
          <w:szCs w:val="16"/>
          <w:lang w:val="es-ES"/>
        </w:rPr>
        <w:t xml:space="preserve">Anexo 3. </w:t>
      </w:r>
      <w:r w:rsidRPr="00A64987">
        <w:rPr>
          <w:rFonts w:ascii="Cambria" w:hAnsi="Cambria"/>
          <w:sz w:val="16"/>
          <w:szCs w:val="16"/>
          <w:lang w:val="es-ES"/>
        </w:rPr>
        <w:t>Sentencia de la Corte Suprema de Justicia, 2 de febrero de 1993. Anexo a la comunicación del peticionario de 10 de noviembre de 1998.</w:t>
      </w:r>
    </w:p>
  </w:footnote>
  <w:footnote w:id="25">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008065F0">
        <w:rPr>
          <w:rFonts w:ascii="Cambria" w:hAnsi="Cambria"/>
          <w:sz w:val="16"/>
          <w:szCs w:val="16"/>
          <w:lang w:val="es-ES"/>
        </w:rPr>
        <w:t xml:space="preserve">Anexo 3. </w:t>
      </w:r>
      <w:r w:rsidRPr="00A64987">
        <w:rPr>
          <w:rFonts w:ascii="Cambria" w:hAnsi="Cambria"/>
          <w:sz w:val="16"/>
          <w:szCs w:val="16"/>
          <w:lang w:val="es-ES"/>
        </w:rPr>
        <w:t>Sentencia de la Corte Suprema de Justicia, 2 de febrero de 1993. Anexo a la comunicación del peticionario de 10 de noviembre de 1998.</w:t>
      </w:r>
    </w:p>
  </w:footnote>
  <w:footnote w:id="26">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008065F0">
        <w:rPr>
          <w:rFonts w:ascii="Cambria" w:hAnsi="Cambria"/>
          <w:sz w:val="16"/>
          <w:szCs w:val="16"/>
          <w:lang w:val="es-ES"/>
        </w:rPr>
        <w:t xml:space="preserve">Anexo 6. </w:t>
      </w:r>
      <w:r w:rsidRPr="00A64987">
        <w:rPr>
          <w:rFonts w:ascii="Cambria" w:hAnsi="Cambria"/>
          <w:sz w:val="16"/>
          <w:szCs w:val="16"/>
          <w:lang w:val="es-ES"/>
        </w:rPr>
        <w:t>Sentencia del Tribunal Constitucional, 10 de diciembre de 1999. Anexo a la comunicación del peticionario de 31 de mayo de 2004.</w:t>
      </w:r>
    </w:p>
  </w:footnote>
  <w:footnote w:id="27">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008065F0">
        <w:rPr>
          <w:rFonts w:ascii="Cambria" w:hAnsi="Cambria"/>
          <w:sz w:val="16"/>
          <w:szCs w:val="16"/>
          <w:lang w:val="es-ES"/>
        </w:rPr>
        <w:t xml:space="preserve">Anexo 6. </w:t>
      </w:r>
      <w:r w:rsidRPr="00A64987">
        <w:rPr>
          <w:rFonts w:ascii="Cambria" w:hAnsi="Cambria"/>
          <w:sz w:val="16"/>
          <w:szCs w:val="16"/>
          <w:lang w:val="es-ES"/>
        </w:rPr>
        <w:t>Sentencia del Tribunal Constitucional, 10 de diciembre de 1999. Anexo a la comunicación del peticionario de 31 de mayo de 2004.</w:t>
      </w:r>
    </w:p>
  </w:footnote>
  <w:footnote w:id="28">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008065F0">
        <w:rPr>
          <w:rFonts w:ascii="Cambria" w:hAnsi="Cambria"/>
          <w:sz w:val="16"/>
          <w:szCs w:val="16"/>
          <w:lang w:val="es-ES"/>
        </w:rPr>
        <w:t xml:space="preserve">Anexo 6. </w:t>
      </w:r>
      <w:r w:rsidRPr="00A64987">
        <w:rPr>
          <w:rFonts w:ascii="Cambria" w:hAnsi="Cambria"/>
          <w:sz w:val="16"/>
          <w:szCs w:val="16"/>
          <w:lang w:val="es-ES"/>
        </w:rPr>
        <w:t>Sentencia del Tribunal Constitucional, 10 de diciembre de 1999. Anexo a la comunicación del peticionario de 31 de mayo de 2004.</w:t>
      </w:r>
    </w:p>
  </w:footnote>
  <w:footnote w:id="29">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008065F0">
        <w:rPr>
          <w:rFonts w:ascii="Cambria" w:hAnsi="Cambria"/>
          <w:sz w:val="16"/>
          <w:szCs w:val="16"/>
          <w:lang w:val="es-ES"/>
        </w:rPr>
        <w:t xml:space="preserve">Anexo 6. </w:t>
      </w:r>
      <w:r w:rsidR="008065F0" w:rsidRPr="00A64987">
        <w:rPr>
          <w:rFonts w:ascii="Cambria" w:hAnsi="Cambria"/>
          <w:sz w:val="16"/>
          <w:szCs w:val="16"/>
          <w:lang w:val="es-ES"/>
        </w:rPr>
        <w:t>Sentencia del Tribunal Constitucional, 10 de diciembre de 1999</w:t>
      </w:r>
      <w:r w:rsidRPr="00A64987">
        <w:rPr>
          <w:rFonts w:ascii="Cambria" w:hAnsi="Cambria"/>
          <w:sz w:val="16"/>
          <w:szCs w:val="16"/>
          <w:lang w:val="es-ES"/>
        </w:rPr>
        <w:t>. Anexo a la comunicación del peticionario de 31 de mayo de 2004.</w:t>
      </w:r>
    </w:p>
  </w:footnote>
  <w:footnote w:id="30">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008065F0">
        <w:rPr>
          <w:rFonts w:ascii="Cambria" w:hAnsi="Cambria"/>
          <w:sz w:val="16"/>
          <w:szCs w:val="16"/>
          <w:lang w:val="es-ES"/>
        </w:rPr>
        <w:t xml:space="preserve">Anexo 6. </w:t>
      </w:r>
      <w:r w:rsidRPr="00A64987">
        <w:rPr>
          <w:rFonts w:ascii="Cambria" w:hAnsi="Cambria"/>
          <w:sz w:val="16"/>
          <w:szCs w:val="16"/>
          <w:lang w:val="es-ES"/>
        </w:rPr>
        <w:t>Sentencia del Tribunal Constitucional, 10 de diciembre de 1999. Anexo a la comunicación del peticionario de 31 de mayo de 2004.</w:t>
      </w:r>
    </w:p>
  </w:footnote>
  <w:footnote w:id="31">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008065F0">
        <w:rPr>
          <w:rFonts w:ascii="Cambria" w:hAnsi="Cambria"/>
          <w:sz w:val="16"/>
          <w:szCs w:val="16"/>
          <w:lang w:val="es-ES"/>
        </w:rPr>
        <w:t xml:space="preserve">Anexo 6. </w:t>
      </w:r>
      <w:r w:rsidRPr="00A64987">
        <w:rPr>
          <w:rFonts w:ascii="Cambria" w:hAnsi="Cambria"/>
          <w:sz w:val="16"/>
          <w:szCs w:val="16"/>
          <w:lang w:val="es-ES"/>
        </w:rPr>
        <w:t>Sentencia del Tribunal Constitucional, 10 de diciembre de 1999. Anexo a la comunicación del peticionario de 31 de mayo de 2004.</w:t>
      </w:r>
    </w:p>
  </w:footnote>
  <w:footnote w:id="32">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008065F0">
        <w:rPr>
          <w:rFonts w:ascii="Cambria" w:hAnsi="Cambria"/>
          <w:sz w:val="16"/>
          <w:szCs w:val="16"/>
          <w:lang w:val="es-ES"/>
        </w:rPr>
        <w:t xml:space="preserve">Anexo 6. </w:t>
      </w:r>
      <w:r w:rsidRPr="00A64987">
        <w:rPr>
          <w:rFonts w:ascii="Cambria" w:hAnsi="Cambria"/>
          <w:sz w:val="16"/>
          <w:szCs w:val="16"/>
          <w:lang w:val="es-ES"/>
        </w:rPr>
        <w:t>Sentencia del Tribunal Constitucional, 10 de diciembre de 1999. Anexo a la comunicación del peticionario de 31 de mayo de 2004.</w:t>
      </w:r>
    </w:p>
  </w:footnote>
  <w:footnote w:id="33">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008065F0">
        <w:rPr>
          <w:rFonts w:ascii="Cambria" w:hAnsi="Cambria"/>
          <w:sz w:val="16"/>
          <w:szCs w:val="16"/>
          <w:lang w:val="es-ES"/>
        </w:rPr>
        <w:t xml:space="preserve">Anexo 6. </w:t>
      </w:r>
      <w:r w:rsidRPr="00A64987">
        <w:rPr>
          <w:rFonts w:ascii="Cambria" w:hAnsi="Cambria"/>
          <w:sz w:val="16"/>
          <w:szCs w:val="16"/>
          <w:lang w:val="es-ES"/>
        </w:rPr>
        <w:t>Sentencia del Tribunal Constitucional, 10 de diciembre de 1999. Anexo a la comunicación del peticionario de 31 de mayo de 2004.</w:t>
      </w:r>
    </w:p>
  </w:footnote>
  <w:footnote w:id="34">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008065F0">
        <w:rPr>
          <w:rFonts w:ascii="Cambria" w:hAnsi="Cambria"/>
          <w:sz w:val="16"/>
          <w:szCs w:val="16"/>
          <w:lang w:val="es-ES"/>
        </w:rPr>
        <w:t xml:space="preserve">Anexo 6. </w:t>
      </w:r>
      <w:r w:rsidRPr="00A64987">
        <w:rPr>
          <w:rFonts w:ascii="Cambria" w:hAnsi="Cambria"/>
          <w:sz w:val="16"/>
          <w:szCs w:val="16"/>
          <w:lang w:val="es-ES"/>
        </w:rPr>
        <w:t>Sentencia del Tribunal Constitucional, 10 de diciembre de 1999. Anexo a la comunicación del peticionario de 31 de mayo de 2004.</w:t>
      </w:r>
    </w:p>
  </w:footnote>
  <w:footnote w:id="35">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008065F0">
        <w:rPr>
          <w:rFonts w:ascii="Cambria" w:hAnsi="Cambria"/>
          <w:sz w:val="16"/>
          <w:szCs w:val="16"/>
          <w:lang w:val="es-ES"/>
        </w:rPr>
        <w:t xml:space="preserve">Anexo 6. </w:t>
      </w:r>
      <w:r w:rsidRPr="00A64987">
        <w:rPr>
          <w:rFonts w:ascii="Cambria" w:hAnsi="Cambria"/>
          <w:sz w:val="16"/>
          <w:szCs w:val="16"/>
          <w:lang w:val="es-ES"/>
        </w:rPr>
        <w:t>Sentencia del Tribunal Constitucional, 10 de diciembre de 1999. Anexo a la comunicación del peticionario de 31 de mayo de 2004.</w:t>
      </w:r>
    </w:p>
  </w:footnote>
  <w:footnote w:id="36">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008065F0">
        <w:rPr>
          <w:rFonts w:ascii="Cambria" w:hAnsi="Cambria"/>
          <w:sz w:val="16"/>
          <w:szCs w:val="16"/>
          <w:lang w:val="es-ES"/>
        </w:rPr>
        <w:t xml:space="preserve">Anexo 6. </w:t>
      </w:r>
      <w:r w:rsidRPr="00A64987">
        <w:rPr>
          <w:rFonts w:ascii="Cambria" w:hAnsi="Cambria"/>
          <w:sz w:val="16"/>
          <w:szCs w:val="16"/>
          <w:lang w:val="es-ES"/>
        </w:rPr>
        <w:t>Sentencia del Tribunal Constitucional, 10 de diciembre de 1999. Anexo a la comunicación del peticionario de 31 de mayo de 2004.</w:t>
      </w:r>
    </w:p>
  </w:footnote>
  <w:footnote w:id="37">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008065F0">
        <w:rPr>
          <w:rFonts w:ascii="Cambria" w:hAnsi="Cambria"/>
          <w:sz w:val="16"/>
          <w:szCs w:val="16"/>
          <w:lang w:val="es-ES"/>
        </w:rPr>
        <w:t xml:space="preserve">Anexo 6. </w:t>
      </w:r>
      <w:r w:rsidRPr="00A64987">
        <w:rPr>
          <w:rFonts w:ascii="Cambria" w:hAnsi="Cambria"/>
          <w:sz w:val="16"/>
          <w:szCs w:val="16"/>
          <w:lang w:val="es-ES"/>
        </w:rPr>
        <w:t>Sentencia del Tribunal Constitucional, 10 de diciembre de 1999. Anexo a la comunicación del peticionario de 31 de mayo de 2004.</w:t>
      </w:r>
    </w:p>
  </w:footnote>
  <w:footnote w:id="38">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008065F0">
        <w:rPr>
          <w:rFonts w:ascii="Cambria" w:hAnsi="Cambria"/>
          <w:sz w:val="16"/>
          <w:szCs w:val="16"/>
          <w:lang w:val="es-ES"/>
        </w:rPr>
        <w:t xml:space="preserve">Anexo 6. </w:t>
      </w:r>
      <w:r w:rsidRPr="00A64987">
        <w:rPr>
          <w:rFonts w:ascii="Cambria" w:hAnsi="Cambria"/>
          <w:sz w:val="16"/>
          <w:szCs w:val="16"/>
          <w:lang w:val="es-ES"/>
        </w:rPr>
        <w:t>Sentencia del Tribunal Constitucional, 10 de diciembre de 1999. Anexo a la comunicación del peticionario de 31 de mayo de 2004.</w:t>
      </w:r>
    </w:p>
  </w:footnote>
  <w:footnote w:id="39">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008065F0">
        <w:rPr>
          <w:rFonts w:ascii="Cambria" w:hAnsi="Cambria"/>
          <w:sz w:val="16"/>
          <w:szCs w:val="16"/>
          <w:lang w:val="es-ES"/>
        </w:rPr>
        <w:t xml:space="preserve">Anexo 2. </w:t>
      </w:r>
      <w:r w:rsidRPr="00A64987">
        <w:rPr>
          <w:rFonts w:ascii="Cambria" w:hAnsi="Cambria"/>
          <w:sz w:val="16"/>
          <w:szCs w:val="16"/>
          <w:lang w:val="es-ES"/>
        </w:rPr>
        <w:t>Dictamen de la Sala Constitucional y Social de la Corte Suprema, 22 de agosto de 1997. Anexo a la comunicación del peticionario de 10 de noviembre de 1998.</w:t>
      </w:r>
    </w:p>
  </w:footnote>
  <w:footnote w:id="40">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008065F0">
        <w:rPr>
          <w:rFonts w:ascii="Cambria" w:hAnsi="Cambria"/>
          <w:sz w:val="16"/>
          <w:szCs w:val="16"/>
          <w:lang w:val="es-ES"/>
        </w:rPr>
        <w:t xml:space="preserve">Anexo 2. </w:t>
      </w:r>
      <w:r w:rsidRPr="00A64987">
        <w:rPr>
          <w:rFonts w:ascii="Cambria" w:hAnsi="Cambria"/>
          <w:sz w:val="16"/>
          <w:szCs w:val="16"/>
          <w:lang w:val="es-ES"/>
        </w:rPr>
        <w:t>Dictamen de la Sala Constitucional y Social de la Corte Suprema, 22 de agosto de 1997. Anexo a la comunicación del peticionario de 10 de noviembre de 1998.</w:t>
      </w:r>
    </w:p>
  </w:footnote>
  <w:footnote w:id="41">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008065F0">
        <w:rPr>
          <w:rFonts w:ascii="Cambria" w:hAnsi="Cambria"/>
          <w:sz w:val="16"/>
          <w:szCs w:val="16"/>
          <w:lang w:val="es-ES"/>
        </w:rPr>
        <w:t xml:space="preserve">Anexo 2. </w:t>
      </w:r>
      <w:r w:rsidRPr="00A64987">
        <w:rPr>
          <w:rFonts w:ascii="Cambria" w:hAnsi="Cambria"/>
          <w:sz w:val="16"/>
          <w:szCs w:val="16"/>
          <w:lang w:val="es-ES"/>
        </w:rPr>
        <w:t>Dictamen de la Sala Constitucional y Social de la Corte Suprema, 22 de agosto de 1997. Anexo a la comunicación del peticionario de 10 de noviembre de 1998.</w:t>
      </w:r>
    </w:p>
  </w:footnote>
  <w:footnote w:id="42">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008065F0">
        <w:rPr>
          <w:rFonts w:ascii="Cambria" w:hAnsi="Cambria"/>
          <w:sz w:val="16"/>
          <w:szCs w:val="16"/>
          <w:lang w:val="es-ES"/>
        </w:rPr>
        <w:t xml:space="preserve">Anexo 2. </w:t>
      </w:r>
      <w:r w:rsidRPr="00A64987">
        <w:rPr>
          <w:rFonts w:ascii="Cambria" w:hAnsi="Cambria"/>
          <w:sz w:val="16"/>
          <w:szCs w:val="16"/>
          <w:lang w:val="es-ES"/>
        </w:rPr>
        <w:t>Dictamen de la Sala Constitucional y Social de la Corte Suprema, 22 de agosto de 1997. Anexo a la comunicación del peticionario de 10 de noviembre de 1998.</w:t>
      </w:r>
    </w:p>
  </w:footnote>
  <w:footnote w:id="43">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008065F0">
        <w:rPr>
          <w:rFonts w:ascii="Cambria" w:hAnsi="Cambria"/>
          <w:sz w:val="16"/>
          <w:szCs w:val="16"/>
          <w:lang w:val="es-ES"/>
        </w:rPr>
        <w:t xml:space="preserve">Anexo 2. </w:t>
      </w:r>
      <w:r w:rsidRPr="00A64987">
        <w:rPr>
          <w:rFonts w:ascii="Cambria" w:hAnsi="Cambria"/>
          <w:sz w:val="16"/>
          <w:szCs w:val="16"/>
          <w:lang w:val="es-ES"/>
        </w:rPr>
        <w:t>Dictamen de la Sala Constitucional y Social de la Corte Suprema, 22 de agosto de 1997. Anexo a la comunicación del peticionario de 10 de noviembre de 1998.</w:t>
      </w:r>
    </w:p>
  </w:footnote>
  <w:footnote w:id="44">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008065F0">
        <w:rPr>
          <w:rFonts w:ascii="Cambria" w:hAnsi="Cambria"/>
          <w:sz w:val="16"/>
          <w:szCs w:val="16"/>
          <w:lang w:val="es-ES"/>
        </w:rPr>
        <w:t xml:space="preserve">Anexo 2. </w:t>
      </w:r>
      <w:r w:rsidRPr="00A64987">
        <w:rPr>
          <w:rFonts w:ascii="Cambria" w:hAnsi="Cambria"/>
          <w:sz w:val="16"/>
          <w:szCs w:val="16"/>
          <w:lang w:val="es-ES"/>
        </w:rPr>
        <w:t>Dictamen de la Sala Constitucional y Social de la Corte Suprema, 22 de agosto de 1997. Anexo a la comunicación del peticionario de 10 de noviembre de 1998.</w:t>
      </w:r>
    </w:p>
  </w:footnote>
  <w:footnote w:id="45">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008065F0">
        <w:rPr>
          <w:rFonts w:ascii="Cambria" w:hAnsi="Cambria"/>
          <w:sz w:val="16"/>
          <w:szCs w:val="16"/>
          <w:lang w:val="es-ES"/>
        </w:rPr>
        <w:t xml:space="preserve">Anexo 2. </w:t>
      </w:r>
      <w:r w:rsidRPr="00A64987">
        <w:rPr>
          <w:rFonts w:ascii="Cambria" w:hAnsi="Cambria"/>
          <w:sz w:val="16"/>
          <w:szCs w:val="16"/>
          <w:lang w:val="es-ES"/>
        </w:rPr>
        <w:t>Dictamen de la Sala Constitucional y Social de la Corte Suprema, 22 de agosto de 1997. Anexo a la comunicación del peticionario de 10 de noviembre de 1998.</w:t>
      </w:r>
    </w:p>
  </w:footnote>
  <w:footnote w:id="46">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008065F0">
        <w:rPr>
          <w:rFonts w:ascii="Cambria" w:hAnsi="Cambria"/>
          <w:sz w:val="16"/>
          <w:szCs w:val="16"/>
          <w:lang w:val="es-ES"/>
        </w:rPr>
        <w:t xml:space="preserve">Anexo 2. </w:t>
      </w:r>
      <w:r w:rsidRPr="00A64987">
        <w:rPr>
          <w:rFonts w:ascii="Cambria" w:hAnsi="Cambria"/>
          <w:sz w:val="16"/>
          <w:szCs w:val="16"/>
          <w:lang w:val="es-ES"/>
        </w:rPr>
        <w:t>Dictamen de la Sala Constitucional y Social de la Corte Suprema, 22 de agosto de 1997. Anexo a la comunicación del peticionario de 10 de noviembre de 1998.</w:t>
      </w:r>
    </w:p>
  </w:footnote>
  <w:footnote w:id="47">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008065F0">
        <w:rPr>
          <w:rFonts w:ascii="Cambria" w:hAnsi="Cambria"/>
          <w:sz w:val="16"/>
          <w:szCs w:val="16"/>
          <w:lang w:val="es-ES"/>
        </w:rPr>
        <w:t xml:space="preserve">Anexo 7. </w:t>
      </w:r>
      <w:r w:rsidRPr="00A64987">
        <w:rPr>
          <w:rFonts w:ascii="Cambria" w:hAnsi="Cambria"/>
          <w:sz w:val="16"/>
          <w:szCs w:val="16"/>
          <w:lang w:val="es-ES"/>
        </w:rPr>
        <w:t xml:space="preserve">Resolución del </w:t>
      </w:r>
      <w:r w:rsidRPr="00A64987">
        <w:rPr>
          <w:rFonts w:ascii="Cambria" w:hAnsi="Cambria"/>
          <w:sz w:val="16"/>
          <w:szCs w:val="16"/>
          <w:lang w:val="es-AR"/>
        </w:rPr>
        <w:t xml:space="preserve">Quinto Juzgado Especializado en lo Civil de Lima, 18 de diciembre de 1995. </w:t>
      </w:r>
      <w:r w:rsidRPr="00A64987">
        <w:rPr>
          <w:rFonts w:ascii="Cambria" w:hAnsi="Cambria"/>
          <w:sz w:val="16"/>
          <w:szCs w:val="16"/>
          <w:lang w:val="es-ES"/>
        </w:rPr>
        <w:t>Anexo a la comunicación del peticionario de 10 de noviembre de 1998.</w:t>
      </w:r>
    </w:p>
  </w:footnote>
  <w:footnote w:id="48">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008065F0">
        <w:rPr>
          <w:rFonts w:ascii="Cambria" w:hAnsi="Cambria"/>
          <w:sz w:val="16"/>
          <w:szCs w:val="16"/>
          <w:lang w:val="es-ES"/>
        </w:rPr>
        <w:t xml:space="preserve">Anexo 8. </w:t>
      </w:r>
      <w:r w:rsidRPr="00A64987">
        <w:rPr>
          <w:rFonts w:ascii="Cambria" w:hAnsi="Cambria"/>
          <w:sz w:val="16"/>
          <w:szCs w:val="16"/>
          <w:lang w:val="es-ES"/>
        </w:rPr>
        <w:t>Resolución del Quinto Juzgado Civ</w:t>
      </w:r>
      <w:r w:rsidR="00C3155B">
        <w:rPr>
          <w:rFonts w:ascii="Cambria" w:hAnsi="Cambria"/>
          <w:sz w:val="16"/>
          <w:szCs w:val="16"/>
          <w:lang w:val="es-ES"/>
        </w:rPr>
        <w:t>il de Lima, 7 de abril de 1997.</w:t>
      </w:r>
      <w:r w:rsidRPr="00A64987">
        <w:rPr>
          <w:rFonts w:ascii="Cambria" w:hAnsi="Cambria"/>
          <w:sz w:val="16"/>
          <w:szCs w:val="16"/>
          <w:lang w:val="es-ES"/>
        </w:rPr>
        <w:t xml:space="preserve"> Anexo a la comunicación del peticionario de 31 de mayo de 2004.</w:t>
      </w:r>
    </w:p>
  </w:footnote>
  <w:footnote w:id="49">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008065F0">
        <w:rPr>
          <w:rFonts w:ascii="Cambria" w:hAnsi="Cambria"/>
          <w:sz w:val="16"/>
          <w:szCs w:val="16"/>
          <w:lang w:val="es-ES"/>
        </w:rPr>
        <w:t xml:space="preserve">Anexo 9. </w:t>
      </w:r>
      <w:r w:rsidRPr="00A64987">
        <w:rPr>
          <w:rFonts w:ascii="Cambria" w:hAnsi="Cambria"/>
          <w:sz w:val="16"/>
          <w:szCs w:val="16"/>
          <w:lang w:val="es-ES"/>
        </w:rPr>
        <w:t>Comunicación a la ONP, 24 de agosto de 2000. Anexo a la comunicación del peticionario de 31 de mayo de 2004.</w:t>
      </w:r>
    </w:p>
  </w:footnote>
  <w:footnote w:id="50">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008065F0">
        <w:rPr>
          <w:rFonts w:ascii="Cambria" w:hAnsi="Cambria"/>
          <w:sz w:val="16"/>
          <w:szCs w:val="16"/>
          <w:lang w:val="es-ES"/>
        </w:rPr>
        <w:t xml:space="preserve">Anexo 9. </w:t>
      </w:r>
      <w:r w:rsidRPr="00A64987">
        <w:rPr>
          <w:rFonts w:ascii="Cambria" w:hAnsi="Cambria"/>
          <w:sz w:val="16"/>
          <w:szCs w:val="16"/>
          <w:lang w:val="es-ES"/>
        </w:rPr>
        <w:t>Comunicación a la ONP, 24 de agosto de 2000. Anexo a la comunicación del peticionario de 31 de mayo de 2004.</w:t>
      </w:r>
    </w:p>
  </w:footnote>
  <w:footnote w:id="51">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008065F0">
        <w:rPr>
          <w:rFonts w:ascii="Cambria" w:hAnsi="Cambria"/>
          <w:sz w:val="16"/>
          <w:szCs w:val="16"/>
          <w:lang w:val="es-ES"/>
        </w:rPr>
        <w:t xml:space="preserve">Anexo </w:t>
      </w:r>
      <w:r w:rsidR="00495F93">
        <w:rPr>
          <w:rFonts w:ascii="Cambria" w:hAnsi="Cambria"/>
          <w:sz w:val="16"/>
          <w:szCs w:val="16"/>
          <w:lang w:val="es-ES"/>
        </w:rPr>
        <w:t>10</w:t>
      </w:r>
      <w:r w:rsidR="008065F0">
        <w:rPr>
          <w:rFonts w:ascii="Cambria" w:hAnsi="Cambria"/>
          <w:sz w:val="16"/>
          <w:szCs w:val="16"/>
          <w:lang w:val="es-ES"/>
        </w:rPr>
        <w:t xml:space="preserve">. </w:t>
      </w:r>
      <w:r w:rsidRPr="00A64987">
        <w:rPr>
          <w:rFonts w:ascii="Cambria" w:hAnsi="Cambria"/>
          <w:sz w:val="16"/>
          <w:szCs w:val="16"/>
          <w:lang w:val="es-ES"/>
        </w:rPr>
        <w:t>Comunicación de la ONP, 26 de octubre de 2000. Anexo a la comunicación del peticionario de 31 de mayo de 2004.</w:t>
      </w:r>
    </w:p>
  </w:footnote>
  <w:footnote w:id="52">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00495F93">
        <w:rPr>
          <w:rFonts w:ascii="Cambria" w:hAnsi="Cambria"/>
          <w:sz w:val="16"/>
          <w:szCs w:val="16"/>
          <w:lang w:val="es-ES"/>
        </w:rPr>
        <w:t>Anexo 11</w:t>
      </w:r>
      <w:r w:rsidR="008065F0">
        <w:rPr>
          <w:rFonts w:ascii="Cambria" w:hAnsi="Cambria"/>
          <w:sz w:val="16"/>
          <w:szCs w:val="16"/>
          <w:lang w:val="es-ES"/>
        </w:rPr>
        <w:t xml:space="preserve">. </w:t>
      </w:r>
      <w:r w:rsidRPr="00A64987">
        <w:rPr>
          <w:rFonts w:ascii="Cambria" w:hAnsi="Cambria"/>
          <w:sz w:val="16"/>
          <w:szCs w:val="16"/>
          <w:lang w:val="es-ES"/>
        </w:rPr>
        <w:t>Comunicación del Estado de 26 de febrero de 2010.</w:t>
      </w:r>
    </w:p>
  </w:footnote>
  <w:footnote w:id="53">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00495F93">
        <w:rPr>
          <w:rFonts w:ascii="Cambria" w:hAnsi="Cambria"/>
          <w:sz w:val="16"/>
          <w:szCs w:val="16"/>
          <w:lang w:val="es-ES"/>
        </w:rPr>
        <w:t>Anexo 11</w:t>
      </w:r>
      <w:r w:rsidR="008065F0">
        <w:rPr>
          <w:rFonts w:ascii="Cambria" w:hAnsi="Cambria"/>
          <w:sz w:val="16"/>
          <w:szCs w:val="16"/>
          <w:lang w:val="es-ES"/>
        </w:rPr>
        <w:t xml:space="preserve">. </w:t>
      </w:r>
      <w:r w:rsidRPr="00A64987">
        <w:rPr>
          <w:rFonts w:ascii="Cambria" w:hAnsi="Cambria"/>
          <w:sz w:val="16"/>
          <w:szCs w:val="16"/>
          <w:lang w:val="es-ES"/>
        </w:rPr>
        <w:t>Comunicación del Estado de 26 de febrero de 2010.</w:t>
      </w:r>
    </w:p>
  </w:footnote>
  <w:footnote w:id="54">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00495F93">
        <w:rPr>
          <w:rFonts w:ascii="Cambria" w:hAnsi="Cambria"/>
          <w:sz w:val="16"/>
          <w:szCs w:val="16"/>
          <w:lang w:val="es-ES"/>
        </w:rPr>
        <w:t>Anexo 12</w:t>
      </w:r>
      <w:r w:rsidR="008065F0">
        <w:rPr>
          <w:rFonts w:ascii="Cambria" w:hAnsi="Cambria"/>
          <w:sz w:val="16"/>
          <w:szCs w:val="16"/>
          <w:lang w:val="es-ES"/>
        </w:rPr>
        <w:t xml:space="preserve">. </w:t>
      </w:r>
      <w:r w:rsidRPr="00A64987">
        <w:rPr>
          <w:rFonts w:ascii="Cambria" w:hAnsi="Cambria"/>
          <w:sz w:val="16"/>
          <w:szCs w:val="16"/>
          <w:lang w:val="es-ES"/>
        </w:rPr>
        <w:t>Resolución del 38º Juzgado Civil de Lima, 26 de abril de 2010. Anexo 8 a la comunicación del peticionario de 29 de mayo de 2010.</w:t>
      </w:r>
    </w:p>
  </w:footnote>
  <w:footnote w:id="55">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00495F93">
        <w:rPr>
          <w:rFonts w:ascii="Cambria" w:hAnsi="Cambria"/>
          <w:sz w:val="16"/>
          <w:szCs w:val="16"/>
          <w:lang w:val="es-ES"/>
        </w:rPr>
        <w:t xml:space="preserve">Anexo 12. </w:t>
      </w:r>
      <w:r w:rsidRPr="00A64987">
        <w:rPr>
          <w:rFonts w:ascii="Cambria" w:hAnsi="Cambria"/>
          <w:sz w:val="16"/>
          <w:szCs w:val="16"/>
          <w:lang w:val="es-ES"/>
        </w:rPr>
        <w:t>Resolución del 38º Juzgado Civil de Lima, 26 de abril de 2010. Anexo 8 a la comunicación del peticionario de 29 de mayo de 2010.</w:t>
      </w:r>
    </w:p>
  </w:footnote>
  <w:footnote w:id="56">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00495F93">
        <w:rPr>
          <w:rFonts w:ascii="Cambria" w:hAnsi="Cambria"/>
          <w:sz w:val="16"/>
          <w:szCs w:val="16"/>
          <w:lang w:val="es-ES"/>
        </w:rPr>
        <w:t xml:space="preserve">Anexo 12. </w:t>
      </w:r>
      <w:r w:rsidRPr="00A64987">
        <w:rPr>
          <w:rFonts w:ascii="Cambria" w:hAnsi="Cambria"/>
          <w:sz w:val="16"/>
          <w:szCs w:val="16"/>
          <w:lang w:val="es-ES"/>
        </w:rPr>
        <w:t>Resolución del 38º Juzgado Civil de Lima, 26 de abril de 2010. Anexo 8 a la comunicación del peticionario de 29 de mayo de 2010.</w:t>
      </w:r>
    </w:p>
  </w:footnote>
  <w:footnote w:id="57">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00495F93">
        <w:rPr>
          <w:rFonts w:ascii="Cambria" w:hAnsi="Cambria"/>
          <w:sz w:val="16"/>
          <w:szCs w:val="16"/>
          <w:lang w:val="es-ES"/>
        </w:rPr>
        <w:t xml:space="preserve">Anexo 13. </w:t>
      </w:r>
      <w:r w:rsidRPr="00A64987">
        <w:rPr>
          <w:rFonts w:ascii="Cambria" w:hAnsi="Cambria"/>
          <w:sz w:val="16"/>
          <w:szCs w:val="16"/>
          <w:lang w:val="es-ES"/>
        </w:rPr>
        <w:t>Recurso de apelación de Oscar Muelle, 17 de mayo de 2010. Anexo a la comunicación del peticionario de 29 de mayo de 2010.</w:t>
      </w:r>
    </w:p>
  </w:footnote>
  <w:footnote w:id="58">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00495F93">
        <w:rPr>
          <w:rFonts w:ascii="Cambria" w:hAnsi="Cambria"/>
          <w:sz w:val="16"/>
          <w:szCs w:val="16"/>
          <w:lang w:val="es-ES"/>
        </w:rPr>
        <w:t xml:space="preserve">Anexo 14. </w:t>
      </w:r>
      <w:r w:rsidRPr="00A64987">
        <w:rPr>
          <w:rFonts w:ascii="Cambria" w:hAnsi="Cambria"/>
          <w:sz w:val="16"/>
          <w:szCs w:val="16"/>
          <w:lang w:val="es-ES"/>
        </w:rPr>
        <w:t xml:space="preserve">Resolución del 38º Juzgado Civil de Lima, 19 de mayo de 2010. Anexo a la comunicación del peticionario de 30 de octubre de 2010. </w:t>
      </w:r>
    </w:p>
  </w:footnote>
  <w:footnote w:id="59">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00495F93">
        <w:rPr>
          <w:rFonts w:ascii="Cambria" w:hAnsi="Cambria"/>
          <w:sz w:val="16"/>
          <w:szCs w:val="16"/>
          <w:lang w:val="es-ES"/>
        </w:rPr>
        <w:t xml:space="preserve">Anexo 15. </w:t>
      </w:r>
      <w:r w:rsidRPr="00A64987">
        <w:rPr>
          <w:rFonts w:ascii="Cambria" w:hAnsi="Cambria"/>
          <w:sz w:val="16"/>
          <w:szCs w:val="16"/>
          <w:lang w:val="es-ES"/>
        </w:rPr>
        <w:t xml:space="preserve">Comunicación del peticionario de 30 de octubre de 2010. </w:t>
      </w:r>
    </w:p>
  </w:footnote>
  <w:footnote w:id="60">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00495F93">
        <w:rPr>
          <w:rFonts w:ascii="Cambria" w:hAnsi="Cambria"/>
          <w:sz w:val="16"/>
          <w:szCs w:val="16"/>
          <w:lang w:val="es-ES"/>
        </w:rPr>
        <w:t xml:space="preserve">Anexo 15. </w:t>
      </w:r>
      <w:r w:rsidRPr="00A64987">
        <w:rPr>
          <w:rFonts w:ascii="Cambria" w:hAnsi="Cambria"/>
          <w:sz w:val="16"/>
          <w:szCs w:val="16"/>
          <w:lang w:val="es-ES"/>
        </w:rPr>
        <w:t xml:space="preserve">Comunicación del peticionario de 30 de octubre de 2010. </w:t>
      </w:r>
    </w:p>
  </w:footnote>
  <w:footnote w:id="61">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00495F93">
        <w:rPr>
          <w:rFonts w:ascii="Cambria" w:hAnsi="Cambria"/>
          <w:sz w:val="16"/>
          <w:szCs w:val="16"/>
          <w:lang w:val="es-ES"/>
        </w:rPr>
        <w:t xml:space="preserve">Anexo 16. </w:t>
      </w:r>
      <w:r w:rsidRPr="00A64987">
        <w:rPr>
          <w:rFonts w:ascii="Cambria" w:hAnsi="Cambria"/>
          <w:sz w:val="16"/>
          <w:szCs w:val="16"/>
          <w:lang w:val="es-ES"/>
        </w:rPr>
        <w:t xml:space="preserve">Resolución No. 6 de la </w:t>
      </w:r>
      <w:r w:rsidRPr="00A64987">
        <w:rPr>
          <w:rFonts w:ascii="Cambria" w:hAnsi="Cambria"/>
          <w:sz w:val="16"/>
          <w:szCs w:val="16"/>
          <w:lang w:val="es-AR"/>
        </w:rPr>
        <w:t>Segunda Sala Civil de la Corte Superior de Lima, 13 de abril de 2011. Anexo a la comunicación del peticionario de 18 de julio de 2011.</w:t>
      </w:r>
    </w:p>
  </w:footnote>
  <w:footnote w:id="62">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00495F93">
        <w:rPr>
          <w:rFonts w:ascii="Cambria" w:hAnsi="Cambria"/>
          <w:sz w:val="16"/>
          <w:szCs w:val="16"/>
          <w:lang w:val="es-ES"/>
        </w:rPr>
        <w:t xml:space="preserve">Anexo 16. </w:t>
      </w:r>
      <w:r w:rsidRPr="00A64987">
        <w:rPr>
          <w:rFonts w:ascii="Cambria" w:hAnsi="Cambria"/>
          <w:sz w:val="16"/>
          <w:szCs w:val="16"/>
          <w:lang w:val="es-ES"/>
        </w:rPr>
        <w:t xml:space="preserve">Resolución No. 6 de la </w:t>
      </w:r>
      <w:r w:rsidRPr="00A64987">
        <w:rPr>
          <w:rFonts w:ascii="Cambria" w:hAnsi="Cambria"/>
          <w:sz w:val="16"/>
          <w:szCs w:val="16"/>
          <w:lang w:val="es-AR"/>
        </w:rPr>
        <w:t>Segunda Sala Civil de la Corte Superior de Lima, 13 de abril de 2011. Anexo a la comunicación del peticionario de 18 de julio de 2011.</w:t>
      </w:r>
    </w:p>
  </w:footnote>
  <w:footnote w:id="63">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00495F93">
        <w:rPr>
          <w:rFonts w:ascii="Cambria" w:hAnsi="Cambria"/>
          <w:sz w:val="16"/>
          <w:szCs w:val="16"/>
          <w:lang w:val="es-ES"/>
        </w:rPr>
        <w:t xml:space="preserve">Anexo 16. </w:t>
      </w:r>
      <w:r w:rsidRPr="00A64987">
        <w:rPr>
          <w:rFonts w:ascii="Cambria" w:hAnsi="Cambria"/>
          <w:sz w:val="16"/>
          <w:szCs w:val="16"/>
          <w:lang w:val="es-ES"/>
        </w:rPr>
        <w:t xml:space="preserve">Resolución No. 6 de la </w:t>
      </w:r>
      <w:r w:rsidRPr="00A64987">
        <w:rPr>
          <w:rFonts w:ascii="Cambria" w:hAnsi="Cambria"/>
          <w:sz w:val="16"/>
          <w:szCs w:val="16"/>
          <w:lang w:val="es-AR"/>
        </w:rPr>
        <w:t>Segunda Sala Civil de la Corte Superior de Lima, 13 de abril de 2011. Anexo a la comunicación del peticionario de 18 de julio de 2011.</w:t>
      </w:r>
    </w:p>
  </w:footnote>
  <w:footnote w:id="64">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00495F93">
        <w:rPr>
          <w:rFonts w:ascii="Cambria" w:hAnsi="Cambria"/>
          <w:sz w:val="16"/>
          <w:szCs w:val="16"/>
          <w:lang w:val="es-ES"/>
        </w:rPr>
        <w:t xml:space="preserve">Anexo 16. </w:t>
      </w:r>
      <w:r w:rsidRPr="00A64987">
        <w:rPr>
          <w:rFonts w:ascii="Cambria" w:hAnsi="Cambria"/>
          <w:sz w:val="16"/>
          <w:szCs w:val="16"/>
          <w:lang w:val="es-ES"/>
        </w:rPr>
        <w:t xml:space="preserve">Resolución No. 6 de la </w:t>
      </w:r>
      <w:r w:rsidRPr="00A64987">
        <w:rPr>
          <w:rFonts w:ascii="Cambria" w:hAnsi="Cambria"/>
          <w:sz w:val="16"/>
          <w:szCs w:val="16"/>
          <w:lang w:val="es-AR"/>
        </w:rPr>
        <w:t>Segunda Sala Civil de la Corte Superior de Lima, 13 de abril de 2011. Anexo a la comunicación del peticionario de 18 de julio de 2011.</w:t>
      </w:r>
    </w:p>
  </w:footnote>
  <w:footnote w:id="65">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00495F93">
        <w:rPr>
          <w:rFonts w:ascii="Cambria" w:hAnsi="Cambria"/>
          <w:sz w:val="16"/>
          <w:szCs w:val="16"/>
          <w:lang w:val="es-ES"/>
        </w:rPr>
        <w:t xml:space="preserve">Anexo 17. </w:t>
      </w:r>
      <w:r w:rsidRPr="00A64987">
        <w:rPr>
          <w:rFonts w:ascii="Cambria" w:hAnsi="Cambria"/>
          <w:sz w:val="16"/>
          <w:szCs w:val="16"/>
          <w:lang w:val="es-ES"/>
        </w:rPr>
        <w:t>Comunicación del peticionario de 8 de septiembre de 2012.</w:t>
      </w:r>
    </w:p>
  </w:footnote>
  <w:footnote w:id="66">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00495F93">
        <w:rPr>
          <w:rFonts w:ascii="Cambria" w:hAnsi="Cambria"/>
          <w:sz w:val="16"/>
          <w:szCs w:val="16"/>
          <w:lang w:val="es-ES"/>
        </w:rPr>
        <w:t xml:space="preserve">Anexo 18. </w:t>
      </w:r>
      <w:r w:rsidRPr="00A64987">
        <w:rPr>
          <w:rFonts w:ascii="Cambria" w:hAnsi="Cambria"/>
          <w:sz w:val="16"/>
          <w:szCs w:val="16"/>
          <w:lang w:val="es-ES"/>
        </w:rPr>
        <w:t>Comunicación del peticionario de 10 de junio de 2013. Comunicación del Estado de 12 de noviembre de 2012.</w:t>
      </w:r>
    </w:p>
  </w:footnote>
  <w:footnote w:id="67">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00495F93">
        <w:rPr>
          <w:rFonts w:ascii="Cambria" w:hAnsi="Cambria"/>
          <w:sz w:val="16"/>
          <w:szCs w:val="16"/>
          <w:lang w:val="es-ES"/>
        </w:rPr>
        <w:t xml:space="preserve">Anexo 19. </w:t>
      </w:r>
      <w:r w:rsidRPr="00A64987">
        <w:rPr>
          <w:rFonts w:ascii="Cambria" w:hAnsi="Cambria"/>
          <w:sz w:val="16"/>
          <w:szCs w:val="16"/>
          <w:lang w:val="es-ES"/>
        </w:rPr>
        <w:t>Resolución del 33º Juzgado Civil de Lima, 30 de octubre de 2012. Anexo a la comunicación del Estado de 20 de noviembre de 2013.</w:t>
      </w:r>
    </w:p>
  </w:footnote>
  <w:footnote w:id="68">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00495F93">
        <w:rPr>
          <w:rFonts w:ascii="Cambria" w:hAnsi="Cambria"/>
          <w:sz w:val="16"/>
          <w:szCs w:val="16"/>
          <w:lang w:val="es-ES"/>
        </w:rPr>
        <w:t xml:space="preserve">Anexo 20. </w:t>
      </w:r>
      <w:r w:rsidRPr="00A64987">
        <w:rPr>
          <w:rFonts w:ascii="Cambria" w:hAnsi="Cambria"/>
          <w:sz w:val="16"/>
          <w:szCs w:val="16"/>
          <w:lang w:val="es-ES"/>
        </w:rPr>
        <w:t>Apelación de Oscar Muelle, 20 de noviembre de 2012. Anexo a la comunicación del Estado de 20 de noviembre de 2013.</w:t>
      </w:r>
    </w:p>
  </w:footnote>
  <w:footnote w:id="69">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00495F93">
        <w:rPr>
          <w:rFonts w:ascii="Cambria" w:hAnsi="Cambria"/>
          <w:sz w:val="16"/>
          <w:szCs w:val="16"/>
          <w:lang w:val="es-ES"/>
        </w:rPr>
        <w:t xml:space="preserve">Anexo 20. </w:t>
      </w:r>
      <w:r w:rsidRPr="00A64987">
        <w:rPr>
          <w:rFonts w:ascii="Cambria" w:hAnsi="Cambria"/>
          <w:sz w:val="16"/>
          <w:szCs w:val="16"/>
          <w:lang w:val="es-ES"/>
        </w:rPr>
        <w:t>Apelación de Oscar Muelle, 20 de noviembre de 2012. Anexo a la comunicación del Estado de 20 de noviembre de 2013.</w:t>
      </w:r>
    </w:p>
  </w:footnote>
  <w:footnote w:id="70">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00495F93">
        <w:rPr>
          <w:rFonts w:ascii="Cambria" w:hAnsi="Cambria"/>
          <w:sz w:val="16"/>
          <w:szCs w:val="16"/>
          <w:lang w:val="es-ES"/>
        </w:rPr>
        <w:t xml:space="preserve">Anexo 21. </w:t>
      </w:r>
      <w:r w:rsidRPr="00A64987">
        <w:rPr>
          <w:rFonts w:ascii="Cambria" w:hAnsi="Cambria"/>
          <w:sz w:val="16"/>
          <w:szCs w:val="16"/>
          <w:lang w:val="es-ES"/>
        </w:rPr>
        <w:t xml:space="preserve">Resolución No. 08 de </w:t>
      </w:r>
      <w:r w:rsidRPr="00A64987">
        <w:rPr>
          <w:rFonts w:ascii="Cambria" w:hAnsi="Cambria"/>
          <w:sz w:val="16"/>
          <w:szCs w:val="16"/>
          <w:lang w:val="es-AR"/>
        </w:rPr>
        <w:t xml:space="preserve">la Segunda Sala Civil de la Corte Superior de Justicia, 10 de octubre de 2013. Anexo a la comunicación del </w:t>
      </w:r>
      <w:r w:rsidRPr="00A64987">
        <w:rPr>
          <w:rFonts w:ascii="Cambria" w:hAnsi="Cambria"/>
          <w:sz w:val="16"/>
          <w:szCs w:val="16"/>
          <w:lang w:val="es-ES"/>
        </w:rPr>
        <w:t>Estado de 20 de noviembre de 2013.</w:t>
      </w:r>
    </w:p>
  </w:footnote>
  <w:footnote w:id="71">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00495F93">
        <w:rPr>
          <w:rFonts w:ascii="Cambria" w:hAnsi="Cambria"/>
          <w:sz w:val="16"/>
          <w:szCs w:val="16"/>
          <w:lang w:val="es-ES"/>
        </w:rPr>
        <w:t xml:space="preserve">Anexo 21. </w:t>
      </w:r>
      <w:r w:rsidRPr="00A64987">
        <w:rPr>
          <w:rFonts w:ascii="Cambria" w:hAnsi="Cambria"/>
          <w:sz w:val="16"/>
          <w:szCs w:val="16"/>
          <w:lang w:val="es-ES"/>
        </w:rPr>
        <w:t xml:space="preserve">Resolución No. 08 de </w:t>
      </w:r>
      <w:r w:rsidRPr="00A64987">
        <w:rPr>
          <w:rFonts w:ascii="Cambria" w:hAnsi="Cambria"/>
          <w:sz w:val="16"/>
          <w:szCs w:val="16"/>
          <w:lang w:val="es-AR"/>
        </w:rPr>
        <w:t xml:space="preserve">la Segunda Sala Civil de la Corte Superior de Justicia, 10 de octubre de 2013. Anexo a la comunicación del </w:t>
      </w:r>
      <w:r w:rsidRPr="00A64987">
        <w:rPr>
          <w:rFonts w:ascii="Cambria" w:hAnsi="Cambria"/>
          <w:sz w:val="16"/>
          <w:szCs w:val="16"/>
          <w:lang w:val="es-ES"/>
        </w:rPr>
        <w:t>Estado de 20 de noviembre de 2013.</w:t>
      </w:r>
    </w:p>
  </w:footnote>
  <w:footnote w:id="72">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00495F93">
        <w:rPr>
          <w:rFonts w:ascii="Cambria" w:hAnsi="Cambria"/>
          <w:sz w:val="16"/>
          <w:szCs w:val="16"/>
          <w:lang w:val="es-ES"/>
        </w:rPr>
        <w:t xml:space="preserve">Anexo 21. </w:t>
      </w:r>
      <w:r w:rsidRPr="00A64987">
        <w:rPr>
          <w:rFonts w:ascii="Cambria" w:hAnsi="Cambria"/>
          <w:sz w:val="16"/>
          <w:szCs w:val="16"/>
          <w:lang w:val="es-ES"/>
        </w:rPr>
        <w:t xml:space="preserve">Resolución No. 08 de </w:t>
      </w:r>
      <w:r w:rsidRPr="00A64987">
        <w:rPr>
          <w:rFonts w:ascii="Cambria" w:hAnsi="Cambria"/>
          <w:sz w:val="16"/>
          <w:szCs w:val="16"/>
          <w:lang w:val="es-AR"/>
        </w:rPr>
        <w:t xml:space="preserve">la Segunda Sala Civil de la Corte Superior de Justicia, 10 de octubre de 2013. Anexo a la comunicación del </w:t>
      </w:r>
      <w:r w:rsidRPr="00A64987">
        <w:rPr>
          <w:rFonts w:ascii="Cambria" w:hAnsi="Cambria"/>
          <w:sz w:val="16"/>
          <w:szCs w:val="16"/>
          <w:lang w:val="es-ES"/>
        </w:rPr>
        <w:t>Estado de 20 de noviembre de 2013.</w:t>
      </w:r>
    </w:p>
  </w:footnote>
  <w:footnote w:id="73">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CIDH, Informe No. 38/09, Caso 12.670, Admisibilidad y Fondo, Asociación Nacional de Ex Servidores del Instituto Peruano de Seguridad Social y otras, Perú, 27 de marzo de 2009.</w:t>
      </w:r>
    </w:p>
  </w:footnote>
  <w:footnote w:id="74">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Pr="00A64987">
        <w:rPr>
          <w:rFonts w:ascii="Cambria" w:hAnsi="Cambria" w:cs="Tahoma"/>
          <w:sz w:val="16"/>
          <w:szCs w:val="16"/>
          <w:lang w:val="es-ES"/>
        </w:rPr>
        <w:t> Artículo 8.1: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footnote>
  <w:footnote w:id="75">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Artículo 21.1:</w:t>
      </w:r>
      <w:r w:rsidRPr="00A64987">
        <w:rPr>
          <w:rFonts w:ascii="Cambria" w:eastAsia="Arial Unicode MS" w:hAnsi="Cambria" w:cs="Tahoma"/>
          <w:sz w:val="16"/>
          <w:szCs w:val="16"/>
          <w:lang w:val="es-ES" w:eastAsia="en-US"/>
        </w:rPr>
        <w:t> Toda persona tiene derecho al uso y goce de sus bienes.  La ley puede subordinar tal uso y goce al interés social.</w:t>
      </w:r>
    </w:p>
  </w:footnote>
  <w:footnote w:id="76">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Artículo 25.2.c): </w:t>
      </w:r>
      <w:r w:rsidRPr="00A64987">
        <w:rPr>
          <w:rFonts w:ascii="Cambria" w:hAnsi="Cambria" w:cs="Tahoma"/>
          <w:sz w:val="16"/>
          <w:szCs w:val="16"/>
          <w:lang w:val="es-ES"/>
        </w:rPr>
        <w:t xml:space="preserve">Los Estados Partes se comprometen a garantizar el cumplimiento, por las autoridades competentes, de toda decisión en que se haya estimado procedente el recurso. </w:t>
      </w:r>
    </w:p>
  </w:footnote>
  <w:footnote w:id="77">
    <w:p w:rsidR="00CD46D2" w:rsidRPr="00A64987" w:rsidRDefault="00CD46D2" w:rsidP="00A569E5">
      <w:pPr>
        <w:pStyle w:val="Textonotapie"/>
        <w:spacing w:before="120"/>
        <w:ind w:firstLine="720"/>
        <w:jc w:val="both"/>
        <w:rPr>
          <w:rFonts w:ascii="Cambria" w:hAnsi="Cambria"/>
          <w:bCs/>
          <w:sz w:val="16"/>
          <w:szCs w:val="16"/>
          <w:lang w:val="es-ES"/>
        </w:rPr>
      </w:pPr>
      <w:r w:rsidRPr="00A64987">
        <w:rPr>
          <w:rStyle w:val="Refdenotaalpie"/>
          <w:rFonts w:ascii="Cambria" w:hAnsi="Cambria"/>
          <w:sz w:val="16"/>
          <w:szCs w:val="16"/>
          <w:lang w:val="es-ES"/>
        </w:rPr>
        <w:footnoteRef/>
      </w:r>
      <w:r w:rsidRPr="00A64987">
        <w:rPr>
          <w:rFonts w:ascii="Cambria" w:hAnsi="Cambria"/>
          <w:sz w:val="16"/>
          <w:szCs w:val="16"/>
          <w:lang w:val="pt-BR"/>
        </w:rPr>
        <w:t xml:space="preserve">  Corte IDH. </w:t>
      </w:r>
      <w:r w:rsidRPr="00A64987">
        <w:rPr>
          <w:rFonts w:ascii="Cambria" w:hAnsi="Cambria"/>
          <w:bCs/>
          <w:i/>
          <w:sz w:val="16"/>
          <w:szCs w:val="16"/>
          <w:lang w:val="pt-BR"/>
        </w:rPr>
        <w:t xml:space="preserve">Caso Suárez Rosero Vs. </w:t>
      </w:r>
      <w:r w:rsidRPr="00A64987">
        <w:rPr>
          <w:rFonts w:ascii="Cambria" w:hAnsi="Cambria"/>
          <w:bCs/>
          <w:i/>
          <w:sz w:val="16"/>
          <w:szCs w:val="16"/>
          <w:lang w:val="es-ES"/>
        </w:rPr>
        <w:t xml:space="preserve">Ecuador. Fondo. </w:t>
      </w:r>
      <w:r w:rsidRPr="00A64987">
        <w:rPr>
          <w:rFonts w:ascii="Cambria" w:hAnsi="Cambria"/>
          <w:bCs/>
          <w:sz w:val="16"/>
          <w:szCs w:val="16"/>
          <w:lang w:val="es-ES"/>
        </w:rPr>
        <w:t>Sentencia de 12 de noviembre de 1997.</w:t>
      </w:r>
      <w:r w:rsidRPr="00A64987">
        <w:rPr>
          <w:rFonts w:ascii="Cambria" w:hAnsi="Cambria"/>
          <w:bCs/>
          <w:i/>
          <w:sz w:val="16"/>
          <w:szCs w:val="16"/>
          <w:lang w:val="es-ES"/>
        </w:rPr>
        <w:t xml:space="preserve"> </w:t>
      </w:r>
      <w:r w:rsidRPr="00A64987">
        <w:rPr>
          <w:rFonts w:ascii="Cambria" w:hAnsi="Cambria"/>
          <w:bCs/>
          <w:sz w:val="16"/>
          <w:szCs w:val="16"/>
          <w:lang w:val="es-ES"/>
        </w:rPr>
        <w:t>Serie C No. 35, párr.</w:t>
      </w:r>
      <w:r w:rsidRPr="00A64987">
        <w:rPr>
          <w:rFonts w:ascii="Cambria" w:hAnsi="Cambria"/>
          <w:bCs/>
          <w:i/>
          <w:sz w:val="16"/>
          <w:szCs w:val="16"/>
          <w:lang w:val="es-ES"/>
        </w:rPr>
        <w:t xml:space="preserve"> </w:t>
      </w:r>
      <w:r w:rsidRPr="00A64987">
        <w:rPr>
          <w:rFonts w:ascii="Cambria" w:hAnsi="Cambria"/>
          <w:bCs/>
          <w:sz w:val="16"/>
          <w:szCs w:val="16"/>
          <w:lang w:val="es-ES"/>
        </w:rPr>
        <w:t>65;</w:t>
      </w:r>
      <w:r w:rsidRPr="00A64987">
        <w:rPr>
          <w:rFonts w:ascii="Cambria" w:hAnsi="Cambria"/>
          <w:i/>
          <w:sz w:val="16"/>
          <w:szCs w:val="16"/>
          <w:lang w:val="es-EC"/>
        </w:rPr>
        <w:t xml:space="preserve"> y </w:t>
      </w:r>
      <w:r w:rsidRPr="00A64987">
        <w:rPr>
          <w:rFonts w:ascii="Cambria" w:hAnsi="Cambria"/>
          <w:bCs/>
          <w:i/>
          <w:sz w:val="16"/>
          <w:szCs w:val="16"/>
          <w:lang w:val="es-ES"/>
        </w:rPr>
        <w:t xml:space="preserve">Caso Rosendo Cantú y otra Vs. México. Excepción Preliminar, Fondo, Reparaciones y Costas. </w:t>
      </w:r>
      <w:r w:rsidRPr="00A64987">
        <w:rPr>
          <w:rFonts w:ascii="Cambria" w:hAnsi="Cambria"/>
          <w:bCs/>
          <w:sz w:val="16"/>
          <w:szCs w:val="16"/>
          <w:lang w:val="es-ES"/>
        </w:rPr>
        <w:t>Sentencia de 31 de agosto de 2010. Serie C No. 216, párr. 166.</w:t>
      </w:r>
    </w:p>
  </w:footnote>
  <w:footnote w:id="78">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Pr="00A64987">
        <w:rPr>
          <w:rFonts w:ascii="Cambria" w:eastAsia="Arial Unicode MS" w:hAnsi="Cambria" w:cs="Times New Roman"/>
          <w:bCs/>
          <w:sz w:val="16"/>
          <w:szCs w:val="16"/>
          <w:shd w:val="clear" w:color="auto" w:fill="FFFFFF"/>
          <w:lang w:val="es-ES" w:eastAsia="en-US"/>
        </w:rPr>
        <w:t xml:space="preserve">Corte IDH. </w:t>
      </w:r>
      <w:r w:rsidRPr="00A64987">
        <w:rPr>
          <w:rFonts w:ascii="Cambria" w:eastAsia="Arial Unicode MS" w:hAnsi="Cambria" w:cs="Times New Roman"/>
          <w:bCs/>
          <w:i/>
          <w:sz w:val="16"/>
          <w:szCs w:val="16"/>
          <w:shd w:val="clear" w:color="auto" w:fill="FFFFFF"/>
          <w:lang w:val="es-ES" w:eastAsia="en-US"/>
        </w:rPr>
        <w:t>Caso Mejía Idrovo Vs. Ecuador</w:t>
      </w:r>
      <w:r w:rsidRPr="00A64987">
        <w:rPr>
          <w:rFonts w:ascii="Cambria" w:eastAsia="Arial Unicode MS" w:hAnsi="Cambria" w:cs="Times New Roman"/>
          <w:bCs/>
          <w:sz w:val="16"/>
          <w:szCs w:val="16"/>
          <w:shd w:val="clear" w:color="auto" w:fill="FFFFFF"/>
          <w:lang w:val="es-ES" w:eastAsia="en-US"/>
        </w:rPr>
        <w:t>. Excepciones Preliminares, Fondo, Reparaciones y Costas. Sentencia de 5 de julio de 2011. Serie C No. 228, párr. 104.</w:t>
      </w:r>
    </w:p>
  </w:footnote>
  <w:footnote w:id="79">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CIDH, Caso 12.357, Demanda ante la Corte IDH, Integrantes de la Asociación de Cesantes y Jubilados de la Contraloría General de la República, Perú, 1 de abril de 2008, párr. 52.</w:t>
      </w:r>
    </w:p>
  </w:footnote>
  <w:footnote w:id="80">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4802B1">
        <w:rPr>
          <w:rFonts w:ascii="Cambria" w:hAnsi="Cambria"/>
          <w:sz w:val="16"/>
          <w:szCs w:val="16"/>
          <w:lang w:val="es-ES"/>
        </w:rPr>
        <w:t xml:space="preserve"> </w:t>
      </w:r>
      <w:r w:rsidRPr="004802B1">
        <w:rPr>
          <w:rFonts w:ascii="Cambria" w:eastAsia="Arial Unicode MS" w:hAnsi="Cambria" w:cs="Times New Roman"/>
          <w:bCs/>
          <w:sz w:val="16"/>
          <w:szCs w:val="16"/>
          <w:shd w:val="clear" w:color="auto" w:fill="FFFFFF"/>
          <w:lang w:val="es-ES" w:eastAsia="en-US"/>
        </w:rPr>
        <w:t xml:space="preserve">Corte IDH. </w:t>
      </w:r>
      <w:r w:rsidRPr="004802B1">
        <w:rPr>
          <w:rFonts w:ascii="Cambria" w:eastAsia="Arial Unicode MS" w:hAnsi="Cambria" w:cs="Times New Roman"/>
          <w:bCs/>
          <w:i/>
          <w:sz w:val="16"/>
          <w:szCs w:val="16"/>
          <w:shd w:val="clear" w:color="auto" w:fill="FFFFFF"/>
          <w:lang w:val="es-ES" w:eastAsia="en-US"/>
        </w:rPr>
        <w:t xml:space="preserve">Caso Mejía Idrovo Vs. </w:t>
      </w:r>
      <w:r w:rsidRPr="00A64987">
        <w:rPr>
          <w:rFonts w:ascii="Cambria" w:eastAsia="Arial Unicode MS" w:hAnsi="Cambria" w:cs="Times New Roman"/>
          <w:bCs/>
          <w:i/>
          <w:sz w:val="16"/>
          <w:szCs w:val="16"/>
          <w:shd w:val="clear" w:color="auto" w:fill="FFFFFF"/>
          <w:lang w:val="es-ES" w:eastAsia="en-US"/>
        </w:rPr>
        <w:t>Ecuador</w:t>
      </w:r>
      <w:r w:rsidRPr="00A64987">
        <w:rPr>
          <w:rFonts w:ascii="Cambria" w:eastAsia="Arial Unicode MS" w:hAnsi="Cambria" w:cs="Times New Roman"/>
          <w:bCs/>
          <w:sz w:val="16"/>
          <w:szCs w:val="16"/>
          <w:shd w:val="clear" w:color="auto" w:fill="FFFFFF"/>
          <w:lang w:val="es-ES" w:eastAsia="en-US"/>
        </w:rPr>
        <w:t>. Excepciones Preliminares, Fondo, Reparaciones y Costas. Sentencia de 5 de julio de 2011. Serie C No. 228, párr. 104.</w:t>
      </w:r>
    </w:p>
  </w:footnote>
  <w:footnote w:id="81">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lang w:val="es-ES"/>
        </w:rPr>
        <w:footnoteRef/>
      </w:r>
      <w:r w:rsidRPr="004802B1">
        <w:rPr>
          <w:rFonts w:ascii="Cambria" w:hAnsi="Cambria"/>
          <w:sz w:val="16"/>
          <w:szCs w:val="16"/>
          <w:lang w:val="es-ES"/>
        </w:rPr>
        <w:t xml:space="preserve"> Corte IDH, </w:t>
      </w:r>
      <w:r w:rsidRPr="004802B1">
        <w:rPr>
          <w:rFonts w:ascii="Cambria" w:hAnsi="Cambria"/>
          <w:i/>
          <w:sz w:val="16"/>
          <w:szCs w:val="16"/>
          <w:lang w:val="es-ES"/>
        </w:rPr>
        <w:t xml:space="preserve">Caso Acevedo Jaramillo Vs. </w:t>
      </w:r>
      <w:r w:rsidRPr="00A64987">
        <w:rPr>
          <w:rFonts w:ascii="Cambria" w:hAnsi="Cambria"/>
          <w:i/>
          <w:sz w:val="16"/>
          <w:szCs w:val="16"/>
          <w:lang w:val="es-ES"/>
        </w:rPr>
        <w:t>Per</w:t>
      </w:r>
      <w:r w:rsidRPr="00A64987">
        <w:rPr>
          <w:rFonts w:ascii="Cambria" w:hAnsi="Cambria"/>
          <w:i/>
          <w:sz w:val="16"/>
          <w:szCs w:val="16"/>
          <w:lang w:val="es-CR"/>
        </w:rPr>
        <w:t>ú</w:t>
      </w:r>
      <w:r w:rsidRPr="00A64987">
        <w:rPr>
          <w:rFonts w:ascii="Cambria" w:hAnsi="Cambria"/>
          <w:i/>
          <w:sz w:val="16"/>
          <w:szCs w:val="16"/>
          <w:lang w:val="es-ES"/>
        </w:rPr>
        <w:t xml:space="preserve">, Excepciones Preliminares, </w:t>
      </w:r>
      <w:r w:rsidRPr="00A64987">
        <w:rPr>
          <w:rFonts w:ascii="Cambria" w:hAnsi="Cambria"/>
          <w:sz w:val="16"/>
          <w:szCs w:val="16"/>
          <w:lang w:val="es-ES"/>
        </w:rPr>
        <w:t>Fondo, Reparaciones y Costas</w:t>
      </w:r>
      <w:r w:rsidRPr="00A64987">
        <w:rPr>
          <w:rFonts w:ascii="Cambria" w:hAnsi="Cambria"/>
          <w:i/>
          <w:sz w:val="16"/>
          <w:szCs w:val="16"/>
          <w:lang w:val="es-ES"/>
        </w:rPr>
        <w:t>.</w:t>
      </w:r>
      <w:r w:rsidRPr="00A64987">
        <w:rPr>
          <w:rFonts w:ascii="Cambria" w:hAnsi="Cambria"/>
          <w:sz w:val="16"/>
          <w:szCs w:val="16"/>
          <w:lang w:val="es-ES"/>
        </w:rPr>
        <w:t xml:space="preserve"> Sentencia de 7 de febrero de 2006, párr. 220.</w:t>
      </w:r>
    </w:p>
  </w:footnote>
  <w:footnote w:id="82">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CIDH, Caso 12.357, Demanda ante la Corte IDH, Integrantes de la Asociación de Cesantes y Jubilados de la Contraloría General de la República, Perú, 1 de abril de 2008, párr. 53.</w:t>
      </w:r>
    </w:p>
  </w:footnote>
  <w:footnote w:id="83">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r w:rsidRPr="00A64987">
        <w:rPr>
          <w:rFonts w:ascii="Cambria" w:eastAsia="Arial Unicode MS" w:hAnsi="Cambria" w:cs="Times New Roman"/>
          <w:bCs/>
          <w:sz w:val="16"/>
          <w:szCs w:val="16"/>
          <w:shd w:val="clear" w:color="auto" w:fill="FFFFFF"/>
          <w:lang w:val="es-ES" w:eastAsia="en-US"/>
        </w:rPr>
        <w:t xml:space="preserve">Corte IDH. </w:t>
      </w:r>
      <w:r w:rsidRPr="00A64987">
        <w:rPr>
          <w:rFonts w:ascii="Cambria" w:eastAsia="Arial Unicode MS" w:hAnsi="Cambria" w:cs="Times New Roman"/>
          <w:bCs/>
          <w:i/>
          <w:sz w:val="16"/>
          <w:szCs w:val="16"/>
          <w:shd w:val="clear" w:color="auto" w:fill="FFFFFF"/>
          <w:lang w:val="es-ES" w:eastAsia="en-US"/>
        </w:rPr>
        <w:t>Caso Mejía Idrovo Vs. Ecuador</w:t>
      </w:r>
      <w:r w:rsidRPr="00A64987">
        <w:rPr>
          <w:rFonts w:ascii="Cambria" w:eastAsia="Arial Unicode MS" w:hAnsi="Cambria" w:cs="Times New Roman"/>
          <w:bCs/>
          <w:sz w:val="16"/>
          <w:szCs w:val="16"/>
          <w:shd w:val="clear" w:color="auto" w:fill="FFFFFF"/>
          <w:lang w:val="es-ES" w:eastAsia="en-US"/>
        </w:rPr>
        <w:t>. Excepciones Preliminares, Fondo, Reparaciones y Costas. Sentencia de 5 de julio de 2011. Serie C No. 228, párr. 105.</w:t>
      </w:r>
    </w:p>
  </w:footnote>
  <w:footnote w:id="84">
    <w:p w:rsidR="00CD46D2" w:rsidRPr="00A64987" w:rsidRDefault="00CD46D2" w:rsidP="00A569E5">
      <w:pPr>
        <w:pStyle w:val="Textonotapie"/>
        <w:spacing w:before="120"/>
        <w:ind w:firstLine="720"/>
        <w:jc w:val="both"/>
        <w:rPr>
          <w:rFonts w:ascii="Cambria" w:hAnsi="Cambria"/>
          <w:bCs/>
          <w:sz w:val="16"/>
          <w:szCs w:val="16"/>
          <w:lang w:val="es-ES"/>
        </w:rPr>
      </w:pPr>
      <w:r w:rsidRPr="00A64987">
        <w:rPr>
          <w:rStyle w:val="Refdenotaalpie"/>
          <w:rFonts w:ascii="Cambria" w:hAnsi="Cambria" w:cs="Times"/>
          <w:sz w:val="16"/>
          <w:szCs w:val="16"/>
          <w:lang w:val="es-ES"/>
        </w:rPr>
        <w:footnoteRef/>
      </w:r>
      <w:r w:rsidRPr="004802B1">
        <w:rPr>
          <w:rFonts w:ascii="Cambria" w:hAnsi="Cambria"/>
          <w:sz w:val="16"/>
          <w:szCs w:val="16"/>
          <w:lang w:val="es-ES"/>
        </w:rPr>
        <w:t xml:space="preserve"> </w:t>
      </w:r>
      <w:r w:rsidRPr="004802B1">
        <w:rPr>
          <w:rFonts w:ascii="Cambria" w:eastAsia="Arial Unicode MS" w:hAnsi="Cambria" w:cs="Times New Roman"/>
          <w:bCs/>
          <w:sz w:val="16"/>
          <w:szCs w:val="16"/>
          <w:shd w:val="clear" w:color="auto" w:fill="FFFFFF"/>
          <w:lang w:val="es-ES" w:eastAsia="en-US"/>
        </w:rPr>
        <w:t xml:space="preserve">Corte IDH. </w:t>
      </w:r>
      <w:r w:rsidRPr="004802B1">
        <w:rPr>
          <w:rFonts w:ascii="Cambria" w:eastAsia="Arial Unicode MS" w:hAnsi="Cambria" w:cs="Times New Roman"/>
          <w:bCs/>
          <w:i/>
          <w:sz w:val="16"/>
          <w:szCs w:val="16"/>
          <w:shd w:val="clear" w:color="auto" w:fill="FFFFFF"/>
          <w:lang w:val="es-ES" w:eastAsia="en-US"/>
        </w:rPr>
        <w:t xml:space="preserve">Caso Mejía Idrovo Vs. </w:t>
      </w:r>
      <w:r w:rsidRPr="00A64987">
        <w:rPr>
          <w:rFonts w:ascii="Cambria" w:eastAsia="Arial Unicode MS" w:hAnsi="Cambria" w:cs="Times New Roman"/>
          <w:bCs/>
          <w:i/>
          <w:sz w:val="16"/>
          <w:szCs w:val="16"/>
          <w:shd w:val="clear" w:color="auto" w:fill="FFFFFF"/>
          <w:lang w:val="es-ES" w:eastAsia="en-US"/>
        </w:rPr>
        <w:t>Ecuador</w:t>
      </w:r>
      <w:r w:rsidRPr="00A64987">
        <w:rPr>
          <w:rFonts w:ascii="Cambria" w:eastAsia="Arial Unicode MS" w:hAnsi="Cambria" w:cs="Times New Roman"/>
          <w:bCs/>
          <w:sz w:val="16"/>
          <w:szCs w:val="16"/>
          <w:shd w:val="clear" w:color="auto" w:fill="FFFFFF"/>
          <w:lang w:val="es-ES" w:eastAsia="en-US"/>
        </w:rPr>
        <w:t xml:space="preserve">. Excepciones Preliminares, Fondo, Reparaciones y Costas. Sentencia de 5 de julio de 2011. Serie C No. 228, párr. 106. </w:t>
      </w:r>
    </w:p>
  </w:footnote>
  <w:footnote w:id="85">
    <w:p w:rsidR="00CD46D2" w:rsidRPr="004802B1" w:rsidRDefault="00CD46D2" w:rsidP="00A569E5">
      <w:pPr>
        <w:pStyle w:val="NormalWeb"/>
        <w:spacing w:before="120" w:beforeAutospacing="0" w:after="0" w:afterAutospacing="0"/>
        <w:ind w:firstLine="720"/>
        <w:jc w:val="both"/>
        <w:rPr>
          <w:rFonts w:ascii="Cambria" w:hAnsi="Cambria" w:cs="Times New Roman"/>
          <w:sz w:val="16"/>
          <w:szCs w:val="16"/>
          <w:lang w:val="es-ES"/>
        </w:rPr>
      </w:pPr>
      <w:r w:rsidRPr="00A64987">
        <w:rPr>
          <w:rStyle w:val="Refdenotaalpie"/>
          <w:rFonts w:ascii="Cambria" w:hAnsi="Cambria"/>
          <w:sz w:val="16"/>
          <w:szCs w:val="16"/>
        </w:rPr>
        <w:footnoteRef/>
      </w:r>
      <w:r w:rsidRPr="004802B1">
        <w:rPr>
          <w:rFonts w:ascii="Cambria" w:hAnsi="Cambria"/>
          <w:sz w:val="16"/>
          <w:szCs w:val="16"/>
          <w:lang w:val="es-ES"/>
        </w:rPr>
        <w:t xml:space="preserve"> CEDH, </w:t>
      </w:r>
      <w:r w:rsidRPr="004802B1">
        <w:rPr>
          <w:rFonts w:ascii="Cambria" w:hAnsi="Cambria" w:cs="Times New Roman"/>
          <w:sz w:val="16"/>
          <w:szCs w:val="16"/>
          <w:lang w:val="es-ES"/>
        </w:rPr>
        <w:t xml:space="preserve">Caso Matheus versus Francia, n° 62740/01, Sentencia del 31.03.2005, párr. 58; y CEDH, Caso Sabin Popescu versus Romania, n° 48102/99, Sentencia del 2.03.2004, párrs. 68 y ss. </w:t>
      </w:r>
    </w:p>
  </w:footnote>
  <w:footnote w:id="86">
    <w:p w:rsidR="00CD46D2" w:rsidRPr="004802B1"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CEDH, </w:t>
      </w:r>
      <w:r w:rsidRPr="00A64987">
        <w:rPr>
          <w:rFonts w:ascii="Cambria" w:hAnsi="Cambria"/>
          <w:i/>
          <w:sz w:val="16"/>
          <w:szCs w:val="16"/>
          <w:lang w:val="es-ES"/>
        </w:rPr>
        <w:t>Caso Cocchiarella Vs. Italia</w:t>
      </w:r>
      <w:r w:rsidRPr="00A64987">
        <w:rPr>
          <w:rFonts w:ascii="Cambria" w:hAnsi="Cambria"/>
          <w:sz w:val="16"/>
          <w:szCs w:val="16"/>
          <w:lang w:val="es-ES"/>
        </w:rPr>
        <w:t xml:space="preserve">. Sentencia de 29 de marzo de 2006, párr. </w:t>
      </w:r>
      <w:r w:rsidRPr="004802B1">
        <w:rPr>
          <w:rFonts w:ascii="Cambria" w:hAnsi="Cambria"/>
          <w:sz w:val="16"/>
          <w:szCs w:val="16"/>
          <w:lang w:val="es-ES"/>
        </w:rPr>
        <w:t>89.</w:t>
      </w:r>
    </w:p>
  </w:footnote>
  <w:footnote w:id="87">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cs="Times"/>
          <w:sz w:val="16"/>
          <w:szCs w:val="16"/>
          <w:lang w:val="es-ES"/>
        </w:rPr>
        <w:footnoteRef/>
      </w:r>
      <w:r w:rsidRPr="00A64987">
        <w:rPr>
          <w:rFonts w:ascii="Cambria" w:hAnsi="Cambria"/>
          <w:i/>
          <w:sz w:val="16"/>
          <w:szCs w:val="16"/>
          <w:lang w:val="es-ES"/>
        </w:rPr>
        <w:t xml:space="preserve"> </w:t>
      </w:r>
      <w:r w:rsidRPr="00A64987">
        <w:rPr>
          <w:rFonts w:ascii="Cambria" w:hAnsi="Cambria"/>
          <w:sz w:val="16"/>
          <w:szCs w:val="16"/>
          <w:lang w:val="es-ES"/>
        </w:rPr>
        <w:t xml:space="preserve">CEDH, </w:t>
      </w:r>
      <w:r w:rsidRPr="00A64987">
        <w:rPr>
          <w:rFonts w:ascii="Cambria" w:hAnsi="Cambria"/>
          <w:i/>
          <w:iCs/>
          <w:sz w:val="16"/>
          <w:szCs w:val="16"/>
          <w:lang w:val="es-ES"/>
        </w:rPr>
        <w:t>Matheus Vs. Francia</w:t>
      </w:r>
      <w:r w:rsidRPr="00A64987">
        <w:rPr>
          <w:rFonts w:ascii="Cambria" w:hAnsi="Cambria"/>
          <w:sz w:val="16"/>
          <w:szCs w:val="16"/>
          <w:lang w:val="es-ES"/>
        </w:rPr>
        <w:t>. Sentencia de 31 de junio de 2005</w:t>
      </w:r>
      <w:r w:rsidRPr="00A64987">
        <w:rPr>
          <w:rFonts w:ascii="Cambria" w:hAnsi="Cambria"/>
          <w:i/>
          <w:sz w:val="16"/>
          <w:szCs w:val="16"/>
          <w:lang w:val="es-ES"/>
        </w:rPr>
        <w:t xml:space="preserve">, </w:t>
      </w:r>
      <w:r w:rsidR="00C3155B">
        <w:rPr>
          <w:rFonts w:ascii="Cambria" w:hAnsi="Cambria"/>
          <w:iCs/>
          <w:sz w:val="16"/>
          <w:szCs w:val="16"/>
          <w:lang w:val="es-ES"/>
        </w:rPr>
        <w:t>párr</w:t>
      </w:r>
      <w:r w:rsidRPr="00A64987">
        <w:rPr>
          <w:rFonts w:ascii="Cambria" w:hAnsi="Cambria"/>
          <w:iCs/>
          <w:sz w:val="16"/>
          <w:szCs w:val="16"/>
          <w:lang w:val="es-ES"/>
        </w:rPr>
        <w:t>. 58</w:t>
      </w:r>
      <w:r w:rsidRPr="00A64987">
        <w:rPr>
          <w:rFonts w:ascii="Cambria" w:hAnsi="Cambria"/>
          <w:sz w:val="16"/>
          <w:szCs w:val="16"/>
          <w:lang w:val="es-ES"/>
        </w:rPr>
        <w:t>.</w:t>
      </w:r>
    </w:p>
  </w:footnote>
  <w:footnote w:id="88">
    <w:p w:rsidR="00CD46D2" w:rsidRPr="00A64987" w:rsidRDefault="00CD46D2" w:rsidP="00A569E5">
      <w:pPr>
        <w:pStyle w:val="Textonotapie"/>
        <w:spacing w:before="120"/>
        <w:ind w:firstLine="720"/>
        <w:jc w:val="both"/>
        <w:rPr>
          <w:rFonts w:ascii="Cambria" w:hAnsi="Cambria"/>
          <w:i/>
          <w:sz w:val="16"/>
          <w:szCs w:val="16"/>
          <w:lang w:val="es-ES"/>
        </w:rPr>
      </w:pPr>
      <w:r w:rsidRPr="00A64987">
        <w:rPr>
          <w:rStyle w:val="Refdenotaalpie"/>
          <w:rFonts w:ascii="Cambria" w:hAnsi="Cambria" w:cs="Times"/>
          <w:sz w:val="16"/>
          <w:szCs w:val="16"/>
          <w:lang w:val="es-ES"/>
        </w:rPr>
        <w:footnoteRef/>
      </w:r>
      <w:r w:rsidRPr="00A64987">
        <w:rPr>
          <w:rFonts w:ascii="Cambria" w:hAnsi="Cambria"/>
          <w:sz w:val="16"/>
          <w:szCs w:val="16"/>
          <w:lang w:val="es-ES"/>
        </w:rPr>
        <w:t xml:space="preserve"> </w:t>
      </w:r>
      <w:r w:rsidRPr="00A64987">
        <w:rPr>
          <w:rFonts w:ascii="Cambria" w:eastAsia="Arial Unicode MS" w:hAnsi="Cambria" w:cs="Times New Roman"/>
          <w:bCs/>
          <w:sz w:val="16"/>
          <w:szCs w:val="16"/>
          <w:shd w:val="clear" w:color="auto" w:fill="FFFFFF"/>
          <w:lang w:val="es-ES" w:eastAsia="en-US"/>
        </w:rPr>
        <w:t xml:space="preserve">Corte IDH. </w:t>
      </w:r>
      <w:r w:rsidRPr="00A64987">
        <w:rPr>
          <w:rFonts w:ascii="Cambria" w:eastAsia="Arial Unicode MS" w:hAnsi="Cambria" w:cs="Times New Roman"/>
          <w:bCs/>
          <w:i/>
          <w:sz w:val="16"/>
          <w:szCs w:val="16"/>
          <w:shd w:val="clear" w:color="auto" w:fill="FFFFFF"/>
          <w:lang w:val="es-ES" w:eastAsia="en-US"/>
        </w:rPr>
        <w:t>Caso Mejía Idrovo Vs. Ecuador</w:t>
      </w:r>
      <w:r w:rsidRPr="00A64987">
        <w:rPr>
          <w:rFonts w:ascii="Cambria" w:eastAsia="Arial Unicode MS" w:hAnsi="Cambria" w:cs="Times New Roman"/>
          <w:bCs/>
          <w:sz w:val="16"/>
          <w:szCs w:val="16"/>
          <w:shd w:val="clear" w:color="auto" w:fill="FFFFFF"/>
          <w:lang w:val="es-ES" w:eastAsia="en-US"/>
        </w:rPr>
        <w:t xml:space="preserve">. Excepciones Preliminares, Fondo, Reparaciones y Costas. Sentencia de 5 de julio de 2011. Serie C No. 228, párr. </w:t>
      </w:r>
      <w:r w:rsidRPr="004802B1">
        <w:rPr>
          <w:rFonts w:ascii="Cambria" w:eastAsia="Arial Unicode MS" w:hAnsi="Cambria" w:cs="Times New Roman"/>
          <w:bCs/>
          <w:sz w:val="16"/>
          <w:szCs w:val="16"/>
          <w:shd w:val="clear" w:color="auto" w:fill="FFFFFF"/>
          <w:lang w:val="es-ES" w:eastAsia="en-US"/>
        </w:rPr>
        <w:t>106.</w:t>
      </w:r>
    </w:p>
  </w:footnote>
  <w:footnote w:id="89">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CIDH, Caso 12.357, Demanda ante la Corte IDH, Integrantes de la Asociación de Cesantes y Jubilados de la Contraloría General de la República, Perú, 1 de abril de 2008, párr. 54.</w:t>
      </w:r>
    </w:p>
  </w:footnote>
  <w:footnote w:id="90">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4802B1">
        <w:rPr>
          <w:rFonts w:ascii="Cambria" w:hAnsi="Cambria"/>
          <w:sz w:val="16"/>
          <w:szCs w:val="16"/>
          <w:lang w:val="es-ES"/>
        </w:rPr>
        <w:t xml:space="preserve"> Corte IDH. </w:t>
      </w:r>
      <w:r w:rsidRPr="004802B1">
        <w:rPr>
          <w:rFonts w:ascii="Cambria" w:hAnsi="Cambria"/>
          <w:i/>
          <w:sz w:val="16"/>
          <w:szCs w:val="16"/>
          <w:lang w:val="es-ES"/>
        </w:rPr>
        <w:t xml:space="preserve">Caso "Cinco Pensionistas" Vs. </w:t>
      </w:r>
      <w:r w:rsidRPr="00A64987">
        <w:rPr>
          <w:rFonts w:ascii="Cambria" w:hAnsi="Cambria"/>
          <w:i/>
          <w:sz w:val="16"/>
          <w:szCs w:val="16"/>
          <w:lang w:val="es-ES"/>
        </w:rPr>
        <w:t>Perú</w:t>
      </w:r>
      <w:r w:rsidRPr="00A64987">
        <w:rPr>
          <w:rFonts w:ascii="Cambria" w:hAnsi="Cambria"/>
          <w:sz w:val="16"/>
          <w:szCs w:val="16"/>
          <w:lang w:val="es-ES"/>
        </w:rPr>
        <w:t xml:space="preserve">. Fondo, Reparaciones y Costas. Sentencia de 28 de febrero de 2003. Serie C No. 98; y </w:t>
      </w:r>
      <w:r w:rsidRPr="00A64987">
        <w:rPr>
          <w:rFonts w:ascii="Cambria" w:eastAsia="Arial Unicode MS" w:hAnsi="Cambria" w:cs="Times New Roman"/>
          <w:bCs/>
          <w:i/>
          <w:sz w:val="16"/>
          <w:szCs w:val="16"/>
          <w:shd w:val="clear" w:color="auto" w:fill="FFFFFF"/>
          <w:lang w:val="es-ES" w:eastAsia="en-US"/>
        </w:rPr>
        <w:t>Caso Acevedo Buendía y otros (“Cesantes y Jubilados de la Contraloría”) Vs. Perú</w:t>
      </w:r>
      <w:r w:rsidRPr="00A64987">
        <w:rPr>
          <w:rFonts w:ascii="Cambria" w:eastAsia="Arial Unicode MS" w:hAnsi="Cambria" w:cs="Times New Roman"/>
          <w:bCs/>
          <w:sz w:val="16"/>
          <w:szCs w:val="16"/>
          <w:shd w:val="clear" w:color="auto" w:fill="FFFFFF"/>
          <w:lang w:val="es-ES" w:eastAsia="en-US"/>
        </w:rPr>
        <w:t>. Excepción Preliminar, Fondo, Reparaciones y Costas. Sentencia de 1 de julio de 2009. Serie C No. 198.</w:t>
      </w:r>
    </w:p>
  </w:footnote>
  <w:footnote w:id="91">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CIDH, Caso 12.357, Demanda ante la Corte IDH, Integrantes de la Asociación de Cesantes y Jubilados de la Contraloría General de la República, Perú, 1 de abril de 2008, párr. 63.</w:t>
      </w:r>
    </w:p>
  </w:footnote>
  <w:footnote w:id="92">
    <w:p w:rsidR="00CD46D2" w:rsidRPr="004802B1" w:rsidRDefault="00CD46D2" w:rsidP="00A569E5">
      <w:pPr>
        <w:widowControl w:val="0"/>
        <w:autoSpaceDE w:val="0"/>
        <w:autoSpaceDN w:val="0"/>
        <w:adjustRightInd w:val="0"/>
        <w:spacing w:before="120"/>
        <w:ind w:firstLine="720"/>
        <w:jc w:val="both"/>
        <w:rPr>
          <w:rFonts w:ascii="Cambria" w:hAnsi="Cambria" w:cs="Times"/>
          <w:sz w:val="16"/>
          <w:szCs w:val="16"/>
          <w:lang w:val="es-ES"/>
        </w:rPr>
      </w:pPr>
      <w:r w:rsidRPr="00A64987">
        <w:rPr>
          <w:rStyle w:val="Refdenotaalpie"/>
          <w:rFonts w:ascii="Cambria" w:hAnsi="Cambria"/>
          <w:sz w:val="16"/>
          <w:szCs w:val="16"/>
        </w:rPr>
        <w:footnoteRef/>
      </w:r>
      <w:r w:rsidRPr="004802B1">
        <w:rPr>
          <w:rFonts w:ascii="Cambria" w:hAnsi="Cambria"/>
          <w:sz w:val="16"/>
          <w:szCs w:val="16"/>
          <w:lang w:val="es-ES"/>
        </w:rPr>
        <w:t xml:space="preserve"> </w:t>
      </w:r>
      <w:r w:rsidRPr="004802B1">
        <w:rPr>
          <w:rFonts w:ascii="Cambria" w:hAnsi="Cambria" w:cs="Verdana"/>
          <w:bCs/>
          <w:sz w:val="16"/>
          <w:szCs w:val="16"/>
          <w:lang w:val="es-ES"/>
        </w:rPr>
        <w:t>Ver por ejemplo. CIDH. Informe No. 21/09</w:t>
      </w:r>
      <w:r w:rsidRPr="004802B1">
        <w:rPr>
          <w:rFonts w:ascii="Cambria" w:hAnsi="Cambria" w:cs="Times"/>
          <w:sz w:val="16"/>
          <w:szCs w:val="16"/>
          <w:lang w:val="es-ES"/>
        </w:rPr>
        <w:t xml:space="preserve">. </w:t>
      </w:r>
      <w:r w:rsidRPr="004802B1">
        <w:rPr>
          <w:rFonts w:ascii="Cambria" w:hAnsi="Cambria" w:cs="Verdana"/>
          <w:sz w:val="16"/>
          <w:szCs w:val="16"/>
          <w:lang w:val="es-ES"/>
        </w:rPr>
        <w:t>Peticiones 965-98, 638-03 y 1044-04 Acumuladas.</w:t>
      </w:r>
      <w:r w:rsidRPr="004802B1">
        <w:rPr>
          <w:rFonts w:ascii="Cambria" w:hAnsi="Cambria" w:cs="Times"/>
          <w:sz w:val="16"/>
          <w:szCs w:val="16"/>
          <w:lang w:val="es-ES"/>
        </w:rPr>
        <w:t xml:space="preserve"> </w:t>
      </w:r>
      <w:r w:rsidRPr="004802B1">
        <w:rPr>
          <w:rFonts w:ascii="Cambria" w:hAnsi="Cambria" w:cs="Verdana"/>
          <w:sz w:val="16"/>
          <w:szCs w:val="16"/>
          <w:lang w:val="es-ES"/>
        </w:rPr>
        <w:t>Admisibilidad</w:t>
      </w:r>
      <w:r w:rsidRPr="004802B1">
        <w:rPr>
          <w:rFonts w:ascii="Cambria" w:hAnsi="Cambria" w:cs="Times"/>
          <w:sz w:val="16"/>
          <w:szCs w:val="16"/>
          <w:lang w:val="es-ES"/>
        </w:rPr>
        <w:t xml:space="preserve">. </w:t>
      </w:r>
      <w:r w:rsidRPr="004802B1">
        <w:rPr>
          <w:rFonts w:ascii="Cambria" w:hAnsi="Cambria" w:cs="Verdana"/>
          <w:sz w:val="16"/>
          <w:szCs w:val="16"/>
          <w:lang w:val="es-ES"/>
        </w:rPr>
        <w:t>Asociación Nacional de Cesantes y Jubilados de la SUNAT</w:t>
      </w:r>
      <w:r w:rsidRPr="004802B1">
        <w:rPr>
          <w:rFonts w:ascii="Cambria" w:hAnsi="Cambria" w:cs="Times"/>
          <w:sz w:val="16"/>
          <w:szCs w:val="16"/>
          <w:lang w:val="es-ES"/>
        </w:rPr>
        <w:t xml:space="preserve">. </w:t>
      </w:r>
      <w:r w:rsidRPr="004802B1">
        <w:rPr>
          <w:rFonts w:ascii="Cambria" w:hAnsi="Cambria" w:cs="Verdana"/>
          <w:sz w:val="16"/>
          <w:szCs w:val="16"/>
          <w:lang w:val="es-ES"/>
        </w:rPr>
        <w:t>Perú.</w:t>
      </w:r>
      <w:r w:rsidRPr="004802B1">
        <w:rPr>
          <w:rFonts w:ascii="Cambria" w:hAnsi="Cambria" w:cs="Times"/>
          <w:sz w:val="16"/>
          <w:szCs w:val="16"/>
          <w:lang w:val="es-ES"/>
        </w:rPr>
        <w:t xml:space="preserve"> </w:t>
      </w:r>
      <w:r w:rsidRPr="004802B1">
        <w:rPr>
          <w:rFonts w:ascii="Cambria" w:hAnsi="Cambria" w:cs="Verdana"/>
          <w:sz w:val="16"/>
          <w:szCs w:val="16"/>
          <w:lang w:val="es-ES"/>
        </w:rPr>
        <w:t xml:space="preserve">19 de marzo de 2009; </w:t>
      </w:r>
      <w:r w:rsidRPr="004802B1">
        <w:rPr>
          <w:rFonts w:ascii="Cambria" w:hAnsi="Cambria" w:cs="Verdana"/>
          <w:bCs/>
          <w:sz w:val="16"/>
          <w:szCs w:val="16"/>
          <w:lang w:val="es-ES"/>
        </w:rPr>
        <w:t>CIDH. Informe No. 4/09</w:t>
      </w:r>
      <w:r w:rsidRPr="004802B1">
        <w:rPr>
          <w:rFonts w:ascii="Cambria" w:hAnsi="Cambria" w:cs="Times"/>
          <w:sz w:val="16"/>
          <w:szCs w:val="16"/>
          <w:lang w:val="es-ES"/>
        </w:rPr>
        <w:t xml:space="preserve">. </w:t>
      </w:r>
      <w:r w:rsidRPr="004802B1">
        <w:rPr>
          <w:rFonts w:ascii="Cambria" w:hAnsi="Cambria" w:cs="Verdana"/>
          <w:sz w:val="16"/>
          <w:szCs w:val="16"/>
          <w:lang w:val="es-ES"/>
        </w:rPr>
        <w:t>Petición 914-98.</w:t>
      </w:r>
      <w:r w:rsidRPr="004802B1">
        <w:rPr>
          <w:rFonts w:ascii="Cambria" w:hAnsi="Cambria" w:cs="Times"/>
          <w:sz w:val="16"/>
          <w:szCs w:val="16"/>
          <w:lang w:val="es-ES"/>
        </w:rPr>
        <w:t xml:space="preserve"> </w:t>
      </w:r>
      <w:r w:rsidRPr="004802B1">
        <w:rPr>
          <w:rFonts w:ascii="Cambria" w:hAnsi="Cambria" w:cs="Verdana"/>
          <w:sz w:val="16"/>
          <w:szCs w:val="16"/>
          <w:lang w:val="es-ES"/>
        </w:rPr>
        <w:t>Admisibilidad. Miembros del Sindicato Único de Trabajadores de ECASA.</w:t>
      </w:r>
      <w:r w:rsidRPr="004802B1">
        <w:rPr>
          <w:rFonts w:ascii="Cambria" w:hAnsi="Cambria" w:cs="Times"/>
          <w:sz w:val="16"/>
          <w:szCs w:val="16"/>
          <w:lang w:val="es-ES"/>
        </w:rPr>
        <w:t xml:space="preserve"> </w:t>
      </w:r>
      <w:r w:rsidRPr="004802B1">
        <w:rPr>
          <w:rFonts w:ascii="Cambria" w:hAnsi="Cambria" w:cs="Verdana"/>
          <w:sz w:val="16"/>
          <w:szCs w:val="16"/>
          <w:lang w:val="es-ES"/>
        </w:rPr>
        <w:t>Perú.</w:t>
      </w:r>
      <w:r w:rsidRPr="004802B1">
        <w:rPr>
          <w:rFonts w:ascii="Cambria" w:hAnsi="Cambria" w:cs="Times"/>
          <w:sz w:val="16"/>
          <w:szCs w:val="16"/>
          <w:lang w:val="es-ES"/>
        </w:rPr>
        <w:t xml:space="preserve"> </w:t>
      </w:r>
      <w:r w:rsidRPr="004802B1">
        <w:rPr>
          <w:rFonts w:ascii="Cambria" w:hAnsi="Cambria" w:cs="Verdana"/>
          <w:sz w:val="16"/>
          <w:szCs w:val="16"/>
          <w:lang w:val="es-ES"/>
        </w:rPr>
        <w:t xml:space="preserve">11 de febrero de 2009; y CIDH. </w:t>
      </w:r>
      <w:r w:rsidRPr="004802B1">
        <w:rPr>
          <w:rFonts w:ascii="Cambria" w:hAnsi="Cambria" w:cs="Verdana"/>
          <w:bCs/>
          <w:sz w:val="16"/>
          <w:szCs w:val="16"/>
          <w:lang w:val="es-ES"/>
        </w:rPr>
        <w:t>Informe Nº 86/01</w:t>
      </w:r>
      <w:r w:rsidRPr="004802B1">
        <w:rPr>
          <w:rFonts w:ascii="Cambria" w:hAnsi="Cambria" w:cs="Times"/>
          <w:sz w:val="16"/>
          <w:szCs w:val="16"/>
          <w:lang w:val="es-ES"/>
        </w:rPr>
        <w:t xml:space="preserve">. </w:t>
      </w:r>
      <w:r w:rsidRPr="004802B1">
        <w:rPr>
          <w:rFonts w:ascii="Cambria" w:hAnsi="Cambria" w:cs="Verdana"/>
          <w:sz w:val="16"/>
          <w:szCs w:val="16"/>
          <w:lang w:val="es-ES"/>
        </w:rPr>
        <w:t>Caso 12.319. Federación Nacional de Trabajadores Marítimos y Portuarios del Perú (FEMAPOR). Félix Campos Caipo, Sergio Valdivia Ayala, Asisclo Chinapro Fernández, Víctor Briceño Miranda y Otros 4.101 Trabajadores Marítimos y Fluviales. Perú.</w:t>
      </w:r>
      <w:r w:rsidRPr="004802B1">
        <w:rPr>
          <w:rFonts w:ascii="Cambria" w:hAnsi="Cambria" w:cs="Times"/>
          <w:sz w:val="16"/>
          <w:szCs w:val="16"/>
          <w:lang w:val="es-ES"/>
        </w:rPr>
        <w:t xml:space="preserve"> </w:t>
      </w:r>
      <w:r w:rsidRPr="004802B1">
        <w:rPr>
          <w:rFonts w:ascii="Cambria" w:hAnsi="Cambria" w:cs="Verdana"/>
          <w:sz w:val="16"/>
          <w:szCs w:val="16"/>
          <w:lang w:val="es-ES"/>
        </w:rPr>
        <w:t>10 de octubre de 2001.</w:t>
      </w:r>
    </w:p>
  </w:footnote>
  <w:footnote w:id="93">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hyperlink r:id="rId3" w:history="1">
        <w:r w:rsidRPr="00A64987">
          <w:rPr>
            <w:rStyle w:val="Hipervnculo"/>
            <w:rFonts w:ascii="Cambria" w:hAnsi="Cambria"/>
            <w:sz w:val="16"/>
            <w:szCs w:val="16"/>
            <w:u w:val="none"/>
            <w:lang w:val="es-ES"/>
          </w:rPr>
          <w:t>Informe Defensorial No. 19</w:t>
        </w:r>
      </w:hyperlink>
      <w:r w:rsidRPr="00A64987">
        <w:rPr>
          <w:rFonts w:ascii="Cambria" w:hAnsi="Cambria"/>
          <w:sz w:val="16"/>
          <w:szCs w:val="16"/>
          <w:lang w:val="es-ES"/>
        </w:rPr>
        <w:t xml:space="preserve">, Defensoría del Pueblo, Incumplimiento de sentencias por parte de la administración estatal, octubre de 1998. </w:t>
      </w:r>
    </w:p>
  </w:footnote>
  <w:footnote w:id="94">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hyperlink r:id="rId4" w:history="1">
        <w:r w:rsidRPr="00A64987">
          <w:rPr>
            <w:rStyle w:val="Hipervnculo"/>
            <w:rFonts w:ascii="Cambria" w:hAnsi="Cambria"/>
            <w:sz w:val="16"/>
            <w:szCs w:val="16"/>
            <w:u w:val="none"/>
            <w:lang w:val="es-ES"/>
          </w:rPr>
          <w:t>Informe Defensorial No. 19</w:t>
        </w:r>
      </w:hyperlink>
      <w:r w:rsidRPr="00A64987">
        <w:rPr>
          <w:rFonts w:ascii="Cambria" w:hAnsi="Cambria"/>
          <w:sz w:val="16"/>
          <w:szCs w:val="16"/>
          <w:lang w:val="es-ES"/>
        </w:rPr>
        <w:t xml:space="preserve">, Defensoría del Pueblo, Incumplimiento de sentencias por parte de la administración estatal, octubre de 1998. </w:t>
      </w:r>
    </w:p>
  </w:footnote>
  <w:footnote w:id="95">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hyperlink r:id="rId5" w:history="1">
        <w:r w:rsidRPr="00A64987">
          <w:rPr>
            <w:rStyle w:val="Hipervnculo"/>
            <w:rFonts w:ascii="Cambria" w:hAnsi="Cambria"/>
            <w:sz w:val="16"/>
            <w:szCs w:val="16"/>
            <w:u w:val="none"/>
            <w:lang w:val="es-ES"/>
          </w:rPr>
          <w:t>Informe Defensorial No. 19</w:t>
        </w:r>
      </w:hyperlink>
      <w:r w:rsidRPr="00A64987">
        <w:rPr>
          <w:rFonts w:ascii="Cambria" w:hAnsi="Cambria"/>
          <w:sz w:val="16"/>
          <w:szCs w:val="16"/>
          <w:lang w:val="es-ES"/>
        </w:rPr>
        <w:t xml:space="preserve">, Defensoría del Pueblo, Incumplimiento de sentencias por parte de la administración estatal, octubre de 1998. </w:t>
      </w:r>
    </w:p>
  </w:footnote>
  <w:footnote w:id="96">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hyperlink r:id="rId6" w:history="1">
        <w:r w:rsidRPr="00A64987">
          <w:rPr>
            <w:rStyle w:val="Hipervnculo"/>
            <w:rFonts w:ascii="Cambria" w:hAnsi="Cambria"/>
            <w:sz w:val="16"/>
            <w:szCs w:val="16"/>
            <w:u w:val="none"/>
            <w:lang w:val="es-ES"/>
          </w:rPr>
          <w:t>Informe Defensorial No. 19</w:t>
        </w:r>
      </w:hyperlink>
      <w:r w:rsidRPr="00A64987">
        <w:rPr>
          <w:rFonts w:ascii="Cambria" w:hAnsi="Cambria"/>
          <w:sz w:val="16"/>
          <w:szCs w:val="16"/>
          <w:lang w:val="es-ES"/>
        </w:rPr>
        <w:t xml:space="preserve">, Defensoría del Pueblo, Incumplimiento de sentencias por parte de la administración estatal, octubre de 1998. </w:t>
      </w:r>
    </w:p>
  </w:footnote>
  <w:footnote w:id="97">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hyperlink r:id="rId7" w:history="1">
        <w:r w:rsidRPr="00A64987">
          <w:rPr>
            <w:rStyle w:val="Hipervnculo"/>
            <w:rFonts w:ascii="Cambria" w:hAnsi="Cambria"/>
            <w:sz w:val="16"/>
            <w:szCs w:val="16"/>
            <w:u w:val="none"/>
            <w:lang w:val="es-ES"/>
          </w:rPr>
          <w:t>Informe Defensorial No. 19</w:t>
        </w:r>
      </w:hyperlink>
      <w:r w:rsidRPr="00A64987">
        <w:rPr>
          <w:rFonts w:ascii="Cambria" w:hAnsi="Cambria"/>
          <w:sz w:val="16"/>
          <w:szCs w:val="16"/>
          <w:lang w:val="es-ES"/>
        </w:rPr>
        <w:t xml:space="preserve">, Defensoría del Pueblo, Incumplimiento de sentencias por parte de la administración estatal, octubre de 1998. </w:t>
      </w:r>
    </w:p>
  </w:footnote>
  <w:footnote w:id="98">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hyperlink r:id="rId8" w:history="1">
        <w:r w:rsidRPr="00A64987">
          <w:rPr>
            <w:rStyle w:val="Hipervnculo"/>
            <w:rFonts w:ascii="Cambria" w:hAnsi="Cambria"/>
            <w:sz w:val="16"/>
            <w:szCs w:val="16"/>
            <w:u w:val="none"/>
            <w:lang w:val="es-ES"/>
          </w:rPr>
          <w:t>Informe Defensorial No. 19</w:t>
        </w:r>
      </w:hyperlink>
      <w:r w:rsidRPr="00A64987">
        <w:rPr>
          <w:rFonts w:ascii="Cambria" w:hAnsi="Cambria"/>
          <w:sz w:val="16"/>
          <w:szCs w:val="16"/>
          <w:lang w:val="es-ES"/>
        </w:rPr>
        <w:t xml:space="preserve">, Defensoría del Pueblo, Incumplimiento de sentencias por parte de la administración estatal, octubre de 1998. </w:t>
      </w:r>
    </w:p>
  </w:footnote>
  <w:footnote w:id="99">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w:t>
      </w:r>
      <w:hyperlink r:id="rId9" w:history="1">
        <w:r w:rsidRPr="00A64987">
          <w:rPr>
            <w:rStyle w:val="Hipervnculo"/>
            <w:rFonts w:ascii="Cambria" w:hAnsi="Cambria"/>
            <w:sz w:val="16"/>
            <w:szCs w:val="16"/>
            <w:u w:val="none"/>
            <w:lang w:val="es-ES"/>
          </w:rPr>
          <w:t>Informe Defensorial No. 19</w:t>
        </w:r>
      </w:hyperlink>
      <w:r w:rsidRPr="00A64987">
        <w:rPr>
          <w:rFonts w:ascii="Cambria" w:hAnsi="Cambria"/>
          <w:sz w:val="16"/>
          <w:szCs w:val="16"/>
          <w:lang w:val="es-ES"/>
        </w:rPr>
        <w:t xml:space="preserve">, Defensoría del Pueblo, Incumplimiento de sentencias por parte de la administración estatal, octubre de 1998. </w:t>
      </w:r>
    </w:p>
  </w:footnote>
  <w:footnote w:id="100">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ONU, Comité DESC, Observación General No. 18, El derecho al trabajo, 2005, párr. 25.</w:t>
      </w:r>
    </w:p>
  </w:footnote>
  <w:footnote w:id="101">
    <w:p w:rsidR="00CD46D2" w:rsidRPr="00A64987" w:rsidRDefault="00CD46D2" w:rsidP="00A569E5">
      <w:pPr>
        <w:pStyle w:val="Textonotapie"/>
        <w:spacing w:before="120"/>
        <w:ind w:firstLine="720"/>
        <w:jc w:val="both"/>
        <w:rPr>
          <w:rFonts w:ascii="Cambria" w:hAnsi="Cambria"/>
          <w:sz w:val="16"/>
          <w:szCs w:val="16"/>
          <w:lang w:val="es-ES_tradnl"/>
        </w:rPr>
      </w:pPr>
      <w:r w:rsidRPr="00A64987">
        <w:rPr>
          <w:rStyle w:val="Refdenotaalpie"/>
          <w:rFonts w:ascii="Cambria" w:hAnsi="Cambria"/>
          <w:sz w:val="16"/>
          <w:szCs w:val="16"/>
        </w:rPr>
        <w:footnoteRef/>
      </w:r>
      <w:r w:rsidRPr="004802B1">
        <w:rPr>
          <w:rFonts w:ascii="Cambria" w:hAnsi="Cambria"/>
          <w:sz w:val="16"/>
          <w:szCs w:val="16"/>
          <w:lang w:val="es-ES"/>
        </w:rPr>
        <w:t xml:space="preserve"> CEDH, Arras Vs. Italia. Sentencia de 14 de febrero de 2002.</w:t>
      </w:r>
    </w:p>
  </w:footnote>
  <w:footnote w:id="102">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cs="Arial"/>
          <w:sz w:val="16"/>
          <w:szCs w:val="16"/>
          <w:lang w:val="es-ES"/>
        </w:rPr>
        <w:t xml:space="preserve"> </w:t>
      </w:r>
      <w:r w:rsidRPr="00A64987">
        <w:rPr>
          <w:rFonts w:ascii="Cambria" w:hAnsi="Cambria"/>
          <w:sz w:val="16"/>
          <w:szCs w:val="16"/>
          <w:lang w:val="es-ES_tradnl"/>
        </w:rPr>
        <w:t xml:space="preserve">Corte IDH. </w:t>
      </w:r>
      <w:r w:rsidRPr="00A64987">
        <w:rPr>
          <w:rFonts w:ascii="Cambria" w:hAnsi="Cambria"/>
          <w:i/>
          <w:sz w:val="16"/>
          <w:szCs w:val="16"/>
          <w:lang w:val="es-ES_tradnl"/>
        </w:rPr>
        <w:t>Caso García Asto y Ramírez Rojas Vs. Perú</w:t>
      </w:r>
      <w:r w:rsidRPr="00A64987">
        <w:rPr>
          <w:rFonts w:ascii="Cambria" w:hAnsi="Cambria"/>
          <w:sz w:val="16"/>
          <w:szCs w:val="16"/>
          <w:lang w:val="es-ES_tradnl"/>
        </w:rPr>
        <w:t>. Sentencia de 25 de noviembre de 2005. Serie C No. 137</w:t>
      </w:r>
      <w:r w:rsidRPr="00A64987">
        <w:rPr>
          <w:rFonts w:ascii="Cambria" w:hAnsi="Cambria" w:cs="Arial"/>
          <w:iCs/>
          <w:sz w:val="16"/>
          <w:szCs w:val="16"/>
          <w:lang w:val="es-ES"/>
        </w:rPr>
        <w:t xml:space="preserve">, párr. 166; </w:t>
      </w:r>
      <w:r w:rsidRPr="00A64987">
        <w:rPr>
          <w:rFonts w:ascii="Cambria" w:hAnsi="Cambria"/>
          <w:i/>
          <w:sz w:val="16"/>
          <w:szCs w:val="16"/>
          <w:lang w:val="es-ES_tradnl"/>
        </w:rPr>
        <w:t xml:space="preserve">Caso Gómez Palomino Vs. Perú. </w:t>
      </w:r>
      <w:hyperlink r:id="rId10" w:history="1">
        <w:r w:rsidRPr="00A64987">
          <w:rPr>
            <w:rStyle w:val="Hipervnculo"/>
            <w:rFonts w:ascii="Cambria" w:hAnsi="Cambria" w:cs="Arial"/>
            <w:color w:val="auto"/>
            <w:sz w:val="16"/>
            <w:szCs w:val="16"/>
            <w:u w:val="none"/>
            <w:shd w:val="clear" w:color="auto" w:fill="FFFFFF"/>
            <w:lang w:val="es-ES"/>
          </w:rPr>
          <w:t>Fondo, Reparaciones y Costas. Sentencia de 22 de noviembre de 2005. Serie C No. 136</w:t>
        </w:r>
      </w:hyperlink>
      <w:r w:rsidRPr="00A64987">
        <w:rPr>
          <w:rFonts w:ascii="Cambria" w:hAnsi="Cambria"/>
          <w:sz w:val="16"/>
          <w:szCs w:val="16"/>
          <w:lang w:val="es-ES_tradnl"/>
        </w:rPr>
        <w:t>,</w:t>
      </w:r>
      <w:r w:rsidRPr="00A64987">
        <w:rPr>
          <w:rFonts w:ascii="Cambria" w:hAnsi="Cambria"/>
          <w:i/>
          <w:sz w:val="16"/>
          <w:szCs w:val="16"/>
          <w:lang w:val="es-ES_tradnl"/>
        </w:rPr>
        <w:t xml:space="preserve"> </w:t>
      </w:r>
      <w:r w:rsidRPr="00A64987">
        <w:rPr>
          <w:rFonts w:ascii="Cambria" w:hAnsi="Cambria"/>
          <w:sz w:val="16"/>
          <w:szCs w:val="16"/>
          <w:lang w:val="es-ES_tradnl"/>
        </w:rPr>
        <w:t xml:space="preserve">párr. </w:t>
      </w:r>
      <w:r w:rsidRPr="00A64987">
        <w:rPr>
          <w:rFonts w:ascii="Cambria" w:hAnsi="Cambria" w:cs="Arial"/>
          <w:sz w:val="16"/>
          <w:szCs w:val="16"/>
          <w:lang w:val="es-ES"/>
        </w:rPr>
        <w:t xml:space="preserve">85; y </w:t>
      </w:r>
      <w:r w:rsidRPr="00A64987">
        <w:rPr>
          <w:rFonts w:ascii="Cambria" w:hAnsi="Cambria"/>
          <w:i/>
          <w:sz w:val="16"/>
          <w:szCs w:val="16"/>
          <w:lang w:val="es-ES"/>
        </w:rPr>
        <w:t>Caso de la Comunidad Moiwana Vs. Surinam</w:t>
      </w:r>
      <w:r w:rsidRPr="00A64987">
        <w:rPr>
          <w:rFonts w:ascii="Cambria" w:hAnsi="Cambria"/>
          <w:sz w:val="16"/>
          <w:szCs w:val="16"/>
          <w:lang w:val="es-ES"/>
        </w:rPr>
        <w:t>. Sentencia de 15 de junio de 2005. Serie C No. 124</w:t>
      </w:r>
      <w:r w:rsidRPr="00A64987">
        <w:rPr>
          <w:rFonts w:ascii="Cambria" w:hAnsi="Cambria" w:cs="Arial"/>
          <w:sz w:val="16"/>
          <w:szCs w:val="16"/>
          <w:lang w:val="es-ES"/>
        </w:rPr>
        <w:t>, párr. 160.</w:t>
      </w:r>
    </w:p>
  </w:footnote>
  <w:footnote w:id="103">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A64987">
        <w:rPr>
          <w:rFonts w:ascii="Cambria" w:hAnsi="Cambria"/>
          <w:sz w:val="16"/>
          <w:szCs w:val="16"/>
          <w:lang w:val="es-ES"/>
        </w:rPr>
        <w:t xml:space="preserve"> CEDH, </w:t>
      </w:r>
      <w:r w:rsidRPr="00A64987">
        <w:rPr>
          <w:rFonts w:ascii="Cambria" w:hAnsi="Cambria"/>
          <w:i/>
          <w:sz w:val="16"/>
          <w:szCs w:val="16"/>
          <w:lang w:val="es-ES"/>
        </w:rPr>
        <w:t xml:space="preserve">Hornsby Vs. </w:t>
      </w:r>
      <w:r w:rsidRPr="00A64987">
        <w:rPr>
          <w:rFonts w:ascii="Cambria" w:hAnsi="Cambria"/>
          <w:i/>
          <w:iCs/>
          <w:sz w:val="16"/>
          <w:szCs w:val="16"/>
          <w:lang w:val="es-ES"/>
        </w:rPr>
        <w:t xml:space="preserve">Grecia. </w:t>
      </w:r>
      <w:r w:rsidRPr="00A64987">
        <w:rPr>
          <w:rFonts w:ascii="Cambria" w:hAnsi="Cambria"/>
          <w:sz w:val="16"/>
          <w:szCs w:val="16"/>
          <w:lang w:val="es-ES"/>
        </w:rPr>
        <w:t xml:space="preserve">Sentencia de 19 de marzo de 1997, párr. 40. </w:t>
      </w:r>
    </w:p>
  </w:footnote>
  <w:footnote w:id="104">
    <w:p w:rsidR="00CD46D2" w:rsidRPr="00A64987" w:rsidRDefault="00CD46D2" w:rsidP="00A569E5">
      <w:pPr>
        <w:pStyle w:val="Textonotapie"/>
        <w:spacing w:before="120"/>
        <w:ind w:firstLine="720"/>
        <w:jc w:val="both"/>
        <w:rPr>
          <w:rFonts w:ascii="Cambria" w:hAnsi="Cambria"/>
          <w:sz w:val="16"/>
          <w:szCs w:val="16"/>
          <w:lang w:val="es-ES"/>
        </w:rPr>
      </w:pPr>
      <w:r w:rsidRPr="00A64987">
        <w:rPr>
          <w:rStyle w:val="Refdenotaalpie"/>
          <w:rFonts w:ascii="Cambria" w:hAnsi="Cambria"/>
          <w:sz w:val="16"/>
          <w:szCs w:val="16"/>
        </w:rPr>
        <w:footnoteRef/>
      </w:r>
      <w:r w:rsidRPr="004802B1">
        <w:rPr>
          <w:rFonts w:ascii="Cambria" w:hAnsi="Cambria"/>
          <w:sz w:val="16"/>
          <w:szCs w:val="16"/>
          <w:lang w:val="es-ES"/>
        </w:rPr>
        <w:t xml:space="preserve"> CEDH, </w:t>
      </w:r>
      <w:r w:rsidRPr="004802B1">
        <w:rPr>
          <w:rFonts w:ascii="Cambria" w:hAnsi="Cambria"/>
          <w:i/>
          <w:sz w:val="16"/>
          <w:szCs w:val="16"/>
          <w:lang w:val="es-ES"/>
        </w:rPr>
        <w:t xml:space="preserve">Di Pede Vs. </w:t>
      </w:r>
      <w:r w:rsidRPr="00A64987">
        <w:rPr>
          <w:rFonts w:ascii="Cambria" w:hAnsi="Cambria"/>
          <w:i/>
          <w:iCs/>
          <w:sz w:val="16"/>
          <w:szCs w:val="16"/>
          <w:lang w:val="es-ES"/>
        </w:rPr>
        <w:t xml:space="preserve">Italia. </w:t>
      </w:r>
      <w:r w:rsidRPr="00A64987">
        <w:rPr>
          <w:rFonts w:ascii="Cambria" w:hAnsi="Cambria"/>
          <w:iCs/>
          <w:sz w:val="16"/>
          <w:szCs w:val="16"/>
          <w:lang w:val="es-ES"/>
        </w:rPr>
        <w:t>Sentencia de 26 de septiembre de 1996, párr. 16.</w:t>
      </w:r>
    </w:p>
  </w:footnote>
  <w:footnote w:id="105">
    <w:p w:rsidR="00CD46D2" w:rsidRPr="00A64987" w:rsidRDefault="00CD46D2" w:rsidP="00A569E5">
      <w:pPr>
        <w:pStyle w:val="Textonotapie"/>
        <w:spacing w:before="120"/>
        <w:ind w:firstLine="720"/>
        <w:jc w:val="both"/>
        <w:rPr>
          <w:rFonts w:ascii="Cambria" w:hAnsi="Cambria"/>
          <w:sz w:val="16"/>
          <w:szCs w:val="16"/>
          <w:lang w:val="es-ES_tradnl"/>
        </w:rPr>
      </w:pPr>
      <w:r w:rsidRPr="00A64987">
        <w:rPr>
          <w:rStyle w:val="Refdenotaalpie"/>
          <w:rFonts w:ascii="Cambria" w:hAnsi="Cambria"/>
          <w:sz w:val="16"/>
          <w:szCs w:val="16"/>
        </w:rPr>
        <w:footnoteRef/>
      </w:r>
      <w:r w:rsidRPr="004802B1">
        <w:rPr>
          <w:rFonts w:ascii="Cambria" w:hAnsi="Cambria" w:cs="Arial"/>
          <w:sz w:val="16"/>
          <w:szCs w:val="16"/>
          <w:lang w:val="es-ES"/>
        </w:rPr>
        <w:t xml:space="preserve"> Corte IDH. </w:t>
      </w:r>
      <w:r w:rsidRPr="004802B1">
        <w:rPr>
          <w:rFonts w:ascii="Cambria" w:hAnsi="Cambria" w:cs="Arial"/>
          <w:i/>
          <w:sz w:val="16"/>
          <w:szCs w:val="16"/>
          <w:shd w:val="clear" w:color="auto" w:fill="FFFFFF"/>
          <w:lang w:val="es-ES"/>
        </w:rPr>
        <w:t xml:space="preserve">Caso Masacre de Santo Domingo Vs. </w:t>
      </w:r>
      <w:r w:rsidRPr="00A64987">
        <w:rPr>
          <w:rFonts w:ascii="Cambria" w:hAnsi="Cambria" w:cs="Arial"/>
          <w:i/>
          <w:sz w:val="16"/>
          <w:szCs w:val="16"/>
          <w:shd w:val="clear" w:color="auto" w:fill="FFFFFF"/>
          <w:lang w:val="es-ES_tradnl"/>
        </w:rPr>
        <w:t>Colombia</w:t>
      </w:r>
      <w:r w:rsidRPr="00A64987">
        <w:rPr>
          <w:rFonts w:ascii="Cambria" w:hAnsi="Cambria" w:cs="Arial"/>
          <w:sz w:val="16"/>
          <w:szCs w:val="16"/>
          <w:shd w:val="clear" w:color="auto" w:fill="FFFFFF"/>
          <w:lang w:val="es-ES_tradnl"/>
        </w:rPr>
        <w:t>. Excepciones Preliminares, Fondo y Reparaciones. Sentencia de 30 de noviembre de 2012. Serie C No. 259,</w:t>
      </w:r>
      <w:r w:rsidRPr="00A64987">
        <w:rPr>
          <w:rFonts w:ascii="Cambria" w:hAnsi="Cambria" w:cs="Arial"/>
          <w:sz w:val="16"/>
          <w:szCs w:val="16"/>
          <w:lang w:val="es-ES_tradnl"/>
        </w:rPr>
        <w:t xml:space="preserve"> párr. </w:t>
      </w:r>
      <w:r w:rsidRPr="00A64987">
        <w:rPr>
          <w:rFonts w:ascii="Cambria" w:hAnsi="Cambria" w:cs="Arial"/>
          <w:sz w:val="16"/>
          <w:szCs w:val="16"/>
          <w:lang w:val="es-ES"/>
        </w:rPr>
        <w:t>164.</w:t>
      </w:r>
    </w:p>
  </w:footnote>
  <w:footnote w:id="106">
    <w:p w:rsidR="00CD46D2" w:rsidRPr="00A64987" w:rsidRDefault="00CD46D2" w:rsidP="00A569E5">
      <w:pPr>
        <w:pStyle w:val="Textonotapie"/>
        <w:spacing w:before="120"/>
        <w:ind w:firstLine="720"/>
        <w:jc w:val="both"/>
        <w:rPr>
          <w:rFonts w:ascii="Cambria" w:hAnsi="Cambria"/>
          <w:sz w:val="16"/>
          <w:szCs w:val="16"/>
          <w:lang w:val="es-ES_tradnl"/>
        </w:rPr>
      </w:pPr>
      <w:r w:rsidRPr="00A64987">
        <w:rPr>
          <w:rStyle w:val="Refdenotaalpie"/>
          <w:rFonts w:ascii="Cambria" w:hAnsi="Cambria"/>
          <w:sz w:val="16"/>
          <w:szCs w:val="16"/>
        </w:rPr>
        <w:footnoteRef/>
      </w:r>
      <w:r w:rsidRPr="004802B1">
        <w:rPr>
          <w:rFonts w:ascii="Cambria" w:hAnsi="Cambria"/>
          <w:sz w:val="16"/>
          <w:szCs w:val="16"/>
          <w:lang w:val="es-ES_tradnl"/>
        </w:rPr>
        <w:t xml:space="preserve"> Corte IDH. </w:t>
      </w:r>
      <w:r w:rsidRPr="004802B1">
        <w:rPr>
          <w:rFonts w:ascii="Cambria" w:hAnsi="Cambria"/>
          <w:i/>
          <w:sz w:val="16"/>
          <w:szCs w:val="16"/>
          <w:lang w:val="es-ES_tradnl"/>
        </w:rPr>
        <w:t xml:space="preserve">Caso Garibaldi Vs. </w:t>
      </w:r>
      <w:r w:rsidRPr="00A64987">
        <w:rPr>
          <w:rFonts w:ascii="Cambria" w:hAnsi="Cambria"/>
          <w:i/>
          <w:sz w:val="16"/>
          <w:szCs w:val="16"/>
          <w:lang w:val="es-ES_tradnl"/>
        </w:rPr>
        <w:t>Brasil</w:t>
      </w:r>
      <w:r w:rsidRPr="00A64987">
        <w:rPr>
          <w:rFonts w:ascii="Cambria" w:hAnsi="Cambria"/>
          <w:sz w:val="16"/>
          <w:szCs w:val="16"/>
          <w:lang w:val="es-ES_tradnl"/>
        </w:rPr>
        <w:t xml:space="preserve">, </w:t>
      </w:r>
      <w:hyperlink r:id="rId11" w:history="1">
        <w:r w:rsidRPr="00A64987">
          <w:rPr>
            <w:rStyle w:val="Hipervnculo"/>
            <w:rFonts w:ascii="Cambria" w:hAnsi="Cambria" w:cs="Arial"/>
            <w:color w:val="auto"/>
            <w:sz w:val="16"/>
            <w:szCs w:val="16"/>
            <w:u w:val="none"/>
            <w:shd w:val="clear" w:color="auto" w:fill="FFFFFF"/>
            <w:lang w:val="es-ES_tradnl"/>
          </w:rPr>
          <w:t xml:space="preserve">Excepciones Preliminares, Fondo, Reparaciones y Costas. </w:t>
        </w:r>
        <w:r w:rsidRPr="00A64987">
          <w:rPr>
            <w:rStyle w:val="Hipervnculo"/>
            <w:rFonts w:ascii="Cambria" w:hAnsi="Cambria" w:cs="Arial"/>
            <w:color w:val="auto"/>
            <w:sz w:val="16"/>
            <w:szCs w:val="16"/>
            <w:u w:val="none"/>
            <w:shd w:val="clear" w:color="auto" w:fill="FFFFFF"/>
            <w:lang w:val="es-ES"/>
          </w:rPr>
          <w:t>Sentencia de 23 de septiembre de 2009. Serie C No. 203</w:t>
        </w:r>
      </w:hyperlink>
      <w:r w:rsidRPr="00A64987">
        <w:rPr>
          <w:rFonts w:ascii="Cambria" w:hAnsi="Cambria"/>
          <w:sz w:val="16"/>
          <w:szCs w:val="16"/>
          <w:lang w:val="es-ES_tradnl"/>
        </w:rPr>
        <w:t xml:space="preserve">, párr. 138; </w:t>
      </w:r>
      <w:r w:rsidRPr="00A64987">
        <w:rPr>
          <w:rFonts w:ascii="Cambria" w:hAnsi="Cambria"/>
          <w:i/>
          <w:sz w:val="16"/>
          <w:szCs w:val="16"/>
          <w:lang w:val="es-ES_tradnl"/>
        </w:rPr>
        <w:t>Caso Valle Jaramillo y otros, Vs. Colombia</w:t>
      </w:r>
      <w:r w:rsidRPr="00A64987">
        <w:rPr>
          <w:rFonts w:ascii="Cambria" w:hAnsi="Cambria"/>
          <w:sz w:val="16"/>
          <w:szCs w:val="16"/>
          <w:lang w:val="es-ES_tradnl"/>
        </w:rPr>
        <w:t xml:space="preserve">. </w:t>
      </w:r>
      <w:hyperlink r:id="rId12" w:history="1">
        <w:r w:rsidRPr="00A64987">
          <w:rPr>
            <w:rStyle w:val="Hipervnculo"/>
            <w:rFonts w:ascii="Cambria" w:hAnsi="Cambria" w:cs="Arial"/>
            <w:color w:val="auto"/>
            <w:sz w:val="16"/>
            <w:szCs w:val="16"/>
            <w:u w:val="none"/>
            <w:shd w:val="clear" w:color="auto" w:fill="FFFFFF"/>
            <w:lang w:val="es-ES"/>
          </w:rPr>
          <w:t>Fondo, Reparaciones y Costas. Sentencia de 27 de noviembre de 2008. Serie C No. 192</w:t>
        </w:r>
      </w:hyperlink>
      <w:r w:rsidRPr="00A64987">
        <w:rPr>
          <w:rFonts w:ascii="Cambria" w:hAnsi="Cambria"/>
          <w:sz w:val="16"/>
          <w:szCs w:val="16"/>
          <w:lang w:val="es-ES_tradnl"/>
        </w:rPr>
        <w:t xml:space="preserve">, párr. 155; y </w:t>
      </w:r>
      <w:hyperlink r:id="rId13" w:history="1">
        <w:r w:rsidRPr="00A64987">
          <w:rPr>
            <w:rStyle w:val="Hipervnculo"/>
            <w:rFonts w:ascii="Cambria" w:hAnsi="Cambria" w:cs="Arial"/>
            <w:i/>
            <w:color w:val="auto"/>
            <w:sz w:val="16"/>
            <w:szCs w:val="16"/>
            <w:u w:val="none"/>
            <w:shd w:val="clear" w:color="auto" w:fill="FFFFFF"/>
            <w:lang w:val="es-ES"/>
          </w:rPr>
          <w:t>Caso Kawas Fernández Vs. Honduras</w:t>
        </w:r>
        <w:r w:rsidRPr="00A64987">
          <w:rPr>
            <w:rStyle w:val="Hipervnculo"/>
            <w:rFonts w:ascii="Cambria" w:hAnsi="Cambria" w:cs="Arial"/>
            <w:color w:val="auto"/>
            <w:sz w:val="16"/>
            <w:szCs w:val="16"/>
            <w:u w:val="none"/>
            <w:shd w:val="clear" w:color="auto" w:fill="FFFFFF"/>
            <w:lang w:val="es-ES"/>
          </w:rPr>
          <w:t>. Fondo, Reparaciones y Costas. Sentencia de 3 de abril de 2009 Serie C No. 196</w:t>
        </w:r>
      </w:hyperlink>
      <w:r w:rsidRPr="00A64987">
        <w:rPr>
          <w:rFonts w:ascii="Cambria" w:hAnsi="Cambria"/>
          <w:sz w:val="16"/>
          <w:szCs w:val="16"/>
          <w:lang w:val="es-ES_tradnl"/>
        </w:rPr>
        <w:t>, párr. 115.</w:t>
      </w:r>
    </w:p>
  </w:footnote>
  <w:footnote w:id="107">
    <w:p w:rsidR="00CD46D2" w:rsidRPr="00A64987" w:rsidRDefault="00CD46D2" w:rsidP="00A569E5">
      <w:pPr>
        <w:pStyle w:val="Textonotapie"/>
        <w:spacing w:before="120"/>
        <w:ind w:firstLine="720"/>
        <w:jc w:val="both"/>
        <w:rPr>
          <w:rFonts w:ascii="Cambria" w:hAnsi="Cambria"/>
          <w:sz w:val="16"/>
          <w:szCs w:val="16"/>
          <w:lang w:val="es-ES_tradnl"/>
        </w:rPr>
      </w:pPr>
      <w:r w:rsidRPr="00A64987">
        <w:rPr>
          <w:rStyle w:val="Refdenotaalpie"/>
          <w:rFonts w:ascii="Cambria" w:hAnsi="Cambria"/>
          <w:sz w:val="16"/>
          <w:szCs w:val="16"/>
        </w:rPr>
        <w:footnoteRef/>
      </w:r>
      <w:r w:rsidRPr="004802B1">
        <w:rPr>
          <w:rFonts w:ascii="Cambria" w:hAnsi="Cambria"/>
          <w:sz w:val="16"/>
          <w:szCs w:val="16"/>
          <w:lang w:val="es-ES"/>
        </w:rPr>
        <w:t xml:space="preserve"> </w:t>
      </w:r>
      <w:r w:rsidRPr="00A64987">
        <w:rPr>
          <w:rFonts w:ascii="Cambria" w:hAnsi="Cambria"/>
          <w:sz w:val="16"/>
          <w:szCs w:val="16"/>
          <w:lang w:val="es-ES"/>
        </w:rPr>
        <w:t xml:space="preserve">CIDH, Caso 12.357, Demanda ante la Corte IDH, Integrantes de la Asociación de Cesantes y Jubilados de la Contraloría General de la República, Perú, 1 de abril de 2008, párr. 72. </w:t>
      </w:r>
      <w:r w:rsidRPr="00A64987">
        <w:rPr>
          <w:rFonts w:ascii="Cambria" w:hAnsi="Cambria"/>
          <w:sz w:val="16"/>
          <w:szCs w:val="16"/>
          <w:lang w:val="es-ES_tradnl"/>
        </w:rPr>
        <w:t xml:space="preserve">Corte IDH. </w:t>
      </w:r>
      <w:r w:rsidRPr="00A64987">
        <w:rPr>
          <w:rFonts w:ascii="Cambria" w:hAnsi="Cambria"/>
          <w:i/>
          <w:sz w:val="16"/>
          <w:szCs w:val="16"/>
          <w:lang w:val="es-ES_tradnl"/>
        </w:rPr>
        <w:t>Caso Chaparro Álvarez y Lapo Íñiguez Vs. Ecuad</w:t>
      </w:r>
      <w:r w:rsidRPr="00A64987">
        <w:rPr>
          <w:rFonts w:ascii="Cambria" w:hAnsi="Cambria"/>
          <w:sz w:val="16"/>
          <w:szCs w:val="16"/>
          <w:lang w:val="es-ES_tradnl"/>
        </w:rPr>
        <w:t>or. Excepciones Preliminares, Fondo, Reparaciones y Costas. Sentencia de 21 de noviembre de 2007. Serie C No. 170, párr. 174.</w:t>
      </w:r>
    </w:p>
  </w:footnote>
  <w:footnote w:id="108">
    <w:p w:rsidR="00CD46D2" w:rsidRPr="004802B1" w:rsidRDefault="00CD46D2" w:rsidP="00A569E5">
      <w:pPr>
        <w:spacing w:before="120"/>
        <w:ind w:firstLine="720"/>
        <w:jc w:val="both"/>
        <w:rPr>
          <w:rFonts w:ascii="Cambria" w:eastAsia="Times New Roman" w:hAnsi="Cambria"/>
          <w:sz w:val="16"/>
          <w:szCs w:val="16"/>
          <w:bdr w:val="none" w:sz="0" w:space="0" w:color="auto"/>
          <w:lang w:val="es-ES"/>
        </w:rPr>
      </w:pPr>
      <w:r w:rsidRPr="00A64987">
        <w:rPr>
          <w:rStyle w:val="Refdenotaalpie"/>
          <w:rFonts w:ascii="Cambria" w:hAnsi="Cambria"/>
          <w:sz w:val="16"/>
          <w:szCs w:val="16"/>
        </w:rPr>
        <w:footnoteRef/>
      </w:r>
      <w:r w:rsidRPr="004802B1">
        <w:rPr>
          <w:rFonts w:ascii="Cambria" w:hAnsi="Cambria"/>
          <w:sz w:val="16"/>
          <w:szCs w:val="16"/>
          <w:lang w:val="es-ES"/>
        </w:rPr>
        <w:t xml:space="preserve"> </w:t>
      </w:r>
      <w:r w:rsidRPr="004802B1">
        <w:rPr>
          <w:rFonts w:ascii="Cambria" w:eastAsia="Times New Roman" w:hAnsi="Cambria"/>
          <w:bCs/>
          <w:color w:val="000000"/>
          <w:sz w:val="16"/>
          <w:szCs w:val="16"/>
          <w:bdr w:val="none" w:sz="0" w:space="0" w:color="auto"/>
          <w:shd w:val="clear" w:color="auto" w:fill="FFFFFF"/>
          <w:lang w:val="es-ES"/>
        </w:rPr>
        <w:t xml:space="preserve">Corte IDH. </w:t>
      </w:r>
      <w:r w:rsidRPr="004802B1">
        <w:rPr>
          <w:rFonts w:ascii="Cambria" w:eastAsia="Times New Roman" w:hAnsi="Cambria"/>
          <w:bCs/>
          <w:i/>
          <w:color w:val="000000"/>
          <w:sz w:val="16"/>
          <w:szCs w:val="16"/>
          <w:bdr w:val="none" w:sz="0" w:space="0" w:color="auto"/>
          <w:shd w:val="clear" w:color="auto" w:fill="FFFFFF"/>
          <w:lang w:val="es-ES"/>
        </w:rPr>
        <w:t>Caso "Cinco Pensionistas" Vs. Perú</w:t>
      </w:r>
      <w:r w:rsidRPr="004802B1">
        <w:rPr>
          <w:rFonts w:ascii="Cambria" w:eastAsia="Times New Roman" w:hAnsi="Cambria"/>
          <w:bCs/>
          <w:color w:val="000000"/>
          <w:sz w:val="16"/>
          <w:szCs w:val="16"/>
          <w:bdr w:val="none" w:sz="0" w:space="0" w:color="auto"/>
          <w:shd w:val="clear" w:color="auto" w:fill="FFFFFF"/>
          <w:lang w:val="es-ES"/>
        </w:rPr>
        <w:t>. Fondo, Reparaciones y Costas. Sentencia de 28 de febrero de 2003. Serie C No. 98, párr. 102.</w:t>
      </w:r>
    </w:p>
  </w:footnote>
  <w:footnote w:id="109">
    <w:p w:rsidR="00CD46D2" w:rsidRPr="004802B1" w:rsidRDefault="00CD46D2" w:rsidP="00A569E5">
      <w:pPr>
        <w:spacing w:before="120"/>
        <w:ind w:firstLine="720"/>
        <w:jc w:val="both"/>
        <w:rPr>
          <w:rFonts w:ascii="Cambria" w:eastAsia="Times New Roman" w:hAnsi="Cambria"/>
          <w:sz w:val="16"/>
          <w:szCs w:val="16"/>
          <w:bdr w:val="none" w:sz="0" w:space="0" w:color="auto"/>
          <w:lang w:val="es-ES"/>
        </w:rPr>
      </w:pPr>
      <w:r w:rsidRPr="00A64987">
        <w:rPr>
          <w:rStyle w:val="Refdenotaalpie"/>
          <w:rFonts w:ascii="Cambria" w:hAnsi="Cambria"/>
          <w:sz w:val="16"/>
          <w:szCs w:val="16"/>
        </w:rPr>
        <w:footnoteRef/>
      </w:r>
      <w:r w:rsidRPr="004802B1">
        <w:rPr>
          <w:rFonts w:ascii="Cambria" w:hAnsi="Cambria"/>
          <w:sz w:val="16"/>
          <w:szCs w:val="16"/>
          <w:lang w:val="es-ES"/>
        </w:rPr>
        <w:t xml:space="preserve"> </w:t>
      </w:r>
      <w:r w:rsidRPr="004802B1">
        <w:rPr>
          <w:rFonts w:ascii="Cambria" w:eastAsia="Times New Roman" w:hAnsi="Cambria"/>
          <w:bCs/>
          <w:color w:val="000000"/>
          <w:sz w:val="16"/>
          <w:szCs w:val="16"/>
          <w:bdr w:val="none" w:sz="0" w:space="0" w:color="auto"/>
          <w:shd w:val="clear" w:color="auto" w:fill="FFFFFF"/>
          <w:lang w:val="es-ES"/>
        </w:rPr>
        <w:t xml:space="preserve">Corte IDH. </w:t>
      </w:r>
      <w:r w:rsidRPr="004802B1">
        <w:rPr>
          <w:rFonts w:ascii="Cambria" w:eastAsia="Times New Roman" w:hAnsi="Cambria"/>
          <w:bCs/>
          <w:i/>
          <w:color w:val="000000"/>
          <w:sz w:val="16"/>
          <w:szCs w:val="16"/>
          <w:bdr w:val="none" w:sz="0" w:space="0" w:color="auto"/>
          <w:shd w:val="clear" w:color="auto" w:fill="FFFFFF"/>
          <w:lang w:val="es-ES"/>
        </w:rPr>
        <w:t>Caso Salvador Chiriboga Vs. Ecuador</w:t>
      </w:r>
      <w:r w:rsidRPr="004802B1">
        <w:rPr>
          <w:rFonts w:ascii="Cambria" w:eastAsia="Times New Roman" w:hAnsi="Cambria"/>
          <w:bCs/>
          <w:color w:val="000000"/>
          <w:sz w:val="16"/>
          <w:szCs w:val="16"/>
          <w:bdr w:val="none" w:sz="0" w:space="0" w:color="auto"/>
          <w:shd w:val="clear" w:color="auto" w:fill="FFFFFF"/>
          <w:lang w:val="es-ES"/>
        </w:rPr>
        <w:t>. Excepción Preliminar y Fondo. Sentencia de 6 de mayo de 2008. Serie C No. 179, párr. 54.</w:t>
      </w:r>
    </w:p>
  </w:footnote>
  <w:footnote w:id="110">
    <w:p w:rsidR="00CD46D2" w:rsidRPr="004802B1" w:rsidRDefault="00CD46D2" w:rsidP="00A569E5">
      <w:pPr>
        <w:spacing w:before="120"/>
        <w:ind w:firstLine="720"/>
        <w:jc w:val="both"/>
        <w:rPr>
          <w:rFonts w:ascii="Cambria" w:eastAsia="Times New Roman" w:hAnsi="Cambria"/>
          <w:sz w:val="16"/>
          <w:szCs w:val="16"/>
          <w:bdr w:val="none" w:sz="0" w:space="0" w:color="auto"/>
          <w:lang w:val="es-ES"/>
        </w:rPr>
      </w:pPr>
      <w:r w:rsidRPr="00A64987">
        <w:rPr>
          <w:rStyle w:val="Refdenotaalpie"/>
          <w:rFonts w:ascii="Cambria" w:hAnsi="Cambria"/>
          <w:sz w:val="16"/>
          <w:szCs w:val="16"/>
        </w:rPr>
        <w:footnoteRef/>
      </w:r>
      <w:r w:rsidRPr="004802B1">
        <w:rPr>
          <w:rFonts w:ascii="Cambria" w:hAnsi="Cambria"/>
          <w:sz w:val="16"/>
          <w:szCs w:val="16"/>
          <w:lang w:val="es-ES"/>
        </w:rPr>
        <w:t xml:space="preserve"> </w:t>
      </w:r>
      <w:r w:rsidRPr="004802B1">
        <w:rPr>
          <w:rFonts w:ascii="Cambria" w:eastAsia="Times New Roman" w:hAnsi="Cambria"/>
          <w:bCs/>
          <w:color w:val="000000"/>
          <w:sz w:val="16"/>
          <w:szCs w:val="16"/>
          <w:bdr w:val="none" w:sz="0" w:space="0" w:color="auto"/>
          <w:shd w:val="clear" w:color="auto" w:fill="FFFFFF"/>
          <w:lang w:val="es-ES"/>
        </w:rPr>
        <w:t xml:space="preserve">Corte IDH. </w:t>
      </w:r>
      <w:r w:rsidRPr="004802B1">
        <w:rPr>
          <w:rFonts w:ascii="Cambria" w:eastAsia="Times New Roman" w:hAnsi="Cambria"/>
          <w:bCs/>
          <w:i/>
          <w:color w:val="000000"/>
          <w:sz w:val="16"/>
          <w:szCs w:val="16"/>
          <w:bdr w:val="none" w:sz="0" w:space="0" w:color="auto"/>
          <w:shd w:val="clear" w:color="auto" w:fill="FFFFFF"/>
          <w:lang w:val="es-ES"/>
        </w:rPr>
        <w:t>Caso "Cinco Pensionistas" Vs. Perú</w:t>
      </w:r>
      <w:r w:rsidRPr="004802B1">
        <w:rPr>
          <w:rFonts w:ascii="Cambria" w:eastAsia="Times New Roman" w:hAnsi="Cambria"/>
          <w:bCs/>
          <w:color w:val="000000"/>
          <w:sz w:val="16"/>
          <w:szCs w:val="16"/>
          <w:bdr w:val="none" w:sz="0" w:space="0" w:color="auto"/>
          <w:shd w:val="clear" w:color="auto" w:fill="FFFFFF"/>
          <w:lang w:val="es-ES"/>
        </w:rPr>
        <w:t>. Fondo, Reparaciones y Costas. Sentencia de 28 de febrero de 2003. Serie C No. 98, párr. 103.</w:t>
      </w:r>
      <w:r w:rsidRPr="004802B1">
        <w:rPr>
          <w:rFonts w:ascii="Cambria" w:eastAsia="Times New Roman" w:hAnsi="Cambria"/>
          <w:b/>
          <w:bCs/>
          <w:color w:val="000000"/>
          <w:sz w:val="16"/>
          <w:szCs w:val="16"/>
          <w:bdr w:val="none" w:sz="0" w:space="0" w:color="auto"/>
          <w:shd w:val="clear" w:color="auto" w:fill="FFFFFF"/>
          <w:lang w:val="es-ES"/>
        </w:rPr>
        <w:t xml:space="preserve"> </w:t>
      </w:r>
    </w:p>
  </w:footnote>
  <w:footnote w:id="111">
    <w:p w:rsidR="00CD46D2" w:rsidRPr="004802B1" w:rsidRDefault="00CD46D2" w:rsidP="001F3221">
      <w:pPr>
        <w:spacing w:before="120"/>
        <w:ind w:firstLine="720"/>
        <w:jc w:val="both"/>
        <w:rPr>
          <w:rFonts w:ascii="Cambria" w:eastAsia="Times New Roman" w:hAnsi="Cambria"/>
          <w:sz w:val="16"/>
          <w:szCs w:val="16"/>
          <w:bdr w:val="none" w:sz="0" w:space="0" w:color="auto"/>
          <w:lang w:val="es-ES"/>
        </w:rPr>
      </w:pPr>
      <w:r w:rsidRPr="00A64987">
        <w:rPr>
          <w:rStyle w:val="Refdenotaalpie"/>
          <w:rFonts w:ascii="Cambria" w:hAnsi="Cambria"/>
          <w:sz w:val="16"/>
          <w:szCs w:val="16"/>
        </w:rPr>
        <w:footnoteRef/>
      </w:r>
      <w:r w:rsidRPr="004802B1">
        <w:rPr>
          <w:rFonts w:ascii="Cambria" w:hAnsi="Cambria"/>
          <w:sz w:val="16"/>
          <w:szCs w:val="16"/>
          <w:lang w:val="es-ES"/>
        </w:rPr>
        <w:t xml:space="preserve"> </w:t>
      </w:r>
      <w:r w:rsidRPr="004802B1">
        <w:rPr>
          <w:rFonts w:ascii="Cambria" w:eastAsia="Times New Roman" w:hAnsi="Cambria"/>
          <w:bCs/>
          <w:color w:val="000000"/>
          <w:sz w:val="16"/>
          <w:szCs w:val="16"/>
          <w:bdr w:val="none" w:sz="0" w:space="0" w:color="auto"/>
          <w:shd w:val="clear" w:color="auto" w:fill="FFFFFF"/>
          <w:lang w:val="es-ES"/>
        </w:rPr>
        <w:t xml:space="preserve">Corte IDH. </w:t>
      </w:r>
      <w:r w:rsidRPr="004802B1">
        <w:rPr>
          <w:rFonts w:ascii="Cambria" w:eastAsia="Times New Roman" w:hAnsi="Cambria"/>
          <w:bCs/>
          <w:i/>
          <w:color w:val="000000"/>
          <w:sz w:val="16"/>
          <w:szCs w:val="16"/>
          <w:bdr w:val="none" w:sz="0" w:space="0" w:color="auto"/>
          <w:shd w:val="clear" w:color="auto" w:fill="FFFFFF"/>
          <w:lang w:val="es-ES"/>
        </w:rPr>
        <w:t>Caso "Cinco Pensionistas" Vs. Perú</w:t>
      </w:r>
      <w:r w:rsidRPr="004802B1">
        <w:rPr>
          <w:rFonts w:ascii="Cambria" w:eastAsia="Times New Roman" w:hAnsi="Cambria"/>
          <w:bCs/>
          <w:color w:val="000000"/>
          <w:sz w:val="16"/>
          <w:szCs w:val="16"/>
          <w:bdr w:val="none" w:sz="0" w:space="0" w:color="auto"/>
          <w:shd w:val="clear" w:color="auto" w:fill="FFFFFF"/>
          <w:lang w:val="es-ES"/>
        </w:rPr>
        <w:t>. Fondo, Reparaciones y Costas. Sentencia de 28 de febrero de 2003. Serie C No. 98, párrs. 115 y 121.</w:t>
      </w:r>
      <w:r w:rsidRPr="004802B1">
        <w:rPr>
          <w:rFonts w:ascii="Cambria" w:eastAsia="Times New Roman" w:hAnsi="Cambria"/>
          <w:b/>
          <w:bCs/>
          <w:color w:val="000000"/>
          <w:sz w:val="16"/>
          <w:szCs w:val="16"/>
          <w:bdr w:val="none" w:sz="0" w:space="0" w:color="auto"/>
          <w:shd w:val="clear" w:color="auto" w:fill="FFFFFF"/>
          <w:lang w:val="es-ES"/>
        </w:rPr>
        <w:t xml:space="preserve"> </w:t>
      </w:r>
    </w:p>
  </w:footnote>
  <w:footnote w:id="112">
    <w:p w:rsidR="00CD46D2" w:rsidRPr="00A64987" w:rsidRDefault="00CD46D2" w:rsidP="00A569E5">
      <w:pPr>
        <w:pStyle w:val="Textonotapie"/>
        <w:spacing w:before="120"/>
        <w:ind w:firstLine="720"/>
        <w:jc w:val="both"/>
        <w:rPr>
          <w:rFonts w:ascii="Cambria" w:hAnsi="Cambria"/>
          <w:sz w:val="16"/>
          <w:szCs w:val="16"/>
          <w:lang w:val="es-ES_tradnl"/>
        </w:rPr>
      </w:pPr>
      <w:r w:rsidRPr="00A64987">
        <w:rPr>
          <w:rStyle w:val="Refdenotaalpie"/>
          <w:rFonts w:ascii="Cambria" w:hAnsi="Cambria"/>
          <w:sz w:val="16"/>
          <w:szCs w:val="16"/>
        </w:rPr>
        <w:footnoteRef/>
      </w:r>
      <w:r w:rsidRPr="004802B1">
        <w:rPr>
          <w:rFonts w:ascii="Cambria" w:hAnsi="Cambria"/>
          <w:sz w:val="16"/>
          <w:szCs w:val="16"/>
          <w:lang w:val="es-ES"/>
        </w:rPr>
        <w:t xml:space="preserve"> </w:t>
      </w:r>
      <w:r w:rsidRPr="00A64987">
        <w:rPr>
          <w:rFonts w:ascii="Cambria" w:hAnsi="Cambria"/>
          <w:sz w:val="16"/>
          <w:szCs w:val="16"/>
          <w:lang w:val="es-ES_tradnl"/>
        </w:rPr>
        <w:t xml:space="preserve">Corte IDH. </w:t>
      </w:r>
      <w:r w:rsidRPr="00A64987">
        <w:rPr>
          <w:rFonts w:ascii="Cambria" w:eastAsia="Arial Unicode MS" w:hAnsi="Cambria" w:cs="Times New Roman"/>
          <w:bCs/>
          <w:i/>
          <w:sz w:val="16"/>
          <w:szCs w:val="16"/>
          <w:shd w:val="clear" w:color="auto" w:fill="FFFFFF"/>
          <w:lang w:val="es-ES" w:eastAsia="en-US"/>
        </w:rPr>
        <w:t>Caso Acevedo Buendía y otros (“Cesantes y Jubilados de la Contraloría”) Vs. Perú</w:t>
      </w:r>
      <w:r w:rsidRPr="00A64987">
        <w:rPr>
          <w:rFonts w:ascii="Cambria" w:eastAsia="Arial Unicode MS" w:hAnsi="Cambria" w:cs="Times New Roman"/>
          <w:bCs/>
          <w:sz w:val="16"/>
          <w:szCs w:val="16"/>
          <w:shd w:val="clear" w:color="auto" w:fill="FFFFFF"/>
          <w:lang w:val="es-ES" w:eastAsia="en-US"/>
        </w:rPr>
        <w:t xml:space="preserve">. Excepción Preliminar, Fondo, Reparaciones y Costas. Sentencia de 1 de julio de 2009. Serie C No. 198, párr. 88. </w:t>
      </w:r>
    </w:p>
  </w:footnote>
  <w:footnote w:id="113">
    <w:p w:rsidR="00CD46D2" w:rsidRPr="00A64987" w:rsidRDefault="00CD46D2" w:rsidP="00A569E5">
      <w:pPr>
        <w:pStyle w:val="Textonotapie"/>
        <w:spacing w:before="120"/>
        <w:ind w:firstLine="720"/>
        <w:jc w:val="both"/>
        <w:rPr>
          <w:rFonts w:ascii="Cambria" w:hAnsi="Cambria"/>
          <w:sz w:val="16"/>
          <w:szCs w:val="16"/>
          <w:lang w:val="es-ES_tradnl"/>
        </w:rPr>
      </w:pPr>
      <w:r w:rsidRPr="00A64987">
        <w:rPr>
          <w:rStyle w:val="Refdenotaalpie"/>
          <w:rFonts w:ascii="Cambria" w:hAnsi="Cambria"/>
          <w:sz w:val="16"/>
          <w:szCs w:val="16"/>
        </w:rPr>
        <w:footnoteRef/>
      </w:r>
      <w:r w:rsidRPr="004802B1">
        <w:rPr>
          <w:rFonts w:ascii="Cambria" w:hAnsi="Cambria"/>
          <w:sz w:val="16"/>
          <w:szCs w:val="16"/>
          <w:lang w:val="es-ES"/>
        </w:rPr>
        <w:t xml:space="preserve"> </w:t>
      </w:r>
      <w:r w:rsidRPr="00A64987">
        <w:rPr>
          <w:rFonts w:ascii="Cambria" w:hAnsi="Cambria"/>
          <w:sz w:val="16"/>
          <w:szCs w:val="16"/>
          <w:lang w:val="es-ES_tradnl"/>
        </w:rPr>
        <w:t xml:space="preserve">Corte IDH. </w:t>
      </w:r>
      <w:r w:rsidRPr="00A64987">
        <w:rPr>
          <w:rFonts w:ascii="Cambria" w:eastAsia="Arial Unicode MS" w:hAnsi="Cambria" w:cs="Times New Roman"/>
          <w:bCs/>
          <w:i/>
          <w:sz w:val="16"/>
          <w:szCs w:val="16"/>
          <w:shd w:val="clear" w:color="auto" w:fill="FFFFFF"/>
          <w:lang w:val="es-ES" w:eastAsia="en-US"/>
        </w:rPr>
        <w:t>Caso Acevedo Buendía y otros (“Cesantes y Jubilados de la Contraloría”) Vs. Perú</w:t>
      </w:r>
      <w:r w:rsidRPr="00A64987">
        <w:rPr>
          <w:rFonts w:ascii="Cambria" w:eastAsia="Arial Unicode MS" w:hAnsi="Cambria" w:cs="Times New Roman"/>
          <w:bCs/>
          <w:sz w:val="16"/>
          <w:szCs w:val="16"/>
          <w:shd w:val="clear" w:color="auto" w:fill="FFFFFF"/>
          <w:lang w:val="es-ES" w:eastAsia="en-US"/>
        </w:rPr>
        <w:t xml:space="preserve">. Excepción Preliminar, Fondo, Reparaciones y Costas. Sentencia de 1 de julio de 2009. Serie C No. 198, párr. 88.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46D2" w:rsidRDefault="00CD46D2" w:rsidP="002A0942">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rsidR="00CD46D2" w:rsidRDefault="00CD46D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46D2" w:rsidRPr="00EC7D62" w:rsidRDefault="00CD46D2" w:rsidP="00A50FCF">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87A47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2">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
    <w:nsid w:val="0C7D57E6"/>
    <w:multiLevelType w:val="multilevel"/>
    <w:tmpl w:val="D220C378"/>
    <w:lvl w:ilvl="0">
      <w:start w:val="2"/>
      <w:numFmt w:val="decimal"/>
      <w:lvlText w:val="%1."/>
      <w:lvlJc w:val="left"/>
      <w:pPr>
        <w:tabs>
          <w:tab w:val="num" w:pos="2880"/>
        </w:tabs>
        <w:ind w:left="2880" w:hanging="360"/>
      </w:pPr>
      <w:rPr>
        <w:rFonts w:hint="default"/>
        <w:b/>
        <w:i w:val="0"/>
        <w:sz w:val="20"/>
        <w:szCs w:val="20"/>
      </w:rPr>
    </w:lvl>
    <w:lvl w:ilvl="1">
      <w:start w:val="1"/>
      <w:numFmt w:val="decimal"/>
      <w:isLgl/>
      <w:lvlText w:val="%1.%2."/>
      <w:lvlJc w:val="left"/>
      <w:pPr>
        <w:ind w:left="288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5">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6">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7">
    <w:nsid w:val="19050020"/>
    <w:multiLevelType w:val="hybridMultilevel"/>
    <w:tmpl w:val="8FCE38EE"/>
    <w:lvl w:ilvl="0" w:tplc="57BAD2D0">
      <w:start w:val="1"/>
      <w:numFmt w:val="decimal"/>
      <w:lvlText w:val="%1."/>
      <w:lvlJc w:val="left"/>
      <w:pPr>
        <w:tabs>
          <w:tab w:val="num" w:pos="1429"/>
        </w:tabs>
        <w:ind w:firstLine="720"/>
      </w:pPr>
      <w:rPr>
        <w:rFonts w:ascii="Cambria" w:hAnsi="Cambria" w:cs="Times New Roman" w:hint="default"/>
        <w:b w:val="0"/>
        <w:i w:val="0"/>
        <w:sz w:val="20"/>
        <w:szCs w:val="20"/>
        <w:lang w:val="es-AR"/>
      </w:rPr>
    </w:lvl>
    <w:lvl w:ilvl="1" w:tplc="04090019">
      <w:start w:val="1"/>
      <w:numFmt w:val="lowerLetter"/>
      <w:lvlText w:val="%2."/>
      <w:lvlJc w:val="left"/>
      <w:pPr>
        <w:tabs>
          <w:tab w:val="num" w:pos="1440"/>
        </w:tabs>
        <w:ind w:left="1440" w:hanging="360"/>
      </w:pPr>
      <w:rPr>
        <w:rFonts w:cs="Times New Roman"/>
      </w:rPr>
    </w:lvl>
    <w:lvl w:ilvl="2" w:tplc="C66EDE0C">
      <w:start w:val="3"/>
      <w:numFmt w:val="upperRoman"/>
      <w:lvlText w:val="%3."/>
      <w:lvlJc w:val="left"/>
      <w:pPr>
        <w:tabs>
          <w:tab w:val="num" w:pos="2700"/>
        </w:tabs>
        <w:ind w:left="2700" w:hanging="720"/>
      </w:pPr>
      <w:rPr>
        <w:rFonts w:cs="Times New Roman" w:hint="default"/>
      </w:rPr>
    </w:lvl>
    <w:lvl w:ilvl="3" w:tplc="268AFC70">
      <w:start w:val="1"/>
      <w:numFmt w:val="decimal"/>
      <w:lvlText w:val="%4."/>
      <w:lvlJc w:val="left"/>
      <w:pPr>
        <w:tabs>
          <w:tab w:val="num" w:pos="2880"/>
        </w:tabs>
        <w:ind w:left="2880" w:hanging="360"/>
      </w:pPr>
      <w:rPr>
        <w:rFonts w:hint="default"/>
        <w:b/>
        <w:i w:val="0"/>
        <w:sz w:val="20"/>
        <w:szCs w:val="20"/>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1C424AAD"/>
    <w:multiLevelType w:val="hybridMultilevel"/>
    <w:tmpl w:val="365CF948"/>
    <w:lvl w:ilvl="0" w:tplc="C232A3CC">
      <w:start w:val="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62145B"/>
    <w:multiLevelType w:val="hybridMultilevel"/>
    <w:tmpl w:val="2CE6D96E"/>
    <w:lvl w:ilvl="0" w:tplc="1368C5A0">
      <w:start w:val="1"/>
      <w:numFmt w:val="upperLetter"/>
      <w:pStyle w:val="Ttulo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1">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12">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3">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4">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5">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6">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7">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8">
    <w:nsid w:val="22D7420C"/>
    <w:multiLevelType w:val="hybridMultilevel"/>
    <w:tmpl w:val="EB2A5028"/>
    <w:lvl w:ilvl="0" w:tplc="985A5FF8">
      <w:start w:val="85"/>
      <w:numFmt w:val="decimal"/>
      <w:lvlText w:val="%1."/>
      <w:lvlJc w:val="left"/>
      <w:pPr>
        <w:tabs>
          <w:tab w:val="num" w:pos="1170"/>
        </w:tabs>
        <w:ind w:left="450"/>
      </w:pPr>
      <w:rPr>
        <w:rFonts w:ascii="Verdana" w:hAnsi="Verdana" w:cs="Times New Roman" w:hint="default"/>
        <w:b w:val="0"/>
        <w:i w:val="0"/>
        <w:color w:val="auto"/>
        <w:sz w:val="20"/>
        <w:szCs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0">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1">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2">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3">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4">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5">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6">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7">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8">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9">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0">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31">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32">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3">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7">
    <w:nsid w:val="46BD03E6"/>
    <w:multiLevelType w:val="hybridMultilevel"/>
    <w:tmpl w:val="4CA83BF0"/>
    <w:lvl w:ilvl="0" w:tplc="58B8DB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9">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0">
    <w:nsid w:val="4AAE2ADB"/>
    <w:multiLevelType w:val="hybridMultilevel"/>
    <w:tmpl w:val="C4765F26"/>
    <w:lvl w:ilvl="0" w:tplc="2C9A90CE">
      <w:start w:val="2"/>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1">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42">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3">
    <w:nsid w:val="4F84482F"/>
    <w:multiLevelType w:val="hybridMultilevel"/>
    <w:tmpl w:val="37CC1D8A"/>
    <w:lvl w:ilvl="0" w:tplc="13421782">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5">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6">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7">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8">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9">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0">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1">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2">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53">
    <w:nsid w:val="6DEE24E2"/>
    <w:multiLevelType w:val="hybridMultilevel"/>
    <w:tmpl w:val="19C280AC"/>
    <w:lvl w:ilvl="0" w:tplc="1A88147A">
      <w:start w:val="2"/>
      <w:numFmt w:val="upperLetter"/>
      <w:lvlText w:val="%1."/>
      <w:lvlJc w:val="left"/>
      <w:pPr>
        <w:tabs>
          <w:tab w:val="num" w:pos="1365"/>
        </w:tabs>
        <w:ind w:left="1365" w:hanging="645"/>
      </w:pPr>
      <w:rPr>
        <w:rFonts w:hint="default"/>
      </w:rPr>
    </w:lvl>
    <w:lvl w:ilvl="1" w:tplc="7EE80C66">
      <w:start w:val="1"/>
      <w:numFmt w:val="decimal"/>
      <w:lvlText w:val="%2."/>
      <w:lvlJc w:val="left"/>
      <w:pPr>
        <w:tabs>
          <w:tab w:val="num" w:pos="2070"/>
        </w:tabs>
        <w:ind w:left="2070" w:hanging="630"/>
      </w:pPr>
      <w:rPr>
        <w:rFonts w:ascii="Verdana" w:hAnsi="Verdana" w:hint="default"/>
        <w:b/>
        <w:sz w:val="2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4">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5">
    <w:nsid w:val="70786ED7"/>
    <w:multiLevelType w:val="hybridMultilevel"/>
    <w:tmpl w:val="88664516"/>
    <w:lvl w:ilvl="0" w:tplc="A8E27AA2">
      <w:start w:val="1"/>
      <w:numFmt w:val="upperRoman"/>
      <w:pStyle w:val="Ttulo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7">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8">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59">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0">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1">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2">
    <w:nsid w:val="7CE64D32"/>
    <w:multiLevelType w:val="hybridMultilevel"/>
    <w:tmpl w:val="E9AAC004"/>
    <w:lvl w:ilvl="0" w:tplc="84C60B70">
      <w:start w:val="1"/>
      <w:numFmt w:val="decimal"/>
      <w:lvlText w:val="%1."/>
      <w:lvlJc w:val="left"/>
      <w:pPr>
        <w:tabs>
          <w:tab w:val="num" w:pos="11028"/>
        </w:tabs>
      </w:pPr>
      <w:rPr>
        <w:rFonts w:ascii="Verdana" w:eastAsia="Times New Roman" w:hAnsi="Verdana"/>
        <w:b w:val="0"/>
        <w:bCs w:val="0"/>
        <w:i w:val="0"/>
        <w:iCs w:val="0"/>
        <w:strike w:val="0"/>
        <w:color w:val="auto"/>
        <w:sz w:val="20"/>
        <w:szCs w:val="20"/>
        <w:lang w:val="es-ES_tradnl"/>
      </w:rPr>
    </w:lvl>
    <w:lvl w:ilvl="1" w:tplc="140A0019">
      <w:start w:val="1"/>
      <w:numFmt w:val="lowerLetter"/>
      <w:lvlText w:val="%2)"/>
      <w:lvlJc w:val="left"/>
      <w:pPr>
        <w:tabs>
          <w:tab w:val="num" w:pos="1080"/>
        </w:tabs>
        <w:ind w:left="1080" w:hanging="360"/>
      </w:pPr>
      <w:rPr>
        <w:rFonts w:hint="default"/>
        <w:b w:val="0"/>
        <w:bCs w:val="0"/>
        <w:i w:val="0"/>
        <w:iCs w:val="0"/>
        <w:sz w:val="20"/>
        <w:szCs w:val="20"/>
      </w:rPr>
    </w:lvl>
    <w:lvl w:ilvl="2" w:tplc="140A001B">
      <w:start w:val="1"/>
      <w:numFmt w:val="lowerRoman"/>
      <w:lvlText w:val="%3."/>
      <w:lvlJc w:val="right"/>
      <w:pPr>
        <w:tabs>
          <w:tab w:val="num" w:pos="1530"/>
        </w:tabs>
        <w:ind w:left="1530" w:hanging="180"/>
      </w:pPr>
      <w:rPr>
        <w:b w:val="0"/>
        <w:strike w:val="0"/>
      </w:rPr>
    </w:lvl>
    <w:lvl w:ilvl="3" w:tplc="140A000F">
      <w:start w:val="1"/>
      <w:numFmt w:val="decimal"/>
      <w:lvlText w:val="%4."/>
      <w:lvlJc w:val="left"/>
      <w:pPr>
        <w:tabs>
          <w:tab w:val="num" w:pos="2880"/>
        </w:tabs>
        <w:ind w:left="2880" w:hanging="360"/>
      </w:pPr>
    </w:lvl>
    <w:lvl w:ilvl="4" w:tplc="140A0019">
      <w:start w:val="1"/>
      <w:numFmt w:val="lowerLetter"/>
      <w:pStyle w:val="Ttulo6"/>
      <w:lvlText w:val="%5."/>
      <w:lvlJc w:val="left"/>
      <w:pPr>
        <w:tabs>
          <w:tab w:val="num" w:pos="3600"/>
        </w:tabs>
        <w:ind w:left="3600" w:hanging="360"/>
      </w:pPr>
    </w:lvl>
    <w:lvl w:ilvl="5" w:tplc="140A001B">
      <w:start w:val="1"/>
      <w:numFmt w:val="lowerRoman"/>
      <w:lvlText w:val="%6."/>
      <w:lvlJc w:val="right"/>
      <w:pPr>
        <w:tabs>
          <w:tab w:val="num" w:pos="4320"/>
        </w:tabs>
        <w:ind w:left="4320" w:hanging="180"/>
      </w:pPr>
    </w:lvl>
    <w:lvl w:ilvl="6" w:tplc="140A000F">
      <w:start w:val="1"/>
      <w:numFmt w:val="decimal"/>
      <w:lvlText w:val="%7."/>
      <w:lvlJc w:val="left"/>
      <w:pPr>
        <w:tabs>
          <w:tab w:val="num" w:pos="5040"/>
        </w:tabs>
        <w:ind w:left="5040" w:hanging="360"/>
      </w:pPr>
    </w:lvl>
    <w:lvl w:ilvl="7" w:tplc="140A0019">
      <w:start w:val="1"/>
      <w:numFmt w:val="lowerLetter"/>
      <w:lvlText w:val="%8."/>
      <w:lvlJc w:val="left"/>
      <w:pPr>
        <w:tabs>
          <w:tab w:val="num" w:pos="5760"/>
        </w:tabs>
        <w:ind w:left="5760" w:hanging="360"/>
      </w:pPr>
    </w:lvl>
    <w:lvl w:ilvl="8" w:tplc="140A001B">
      <w:start w:val="1"/>
      <w:numFmt w:val="lowerRoman"/>
      <w:lvlText w:val="%9."/>
      <w:lvlJc w:val="right"/>
      <w:pPr>
        <w:tabs>
          <w:tab w:val="num" w:pos="6480"/>
        </w:tabs>
        <w:ind w:left="6480" w:hanging="180"/>
      </w:pPr>
    </w:lvl>
  </w:abstractNum>
  <w:abstractNum w:abstractNumId="63">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4">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5"/>
  </w:num>
  <w:num w:numId="2">
    <w:abstractNumId w:val="6"/>
  </w:num>
  <w:num w:numId="3">
    <w:abstractNumId w:val="58"/>
  </w:num>
  <w:num w:numId="4">
    <w:abstractNumId w:val="25"/>
  </w:num>
  <w:num w:numId="5">
    <w:abstractNumId w:val="51"/>
  </w:num>
  <w:num w:numId="6">
    <w:abstractNumId w:val="30"/>
  </w:num>
  <w:num w:numId="7">
    <w:abstractNumId w:val="10"/>
  </w:num>
  <w:num w:numId="8">
    <w:abstractNumId w:val="21"/>
  </w:num>
  <w:num w:numId="9">
    <w:abstractNumId w:val="47"/>
  </w:num>
  <w:num w:numId="10">
    <w:abstractNumId w:val="1"/>
  </w:num>
  <w:num w:numId="11">
    <w:abstractNumId w:val="41"/>
  </w:num>
  <w:num w:numId="12">
    <w:abstractNumId w:val="42"/>
  </w:num>
  <w:num w:numId="13">
    <w:abstractNumId w:val="48"/>
  </w:num>
  <w:num w:numId="14">
    <w:abstractNumId w:val="2"/>
  </w:num>
  <w:num w:numId="15">
    <w:abstractNumId w:val="3"/>
  </w:num>
  <w:num w:numId="16">
    <w:abstractNumId w:val="11"/>
  </w:num>
  <w:num w:numId="17">
    <w:abstractNumId w:val="12"/>
  </w:num>
  <w:num w:numId="18">
    <w:abstractNumId w:val="13"/>
  </w:num>
  <w:num w:numId="19">
    <w:abstractNumId w:val="14"/>
  </w:num>
  <w:num w:numId="20">
    <w:abstractNumId w:val="15"/>
  </w:num>
  <w:num w:numId="21">
    <w:abstractNumId w:val="16"/>
  </w:num>
  <w:num w:numId="22">
    <w:abstractNumId w:val="17"/>
  </w:num>
  <w:num w:numId="23">
    <w:abstractNumId w:val="19"/>
  </w:num>
  <w:num w:numId="24">
    <w:abstractNumId w:val="20"/>
  </w:num>
  <w:num w:numId="25">
    <w:abstractNumId w:val="22"/>
  </w:num>
  <w:num w:numId="26">
    <w:abstractNumId w:val="23"/>
  </w:num>
  <w:num w:numId="27">
    <w:abstractNumId w:val="26"/>
  </w:num>
  <w:num w:numId="28">
    <w:abstractNumId w:val="27"/>
  </w:num>
  <w:num w:numId="29">
    <w:abstractNumId w:val="28"/>
  </w:num>
  <w:num w:numId="30">
    <w:abstractNumId w:val="29"/>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8"/>
  </w:num>
  <w:num w:numId="38">
    <w:abstractNumId w:val="39"/>
  </w:num>
  <w:num w:numId="39">
    <w:abstractNumId w:val="44"/>
  </w:num>
  <w:num w:numId="40">
    <w:abstractNumId w:val="45"/>
  </w:num>
  <w:num w:numId="41">
    <w:abstractNumId w:val="50"/>
  </w:num>
  <w:num w:numId="42">
    <w:abstractNumId w:val="52"/>
  </w:num>
  <w:num w:numId="43">
    <w:abstractNumId w:val="54"/>
  </w:num>
  <w:num w:numId="44">
    <w:abstractNumId w:val="56"/>
  </w:num>
  <w:num w:numId="45">
    <w:abstractNumId w:val="57"/>
  </w:num>
  <w:num w:numId="46">
    <w:abstractNumId w:val="59"/>
  </w:num>
  <w:num w:numId="47">
    <w:abstractNumId w:val="60"/>
  </w:num>
  <w:num w:numId="48">
    <w:abstractNumId w:val="61"/>
  </w:num>
  <w:num w:numId="49">
    <w:abstractNumId w:val="63"/>
  </w:num>
  <w:num w:numId="50">
    <w:abstractNumId w:val="64"/>
  </w:num>
  <w:num w:numId="51">
    <w:abstractNumId w:val="24"/>
  </w:num>
  <w:num w:numId="52">
    <w:abstractNumId w:val="46"/>
  </w:num>
  <w:num w:numId="53">
    <w:abstractNumId w:val="55"/>
  </w:num>
  <w:num w:numId="54">
    <w:abstractNumId w:val="49"/>
  </w:num>
  <w:num w:numId="55">
    <w:abstractNumId w:val="7"/>
  </w:num>
  <w:num w:numId="56">
    <w:abstractNumId w:val="62"/>
  </w:num>
  <w:num w:numId="57">
    <w:abstractNumId w:val="4"/>
  </w:num>
  <w:num w:numId="58">
    <w:abstractNumId w:val="9"/>
    <w:lvlOverride w:ilvl="0">
      <w:startOverride w:val="1"/>
    </w:lvlOverride>
  </w:num>
  <w:num w:numId="59">
    <w:abstractNumId w:val="8"/>
  </w:num>
  <w:num w:numId="60">
    <w:abstractNumId w:val="53"/>
  </w:num>
  <w:num w:numId="61">
    <w:abstractNumId w:val="0"/>
  </w:num>
  <w:num w:numId="62">
    <w:abstractNumId w:val="43"/>
  </w:num>
  <w:num w:numId="63">
    <w:abstractNumId w:val="18"/>
  </w:num>
  <w:num w:numId="64">
    <w:abstractNumId w:val="40"/>
  </w:num>
  <w:num w:numId="65">
    <w:abstractNumId w:val="3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7"/>
  <w:proofState w:grammar="clean"/>
  <w:doNotTrackMoves/>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B2D5C"/>
    <w:rsid w:val="0000036F"/>
    <w:rsid w:val="00000CDA"/>
    <w:rsid w:val="00002520"/>
    <w:rsid w:val="00005E0C"/>
    <w:rsid w:val="00006E1F"/>
    <w:rsid w:val="000070D7"/>
    <w:rsid w:val="000074B5"/>
    <w:rsid w:val="000111F8"/>
    <w:rsid w:val="0001788C"/>
    <w:rsid w:val="00026052"/>
    <w:rsid w:val="00031423"/>
    <w:rsid w:val="00032AA0"/>
    <w:rsid w:val="00033D71"/>
    <w:rsid w:val="000344E2"/>
    <w:rsid w:val="00035A3E"/>
    <w:rsid w:val="00040C3A"/>
    <w:rsid w:val="00042783"/>
    <w:rsid w:val="00042BCA"/>
    <w:rsid w:val="0004652F"/>
    <w:rsid w:val="0005012D"/>
    <w:rsid w:val="00055B6D"/>
    <w:rsid w:val="000569CE"/>
    <w:rsid w:val="00060A9E"/>
    <w:rsid w:val="00061FA4"/>
    <w:rsid w:val="00062A9A"/>
    <w:rsid w:val="00064FA9"/>
    <w:rsid w:val="00065675"/>
    <w:rsid w:val="00065A11"/>
    <w:rsid w:val="00066BC2"/>
    <w:rsid w:val="00067077"/>
    <w:rsid w:val="00067A3B"/>
    <w:rsid w:val="000716C5"/>
    <w:rsid w:val="00072E36"/>
    <w:rsid w:val="00075E23"/>
    <w:rsid w:val="00077C89"/>
    <w:rsid w:val="000808DE"/>
    <w:rsid w:val="000920DE"/>
    <w:rsid w:val="00093244"/>
    <w:rsid w:val="0009344A"/>
    <w:rsid w:val="00095578"/>
    <w:rsid w:val="000A217F"/>
    <w:rsid w:val="000A269F"/>
    <w:rsid w:val="000A392E"/>
    <w:rsid w:val="000A575F"/>
    <w:rsid w:val="000A667E"/>
    <w:rsid w:val="000A79FC"/>
    <w:rsid w:val="000B11E5"/>
    <w:rsid w:val="000B3A75"/>
    <w:rsid w:val="000B403A"/>
    <w:rsid w:val="000B5F39"/>
    <w:rsid w:val="000B6449"/>
    <w:rsid w:val="000B6A09"/>
    <w:rsid w:val="000B779B"/>
    <w:rsid w:val="000B7EA0"/>
    <w:rsid w:val="000C0D34"/>
    <w:rsid w:val="000C299A"/>
    <w:rsid w:val="000C3451"/>
    <w:rsid w:val="000C459B"/>
    <w:rsid w:val="000C4F53"/>
    <w:rsid w:val="000C6979"/>
    <w:rsid w:val="000D044A"/>
    <w:rsid w:val="000D0D16"/>
    <w:rsid w:val="000D10DB"/>
    <w:rsid w:val="000D164B"/>
    <w:rsid w:val="000D2274"/>
    <w:rsid w:val="000D2456"/>
    <w:rsid w:val="000D4D3C"/>
    <w:rsid w:val="000D5A17"/>
    <w:rsid w:val="000D5AF8"/>
    <w:rsid w:val="000D691D"/>
    <w:rsid w:val="000D7C3E"/>
    <w:rsid w:val="000E01A6"/>
    <w:rsid w:val="000E221F"/>
    <w:rsid w:val="000E5EB5"/>
    <w:rsid w:val="000E7B5F"/>
    <w:rsid w:val="000F02F7"/>
    <w:rsid w:val="000F20FE"/>
    <w:rsid w:val="000F232C"/>
    <w:rsid w:val="000F35ED"/>
    <w:rsid w:val="000F60E8"/>
    <w:rsid w:val="000F7013"/>
    <w:rsid w:val="000F7962"/>
    <w:rsid w:val="001025E7"/>
    <w:rsid w:val="00102B51"/>
    <w:rsid w:val="00102E70"/>
    <w:rsid w:val="00103BCA"/>
    <w:rsid w:val="00104A84"/>
    <w:rsid w:val="00105408"/>
    <w:rsid w:val="00107131"/>
    <w:rsid w:val="0010736F"/>
    <w:rsid w:val="0010741F"/>
    <w:rsid w:val="00113F73"/>
    <w:rsid w:val="00115D52"/>
    <w:rsid w:val="00116208"/>
    <w:rsid w:val="00120790"/>
    <w:rsid w:val="00121CC2"/>
    <w:rsid w:val="0012475E"/>
    <w:rsid w:val="00125871"/>
    <w:rsid w:val="00125B00"/>
    <w:rsid w:val="00131AAB"/>
    <w:rsid w:val="00132AFB"/>
    <w:rsid w:val="0013388C"/>
    <w:rsid w:val="00133EE5"/>
    <w:rsid w:val="00135B52"/>
    <w:rsid w:val="001401AF"/>
    <w:rsid w:val="00145856"/>
    <w:rsid w:val="00146883"/>
    <w:rsid w:val="00147099"/>
    <w:rsid w:val="001474BB"/>
    <w:rsid w:val="00154159"/>
    <w:rsid w:val="001639F5"/>
    <w:rsid w:val="00167A34"/>
    <w:rsid w:val="00171355"/>
    <w:rsid w:val="00190EA6"/>
    <w:rsid w:val="0019281D"/>
    <w:rsid w:val="001A16E6"/>
    <w:rsid w:val="001A18F6"/>
    <w:rsid w:val="001A75C8"/>
    <w:rsid w:val="001A7870"/>
    <w:rsid w:val="001B10DF"/>
    <w:rsid w:val="001B448E"/>
    <w:rsid w:val="001B6FDE"/>
    <w:rsid w:val="001C16C8"/>
    <w:rsid w:val="001C1B41"/>
    <w:rsid w:val="001C3218"/>
    <w:rsid w:val="001C455A"/>
    <w:rsid w:val="001C51BF"/>
    <w:rsid w:val="001C718B"/>
    <w:rsid w:val="001D06C1"/>
    <w:rsid w:val="001D122E"/>
    <w:rsid w:val="001D385C"/>
    <w:rsid w:val="001D65EF"/>
    <w:rsid w:val="001E25BB"/>
    <w:rsid w:val="001E45D1"/>
    <w:rsid w:val="001E5290"/>
    <w:rsid w:val="001F05EE"/>
    <w:rsid w:val="001F254D"/>
    <w:rsid w:val="001F3221"/>
    <w:rsid w:val="001F6DB5"/>
    <w:rsid w:val="00200732"/>
    <w:rsid w:val="00200DE3"/>
    <w:rsid w:val="00203480"/>
    <w:rsid w:val="002035BA"/>
    <w:rsid w:val="002035D4"/>
    <w:rsid w:val="00204B87"/>
    <w:rsid w:val="0021255C"/>
    <w:rsid w:val="00214728"/>
    <w:rsid w:val="00215CCD"/>
    <w:rsid w:val="002221A1"/>
    <w:rsid w:val="002250A3"/>
    <w:rsid w:val="00225D3B"/>
    <w:rsid w:val="00227C8A"/>
    <w:rsid w:val="00231484"/>
    <w:rsid w:val="00235217"/>
    <w:rsid w:val="00235F19"/>
    <w:rsid w:val="0024117D"/>
    <w:rsid w:val="00246D1F"/>
    <w:rsid w:val="00247403"/>
    <w:rsid w:val="00247542"/>
    <w:rsid w:val="002562F1"/>
    <w:rsid w:val="0025679E"/>
    <w:rsid w:val="00262A72"/>
    <w:rsid w:val="0026342F"/>
    <w:rsid w:val="00263A28"/>
    <w:rsid w:val="00264882"/>
    <w:rsid w:val="00265746"/>
    <w:rsid w:val="002660A4"/>
    <w:rsid w:val="00266B61"/>
    <w:rsid w:val="0026712A"/>
    <w:rsid w:val="0026734D"/>
    <w:rsid w:val="002704DB"/>
    <w:rsid w:val="0027311F"/>
    <w:rsid w:val="00274A29"/>
    <w:rsid w:val="00275D3D"/>
    <w:rsid w:val="002774BA"/>
    <w:rsid w:val="002811DB"/>
    <w:rsid w:val="00281C8C"/>
    <w:rsid w:val="00286DB9"/>
    <w:rsid w:val="00290F1E"/>
    <w:rsid w:val="00292059"/>
    <w:rsid w:val="0029382E"/>
    <w:rsid w:val="00294BD0"/>
    <w:rsid w:val="002A0942"/>
    <w:rsid w:val="002A0AAE"/>
    <w:rsid w:val="002A2CF5"/>
    <w:rsid w:val="002A36B0"/>
    <w:rsid w:val="002A462B"/>
    <w:rsid w:val="002A52A4"/>
    <w:rsid w:val="002A5820"/>
    <w:rsid w:val="002B0D5D"/>
    <w:rsid w:val="002B128B"/>
    <w:rsid w:val="002B13B9"/>
    <w:rsid w:val="002B28FF"/>
    <w:rsid w:val="002B3605"/>
    <w:rsid w:val="002B57CD"/>
    <w:rsid w:val="002B7B0B"/>
    <w:rsid w:val="002C2CDA"/>
    <w:rsid w:val="002C30FE"/>
    <w:rsid w:val="002C39DB"/>
    <w:rsid w:val="002C44AB"/>
    <w:rsid w:val="002C567B"/>
    <w:rsid w:val="002D143C"/>
    <w:rsid w:val="002D2B26"/>
    <w:rsid w:val="002D4A3F"/>
    <w:rsid w:val="002D5ECB"/>
    <w:rsid w:val="002D7EA2"/>
    <w:rsid w:val="002E1342"/>
    <w:rsid w:val="002E187C"/>
    <w:rsid w:val="002E1EC6"/>
    <w:rsid w:val="002E387C"/>
    <w:rsid w:val="002E3E6F"/>
    <w:rsid w:val="002F609F"/>
    <w:rsid w:val="002F60DB"/>
    <w:rsid w:val="003005C8"/>
    <w:rsid w:val="00302733"/>
    <w:rsid w:val="00303A6A"/>
    <w:rsid w:val="00306C6B"/>
    <w:rsid w:val="0031059E"/>
    <w:rsid w:val="00311595"/>
    <w:rsid w:val="00311E06"/>
    <w:rsid w:val="00313713"/>
    <w:rsid w:val="00314078"/>
    <w:rsid w:val="00314BBB"/>
    <w:rsid w:val="0031535D"/>
    <w:rsid w:val="00316171"/>
    <w:rsid w:val="003166FB"/>
    <w:rsid w:val="00317083"/>
    <w:rsid w:val="00321FF8"/>
    <w:rsid w:val="00322479"/>
    <w:rsid w:val="003225C0"/>
    <w:rsid w:val="00323737"/>
    <w:rsid w:val="00327D59"/>
    <w:rsid w:val="00327D86"/>
    <w:rsid w:val="00330F60"/>
    <w:rsid w:val="0033169F"/>
    <w:rsid w:val="00336FCB"/>
    <w:rsid w:val="00337BAC"/>
    <w:rsid w:val="0034220C"/>
    <w:rsid w:val="0034447D"/>
    <w:rsid w:val="00344C1F"/>
    <w:rsid w:val="00346C95"/>
    <w:rsid w:val="00350929"/>
    <w:rsid w:val="00350B36"/>
    <w:rsid w:val="00350EB2"/>
    <w:rsid w:val="00351D2E"/>
    <w:rsid w:val="003532C6"/>
    <w:rsid w:val="00353498"/>
    <w:rsid w:val="00353553"/>
    <w:rsid w:val="00353ED9"/>
    <w:rsid w:val="00356185"/>
    <w:rsid w:val="00360380"/>
    <w:rsid w:val="00361F03"/>
    <w:rsid w:val="00361F29"/>
    <w:rsid w:val="00365215"/>
    <w:rsid w:val="00367375"/>
    <w:rsid w:val="0037519E"/>
    <w:rsid w:val="0038061B"/>
    <w:rsid w:val="00380BAD"/>
    <w:rsid w:val="003856DE"/>
    <w:rsid w:val="00386CF0"/>
    <w:rsid w:val="00390378"/>
    <w:rsid w:val="0039243B"/>
    <w:rsid w:val="003956C5"/>
    <w:rsid w:val="00396242"/>
    <w:rsid w:val="003A0064"/>
    <w:rsid w:val="003A11A8"/>
    <w:rsid w:val="003A13A7"/>
    <w:rsid w:val="003A3BF0"/>
    <w:rsid w:val="003A3D70"/>
    <w:rsid w:val="003A59BE"/>
    <w:rsid w:val="003A6F75"/>
    <w:rsid w:val="003A7B1E"/>
    <w:rsid w:val="003B086D"/>
    <w:rsid w:val="003C03D7"/>
    <w:rsid w:val="003C128C"/>
    <w:rsid w:val="003C1888"/>
    <w:rsid w:val="003C1CAE"/>
    <w:rsid w:val="003C1DCF"/>
    <w:rsid w:val="003C64C4"/>
    <w:rsid w:val="003C676B"/>
    <w:rsid w:val="003C7625"/>
    <w:rsid w:val="003C790C"/>
    <w:rsid w:val="003D104D"/>
    <w:rsid w:val="003D28AD"/>
    <w:rsid w:val="003D3946"/>
    <w:rsid w:val="003D3BC2"/>
    <w:rsid w:val="003D49F9"/>
    <w:rsid w:val="003D7813"/>
    <w:rsid w:val="003D7B18"/>
    <w:rsid w:val="003E0FCF"/>
    <w:rsid w:val="003E6CA1"/>
    <w:rsid w:val="003F203D"/>
    <w:rsid w:val="003F2324"/>
    <w:rsid w:val="003F260C"/>
    <w:rsid w:val="003F56EF"/>
    <w:rsid w:val="004013EB"/>
    <w:rsid w:val="004026A8"/>
    <w:rsid w:val="00402ACF"/>
    <w:rsid w:val="004034C9"/>
    <w:rsid w:val="00403617"/>
    <w:rsid w:val="004042C8"/>
    <w:rsid w:val="00405DC8"/>
    <w:rsid w:val="00411427"/>
    <w:rsid w:val="00411A8F"/>
    <w:rsid w:val="00413B66"/>
    <w:rsid w:val="00413F2B"/>
    <w:rsid w:val="00414A9C"/>
    <w:rsid w:val="004165C2"/>
    <w:rsid w:val="00416C07"/>
    <w:rsid w:val="0041707B"/>
    <w:rsid w:val="00424385"/>
    <w:rsid w:val="00433A1F"/>
    <w:rsid w:val="00433AB8"/>
    <w:rsid w:val="004409F3"/>
    <w:rsid w:val="0044176C"/>
    <w:rsid w:val="00441ECB"/>
    <w:rsid w:val="004445B4"/>
    <w:rsid w:val="00445D29"/>
    <w:rsid w:val="00447494"/>
    <w:rsid w:val="00447CA6"/>
    <w:rsid w:val="00453315"/>
    <w:rsid w:val="00456F92"/>
    <w:rsid w:val="0046152C"/>
    <w:rsid w:val="00462570"/>
    <w:rsid w:val="00464639"/>
    <w:rsid w:val="00467B7E"/>
    <w:rsid w:val="004730B2"/>
    <w:rsid w:val="00474EA1"/>
    <w:rsid w:val="0047599F"/>
    <w:rsid w:val="00477592"/>
    <w:rsid w:val="004802B1"/>
    <w:rsid w:val="00481080"/>
    <w:rsid w:val="00486F1C"/>
    <w:rsid w:val="004903B1"/>
    <w:rsid w:val="00492688"/>
    <w:rsid w:val="004926F5"/>
    <w:rsid w:val="0049419D"/>
    <w:rsid w:val="00495F93"/>
    <w:rsid w:val="004A3EAF"/>
    <w:rsid w:val="004A4FDF"/>
    <w:rsid w:val="004B2377"/>
    <w:rsid w:val="004B2F56"/>
    <w:rsid w:val="004B376C"/>
    <w:rsid w:val="004B3952"/>
    <w:rsid w:val="004C1949"/>
    <w:rsid w:val="004C1B0D"/>
    <w:rsid w:val="004C20D2"/>
    <w:rsid w:val="004C3F29"/>
    <w:rsid w:val="004C4392"/>
    <w:rsid w:val="004C4B62"/>
    <w:rsid w:val="004C54C9"/>
    <w:rsid w:val="004C679D"/>
    <w:rsid w:val="004C7B32"/>
    <w:rsid w:val="004D1181"/>
    <w:rsid w:val="004D229F"/>
    <w:rsid w:val="004D4D95"/>
    <w:rsid w:val="004D533D"/>
    <w:rsid w:val="004D57BE"/>
    <w:rsid w:val="004D6025"/>
    <w:rsid w:val="004D760C"/>
    <w:rsid w:val="004E051A"/>
    <w:rsid w:val="004E056C"/>
    <w:rsid w:val="004E2649"/>
    <w:rsid w:val="004E3FBD"/>
    <w:rsid w:val="004E5562"/>
    <w:rsid w:val="004E79CC"/>
    <w:rsid w:val="004F2B3C"/>
    <w:rsid w:val="004F6BDA"/>
    <w:rsid w:val="004F7AC1"/>
    <w:rsid w:val="0050032C"/>
    <w:rsid w:val="00501399"/>
    <w:rsid w:val="00501D55"/>
    <w:rsid w:val="005035AE"/>
    <w:rsid w:val="0050620A"/>
    <w:rsid w:val="0050633D"/>
    <w:rsid w:val="00507BC4"/>
    <w:rsid w:val="005112CF"/>
    <w:rsid w:val="005125B7"/>
    <w:rsid w:val="005128E4"/>
    <w:rsid w:val="00512C89"/>
    <w:rsid w:val="005133DB"/>
    <w:rsid w:val="00513BA2"/>
    <w:rsid w:val="00514419"/>
    <w:rsid w:val="005149E6"/>
    <w:rsid w:val="0051524B"/>
    <w:rsid w:val="0052016F"/>
    <w:rsid w:val="00524B6F"/>
    <w:rsid w:val="00524B9A"/>
    <w:rsid w:val="00525560"/>
    <w:rsid w:val="005266AD"/>
    <w:rsid w:val="00527830"/>
    <w:rsid w:val="00535CA0"/>
    <w:rsid w:val="00541F42"/>
    <w:rsid w:val="00542161"/>
    <w:rsid w:val="00542254"/>
    <w:rsid w:val="00543679"/>
    <w:rsid w:val="00544B77"/>
    <w:rsid w:val="00544C49"/>
    <w:rsid w:val="00545007"/>
    <w:rsid w:val="005471D4"/>
    <w:rsid w:val="005516A1"/>
    <w:rsid w:val="00554ADA"/>
    <w:rsid w:val="005551DE"/>
    <w:rsid w:val="005602AC"/>
    <w:rsid w:val="0056419F"/>
    <w:rsid w:val="0056466B"/>
    <w:rsid w:val="005655B2"/>
    <w:rsid w:val="00565746"/>
    <w:rsid w:val="0056794C"/>
    <w:rsid w:val="00567A2D"/>
    <w:rsid w:val="00570D5F"/>
    <w:rsid w:val="0057219F"/>
    <w:rsid w:val="0057402A"/>
    <w:rsid w:val="00575338"/>
    <w:rsid w:val="005760A8"/>
    <w:rsid w:val="005771D0"/>
    <w:rsid w:val="0058060B"/>
    <w:rsid w:val="00587237"/>
    <w:rsid w:val="00591772"/>
    <w:rsid w:val="0059191A"/>
    <w:rsid w:val="00591D2E"/>
    <w:rsid w:val="005921FF"/>
    <w:rsid w:val="00592474"/>
    <w:rsid w:val="00596DE5"/>
    <w:rsid w:val="00597615"/>
    <w:rsid w:val="00597D89"/>
    <w:rsid w:val="005A1BFD"/>
    <w:rsid w:val="005A6D0E"/>
    <w:rsid w:val="005B04E1"/>
    <w:rsid w:val="005B2F97"/>
    <w:rsid w:val="005B52B0"/>
    <w:rsid w:val="005B567A"/>
    <w:rsid w:val="005B6806"/>
    <w:rsid w:val="005B751D"/>
    <w:rsid w:val="005C1306"/>
    <w:rsid w:val="005C4225"/>
    <w:rsid w:val="005C5DBC"/>
    <w:rsid w:val="005D2B8E"/>
    <w:rsid w:val="005D4A2E"/>
    <w:rsid w:val="005D5E12"/>
    <w:rsid w:val="005D77A9"/>
    <w:rsid w:val="005E2265"/>
    <w:rsid w:val="005E5293"/>
    <w:rsid w:val="005E7822"/>
    <w:rsid w:val="005F0DAD"/>
    <w:rsid w:val="005F0F33"/>
    <w:rsid w:val="005F26F9"/>
    <w:rsid w:val="005F3413"/>
    <w:rsid w:val="00600DEB"/>
    <w:rsid w:val="00601CAD"/>
    <w:rsid w:val="0060227A"/>
    <w:rsid w:val="00605A4A"/>
    <w:rsid w:val="00610126"/>
    <w:rsid w:val="00610453"/>
    <w:rsid w:val="00611A5C"/>
    <w:rsid w:val="0061368E"/>
    <w:rsid w:val="00613858"/>
    <w:rsid w:val="006140CF"/>
    <w:rsid w:val="0061631C"/>
    <w:rsid w:val="00617752"/>
    <w:rsid w:val="006177BB"/>
    <w:rsid w:val="006178DB"/>
    <w:rsid w:val="00620038"/>
    <w:rsid w:val="00620089"/>
    <w:rsid w:val="0062532E"/>
    <w:rsid w:val="00626DE7"/>
    <w:rsid w:val="00627C9F"/>
    <w:rsid w:val="006305F1"/>
    <w:rsid w:val="006311E9"/>
    <w:rsid w:val="006313F3"/>
    <w:rsid w:val="00632354"/>
    <w:rsid w:val="0063577F"/>
    <w:rsid w:val="00637851"/>
    <w:rsid w:val="00642810"/>
    <w:rsid w:val="006469CA"/>
    <w:rsid w:val="00651638"/>
    <w:rsid w:val="00651928"/>
    <w:rsid w:val="00652333"/>
    <w:rsid w:val="00656CEE"/>
    <w:rsid w:val="00657AC1"/>
    <w:rsid w:val="006618E3"/>
    <w:rsid w:val="00663088"/>
    <w:rsid w:val="006663D6"/>
    <w:rsid w:val="006664C3"/>
    <w:rsid w:val="0066755E"/>
    <w:rsid w:val="00667622"/>
    <w:rsid w:val="00670C12"/>
    <w:rsid w:val="00671094"/>
    <w:rsid w:val="00671393"/>
    <w:rsid w:val="00675524"/>
    <w:rsid w:val="00676575"/>
    <w:rsid w:val="00677831"/>
    <w:rsid w:val="0068009E"/>
    <w:rsid w:val="006801BB"/>
    <w:rsid w:val="006813E1"/>
    <w:rsid w:val="00681407"/>
    <w:rsid w:val="006817E4"/>
    <w:rsid w:val="00682A8D"/>
    <w:rsid w:val="00682C13"/>
    <w:rsid w:val="00683959"/>
    <w:rsid w:val="00690694"/>
    <w:rsid w:val="00691508"/>
    <w:rsid w:val="00692219"/>
    <w:rsid w:val="006941AC"/>
    <w:rsid w:val="00695369"/>
    <w:rsid w:val="006960D9"/>
    <w:rsid w:val="00696713"/>
    <w:rsid w:val="006A0028"/>
    <w:rsid w:val="006A0211"/>
    <w:rsid w:val="006A17D2"/>
    <w:rsid w:val="006A3BA3"/>
    <w:rsid w:val="006A449E"/>
    <w:rsid w:val="006A544D"/>
    <w:rsid w:val="006A614F"/>
    <w:rsid w:val="006A73E6"/>
    <w:rsid w:val="006B2D5C"/>
    <w:rsid w:val="006B3579"/>
    <w:rsid w:val="006B43AB"/>
    <w:rsid w:val="006C19A9"/>
    <w:rsid w:val="006C333D"/>
    <w:rsid w:val="006C4647"/>
    <w:rsid w:val="006C4EB1"/>
    <w:rsid w:val="006D2066"/>
    <w:rsid w:val="006D487A"/>
    <w:rsid w:val="006D5EE1"/>
    <w:rsid w:val="006D64A0"/>
    <w:rsid w:val="006E0166"/>
    <w:rsid w:val="006E0739"/>
    <w:rsid w:val="006E0CBE"/>
    <w:rsid w:val="006E2C2E"/>
    <w:rsid w:val="006E7B34"/>
    <w:rsid w:val="006F5CBA"/>
    <w:rsid w:val="007019C8"/>
    <w:rsid w:val="007044EA"/>
    <w:rsid w:val="0070697F"/>
    <w:rsid w:val="00714536"/>
    <w:rsid w:val="00714781"/>
    <w:rsid w:val="00715040"/>
    <w:rsid w:val="0072039A"/>
    <w:rsid w:val="0072199C"/>
    <w:rsid w:val="00722C9F"/>
    <w:rsid w:val="007253B8"/>
    <w:rsid w:val="00725DE7"/>
    <w:rsid w:val="00731824"/>
    <w:rsid w:val="0073518F"/>
    <w:rsid w:val="007361A3"/>
    <w:rsid w:val="0073741F"/>
    <w:rsid w:val="00741936"/>
    <w:rsid w:val="00745DD4"/>
    <w:rsid w:val="00746484"/>
    <w:rsid w:val="007509CE"/>
    <w:rsid w:val="00751003"/>
    <w:rsid w:val="00753E99"/>
    <w:rsid w:val="00755023"/>
    <w:rsid w:val="007562EE"/>
    <w:rsid w:val="00764E8A"/>
    <w:rsid w:val="0076643F"/>
    <w:rsid w:val="0077039E"/>
    <w:rsid w:val="00770EE9"/>
    <w:rsid w:val="0077118B"/>
    <w:rsid w:val="00771DED"/>
    <w:rsid w:val="007738F4"/>
    <w:rsid w:val="007753E5"/>
    <w:rsid w:val="007761B4"/>
    <w:rsid w:val="007776EF"/>
    <w:rsid w:val="00777F63"/>
    <w:rsid w:val="0078037E"/>
    <w:rsid w:val="007805B0"/>
    <w:rsid w:val="007806C3"/>
    <w:rsid w:val="00783BEE"/>
    <w:rsid w:val="007900AF"/>
    <w:rsid w:val="00795DC3"/>
    <w:rsid w:val="00796BC7"/>
    <w:rsid w:val="007976D3"/>
    <w:rsid w:val="007A0500"/>
    <w:rsid w:val="007A1A42"/>
    <w:rsid w:val="007A5817"/>
    <w:rsid w:val="007A7084"/>
    <w:rsid w:val="007B02CB"/>
    <w:rsid w:val="007B1298"/>
    <w:rsid w:val="007B2915"/>
    <w:rsid w:val="007B2DF6"/>
    <w:rsid w:val="007B60E9"/>
    <w:rsid w:val="007B6CC3"/>
    <w:rsid w:val="007B778C"/>
    <w:rsid w:val="007B795B"/>
    <w:rsid w:val="007C3334"/>
    <w:rsid w:val="007C4467"/>
    <w:rsid w:val="007C614B"/>
    <w:rsid w:val="007C66F7"/>
    <w:rsid w:val="007C70CE"/>
    <w:rsid w:val="007C75A1"/>
    <w:rsid w:val="007C7937"/>
    <w:rsid w:val="007C7BEC"/>
    <w:rsid w:val="007D10EE"/>
    <w:rsid w:val="007D1187"/>
    <w:rsid w:val="007D2B98"/>
    <w:rsid w:val="007E21BC"/>
    <w:rsid w:val="007E58D5"/>
    <w:rsid w:val="007E62E5"/>
    <w:rsid w:val="007E70A0"/>
    <w:rsid w:val="007F4A96"/>
    <w:rsid w:val="007F6406"/>
    <w:rsid w:val="007F7700"/>
    <w:rsid w:val="00800E2C"/>
    <w:rsid w:val="00802F8F"/>
    <w:rsid w:val="00803F1C"/>
    <w:rsid w:val="0080600E"/>
    <w:rsid w:val="008065F0"/>
    <w:rsid w:val="008107A0"/>
    <w:rsid w:val="00817612"/>
    <w:rsid w:val="0082235D"/>
    <w:rsid w:val="008252F2"/>
    <w:rsid w:val="00826F6F"/>
    <w:rsid w:val="00831DCC"/>
    <w:rsid w:val="008320AA"/>
    <w:rsid w:val="00832D3F"/>
    <w:rsid w:val="00832EE3"/>
    <w:rsid w:val="008338A4"/>
    <w:rsid w:val="0083422F"/>
    <w:rsid w:val="00835C0A"/>
    <w:rsid w:val="00835D0E"/>
    <w:rsid w:val="00836535"/>
    <w:rsid w:val="008365D7"/>
    <w:rsid w:val="00836F79"/>
    <w:rsid w:val="00837C45"/>
    <w:rsid w:val="00841940"/>
    <w:rsid w:val="00844730"/>
    <w:rsid w:val="008448E0"/>
    <w:rsid w:val="008454BD"/>
    <w:rsid w:val="008457C2"/>
    <w:rsid w:val="00845B63"/>
    <w:rsid w:val="00846E01"/>
    <w:rsid w:val="00853203"/>
    <w:rsid w:val="00857A82"/>
    <w:rsid w:val="008619FD"/>
    <w:rsid w:val="00866ED4"/>
    <w:rsid w:val="00870E60"/>
    <w:rsid w:val="00873836"/>
    <w:rsid w:val="00873ECA"/>
    <w:rsid w:val="00883BDE"/>
    <w:rsid w:val="0088541A"/>
    <w:rsid w:val="00885737"/>
    <w:rsid w:val="00887718"/>
    <w:rsid w:val="00887BA6"/>
    <w:rsid w:val="00890650"/>
    <w:rsid w:val="00890F92"/>
    <w:rsid w:val="0089653D"/>
    <w:rsid w:val="008967DE"/>
    <w:rsid w:val="00897800"/>
    <w:rsid w:val="00897BCB"/>
    <w:rsid w:val="00897E12"/>
    <w:rsid w:val="008A2444"/>
    <w:rsid w:val="008A3D74"/>
    <w:rsid w:val="008A7E0F"/>
    <w:rsid w:val="008B12F5"/>
    <w:rsid w:val="008B34E7"/>
    <w:rsid w:val="008B39DE"/>
    <w:rsid w:val="008B61DC"/>
    <w:rsid w:val="008C2FDC"/>
    <w:rsid w:val="008C4FE0"/>
    <w:rsid w:val="008C6F79"/>
    <w:rsid w:val="008D0513"/>
    <w:rsid w:val="008D1C84"/>
    <w:rsid w:val="008D4AE2"/>
    <w:rsid w:val="008D51D7"/>
    <w:rsid w:val="008D568C"/>
    <w:rsid w:val="008D6390"/>
    <w:rsid w:val="008D6835"/>
    <w:rsid w:val="008D6F6C"/>
    <w:rsid w:val="008D768D"/>
    <w:rsid w:val="008E0D8C"/>
    <w:rsid w:val="008E18A0"/>
    <w:rsid w:val="008E32A9"/>
    <w:rsid w:val="008E3759"/>
    <w:rsid w:val="008E3F6C"/>
    <w:rsid w:val="008E6225"/>
    <w:rsid w:val="008E7AC4"/>
    <w:rsid w:val="008F02E0"/>
    <w:rsid w:val="008F1912"/>
    <w:rsid w:val="008F2576"/>
    <w:rsid w:val="008F5A1B"/>
    <w:rsid w:val="00900F5D"/>
    <w:rsid w:val="00901950"/>
    <w:rsid w:val="0090270B"/>
    <w:rsid w:val="009041DC"/>
    <w:rsid w:val="00907219"/>
    <w:rsid w:val="00907BA7"/>
    <w:rsid w:val="009126FF"/>
    <w:rsid w:val="009129E3"/>
    <w:rsid w:val="00912C9D"/>
    <w:rsid w:val="00917B5A"/>
    <w:rsid w:val="00920A58"/>
    <w:rsid w:val="00920A8C"/>
    <w:rsid w:val="00923A69"/>
    <w:rsid w:val="009251B7"/>
    <w:rsid w:val="00925682"/>
    <w:rsid w:val="00926F5B"/>
    <w:rsid w:val="00931711"/>
    <w:rsid w:val="00931B1B"/>
    <w:rsid w:val="00932525"/>
    <w:rsid w:val="00932D0B"/>
    <w:rsid w:val="00934A2C"/>
    <w:rsid w:val="0093770E"/>
    <w:rsid w:val="00937E12"/>
    <w:rsid w:val="009428C3"/>
    <w:rsid w:val="0094622B"/>
    <w:rsid w:val="0094627F"/>
    <w:rsid w:val="0094734F"/>
    <w:rsid w:val="009474E4"/>
    <w:rsid w:val="00947CE7"/>
    <w:rsid w:val="00954C81"/>
    <w:rsid w:val="0095554E"/>
    <w:rsid w:val="009563AE"/>
    <w:rsid w:val="00960C53"/>
    <w:rsid w:val="00962DA0"/>
    <w:rsid w:val="0096706E"/>
    <w:rsid w:val="00970449"/>
    <w:rsid w:val="00970F68"/>
    <w:rsid w:val="009722D9"/>
    <w:rsid w:val="00972EE8"/>
    <w:rsid w:val="009747A0"/>
    <w:rsid w:val="00975C4E"/>
    <w:rsid w:val="0097628C"/>
    <w:rsid w:val="009763EE"/>
    <w:rsid w:val="00977D4F"/>
    <w:rsid w:val="00981028"/>
    <w:rsid w:val="00981FBA"/>
    <w:rsid w:val="009837C0"/>
    <w:rsid w:val="00983FB0"/>
    <w:rsid w:val="00984EAC"/>
    <w:rsid w:val="009874FA"/>
    <w:rsid w:val="009951ED"/>
    <w:rsid w:val="009958A7"/>
    <w:rsid w:val="009975B1"/>
    <w:rsid w:val="00997BC5"/>
    <w:rsid w:val="009A09B5"/>
    <w:rsid w:val="009A3C3A"/>
    <w:rsid w:val="009A4F41"/>
    <w:rsid w:val="009A501E"/>
    <w:rsid w:val="009B146B"/>
    <w:rsid w:val="009B251D"/>
    <w:rsid w:val="009B381B"/>
    <w:rsid w:val="009B50F4"/>
    <w:rsid w:val="009B6FF3"/>
    <w:rsid w:val="009C0E96"/>
    <w:rsid w:val="009C6319"/>
    <w:rsid w:val="009C6FA0"/>
    <w:rsid w:val="009D0330"/>
    <w:rsid w:val="009D1753"/>
    <w:rsid w:val="009D1C13"/>
    <w:rsid w:val="009D2C8F"/>
    <w:rsid w:val="009D4297"/>
    <w:rsid w:val="009D46F5"/>
    <w:rsid w:val="009D7083"/>
    <w:rsid w:val="009D7611"/>
    <w:rsid w:val="009D7C39"/>
    <w:rsid w:val="009E0631"/>
    <w:rsid w:val="009E08C0"/>
    <w:rsid w:val="009E0B61"/>
    <w:rsid w:val="009E2396"/>
    <w:rsid w:val="009E3199"/>
    <w:rsid w:val="009E53DE"/>
    <w:rsid w:val="009E59F6"/>
    <w:rsid w:val="009E6791"/>
    <w:rsid w:val="009F1604"/>
    <w:rsid w:val="009F5554"/>
    <w:rsid w:val="009F5D29"/>
    <w:rsid w:val="00A015DF"/>
    <w:rsid w:val="00A02030"/>
    <w:rsid w:val="00A07C81"/>
    <w:rsid w:val="00A10534"/>
    <w:rsid w:val="00A117EE"/>
    <w:rsid w:val="00A13E4C"/>
    <w:rsid w:val="00A1413B"/>
    <w:rsid w:val="00A17476"/>
    <w:rsid w:val="00A21014"/>
    <w:rsid w:val="00A25344"/>
    <w:rsid w:val="00A25710"/>
    <w:rsid w:val="00A27468"/>
    <w:rsid w:val="00A328B3"/>
    <w:rsid w:val="00A32BE5"/>
    <w:rsid w:val="00A36312"/>
    <w:rsid w:val="00A373C2"/>
    <w:rsid w:val="00A3745E"/>
    <w:rsid w:val="00A37B88"/>
    <w:rsid w:val="00A37E9D"/>
    <w:rsid w:val="00A42A00"/>
    <w:rsid w:val="00A456BB"/>
    <w:rsid w:val="00A470C5"/>
    <w:rsid w:val="00A472B7"/>
    <w:rsid w:val="00A50FCF"/>
    <w:rsid w:val="00A528D1"/>
    <w:rsid w:val="00A5412A"/>
    <w:rsid w:val="00A55378"/>
    <w:rsid w:val="00A5575B"/>
    <w:rsid w:val="00A569E5"/>
    <w:rsid w:val="00A610CD"/>
    <w:rsid w:val="00A61289"/>
    <w:rsid w:val="00A64820"/>
    <w:rsid w:val="00A64987"/>
    <w:rsid w:val="00A65C3A"/>
    <w:rsid w:val="00A672A0"/>
    <w:rsid w:val="00A7101E"/>
    <w:rsid w:val="00A71090"/>
    <w:rsid w:val="00A71FA1"/>
    <w:rsid w:val="00A72B2E"/>
    <w:rsid w:val="00A814EB"/>
    <w:rsid w:val="00A8409C"/>
    <w:rsid w:val="00A93DBA"/>
    <w:rsid w:val="00A9658F"/>
    <w:rsid w:val="00A970ED"/>
    <w:rsid w:val="00AA09A2"/>
    <w:rsid w:val="00AA0CCE"/>
    <w:rsid w:val="00AA241A"/>
    <w:rsid w:val="00AA5BEE"/>
    <w:rsid w:val="00AA6610"/>
    <w:rsid w:val="00AA7996"/>
    <w:rsid w:val="00AB1D64"/>
    <w:rsid w:val="00AB3206"/>
    <w:rsid w:val="00AB3AC4"/>
    <w:rsid w:val="00AC0E8A"/>
    <w:rsid w:val="00AC19CB"/>
    <w:rsid w:val="00AC27EA"/>
    <w:rsid w:val="00AC37A5"/>
    <w:rsid w:val="00AC56E3"/>
    <w:rsid w:val="00AC7A06"/>
    <w:rsid w:val="00AD1243"/>
    <w:rsid w:val="00AD1981"/>
    <w:rsid w:val="00AD1B2D"/>
    <w:rsid w:val="00AD77C6"/>
    <w:rsid w:val="00AE23DE"/>
    <w:rsid w:val="00AE5488"/>
    <w:rsid w:val="00AE6F91"/>
    <w:rsid w:val="00AF5571"/>
    <w:rsid w:val="00AF6B4C"/>
    <w:rsid w:val="00AF6F28"/>
    <w:rsid w:val="00B03079"/>
    <w:rsid w:val="00B03B82"/>
    <w:rsid w:val="00B04DF0"/>
    <w:rsid w:val="00B05A7A"/>
    <w:rsid w:val="00B07341"/>
    <w:rsid w:val="00B1081F"/>
    <w:rsid w:val="00B142A9"/>
    <w:rsid w:val="00B2243F"/>
    <w:rsid w:val="00B22F7D"/>
    <w:rsid w:val="00B2419B"/>
    <w:rsid w:val="00B26581"/>
    <w:rsid w:val="00B30064"/>
    <w:rsid w:val="00B30539"/>
    <w:rsid w:val="00B314DB"/>
    <w:rsid w:val="00B316C5"/>
    <w:rsid w:val="00B3255A"/>
    <w:rsid w:val="00B33225"/>
    <w:rsid w:val="00B361F2"/>
    <w:rsid w:val="00B3718B"/>
    <w:rsid w:val="00B372FB"/>
    <w:rsid w:val="00B4112A"/>
    <w:rsid w:val="00B44357"/>
    <w:rsid w:val="00B4632A"/>
    <w:rsid w:val="00B46C2E"/>
    <w:rsid w:val="00B504FA"/>
    <w:rsid w:val="00B50E58"/>
    <w:rsid w:val="00B50ED4"/>
    <w:rsid w:val="00B510A1"/>
    <w:rsid w:val="00B530F1"/>
    <w:rsid w:val="00B579F9"/>
    <w:rsid w:val="00B63C5A"/>
    <w:rsid w:val="00B67442"/>
    <w:rsid w:val="00B67E3E"/>
    <w:rsid w:val="00B71238"/>
    <w:rsid w:val="00B732DC"/>
    <w:rsid w:val="00B748DB"/>
    <w:rsid w:val="00B80D21"/>
    <w:rsid w:val="00B81953"/>
    <w:rsid w:val="00B873F3"/>
    <w:rsid w:val="00B87DF7"/>
    <w:rsid w:val="00B907B7"/>
    <w:rsid w:val="00B91978"/>
    <w:rsid w:val="00B922CB"/>
    <w:rsid w:val="00B92D24"/>
    <w:rsid w:val="00B968A0"/>
    <w:rsid w:val="00BA0E92"/>
    <w:rsid w:val="00BA14F4"/>
    <w:rsid w:val="00BA1653"/>
    <w:rsid w:val="00BA205D"/>
    <w:rsid w:val="00BA276C"/>
    <w:rsid w:val="00BB2D68"/>
    <w:rsid w:val="00BB306F"/>
    <w:rsid w:val="00BB4DF5"/>
    <w:rsid w:val="00BB5844"/>
    <w:rsid w:val="00BB6415"/>
    <w:rsid w:val="00BB641E"/>
    <w:rsid w:val="00BB66E5"/>
    <w:rsid w:val="00BB6DDF"/>
    <w:rsid w:val="00BB74A3"/>
    <w:rsid w:val="00BC001A"/>
    <w:rsid w:val="00BC649D"/>
    <w:rsid w:val="00BC71B6"/>
    <w:rsid w:val="00BD13F3"/>
    <w:rsid w:val="00BD1BE7"/>
    <w:rsid w:val="00BD211F"/>
    <w:rsid w:val="00BD272D"/>
    <w:rsid w:val="00BD4B89"/>
    <w:rsid w:val="00BD53F4"/>
    <w:rsid w:val="00BD68CB"/>
    <w:rsid w:val="00BD6AD8"/>
    <w:rsid w:val="00BE2AA1"/>
    <w:rsid w:val="00BE2C1C"/>
    <w:rsid w:val="00BE2E9E"/>
    <w:rsid w:val="00BE6656"/>
    <w:rsid w:val="00BF2812"/>
    <w:rsid w:val="00BF45A9"/>
    <w:rsid w:val="00BF4DDB"/>
    <w:rsid w:val="00BF6E33"/>
    <w:rsid w:val="00BF6FD8"/>
    <w:rsid w:val="00C03680"/>
    <w:rsid w:val="00C038C8"/>
    <w:rsid w:val="00C054DF"/>
    <w:rsid w:val="00C11C19"/>
    <w:rsid w:val="00C11E4D"/>
    <w:rsid w:val="00C121EE"/>
    <w:rsid w:val="00C12B2A"/>
    <w:rsid w:val="00C1489A"/>
    <w:rsid w:val="00C15ED5"/>
    <w:rsid w:val="00C20D38"/>
    <w:rsid w:val="00C210CE"/>
    <w:rsid w:val="00C2111D"/>
    <w:rsid w:val="00C21762"/>
    <w:rsid w:val="00C24543"/>
    <w:rsid w:val="00C24AB0"/>
    <w:rsid w:val="00C24B7D"/>
    <w:rsid w:val="00C256A2"/>
    <w:rsid w:val="00C25C73"/>
    <w:rsid w:val="00C261A7"/>
    <w:rsid w:val="00C3155B"/>
    <w:rsid w:val="00C3317C"/>
    <w:rsid w:val="00C337A1"/>
    <w:rsid w:val="00C33F49"/>
    <w:rsid w:val="00C34F95"/>
    <w:rsid w:val="00C41FBB"/>
    <w:rsid w:val="00C45F94"/>
    <w:rsid w:val="00C5072E"/>
    <w:rsid w:val="00C51515"/>
    <w:rsid w:val="00C541CD"/>
    <w:rsid w:val="00C55B98"/>
    <w:rsid w:val="00C5660B"/>
    <w:rsid w:val="00C61356"/>
    <w:rsid w:val="00C64925"/>
    <w:rsid w:val="00C6536A"/>
    <w:rsid w:val="00C668AD"/>
    <w:rsid w:val="00C66B72"/>
    <w:rsid w:val="00C70227"/>
    <w:rsid w:val="00C708C6"/>
    <w:rsid w:val="00C74EE1"/>
    <w:rsid w:val="00C75BEB"/>
    <w:rsid w:val="00C8003C"/>
    <w:rsid w:val="00C80785"/>
    <w:rsid w:val="00C80BFE"/>
    <w:rsid w:val="00C83080"/>
    <w:rsid w:val="00C83E17"/>
    <w:rsid w:val="00C83EC2"/>
    <w:rsid w:val="00C84589"/>
    <w:rsid w:val="00C85041"/>
    <w:rsid w:val="00C87282"/>
    <w:rsid w:val="00C91409"/>
    <w:rsid w:val="00C9567A"/>
    <w:rsid w:val="00C9654E"/>
    <w:rsid w:val="00C9761E"/>
    <w:rsid w:val="00CA2E8A"/>
    <w:rsid w:val="00CA6F94"/>
    <w:rsid w:val="00CA7646"/>
    <w:rsid w:val="00CA7F33"/>
    <w:rsid w:val="00CB18FF"/>
    <w:rsid w:val="00CB212D"/>
    <w:rsid w:val="00CB244E"/>
    <w:rsid w:val="00CB24E8"/>
    <w:rsid w:val="00CB2660"/>
    <w:rsid w:val="00CB7482"/>
    <w:rsid w:val="00CC1546"/>
    <w:rsid w:val="00CC2753"/>
    <w:rsid w:val="00CC2AAB"/>
    <w:rsid w:val="00CC4D4F"/>
    <w:rsid w:val="00CC5BEE"/>
    <w:rsid w:val="00CC5E90"/>
    <w:rsid w:val="00CD046C"/>
    <w:rsid w:val="00CD2125"/>
    <w:rsid w:val="00CD297F"/>
    <w:rsid w:val="00CD33A4"/>
    <w:rsid w:val="00CD38A3"/>
    <w:rsid w:val="00CD46D2"/>
    <w:rsid w:val="00CD5EAC"/>
    <w:rsid w:val="00CE076C"/>
    <w:rsid w:val="00CE1FBD"/>
    <w:rsid w:val="00CE2348"/>
    <w:rsid w:val="00CE4B35"/>
    <w:rsid w:val="00CE5199"/>
    <w:rsid w:val="00CE66D5"/>
    <w:rsid w:val="00CE6E41"/>
    <w:rsid w:val="00CE713D"/>
    <w:rsid w:val="00CE74BB"/>
    <w:rsid w:val="00CF2562"/>
    <w:rsid w:val="00CF637A"/>
    <w:rsid w:val="00D02250"/>
    <w:rsid w:val="00D059DE"/>
    <w:rsid w:val="00D121B3"/>
    <w:rsid w:val="00D13FCE"/>
    <w:rsid w:val="00D16323"/>
    <w:rsid w:val="00D16B8C"/>
    <w:rsid w:val="00D174F4"/>
    <w:rsid w:val="00D21B8F"/>
    <w:rsid w:val="00D26534"/>
    <w:rsid w:val="00D275FD"/>
    <w:rsid w:val="00D306D1"/>
    <w:rsid w:val="00D30782"/>
    <w:rsid w:val="00D30F77"/>
    <w:rsid w:val="00D31A7B"/>
    <w:rsid w:val="00D34786"/>
    <w:rsid w:val="00D351E3"/>
    <w:rsid w:val="00D36BE9"/>
    <w:rsid w:val="00D37BFC"/>
    <w:rsid w:val="00D41130"/>
    <w:rsid w:val="00D4457B"/>
    <w:rsid w:val="00D44F28"/>
    <w:rsid w:val="00D4664A"/>
    <w:rsid w:val="00D46A5B"/>
    <w:rsid w:val="00D46C86"/>
    <w:rsid w:val="00D47A8E"/>
    <w:rsid w:val="00D47BF3"/>
    <w:rsid w:val="00D508EB"/>
    <w:rsid w:val="00D52D14"/>
    <w:rsid w:val="00D53C8F"/>
    <w:rsid w:val="00D61E57"/>
    <w:rsid w:val="00D702F7"/>
    <w:rsid w:val="00D7081F"/>
    <w:rsid w:val="00D712D3"/>
    <w:rsid w:val="00D71422"/>
    <w:rsid w:val="00D72DC6"/>
    <w:rsid w:val="00D73093"/>
    <w:rsid w:val="00D733A0"/>
    <w:rsid w:val="00D7384C"/>
    <w:rsid w:val="00D74731"/>
    <w:rsid w:val="00D7558D"/>
    <w:rsid w:val="00D7605B"/>
    <w:rsid w:val="00D81D92"/>
    <w:rsid w:val="00D82663"/>
    <w:rsid w:val="00D8343A"/>
    <w:rsid w:val="00D84F02"/>
    <w:rsid w:val="00D85FF3"/>
    <w:rsid w:val="00D869A9"/>
    <w:rsid w:val="00D92112"/>
    <w:rsid w:val="00D93143"/>
    <w:rsid w:val="00DA0BAC"/>
    <w:rsid w:val="00DA1E5D"/>
    <w:rsid w:val="00DA1FAC"/>
    <w:rsid w:val="00DA2F9B"/>
    <w:rsid w:val="00DA5370"/>
    <w:rsid w:val="00DA7333"/>
    <w:rsid w:val="00DA7701"/>
    <w:rsid w:val="00DA7B5F"/>
    <w:rsid w:val="00DB3C79"/>
    <w:rsid w:val="00DB43BD"/>
    <w:rsid w:val="00DB48C0"/>
    <w:rsid w:val="00DC11E7"/>
    <w:rsid w:val="00DC2C94"/>
    <w:rsid w:val="00DC5E63"/>
    <w:rsid w:val="00DC5EAA"/>
    <w:rsid w:val="00DC7023"/>
    <w:rsid w:val="00DC769A"/>
    <w:rsid w:val="00DD376C"/>
    <w:rsid w:val="00DD3D86"/>
    <w:rsid w:val="00DD7AEB"/>
    <w:rsid w:val="00DE0AED"/>
    <w:rsid w:val="00DE20A1"/>
    <w:rsid w:val="00DE4F00"/>
    <w:rsid w:val="00DE6BF9"/>
    <w:rsid w:val="00DE75D2"/>
    <w:rsid w:val="00DF0B3E"/>
    <w:rsid w:val="00DF1EC4"/>
    <w:rsid w:val="00DF220A"/>
    <w:rsid w:val="00DF45DB"/>
    <w:rsid w:val="00DF4763"/>
    <w:rsid w:val="00DF5DA3"/>
    <w:rsid w:val="00E01A06"/>
    <w:rsid w:val="00E01A69"/>
    <w:rsid w:val="00E0340B"/>
    <w:rsid w:val="00E04A90"/>
    <w:rsid w:val="00E06253"/>
    <w:rsid w:val="00E1075B"/>
    <w:rsid w:val="00E1318B"/>
    <w:rsid w:val="00E1382B"/>
    <w:rsid w:val="00E16CE2"/>
    <w:rsid w:val="00E201E0"/>
    <w:rsid w:val="00E219C7"/>
    <w:rsid w:val="00E22FBE"/>
    <w:rsid w:val="00E26121"/>
    <w:rsid w:val="00E26B66"/>
    <w:rsid w:val="00E307E0"/>
    <w:rsid w:val="00E36AA7"/>
    <w:rsid w:val="00E42296"/>
    <w:rsid w:val="00E42AF7"/>
    <w:rsid w:val="00E42FE3"/>
    <w:rsid w:val="00E43157"/>
    <w:rsid w:val="00E44CA0"/>
    <w:rsid w:val="00E461CE"/>
    <w:rsid w:val="00E512EE"/>
    <w:rsid w:val="00E51E1B"/>
    <w:rsid w:val="00E55432"/>
    <w:rsid w:val="00E55AF7"/>
    <w:rsid w:val="00E5765D"/>
    <w:rsid w:val="00E57B61"/>
    <w:rsid w:val="00E63BD3"/>
    <w:rsid w:val="00E664B0"/>
    <w:rsid w:val="00E67F76"/>
    <w:rsid w:val="00E7172F"/>
    <w:rsid w:val="00E720CA"/>
    <w:rsid w:val="00E734E0"/>
    <w:rsid w:val="00E7419E"/>
    <w:rsid w:val="00E75570"/>
    <w:rsid w:val="00E77525"/>
    <w:rsid w:val="00E84EB5"/>
    <w:rsid w:val="00E85662"/>
    <w:rsid w:val="00E85D58"/>
    <w:rsid w:val="00E8789F"/>
    <w:rsid w:val="00E902B2"/>
    <w:rsid w:val="00E90F69"/>
    <w:rsid w:val="00E92036"/>
    <w:rsid w:val="00E93FF6"/>
    <w:rsid w:val="00E95008"/>
    <w:rsid w:val="00E97B71"/>
    <w:rsid w:val="00EA06B6"/>
    <w:rsid w:val="00EA3D34"/>
    <w:rsid w:val="00EA7B72"/>
    <w:rsid w:val="00EB3DC6"/>
    <w:rsid w:val="00EB41A4"/>
    <w:rsid w:val="00EB454D"/>
    <w:rsid w:val="00EB7938"/>
    <w:rsid w:val="00EC016B"/>
    <w:rsid w:val="00EC12F5"/>
    <w:rsid w:val="00EC3BBB"/>
    <w:rsid w:val="00EC6B7C"/>
    <w:rsid w:val="00ED0579"/>
    <w:rsid w:val="00ED0F42"/>
    <w:rsid w:val="00ED3DCB"/>
    <w:rsid w:val="00ED4C96"/>
    <w:rsid w:val="00ED75B0"/>
    <w:rsid w:val="00ED76BE"/>
    <w:rsid w:val="00EE033F"/>
    <w:rsid w:val="00EE1FD5"/>
    <w:rsid w:val="00EE3118"/>
    <w:rsid w:val="00EE38DD"/>
    <w:rsid w:val="00EE4B44"/>
    <w:rsid w:val="00EE78FE"/>
    <w:rsid w:val="00EF427A"/>
    <w:rsid w:val="00EF4AAF"/>
    <w:rsid w:val="00EF5230"/>
    <w:rsid w:val="00EF619B"/>
    <w:rsid w:val="00F0075A"/>
    <w:rsid w:val="00F00B55"/>
    <w:rsid w:val="00F02AD1"/>
    <w:rsid w:val="00F05C84"/>
    <w:rsid w:val="00F06305"/>
    <w:rsid w:val="00F0637E"/>
    <w:rsid w:val="00F06861"/>
    <w:rsid w:val="00F11214"/>
    <w:rsid w:val="00F112FB"/>
    <w:rsid w:val="00F1152D"/>
    <w:rsid w:val="00F12A5C"/>
    <w:rsid w:val="00F13342"/>
    <w:rsid w:val="00F13781"/>
    <w:rsid w:val="00F16B84"/>
    <w:rsid w:val="00F16E3D"/>
    <w:rsid w:val="00F16E76"/>
    <w:rsid w:val="00F175E1"/>
    <w:rsid w:val="00F2150E"/>
    <w:rsid w:val="00F24F85"/>
    <w:rsid w:val="00F253CC"/>
    <w:rsid w:val="00F3206F"/>
    <w:rsid w:val="00F3399D"/>
    <w:rsid w:val="00F36D39"/>
    <w:rsid w:val="00F37106"/>
    <w:rsid w:val="00F40154"/>
    <w:rsid w:val="00F40A82"/>
    <w:rsid w:val="00F42A64"/>
    <w:rsid w:val="00F519CF"/>
    <w:rsid w:val="00F5464B"/>
    <w:rsid w:val="00F56BA5"/>
    <w:rsid w:val="00F60E22"/>
    <w:rsid w:val="00F63095"/>
    <w:rsid w:val="00F641DA"/>
    <w:rsid w:val="00F657B4"/>
    <w:rsid w:val="00F671EC"/>
    <w:rsid w:val="00F70C34"/>
    <w:rsid w:val="00F71445"/>
    <w:rsid w:val="00F71CC8"/>
    <w:rsid w:val="00F72084"/>
    <w:rsid w:val="00F7665F"/>
    <w:rsid w:val="00F810F2"/>
    <w:rsid w:val="00F81395"/>
    <w:rsid w:val="00F81628"/>
    <w:rsid w:val="00F850AE"/>
    <w:rsid w:val="00F86F9A"/>
    <w:rsid w:val="00F917D1"/>
    <w:rsid w:val="00F920FF"/>
    <w:rsid w:val="00F9653B"/>
    <w:rsid w:val="00F96775"/>
    <w:rsid w:val="00FB0666"/>
    <w:rsid w:val="00FB1D69"/>
    <w:rsid w:val="00FB2AF9"/>
    <w:rsid w:val="00FB2D1A"/>
    <w:rsid w:val="00FB2E50"/>
    <w:rsid w:val="00FB5552"/>
    <w:rsid w:val="00FB5BDF"/>
    <w:rsid w:val="00FB62CF"/>
    <w:rsid w:val="00FB719C"/>
    <w:rsid w:val="00FC17EF"/>
    <w:rsid w:val="00FC23F2"/>
    <w:rsid w:val="00FC79D2"/>
    <w:rsid w:val="00FD3C3B"/>
    <w:rsid w:val="00FE3EB8"/>
    <w:rsid w:val="00FE6B45"/>
    <w:rsid w:val="00FF1F23"/>
    <w:rsid w:val="00FF337F"/>
    <w:rsid w:val="00FF3571"/>
    <w:rsid w:val="00FF3B36"/>
    <w:rsid w:val="00FF55F3"/>
    <w:rsid w:val="00FF5851"/>
    <w:rsid w:val="00FF7B7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header" w:uiPriority="0"/>
    <w:lsdException w:name="footer" w:uiPriority="0"/>
    <w:lsdException w:name="caption" w:uiPriority="35" w:qFormat="1"/>
    <w:lsdException w:name="footnote reference" w:uiPriority="0" w:qFormat="1"/>
    <w:lsdException w:name="annotation reference" w:uiPriority="0"/>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nhideWhenUsed="0" w:qFormat="1"/>
    <w:lsdException w:name="Document Map"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pBdr>
        <w:top w:val="nil"/>
        <w:left w:val="nil"/>
        <w:bottom w:val="nil"/>
        <w:right w:val="nil"/>
        <w:between w:val="nil"/>
        <w:bar w:val="nil"/>
      </w:pBdr>
    </w:pPr>
    <w:rPr>
      <w:sz w:val="24"/>
      <w:szCs w:val="24"/>
      <w:bdr w:val="nil"/>
      <w:lang w:val="en-US" w:eastAsia="en-US"/>
    </w:rPr>
  </w:style>
  <w:style w:type="paragraph" w:styleId="Ttulo1">
    <w:name w:val="heading 1"/>
    <w:basedOn w:val="Normal"/>
    <w:next w:val="Normal"/>
    <w:link w:val="Ttulo1Car"/>
    <w:qFormat/>
    <w:rsid w:val="00C85041"/>
    <w:pPr>
      <w:keepNext/>
      <w:keepLines/>
      <w:numPr>
        <w:numId w:val="53"/>
      </w:numPr>
      <w:tabs>
        <w:tab w:val="left" w:pos="1440"/>
      </w:tabs>
      <w:jc w:val="both"/>
      <w:outlineLvl w:val="0"/>
    </w:pPr>
    <w:rPr>
      <w:rFonts w:ascii="Cambria" w:eastAsia="Times New Roman" w:hAnsi="Cambria"/>
      <w:b/>
      <w:bCs/>
      <w:color w:val="365F91"/>
      <w:sz w:val="20"/>
      <w:szCs w:val="20"/>
      <w:lang w:val="es-AR"/>
    </w:rPr>
  </w:style>
  <w:style w:type="paragraph" w:styleId="Ttulo2">
    <w:name w:val="heading 2"/>
    <w:basedOn w:val="Normal"/>
    <w:next w:val="Normal"/>
    <w:link w:val="Ttulo2Car"/>
    <w:uiPriority w:val="9"/>
    <w:qFormat/>
    <w:rsid w:val="00C85041"/>
    <w:pPr>
      <w:keepNext/>
      <w:pBdr>
        <w:top w:val="none" w:sz="0" w:space="0" w:color="auto"/>
        <w:left w:val="none" w:sz="0" w:space="0" w:color="auto"/>
        <w:bottom w:val="none" w:sz="0" w:space="0" w:color="auto"/>
        <w:right w:val="none" w:sz="0" w:space="0" w:color="auto"/>
        <w:between w:val="none" w:sz="0" w:space="0" w:color="auto"/>
        <w:bar w:val="none" w:sz="0" w:color="auto"/>
      </w:pBdr>
      <w:ind w:left="1440" w:hanging="720"/>
      <w:outlineLvl w:val="1"/>
    </w:pPr>
    <w:rPr>
      <w:rFonts w:ascii="Cambria" w:eastAsia="Times New Roman" w:hAnsi="Cambria" w:cs="Arial"/>
      <w:b/>
      <w:bCs/>
      <w:iCs/>
      <w:sz w:val="20"/>
      <w:szCs w:val="28"/>
      <w:bdr w:val="none" w:sz="0" w:space="0" w:color="auto"/>
      <w:lang w:val="es-AR"/>
    </w:rPr>
  </w:style>
  <w:style w:type="paragraph" w:styleId="Ttulo3">
    <w:name w:val="heading 3"/>
    <w:basedOn w:val="Normal"/>
    <w:next w:val="Normal"/>
    <w:link w:val="Ttulo3Car"/>
    <w:qFormat/>
    <w:rsid w:val="00C85041"/>
    <w:pPr>
      <w:keepNext/>
      <w:pBdr>
        <w:top w:val="none" w:sz="0" w:space="0" w:color="auto"/>
        <w:left w:val="none" w:sz="0" w:space="0" w:color="auto"/>
        <w:bottom w:val="none" w:sz="0" w:space="0" w:color="auto"/>
        <w:right w:val="none" w:sz="0" w:space="0" w:color="auto"/>
        <w:between w:val="none" w:sz="0" w:space="0" w:color="auto"/>
        <w:bar w:val="none" w:sz="0" w:color="auto"/>
      </w:pBdr>
      <w:ind w:firstLine="720"/>
      <w:outlineLvl w:val="2"/>
    </w:pPr>
    <w:rPr>
      <w:rFonts w:ascii="Cambria" w:eastAsia="Times New Roman" w:hAnsi="Cambria" w:cs="Arial"/>
      <w:b/>
      <w:bCs/>
      <w:sz w:val="20"/>
      <w:szCs w:val="20"/>
      <w:bdr w:val="none" w:sz="0" w:space="0" w:color="auto"/>
      <w:lang w:val="es-ES_tradnl"/>
    </w:rPr>
  </w:style>
  <w:style w:type="paragraph" w:styleId="Ttulo4">
    <w:name w:val="heading 4"/>
    <w:basedOn w:val="Normal"/>
    <w:next w:val="Normal"/>
    <w:link w:val="Ttulo4Car"/>
    <w:qFormat/>
    <w:rsid w:val="00DB43BD"/>
    <w:pPr>
      <w:keepNext/>
      <w:pBdr>
        <w:top w:val="none" w:sz="0" w:space="0" w:color="auto"/>
        <w:left w:val="none" w:sz="0" w:space="0" w:color="auto"/>
        <w:bottom w:val="none" w:sz="0" w:space="0" w:color="auto"/>
        <w:right w:val="none" w:sz="0" w:space="0" w:color="auto"/>
        <w:between w:val="none" w:sz="0" w:space="0" w:color="auto"/>
        <w:bar w:val="none" w:sz="0" w:color="auto"/>
      </w:pBdr>
      <w:jc w:val="both"/>
      <w:outlineLvl w:val="3"/>
    </w:pPr>
    <w:rPr>
      <w:rFonts w:ascii="Arial" w:eastAsia="Batang" w:hAnsi="Arial" w:cs="Arial"/>
      <w:b/>
      <w:bCs/>
      <w:sz w:val="22"/>
      <w:bdr w:val="none" w:sz="0" w:space="0" w:color="auto"/>
    </w:rPr>
  </w:style>
  <w:style w:type="paragraph" w:styleId="Ttulo5">
    <w:name w:val="heading 5"/>
    <w:basedOn w:val="Normal"/>
    <w:next w:val="Normal"/>
    <w:link w:val="Ttulo5Car"/>
    <w:qFormat/>
    <w:rsid w:val="00DB43BD"/>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4"/>
    </w:pPr>
    <w:rPr>
      <w:rFonts w:eastAsia="Batang"/>
      <w:sz w:val="22"/>
      <w:szCs w:val="20"/>
      <w:bdr w:val="none" w:sz="0" w:space="0" w:color="auto"/>
      <w:lang w:val="es-SV"/>
    </w:rPr>
  </w:style>
  <w:style w:type="paragraph" w:styleId="Ttulo6">
    <w:name w:val="heading 6"/>
    <w:basedOn w:val="Normal"/>
    <w:next w:val="Normal"/>
    <w:link w:val="Ttulo6Car"/>
    <w:uiPriority w:val="9"/>
    <w:qFormat/>
    <w:rsid w:val="00DB43BD"/>
    <w:pPr>
      <w:numPr>
        <w:ilvl w:val="4"/>
        <w:numId w:val="56"/>
      </w:numPr>
      <w:pBdr>
        <w:top w:val="none" w:sz="0" w:space="0" w:color="auto"/>
        <w:left w:val="none" w:sz="0" w:space="0" w:color="auto"/>
        <w:bottom w:val="none" w:sz="0" w:space="0" w:color="auto"/>
        <w:right w:val="none" w:sz="0" w:space="0" w:color="auto"/>
        <w:between w:val="none" w:sz="0" w:space="0" w:color="auto"/>
        <w:bar w:val="none" w:sz="0" w:color="auto"/>
      </w:pBdr>
      <w:tabs>
        <w:tab w:val="clear" w:pos="3600"/>
      </w:tabs>
      <w:spacing w:before="240" w:after="60"/>
      <w:ind w:left="0" w:firstLine="0"/>
      <w:outlineLvl w:val="5"/>
    </w:pPr>
    <w:rPr>
      <w:rFonts w:eastAsia="Batang"/>
      <w:i/>
      <w:sz w:val="22"/>
      <w:szCs w:val="20"/>
      <w:bdr w:val="none" w:sz="0" w:space="0" w:color="auto"/>
      <w:lang w:val="es-SV"/>
    </w:rPr>
  </w:style>
  <w:style w:type="paragraph" w:styleId="Ttulo7">
    <w:name w:val="heading 7"/>
    <w:basedOn w:val="Normal"/>
    <w:next w:val="Normal"/>
    <w:link w:val="Ttulo7Car"/>
    <w:qFormat/>
    <w:rsid w:val="00DB43BD"/>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6"/>
    </w:pPr>
    <w:rPr>
      <w:rFonts w:ascii="Arial" w:eastAsia="Batang" w:hAnsi="Arial"/>
      <w:sz w:val="20"/>
      <w:szCs w:val="20"/>
      <w:bdr w:val="none" w:sz="0" w:space="0" w:color="auto"/>
      <w:lang w:val="es-SV"/>
    </w:rPr>
  </w:style>
  <w:style w:type="paragraph" w:styleId="Ttulo8">
    <w:name w:val="heading 8"/>
    <w:basedOn w:val="Normal"/>
    <w:next w:val="Normal"/>
    <w:link w:val="Ttulo8Car"/>
    <w:qFormat/>
    <w:rsid w:val="00DB43BD"/>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7"/>
    </w:pPr>
    <w:rPr>
      <w:rFonts w:ascii="Arial" w:eastAsia="Batang" w:hAnsi="Arial"/>
      <w:i/>
      <w:sz w:val="20"/>
      <w:szCs w:val="20"/>
      <w:bdr w:val="none" w:sz="0" w:space="0" w:color="auto"/>
      <w:lang w:val="es-SV"/>
    </w:rPr>
  </w:style>
  <w:style w:type="paragraph" w:styleId="Ttulo9">
    <w:name w:val="heading 9"/>
    <w:basedOn w:val="Normal"/>
    <w:next w:val="Normal"/>
    <w:link w:val="Ttulo9Car"/>
    <w:qFormat/>
    <w:rsid w:val="00DB43BD"/>
    <w:p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8"/>
    </w:pPr>
    <w:rPr>
      <w:rFonts w:ascii="Arial" w:eastAsia="Batang" w:hAnsi="Arial" w:cs="Arial"/>
      <w:sz w:val="22"/>
      <w:szCs w:val="22"/>
      <w:bdr w:val="none" w:sz="0" w:space="0" w:color="auto"/>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semiHidden/>
    <w:unhideWhenUsed/>
  </w:style>
  <w:style w:type="character" w:styleId="Hipervnculo">
    <w:name w:val="Hyperlink"/>
    <w:uiPriority w:val="99"/>
    <w:rPr>
      <w:u w:val="single"/>
    </w:rPr>
  </w:style>
  <w:style w:type="paragraph" w:customStyle="1" w:styleId="Cabeceraypie">
    <w:name w:val="Cabecera y pie"/>
    <w:pPr>
      <w:pBdr>
        <w:top w:val="nil"/>
        <w:left w:val="nil"/>
        <w:bottom w:val="nil"/>
        <w:right w:val="nil"/>
        <w:between w:val="nil"/>
        <w:bar w:val="nil"/>
      </w:pBdr>
      <w:tabs>
        <w:tab w:val="right" w:pos="9020"/>
      </w:tabs>
    </w:pPr>
    <w:rPr>
      <w:rFonts w:ascii="Helvetica" w:hAnsi="Arial Unicode MS" w:cs="Arial Unicode MS"/>
      <w:color w:val="000000"/>
      <w:sz w:val="24"/>
      <w:szCs w:val="24"/>
      <w:bdr w:val="nil"/>
      <w:lang w:val="es-ES" w:eastAsia="es-ES"/>
    </w:rPr>
  </w:style>
  <w:style w:type="paragraph" w:styleId="Piedepgina">
    <w:name w:val="footer"/>
    <w:link w:val="PiedepginaCar"/>
    <w:pPr>
      <w:pBdr>
        <w:top w:val="nil"/>
        <w:left w:val="nil"/>
        <w:bottom w:val="nil"/>
        <w:right w:val="nil"/>
        <w:between w:val="nil"/>
        <w:bar w:val="nil"/>
      </w:pBdr>
      <w:tabs>
        <w:tab w:val="center" w:pos="4513"/>
        <w:tab w:val="right" w:pos="9026"/>
      </w:tabs>
    </w:pPr>
    <w:rPr>
      <w:rFonts w:ascii="Cambria" w:eastAsia="Cambria" w:hAnsi="Cambria" w:cs="Cambria"/>
      <w:color w:val="000000"/>
      <w:sz w:val="24"/>
      <w:szCs w:val="24"/>
      <w:u w:color="000000"/>
      <w:bdr w:val="nil"/>
      <w:lang w:val="en-US" w:eastAsia="es-ES"/>
    </w:rPr>
  </w:style>
  <w:style w:type="paragraph" w:customStyle="1" w:styleId="Cuerpo">
    <w:name w:val="Cuerpo"/>
    <w:pPr>
      <w:pBdr>
        <w:top w:val="nil"/>
        <w:left w:val="nil"/>
        <w:bottom w:val="nil"/>
        <w:right w:val="nil"/>
        <w:between w:val="nil"/>
        <w:bar w:val="nil"/>
      </w:pBdr>
    </w:pPr>
    <w:rPr>
      <w:rFonts w:ascii="Cambria" w:eastAsia="Cambria" w:hAnsi="Cambria" w:cs="Cambria"/>
      <w:color w:val="000000"/>
      <w:sz w:val="24"/>
      <w:szCs w:val="24"/>
      <w:u w:color="000000"/>
      <w:bdr w:val="nil"/>
      <w:lang w:val="es-ES" w:eastAsia="es-ES"/>
    </w:rPr>
  </w:style>
  <w:style w:type="paragraph" w:styleId="Sangradetextonormal">
    <w:name w:val="Body Text Indent"/>
    <w:link w:val="SangradetextonormalCar"/>
    <w:pPr>
      <w:pBdr>
        <w:top w:val="nil"/>
        <w:left w:val="nil"/>
        <w:bottom w:val="nil"/>
        <w:right w:val="nil"/>
        <w:between w:val="nil"/>
        <w:bar w:val="nil"/>
      </w:pBdr>
      <w:ind w:left="2160" w:hanging="720"/>
    </w:pPr>
    <w:rPr>
      <w:rFonts w:eastAsia="Times New Roman"/>
      <w:color w:val="000000"/>
      <w:sz w:val="24"/>
      <w:szCs w:val="24"/>
      <w:u w:color="000000"/>
      <w:bdr w:val="nil"/>
      <w:lang w:val="es-ES_tradnl" w:eastAsia="es-ES"/>
    </w:rPr>
  </w:style>
  <w:style w:type="paragraph" w:styleId="Cuadrculaclara-nfasis3">
    <w:name w:val="Light Grid Accent 3"/>
    <w:aliases w:val="Colorful List - Accent 11"/>
    <w:link w:val="Cuadrculaclara-nfasis3Car"/>
    <w:uiPriority w:val="34"/>
    <w:qFormat/>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s-E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f"/>
    <w:link w:val="TextonotapieCar1"/>
    <w:qFormat/>
    <w:pPr>
      <w:pBdr>
        <w:top w:val="nil"/>
        <w:left w:val="nil"/>
        <w:bottom w:val="nil"/>
        <w:right w:val="nil"/>
        <w:between w:val="nil"/>
        <w:bar w:val="nil"/>
      </w:pBdr>
    </w:pPr>
    <w:rPr>
      <w:rFonts w:ascii="Calibri" w:eastAsia="Calibri" w:hAnsi="Calibri" w:cs="Calibri"/>
      <w:color w:val="000000"/>
      <w:u w:color="000000"/>
      <w:bdr w:val="nil"/>
      <w:lang w:val="en-US" w:eastAsia="es-E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semiHidden/>
    <w:unhideWhenUsed/>
    <w:rsid w:val="009B381B"/>
    <w:rPr>
      <w:rFonts w:ascii="Tahoma" w:hAnsi="Tahoma" w:cs="Tahoma"/>
      <w:sz w:val="16"/>
      <w:szCs w:val="16"/>
    </w:rPr>
  </w:style>
  <w:style w:type="character" w:customStyle="1" w:styleId="TextodegloboCar">
    <w:name w:val="Texto de globo Car"/>
    <w:link w:val="Textodeglobo"/>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link w:val="Encabezado"/>
    <w:rsid w:val="00D81D92"/>
    <w:rPr>
      <w:rFonts w:ascii="Univers" w:eastAsia="Times New Roman" w:hAnsi="Univers" w:cs="Univers"/>
      <w:sz w:val="24"/>
      <w:szCs w:val="24"/>
      <w:bdr w:val="none" w:sz="0" w:space="0" w:color="auto"/>
      <w:lang w:val="en-US" w:eastAsia="en-US"/>
    </w:rPr>
  </w:style>
  <w:style w:type="character" w:customStyle="1" w:styleId="Ttulo1Car">
    <w:name w:val="Título 1 Car"/>
    <w:link w:val="Ttulo1"/>
    <w:rsid w:val="00C85041"/>
    <w:rPr>
      <w:rFonts w:ascii="Cambria" w:eastAsia="Times New Roman" w:hAnsi="Cambria"/>
      <w:b/>
      <w:bCs/>
      <w:color w:val="365F91"/>
      <w:bdr w:val="nil"/>
      <w:lang w:val="es-AR"/>
    </w:rPr>
  </w:style>
  <w:style w:type="table" w:styleId="Listavistosa-nfasis2">
    <w:name w:val="Colorful List Accent 2"/>
    <w:basedOn w:val="Tablanormal"/>
    <w:uiPriority w:val="63"/>
    <w:rsid w:val="006A17D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745DD4"/>
    <w:pPr>
      <w:tabs>
        <w:tab w:val="left" w:pos="720"/>
        <w:tab w:val="right" w:leader="dot" w:pos="9350"/>
      </w:tabs>
      <w:spacing w:after="100"/>
    </w:pPr>
    <w:rPr>
      <w:rFonts w:ascii="Calibri" w:hAnsi="Calibr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link w:val="Piedepgina"/>
    <w:rsid w:val="00A50FCF"/>
    <w:rPr>
      <w:rFonts w:ascii="Cambria" w:eastAsia="Cambria" w:hAnsi="Cambria" w:cs="Cambria"/>
      <w:color w:val="000000"/>
      <w:sz w:val="24"/>
      <w:szCs w:val="24"/>
      <w:u w:color="000000"/>
      <w:lang w:val="en-US"/>
    </w:rPr>
  </w:style>
  <w:style w:type="character" w:styleId="Refdenotaalpie">
    <w:name w:val="footnote reference"/>
    <w:aliases w:val="Footnotes refss,Ref. de nota al pie.,Texto de nota al pie,Appel note de bas de page,referencia nota al pie,BVI fnr,Footnote number,f,f1,4_G,16 Point,Superscript 6 Point,Footnote symbol,Footnote,Texto nota al pie,Ref. de nota al pi,Re"/>
    <w:unhideWhenUsed/>
    <w:qFormat/>
    <w:rsid w:val="000F35ED"/>
    <w:rPr>
      <w:vertAlign w:val="superscript"/>
    </w:rPr>
  </w:style>
  <w:style w:type="paragraph" w:styleId="Sangra2detindependiente">
    <w:name w:val="Body Text Indent 2"/>
    <w:basedOn w:val="Normal"/>
    <w:link w:val="Sangra2detindependienteCar"/>
    <w:unhideWhenUsed/>
    <w:rsid w:val="000F35ED"/>
    <w:pPr>
      <w:spacing w:after="120" w:line="480" w:lineRule="auto"/>
      <w:ind w:left="360"/>
    </w:pPr>
  </w:style>
  <w:style w:type="character" w:customStyle="1" w:styleId="Sangra2detindependienteCar">
    <w:name w:val="Sangría 2 de t. independiente Car"/>
    <w:link w:val="Sangra2detindependiente"/>
    <w:semiHidden/>
    <w:rsid w:val="000F35ED"/>
    <w:rPr>
      <w:sz w:val="24"/>
      <w:szCs w:val="24"/>
      <w:lang w:val="en-US" w:eastAsia="en-US"/>
    </w:rPr>
  </w:style>
  <w:style w:type="paragraph" w:styleId="Textoindependiente">
    <w:name w:val="Body Text"/>
    <w:basedOn w:val="Normal"/>
    <w:link w:val="TextoindependienteCar"/>
    <w:unhideWhenUsed/>
    <w:rsid w:val="0031535D"/>
    <w:pPr>
      <w:spacing w:after="120"/>
    </w:pPr>
  </w:style>
  <w:style w:type="character" w:customStyle="1" w:styleId="TextoindependienteCar">
    <w:name w:val="Texto independiente Car"/>
    <w:link w:val="Textoindependiente"/>
    <w:semiHidden/>
    <w:rsid w:val="0031535D"/>
    <w:rPr>
      <w:sz w:val="24"/>
      <w:szCs w:val="24"/>
      <w:lang w:val="en-US" w:eastAsia="en-U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locked/>
    <w:rsid w:val="0031535D"/>
    <w:rPr>
      <w:rFonts w:ascii="Calibri" w:eastAsia="Calibri" w:hAnsi="Calibri" w:cs="Calibri"/>
      <w:color w:val="000000"/>
      <w:u w:color="000000"/>
      <w:lang w:val="en-US"/>
    </w:rPr>
  </w:style>
  <w:style w:type="character" w:customStyle="1" w:styleId="Ttulo2Car">
    <w:name w:val="Título 2 Car"/>
    <w:link w:val="Ttulo2"/>
    <w:rsid w:val="00C85041"/>
    <w:rPr>
      <w:rFonts w:ascii="Cambria" w:eastAsia="Times New Roman" w:hAnsi="Cambria" w:cs="Arial"/>
      <w:b/>
      <w:bCs/>
      <w:iCs/>
      <w:szCs w:val="28"/>
      <w:lang w:val="es-AR"/>
    </w:rPr>
  </w:style>
  <w:style w:type="character" w:customStyle="1" w:styleId="Ttulo3Car">
    <w:name w:val="Título 3 Car"/>
    <w:link w:val="Ttulo3"/>
    <w:rsid w:val="00C85041"/>
    <w:rPr>
      <w:rFonts w:ascii="Cambria" w:eastAsia="Times New Roman" w:hAnsi="Cambria" w:cs="Arial"/>
      <w:b/>
      <w:bCs/>
      <w:lang w:val="es-ES_tradnl"/>
    </w:rPr>
  </w:style>
  <w:style w:type="paragraph" w:customStyle="1" w:styleId="Default">
    <w:name w:val="Default"/>
    <w:link w:val="DefaultChar"/>
    <w:rsid w:val="00DF1EC4"/>
    <w:pPr>
      <w:autoSpaceDE w:val="0"/>
      <w:autoSpaceDN w:val="0"/>
      <w:adjustRightInd w:val="0"/>
    </w:pPr>
    <w:rPr>
      <w:rFonts w:eastAsia="Times New Roman"/>
      <w:color w:val="000000"/>
      <w:sz w:val="24"/>
      <w:szCs w:val="24"/>
      <w:lang w:val="en-US" w:eastAsia="en-US"/>
    </w:rPr>
  </w:style>
  <w:style w:type="paragraph" w:styleId="Textonotaalfinal">
    <w:name w:val="endnote text"/>
    <w:basedOn w:val="Normal"/>
    <w:link w:val="TextonotaalfinalCar"/>
    <w:rsid w:val="00DF1E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link w:val="Textonotaalfinal"/>
    <w:rsid w:val="00DF1EC4"/>
    <w:rPr>
      <w:rFonts w:eastAsia="Times New Roman"/>
      <w:sz w:val="24"/>
      <w:szCs w:val="24"/>
      <w:bdr w:val="none" w:sz="0" w:space="0" w:color="auto"/>
      <w:lang w:val="en-US" w:eastAsia="en-US"/>
    </w:rPr>
  </w:style>
  <w:style w:type="character" w:customStyle="1" w:styleId="DefaultChar">
    <w:name w:val="Default Char"/>
    <w:link w:val="Default"/>
    <w:rsid w:val="00DF1EC4"/>
    <w:rPr>
      <w:rFonts w:eastAsia="Times New Roman"/>
      <w:color w:val="000000"/>
      <w:sz w:val="24"/>
      <w:szCs w:val="24"/>
      <w:bdr w:val="none" w:sz="0" w:space="0" w:color="auto"/>
      <w:lang w:val="en-US" w:eastAsia="en-US"/>
    </w:rPr>
  </w:style>
  <w:style w:type="character" w:customStyle="1" w:styleId="Ttulo4Car">
    <w:name w:val="Título 4 Car"/>
    <w:link w:val="Ttulo4"/>
    <w:rsid w:val="00DB43BD"/>
    <w:rPr>
      <w:rFonts w:ascii="Arial" w:eastAsia="Batang" w:hAnsi="Arial" w:cs="Arial"/>
      <w:b/>
      <w:bCs/>
      <w:sz w:val="22"/>
      <w:szCs w:val="24"/>
      <w:bdr w:val="none" w:sz="0" w:space="0" w:color="auto"/>
      <w:lang w:val="en-US" w:eastAsia="en-US"/>
    </w:rPr>
  </w:style>
  <w:style w:type="character" w:customStyle="1" w:styleId="Ttulo5Car">
    <w:name w:val="Título 5 Car"/>
    <w:link w:val="Ttulo5"/>
    <w:rsid w:val="00DB43BD"/>
    <w:rPr>
      <w:rFonts w:eastAsia="Batang"/>
      <w:sz w:val="22"/>
      <w:bdr w:val="none" w:sz="0" w:space="0" w:color="auto"/>
      <w:lang w:val="es-SV" w:eastAsia="en-US"/>
    </w:rPr>
  </w:style>
  <w:style w:type="character" w:customStyle="1" w:styleId="Ttulo6Car">
    <w:name w:val="Título 6 Car"/>
    <w:link w:val="Ttulo6"/>
    <w:uiPriority w:val="9"/>
    <w:rsid w:val="00DB43BD"/>
    <w:rPr>
      <w:rFonts w:eastAsia="Batang"/>
      <w:i/>
      <w:sz w:val="22"/>
      <w:lang w:val="es-SV"/>
    </w:rPr>
  </w:style>
  <w:style w:type="character" w:customStyle="1" w:styleId="Ttulo7Car">
    <w:name w:val="Título 7 Car"/>
    <w:link w:val="Ttulo7"/>
    <w:rsid w:val="00DB43BD"/>
    <w:rPr>
      <w:rFonts w:ascii="Arial" w:eastAsia="Batang" w:hAnsi="Arial"/>
      <w:bdr w:val="none" w:sz="0" w:space="0" w:color="auto"/>
      <w:lang w:val="es-SV" w:eastAsia="en-US"/>
    </w:rPr>
  </w:style>
  <w:style w:type="character" w:customStyle="1" w:styleId="Ttulo8Car">
    <w:name w:val="Título 8 Car"/>
    <w:link w:val="Ttulo8"/>
    <w:rsid w:val="00DB43BD"/>
    <w:rPr>
      <w:rFonts w:ascii="Arial" w:eastAsia="Batang" w:hAnsi="Arial"/>
      <w:i/>
      <w:bdr w:val="none" w:sz="0" w:space="0" w:color="auto"/>
      <w:lang w:val="es-SV" w:eastAsia="en-US"/>
    </w:rPr>
  </w:style>
  <w:style w:type="character" w:customStyle="1" w:styleId="Ttulo9Car">
    <w:name w:val="Título 9 Car"/>
    <w:link w:val="Ttulo9"/>
    <w:rsid w:val="00DB43BD"/>
    <w:rPr>
      <w:rFonts w:ascii="Arial" w:eastAsia="Batang" w:hAnsi="Arial" w:cs="Arial"/>
      <w:sz w:val="22"/>
      <w:szCs w:val="22"/>
      <w:bdr w:val="none" w:sz="0" w:space="0" w:color="auto"/>
      <w:lang w:val="en-US" w:eastAsia="en-US"/>
    </w:rPr>
  </w:style>
  <w:style w:type="paragraph" w:styleId="NormalWeb">
    <w:name w:val="Normal (Web)"/>
    <w:basedOn w:val="Normal"/>
    <w:uiPriority w:val="99"/>
    <w:rsid w:val="00DB43B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Arial Unicode MS" w:hAnsi="Arial Unicode MS" w:cs="Arial Unicode MS"/>
      <w:bdr w:val="none" w:sz="0" w:space="0" w:color="auto"/>
    </w:rPr>
  </w:style>
  <w:style w:type="character" w:styleId="Textoennegrita">
    <w:name w:val="Strong"/>
    <w:uiPriority w:val="22"/>
    <w:qFormat/>
    <w:rsid w:val="00DB43BD"/>
    <w:rPr>
      <w:rFonts w:cs="Times New Roman"/>
      <w:b/>
      <w:bCs/>
    </w:rPr>
  </w:style>
  <w:style w:type="character" w:customStyle="1" w:styleId="SangradetextonormalCar">
    <w:name w:val="Sangría de texto normal Car"/>
    <w:link w:val="Sangradetextonormal"/>
    <w:locked/>
    <w:rsid w:val="00DB43BD"/>
    <w:rPr>
      <w:rFonts w:eastAsia="Times New Roman"/>
      <w:color w:val="000000"/>
      <w:sz w:val="24"/>
      <w:szCs w:val="24"/>
      <w:u w:color="000000"/>
      <w:lang w:val="es-ES_tradnl"/>
    </w:rPr>
  </w:style>
  <w:style w:type="paragraph" w:styleId="Textodebloque">
    <w:name w:val="Block Text"/>
    <w:basedOn w:val="Normal"/>
    <w:rsid w:val="00DB43BD"/>
    <w:pPr>
      <w:pBdr>
        <w:top w:val="none" w:sz="0" w:space="0" w:color="auto"/>
        <w:left w:val="none" w:sz="0" w:space="0" w:color="auto"/>
        <w:bottom w:val="none" w:sz="0" w:space="0" w:color="auto"/>
        <w:right w:val="none" w:sz="0" w:space="0" w:color="auto"/>
        <w:between w:val="none" w:sz="0" w:space="0" w:color="auto"/>
        <w:bar w:val="none" w:sz="0" w:color="auto"/>
      </w:pBdr>
      <w:ind w:left="720" w:right="720"/>
      <w:jc w:val="both"/>
    </w:pPr>
    <w:rPr>
      <w:rFonts w:ascii="Arial" w:eastAsia="Batang" w:hAnsi="Arial" w:cs="Arial"/>
      <w:sz w:val="22"/>
      <w:bdr w:val="none" w:sz="0" w:space="0" w:color="auto"/>
      <w:lang w:val="es-AR"/>
    </w:rPr>
  </w:style>
  <w:style w:type="paragraph" w:styleId="Ttulo">
    <w:name w:val="Title"/>
    <w:basedOn w:val="Normal"/>
    <w:link w:val="TtuloCar"/>
    <w:qFormat/>
    <w:rsid w:val="00DB43BD"/>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Univers" w:eastAsia="Batang" w:hAnsi="Univers" w:cs="Arial"/>
      <w:b/>
      <w:sz w:val="22"/>
      <w:bdr w:val="none" w:sz="0" w:space="0" w:color="auto"/>
      <w:lang w:val="es-AR"/>
    </w:rPr>
  </w:style>
  <w:style w:type="character" w:customStyle="1" w:styleId="TtuloCar">
    <w:name w:val="Título Car"/>
    <w:link w:val="Ttulo"/>
    <w:rsid w:val="00DB43BD"/>
    <w:rPr>
      <w:rFonts w:ascii="Univers" w:eastAsia="Batang" w:hAnsi="Univers" w:cs="Arial"/>
      <w:b/>
      <w:sz w:val="22"/>
      <w:szCs w:val="24"/>
      <w:bdr w:val="none" w:sz="0" w:space="0" w:color="auto"/>
      <w:lang w:val="es-AR" w:eastAsia="en-US"/>
    </w:rPr>
  </w:style>
  <w:style w:type="paragraph" w:styleId="Sangra3detindependiente">
    <w:name w:val="Body Text Indent 3"/>
    <w:basedOn w:val="Normal"/>
    <w:link w:val="Sangra3detindependienteCar"/>
    <w:rsid w:val="00DB43BD"/>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pPr>
    <w:rPr>
      <w:rFonts w:ascii="Univers" w:eastAsia="Batang" w:hAnsi="Univers"/>
      <w:sz w:val="22"/>
      <w:szCs w:val="20"/>
      <w:bdr w:val="none" w:sz="0" w:space="0" w:color="auto"/>
      <w:lang w:val="es-ES"/>
    </w:rPr>
  </w:style>
  <w:style w:type="character" w:customStyle="1" w:styleId="Sangra3detindependienteCar">
    <w:name w:val="Sangría 3 de t. independiente Car"/>
    <w:link w:val="Sangra3detindependiente"/>
    <w:rsid w:val="00DB43BD"/>
    <w:rPr>
      <w:rFonts w:ascii="Univers" w:eastAsia="Batang" w:hAnsi="Univers"/>
      <w:sz w:val="22"/>
      <w:bdr w:val="none" w:sz="0" w:space="0" w:color="auto"/>
      <w:lang w:eastAsia="en-US"/>
    </w:rPr>
  </w:style>
  <w:style w:type="paragraph" w:styleId="Textoindependiente3">
    <w:name w:val="Body Text 3"/>
    <w:basedOn w:val="Normal"/>
    <w:link w:val="Textoindependiente3Car"/>
    <w:rsid w:val="00DB43BD"/>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Batang"/>
      <w:sz w:val="16"/>
      <w:szCs w:val="16"/>
      <w:bdr w:val="none" w:sz="0" w:space="0" w:color="auto"/>
    </w:rPr>
  </w:style>
  <w:style w:type="character" w:customStyle="1" w:styleId="Textoindependiente3Car">
    <w:name w:val="Texto independiente 3 Car"/>
    <w:link w:val="Textoindependiente3"/>
    <w:rsid w:val="00DB43BD"/>
    <w:rPr>
      <w:rFonts w:eastAsia="Batang"/>
      <w:sz w:val="16"/>
      <w:szCs w:val="16"/>
      <w:bdr w:val="none" w:sz="0" w:space="0" w:color="auto"/>
      <w:lang w:val="en-US" w:eastAsia="en-US"/>
    </w:rPr>
  </w:style>
  <w:style w:type="character" w:customStyle="1" w:styleId="texto1">
    <w:name w:val="texto1"/>
    <w:rsid w:val="00DB43BD"/>
    <w:rPr>
      <w:rFonts w:ascii="Tahoma" w:hAnsi="Tahoma" w:cs="Tahoma"/>
      <w:color w:val="000000"/>
      <w:sz w:val="20"/>
      <w:szCs w:val="20"/>
      <w:u w:val="none"/>
      <w:effect w:val="none"/>
    </w:rPr>
  </w:style>
  <w:style w:type="paragraph" w:customStyle="1" w:styleId="CaptulosSt">
    <w:name w:val="Capítulos St."/>
    <w:basedOn w:val="Ttulo1"/>
    <w:next w:val="Normal"/>
    <w:rsid w:val="00DB43BD"/>
    <w:pPr>
      <w:keepLines w:val="0"/>
      <w:numPr>
        <w:numId w:val="0"/>
      </w:num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Verdana" w:eastAsia="Batang" w:hAnsi="Verdana"/>
      <w:bCs w:val="0"/>
      <w:smallCaps/>
      <w:color w:val="auto"/>
      <w:kern w:val="32"/>
      <w:szCs w:val="32"/>
      <w:bdr w:val="none" w:sz="0" w:space="0" w:color="auto"/>
      <w:lang w:val="es-ES_tradnl"/>
    </w:rPr>
  </w:style>
  <w:style w:type="paragraph" w:styleId="Mapadeldocumento">
    <w:name w:val="Document Map"/>
    <w:basedOn w:val="Normal"/>
    <w:link w:val="MapadeldocumentoCar"/>
    <w:semiHidden/>
    <w:rsid w:val="00DB43B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000080"/>
    </w:pPr>
    <w:rPr>
      <w:rFonts w:ascii="Tahoma" w:eastAsia="Batang" w:hAnsi="Tahoma" w:cs="Tahoma"/>
      <w:sz w:val="20"/>
      <w:szCs w:val="20"/>
      <w:bdr w:val="none" w:sz="0" w:space="0" w:color="auto"/>
    </w:rPr>
  </w:style>
  <w:style w:type="character" w:customStyle="1" w:styleId="MapadeldocumentoCar">
    <w:name w:val="Mapa del documento Car"/>
    <w:link w:val="Mapadeldocumento"/>
    <w:semiHidden/>
    <w:rsid w:val="00DB43BD"/>
    <w:rPr>
      <w:rFonts w:ascii="Tahoma" w:eastAsia="Batang" w:hAnsi="Tahoma" w:cs="Tahoma"/>
      <w:bdr w:val="none" w:sz="0" w:space="0" w:color="auto"/>
      <w:shd w:val="clear" w:color="auto" w:fill="000080"/>
      <w:lang w:val="en-US" w:eastAsia="en-US"/>
    </w:rPr>
  </w:style>
  <w:style w:type="character" w:customStyle="1" w:styleId="FootnoteTextChar3">
    <w:name w:val="Footnote Text Char3"/>
    <w:aliases w:val="Footnote Text Char Char Char Char Char Char1,Footnote Text Char Char Char Char Char2,FA Fu Char1,Footnote reference Char1,Footnote Text Char Char Char Char2,Footnote Text Cha Char1,FA Fußnotentext Char1,FA Fuﬂnotentext Char1,Ca Char2"/>
    <w:locked/>
    <w:rsid w:val="00DB43BD"/>
    <w:rPr>
      <w:rFonts w:ascii="Univers" w:hAnsi="Univers" w:cs="Times New Roman"/>
      <w:lang w:val="en-US" w:eastAsia="en-US" w:bidi="ar-SA"/>
    </w:rPr>
  </w:style>
  <w:style w:type="character" w:customStyle="1" w:styleId="CharChar">
    <w:name w:val="Char Char"/>
    <w:semiHidden/>
    <w:rsid w:val="00DB43BD"/>
    <w:rPr>
      <w:rFonts w:ascii="Times New Roman" w:hAnsi="Times New Roman"/>
      <w:sz w:val="20"/>
    </w:rPr>
  </w:style>
  <w:style w:type="character" w:customStyle="1" w:styleId="FootnoteTextChar1">
    <w:name w:val="Footnote Text Char1"/>
    <w:aliases w:val="NOTA AL PIE TESIS PUCP Char1"/>
    <w:uiPriority w:val="99"/>
    <w:locked/>
    <w:rsid w:val="00DB43BD"/>
    <w:rPr>
      <w:rFonts w:ascii="Times New Roman" w:hAnsi="Times New Roman"/>
      <w:sz w:val="20"/>
    </w:rPr>
  </w:style>
  <w:style w:type="character" w:customStyle="1" w:styleId="FootnoteTextChar2">
    <w:name w:val="Footnote Text Char2"/>
    <w:aliases w:val="Footnote Text Char Char Char Char Char Char2,Footnote Text Char Char Char Char Char3,FA Fu Char2,Footnote reference Char2,Footnote Text Char Char Char Char3,Footnote Text Cha Char2,FA Fußnotentext Char2,FA Fuﬂnotentext Char2,Ca Char1"/>
    <w:locked/>
    <w:rsid w:val="00DB43BD"/>
    <w:rPr>
      <w:rFonts w:ascii="Times New Roman" w:hAnsi="Times New Roman"/>
      <w:sz w:val="20"/>
    </w:rPr>
  </w:style>
  <w:style w:type="character" w:customStyle="1" w:styleId="apple-converted-space">
    <w:name w:val="apple-converted-space"/>
    <w:rsid w:val="00DB43BD"/>
    <w:rPr>
      <w:rFonts w:cs="Times New Roman"/>
    </w:rPr>
  </w:style>
  <w:style w:type="character" w:customStyle="1" w:styleId="CharChar1">
    <w:name w:val="Char Char1"/>
    <w:rsid w:val="00DB43BD"/>
    <w:rPr>
      <w:lang w:val="en-US" w:eastAsia="en-US"/>
    </w:rPr>
  </w:style>
  <w:style w:type="character" w:styleId="Refdecomentario">
    <w:name w:val="annotation reference"/>
    <w:semiHidden/>
    <w:rsid w:val="00DB43BD"/>
    <w:rPr>
      <w:sz w:val="16"/>
      <w:szCs w:val="16"/>
    </w:rPr>
  </w:style>
  <w:style w:type="paragraph" w:styleId="Textocomentario">
    <w:name w:val="annotation text"/>
    <w:basedOn w:val="Normal"/>
    <w:link w:val="TextocomentarioCar"/>
    <w:semiHidden/>
    <w:rsid w:val="00DB43BD"/>
    <w:pPr>
      <w:pBdr>
        <w:top w:val="none" w:sz="0" w:space="0" w:color="auto"/>
        <w:left w:val="none" w:sz="0" w:space="0" w:color="auto"/>
        <w:bottom w:val="none" w:sz="0" w:space="0" w:color="auto"/>
        <w:right w:val="none" w:sz="0" w:space="0" w:color="auto"/>
        <w:between w:val="none" w:sz="0" w:space="0" w:color="auto"/>
        <w:bar w:val="none" w:sz="0" w:color="auto"/>
      </w:pBdr>
    </w:pPr>
    <w:rPr>
      <w:rFonts w:eastAsia="Batang"/>
      <w:sz w:val="20"/>
      <w:szCs w:val="20"/>
      <w:bdr w:val="none" w:sz="0" w:space="0" w:color="auto"/>
    </w:rPr>
  </w:style>
  <w:style w:type="character" w:customStyle="1" w:styleId="TextocomentarioCar">
    <w:name w:val="Texto comentario Car"/>
    <w:link w:val="Textocomentario"/>
    <w:semiHidden/>
    <w:rsid w:val="00DB43BD"/>
    <w:rPr>
      <w:rFonts w:eastAsia="Batang"/>
      <w:bdr w:val="none" w:sz="0" w:space="0" w:color="auto"/>
      <w:lang w:val="en-US" w:eastAsia="en-US"/>
    </w:rPr>
  </w:style>
  <w:style w:type="paragraph" w:styleId="Asuntodelcomentario">
    <w:name w:val="annotation subject"/>
    <w:basedOn w:val="Textocomentario"/>
    <w:next w:val="Textocomentario"/>
    <w:link w:val="AsuntodelcomentarioCar"/>
    <w:semiHidden/>
    <w:rsid w:val="00DB43BD"/>
    <w:rPr>
      <w:b/>
      <w:bCs/>
    </w:rPr>
  </w:style>
  <w:style w:type="character" w:customStyle="1" w:styleId="AsuntodelcomentarioCar">
    <w:name w:val="Asunto del comentario Car"/>
    <w:link w:val="Asuntodelcomentario"/>
    <w:semiHidden/>
    <w:rsid w:val="00DB43BD"/>
    <w:rPr>
      <w:rFonts w:eastAsia="Batang"/>
      <w:b/>
      <w:bCs/>
      <w:bdr w:val="none" w:sz="0" w:space="0" w:color="auto"/>
      <w:lang w:val="en-US" w:eastAsia="en-US"/>
    </w:rPr>
  </w:style>
  <w:style w:type="character" w:customStyle="1" w:styleId="apple-style-span">
    <w:name w:val="apple-style-span"/>
    <w:rsid w:val="00DB43BD"/>
  </w:style>
  <w:style w:type="character" w:customStyle="1" w:styleId="BodyTextIndentChar">
    <w:name w:val="Body Text Indent Char"/>
    <w:locked/>
    <w:rsid w:val="00DB43BD"/>
    <w:rPr>
      <w:rFonts w:cs="Times New Roman"/>
      <w:sz w:val="24"/>
      <w:szCs w:val="24"/>
    </w:rPr>
  </w:style>
  <w:style w:type="character" w:styleId="nfasis">
    <w:name w:val="Emphasis"/>
    <w:uiPriority w:val="99"/>
    <w:qFormat/>
    <w:rsid w:val="00DB43BD"/>
    <w:rPr>
      <w:i/>
      <w:iCs/>
    </w:rPr>
  </w:style>
  <w:style w:type="character" w:customStyle="1" w:styleId="Cuadrculaclara-nfasis3Car">
    <w:name w:val="Cuadrícula clara - Énfasis 3 Car"/>
    <w:aliases w:val="Colorful List - Accent 11 Car"/>
    <w:link w:val="Cuadrculaclara-nfasis3"/>
    <w:uiPriority w:val="34"/>
    <w:locked/>
    <w:rsid w:val="00DB43BD"/>
    <w:rPr>
      <w:rFonts w:ascii="Cambria" w:eastAsia="Cambria" w:hAnsi="Cambria" w:cs="Cambria"/>
      <w:color w:val="000000"/>
      <w:sz w:val="24"/>
      <w:szCs w:val="24"/>
      <w:u w:color="000000"/>
      <w:lang w:val="en-US"/>
    </w:rPr>
  </w:style>
  <w:style w:type="paragraph" w:styleId="Cuadrculamedia1-nfasis2">
    <w:name w:val="Medium Grid 1 Accent 2"/>
    <w:basedOn w:val="Normal"/>
    <w:uiPriority w:val="34"/>
    <w:qFormat/>
    <w:rsid w:val="00F24F85"/>
    <w:pPr>
      <w:ind w:left="720"/>
    </w:pPr>
  </w:style>
  <w:style w:type="paragraph" w:styleId="Listavistosa-nfasis1">
    <w:name w:val="Colorful List Accent 1"/>
    <w:basedOn w:val="Normal"/>
    <w:uiPriority w:val="34"/>
    <w:qFormat/>
    <w:rsid w:val="00FF337F"/>
    <w:pPr>
      <w:ind w:left="720"/>
    </w:pPr>
  </w:style>
  <w:style w:type="paragraph" w:styleId="TDC5">
    <w:name w:val="toc 5"/>
    <w:basedOn w:val="Normal"/>
    <w:next w:val="Normal"/>
    <w:autoRedefine/>
    <w:uiPriority w:val="39"/>
    <w:unhideWhenUsed/>
    <w:rsid w:val="00CB24E8"/>
    <w:pPr>
      <w:ind w:left="960"/>
    </w:pPr>
  </w:style>
  <w:style w:type="paragraph" w:styleId="TDC6">
    <w:name w:val="toc 6"/>
    <w:basedOn w:val="Normal"/>
    <w:next w:val="Normal"/>
    <w:autoRedefine/>
    <w:uiPriority w:val="39"/>
    <w:unhideWhenUsed/>
    <w:rsid w:val="00CB24E8"/>
    <w:pPr>
      <w:ind w:left="1200"/>
    </w:pPr>
  </w:style>
  <w:style w:type="paragraph" w:styleId="TDC7">
    <w:name w:val="toc 7"/>
    <w:basedOn w:val="Normal"/>
    <w:next w:val="Normal"/>
    <w:autoRedefine/>
    <w:uiPriority w:val="39"/>
    <w:unhideWhenUsed/>
    <w:rsid w:val="00CB24E8"/>
    <w:pPr>
      <w:ind w:left="1440"/>
    </w:pPr>
  </w:style>
  <w:style w:type="paragraph" w:styleId="TDC8">
    <w:name w:val="toc 8"/>
    <w:basedOn w:val="Normal"/>
    <w:next w:val="Normal"/>
    <w:autoRedefine/>
    <w:uiPriority w:val="39"/>
    <w:unhideWhenUsed/>
    <w:rsid w:val="00CB24E8"/>
    <w:pPr>
      <w:ind w:left="1680"/>
    </w:pPr>
  </w:style>
  <w:style w:type="paragraph" w:styleId="TDC9">
    <w:name w:val="toc 9"/>
    <w:basedOn w:val="Normal"/>
    <w:next w:val="Normal"/>
    <w:autoRedefine/>
    <w:uiPriority w:val="39"/>
    <w:unhideWhenUsed/>
    <w:rsid w:val="00CB24E8"/>
    <w:pPr>
      <w:ind w:left="1920"/>
    </w:pPr>
  </w:style>
  <w:style w:type="paragraph" w:customStyle="1" w:styleId="MediumGrid1-Accent21">
    <w:name w:val="Medium Grid 1 - Accent 21"/>
    <w:uiPriority w:val="34"/>
    <w:qFormat/>
    <w:rsid w:val="007B2915"/>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7547">
      <w:bodyDiv w:val="1"/>
      <w:marLeft w:val="0"/>
      <w:marRight w:val="0"/>
      <w:marTop w:val="0"/>
      <w:marBottom w:val="0"/>
      <w:divBdr>
        <w:top w:val="none" w:sz="0" w:space="0" w:color="auto"/>
        <w:left w:val="none" w:sz="0" w:space="0" w:color="auto"/>
        <w:bottom w:val="none" w:sz="0" w:space="0" w:color="auto"/>
        <w:right w:val="none" w:sz="0" w:space="0" w:color="auto"/>
      </w:divBdr>
    </w:div>
    <w:div w:id="241179409">
      <w:bodyDiv w:val="1"/>
      <w:marLeft w:val="0"/>
      <w:marRight w:val="0"/>
      <w:marTop w:val="0"/>
      <w:marBottom w:val="0"/>
      <w:divBdr>
        <w:top w:val="none" w:sz="0" w:space="0" w:color="auto"/>
        <w:left w:val="none" w:sz="0" w:space="0" w:color="auto"/>
        <w:bottom w:val="none" w:sz="0" w:space="0" w:color="auto"/>
        <w:right w:val="none" w:sz="0" w:space="0" w:color="auto"/>
      </w:divBdr>
    </w:div>
    <w:div w:id="428895435">
      <w:bodyDiv w:val="1"/>
      <w:marLeft w:val="0"/>
      <w:marRight w:val="0"/>
      <w:marTop w:val="0"/>
      <w:marBottom w:val="0"/>
      <w:divBdr>
        <w:top w:val="none" w:sz="0" w:space="0" w:color="auto"/>
        <w:left w:val="none" w:sz="0" w:space="0" w:color="auto"/>
        <w:bottom w:val="none" w:sz="0" w:space="0" w:color="auto"/>
        <w:right w:val="none" w:sz="0" w:space="0" w:color="auto"/>
      </w:divBdr>
    </w:div>
    <w:div w:id="584530813">
      <w:bodyDiv w:val="1"/>
      <w:marLeft w:val="0"/>
      <w:marRight w:val="0"/>
      <w:marTop w:val="0"/>
      <w:marBottom w:val="0"/>
      <w:divBdr>
        <w:top w:val="none" w:sz="0" w:space="0" w:color="auto"/>
        <w:left w:val="none" w:sz="0" w:space="0" w:color="auto"/>
        <w:bottom w:val="none" w:sz="0" w:space="0" w:color="auto"/>
        <w:right w:val="none" w:sz="0" w:space="0" w:color="auto"/>
      </w:divBdr>
    </w:div>
    <w:div w:id="962347391">
      <w:bodyDiv w:val="1"/>
      <w:marLeft w:val="0"/>
      <w:marRight w:val="0"/>
      <w:marTop w:val="0"/>
      <w:marBottom w:val="0"/>
      <w:divBdr>
        <w:top w:val="none" w:sz="0" w:space="0" w:color="auto"/>
        <w:left w:val="none" w:sz="0" w:space="0" w:color="auto"/>
        <w:bottom w:val="none" w:sz="0" w:space="0" w:color="auto"/>
        <w:right w:val="none" w:sz="0" w:space="0" w:color="auto"/>
      </w:divBdr>
    </w:div>
    <w:div w:id="968170865">
      <w:bodyDiv w:val="1"/>
      <w:marLeft w:val="0"/>
      <w:marRight w:val="0"/>
      <w:marTop w:val="0"/>
      <w:marBottom w:val="0"/>
      <w:divBdr>
        <w:top w:val="none" w:sz="0" w:space="0" w:color="auto"/>
        <w:left w:val="none" w:sz="0" w:space="0" w:color="auto"/>
        <w:bottom w:val="none" w:sz="0" w:space="0" w:color="auto"/>
        <w:right w:val="none" w:sz="0" w:space="0" w:color="auto"/>
      </w:divBdr>
    </w:div>
    <w:div w:id="997611429">
      <w:bodyDiv w:val="1"/>
      <w:marLeft w:val="0"/>
      <w:marRight w:val="0"/>
      <w:marTop w:val="0"/>
      <w:marBottom w:val="0"/>
      <w:divBdr>
        <w:top w:val="none" w:sz="0" w:space="0" w:color="auto"/>
        <w:left w:val="none" w:sz="0" w:space="0" w:color="auto"/>
        <w:bottom w:val="none" w:sz="0" w:space="0" w:color="auto"/>
        <w:right w:val="none" w:sz="0" w:space="0" w:color="auto"/>
      </w:divBdr>
      <w:divsChild>
        <w:div w:id="669480876">
          <w:marLeft w:val="0"/>
          <w:marRight w:val="0"/>
          <w:marTop w:val="0"/>
          <w:marBottom w:val="0"/>
          <w:divBdr>
            <w:top w:val="none" w:sz="0" w:space="0" w:color="auto"/>
            <w:left w:val="none" w:sz="0" w:space="0" w:color="auto"/>
            <w:bottom w:val="none" w:sz="0" w:space="0" w:color="auto"/>
            <w:right w:val="none" w:sz="0" w:space="0" w:color="auto"/>
          </w:divBdr>
          <w:divsChild>
            <w:div w:id="1259288067">
              <w:marLeft w:val="0"/>
              <w:marRight w:val="0"/>
              <w:marTop w:val="0"/>
              <w:marBottom w:val="0"/>
              <w:divBdr>
                <w:top w:val="none" w:sz="0" w:space="0" w:color="auto"/>
                <w:left w:val="none" w:sz="0" w:space="0" w:color="auto"/>
                <w:bottom w:val="none" w:sz="0" w:space="0" w:color="auto"/>
                <w:right w:val="none" w:sz="0" w:space="0" w:color="auto"/>
              </w:divBdr>
              <w:divsChild>
                <w:div w:id="10724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849141">
      <w:bodyDiv w:val="1"/>
      <w:marLeft w:val="0"/>
      <w:marRight w:val="0"/>
      <w:marTop w:val="0"/>
      <w:marBottom w:val="0"/>
      <w:divBdr>
        <w:top w:val="none" w:sz="0" w:space="0" w:color="auto"/>
        <w:left w:val="none" w:sz="0" w:space="0" w:color="auto"/>
        <w:bottom w:val="none" w:sz="0" w:space="0" w:color="auto"/>
        <w:right w:val="none" w:sz="0" w:space="0" w:color="auto"/>
      </w:divBdr>
    </w:div>
    <w:div w:id="1089811302">
      <w:bodyDiv w:val="1"/>
      <w:marLeft w:val="0"/>
      <w:marRight w:val="0"/>
      <w:marTop w:val="0"/>
      <w:marBottom w:val="0"/>
      <w:divBdr>
        <w:top w:val="none" w:sz="0" w:space="0" w:color="auto"/>
        <w:left w:val="none" w:sz="0" w:space="0" w:color="auto"/>
        <w:bottom w:val="none" w:sz="0" w:space="0" w:color="auto"/>
        <w:right w:val="none" w:sz="0" w:space="0" w:color="auto"/>
      </w:divBdr>
    </w:div>
    <w:div w:id="1095982392">
      <w:bodyDiv w:val="1"/>
      <w:marLeft w:val="0"/>
      <w:marRight w:val="0"/>
      <w:marTop w:val="0"/>
      <w:marBottom w:val="0"/>
      <w:divBdr>
        <w:top w:val="none" w:sz="0" w:space="0" w:color="auto"/>
        <w:left w:val="none" w:sz="0" w:space="0" w:color="auto"/>
        <w:bottom w:val="none" w:sz="0" w:space="0" w:color="auto"/>
        <w:right w:val="none" w:sz="0" w:space="0" w:color="auto"/>
      </w:divBdr>
    </w:div>
    <w:div w:id="1144355488">
      <w:bodyDiv w:val="1"/>
      <w:marLeft w:val="0"/>
      <w:marRight w:val="0"/>
      <w:marTop w:val="0"/>
      <w:marBottom w:val="0"/>
      <w:divBdr>
        <w:top w:val="none" w:sz="0" w:space="0" w:color="auto"/>
        <w:left w:val="none" w:sz="0" w:space="0" w:color="auto"/>
        <w:bottom w:val="none" w:sz="0" w:space="0" w:color="auto"/>
        <w:right w:val="none" w:sz="0" w:space="0" w:color="auto"/>
      </w:divBdr>
    </w:div>
    <w:div w:id="1523713289">
      <w:bodyDiv w:val="1"/>
      <w:marLeft w:val="0"/>
      <w:marRight w:val="0"/>
      <w:marTop w:val="0"/>
      <w:marBottom w:val="0"/>
      <w:divBdr>
        <w:top w:val="none" w:sz="0" w:space="0" w:color="auto"/>
        <w:left w:val="none" w:sz="0" w:space="0" w:color="auto"/>
        <w:bottom w:val="none" w:sz="0" w:space="0" w:color="auto"/>
        <w:right w:val="none" w:sz="0" w:space="0" w:color="auto"/>
      </w:divBdr>
    </w:div>
    <w:div w:id="1593972245">
      <w:bodyDiv w:val="1"/>
      <w:marLeft w:val="0"/>
      <w:marRight w:val="0"/>
      <w:marTop w:val="0"/>
      <w:marBottom w:val="0"/>
      <w:divBdr>
        <w:top w:val="none" w:sz="0" w:space="0" w:color="auto"/>
        <w:left w:val="none" w:sz="0" w:space="0" w:color="auto"/>
        <w:bottom w:val="none" w:sz="0" w:space="0" w:color="auto"/>
        <w:right w:val="none" w:sz="0" w:space="0" w:color="auto"/>
      </w:divBdr>
    </w:div>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 w:id="1917470778">
      <w:bodyDiv w:val="1"/>
      <w:marLeft w:val="0"/>
      <w:marRight w:val="0"/>
      <w:marTop w:val="0"/>
      <w:marBottom w:val="0"/>
      <w:divBdr>
        <w:top w:val="none" w:sz="0" w:space="0" w:color="auto"/>
        <w:left w:val="none" w:sz="0" w:space="0" w:color="auto"/>
        <w:bottom w:val="none" w:sz="0" w:space="0" w:color="auto"/>
        <w:right w:val="none" w:sz="0" w:space="0" w:color="auto"/>
      </w:divBdr>
    </w:div>
    <w:div w:id="2101363186">
      <w:bodyDiv w:val="1"/>
      <w:marLeft w:val="0"/>
      <w:marRight w:val="0"/>
      <w:marTop w:val="0"/>
      <w:marBottom w:val="0"/>
      <w:divBdr>
        <w:top w:val="none" w:sz="0" w:space="0" w:color="auto"/>
        <w:left w:val="none" w:sz="0" w:space="0" w:color="auto"/>
        <w:bottom w:val="none" w:sz="0" w:space="0" w:color="auto"/>
        <w:right w:val="none" w:sz="0" w:space="0" w:color="auto"/>
      </w:divBdr>
      <w:divsChild>
        <w:div w:id="239796691">
          <w:marLeft w:val="0"/>
          <w:marRight w:val="0"/>
          <w:marTop w:val="0"/>
          <w:marBottom w:val="624"/>
          <w:divBdr>
            <w:top w:val="none" w:sz="0" w:space="0" w:color="auto"/>
            <w:left w:val="none" w:sz="0" w:space="0" w:color="auto"/>
            <w:bottom w:val="none" w:sz="0" w:space="0" w:color="auto"/>
            <w:right w:val="none" w:sz="0" w:space="0" w:color="auto"/>
          </w:divBdr>
        </w:div>
        <w:div w:id="856579159">
          <w:marLeft w:val="0"/>
          <w:marRight w:val="0"/>
          <w:marTop w:val="0"/>
          <w:marBottom w:val="62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ografias.com/trabajos12/rete/rete.s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defensoria.gob.pe/modules/Downloads/informes/defensoriales/informe_19.pdf" TargetMode="External"/><Relationship Id="rId13" Type="http://schemas.openxmlformats.org/officeDocument/2006/relationships/hyperlink" Target="http://joomla.corteidh.or.cr:8080/joomla/es/casos-contenciosos/38-jurisprudencia/824-corte-idh-caso-kawas-fernandez-vs-honduras-fondo-reparaciones-y-costas-sentencia-de-3-de-abril-de-2009-serie-c-no-196" TargetMode="External"/><Relationship Id="rId3" Type="http://schemas.openxmlformats.org/officeDocument/2006/relationships/hyperlink" Target="http://www.defensoria.gob.pe/modules/Downloads/informes/defensoriales/informe_19.pdf" TargetMode="External"/><Relationship Id="rId7" Type="http://schemas.openxmlformats.org/officeDocument/2006/relationships/hyperlink" Target="http://www.defensoria.gob.pe/modules/Downloads/informes/defensoriales/informe_19.pdf" TargetMode="External"/><Relationship Id="rId12" Type="http://schemas.openxmlformats.org/officeDocument/2006/relationships/hyperlink" Target="http://joomla.corteidh.or.cr:8080/joomla/es/casos-contenciosos/38-jurisprudencia/1334-corte-idh-caso-valle-jaramillo-y-otros-vs-colombia-fondo-reparaciones-y-costas-sentencia-de-27-de-noviembre-de-2008-serie-c-no-192" TargetMode="External"/><Relationship Id="rId2" Type="http://schemas.openxmlformats.org/officeDocument/2006/relationships/hyperlink" Target="http://www.oas.org/juridico/PDFs/mesicic4_per_dec20530.pdf" TargetMode="External"/><Relationship Id="rId1" Type="http://schemas.openxmlformats.org/officeDocument/2006/relationships/hyperlink" Target="http://www.cidh.oas.org/annualrep/2010sp/PEAD147-98%20ES.doc" TargetMode="External"/><Relationship Id="rId6" Type="http://schemas.openxmlformats.org/officeDocument/2006/relationships/hyperlink" Target="http://www.defensoria.gob.pe/modules/Downloads/informes/defensoriales/informe_19.pdf" TargetMode="External"/><Relationship Id="rId11" Type="http://schemas.openxmlformats.org/officeDocument/2006/relationships/hyperlink" Target="http://joomla.corteidh.or.cr:8080/joomla/es/casos-contenciosos/38-jurisprudencia/882-corte-idh-caso-garibaldi-vs-brasil-excepciones-preliminares-fondo-reparaciones-y-costas-sentencia-de-23-de-septiembre-de-2009-serie-c-no-203" TargetMode="External"/><Relationship Id="rId5" Type="http://schemas.openxmlformats.org/officeDocument/2006/relationships/hyperlink" Target="http://www.defensoria.gob.pe/modules/Downloads/informes/defensoriales/informe_19.pdf" TargetMode="External"/><Relationship Id="rId10" Type="http://schemas.openxmlformats.org/officeDocument/2006/relationships/hyperlink" Target="http://joomla.corteidh.or.cr:8080/joomla/es/casos-contenciosos/38-jurisprudencia/698-corte-idh-caso-gomez-palomino-vs-peru-fondo-reparaciones-y-costas-sentencia-de-22-de-noviembre-de-2005-serie-c-no-136" TargetMode="External"/><Relationship Id="rId4" Type="http://schemas.openxmlformats.org/officeDocument/2006/relationships/hyperlink" Target="http://www.defensoria.gob.pe/modules/Downloads/informes/defensoriales/informe_19.pdf" TargetMode="External"/><Relationship Id="rId9" Type="http://schemas.openxmlformats.org/officeDocument/2006/relationships/hyperlink" Target="http://www.defensoria.gob.pe/modules/Downloads/informes/defensoriales/informe_19.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85E30D-C6CE-464A-B212-12B469C04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7658</Words>
  <Characters>42124</Characters>
  <Application>Microsoft Office Word</Application>
  <DocSecurity>0</DocSecurity>
  <Lines>351</Lines>
  <Paragraphs>99</Paragraphs>
  <ScaleCrop>false</ScaleCrop>
  <HeadingPairs>
    <vt:vector size="6" baseType="variant">
      <vt:variant>
        <vt:lpstr>Título</vt:lpstr>
      </vt:variant>
      <vt:variant>
        <vt:i4>1</vt:i4>
      </vt:variant>
      <vt:variant>
        <vt:lpstr>Title</vt:lpstr>
      </vt:variant>
      <vt:variant>
        <vt:i4>1</vt:i4>
      </vt:variant>
      <vt:variant>
        <vt:lpstr>Headings</vt:lpstr>
      </vt:variant>
      <vt:variant>
        <vt:i4>21</vt:i4>
      </vt:variant>
    </vt:vector>
  </HeadingPairs>
  <TitlesOfParts>
    <vt:vector size="23" baseType="lpstr">
      <vt:lpstr/>
      <vt:lpstr/>
      <vt:lpstr>RESUMEN</vt:lpstr>
      <vt:lpstr>TRÁMITE ANTE LA COMISIÓN </vt:lpstr>
      <vt:lpstr>POSICIÓN DE LAS PARTES</vt:lpstr>
      <vt:lpstr>    A. 	Posición del peticionario</vt:lpstr>
      <vt:lpstr>    B. 	Posición del Estado</vt:lpstr>
      <vt:lpstr>HECHOS PROBADOS</vt:lpstr>
      <vt:lpstr>    A.	Sobre la situación del señor Muelle hasta febrero de 1991</vt:lpstr>
      <vt:lpstr>    B.	Sobre el primer recurso de amparo presentado por el señor Muelle</vt:lpstr>
      <vt:lpstr>    C.	Sobre el segundo recurso de amparo presentado por el señor Muelle</vt:lpstr>
      <vt:lpstr>    D.	Sobre otros recursos interpuestos y el proceso de ejecución de cumplimiento d</vt:lpstr>
      <vt:lpstr>        1. 	Demanda presentada por la empresa</vt:lpstr>
      <vt:lpstr>        2. 	Proceso de ejecución de la sentencia de amparo de 2 de febrero de 1993</vt:lpstr>
      <vt:lpstr>ANÁLISIS DE FONDO</vt:lpstr>
      <vt:lpstr>    Consideración previa</vt:lpstr>
      <vt:lpstr>    Derechos a las garantías judiciales, propiedad privada y protección judicial (ar</vt:lpstr>
      <vt:lpstr>        1. 	Consideraciones generales sobre la tutela judicial efectiva y el cumplimient</vt:lpstr>
      <vt:lpstr>        2.	Información sobre la problemática de incumplimiento de fallos internos en Per</vt:lpstr>
      <vt:lpstr>        3.	Análisis del caso concreto</vt:lpstr>
      <vt:lpstr>        4. 	Plazo razonable en la ejecución de fallos internos</vt:lpstr>
      <vt:lpstr>        5. 	El derecho a la propiedad privada en relación con la falta de ejecución de f</vt:lpstr>
      <vt:lpstr>RECOMENDACIONES</vt:lpstr>
    </vt:vector>
  </TitlesOfParts>
  <Company>Cejil Autorizado</Company>
  <LinksUpToDate>false</LinksUpToDate>
  <CharactersWithSpaces>49683</CharactersWithSpaces>
  <SharedDoc>false</SharedDoc>
  <HLinks>
    <vt:vector size="210" baseType="variant">
      <vt:variant>
        <vt:i4>1179742</vt:i4>
      </vt:variant>
      <vt:variant>
        <vt:i4>129</vt:i4>
      </vt:variant>
      <vt:variant>
        <vt:i4>0</vt:i4>
      </vt:variant>
      <vt:variant>
        <vt:i4>5</vt:i4>
      </vt:variant>
      <vt:variant>
        <vt:lpwstr>http://www.monografias.com/trabajos12/rete/rete.shtml</vt:lpwstr>
      </vt:variant>
      <vt:variant>
        <vt:lpwstr/>
      </vt:variant>
      <vt:variant>
        <vt:i4>1769532</vt:i4>
      </vt:variant>
      <vt:variant>
        <vt:i4>122</vt:i4>
      </vt:variant>
      <vt:variant>
        <vt:i4>0</vt:i4>
      </vt:variant>
      <vt:variant>
        <vt:i4>5</vt:i4>
      </vt:variant>
      <vt:variant>
        <vt:lpwstr/>
      </vt:variant>
      <vt:variant>
        <vt:lpwstr>_Toc474398504</vt:lpwstr>
      </vt:variant>
      <vt:variant>
        <vt:i4>1769532</vt:i4>
      </vt:variant>
      <vt:variant>
        <vt:i4>116</vt:i4>
      </vt:variant>
      <vt:variant>
        <vt:i4>0</vt:i4>
      </vt:variant>
      <vt:variant>
        <vt:i4>5</vt:i4>
      </vt:variant>
      <vt:variant>
        <vt:lpwstr/>
      </vt:variant>
      <vt:variant>
        <vt:lpwstr>_Toc474398503</vt:lpwstr>
      </vt:variant>
      <vt:variant>
        <vt:i4>1769532</vt:i4>
      </vt:variant>
      <vt:variant>
        <vt:i4>110</vt:i4>
      </vt:variant>
      <vt:variant>
        <vt:i4>0</vt:i4>
      </vt:variant>
      <vt:variant>
        <vt:i4>5</vt:i4>
      </vt:variant>
      <vt:variant>
        <vt:lpwstr/>
      </vt:variant>
      <vt:variant>
        <vt:lpwstr>_Toc474398502</vt:lpwstr>
      </vt:variant>
      <vt:variant>
        <vt:i4>1769532</vt:i4>
      </vt:variant>
      <vt:variant>
        <vt:i4>104</vt:i4>
      </vt:variant>
      <vt:variant>
        <vt:i4>0</vt:i4>
      </vt:variant>
      <vt:variant>
        <vt:i4>5</vt:i4>
      </vt:variant>
      <vt:variant>
        <vt:lpwstr/>
      </vt:variant>
      <vt:variant>
        <vt:lpwstr>_Toc474398501</vt:lpwstr>
      </vt:variant>
      <vt:variant>
        <vt:i4>1769532</vt:i4>
      </vt:variant>
      <vt:variant>
        <vt:i4>98</vt:i4>
      </vt:variant>
      <vt:variant>
        <vt:i4>0</vt:i4>
      </vt:variant>
      <vt:variant>
        <vt:i4>5</vt:i4>
      </vt:variant>
      <vt:variant>
        <vt:lpwstr/>
      </vt:variant>
      <vt:variant>
        <vt:lpwstr>_Toc474398500</vt:lpwstr>
      </vt:variant>
      <vt:variant>
        <vt:i4>1179709</vt:i4>
      </vt:variant>
      <vt:variant>
        <vt:i4>92</vt:i4>
      </vt:variant>
      <vt:variant>
        <vt:i4>0</vt:i4>
      </vt:variant>
      <vt:variant>
        <vt:i4>5</vt:i4>
      </vt:variant>
      <vt:variant>
        <vt:lpwstr/>
      </vt:variant>
      <vt:variant>
        <vt:lpwstr>_Toc474398499</vt:lpwstr>
      </vt:variant>
      <vt:variant>
        <vt:i4>1179709</vt:i4>
      </vt:variant>
      <vt:variant>
        <vt:i4>86</vt:i4>
      </vt:variant>
      <vt:variant>
        <vt:i4>0</vt:i4>
      </vt:variant>
      <vt:variant>
        <vt:i4>5</vt:i4>
      </vt:variant>
      <vt:variant>
        <vt:lpwstr/>
      </vt:variant>
      <vt:variant>
        <vt:lpwstr>_Toc474398498</vt:lpwstr>
      </vt:variant>
      <vt:variant>
        <vt:i4>1179709</vt:i4>
      </vt:variant>
      <vt:variant>
        <vt:i4>80</vt:i4>
      </vt:variant>
      <vt:variant>
        <vt:i4>0</vt:i4>
      </vt:variant>
      <vt:variant>
        <vt:i4>5</vt:i4>
      </vt:variant>
      <vt:variant>
        <vt:lpwstr/>
      </vt:variant>
      <vt:variant>
        <vt:lpwstr>_Toc474398497</vt:lpwstr>
      </vt:variant>
      <vt:variant>
        <vt:i4>1179709</vt:i4>
      </vt:variant>
      <vt:variant>
        <vt:i4>74</vt:i4>
      </vt:variant>
      <vt:variant>
        <vt:i4>0</vt:i4>
      </vt:variant>
      <vt:variant>
        <vt:i4>5</vt:i4>
      </vt:variant>
      <vt:variant>
        <vt:lpwstr/>
      </vt:variant>
      <vt:variant>
        <vt:lpwstr>_Toc474398496</vt:lpwstr>
      </vt:variant>
      <vt:variant>
        <vt:i4>1179709</vt:i4>
      </vt:variant>
      <vt:variant>
        <vt:i4>68</vt:i4>
      </vt:variant>
      <vt:variant>
        <vt:i4>0</vt:i4>
      </vt:variant>
      <vt:variant>
        <vt:i4>5</vt:i4>
      </vt:variant>
      <vt:variant>
        <vt:lpwstr/>
      </vt:variant>
      <vt:variant>
        <vt:lpwstr>_Toc474398495</vt:lpwstr>
      </vt:variant>
      <vt:variant>
        <vt:i4>1179709</vt:i4>
      </vt:variant>
      <vt:variant>
        <vt:i4>62</vt:i4>
      </vt:variant>
      <vt:variant>
        <vt:i4>0</vt:i4>
      </vt:variant>
      <vt:variant>
        <vt:i4>5</vt:i4>
      </vt:variant>
      <vt:variant>
        <vt:lpwstr/>
      </vt:variant>
      <vt:variant>
        <vt:lpwstr>_Toc474398494</vt:lpwstr>
      </vt:variant>
      <vt:variant>
        <vt:i4>1179709</vt:i4>
      </vt:variant>
      <vt:variant>
        <vt:i4>56</vt:i4>
      </vt:variant>
      <vt:variant>
        <vt:i4>0</vt:i4>
      </vt:variant>
      <vt:variant>
        <vt:i4>5</vt:i4>
      </vt:variant>
      <vt:variant>
        <vt:lpwstr/>
      </vt:variant>
      <vt:variant>
        <vt:lpwstr>_Toc474398493</vt:lpwstr>
      </vt:variant>
      <vt:variant>
        <vt:i4>1179709</vt:i4>
      </vt:variant>
      <vt:variant>
        <vt:i4>50</vt:i4>
      </vt:variant>
      <vt:variant>
        <vt:i4>0</vt:i4>
      </vt:variant>
      <vt:variant>
        <vt:i4>5</vt:i4>
      </vt:variant>
      <vt:variant>
        <vt:lpwstr/>
      </vt:variant>
      <vt:variant>
        <vt:lpwstr>_Toc474398492</vt:lpwstr>
      </vt:variant>
      <vt:variant>
        <vt:i4>1179709</vt:i4>
      </vt:variant>
      <vt:variant>
        <vt:i4>44</vt:i4>
      </vt:variant>
      <vt:variant>
        <vt:i4>0</vt:i4>
      </vt:variant>
      <vt:variant>
        <vt:i4>5</vt:i4>
      </vt:variant>
      <vt:variant>
        <vt:lpwstr/>
      </vt:variant>
      <vt:variant>
        <vt:lpwstr>_Toc474398491</vt:lpwstr>
      </vt:variant>
      <vt:variant>
        <vt:i4>1179709</vt:i4>
      </vt:variant>
      <vt:variant>
        <vt:i4>38</vt:i4>
      </vt:variant>
      <vt:variant>
        <vt:i4>0</vt:i4>
      </vt:variant>
      <vt:variant>
        <vt:i4>5</vt:i4>
      </vt:variant>
      <vt:variant>
        <vt:lpwstr/>
      </vt:variant>
      <vt:variant>
        <vt:lpwstr>_Toc474398490</vt:lpwstr>
      </vt:variant>
      <vt:variant>
        <vt:i4>1245245</vt:i4>
      </vt:variant>
      <vt:variant>
        <vt:i4>32</vt:i4>
      </vt:variant>
      <vt:variant>
        <vt:i4>0</vt:i4>
      </vt:variant>
      <vt:variant>
        <vt:i4>5</vt:i4>
      </vt:variant>
      <vt:variant>
        <vt:lpwstr/>
      </vt:variant>
      <vt:variant>
        <vt:lpwstr>_Toc474398489</vt:lpwstr>
      </vt:variant>
      <vt:variant>
        <vt:i4>1245245</vt:i4>
      </vt:variant>
      <vt:variant>
        <vt:i4>26</vt:i4>
      </vt:variant>
      <vt:variant>
        <vt:i4>0</vt:i4>
      </vt:variant>
      <vt:variant>
        <vt:i4>5</vt:i4>
      </vt:variant>
      <vt:variant>
        <vt:lpwstr/>
      </vt:variant>
      <vt:variant>
        <vt:lpwstr>_Toc474398488</vt:lpwstr>
      </vt:variant>
      <vt:variant>
        <vt:i4>1245245</vt:i4>
      </vt:variant>
      <vt:variant>
        <vt:i4>20</vt:i4>
      </vt:variant>
      <vt:variant>
        <vt:i4>0</vt:i4>
      </vt:variant>
      <vt:variant>
        <vt:i4>5</vt:i4>
      </vt:variant>
      <vt:variant>
        <vt:lpwstr/>
      </vt:variant>
      <vt:variant>
        <vt:lpwstr>_Toc474398487</vt:lpwstr>
      </vt:variant>
      <vt:variant>
        <vt:i4>1245245</vt:i4>
      </vt:variant>
      <vt:variant>
        <vt:i4>14</vt:i4>
      </vt:variant>
      <vt:variant>
        <vt:i4>0</vt:i4>
      </vt:variant>
      <vt:variant>
        <vt:i4>5</vt:i4>
      </vt:variant>
      <vt:variant>
        <vt:lpwstr/>
      </vt:variant>
      <vt:variant>
        <vt:lpwstr>_Toc474398486</vt:lpwstr>
      </vt:variant>
      <vt:variant>
        <vt:i4>1245245</vt:i4>
      </vt:variant>
      <vt:variant>
        <vt:i4>8</vt:i4>
      </vt:variant>
      <vt:variant>
        <vt:i4>0</vt:i4>
      </vt:variant>
      <vt:variant>
        <vt:i4>5</vt:i4>
      </vt:variant>
      <vt:variant>
        <vt:lpwstr/>
      </vt:variant>
      <vt:variant>
        <vt:lpwstr>_Toc474398485</vt:lpwstr>
      </vt:variant>
      <vt:variant>
        <vt:i4>1245245</vt:i4>
      </vt:variant>
      <vt:variant>
        <vt:i4>2</vt:i4>
      </vt:variant>
      <vt:variant>
        <vt:i4>0</vt:i4>
      </vt:variant>
      <vt:variant>
        <vt:i4>5</vt:i4>
      </vt:variant>
      <vt:variant>
        <vt:lpwstr/>
      </vt:variant>
      <vt:variant>
        <vt:lpwstr>_Toc474398484</vt:lpwstr>
      </vt:variant>
      <vt:variant>
        <vt:i4>2752628</vt:i4>
      </vt:variant>
      <vt:variant>
        <vt:i4>36</vt:i4>
      </vt:variant>
      <vt:variant>
        <vt:i4>0</vt:i4>
      </vt:variant>
      <vt:variant>
        <vt:i4>5</vt:i4>
      </vt:variant>
      <vt:variant>
        <vt:lpwstr>http://joomla.corteidh.or.cr:8080/joomla/es/casos-contenciosos/38-jurisprudencia/824-corte-idh-caso-kawas-fernandez-vs-honduras-fondo-reparaciones-y-costas-sentencia-de-3-de-abril-de-2009-serie-c-no-196</vt:lpwstr>
      </vt:variant>
      <vt:variant>
        <vt:lpwstr/>
      </vt:variant>
      <vt:variant>
        <vt:i4>4259865</vt:i4>
      </vt:variant>
      <vt:variant>
        <vt:i4>33</vt:i4>
      </vt:variant>
      <vt:variant>
        <vt:i4>0</vt:i4>
      </vt:variant>
      <vt:variant>
        <vt:i4>5</vt:i4>
      </vt:variant>
      <vt:variant>
        <vt:lpwstr>http://joomla.corteidh.or.cr:8080/joomla/es/casos-contenciosos/38-jurisprudencia/1334-corte-idh-caso-valle-jaramillo-y-otros-vs-colombia-fondo-reparaciones-y-costas-sentencia-de-27-de-noviembre-de-2008-serie-c-no-192</vt:lpwstr>
      </vt:variant>
      <vt:variant>
        <vt:lpwstr/>
      </vt:variant>
      <vt:variant>
        <vt:i4>1507339</vt:i4>
      </vt:variant>
      <vt:variant>
        <vt:i4>30</vt:i4>
      </vt:variant>
      <vt:variant>
        <vt:i4>0</vt:i4>
      </vt:variant>
      <vt:variant>
        <vt:i4>5</vt:i4>
      </vt:variant>
      <vt:variant>
        <vt:lpwstr>http://joomla.corteidh.or.cr:8080/joomla/es/casos-contenciosos/38-jurisprudencia/882-corte-idh-caso-garibaldi-vs-brasil-excepciones-preliminares-fondo-reparaciones-y-costas-sentencia-de-23-de-septiembre-de-2009-serie-c-no-203</vt:lpwstr>
      </vt:variant>
      <vt:variant>
        <vt:lpwstr/>
      </vt:variant>
      <vt:variant>
        <vt:i4>7995500</vt:i4>
      </vt:variant>
      <vt:variant>
        <vt:i4>27</vt:i4>
      </vt:variant>
      <vt:variant>
        <vt:i4>0</vt:i4>
      </vt:variant>
      <vt:variant>
        <vt:i4>5</vt:i4>
      </vt:variant>
      <vt:variant>
        <vt:lpwstr>http://joomla.corteidh.or.cr:8080/joomla/es/casos-contenciosos/38-jurisprudencia/698-corte-idh-caso-gomez-palomino-vs-peru-fondo-reparaciones-y-costas-sentencia-de-22-de-noviembre-de-2005-serie-c-no-136</vt:lpwstr>
      </vt:variant>
      <vt:variant>
        <vt:lpwstr/>
      </vt:variant>
      <vt:variant>
        <vt:i4>3211286</vt:i4>
      </vt:variant>
      <vt:variant>
        <vt:i4>24</vt:i4>
      </vt:variant>
      <vt:variant>
        <vt:i4>0</vt:i4>
      </vt:variant>
      <vt:variant>
        <vt:i4>5</vt:i4>
      </vt:variant>
      <vt:variant>
        <vt:lpwstr>http://www.defensoria.gob.pe/modules/Downloads/informes/defensoriales/informe_19.pdf</vt:lpwstr>
      </vt:variant>
      <vt:variant>
        <vt:lpwstr/>
      </vt:variant>
      <vt:variant>
        <vt:i4>3211286</vt:i4>
      </vt:variant>
      <vt:variant>
        <vt:i4>21</vt:i4>
      </vt:variant>
      <vt:variant>
        <vt:i4>0</vt:i4>
      </vt:variant>
      <vt:variant>
        <vt:i4>5</vt:i4>
      </vt:variant>
      <vt:variant>
        <vt:lpwstr>http://www.defensoria.gob.pe/modules/Downloads/informes/defensoriales/informe_19.pdf</vt:lpwstr>
      </vt:variant>
      <vt:variant>
        <vt:lpwstr/>
      </vt:variant>
      <vt:variant>
        <vt:i4>3211286</vt:i4>
      </vt:variant>
      <vt:variant>
        <vt:i4>18</vt:i4>
      </vt:variant>
      <vt:variant>
        <vt:i4>0</vt:i4>
      </vt:variant>
      <vt:variant>
        <vt:i4>5</vt:i4>
      </vt:variant>
      <vt:variant>
        <vt:lpwstr>http://www.defensoria.gob.pe/modules/Downloads/informes/defensoriales/informe_19.pdf</vt:lpwstr>
      </vt:variant>
      <vt:variant>
        <vt:lpwstr/>
      </vt:variant>
      <vt:variant>
        <vt:i4>3211286</vt:i4>
      </vt:variant>
      <vt:variant>
        <vt:i4>15</vt:i4>
      </vt:variant>
      <vt:variant>
        <vt:i4>0</vt:i4>
      </vt:variant>
      <vt:variant>
        <vt:i4>5</vt:i4>
      </vt:variant>
      <vt:variant>
        <vt:lpwstr>http://www.defensoria.gob.pe/modules/Downloads/informes/defensoriales/informe_19.pdf</vt:lpwstr>
      </vt:variant>
      <vt:variant>
        <vt:lpwstr/>
      </vt:variant>
      <vt:variant>
        <vt:i4>3211286</vt:i4>
      </vt:variant>
      <vt:variant>
        <vt:i4>12</vt:i4>
      </vt:variant>
      <vt:variant>
        <vt:i4>0</vt:i4>
      </vt:variant>
      <vt:variant>
        <vt:i4>5</vt:i4>
      </vt:variant>
      <vt:variant>
        <vt:lpwstr>http://www.defensoria.gob.pe/modules/Downloads/informes/defensoriales/informe_19.pdf</vt:lpwstr>
      </vt:variant>
      <vt:variant>
        <vt:lpwstr/>
      </vt:variant>
      <vt:variant>
        <vt:i4>3211286</vt:i4>
      </vt:variant>
      <vt:variant>
        <vt:i4>9</vt:i4>
      </vt:variant>
      <vt:variant>
        <vt:i4>0</vt:i4>
      </vt:variant>
      <vt:variant>
        <vt:i4>5</vt:i4>
      </vt:variant>
      <vt:variant>
        <vt:lpwstr>http://www.defensoria.gob.pe/modules/Downloads/informes/defensoriales/informe_19.pdf</vt:lpwstr>
      </vt:variant>
      <vt:variant>
        <vt:lpwstr/>
      </vt:variant>
      <vt:variant>
        <vt:i4>3211286</vt:i4>
      </vt:variant>
      <vt:variant>
        <vt:i4>6</vt:i4>
      </vt:variant>
      <vt:variant>
        <vt:i4>0</vt:i4>
      </vt:variant>
      <vt:variant>
        <vt:i4>5</vt:i4>
      </vt:variant>
      <vt:variant>
        <vt:lpwstr>http://www.defensoria.gob.pe/modules/Downloads/informes/defensoriales/informe_19.pdf</vt:lpwstr>
      </vt:variant>
      <vt:variant>
        <vt:lpwstr/>
      </vt:variant>
      <vt:variant>
        <vt:i4>2556028</vt:i4>
      </vt:variant>
      <vt:variant>
        <vt:i4>3</vt:i4>
      </vt:variant>
      <vt:variant>
        <vt:i4>0</vt:i4>
      </vt:variant>
      <vt:variant>
        <vt:i4>5</vt:i4>
      </vt:variant>
      <vt:variant>
        <vt:lpwstr>http://www.oas.org/juridico/PDFs/mesicic4_per_dec20530.pdf</vt:lpwstr>
      </vt:variant>
      <vt:variant>
        <vt:lpwstr/>
      </vt:variant>
      <vt:variant>
        <vt:i4>2556018</vt:i4>
      </vt:variant>
      <vt:variant>
        <vt:i4>0</vt:i4>
      </vt:variant>
      <vt:variant>
        <vt:i4>0</vt:i4>
      </vt:variant>
      <vt:variant>
        <vt:i4>5</vt:i4>
      </vt:variant>
      <vt:variant>
        <vt:lpwstr>http://www.cidh.oas.org/annualrep/2010sp/PEAD147-98 ES.doc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dc:creator>
  <cp:lastModifiedBy>Usuario Autorizado</cp:lastModifiedBy>
  <cp:revision>3</cp:revision>
  <cp:lastPrinted>2018-01-31T16:05:00Z</cp:lastPrinted>
  <dcterms:created xsi:type="dcterms:W3CDTF">2018-01-31T16:04:00Z</dcterms:created>
  <dcterms:modified xsi:type="dcterms:W3CDTF">2018-01-31T16:07:00Z</dcterms:modified>
</cp:coreProperties>
</file>