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13F" w:rsidRPr="00D652B3" w:rsidRDefault="008C213F" w:rsidP="008C213F">
      <w:pPr>
        <w:pStyle w:val="Ttulo"/>
        <w:ind w:firstLine="567"/>
        <w:rPr>
          <w:rFonts w:ascii="Cambria" w:hAnsi="Cambria"/>
          <w:sz w:val="18"/>
          <w:szCs w:val="18"/>
          <w:lang w:val="en-US"/>
        </w:rPr>
      </w:pPr>
      <w:r w:rsidRPr="00D652B3">
        <w:rPr>
          <w:rFonts w:ascii="Cambria" w:hAnsi="Cambria"/>
          <w:sz w:val="18"/>
          <w:lang w:val="en-US"/>
        </w:rPr>
        <w:t xml:space="preserve">REPORT No. </w:t>
      </w:r>
      <w:r w:rsidR="00D652B3" w:rsidRPr="00D652B3">
        <w:rPr>
          <w:rFonts w:ascii="Cambria" w:hAnsi="Cambria"/>
          <w:sz w:val="18"/>
          <w:lang w:val="en-US"/>
        </w:rPr>
        <w:t>3/17</w:t>
      </w:r>
    </w:p>
    <w:p w:rsidR="008C213F" w:rsidRPr="00F36D39" w:rsidRDefault="008C213F" w:rsidP="008C213F">
      <w:pPr>
        <w:ind w:firstLine="567"/>
        <w:jc w:val="center"/>
        <w:rPr>
          <w:rFonts w:ascii="Cambria" w:hAnsi="Cambria"/>
          <w:b/>
          <w:bCs/>
          <w:sz w:val="18"/>
          <w:szCs w:val="18"/>
        </w:rPr>
      </w:pPr>
      <w:r>
        <w:rPr>
          <w:rFonts w:ascii="Cambria" w:hAnsi="Cambria"/>
          <w:b/>
          <w:sz w:val="18"/>
        </w:rPr>
        <w:t>CASE 12.772</w:t>
      </w:r>
    </w:p>
    <w:p w:rsidR="008C213F" w:rsidRPr="00F36D39" w:rsidRDefault="008C213F" w:rsidP="008C213F">
      <w:pPr>
        <w:ind w:firstLine="567"/>
        <w:jc w:val="center"/>
        <w:rPr>
          <w:rFonts w:ascii="Cambria" w:hAnsi="Cambria" w:cs="Arial"/>
          <w:bCs/>
          <w:sz w:val="18"/>
          <w:szCs w:val="18"/>
        </w:rPr>
      </w:pPr>
      <w:r>
        <w:rPr>
          <w:rFonts w:ascii="Cambria" w:hAnsi="Cambria"/>
          <w:sz w:val="18"/>
        </w:rPr>
        <w:t>MERITS</w:t>
      </w:r>
    </w:p>
    <w:p w:rsidR="008C213F" w:rsidRPr="00F36D39" w:rsidRDefault="008C213F" w:rsidP="008C213F">
      <w:pPr>
        <w:ind w:firstLine="567"/>
        <w:jc w:val="center"/>
        <w:rPr>
          <w:rFonts w:ascii="Cambria" w:hAnsi="Cambria" w:cs="Arial"/>
          <w:bCs/>
          <w:sz w:val="18"/>
          <w:szCs w:val="18"/>
        </w:rPr>
      </w:pPr>
      <w:r>
        <w:rPr>
          <w:rFonts w:ascii="Cambria" w:hAnsi="Cambria"/>
          <w:sz w:val="18"/>
        </w:rPr>
        <w:t>OSCAR MUELLE FLORES</w:t>
      </w:r>
    </w:p>
    <w:p w:rsidR="008C213F" w:rsidRPr="00F36D39" w:rsidRDefault="008C213F" w:rsidP="008C213F">
      <w:pPr>
        <w:ind w:firstLine="567"/>
        <w:jc w:val="center"/>
        <w:rPr>
          <w:rFonts w:ascii="Cambria" w:hAnsi="Cambria" w:cs="Arial"/>
          <w:bCs/>
          <w:sz w:val="18"/>
          <w:szCs w:val="18"/>
        </w:rPr>
      </w:pPr>
      <w:r>
        <w:rPr>
          <w:rFonts w:ascii="Cambria" w:hAnsi="Cambria"/>
          <w:sz w:val="18"/>
        </w:rPr>
        <w:t>PERU</w:t>
      </w:r>
    </w:p>
    <w:p w:rsidR="00D652B3" w:rsidRPr="00F36D39" w:rsidRDefault="00D652B3" w:rsidP="00D652B3">
      <w:pPr>
        <w:ind w:firstLine="567"/>
        <w:jc w:val="center"/>
        <w:rPr>
          <w:rFonts w:ascii="Cambria" w:hAnsi="Cambria" w:cs="Arial"/>
          <w:bCs/>
          <w:sz w:val="18"/>
          <w:szCs w:val="18"/>
        </w:rPr>
      </w:pPr>
      <w:r>
        <w:rPr>
          <w:rFonts w:ascii="Cambria" w:hAnsi="Cambria"/>
          <w:sz w:val="18"/>
        </w:rPr>
        <w:t>JANUARY 27, 2017</w:t>
      </w:r>
    </w:p>
    <w:p w:rsidR="008C213F" w:rsidRPr="007A5CCB" w:rsidRDefault="008C213F" w:rsidP="008C213F">
      <w:pPr>
        <w:ind w:firstLine="567"/>
        <w:jc w:val="both"/>
        <w:rPr>
          <w:rFonts w:ascii="Cambria" w:hAnsi="Cambria" w:cs="Arial"/>
          <w:sz w:val="20"/>
          <w:szCs w:val="20"/>
        </w:rPr>
      </w:pPr>
    </w:p>
    <w:p w:rsidR="008C213F" w:rsidRPr="007A5CCB" w:rsidRDefault="008C213F" w:rsidP="008C213F">
      <w:pPr>
        <w:ind w:firstLine="567"/>
        <w:jc w:val="both"/>
        <w:rPr>
          <w:rFonts w:ascii="Cambria" w:hAnsi="Cambria" w:cs="Arial"/>
          <w:sz w:val="20"/>
          <w:szCs w:val="20"/>
        </w:rPr>
      </w:pPr>
    </w:p>
    <w:p w:rsidR="008C213F" w:rsidRPr="00CD60C7" w:rsidRDefault="008C213F" w:rsidP="00BC6020">
      <w:pPr>
        <w:pStyle w:val="Ttulo1"/>
        <w:keepLines/>
        <w:pBdr>
          <w:top w:val="nil"/>
          <w:left w:val="nil"/>
          <w:bottom w:val="nil"/>
          <w:right w:val="nil"/>
          <w:between w:val="nil"/>
          <w:bar w:val="nil"/>
        </w:pBdr>
        <w:tabs>
          <w:tab w:val="left" w:pos="1440"/>
        </w:tabs>
        <w:ind w:left="720" w:firstLine="0"/>
        <w:jc w:val="both"/>
      </w:pPr>
      <w:bookmarkStart w:id="0" w:name="_Toc370830569"/>
      <w:bookmarkStart w:id="1" w:name="_Toc370831280"/>
      <w:bookmarkStart w:id="2" w:name="_Toc412635569"/>
      <w:bookmarkStart w:id="3" w:name="_Toc416685625"/>
      <w:bookmarkStart w:id="4" w:name="_Toc346456991"/>
      <w:r w:rsidRPr="00CD60C7">
        <w:t>SUMMARY</w:t>
      </w:r>
      <w:bookmarkEnd w:id="0"/>
      <w:bookmarkEnd w:id="1"/>
      <w:bookmarkEnd w:id="2"/>
      <w:bookmarkEnd w:id="3"/>
      <w:bookmarkEnd w:id="4"/>
    </w:p>
    <w:p w:rsidR="008C213F" w:rsidRPr="00CD60C7" w:rsidRDefault="008C213F" w:rsidP="00BC6020">
      <w:pPr>
        <w:ind w:firstLine="567"/>
        <w:jc w:val="both"/>
        <w:rPr>
          <w:rFonts w:ascii="Cambria" w:hAnsi="Cambria" w:cs="Arial"/>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 xml:space="preserve">On April 8, 1998, the Inter-American Commission on Human Rights (hereinafter "the Commission,” “the Inter-American Commission,” or “the IACHR”) received a petition initially lodged on his own behalf by Oscar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Flores (hereinafter “the petitioner” or "the alleged victim"). That petition alleged that the Republic of Peru (hereinafter "the State," "the Peruvian State," or "Peru") bore international responsibility for failure to comply with two judgments for enforcement of rights (</w:t>
      </w:r>
      <w:proofErr w:type="spellStart"/>
      <w:r w:rsidRPr="00D652B3">
        <w:rPr>
          <w:rFonts w:ascii="Cambria" w:hAnsi="Cambria"/>
          <w:i/>
          <w:color w:val="auto"/>
          <w:sz w:val="20"/>
          <w:szCs w:val="20"/>
          <w:lang w:val="en-US"/>
        </w:rPr>
        <w:t>amparo</w:t>
      </w:r>
      <w:proofErr w:type="spellEnd"/>
      <w:r w:rsidRPr="00D652B3">
        <w:rPr>
          <w:rFonts w:ascii="Cambria" w:hAnsi="Cambria"/>
          <w:color w:val="auto"/>
          <w:sz w:val="20"/>
          <w:szCs w:val="20"/>
          <w:lang w:val="en-US"/>
        </w:rPr>
        <w:t xml:space="preserve">), handed down in 1993 and 1999,  which recognized the petitioner's right to receive a pension as a former worker at the State-owned </w:t>
      </w:r>
      <w:proofErr w:type="spellStart"/>
      <w:r w:rsidRPr="00D652B3">
        <w:rPr>
          <w:rFonts w:ascii="Cambria" w:hAnsi="Cambria"/>
          <w:color w:val="auto"/>
          <w:sz w:val="20"/>
          <w:szCs w:val="20"/>
          <w:lang w:val="en-US"/>
        </w:rPr>
        <w:t>Tintaya</w:t>
      </w:r>
      <w:proofErr w:type="spellEnd"/>
      <w:r w:rsidRPr="00D652B3">
        <w:rPr>
          <w:rFonts w:ascii="Cambria" w:hAnsi="Cambria"/>
          <w:color w:val="auto"/>
          <w:sz w:val="20"/>
          <w:szCs w:val="20"/>
          <w:lang w:val="en-US"/>
        </w:rPr>
        <w:t xml:space="preserve"> mine.</w:t>
      </w:r>
    </w:p>
    <w:p w:rsidR="008C213F" w:rsidRPr="00D652B3" w:rsidRDefault="008C213F" w:rsidP="00BC6020">
      <w:pPr>
        <w:pStyle w:val="Sangradetextonormal"/>
        <w:ind w:left="0" w:firstLine="567"/>
        <w:rPr>
          <w:rFonts w:ascii="Cambria" w:hAnsi="Cambria"/>
          <w:color w:val="auto"/>
          <w:sz w:val="20"/>
          <w:szCs w:val="20"/>
          <w:lang w:val="en-US"/>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The State acknowledged that the two "</w:t>
      </w:r>
      <w:proofErr w:type="spellStart"/>
      <w:r w:rsidRPr="00D652B3">
        <w:rPr>
          <w:rFonts w:ascii="Cambria" w:hAnsi="Cambria"/>
          <w:color w:val="auto"/>
          <w:sz w:val="20"/>
          <w:szCs w:val="20"/>
          <w:lang w:val="en-US"/>
        </w:rPr>
        <w:t>amparo</w:t>
      </w:r>
      <w:proofErr w:type="spellEnd"/>
      <w:r w:rsidRPr="00D652B3">
        <w:rPr>
          <w:rFonts w:ascii="Cambria" w:hAnsi="Cambria"/>
          <w:color w:val="auto"/>
          <w:sz w:val="20"/>
          <w:szCs w:val="20"/>
          <w:lang w:val="en-US"/>
        </w:rPr>
        <w:t xml:space="preserve">" suits filed by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were declared well-founded and that judicial proceedings were under way to determine the specific pension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would receive. It indicated that a court would rule on the benefits to which the alleged victim was entitled. It stressed that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had received all due judicial guarantees during the various proceedings that had been initiated. </w:t>
      </w:r>
    </w:p>
    <w:p w:rsidR="008C213F" w:rsidRPr="00D652B3" w:rsidRDefault="008C213F" w:rsidP="00BC6020">
      <w:pPr>
        <w:pStyle w:val="Sangradetextonormal"/>
        <w:ind w:left="0" w:firstLine="0"/>
        <w:rPr>
          <w:rFonts w:ascii="Cambria" w:hAnsi="Cambria"/>
          <w:color w:val="auto"/>
          <w:sz w:val="20"/>
          <w:szCs w:val="20"/>
          <w:lang w:val="en-US"/>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 xml:space="preserve">After analyzing the information available, the Commission concluded that the Peruvian State is responsible for violation of the rights to judicial guarantees, private property, and judicial protection recognized in Articles 8 (1), 21, and 25.2.c)  of the American Convention, in conjunction with the obligations contained in Articles 1 (1) and 2 thereof, to the detriment of Oscar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Flores.  </w:t>
      </w:r>
    </w:p>
    <w:p w:rsidR="008C213F" w:rsidRPr="00CD60C7" w:rsidRDefault="008C213F" w:rsidP="00BC6020">
      <w:pPr>
        <w:pStyle w:val="NormalWeb"/>
        <w:spacing w:before="0" w:beforeAutospacing="0" w:after="0" w:afterAutospacing="0"/>
        <w:ind w:firstLine="567"/>
        <w:jc w:val="both"/>
        <w:rPr>
          <w:rFonts w:ascii="Cambria" w:hAnsi="Cambria" w:cs="Arial"/>
          <w:sz w:val="20"/>
          <w:szCs w:val="20"/>
        </w:rPr>
      </w:pPr>
    </w:p>
    <w:p w:rsidR="008C213F" w:rsidRPr="00CD60C7" w:rsidRDefault="008C213F" w:rsidP="00BC6020">
      <w:pPr>
        <w:pStyle w:val="Ttulo1"/>
        <w:keepLines/>
        <w:pBdr>
          <w:top w:val="nil"/>
          <w:left w:val="nil"/>
          <w:bottom w:val="nil"/>
          <w:right w:val="nil"/>
          <w:between w:val="nil"/>
          <w:bar w:val="nil"/>
        </w:pBdr>
        <w:tabs>
          <w:tab w:val="left" w:pos="1440"/>
        </w:tabs>
        <w:ind w:left="720" w:firstLine="0"/>
        <w:jc w:val="both"/>
      </w:pPr>
      <w:bookmarkStart w:id="5" w:name="_Toc370830570"/>
      <w:bookmarkStart w:id="6" w:name="_Toc370831281"/>
      <w:bookmarkStart w:id="7" w:name="_Toc412635570"/>
      <w:bookmarkStart w:id="8" w:name="_Toc416685626"/>
      <w:bookmarkStart w:id="9" w:name="_Toc346456992"/>
      <w:r w:rsidRPr="00CD60C7">
        <w:t>PROCEEDINGS BEFORE THE IACHR</w:t>
      </w:r>
      <w:bookmarkEnd w:id="5"/>
      <w:bookmarkEnd w:id="6"/>
      <w:bookmarkEnd w:id="7"/>
      <w:bookmarkEnd w:id="8"/>
      <w:bookmarkEnd w:id="9"/>
      <w:r w:rsidRPr="00CD60C7">
        <w:t xml:space="preserve"> </w:t>
      </w:r>
    </w:p>
    <w:p w:rsidR="008C213F" w:rsidRPr="00CD60C7" w:rsidRDefault="008C213F" w:rsidP="00BC6020">
      <w:pPr>
        <w:ind w:firstLine="567"/>
        <w:jc w:val="both"/>
        <w:rPr>
          <w:rFonts w:ascii="Cambria" w:hAnsi="Cambria" w:cs="Arial"/>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s="Arial"/>
          <w:color w:val="auto"/>
          <w:sz w:val="20"/>
          <w:szCs w:val="20"/>
          <w:lang w:val="en-US"/>
        </w:rPr>
      </w:pPr>
      <w:r w:rsidRPr="00D652B3">
        <w:rPr>
          <w:rFonts w:ascii="Cambria" w:hAnsi="Cambria"/>
          <w:color w:val="auto"/>
          <w:sz w:val="20"/>
          <w:szCs w:val="20"/>
          <w:lang w:val="en-US"/>
        </w:rPr>
        <w:t>The proceedings during the admissibility stage are described in Admissibility Report No. 106/10 of July 16, 2010.</w:t>
      </w:r>
      <w:r w:rsidRPr="00CD60C7">
        <w:rPr>
          <w:rStyle w:val="Refdenotaalpie"/>
          <w:rFonts w:ascii="Cambria" w:eastAsia="MS Gothic" w:hAnsi="Cambria"/>
          <w:color w:val="auto"/>
          <w:sz w:val="20"/>
          <w:szCs w:val="20"/>
        </w:rPr>
        <w:footnoteReference w:id="2"/>
      </w:r>
      <w:r w:rsidRPr="00D652B3">
        <w:rPr>
          <w:rFonts w:ascii="Cambria" w:hAnsi="Cambria"/>
          <w:color w:val="auto"/>
          <w:sz w:val="20"/>
          <w:szCs w:val="20"/>
          <w:lang w:val="en-US"/>
        </w:rPr>
        <w:t xml:space="preserve">  The IACHR declared the petition admissible in respect of the rights recognized in Articles, 8, 21, and 25 of the American Convention. The Commission declared the argument regarding alleged violation of Article 24 of said instrument inadmissible.</w:t>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s="Arial"/>
          <w:color w:val="auto"/>
          <w:sz w:val="20"/>
          <w:szCs w:val="20"/>
          <w:lang w:val="en-US"/>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s="Arial"/>
          <w:color w:val="auto"/>
          <w:sz w:val="20"/>
          <w:szCs w:val="20"/>
          <w:lang w:val="en-US"/>
        </w:rPr>
      </w:pPr>
      <w:r w:rsidRPr="00D652B3">
        <w:rPr>
          <w:rFonts w:ascii="Cambria" w:hAnsi="Cambria"/>
          <w:color w:val="auto"/>
          <w:sz w:val="20"/>
          <w:szCs w:val="20"/>
          <w:lang w:val="en-US"/>
        </w:rPr>
        <w:t>On July 21, 2010, the Commission notified the parties of the admissibility report. The IACHR also placed itself at the disposal of the parties in order to facilitate a possible friendly settlement. Neither of the parties responded to the offer to initiate a friendly settlement procedure. The petitioner presented his additional observations on the merits on October 30, 2010. The State presented its additional observations on the merits on April 8, 2011. Subsequently, the Commission received communications from both parties,</w:t>
      </w:r>
      <w:r w:rsidRPr="00CD60C7">
        <w:rPr>
          <w:rStyle w:val="Refdenotaalpie"/>
          <w:rFonts w:ascii="Cambria" w:eastAsia="MS Gothic" w:hAnsi="Cambria"/>
          <w:color w:val="auto"/>
          <w:sz w:val="20"/>
          <w:szCs w:val="20"/>
        </w:rPr>
        <w:footnoteReference w:id="3"/>
      </w:r>
      <w:r w:rsidRPr="00D652B3">
        <w:rPr>
          <w:rFonts w:ascii="Cambria" w:hAnsi="Cambria"/>
          <w:color w:val="auto"/>
          <w:sz w:val="20"/>
          <w:szCs w:val="20"/>
          <w:lang w:val="en-US"/>
        </w:rPr>
        <w:t xml:space="preserve"> which were duly forwarded from one to the other.</w:t>
      </w:r>
    </w:p>
    <w:p w:rsidR="008C213F" w:rsidRPr="00CD60C7" w:rsidRDefault="008C213F" w:rsidP="00BC6020">
      <w:pPr>
        <w:rPr>
          <w:rFonts w:ascii="Cambria" w:hAnsi="Cambria"/>
          <w:sz w:val="20"/>
          <w:szCs w:val="20"/>
        </w:rPr>
      </w:pPr>
      <w:bookmarkStart w:id="10" w:name="_Toc370830571"/>
      <w:bookmarkStart w:id="11" w:name="_Toc370831282"/>
    </w:p>
    <w:p w:rsidR="008C213F" w:rsidRPr="00CD60C7" w:rsidRDefault="008C213F" w:rsidP="00BC6020">
      <w:pPr>
        <w:pStyle w:val="Ttulo1"/>
        <w:keepLines/>
        <w:pBdr>
          <w:top w:val="nil"/>
          <w:left w:val="nil"/>
          <w:bottom w:val="nil"/>
          <w:right w:val="nil"/>
          <w:between w:val="nil"/>
          <w:bar w:val="nil"/>
        </w:pBdr>
        <w:tabs>
          <w:tab w:val="left" w:pos="1440"/>
        </w:tabs>
        <w:ind w:left="720" w:firstLine="0"/>
        <w:jc w:val="both"/>
      </w:pPr>
      <w:bookmarkStart w:id="12" w:name="_Toc412635571"/>
      <w:bookmarkStart w:id="13" w:name="_Toc416685627"/>
      <w:bookmarkStart w:id="14" w:name="_Toc346456993"/>
      <w:r w:rsidRPr="00CD60C7">
        <w:t>POSITION OF THE PARTIES</w:t>
      </w:r>
      <w:bookmarkEnd w:id="10"/>
      <w:bookmarkEnd w:id="11"/>
      <w:bookmarkEnd w:id="12"/>
      <w:bookmarkEnd w:id="13"/>
      <w:bookmarkEnd w:id="14"/>
    </w:p>
    <w:p w:rsidR="008C213F" w:rsidRPr="00CD60C7" w:rsidRDefault="008C213F" w:rsidP="00BC6020">
      <w:pPr>
        <w:ind w:firstLine="567"/>
        <w:rPr>
          <w:rFonts w:ascii="Cambria" w:hAnsi="Cambria"/>
          <w:sz w:val="20"/>
          <w:szCs w:val="20"/>
        </w:rPr>
      </w:pPr>
    </w:p>
    <w:p w:rsidR="008C213F" w:rsidRPr="00CD60C7" w:rsidRDefault="008C213F" w:rsidP="00BC6020">
      <w:pPr>
        <w:pStyle w:val="Ttulo2"/>
      </w:pPr>
      <w:bookmarkStart w:id="15" w:name="_Toc370831283"/>
      <w:bookmarkStart w:id="16" w:name="_Toc412635572"/>
      <w:bookmarkStart w:id="17" w:name="_Toc416685628"/>
      <w:bookmarkStart w:id="18" w:name="_Toc346456994"/>
      <w:r w:rsidRPr="00CD60C7">
        <w:t xml:space="preserve">A. </w:t>
      </w:r>
      <w:r w:rsidRPr="00CD60C7">
        <w:tab/>
        <w:t xml:space="preserve">Position </w:t>
      </w:r>
      <w:bookmarkEnd w:id="15"/>
      <w:bookmarkEnd w:id="16"/>
      <w:bookmarkEnd w:id="17"/>
      <w:r w:rsidRPr="00CD60C7">
        <w:t xml:space="preserve">of </w:t>
      </w:r>
      <w:proofErr w:type="spellStart"/>
      <w:r w:rsidRPr="00CD60C7">
        <w:t>the</w:t>
      </w:r>
      <w:proofErr w:type="spellEnd"/>
      <w:r w:rsidRPr="00CD60C7">
        <w:t xml:space="preserve"> </w:t>
      </w:r>
      <w:proofErr w:type="spellStart"/>
      <w:r w:rsidRPr="00CD60C7">
        <w:t>petitioner</w:t>
      </w:r>
      <w:bookmarkEnd w:id="18"/>
      <w:proofErr w:type="spellEnd"/>
    </w:p>
    <w:p w:rsidR="008C213F" w:rsidRPr="00CD60C7" w:rsidRDefault="008C213F" w:rsidP="00BC6020">
      <w:pPr>
        <w:ind w:firstLine="567"/>
        <w:rPr>
          <w:rFonts w:ascii="Cambria" w:hAnsi="Cambria"/>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The petitioner alleged that the State bears international responsibility for failing to comply with two "</w:t>
      </w:r>
      <w:proofErr w:type="spellStart"/>
      <w:r w:rsidRPr="00D652B3">
        <w:rPr>
          <w:rFonts w:ascii="Cambria" w:hAnsi="Cambria"/>
          <w:color w:val="auto"/>
          <w:sz w:val="20"/>
          <w:szCs w:val="20"/>
          <w:lang w:val="en-US"/>
        </w:rPr>
        <w:t>amparo</w:t>
      </w:r>
      <w:proofErr w:type="spellEnd"/>
      <w:r w:rsidRPr="00D652B3">
        <w:rPr>
          <w:rFonts w:ascii="Cambria" w:hAnsi="Cambria"/>
          <w:color w:val="auto"/>
          <w:sz w:val="20"/>
          <w:szCs w:val="20"/>
          <w:lang w:val="en-US"/>
        </w:rPr>
        <w:t xml:space="preserve">" judgments, handed down in 1993 and 1994, which recognized his pension rights as a </w:t>
      </w:r>
      <w:r w:rsidRPr="00D652B3">
        <w:rPr>
          <w:rFonts w:ascii="Cambria" w:hAnsi="Cambria"/>
          <w:color w:val="auto"/>
          <w:sz w:val="20"/>
          <w:szCs w:val="20"/>
          <w:lang w:val="en-US"/>
        </w:rPr>
        <w:lastRenderedPageBreak/>
        <w:t xml:space="preserve">former worker at the State-owned </w:t>
      </w:r>
      <w:proofErr w:type="spellStart"/>
      <w:r w:rsidRPr="00D652B3">
        <w:rPr>
          <w:rFonts w:ascii="Cambria" w:hAnsi="Cambria"/>
          <w:color w:val="auto"/>
          <w:sz w:val="20"/>
          <w:szCs w:val="20"/>
          <w:lang w:val="en-US"/>
        </w:rPr>
        <w:t>Tintaya</w:t>
      </w:r>
      <w:proofErr w:type="spellEnd"/>
      <w:r w:rsidRPr="00D652B3">
        <w:rPr>
          <w:rFonts w:ascii="Cambria" w:hAnsi="Cambria"/>
          <w:color w:val="auto"/>
          <w:sz w:val="20"/>
          <w:szCs w:val="20"/>
          <w:lang w:val="en-US"/>
        </w:rPr>
        <w:t xml:space="preserve"> mine. The details of the facts and proceedings are to be found in the Proven Facts section. </w:t>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 xml:space="preserve">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stated that in September 1990 he retired from a state-owned mining company and was included in the pension scheme established by Decree Law 20530, which contained the scale of pensions and benefits for civil servants' services rendered to the State by workers on active duty. He maintained that he was receiving such pension until February 1991 when he received a notification from the company stating that the application of Decree Law 20530 had been suspended.  </w:t>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The petitioner maintained that he filed an "</w:t>
      </w:r>
      <w:proofErr w:type="spellStart"/>
      <w:r w:rsidRPr="00D652B3">
        <w:rPr>
          <w:rFonts w:ascii="Cambria" w:hAnsi="Cambria"/>
          <w:color w:val="auto"/>
          <w:sz w:val="20"/>
          <w:szCs w:val="20"/>
          <w:lang w:val="en-US"/>
        </w:rPr>
        <w:t>amparo</w:t>
      </w:r>
      <w:proofErr w:type="spellEnd"/>
      <w:r w:rsidRPr="00D652B3">
        <w:rPr>
          <w:rFonts w:ascii="Cambria" w:hAnsi="Cambria"/>
          <w:color w:val="auto"/>
          <w:sz w:val="20"/>
          <w:szCs w:val="20"/>
          <w:lang w:val="en-US"/>
        </w:rPr>
        <w:t xml:space="preserve">" suit challenging that decision, which the Supreme Court heard in final instance. He pointed out that, in its judgment of February 1993, the Supreme Court ordered Mr. </w:t>
      </w:r>
      <w:proofErr w:type="spellStart"/>
      <w:r w:rsidRPr="00D652B3">
        <w:rPr>
          <w:rFonts w:ascii="Cambria" w:hAnsi="Cambria"/>
          <w:color w:val="auto"/>
          <w:sz w:val="20"/>
          <w:szCs w:val="20"/>
          <w:lang w:val="en-US"/>
        </w:rPr>
        <w:t>Muelle's</w:t>
      </w:r>
      <w:proofErr w:type="spellEnd"/>
      <w:r w:rsidRPr="00D652B3">
        <w:rPr>
          <w:rFonts w:ascii="Cambria" w:hAnsi="Cambria"/>
          <w:color w:val="auto"/>
          <w:sz w:val="20"/>
          <w:szCs w:val="20"/>
          <w:lang w:val="en-US"/>
        </w:rPr>
        <w:t xml:space="preserve"> reincorporation in the pension scheme governed by Decree Law 20530. The petitioner added that in response to the ruling the company issued a Decision (</w:t>
      </w:r>
      <w:proofErr w:type="spellStart"/>
      <w:r w:rsidRPr="00D652B3">
        <w:rPr>
          <w:rFonts w:ascii="Cambria" w:hAnsi="Cambria"/>
          <w:i/>
          <w:color w:val="auto"/>
          <w:sz w:val="20"/>
          <w:szCs w:val="20"/>
          <w:lang w:val="en-US"/>
        </w:rPr>
        <w:t>acuerdo</w:t>
      </w:r>
      <w:proofErr w:type="spellEnd"/>
      <w:r w:rsidRPr="00D652B3">
        <w:rPr>
          <w:rFonts w:ascii="Cambria" w:hAnsi="Cambria"/>
          <w:color w:val="auto"/>
          <w:sz w:val="20"/>
          <w:szCs w:val="20"/>
          <w:lang w:val="en-US"/>
        </w:rPr>
        <w:t xml:space="preserve">) in which it attempted to annul his reincorporation into the scheme governed by that law. He maintained that, faced with that situation, he filed a second </w:t>
      </w:r>
      <w:proofErr w:type="spellStart"/>
      <w:r w:rsidRPr="00D652B3">
        <w:rPr>
          <w:rFonts w:ascii="Cambria" w:hAnsi="Cambria"/>
          <w:color w:val="auto"/>
          <w:sz w:val="20"/>
          <w:szCs w:val="20"/>
          <w:lang w:val="en-US"/>
        </w:rPr>
        <w:t>amparo</w:t>
      </w:r>
      <w:proofErr w:type="spellEnd"/>
      <w:r w:rsidRPr="00D652B3">
        <w:rPr>
          <w:rFonts w:ascii="Cambria" w:hAnsi="Cambria"/>
          <w:color w:val="auto"/>
          <w:sz w:val="20"/>
          <w:szCs w:val="20"/>
          <w:lang w:val="en-US"/>
        </w:rPr>
        <w:t xml:space="preserve"> appeal, which was heard in final instance by the Constitutional Court. He added that, in its judgment of December 1999, the Constitutional Court ordered the company to comply with “continued payment" of the pension money that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was receiving. The petitioner stated that, despite that, those judgments have still not been executed. </w:t>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 xml:space="preserve">Regarding the </w:t>
      </w:r>
      <w:r w:rsidRPr="00D652B3">
        <w:rPr>
          <w:rFonts w:ascii="Cambria" w:hAnsi="Cambria"/>
          <w:b/>
          <w:color w:val="auto"/>
          <w:sz w:val="20"/>
          <w:szCs w:val="20"/>
          <w:lang w:val="en-US"/>
        </w:rPr>
        <w:t>right to judicial guarantees and judicial protection</w:t>
      </w:r>
      <w:r w:rsidRPr="00D652B3">
        <w:rPr>
          <w:rFonts w:ascii="Cambria" w:hAnsi="Cambria"/>
          <w:color w:val="auto"/>
          <w:sz w:val="20"/>
          <w:szCs w:val="20"/>
          <w:lang w:val="en-US"/>
        </w:rPr>
        <w:t>, the petitioner alleged that the State had violated it by not complying with its obligation to abide by the court judgments ordering adjustment (</w:t>
      </w:r>
      <w:proofErr w:type="spellStart"/>
      <w:r w:rsidRPr="00D652B3">
        <w:rPr>
          <w:rFonts w:ascii="Cambria" w:hAnsi="Cambria"/>
          <w:i/>
          <w:color w:val="auto"/>
          <w:sz w:val="20"/>
          <w:szCs w:val="20"/>
          <w:lang w:val="en-US"/>
        </w:rPr>
        <w:t>nivelación</w:t>
      </w:r>
      <w:proofErr w:type="spellEnd"/>
      <w:r w:rsidRPr="00D652B3">
        <w:rPr>
          <w:rFonts w:ascii="Cambria" w:hAnsi="Cambria"/>
          <w:color w:val="auto"/>
          <w:sz w:val="20"/>
          <w:szCs w:val="20"/>
          <w:lang w:val="en-US"/>
        </w:rPr>
        <w:t xml:space="preserve">) of the pension money owed to him. With regard to the </w:t>
      </w:r>
      <w:r w:rsidRPr="00D652B3">
        <w:rPr>
          <w:rFonts w:ascii="Cambria" w:hAnsi="Cambria"/>
          <w:b/>
          <w:color w:val="auto"/>
          <w:sz w:val="20"/>
          <w:szCs w:val="20"/>
          <w:lang w:val="en-US"/>
        </w:rPr>
        <w:t>right to private property</w:t>
      </w:r>
      <w:r w:rsidRPr="00D652B3">
        <w:rPr>
          <w:rFonts w:ascii="Cambria" w:hAnsi="Cambria"/>
          <w:color w:val="auto"/>
          <w:sz w:val="20"/>
          <w:szCs w:val="20"/>
          <w:lang w:val="en-US"/>
        </w:rPr>
        <w:t>, the petitioner argued that failure to pay his pension as ordered by the courts had impaired his net worth.</w:t>
      </w:r>
    </w:p>
    <w:p w:rsidR="008C213F" w:rsidRPr="00CD60C7" w:rsidRDefault="008C213F" w:rsidP="00BC6020">
      <w:pPr>
        <w:rPr>
          <w:rFonts w:ascii="Cambria" w:hAnsi="Cambria"/>
          <w:sz w:val="20"/>
          <w:szCs w:val="20"/>
        </w:rPr>
      </w:pPr>
    </w:p>
    <w:p w:rsidR="008C213F" w:rsidRPr="00CD60C7" w:rsidRDefault="008C213F" w:rsidP="00BC6020">
      <w:pPr>
        <w:pStyle w:val="Ttulo2"/>
      </w:pPr>
      <w:bookmarkStart w:id="19" w:name="_Toc370831284"/>
      <w:bookmarkStart w:id="20" w:name="_Toc412635573"/>
      <w:bookmarkStart w:id="21" w:name="_Toc416685629"/>
      <w:bookmarkStart w:id="22" w:name="_Toc346456995"/>
      <w:r w:rsidRPr="00CD60C7">
        <w:t>B.</w:t>
      </w:r>
      <w:r w:rsidRPr="00CD60C7">
        <w:tab/>
        <w:t xml:space="preserve">Position of </w:t>
      </w:r>
      <w:proofErr w:type="spellStart"/>
      <w:r w:rsidRPr="00CD60C7">
        <w:t>the</w:t>
      </w:r>
      <w:proofErr w:type="spellEnd"/>
      <w:r w:rsidRPr="00CD60C7">
        <w:t xml:space="preserve"> </w:t>
      </w:r>
      <w:proofErr w:type="spellStart"/>
      <w:r w:rsidRPr="00CD60C7">
        <w:t>State</w:t>
      </w:r>
      <w:bookmarkEnd w:id="19"/>
      <w:bookmarkEnd w:id="20"/>
      <w:bookmarkEnd w:id="21"/>
      <w:bookmarkEnd w:id="22"/>
      <w:proofErr w:type="spellEnd"/>
    </w:p>
    <w:p w:rsidR="008C213F" w:rsidRPr="00CD60C7" w:rsidRDefault="008C213F" w:rsidP="00BC6020">
      <w:pPr>
        <w:ind w:firstLine="567"/>
        <w:rPr>
          <w:rFonts w:ascii="Cambria" w:hAnsi="Cambria"/>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 xml:space="preserve">The State acknowledged that the facts the petitioner complained about did occur, as did the judgments handed down by the Supreme Court of Justice and the Constitutional Court, in 1993 and 1999, respectively. It maintained, nonetheless, that it is not responsible for the violations alleged by the petitioner inasmuch as judicial guarantees were respected in each of the proceedings that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initiated. It added that each country addressed its debt to pensioners based on internal provisions. It maintained that, that being so, the amounts of the benefits owed the petitioner "will be determined by applying the rules in effect at the time."</w:t>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 xml:space="preserve">The State pointed out that the Constitutional Court had issued a judgment in 2005 stating that "when pensioners call for a pension adjustment system to be maintained (...) all they are doing is using their entitlement to the pension to their advantage." The State maintained that, based on that judgment, Mr. </w:t>
      </w:r>
      <w:proofErr w:type="spellStart"/>
      <w:r w:rsidRPr="00D652B3">
        <w:rPr>
          <w:rFonts w:ascii="Cambria" w:hAnsi="Cambria"/>
          <w:color w:val="auto"/>
          <w:sz w:val="20"/>
          <w:szCs w:val="20"/>
          <w:lang w:val="en-US"/>
        </w:rPr>
        <w:t>Muelle's</w:t>
      </w:r>
      <w:proofErr w:type="spellEnd"/>
      <w:r w:rsidRPr="00D652B3">
        <w:rPr>
          <w:rFonts w:ascii="Cambria" w:hAnsi="Cambria"/>
          <w:color w:val="auto"/>
          <w:sz w:val="20"/>
          <w:szCs w:val="20"/>
          <w:lang w:val="en-US"/>
        </w:rPr>
        <w:t xml:space="preserve"> claim to a pension equivalent to the position he had held as General Manager should not be admitted. </w:t>
      </w:r>
    </w:p>
    <w:p w:rsidR="008C213F" w:rsidRPr="00CD60C7" w:rsidRDefault="008C213F" w:rsidP="00BC6020">
      <w:pPr>
        <w:pStyle w:val="MediumGrid1-Accent21"/>
        <w:ind w:left="0"/>
        <w:rPr>
          <w:rFonts w:ascii="Cambria" w:hAnsi="Cambria"/>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In its reports of November 2012 and 2013, the Peruvian State maintained that the process of complying with the Supreme Court judgment of 1993 is at the execution of judgment stage. It reiterated that the determination of the pensions and other financial benefits "will be determined by a court."</w:t>
      </w:r>
    </w:p>
    <w:p w:rsidR="008C213F" w:rsidRPr="00CD60C7" w:rsidRDefault="008C213F" w:rsidP="00BC6020">
      <w:pPr>
        <w:jc w:val="both"/>
        <w:rPr>
          <w:rFonts w:ascii="Cambria" w:hAnsi="Cambria"/>
          <w:sz w:val="20"/>
          <w:szCs w:val="20"/>
        </w:rPr>
      </w:pPr>
    </w:p>
    <w:p w:rsidR="008C213F" w:rsidRPr="00CD60C7" w:rsidRDefault="008C213F" w:rsidP="00BC6020">
      <w:pPr>
        <w:pStyle w:val="Ttulo1"/>
        <w:keepLines/>
        <w:pBdr>
          <w:top w:val="nil"/>
          <w:left w:val="nil"/>
          <w:bottom w:val="nil"/>
          <w:right w:val="nil"/>
          <w:between w:val="nil"/>
          <w:bar w:val="nil"/>
        </w:pBdr>
        <w:tabs>
          <w:tab w:val="left" w:pos="1440"/>
        </w:tabs>
        <w:ind w:left="720" w:firstLine="0"/>
        <w:jc w:val="both"/>
      </w:pPr>
      <w:bookmarkStart w:id="23" w:name="_Toc346456996"/>
      <w:r w:rsidRPr="00CD60C7">
        <w:t>PROVEN FACTS</w:t>
      </w:r>
      <w:bookmarkEnd w:id="23"/>
    </w:p>
    <w:p w:rsidR="008C213F" w:rsidRPr="00CD60C7" w:rsidRDefault="008C213F" w:rsidP="00BC6020">
      <w:pPr>
        <w:ind w:firstLine="567"/>
        <w:rPr>
          <w:rFonts w:ascii="Cambria" w:hAnsi="Cambria"/>
          <w:sz w:val="20"/>
          <w:szCs w:val="20"/>
        </w:rPr>
      </w:pPr>
      <w:r w:rsidRPr="00CD60C7">
        <w:rPr>
          <w:rFonts w:ascii="Cambria" w:hAnsi="Cambria"/>
          <w:sz w:val="20"/>
          <w:szCs w:val="20"/>
        </w:rPr>
        <w:t xml:space="preserve"> </w:t>
      </w:r>
    </w:p>
    <w:p w:rsidR="008C213F" w:rsidRPr="00D652B3" w:rsidRDefault="008C213F" w:rsidP="00BC6020">
      <w:pPr>
        <w:pStyle w:val="Ttulo2"/>
        <w:rPr>
          <w:lang w:val="en-US"/>
        </w:rPr>
      </w:pPr>
      <w:bookmarkStart w:id="24" w:name="_Toc370830573"/>
      <w:bookmarkStart w:id="25" w:name="_Toc370831286"/>
      <w:bookmarkStart w:id="26" w:name="_Toc412635575"/>
      <w:bookmarkStart w:id="27" w:name="_Toc416685631"/>
      <w:bookmarkStart w:id="28" w:name="_Toc346456997"/>
      <w:r w:rsidRPr="00D652B3">
        <w:rPr>
          <w:lang w:val="en-US"/>
        </w:rPr>
        <w:t>A.</w:t>
      </w:r>
      <w:r w:rsidRPr="00D652B3">
        <w:rPr>
          <w:lang w:val="en-US"/>
        </w:rPr>
        <w:tab/>
      </w:r>
      <w:bookmarkEnd w:id="24"/>
      <w:bookmarkEnd w:id="25"/>
      <w:bookmarkEnd w:id="26"/>
      <w:bookmarkEnd w:id="27"/>
      <w:r w:rsidRPr="00D652B3">
        <w:rPr>
          <w:lang w:val="en-US"/>
        </w:rPr>
        <w:t xml:space="preserve">Regarding Mr. </w:t>
      </w:r>
      <w:proofErr w:type="spellStart"/>
      <w:r w:rsidRPr="00D652B3">
        <w:rPr>
          <w:lang w:val="en-US"/>
        </w:rPr>
        <w:t>Muelle's</w:t>
      </w:r>
      <w:proofErr w:type="spellEnd"/>
      <w:r w:rsidRPr="00D652B3">
        <w:rPr>
          <w:lang w:val="en-US"/>
        </w:rPr>
        <w:t xml:space="preserve"> situation up to February 1991</w:t>
      </w:r>
      <w:bookmarkEnd w:id="28"/>
    </w:p>
    <w:p w:rsidR="008C213F" w:rsidRPr="00CD60C7" w:rsidRDefault="008C213F" w:rsidP="00BC6020">
      <w:pPr>
        <w:ind w:firstLine="567"/>
        <w:rPr>
          <w:rFonts w:ascii="Cambria" w:hAnsi="Cambria" w:cs="Arial"/>
          <w:iCs/>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bookmarkStart w:id="29" w:name="_Toc370830574"/>
      <w:bookmarkStart w:id="30" w:name="_Toc370831287"/>
      <w:r w:rsidRPr="00D652B3">
        <w:rPr>
          <w:rFonts w:ascii="Cambria" w:hAnsi="Cambria"/>
          <w:color w:val="auto"/>
          <w:sz w:val="20"/>
          <w:szCs w:val="20"/>
          <w:lang w:val="en-US"/>
        </w:rPr>
        <w:t xml:space="preserve">Oscar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Flores worked for the State-owned </w:t>
      </w:r>
      <w:proofErr w:type="spellStart"/>
      <w:r w:rsidRPr="00D652B3">
        <w:rPr>
          <w:rFonts w:ascii="Cambria" w:hAnsi="Cambria"/>
          <w:color w:val="auto"/>
          <w:sz w:val="20"/>
          <w:szCs w:val="20"/>
          <w:lang w:val="en-US"/>
        </w:rPr>
        <w:t>Tintaya</w:t>
      </w:r>
      <w:proofErr w:type="spellEnd"/>
      <w:r w:rsidRPr="00D652B3">
        <w:rPr>
          <w:rFonts w:ascii="Cambria" w:hAnsi="Cambria"/>
          <w:color w:val="auto"/>
          <w:sz w:val="20"/>
          <w:szCs w:val="20"/>
          <w:lang w:val="en-US"/>
        </w:rPr>
        <w:t xml:space="preserve"> mining company</w:t>
      </w:r>
      <w:r w:rsidRPr="00CD60C7">
        <w:rPr>
          <w:rStyle w:val="Refdenotaalpie"/>
          <w:rFonts w:ascii="Cambria" w:eastAsia="MS Gothic" w:hAnsi="Cambria"/>
          <w:color w:val="auto"/>
          <w:sz w:val="20"/>
          <w:szCs w:val="20"/>
        </w:rPr>
        <w:footnoteReference w:id="4"/>
      </w:r>
      <w:r w:rsidRPr="00D652B3">
        <w:rPr>
          <w:rFonts w:ascii="Cambria" w:hAnsi="Cambria"/>
          <w:color w:val="auto"/>
          <w:sz w:val="20"/>
          <w:szCs w:val="20"/>
          <w:lang w:val="en-US"/>
        </w:rPr>
        <w:t xml:space="preserve"> from June 1, 1981 until 1990.</w:t>
      </w:r>
      <w:r w:rsidRPr="00CD60C7">
        <w:rPr>
          <w:rStyle w:val="Refdenotaalpie"/>
          <w:rFonts w:ascii="Cambria" w:eastAsia="MS Gothic" w:hAnsi="Cambria"/>
          <w:color w:val="auto"/>
          <w:sz w:val="20"/>
          <w:szCs w:val="20"/>
        </w:rPr>
        <w:footnoteReference w:id="5"/>
      </w:r>
      <w:r w:rsidRPr="00D652B3">
        <w:rPr>
          <w:rFonts w:ascii="Cambria" w:hAnsi="Cambria"/>
          <w:color w:val="auto"/>
          <w:sz w:val="20"/>
          <w:szCs w:val="20"/>
          <w:lang w:val="en-US"/>
        </w:rPr>
        <w:t xml:space="preserve">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held various different positions within the company, the last one being the position of General Manager.</w:t>
      </w:r>
      <w:r w:rsidRPr="00CD60C7">
        <w:rPr>
          <w:rStyle w:val="Refdenotaalpie"/>
          <w:rFonts w:ascii="Cambria" w:eastAsia="MS Gothic" w:hAnsi="Cambria"/>
          <w:color w:val="auto"/>
          <w:sz w:val="20"/>
          <w:szCs w:val="20"/>
        </w:rPr>
        <w:footnoteReference w:id="6"/>
      </w:r>
      <w:r w:rsidRPr="00D652B3">
        <w:rPr>
          <w:rFonts w:ascii="Cambria" w:hAnsi="Cambria"/>
          <w:color w:val="auto"/>
          <w:sz w:val="20"/>
          <w:szCs w:val="20"/>
          <w:lang w:val="en-US"/>
        </w:rPr>
        <w:t xml:space="preserve"> </w:t>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On May 15, 1990, the State-owned company issued Resolution No. AD-0884/90-R.</w:t>
      </w:r>
      <w:r w:rsidRPr="00CD60C7">
        <w:rPr>
          <w:rStyle w:val="Refdenotaalpie"/>
          <w:rFonts w:ascii="Cambria" w:eastAsia="MS Gothic" w:hAnsi="Cambria"/>
          <w:color w:val="auto"/>
          <w:sz w:val="20"/>
          <w:szCs w:val="20"/>
        </w:rPr>
        <w:footnoteReference w:id="7"/>
      </w:r>
      <w:r w:rsidRPr="00D652B3">
        <w:rPr>
          <w:rFonts w:ascii="Cambria" w:hAnsi="Cambria"/>
          <w:color w:val="auto"/>
          <w:sz w:val="20"/>
          <w:szCs w:val="20"/>
          <w:lang w:val="en-US"/>
        </w:rPr>
        <w:t xml:space="preserve"> That resolution included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in the pension scheme governed by Decree Law 20530 - Rules governing Pensions and Benefits for Civil Servants’ Service to the State,</w:t>
      </w:r>
      <w:r w:rsidRPr="00CD60C7">
        <w:rPr>
          <w:rStyle w:val="Refdenotaalpie"/>
          <w:rFonts w:ascii="Cambria" w:eastAsia="MS Gothic" w:hAnsi="Cambria"/>
          <w:color w:val="auto"/>
          <w:sz w:val="20"/>
          <w:szCs w:val="20"/>
        </w:rPr>
        <w:footnoteReference w:id="8"/>
      </w:r>
      <w:r w:rsidRPr="00D652B3">
        <w:rPr>
          <w:rFonts w:ascii="Cambria" w:hAnsi="Cambria"/>
          <w:color w:val="auto"/>
          <w:sz w:val="20"/>
          <w:szCs w:val="20"/>
          <w:lang w:val="en-US"/>
        </w:rPr>
        <w:t xml:space="preserve"> which acknowledged that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had rendered services to the State for 35 years, 10 months, and 27 days.</w:t>
      </w:r>
      <w:r w:rsidRPr="00CD60C7">
        <w:rPr>
          <w:rStyle w:val="Refdenotaalpie"/>
          <w:rFonts w:ascii="Cambria" w:eastAsia="MS Gothic" w:hAnsi="Cambria"/>
          <w:color w:val="auto"/>
          <w:sz w:val="20"/>
          <w:szCs w:val="20"/>
        </w:rPr>
        <w:footnoteReference w:id="9"/>
      </w:r>
      <w:r w:rsidRPr="00D652B3">
        <w:rPr>
          <w:rFonts w:ascii="Cambria" w:hAnsi="Cambria"/>
          <w:color w:val="auto"/>
          <w:sz w:val="20"/>
          <w:szCs w:val="20"/>
          <w:lang w:val="en-US"/>
        </w:rPr>
        <w:t xml:space="preserve"> </w:t>
      </w:r>
    </w:p>
    <w:p w:rsidR="008C213F" w:rsidRPr="00CD60C7" w:rsidRDefault="008C213F" w:rsidP="00BC6020">
      <w:pPr>
        <w:pStyle w:val="MediumGrid1-Accent21"/>
        <w:rPr>
          <w:rFonts w:ascii="Cambria" w:hAnsi="Cambria"/>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The pertinent parts of Decree Law 20530 for the instant case are:</w:t>
      </w:r>
    </w:p>
    <w:p w:rsidR="008C213F" w:rsidRPr="00CD60C7" w:rsidRDefault="008C213F" w:rsidP="00BC6020">
      <w:pPr>
        <w:pStyle w:val="MediumGrid1-Accent21"/>
        <w:rPr>
          <w:rFonts w:ascii="Cambria" w:hAnsi="Cambria"/>
          <w:sz w:val="20"/>
          <w:szCs w:val="20"/>
        </w:rPr>
      </w:pP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proofErr w:type="gramStart"/>
      <w:r w:rsidRPr="00D652B3">
        <w:rPr>
          <w:rFonts w:ascii="Cambria" w:hAnsi="Cambria"/>
          <w:color w:val="auto"/>
          <w:sz w:val="20"/>
          <w:szCs w:val="20"/>
          <w:lang w:val="en-US"/>
        </w:rPr>
        <w:t>Article 4.</w:t>
      </w:r>
      <w:proofErr w:type="gramEnd"/>
      <w:r w:rsidRPr="00D652B3">
        <w:rPr>
          <w:rFonts w:ascii="Cambria" w:hAnsi="Cambria"/>
          <w:color w:val="auto"/>
          <w:sz w:val="20"/>
          <w:szCs w:val="20"/>
          <w:lang w:val="en-US"/>
        </w:rPr>
        <w:t xml:space="preserve"> Workers acquire the right to a pension upon completing 15 years of actual remunerated service in the case of men, and 12 1/2 years in the case of women.</w:t>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color w:val="auto"/>
          <w:sz w:val="20"/>
          <w:szCs w:val="20"/>
          <w:lang w:val="en-US"/>
        </w:rPr>
      </w:pPr>
      <w:r w:rsidRPr="00D652B3">
        <w:rPr>
          <w:rFonts w:ascii="Cambria" w:hAnsi="Cambria"/>
          <w:color w:val="auto"/>
          <w:sz w:val="20"/>
          <w:szCs w:val="20"/>
          <w:lang w:val="en-US"/>
        </w:rPr>
        <w:t xml:space="preserve"> </w:t>
      </w:r>
      <w:r w:rsidRPr="00D652B3">
        <w:rPr>
          <w:rFonts w:ascii="Cambria" w:hAnsi="Cambria"/>
          <w:color w:val="auto"/>
          <w:sz w:val="20"/>
          <w:szCs w:val="20"/>
          <w:lang w:val="en-US"/>
        </w:rPr>
        <w:tab/>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D652B3">
        <w:rPr>
          <w:rFonts w:ascii="Cambria" w:hAnsi="Cambria"/>
          <w:color w:val="auto"/>
          <w:sz w:val="20"/>
          <w:szCs w:val="20"/>
          <w:lang w:val="en-US"/>
        </w:rPr>
        <w:t>Article 12.‐ </w:t>
      </w:r>
      <w:proofErr w:type="gramStart"/>
      <w:r w:rsidRPr="00D652B3">
        <w:rPr>
          <w:rFonts w:ascii="Cambria" w:hAnsi="Cambria"/>
          <w:color w:val="auto"/>
          <w:sz w:val="20"/>
          <w:szCs w:val="20"/>
          <w:lang w:val="en-US"/>
        </w:rPr>
        <w:t>For</w:t>
      </w:r>
      <w:proofErr w:type="gramEnd"/>
      <w:r w:rsidRPr="00D652B3">
        <w:rPr>
          <w:rFonts w:ascii="Cambria" w:hAnsi="Cambria"/>
          <w:color w:val="auto"/>
          <w:sz w:val="20"/>
          <w:szCs w:val="20"/>
          <w:lang w:val="en-US"/>
        </w:rPr>
        <w:t xml:space="preserve"> pension or benefits determination purposes, periods of services may be cumulative provided that they were not simultaneous.</w:t>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D652B3">
        <w:rPr>
          <w:rFonts w:ascii="Cambria" w:hAnsi="Cambria"/>
          <w:color w:val="auto"/>
          <w:sz w:val="20"/>
          <w:szCs w:val="20"/>
          <w:lang w:val="en-US"/>
        </w:rPr>
        <w:t>Article 13.‐ </w:t>
      </w:r>
      <w:proofErr w:type="gramStart"/>
      <w:r w:rsidRPr="00D652B3">
        <w:rPr>
          <w:rFonts w:ascii="Cambria" w:hAnsi="Cambria"/>
          <w:color w:val="auto"/>
          <w:sz w:val="20"/>
          <w:szCs w:val="20"/>
          <w:lang w:val="en-US"/>
        </w:rPr>
        <w:t>When</w:t>
      </w:r>
      <w:proofErr w:type="gramEnd"/>
      <w:r w:rsidRPr="00D652B3">
        <w:rPr>
          <w:rFonts w:ascii="Cambria" w:hAnsi="Cambria"/>
          <w:color w:val="auto"/>
          <w:sz w:val="20"/>
          <w:szCs w:val="20"/>
          <w:lang w:val="en-US"/>
        </w:rPr>
        <w:t xml:space="preserve"> services are accumulated as per the foregoing Article, payment of the pension or benefits shall be effected by the entity at which the work was last employed. </w:t>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proofErr w:type="gramStart"/>
      <w:r w:rsidRPr="00D652B3">
        <w:rPr>
          <w:rFonts w:ascii="Cambria" w:hAnsi="Cambria"/>
          <w:color w:val="auto"/>
          <w:sz w:val="20"/>
          <w:szCs w:val="20"/>
          <w:lang w:val="en-US"/>
        </w:rPr>
        <w:t>Article 49.</w:t>
      </w:r>
      <w:proofErr w:type="gramEnd"/>
      <w:r w:rsidRPr="00D652B3">
        <w:rPr>
          <w:rFonts w:ascii="Cambria" w:hAnsi="Cambria"/>
          <w:color w:val="auto"/>
          <w:sz w:val="20"/>
          <w:szCs w:val="20"/>
          <w:lang w:val="en-US"/>
        </w:rPr>
        <w:t xml:space="preserve"> Pensions are adjustable when:</w:t>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D652B3">
        <w:rPr>
          <w:rFonts w:ascii="Cambria" w:hAnsi="Cambria"/>
          <w:color w:val="auto"/>
          <w:sz w:val="20"/>
          <w:szCs w:val="20"/>
          <w:lang w:val="en-US"/>
        </w:rPr>
        <w:t>a) Upon retirement, the worker has completed 30 or more years of service in the case of men, or 25 or more years of service in the case of women, are 60 or 55 years old or over, respectively, and have not been rendered ineligible by a final judicial decision or dismissed as a disciplinary measure; (...)</w:t>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proofErr w:type="gramStart"/>
      <w:r w:rsidRPr="00D652B3">
        <w:rPr>
          <w:rFonts w:ascii="Cambria" w:hAnsi="Cambria"/>
          <w:color w:val="auto"/>
          <w:sz w:val="20"/>
          <w:szCs w:val="20"/>
          <w:lang w:val="en-US"/>
        </w:rPr>
        <w:t>Article 50.</w:t>
      </w:r>
      <w:proofErr w:type="gramEnd"/>
      <w:r w:rsidRPr="00D652B3">
        <w:rPr>
          <w:rFonts w:ascii="Cambria" w:hAnsi="Cambria"/>
          <w:color w:val="auto"/>
          <w:sz w:val="20"/>
          <w:szCs w:val="20"/>
          <w:lang w:val="en-US"/>
        </w:rPr>
        <w:t xml:space="preserve"> The adjustment of pensions shall be done based on amendments to the Remuneration Scale; be processed ex officio; be approved by order of the Chief of the Respective Budget Unit; and enter into effect from the month following that in which the aforementioned scale was amended.</w:t>
      </w:r>
    </w:p>
    <w:p w:rsidR="008C213F" w:rsidRPr="00CD60C7" w:rsidRDefault="008C213F" w:rsidP="00BC6020">
      <w:pPr>
        <w:pStyle w:val="MediumGrid1-Accent21"/>
        <w:ind w:left="0"/>
        <w:rPr>
          <w:rFonts w:ascii="Cambria" w:hAnsi="Cambria"/>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s="Times"/>
          <w:color w:val="auto"/>
          <w:sz w:val="20"/>
          <w:szCs w:val="20"/>
          <w:bdr w:val="none" w:sz="0" w:space="0" w:color="auto"/>
          <w:lang w:val="en-US"/>
        </w:rPr>
      </w:pPr>
      <w:r w:rsidRPr="00D652B3">
        <w:rPr>
          <w:rFonts w:ascii="Cambria" w:hAnsi="Cambria"/>
          <w:color w:val="auto"/>
          <w:sz w:val="20"/>
          <w:szCs w:val="20"/>
          <w:bdr w:val="none" w:sz="0" w:space="0" w:color="auto"/>
          <w:lang w:val="en-US"/>
        </w:rPr>
        <w:t xml:space="preserve">The </w:t>
      </w:r>
      <w:r w:rsidRPr="00D652B3">
        <w:rPr>
          <w:rFonts w:ascii="Cambria" w:hAnsi="Cambria"/>
          <w:color w:val="auto"/>
          <w:sz w:val="20"/>
          <w:szCs w:val="20"/>
          <w:lang w:val="en-US"/>
        </w:rPr>
        <w:t>Eighth Transitory Provision of the Constitution of 1979 established the right to progressive adjustment of pensions of dismissed workers with more than 20 years of service, in the following terms:</w:t>
      </w:r>
    </w:p>
    <w:p w:rsidR="008C213F" w:rsidRPr="00CD60C7" w:rsidRDefault="008C213F" w:rsidP="00BC60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mbria" w:hAnsi="Cambria" w:cs="Times"/>
          <w:sz w:val="20"/>
          <w:szCs w:val="20"/>
          <w:bdr w:val="none" w:sz="0" w:space="0" w:color="auto"/>
        </w:rPr>
      </w:pPr>
      <w:r w:rsidRPr="00CD60C7">
        <w:rPr>
          <w:rFonts w:ascii="Cambria" w:hAnsi="Cambria"/>
          <w:sz w:val="20"/>
          <w:szCs w:val="20"/>
          <w:bdr w:val="none" w:sz="0" w:space="0" w:color="auto"/>
        </w:rPr>
        <w:t> </w:t>
      </w:r>
    </w:p>
    <w:p w:rsidR="008C213F" w:rsidRPr="00CD60C7" w:rsidRDefault="008C213F" w:rsidP="00BC6020">
      <w:pPr>
        <w:pStyle w:val="MediumGrid1-Accent21"/>
        <w:ind w:right="720"/>
        <w:jc w:val="both"/>
        <w:rPr>
          <w:rFonts w:ascii="Cambria" w:hAnsi="Cambria"/>
          <w:sz w:val="20"/>
          <w:szCs w:val="20"/>
        </w:rPr>
      </w:pPr>
      <w:r w:rsidRPr="00CD60C7">
        <w:rPr>
          <w:rFonts w:ascii="Cambria" w:hAnsi="Cambria"/>
          <w:sz w:val="20"/>
          <w:szCs w:val="20"/>
          <w:bdr w:val="none" w:sz="0" w:space="0" w:color="auto"/>
        </w:rPr>
        <w:t>EIGHTH</w:t>
      </w:r>
      <w:proofErr w:type="gramStart"/>
      <w:r w:rsidRPr="00CD60C7">
        <w:rPr>
          <w:rFonts w:ascii="Cambria" w:hAnsi="Cambria"/>
          <w:sz w:val="20"/>
          <w:szCs w:val="20"/>
          <w:bdr w:val="none" w:sz="0" w:space="0" w:color="auto"/>
        </w:rPr>
        <w:t>.-</w:t>
      </w:r>
      <w:proofErr w:type="gramEnd"/>
      <w:r w:rsidRPr="00CD60C7">
        <w:rPr>
          <w:rFonts w:ascii="Cambria" w:hAnsi="Cambria"/>
          <w:sz w:val="20"/>
          <w:szCs w:val="20"/>
          <w:bdr w:val="none" w:sz="0" w:space="0" w:color="auto"/>
        </w:rPr>
        <w:t xml:space="preserve"> The pensions of dismissed and retired public administration workers with more than 20 years of service who do not come under the Peruvian Social Security Service regime or other special regimes are progressively equalized with the wages of active public servants in the respective categories for a period of 10 fiscal years, starting from January 1, 1980, and must be included in the Budget of the Republic under the appropriate headings.</w:t>
      </w:r>
      <w:r w:rsidRPr="00CD60C7">
        <w:rPr>
          <w:rStyle w:val="Refdenotaalpie"/>
          <w:rFonts w:ascii="Cambria" w:hAnsi="Cambria"/>
          <w:sz w:val="20"/>
          <w:szCs w:val="20"/>
          <w:bdr w:val="none" w:sz="0" w:space="0" w:color="auto"/>
        </w:rPr>
        <w:footnoteReference w:id="10"/>
      </w:r>
    </w:p>
    <w:p w:rsidR="008C213F" w:rsidRPr="00CD60C7" w:rsidRDefault="008C213F" w:rsidP="00BC6020">
      <w:pPr>
        <w:pStyle w:val="MediumGrid1-Accent21"/>
        <w:ind w:left="0"/>
        <w:rPr>
          <w:rFonts w:ascii="Cambria" w:hAnsi="Cambria"/>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s="Times"/>
          <w:color w:val="auto"/>
          <w:sz w:val="20"/>
          <w:szCs w:val="20"/>
          <w:bdr w:val="none" w:sz="0" w:space="0" w:color="auto"/>
          <w:lang w:val="en-US"/>
        </w:rPr>
      </w:pPr>
      <w:r w:rsidRPr="00D652B3">
        <w:rPr>
          <w:rFonts w:ascii="Cambria" w:hAnsi="Cambria"/>
          <w:color w:val="auto"/>
          <w:sz w:val="20"/>
          <w:szCs w:val="20"/>
          <w:bdr w:val="none" w:sz="0" w:space="0" w:color="auto"/>
          <w:lang w:val="en-US"/>
        </w:rPr>
        <w:t>Decree-Law 23495 of November 20, 1982, and its Regulations developed the above constitutional rule, introducing the right to automatic progressive adjustment in favor of the beneficiaries of Decree-Law 20530:</w:t>
      </w:r>
    </w:p>
    <w:p w:rsidR="008C213F" w:rsidRPr="00CD60C7" w:rsidRDefault="008C213F" w:rsidP="00BC60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mbria" w:hAnsi="Cambria" w:cs="Times"/>
          <w:sz w:val="20"/>
          <w:szCs w:val="20"/>
          <w:bdr w:val="none" w:sz="0" w:space="0" w:color="auto"/>
        </w:rPr>
      </w:pPr>
      <w:r w:rsidRPr="00CD60C7">
        <w:rPr>
          <w:rFonts w:ascii="Cambria" w:hAnsi="Cambria"/>
          <w:sz w:val="20"/>
          <w:szCs w:val="20"/>
          <w:bdr w:val="none" w:sz="0" w:space="0" w:color="auto"/>
        </w:rPr>
        <w:lastRenderedPageBreak/>
        <w:t> </w:t>
      </w:r>
    </w:p>
    <w:p w:rsidR="008C213F" w:rsidRPr="00CD60C7" w:rsidRDefault="008C213F" w:rsidP="00BC6020">
      <w:pPr>
        <w:pStyle w:val="MediumGrid1-Accent21"/>
        <w:ind w:right="720"/>
        <w:jc w:val="both"/>
        <w:rPr>
          <w:rFonts w:ascii="Cambria" w:hAnsi="Cambria"/>
          <w:sz w:val="20"/>
          <w:szCs w:val="20"/>
        </w:rPr>
      </w:pPr>
      <w:r w:rsidRPr="00CD60C7">
        <w:rPr>
          <w:rFonts w:ascii="Cambria" w:hAnsi="Cambria"/>
          <w:sz w:val="20"/>
          <w:szCs w:val="20"/>
          <w:bdr w:val="none" w:sz="0" w:space="0" w:color="auto"/>
        </w:rPr>
        <w:t xml:space="preserve">Any post-equalization increase awarded to active public servants in the same or a similar position to the last position held by the dismissed or retired worker shall give rise to the same pension increase to which the active public </w:t>
      </w:r>
      <w:hyperlink r:id="rId8">
        <w:r w:rsidRPr="00CD60C7">
          <w:rPr>
            <w:rFonts w:ascii="Cambria" w:hAnsi="Cambria"/>
            <w:sz w:val="20"/>
            <w:szCs w:val="20"/>
            <w:u w:val="single" w:color="0632A0"/>
            <w:bdr w:val="none" w:sz="0" w:space="0" w:color="auto"/>
          </w:rPr>
          <w:t>servant</w:t>
        </w:r>
      </w:hyperlink>
      <w:r w:rsidRPr="00CD60C7">
        <w:rPr>
          <w:rFonts w:ascii="Cambria" w:hAnsi="Cambria"/>
          <w:sz w:val="20"/>
          <w:szCs w:val="20"/>
          <w:bdr w:val="none" w:sz="0" w:space="0" w:color="auto"/>
        </w:rPr>
        <w:t xml:space="preserve"> is entitled</w:t>
      </w:r>
      <w:r w:rsidRPr="00CD60C7">
        <w:rPr>
          <w:rStyle w:val="Refdenotaalpie"/>
          <w:rFonts w:ascii="Cambria" w:hAnsi="Cambria"/>
          <w:sz w:val="20"/>
          <w:szCs w:val="20"/>
          <w:bdr w:val="none" w:sz="0" w:space="0" w:color="auto"/>
        </w:rPr>
        <w:footnoteReference w:id="11"/>
      </w:r>
      <w:r w:rsidRPr="00CD60C7">
        <w:rPr>
          <w:rFonts w:ascii="Cambria" w:hAnsi="Cambria"/>
          <w:sz w:val="20"/>
          <w:szCs w:val="20"/>
          <w:bdr w:val="none" w:sz="0" w:space="0" w:color="auto"/>
        </w:rPr>
        <w:t>.</w:t>
      </w:r>
    </w:p>
    <w:p w:rsidR="008C213F" w:rsidRPr="00CD60C7" w:rsidRDefault="008C213F" w:rsidP="00BC6020">
      <w:pPr>
        <w:pStyle w:val="MediumGrid1-Accent21"/>
        <w:ind w:left="0"/>
        <w:rPr>
          <w:rFonts w:ascii="Cambria" w:hAnsi="Cambria"/>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The decision contained in Resolution No. AD-0884/90-R was based on Board of Director Decisions No. 155/88 of December 22</w:t>
      </w:r>
      <w:proofErr w:type="gramStart"/>
      <w:r w:rsidRPr="00D652B3">
        <w:rPr>
          <w:rFonts w:ascii="Cambria" w:hAnsi="Cambria"/>
          <w:color w:val="auto"/>
          <w:sz w:val="20"/>
          <w:szCs w:val="20"/>
          <w:lang w:val="en-US"/>
        </w:rPr>
        <w:t>,1988</w:t>
      </w:r>
      <w:proofErr w:type="gramEnd"/>
      <w:r w:rsidRPr="00D652B3">
        <w:rPr>
          <w:rFonts w:ascii="Cambria" w:hAnsi="Cambria"/>
          <w:color w:val="auto"/>
          <w:sz w:val="20"/>
          <w:szCs w:val="20"/>
          <w:lang w:val="en-US"/>
        </w:rPr>
        <w:t xml:space="preserve"> and 029/90 of February 8,1990</w:t>
      </w:r>
      <w:r w:rsidRPr="00CD60C7">
        <w:rPr>
          <w:rStyle w:val="Refdenotaalpie"/>
          <w:rFonts w:ascii="Cambria" w:eastAsia="MS Gothic" w:hAnsi="Cambria"/>
          <w:color w:val="auto"/>
          <w:sz w:val="20"/>
          <w:szCs w:val="20"/>
        </w:rPr>
        <w:footnoteReference w:id="12"/>
      </w:r>
      <w:r w:rsidRPr="00D652B3">
        <w:rPr>
          <w:rFonts w:ascii="Cambria" w:hAnsi="Cambria"/>
          <w:color w:val="auto"/>
          <w:sz w:val="20"/>
          <w:szCs w:val="20"/>
          <w:lang w:val="en-US"/>
        </w:rPr>
        <w:t xml:space="preserve">. Those decisions authorized the Public Administration </w:t>
      </w:r>
      <w:proofErr w:type="gramStart"/>
      <w:r w:rsidRPr="00D652B3">
        <w:rPr>
          <w:rFonts w:ascii="Cambria" w:hAnsi="Cambria"/>
          <w:color w:val="auto"/>
          <w:sz w:val="20"/>
          <w:szCs w:val="20"/>
          <w:lang w:val="en-US"/>
        </w:rPr>
        <w:t>to  include</w:t>
      </w:r>
      <w:proofErr w:type="gramEnd"/>
      <w:r w:rsidRPr="00D652B3">
        <w:rPr>
          <w:rFonts w:ascii="Cambria" w:hAnsi="Cambria"/>
          <w:color w:val="auto"/>
          <w:sz w:val="20"/>
          <w:szCs w:val="20"/>
          <w:lang w:val="en-US"/>
        </w:rPr>
        <w:t xml:space="preserve"> public servants in the aforementioned pension scheme and established regulatory norms to that end.</w:t>
      </w:r>
      <w:r w:rsidRPr="00CD60C7">
        <w:rPr>
          <w:rStyle w:val="Refdenotaalpie"/>
          <w:rFonts w:ascii="Cambria" w:eastAsia="MS Gothic" w:hAnsi="Cambria"/>
          <w:color w:val="auto"/>
          <w:sz w:val="20"/>
          <w:szCs w:val="20"/>
        </w:rPr>
        <w:footnoteReference w:id="13"/>
      </w:r>
      <w:r w:rsidRPr="00D652B3">
        <w:rPr>
          <w:rFonts w:ascii="Cambria" w:hAnsi="Cambria"/>
          <w:color w:val="auto"/>
          <w:sz w:val="20"/>
          <w:szCs w:val="20"/>
          <w:lang w:val="en-US"/>
        </w:rPr>
        <w:t xml:space="preserve"> </w:t>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 xml:space="preserve">After retiring on September 30, 1990,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received his pension in accordance with Decree law 20530 until </w:t>
      </w:r>
      <w:proofErr w:type="gramStart"/>
      <w:r w:rsidRPr="00D652B3">
        <w:rPr>
          <w:rFonts w:ascii="Cambria" w:hAnsi="Cambria"/>
          <w:color w:val="auto"/>
          <w:sz w:val="20"/>
          <w:szCs w:val="20"/>
          <w:lang w:val="en-US"/>
        </w:rPr>
        <w:t>February  1991</w:t>
      </w:r>
      <w:proofErr w:type="gramEnd"/>
      <w:r w:rsidRPr="00D652B3">
        <w:rPr>
          <w:rFonts w:ascii="Cambria" w:hAnsi="Cambria"/>
          <w:color w:val="auto"/>
          <w:sz w:val="20"/>
          <w:szCs w:val="20"/>
          <w:lang w:val="en-US"/>
        </w:rPr>
        <w:t>.</w:t>
      </w:r>
      <w:r w:rsidRPr="00CD60C7">
        <w:rPr>
          <w:rStyle w:val="Refdenotaalpie"/>
          <w:rFonts w:ascii="Cambria" w:eastAsia="MS Gothic" w:hAnsi="Cambria"/>
          <w:color w:val="auto"/>
          <w:sz w:val="20"/>
          <w:szCs w:val="20"/>
        </w:rPr>
        <w:footnoteReference w:id="14"/>
      </w:r>
      <w:r w:rsidRPr="00D652B3">
        <w:rPr>
          <w:rFonts w:ascii="Cambria" w:hAnsi="Cambria"/>
          <w:color w:val="auto"/>
          <w:sz w:val="20"/>
          <w:szCs w:val="20"/>
          <w:lang w:val="en-US"/>
        </w:rPr>
        <w:t xml:space="preserve"> On February 27, 1991,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received a communication from the company informing him that application of Decree Law 20530 was being suspended.</w:t>
      </w:r>
      <w:r w:rsidRPr="00CD60C7">
        <w:rPr>
          <w:rStyle w:val="Refdenotaalpie"/>
          <w:rFonts w:ascii="Cambria" w:eastAsia="MS Gothic" w:hAnsi="Cambria"/>
          <w:color w:val="auto"/>
          <w:sz w:val="20"/>
          <w:szCs w:val="20"/>
        </w:rPr>
        <w:footnoteReference w:id="15"/>
      </w:r>
      <w:r w:rsidRPr="00D652B3">
        <w:rPr>
          <w:rFonts w:ascii="Cambria" w:hAnsi="Cambria"/>
          <w:color w:val="auto"/>
          <w:sz w:val="20"/>
          <w:szCs w:val="20"/>
          <w:lang w:val="en-US"/>
        </w:rPr>
        <w:t xml:space="preserve"> </w:t>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C213F" w:rsidRPr="00D652B3" w:rsidRDefault="008C213F" w:rsidP="00BC6020">
      <w:pPr>
        <w:pStyle w:val="Ttulo2"/>
        <w:rPr>
          <w:lang w:val="en-US"/>
        </w:rPr>
      </w:pPr>
      <w:bookmarkStart w:id="31" w:name="_Toc412635576"/>
      <w:bookmarkStart w:id="32" w:name="_Toc416685632"/>
      <w:bookmarkStart w:id="33" w:name="_Toc346456998"/>
      <w:r w:rsidRPr="00D652B3">
        <w:rPr>
          <w:lang w:val="en-US"/>
        </w:rPr>
        <w:t>B.</w:t>
      </w:r>
      <w:r w:rsidRPr="00D652B3">
        <w:rPr>
          <w:lang w:val="en-US"/>
        </w:rPr>
        <w:tab/>
      </w:r>
      <w:bookmarkEnd w:id="29"/>
      <w:bookmarkEnd w:id="30"/>
      <w:bookmarkEnd w:id="31"/>
      <w:bookmarkEnd w:id="32"/>
      <w:r w:rsidRPr="00D652B3">
        <w:rPr>
          <w:lang w:val="en-US"/>
        </w:rPr>
        <w:t>Regarding the first application for enforcement of rights (</w:t>
      </w:r>
      <w:proofErr w:type="spellStart"/>
      <w:r w:rsidRPr="00D652B3">
        <w:rPr>
          <w:lang w:val="en-US"/>
        </w:rPr>
        <w:t>amparo</w:t>
      </w:r>
      <w:proofErr w:type="spellEnd"/>
      <w:r w:rsidRPr="00D652B3">
        <w:rPr>
          <w:lang w:val="en-US"/>
        </w:rPr>
        <w:t xml:space="preserve">) filed by Mr. </w:t>
      </w:r>
      <w:proofErr w:type="spellStart"/>
      <w:r w:rsidRPr="00D652B3">
        <w:rPr>
          <w:lang w:val="en-US"/>
        </w:rPr>
        <w:t>Muelle</w:t>
      </w:r>
      <w:bookmarkEnd w:id="33"/>
      <w:proofErr w:type="spellEnd"/>
    </w:p>
    <w:p w:rsidR="008C213F" w:rsidRPr="00CD60C7" w:rsidRDefault="008C213F" w:rsidP="00BC6020">
      <w:pPr>
        <w:ind w:firstLine="567"/>
        <w:rPr>
          <w:rFonts w:ascii="Cambria" w:hAnsi="Cambria" w:cs="Arial"/>
          <w:iCs/>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 xml:space="preserve">On April 18, 1991,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filed an application for </w:t>
      </w:r>
      <w:proofErr w:type="spellStart"/>
      <w:r w:rsidRPr="00D652B3">
        <w:rPr>
          <w:rFonts w:ascii="Cambria" w:hAnsi="Cambria"/>
          <w:color w:val="auto"/>
          <w:sz w:val="20"/>
          <w:szCs w:val="20"/>
          <w:lang w:val="en-US"/>
        </w:rPr>
        <w:t>amparo</w:t>
      </w:r>
      <w:proofErr w:type="spellEnd"/>
      <w:r w:rsidRPr="00D652B3">
        <w:rPr>
          <w:rFonts w:ascii="Cambria" w:hAnsi="Cambria"/>
          <w:color w:val="auto"/>
          <w:sz w:val="20"/>
          <w:szCs w:val="20"/>
          <w:lang w:val="en-US"/>
        </w:rPr>
        <w:t xml:space="preserve"> seeking his reincorporation </w:t>
      </w:r>
      <w:proofErr w:type="gramStart"/>
      <w:r w:rsidRPr="00D652B3">
        <w:rPr>
          <w:rFonts w:ascii="Cambria" w:hAnsi="Cambria"/>
          <w:color w:val="auto"/>
          <w:sz w:val="20"/>
          <w:szCs w:val="20"/>
          <w:lang w:val="en-US"/>
        </w:rPr>
        <w:t>in  the</w:t>
      </w:r>
      <w:proofErr w:type="gramEnd"/>
      <w:r w:rsidRPr="00D652B3">
        <w:rPr>
          <w:rFonts w:ascii="Cambria" w:hAnsi="Cambria"/>
          <w:color w:val="auto"/>
          <w:sz w:val="20"/>
          <w:szCs w:val="20"/>
          <w:lang w:val="en-US"/>
        </w:rPr>
        <w:t xml:space="preserve"> Decree Law 20530 pension scheme.</w:t>
      </w:r>
      <w:r w:rsidRPr="00CD60C7">
        <w:rPr>
          <w:rStyle w:val="Refdenotaalpie"/>
          <w:rFonts w:ascii="Cambria" w:eastAsia="MS Gothic" w:hAnsi="Cambria"/>
          <w:color w:val="auto"/>
          <w:sz w:val="20"/>
          <w:szCs w:val="20"/>
        </w:rPr>
        <w:footnoteReference w:id="16"/>
      </w:r>
      <w:r w:rsidRPr="00D652B3">
        <w:rPr>
          <w:rFonts w:ascii="Cambria" w:hAnsi="Cambria"/>
          <w:color w:val="auto"/>
          <w:sz w:val="20"/>
          <w:szCs w:val="20"/>
          <w:lang w:val="en-US"/>
        </w:rPr>
        <w:t xml:space="preserve"> On July 19, 1991, the Fifth Civil Court of Lima declared the application well-founded and ordered in favor of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that the suspension of the Decree Law 20530 pension and benefits scheme be set aside.</w:t>
      </w:r>
      <w:r w:rsidRPr="00CD60C7">
        <w:rPr>
          <w:rStyle w:val="Refdenotaalpie"/>
          <w:rFonts w:ascii="Cambria" w:eastAsia="MS Gothic" w:hAnsi="Cambria"/>
          <w:color w:val="auto"/>
          <w:sz w:val="20"/>
          <w:szCs w:val="20"/>
        </w:rPr>
        <w:footnoteReference w:id="17"/>
      </w:r>
      <w:r w:rsidRPr="00D652B3">
        <w:rPr>
          <w:rFonts w:ascii="Cambria" w:hAnsi="Cambria"/>
          <w:color w:val="auto"/>
          <w:sz w:val="20"/>
          <w:szCs w:val="20"/>
          <w:lang w:val="en-US"/>
        </w:rPr>
        <w:t xml:space="preserve"> Regarding Mr. </w:t>
      </w:r>
      <w:proofErr w:type="spellStart"/>
      <w:r w:rsidRPr="00D652B3">
        <w:rPr>
          <w:rFonts w:ascii="Cambria" w:hAnsi="Cambria"/>
          <w:color w:val="auto"/>
          <w:sz w:val="20"/>
          <w:szCs w:val="20"/>
          <w:lang w:val="en-US"/>
        </w:rPr>
        <w:t>Muelle's</w:t>
      </w:r>
      <w:proofErr w:type="spellEnd"/>
      <w:r w:rsidRPr="00D652B3">
        <w:rPr>
          <w:rFonts w:ascii="Cambria" w:hAnsi="Cambria"/>
          <w:color w:val="auto"/>
          <w:sz w:val="20"/>
          <w:szCs w:val="20"/>
          <w:lang w:val="en-US"/>
        </w:rPr>
        <w:t xml:space="preserve"> inclusion in that scheme, the Court argued as follows:</w:t>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D652B3">
        <w:rPr>
          <w:rFonts w:ascii="Cambria" w:hAnsi="Cambria"/>
          <w:color w:val="auto"/>
          <w:sz w:val="20"/>
          <w:szCs w:val="20"/>
          <w:lang w:val="en-US"/>
        </w:rPr>
        <w:t>(...) that inclusion established a substantive legal relationship between employee and employer, that is to say, one that gave rise to material rights and obligations that both parties must comply with (...). Therefore the plaintiff cannot unilaterally suspend that legal relationship, much less do so through a mere report of the administrative manager (...) as he does not express the decision of the legal entity against which the action was brought. Amendment or termination of said rights has to be obtained via agreement between the parties or via a decision of a competent court.</w:t>
      </w:r>
      <w:r w:rsidRPr="00CD60C7">
        <w:rPr>
          <w:rStyle w:val="Refdenotaalpie"/>
          <w:rFonts w:ascii="Cambria" w:eastAsia="MS Gothic" w:hAnsi="Cambria"/>
          <w:color w:val="auto"/>
          <w:sz w:val="20"/>
          <w:szCs w:val="20"/>
        </w:rPr>
        <w:footnoteReference w:id="18"/>
      </w:r>
      <w:r w:rsidRPr="00D652B3">
        <w:rPr>
          <w:rFonts w:ascii="Cambria" w:hAnsi="Cambria"/>
          <w:color w:val="auto"/>
          <w:sz w:val="20"/>
          <w:szCs w:val="20"/>
          <w:lang w:val="en-US"/>
        </w:rPr>
        <w:t xml:space="preserve"> </w:t>
      </w:r>
    </w:p>
    <w:p w:rsidR="008C213F" w:rsidRPr="00CD60C7" w:rsidRDefault="008C213F" w:rsidP="00BC6020">
      <w:pPr>
        <w:pStyle w:val="MediumGrid1-Accent21"/>
        <w:rPr>
          <w:rFonts w:ascii="Cambria" w:hAnsi="Cambria"/>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The court concluded that the notification issued by the company "violated the right to social security, equality, and the right to work guaranteed [in] the Political Constitution of the State."</w:t>
      </w:r>
      <w:r w:rsidRPr="00CD60C7">
        <w:rPr>
          <w:rStyle w:val="Refdenotaalpie"/>
          <w:rFonts w:ascii="Cambria" w:eastAsia="MS Gothic" w:hAnsi="Cambria"/>
          <w:color w:val="auto"/>
          <w:sz w:val="20"/>
          <w:szCs w:val="20"/>
        </w:rPr>
        <w:footnoteReference w:id="19"/>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C213F" w:rsidRPr="00CD60C7"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D652B3">
        <w:rPr>
          <w:rFonts w:ascii="Cambria" w:hAnsi="Cambria"/>
          <w:color w:val="auto"/>
          <w:sz w:val="20"/>
          <w:szCs w:val="20"/>
          <w:lang w:val="en-US"/>
        </w:rPr>
        <w:t xml:space="preserve">On May 29, 1992, the Second Civil Division of the Superior Court </w:t>
      </w:r>
      <w:proofErr w:type="gramStart"/>
      <w:r w:rsidRPr="00D652B3">
        <w:rPr>
          <w:rFonts w:ascii="Cambria" w:hAnsi="Cambria"/>
          <w:color w:val="auto"/>
          <w:sz w:val="20"/>
          <w:szCs w:val="20"/>
          <w:lang w:val="en-US"/>
        </w:rPr>
        <w:t>of  Lima</w:t>
      </w:r>
      <w:proofErr w:type="gramEnd"/>
      <w:r w:rsidRPr="00D652B3">
        <w:rPr>
          <w:rFonts w:ascii="Cambria" w:hAnsi="Cambria"/>
          <w:color w:val="auto"/>
          <w:sz w:val="20"/>
          <w:szCs w:val="20"/>
          <w:lang w:val="en-US"/>
        </w:rPr>
        <w:t xml:space="preserve"> confirmed the lower court's decision.</w:t>
      </w:r>
      <w:r w:rsidRPr="00CD60C7">
        <w:rPr>
          <w:rStyle w:val="Refdenotaalpie"/>
          <w:rFonts w:ascii="Cambria" w:eastAsia="MS Gothic" w:hAnsi="Cambria"/>
          <w:color w:val="auto"/>
          <w:sz w:val="20"/>
          <w:szCs w:val="20"/>
        </w:rPr>
        <w:footnoteReference w:id="20"/>
      </w:r>
      <w:r w:rsidRPr="00D652B3">
        <w:rPr>
          <w:rFonts w:ascii="Cambria" w:hAnsi="Cambria"/>
          <w:color w:val="auto"/>
          <w:sz w:val="20"/>
          <w:szCs w:val="20"/>
          <w:lang w:val="en-US"/>
        </w:rPr>
        <w:t xml:space="preserve"> On February 2, 1993, the Supreme Court of Justice ratified the Superior Court's ruling.</w:t>
      </w:r>
      <w:r w:rsidRPr="00CD60C7">
        <w:rPr>
          <w:rStyle w:val="Refdenotaalpie"/>
          <w:rFonts w:ascii="Cambria" w:eastAsia="MS Gothic" w:hAnsi="Cambria"/>
          <w:color w:val="auto"/>
          <w:sz w:val="20"/>
          <w:szCs w:val="20"/>
        </w:rPr>
        <w:footnoteReference w:id="21"/>
      </w:r>
      <w:r w:rsidRPr="00D652B3">
        <w:rPr>
          <w:rFonts w:ascii="Cambria" w:hAnsi="Cambria"/>
          <w:color w:val="auto"/>
          <w:sz w:val="20"/>
          <w:szCs w:val="20"/>
          <w:lang w:val="en-US"/>
        </w:rPr>
        <w:t xml:space="preserve"> </w:t>
      </w:r>
      <w:proofErr w:type="spellStart"/>
      <w:r w:rsidRPr="00CD60C7">
        <w:rPr>
          <w:rFonts w:ascii="Cambria" w:hAnsi="Cambria"/>
          <w:color w:val="auto"/>
          <w:sz w:val="20"/>
          <w:szCs w:val="20"/>
        </w:rPr>
        <w:t>The</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Supreme</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Court</w:t>
      </w:r>
      <w:proofErr w:type="spellEnd"/>
      <w:r w:rsidRPr="00CD60C7">
        <w:rPr>
          <w:rFonts w:ascii="Cambria" w:hAnsi="Cambria"/>
          <w:color w:val="auto"/>
          <w:sz w:val="20"/>
          <w:szCs w:val="20"/>
        </w:rPr>
        <w:t xml:space="preserve"> has </w:t>
      </w:r>
      <w:proofErr w:type="spellStart"/>
      <w:r w:rsidRPr="00CD60C7">
        <w:rPr>
          <w:rFonts w:ascii="Cambria" w:hAnsi="Cambria"/>
          <w:color w:val="auto"/>
          <w:sz w:val="20"/>
          <w:szCs w:val="20"/>
        </w:rPr>
        <w:t>established</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the</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following</w:t>
      </w:r>
      <w:proofErr w:type="spellEnd"/>
      <w:r w:rsidRPr="00CD60C7">
        <w:rPr>
          <w:rFonts w:ascii="Cambria" w:hAnsi="Cambria"/>
          <w:color w:val="auto"/>
          <w:sz w:val="20"/>
          <w:szCs w:val="20"/>
        </w:rPr>
        <w:t>:</w:t>
      </w:r>
    </w:p>
    <w:p w:rsidR="008C213F" w:rsidRPr="00CD60C7" w:rsidRDefault="008C213F" w:rsidP="00BC6020">
      <w:pPr>
        <w:pStyle w:val="MediumGrid1-Accent21"/>
        <w:rPr>
          <w:rFonts w:ascii="Cambria" w:hAnsi="Cambria"/>
          <w:sz w:val="20"/>
          <w:szCs w:val="20"/>
        </w:rPr>
      </w:pP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D652B3">
        <w:rPr>
          <w:rFonts w:ascii="Cambria" w:hAnsi="Cambria"/>
          <w:color w:val="auto"/>
          <w:sz w:val="20"/>
          <w:szCs w:val="20"/>
          <w:lang w:val="en-US"/>
        </w:rPr>
        <w:t xml:space="preserve">(...) given that this is a matter of rights recognized in favor of the employee which the company itself later unilaterally ceased to recognize, the </w:t>
      </w:r>
      <w:proofErr w:type="spellStart"/>
      <w:proofErr w:type="gramStart"/>
      <w:r w:rsidRPr="00D652B3">
        <w:rPr>
          <w:rFonts w:ascii="Cambria" w:hAnsi="Cambria"/>
          <w:color w:val="auto"/>
          <w:sz w:val="20"/>
          <w:szCs w:val="20"/>
          <w:lang w:val="en-US"/>
        </w:rPr>
        <w:t>amparo</w:t>
      </w:r>
      <w:proofErr w:type="spellEnd"/>
      <w:r w:rsidRPr="00D652B3">
        <w:rPr>
          <w:rFonts w:ascii="Cambria" w:hAnsi="Cambria"/>
          <w:color w:val="auto"/>
          <w:sz w:val="20"/>
          <w:szCs w:val="20"/>
          <w:lang w:val="en-US"/>
        </w:rPr>
        <w:t xml:space="preserve">  suit</w:t>
      </w:r>
      <w:proofErr w:type="gramEnd"/>
      <w:r w:rsidRPr="00D652B3">
        <w:rPr>
          <w:rFonts w:ascii="Cambria" w:hAnsi="Cambria"/>
          <w:color w:val="auto"/>
          <w:sz w:val="20"/>
          <w:szCs w:val="20"/>
          <w:lang w:val="en-US"/>
        </w:rPr>
        <w:t xml:space="preserve"> for restoration of the infringed right guaranteed in Article 57</w:t>
      </w:r>
      <w:r w:rsidRPr="00CD60C7">
        <w:rPr>
          <w:rStyle w:val="Refdenotaalpie"/>
          <w:rFonts w:ascii="Cambria" w:eastAsia="MS Gothic" w:hAnsi="Cambria"/>
          <w:color w:val="auto"/>
          <w:sz w:val="20"/>
          <w:szCs w:val="20"/>
        </w:rPr>
        <w:footnoteReference w:id="22"/>
      </w:r>
      <w:r w:rsidRPr="00D652B3">
        <w:rPr>
          <w:rFonts w:ascii="Cambria" w:hAnsi="Cambria"/>
          <w:color w:val="auto"/>
          <w:sz w:val="20"/>
          <w:szCs w:val="20"/>
          <w:lang w:val="en-US"/>
        </w:rPr>
        <w:t xml:space="preserve"> of the Political Constitution of the State is in order in accordance with law.</w:t>
      </w:r>
      <w:r w:rsidRPr="00CD60C7">
        <w:rPr>
          <w:rStyle w:val="Refdenotaalpie"/>
          <w:rFonts w:ascii="Cambria" w:eastAsia="MS Gothic" w:hAnsi="Cambria"/>
          <w:color w:val="auto"/>
          <w:sz w:val="20"/>
          <w:szCs w:val="20"/>
        </w:rPr>
        <w:footnoteReference w:id="23"/>
      </w:r>
    </w:p>
    <w:p w:rsidR="008C213F" w:rsidRPr="00CD60C7" w:rsidRDefault="008C213F" w:rsidP="00BC6020">
      <w:pPr>
        <w:pStyle w:val="MediumGrid1-Accent21"/>
        <w:rPr>
          <w:rFonts w:ascii="Cambria" w:hAnsi="Cambria"/>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The Supreme Court ruled as follows:</w:t>
      </w:r>
    </w:p>
    <w:p w:rsidR="008C213F" w:rsidRPr="00CD60C7" w:rsidRDefault="008C213F" w:rsidP="00BC6020">
      <w:pPr>
        <w:pStyle w:val="MediumGrid1-Accent21"/>
        <w:jc w:val="both"/>
        <w:rPr>
          <w:rFonts w:ascii="Cambria" w:hAnsi="Cambria"/>
          <w:sz w:val="20"/>
          <w:szCs w:val="20"/>
        </w:rPr>
      </w:pPr>
    </w:p>
    <w:p w:rsidR="008C213F" w:rsidRPr="00CD60C7" w:rsidRDefault="008C213F" w:rsidP="00BC6020">
      <w:pPr>
        <w:pStyle w:val="Textonotaalfinal"/>
        <w:tabs>
          <w:tab w:val="left" w:pos="0"/>
        </w:tabs>
        <w:spacing w:before="0" w:beforeAutospacing="0" w:after="0" w:afterAutospacing="0"/>
        <w:ind w:left="720" w:right="720"/>
        <w:jc w:val="both"/>
        <w:rPr>
          <w:rFonts w:ascii="Cambria" w:hAnsi="Cambria"/>
          <w:sz w:val="20"/>
          <w:szCs w:val="20"/>
        </w:rPr>
      </w:pPr>
      <w:r w:rsidRPr="00CD60C7">
        <w:rPr>
          <w:rFonts w:ascii="Cambria" w:hAnsi="Cambria"/>
          <w:sz w:val="20"/>
          <w:szCs w:val="20"/>
        </w:rPr>
        <w:t>(...) Communication GA-0131/91, providing for the suspension, ordered by the defendant, of the plaintiff's inclusion in the pension and benefits scheme envisaged in Decree Law 20530 and of payment of his pension, is inapplicable to the plaintiff, wherefore his rights shall be restored to their status prior to the violation of the Constitution (...).  This resolution is final.</w:t>
      </w:r>
      <w:r w:rsidRPr="00CD60C7">
        <w:rPr>
          <w:rStyle w:val="Refdenotaalpie"/>
          <w:rFonts w:ascii="Cambria" w:eastAsia="MS Gothic" w:hAnsi="Cambria"/>
          <w:sz w:val="20"/>
          <w:szCs w:val="20"/>
        </w:rPr>
        <w:footnoteReference w:id="24"/>
      </w:r>
    </w:p>
    <w:p w:rsidR="008C213F" w:rsidRPr="00CD60C7" w:rsidRDefault="008C213F" w:rsidP="00BC6020">
      <w:pPr>
        <w:jc w:val="both"/>
        <w:rPr>
          <w:rFonts w:ascii="Cambria" w:hAnsi="Cambria" w:cs="Arial"/>
          <w:iCs/>
          <w:sz w:val="20"/>
          <w:szCs w:val="20"/>
        </w:rPr>
      </w:pPr>
    </w:p>
    <w:p w:rsidR="008C213F" w:rsidRPr="00D652B3" w:rsidRDefault="008C213F" w:rsidP="00D652B3">
      <w:pPr>
        <w:pStyle w:val="Ttulo2"/>
        <w:ind w:left="1440" w:hanging="720"/>
        <w:rPr>
          <w:lang w:val="en-US"/>
        </w:rPr>
      </w:pPr>
      <w:bookmarkStart w:id="34" w:name="_Toc346456999"/>
      <w:r w:rsidRPr="00D652B3">
        <w:rPr>
          <w:lang w:val="en-US"/>
        </w:rPr>
        <w:t>C.</w:t>
      </w:r>
      <w:r w:rsidRPr="00D652B3">
        <w:rPr>
          <w:lang w:val="en-US"/>
        </w:rPr>
        <w:tab/>
        <w:t>Regarding the second application for enforcement of rights (</w:t>
      </w:r>
      <w:proofErr w:type="spellStart"/>
      <w:r w:rsidRPr="00D652B3">
        <w:rPr>
          <w:lang w:val="en-US"/>
        </w:rPr>
        <w:t>amparo</w:t>
      </w:r>
      <w:proofErr w:type="spellEnd"/>
      <w:r w:rsidRPr="00D652B3">
        <w:rPr>
          <w:lang w:val="en-US"/>
        </w:rPr>
        <w:t xml:space="preserve">) filed by Mr. </w:t>
      </w:r>
      <w:proofErr w:type="spellStart"/>
      <w:r w:rsidRPr="00D652B3">
        <w:rPr>
          <w:lang w:val="en-US"/>
        </w:rPr>
        <w:t>Muelle</w:t>
      </w:r>
      <w:bookmarkEnd w:id="34"/>
      <w:proofErr w:type="spellEnd"/>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Arial"/>
          <w:iCs/>
          <w:color w:val="auto"/>
          <w:sz w:val="20"/>
          <w:szCs w:val="20"/>
          <w:lang w:val="en-US"/>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 xml:space="preserve">Not long after the ruling of the Supreme Court of Justice in favor of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on February 17, 1993 the company issued Board of Director's Decision No. 023/93 , suspending decisions 155/88 and 029/90</w:t>
      </w:r>
      <w:r w:rsidRPr="00CD60C7">
        <w:rPr>
          <w:rStyle w:val="Refdenotaalpie"/>
          <w:rFonts w:ascii="Cambria" w:eastAsia="MS Gothic" w:hAnsi="Cambria"/>
          <w:color w:val="auto"/>
          <w:sz w:val="20"/>
          <w:szCs w:val="20"/>
        </w:rPr>
        <w:footnoteReference w:id="25"/>
      </w:r>
      <w:r w:rsidRPr="00D652B3">
        <w:rPr>
          <w:rFonts w:ascii="Cambria" w:hAnsi="Cambria"/>
          <w:color w:val="auto"/>
          <w:sz w:val="20"/>
          <w:szCs w:val="20"/>
          <w:lang w:val="en-US"/>
        </w:rPr>
        <w:t xml:space="preserve">  which, as indicated above, had established company's power to include workers in the pension scheme envisaged by Decree Law 20530. Consequently, it ordered a suspension of retirement pension payments to its former workers.</w:t>
      </w:r>
      <w:r w:rsidRPr="00CD60C7">
        <w:rPr>
          <w:rStyle w:val="Refdenotaalpie"/>
          <w:rFonts w:ascii="Cambria" w:eastAsia="MS Gothic" w:hAnsi="Cambria"/>
          <w:color w:val="auto"/>
          <w:sz w:val="20"/>
          <w:szCs w:val="20"/>
        </w:rPr>
        <w:footnoteReference w:id="26"/>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 xml:space="preserve">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filed a second </w:t>
      </w:r>
      <w:proofErr w:type="spellStart"/>
      <w:r w:rsidRPr="00D652B3">
        <w:rPr>
          <w:rFonts w:ascii="Cambria" w:hAnsi="Cambria"/>
          <w:color w:val="auto"/>
          <w:sz w:val="20"/>
          <w:szCs w:val="20"/>
          <w:lang w:val="en-US"/>
        </w:rPr>
        <w:t>amparo</w:t>
      </w:r>
      <w:proofErr w:type="spellEnd"/>
      <w:r w:rsidRPr="00D652B3">
        <w:rPr>
          <w:rFonts w:ascii="Cambria" w:hAnsi="Cambria"/>
          <w:color w:val="auto"/>
          <w:sz w:val="20"/>
          <w:szCs w:val="20"/>
          <w:lang w:val="en-US"/>
        </w:rPr>
        <w:t xml:space="preserve"> suit to block application of Decision No. 023/93.</w:t>
      </w:r>
      <w:r w:rsidRPr="00CD60C7">
        <w:rPr>
          <w:rStyle w:val="Refdenotaalpie"/>
          <w:rFonts w:ascii="Cambria" w:eastAsia="MS Gothic" w:hAnsi="Cambria"/>
          <w:color w:val="auto"/>
          <w:sz w:val="20"/>
          <w:szCs w:val="20"/>
        </w:rPr>
        <w:footnoteReference w:id="27"/>
      </w:r>
      <w:r w:rsidRPr="00D652B3">
        <w:rPr>
          <w:rFonts w:ascii="Cambria" w:hAnsi="Cambria"/>
          <w:color w:val="auto"/>
          <w:sz w:val="20"/>
          <w:szCs w:val="20"/>
          <w:lang w:val="en-US"/>
        </w:rPr>
        <w:t xml:space="preserve"> He also requested reinstatement of his right to continue receiving his pension pursuant to Decree Law 20530 and Law 25273.</w:t>
      </w:r>
      <w:r w:rsidRPr="00CD60C7">
        <w:rPr>
          <w:rStyle w:val="Refdenotaalpie"/>
          <w:rFonts w:ascii="Cambria" w:eastAsia="MS Gothic" w:hAnsi="Cambria"/>
          <w:color w:val="auto"/>
          <w:sz w:val="20"/>
          <w:szCs w:val="20"/>
        </w:rPr>
        <w:footnoteReference w:id="28"/>
      </w:r>
    </w:p>
    <w:p w:rsidR="008C213F" w:rsidRPr="00CD60C7" w:rsidRDefault="008C213F" w:rsidP="00BC6020">
      <w:pPr>
        <w:pStyle w:val="MediumGrid1-Accent21"/>
        <w:rPr>
          <w:rFonts w:ascii="Cambria" w:hAnsi="Cambria"/>
          <w:sz w:val="20"/>
          <w:szCs w:val="20"/>
        </w:rPr>
      </w:pPr>
    </w:p>
    <w:p w:rsidR="008C213F" w:rsidRPr="00CD60C7"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D652B3">
        <w:rPr>
          <w:rFonts w:ascii="Cambria" w:hAnsi="Cambria"/>
          <w:color w:val="auto"/>
          <w:sz w:val="20"/>
          <w:szCs w:val="20"/>
          <w:lang w:val="en-US"/>
        </w:rPr>
        <w:t>On February 23, 1995, the Seventeenth Civil Court of Lima declared the suit inadmissible.</w:t>
      </w:r>
      <w:r w:rsidRPr="00CD60C7">
        <w:rPr>
          <w:rStyle w:val="Refdenotaalpie"/>
          <w:rFonts w:ascii="Cambria" w:eastAsia="MS Gothic" w:hAnsi="Cambria"/>
          <w:color w:val="auto"/>
          <w:sz w:val="20"/>
          <w:szCs w:val="20"/>
        </w:rPr>
        <w:footnoteReference w:id="29"/>
      </w:r>
      <w:r w:rsidRPr="00D652B3">
        <w:rPr>
          <w:rFonts w:ascii="Cambria" w:hAnsi="Cambria"/>
          <w:color w:val="auto"/>
          <w:sz w:val="20"/>
          <w:szCs w:val="20"/>
          <w:lang w:val="en-US"/>
        </w:rPr>
        <w:t xml:space="preserve"> </w:t>
      </w:r>
      <w:proofErr w:type="spellStart"/>
      <w:r w:rsidRPr="00CD60C7">
        <w:rPr>
          <w:rFonts w:ascii="Cambria" w:hAnsi="Cambria"/>
          <w:color w:val="auto"/>
          <w:sz w:val="20"/>
          <w:szCs w:val="20"/>
        </w:rPr>
        <w:t>The</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Court</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concluded</w:t>
      </w:r>
      <w:proofErr w:type="spellEnd"/>
      <w:r w:rsidRPr="00CD60C7">
        <w:rPr>
          <w:rFonts w:ascii="Cambria" w:hAnsi="Cambria"/>
          <w:color w:val="auto"/>
          <w:sz w:val="20"/>
          <w:szCs w:val="20"/>
        </w:rPr>
        <w:t xml:space="preserve"> as </w:t>
      </w:r>
      <w:proofErr w:type="spellStart"/>
      <w:r w:rsidRPr="00CD60C7">
        <w:rPr>
          <w:rFonts w:ascii="Cambria" w:hAnsi="Cambria"/>
          <w:color w:val="auto"/>
          <w:sz w:val="20"/>
          <w:szCs w:val="20"/>
        </w:rPr>
        <w:t>follows</w:t>
      </w:r>
      <w:proofErr w:type="spellEnd"/>
      <w:r w:rsidRPr="00CD60C7">
        <w:rPr>
          <w:rFonts w:ascii="Cambria" w:hAnsi="Cambria"/>
          <w:color w:val="auto"/>
          <w:sz w:val="20"/>
          <w:szCs w:val="20"/>
        </w:rPr>
        <w:t>:</w:t>
      </w:r>
    </w:p>
    <w:p w:rsidR="008C213F" w:rsidRPr="00CD60C7" w:rsidRDefault="008C213F" w:rsidP="00BC6020">
      <w:pPr>
        <w:pStyle w:val="MediumGrid1-Accent21"/>
        <w:rPr>
          <w:rFonts w:ascii="Cambria" w:hAnsi="Cambria"/>
          <w:sz w:val="20"/>
          <w:szCs w:val="20"/>
        </w:rPr>
      </w:pP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D652B3">
        <w:rPr>
          <w:rFonts w:ascii="Cambria" w:hAnsi="Cambria"/>
          <w:color w:val="auto"/>
          <w:sz w:val="20"/>
          <w:szCs w:val="20"/>
          <w:lang w:val="en-US"/>
        </w:rPr>
        <w:t>(...) Decision No. 023/93 (…)  does not violate or threaten any constitutional right of [the plaintiff], since it does not amend or terminate his right to inclusion in the Decree Law 20530 pension and benefits scheme, which right is fully guaranteed,  safeguarded, and protected by the final judgment (...) in his favor in the constitutional law proceeding he brought before the Fifth Specialized Court (...) and which is being executed and the full implementation of which must be verified before said court.</w:t>
      </w:r>
      <w:r w:rsidRPr="00CD60C7">
        <w:rPr>
          <w:rStyle w:val="Refdenotaalpie"/>
          <w:rFonts w:ascii="Cambria" w:eastAsia="MS Gothic" w:hAnsi="Cambria"/>
          <w:color w:val="auto"/>
          <w:sz w:val="20"/>
          <w:szCs w:val="20"/>
        </w:rPr>
        <w:footnoteReference w:id="30"/>
      </w:r>
    </w:p>
    <w:p w:rsidR="008C213F" w:rsidRPr="00CD60C7" w:rsidRDefault="008C213F" w:rsidP="00BC6020">
      <w:pPr>
        <w:pStyle w:val="MediumGrid1-Accent21"/>
        <w:rPr>
          <w:rFonts w:ascii="Cambria" w:hAnsi="Cambria"/>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 xml:space="preserve">On July 14, 1995, the First Civil Division of the Superior Court of Justice of Lima pronounced on Mr. </w:t>
      </w:r>
      <w:proofErr w:type="spellStart"/>
      <w:r w:rsidRPr="00D652B3">
        <w:rPr>
          <w:rFonts w:ascii="Cambria" w:hAnsi="Cambria"/>
          <w:color w:val="auto"/>
          <w:sz w:val="20"/>
          <w:szCs w:val="20"/>
          <w:lang w:val="en-US"/>
        </w:rPr>
        <w:t>Muelle's</w:t>
      </w:r>
      <w:proofErr w:type="spellEnd"/>
      <w:r w:rsidRPr="00D652B3">
        <w:rPr>
          <w:rFonts w:ascii="Cambria" w:hAnsi="Cambria"/>
          <w:color w:val="auto"/>
          <w:sz w:val="20"/>
          <w:szCs w:val="20"/>
          <w:lang w:val="en-US"/>
        </w:rPr>
        <w:t xml:space="preserve"> appeal and confirmed the judgment of the lower court.</w:t>
      </w:r>
      <w:r w:rsidRPr="00CD60C7">
        <w:rPr>
          <w:rStyle w:val="Refdenotaalpie"/>
          <w:rFonts w:ascii="Cambria" w:eastAsia="MS Gothic" w:hAnsi="Cambria"/>
          <w:color w:val="auto"/>
          <w:sz w:val="20"/>
          <w:szCs w:val="20"/>
        </w:rPr>
        <w:footnoteReference w:id="31"/>
      </w:r>
      <w:r w:rsidRPr="00D652B3">
        <w:rPr>
          <w:rFonts w:ascii="Cambria" w:hAnsi="Cambria"/>
          <w:color w:val="auto"/>
          <w:sz w:val="20"/>
          <w:szCs w:val="20"/>
          <w:lang w:val="en-US"/>
        </w:rPr>
        <w:t xml:space="preserve"> The Division considered that the </w:t>
      </w:r>
      <w:r w:rsidRPr="00D652B3">
        <w:rPr>
          <w:rFonts w:ascii="Cambria" w:hAnsi="Cambria"/>
          <w:color w:val="auto"/>
          <w:sz w:val="20"/>
          <w:szCs w:val="20"/>
          <w:lang w:val="en-US"/>
        </w:rPr>
        <w:lastRenderedPageBreak/>
        <w:t xml:space="preserve">ruling of the Supreme Court of February 1993 "has res judicata status (...) so that another </w:t>
      </w:r>
      <w:proofErr w:type="spellStart"/>
      <w:r w:rsidRPr="00D652B3">
        <w:rPr>
          <w:rFonts w:ascii="Cambria" w:hAnsi="Cambria"/>
          <w:color w:val="auto"/>
          <w:sz w:val="20"/>
          <w:szCs w:val="20"/>
          <w:lang w:val="en-US"/>
        </w:rPr>
        <w:t>amparo</w:t>
      </w:r>
      <w:proofErr w:type="spellEnd"/>
      <w:r w:rsidRPr="00D652B3">
        <w:rPr>
          <w:rFonts w:ascii="Cambria" w:hAnsi="Cambria"/>
          <w:color w:val="auto"/>
          <w:sz w:val="20"/>
          <w:szCs w:val="20"/>
          <w:lang w:val="en-US"/>
        </w:rPr>
        <w:t xml:space="preserve"> suit against [said] act could not be brought."</w:t>
      </w:r>
      <w:r w:rsidRPr="00CD60C7">
        <w:rPr>
          <w:rStyle w:val="Refdenotaalpie"/>
          <w:rFonts w:ascii="Cambria" w:eastAsia="MS Gothic" w:hAnsi="Cambria"/>
          <w:color w:val="auto"/>
          <w:sz w:val="20"/>
          <w:szCs w:val="20"/>
        </w:rPr>
        <w:footnoteReference w:id="32"/>
      </w:r>
    </w:p>
    <w:p w:rsidR="008C213F" w:rsidRPr="00CD60C7" w:rsidRDefault="008C213F" w:rsidP="00BC6020">
      <w:pPr>
        <w:pStyle w:val="MediumGrid1-Accent21"/>
        <w:rPr>
          <w:rFonts w:ascii="Cambria" w:hAnsi="Cambria"/>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 xml:space="preserve">On August 26, 1997, the Supreme Court of Justice pronounced on Mr. </w:t>
      </w:r>
      <w:proofErr w:type="spellStart"/>
      <w:r w:rsidRPr="00D652B3">
        <w:rPr>
          <w:rFonts w:ascii="Cambria" w:hAnsi="Cambria"/>
          <w:color w:val="auto"/>
          <w:sz w:val="20"/>
          <w:szCs w:val="20"/>
          <w:lang w:val="en-US"/>
        </w:rPr>
        <w:t>Muelle's</w:t>
      </w:r>
      <w:proofErr w:type="spellEnd"/>
      <w:r w:rsidRPr="00D652B3">
        <w:rPr>
          <w:rFonts w:ascii="Cambria" w:hAnsi="Cambria"/>
          <w:color w:val="auto"/>
          <w:sz w:val="20"/>
          <w:szCs w:val="20"/>
          <w:lang w:val="en-US"/>
        </w:rPr>
        <w:t xml:space="preserve"> appeal for a reversal of judgment and declared the </w:t>
      </w:r>
      <w:proofErr w:type="spellStart"/>
      <w:r w:rsidRPr="00D652B3">
        <w:rPr>
          <w:rFonts w:ascii="Cambria" w:hAnsi="Cambria"/>
          <w:color w:val="auto"/>
          <w:sz w:val="20"/>
          <w:szCs w:val="20"/>
          <w:lang w:val="en-US"/>
        </w:rPr>
        <w:t>amparo</w:t>
      </w:r>
      <w:proofErr w:type="spellEnd"/>
      <w:r w:rsidRPr="00D652B3">
        <w:rPr>
          <w:rFonts w:ascii="Cambria" w:hAnsi="Cambria"/>
          <w:color w:val="auto"/>
          <w:sz w:val="20"/>
          <w:szCs w:val="20"/>
          <w:lang w:val="en-US"/>
        </w:rPr>
        <w:t xml:space="preserve"> appeal inadmissible.</w:t>
      </w:r>
      <w:r w:rsidRPr="00CD60C7">
        <w:rPr>
          <w:rStyle w:val="Refdenotaalpie"/>
          <w:rFonts w:ascii="Cambria" w:eastAsia="MS Gothic" w:hAnsi="Cambria"/>
          <w:color w:val="auto"/>
          <w:sz w:val="20"/>
          <w:szCs w:val="20"/>
        </w:rPr>
        <w:footnoteReference w:id="33"/>
      </w:r>
      <w:r w:rsidRPr="00D652B3">
        <w:rPr>
          <w:rFonts w:ascii="Cambria" w:hAnsi="Cambria"/>
          <w:color w:val="auto"/>
          <w:sz w:val="20"/>
          <w:szCs w:val="20"/>
          <w:lang w:val="en-US"/>
        </w:rPr>
        <w:t xml:space="preserve"> In light of that ruling,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filed an extraordinary appeal with the Constitutional Court.</w:t>
      </w:r>
      <w:r w:rsidRPr="00CD60C7">
        <w:rPr>
          <w:rStyle w:val="Refdenotaalpie"/>
          <w:rFonts w:ascii="Cambria" w:eastAsia="MS Gothic" w:hAnsi="Cambria"/>
          <w:color w:val="auto"/>
          <w:sz w:val="20"/>
          <w:szCs w:val="20"/>
        </w:rPr>
        <w:footnoteReference w:id="34"/>
      </w:r>
    </w:p>
    <w:p w:rsidR="008C213F" w:rsidRPr="00CD60C7" w:rsidRDefault="008C213F" w:rsidP="00BC6020">
      <w:pPr>
        <w:pStyle w:val="MediumGrid1-Accent21"/>
        <w:rPr>
          <w:rFonts w:ascii="Cambria" w:hAnsi="Cambria"/>
          <w:sz w:val="20"/>
          <w:szCs w:val="20"/>
        </w:rPr>
      </w:pPr>
    </w:p>
    <w:p w:rsidR="008C213F" w:rsidRPr="00CD60C7"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D652B3">
        <w:rPr>
          <w:rFonts w:ascii="Cambria" w:hAnsi="Cambria"/>
          <w:color w:val="auto"/>
          <w:sz w:val="20"/>
          <w:szCs w:val="20"/>
          <w:lang w:val="en-US"/>
        </w:rPr>
        <w:t xml:space="preserve">On December 10, 1999, the </w:t>
      </w:r>
      <w:proofErr w:type="gramStart"/>
      <w:r w:rsidRPr="00D652B3">
        <w:rPr>
          <w:rFonts w:ascii="Cambria" w:hAnsi="Cambria"/>
          <w:color w:val="auto"/>
          <w:sz w:val="20"/>
          <w:szCs w:val="20"/>
          <w:lang w:val="en-US"/>
        </w:rPr>
        <w:t>Constitutional  Court</w:t>
      </w:r>
      <w:proofErr w:type="gramEnd"/>
      <w:r w:rsidRPr="00D652B3">
        <w:rPr>
          <w:rFonts w:ascii="Cambria" w:hAnsi="Cambria"/>
          <w:color w:val="auto"/>
          <w:sz w:val="20"/>
          <w:szCs w:val="20"/>
          <w:lang w:val="en-US"/>
        </w:rPr>
        <w:t xml:space="preserve"> revoked the resolution of the Supreme Court of Justice and declared the </w:t>
      </w:r>
      <w:proofErr w:type="spellStart"/>
      <w:r w:rsidRPr="00D652B3">
        <w:rPr>
          <w:rFonts w:ascii="Cambria" w:hAnsi="Cambria"/>
          <w:color w:val="auto"/>
          <w:sz w:val="20"/>
          <w:szCs w:val="20"/>
          <w:lang w:val="en-US"/>
        </w:rPr>
        <w:t>amparo</w:t>
      </w:r>
      <w:proofErr w:type="spellEnd"/>
      <w:r w:rsidRPr="00D652B3">
        <w:rPr>
          <w:rFonts w:ascii="Cambria" w:hAnsi="Cambria"/>
          <w:color w:val="auto"/>
          <w:sz w:val="20"/>
          <w:szCs w:val="20"/>
          <w:lang w:val="en-US"/>
        </w:rPr>
        <w:t xml:space="preserve"> suit well-founded.</w:t>
      </w:r>
      <w:r w:rsidRPr="00CD60C7">
        <w:rPr>
          <w:rStyle w:val="Refdenotaalpie"/>
          <w:rFonts w:ascii="Cambria" w:eastAsia="MS Gothic" w:hAnsi="Cambria"/>
          <w:color w:val="auto"/>
          <w:sz w:val="20"/>
          <w:szCs w:val="20"/>
        </w:rPr>
        <w:footnoteReference w:id="35"/>
      </w:r>
      <w:r w:rsidRPr="00D652B3">
        <w:rPr>
          <w:rFonts w:ascii="Cambria" w:hAnsi="Cambria"/>
          <w:color w:val="auto"/>
          <w:sz w:val="20"/>
          <w:szCs w:val="20"/>
          <w:lang w:val="en-US"/>
        </w:rPr>
        <w:t xml:space="preserve"> </w:t>
      </w:r>
      <w:proofErr w:type="spellStart"/>
      <w:r w:rsidRPr="00CD60C7">
        <w:rPr>
          <w:rFonts w:ascii="Cambria" w:hAnsi="Cambria"/>
          <w:color w:val="auto"/>
          <w:sz w:val="20"/>
          <w:szCs w:val="20"/>
        </w:rPr>
        <w:t>The</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Court</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argued</w:t>
      </w:r>
      <w:proofErr w:type="spellEnd"/>
      <w:r w:rsidRPr="00CD60C7">
        <w:rPr>
          <w:rFonts w:ascii="Cambria" w:hAnsi="Cambria"/>
          <w:color w:val="auto"/>
          <w:sz w:val="20"/>
          <w:szCs w:val="20"/>
        </w:rPr>
        <w:t xml:space="preserve"> as </w:t>
      </w:r>
      <w:proofErr w:type="spellStart"/>
      <w:r w:rsidRPr="00CD60C7">
        <w:rPr>
          <w:rFonts w:ascii="Cambria" w:hAnsi="Cambria"/>
          <w:color w:val="auto"/>
          <w:sz w:val="20"/>
          <w:szCs w:val="20"/>
        </w:rPr>
        <w:t>follows</w:t>
      </w:r>
      <w:proofErr w:type="spellEnd"/>
      <w:r w:rsidRPr="00CD60C7">
        <w:rPr>
          <w:rFonts w:ascii="Cambria" w:hAnsi="Cambria"/>
          <w:color w:val="auto"/>
          <w:sz w:val="20"/>
          <w:szCs w:val="20"/>
        </w:rPr>
        <w:t>:</w:t>
      </w:r>
    </w:p>
    <w:p w:rsidR="008C213F" w:rsidRPr="00CD60C7" w:rsidRDefault="008C213F" w:rsidP="00BC6020">
      <w:pPr>
        <w:pStyle w:val="MediumGrid1-Accent21"/>
        <w:rPr>
          <w:rFonts w:ascii="Cambria" w:hAnsi="Cambria"/>
          <w:sz w:val="20"/>
          <w:szCs w:val="20"/>
        </w:rPr>
      </w:pP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D652B3">
        <w:rPr>
          <w:rFonts w:ascii="Cambria" w:hAnsi="Cambria"/>
          <w:color w:val="auto"/>
          <w:sz w:val="20"/>
          <w:szCs w:val="20"/>
          <w:lang w:val="en-US"/>
        </w:rPr>
        <w:t>(...) the pension rights acquired by the plaintiff under Decree Law 20530 cannot be disregarded by the defendant unilaterally and extemporaneously. The only way to determine the nullity of resolutions constituting res judicata is through regular proceedings before a competent court.</w:t>
      </w:r>
      <w:r w:rsidRPr="00CD60C7">
        <w:rPr>
          <w:rStyle w:val="Refdenotaalpie"/>
          <w:rFonts w:ascii="Cambria" w:eastAsia="MS Gothic" w:hAnsi="Cambria"/>
          <w:color w:val="auto"/>
          <w:sz w:val="20"/>
          <w:szCs w:val="20"/>
        </w:rPr>
        <w:footnoteReference w:id="36"/>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The Constitutional Court declared Decision No. 023/93 inapplicable and ordered the company "to comply with continued payment of the adjustable retirement pension he [the plaintiff] was receiving."</w:t>
      </w:r>
      <w:r w:rsidRPr="00CD60C7">
        <w:rPr>
          <w:rStyle w:val="Refdenotaalpie"/>
          <w:rFonts w:ascii="Cambria" w:eastAsia="MS Gothic" w:hAnsi="Cambria"/>
          <w:color w:val="auto"/>
          <w:sz w:val="20"/>
          <w:szCs w:val="20"/>
        </w:rPr>
        <w:footnoteReference w:id="37"/>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C213F" w:rsidRPr="00D652B3" w:rsidRDefault="008C213F" w:rsidP="00BC6020">
      <w:pPr>
        <w:pStyle w:val="Ttulo2"/>
        <w:rPr>
          <w:lang w:val="en-US"/>
        </w:rPr>
      </w:pPr>
      <w:bookmarkStart w:id="35" w:name="_Toc346457000"/>
      <w:r w:rsidRPr="00D652B3">
        <w:rPr>
          <w:lang w:val="en-US"/>
        </w:rPr>
        <w:t>D.</w:t>
      </w:r>
      <w:r w:rsidRPr="00D652B3">
        <w:rPr>
          <w:lang w:val="en-US"/>
        </w:rPr>
        <w:tab/>
        <w:t>Regarding further appeals filed and the judgment enforcement process.</w:t>
      </w:r>
      <w:bookmarkEnd w:id="35"/>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 xml:space="preserve">The IACHR notes that during the processing of the two aforementioned </w:t>
      </w:r>
      <w:proofErr w:type="spellStart"/>
      <w:r w:rsidRPr="00D652B3">
        <w:rPr>
          <w:rFonts w:ascii="Cambria" w:hAnsi="Cambria"/>
          <w:color w:val="auto"/>
          <w:sz w:val="20"/>
          <w:szCs w:val="20"/>
          <w:lang w:val="en-US"/>
        </w:rPr>
        <w:t>amparo</w:t>
      </w:r>
      <w:proofErr w:type="spellEnd"/>
      <w:r w:rsidRPr="00D652B3">
        <w:rPr>
          <w:rFonts w:ascii="Cambria" w:hAnsi="Cambria"/>
          <w:color w:val="auto"/>
          <w:sz w:val="20"/>
          <w:szCs w:val="20"/>
          <w:lang w:val="en-US"/>
        </w:rPr>
        <w:t xml:space="preserve"> appeals and thereafter, several courts issued resolutions regarding new applications and suits by both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and the company. Following is the Commission's summary of the applications, suits, and rulings presented by the parties for the purpose of the IACHR’S analysis.</w:t>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C213F" w:rsidRPr="00CD60C7" w:rsidRDefault="008C213F" w:rsidP="00D652B3">
      <w:pPr>
        <w:pStyle w:val="Ttulo3"/>
        <w:spacing w:before="0"/>
        <w:ind w:firstLine="720"/>
        <w:rPr>
          <w:iCs/>
          <w:color w:val="auto"/>
          <w:sz w:val="20"/>
          <w:szCs w:val="20"/>
        </w:rPr>
      </w:pPr>
      <w:bookmarkStart w:id="36" w:name="_Toc346457001"/>
      <w:r w:rsidRPr="00CD60C7">
        <w:rPr>
          <w:color w:val="auto"/>
          <w:sz w:val="20"/>
          <w:szCs w:val="20"/>
        </w:rPr>
        <w:t xml:space="preserve">1. </w:t>
      </w:r>
      <w:r w:rsidRPr="00CD60C7">
        <w:rPr>
          <w:color w:val="auto"/>
          <w:sz w:val="20"/>
          <w:szCs w:val="20"/>
        </w:rPr>
        <w:tab/>
        <w:t>Suit filed by the company</w:t>
      </w:r>
      <w:bookmarkEnd w:id="36"/>
    </w:p>
    <w:p w:rsidR="008C213F" w:rsidRPr="00CD60C7"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2880" w:firstLine="0"/>
        <w:jc w:val="both"/>
        <w:rPr>
          <w:rFonts w:ascii="Cambria" w:hAnsi="Cambria" w:cs="Arial"/>
          <w:b/>
          <w:iCs/>
          <w:color w:val="auto"/>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 xml:space="preserve">On August 15, 1996, the company filed a suit seeking a declaration of the inadmissibility of Mr. </w:t>
      </w:r>
      <w:proofErr w:type="spellStart"/>
      <w:r w:rsidRPr="00D652B3">
        <w:rPr>
          <w:rFonts w:ascii="Cambria" w:hAnsi="Cambria"/>
          <w:color w:val="auto"/>
          <w:sz w:val="20"/>
          <w:szCs w:val="20"/>
          <w:lang w:val="en-US"/>
        </w:rPr>
        <w:t>Muelle's</w:t>
      </w:r>
      <w:proofErr w:type="spellEnd"/>
      <w:r w:rsidRPr="00D652B3">
        <w:rPr>
          <w:rFonts w:ascii="Cambria" w:hAnsi="Cambria"/>
          <w:color w:val="auto"/>
          <w:sz w:val="20"/>
          <w:szCs w:val="20"/>
          <w:lang w:val="en-US"/>
        </w:rPr>
        <w:t xml:space="preserve"> reincorporation into the Decree Law 20530 pension scheme.</w:t>
      </w:r>
      <w:r w:rsidRPr="00CD60C7">
        <w:rPr>
          <w:rStyle w:val="Refdenotaalpie"/>
          <w:rFonts w:ascii="Cambria" w:eastAsia="MS Gothic" w:hAnsi="Cambria"/>
          <w:color w:val="auto"/>
          <w:sz w:val="20"/>
          <w:szCs w:val="20"/>
        </w:rPr>
        <w:footnoteReference w:id="38"/>
      </w:r>
      <w:r w:rsidRPr="00D652B3">
        <w:rPr>
          <w:rFonts w:ascii="Cambria" w:hAnsi="Cambria"/>
          <w:color w:val="auto"/>
          <w:sz w:val="20"/>
          <w:szCs w:val="20"/>
          <w:lang w:val="en-US"/>
        </w:rPr>
        <w:t xml:space="preserve"> On September 2, 1996, the Division for Actions under Administrative Law (</w:t>
      </w:r>
      <w:r w:rsidRPr="00D652B3">
        <w:rPr>
          <w:rFonts w:ascii="Cambria" w:hAnsi="Cambria"/>
          <w:i/>
          <w:color w:val="auto"/>
          <w:sz w:val="20"/>
          <w:szCs w:val="20"/>
          <w:lang w:val="en-US"/>
        </w:rPr>
        <w:t xml:space="preserve">Sala </w:t>
      </w:r>
      <w:proofErr w:type="spellStart"/>
      <w:r w:rsidRPr="00D652B3">
        <w:rPr>
          <w:rFonts w:ascii="Cambria" w:hAnsi="Cambria"/>
          <w:i/>
          <w:color w:val="auto"/>
          <w:sz w:val="20"/>
          <w:szCs w:val="20"/>
          <w:lang w:val="en-US"/>
        </w:rPr>
        <w:t>Contencioso</w:t>
      </w:r>
      <w:proofErr w:type="spellEnd"/>
      <w:r w:rsidRPr="00D652B3">
        <w:rPr>
          <w:rFonts w:ascii="Cambria" w:hAnsi="Cambria"/>
          <w:i/>
          <w:color w:val="auto"/>
          <w:sz w:val="20"/>
          <w:szCs w:val="20"/>
          <w:lang w:val="en-US"/>
        </w:rPr>
        <w:t xml:space="preserve"> </w:t>
      </w:r>
      <w:proofErr w:type="spellStart"/>
      <w:r w:rsidRPr="00D652B3">
        <w:rPr>
          <w:rFonts w:ascii="Cambria" w:hAnsi="Cambria"/>
          <w:i/>
          <w:color w:val="auto"/>
          <w:sz w:val="20"/>
          <w:szCs w:val="20"/>
          <w:lang w:val="en-US"/>
        </w:rPr>
        <w:t>Administrativa</w:t>
      </w:r>
      <w:proofErr w:type="spellEnd"/>
      <w:r w:rsidRPr="00D652B3">
        <w:rPr>
          <w:rFonts w:ascii="Cambria" w:hAnsi="Cambria"/>
          <w:color w:val="auto"/>
          <w:sz w:val="20"/>
          <w:szCs w:val="20"/>
          <w:lang w:val="en-US"/>
        </w:rPr>
        <w:t>) of the Superior Court of Lima declared the suit well-founded.</w:t>
      </w:r>
      <w:r w:rsidRPr="00CD60C7">
        <w:rPr>
          <w:rStyle w:val="Refdenotaalpie"/>
          <w:rFonts w:ascii="Cambria" w:eastAsia="MS Gothic" w:hAnsi="Cambria"/>
          <w:color w:val="auto"/>
          <w:sz w:val="20"/>
          <w:szCs w:val="20"/>
        </w:rPr>
        <w:footnoteReference w:id="39"/>
      </w:r>
      <w:r w:rsidRPr="00D652B3">
        <w:rPr>
          <w:rFonts w:ascii="Cambria" w:hAnsi="Cambria"/>
          <w:color w:val="auto"/>
          <w:sz w:val="20"/>
          <w:szCs w:val="20"/>
          <w:lang w:val="en-US"/>
        </w:rPr>
        <w:t xml:space="preserve">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filed an appeal to have that judgment annulled.</w:t>
      </w:r>
      <w:r w:rsidRPr="00CD60C7">
        <w:rPr>
          <w:rStyle w:val="Refdenotaalpie"/>
          <w:rFonts w:ascii="Cambria" w:eastAsia="MS Gothic" w:hAnsi="Cambria"/>
          <w:color w:val="auto"/>
          <w:sz w:val="20"/>
          <w:szCs w:val="20"/>
        </w:rPr>
        <w:footnoteReference w:id="40"/>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C213F" w:rsidRPr="00CD60C7"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D652B3">
        <w:rPr>
          <w:rFonts w:ascii="Cambria" w:hAnsi="Cambria"/>
          <w:color w:val="auto"/>
          <w:sz w:val="20"/>
          <w:szCs w:val="20"/>
          <w:lang w:val="en-US"/>
        </w:rPr>
        <w:t>On August 22, 1997, the Constitutional and Social Division of the Supreme Court pronounced, declaring the suit filed by the company groundless.</w:t>
      </w:r>
      <w:r w:rsidRPr="00CD60C7">
        <w:rPr>
          <w:rStyle w:val="Refdenotaalpie"/>
          <w:rFonts w:ascii="Cambria" w:eastAsia="MS Gothic" w:hAnsi="Cambria"/>
          <w:color w:val="auto"/>
          <w:sz w:val="20"/>
          <w:szCs w:val="20"/>
        </w:rPr>
        <w:footnoteReference w:id="41"/>
      </w:r>
      <w:r w:rsidRPr="00D652B3">
        <w:rPr>
          <w:rFonts w:ascii="Cambria" w:hAnsi="Cambria"/>
          <w:color w:val="auto"/>
          <w:sz w:val="20"/>
          <w:szCs w:val="20"/>
          <w:lang w:val="en-US"/>
        </w:rPr>
        <w:t xml:space="preserve"> </w:t>
      </w:r>
      <w:proofErr w:type="spellStart"/>
      <w:r w:rsidRPr="00CD60C7">
        <w:rPr>
          <w:rFonts w:ascii="Cambria" w:hAnsi="Cambria"/>
          <w:color w:val="auto"/>
          <w:sz w:val="20"/>
          <w:szCs w:val="20"/>
        </w:rPr>
        <w:t>The</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Division</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argued</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the</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following</w:t>
      </w:r>
      <w:proofErr w:type="spellEnd"/>
      <w:r w:rsidRPr="00CD60C7">
        <w:rPr>
          <w:rFonts w:ascii="Cambria" w:hAnsi="Cambria"/>
          <w:color w:val="auto"/>
          <w:sz w:val="20"/>
          <w:szCs w:val="20"/>
        </w:rPr>
        <w:t>:</w:t>
      </w:r>
    </w:p>
    <w:p w:rsidR="008C213F" w:rsidRPr="00CD60C7" w:rsidRDefault="008C213F" w:rsidP="00BC6020">
      <w:pPr>
        <w:pStyle w:val="MediumGrid1-Accent21"/>
        <w:rPr>
          <w:rFonts w:ascii="Cambria" w:hAnsi="Cambria"/>
          <w:sz w:val="20"/>
          <w:szCs w:val="20"/>
        </w:rPr>
      </w:pPr>
    </w:p>
    <w:p w:rsidR="008C213F" w:rsidRPr="00CD60C7" w:rsidRDefault="008C213F" w:rsidP="00BC6020">
      <w:pPr>
        <w:pStyle w:val="MediumGrid1-Accent21"/>
        <w:ind w:right="720"/>
        <w:jc w:val="both"/>
        <w:rPr>
          <w:rFonts w:ascii="Cambria" w:hAnsi="Cambria"/>
          <w:sz w:val="20"/>
          <w:szCs w:val="20"/>
        </w:rPr>
      </w:pPr>
      <w:r w:rsidRPr="00CD60C7">
        <w:rPr>
          <w:rFonts w:ascii="Cambria" w:hAnsi="Cambria"/>
          <w:sz w:val="20"/>
          <w:szCs w:val="20"/>
        </w:rPr>
        <w:lastRenderedPageBreak/>
        <w:t>While it is true that Article 14.b of Decree Law 20530 precludes the accumulation of periods of public service under differing labor regimes, it is also true that the reincorporation of the appellant to the Government pension scheme took place (...) in application of the Fifth Transitional Provision of the aforementioned Decree Law, following verification of compliance with that provision's requirements.</w:t>
      </w:r>
      <w:r w:rsidRPr="00CD60C7">
        <w:rPr>
          <w:rStyle w:val="Refdenotaalpie"/>
          <w:rFonts w:ascii="Cambria" w:hAnsi="Cambria"/>
          <w:sz w:val="20"/>
          <w:szCs w:val="20"/>
        </w:rPr>
        <w:footnoteReference w:id="42"/>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C213F" w:rsidRPr="00CD60C7"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D652B3">
        <w:rPr>
          <w:rFonts w:ascii="Cambria" w:hAnsi="Cambria"/>
          <w:color w:val="auto"/>
          <w:sz w:val="20"/>
          <w:szCs w:val="20"/>
          <w:lang w:val="en-US"/>
        </w:rPr>
        <w:t xml:space="preserve">The Division pointed out that the application of that provision to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had been ratified with the promulgation of Law No. </w:t>
      </w:r>
      <w:proofErr w:type="gramStart"/>
      <w:r w:rsidRPr="00D652B3">
        <w:rPr>
          <w:rFonts w:ascii="Cambria" w:hAnsi="Cambria"/>
          <w:color w:val="auto"/>
          <w:sz w:val="20"/>
          <w:szCs w:val="20"/>
          <w:lang w:val="en-US"/>
        </w:rPr>
        <w:t>25273  of</w:t>
      </w:r>
      <w:proofErr w:type="gramEnd"/>
      <w:r w:rsidRPr="00D652B3">
        <w:rPr>
          <w:rFonts w:ascii="Cambria" w:hAnsi="Cambria"/>
          <w:color w:val="auto"/>
          <w:sz w:val="20"/>
          <w:szCs w:val="20"/>
          <w:lang w:val="en-US"/>
        </w:rPr>
        <w:t xml:space="preserve"> July 6, 1990, which established exceptions to Article 14.b of Decree Law 20530.</w:t>
      </w:r>
      <w:r w:rsidRPr="00CD60C7">
        <w:rPr>
          <w:rStyle w:val="Refdenotaalpie"/>
          <w:rFonts w:ascii="Cambria" w:eastAsia="MS Gothic" w:hAnsi="Cambria"/>
          <w:color w:val="auto"/>
          <w:sz w:val="20"/>
          <w:szCs w:val="20"/>
        </w:rPr>
        <w:footnoteReference w:id="43"/>
      </w:r>
      <w:r w:rsidRPr="00D652B3">
        <w:rPr>
          <w:rFonts w:ascii="Cambria" w:hAnsi="Cambria"/>
          <w:color w:val="auto"/>
          <w:sz w:val="20"/>
          <w:szCs w:val="20"/>
          <w:lang w:val="en-US"/>
        </w:rPr>
        <w:t xml:space="preserve"> It added that consequently, and based on the benign retroactivity of laws principle established in Article 187 of the Constitution in force at the time, Law No. 25273 was to be applied to Mr. </w:t>
      </w:r>
      <w:proofErr w:type="spellStart"/>
      <w:r w:rsidRPr="00D652B3">
        <w:rPr>
          <w:rFonts w:ascii="Cambria" w:hAnsi="Cambria"/>
          <w:color w:val="auto"/>
          <w:sz w:val="20"/>
          <w:szCs w:val="20"/>
          <w:lang w:val="en-US"/>
        </w:rPr>
        <w:t>Muelle's</w:t>
      </w:r>
      <w:proofErr w:type="spellEnd"/>
      <w:r w:rsidRPr="00D652B3">
        <w:rPr>
          <w:rFonts w:ascii="Cambria" w:hAnsi="Cambria"/>
          <w:color w:val="auto"/>
          <w:sz w:val="20"/>
          <w:szCs w:val="20"/>
          <w:lang w:val="en-US"/>
        </w:rPr>
        <w:t xml:space="preserve"> situation.</w:t>
      </w:r>
      <w:r w:rsidRPr="00CD60C7">
        <w:rPr>
          <w:rStyle w:val="Refdenotaalpie"/>
          <w:rFonts w:ascii="Cambria" w:eastAsia="MS Gothic" w:hAnsi="Cambria"/>
          <w:color w:val="auto"/>
          <w:sz w:val="20"/>
          <w:szCs w:val="20"/>
        </w:rPr>
        <w:footnoteReference w:id="44"/>
      </w:r>
      <w:r w:rsidRPr="00D652B3">
        <w:rPr>
          <w:rFonts w:ascii="Cambria" w:hAnsi="Cambria"/>
          <w:color w:val="auto"/>
          <w:sz w:val="20"/>
          <w:szCs w:val="20"/>
          <w:lang w:val="en-US"/>
        </w:rPr>
        <w:t xml:space="preserve"> </w:t>
      </w:r>
      <w:proofErr w:type="spellStart"/>
      <w:r w:rsidRPr="00CD60C7">
        <w:rPr>
          <w:rFonts w:ascii="Cambria" w:hAnsi="Cambria"/>
          <w:color w:val="auto"/>
          <w:sz w:val="20"/>
          <w:szCs w:val="20"/>
        </w:rPr>
        <w:t>The</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Division</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concluded</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by</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pointing</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out</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the</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following</w:t>
      </w:r>
      <w:proofErr w:type="spellEnd"/>
      <w:r w:rsidRPr="00CD60C7">
        <w:rPr>
          <w:rFonts w:ascii="Cambria" w:hAnsi="Cambria"/>
          <w:color w:val="auto"/>
          <w:sz w:val="20"/>
          <w:szCs w:val="20"/>
        </w:rPr>
        <w:t>:</w:t>
      </w:r>
    </w:p>
    <w:p w:rsidR="008C213F" w:rsidRPr="00CD60C7"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rPr>
      </w:pP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D652B3">
        <w:rPr>
          <w:rFonts w:ascii="Cambria" w:hAnsi="Cambria"/>
          <w:color w:val="auto"/>
          <w:sz w:val="20"/>
          <w:szCs w:val="20"/>
          <w:lang w:val="en-US"/>
        </w:rPr>
        <w:t>(...) while it may be true that Law No. 25273 has been repealed by the Third Final and Transitional Provision of the 1993 Constitution, that in no way impairs the appellant's acquired right.</w:t>
      </w:r>
      <w:r w:rsidRPr="00CD60C7">
        <w:rPr>
          <w:rStyle w:val="Refdenotaalpie"/>
          <w:rFonts w:ascii="Cambria" w:eastAsia="MS Gothic" w:hAnsi="Cambria"/>
          <w:color w:val="auto"/>
          <w:sz w:val="20"/>
          <w:szCs w:val="20"/>
        </w:rPr>
        <w:footnoteReference w:id="45"/>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Arial"/>
          <w:b/>
          <w:iCs/>
          <w:color w:val="auto"/>
          <w:sz w:val="20"/>
          <w:szCs w:val="20"/>
          <w:lang w:val="en-US"/>
        </w:rPr>
      </w:pPr>
    </w:p>
    <w:p w:rsidR="008C213F" w:rsidRPr="00CD60C7" w:rsidRDefault="008C213F" w:rsidP="00D652B3">
      <w:pPr>
        <w:pStyle w:val="Ttulo3"/>
        <w:spacing w:before="0"/>
        <w:ind w:firstLine="720"/>
        <w:rPr>
          <w:iCs/>
          <w:color w:val="auto"/>
          <w:sz w:val="20"/>
          <w:szCs w:val="20"/>
        </w:rPr>
      </w:pPr>
      <w:bookmarkStart w:id="37" w:name="_Toc346457002"/>
      <w:r w:rsidRPr="00CD60C7">
        <w:rPr>
          <w:color w:val="auto"/>
          <w:sz w:val="20"/>
          <w:szCs w:val="20"/>
        </w:rPr>
        <w:t xml:space="preserve">2. </w:t>
      </w:r>
      <w:r w:rsidRPr="00CD60C7">
        <w:rPr>
          <w:color w:val="auto"/>
          <w:sz w:val="20"/>
          <w:szCs w:val="20"/>
        </w:rPr>
        <w:tab/>
        <w:t xml:space="preserve">The process for enforcement of the </w:t>
      </w:r>
      <w:proofErr w:type="spellStart"/>
      <w:r w:rsidRPr="00CD60C7">
        <w:rPr>
          <w:color w:val="auto"/>
          <w:sz w:val="20"/>
          <w:szCs w:val="20"/>
        </w:rPr>
        <w:t>amparo</w:t>
      </w:r>
      <w:proofErr w:type="spellEnd"/>
      <w:r w:rsidRPr="00CD60C7">
        <w:rPr>
          <w:color w:val="auto"/>
          <w:sz w:val="20"/>
          <w:szCs w:val="20"/>
        </w:rPr>
        <w:t xml:space="preserve"> judgment of February 2, 1993</w:t>
      </w:r>
      <w:bookmarkEnd w:id="37"/>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 xml:space="preserve">On December 18, 1995, in response to a  request from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the Fifth Specialized Civil Court of Lima issued a resolution stating that:</w:t>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D652B3">
        <w:rPr>
          <w:rFonts w:ascii="Cambria" w:hAnsi="Cambria"/>
          <w:color w:val="auto"/>
          <w:sz w:val="20"/>
          <w:szCs w:val="20"/>
          <w:lang w:val="en-US"/>
        </w:rPr>
        <w:t xml:space="preserve">(...) the company (...) has been creating obstacles to execution of the judgment with the pretext that it is legally prevented from satisfying the claim because the services provided by the plaintiff that led to his being granted a pension pertained to different non-cumulative labor regimes; (...) Magma Copper Corporation - </w:t>
      </w:r>
      <w:proofErr w:type="spellStart"/>
      <w:r w:rsidRPr="00D652B3">
        <w:rPr>
          <w:rFonts w:ascii="Cambria" w:hAnsi="Cambria"/>
          <w:color w:val="auto"/>
          <w:sz w:val="20"/>
          <w:szCs w:val="20"/>
          <w:lang w:val="en-US"/>
        </w:rPr>
        <w:t>Tintaya</w:t>
      </w:r>
      <w:proofErr w:type="spellEnd"/>
      <w:r w:rsidRPr="00D652B3">
        <w:rPr>
          <w:rFonts w:ascii="Cambria" w:hAnsi="Cambria"/>
          <w:color w:val="auto"/>
          <w:sz w:val="20"/>
          <w:szCs w:val="20"/>
          <w:lang w:val="en-US"/>
        </w:rPr>
        <w:t xml:space="preserve"> is hereby required within three days of notification to proceed to comply with the final Supreme Court judgment of February 2, 1993.</w:t>
      </w:r>
      <w:r w:rsidRPr="00CD60C7">
        <w:rPr>
          <w:rStyle w:val="Refdenotaalpie"/>
          <w:rFonts w:ascii="Cambria" w:eastAsia="MS Gothic" w:hAnsi="Cambria"/>
          <w:color w:val="auto"/>
          <w:sz w:val="20"/>
          <w:szCs w:val="20"/>
        </w:rPr>
        <w:footnoteReference w:id="46"/>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 xml:space="preserve">On April 7, 1997, at Mr. </w:t>
      </w:r>
      <w:proofErr w:type="spellStart"/>
      <w:r w:rsidRPr="00D652B3">
        <w:rPr>
          <w:rFonts w:ascii="Cambria" w:hAnsi="Cambria"/>
          <w:color w:val="auto"/>
          <w:sz w:val="20"/>
          <w:szCs w:val="20"/>
          <w:lang w:val="en-US"/>
        </w:rPr>
        <w:t>Muelle's</w:t>
      </w:r>
      <w:proofErr w:type="spellEnd"/>
      <w:r w:rsidRPr="00D652B3">
        <w:rPr>
          <w:rFonts w:ascii="Cambria" w:hAnsi="Cambria"/>
          <w:color w:val="auto"/>
          <w:sz w:val="20"/>
          <w:szCs w:val="20"/>
          <w:lang w:val="en-US"/>
        </w:rPr>
        <w:t xml:space="preserve"> behest, the Fifth Civil Court of Lima issued a new resolution, which read as follows:</w:t>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C213F" w:rsidRPr="00CD60C7" w:rsidRDefault="008C213F" w:rsidP="00BC6020">
      <w:pPr>
        <w:pStyle w:val="Textonotaalfinal"/>
        <w:spacing w:before="0" w:beforeAutospacing="0" w:after="0" w:afterAutospacing="0"/>
        <w:ind w:left="720" w:right="720"/>
        <w:jc w:val="both"/>
        <w:rPr>
          <w:rFonts w:ascii="Cambria" w:hAnsi="Cambria"/>
          <w:sz w:val="20"/>
          <w:szCs w:val="20"/>
        </w:rPr>
      </w:pPr>
      <w:r w:rsidRPr="00CD60C7">
        <w:rPr>
          <w:rFonts w:ascii="Cambria" w:hAnsi="Cambria"/>
          <w:sz w:val="20"/>
          <w:szCs w:val="20"/>
        </w:rPr>
        <w:t xml:space="preserve">LET THE SPECIAL MINING CORPORATION TINTAYA S.A. (now BHP </w:t>
      </w:r>
      <w:proofErr w:type="spellStart"/>
      <w:r w:rsidRPr="00CD60C7">
        <w:rPr>
          <w:rFonts w:ascii="Cambria" w:hAnsi="Cambria"/>
          <w:sz w:val="20"/>
          <w:szCs w:val="20"/>
        </w:rPr>
        <w:t>Tintaya</w:t>
      </w:r>
      <w:proofErr w:type="spellEnd"/>
      <w:r w:rsidRPr="00CD60C7">
        <w:rPr>
          <w:rFonts w:ascii="Cambria" w:hAnsi="Cambria"/>
          <w:sz w:val="20"/>
          <w:szCs w:val="20"/>
        </w:rPr>
        <w:t xml:space="preserve"> S.A.) BE HEREBY REQUIRED FOR THE LAST TIME to fully comply within three days with the order handed down in the Supreme Court judgment of February 2, 19[93] on pain of issuance of certified copies for filing criminal suit (...).</w:t>
      </w:r>
      <w:r w:rsidRPr="00CD60C7">
        <w:rPr>
          <w:rStyle w:val="Refdenotaalpie"/>
          <w:rFonts w:ascii="Cambria" w:eastAsia="MS Gothic" w:hAnsi="Cambria"/>
          <w:sz w:val="20"/>
          <w:szCs w:val="20"/>
        </w:rPr>
        <w:footnoteReference w:id="47"/>
      </w:r>
    </w:p>
    <w:p w:rsidR="008C213F" w:rsidRPr="00CD60C7" w:rsidRDefault="008C213F" w:rsidP="00BC6020">
      <w:pPr>
        <w:pStyle w:val="MediumGrid1-Accent21"/>
        <w:ind w:left="0"/>
        <w:rPr>
          <w:rFonts w:ascii="Cambria" w:hAnsi="Cambria"/>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 xml:space="preserve">On August 24, 2000,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notified the Pension Standardization Office (</w:t>
      </w:r>
      <w:proofErr w:type="spellStart"/>
      <w:r w:rsidRPr="00D652B3">
        <w:rPr>
          <w:rFonts w:ascii="Cambria" w:hAnsi="Cambria"/>
          <w:i/>
          <w:color w:val="auto"/>
          <w:sz w:val="20"/>
          <w:szCs w:val="20"/>
          <w:lang w:val="en-US"/>
        </w:rPr>
        <w:t>Oficina</w:t>
      </w:r>
      <w:proofErr w:type="spellEnd"/>
      <w:r w:rsidRPr="00D652B3">
        <w:rPr>
          <w:rFonts w:ascii="Cambria" w:hAnsi="Cambria"/>
          <w:i/>
          <w:color w:val="auto"/>
          <w:sz w:val="20"/>
          <w:szCs w:val="20"/>
          <w:lang w:val="en-US"/>
        </w:rPr>
        <w:t xml:space="preserve"> de </w:t>
      </w:r>
      <w:proofErr w:type="spellStart"/>
      <w:r w:rsidRPr="00D652B3">
        <w:rPr>
          <w:rFonts w:ascii="Cambria" w:hAnsi="Cambria"/>
          <w:i/>
          <w:color w:val="auto"/>
          <w:sz w:val="20"/>
          <w:szCs w:val="20"/>
          <w:lang w:val="en-US"/>
        </w:rPr>
        <w:t>Normalización</w:t>
      </w:r>
      <w:proofErr w:type="spellEnd"/>
      <w:r w:rsidRPr="00D652B3">
        <w:rPr>
          <w:rFonts w:ascii="Cambria" w:hAnsi="Cambria"/>
          <w:i/>
          <w:color w:val="auto"/>
          <w:sz w:val="20"/>
          <w:szCs w:val="20"/>
          <w:lang w:val="en-US"/>
        </w:rPr>
        <w:t xml:space="preserve"> </w:t>
      </w:r>
      <w:proofErr w:type="spellStart"/>
      <w:r w:rsidRPr="00D652B3">
        <w:rPr>
          <w:rFonts w:ascii="Cambria" w:hAnsi="Cambria"/>
          <w:i/>
          <w:color w:val="auto"/>
          <w:sz w:val="20"/>
          <w:szCs w:val="20"/>
          <w:lang w:val="en-US"/>
        </w:rPr>
        <w:t>Previsional</w:t>
      </w:r>
      <w:proofErr w:type="spellEnd"/>
      <w:r w:rsidRPr="00D652B3">
        <w:rPr>
          <w:rFonts w:ascii="Cambria" w:hAnsi="Cambria"/>
          <w:color w:val="auto"/>
          <w:sz w:val="20"/>
          <w:szCs w:val="20"/>
          <w:lang w:val="en-US"/>
        </w:rPr>
        <w:t xml:space="preserve"> -ONP) that as of 1999 the company had begun paying him a monthly sum of 800 new soles.</w:t>
      </w:r>
      <w:r w:rsidRPr="00CD60C7">
        <w:rPr>
          <w:rStyle w:val="Refdenotaalpie"/>
          <w:rFonts w:ascii="Cambria" w:eastAsia="MS Gothic" w:hAnsi="Cambria"/>
          <w:color w:val="auto"/>
          <w:sz w:val="20"/>
          <w:szCs w:val="20"/>
        </w:rPr>
        <w:footnoteReference w:id="48"/>
      </w:r>
      <w:r w:rsidRPr="00D652B3">
        <w:rPr>
          <w:rFonts w:ascii="Cambria" w:hAnsi="Cambria"/>
          <w:color w:val="auto"/>
          <w:sz w:val="20"/>
          <w:szCs w:val="20"/>
          <w:lang w:val="en-US"/>
        </w:rPr>
        <w:t xml:space="preserve"> He maintained that the company had not "performed the balanced-out and retroactive calculation </w:t>
      </w:r>
      <w:r w:rsidRPr="00D652B3">
        <w:rPr>
          <w:rFonts w:ascii="Cambria" w:hAnsi="Cambria"/>
          <w:color w:val="auto"/>
          <w:sz w:val="20"/>
          <w:szCs w:val="20"/>
          <w:lang w:val="en-US"/>
        </w:rPr>
        <w:lastRenderedPageBreak/>
        <w:t>of the pension he was legally entitled to."</w:t>
      </w:r>
      <w:r w:rsidRPr="00CD60C7">
        <w:rPr>
          <w:rStyle w:val="Refdenotaalpie"/>
          <w:rFonts w:ascii="Cambria" w:eastAsia="MS Gothic" w:hAnsi="Cambria"/>
          <w:color w:val="auto"/>
          <w:sz w:val="20"/>
          <w:szCs w:val="20"/>
        </w:rPr>
        <w:footnoteReference w:id="49"/>
      </w:r>
      <w:r w:rsidRPr="00D652B3">
        <w:rPr>
          <w:rFonts w:ascii="Cambria" w:hAnsi="Cambria"/>
          <w:color w:val="auto"/>
          <w:sz w:val="20"/>
          <w:szCs w:val="20"/>
          <w:lang w:val="en-US"/>
        </w:rPr>
        <w:t xml:space="preserve"> The ONP answered, stating it was "not competent to pronounce on his request and that [he] should (...) file his complaint with the company paying his pension."</w:t>
      </w:r>
      <w:r w:rsidRPr="00CD60C7">
        <w:rPr>
          <w:rStyle w:val="Refdenotaalpie"/>
          <w:rFonts w:ascii="Cambria" w:eastAsia="MS Gothic" w:hAnsi="Cambria"/>
          <w:color w:val="auto"/>
          <w:sz w:val="20"/>
          <w:szCs w:val="20"/>
        </w:rPr>
        <w:footnoteReference w:id="50"/>
      </w:r>
    </w:p>
    <w:p w:rsidR="008C213F" w:rsidRPr="00CD60C7" w:rsidRDefault="008C213F" w:rsidP="00BC6020">
      <w:pPr>
        <w:pStyle w:val="MediumGrid1-Accent21"/>
        <w:rPr>
          <w:rFonts w:ascii="Cambria" w:hAnsi="Cambria"/>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The State pointed out that on January 5 and March 23, 2009, the 38th Civil Court of Lima, which had become competent to enforce the February 1993 judgment, issued two resolutions.</w:t>
      </w:r>
      <w:r w:rsidRPr="00CD60C7">
        <w:rPr>
          <w:rStyle w:val="Refdenotaalpie"/>
          <w:rFonts w:ascii="Cambria" w:eastAsia="MS Gothic" w:hAnsi="Cambria"/>
          <w:color w:val="auto"/>
          <w:sz w:val="20"/>
          <w:szCs w:val="20"/>
        </w:rPr>
        <w:footnoteReference w:id="51"/>
      </w:r>
      <w:r w:rsidRPr="00D652B3">
        <w:rPr>
          <w:rFonts w:ascii="Cambria" w:hAnsi="Cambria"/>
          <w:color w:val="auto"/>
          <w:sz w:val="20"/>
          <w:szCs w:val="20"/>
          <w:lang w:val="en-US"/>
        </w:rPr>
        <w:t xml:space="preserve"> In those resolutions, the Court ordered the company to comply with the aforementioned judgment within three days.</w:t>
      </w:r>
      <w:r w:rsidRPr="00CD60C7">
        <w:rPr>
          <w:rStyle w:val="Refdenotaalpie"/>
          <w:rFonts w:ascii="Cambria" w:eastAsia="MS Gothic" w:hAnsi="Cambria"/>
          <w:color w:val="auto"/>
          <w:sz w:val="20"/>
          <w:szCs w:val="20"/>
        </w:rPr>
        <w:footnoteReference w:id="52"/>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C213F" w:rsidRPr="00CD60C7"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D652B3">
        <w:rPr>
          <w:rFonts w:ascii="Cambria" w:hAnsi="Cambria"/>
          <w:color w:val="auto"/>
          <w:sz w:val="20"/>
          <w:szCs w:val="20"/>
          <w:lang w:val="en-US"/>
        </w:rPr>
        <w:t>On April 26, 2010, the Thirty-Eighth Civil Court of Lima issued a new resolution.</w:t>
      </w:r>
      <w:r w:rsidRPr="00CD60C7">
        <w:rPr>
          <w:rStyle w:val="Refdenotaalpie"/>
          <w:rFonts w:ascii="Cambria" w:eastAsia="MS Gothic" w:hAnsi="Cambria"/>
          <w:color w:val="auto"/>
          <w:sz w:val="20"/>
          <w:szCs w:val="20"/>
        </w:rPr>
        <w:footnoteReference w:id="53"/>
      </w:r>
      <w:r w:rsidRPr="00D652B3">
        <w:rPr>
          <w:rFonts w:ascii="Cambria" w:hAnsi="Cambria"/>
          <w:color w:val="auto"/>
          <w:sz w:val="20"/>
          <w:szCs w:val="20"/>
          <w:lang w:val="en-US"/>
        </w:rPr>
        <w:t xml:space="preserve"> </w:t>
      </w:r>
      <w:proofErr w:type="spellStart"/>
      <w:r w:rsidRPr="00CD60C7">
        <w:rPr>
          <w:rFonts w:ascii="Cambria" w:hAnsi="Cambria"/>
          <w:color w:val="auto"/>
          <w:sz w:val="20"/>
          <w:szCs w:val="20"/>
        </w:rPr>
        <w:t>The</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Court</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stated</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the</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following</w:t>
      </w:r>
      <w:proofErr w:type="spellEnd"/>
      <w:r w:rsidRPr="00CD60C7">
        <w:rPr>
          <w:rFonts w:ascii="Cambria" w:hAnsi="Cambria"/>
          <w:color w:val="auto"/>
          <w:sz w:val="20"/>
          <w:szCs w:val="20"/>
        </w:rPr>
        <w:t>:</w:t>
      </w:r>
    </w:p>
    <w:p w:rsidR="008C213F" w:rsidRPr="00CD60C7" w:rsidRDefault="008C213F" w:rsidP="00BC6020">
      <w:pPr>
        <w:pStyle w:val="MediumGrid1-Accent21"/>
        <w:rPr>
          <w:rFonts w:ascii="Cambria" w:hAnsi="Cambria"/>
          <w:sz w:val="20"/>
          <w:szCs w:val="20"/>
        </w:rPr>
      </w:pP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D652B3">
        <w:rPr>
          <w:rFonts w:ascii="Cambria" w:hAnsi="Cambria"/>
          <w:color w:val="auto"/>
          <w:sz w:val="20"/>
          <w:szCs w:val="20"/>
          <w:lang w:val="en-US"/>
        </w:rPr>
        <w:t>(...) despite the reiterated instructions to the defendant company to comply with the provisions of the Supreme Court judgment, said company is not complying (...).</w:t>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D652B3">
        <w:rPr>
          <w:rFonts w:ascii="Cambria" w:hAnsi="Cambria"/>
          <w:color w:val="auto"/>
          <w:sz w:val="20"/>
          <w:szCs w:val="20"/>
          <w:lang w:val="en-US"/>
        </w:rPr>
        <w:t xml:space="preserve">Subsequently, in 2007, the file was case was reopened at the request of the plaintiff, who also asked this court to obtain compliance with the Supreme Court judgment. The defendant party was notified of this request and stated, in its response, that after the Supreme Court ruling had been issued, privatization of the </w:t>
      </w:r>
      <w:proofErr w:type="spellStart"/>
      <w:r w:rsidRPr="00D652B3">
        <w:rPr>
          <w:rFonts w:ascii="Cambria" w:hAnsi="Cambria"/>
          <w:color w:val="auto"/>
          <w:sz w:val="20"/>
          <w:szCs w:val="20"/>
          <w:lang w:val="en-US"/>
        </w:rPr>
        <w:t>Tintaya</w:t>
      </w:r>
      <w:proofErr w:type="spellEnd"/>
      <w:r w:rsidRPr="00D652B3">
        <w:rPr>
          <w:rFonts w:ascii="Cambria" w:hAnsi="Cambria"/>
          <w:color w:val="auto"/>
          <w:sz w:val="20"/>
          <w:szCs w:val="20"/>
          <w:lang w:val="en-US"/>
        </w:rPr>
        <w:t xml:space="preserve"> mining company had begun, so that (...) the party required to make the payment pursuant to the Supreme Court judgment had long since ceased to exist (...).</w:t>
      </w:r>
      <w:r w:rsidRPr="00CD60C7">
        <w:rPr>
          <w:rStyle w:val="Refdenotaalpie"/>
          <w:rFonts w:ascii="Cambria" w:eastAsia="MS Gothic" w:hAnsi="Cambria"/>
          <w:color w:val="auto"/>
          <w:sz w:val="20"/>
          <w:szCs w:val="20"/>
        </w:rPr>
        <w:footnoteReference w:id="54"/>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In light of the above, the Court concluded as follows:</w:t>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D652B3">
        <w:rPr>
          <w:rFonts w:ascii="Cambria" w:hAnsi="Cambria"/>
          <w:color w:val="auto"/>
          <w:sz w:val="20"/>
          <w:szCs w:val="20"/>
          <w:lang w:val="en-US"/>
        </w:rPr>
        <w:t>(...) the plaintiff's claim before this court has become no longer viable (...), given that the current owner is a different private enterprise, as indicated above (...)</w:t>
      </w:r>
      <w:proofErr w:type="gramStart"/>
      <w:r w:rsidRPr="00D652B3">
        <w:rPr>
          <w:rFonts w:ascii="Cambria" w:hAnsi="Cambria"/>
          <w:color w:val="auto"/>
          <w:sz w:val="20"/>
          <w:szCs w:val="20"/>
          <w:lang w:val="en-US"/>
        </w:rPr>
        <w:t>;  the</w:t>
      </w:r>
      <w:proofErr w:type="gramEnd"/>
      <w:r w:rsidRPr="00D652B3">
        <w:rPr>
          <w:rFonts w:ascii="Cambria" w:hAnsi="Cambria"/>
          <w:color w:val="auto"/>
          <w:sz w:val="20"/>
          <w:szCs w:val="20"/>
          <w:lang w:val="en-US"/>
        </w:rPr>
        <w:t xml:space="preserve"> appellant retains his right to have appropriate legal </w:t>
      </w:r>
      <w:proofErr w:type="spellStart"/>
      <w:r w:rsidRPr="00D652B3">
        <w:rPr>
          <w:rFonts w:ascii="Cambria" w:hAnsi="Cambria"/>
          <w:color w:val="auto"/>
          <w:sz w:val="20"/>
          <w:szCs w:val="20"/>
          <w:lang w:val="en-US"/>
        </w:rPr>
        <w:t>recource</w:t>
      </w:r>
      <w:proofErr w:type="spellEnd"/>
      <w:r w:rsidRPr="00D652B3">
        <w:rPr>
          <w:rFonts w:ascii="Cambria" w:hAnsi="Cambria"/>
          <w:color w:val="auto"/>
          <w:sz w:val="20"/>
          <w:szCs w:val="20"/>
          <w:lang w:val="en-US"/>
        </w:rPr>
        <w:t xml:space="preserve"> to assert his claim resolved in his favor by the 1993 Supreme Court judgment.</w:t>
      </w:r>
      <w:r w:rsidRPr="00CD60C7">
        <w:rPr>
          <w:rStyle w:val="Refdenotaalpie"/>
          <w:rFonts w:ascii="Cambria" w:eastAsia="MS Gothic" w:hAnsi="Cambria"/>
          <w:color w:val="auto"/>
          <w:sz w:val="20"/>
          <w:szCs w:val="20"/>
        </w:rPr>
        <w:footnoteReference w:id="55"/>
      </w:r>
    </w:p>
    <w:p w:rsidR="008C213F" w:rsidRPr="00CD60C7" w:rsidRDefault="008C213F" w:rsidP="00BC6020">
      <w:pPr>
        <w:pStyle w:val="MediumGrid1-Accent21"/>
        <w:rPr>
          <w:rFonts w:ascii="Cambria" w:hAnsi="Cambria"/>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 xml:space="preserve">On May 17, 2010,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filed an appeal against the resolution of the 38th Civil Court of Lima.</w:t>
      </w:r>
      <w:r w:rsidRPr="00CD60C7">
        <w:rPr>
          <w:rStyle w:val="Refdenotaalpie"/>
          <w:rFonts w:ascii="Cambria" w:eastAsia="MS Gothic" w:hAnsi="Cambria"/>
          <w:color w:val="auto"/>
          <w:sz w:val="20"/>
          <w:szCs w:val="20"/>
        </w:rPr>
        <w:footnoteReference w:id="56"/>
      </w:r>
      <w:r w:rsidRPr="00D652B3">
        <w:rPr>
          <w:rFonts w:ascii="Cambria" w:hAnsi="Cambria"/>
          <w:color w:val="auto"/>
          <w:sz w:val="20"/>
          <w:szCs w:val="20"/>
          <w:lang w:val="en-US"/>
        </w:rPr>
        <w:t xml:space="preserve"> Two days later said Court forwarded the appeal to the Civil Division.</w:t>
      </w:r>
      <w:r w:rsidRPr="00CD60C7">
        <w:rPr>
          <w:rStyle w:val="Refdenotaalpie"/>
          <w:rFonts w:ascii="Cambria" w:eastAsia="MS Gothic" w:hAnsi="Cambria"/>
          <w:color w:val="auto"/>
          <w:sz w:val="20"/>
          <w:szCs w:val="20"/>
        </w:rPr>
        <w:footnoteReference w:id="57"/>
      </w:r>
      <w:r w:rsidRPr="00D652B3">
        <w:rPr>
          <w:rFonts w:ascii="Cambria" w:hAnsi="Cambria"/>
          <w:color w:val="auto"/>
          <w:sz w:val="20"/>
          <w:szCs w:val="20"/>
          <w:lang w:val="en-US"/>
        </w:rPr>
        <w:t xml:space="preserve"> The petitioner reported that the judge presiding over the 38th Civil Court of Lima was replaced, as a result of which his appeal </w:t>
      </w:r>
      <w:proofErr w:type="gramStart"/>
      <w:r w:rsidRPr="00D652B3">
        <w:rPr>
          <w:rFonts w:ascii="Cambria" w:hAnsi="Cambria"/>
          <w:color w:val="auto"/>
          <w:sz w:val="20"/>
          <w:szCs w:val="20"/>
          <w:lang w:val="en-US"/>
        </w:rPr>
        <w:t>was  only</w:t>
      </w:r>
      <w:proofErr w:type="gramEnd"/>
      <w:r w:rsidRPr="00D652B3">
        <w:rPr>
          <w:rFonts w:ascii="Cambria" w:hAnsi="Cambria"/>
          <w:color w:val="auto"/>
          <w:sz w:val="20"/>
          <w:szCs w:val="20"/>
          <w:lang w:val="en-US"/>
        </w:rPr>
        <w:t xml:space="preserve"> submitted for processing to the Second Civil Division of the Superior Court of Lima in October 2010.</w:t>
      </w:r>
      <w:r w:rsidRPr="00CD60C7">
        <w:rPr>
          <w:rStyle w:val="Refdenotaalpie"/>
          <w:rFonts w:ascii="Cambria" w:eastAsia="MS Gothic" w:hAnsi="Cambria"/>
          <w:color w:val="auto"/>
          <w:sz w:val="20"/>
          <w:szCs w:val="20"/>
        </w:rPr>
        <w:footnoteReference w:id="58"/>
      </w:r>
      <w:r w:rsidRPr="00D652B3">
        <w:rPr>
          <w:rFonts w:ascii="Cambria" w:hAnsi="Cambria"/>
          <w:color w:val="auto"/>
          <w:sz w:val="20"/>
          <w:szCs w:val="20"/>
          <w:lang w:val="en-US"/>
        </w:rPr>
        <w:t xml:space="preserve"> The petitioner added that that Division recused itself from hearing the appeal "because the case was supposedly old" and returned the file to the 28th Civil Court of Lima.</w:t>
      </w:r>
      <w:r w:rsidRPr="00CD60C7">
        <w:rPr>
          <w:rStyle w:val="Refdenotaalpie"/>
          <w:rFonts w:ascii="Cambria" w:eastAsia="MS Gothic" w:hAnsi="Cambria"/>
          <w:color w:val="auto"/>
          <w:sz w:val="20"/>
          <w:szCs w:val="20"/>
        </w:rPr>
        <w:footnoteReference w:id="59"/>
      </w:r>
    </w:p>
    <w:p w:rsidR="008C213F" w:rsidRPr="00CD60C7" w:rsidRDefault="008C213F" w:rsidP="00BC6020">
      <w:pPr>
        <w:pStyle w:val="MediumGrid1-Accent21"/>
        <w:rPr>
          <w:rFonts w:ascii="Cambria" w:hAnsi="Cambria"/>
          <w:sz w:val="20"/>
          <w:szCs w:val="20"/>
        </w:rPr>
      </w:pPr>
    </w:p>
    <w:p w:rsidR="008C213F" w:rsidRPr="00CD60C7"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D652B3">
        <w:rPr>
          <w:rFonts w:ascii="Cambria" w:hAnsi="Cambria"/>
          <w:color w:val="auto"/>
          <w:sz w:val="20"/>
          <w:szCs w:val="20"/>
          <w:lang w:val="en-US"/>
        </w:rPr>
        <w:t>On April 13, 2011, the Second Civil Division of the Superior Court of Lima annulled the resolution of the 38th Civil Court of Lima of April 2010.</w:t>
      </w:r>
      <w:r w:rsidRPr="00CD60C7">
        <w:rPr>
          <w:rStyle w:val="Refdenotaalpie"/>
          <w:rFonts w:ascii="Cambria" w:eastAsia="MS Gothic" w:hAnsi="Cambria"/>
          <w:color w:val="auto"/>
          <w:sz w:val="20"/>
          <w:szCs w:val="20"/>
        </w:rPr>
        <w:footnoteReference w:id="60"/>
      </w:r>
      <w:r w:rsidRPr="00D652B3">
        <w:rPr>
          <w:rFonts w:ascii="Cambria" w:hAnsi="Cambria"/>
          <w:color w:val="auto"/>
          <w:sz w:val="20"/>
          <w:szCs w:val="20"/>
          <w:lang w:val="en-US"/>
        </w:rPr>
        <w:t xml:space="preserve"> </w:t>
      </w:r>
      <w:proofErr w:type="spellStart"/>
      <w:r w:rsidRPr="00CD60C7">
        <w:rPr>
          <w:rFonts w:ascii="Cambria" w:hAnsi="Cambria"/>
          <w:color w:val="auto"/>
          <w:sz w:val="20"/>
          <w:szCs w:val="20"/>
        </w:rPr>
        <w:t>The</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Division</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stated</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the</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following</w:t>
      </w:r>
      <w:proofErr w:type="spellEnd"/>
      <w:r w:rsidRPr="00CD60C7">
        <w:rPr>
          <w:rFonts w:ascii="Cambria" w:hAnsi="Cambria"/>
          <w:color w:val="auto"/>
          <w:sz w:val="20"/>
          <w:szCs w:val="20"/>
        </w:rPr>
        <w:t>:</w:t>
      </w:r>
    </w:p>
    <w:p w:rsidR="008C213F" w:rsidRPr="00CD60C7" w:rsidRDefault="008C213F" w:rsidP="00BC6020">
      <w:pPr>
        <w:pStyle w:val="MediumGrid1-Accent21"/>
        <w:rPr>
          <w:rFonts w:ascii="Cambria" w:hAnsi="Cambria"/>
          <w:sz w:val="20"/>
          <w:szCs w:val="20"/>
        </w:rPr>
      </w:pP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D652B3">
        <w:rPr>
          <w:rFonts w:ascii="Cambria" w:hAnsi="Cambria"/>
          <w:color w:val="auto"/>
          <w:sz w:val="20"/>
          <w:szCs w:val="20"/>
          <w:lang w:val="en-US"/>
        </w:rPr>
        <w:lastRenderedPageBreak/>
        <w:t xml:space="preserve">(...) the (court) pronounces on the request filed by the plaintiff (...) assuming that the statements by the defendant required to pay the pensions are completely true; and (...) without first determining whether the Magma Copper company did or did not take over the assets and liabilities of the initial defendant party, </w:t>
      </w:r>
      <w:proofErr w:type="spellStart"/>
      <w:r w:rsidRPr="00D652B3">
        <w:rPr>
          <w:rFonts w:ascii="Cambria" w:hAnsi="Cambria"/>
          <w:color w:val="auto"/>
          <w:sz w:val="20"/>
          <w:szCs w:val="20"/>
          <w:lang w:val="en-US"/>
        </w:rPr>
        <w:t>Empresa</w:t>
      </w:r>
      <w:proofErr w:type="spellEnd"/>
      <w:r w:rsidRPr="00D652B3">
        <w:rPr>
          <w:rFonts w:ascii="Cambria" w:hAnsi="Cambria"/>
          <w:color w:val="auto"/>
          <w:sz w:val="20"/>
          <w:szCs w:val="20"/>
          <w:lang w:val="en-US"/>
        </w:rPr>
        <w:t xml:space="preserve"> </w:t>
      </w:r>
      <w:proofErr w:type="spellStart"/>
      <w:r w:rsidRPr="00D652B3">
        <w:rPr>
          <w:rFonts w:ascii="Cambria" w:hAnsi="Cambria"/>
          <w:color w:val="auto"/>
          <w:sz w:val="20"/>
          <w:szCs w:val="20"/>
          <w:lang w:val="en-US"/>
        </w:rPr>
        <w:t>Minera</w:t>
      </w:r>
      <w:proofErr w:type="spellEnd"/>
      <w:r w:rsidRPr="00D652B3">
        <w:rPr>
          <w:rFonts w:ascii="Cambria" w:hAnsi="Cambria"/>
          <w:color w:val="auto"/>
          <w:sz w:val="20"/>
          <w:szCs w:val="20"/>
          <w:lang w:val="en-US"/>
        </w:rPr>
        <w:t xml:space="preserve"> Especial </w:t>
      </w:r>
      <w:proofErr w:type="spellStart"/>
      <w:r w:rsidRPr="00D652B3">
        <w:rPr>
          <w:rFonts w:ascii="Cambria" w:hAnsi="Cambria"/>
          <w:color w:val="auto"/>
          <w:sz w:val="20"/>
          <w:szCs w:val="20"/>
          <w:lang w:val="en-US"/>
        </w:rPr>
        <w:t>Tintaya</w:t>
      </w:r>
      <w:proofErr w:type="spellEnd"/>
      <w:r w:rsidRPr="00D652B3">
        <w:rPr>
          <w:rFonts w:ascii="Cambria" w:hAnsi="Cambria"/>
          <w:color w:val="auto"/>
          <w:sz w:val="20"/>
          <w:szCs w:val="20"/>
          <w:lang w:val="en-US"/>
        </w:rPr>
        <w:t>, during the privatization process; without taking into account that if it had taken on said assets and liabilities, (...) it transfers said assets and liabilities to the buyers.</w:t>
      </w:r>
      <w:r w:rsidRPr="00CD60C7">
        <w:rPr>
          <w:rStyle w:val="Refdenotaalpie"/>
          <w:rFonts w:ascii="Cambria" w:eastAsia="MS Gothic" w:hAnsi="Cambria"/>
          <w:color w:val="auto"/>
          <w:sz w:val="20"/>
          <w:szCs w:val="20"/>
        </w:rPr>
        <w:footnoteReference w:id="61"/>
      </w:r>
    </w:p>
    <w:p w:rsidR="008C213F" w:rsidRPr="00CD60C7" w:rsidRDefault="008C213F" w:rsidP="00BC6020">
      <w:pPr>
        <w:pStyle w:val="MediumGrid1-Accent21"/>
        <w:rPr>
          <w:rFonts w:ascii="Cambria" w:hAnsi="Cambria"/>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The Division also maintained that the Court issued its resolution "</w:t>
      </w:r>
      <w:proofErr w:type="gramStart"/>
      <w:r w:rsidRPr="00D652B3">
        <w:rPr>
          <w:rFonts w:ascii="Cambria" w:hAnsi="Cambria"/>
          <w:color w:val="auto"/>
          <w:sz w:val="20"/>
          <w:szCs w:val="20"/>
          <w:lang w:val="en-US"/>
        </w:rPr>
        <w:t>without  specifying</w:t>
      </w:r>
      <w:proofErr w:type="gramEnd"/>
      <w:r w:rsidRPr="00D652B3">
        <w:rPr>
          <w:rFonts w:ascii="Cambria" w:hAnsi="Cambria"/>
          <w:color w:val="auto"/>
          <w:sz w:val="20"/>
          <w:szCs w:val="20"/>
          <w:lang w:val="en-US"/>
        </w:rPr>
        <w:t xml:space="preserve"> the facts and corresponding legal provisions supporting that determination." </w:t>
      </w:r>
      <w:r w:rsidRPr="00CD60C7">
        <w:rPr>
          <w:rStyle w:val="Refdenotaalpie"/>
          <w:rFonts w:ascii="Cambria" w:eastAsia="MS Gothic" w:hAnsi="Cambria"/>
          <w:color w:val="auto"/>
          <w:sz w:val="20"/>
          <w:szCs w:val="20"/>
        </w:rPr>
        <w:footnoteReference w:id="62"/>
      </w:r>
      <w:r w:rsidRPr="00D652B3">
        <w:rPr>
          <w:rFonts w:ascii="Cambria" w:hAnsi="Cambria"/>
          <w:color w:val="auto"/>
          <w:sz w:val="20"/>
          <w:szCs w:val="20"/>
          <w:lang w:val="en-US"/>
        </w:rPr>
        <w:t xml:space="preserve"> The Division added that the Court had violated the right to due substantiation </w:t>
      </w:r>
      <w:proofErr w:type="gramStart"/>
      <w:r w:rsidRPr="00D652B3">
        <w:rPr>
          <w:rFonts w:ascii="Cambria" w:hAnsi="Cambria"/>
          <w:color w:val="auto"/>
          <w:sz w:val="20"/>
          <w:szCs w:val="20"/>
          <w:lang w:val="en-US"/>
        </w:rPr>
        <w:t>of  judicial</w:t>
      </w:r>
      <w:proofErr w:type="gramEnd"/>
      <w:r w:rsidRPr="00D652B3">
        <w:rPr>
          <w:rFonts w:ascii="Cambria" w:hAnsi="Cambria"/>
          <w:color w:val="auto"/>
          <w:sz w:val="20"/>
          <w:szCs w:val="20"/>
          <w:lang w:val="en-US"/>
        </w:rPr>
        <w:t xml:space="preserve"> resolutions and stressed that Mr. </w:t>
      </w:r>
      <w:proofErr w:type="spellStart"/>
      <w:r w:rsidRPr="00D652B3">
        <w:rPr>
          <w:rFonts w:ascii="Cambria" w:hAnsi="Cambria"/>
          <w:color w:val="auto"/>
          <w:sz w:val="20"/>
          <w:szCs w:val="20"/>
          <w:lang w:val="en-US"/>
        </w:rPr>
        <w:t>Muelle's</w:t>
      </w:r>
      <w:proofErr w:type="spellEnd"/>
      <w:r w:rsidRPr="00D652B3">
        <w:rPr>
          <w:rFonts w:ascii="Cambria" w:hAnsi="Cambria"/>
          <w:color w:val="auto"/>
          <w:sz w:val="20"/>
          <w:szCs w:val="20"/>
          <w:lang w:val="en-US"/>
        </w:rPr>
        <w:t xml:space="preserve"> retirement pension was at the judgment enforcement stage.</w:t>
      </w:r>
      <w:r w:rsidRPr="00CD60C7">
        <w:rPr>
          <w:rStyle w:val="Refdenotaalpie"/>
          <w:rFonts w:ascii="Cambria" w:eastAsia="MS Gothic" w:hAnsi="Cambria"/>
          <w:color w:val="auto"/>
          <w:sz w:val="20"/>
          <w:szCs w:val="20"/>
        </w:rPr>
        <w:footnoteReference w:id="63"/>
      </w:r>
    </w:p>
    <w:p w:rsidR="008C213F" w:rsidRPr="00CD60C7" w:rsidRDefault="008C213F" w:rsidP="00BC6020">
      <w:pPr>
        <w:pStyle w:val="MediumGrid1-Accent21"/>
        <w:ind w:left="0"/>
        <w:rPr>
          <w:rFonts w:ascii="Cambria" w:hAnsi="Cambria"/>
          <w:sz w:val="20"/>
          <w:szCs w:val="20"/>
        </w:rPr>
      </w:pPr>
    </w:p>
    <w:p w:rsidR="008C213F" w:rsidRPr="00CD60C7"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D652B3">
        <w:rPr>
          <w:rFonts w:ascii="Cambria" w:hAnsi="Cambria"/>
          <w:color w:val="auto"/>
          <w:sz w:val="20"/>
          <w:szCs w:val="20"/>
          <w:lang w:val="en-US"/>
        </w:rPr>
        <w:t>The petitioner stated that on May 17, 2012 the 33rd Civil Court of Lima issued a resolution requiring the company to comply with the order given in the Supreme Court judgment of February 1993.</w:t>
      </w:r>
      <w:r w:rsidRPr="00CD60C7">
        <w:rPr>
          <w:rStyle w:val="Refdenotaalpie"/>
          <w:rFonts w:ascii="Cambria" w:eastAsia="MS Gothic" w:hAnsi="Cambria"/>
          <w:color w:val="auto"/>
          <w:sz w:val="20"/>
          <w:szCs w:val="20"/>
        </w:rPr>
        <w:footnoteReference w:id="64"/>
      </w:r>
      <w:r w:rsidRPr="00D652B3">
        <w:rPr>
          <w:rFonts w:ascii="Cambria" w:hAnsi="Cambria"/>
          <w:color w:val="auto"/>
          <w:sz w:val="20"/>
          <w:szCs w:val="20"/>
          <w:lang w:val="en-US"/>
        </w:rPr>
        <w:t xml:space="preserve"> </w:t>
      </w:r>
      <w:proofErr w:type="spellStart"/>
      <w:r w:rsidRPr="00CD60C7">
        <w:rPr>
          <w:rFonts w:ascii="Cambria" w:hAnsi="Cambria"/>
          <w:color w:val="auto"/>
          <w:sz w:val="20"/>
          <w:szCs w:val="20"/>
        </w:rPr>
        <w:t>The</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company</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filed</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an</w:t>
      </w:r>
      <w:proofErr w:type="spellEnd"/>
      <w:r w:rsidRPr="00CD60C7">
        <w:rPr>
          <w:rFonts w:ascii="Cambria" w:hAnsi="Cambria"/>
          <w:color w:val="auto"/>
          <w:sz w:val="20"/>
          <w:szCs w:val="20"/>
        </w:rPr>
        <w:t xml:space="preserve"> appeal </w:t>
      </w:r>
      <w:proofErr w:type="spellStart"/>
      <w:r w:rsidRPr="00CD60C7">
        <w:rPr>
          <w:rFonts w:ascii="Cambria" w:hAnsi="Cambria"/>
          <w:color w:val="auto"/>
          <w:sz w:val="20"/>
          <w:szCs w:val="20"/>
        </w:rPr>
        <w:t>against</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said</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resolution</w:t>
      </w:r>
      <w:proofErr w:type="spellEnd"/>
      <w:r w:rsidRPr="00CD60C7">
        <w:rPr>
          <w:rFonts w:ascii="Cambria" w:hAnsi="Cambria"/>
          <w:color w:val="auto"/>
          <w:sz w:val="20"/>
          <w:szCs w:val="20"/>
        </w:rPr>
        <w:t>.</w:t>
      </w:r>
      <w:r w:rsidRPr="00CD60C7">
        <w:rPr>
          <w:rStyle w:val="Refdenotaalpie"/>
          <w:rFonts w:ascii="Cambria" w:eastAsia="MS Gothic" w:hAnsi="Cambria"/>
          <w:color w:val="auto"/>
          <w:sz w:val="20"/>
          <w:szCs w:val="20"/>
        </w:rPr>
        <w:footnoteReference w:id="65"/>
      </w:r>
      <w:r w:rsidRPr="00CD60C7">
        <w:rPr>
          <w:rFonts w:ascii="Cambria" w:hAnsi="Cambria"/>
          <w:color w:val="auto"/>
          <w:sz w:val="20"/>
          <w:szCs w:val="20"/>
        </w:rPr>
        <w:t xml:space="preserve"> </w:t>
      </w:r>
    </w:p>
    <w:p w:rsidR="008C213F" w:rsidRPr="00CD60C7" w:rsidRDefault="008C213F" w:rsidP="00BC6020">
      <w:pPr>
        <w:pStyle w:val="MediumGrid1-Accent21"/>
        <w:rPr>
          <w:rFonts w:ascii="Cambria" w:hAnsi="Cambria"/>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On October 30, 2012, the 33rd Civil Court of Lima resolved to suspend enforcement of judgment pending a decision on the appeal filed by the company.</w:t>
      </w:r>
      <w:r w:rsidRPr="00CD60C7">
        <w:rPr>
          <w:rStyle w:val="Refdenotaalpie"/>
          <w:rFonts w:ascii="Cambria" w:eastAsia="MS Gothic" w:hAnsi="Cambria"/>
          <w:color w:val="auto"/>
          <w:sz w:val="20"/>
          <w:szCs w:val="20"/>
        </w:rPr>
        <w:footnoteReference w:id="66"/>
      </w:r>
      <w:r w:rsidRPr="00D652B3">
        <w:rPr>
          <w:rFonts w:ascii="Cambria" w:hAnsi="Cambria"/>
          <w:color w:val="auto"/>
          <w:sz w:val="20"/>
          <w:szCs w:val="20"/>
          <w:lang w:val="en-US"/>
        </w:rPr>
        <w:t xml:space="preserve"> On November 20, 2012,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appealed against that resolution with respect to its suspension of the judgment enforcement process.</w:t>
      </w:r>
      <w:r w:rsidRPr="00CD60C7">
        <w:rPr>
          <w:rStyle w:val="Refdenotaalpie"/>
          <w:rFonts w:ascii="Cambria" w:eastAsia="MS Gothic" w:hAnsi="Cambria"/>
          <w:color w:val="auto"/>
          <w:sz w:val="20"/>
          <w:szCs w:val="20"/>
        </w:rPr>
        <w:footnoteReference w:id="67"/>
      </w:r>
      <w:r w:rsidRPr="00D652B3">
        <w:rPr>
          <w:rFonts w:ascii="Cambria" w:hAnsi="Cambria"/>
          <w:color w:val="auto"/>
          <w:sz w:val="20"/>
          <w:szCs w:val="20"/>
          <w:lang w:val="en-US"/>
        </w:rPr>
        <w:t xml:space="preserve">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argued that said decision impaired the res </w:t>
      </w:r>
      <w:proofErr w:type="spellStart"/>
      <w:r w:rsidRPr="00D652B3">
        <w:rPr>
          <w:rFonts w:ascii="Cambria" w:hAnsi="Cambria"/>
          <w:color w:val="auto"/>
          <w:sz w:val="20"/>
          <w:szCs w:val="20"/>
          <w:lang w:val="en-US"/>
        </w:rPr>
        <w:t>adjudicata</w:t>
      </w:r>
      <w:proofErr w:type="spellEnd"/>
      <w:r w:rsidRPr="00D652B3">
        <w:rPr>
          <w:rFonts w:ascii="Cambria" w:hAnsi="Cambria"/>
          <w:color w:val="auto"/>
          <w:sz w:val="20"/>
          <w:szCs w:val="20"/>
          <w:lang w:val="en-US"/>
        </w:rPr>
        <w:t xml:space="preserve"> status of the previous judgments granting him his pension rights, so that there could be no delaying of their enforcement.</w:t>
      </w:r>
      <w:r w:rsidRPr="00CD60C7">
        <w:rPr>
          <w:rStyle w:val="Refdenotaalpie"/>
          <w:rFonts w:ascii="Cambria" w:eastAsia="MS Gothic" w:hAnsi="Cambria"/>
          <w:color w:val="auto"/>
          <w:sz w:val="20"/>
          <w:szCs w:val="20"/>
        </w:rPr>
        <w:footnoteReference w:id="68"/>
      </w:r>
    </w:p>
    <w:p w:rsidR="008C213F" w:rsidRPr="00CD60C7" w:rsidRDefault="008C213F" w:rsidP="00BC6020">
      <w:pPr>
        <w:pStyle w:val="MediumGrid1-Accent21"/>
        <w:rPr>
          <w:rFonts w:ascii="Cambria" w:hAnsi="Cambria"/>
          <w:sz w:val="20"/>
          <w:szCs w:val="20"/>
        </w:rPr>
      </w:pPr>
    </w:p>
    <w:p w:rsidR="008C213F" w:rsidRPr="00CD60C7"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D652B3">
        <w:rPr>
          <w:rFonts w:ascii="Cambria" w:hAnsi="Cambria"/>
          <w:color w:val="auto"/>
          <w:sz w:val="20"/>
          <w:szCs w:val="20"/>
          <w:lang w:val="en-US"/>
        </w:rPr>
        <w:t>On October 10, 2013, the Second Civil Division of the Superior Court of Justice issued a resolution annulling the resolution of May 17, 2012 of the 33rd Civil Court of Lima.</w:t>
      </w:r>
      <w:r w:rsidRPr="00CD60C7">
        <w:rPr>
          <w:rStyle w:val="Refdenotaalpie"/>
          <w:rFonts w:ascii="Cambria" w:eastAsia="MS Gothic" w:hAnsi="Cambria"/>
          <w:color w:val="auto"/>
          <w:sz w:val="20"/>
          <w:szCs w:val="20"/>
        </w:rPr>
        <w:footnoteReference w:id="69"/>
      </w:r>
      <w:r w:rsidRPr="00D652B3">
        <w:rPr>
          <w:rFonts w:ascii="Cambria" w:hAnsi="Cambria"/>
          <w:color w:val="auto"/>
          <w:sz w:val="20"/>
          <w:szCs w:val="20"/>
          <w:lang w:val="en-US"/>
        </w:rPr>
        <w:t xml:space="preserve"> </w:t>
      </w:r>
      <w:proofErr w:type="spellStart"/>
      <w:r w:rsidRPr="00CD60C7">
        <w:rPr>
          <w:rFonts w:ascii="Cambria" w:hAnsi="Cambria"/>
          <w:color w:val="auto"/>
          <w:sz w:val="20"/>
          <w:szCs w:val="20"/>
        </w:rPr>
        <w:t>The</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Division</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stated</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the</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following</w:t>
      </w:r>
      <w:proofErr w:type="spellEnd"/>
      <w:r w:rsidRPr="00CD60C7">
        <w:rPr>
          <w:rFonts w:ascii="Cambria" w:hAnsi="Cambria"/>
          <w:color w:val="auto"/>
          <w:sz w:val="20"/>
          <w:szCs w:val="20"/>
        </w:rPr>
        <w:t>:</w:t>
      </w:r>
    </w:p>
    <w:p w:rsidR="008C213F" w:rsidRPr="00CD60C7" w:rsidRDefault="008C213F" w:rsidP="00BC6020">
      <w:pPr>
        <w:pStyle w:val="MediumGrid1-Accent21"/>
        <w:rPr>
          <w:rFonts w:ascii="Cambria" w:hAnsi="Cambria"/>
          <w:sz w:val="20"/>
          <w:szCs w:val="20"/>
        </w:rPr>
      </w:pP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D652B3">
        <w:rPr>
          <w:rFonts w:ascii="Cambria" w:hAnsi="Cambria"/>
          <w:color w:val="auto"/>
          <w:sz w:val="20"/>
          <w:szCs w:val="20"/>
          <w:lang w:val="en-US"/>
        </w:rPr>
        <w:t xml:space="preserve">(...) it has not been accredited that the appellant company has the obligation to pay the pension rights claimed, because since its privatization the original purchaser did not take on that obligation (...). </w:t>
      </w:r>
    </w:p>
    <w:p w:rsidR="008C213F" w:rsidRPr="00CD60C7"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s="Arial"/>
          <w:color w:val="auto"/>
          <w:sz w:val="20"/>
          <w:szCs w:val="20"/>
        </w:rPr>
      </w:pPr>
      <w:r w:rsidRPr="00D652B3">
        <w:rPr>
          <w:rFonts w:ascii="Cambria" w:hAnsi="Cambria"/>
          <w:color w:val="auto"/>
          <w:sz w:val="20"/>
          <w:szCs w:val="20"/>
          <w:lang w:val="en-US"/>
        </w:rPr>
        <w:t xml:space="preserve">9...) in addition (...), the pension rules [of Decree Law 20530] regulated State pensions and benefits financed with State resources (...). Accordingly, given that the appellant is now a private enterprise, it is not possible for it to take on a pension obligation because it does not administer pension funds and because, moreover, it did not take on the obligation. </w:t>
      </w:r>
      <w:proofErr w:type="spellStart"/>
      <w:r w:rsidRPr="00CD60C7">
        <w:rPr>
          <w:rFonts w:ascii="Cambria" w:hAnsi="Cambria"/>
          <w:color w:val="auto"/>
          <w:sz w:val="20"/>
          <w:szCs w:val="20"/>
        </w:rPr>
        <w:t>Rather</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the</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plaintiff's</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relations</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were</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with</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the</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State</w:t>
      </w:r>
      <w:proofErr w:type="spellEnd"/>
      <w:r w:rsidRPr="00CD60C7">
        <w:rPr>
          <w:rFonts w:ascii="Cambria" w:hAnsi="Cambria"/>
          <w:color w:val="auto"/>
          <w:sz w:val="20"/>
          <w:szCs w:val="20"/>
        </w:rPr>
        <w:t xml:space="preserve"> (...).</w:t>
      </w:r>
      <w:r w:rsidRPr="00CD60C7">
        <w:rPr>
          <w:rStyle w:val="Refdenotaalpie"/>
          <w:rFonts w:ascii="Cambria" w:eastAsia="MS Gothic" w:hAnsi="Cambria"/>
          <w:color w:val="auto"/>
          <w:sz w:val="20"/>
          <w:szCs w:val="20"/>
        </w:rPr>
        <w:footnoteReference w:id="70"/>
      </w:r>
    </w:p>
    <w:p w:rsidR="008C213F" w:rsidRPr="00CD60C7"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s="Arial"/>
          <w:color w:val="auto"/>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lastRenderedPageBreak/>
        <w:t xml:space="preserve"> The Division ordered that "a new resolution be issued taking these considerations into account."</w:t>
      </w:r>
      <w:r w:rsidRPr="00CD60C7">
        <w:rPr>
          <w:rStyle w:val="Refdenotaalpie"/>
          <w:rFonts w:ascii="Cambria" w:eastAsia="MS Gothic" w:hAnsi="Cambria"/>
          <w:color w:val="auto"/>
          <w:sz w:val="20"/>
          <w:szCs w:val="20"/>
        </w:rPr>
        <w:footnoteReference w:id="71"/>
      </w:r>
      <w:r w:rsidRPr="00D652B3">
        <w:rPr>
          <w:rFonts w:ascii="Cambria" w:hAnsi="Cambria"/>
          <w:color w:val="auto"/>
          <w:sz w:val="20"/>
          <w:szCs w:val="20"/>
          <w:lang w:val="en-US"/>
        </w:rPr>
        <w:t xml:space="preserve"> The Commission has no information regarding subsequent proceedings. Notwithstanding, the IACHR observes that there is no dispute between the parties that, to date, the judgment of the Supreme Court of Justice of February 2, 1993 has not been executed.</w:t>
      </w:r>
    </w:p>
    <w:p w:rsidR="008C213F" w:rsidRPr="00CD60C7" w:rsidRDefault="008C213F" w:rsidP="00BC6020">
      <w:pPr>
        <w:pStyle w:val="MediumGrid1-Accent21"/>
        <w:ind w:left="0"/>
        <w:rPr>
          <w:rFonts w:ascii="Cambria" w:hAnsi="Cambria"/>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 xml:space="preserve">According to the information available,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is now 80 years old. </w:t>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C213F" w:rsidRPr="00CD60C7" w:rsidRDefault="008C213F" w:rsidP="00BC6020">
      <w:pPr>
        <w:pStyle w:val="Ttulo1"/>
        <w:keepLines/>
        <w:pBdr>
          <w:top w:val="nil"/>
          <w:left w:val="nil"/>
          <w:bottom w:val="nil"/>
          <w:right w:val="nil"/>
          <w:between w:val="nil"/>
          <w:bar w:val="nil"/>
        </w:pBdr>
        <w:tabs>
          <w:tab w:val="left" w:pos="1440"/>
        </w:tabs>
        <w:ind w:left="720" w:firstLine="0"/>
        <w:jc w:val="both"/>
      </w:pPr>
      <w:bookmarkStart w:id="38" w:name="_Toc346457003"/>
      <w:r w:rsidRPr="00CD60C7">
        <w:t>ANALYSIS OF MERITS</w:t>
      </w:r>
      <w:bookmarkEnd w:id="38"/>
    </w:p>
    <w:p w:rsidR="008C213F" w:rsidRPr="00CD60C7" w:rsidRDefault="008C213F" w:rsidP="00BC6020">
      <w:pPr>
        <w:rPr>
          <w:rFonts w:ascii="Cambria" w:hAnsi="Cambria"/>
          <w:b/>
          <w:sz w:val="20"/>
          <w:szCs w:val="20"/>
        </w:rPr>
      </w:pPr>
      <w:bookmarkStart w:id="39" w:name="_Toc413687836"/>
    </w:p>
    <w:p w:rsidR="008C213F" w:rsidRPr="00CD60C7" w:rsidRDefault="008C213F" w:rsidP="00BC6020">
      <w:pPr>
        <w:pStyle w:val="Ttulo2"/>
        <w:numPr>
          <w:ilvl w:val="0"/>
          <w:numId w:val="68"/>
        </w:numPr>
        <w:jc w:val="left"/>
      </w:pPr>
      <w:bookmarkStart w:id="40" w:name="_Toc346457004"/>
      <w:r w:rsidRPr="00CD60C7">
        <w:t xml:space="preserve">Prior </w:t>
      </w:r>
      <w:proofErr w:type="spellStart"/>
      <w:r w:rsidRPr="00CD60C7">
        <w:t>consideration</w:t>
      </w:r>
      <w:bookmarkEnd w:id="40"/>
      <w:proofErr w:type="spellEnd"/>
    </w:p>
    <w:p w:rsidR="008C213F" w:rsidRPr="00CD60C7" w:rsidRDefault="008C213F" w:rsidP="00BC6020">
      <w:pPr>
        <w:ind w:left="1440"/>
        <w:rPr>
          <w:rFonts w:ascii="Cambria" w:hAnsi="Cambria"/>
          <w:b/>
          <w:sz w:val="20"/>
          <w:szCs w:val="20"/>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 xml:space="preserve">The Commission observes that in its arguments the Peruvian State made reference to the decision issued by the Constitutional Court on June 3, 2005. In that regard the Commission deems it pertinent to undertake this prior consideration with a view to determining the scope of the case under review and the purpose of the analysis to follow. </w:t>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C213F" w:rsidRPr="00D652B3"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D652B3">
        <w:rPr>
          <w:rFonts w:ascii="Cambria" w:hAnsi="Cambria"/>
          <w:color w:val="auto"/>
          <w:sz w:val="20"/>
          <w:szCs w:val="20"/>
          <w:lang w:val="en-US"/>
        </w:rPr>
        <w:t>The IACHR understands that the judgment of the Constitutional Court referred to by the State has to do with the constitutionality of the reform undertaken since 2004 to eliminate the rules for adjusting/updating pensions (</w:t>
      </w:r>
      <w:proofErr w:type="spellStart"/>
      <w:r w:rsidRPr="00D652B3">
        <w:rPr>
          <w:rFonts w:ascii="Cambria" w:hAnsi="Cambria"/>
          <w:i/>
          <w:color w:val="auto"/>
          <w:sz w:val="20"/>
          <w:szCs w:val="20"/>
          <w:lang w:val="en-US"/>
        </w:rPr>
        <w:t>régimen</w:t>
      </w:r>
      <w:proofErr w:type="spellEnd"/>
      <w:r w:rsidRPr="00D652B3">
        <w:rPr>
          <w:rFonts w:ascii="Cambria" w:hAnsi="Cambria"/>
          <w:i/>
          <w:color w:val="auto"/>
          <w:sz w:val="20"/>
          <w:szCs w:val="20"/>
          <w:lang w:val="en-US"/>
        </w:rPr>
        <w:t xml:space="preserve"> de </w:t>
      </w:r>
      <w:proofErr w:type="spellStart"/>
      <w:r w:rsidRPr="00D652B3">
        <w:rPr>
          <w:rFonts w:ascii="Cambria" w:hAnsi="Cambria"/>
          <w:i/>
          <w:color w:val="auto"/>
          <w:sz w:val="20"/>
          <w:szCs w:val="20"/>
          <w:lang w:val="en-US"/>
        </w:rPr>
        <w:t>nivelación</w:t>
      </w:r>
      <w:proofErr w:type="spellEnd"/>
      <w:r w:rsidRPr="00D652B3">
        <w:rPr>
          <w:rFonts w:ascii="Cambria" w:hAnsi="Cambria"/>
          <w:i/>
          <w:color w:val="auto"/>
          <w:sz w:val="20"/>
          <w:szCs w:val="20"/>
          <w:lang w:val="en-US"/>
        </w:rPr>
        <w:t xml:space="preserve"> de </w:t>
      </w:r>
      <w:proofErr w:type="spellStart"/>
      <w:r w:rsidRPr="00D652B3">
        <w:rPr>
          <w:rFonts w:ascii="Cambria" w:hAnsi="Cambria"/>
          <w:i/>
          <w:color w:val="auto"/>
          <w:sz w:val="20"/>
          <w:szCs w:val="20"/>
          <w:lang w:val="en-US"/>
        </w:rPr>
        <w:t>pensiones</w:t>
      </w:r>
      <w:proofErr w:type="spellEnd"/>
      <w:r w:rsidRPr="00D652B3">
        <w:rPr>
          <w:rFonts w:ascii="Cambria" w:hAnsi="Cambria"/>
          <w:color w:val="auto"/>
          <w:sz w:val="20"/>
          <w:szCs w:val="20"/>
          <w:lang w:val="en-US"/>
        </w:rPr>
        <w:t>) established in Decree Law 20530. While the Inter-American Commission already pronounced on that reform and determined that it did not violate the American Convention,</w:t>
      </w:r>
      <w:r w:rsidRPr="00CD60C7">
        <w:rPr>
          <w:rStyle w:val="Refdenotaalpie"/>
          <w:rFonts w:ascii="Cambria" w:eastAsia="MS Gothic" w:hAnsi="Cambria"/>
          <w:color w:val="auto"/>
          <w:sz w:val="20"/>
          <w:szCs w:val="20"/>
        </w:rPr>
        <w:footnoteReference w:id="72"/>
      </w:r>
      <w:r w:rsidRPr="00D652B3">
        <w:rPr>
          <w:rFonts w:ascii="Cambria" w:hAnsi="Cambria"/>
          <w:color w:val="auto"/>
          <w:sz w:val="20"/>
          <w:szCs w:val="20"/>
          <w:lang w:val="en-US"/>
        </w:rPr>
        <w:t xml:space="preserve"> the legal issue posed in the instant case has to do with the alleged failure to comply with two </w:t>
      </w:r>
      <w:proofErr w:type="spellStart"/>
      <w:r w:rsidRPr="00D652B3">
        <w:rPr>
          <w:rFonts w:ascii="Cambria" w:hAnsi="Cambria"/>
          <w:color w:val="auto"/>
          <w:sz w:val="20"/>
          <w:szCs w:val="20"/>
          <w:lang w:val="en-US"/>
        </w:rPr>
        <w:t>amparo</w:t>
      </w:r>
      <w:proofErr w:type="spellEnd"/>
      <w:r w:rsidRPr="00D652B3">
        <w:rPr>
          <w:rFonts w:ascii="Cambria" w:hAnsi="Cambria"/>
          <w:color w:val="auto"/>
          <w:sz w:val="20"/>
          <w:szCs w:val="20"/>
          <w:lang w:val="en-US"/>
        </w:rPr>
        <w:t xml:space="preserve"> judgments that recognized that Mr. </w:t>
      </w:r>
      <w:proofErr w:type="spellStart"/>
      <w:r w:rsidRPr="00D652B3">
        <w:rPr>
          <w:rFonts w:ascii="Cambria" w:hAnsi="Cambria"/>
          <w:color w:val="auto"/>
          <w:sz w:val="20"/>
          <w:szCs w:val="20"/>
          <w:lang w:val="en-US"/>
        </w:rPr>
        <w:t>Muelle</w:t>
      </w:r>
      <w:proofErr w:type="spellEnd"/>
      <w:r w:rsidRPr="00D652B3">
        <w:rPr>
          <w:rFonts w:ascii="Cambria" w:hAnsi="Cambria"/>
          <w:color w:val="auto"/>
          <w:sz w:val="20"/>
          <w:szCs w:val="20"/>
          <w:lang w:val="en-US"/>
        </w:rPr>
        <w:t xml:space="preserve"> was entitled to certain pension rights under Decree Law 20530. The Commission wishes to make clear that the scope of said Decree, and the reforms amending the rules it contains, lie outside the issue at hand.</w:t>
      </w:r>
    </w:p>
    <w:p w:rsidR="008C213F" w:rsidRPr="00CD60C7" w:rsidRDefault="008C213F" w:rsidP="00BC6020">
      <w:pPr>
        <w:rPr>
          <w:rFonts w:ascii="Cambria" w:hAnsi="Cambria"/>
          <w:b/>
          <w:sz w:val="20"/>
          <w:szCs w:val="20"/>
        </w:rPr>
      </w:pPr>
    </w:p>
    <w:p w:rsidR="008C213F" w:rsidRPr="00D652B3" w:rsidRDefault="008C213F" w:rsidP="00BC6020">
      <w:pPr>
        <w:pStyle w:val="Ttulo2"/>
        <w:numPr>
          <w:ilvl w:val="0"/>
          <w:numId w:val="68"/>
        </w:numPr>
        <w:rPr>
          <w:lang w:val="en-US"/>
        </w:rPr>
      </w:pPr>
      <w:bookmarkStart w:id="41" w:name="_Toc346457005"/>
      <w:r w:rsidRPr="00D652B3">
        <w:rPr>
          <w:lang w:val="en-US"/>
        </w:rPr>
        <w:t>Right to judicial guarantees, private property, and judicial protection (Articles 8.1,</w:t>
      </w:r>
      <w:r w:rsidRPr="00CD60C7">
        <w:rPr>
          <w:rStyle w:val="Refdenotaalpie"/>
          <w:rFonts w:ascii="Cambria" w:eastAsia="MS Gothic" w:hAnsi="Cambria"/>
          <w:sz w:val="20"/>
        </w:rPr>
        <w:footnoteReference w:id="73"/>
      </w:r>
      <w:r w:rsidRPr="00D652B3">
        <w:rPr>
          <w:lang w:val="en-US"/>
        </w:rPr>
        <w:t xml:space="preserve"> 21.1</w:t>
      </w:r>
      <w:r w:rsidRPr="00CD60C7">
        <w:rPr>
          <w:rStyle w:val="Refdenotaalpie"/>
          <w:rFonts w:ascii="Cambria" w:eastAsia="MS Gothic" w:hAnsi="Cambria"/>
          <w:sz w:val="20"/>
        </w:rPr>
        <w:footnoteReference w:id="74"/>
      </w:r>
      <w:r w:rsidRPr="00D652B3">
        <w:rPr>
          <w:lang w:val="en-US"/>
        </w:rPr>
        <w:t>, and 25.2. c)</w:t>
      </w:r>
      <w:r w:rsidRPr="00CD60C7">
        <w:rPr>
          <w:rStyle w:val="Refdenotaalpie"/>
          <w:rFonts w:ascii="Cambria" w:eastAsia="MS Gothic" w:hAnsi="Cambria"/>
          <w:sz w:val="20"/>
        </w:rPr>
        <w:footnoteReference w:id="75"/>
      </w:r>
      <w:r w:rsidRPr="00D652B3">
        <w:rPr>
          <w:lang w:val="en-US"/>
        </w:rPr>
        <w:t xml:space="preserve"> of the American Convention in conjunction with Article 1.1 thereof)</w:t>
      </w:r>
      <w:bookmarkEnd w:id="41"/>
    </w:p>
    <w:p w:rsidR="008C213F" w:rsidRPr="00CD60C7" w:rsidRDefault="008C213F" w:rsidP="00BC6020">
      <w:pPr>
        <w:rPr>
          <w:rFonts w:ascii="Cambria" w:hAnsi="Cambria"/>
          <w:b/>
          <w:sz w:val="20"/>
          <w:szCs w:val="20"/>
        </w:rPr>
      </w:pPr>
    </w:p>
    <w:p w:rsidR="008C213F" w:rsidRPr="00CD60C7" w:rsidRDefault="008C213F" w:rsidP="00BC6020">
      <w:pPr>
        <w:pStyle w:val="Ttulo3"/>
        <w:spacing w:before="0"/>
        <w:ind w:left="1440" w:hanging="720"/>
        <w:jc w:val="both"/>
        <w:rPr>
          <w:color w:val="auto"/>
          <w:sz w:val="20"/>
          <w:szCs w:val="20"/>
        </w:rPr>
      </w:pPr>
      <w:bookmarkStart w:id="42" w:name="_Toc346457006"/>
      <w:r w:rsidRPr="00CD60C7">
        <w:rPr>
          <w:color w:val="auto"/>
          <w:sz w:val="20"/>
          <w:szCs w:val="20"/>
        </w:rPr>
        <w:t xml:space="preserve">1. </w:t>
      </w:r>
      <w:r w:rsidRPr="00CD60C7">
        <w:rPr>
          <w:color w:val="auto"/>
          <w:sz w:val="20"/>
          <w:szCs w:val="20"/>
        </w:rPr>
        <w:tab/>
        <w:t>General considerations regarding effective judicial protection and compliance with internal judgments</w:t>
      </w:r>
      <w:bookmarkEnd w:id="42"/>
    </w:p>
    <w:p w:rsidR="008C213F" w:rsidRPr="00CD60C7" w:rsidRDefault="008C213F" w:rsidP="00BC6020">
      <w:pPr>
        <w:rPr>
          <w:rFonts w:ascii="Cambria" w:hAnsi="Cambria"/>
          <w:b/>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CD60C7">
        <w:rPr>
          <w:rFonts w:ascii="Cambria" w:hAnsi="Cambria"/>
          <w:sz w:val="20"/>
          <w:szCs w:val="20"/>
        </w:rPr>
        <w:t>The Inter-American Court has pointed out that one of the components of the right to judicial protection established in Article 25 of the American Convention is that States "[have an obligation to establish by law, and] ensure the application of effective remedies and guarantees of due process before the competent authorities."</w:t>
      </w:r>
      <w:r w:rsidRPr="00CD60C7">
        <w:rPr>
          <w:rFonts w:ascii="Cambria" w:hAnsi="Cambria"/>
          <w:sz w:val="20"/>
          <w:szCs w:val="20"/>
          <w:vertAlign w:val="superscript"/>
        </w:rPr>
        <w:footnoteReference w:id="76"/>
      </w:r>
      <w:r w:rsidRPr="00CD60C7">
        <w:rPr>
          <w:rFonts w:ascii="Cambria" w:hAnsi="Cambria"/>
          <w:sz w:val="20"/>
          <w:szCs w:val="20"/>
        </w:rPr>
        <w:t xml:space="preserve"> This is to effectively protect declared or recognized rights from acts that violate fundamental </w:t>
      </w:r>
      <w:r w:rsidRPr="00CD60C7">
        <w:rPr>
          <w:rFonts w:ascii="Cambria" w:hAnsi="Cambria"/>
          <w:sz w:val="20"/>
          <w:szCs w:val="20"/>
        </w:rPr>
        <w:lastRenderedPageBreak/>
        <w:t xml:space="preserve">rights. </w:t>
      </w:r>
      <w:r w:rsidRPr="00CD60C7">
        <w:rPr>
          <w:rStyle w:val="Refdenotaalpie"/>
          <w:rFonts w:ascii="Cambria" w:hAnsi="Cambria"/>
          <w:sz w:val="20"/>
          <w:szCs w:val="20"/>
        </w:rPr>
        <w:footnoteReference w:id="77"/>
      </w:r>
      <w:r w:rsidRPr="00CD60C7">
        <w:rPr>
          <w:rFonts w:ascii="Cambria" w:hAnsi="Cambria"/>
          <w:sz w:val="20"/>
          <w:szCs w:val="20"/>
        </w:rPr>
        <w:t xml:space="preserve"> For its part, the IACHR has maintained that "if the judicial branch is to serve effectively as an organ for the control, guarantee, and protection of human rights, it must not only be constituted formally, but it also has to be independent and impartial, and its rulings must be carried out."</w:t>
      </w:r>
      <w:r w:rsidRPr="00CD60C7">
        <w:rPr>
          <w:rStyle w:val="Refdenotaalpie"/>
          <w:rFonts w:ascii="Cambria" w:hAnsi="Cambria"/>
          <w:sz w:val="20"/>
          <w:szCs w:val="20"/>
        </w:rPr>
        <w:footnoteReference w:id="78"/>
      </w: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CD60C7">
        <w:rPr>
          <w:rFonts w:ascii="Cambria" w:hAnsi="Cambria"/>
          <w:sz w:val="20"/>
          <w:szCs w:val="20"/>
        </w:rPr>
        <w:t>In that sense, the effectiveness of judgments depends on their execution.</w:t>
      </w:r>
      <w:r w:rsidRPr="00CD60C7">
        <w:rPr>
          <w:rStyle w:val="Refdenotaalpie"/>
          <w:rFonts w:ascii="Cambria" w:hAnsi="Cambria"/>
          <w:sz w:val="20"/>
          <w:szCs w:val="20"/>
        </w:rPr>
        <w:footnoteReference w:id="79"/>
      </w:r>
      <w:r w:rsidRPr="00CD60C7">
        <w:rPr>
          <w:rFonts w:ascii="Cambria" w:hAnsi="Cambria"/>
          <w:sz w:val="20"/>
          <w:szCs w:val="20"/>
        </w:rPr>
        <w:t xml:space="preserve"> If judgment is not enforced, the right involved is denied.</w:t>
      </w:r>
      <w:r w:rsidRPr="00CD60C7">
        <w:rPr>
          <w:rFonts w:ascii="Cambria" w:hAnsi="Cambria"/>
          <w:sz w:val="20"/>
          <w:szCs w:val="20"/>
          <w:vertAlign w:val="superscript"/>
        </w:rPr>
        <w:footnoteReference w:id="80"/>
      </w:r>
      <w:r w:rsidRPr="00CD60C7">
        <w:rPr>
          <w:rFonts w:ascii="Cambria" w:hAnsi="Cambria"/>
          <w:sz w:val="20"/>
          <w:szCs w:val="20"/>
        </w:rPr>
        <w:t xml:space="preserve"> The IACHR has maintained that judicial decisions must be complied with, be it voluntarily or, if necessary, coercively.</w:t>
      </w:r>
      <w:r w:rsidRPr="00CD60C7">
        <w:rPr>
          <w:rStyle w:val="Refdenotaalpie"/>
          <w:rFonts w:ascii="Cambria" w:hAnsi="Cambria"/>
          <w:sz w:val="20"/>
          <w:szCs w:val="20"/>
        </w:rPr>
        <w:footnoteReference w:id="81"/>
      </w:r>
      <w:r w:rsidRPr="00CD60C7">
        <w:rPr>
          <w:rFonts w:ascii="Cambria" w:hAnsi="Cambria"/>
          <w:sz w:val="20"/>
          <w:szCs w:val="20"/>
        </w:rPr>
        <w:t xml:space="preserve"> Likewise, the Court has underscored that execution of judgments must be governed by those specific standards that allow for effective application of the principles of, inter alia, judicial protection, due process, legal certainty, judicial independence, and the rule of law.</w:t>
      </w:r>
      <w:r w:rsidRPr="00CD60C7">
        <w:rPr>
          <w:rStyle w:val="Refdenotaalpie"/>
          <w:rFonts w:ascii="Cambria" w:hAnsi="Cambria"/>
          <w:sz w:val="20"/>
          <w:szCs w:val="20"/>
        </w:rPr>
        <w:footnoteReference w:id="82"/>
      </w:r>
      <w:r w:rsidRPr="00CD60C7">
        <w:rPr>
          <w:rFonts w:ascii="Cambria" w:hAnsi="Cambria"/>
          <w:sz w:val="20"/>
          <w:szCs w:val="20"/>
        </w:rPr>
        <w:t xml:space="preserve"> Accordingly, the principle of effective judicial protection requires that the parties have access to enforcement </w:t>
      </w:r>
      <w:proofErr w:type="gramStart"/>
      <w:r w:rsidRPr="00CD60C7">
        <w:rPr>
          <w:rFonts w:ascii="Cambria" w:hAnsi="Cambria"/>
          <w:sz w:val="20"/>
          <w:szCs w:val="20"/>
        </w:rPr>
        <w:t>procedures ,</w:t>
      </w:r>
      <w:proofErr w:type="gramEnd"/>
      <w:r w:rsidRPr="00CD60C7">
        <w:rPr>
          <w:rFonts w:ascii="Cambria" w:hAnsi="Cambria"/>
          <w:sz w:val="20"/>
          <w:szCs w:val="20"/>
        </w:rPr>
        <w:t xml:space="preserve"> without hindrance or unwarranted delays, in order for them to achieve their objective in a swift, straightforward, and comprehensive manner.</w:t>
      </w:r>
      <w:r w:rsidRPr="00CD60C7">
        <w:rPr>
          <w:rFonts w:ascii="Cambria" w:hAnsi="Cambria"/>
          <w:sz w:val="20"/>
          <w:szCs w:val="20"/>
          <w:vertAlign w:val="superscript"/>
        </w:rPr>
        <w:footnoteReference w:id="83"/>
      </w:r>
      <w:r w:rsidRPr="00CD60C7">
        <w:rPr>
          <w:rFonts w:ascii="Cambria" w:hAnsi="Cambria"/>
          <w:sz w:val="20"/>
          <w:szCs w:val="20"/>
        </w:rPr>
        <w:t xml:space="preserve"> </w:t>
      </w:r>
    </w:p>
    <w:p w:rsidR="008C213F" w:rsidRPr="00CD60C7" w:rsidRDefault="008C213F" w:rsidP="00BC6020">
      <w:pPr>
        <w:pStyle w:val="ColorfulList-Accent12"/>
        <w:rPr>
          <w:color w:val="auto"/>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CD60C7">
        <w:rPr>
          <w:rFonts w:ascii="Cambria" w:hAnsi="Cambria"/>
          <w:sz w:val="20"/>
          <w:szCs w:val="20"/>
        </w:rPr>
        <w:t>For its part, the European Court of Human Rights has maintained that for a judgment to be fully effective, its execution must be complete, perfect, comprehensive,</w:t>
      </w:r>
      <w:r w:rsidRPr="00CD60C7">
        <w:rPr>
          <w:rStyle w:val="Refdenotaalpie"/>
          <w:rFonts w:ascii="Cambria" w:hAnsi="Cambria"/>
          <w:sz w:val="20"/>
          <w:szCs w:val="20"/>
        </w:rPr>
        <w:footnoteReference w:id="84"/>
      </w:r>
      <w:r w:rsidRPr="00CD60C7">
        <w:rPr>
          <w:rFonts w:ascii="Cambria" w:hAnsi="Cambria"/>
          <w:sz w:val="20"/>
          <w:szCs w:val="20"/>
        </w:rPr>
        <w:t xml:space="preserve"> and prompt.</w:t>
      </w:r>
      <w:r w:rsidRPr="00CD60C7">
        <w:rPr>
          <w:rStyle w:val="Refdenotaalpie"/>
          <w:rFonts w:ascii="Cambria" w:hAnsi="Cambria"/>
          <w:sz w:val="20"/>
          <w:szCs w:val="20"/>
        </w:rPr>
        <w:footnoteReference w:id="85"/>
      </w:r>
      <w:r w:rsidRPr="00CD60C7">
        <w:rPr>
          <w:rFonts w:ascii="Cambria" w:hAnsi="Cambria"/>
          <w:sz w:val="20"/>
          <w:szCs w:val="20"/>
        </w:rPr>
        <w:t xml:space="preserve"> For that reason, the provisions governing the independence of the judiciary must be appropriately formulated in order to ensure prompt enforcement of judgments without interference from other branches of government and they must guarantee the binding and mandatory nature of final instance decisions.</w:t>
      </w:r>
      <w:r w:rsidRPr="00CD60C7">
        <w:rPr>
          <w:rFonts w:ascii="Cambria" w:hAnsi="Cambria"/>
          <w:sz w:val="20"/>
          <w:szCs w:val="20"/>
          <w:vertAlign w:val="superscript"/>
        </w:rPr>
        <w:footnoteReference w:id="86"/>
      </w:r>
    </w:p>
    <w:p w:rsidR="008C213F" w:rsidRPr="00CD60C7" w:rsidRDefault="008C213F" w:rsidP="00BC6020">
      <w:pPr>
        <w:jc w:val="both"/>
        <w:rPr>
          <w:rFonts w:ascii="Cambria" w:hAnsi="Cambria"/>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CD60C7">
        <w:rPr>
          <w:rFonts w:ascii="Cambria" w:hAnsi="Cambria"/>
          <w:sz w:val="20"/>
          <w:szCs w:val="20"/>
        </w:rPr>
        <w:t xml:space="preserve">The Inter-American Court has maintained that in a political system based on the principle of the rule of law, all public authorities, within their spheres of competence, must heed judicial decisions, and support and enforce them without thwarting the meaning or scope of </w:t>
      </w:r>
      <w:proofErr w:type="gramStart"/>
      <w:r w:rsidRPr="00CD60C7">
        <w:rPr>
          <w:rFonts w:ascii="Cambria" w:hAnsi="Cambria"/>
          <w:sz w:val="20"/>
          <w:szCs w:val="20"/>
        </w:rPr>
        <w:t>the  decision</w:t>
      </w:r>
      <w:proofErr w:type="gramEnd"/>
      <w:r w:rsidRPr="00CD60C7">
        <w:rPr>
          <w:rFonts w:ascii="Cambria" w:hAnsi="Cambria"/>
          <w:sz w:val="20"/>
          <w:szCs w:val="20"/>
        </w:rPr>
        <w:t xml:space="preserve"> or unduly delaying its execution.</w:t>
      </w:r>
      <w:r w:rsidRPr="00CD60C7">
        <w:rPr>
          <w:rFonts w:ascii="Cambria" w:hAnsi="Cambria"/>
          <w:sz w:val="20"/>
          <w:szCs w:val="20"/>
          <w:vertAlign w:val="superscript"/>
        </w:rPr>
        <w:footnoteReference w:id="87"/>
      </w:r>
      <w:r w:rsidRPr="00CD60C7">
        <w:rPr>
          <w:rFonts w:ascii="Cambria" w:hAnsi="Cambria"/>
          <w:sz w:val="20"/>
          <w:szCs w:val="20"/>
        </w:rPr>
        <w:t xml:space="preserve"> Accordingly, the IACHR has stressed that "ensuring the execution of judicial judgments thus constitutes a fundamental aspect that is the very essence of the rule of law."</w:t>
      </w:r>
      <w:r w:rsidRPr="00CD60C7">
        <w:rPr>
          <w:rStyle w:val="Refdenotaalpie"/>
          <w:rFonts w:ascii="Cambria" w:hAnsi="Cambria"/>
          <w:sz w:val="20"/>
          <w:szCs w:val="20"/>
        </w:rPr>
        <w:footnoteReference w:id="88"/>
      </w:r>
    </w:p>
    <w:p w:rsidR="008C213F" w:rsidRPr="00CD60C7" w:rsidRDefault="008C213F" w:rsidP="00BC6020">
      <w:pPr>
        <w:pStyle w:val="ColorfulList-Accent12"/>
        <w:ind w:left="0"/>
        <w:rPr>
          <w:color w:val="auto"/>
          <w:sz w:val="20"/>
          <w:szCs w:val="20"/>
        </w:rPr>
      </w:pPr>
    </w:p>
    <w:p w:rsidR="008C213F" w:rsidRPr="00CD60C7" w:rsidRDefault="008C213F" w:rsidP="00251F4C">
      <w:pPr>
        <w:pStyle w:val="Ttulo3"/>
        <w:spacing w:before="0"/>
        <w:ind w:firstLine="720"/>
        <w:rPr>
          <w:color w:val="auto"/>
          <w:sz w:val="20"/>
          <w:szCs w:val="20"/>
        </w:rPr>
      </w:pPr>
      <w:bookmarkStart w:id="43" w:name="_Toc346457007"/>
      <w:r w:rsidRPr="00CD60C7">
        <w:rPr>
          <w:color w:val="auto"/>
          <w:sz w:val="20"/>
          <w:szCs w:val="20"/>
        </w:rPr>
        <w:t>2.</w:t>
      </w:r>
      <w:r w:rsidRPr="00CD60C7">
        <w:rPr>
          <w:color w:val="auto"/>
          <w:sz w:val="20"/>
          <w:szCs w:val="20"/>
        </w:rPr>
        <w:tab/>
        <w:t>Information regarding the issue of failure to comply with internal judgments in Peru</w:t>
      </w:r>
      <w:bookmarkEnd w:id="43"/>
    </w:p>
    <w:p w:rsidR="008C213F" w:rsidRPr="00CD60C7" w:rsidRDefault="008C213F" w:rsidP="00BC6020">
      <w:pPr>
        <w:pStyle w:val="ColorfulList-Accent12"/>
        <w:ind w:left="0"/>
        <w:rPr>
          <w:color w:val="auto"/>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CD60C7">
        <w:rPr>
          <w:rFonts w:ascii="Cambria" w:hAnsi="Cambria"/>
          <w:sz w:val="20"/>
          <w:szCs w:val="20"/>
        </w:rPr>
        <w:lastRenderedPageBreak/>
        <w:t xml:space="preserve">The IACHR notes that noncompliance by the Peruvian State with judgments handed down against State entities since the 1990s extends beyond just the case of Mr. </w:t>
      </w:r>
      <w:proofErr w:type="spellStart"/>
      <w:r w:rsidRPr="00CD60C7">
        <w:rPr>
          <w:rFonts w:ascii="Cambria" w:hAnsi="Cambria"/>
          <w:sz w:val="20"/>
          <w:szCs w:val="20"/>
        </w:rPr>
        <w:t>Muelle</w:t>
      </w:r>
      <w:proofErr w:type="spellEnd"/>
      <w:r w:rsidRPr="00CD60C7">
        <w:rPr>
          <w:rFonts w:ascii="Cambria" w:hAnsi="Cambria"/>
          <w:sz w:val="20"/>
          <w:szCs w:val="20"/>
        </w:rPr>
        <w:t xml:space="preserve"> and forms part of a broader context. </w:t>
      </w:r>
    </w:p>
    <w:p w:rsidR="008C213F" w:rsidRPr="00CD60C7" w:rsidRDefault="008C213F" w:rsidP="00BC6020">
      <w:pPr>
        <w:pStyle w:val="ColorfulList-Accent12"/>
        <w:rPr>
          <w:color w:val="auto"/>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CD60C7">
        <w:rPr>
          <w:rFonts w:ascii="Cambria" w:hAnsi="Cambria"/>
          <w:sz w:val="20"/>
          <w:szCs w:val="20"/>
        </w:rPr>
        <w:t>Thus, the Inter-American Court already pronounced on two cases in the 1990s of failure to comply with judgments in Peru regarding the adjustment of pensions for former public servants pursuant to Decree Law 20530.</w:t>
      </w:r>
      <w:r w:rsidRPr="00CD60C7">
        <w:rPr>
          <w:rStyle w:val="Refdenotaalpie"/>
          <w:rFonts w:ascii="Cambria" w:hAnsi="Cambria"/>
          <w:sz w:val="20"/>
          <w:szCs w:val="20"/>
        </w:rPr>
        <w:footnoteReference w:id="89"/>
      </w:r>
      <w:r w:rsidRPr="00CD60C7">
        <w:rPr>
          <w:rFonts w:ascii="Cambria" w:hAnsi="Cambria"/>
          <w:sz w:val="20"/>
          <w:szCs w:val="20"/>
        </w:rPr>
        <w:t xml:space="preserve"> Both judgments handed down by the Court point out </w:t>
      </w:r>
      <w:proofErr w:type="gramStart"/>
      <w:r w:rsidRPr="00CD60C7">
        <w:rPr>
          <w:rFonts w:ascii="Cambria" w:hAnsi="Cambria"/>
          <w:sz w:val="20"/>
          <w:szCs w:val="20"/>
        </w:rPr>
        <w:t>that court rulings</w:t>
      </w:r>
      <w:proofErr w:type="gramEnd"/>
      <w:r w:rsidRPr="00CD60C7">
        <w:rPr>
          <w:rFonts w:ascii="Cambria" w:hAnsi="Cambria"/>
          <w:sz w:val="20"/>
          <w:szCs w:val="20"/>
        </w:rPr>
        <w:t xml:space="preserve"> restoring certain labor and pension rights to the victims were not executed.</w:t>
      </w:r>
    </w:p>
    <w:p w:rsidR="008C213F" w:rsidRPr="00CD60C7" w:rsidRDefault="008C213F" w:rsidP="00BC6020">
      <w:pPr>
        <w:pStyle w:val="ColorfulList-Accent12"/>
        <w:rPr>
          <w:color w:val="auto"/>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CD60C7">
        <w:rPr>
          <w:rFonts w:ascii="Cambria" w:hAnsi="Cambria"/>
          <w:sz w:val="20"/>
          <w:szCs w:val="20"/>
        </w:rPr>
        <w:t>For its part, in connection with one of those cases, the IACHR maintained that the Peruvian State's failure to comply with judgments "distorts the practice and meaning of administration of justice and diminishes the trust felt by members of the Association in the pronouncements of judges."</w:t>
      </w:r>
      <w:r w:rsidRPr="00CD60C7">
        <w:rPr>
          <w:rStyle w:val="Refdenotaalpie"/>
          <w:rFonts w:ascii="Cambria" w:hAnsi="Cambria"/>
          <w:sz w:val="20"/>
          <w:szCs w:val="20"/>
        </w:rPr>
        <w:t xml:space="preserve"> </w:t>
      </w:r>
      <w:r w:rsidRPr="00CD60C7">
        <w:rPr>
          <w:rStyle w:val="Refdenotaalpie"/>
          <w:rFonts w:ascii="Cambria" w:hAnsi="Cambria"/>
          <w:sz w:val="20"/>
          <w:szCs w:val="20"/>
        </w:rPr>
        <w:footnoteReference w:id="90"/>
      </w:r>
      <w:r w:rsidRPr="00CD60C7">
        <w:rPr>
          <w:rFonts w:ascii="Cambria" w:hAnsi="Cambria"/>
          <w:sz w:val="20"/>
          <w:szCs w:val="20"/>
        </w:rPr>
        <w:t xml:space="preserve"> The Commission has also admitted several cases alleging the same problem,</w:t>
      </w:r>
      <w:r w:rsidRPr="00CD60C7">
        <w:rPr>
          <w:rStyle w:val="Refdenotaalpie"/>
          <w:rFonts w:ascii="Cambria" w:hAnsi="Cambria"/>
          <w:sz w:val="20"/>
          <w:szCs w:val="20"/>
        </w:rPr>
        <w:footnoteReference w:id="91"/>
      </w:r>
      <w:r w:rsidRPr="00CD60C7">
        <w:rPr>
          <w:rFonts w:ascii="Cambria" w:hAnsi="Cambria"/>
          <w:sz w:val="20"/>
          <w:szCs w:val="20"/>
        </w:rPr>
        <w:t xml:space="preserve"> which are currently awaiting a decision on the merits. </w:t>
      </w:r>
    </w:p>
    <w:p w:rsidR="008C213F" w:rsidRPr="00CD60C7" w:rsidRDefault="008C213F" w:rsidP="00BC6020">
      <w:pPr>
        <w:pStyle w:val="ColorfulList-Accent12"/>
        <w:rPr>
          <w:color w:val="auto"/>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CD60C7">
        <w:rPr>
          <w:rFonts w:ascii="Cambria" w:hAnsi="Cambria"/>
          <w:sz w:val="20"/>
          <w:szCs w:val="20"/>
        </w:rPr>
        <w:t>Along the same lines, the Commission observes that in October 1998, the Ombudsperson's Office issued a report entitled "Failure by the State Administration to Comply with Judgments."</w:t>
      </w:r>
      <w:r w:rsidRPr="00CD60C7">
        <w:rPr>
          <w:rStyle w:val="Refdenotaalpie"/>
          <w:rFonts w:ascii="Cambria" w:hAnsi="Cambria"/>
          <w:sz w:val="20"/>
          <w:szCs w:val="20"/>
        </w:rPr>
        <w:footnoteReference w:id="92"/>
      </w:r>
      <w:r w:rsidRPr="00CD60C7">
        <w:rPr>
          <w:rFonts w:ascii="Cambria" w:hAnsi="Cambria"/>
          <w:sz w:val="20"/>
          <w:szCs w:val="20"/>
        </w:rPr>
        <w:t xml:space="preserve"> The Ombudsperson's Office singled out as one issue in the Judiciary the failure to execute judgments against a State entity.</w:t>
      </w:r>
      <w:r w:rsidRPr="00CD60C7">
        <w:rPr>
          <w:rStyle w:val="Refdenotaalpie"/>
          <w:rFonts w:ascii="Cambria" w:hAnsi="Cambria"/>
          <w:sz w:val="20"/>
          <w:szCs w:val="20"/>
        </w:rPr>
        <w:footnoteReference w:id="93"/>
      </w:r>
      <w:r w:rsidRPr="00CD60C7">
        <w:rPr>
          <w:rFonts w:ascii="Cambria" w:hAnsi="Cambria"/>
          <w:sz w:val="20"/>
          <w:szCs w:val="20"/>
        </w:rPr>
        <w:t xml:space="preserve"> It stated that since the Office had been established in 1993, it had processed some 101 complaints filed against a number of State entities for failure to comply with final judgments against them.</w:t>
      </w:r>
      <w:r w:rsidRPr="00CD60C7">
        <w:rPr>
          <w:rStyle w:val="Refdenotaalpie"/>
          <w:rFonts w:ascii="Cambria" w:hAnsi="Cambria"/>
          <w:sz w:val="20"/>
          <w:szCs w:val="20"/>
        </w:rPr>
        <w:footnoteReference w:id="94"/>
      </w:r>
      <w:r w:rsidRPr="00CD60C7">
        <w:rPr>
          <w:rFonts w:ascii="Cambria" w:hAnsi="Cambria"/>
          <w:sz w:val="20"/>
          <w:szCs w:val="20"/>
        </w:rPr>
        <w:t xml:space="preserve"> It pointed out that over half the complaints referred to "court mandates on labor matters that are then ignored."</w:t>
      </w:r>
      <w:r w:rsidRPr="00CD60C7">
        <w:rPr>
          <w:rStyle w:val="Refdenotaalpie"/>
          <w:rFonts w:ascii="Cambria" w:hAnsi="Cambria"/>
          <w:sz w:val="20"/>
          <w:szCs w:val="20"/>
        </w:rPr>
        <w:footnoteReference w:id="95"/>
      </w:r>
      <w:r w:rsidRPr="00CD60C7">
        <w:rPr>
          <w:rFonts w:ascii="Cambria" w:hAnsi="Cambria"/>
          <w:sz w:val="20"/>
          <w:szCs w:val="20"/>
        </w:rPr>
        <w:t xml:space="preserve"> The Office of the Ombudsperson explained that the vast majority of cases refer to judicial mandates that "involve complying with a financial obligation [such as] the adjustment of pensions."</w:t>
      </w:r>
      <w:r w:rsidRPr="00CD60C7">
        <w:rPr>
          <w:rStyle w:val="Refdenotaalpie"/>
          <w:rFonts w:ascii="Cambria" w:hAnsi="Cambria"/>
          <w:sz w:val="20"/>
          <w:szCs w:val="20"/>
        </w:rPr>
        <w:footnoteReference w:id="96"/>
      </w:r>
      <w:r w:rsidRPr="00CD60C7">
        <w:rPr>
          <w:rFonts w:ascii="Cambria" w:hAnsi="Cambria"/>
          <w:sz w:val="20"/>
          <w:szCs w:val="20"/>
        </w:rPr>
        <w:t xml:space="preserve"> </w:t>
      </w:r>
    </w:p>
    <w:p w:rsidR="008C213F" w:rsidRPr="00CD60C7" w:rsidRDefault="008C213F" w:rsidP="00BC6020">
      <w:pPr>
        <w:jc w:val="both"/>
        <w:rPr>
          <w:rFonts w:ascii="Cambria" w:hAnsi="Cambria"/>
          <w:sz w:val="20"/>
          <w:szCs w:val="20"/>
        </w:rPr>
      </w:pPr>
    </w:p>
    <w:p w:rsidR="008C213F" w:rsidRPr="00CD60C7" w:rsidRDefault="008C213F" w:rsidP="00BC6020">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D652B3">
        <w:rPr>
          <w:rFonts w:ascii="Cambria" w:hAnsi="Cambria"/>
          <w:color w:val="auto"/>
          <w:sz w:val="20"/>
          <w:szCs w:val="20"/>
          <w:lang w:val="en-US"/>
        </w:rPr>
        <w:t xml:space="preserve">The IACHR takes note that the Ombudsperson's Office pronounced expressly on cases of judgments admitting </w:t>
      </w:r>
      <w:proofErr w:type="spellStart"/>
      <w:r w:rsidRPr="00D652B3">
        <w:rPr>
          <w:rFonts w:ascii="Cambria" w:hAnsi="Cambria"/>
          <w:color w:val="auto"/>
          <w:sz w:val="20"/>
          <w:szCs w:val="20"/>
          <w:lang w:val="en-US"/>
        </w:rPr>
        <w:t>amparo</w:t>
      </w:r>
      <w:proofErr w:type="spellEnd"/>
      <w:r w:rsidRPr="00D652B3">
        <w:rPr>
          <w:rFonts w:ascii="Cambria" w:hAnsi="Cambria"/>
          <w:color w:val="auto"/>
          <w:sz w:val="20"/>
          <w:szCs w:val="20"/>
          <w:lang w:val="en-US"/>
        </w:rPr>
        <w:t xml:space="preserve"> actions brought by former workers seeking payment of their pensions pursuant to Decree Law 20530.</w:t>
      </w:r>
      <w:r w:rsidRPr="00CD60C7">
        <w:rPr>
          <w:rStyle w:val="Refdenotaalpie"/>
          <w:rFonts w:ascii="Cambria" w:eastAsia="MS Gothic" w:hAnsi="Cambria"/>
          <w:color w:val="auto"/>
          <w:sz w:val="20"/>
          <w:szCs w:val="20"/>
        </w:rPr>
        <w:footnoteReference w:id="97"/>
      </w:r>
      <w:r w:rsidRPr="00D652B3">
        <w:rPr>
          <w:rFonts w:ascii="Cambria" w:hAnsi="Cambria"/>
          <w:color w:val="auto"/>
          <w:sz w:val="20"/>
          <w:szCs w:val="20"/>
          <w:lang w:val="en-US"/>
        </w:rPr>
        <w:t xml:space="preserve"> </w:t>
      </w:r>
      <w:r w:rsidRPr="00CD60C7">
        <w:rPr>
          <w:rFonts w:ascii="Cambria" w:hAnsi="Cambria"/>
          <w:color w:val="auto"/>
          <w:sz w:val="20"/>
          <w:szCs w:val="20"/>
        </w:rPr>
        <w:t xml:space="preserve">In </w:t>
      </w:r>
      <w:proofErr w:type="spellStart"/>
      <w:r w:rsidRPr="00CD60C7">
        <w:rPr>
          <w:rFonts w:ascii="Cambria" w:hAnsi="Cambria"/>
          <w:color w:val="auto"/>
          <w:sz w:val="20"/>
          <w:szCs w:val="20"/>
        </w:rPr>
        <w:t>its</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report</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the</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Ombudsperson's</w:t>
      </w:r>
      <w:proofErr w:type="spellEnd"/>
      <w:r w:rsidRPr="00CD60C7">
        <w:rPr>
          <w:rFonts w:ascii="Cambria" w:hAnsi="Cambria"/>
          <w:color w:val="auto"/>
          <w:sz w:val="20"/>
          <w:szCs w:val="20"/>
        </w:rPr>
        <w:t xml:space="preserve"> Office </w:t>
      </w:r>
      <w:proofErr w:type="spellStart"/>
      <w:r w:rsidRPr="00CD60C7">
        <w:rPr>
          <w:rFonts w:ascii="Cambria" w:hAnsi="Cambria"/>
          <w:color w:val="auto"/>
          <w:sz w:val="20"/>
          <w:szCs w:val="20"/>
        </w:rPr>
        <w:t>concluded</w:t>
      </w:r>
      <w:proofErr w:type="spellEnd"/>
      <w:r w:rsidRPr="00CD60C7">
        <w:rPr>
          <w:rFonts w:ascii="Cambria" w:hAnsi="Cambria"/>
          <w:color w:val="auto"/>
          <w:sz w:val="20"/>
          <w:szCs w:val="20"/>
        </w:rPr>
        <w:t xml:space="preserve"> </w:t>
      </w:r>
      <w:proofErr w:type="spellStart"/>
      <w:r w:rsidRPr="00CD60C7">
        <w:rPr>
          <w:rFonts w:ascii="Cambria" w:hAnsi="Cambria"/>
          <w:color w:val="auto"/>
          <w:sz w:val="20"/>
          <w:szCs w:val="20"/>
        </w:rPr>
        <w:t>that</w:t>
      </w:r>
      <w:proofErr w:type="spellEnd"/>
      <w:r w:rsidRPr="00CD60C7">
        <w:rPr>
          <w:rFonts w:ascii="Cambria" w:hAnsi="Cambria"/>
          <w:color w:val="auto"/>
          <w:sz w:val="20"/>
          <w:szCs w:val="20"/>
        </w:rPr>
        <w:t>:</w:t>
      </w:r>
    </w:p>
    <w:p w:rsidR="008C213F" w:rsidRPr="00CD60C7" w:rsidRDefault="008C213F" w:rsidP="00BC6020">
      <w:pPr>
        <w:pStyle w:val="ColorfulList-Accent12"/>
        <w:rPr>
          <w:color w:val="auto"/>
          <w:sz w:val="20"/>
          <w:szCs w:val="20"/>
        </w:rPr>
      </w:pP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D652B3">
        <w:rPr>
          <w:rFonts w:ascii="Cambria" w:hAnsi="Cambria"/>
          <w:color w:val="auto"/>
          <w:sz w:val="20"/>
          <w:szCs w:val="20"/>
          <w:lang w:val="en-US"/>
        </w:rPr>
        <w:t>(...) failure to execute a judgment against a State entity would amount to evasion of the State's responsibility to comply with its obligations (...).</w:t>
      </w: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p>
    <w:p w:rsidR="008C213F" w:rsidRPr="00D652B3" w:rsidRDefault="008C213F" w:rsidP="00BC60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D652B3">
        <w:rPr>
          <w:rFonts w:ascii="Cambria" w:hAnsi="Cambria"/>
          <w:color w:val="auto"/>
          <w:sz w:val="20"/>
          <w:szCs w:val="20"/>
          <w:lang w:val="en-US"/>
        </w:rPr>
        <w:t xml:space="preserve">The judge enforcing the judgment must render criminal liability effective by filing the corresponding complaint against public servants who fail to comply with judicial mandates either through a flat refusal, or by unreasonably delaying compliance with some administrative prerequisite, or by arguing a legal impossibility to comply based on an incorrect interpretation </w:t>
      </w:r>
      <w:proofErr w:type="gramStart"/>
      <w:r w:rsidRPr="00D652B3">
        <w:rPr>
          <w:rFonts w:ascii="Cambria" w:hAnsi="Cambria"/>
          <w:color w:val="auto"/>
          <w:sz w:val="20"/>
          <w:szCs w:val="20"/>
          <w:lang w:val="en-US"/>
        </w:rPr>
        <w:t>of  provisions</w:t>
      </w:r>
      <w:proofErr w:type="gramEnd"/>
      <w:r w:rsidRPr="00D652B3">
        <w:rPr>
          <w:rFonts w:ascii="Cambria" w:hAnsi="Cambria"/>
          <w:color w:val="auto"/>
          <w:sz w:val="20"/>
          <w:szCs w:val="20"/>
          <w:lang w:val="en-US"/>
        </w:rPr>
        <w:t>.</w:t>
      </w:r>
      <w:r w:rsidRPr="00CD60C7">
        <w:rPr>
          <w:rStyle w:val="Refdenotaalpie"/>
          <w:rFonts w:ascii="Cambria" w:eastAsia="MS Gothic" w:hAnsi="Cambria"/>
          <w:color w:val="auto"/>
          <w:sz w:val="20"/>
          <w:szCs w:val="20"/>
        </w:rPr>
        <w:footnoteReference w:id="98"/>
      </w: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C213F" w:rsidRPr="00CD60C7" w:rsidRDefault="008C213F" w:rsidP="00251F4C">
      <w:pPr>
        <w:pStyle w:val="Ttulo3"/>
        <w:spacing w:before="0"/>
        <w:ind w:firstLine="720"/>
        <w:rPr>
          <w:color w:val="auto"/>
          <w:sz w:val="20"/>
          <w:szCs w:val="20"/>
        </w:rPr>
      </w:pPr>
      <w:bookmarkStart w:id="44" w:name="_Toc346457008"/>
      <w:r w:rsidRPr="00CD60C7">
        <w:rPr>
          <w:color w:val="auto"/>
          <w:sz w:val="20"/>
          <w:szCs w:val="20"/>
        </w:rPr>
        <w:t>3.</w:t>
      </w:r>
      <w:r w:rsidRPr="00CD60C7">
        <w:rPr>
          <w:color w:val="auto"/>
          <w:sz w:val="20"/>
          <w:szCs w:val="20"/>
        </w:rPr>
        <w:tab/>
        <w:t>Analysis of the instant case</w:t>
      </w:r>
      <w:bookmarkEnd w:id="44"/>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CD60C7">
        <w:rPr>
          <w:rFonts w:ascii="Cambria" w:hAnsi="Cambria"/>
          <w:sz w:val="20"/>
          <w:szCs w:val="20"/>
        </w:rPr>
        <w:t xml:space="preserve">As evidenced by the proven facts, there is no dispute about the fact that Mr. </w:t>
      </w:r>
      <w:proofErr w:type="spellStart"/>
      <w:r w:rsidRPr="00CD60C7">
        <w:rPr>
          <w:rFonts w:ascii="Cambria" w:hAnsi="Cambria"/>
          <w:sz w:val="20"/>
          <w:szCs w:val="20"/>
        </w:rPr>
        <w:t>Muelle</w:t>
      </w:r>
      <w:proofErr w:type="spellEnd"/>
      <w:r w:rsidRPr="00CD60C7">
        <w:rPr>
          <w:rFonts w:ascii="Cambria" w:hAnsi="Cambria"/>
          <w:sz w:val="20"/>
          <w:szCs w:val="20"/>
        </w:rPr>
        <w:t xml:space="preserve"> was included in the Decree Law 20530 pension </w:t>
      </w:r>
      <w:proofErr w:type="gramStart"/>
      <w:r w:rsidRPr="00CD60C7">
        <w:rPr>
          <w:rFonts w:ascii="Cambria" w:hAnsi="Cambria"/>
          <w:sz w:val="20"/>
          <w:szCs w:val="20"/>
        </w:rPr>
        <w:t>scheme  by</w:t>
      </w:r>
      <w:proofErr w:type="gramEnd"/>
      <w:r w:rsidRPr="00CD60C7">
        <w:rPr>
          <w:rFonts w:ascii="Cambria" w:hAnsi="Cambria"/>
          <w:sz w:val="20"/>
          <w:szCs w:val="20"/>
        </w:rPr>
        <w:t xml:space="preserve"> a resolution issued by what was then the State-owned mining company, </w:t>
      </w:r>
      <w:proofErr w:type="spellStart"/>
      <w:r w:rsidRPr="00CD60C7">
        <w:rPr>
          <w:rFonts w:ascii="Cambria" w:hAnsi="Cambria"/>
          <w:sz w:val="20"/>
          <w:szCs w:val="20"/>
        </w:rPr>
        <w:t>Tintaya</w:t>
      </w:r>
      <w:proofErr w:type="spellEnd"/>
      <w:r w:rsidRPr="00CD60C7">
        <w:rPr>
          <w:rFonts w:ascii="Cambria" w:hAnsi="Cambria"/>
          <w:sz w:val="20"/>
          <w:szCs w:val="20"/>
        </w:rPr>
        <w:t xml:space="preserve">. A couple of months later, the same company sent him a communication notifying him that application of the scheme had been suspended. Faced with that situation, Mr. </w:t>
      </w:r>
      <w:proofErr w:type="spellStart"/>
      <w:r w:rsidRPr="00CD60C7">
        <w:rPr>
          <w:rFonts w:ascii="Cambria" w:hAnsi="Cambria"/>
          <w:sz w:val="20"/>
          <w:szCs w:val="20"/>
        </w:rPr>
        <w:t>Muelle</w:t>
      </w:r>
      <w:proofErr w:type="spellEnd"/>
      <w:r w:rsidRPr="00CD60C7">
        <w:rPr>
          <w:rFonts w:ascii="Cambria" w:hAnsi="Cambria"/>
          <w:sz w:val="20"/>
          <w:szCs w:val="20"/>
        </w:rPr>
        <w:t xml:space="preserve"> filed a first action to protect his rights (</w:t>
      </w:r>
      <w:proofErr w:type="spellStart"/>
      <w:r w:rsidRPr="00CD60C7">
        <w:rPr>
          <w:rFonts w:ascii="Cambria" w:hAnsi="Cambria"/>
          <w:i/>
          <w:sz w:val="20"/>
          <w:szCs w:val="20"/>
        </w:rPr>
        <w:t>amparo</w:t>
      </w:r>
      <w:proofErr w:type="spellEnd"/>
      <w:r w:rsidRPr="00CD60C7">
        <w:rPr>
          <w:rFonts w:ascii="Cambria" w:hAnsi="Cambria"/>
          <w:sz w:val="20"/>
          <w:szCs w:val="20"/>
        </w:rPr>
        <w:t xml:space="preserve">). After going through several levels of the justice system, this </w:t>
      </w:r>
      <w:proofErr w:type="spellStart"/>
      <w:r w:rsidRPr="00CD60C7">
        <w:rPr>
          <w:rFonts w:ascii="Cambria" w:hAnsi="Cambria"/>
          <w:sz w:val="20"/>
          <w:szCs w:val="20"/>
        </w:rPr>
        <w:t>amparo</w:t>
      </w:r>
      <w:proofErr w:type="spellEnd"/>
      <w:r w:rsidRPr="00CD60C7">
        <w:rPr>
          <w:rFonts w:ascii="Cambria" w:hAnsi="Cambria"/>
          <w:sz w:val="20"/>
          <w:szCs w:val="20"/>
        </w:rPr>
        <w:t xml:space="preserve"> procedure culminated on February 2, 1993, when the Supreme Court of Justice handed down a judgment ordering Mr. </w:t>
      </w:r>
      <w:proofErr w:type="spellStart"/>
      <w:r w:rsidRPr="00CD60C7">
        <w:rPr>
          <w:rFonts w:ascii="Cambria" w:hAnsi="Cambria"/>
          <w:sz w:val="20"/>
          <w:szCs w:val="20"/>
        </w:rPr>
        <w:t>Muelle's</w:t>
      </w:r>
      <w:proofErr w:type="spellEnd"/>
      <w:r w:rsidRPr="00CD60C7">
        <w:rPr>
          <w:rFonts w:ascii="Cambria" w:hAnsi="Cambria"/>
          <w:sz w:val="20"/>
          <w:szCs w:val="20"/>
        </w:rPr>
        <w:t xml:space="preserve"> reincorporation into the Decree Law 20530 pension scheme. </w:t>
      </w: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CD60C7">
        <w:rPr>
          <w:rFonts w:ascii="Cambria" w:hAnsi="Cambria"/>
          <w:sz w:val="20"/>
          <w:szCs w:val="20"/>
        </w:rPr>
        <w:t xml:space="preserve">Barely a few days after that judgment, the then State-owned mining enterprise issued a Decision suspending payment of pensions in a manner that went against the rights that had been recognized in favor of Mr. </w:t>
      </w:r>
      <w:proofErr w:type="spellStart"/>
      <w:r w:rsidRPr="00CD60C7">
        <w:rPr>
          <w:rFonts w:ascii="Cambria" w:hAnsi="Cambria"/>
          <w:sz w:val="20"/>
          <w:szCs w:val="20"/>
        </w:rPr>
        <w:t>Muelle</w:t>
      </w:r>
      <w:proofErr w:type="spellEnd"/>
      <w:r w:rsidRPr="00CD60C7">
        <w:rPr>
          <w:rFonts w:ascii="Cambria" w:hAnsi="Cambria"/>
          <w:sz w:val="20"/>
          <w:szCs w:val="20"/>
        </w:rPr>
        <w:t xml:space="preserve">. This led the petitioner to file a second </w:t>
      </w:r>
      <w:proofErr w:type="spellStart"/>
      <w:r w:rsidRPr="00CD60C7">
        <w:rPr>
          <w:rFonts w:ascii="Cambria" w:hAnsi="Cambria"/>
          <w:sz w:val="20"/>
          <w:szCs w:val="20"/>
        </w:rPr>
        <w:t>amparo</w:t>
      </w:r>
      <w:proofErr w:type="spellEnd"/>
      <w:r w:rsidRPr="00CD60C7">
        <w:rPr>
          <w:rFonts w:ascii="Cambria" w:hAnsi="Cambria"/>
          <w:sz w:val="20"/>
          <w:szCs w:val="20"/>
        </w:rPr>
        <w:t xml:space="preserve"> action that was resolved in final instance by the Constitutional Court in 1999, which ordered payment of his adjustable pension as he had been receiving it the first months. </w:t>
      </w: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CD60C7">
        <w:rPr>
          <w:rFonts w:ascii="Cambria" w:hAnsi="Cambria"/>
          <w:sz w:val="20"/>
          <w:szCs w:val="20"/>
        </w:rPr>
        <w:t xml:space="preserve">While that judgment was still pending, another judicial ruling in Mr. </w:t>
      </w:r>
      <w:proofErr w:type="spellStart"/>
      <w:r w:rsidRPr="00CD60C7">
        <w:rPr>
          <w:rFonts w:ascii="Cambria" w:hAnsi="Cambria"/>
          <w:sz w:val="20"/>
          <w:szCs w:val="20"/>
        </w:rPr>
        <w:t>Muelle's</w:t>
      </w:r>
      <w:proofErr w:type="spellEnd"/>
      <w:r w:rsidRPr="00CD60C7">
        <w:rPr>
          <w:rFonts w:ascii="Cambria" w:hAnsi="Cambria"/>
          <w:sz w:val="20"/>
          <w:szCs w:val="20"/>
        </w:rPr>
        <w:t xml:space="preserve"> favor had been issued in connection with an action filed by the company. On that occasion, the judicial authorities declared the legality of Mr. </w:t>
      </w:r>
      <w:proofErr w:type="spellStart"/>
      <w:r w:rsidRPr="00CD60C7">
        <w:rPr>
          <w:rFonts w:ascii="Cambria" w:hAnsi="Cambria"/>
          <w:sz w:val="20"/>
          <w:szCs w:val="20"/>
        </w:rPr>
        <w:t>Muelle's</w:t>
      </w:r>
      <w:proofErr w:type="spellEnd"/>
      <w:r w:rsidRPr="00CD60C7">
        <w:rPr>
          <w:rFonts w:ascii="Cambria" w:hAnsi="Cambria"/>
          <w:sz w:val="20"/>
          <w:szCs w:val="20"/>
        </w:rPr>
        <w:t xml:space="preserve"> reincorporation into the Decree Law 20530 pension scheme. </w:t>
      </w: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CD60C7">
        <w:rPr>
          <w:rFonts w:ascii="Cambria" w:hAnsi="Cambria"/>
          <w:sz w:val="20"/>
          <w:szCs w:val="20"/>
        </w:rPr>
        <w:t>In addition</w:t>
      </w:r>
      <w:proofErr w:type="gramStart"/>
      <w:r w:rsidRPr="00CD60C7">
        <w:rPr>
          <w:rFonts w:ascii="Cambria" w:hAnsi="Cambria"/>
          <w:sz w:val="20"/>
          <w:szCs w:val="20"/>
        </w:rPr>
        <w:t>,,</w:t>
      </w:r>
      <w:proofErr w:type="gramEnd"/>
      <w:r w:rsidRPr="00CD60C7">
        <w:rPr>
          <w:rFonts w:ascii="Cambria" w:hAnsi="Cambria"/>
          <w:sz w:val="20"/>
          <w:szCs w:val="20"/>
        </w:rPr>
        <w:t xml:space="preserve"> in connection with the process of execution of the Supreme Court's judgment of February 1993, there were multiple judicial pronouncements determining that said judgment had not been complied with. Thus, on December 18, 1995, the company was found to b</w:t>
      </w:r>
      <w:r w:rsidR="00251F4C" w:rsidRPr="00CD60C7">
        <w:rPr>
          <w:rFonts w:ascii="Cambria" w:hAnsi="Cambria"/>
          <w:sz w:val="20"/>
          <w:szCs w:val="20"/>
        </w:rPr>
        <w:t xml:space="preserve">e blocking compliance with the </w:t>
      </w:r>
      <w:r w:rsidRPr="00CD60C7">
        <w:rPr>
          <w:rFonts w:ascii="Cambria" w:hAnsi="Cambria"/>
          <w:sz w:val="20"/>
          <w:szCs w:val="20"/>
        </w:rPr>
        <w:t xml:space="preserve">judgment and it was ordered to execute it within three days. That order was reiterated at least three times: on April 7, 1997; January 5, 2009; and March 23, 2009. The Commission stresses that, even though noncompliance with the judgment was evident, none of the judicial authorities hearing the execution of judgment proceedings established any coercive mechanism to ensure that Mr. </w:t>
      </w:r>
      <w:proofErr w:type="spellStart"/>
      <w:r w:rsidRPr="00CD60C7">
        <w:rPr>
          <w:rFonts w:ascii="Cambria" w:hAnsi="Cambria"/>
          <w:sz w:val="20"/>
          <w:szCs w:val="20"/>
        </w:rPr>
        <w:t>Muelle's</w:t>
      </w:r>
      <w:proofErr w:type="spellEnd"/>
      <w:r w:rsidRPr="00CD60C7">
        <w:rPr>
          <w:rFonts w:ascii="Cambria" w:hAnsi="Cambria"/>
          <w:sz w:val="20"/>
          <w:szCs w:val="20"/>
        </w:rPr>
        <w:t xml:space="preserve"> recognized right would actually be exercised.</w:t>
      </w:r>
    </w:p>
    <w:p w:rsidR="008C213F" w:rsidRPr="00CD60C7" w:rsidRDefault="008C213F" w:rsidP="00BC6020">
      <w:pPr>
        <w:pStyle w:val="ColorfulList-Accent12"/>
        <w:ind w:left="0"/>
        <w:rPr>
          <w:color w:val="auto"/>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CD60C7">
        <w:rPr>
          <w:rFonts w:ascii="Cambria" w:hAnsi="Cambria"/>
          <w:sz w:val="20"/>
          <w:szCs w:val="20"/>
        </w:rPr>
        <w:t>In addition, the IACHR notes that one of the arguments adduced by the company for not complying with that judgment was that the company had been privatized after the ruling had been issued. Here, the Commission notes that the United Nations Committee on Economic, Social and Cultural Rights has maintained that States must guarantee that State-owned company privatization measures do not "undermine workers' rights."</w:t>
      </w:r>
      <w:r w:rsidRPr="00CD60C7">
        <w:rPr>
          <w:rStyle w:val="Refdenotaalpie"/>
          <w:rFonts w:ascii="Cambria" w:hAnsi="Cambria"/>
          <w:sz w:val="20"/>
          <w:szCs w:val="20"/>
        </w:rPr>
        <w:footnoteReference w:id="99"/>
      </w:r>
      <w:r w:rsidRPr="00CD60C7">
        <w:rPr>
          <w:rFonts w:ascii="Cambria" w:hAnsi="Cambria"/>
          <w:sz w:val="20"/>
          <w:szCs w:val="20"/>
        </w:rPr>
        <w:t xml:space="preserve"> </w:t>
      </w: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EA251E" w:rsidRPr="00CD60C7" w:rsidRDefault="00EA251E"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CD60C7">
        <w:rPr>
          <w:rFonts w:ascii="Cambria" w:hAnsi="Cambria"/>
          <w:sz w:val="20"/>
          <w:szCs w:val="20"/>
        </w:rPr>
        <w:t xml:space="preserve">In the same sense, the European Court </w:t>
      </w:r>
      <w:r w:rsidR="00251F4C" w:rsidRPr="00CD60C7">
        <w:rPr>
          <w:rFonts w:ascii="Cambria" w:hAnsi="Cambria"/>
          <w:sz w:val="20"/>
          <w:szCs w:val="20"/>
        </w:rPr>
        <w:t>analyzed</w:t>
      </w:r>
      <w:r w:rsidRPr="00CD60C7">
        <w:rPr>
          <w:rFonts w:ascii="Cambria" w:hAnsi="Cambria"/>
          <w:sz w:val="20"/>
          <w:szCs w:val="20"/>
        </w:rPr>
        <w:t xml:space="preserve"> a case similar to the present one. In </w:t>
      </w:r>
      <w:r w:rsidRPr="00CD60C7">
        <w:rPr>
          <w:rFonts w:ascii="Cambria" w:hAnsi="Cambria"/>
          <w:i/>
          <w:sz w:val="20"/>
          <w:szCs w:val="20"/>
        </w:rPr>
        <w:t>Arras et al. V. Italy</w:t>
      </w:r>
      <w:r w:rsidRPr="00CD60C7">
        <w:rPr>
          <w:rFonts w:ascii="Cambria" w:hAnsi="Cambria"/>
          <w:sz w:val="20"/>
          <w:szCs w:val="20"/>
        </w:rPr>
        <w:t xml:space="preserve"> a group of former employees of a </w:t>
      </w:r>
      <w:r w:rsidR="00251F4C" w:rsidRPr="00CD60C7">
        <w:rPr>
          <w:rFonts w:ascii="Cambria" w:hAnsi="Cambria"/>
          <w:sz w:val="20"/>
          <w:szCs w:val="20"/>
        </w:rPr>
        <w:t>public</w:t>
      </w:r>
      <w:r w:rsidRPr="00CD60C7">
        <w:rPr>
          <w:rFonts w:ascii="Cambria" w:hAnsi="Cambria"/>
          <w:sz w:val="20"/>
          <w:szCs w:val="20"/>
        </w:rPr>
        <w:t xml:space="preserve"> bank, which was subsequently privatized, suffered a reduction in their pensions. These people sued the bank and, after several instances, the Court of Cassation considered that the former workers should not have been affected by the decrease of their pensions. </w:t>
      </w:r>
      <w:r w:rsidR="00251F4C" w:rsidRPr="00CD60C7">
        <w:rPr>
          <w:rFonts w:ascii="Cambria" w:hAnsi="Cambria"/>
          <w:sz w:val="20"/>
          <w:szCs w:val="20"/>
        </w:rPr>
        <w:t>Despite this ruling</w:t>
      </w:r>
      <w:r w:rsidRPr="00CD60C7">
        <w:rPr>
          <w:rFonts w:ascii="Cambria" w:hAnsi="Cambria"/>
          <w:sz w:val="20"/>
          <w:szCs w:val="20"/>
        </w:rPr>
        <w:t xml:space="preserve">, their pensions were not modified. The European Court considered that the privatization of the </w:t>
      </w:r>
      <w:r w:rsidRPr="00CD60C7">
        <w:rPr>
          <w:rFonts w:ascii="Cambria" w:hAnsi="Cambria"/>
          <w:sz w:val="20"/>
          <w:szCs w:val="20"/>
        </w:rPr>
        <w:lastRenderedPageBreak/>
        <w:t xml:space="preserve">company was not an element to be taken into account when analyzing the right to effective judicial protection of </w:t>
      </w:r>
      <w:r w:rsidR="00251F4C" w:rsidRPr="00CD60C7">
        <w:rPr>
          <w:rFonts w:ascii="Cambria" w:hAnsi="Cambria"/>
          <w:sz w:val="20"/>
          <w:szCs w:val="20"/>
        </w:rPr>
        <w:t xml:space="preserve">the </w:t>
      </w:r>
      <w:r w:rsidRPr="00CD60C7">
        <w:rPr>
          <w:rFonts w:ascii="Cambria" w:hAnsi="Cambria"/>
          <w:sz w:val="20"/>
          <w:szCs w:val="20"/>
        </w:rPr>
        <w:t>pensioners</w:t>
      </w:r>
      <w:r w:rsidRPr="00CD60C7">
        <w:rPr>
          <w:rStyle w:val="Refdenotaalpie"/>
          <w:rFonts w:ascii="Cambria" w:hAnsi="Cambria"/>
          <w:sz w:val="20"/>
          <w:szCs w:val="20"/>
        </w:rPr>
        <w:footnoteReference w:id="100"/>
      </w:r>
      <w:r w:rsidRPr="00CD60C7">
        <w:rPr>
          <w:rFonts w:ascii="Cambria" w:hAnsi="Cambria"/>
          <w:sz w:val="20"/>
          <w:szCs w:val="20"/>
        </w:rPr>
        <w:t>.</w:t>
      </w:r>
    </w:p>
    <w:p w:rsidR="00EA251E" w:rsidRPr="00CD60C7" w:rsidRDefault="00EA251E" w:rsidP="00BC602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CD60C7">
        <w:rPr>
          <w:rFonts w:ascii="Cambria" w:hAnsi="Cambria"/>
          <w:sz w:val="20"/>
          <w:szCs w:val="20"/>
        </w:rPr>
        <w:t xml:space="preserve">The IACHR agrees with the Committee's </w:t>
      </w:r>
      <w:r w:rsidR="00EA251E" w:rsidRPr="00CD60C7">
        <w:rPr>
          <w:rFonts w:ascii="Cambria" w:hAnsi="Cambria"/>
          <w:sz w:val="20"/>
          <w:szCs w:val="20"/>
        </w:rPr>
        <w:t xml:space="preserve">and the European Court of Human Rights’ </w:t>
      </w:r>
      <w:r w:rsidRPr="00CD60C7">
        <w:rPr>
          <w:rFonts w:ascii="Cambria" w:hAnsi="Cambria"/>
          <w:sz w:val="20"/>
          <w:szCs w:val="20"/>
        </w:rPr>
        <w:t xml:space="preserve">comments and considers that the right to effective judicial protection required the State to ensure that privatization of the State-owned company did not strip Mr. </w:t>
      </w:r>
      <w:proofErr w:type="spellStart"/>
      <w:r w:rsidRPr="00CD60C7">
        <w:rPr>
          <w:rFonts w:ascii="Cambria" w:hAnsi="Cambria"/>
          <w:sz w:val="20"/>
          <w:szCs w:val="20"/>
        </w:rPr>
        <w:t>Muelle</w:t>
      </w:r>
      <w:proofErr w:type="spellEnd"/>
      <w:r w:rsidRPr="00CD60C7">
        <w:rPr>
          <w:rFonts w:ascii="Cambria" w:hAnsi="Cambria"/>
          <w:sz w:val="20"/>
          <w:szCs w:val="20"/>
        </w:rPr>
        <w:t xml:space="preserve"> of his judicially recognized pension rights. The Commission has no information regarding any measure adopted by the State to ensure that privatization of the company would not deprive the petitioner of his right to effective judicial protection. </w:t>
      </w: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CD60C7">
        <w:rPr>
          <w:rFonts w:ascii="Cambria" w:hAnsi="Cambria"/>
          <w:sz w:val="20"/>
          <w:szCs w:val="20"/>
        </w:rPr>
        <w:t xml:space="preserve">The Commission also points out that the resolutions issued during the execution stage of the Supreme Court judgment did not examine that situation in detail or its implications for Mr. </w:t>
      </w:r>
      <w:proofErr w:type="spellStart"/>
      <w:r w:rsidRPr="00CD60C7">
        <w:rPr>
          <w:rFonts w:ascii="Cambria" w:hAnsi="Cambria"/>
          <w:sz w:val="20"/>
          <w:szCs w:val="20"/>
        </w:rPr>
        <w:t>Muelle's</w:t>
      </w:r>
      <w:proofErr w:type="spellEnd"/>
      <w:r w:rsidRPr="00CD60C7">
        <w:rPr>
          <w:rFonts w:ascii="Cambria" w:hAnsi="Cambria"/>
          <w:sz w:val="20"/>
          <w:szCs w:val="20"/>
        </w:rPr>
        <w:t xml:space="preserve"> rights. That was another factor that delayed the compliance procedure and, ultimately, made it impossible for </w:t>
      </w:r>
      <w:proofErr w:type="gramStart"/>
      <w:r w:rsidRPr="00CD60C7">
        <w:rPr>
          <w:rFonts w:ascii="Cambria" w:hAnsi="Cambria"/>
          <w:sz w:val="20"/>
          <w:szCs w:val="20"/>
        </w:rPr>
        <w:t>the  rulings</w:t>
      </w:r>
      <w:proofErr w:type="gramEnd"/>
      <w:r w:rsidRPr="00CD60C7">
        <w:rPr>
          <w:rFonts w:ascii="Cambria" w:hAnsi="Cambria"/>
          <w:sz w:val="20"/>
          <w:szCs w:val="20"/>
        </w:rPr>
        <w:t xml:space="preserve"> in favor of the petitioner to be effectively executed by the company or another State authority. In fact, no steps were taken to verify whether the privatized company had or had not taken on the State-owned company's liabilities.  </w:t>
      </w:r>
      <w:proofErr w:type="gramStart"/>
      <w:r w:rsidRPr="00CD60C7">
        <w:rPr>
          <w:rFonts w:ascii="Cambria" w:hAnsi="Cambria"/>
          <w:sz w:val="20"/>
          <w:szCs w:val="20"/>
        </w:rPr>
        <w:t>and</w:t>
      </w:r>
      <w:proofErr w:type="gramEnd"/>
      <w:r w:rsidRPr="00CD60C7">
        <w:rPr>
          <w:rFonts w:ascii="Cambria" w:hAnsi="Cambria"/>
          <w:sz w:val="20"/>
          <w:szCs w:val="20"/>
        </w:rPr>
        <w:t>,  if it had not, to determine which State authority was responsible with complying with the Supreme Cour</w:t>
      </w:r>
      <w:r w:rsidR="00EA251E" w:rsidRPr="00CD60C7">
        <w:rPr>
          <w:rFonts w:ascii="Cambria" w:hAnsi="Cambria"/>
          <w:sz w:val="20"/>
          <w:szCs w:val="20"/>
        </w:rPr>
        <w:t xml:space="preserve">t's decision. On the contrary, </w:t>
      </w:r>
      <w:r w:rsidRPr="00CD60C7">
        <w:rPr>
          <w:rFonts w:ascii="Cambria" w:hAnsi="Cambria"/>
          <w:sz w:val="20"/>
          <w:szCs w:val="20"/>
        </w:rPr>
        <w:t xml:space="preserve">the judicial authorities responsible for overseeing execution of judgment limited </w:t>
      </w:r>
      <w:proofErr w:type="gramStart"/>
      <w:r w:rsidRPr="00CD60C7">
        <w:rPr>
          <w:rFonts w:ascii="Cambria" w:hAnsi="Cambria"/>
          <w:sz w:val="20"/>
          <w:szCs w:val="20"/>
        </w:rPr>
        <w:t>themselves</w:t>
      </w:r>
      <w:proofErr w:type="gramEnd"/>
      <w:r w:rsidRPr="00CD60C7">
        <w:rPr>
          <w:rFonts w:ascii="Cambria" w:hAnsi="Cambria"/>
          <w:sz w:val="20"/>
          <w:szCs w:val="20"/>
        </w:rPr>
        <w:t xml:space="preserve"> to the conclusion that it had not been proven whether the privatized company had taken over the State-owned company's liabilities. Consequently, in addition to the company's failure to comply and the failure to adopt measures to avoid its privatization violating Mr. </w:t>
      </w:r>
      <w:proofErr w:type="spellStart"/>
      <w:r w:rsidRPr="00CD60C7">
        <w:rPr>
          <w:rFonts w:ascii="Cambria" w:hAnsi="Cambria"/>
          <w:sz w:val="20"/>
          <w:szCs w:val="20"/>
        </w:rPr>
        <w:t>Muelle's</w:t>
      </w:r>
      <w:proofErr w:type="spellEnd"/>
      <w:r w:rsidRPr="00CD60C7">
        <w:rPr>
          <w:rFonts w:ascii="Cambria" w:hAnsi="Cambria"/>
          <w:sz w:val="20"/>
          <w:szCs w:val="20"/>
        </w:rPr>
        <w:t xml:space="preserve"> rights, the judgment execution process also failed to comply with its essential purpose and therefore turned out to be ineffective.</w:t>
      </w: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8C213F" w:rsidRPr="00D652B3"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CD60C7">
        <w:rPr>
          <w:rFonts w:ascii="Cambria" w:hAnsi="Cambria"/>
          <w:sz w:val="20"/>
          <w:szCs w:val="20"/>
        </w:rPr>
        <w:t xml:space="preserve">In light of the above, the Commission considered that, 24 years after the first judicial ruling in Mr. </w:t>
      </w:r>
      <w:proofErr w:type="spellStart"/>
      <w:r w:rsidRPr="00CD60C7">
        <w:rPr>
          <w:rFonts w:ascii="Cambria" w:hAnsi="Cambria"/>
          <w:sz w:val="20"/>
          <w:szCs w:val="20"/>
        </w:rPr>
        <w:t>Muelle's</w:t>
      </w:r>
      <w:proofErr w:type="spellEnd"/>
      <w:r w:rsidRPr="00CD60C7">
        <w:rPr>
          <w:rFonts w:ascii="Cambria" w:hAnsi="Cambria"/>
          <w:sz w:val="20"/>
          <w:szCs w:val="20"/>
        </w:rPr>
        <w:t xml:space="preserve"> favor, the State continues to violate his right to effective judicial protection, given the failure to execute </w:t>
      </w:r>
      <w:r w:rsidRPr="00D652B3">
        <w:rPr>
          <w:rFonts w:ascii="Cambria" w:hAnsi="Cambria"/>
          <w:sz w:val="20"/>
          <w:szCs w:val="20"/>
        </w:rPr>
        <w:t>final judgments handed down in his f</w:t>
      </w:r>
      <w:r w:rsidR="00EA251E" w:rsidRPr="00D652B3">
        <w:rPr>
          <w:rFonts w:ascii="Cambria" w:hAnsi="Cambria"/>
          <w:sz w:val="20"/>
          <w:szCs w:val="20"/>
        </w:rPr>
        <w:t>avor and the ineffectiveness of</w:t>
      </w:r>
      <w:r w:rsidRPr="00D652B3">
        <w:rPr>
          <w:rFonts w:ascii="Cambria" w:hAnsi="Cambria"/>
          <w:sz w:val="20"/>
          <w:szCs w:val="20"/>
        </w:rPr>
        <w:t xml:space="preserve"> judicial mechanisms subsequently activated to achieve said compliance. </w:t>
      </w:r>
      <w:r w:rsidR="00EA251E" w:rsidRPr="00D652B3">
        <w:rPr>
          <w:rFonts w:ascii="Cambria" w:hAnsi="Cambria"/>
          <w:sz w:val="20"/>
          <w:szCs w:val="20"/>
        </w:rPr>
        <w:t xml:space="preserve">This situation left Mr. </w:t>
      </w:r>
      <w:proofErr w:type="spellStart"/>
      <w:r w:rsidR="00EA251E" w:rsidRPr="00D652B3">
        <w:rPr>
          <w:rFonts w:ascii="Cambria" w:hAnsi="Cambria"/>
          <w:sz w:val="20"/>
          <w:szCs w:val="20"/>
        </w:rPr>
        <w:t>Muelle</w:t>
      </w:r>
      <w:proofErr w:type="spellEnd"/>
      <w:r w:rsidR="00EA251E" w:rsidRPr="00D652B3">
        <w:rPr>
          <w:rFonts w:ascii="Cambria" w:hAnsi="Cambria"/>
          <w:sz w:val="20"/>
          <w:szCs w:val="20"/>
        </w:rPr>
        <w:t xml:space="preserve"> </w:t>
      </w:r>
      <w:r w:rsidRPr="00D652B3">
        <w:rPr>
          <w:rFonts w:ascii="Cambria" w:hAnsi="Cambria"/>
          <w:sz w:val="20"/>
          <w:szCs w:val="20"/>
        </w:rPr>
        <w:t xml:space="preserve">defenseless and in a still ongoing state of legal uncertainty that, to this day, has prevented him from duly re-establishing rights recognized by the competent authorities.  </w:t>
      </w:r>
    </w:p>
    <w:p w:rsidR="008C213F" w:rsidRPr="00D652B3"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C213F" w:rsidRPr="00D652B3"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D652B3">
        <w:rPr>
          <w:rFonts w:ascii="Cambria" w:hAnsi="Cambria"/>
          <w:sz w:val="20"/>
          <w:szCs w:val="20"/>
        </w:rPr>
        <w:t>The Commission has therefore concluded that the Peruvian State is responsible for violation of rights established in Articles 25.1, and 25.2.c) of the American Convention, in conjunction with the obligations contained in Article 1(</w:t>
      </w:r>
      <w:r w:rsidR="00BC6020" w:rsidRPr="00D652B3">
        <w:rPr>
          <w:rFonts w:ascii="Cambria" w:hAnsi="Cambria"/>
          <w:sz w:val="20"/>
          <w:szCs w:val="20"/>
        </w:rPr>
        <w:t>1) thereof, to the detriment of</w:t>
      </w:r>
      <w:r w:rsidRPr="00D652B3">
        <w:rPr>
          <w:rFonts w:ascii="Cambria" w:hAnsi="Cambria"/>
          <w:sz w:val="20"/>
          <w:szCs w:val="20"/>
        </w:rPr>
        <w:t xml:space="preserve"> Mr. </w:t>
      </w:r>
      <w:proofErr w:type="spellStart"/>
      <w:r w:rsidRPr="00D652B3">
        <w:rPr>
          <w:rFonts w:ascii="Cambria" w:hAnsi="Cambria"/>
          <w:sz w:val="20"/>
          <w:szCs w:val="20"/>
        </w:rPr>
        <w:t>Muelle</w:t>
      </w:r>
      <w:proofErr w:type="spellEnd"/>
      <w:r w:rsidRPr="00D652B3">
        <w:rPr>
          <w:rFonts w:ascii="Cambria" w:hAnsi="Cambria"/>
          <w:sz w:val="20"/>
          <w:szCs w:val="20"/>
        </w:rPr>
        <w:t xml:space="preserve"> Flores. </w:t>
      </w:r>
    </w:p>
    <w:p w:rsidR="008C213F" w:rsidRPr="00D652B3"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C213F" w:rsidRPr="00D652B3" w:rsidRDefault="008C213F" w:rsidP="00BC6020">
      <w:pPr>
        <w:numPr>
          <w:ilvl w:val="0"/>
          <w:numId w:val="67"/>
        </w:numPr>
        <w:jc w:val="both"/>
        <w:rPr>
          <w:rFonts w:ascii="Cambria" w:hAnsi="Cambria"/>
          <w:sz w:val="20"/>
          <w:szCs w:val="20"/>
        </w:rPr>
      </w:pPr>
      <w:r w:rsidRPr="00D652B3">
        <w:rPr>
          <w:rFonts w:ascii="Cambria" w:hAnsi="Cambria"/>
          <w:sz w:val="20"/>
          <w:szCs w:val="20"/>
        </w:rPr>
        <w:t xml:space="preserve">In addition, and bearing in mind the above considerations, the Commission consider that Mr. </w:t>
      </w:r>
      <w:proofErr w:type="spellStart"/>
      <w:r w:rsidRPr="00D652B3">
        <w:rPr>
          <w:rFonts w:ascii="Cambria" w:hAnsi="Cambria"/>
          <w:sz w:val="20"/>
          <w:szCs w:val="20"/>
        </w:rPr>
        <w:t>Muell</w:t>
      </w:r>
      <w:r w:rsidR="00BC6020" w:rsidRPr="00D652B3">
        <w:rPr>
          <w:rFonts w:ascii="Cambria" w:hAnsi="Cambria"/>
          <w:sz w:val="20"/>
          <w:szCs w:val="20"/>
        </w:rPr>
        <w:t>e's</w:t>
      </w:r>
      <w:proofErr w:type="spellEnd"/>
      <w:r w:rsidR="00BC6020" w:rsidRPr="00D652B3">
        <w:rPr>
          <w:rFonts w:ascii="Cambria" w:hAnsi="Cambria"/>
          <w:sz w:val="20"/>
          <w:szCs w:val="20"/>
        </w:rPr>
        <w:t xml:space="preserve"> case is another example of </w:t>
      </w:r>
      <w:r w:rsidRPr="00D652B3">
        <w:rPr>
          <w:rFonts w:ascii="Cambria" w:hAnsi="Cambria"/>
          <w:sz w:val="20"/>
          <w:szCs w:val="20"/>
        </w:rPr>
        <w:t xml:space="preserve">a far-reaching structural issue of failure to comply with court judgments, exacerbated by a practice on the part of the judicial authorities responsible for enforcing said judgments of failing to put in place coercive mechanisms to ensure compliance and hence the material realization </w:t>
      </w:r>
      <w:proofErr w:type="gramStart"/>
      <w:r w:rsidRPr="00D652B3">
        <w:rPr>
          <w:rFonts w:ascii="Cambria" w:hAnsi="Cambria"/>
          <w:sz w:val="20"/>
          <w:szCs w:val="20"/>
        </w:rPr>
        <w:t>of  the</w:t>
      </w:r>
      <w:proofErr w:type="gramEnd"/>
      <w:r w:rsidRPr="00D652B3">
        <w:rPr>
          <w:rFonts w:ascii="Cambria" w:hAnsi="Cambria"/>
          <w:sz w:val="20"/>
          <w:szCs w:val="20"/>
        </w:rPr>
        <w:t xml:space="preserve"> right to effective judicial protection. The Commission underscores the fact that, despite being aware of this issue, the Peruvian State has not adopted the general measures required to correct this state of affairs and prevent it from </w:t>
      </w:r>
      <w:r w:rsidR="00BC6020" w:rsidRPr="00D652B3">
        <w:rPr>
          <w:rFonts w:ascii="Cambria" w:hAnsi="Cambria"/>
          <w:sz w:val="20"/>
          <w:szCs w:val="20"/>
        </w:rPr>
        <w:t>happening again. The Commission</w:t>
      </w:r>
      <w:r w:rsidRPr="00D652B3">
        <w:rPr>
          <w:rFonts w:ascii="Cambria" w:hAnsi="Cambria"/>
          <w:sz w:val="20"/>
          <w:szCs w:val="20"/>
        </w:rPr>
        <w:t xml:space="preserve"> considers, therefore, that the State is also responsible for violation of Article 2 of the American Convention. </w:t>
      </w:r>
    </w:p>
    <w:bookmarkEnd w:id="39"/>
    <w:p w:rsidR="008C213F" w:rsidRPr="00CD60C7" w:rsidRDefault="008C213F" w:rsidP="00BC6020">
      <w:pPr>
        <w:rPr>
          <w:rFonts w:ascii="Cambria" w:hAnsi="Cambria"/>
          <w:sz w:val="20"/>
          <w:szCs w:val="20"/>
        </w:rPr>
      </w:pPr>
    </w:p>
    <w:p w:rsidR="008C213F" w:rsidRPr="00CD60C7" w:rsidRDefault="008C213F" w:rsidP="00251F4C">
      <w:pPr>
        <w:pStyle w:val="Ttulo3"/>
        <w:spacing w:before="0"/>
        <w:ind w:firstLine="720"/>
        <w:rPr>
          <w:color w:val="auto"/>
          <w:sz w:val="20"/>
          <w:szCs w:val="20"/>
        </w:rPr>
      </w:pPr>
      <w:bookmarkStart w:id="45" w:name="_Toc346457009"/>
      <w:r w:rsidRPr="00CD60C7">
        <w:rPr>
          <w:color w:val="auto"/>
          <w:sz w:val="20"/>
          <w:szCs w:val="20"/>
        </w:rPr>
        <w:t xml:space="preserve">4. </w:t>
      </w:r>
      <w:r w:rsidRPr="00CD60C7">
        <w:rPr>
          <w:color w:val="auto"/>
          <w:sz w:val="20"/>
          <w:szCs w:val="20"/>
        </w:rPr>
        <w:tab/>
        <w:t>Reasonable time for executing internal judgments</w:t>
      </w:r>
      <w:bookmarkEnd w:id="45"/>
    </w:p>
    <w:p w:rsidR="008C213F" w:rsidRPr="00CD60C7" w:rsidRDefault="008C213F" w:rsidP="00BC6020">
      <w:pPr>
        <w:rPr>
          <w:rFonts w:ascii="Cambria" w:hAnsi="Cambria"/>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sz w:val="20"/>
          <w:szCs w:val="20"/>
        </w:rPr>
      </w:pPr>
      <w:r w:rsidRPr="00CD60C7">
        <w:rPr>
          <w:rFonts w:ascii="Cambria" w:hAnsi="Cambria"/>
          <w:sz w:val="20"/>
          <w:szCs w:val="20"/>
        </w:rPr>
        <w:t>Article 8(1) of the American Convention establishes as one of the elements of a fair trial that courts reach a decision on cases submitted for their consideration within a reasonable time. Therefore, a long delay may per se constitute a violation of judicial guarantees.</w:t>
      </w:r>
      <w:r w:rsidRPr="00CD60C7">
        <w:rPr>
          <w:rStyle w:val="Refdenotaalpie"/>
          <w:rFonts w:ascii="Cambria" w:hAnsi="Cambria"/>
          <w:sz w:val="20"/>
          <w:szCs w:val="20"/>
        </w:rPr>
        <w:footnoteReference w:id="101"/>
      </w:r>
      <w:r w:rsidRPr="00CD60C7">
        <w:rPr>
          <w:rFonts w:ascii="Cambria" w:hAnsi="Cambria"/>
          <w:sz w:val="20"/>
          <w:szCs w:val="20"/>
        </w:rPr>
        <w:t xml:space="preserve"> While the IACHR and the Court have </w:t>
      </w:r>
      <w:r w:rsidRPr="00CD60C7">
        <w:rPr>
          <w:rFonts w:ascii="Cambria" w:hAnsi="Cambria"/>
          <w:sz w:val="20"/>
          <w:szCs w:val="20"/>
        </w:rPr>
        <w:lastRenderedPageBreak/>
        <w:t>pronounced extensively on the question of what constitutes a reasonable period of time in criminal proceedings, this provision may also apply to execution of a final court judgment.</w:t>
      </w: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sz w:val="20"/>
          <w:szCs w:val="20"/>
        </w:rPr>
      </w:pPr>
      <w:r w:rsidRPr="00CD60C7">
        <w:rPr>
          <w:rFonts w:ascii="Cambria" w:hAnsi="Cambria"/>
          <w:sz w:val="20"/>
          <w:szCs w:val="20"/>
        </w:rPr>
        <w:t>It has been reiterated in the jurisprudence of the European Court, when it has stated that unwarranted delay in executing a court judgment may constitute a violation of the right to be tried within a reasonable period of time.</w:t>
      </w:r>
      <w:r w:rsidRPr="00CD60C7">
        <w:rPr>
          <w:rStyle w:val="Refdenotaalpie"/>
          <w:rFonts w:ascii="Cambria" w:hAnsi="Cambria"/>
          <w:sz w:val="20"/>
          <w:szCs w:val="20"/>
        </w:rPr>
        <w:footnoteReference w:id="102"/>
      </w:r>
      <w:r w:rsidRPr="00CD60C7">
        <w:rPr>
          <w:rFonts w:ascii="Cambria" w:hAnsi="Cambria"/>
          <w:sz w:val="20"/>
          <w:szCs w:val="20"/>
        </w:rPr>
        <w:t xml:space="preserve"> The European Court stressed that in no case may a delay in executing a court judgment "impair the essence of the right upheld by the right [to due process]."</w:t>
      </w:r>
      <w:r w:rsidRPr="00CD60C7">
        <w:rPr>
          <w:rStyle w:val="Refdenotaalpie"/>
          <w:rFonts w:ascii="Cambria" w:hAnsi="Cambria"/>
          <w:sz w:val="20"/>
          <w:szCs w:val="20"/>
        </w:rPr>
        <w:footnoteReference w:id="103"/>
      </w:r>
    </w:p>
    <w:p w:rsidR="008C213F" w:rsidRPr="00D652B3" w:rsidRDefault="008C213F" w:rsidP="00BC6020">
      <w:pPr>
        <w:pStyle w:val="Sangradetextonormal"/>
        <w:ind w:left="0" w:firstLine="0"/>
        <w:rPr>
          <w:rFonts w:ascii="Cambria" w:hAnsi="Cambria"/>
          <w:color w:val="auto"/>
          <w:sz w:val="20"/>
          <w:szCs w:val="20"/>
          <w:lang w:val="en-US"/>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sz w:val="20"/>
          <w:szCs w:val="20"/>
        </w:rPr>
      </w:pPr>
      <w:r w:rsidRPr="00CD60C7">
        <w:rPr>
          <w:rFonts w:ascii="Cambria" w:hAnsi="Cambria"/>
          <w:sz w:val="20"/>
          <w:szCs w:val="20"/>
        </w:rPr>
        <w:t>Pursuant to Article 8.1 of the American Convention, the Commission will take into consideration, in light of the specific circumstances of the instant case, four elements to analyze a reasonable period of time: (</w:t>
      </w:r>
      <w:proofErr w:type="spellStart"/>
      <w:r w:rsidRPr="00CD60C7">
        <w:rPr>
          <w:rFonts w:ascii="Cambria" w:hAnsi="Cambria"/>
          <w:sz w:val="20"/>
          <w:szCs w:val="20"/>
        </w:rPr>
        <w:t>i</w:t>
      </w:r>
      <w:proofErr w:type="spellEnd"/>
      <w:r w:rsidRPr="00CD60C7">
        <w:rPr>
          <w:rFonts w:ascii="Cambria" w:hAnsi="Cambria"/>
          <w:sz w:val="20"/>
          <w:szCs w:val="20"/>
        </w:rPr>
        <w:t>) the complexity of the matter; (ii) the procedural activity of the interested party; (iii) the conduc</w:t>
      </w:r>
      <w:r w:rsidR="00BC6020" w:rsidRPr="00CD60C7">
        <w:rPr>
          <w:rFonts w:ascii="Cambria" w:hAnsi="Cambria"/>
          <w:sz w:val="20"/>
          <w:szCs w:val="20"/>
        </w:rPr>
        <w:t xml:space="preserve">t of the judicial authorities, </w:t>
      </w:r>
      <w:r w:rsidRPr="00CD60C7">
        <w:rPr>
          <w:rFonts w:ascii="Cambria" w:hAnsi="Cambria"/>
          <w:sz w:val="20"/>
          <w:szCs w:val="20"/>
        </w:rPr>
        <w:t>and (iv) the general effects on the legal situation of the person involved in the proceeding.</w:t>
      </w:r>
      <w:r w:rsidRPr="00CD60C7">
        <w:rPr>
          <w:rStyle w:val="Refdenotaalpie"/>
          <w:rFonts w:ascii="Cambria" w:hAnsi="Cambria"/>
          <w:sz w:val="20"/>
          <w:szCs w:val="20"/>
        </w:rPr>
        <w:t xml:space="preserve"> </w:t>
      </w:r>
      <w:r w:rsidRPr="00CD60C7">
        <w:rPr>
          <w:rStyle w:val="Refdenotaalpie"/>
          <w:rFonts w:ascii="Cambria" w:hAnsi="Cambria"/>
          <w:sz w:val="20"/>
          <w:szCs w:val="20"/>
        </w:rPr>
        <w:footnoteReference w:id="104"/>
      </w:r>
    </w:p>
    <w:p w:rsidR="008C213F" w:rsidRPr="00D652B3" w:rsidRDefault="008C213F" w:rsidP="00BC6020">
      <w:pPr>
        <w:pStyle w:val="Sangradetextonormal"/>
        <w:rPr>
          <w:rFonts w:ascii="Cambria" w:hAnsi="Cambria"/>
          <w:color w:val="auto"/>
          <w:sz w:val="20"/>
          <w:szCs w:val="20"/>
          <w:lang w:val="en-US"/>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sz w:val="20"/>
          <w:szCs w:val="20"/>
        </w:rPr>
      </w:pPr>
      <w:r w:rsidRPr="00CD60C7">
        <w:rPr>
          <w:rFonts w:ascii="Cambria" w:hAnsi="Cambria"/>
          <w:sz w:val="20"/>
          <w:szCs w:val="20"/>
        </w:rPr>
        <w:t xml:space="preserve">As regards complexity, the IACHR notes that there was no complexity given that a final judicial decision had been handed down that was to be executed. In addition, the Peruvian State never argued that executing it was complex. As for the interested party's involvement, the Commission observes that Mr. </w:t>
      </w:r>
      <w:proofErr w:type="spellStart"/>
      <w:r w:rsidRPr="00CD60C7">
        <w:rPr>
          <w:rFonts w:ascii="Cambria" w:hAnsi="Cambria"/>
          <w:sz w:val="20"/>
          <w:szCs w:val="20"/>
        </w:rPr>
        <w:t>Muelle</w:t>
      </w:r>
      <w:proofErr w:type="spellEnd"/>
      <w:r w:rsidRPr="00CD60C7">
        <w:rPr>
          <w:rFonts w:ascii="Cambria" w:hAnsi="Cambria"/>
          <w:sz w:val="20"/>
          <w:szCs w:val="20"/>
        </w:rPr>
        <w:t xml:space="preserve"> kept track of progress with execution of the judgment and complained on numerous occasions o</w:t>
      </w:r>
      <w:r w:rsidR="00BC6020" w:rsidRPr="00CD60C7">
        <w:rPr>
          <w:rFonts w:ascii="Cambria" w:hAnsi="Cambria"/>
          <w:sz w:val="20"/>
          <w:szCs w:val="20"/>
        </w:rPr>
        <w:t>f the delays with regard to its</w:t>
      </w:r>
      <w:r w:rsidRPr="00CD60C7">
        <w:rPr>
          <w:rFonts w:ascii="Cambria" w:hAnsi="Cambria"/>
          <w:sz w:val="20"/>
          <w:szCs w:val="20"/>
        </w:rPr>
        <w:t xml:space="preserve"> enforcement. For its part, the company filed various appeals questioning Mr. </w:t>
      </w:r>
      <w:proofErr w:type="spellStart"/>
      <w:r w:rsidRPr="00CD60C7">
        <w:rPr>
          <w:rFonts w:ascii="Cambria" w:hAnsi="Cambria"/>
          <w:sz w:val="20"/>
          <w:szCs w:val="20"/>
        </w:rPr>
        <w:t>Muelle's</w:t>
      </w:r>
      <w:proofErr w:type="spellEnd"/>
      <w:r w:rsidRPr="00CD60C7">
        <w:rPr>
          <w:rFonts w:ascii="Cambria" w:hAnsi="Cambria"/>
          <w:sz w:val="20"/>
          <w:szCs w:val="20"/>
        </w:rPr>
        <w:t xml:space="preserve"> reincorporation in the Decree Law 20530 pension scheme and arguing that since it had been privatized it was not responsible for complying with the Supreme Court judgment: a matter that was not duly resolved by internal judicial authorities. With respect to the conduct of the judicial authorities, the Commission reiterates what it stated in the foregoing section regarding the way in which judicial resolutions issued during the judgment execution phase were ineffective in bringing about compliance with the judgment. Also worth stressing here are the lengthy periods in which nothing happened in the aforementioned execution of judgment stage and the unwarranted delays by the State in resolving several appeals filed by both parties. </w:t>
      </w:r>
    </w:p>
    <w:p w:rsidR="008C213F" w:rsidRPr="00D652B3" w:rsidRDefault="008C213F" w:rsidP="00BC6020">
      <w:pPr>
        <w:pStyle w:val="Sangradetextonormal"/>
        <w:ind w:left="0" w:firstLine="0"/>
        <w:rPr>
          <w:rFonts w:ascii="Cambria" w:hAnsi="Cambria" w:cs="Garamond"/>
          <w:color w:val="auto"/>
          <w:spacing w:val="-2"/>
          <w:sz w:val="20"/>
          <w:szCs w:val="20"/>
          <w:lang w:val="en-US"/>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cs="Garamond"/>
          <w:spacing w:val="-2"/>
          <w:sz w:val="20"/>
          <w:szCs w:val="20"/>
        </w:rPr>
      </w:pPr>
      <w:r w:rsidRPr="00CD60C7">
        <w:rPr>
          <w:rFonts w:ascii="Cambria" w:hAnsi="Cambria"/>
          <w:sz w:val="20"/>
          <w:szCs w:val="20"/>
        </w:rPr>
        <w:t>Regarding the fourth element, the Court has said that, in determining what constitutes a reasonable period of time, consideration should be given to the adverse effect of the duration of the proceedings on the judicial situation of the person involved as well as to the interests at stake.</w:t>
      </w:r>
      <w:r w:rsidRPr="00CD60C7">
        <w:rPr>
          <w:rStyle w:val="Refdenotaalpie"/>
          <w:rFonts w:ascii="Cambria" w:hAnsi="Cambria"/>
          <w:sz w:val="20"/>
          <w:szCs w:val="20"/>
        </w:rPr>
        <w:footnoteReference w:id="105"/>
      </w:r>
      <w:r w:rsidRPr="00CD60C7">
        <w:rPr>
          <w:rFonts w:ascii="Cambria" w:hAnsi="Cambria"/>
          <w:sz w:val="20"/>
          <w:szCs w:val="20"/>
        </w:rPr>
        <w:t xml:space="preserve"> The Commission notes that Mr. </w:t>
      </w:r>
      <w:proofErr w:type="spellStart"/>
      <w:r w:rsidRPr="00CD60C7">
        <w:rPr>
          <w:rFonts w:ascii="Cambria" w:hAnsi="Cambria"/>
          <w:sz w:val="20"/>
          <w:szCs w:val="20"/>
        </w:rPr>
        <w:t>Muelle</w:t>
      </w:r>
      <w:proofErr w:type="spellEnd"/>
      <w:r w:rsidRPr="00CD60C7">
        <w:rPr>
          <w:rFonts w:ascii="Cambria" w:hAnsi="Cambria"/>
          <w:sz w:val="20"/>
          <w:szCs w:val="20"/>
        </w:rPr>
        <w:t xml:space="preserve"> is now an older adult of 80 years of age and that, 26 years after his retirement in 1990, he has still not been able to enjoy his pension on the terms to which he was entitled </w:t>
      </w:r>
      <w:r w:rsidR="00BC6020" w:rsidRPr="00CD60C7">
        <w:rPr>
          <w:rFonts w:ascii="Cambria" w:hAnsi="Cambria"/>
          <w:sz w:val="20"/>
          <w:szCs w:val="20"/>
        </w:rPr>
        <w:t xml:space="preserve">according to the </w:t>
      </w:r>
      <w:r w:rsidRPr="00CD60C7">
        <w:rPr>
          <w:rFonts w:ascii="Cambria" w:hAnsi="Cambria"/>
          <w:sz w:val="20"/>
          <w:szCs w:val="20"/>
        </w:rPr>
        <w:t xml:space="preserve">Supreme Court. The State has not disputed the fact that the victim is in a precarious situation, both financially and in respect of his health. Accordingly, the Commission considers that this factor is relevant to the instant case and constitutes an additional consideration with respect to determining "reasonable" deadlines.  </w:t>
      </w:r>
    </w:p>
    <w:p w:rsidR="008C213F" w:rsidRPr="00D652B3" w:rsidRDefault="008C213F" w:rsidP="00BC6020">
      <w:pPr>
        <w:pStyle w:val="Sangradetextonormal"/>
        <w:ind w:left="0" w:firstLine="0"/>
        <w:rPr>
          <w:rFonts w:ascii="Cambria" w:hAnsi="Cambria" w:cs="Garamond"/>
          <w:color w:val="auto"/>
          <w:spacing w:val="-2"/>
          <w:sz w:val="20"/>
          <w:szCs w:val="20"/>
          <w:lang w:val="en-US"/>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sz w:val="20"/>
          <w:szCs w:val="20"/>
        </w:rPr>
      </w:pPr>
      <w:r w:rsidRPr="00CD60C7">
        <w:rPr>
          <w:rFonts w:ascii="Cambria" w:hAnsi="Cambria"/>
          <w:sz w:val="20"/>
          <w:szCs w:val="20"/>
        </w:rPr>
        <w:t xml:space="preserve">In short, the Commission considers that the lapse of almost 27 years without execution of the Supreme Court judgment of February 1993 exceeds any period of time that could be deemed reasonable. Consequently, the IACHR concludes that the Peruvian State is also responsible for violating the right to a reasonable time [for a hearing] established in Article 8.1 of the American Convention in conjunction with the obligations contained in Article 1(1) thereof, to the detriment </w:t>
      </w:r>
      <w:proofErr w:type="gramStart"/>
      <w:r w:rsidRPr="00CD60C7">
        <w:rPr>
          <w:rFonts w:ascii="Cambria" w:hAnsi="Cambria"/>
          <w:sz w:val="20"/>
          <w:szCs w:val="20"/>
        </w:rPr>
        <w:t>of  Mr</w:t>
      </w:r>
      <w:proofErr w:type="gramEnd"/>
      <w:r w:rsidRPr="00CD60C7">
        <w:rPr>
          <w:rFonts w:ascii="Cambria" w:hAnsi="Cambria"/>
          <w:sz w:val="20"/>
          <w:szCs w:val="20"/>
        </w:rPr>
        <w:t xml:space="preserve">. </w:t>
      </w:r>
      <w:proofErr w:type="spellStart"/>
      <w:r w:rsidRPr="00CD60C7">
        <w:rPr>
          <w:rFonts w:ascii="Cambria" w:hAnsi="Cambria"/>
          <w:sz w:val="20"/>
          <w:szCs w:val="20"/>
        </w:rPr>
        <w:t>Muelle</w:t>
      </w:r>
      <w:proofErr w:type="spellEnd"/>
      <w:r w:rsidRPr="00CD60C7">
        <w:rPr>
          <w:rFonts w:ascii="Cambria" w:hAnsi="Cambria"/>
          <w:sz w:val="20"/>
          <w:szCs w:val="20"/>
        </w:rPr>
        <w:t xml:space="preserve"> Flores.</w:t>
      </w:r>
    </w:p>
    <w:p w:rsidR="008C213F" w:rsidRPr="00CD60C7" w:rsidRDefault="008C213F" w:rsidP="00BC6020">
      <w:pPr>
        <w:rPr>
          <w:rFonts w:ascii="Cambria" w:hAnsi="Cambria"/>
          <w:sz w:val="20"/>
          <w:szCs w:val="20"/>
        </w:rPr>
      </w:pPr>
    </w:p>
    <w:p w:rsidR="008C213F" w:rsidRPr="00CD60C7" w:rsidRDefault="008C213F" w:rsidP="00BC6020">
      <w:pPr>
        <w:pStyle w:val="Ttulo3"/>
        <w:spacing w:before="0"/>
        <w:ind w:left="1440" w:hanging="720"/>
        <w:jc w:val="both"/>
        <w:rPr>
          <w:color w:val="auto"/>
          <w:sz w:val="20"/>
          <w:szCs w:val="20"/>
        </w:rPr>
      </w:pPr>
      <w:bookmarkStart w:id="46" w:name="_Toc346457010"/>
      <w:r w:rsidRPr="00CD60C7">
        <w:rPr>
          <w:color w:val="auto"/>
          <w:sz w:val="20"/>
          <w:szCs w:val="20"/>
        </w:rPr>
        <w:lastRenderedPageBreak/>
        <w:t xml:space="preserve">5. </w:t>
      </w:r>
      <w:r w:rsidRPr="00CD60C7">
        <w:rPr>
          <w:color w:val="auto"/>
          <w:sz w:val="20"/>
          <w:szCs w:val="20"/>
        </w:rPr>
        <w:tab/>
        <w:t>The right to private property in relation to failure to execute internal judgments relating to pensions</w:t>
      </w:r>
      <w:bookmarkEnd w:id="46"/>
    </w:p>
    <w:p w:rsidR="008C213F" w:rsidRPr="00CD60C7" w:rsidRDefault="008C213F" w:rsidP="00BC6020">
      <w:pPr>
        <w:rPr>
          <w:rFonts w:ascii="Cambria" w:hAnsi="Cambria"/>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sz w:val="20"/>
          <w:szCs w:val="20"/>
        </w:rPr>
      </w:pPr>
      <w:r w:rsidRPr="00CD60C7">
        <w:rPr>
          <w:rFonts w:ascii="Cambria" w:hAnsi="Cambria"/>
          <w:sz w:val="20"/>
          <w:szCs w:val="20"/>
        </w:rPr>
        <w:t>In their jurisprudence, both the Commission and the Court have developed a broad concept of property, which comprises, among other aspects, the use and enjoyment of “property,” defined as those material objects susceptible of being appropriated, as well as any rights which may be part of a person’s assets.</w:t>
      </w:r>
      <w:r w:rsidRPr="00CD60C7">
        <w:rPr>
          <w:rStyle w:val="Refdenotaalpie"/>
          <w:rFonts w:ascii="Cambria" w:hAnsi="Cambria"/>
          <w:sz w:val="20"/>
          <w:szCs w:val="20"/>
        </w:rPr>
        <w:footnoteReference w:id="106"/>
      </w:r>
      <w:r w:rsidRPr="00CD60C7">
        <w:rPr>
          <w:rFonts w:ascii="Cambria" w:hAnsi="Cambria"/>
          <w:sz w:val="20"/>
          <w:szCs w:val="20"/>
        </w:rPr>
        <w:t xml:space="preserve"> In addition, the Court has protected acquired rights, understood as rights that have been incorporated into personal net worth.</w:t>
      </w:r>
      <w:r w:rsidRPr="00CD60C7">
        <w:rPr>
          <w:rStyle w:val="Refdenotaalpie"/>
          <w:rFonts w:ascii="Cambria" w:hAnsi="Cambria"/>
          <w:sz w:val="20"/>
          <w:szCs w:val="20"/>
        </w:rPr>
        <w:footnoteReference w:id="107"/>
      </w:r>
      <w:r w:rsidRPr="00CD60C7">
        <w:rPr>
          <w:rFonts w:ascii="Cambria" w:hAnsi="Cambria"/>
          <w:sz w:val="20"/>
          <w:szCs w:val="20"/>
        </w:rPr>
        <w:t xml:space="preserve"> The Commission recalls that the right to property is not absolute and, accordingly, may be subject to restrictions and limitations, provided that the latter are imposed through appropriate legal channels and in accordance with the parameters established in Article 21 of the American Convention.</w:t>
      </w:r>
      <w:r w:rsidRPr="00CD60C7">
        <w:rPr>
          <w:rStyle w:val="Refdenotaalpie"/>
          <w:rFonts w:ascii="Cambria" w:hAnsi="Cambria"/>
          <w:sz w:val="20"/>
          <w:szCs w:val="20"/>
        </w:rPr>
        <w:footnoteReference w:id="108"/>
      </w: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eastAsia="Times New Roman" w:hAnsi="Cambria"/>
          <w:sz w:val="20"/>
          <w:szCs w:val="20"/>
          <w:bdr w:val="none" w:sz="0" w:space="0" w:color="auto"/>
        </w:rPr>
      </w:pPr>
      <w:r w:rsidRPr="00CD60C7">
        <w:rPr>
          <w:rFonts w:ascii="Cambria" w:hAnsi="Cambria"/>
          <w:sz w:val="20"/>
          <w:szCs w:val="20"/>
        </w:rPr>
        <w:t>In the Case of the "</w:t>
      </w:r>
      <w:r w:rsidRPr="00CD60C7">
        <w:rPr>
          <w:rFonts w:ascii="Cambria" w:hAnsi="Cambria"/>
          <w:i/>
          <w:sz w:val="20"/>
          <w:szCs w:val="20"/>
        </w:rPr>
        <w:t>Five Pensioners" v</w:t>
      </w:r>
      <w:r w:rsidRPr="00CD60C7">
        <w:rPr>
          <w:rFonts w:ascii="Cambria" w:hAnsi="Cambria"/>
          <w:sz w:val="20"/>
          <w:szCs w:val="20"/>
        </w:rPr>
        <w:t>.</w:t>
      </w:r>
      <w:r w:rsidRPr="00CD60C7">
        <w:rPr>
          <w:rFonts w:ascii="Cambria" w:hAnsi="Cambria"/>
          <w:i/>
          <w:sz w:val="20"/>
          <w:szCs w:val="20"/>
        </w:rPr>
        <w:t xml:space="preserve"> Peru</w:t>
      </w:r>
      <w:r w:rsidRPr="00CD60C7">
        <w:rPr>
          <w:rFonts w:ascii="Cambria" w:hAnsi="Cambria"/>
          <w:sz w:val="20"/>
          <w:szCs w:val="20"/>
        </w:rPr>
        <w:t xml:space="preserve">, the Inter-American Court declared that there had been violation of the right to property due to the financial impairment caused by failure to comply with judgments seeking to protect the right to a pension acquired by the victims in accordance with domestic regulations. In that judgment, the Court pointed out that from the time a pensioner pays his or </w:t>
      </w:r>
      <w:proofErr w:type="gramStart"/>
      <w:r w:rsidRPr="00CD60C7">
        <w:rPr>
          <w:rFonts w:ascii="Cambria" w:hAnsi="Cambria"/>
          <w:sz w:val="20"/>
          <w:szCs w:val="20"/>
        </w:rPr>
        <w:t>her  contributions</w:t>
      </w:r>
      <w:proofErr w:type="gramEnd"/>
      <w:r w:rsidRPr="00CD60C7">
        <w:rPr>
          <w:rFonts w:ascii="Cambria" w:hAnsi="Cambria"/>
          <w:sz w:val="20"/>
          <w:szCs w:val="20"/>
        </w:rPr>
        <w:t xml:space="preserve"> to a pension fund and ceases to serve in the institution concerned with a view to acceding to a retirement scheme provided for by law, he or she acquires the right for the pension to be governed by the terms and conditions of that law. It also declared that the pension rights acquired by that person have "property implications" (</w:t>
      </w:r>
      <w:proofErr w:type="spellStart"/>
      <w:r w:rsidRPr="00CD60C7">
        <w:rPr>
          <w:rFonts w:ascii="Cambria" w:hAnsi="Cambria"/>
          <w:i/>
          <w:sz w:val="20"/>
          <w:szCs w:val="20"/>
        </w:rPr>
        <w:t>efectos</w:t>
      </w:r>
      <w:proofErr w:type="spellEnd"/>
      <w:r w:rsidRPr="00CD60C7">
        <w:rPr>
          <w:rFonts w:ascii="Cambria" w:hAnsi="Cambria"/>
          <w:i/>
          <w:sz w:val="20"/>
          <w:szCs w:val="20"/>
        </w:rPr>
        <w:t xml:space="preserve"> </w:t>
      </w:r>
      <w:proofErr w:type="spellStart"/>
      <w:r w:rsidRPr="00CD60C7">
        <w:rPr>
          <w:rFonts w:ascii="Cambria" w:hAnsi="Cambria"/>
          <w:i/>
          <w:sz w:val="20"/>
          <w:szCs w:val="20"/>
        </w:rPr>
        <w:t>patrimoniales</w:t>
      </w:r>
      <w:proofErr w:type="spellEnd"/>
      <w:r w:rsidRPr="00CD60C7">
        <w:rPr>
          <w:rFonts w:ascii="Cambria" w:hAnsi="Cambria"/>
          <w:sz w:val="20"/>
          <w:szCs w:val="20"/>
        </w:rPr>
        <w:t>) protected under Article 21 of the American Convention.</w:t>
      </w:r>
      <w:r w:rsidRPr="00CD60C7">
        <w:rPr>
          <w:rStyle w:val="Refdenotaalpie"/>
          <w:rFonts w:ascii="Cambria" w:hAnsi="Cambria"/>
          <w:sz w:val="20"/>
          <w:szCs w:val="20"/>
          <w:bdr w:val="none" w:sz="0" w:space="0" w:color="auto"/>
        </w:rPr>
        <w:footnoteReference w:id="109"/>
      </w:r>
      <w:r w:rsidRPr="00CD60C7">
        <w:rPr>
          <w:rFonts w:ascii="Cambria" w:hAnsi="Cambria"/>
          <w:sz w:val="20"/>
          <w:szCs w:val="20"/>
        </w:rPr>
        <w:t xml:space="preserve"> Consequently, in that case the Court declared that since the State had changed the amount of the pensions being received by the alleged victims and had not complied with court judgments issued following the filing of </w:t>
      </w:r>
      <w:proofErr w:type="spellStart"/>
      <w:r w:rsidRPr="00CD60C7">
        <w:rPr>
          <w:rFonts w:ascii="Cambria" w:hAnsi="Cambria"/>
          <w:sz w:val="20"/>
          <w:szCs w:val="20"/>
        </w:rPr>
        <w:t>amparo</w:t>
      </w:r>
      <w:proofErr w:type="spellEnd"/>
      <w:r w:rsidRPr="00CD60C7">
        <w:rPr>
          <w:rFonts w:ascii="Cambria" w:hAnsi="Cambria"/>
          <w:sz w:val="20"/>
          <w:szCs w:val="20"/>
        </w:rPr>
        <w:t xml:space="preserve"> suits, the State had violated the right to property recognized in Article 21 of the American Convention.</w:t>
      </w:r>
      <w:r w:rsidRPr="00CD60C7">
        <w:rPr>
          <w:rStyle w:val="Refdenotaalpie"/>
          <w:rFonts w:ascii="Cambria" w:hAnsi="Cambria"/>
          <w:sz w:val="20"/>
          <w:szCs w:val="20"/>
          <w:bdr w:val="none" w:sz="0" w:space="0" w:color="auto"/>
        </w:rPr>
        <w:footnoteReference w:id="110"/>
      </w: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eastAsia="Times New Roman" w:hAnsi="Cambria"/>
          <w:sz w:val="20"/>
          <w:szCs w:val="20"/>
          <w:bdr w:val="none" w:sz="0" w:space="0" w:color="auto"/>
        </w:rPr>
      </w:pPr>
      <w:r w:rsidRPr="00CD60C7">
        <w:rPr>
          <w:rFonts w:ascii="Cambria" w:hAnsi="Cambria"/>
          <w:sz w:val="20"/>
          <w:szCs w:val="20"/>
        </w:rPr>
        <w:t xml:space="preserve">Subsequently in the judgment in the case of </w:t>
      </w:r>
      <w:r w:rsidRPr="00CD60C7">
        <w:rPr>
          <w:rFonts w:ascii="Cambria" w:hAnsi="Cambria"/>
          <w:i/>
          <w:sz w:val="20"/>
          <w:szCs w:val="20"/>
          <w:bdr w:val="none" w:sz="0" w:space="0" w:color="auto"/>
        </w:rPr>
        <w:t xml:space="preserve">  </w:t>
      </w:r>
      <w:r w:rsidRPr="00CD60C7">
        <w:rPr>
          <w:rFonts w:ascii="Cambria" w:hAnsi="Cambria"/>
          <w:i/>
          <w:sz w:val="20"/>
          <w:szCs w:val="20"/>
          <w:bdr w:val="none" w:sz="0" w:space="0" w:color="auto"/>
          <w:shd w:val="clear" w:color="auto" w:fill="FFFFFF"/>
        </w:rPr>
        <w:t>Discharged and Retired Employees of the Office of the Comptroller) v. Peru</w:t>
      </w:r>
      <w:r w:rsidRPr="00CD60C7">
        <w:rPr>
          <w:rFonts w:ascii="Cambria" w:hAnsi="Cambria"/>
          <w:sz w:val="20"/>
          <w:szCs w:val="20"/>
          <w:bdr w:val="none" w:sz="0" w:space="0" w:color="auto"/>
          <w:shd w:val="clear" w:color="auto" w:fill="FFFFFF"/>
        </w:rPr>
        <w:t>, the Inter-American Court analyzed a similar case of failure to comply with judgments ordering that the victims be incorporated in the Decree Law 20530 pension scheme. The Court considered that those victims met the requirements established by that Decree and tha</w:t>
      </w:r>
      <w:r w:rsidRPr="00CD60C7">
        <w:rPr>
          <w:rFonts w:ascii="Cambria" w:hAnsi="Cambria"/>
          <w:sz w:val="20"/>
          <w:szCs w:val="20"/>
          <w:bdr w:val="none" w:sz="0" w:space="0" w:color="auto"/>
        </w:rPr>
        <w:t>t the pension entitlement that they had acquired had an impact on the property of those who received the monthly payments</w:t>
      </w:r>
      <w:r w:rsidRPr="00CD60C7">
        <w:rPr>
          <w:rStyle w:val="Refdenotaalpie"/>
          <w:rFonts w:ascii="Cambria" w:hAnsi="Cambria"/>
          <w:sz w:val="20"/>
          <w:szCs w:val="20"/>
          <w:bdr w:val="none" w:sz="0" w:space="0" w:color="auto"/>
        </w:rPr>
        <w:footnoteReference w:id="111"/>
      </w:r>
      <w:r w:rsidRPr="00CD60C7">
        <w:rPr>
          <w:rFonts w:ascii="Cambria" w:hAnsi="Cambria"/>
          <w:sz w:val="20"/>
          <w:szCs w:val="20"/>
          <w:bdr w:val="none" w:sz="0" w:space="0" w:color="auto"/>
        </w:rPr>
        <w:t>. The Court took into account the fact that the Constitutional Court had issued judgments ordering the State to pay the victims the pension amounts that had been withheld. Based on that, the Court considered that the victims had been harmed inasmuch as they "could not effectively exercise their right to property over the patrimonial effects of their legally recognized adjustable pension; those effects would refer to the amounts the victims stopped receiving."</w:t>
      </w:r>
      <w:r w:rsidRPr="00CD60C7">
        <w:rPr>
          <w:rStyle w:val="Refdenotaalpie"/>
          <w:rFonts w:ascii="Cambria" w:hAnsi="Cambria"/>
          <w:sz w:val="20"/>
          <w:szCs w:val="20"/>
          <w:bdr w:val="none" w:sz="0" w:space="0" w:color="auto"/>
        </w:rPr>
        <w:footnoteReference w:id="112"/>
      </w: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sz w:val="20"/>
          <w:szCs w:val="20"/>
        </w:rPr>
      </w:pPr>
      <w:r w:rsidRPr="00CD60C7">
        <w:rPr>
          <w:rFonts w:ascii="Cambria" w:hAnsi="Cambria"/>
          <w:sz w:val="20"/>
          <w:szCs w:val="20"/>
        </w:rPr>
        <w:lastRenderedPageBreak/>
        <w:t xml:space="preserve">The Commission considers that those precedents are fully applicable to the instant case. The reason is that Mr. </w:t>
      </w:r>
      <w:proofErr w:type="spellStart"/>
      <w:r w:rsidRPr="00CD60C7">
        <w:rPr>
          <w:rFonts w:ascii="Cambria" w:hAnsi="Cambria"/>
          <w:sz w:val="20"/>
          <w:szCs w:val="20"/>
        </w:rPr>
        <w:t>Muelle</w:t>
      </w:r>
      <w:proofErr w:type="spellEnd"/>
      <w:r w:rsidRPr="00CD60C7">
        <w:rPr>
          <w:rFonts w:ascii="Cambria" w:hAnsi="Cambria"/>
          <w:sz w:val="20"/>
          <w:szCs w:val="20"/>
        </w:rPr>
        <w:t xml:space="preserve">, just like the victims in the two cases referred to above: 1) was lawfully included in the Decree Law 20530 pension scheme, as ratified by the courts in both </w:t>
      </w:r>
      <w:proofErr w:type="spellStart"/>
      <w:r w:rsidRPr="00CD60C7">
        <w:rPr>
          <w:rFonts w:ascii="Cambria" w:hAnsi="Cambria"/>
          <w:sz w:val="20"/>
          <w:szCs w:val="20"/>
        </w:rPr>
        <w:t>amparo</w:t>
      </w:r>
      <w:proofErr w:type="spellEnd"/>
      <w:r w:rsidRPr="00CD60C7">
        <w:rPr>
          <w:rFonts w:ascii="Cambria" w:hAnsi="Cambria"/>
          <w:sz w:val="20"/>
          <w:szCs w:val="20"/>
        </w:rPr>
        <w:t xml:space="preserve"> actions and in the ruling on the suit filed by the company itself; ii) was prevented from continuing to receive the benefits that went with that pension scheme; iii) filed judicial appeals seeking his reincorporation in that scheme; iv) received final court judgments supporting his claim and v) has still not seen those judgments executed. All those factors have impaired Mr. </w:t>
      </w:r>
      <w:proofErr w:type="spellStart"/>
      <w:r w:rsidRPr="00CD60C7">
        <w:rPr>
          <w:rFonts w:ascii="Cambria" w:hAnsi="Cambria"/>
          <w:sz w:val="20"/>
          <w:szCs w:val="20"/>
        </w:rPr>
        <w:t>Muelle</w:t>
      </w:r>
      <w:proofErr w:type="spellEnd"/>
      <w:r w:rsidRPr="00CD60C7">
        <w:rPr>
          <w:rFonts w:ascii="Cambria" w:hAnsi="Cambria"/>
          <w:sz w:val="20"/>
          <w:szCs w:val="20"/>
        </w:rPr>
        <w:t xml:space="preserve"> Flores' net worth. </w:t>
      </w: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sz w:val="20"/>
          <w:szCs w:val="20"/>
        </w:rPr>
      </w:pPr>
      <w:r w:rsidRPr="00CD60C7">
        <w:rPr>
          <w:rFonts w:ascii="Cambria" w:hAnsi="Cambria"/>
          <w:sz w:val="20"/>
          <w:szCs w:val="20"/>
        </w:rPr>
        <w:t xml:space="preserve">Consequently, the IACHR concludes that the Peruvian State is responsible for violating the right to private property established in Article 21 of the American Convention in conjunction with the obligations contained in Article 1(1) thereof, to the detriment of Mr. </w:t>
      </w:r>
      <w:proofErr w:type="spellStart"/>
      <w:r w:rsidRPr="00CD60C7">
        <w:rPr>
          <w:rFonts w:ascii="Cambria" w:hAnsi="Cambria"/>
          <w:sz w:val="20"/>
          <w:szCs w:val="20"/>
        </w:rPr>
        <w:t>Muelle</w:t>
      </w:r>
      <w:proofErr w:type="spellEnd"/>
      <w:r w:rsidRPr="00CD60C7">
        <w:rPr>
          <w:rFonts w:ascii="Cambria" w:hAnsi="Cambria"/>
          <w:sz w:val="20"/>
          <w:szCs w:val="20"/>
        </w:rPr>
        <w:t xml:space="preserve"> Flores.</w:t>
      </w: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C213F" w:rsidRPr="00CD60C7" w:rsidRDefault="008C213F" w:rsidP="00BC6020">
      <w:pPr>
        <w:pStyle w:val="Ttulo1"/>
        <w:keepLines/>
        <w:pBdr>
          <w:top w:val="nil"/>
          <w:left w:val="nil"/>
          <w:bottom w:val="nil"/>
          <w:right w:val="nil"/>
          <w:between w:val="nil"/>
          <w:bar w:val="nil"/>
        </w:pBdr>
        <w:tabs>
          <w:tab w:val="left" w:pos="1440"/>
        </w:tabs>
        <w:ind w:left="720" w:firstLine="0"/>
        <w:jc w:val="both"/>
      </w:pPr>
      <w:bookmarkStart w:id="47" w:name="_Toc346457011"/>
      <w:r w:rsidRPr="00CD60C7">
        <w:t>CONCLUSIONS</w:t>
      </w:r>
      <w:bookmarkEnd w:id="47"/>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eastAsia="Times New Roman" w:hAnsi="Cambria"/>
          <w:sz w:val="20"/>
          <w:szCs w:val="20"/>
          <w:bdr w:val="none" w:sz="0" w:space="0" w:color="auto"/>
        </w:rPr>
      </w:pPr>
      <w:r w:rsidRPr="00CD60C7">
        <w:rPr>
          <w:rFonts w:ascii="Cambria" w:hAnsi="Cambria"/>
          <w:sz w:val="20"/>
          <w:szCs w:val="20"/>
        </w:rPr>
        <w:t>Based on the considerations of fact and law presented throughout this report on the merits, the Commission concludes that the Peruvian State is responsible for violation of the rights to judicial guarantees, private property, and judicial protection r</w:t>
      </w:r>
      <w:r w:rsidR="00EA251E" w:rsidRPr="00CD60C7">
        <w:rPr>
          <w:rFonts w:ascii="Cambria" w:hAnsi="Cambria"/>
          <w:sz w:val="20"/>
          <w:szCs w:val="20"/>
        </w:rPr>
        <w:t xml:space="preserve">ecognized in Articles 8.1, 21, </w:t>
      </w:r>
      <w:r w:rsidRPr="00CD60C7">
        <w:rPr>
          <w:rFonts w:ascii="Cambria" w:hAnsi="Cambria"/>
          <w:sz w:val="20"/>
          <w:szCs w:val="20"/>
        </w:rPr>
        <w:t xml:space="preserve">and 25.2. c)  </w:t>
      </w:r>
      <w:proofErr w:type="gramStart"/>
      <w:r w:rsidRPr="00CD60C7">
        <w:rPr>
          <w:rFonts w:ascii="Cambria" w:hAnsi="Cambria"/>
          <w:sz w:val="20"/>
          <w:szCs w:val="20"/>
        </w:rPr>
        <w:t>of</w:t>
      </w:r>
      <w:proofErr w:type="gramEnd"/>
      <w:r w:rsidRPr="00CD60C7">
        <w:rPr>
          <w:rFonts w:ascii="Cambria" w:hAnsi="Cambria"/>
          <w:sz w:val="20"/>
          <w:szCs w:val="20"/>
        </w:rPr>
        <w:t xml:space="preserve"> the American Convention, in conjunction with the obligations contained in Articles 1.1 thereof, to the detriment of Oscar </w:t>
      </w:r>
      <w:proofErr w:type="spellStart"/>
      <w:r w:rsidRPr="00CD60C7">
        <w:rPr>
          <w:rFonts w:ascii="Cambria" w:hAnsi="Cambria"/>
          <w:sz w:val="20"/>
          <w:szCs w:val="20"/>
        </w:rPr>
        <w:t>Muelle</w:t>
      </w:r>
      <w:proofErr w:type="spellEnd"/>
      <w:r w:rsidRPr="00CD60C7">
        <w:rPr>
          <w:rFonts w:ascii="Cambria" w:hAnsi="Cambria"/>
          <w:sz w:val="20"/>
          <w:szCs w:val="20"/>
        </w:rPr>
        <w:t xml:space="preserve"> Flores.  The Commission likewise concludes that the State failed to meet its obligations under Article 2 of the same instrument.</w:t>
      </w: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8C213F" w:rsidRPr="00CD60C7" w:rsidRDefault="008C213F" w:rsidP="00BC6020">
      <w:pPr>
        <w:pStyle w:val="Ttulo1"/>
        <w:keepLines/>
        <w:pBdr>
          <w:top w:val="nil"/>
          <w:left w:val="nil"/>
          <w:bottom w:val="nil"/>
          <w:right w:val="nil"/>
          <w:between w:val="nil"/>
          <w:bar w:val="nil"/>
        </w:pBdr>
        <w:tabs>
          <w:tab w:val="left" w:pos="1440"/>
        </w:tabs>
        <w:ind w:left="720" w:firstLine="0"/>
        <w:jc w:val="both"/>
      </w:pPr>
      <w:bookmarkStart w:id="48" w:name="_Toc346457012"/>
      <w:r w:rsidRPr="00CD60C7">
        <w:t>RECOMMENDATIONS</w:t>
      </w:r>
      <w:bookmarkEnd w:id="48"/>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8C213F" w:rsidRPr="00CD60C7" w:rsidRDefault="008C213F" w:rsidP="00BC6020">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eastAsia="Times New Roman" w:hAnsi="Cambria"/>
          <w:sz w:val="20"/>
          <w:szCs w:val="20"/>
          <w:bdr w:val="none" w:sz="0" w:space="0" w:color="auto"/>
        </w:rPr>
      </w:pPr>
      <w:r w:rsidRPr="00CD60C7">
        <w:rPr>
          <w:rFonts w:ascii="Cambria" w:hAnsi="Cambria"/>
          <w:sz w:val="20"/>
          <w:szCs w:val="20"/>
          <w:bdr w:val="none" w:sz="0" w:space="0" w:color="auto"/>
        </w:rPr>
        <w:t xml:space="preserve">In light of the foregoing conclusions, </w:t>
      </w: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rPr>
      </w:pP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0"/>
          <w:szCs w:val="20"/>
          <w:bdr w:val="none" w:sz="0" w:space="0" w:color="auto"/>
        </w:rPr>
      </w:pPr>
      <w:r w:rsidRPr="00CD60C7">
        <w:rPr>
          <w:rFonts w:ascii="Cambria" w:hAnsi="Cambria"/>
          <w:b/>
          <w:sz w:val="20"/>
          <w:szCs w:val="20"/>
          <w:bdr w:val="none" w:sz="0" w:space="0" w:color="auto"/>
        </w:rPr>
        <w:t>THE INTER-AMERICAN COMMISSION ON HUMAN RIGHTS,</w:t>
      </w: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0"/>
          <w:szCs w:val="20"/>
          <w:bdr w:val="none" w:sz="0" w:space="0" w:color="auto"/>
        </w:rPr>
      </w:pPr>
      <w:r w:rsidRPr="00CD60C7">
        <w:rPr>
          <w:rFonts w:ascii="Cambria" w:hAnsi="Cambria"/>
          <w:b/>
          <w:sz w:val="20"/>
          <w:szCs w:val="20"/>
          <w:bdr w:val="none" w:sz="0" w:space="0" w:color="auto"/>
        </w:rPr>
        <w:t>RECOMMENDS THAT THE STATE OF PERU:</w:t>
      </w: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sz w:val="20"/>
          <w:szCs w:val="20"/>
          <w:bdr w:val="none" w:sz="0" w:space="0" w:color="auto"/>
        </w:rPr>
      </w:pPr>
    </w:p>
    <w:p w:rsidR="008C213F" w:rsidRPr="00CD60C7" w:rsidRDefault="008C213F" w:rsidP="00BC6020">
      <w:pPr>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sz w:val="20"/>
          <w:szCs w:val="20"/>
          <w:bdr w:val="none" w:sz="0" w:space="0" w:color="auto"/>
        </w:rPr>
      </w:pPr>
      <w:r w:rsidRPr="00CD60C7">
        <w:rPr>
          <w:rFonts w:ascii="Cambria" w:hAnsi="Cambria"/>
          <w:sz w:val="20"/>
          <w:szCs w:val="20"/>
          <w:bdr w:val="none" w:sz="0" w:space="0" w:color="auto"/>
        </w:rPr>
        <w:t xml:space="preserve">Comply as soon as possible with the judgments of the Supreme Court of Justice of February 2, 1993 and the Constitutional Court of December 10, 1999. This means that the Peruvian State must immediately take the steps needed to pay Mr. </w:t>
      </w:r>
      <w:proofErr w:type="spellStart"/>
      <w:r w:rsidRPr="00CD60C7">
        <w:rPr>
          <w:rFonts w:ascii="Cambria" w:hAnsi="Cambria"/>
          <w:sz w:val="20"/>
          <w:szCs w:val="20"/>
          <w:bdr w:val="none" w:sz="0" w:space="0" w:color="auto"/>
        </w:rPr>
        <w:t>Muelle</w:t>
      </w:r>
      <w:proofErr w:type="spellEnd"/>
      <w:r w:rsidRPr="00CD60C7">
        <w:rPr>
          <w:rFonts w:ascii="Cambria" w:hAnsi="Cambria"/>
          <w:sz w:val="20"/>
          <w:szCs w:val="20"/>
          <w:bdr w:val="none" w:sz="0" w:space="0" w:color="auto"/>
        </w:rPr>
        <w:t xml:space="preserve"> Flores' pension on the terms recognized by the courts, that is to say, those of the Decree Law 20530 pension scheme. This includes paying him the pensions he did not receive from his retirement through to the date payment is effected. Bearing in mind the standards set forth in this report on the obligations of the State in connection with the privatization of State-owned enterprises, Peru may not cite privatization as an excuse not to comply with this recommendation.</w:t>
      </w: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ind w:left="1080" w:right="720"/>
        <w:jc w:val="both"/>
        <w:rPr>
          <w:rFonts w:ascii="Cambria" w:eastAsia="Times New Roman" w:hAnsi="Cambria"/>
          <w:sz w:val="20"/>
          <w:szCs w:val="20"/>
          <w:bdr w:val="none" w:sz="0" w:space="0" w:color="auto"/>
        </w:rPr>
      </w:pPr>
    </w:p>
    <w:p w:rsidR="008C213F" w:rsidRPr="00CD60C7" w:rsidRDefault="008C213F" w:rsidP="00BC6020">
      <w:pPr>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sz w:val="20"/>
          <w:szCs w:val="20"/>
          <w:bdr w:val="none" w:sz="0" w:space="0" w:color="auto"/>
        </w:rPr>
      </w:pPr>
      <w:r w:rsidRPr="00CD60C7">
        <w:rPr>
          <w:rFonts w:ascii="Cambria" w:hAnsi="Cambria"/>
          <w:sz w:val="20"/>
          <w:szCs w:val="20"/>
          <w:bdr w:val="none" w:sz="0" w:space="0" w:color="auto"/>
        </w:rPr>
        <w:t xml:space="preserve">Make full reparation for the violations declared in this report, including due compensation for material (property) and immaterial damages.   </w:t>
      </w: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sz w:val="20"/>
          <w:szCs w:val="20"/>
          <w:bdr w:val="none" w:sz="0" w:space="0" w:color="auto"/>
        </w:rPr>
      </w:pPr>
    </w:p>
    <w:p w:rsidR="008C213F" w:rsidRPr="00CD60C7" w:rsidRDefault="008C213F" w:rsidP="00BC6020">
      <w:pPr>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sz w:val="20"/>
          <w:szCs w:val="20"/>
          <w:bdr w:val="none" w:sz="0" w:space="0" w:color="auto"/>
        </w:rPr>
      </w:pPr>
      <w:r w:rsidRPr="00CD60C7">
        <w:rPr>
          <w:rFonts w:ascii="Cambria" w:hAnsi="Cambria"/>
          <w:sz w:val="20"/>
          <w:szCs w:val="20"/>
          <w:bdr w:val="none" w:sz="0" w:space="0" w:color="auto"/>
        </w:rPr>
        <w:t xml:space="preserve">Adopt legislative and other measures needed to avoid a recurrence of the violations substantiated in this report. In that regard, the State takes such steps as are needed to: </w:t>
      </w:r>
      <w:proofErr w:type="spellStart"/>
      <w:r w:rsidRPr="00CD60C7">
        <w:rPr>
          <w:rFonts w:ascii="Cambria" w:hAnsi="Cambria"/>
          <w:sz w:val="20"/>
          <w:szCs w:val="20"/>
          <w:bdr w:val="none" w:sz="0" w:space="0" w:color="auto"/>
        </w:rPr>
        <w:t>i</w:t>
      </w:r>
      <w:proofErr w:type="spellEnd"/>
      <w:r w:rsidRPr="00CD60C7">
        <w:rPr>
          <w:rFonts w:ascii="Cambria" w:hAnsi="Cambria"/>
          <w:sz w:val="20"/>
          <w:szCs w:val="20"/>
          <w:bdr w:val="none" w:sz="0" w:space="0" w:color="auto"/>
        </w:rPr>
        <w:t xml:space="preserve">) Ensure that State-owned enterprises comply with the judicial rulings recognizing former workers' pension rights; ii) Ensure that in privatization processes proper safeguards are in place to prevent the compliance with judicial decisions in favor of retirees; iii) Ensure that judgment execution processes meet conventional standards of straightforwardness and promptness; and iv) Ensure that the judicial authorities hearing such processes are legally empowered to apply, and do in practice apply, the coercive mechanisms needed to guarantee compliance with judicial rulings. </w:t>
      </w: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sz w:val="20"/>
          <w:szCs w:val="20"/>
          <w:bdr w:val="none" w:sz="0" w:space="0" w:color="auto"/>
        </w:rPr>
      </w:pP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sz w:val="20"/>
          <w:szCs w:val="20"/>
          <w:bdr w:val="none" w:sz="0" w:space="0" w:color="auto"/>
        </w:rPr>
      </w:pP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8C213F" w:rsidRPr="00CD60C7" w:rsidRDefault="008C213F" w:rsidP="00BC602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BA7A49" w:rsidRPr="00CD60C7" w:rsidRDefault="00803A41" w:rsidP="00BC6020">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hAnsi="Cambria"/>
          <w:sz w:val="20"/>
          <w:szCs w:val="20"/>
          <w:shd w:val="clear" w:color="auto" w:fill="FFFFFF"/>
        </w:rPr>
      </w:pPr>
      <w:r w:rsidRPr="00CD60C7">
        <w:rPr>
          <w:rFonts w:ascii="Cambria" w:hAnsi="Cambria"/>
          <w:sz w:val="20"/>
          <w:szCs w:val="20"/>
          <w:shd w:val="clear" w:color="auto" w:fill="FFFFFF"/>
        </w:rPr>
        <w:t xml:space="preserve"> </w:t>
      </w:r>
      <w:bookmarkStart w:id="49" w:name="_GoBack"/>
      <w:bookmarkEnd w:id="49"/>
    </w:p>
    <w:sectPr w:rsidR="00BA7A49" w:rsidRPr="00CD60C7" w:rsidSect="00905478">
      <w:headerReference w:type="even" r:id="rId9"/>
      <w:headerReference w:type="default" r:id="rId10"/>
      <w:footerReference w:type="default" r:id="rId11"/>
      <w:footerReference w:type="first" r:id="rId12"/>
      <w:type w:val="oddPage"/>
      <w:pgSz w:w="12240" w:h="15840"/>
      <w:pgMar w:top="1440" w:right="135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55D" w:rsidRDefault="0028355D">
      <w:r>
        <w:separator/>
      </w:r>
    </w:p>
  </w:endnote>
  <w:endnote w:type="continuationSeparator" w:id="0">
    <w:p w:rsidR="0028355D" w:rsidRDefault="00283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Universal">
    <w:altName w:val="Courier New"/>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F4C" w:rsidRPr="00934A2C" w:rsidRDefault="00251F4C">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BA5E6A">
      <w:rPr>
        <w:noProof/>
        <w:sz w:val="16"/>
        <w:szCs w:val="22"/>
      </w:rPr>
      <w:t>17</w:t>
    </w:r>
    <w:r w:rsidRPr="00934A2C">
      <w:rPr>
        <w:noProof/>
        <w:sz w:val="16"/>
        <w:szCs w:val="22"/>
      </w:rPr>
      <w:fldChar w:fldCharType="end"/>
    </w:r>
  </w:p>
  <w:p w:rsidR="00251F4C" w:rsidRDefault="00251F4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F4C" w:rsidRPr="00934A2C" w:rsidRDefault="00251F4C">
    <w:pPr>
      <w:pStyle w:val="Piedepgina"/>
      <w:jc w:val="center"/>
      <w:rPr>
        <w:sz w:val="16"/>
        <w:szCs w:val="22"/>
      </w:rPr>
    </w:pPr>
  </w:p>
  <w:p w:rsidR="00251F4C" w:rsidRDefault="00251F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55D" w:rsidRDefault="0028355D">
      <w:r>
        <w:separator/>
      </w:r>
    </w:p>
  </w:footnote>
  <w:footnote w:type="continuationSeparator" w:id="0">
    <w:p w:rsidR="0028355D" w:rsidRDefault="0028355D">
      <w:r>
        <w:continuationSeparator/>
      </w:r>
    </w:p>
  </w:footnote>
  <w:footnote w:type="continuationNotice" w:id="1">
    <w:p w:rsidR="0028355D" w:rsidRDefault="0028355D"/>
  </w:footnote>
  <w:footnote w:id="2">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IACHR, Report No. 106/10, Petition 147-98, Admissibility, Oscar </w:t>
      </w:r>
      <w:proofErr w:type="spellStart"/>
      <w:r w:rsidRPr="00746D30">
        <w:rPr>
          <w:rFonts w:ascii="Cambria" w:hAnsi="Cambria"/>
          <w:sz w:val="16"/>
          <w:szCs w:val="16"/>
        </w:rPr>
        <w:t>Muelle</w:t>
      </w:r>
      <w:proofErr w:type="spellEnd"/>
      <w:r w:rsidRPr="00746D30">
        <w:rPr>
          <w:rFonts w:ascii="Cambria" w:hAnsi="Cambria"/>
          <w:sz w:val="16"/>
          <w:szCs w:val="16"/>
        </w:rPr>
        <w:t xml:space="preserve"> Flores, Peru, July 16, 2010. Available at: </w:t>
      </w:r>
      <w:hyperlink r:id="rId1">
        <w:r w:rsidRPr="00746D30">
          <w:rPr>
            <w:rStyle w:val="Hipervnculo"/>
            <w:rFonts w:ascii="Cambria" w:hAnsi="Cambria"/>
            <w:sz w:val="16"/>
            <w:szCs w:val="16"/>
          </w:rPr>
          <w:t>http://www.cidh.org/annualrep/2010eng/PEAD147-98EN.DOC</w:t>
        </w:r>
      </w:hyperlink>
      <w:r w:rsidRPr="00746D30">
        <w:rPr>
          <w:rFonts w:ascii="Cambria" w:hAnsi="Cambria"/>
          <w:sz w:val="16"/>
          <w:szCs w:val="16"/>
        </w:rPr>
        <w:t xml:space="preserve">. </w:t>
      </w:r>
    </w:p>
  </w:footnote>
  <w:footnote w:id="3">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The petitioner's communications were sent on October 30, 2010; July 18, 2011; September 8, 2012; and June 10, 2013. For its part, the State sent communications on April 8, 2011; December 2, 2011; March 21, 2012, December 19, 2012; and January 29, 2014.</w:t>
      </w:r>
    </w:p>
  </w:footnote>
  <w:footnote w:id="4">
    <w:p w:rsidR="00251F4C" w:rsidRPr="00D652B3" w:rsidRDefault="00251F4C" w:rsidP="008C213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spacing w:before="120"/>
        <w:ind w:left="0" w:firstLine="720"/>
        <w:jc w:val="both"/>
        <w:rPr>
          <w:rFonts w:ascii="Cambria" w:hAnsi="Cambria"/>
          <w:sz w:val="16"/>
          <w:szCs w:val="16"/>
          <w:lang w:val="en-US"/>
        </w:rPr>
      </w:pPr>
      <w:r w:rsidRPr="00746D30">
        <w:rPr>
          <w:rStyle w:val="Refdenotaalpie"/>
          <w:rFonts w:ascii="Cambria" w:eastAsia="MS Gothic" w:hAnsi="Cambria"/>
          <w:sz w:val="16"/>
          <w:szCs w:val="16"/>
        </w:rPr>
        <w:footnoteRef/>
      </w:r>
      <w:r w:rsidRPr="00D652B3">
        <w:rPr>
          <w:rFonts w:ascii="Cambria" w:hAnsi="Cambria"/>
          <w:sz w:val="16"/>
          <w:szCs w:val="16"/>
          <w:lang w:val="en-US"/>
        </w:rPr>
        <w:t xml:space="preserve"> Based on information provided by the parties, the IACHR notes that the company was later privatized and became Xstrata </w:t>
      </w:r>
      <w:proofErr w:type="spellStart"/>
      <w:r w:rsidRPr="00D652B3">
        <w:rPr>
          <w:rFonts w:ascii="Cambria" w:hAnsi="Cambria"/>
          <w:sz w:val="16"/>
          <w:szCs w:val="16"/>
          <w:lang w:val="en-US"/>
        </w:rPr>
        <w:t>Tintaya</w:t>
      </w:r>
      <w:proofErr w:type="spellEnd"/>
      <w:r w:rsidRPr="00D652B3">
        <w:rPr>
          <w:rFonts w:ascii="Cambria" w:hAnsi="Cambria"/>
          <w:sz w:val="16"/>
          <w:szCs w:val="16"/>
          <w:lang w:val="en-US"/>
        </w:rPr>
        <w:t xml:space="preserve"> S.A.</w:t>
      </w:r>
    </w:p>
  </w:footnote>
  <w:footnote w:id="5">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proofErr w:type="gramStart"/>
      <w:r w:rsidRPr="00746D30">
        <w:rPr>
          <w:rFonts w:ascii="Cambria" w:hAnsi="Cambria"/>
          <w:sz w:val="16"/>
          <w:szCs w:val="16"/>
        </w:rPr>
        <w:t xml:space="preserve">Brief No. 2 of the law firm Laos, Aguilar, </w:t>
      </w:r>
      <w:proofErr w:type="spellStart"/>
      <w:r w:rsidRPr="00746D30">
        <w:rPr>
          <w:rFonts w:ascii="Cambria" w:hAnsi="Cambria"/>
          <w:sz w:val="16"/>
          <w:szCs w:val="16"/>
        </w:rPr>
        <w:t>Celi</w:t>
      </w:r>
      <w:proofErr w:type="spellEnd"/>
      <w:r w:rsidRPr="00746D30">
        <w:rPr>
          <w:rFonts w:ascii="Cambria" w:hAnsi="Cambria"/>
          <w:sz w:val="16"/>
          <w:szCs w:val="16"/>
        </w:rPr>
        <w:t xml:space="preserve"> y </w:t>
      </w:r>
      <w:proofErr w:type="spellStart"/>
      <w:r w:rsidRPr="00746D30">
        <w:rPr>
          <w:rFonts w:ascii="Cambria" w:hAnsi="Cambria"/>
          <w:sz w:val="16"/>
          <w:szCs w:val="16"/>
        </w:rPr>
        <w:t>Vinatea</w:t>
      </w:r>
      <w:proofErr w:type="spellEnd"/>
      <w:r w:rsidRPr="00746D30">
        <w:rPr>
          <w:rFonts w:ascii="Cambria" w:hAnsi="Cambria"/>
          <w:sz w:val="16"/>
          <w:szCs w:val="16"/>
        </w:rPr>
        <w:t xml:space="preserve"> </w:t>
      </w:r>
      <w:proofErr w:type="spellStart"/>
      <w:r w:rsidRPr="00746D30">
        <w:rPr>
          <w:rFonts w:ascii="Cambria" w:hAnsi="Cambria"/>
          <w:sz w:val="16"/>
          <w:szCs w:val="16"/>
        </w:rPr>
        <w:t>Abogados</w:t>
      </w:r>
      <w:proofErr w:type="spellEnd"/>
      <w:r w:rsidRPr="00746D30">
        <w:rPr>
          <w:rFonts w:ascii="Cambria" w:hAnsi="Cambria"/>
          <w:sz w:val="16"/>
          <w:szCs w:val="16"/>
        </w:rPr>
        <w:t>, September 24, 1996.</w:t>
      </w:r>
      <w:proofErr w:type="gramEnd"/>
      <w:r w:rsidRPr="00746D30">
        <w:rPr>
          <w:rFonts w:ascii="Cambria" w:hAnsi="Cambria"/>
          <w:sz w:val="16"/>
          <w:szCs w:val="16"/>
        </w:rPr>
        <w:t xml:space="preserve"> </w:t>
      </w:r>
      <w:proofErr w:type="gramStart"/>
      <w:r w:rsidRPr="00746D30">
        <w:rPr>
          <w:rFonts w:ascii="Cambria" w:hAnsi="Cambria"/>
          <w:sz w:val="16"/>
          <w:szCs w:val="16"/>
        </w:rPr>
        <w:t>Attached to the petitioner's communication of November 10, 1998.</w:t>
      </w:r>
      <w:proofErr w:type="gramEnd"/>
    </w:p>
  </w:footnote>
  <w:footnote w:id="6">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proofErr w:type="gramStart"/>
      <w:r w:rsidRPr="00746D30">
        <w:rPr>
          <w:rFonts w:ascii="Cambria" w:hAnsi="Cambria"/>
          <w:sz w:val="16"/>
          <w:szCs w:val="16"/>
        </w:rPr>
        <w:t xml:space="preserve">Brief No. 2 of the law firm Laos, Aguilar, </w:t>
      </w:r>
      <w:proofErr w:type="spellStart"/>
      <w:r w:rsidRPr="00746D30">
        <w:rPr>
          <w:rFonts w:ascii="Cambria" w:hAnsi="Cambria"/>
          <w:sz w:val="16"/>
          <w:szCs w:val="16"/>
        </w:rPr>
        <w:t>Celi</w:t>
      </w:r>
      <w:proofErr w:type="spellEnd"/>
      <w:r w:rsidRPr="00746D30">
        <w:rPr>
          <w:rFonts w:ascii="Cambria" w:hAnsi="Cambria"/>
          <w:sz w:val="16"/>
          <w:szCs w:val="16"/>
        </w:rPr>
        <w:t xml:space="preserve"> y </w:t>
      </w:r>
      <w:proofErr w:type="spellStart"/>
      <w:r w:rsidRPr="00746D30">
        <w:rPr>
          <w:rFonts w:ascii="Cambria" w:hAnsi="Cambria"/>
          <w:sz w:val="16"/>
          <w:szCs w:val="16"/>
        </w:rPr>
        <w:t>Vinatea</w:t>
      </w:r>
      <w:proofErr w:type="spellEnd"/>
      <w:r w:rsidRPr="00746D30">
        <w:rPr>
          <w:rFonts w:ascii="Cambria" w:hAnsi="Cambria"/>
          <w:sz w:val="16"/>
          <w:szCs w:val="16"/>
        </w:rPr>
        <w:t xml:space="preserve"> </w:t>
      </w:r>
      <w:proofErr w:type="spellStart"/>
      <w:r w:rsidRPr="00746D30">
        <w:rPr>
          <w:rFonts w:ascii="Cambria" w:hAnsi="Cambria"/>
          <w:sz w:val="16"/>
          <w:szCs w:val="16"/>
        </w:rPr>
        <w:t>Abogados</w:t>
      </w:r>
      <w:proofErr w:type="spellEnd"/>
      <w:r w:rsidRPr="00746D30">
        <w:rPr>
          <w:rFonts w:ascii="Cambria" w:hAnsi="Cambria"/>
          <w:sz w:val="16"/>
          <w:szCs w:val="16"/>
        </w:rPr>
        <w:t>, September 24, 1996.</w:t>
      </w:r>
      <w:proofErr w:type="gramEnd"/>
      <w:r w:rsidRPr="00746D30">
        <w:rPr>
          <w:rFonts w:ascii="Cambria" w:hAnsi="Cambria"/>
          <w:sz w:val="16"/>
          <w:szCs w:val="16"/>
        </w:rPr>
        <w:t xml:space="preserve"> Attached to the petitioner's communication </w:t>
      </w:r>
      <w:proofErr w:type="gramStart"/>
      <w:r w:rsidRPr="00746D30">
        <w:rPr>
          <w:rFonts w:ascii="Cambria" w:hAnsi="Cambria"/>
          <w:sz w:val="16"/>
          <w:szCs w:val="16"/>
        </w:rPr>
        <w:t>of  November</w:t>
      </w:r>
      <w:proofErr w:type="gramEnd"/>
      <w:r w:rsidRPr="00746D30">
        <w:rPr>
          <w:rFonts w:ascii="Cambria" w:hAnsi="Cambria"/>
          <w:sz w:val="16"/>
          <w:szCs w:val="16"/>
        </w:rPr>
        <w:t xml:space="preserve"> 10, 1998.</w:t>
      </w:r>
    </w:p>
  </w:footnote>
  <w:footnote w:id="7">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proofErr w:type="gramStart"/>
      <w:r w:rsidRPr="00746D30">
        <w:rPr>
          <w:rFonts w:ascii="Cambria" w:hAnsi="Cambria"/>
          <w:sz w:val="16"/>
          <w:szCs w:val="16"/>
        </w:rPr>
        <w:t xml:space="preserve">Brief No. 2 of the law firm Laos, Aguilar, </w:t>
      </w:r>
      <w:proofErr w:type="spellStart"/>
      <w:r w:rsidRPr="00746D30">
        <w:rPr>
          <w:rFonts w:ascii="Cambria" w:hAnsi="Cambria"/>
          <w:sz w:val="16"/>
          <w:szCs w:val="16"/>
        </w:rPr>
        <w:t>Celi</w:t>
      </w:r>
      <w:proofErr w:type="spellEnd"/>
      <w:r w:rsidRPr="00746D30">
        <w:rPr>
          <w:rFonts w:ascii="Cambria" w:hAnsi="Cambria"/>
          <w:sz w:val="16"/>
          <w:szCs w:val="16"/>
        </w:rPr>
        <w:t xml:space="preserve"> y </w:t>
      </w:r>
      <w:proofErr w:type="spellStart"/>
      <w:r w:rsidRPr="00746D30">
        <w:rPr>
          <w:rFonts w:ascii="Cambria" w:hAnsi="Cambria"/>
          <w:sz w:val="16"/>
          <w:szCs w:val="16"/>
        </w:rPr>
        <w:t>Vinatea</w:t>
      </w:r>
      <w:proofErr w:type="spellEnd"/>
      <w:r w:rsidRPr="00746D30">
        <w:rPr>
          <w:rFonts w:ascii="Cambria" w:hAnsi="Cambria"/>
          <w:sz w:val="16"/>
          <w:szCs w:val="16"/>
        </w:rPr>
        <w:t xml:space="preserve"> </w:t>
      </w:r>
      <w:proofErr w:type="spellStart"/>
      <w:r w:rsidRPr="00746D30">
        <w:rPr>
          <w:rFonts w:ascii="Cambria" w:hAnsi="Cambria"/>
          <w:sz w:val="16"/>
          <w:szCs w:val="16"/>
        </w:rPr>
        <w:t>Abogados</w:t>
      </w:r>
      <w:proofErr w:type="spellEnd"/>
      <w:r w:rsidRPr="00746D30">
        <w:rPr>
          <w:rFonts w:ascii="Cambria" w:hAnsi="Cambria"/>
          <w:sz w:val="16"/>
          <w:szCs w:val="16"/>
        </w:rPr>
        <w:t>, September 24, 1996.</w:t>
      </w:r>
      <w:proofErr w:type="gramEnd"/>
      <w:r w:rsidRPr="00746D30">
        <w:rPr>
          <w:rFonts w:ascii="Cambria" w:hAnsi="Cambria"/>
          <w:sz w:val="16"/>
          <w:szCs w:val="16"/>
        </w:rPr>
        <w:t xml:space="preserve"> Attached to the petitioner's communication </w:t>
      </w:r>
      <w:proofErr w:type="gramStart"/>
      <w:r w:rsidRPr="00746D30">
        <w:rPr>
          <w:rFonts w:ascii="Cambria" w:hAnsi="Cambria"/>
          <w:sz w:val="16"/>
          <w:szCs w:val="16"/>
        </w:rPr>
        <w:t>of  November</w:t>
      </w:r>
      <w:proofErr w:type="gramEnd"/>
      <w:r w:rsidRPr="00746D30">
        <w:rPr>
          <w:rFonts w:ascii="Cambria" w:hAnsi="Cambria"/>
          <w:sz w:val="16"/>
          <w:szCs w:val="16"/>
        </w:rPr>
        <w:t xml:space="preserve"> 10, 1998.</w:t>
      </w:r>
    </w:p>
  </w:footnote>
  <w:footnote w:id="8">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hyperlink r:id="rId2">
        <w:proofErr w:type="gramStart"/>
        <w:r w:rsidRPr="00746D30">
          <w:rPr>
            <w:rStyle w:val="Hipervnculo"/>
            <w:rFonts w:ascii="Cambria" w:hAnsi="Cambria"/>
            <w:sz w:val="16"/>
            <w:szCs w:val="16"/>
            <w:u w:val="none"/>
          </w:rPr>
          <w:t>Decree Law 20530</w:t>
        </w:r>
      </w:hyperlink>
      <w:r w:rsidRPr="00746D30">
        <w:rPr>
          <w:rFonts w:ascii="Cambria" w:hAnsi="Cambria"/>
          <w:sz w:val="16"/>
          <w:szCs w:val="16"/>
        </w:rPr>
        <w:t>.</w:t>
      </w:r>
      <w:proofErr w:type="gramEnd"/>
      <w:r w:rsidRPr="00746D30">
        <w:rPr>
          <w:rFonts w:ascii="Cambria" w:hAnsi="Cambria"/>
          <w:sz w:val="16"/>
          <w:szCs w:val="16"/>
        </w:rPr>
        <w:t xml:space="preserve"> </w:t>
      </w:r>
      <w:proofErr w:type="gramStart"/>
      <w:r w:rsidRPr="00746D30">
        <w:rPr>
          <w:rFonts w:ascii="Cambria" w:hAnsi="Cambria"/>
          <w:sz w:val="16"/>
          <w:szCs w:val="16"/>
        </w:rPr>
        <w:t>Promulgated on February 27, 1974.</w:t>
      </w:r>
      <w:proofErr w:type="gramEnd"/>
    </w:p>
  </w:footnote>
  <w:footnote w:id="9">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Decision of the Constitutional and Social Division of the Supreme Court, August 22, 1997. Attached to the petitioner's communication </w:t>
      </w:r>
      <w:proofErr w:type="gramStart"/>
      <w:r w:rsidRPr="00746D30">
        <w:rPr>
          <w:rFonts w:ascii="Cambria" w:hAnsi="Cambria"/>
          <w:sz w:val="16"/>
          <w:szCs w:val="16"/>
        </w:rPr>
        <w:t>of  November</w:t>
      </w:r>
      <w:proofErr w:type="gramEnd"/>
      <w:r w:rsidRPr="00746D30">
        <w:rPr>
          <w:rFonts w:ascii="Cambria" w:hAnsi="Cambria"/>
          <w:sz w:val="16"/>
          <w:szCs w:val="16"/>
        </w:rPr>
        <w:t xml:space="preserve"> 10, 1998.</w:t>
      </w:r>
    </w:p>
  </w:footnote>
  <w:footnote w:id="10">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proofErr w:type="gramStart"/>
      <w:r w:rsidRPr="00746D30">
        <w:rPr>
          <w:rFonts w:ascii="Cambria" w:hAnsi="Cambria"/>
          <w:sz w:val="16"/>
          <w:szCs w:val="16"/>
        </w:rPr>
        <w:t>Constitution of the Republic of Peru of 1979.</w:t>
      </w:r>
      <w:proofErr w:type="gramEnd"/>
    </w:p>
  </w:footnote>
  <w:footnote w:id="11">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proofErr w:type="gramStart"/>
      <w:r w:rsidRPr="00746D30">
        <w:rPr>
          <w:rFonts w:ascii="Cambria" w:hAnsi="Cambria"/>
          <w:sz w:val="16"/>
          <w:szCs w:val="16"/>
        </w:rPr>
        <w:t>Ley 23.495.</w:t>
      </w:r>
      <w:proofErr w:type="gramEnd"/>
      <w:r w:rsidRPr="00746D30">
        <w:rPr>
          <w:rFonts w:ascii="Cambria" w:hAnsi="Cambria"/>
          <w:sz w:val="16"/>
          <w:szCs w:val="16"/>
        </w:rPr>
        <w:t xml:space="preserve"> </w:t>
      </w:r>
      <w:proofErr w:type="gramStart"/>
      <w:r w:rsidRPr="00746D30">
        <w:rPr>
          <w:rFonts w:ascii="Cambria" w:hAnsi="Cambria"/>
          <w:sz w:val="16"/>
          <w:szCs w:val="16"/>
        </w:rPr>
        <w:t>Promulgated on November 20, 1982.</w:t>
      </w:r>
      <w:proofErr w:type="gramEnd"/>
    </w:p>
  </w:footnote>
  <w:footnote w:id="12">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Decision of the Constitutional and Social Division of the Supreme Court, August 22, 1997. Attached to the petitioner's communication </w:t>
      </w:r>
      <w:proofErr w:type="gramStart"/>
      <w:r w:rsidRPr="00746D30">
        <w:rPr>
          <w:rFonts w:ascii="Cambria" w:hAnsi="Cambria"/>
          <w:sz w:val="16"/>
          <w:szCs w:val="16"/>
        </w:rPr>
        <w:t>of  November</w:t>
      </w:r>
      <w:proofErr w:type="gramEnd"/>
      <w:r w:rsidRPr="00746D30">
        <w:rPr>
          <w:rFonts w:ascii="Cambria" w:hAnsi="Cambria"/>
          <w:sz w:val="16"/>
          <w:szCs w:val="16"/>
        </w:rPr>
        <w:t xml:space="preserve"> 10, 1998.</w:t>
      </w:r>
    </w:p>
  </w:footnote>
  <w:footnote w:id="13">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Decision of the Constitutional and Social Division of the Supreme Court, August 22, 1997. Attached to the petitioner's communication </w:t>
      </w:r>
      <w:proofErr w:type="gramStart"/>
      <w:r w:rsidRPr="00746D30">
        <w:rPr>
          <w:rFonts w:ascii="Cambria" w:hAnsi="Cambria"/>
          <w:sz w:val="16"/>
          <w:szCs w:val="16"/>
        </w:rPr>
        <w:t>of  November</w:t>
      </w:r>
      <w:proofErr w:type="gramEnd"/>
      <w:r w:rsidRPr="00746D30">
        <w:rPr>
          <w:rFonts w:ascii="Cambria" w:hAnsi="Cambria"/>
          <w:sz w:val="16"/>
          <w:szCs w:val="16"/>
        </w:rPr>
        <w:t xml:space="preserve"> 10, 1998.</w:t>
      </w:r>
    </w:p>
  </w:footnote>
  <w:footnote w:id="14">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Judgment of the Supreme Court, of February 2, 1993. Attached to the petitioner's communication </w:t>
      </w:r>
      <w:proofErr w:type="gramStart"/>
      <w:r w:rsidRPr="00746D30">
        <w:rPr>
          <w:rFonts w:ascii="Cambria" w:hAnsi="Cambria"/>
          <w:sz w:val="16"/>
          <w:szCs w:val="16"/>
        </w:rPr>
        <w:t>of  November</w:t>
      </w:r>
      <w:proofErr w:type="gramEnd"/>
      <w:r w:rsidRPr="00746D30">
        <w:rPr>
          <w:rFonts w:ascii="Cambria" w:hAnsi="Cambria"/>
          <w:sz w:val="16"/>
          <w:szCs w:val="16"/>
        </w:rPr>
        <w:t xml:space="preserve"> 10, 1998.</w:t>
      </w:r>
    </w:p>
  </w:footnote>
  <w:footnote w:id="15">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Judgment of the Supreme Court, of February 2, 1993. Attached to the petitioner's communication </w:t>
      </w:r>
      <w:proofErr w:type="gramStart"/>
      <w:r w:rsidRPr="00746D30">
        <w:rPr>
          <w:rFonts w:ascii="Cambria" w:hAnsi="Cambria"/>
          <w:sz w:val="16"/>
          <w:szCs w:val="16"/>
        </w:rPr>
        <w:t>of  November</w:t>
      </w:r>
      <w:proofErr w:type="gramEnd"/>
      <w:r w:rsidRPr="00746D30">
        <w:rPr>
          <w:rFonts w:ascii="Cambria" w:hAnsi="Cambria"/>
          <w:sz w:val="16"/>
          <w:szCs w:val="16"/>
        </w:rPr>
        <w:t xml:space="preserve"> 10, 1998.</w:t>
      </w:r>
    </w:p>
  </w:footnote>
  <w:footnote w:id="16">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Complaint by Oscar </w:t>
      </w:r>
      <w:proofErr w:type="spellStart"/>
      <w:r w:rsidRPr="00746D30">
        <w:rPr>
          <w:rFonts w:ascii="Cambria" w:hAnsi="Cambria"/>
          <w:sz w:val="16"/>
          <w:szCs w:val="16"/>
        </w:rPr>
        <w:t>Muelle</w:t>
      </w:r>
      <w:proofErr w:type="spellEnd"/>
      <w:r w:rsidRPr="00746D30">
        <w:rPr>
          <w:rFonts w:ascii="Cambria" w:hAnsi="Cambria"/>
          <w:sz w:val="16"/>
          <w:szCs w:val="16"/>
        </w:rPr>
        <w:t xml:space="preserve">, April 18, 1991. </w:t>
      </w:r>
      <w:proofErr w:type="gramStart"/>
      <w:r w:rsidRPr="00746D30">
        <w:rPr>
          <w:rFonts w:ascii="Cambria" w:hAnsi="Cambria"/>
          <w:sz w:val="16"/>
          <w:szCs w:val="16"/>
        </w:rPr>
        <w:t>Attached to the State’s communication of February 26, 2010.</w:t>
      </w:r>
      <w:proofErr w:type="gramEnd"/>
    </w:p>
  </w:footnote>
  <w:footnote w:id="17">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Judgment of the Fifth </w:t>
      </w:r>
      <w:proofErr w:type="gramStart"/>
      <w:r w:rsidRPr="00746D30">
        <w:rPr>
          <w:rFonts w:ascii="Cambria" w:hAnsi="Cambria"/>
          <w:sz w:val="16"/>
          <w:szCs w:val="16"/>
        </w:rPr>
        <w:t>Civil  Court</w:t>
      </w:r>
      <w:proofErr w:type="gramEnd"/>
      <w:r w:rsidRPr="00746D30">
        <w:rPr>
          <w:rFonts w:ascii="Cambria" w:hAnsi="Cambria"/>
          <w:sz w:val="16"/>
          <w:szCs w:val="16"/>
        </w:rPr>
        <w:t xml:space="preserve">, July 19, 1991. </w:t>
      </w:r>
      <w:proofErr w:type="gramStart"/>
      <w:r w:rsidRPr="00746D30">
        <w:rPr>
          <w:rFonts w:ascii="Cambria" w:hAnsi="Cambria"/>
          <w:sz w:val="16"/>
          <w:szCs w:val="16"/>
        </w:rPr>
        <w:t>Attached to the State’s communication of February 26, 2010.</w:t>
      </w:r>
      <w:proofErr w:type="gramEnd"/>
    </w:p>
  </w:footnote>
  <w:footnote w:id="18">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Judgment of the Fifth </w:t>
      </w:r>
      <w:proofErr w:type="gramStart"/>
      <w:r w:rsidRPr="00746D30">
        <w:rPr>
          <w:rFonts w:ascii="Cambria" w:hAnsi="Cambria"/>
          <w:sz w:val="16"/>
          <w:szCs w:val="16"/>
        </w:rPr>
        <w:t>Civil  Court</w:t>
      </w:r>
      <w:proofErr w:type="gramEnd"/>
      <w:r w:rsidRPr="00746D30">
        <w:rPr>
          <w:rFonts w:ascii="Cambria" w:hAnsi="Cambria"/>
          <w:sz w:val="16"/>
          <w:szCs w:val="16"/>
        </w:rPr>
        <w:t xml:space="preserve">, July 19, 1991. </w:t>
      </w:r>
      <w:proofErr w:type="gramStart"/>
      <w:r w:rsidRPr="00746D30">
        <w:rPr>
          <w:rFonts w:ascii="Cambria" w:hAnsi="Cambria"/>
          <w:sz w:val="16"/>
          <w:szCs w:val="16"/>
        </w:rPr>
        <w:t>Attached to the State’s communication of February 26, 2010.</w:t>
      </w:r>
      <w:proofErr w:type="gramEnd"/>
    </w:p>
  </w:footnote>
  <w:footnote w:id="19">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Judgment of the Fifth </w:t>
      </w:r>
      <w:proofErr w:type="gramStart"/>
      <w:r w:rsidRPr="00746D30">
        <w:rPr>
          <w:rFonts w:ascii="Cambria" w:hAnsi="Cambria"/>
          <w:sz w:val="16"/>
          <w:szCs w:val="16"/>
        </w:rPr>
        <w:t>Civil  Court</w:t>
      </w:r>
      <w:proofErr w:type="gramEnd"/>
      <w:r w:rsidRPr="00746D30">
        <w:rPr>
          <w:rFonts w:ascii="Cambria" w:hAnsi="Cambria"/>
          <w:sz w:val="16"/>
          <w:szCs w:val="16"/>
        </w:rPr>
        <w:t xml:space="preserve">, July 19, 1991. </w:t>
      </w:r>
      <w:proofErr w:type="gramStart"/>
      <w:r w:rsidRPr="00746D30">
        <w:rPr>
          <w:rFonts w:ascii="Cambria" w:hAnsi="Cambria"/>
          <w:sz w:val="16"/>
          <w:szCs w:val="16"/>
        </w:rPr>
        <w:t>Attached to the State’s communication of February 26, 2010.</w:t>
      </w:r>
      <w:proofErr w:type="gramEnd"/>
    </w:p>
  </w:footnote>
  <w:footnote w:id="20">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Judgment of the Supreme Court, of February 2, 1993. Attached to the petitioner's communication </w:t>
      </w:r>
      <w:proofErr w:type="gramStart"/>
      <w:r w:rsidRPr="00746D30">
        <w:rPr>
          <w:rFonts w:ascii="Cambria" w:hAnsi="Cambria"/>
          <w:sz w:val="16"/>
          <w:szCs w:val="16"/>
        </w:rPr>
        <w:t>of  November</w:t>
      </w:r>
      <w:proofErr w:type="gramEnd"/>
      <w:r w:rsidRPr="00746D30">
        <w:rPr>
          <w:rFonts w:ascii="Cambria" w:hAnsi="Cambria"/>
          <w:sz w:val="16"/>
          <w:szCs w:val="16"/>
        </w:rPr>
        <w:t xml:space="preserve"> 10, 1998.</w:t>
      </w:r>
    </w:p>
  </w:footnote>
  <w:footnote w:id="21">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Judgment of the Supreme Court, of February 2, 1993. Attached to the petitioner's communication </w:t>
      </w:r>
      <w:proofErr w:type="gramStart"/>
      <w:r w:rsidRPr="00746D30">
        <w:rPr>
          <w:rFonts w:ascii="Cambria" w:hAnsi="Cambria"/>
          <w:sz w:val="16"/>
          <w:szCs w:val="16"/>
        </w:rPr>
        <w:t>of  November</w:t>
      </w:r>
      <w:proofErr w:type="gramEnd"/>
      <w:r w:rsidRPr="00746D30">
        <w:rPr>
          <w:rFonts w:ascii="Cambria" w:hAnsi="Cambria"/>
          <w:sz w:val="16"/>
          <w:szCs w:val="16"/>
        </w:rPr>
        <w:t xml:space="preserve"> 10, 1998.</w:t>
      </w:r>
    </w:p>
  </w:footnote>
  <w:footnote w:id="22">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proofErr w:type="gramStart"/>
      <w:r w:rsidRPr="00746D30">
        <w:rPr>
          <w:rFonts w:ascii="Cambria" w:hAnsi="Cambria"/>
          <w:sz w:val="16"/>
          <w:szCs w:val="16"/>
        </w:rPr>
        <w:t>Article 57 of the Peruvian Constitution in force at the time.</w:t>
      </w:r>
      <w:proofErr w:type="gramEnd"/>
      <w:r w:rsidRPr="00746D30">
        <w:rPr>
          <w:rFonts w:ascii="Cambria" w:hAnsi="Cambria"/>
          <w:sz w:val="16"/>
          <w:szCs w:val="16"/>
        </w:rPr>
        <w:t xml:space="preserve"> Recognized workers' rights may not be waived. The exercise of such rights is guaranteed by the Constitution. Any agreement to the contrary shall be null and void. In the event </w:t>
      </w:r>
      <w:proofErr w:type="gramStart"/>
      <w:r w:rsidRPr="00746D30">
        <w:rPr>
          <w:rFonts w:ascii="Cambria" w:hAnsi="Cambria"/>
          <w:sz w:val="16"/>
          <w:szCs w:val="16"/>
        </w:rPr>
        <w:t>of  any</w:t>
      </w:r>
      <w:proofErr w:type="gramEnd"/>
      <w:r w:rsidRPr="00746D30">
        <w:rPr>
          <w:rFonts w:ascii="Cambria" w:hAnsi="Cambria"/>
          <w:sz w:val="16"/>
          <w:szCs w:val="16"/>
        </w:rPr>
        <w:t xml:space="preserve"> interpretation or doubt as to the scope and content of  any labor provision, the position most favorable to the worker shall prevail.</w:t>
      </w:r>
    </w:p>
  </w:footnote>
  <w:footnote w:id="23">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Judgment of the Supreme Court, of February 2, 1993. Attached to the petitioner's communication </w:t>
      </w:r>
      <w:proofErr w:type="gramStart"/>
      <w:r w:rsidRPr="00746D30">
        <w:rPr>
          <w:rFonts w:ascii="Cambria" w:hAnsi="Cambria"/>
          <w:sz w:val="16"/>
          <w:szCs w:val="16"/>
        </w:rPr>
        <w:t>of  November</w:t>
      </w:r>
      <w:proofErr w:type="gramEnd"/>
      <w:r w:rsidRPr="00746D30">
        <w:rPr>
          <w:rFonts w:ascii="Cambria" w:hAnsi="Cambria"/>
          <w:sz w:val="16"/>
          <w:szCs w:val="16"/>
        </w:rPr>
        <w:t xml:space="preserve"> 10, 1998.</w:t>
      </w:r>
    </w:p>
  </w:footnote>
  <w:footnote w:id="24">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Judgment of the Supreme Court, of February 2, 1993. Attached to the petitioner's communication </w:t>
      </w:r>
      <w:proofErr w:type="gramStart"/>
      <w:r w:rsidRPr="00746D30">
        <w:rPr>
          <w:rFonts w:ascii="Cambria" w:hAnsi="Cambria"/>
          <w:sz w:val="16"/>
          <w:szCs w:val="16"/>
        </w:rPr>
        <w:t>of  November</w:t>
      </w:r>
      <w:proofErr w:type="gramEnd"/>
      <w:r w:rsidRPr="00746D30">
        <w:rPr>
          <w:rFonts w:ascii="Cambria" w:hAnsi="Cambria"/>
          <w:sz w:val="16"/>
          <w:szCs w:val="16"/>
        </w:rPr>
        <w:t xml:space="preserve"> 10, 1998.</w:t>
      </w:r>
    </w:p>
  </w:footnote>
  <w:footnote w:id="25">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Judgment of the Constitutional </w:t>
      </w:r>
      <w:proofErr w:type="gramStart"/>
      <w:r w:rsidRPr="00746D30">
        <w:rPr>
          <w:rFonts w:ascii="Cambria" w:hAnsi="Cambria"/>
          <w:sz w:val="16"/>
          <w:szCs w:val="16"/>
        </w:rPr>
        <w:t>Court  of</w:t>
      </w:r>
      <w:proofErr w:type="gramEnd"/>
      <w:r w:rsidRPr="00746D30">
        <w:rPr>
          <w:rFonts w:ascii="Cambria" w:hAnsi="Cambria"/>
          <w:sz w:val="16"/>
          <w:szCs w:val="16"/>
        </w:rPr>
        <w:t xml:space="preserve"> December 10, 1999. Attached to the petitioner's communication </w:t>
      </w:r>
      <w:proofErr w:type="gramStart"/>
      <w:r w:rsidRPr="00746D30">
        <w:rPr>
          <w:rFonts w:ascii="Cambria" w:hAnsi="Cambria"/>
          <w:sz w:val="16"/>
          <w:szCs w:val="16"/>
        </w:rPr>
        <w:t>of  May</w:t>
      </w:r>
      <w:proofErr w:type="gramEnd"/>
      <w:r w:rsidRPr="00746D30">
        <w:rPr>
          <w:rFonts w:ascii="Cambria" w:hAnsi="Cambria"/>
          <w:sz w:val="16"/>
          <w:szCs w:val="16"/>
        </w:rPr>
        <w:t xml:space="preserve"> 31, 2004.</w:t>
      </w:r>
    </w:p>
  </w:footnote>
  <w:footnote w:id="26">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Judgment of the Constitutional </w:t>
      </w:r>
      <w:proofErr w:type="gramStart"/>
      <w:r w:rsidRPr="00746D30">
        <w:rPr>
          <w:rFonts w:ascii="Cambria" w:hAnsi="Cambria"/>
          <w:sz w:val="16"/>
          <w:szCs w:val="16"/>
        </w:rPr>
        <w:t>Court  of</w:t>
      </w:r>
      <w:proofErr w:type="gramEnd"/>
      <w:r w:rsidRPr="00746D30">
        <w:rPr>
          <w:rFonts w:ascii="Cambria" w:hAnsi="Cambria"/>
          <w:sz w:val="16"/>
          <w:szCs w:val="16"/>
        </w:rPr>
        <w:t xml:space="preserve"> December 10, 1999. Attached to the petitioner's communication </w:t>
      </w:r>
      <w:proofErr w:type="gramStart"/>
      <w:r w:rsidRPr="00746D30">
        <w:rPr>
          <w:rFonts w:ascii="Cambria" w:hAnsi="Cambria"/>
          <w:sz w:val="16"/>
          <w:szCs w:val="16"/>
        </w:rPr>
        <w:t>of  May</w:t>
      </w:r>
      <w:proofErr w:type="gramEnd"/>
      <w:r w:rsidRPr="00746D30">
        <w:rPr>
          <w:rFonts w:ascii="Cambria" w:hAnsi="Cambria"/>
          <w:sz w:val="16"/>
          <w:szCs w:val="16"/>
        </w:rPr>
        <w:t xml:space="preserve"> 31, 2004.</w:t>
      </w:r>
    </w:p>
  </w:footnote>
  <w:footnote w:id="27">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Judgment of the Constitutional </w:t>
      </w:r>
      <w:proofErr w:type="gramStart"/>
      <w:r w:rsidRPr="00746D30">
        <w:rPr>
          <w:rFonts w:ascii="Cambria" w:hAnsi="Cambria"/>
          <w:sz w:val="16"/>
          <w:szCs w:val="16"/>
        </w:rPr>
        <w:t>Court  of</w:t>
      </w:r>
      <w:proofErr w:type="gramEnd"/>
      <w:r w:rsidRPr="00746D30">
        <w:rPr>
          <w:rFonts w:ascii="Cambria" w:hAnsi="Cambria"/>
          <w:sz w:val="16"/>
          <w:szCs w:val="16"/>
        </w:rPr>
        <w:t xml:space="preserve"> December 10, 1999. Attached to the petitioner's communication </w:t>
      </w:r>
      <w:proofErr w:type="gramStart"/>
      <w:r w:rsidRPr="00746D30">
        <w:rPr>
          <w:rFonts w:ascii="Cambria" w:hAnsi="Cambria"/>
          <w:sz w:val="16"/>
          <w:szCs w:val="16"/>
        </w:rPr>
        <w:t>of  May</w:t>
      </w:r>
      <w:proofErr w:type="gramEnd"/>
      <w:r w:rsidRPr="00746D30">
        <w:rPr>
          <w:rFonts w:ascii="Cambria" w:hAnsi="Cambria"/>
          <w:sz w:val="16"/>
          <w:szCs w:val="16"/>
        </w:rPr>
        <w:t xml:space="preserve"> 31, 2004.</w:t>
      </w:r>
    </w:p>
  </w:footnote>
  <w:footnote w:id="28">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Judgment of the Constitutional </w:t>
      </w:r>
      <w:proofErr w:type="gramStart"/>
      <w:r w:rsidRPr="00746D30">
        <w:rPr>
          <w:rFonts w:ascii="Cambria" w:hAnsi="Cambria"/>
          <w:sz w:val="16"/>
          <w:szCs w:val="16"/>
        </w:rPr>
        <w:t>Court  of</w:t>
      </w:r>
      <w:proofErr w:type="gramEnd"/>
      <w:r w:rsidRPr="00746D30">
        <w:rPr>
          <w:rFonts w:ascii="Cambria" w:hAnsi="Cambria"/>
          <w:sz w:val="16"/>
          <w:szCs w:val="16"/>
        </w:rPr>
        <w:t xml:space="preserve"> December 10, 1999. Attached to the petitioner's communication </w:t>
      </w:r>
      <w:proofErr w:type="gramStart"/>
      <w:r w:rsidRPr="00746D30">
        <w:rPr>
          <w:rFonts w:ascii="Cambria" w:hAnsi="Cambria"/>
          <w:sz w:val="16"/>
          <w:szCs w:val="16"/>
        </w:rPr>
        <w:t>of  May</w:t>
      </w:r>
      <w:proofErr w:type="gramEnd"/>
      <w:r w:rsidRPr="00746D30">
        <w:rPr>
          <w:rFonts w:ascii="Cambria" w:hAnsi="Cambria"/>
          <w:sz w:val="16"/>
          <w:szCs w:val="16"/>
        </w:rPr>
        <w:t xml:space="preserve"> 31, 2004.</w:t>
      </w:r>
    </w:p>
  </w:footnote>
  <w:footnote w:id="29">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Judgment of the Constitutional </w:t>
      </w:r>
      <w:proofErr w:type="gramStart"/>
      <w:r w:rsidRPr="00746D30">
        <w:rPr>
          <w:rFonts w:ascii="Cambria" w:hAnsi="Cambria"/>
          <w:sz w:val="16"/>
          <w:szCs w:val="16"/>
        </w:rPr>
        <w:t>Court  of</w:t>
      </w:r>
      <w:proofErr w:type="gramEnd"/>
      <w:r w:rsidRPr="00746D30">
        <w:rPr>
          <w:rFonts w:ascii="Cambria" w:hAnsi="Cambria"/>
          <w:sz w:val="16"/>
          <w:szCs w:val="16"/>
        </w:rPr>
        <w:t xml:space="preserve"> December 10, 1999. Attached to the petitioner's communication </w:t>
      </w:r>
      <w:proofErr w:type="gramStart"/>
      <w:r w:rsidRPr="00746D30">
        <w:rPr>
          <w:rFonts w:ascii="Cambria" w:hAnsi="Cambria"/>
          <w:sz w:val="16"/>
          <w:szCs w:val="16"/>
        </w:rPr>
        <w:t>of  May</w:t>
      </w:r>
      <w:proofErr w:type="gramEnd"/>
      <w:r w:rsidRPr="00746D30">
        <w:rPr>
          <w:rFonts w:ascii="Cambria" w:hAnsi="Cambria"/>
          <w:sz w:val="16"/>
          <w:szCs w:val="16"/>
        </w:rPr>
        <w:t xml:space="preserve"> 31, 2004.</w:t>
      </w:r>
    </w:p>
  </w:footnote>
  <w:footnote w:id="30">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Judgment of the Constitutional </w:t>
      </w:r>
      <w:proofErr w:type="gramStart"/>
      <w:r w:rsidRPr="00746D30">
        <w:rPr>
          <w:rFonts w:ascii="Cambria" w:hAnsi="Cambria"/>
          <w:sz w:val="16"/>
          <w:szCs w:val="16"/>
        </w:rPr>
        <w:t>Court  of</w:t>
      </w:r>
      <w:proofErr w:type="gramEnd"/>
      <w:r w:rsidRPr="00746D30">
        <w:rPr>
          <w:rFonts w:ascii="Cambria" w:hAnsi="Cambria"/>
          <w:sz w:val="16"/>
          <w:szCs w:val="16"/>
        </w:rPr>
        <w:t xml:space="preserve"> December 10, 1999. Attached to the petitioner's communication </w:t>
      </w:r>
      <w:proofErr w:type="gramStart"/>
      <w:r w:rsidRPr="00746D30">
        <w:rPr>
          <w:rFonts w:ascii="Cambria" w:hAnsi="Cambria"/>
          <w:sz w:val="16"/>
          <w:szCs w:val="16"/>
        </w:rPr>
        <w:t>of  May</w:t>
      </w:r>
      <w:proofErr w:type="gramEnd"/>
      <w:r w:rsidRPr="00746D30">
        <w:rPr>
          <w:rFonts w:ascii="Cambria" w:hAnsi="Cambria"/>
          <w:sz w:val="16"/>
          <w:szCs w:val="16"/>
        </w:rPr>
        <w:t xml:space="preserve"> 31, 2004.</w:t>
      </w:r>
    </w:p>
  </w:footnote>
  <w:footnote w:id="31">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Judgment of the Constitutional </w:t>
      </w:r>
      <w:proofErr w:type="gramStart"/>
      <w:r w:rsidRPr="00746D30">
        <w:rPr>
          <w:rFonts w:ascii="Cambria" w:hAnsi="Cambria"/>
          <w:sz w:val="16"/>
          <w:szCs w:val="16"/>
        </w:rPr>
        <w:t>Court  of</w:t>
      </w:r>
      <w:proofErr w:type="gramEnd"/>
      <w:r w:rsidRPr="00746D30">
        <w:rPr>
          <w:rFonts w:ascii="Cambria" w:hAnsi="Cambria"/>
          <w:sz w:val="16"/>
          <w:szCs w:val="16"/>
        </w:rPr>
        <w:t xml:space="preserve"> December 10, 1999. Attached to the petitioner's communication </w:t>
      </w:r>
      <w:proofErr w:type="gramStart"/>
      <w:r w:rsidRPr="00746D30">
        <w:rPr>
          <w:rFonts w:ascii="Cambria" w:hAnsi="Cambria"/>
          <w:sz w:val="16"/>
          <w:szCs w:val="16"/>
        </w:rPr>
        <w:t>of  May</w:t>
      </w:r>
      <w:proofErr w:type="gramEnd"/>
      <w:r w:rsidRPr="00746D30">
        <w:rPr>
          <w:rFonts w:ascii="Cambria" w:hAnsi="Cambria"/>
          <w:sz w:val="16"/>
          <w:szCs w:val="16"/>
        </w:rPr>
        <w:t xml:space="preserve"> 31, 2004.</w:t>
      </w:r>
    </w:p>
  </w:footnote>
  <w:footnote w:id="32">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Judgment of the Constitutional </w:t>
      </w:r>
      <w:proofErr w:type="gramStart"/>
      <w:r w:rsidRPr="00746D30">
        <w:rPr>
          <w:rFonts w:ascii="Cambria" w:hAnsi="Cambria"/>
          <w:sz w:val="16"/>
          <w:szCs w:val="16"/>
        </w:rPr>
        <w:t>Court  of</w:t>
      </w:r>
      <w:proofErr w:type="gramEnd"/>
      <w:r w:rsidRPr="00746D30">
        <w:rPr>
          <w:rFonts w:ascii="Cambria" w:hAnsi="Cambria"/>
          <w:sz w:val="16"/>
          <w:szCs w:val="16"/>
        </w:rPr>
        <w:t xml:space="preserve"> December 10, 1999. Attached to the petitioner's communication </w:t>
      </w:r>
      <w:proofErr w:type="gramStart"/>
      <w:r w:rsidRPr="00746D30">
        <w:rPr>
          <w:rFonts w:ascii="Cambria" w:hAnsi="Cambria"/>
          <w:sz w:val="16"/>
          <w:szCs w:val="16"/>
        </w:rPr>
        <w:t>of  May</w:t>
      </w:r>
      <w:proofErr w:type="gramEnd"/>
      <w:r w:rsidRPr="00746D30">
        <w:rPr>
          <w:rFonts w:ascii="Cambria" w:hAnsi="Cambria"/>
          <w:sz w:val="16"/>
          <w:szCs w:val="16"/>
        </w:rPr>
        <w:t xml:space="preserve"> 31, 2004.</w:t>
      </w:r>
    </w:p>
  </w:footnote>
  <w:footnote w:id="33">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Judgment of the Constitutional </w:t>
      </w:r>
      <w:proofErr w:type="gramStart"/>
      <w:r w:rsidRPr="00746D30">
        <w:rPr>
          <w:rFonts w:ascii="Cambria" w:hAnsi="Cambria"/>
          <w:sz w:val="16"/>
          <w:szCs w:val="16"/>
        </w:rPr>
        <w:t>Court  of</w:t>
      </w:r>
      <w:proofErr w:type="gramEnd"/>
      <w:r w:rsidRPr="00746D30">
        <w:rPr>
          <w:rFonts w:ascii="Cambria" w:hAnsi="Cambria"/>
          <w:sz w:val="16"/>
          <w:szCs w:val="16"/>
        </w:rPr>
        <w:t xml:space="preserve"> December 10, 1999. Attached to the petitioner's communication </w:t>
      </w:r>
      <w:proofErr w:type="gramStart"/>
      <w:r w:rsidRPr="00746D30">
        <w:rPr>
          <w:rFonts w:ascii="Cambria" w:hAnsi="Cambria"/>
          <w:sz w:val="16"/>
          <w:szCs w:val="16"/>
        </w:rPr>
        <w:t>of  May</w:t>
      </w:r>
      <w:proofErr w:type="gramEnd"/>
      <w:r w:rsidRPr="00746D30">
        <w:rPr>
          <w:rFonts w:ascii="Cambria" w:hAnsi="Cambria"/>
          <w:sz w:val="16"/>
          <w:szCs w:val="16"/>
        </w:rPr>
        <w:t xml:space="preserve"> 31, 2004.</w:t>
      </w:r>
    </w:p>
  </w:footnote>
  <w:footnote w:id="34">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Judgment of the Constitutional </w:t>
      </w:r>
      <w:proofErr w:type="gramStart"/>
      <w:r w:rsidRPr="00746D30">
        <w:rPr>
          <w:rFonts w:ascii="Cambria" w:hAnsi="Cambria"/>
          <w:sz w:val="16"/>
          <w:szCs w:val="16"/>
        </w:rPr>
        <w:t>Court  of</w:t>
      </w:r>
      <w:proofErr w:type="gramEnd"/>
      <w:r w:rsidRPr="00746D30">
        <w:rPr>
          <w:rFonts w:ascii="Cambria" w:hAnsi="Cambria"/>
          <w:sz w:val="16"/>
          <w:szCs w:val="16"/>
        </w:rPr>
        <w:t xml:space="preserve"> December 10, 1999. Attached to the petitioner's communication </w:t>
      </w:r>
      <w:proofErr w:type="gramStart"/>
      <w:r w:rsidRPr="00746D30">
        <w:rPr>
          <w:rFonts w:ascii="Cambria" w:hAnsi="Cambria"/>
          <w:sz w:val="16"/>
          <w:szCs w:val="16"/>
        </w:rPr>
        <w:t>of  May</w:t>
      </w:r>
      <w:proofErr w:type="gramEnd"/>
      <w:r w:rsidRPr="00746D30">
        <w:rPr>
          <w:rFonts w:ascii="Cambria" w:hAnsi="Cambria"/>
          <w:sz w:val="16"/>
          <w:szCs w:val="16"/>
        </w:rPr>
        <w:t xml:space="preserve"> 31, 2004.</w:t>
      </w:r>
    </w:p>
  </w:footnote>
  <w:footnote w:id="35">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Judgment of the Constitutional </w:t>
      </w:r>
      <w:proofErr w:type="gramStart"/>
      <w:r w:rsidRPr="00746D30">
        <w:rPr>
          <w:rFonts w:ascii="Cambria" w:hAnsi="Cambria"/>
          <w:sz w:val="16"/>
          <w:szCs w:val="16"/>
        </w:rPr>
        <w:t>Court  of</w:t>
      </w:r>
      <w:proofErr w:type="gramEnd"/>
      <w:r w:rsidRPr="00746D30">
        <w:rPr>
          <w:rFonts w:ascii="Cambria" w:hAnsi="Cambria"/>
          <w:sz w:val="16"/>
          <w:szCs w:val="16"/>
        </w:rPr>
        <w:t xml:space="preserve"> December 10, 1999. Attached to the petitioner's communication </w:t>
      </w:r>
      <w:proofErr w:type="gramStart"/>
      <w:r w:rsidRPr="00746D30">
        <w:rPr>
          <w:rFonts w:ascii="Cambria" w:hAnsi="Cambria"/>
          <w:sz w:val="16"/>
          <w:szCs w:val="16"/>
        </w:rPr>
        <w:t>of  May</w:t>
      </w:r>
      <w:proofErr w:type="gramEnd"/>
      <w:r w:rsidRPr="00746D30">
        <w:rPr>
          <w:rFonts w:ascii="Cambria" w:hAnsi="Cambria"/>
          <w:sz w:val="16"/>
          <w:szCs w:val="16"/>
        </w:rPr>
        <w:t xml:space="preserve"> 31, 2004.</w:t>
      </w:r>
    </w:p>
  </w:footnote>
  <w:footnote w:id="36">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Judgment of the Constitutional </w:t>
      </w:r>
      <w:proofErr w:type="gramStart"/>
      <w:r w:rsidRPr="00746D30">
        <w:rPr>
          <w:rFonts w:ascii="Cambria" w:hAnsi="Cambria"/>
          <w:sz w:val="16"/>
          <w:szCs w:val="16"/>
        </w:rPr>
        <w:t>Court  of</w:t>
      </w:r>
      <w:proofErr w:type="gramEnd"/>
      <w:r w:rsidRPr="00746D30">
        <w:rPr>
          <w:rFonts w:ascii="Cambria" w:hAnsi="Cambria"/>
          <w:sz w:val="16"/>
          <w:szCs w:val="16"/>
        </w:rPr>
        <w:t xml:space="preserve"> December 10, 1999. </w:t>
      </w:r>
      <w:proofErr w:type="gramStart"/>
      <w:r w:rsidRPr="00746D30">
        <w:rPr>
          <w:rFonts w:ascii="Cambria" w:hAnsi="Cambria"/>
          <w:sz w:val="16"/>
          <w:szCs w:val="16"/>
        </w:rPr>
        <w:t>Attached to the petitioner's communication of May 31, 2004.</w:t>
      </w:r>
      <w:proofErr w:type="gramEnd"/>
    </w:p>
  </w:footnote>
  <w:footnote w:id="37">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Judgment of the Constitutional </w:t>
      </w:r>
      <w:proofErr w:type="gramStart"/>
      <w:r w:rsidRPr="00746D30">
        <w:rPr>
          <w:rFonts w:ascii="Cambria" w:hAnsi="Cambria"/>
          <w:sz w:val="16"/>
          <w:szCs w:val="16"/>
        </w:rPr>
        <w:t>Court  of</w:t>
      </w:r>
      <w:proofErr w:type="gramEnd"/>
      <w:r w:rsidRPr="00746D30">
        <w:rPr>
          <w:rFonts w:ascii="Cambria" w:hAnsi="Cambria"/>
          <w:sz w:val="16"/>
          <w:szCs w:val="16"/>
        </w:rPr>
        <w:t xml:space="preserve"> December 10, 1999. </w:t>
      </w:r>
      <w:proofErr w:type="gramStart"/>
      <w:r w:rsidRPr="00746D30">
        <w:rPr>
          <w:rFonts w:ascii="Cambria" w:hAnsi="Cambria"/>
          <w:sz w:val="16"/>
          <w:szCs w:val="16"/>
        </w:rPr>
        <w:t>Attached to the petitioner's communication of May 31, 2004.</w:t>
      </w:r>
      <w:proofErr w:type="gramEnd"/>
    </w:p>
  </w:footnote>
  <w:footnote w:id="38">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Decision of the Constitutional and Social Division of the Supreme Court, August 22, 1997. </w:t>
      </w:r>
      <w:proofErr w:type="gramStart"/>
      <w:r w:rsidRPr="00746D30">
        <w:rPr>
          <w:rFonts w:ascii="Cambria" w:hAnsi="Cambria"/>
          <w:sz w:val="16"/>
          <w:szCs w:val="16"/>
        </w:rPr>
        <w:t>Attached to the petitioner's communication of November 10, 1998.</w:t>
      </w:r>
      <w:proofErr w:type="gramEnd"/>
    </w:p>
  </w:footnote>
  <w:footnote w:id="39">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Decision of the Constitutional and Social Division of the Supreme Court, August 22, 1997. </w:t>
      </w:r>
      <w:proofErr w:type="gramStart"/>
      <w:r w:rsidRPr="00746D30">
        <w:rPr>
          <w:rFonts w:ascii="Cambria" w:hAnsi="Cambria"/>
          <w:sz w:val="16"/>
          <w:szCs w:val="16"/>
        </w:rPr>
        <w:t>Attached to the petitioner's communication of November 10, 1998.</w:t>
      </w:r>
      <w:proofErr w:type="gramEnd"/>
    </w:p>
  </w:footnote>
  <w:footnote w:id="40">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Decision of the Constitutional and Social Division of the Supreme Court, August 22, 1997. </w:t>
      </w:r>
      <w:proofErr w:type="gramStart"/>
      <w:r w:rsidRPr="00746D30">
        <w:rPr>
          <w:rFonts w:ascii="Cambria" w:hAnsi="Cambria"/>
          <w:sz w:val="16"/>
          <w:szCs w:val="16"/>
        </w:rPr>
        <w:t>Attached to the petitioner's communication of November 10, 1998.</w:t>
      </w:r>
      <w:proofErr w:type="gramEnd"/>
    </w:p>
  </w:footnote>
  <w:footnote w:id="41">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Decision of the Constitutional and Social Division of the Supreme Court, August 22, 1997. </w:t>
      </w:r>
      <w:proofErr w:type="gramStart"/>
      <w:r w:rsidRPr="00746D30">
        <w:rPr>
          <w:rFonts w:ascii="Cambria" w:hAnsi="Cambria"/>
          <w:sz w:val="16"/>
          <w:szCs w:val="16"/>
        </w:rPr>
        <w:t>Attached to the petitioner's communication of November 10, 1998.</w:t>
      </w:r>
      <w:proofErr w:type="gramEnd"/>
    </w:p>
  </w:footnote>
  <w:footnote w:id="42">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Decision of the Constitutional and Social Division of the Supreme Court, August 22, 1997. </w:t>
      </w:r>
      <w:proofErr w:type="gramStart"/>
      <w:r w:rsidRPr="00746D30">
        <w:rPr>
          <w:rFonts w:ascii="Cambria" w:hAnsi="Cambria"/>
          <w:sz w:val="16"/>
          <w:szCs w:val="16"/>
        </w:rPr>
        <w:t>Attached to the petitioner's communication of November 10, 1998.</w:t>
      </w:r>
      <w:proofErr w:type="gramEnd"/>
    </w:p>
  </w:footnote>
  <w:footnote w:id="43">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Decision of the Constitutional and Social Division of the Supreme Court, August 22, 1997. </w:t>
      </w:r>
      <w:proofErr w:type="gramStart"/>
      <w:r w:rsidRPr="00746D30">
        <w:rPr>
          <w:rFonts w:ascii="Cambria" w:hAnsi="Cambria"/>
          <w:sz w:val="16"/>
          <w:szCs w:val="16"/>
        </w:rPr>
        <w:t>Attached to the petitioner's communication of November 10, 1998.</w:t>
      </w:r>
      <w:proofErr w:type="gramEnd"/>
    </w:p>
  </w:footnote>
  <w:footnote w:id="44">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Decision of the Constitutional and Social Division of the Supreme Court, August 22, 1997. </w:t>
      </w:r>
      <w:proofErr w:type="gramStart"/>
      <w:r w:rsidRPr="00746D30">
        <w:rPr>
          <w:rFonts w:ascii="Cambria" w:hAnsi="Cambria"/>
          <w:sz w:val="16"/>
          <w:szCs w:val="16"/>
        </w:rPr>
        <w:t>Attached to the petitioner's communication of November 10, 1998.</w:t>
      </w:r>
      <w:proofErr w:type="gramEnd"/>
    </w:p>
  </w:footnote>
  <w:footnote w:id="45">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Decision of the Constitutional and Social Division of the Supreme Court, August 22, 1997. </w:t>
      </w:r>
      <w:proofErr w:type="gramStart"/>
      <w:r w:rsidRPr="00746D30">
        <w:rPr>
          <w:rFonts w:ascii="Cambria" w:hAnsi="Cambria"/>
          <w:sz w:val="16"/>
          <w:szCs w:val="16"/>
        </w:rPr>
        <w:t>Attached to the petitioner's communication of November 10, 1998.</w:t>
      </w:r>
      <w:proofErr w:type="gramEnd"/>
    </w:p>
  </w:footnote>
  <w:footnote w:id="46">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Resolution of the Fifth Specialized Civil Court of </w:t>
      </w:r>
      <w:proofErr w:type="gramStart"/>
      <w:r w:rsidRPr="00746D30">
        <w:rPr>
          <w:rFonts w:ascii="Cambria" w:hAnsi="Cambria"/>
          <w:sz w:val="16"/>
          <w:szCs w:val="16"/>
        </w:rPr>
        <w:t>Lima  of</w:t>
      </w:r>
      <w:proofErr w:type="gramEnd"/>
      <w:r w:rsidRPr="00746D30">
        <w:rPr>
          <w:rFonts w:ascii="Cambria" w:hAnsi="Cambria"/>
          <w:sz w:val="16"/>
          <w:szCs w:val="16"/>
        </w:rPr>
        <w:t xml:space="preserve"> December 18, 1995. </w:t>
      </w:r>
      <w:proofErr w:type="gramStart"/>
      <w:r w:rsidRPr="00746D30">
        <w:rPr>
          <w:rFonts w:ascii="Cambria" w:hAnsi="Cambria"/>
          <w:sz w:val="16"/>
          <w:szCs w:val="16"/>
        </w:rPr>
        <w:t>Attached to the petitioner's communication of November 10, 1998.</w:t>
      </w:r>
      <w:proofErr w:type="gramEnd"/>
    </w:p>
  </w:footnote>
  <w:footnote w:id="47">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Resolution of the Fifth Civil Court of </w:t>
      </w:r>
      <w:proofErr w:type="gramStart"/>
      <w:r w:rsidRPr="00746D30">
        <w:rPr>
          <w:rFonts w:ascii="Cambria" w:hAnsi="Cambria"/>
          <w:sz w:val="16"/>
          <w:szCs w:val="16"/>
        </w:rPr>
        <w:t>Lima  of</w:t>
      </w:r>
      <w:proofErr w:type="gramEnd"/>
      <w:r w:rsidRPr="00746D30">
        <w:rPr>
          <w:rFonts w:ascii="Cambria" w:hAnsi="Cambria"/>
          <w:sz w:val="16"/>
          <w:szCs w:val="16"/>
        </w:rPr>
        <w:t xml:space="preserve"> April 7, 1997. </w:t>
      </w:r>
      <w:proofErr w:type="gramStart"/>
      <w:r w:rsidRPr="00746D30">
        <w:rPr>
          <w:rFonts w:ascii="Cambria" w:hAnsi="Cambria"/>
          <w:sz w:val="16"/>
          <w:szCs w:val="16"/>
        </w:rPr>
        <w:t>Attached to the petitioner's communication of May 31, 2004.</w:t>
      </w:r>
      <w:proofErr w:type="gramEnd"/>
    </w:p>
  </w:footnote>
  <w:footnote w:id="48">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Communication of the ONP of August 24, 2000. </w:t>
      </w:r>
      <w:proofErr w:type="gramStart"/>
      <w:r w:rsidRPr="00746D30">
        <w:rPr>
          <w:rFonts w:ascii="Cambria" w:hAnsi="Cambria"/>
          <w:sz w:val="16"/>
          <w:szCs w:val="16"/>
        </w:rPr>
        <w:t>Attached to the petitioner's communication of May 31, 2004.</w:t>
      </w:r>
      <w:proofErr w:type="gramEnd"/>
    </w:p>
  </w:footnote>
  <w:footnote w:id="49">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Communication of the ONP of August 24, 2000. </w:t>
      </w:r>
      <w:proofErr w:type="gramStart"/>
      <w:r w:rsidRPr="00746D30">
        <w:rPr>
          <w:rFonts w:ascii="Cambria" w:hAnsi="Cambria"/>
          <w:sz w:val="16"/>
          <w:szCs w:val="16"/>
        </w:rPr>
        <w:t>Attached to the petitioner's communication of May 31, 2004.</w:t>
      </w:r>
      <w:proofErr w:type="gramEnd"/>
    </w:p>
  </w:footnote>
  <w:footnote w:id="50">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Communication of the ONP of October 26, 2000. </w:t>
      </w:r>
      <w:proofErr w:type="gramStart"/>
      <w:r w:rsidRPr="00746D30">
        <w:rPr>
          <w:rFonts w:ascii="Cambria" w:hAnsi="Cambria"/>
          <w:sz w:val="16"/>
          <w:szCs w:val="16"/>
        </w:rPr>
        <w:t>Attached to the petitioner's communication of May 31, 2004.</w:t>
      </w:r>
      <w:proofErr w:type="gramEnd"/>
    </w:p>
  </w:footnote>
  <w:footnote w:id="51">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proofErr w:type="gramStart"/>
      <w:r w:rsidRPr="00746D30">
        <w:rPr>
          <w:rFonts w:ascii="Cambria" w:hAnsi="Cambria"/>
          <w:sz w:val="16"/>
          <w:szCs w:val="16"/>
        </w:rPr>
        <w:t>State’s communication of February 26, 2010.</w:t>
      </w:r>
      <w:proofErr w:type="gramEnd"/>
    </w:p>
  </w:footnote>
  <w:footnote w:id="52">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proofErr w:type="gramStart"/>
      <w:r w:rsidRPr="00746D30">
        <w:rPr>
          <w:rFonts w:ascii="Cambria" w:hAnsi="Cambria"/>
          <w:sz w:val="16"/>
          <w:szCs w:val="16"/>
        </w:rPr>
        <w:t>State’s communication of Friday, February 26, 2010.</w:t>
      </w:r>
      <w:proofErr w:type="gramEnd"/>
    </w:p>
  </w:footnote>
  <w:footnote w:id="53">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Resolution of the Fifth Civil Court of </w:t>
      </w:r>
      <w:proofErr w:type="gramStart"/>
      <w:r w:rsidRPr="00746D30">
        <w:rPr>
          <w:rFonts w:ascii="Cambria" w:hAnsi="Cambria"/>
          <w:sz w:val="16"/>
          <w:szCs w:val="16"/>
        </w:rPr>
        <w:t>Lima  of</w:t>
      </w:r>
      <w:proofErr w:type="gramEnd"/>
      <w:r w:rsidRPr="00746D30">
        <w:rPr>
          <w:rFonts w:ascii="Cambria" w:hAnsi="Cambria"/>
          <w:sz w:val="16"/>
          <w:szCs w:val="16"/>
        </w:rPr>
        <w:t xml:space="preserve"> April 26, 2010. Annex 8 to the petitioner's communication of May 29, 2010.</w:t>
      </w:r>
    </w:p>
  </w:footnote>
  <w:footnote w:id="54">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Resolution of the 38th Civil Court of </w:t>
      </w:r>
      <w:proofErr w:type="gramStart"/>
      <w:r w:rsidRPr="00746D30">
        <w:rPr>
          <w:rFonts w:ascii="Cambria" w:hAnsi="Cambria"/>
          <w:sz w:val="16"/>
          <w:szCs w:val="16"/>
        </w:rPr>
        <w:t>Lima  of</w:t>
      </w:r>
      <w:proofErr w:type="gramEnd"/>
      <w:r w:rsidRPr="00746D30">
        <w:rPr>
          <w:rFonts w:ascii="Cambria" w:hAnsi="Cambria"/>
          <w:sz w:val="16"/>
          <w:szCs w:val="16"/>
        </w:rPr>
        <w:t xml:space="preserve"> April 26, 2010. Annex 8 to the petitioner's communication of May 29, 2010.</w:t>
      </w:r>
    </w:p>
  </w:footnote>
  <w:footnote w:id="55">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Resolution of the 38th Civil Court of </w:t>
      </w:r>
      <w:proofErr w:type="gramStart"/>
      <w:r w:rsidRPr="00746D30">
        <w:rPr>
          <w:rFonts w:ascii="Cambria" w:hAnsi="Cambria"/>
          <w:sz w:val="16"/>
          <w:szCs w:val="16"/>
        </w:rPr>
        <w:t>Lima  of</w:t>
      </w:r>
      <w:proofErr w:type="gramEnd"/>
      <w:r w:rsidRPr="00746D30">
        <w:rPr>
          <w:rFonts w:ascii="Cambria" w:hAnsi="Cambria"/>
          <w:sz w:val="16"/>
          <w:szCs w:val="16"/>
        </w:rPr>
        <w:t xml:space="preserve"> April 26, 2010. Annex 8 to the petitioner's communication of May 29, 2010.</w:t>
      </w:r>
    </w:p>
  </w:footnote>
  <w:footnote w:id="56">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Appeal by Oscar </w:t>
      </w:r>
      <w:proofErr w:type="spellStart"/>
      <w:r w:rsidRPr="00746D30">
        <w:rPr>
          <w:rFonts w:ascii="Cambria" w:hAnsi="Cambria"/>
          <w:sz w:val="16"/>
          <w:szCs w:val="16"/>
        </w:rPr>
        <w:t>Muelle</w:t>
      </w:r>
      <w:proofErr w:type="spellEnd"/>
      <w:r w:rsidRPr="00746D30">
        <w:rPr>
          <w:rFonts w:ascii="Cambria" w:hAnsi="Cambria"/>
          <w:sz w:val="16"/>
          <w:szCs w:val="16"/>
        </w:rPr>
        <w:t xml:space="preserve"> of May 17, 2010. </w:t>
      </w:r>
      <w:proofErr w:type="gramStart"/>
      <w:r w:rsidRPr="00746D30">
        <w:rPr>
          <w:rFonts w:ascii="Cambria" w:hAnsi="Cambria"/>
          <w:sz w:val="16"/>
          <w:szCs w:val="16"/>
        </w:rPr>
        <w:t>Attached to the petitioner's communication of May 29, 2010.</w:t>
      </w:r>
      <w:proofErr w:type="gramEnd"/>
    </w:p>
  </w:footnote>
  <w:footnote w:id="57">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Resolution of the 38th Civil Court of </w:t>
      </w:r>
      <w:proofErr w:type="gramStart"/>
      <w:r w:rsidRPr="00746D30">
        <w:rPr>
          <w:rFonts w:ascii="Cambria" w:hAnsi="Cambria"/>
          <w:sz w:val="16"/>
          <w:szCs w:val="16"/>
        </w:rPr>
        <w:t>Lima  of</w:t>
      </w:r>
      <w:proofErr w:type="gramEnd"/>
      <w:r w:rsidRPr="00746D30">
        <w:rPr>
          <w:rFonts w:ascii="Cambria" w:hAnsi="Cambria"/>
          <w:sz w:val="16"/>
          <w:szCs w:val="16"/>
        </w:rPr>
        <w:t xml:space="preserve"> May 19, 2010. </w:t>
      </w:r>
      <w:proofErr w:type="gramStart"/>
      <w:r w:rsidRPr="00746D30">
        <w:rPr>
          <w:rFonts w:ascii="Cambria" w:hAnsi="Cambria"/>
          <w:sz w:val="16"/>
          <w:szCs w:val="16"/>
        </w:rPr>
        <w:t>Attached to the petitioner's communication of October 30, 2010.</w:t>
      </w:r>
      <w:proofErr w:type="gramEnd"/>
      <w:r w:rsidRPr="00746D30">
        <w:rPr>
          <w:rFonts w:ascii="Cambria" w:hAnsi="Cambria"/>
          <w:sz w:val="16"/>
          <w:szCs w:val="16"/>
        </w:rPr>
        <w:t xml:space="preserve"> </w:t>
      </w:r>
    </w:p>
  </w:footnote>
  <w:footnote w:id="58">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proofErr w:type="gramStart"/>
      <w:r w:rsidRPr="00746D30">
        <w:rPr>
          <w:rFonts w:ascii="Cambria" w:hAnsi="Cambria"/>
          <w:sz w:val="16"/>
          <w:szCs w:val="16"/>
        </w:rPr>
        <w:t>Petitioner’s communication of October 30, 2010.</w:t>
      </w:r>
      <w:proofErr w:type="gramEnd"/>
      <w:r w:rsidRPr="00746D30">
        <w:rPr>
          <w:rFonts w:ascii="Cambria" w:hAnsi="Cambria"/>
          <w:sz w:val="16"/>
          <w:szCs w:val="16"/>
        </w:rPr>
        <w:t xml:space="preserve"> </w:t>
      </w:r>
    </w:p>
  </w:footnote>
  <w:footnote w:id="59">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proofErr w:type="gramStart"/>
      <w:r w:rsidRPr="00746D30">
        <w:rPr>
          <w:rFonts w:ascii="Cambria" w:hAnsi="Cambria"/>
          <w:sz w:val="16"/>
          <w:szCs w:val="16"/>
        </w:rPr>
        <w:t>Petitioner’s communication of October 30, 2010.</w:t>
      </w:r>
      <w:proofErr w:type="gramEnd"/>
      <w:r w:rsidRPr="00746D30">
        <w:rPr>
          <w:rFonts w:ascii="Cambria" w:hAnsi="Cambria"/>
          <w:sz w:val="16"/>
          <w:szCs w:val="16"/>
        </w:rPr>
        <w:t xml:space="preserve"> </w:t>
      </w:r>
    </w:p>
  </w:footnote>
  <w:footnote w:id="60">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Resolution No. 6 of the Second Civil Division of the Superior Court of Lima of April 13, 2011. </w:t>
      </w:r>
      <w:proofErr w:type="gramStart"/>
      <w:r w:rsidRPr="00746D30">
        <w:rPr>
          <w:rFonts w:ascii="Cambria" w:hAnsi="Cambria"/>
          <w:sz w:val="16"/>
          <w:szCs w:val="16"/>
        </w:rPr>
        <w:t>Attached to the petitioner's communication of July 18, 2011.</w:t>
      </w:r>
      <w:proofErr w:type="gramEnd"/>
    </w:p>
  </w:footnote>
  <w:footnote w:id="61">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Resolution No. 6 of the Second Civil Division of the Superior Court of Lima of April 13, 2011. </w:t>
      </w:r>
      <w:proofErr w:type="gramStart"/>
      <w:r w:rsidRPr="00746D30">
        <w:rPr>
          <w:rFonts w:ascii="Cambria" w:hAnsi="Cambria"/>
          <w:sz w:val="16"/>
          <w:szCs w:val="16"/>
        </w:rPr>
        <w:t>Attached to the petitioner's communication of July 18, 2011.</w:t>
      </w:r>
      <w:proofErr w:type="gramEnd"/>
    </w:p>
  </w:footnote>
  <w:footnote w:id="62">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Resolution No. 6 of the Second Civil Division of the Superior Court of Lima of April 13, 2011. </w:t>
      </w:r>
      <w:proofErr w:type="gramStart"/>
      <w:r w:rsidRPr="00746D30">
        <w:rPr>
          <w:rFonts w:ascii="Cambria" w:hAnsi="Cambria"/>
          <w:sz w:val="16"/>
          <w:szCs w:val="16"/>
        </w:rPr>
        <w:t>Attached to the petitioner's communication of July 18, 2011.</w:t>
      </w:r>
      <w:proofErr w:type="gramEnd"/>
    </w:p>
  </w:footnote>
  <w:footnote w:id="63">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Resolution No. 6 of the Second Civil Division of the Superior Court of Lima of April 13, 2011. </w:t>
      </w:r>
      <w:proofErr w:type="gramStart"/>
      <w:r w:rsidRPr="00746D30">
        <w:rPr>
          <w:rFonts w:ascii="Cambria" w:hAnsi="Cambria"/>
          <w:sz w:val="16"/>
          <w:szCs w:val="16"/>
        </w:rPr>
        <w:t>Attached to the petitioner's communication of July 18, 2011.</w:t>
      </w:r>
      <w:proofErr w:type="gramEnd"/>
    </w:p>
  </w:footnote>
  <w:footnote w:id="64">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proofErr w:type="gramStart"/>
      <w:r w:rsidRPr="00746D30">
        <w:rPr>
          <w:rFonts w:ascii="Cambria" w:hAnsi="Cambria"/>
          <w:sz w:val="16"/>
          <w:szCs w:val="16"/>
        </w:rPr>
        <w:t>Petitioner’s communication of September 8, 2012.</w:t>
      </w:r>
      <w:proofErr w:type="gramEnd"/>
    </w:p>
  </w:footnote>
  <w:footnote w:id="65">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proofErr w:type="gramStart"/>
      <w:r w:rsidRPr="00746D30">
        <w:rPr>
          <w:rFonts w:ascii="Cambria" w:hAnsi="Cambria"/>
          <w:sz w:val="16"/>
          <w:szCs w:val="16"/>
        </w:rPr>
        <w:t>Petitioner’s communication of June 10, 2013.</w:t>
      </w:r>
      <w:proofErr w:type="gramEnd"/>
      <w:r w:rsidRPr="00746D30">
        <w:rPr>
          <w:rFonts w:ascii="Cambria" w:hAnsi="Cambria"/>
          <w:sz w:val="16"/>
          <w:szCs w:val="16"/>
        </w:rPr>
        <w:t xml:space="preserve"> </w:t>
      </w:r>
      <w:proofErr w:type="gramStart"/>
      <w:r w:rsidRPr="00746D30">
        <w:rPr>
          <w:rFonts w:ascii="Cambria" w:hAnsi="Cambria"/>
          <w:sz w:val="16"/>
          <w:szCs w:val="16"/>
        </w:rPr>
        <w:t>State’s communication of November 12, 2012.</w:t>
      </w:r>
      <w:proofErr w:type="gramEnd"/>
    </w:p>
  </w:footnote>
  <w:footnote w:id="66">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Resolution of the 38th Civil Court of </w:t>
      </w:r>
      <w:proofErr w:type="gramStart"/>
      <w:r w:rsidRPr="00746D30">
        <w:rPr>
          <w:rFonts w:ascii="Cambria" w:hAnsi="Cambria"/>
          <w:sz w:val="16"/>
          <w:szCs w:val="16"/>
        </w:rPr>
        <w:t>Lima  of</w:t>
      </w:r>
      <w:proofErr w:type="gramEnd"/>
      <w:r w:rsidRPr="00746D30">
        <w:rPr>
          <w:rFonts w:ascii="Cambria" w:hAnsi="Cambria"/>
          <w:sz w:val="16"/>
          <w:szCs w:val="16"/>
        </w:rPr>
        <w:t xml:space="preserve"> October 30, 2012. </w:t>
      </w:r>
      <w:proofErr w:type="gramStart"/>
      <w:r w:rsidRPr="00746D30">
        <w:rPr>
          <w:rFonts w:ascii="Cambria" w:hAnsi="Cambria"/>
          <w:sz w:val="16"/>
          <w:szCs w:val="16"/>
        </w:rPr>
        <w:t>Attached to the State’s communication of November 20, 2013.</w:t>
      </w:r>
      <w:proofErr w:type="gramEnd"/>
    </w:p>
  </w:footnote>
  <w:footnote w:id="67">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Complaint by Oscar </w:t>
      </w:r>
      <w:proofErr w:type="spellStart"/>
      <w:r w:rsidRPr="00746D30">
        <w:rPr>
          <w:rFonts w:ascii="Cambria" w:hAnsi="Cambria"/>
          <w:sz w:val="16"/>
          <w:szCs w:val="16"/>
        </w:rPr>
        <w:t>Muelle</w:t>
      </w:r>
      <w:proofErr w:type="spellEnd"/>
      <w:proofErr w:type="gramStart"/>
      <w:r w:rsidRPr="00746D30">
        <w:rPr>
          <w:rFonts w:ascii="Cambria" w:hAnsi="Cambria"/>
          <w:sz w:val="16"/>
          <w:szCs w:val="16"/>
        </w:rPr>
        <w:t>,  November</w:t>
      </w:r>
      <w:proofErr w:type="gramEnd"/>
      <w:r w:rsidRPr="00746D30">
        <w:rPr>
          <w:rFonts w:ascii="Cambria" w:hAnsi="Cambria"/>
          <w:sz w:val="16"/>
          <w:szCs w:val="16"/>
        </w:rPr>
        <w:t xml:space="preserve"> 20, 2012. </w:t>
      </w:r>
      <w:proofErr w:type="gramStart"/>
      <w:r w:rsidRPr="00746D30">
        <w:rPr>
          <w:rFonts w:ascii="Cambria" w:hAnsi="Cambria"/>
          <w:sz w:val="16"/>
          <w:szCs w:val="16"/>
        </w:rPr>
        <w:t>Attached to the State’s communication of November 20, 2013.</w:t>
      </w:r>
      <w:proofErr w:type="gramEnd"/>
    </w:p>
  </w:footnote>
  <w:footnote w:id="68">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Complaint by Oscar </w:t>
      </w:r>
      <w:proofErr w:type="spellStart"/>
      <w:r w:rsidRPr="00746D30">
        <w:rPr>
          <w:rFonts w:ascii="Cambria" w:hAnsi="Cambria"/>
          <w:sz w:val="16"/>
          <w:szCs w:val="16"/>
        </w:rPr>
        <w:t>Muelle</w:t>
      </w:r>
      <w:proofErr w:type="spellEnd"/>
      <w:proofErr w:type="gramStart"/>
      <w:r w:rsidRPr="00746D30">
        <w:rPr>
          <w:rFonts w:ascii="Cambria" w:hAnsi="Cambria"/>
          <w:sz w:val="16"/>
          <w:szCs w:val="16"/>
        </w:rPr>
        <w:t>,  November</w:t>
      </w:r>
      <w:proofErr w:type="gramEnd"/>
      <w:r w:rsidRPr="00746D30">
        <w:rPr>
          <w:rFonts w:ascii="Cambria" w:hAnsi="Cambria"/>
          <w:sz w:val="16"/>
          <w:szCs w:val="16"/>
        </w:rPr>
        <w:t xml:space="preserve"> 20, 2012. </w:t>
      </w:r>
      <w:proofErr w:type="gramStart"/>
      <w:r w:rsidRPr="00746D30">
        <w:rPr>
          <w:rFonts w:ascii="Cambria" w:hAnsi="Cambria"/>
          <w:sz w:val="16"/>
          <w:szCs w:val="16"/>
        </w:rPr>
        <w:t>Attached to the State’s communication of November 20, 2013.</w:t>
      </w:r>
      <w:proofErr w:type="gramEnd"/>
    </w:p>
  </w:footnote>
  <w:footnote w:id="69">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Resolution No. 8 of the Second Civil Division of the Superior Court of </w:t>
      </w:r>
      <w:proofErr w:type="gramStart"/>
      <w:r w:rsidRPr="00746D30">
        <w:rPr>
          <w:rFonts w:ascii="Cambria" w:hAnsi="Cambria"/>
          <w:sz w:val="16"/>
          <w:szCs w:val="16"/>
        </w:rPr>
        <w:t>Justice  of</w:t>
      </w:r>
      <w:proofErr w:type="gramEnd"/>
      <w:r w:rsidRPr="00746D30">
        <w:rPr>
          <w:rFonts w:ascii="Cambria" w:hAnsi="Cambria"/>
          <w:sz w:val="16"/>
          <w:szCs w:val="16"/>
        </w:rPr>
        <w:t xml:space="preserve"> October 10, 2013. </w:t>
      </w:r>
      <w:proofErr w:type="gramStart"/>
      <w:r w:rsidRPr="00746D30">
        <w:rPr>
          <w:rFonts w:ascii="Cambria" w:hAnsi="Cambria"/>
          <w:sz w:val="16"/>
          <w:szCs w:val="16"/>
        </w:rPr>
        <w:t>Attached to the State’s communication of November 20, 2013.</w:t>
      </w:r>
      <w:proofErr w:type="gramEnd"/>
    </w:p>
  </w:footnote>
  <w:footnote w:id="70">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Resolution No. 8 of the Second Civil Division of the Superior Court of </w:t>
      </w:r>
      <w:proofErr w:type="gramStart"/>
      <w:r w:rsidRPr="00746D30">
        <w:rPr>
          <w:rFonts w:ascii="Cambria" w:hAnsi="Cambria"/>
          <w:sz w:val="16"/>
          <w:szCs w:val="16"/>
        </w:rPr>
        <w:t>Justice  of</w:t>
      </w:r>
      <w:proofErr w:type="gramEnd"/>
      <w:r w:rsidRPr="00746D30">
        <w:rPr>
          <w:rFonts w:ascii="Cambria" w:hAnsi="Cambria"/>
          <w:sz w:val="16"/>
          <w:szCs w:val="16"/>
        </w:rPr>
        <w:t xml:space="preserve"> October 10, 2013. </w:t>
      </w:r>
      <w:proofErr w:type="gramStart"/>
      <w:r w:rsidRPr="00746D30">
        <w:rPr>
          <w:rFonts w:ascii="Cambria" w:hAnsi="Cambria"/>
          <w:sz w:val="16"/>
          <w:szCs w:val="16"/>
        </w:rPr>
        <w:t>Attached to the State’s communication of November 20, 2013.</w:t>
      </w:r>
      <w:proofErr w:type="gramEnd"/>
    </w:p>
  </w:footnote>
  <w:footnote w:id="71">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Resolution No. 8 of the Second Civil Division of the Superior Court of </w:t>
      </w:r>
      <w:proofErr w:type="gramStart"/>
      <w:r w:rsidRPr="00746D30">
        <w:rPr>
          <w:rFonts w:ascii="Cambria" w:hAnsi="Cambria"/>
          <w:sz w:val="16"/>
          <w:szCs w:val="16"/>
        </w:rPr>
        <w:t>Justice  of</w:t>
      </w:r>
      <w:proofErr w:type="gramEnd"/>
      <w:r w:rsidRPr="00746D30">
        <w:rPr>
          <w:rFonts w:ascii="Cambria" w:hAnsi="Cambria"/>
          <w:sz w:val="16"/>
          <w:szCs w:val="16"/>
        </w:rPr>
        <w:t xml:space="preserve"> October 10, 2013. </w:t>
      </w:r>
      <w:proofErr w:type="gramStart"/>
      <w:r w:rsidRPr="00746D30">
        <w:rPr>
          <w:rFonts w:ascii="Cambria" w:hAnsi="Cambria"/>
          <w:sz w:val="16"/>
          <w:szCs w:val="16"/>
        </w:rPr>
        <w:t>Attached to the State’s communication of November 20, 2013.</w:t>
      </w:r>
      <w:proofErr w:type="gramEnd"/>
    </w:p>
  </w:footnote>
  <w:footnote w:id="72">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IACHR, Report No. 38/09, Case 12.670, Admissibility and Merits, “National Association of Ex-Employees of the Peruvian Social Security Institute et al.,” Peru, March 27, 2009.</w:t>
      </w:r>
    </w:p>
  </w:footnote>
  <w:footnote w:id="73">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Article 8.1: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footnote>
  <w:footnote w:id="74">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Article 21.1: Everyone has the right to the use and enjoyment of his property.  The law may subordinate such use and enjoyment to the interests of society.</w:t>
      </w:r>
    </w:p>
  </w:footnote>
  <w:footnote w:id="75">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Article 25.2.c: c. [The States Parties undertake] to ensure that the competent authorities shall enforce such remedies when granted. </w:t>
      </w:r>
    </w:p>
  </w:footnote>
  <w:footnote w:id="76">
    <w:p w:rsidR="00251F4C" w:rsidRPr="00D652B3" w:rsidRDefault="00251F4C" w:rsidP="008C213F">
      <w:pPr>
        <w:pStyle w:val="Textonotapie"/>
        <w:spacing w:before="120"/>
        <w:ind w:firstLine="720"/>
        <w:jc w:val="both"/>
        <w:rPr>
          <w:rFonts w:ascii="Cambria" w:hAnsi="Cambria"/>
          <w:bCs/>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proofErr w:type="gramStart"/>
      <w:r w:rsidRPr="00746D30">
        <w:rPr>
          <w:rFonts w:ascii="Cambria" w:hAnsi="Cambria"/>
          <w:sz w:val="16"/>
          <w:szCs w:val="16"/>
        </w:rPr>
        <w:t xml:space="preserve">I/A Court HR. </w:t>
      </w:r>
      <w:r w:rsidRPr="00746D30">
        <w:rPr>
          <w:rFonts w:ascii="Cambria" w:hAnsi="Cambria"/>
          <w:i/>
          <w:sz w:val="16"/>
          <w:szCs w:val="16"/>
        </w:rPr>
        <w:t xml:space="preserve">Case of Suárez </w:t>
      </w:r>
      <w:proofErr w:type="spellStart"/>
      <w:r w:rsidRPr="00746D30">
        <w:rPr>
          <w:rFonts w:ascii="Cambria" w:hAnsi="Cambria"/>
          <w:i/>
          <w:sz w:val="16"/>
          <w:szCs w:val="16"/>
        </w:rPr>
        <w:t>Rosero</w:t>
      </w:r>
      <w:proofErr w:type="spellEnd"/>
      <w:r w:rsidRPr="00746D30">
        <w:rPr>
          <w:rFonts w:ascii="Cambria" w:hAnsi="Cambria"/>
          <w:i/>
          <w:sz w:val="16"/>
          <w:szCs w:val="16"/>
        </w:rPr>
        <w:t xml:space="preserve"> v. Ecuador.</w:t>
      </w:r>
      <w:proofErr w:type="gramEnd"/>
      <w:r w:rsidRPr="00746D30">
        <w:rPr>
          <w:rFonts w:ascii="Cambria" w:hAnsi="Cambria"/>
          <w:i/>
          <w:sz w:val="16"/>
          <w:szCs w:val="16"/>
        </w:rPr>
        <w:t xml:space="preserve"> </w:t>
      </w:r>
      <w:proofErr w:type="gramStart"/>
      <w:r w:rsidRPr="00746D30">
        <w:rPr>
          <w:rFonts w:ascii="Cambria" w:hAnsi="Cambria"/>
          <w:i/>
          <w:sz w:val="16"/>
          <w:szCs w:val="16"/>
        </w:rPr>
        <w:t>Merits.</w:t>
      </w:r>
      <w:proofErr w:type="gramEnd"/>
      <w:r w:rsidRPr="00746D30">
        <w:rPr>
          <w:rFonts w:ascii="Cambria" w:hAnsi="Cambria"/>
          <w:i/>
          <w:sz w:val="16"/>
          <w:szCs w:val="16"/>
        </w:rPr>
        <w:t xml:space="preserve"> </w:t>
      </w:r>
      <w:r w:rsidRPr="00746D30">
        <w:rPr>
          <w:rFonts w:ascii="Cambria" w:hAnsi="Cambria"/>
          <w:sz w:val="16"/>
          <w:szCs w:val="16"/>
        </w:rPr>
        <w:t>Judgment of November 12, 1997.</w:t>
      </w:r>
      <w:r w:rsidRPr="00746D30">
        <w:rPr>
          <w:rFonts w:ascii="Cambria" w:hAnsi="Cambria"/>
          <w:i/>
          <w:sz w:val="16"/>
          <w:szCs w:val="16"/>
        </w:rPr>
        <w:t xml:space="preserve"> </w:t>
      </w:r>
      <w:r w:rsidRPr="00746D30">
        <w:rPr>
          <w:rFonts w:ascii="Cambria" w:hAnsi="Cambria"/>
          <w:sz w:val="16"/>
          <w:szCs w:val="16"/>
        </w:rPr>
        <w:t>Series C No. 35, par.</w:t>
      </w:r>
      <w:r w:rsidRPr="00746D30">
        <w:rPr>
          <w:rFonts w:ascii="Cambria" w:hAnsi="Cambria"/>
          <w:i/>
          <w:sz w:val="16"/>
          <w:szCs w:val="16"/>
        </w:rPr>
        <w:t xml:space="preserve"> </w:t>
      </w:r>
      <w:r w:rsidRPr="00746D30">
        <w:rPr>
          <w:rFonts w:ascii="Cambria" w:hAnsi="Cambria"/>
          <w:sz w:val="16"/>
          <w:szCs w:val="16"/>
        </w:rPr>
        <w:t xml:space="preserve">65; </w:t>
      </w:r>
      <w:proofErr w:type="gramStart"/>
      <w:r w:rsidRPr="00746D30">
        <w:rPr>
          <w:rFonts w:ascii="Cambria" w:hAnsi="Cambria"/>
          <w:sz w:val="16"/>
          <w:szCs w:val="16"/>
        </w:rPr>
        <w:t>and  Case</w:t>
      </w:r>
      <w:proofErr w:type="gramEnd"/>
      <w:r w:rsidRPr="00746D30">
        <w:rPr>
          <w:rFonts w:ascii="Cambria" w:hAnsi="Cambria"/>
          <w:sz w:val="16"/>
          <w:szCs w:val="16"/>
        </w:rPr>
        <w:t xml:space="preserve"> of Rosendo </w:t>
      </w:r>
      <w:proofErr w:type="spellStart"/>
      <w:r w:rsidRPr="00746D30">
        <w:rPr>
          <w:rFonts w:ascii="Cambria" w:hAnsi="Cambria"/>
          <w:sz w:val="16"/>
          <w:szCs w:val="16"/>
        </w:rPr>
        <w:t>Cantú</w:t>
      </w:r>
      <w:proofErr w:type="spellEnd"/>
      <w:r w:rsidRPr="00746D30">
        <w:rPr>
          <w:rFonts w:ascii="Cambria" w:hAnsi="Cambria"/>
          <w:sz w:val="16"/>
          <w:szCs w:val="16"/>
        </w:rPr>
        <w:t xml:space="preserve"> et al. v.</w:t>
      </w:r>
      <w:r w:rsidRPr="00746D30">
        <w:rPr>
          <w:rFonts w:ascii="Cambria" w:hAnsi="Cambria"/>
          <w:i/>
          <w:sz w:val="16"/>
          <w:szCs w:val="16"/>
        </w:rPr>
        <w:t xml:space="preserve"> Mexico. </w:t>
      </w:r>
      <w:proofErr w:type="gramStart"/>
      <w:r w:rsidRPr="00746D30">
        <w:rPr>
          <w:rFonts w:ascii="Cambria" w:hAnsi="Cambria"/>
          <w:i/>
          <w:sz w:val="16"/>
          <w:szCs w:val="16"/>
        </w:rPr>
        <w:t>Preliminary Objection, Merits, Reparations and Costs.</w:t>
      </w:r>
      <w:proofErr w:type="gramEnd"/>
      <w:r w:rsidRPr="00746D30">
        <w:rPr>
          <w:rFonts w:ascii="Cambria" w:hAnsi="Cambria"/>
          <w:i/>
          <w:sz w:val="16"/>
          <w:szCs w:val="16"/>
        </w:rPr>
        <w:t xml:space="preserve"> </w:t>
      </w:r>
      <w:r w:rsidRPr="00746D30">
        <w:rPr>
          <w:rFonts w:ascii="Cambria" w:hAnsi="Cambria"/>
          <w:sz w:val="16"/>
          <w:szCs w:val="16"/>
        </w:rPr>
        <w:t xml:space="preserve">Judgment of August 31, 2010. </w:t>
      </w:r>
      <w:proofErr w:type="gramStart"/>
      <w:r w:rsidRPr="00746D30">
        <w:rPr>
          <w:rFonts w:ascii="Cambria" w:hAnsi="Cambria"/>
          <w:sz w:val="16"/>
          <w:szCs w:val="16"/>
        </w:rPr>
        <w:t>Series C No. 216, par. 166.</w:t>
      </w:r>
      <w:proofErr w:type="gramEnd"/>
    </w:p>
  </w:footnote>
  <w:footnote w:id="77">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I/A Court HR. </w:t>
      </w:r>
      <w:r w:rsidRPr="00746D30">
        <w:rPr>
          <w:rFonts w:ascii="Cambria" w:hAnsi="Cambria"/>
          <w:i/>
          <w:sz w:val="16"/>
          <w:szCs w:val="16"/>
          <w:shd w:val="clear" w:color="auto" w:fill="FFFFFF"/>
        </w:rPr>
        <w:t xml:space="preserve">Case </w:t>
      </w:r>
      <w:proofErr w:type="gramStart"/>
      <w:r w:rsidRPr="00746D30">
        <w:rPr>
          <w:rFonts w:ascii="Cambria" w:hAnsi="Cambria"/>
          <w:i/>
          <w:sz w:val="16"/>
          <w:szCs w:val="16"/>
          <w:shd w:val="clear" w:color="auto" w:fill="FFFFFF"/>
        </w:rPr>
        <w:t xml:space="preserve">of  </w:t>
      </w:r>
      <w:proofErr w:type="spellStart"/>
      <w:r w:rsidRPr="00746D30">
        <w:rPr>
          <w:rFonts w:ascii="Cambria" w:hAnsi="Cambria"/>
          <w:i/>
          <w:sz w:val="16"/>
          <w:szCs w:val="16"/>
          <w:shd w:val="clear" w:color="auto" w:fill="FFFFFF"/>
        </w:rPr>
        <w:t>Mejía</w:t>
      </w:r>
      <w:proofErr w:type="spellEnd"/>
      <w:proofErr w:type="gramEnd"/>
      <w:r w:rsidRPr="00746D30">
        <w:rPr>
          <w:rFonts w:ascii="Cambria" w:hAnsi="Cambria"/>
          <w:i/>
          <w:sz w:val="16"/>
          <w:szCs w:val="16"/>
          <w:shd w:val="clear" w:color="auto" w:fill="FFFFFF"/>
        </w:rPr>
        <w:t xml:space="preserve"> </w:t>
      </w:r>
      <w:proofErr w:type="spellStart"/>
      <w:r w:rsidRPr="00746D30">
        <w:rPr>
          <w:rFonts w:ascii="Cambria" w:hAnsi="Cambria"/>
          <w:i/>
          <w:sz w:val="16"/>
          <w:szCs w:val="16"/>
          <w:shd w:val="clear" w:color="auto" w:fill="FFFFFF"/>
        </w:rPr>
        <w:t>Idrovo</w:t>
      </w:r>
      <w:proofErr w:type="spellEnd"/>
      <w:r w:rsidRPr="00746D30">
        <w:rPr>
          <w:rFonts w:ascii="Cambria" w:hAnsi="Cambria"/>
          <w:i/>
          <w:sz w:val="16"/>
          <w:szCs w:val="16"/>
          <w:shd w:val="clear" w:color="auto" w:fill="FFFFFF"/>
        </w:rPr>
        <w:t xml:space="preserve"> v. Ecuador</w:t>
      </w:r>
      <w:r w:rsidRPr="00746D30">
        <w:rPr>
          <w:rFonts w:ascii="Cambria" w:hAnsi="Cambria"/>
          <w:sz w:val="16"/>
          <w:szCs w:val="16"/>
        </w:rPr>
        <w:t xml:space="preserve">. </w:t>
      </w:r>
      <w:proofErr w:type="gramStart"/>
      <w:r w:rsidRPr="00746D30">
        <w:rPr>
          <w:rFonts w:ascii="Cambria" w:hAnsi="Cambria"/>
          <w:sz w:val="16"/>
          <w:szCs w:val="16"/>
        </w:rPr>
        <w:t>Preliminary Objections, Merits, Reparations, and Costs.</w:t>
      </w:r>
      <w:proofErr w:type="gramEnd"/>
      <w:r w:rsidRPr="00746D30">
        <w:rPr>
          <w:rFonts w:ascii="Cambria" w:hAnsi="Cambria"/>
          <w:sz w:val="16"/>
          <w:szCs w:val="16"/>
        </w:rPr>
        <w:t xml:space="preserve"> Judgment of July 5, 2011. </w:t>
      </w:r>
      <w:proofErr w:type="gramStart"/>
      <w:r w:rsidRPr="00746D30">
        <w:rPr>
          <w:rFonts w:ascii="Cambria" w:hAnsi="Cambria"/>
          <w:sz w:val="16"/>
          <w:szCs w:val="16"/>
        </w:rPr>
        <w:t>Series C No. 228, par. 104.</w:t>
      </w:r>
      <w:proofErr w:type="gramEnd"/>
    </w:p>
  </w:footnote>
  <w:footnote w:id="78">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IACHR, Case 12.357, Application to the I/A Court H.R., Members of the National Association of Discharged and Retired Staff of the Office of the Comptroller General of the Republic of Peru, April 1, 2008, par.   52.</w:t>
      </w:r>
    </w:p>
  </w:footnote>
  <w:footnote w:id="79">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I/A Court HR. </w:t>
      </w:r>
      <w:r w:rsidRPr="00746D30">
        <w:rPr>
          <w:rFonts w:ascii="Cambria" w:hAnsi="Cambria"/>
          <w:i/>
          <w:sz w:val="16"/>
          <w:szCs w:val="16"/>
          <w:shd w:val="clear" w:color="auto" w:fill="FFFFFF"/>
        </w:rPr>
        <w:t xml:space="preserve">Case </w:t>
      </w:r>
      <w:proofErr w:type="gramStart"/>
      <w:r w:rsidRPr="00746D30">
        <w:rPr>
          <w:rFonts w:ascii="Cambria" w:hAnsi="Cambria"/>
          <w:i/>
          <w:sz w:val="16"/>
          <w:szCs w:val="16"/>
          <w:shd w:val="clear" w:color="auto" w:fill="FFFFFF"/>
        </w:rPr>
        <w:t xml:space="preserve">of  </w:t>
      </w:r>
      <w:proofErr w:type="spellStart"/>
      <w:r w:rsidRPr="00746D30">
        <w:rPr>
          <w:rFonts w:ascii="Cambria" w:hAnsi="Cambria"/>
          <w:i/>
          <w:sz w:val="16"/>
          <w:szCs w:val="16"/>
          <w:shd w:val="clear" w:color="auto" w:fill="FFFFFF"/>
        </w:rPr>
        <w:t>Mejía</w:t>
      </w:r>
      <w:proofErr w:type="spellEnd"/>
      <w:proofErr w:type="gramEnd"/>
      <w:r w:rsidRPr="00746D30">
        <w:rPr>
          <w:rFonts w:ascii="Cambria" w:hAnsi="Cambria"/>
          <w:i/>
          <w:sz w:val="16"/>
          <w:szCs w:val="16"/>
          <w:shd w:val="clear" w:color="auto" w:fill="FFFFFF"/>
        </w:rPr>
        <w:t xml:space="preserve"> </w:t>
      </w:r>
      <w:proofErr w:type="spellStart"/>
      <w:r w:rsidRPr="00746D30">
        <w:rPr>
          <w:rFonts w:ascii="Cambria" w:hAnsi="Cambria"/>
          <w:i/>
          <w:sz w:val="16"/>
          <w:szCs w:val="16"/>
          <w:shd w:val="clear" w:color="auto" w:fill="FFFFFF"/>
        </w:rPr>
        <w:t>Idrovo</w:t>
      </w:r>
      <w:proofErr w:type="spellEnd"/>
      <w:r w:rsidRPr="00746D30">
        <w:rPr>
          <w:rFonts w:ascii="Cambria" w:hAnsi="Cambria"/>
          <w:i/>
          <w:sz w:val="16"/>
          <w:szCs w:val="16"/>
          <w:shd w:val="clear" w:color="auto" w:fill="FFFFFF"/>
        </w:rPr>
        <w:t xml:space="preserve"> v. Ecuador</w:t>
      </w:r>
      <w:r w:rsidRPr="00746D30">
        <w:rPr>
          <w:rFonts w:ascii="Cambria" w:hAnsi="Cambria"/>
          <w:sz w:val="16"/>
          <w:szCs w:val="16"/>
        </w:rPr>
        <w:t xml:space="preserve">. </w:t>
      </w:r>
      <w:proofErr w:type="gramStart"/>
      <w:r w:rsidRPr="00746D30">
        <w:rPr>
          <w:rFonts w:ascii="Cambria" w:hAnsi="Cambria"/>
          <w:sz w:val="16"/>
          <w:szCs w:val="16"/>
        </w:rPr>
        <w:t>Preliminary Objections, Merits, Reparations, and Costs.</w:t>
      </w:r>
      <w:proofErr w:type="gramEnd"/>
      <w:r w:rsidRPr="00746D30">
        <w:rPr>
          <w:rFonts w:ascii="Cambria" w:hAnsi="Cambria"/>
          <w:sz w:val="16"/>
          <w:szCs w:val="16"/>
        </w:rPr>
        <w:t xml:space="preserve"> Judgment of July 5, 2011. </w:t>
      </w:r>
      <w:proofErr w:type="gramStart"/>
      <w:r w:rsidRPr="00746D30">
        <w:rPr>
          <w:rFonts w:ascii="Cambria" w:hAnsi="Cambria"/>
          <w:sz w:val="16"/>
          <w:szCs w:val="16"/>
        </w:rPr>
        <w:t>Series C No. 228, par. 104.</w:t>
      </w:r>
      <w:proofErr w:type="gramEnd"/>
    </w:p>
  </w:footnote>
  <w:footnote w:id="80">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I/A Court H.R., Case of Acevedo Jaramillo v.</w:t>
      </w:r>
      <w:r w:rsidRPr="00746D30">
        <w:rPr>
          <w:rFonts w:ascii="Cambria" w:hAnsi="Cambria"/>
          <w:i/>
          <w:sz w:val="16"/>
          <w:szCs w:val="16"/>
        </w:rPr>
        <w:t xml:space="preserve"> </w:t>
      </w:r>
      <w:r w:rsidRPr="00746D30">
        <w:rPr>
          <w:rFonts w:ascii="Cambria" w:hAnsi="Cambria"/>
          <w:sz w:val="16"/>
          <w:szCs w:val="16"/>
        </w:rPr>
        <w:t xml:space="preserve">Peru, Preliminary Objections, Merits, Reparations and Costs. </w:t>
      </w:r>
      <w:proofErr w:type="gramStart"/>
      <w:r w:rsidRPr="00746D30">
        <w:rPr>
          <w:rFonts w:ascii="Cambria" w:hAnsi="Cambria"/>
          <w:sz w:val="16"/>
          <w:szCs w:val="16"/>
        </w:rPr>
        <w:t>Judgment of February 7, 2006, par. 220.</w:t>
      </w:r>
      <w:proofErr w:type="gramEnd"/>
    </w:p>
  </w:footnote>
  <w:footnote w:id="81">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IACHR, Case 12.357, Application to the I/A Court H.R., Members of the National Association of Discharged and Retired Staff of the Office of the Comptroller General of the Republic of Peru, April 1, 2008, par. 53.</w:t>
      </w:r>
    </w:p>
  </w:footnote>
  <w:footnote w:id="82">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I/A Court HR. </w:t>
      </w:r>
      <w:r w:rsidRPr="00746D30">
        <w:rPr>
          <w:rFonts w:ascii="Cambria" w:hAnsi="Cambria"/>
          <w:i/>
          <w:sz w:val="16"/>
          <w:szCs w:val="16"/>
          <w:shd w:val="clear" w:color="auto" w:fill="FFFFFF"/>
        </w:rPr>
        <w:t xml:space="preserve">Case </w:t>
      </w:r>
      <w:proofErr w:type="gramStart"/>
      <w:r w:rsidRPr="00746D30">
        <w:rPr>
          <w:rFonts w:ascii="Cambria" w:hAnsi="Cambria"/>
          <w:i/>
          <w:sz w:val="16"/>
          <w:szCs w:val="16"/>
          <w:shd w:val="clear" w:color="auto" w:fill="FFFFFF"/>
        </w:rPr>
        <w:t xml:space="preserve">of  </w:t>
      </w:r>
      <w:proofErr w:type="spellStart"/>
      <w:r w:rsidRPr="00746D30">
        <w:rPr>
          <w:rFonts w:ascii="Cambria" w:hAnsi="Cambria"/>
          <w:i/>
          <w:sz w:val="16"/>
          <w:szCs w:val="16"/>
          <w:shd w:val="clear" w:color="auto" w:fill="FFFFFF"/>
        </w:rPr>
        <w:t>Mejía</w:t>
      </w:r>
      <w:proofErr w:type="spellEnd"/>
      <w:proofErr w:type="gramEnd"/>
      <w:r w:rsidRPr="00746D30">
        <w:rPr>
          <w:rFonts w:ascii="Cambria" w:hAnsi="Cambria"/>
          <w:i/>
          <w:sz w:val="16"/>
          <w:szCs w:val="16"/>
          <w:shd w:val="clear" w:color="auto" w:fill="FFFFFF"/>
        </w:rPr>
        <w:t xml:space="preserve"> </w:t>
      </w:r>
      <w:proofErr w:type="spellStart"/>
      <w:r w:rsidRPr="00746D30">
        <w:rPr>
          <w:rFonts w:ascii="Cambria" w:hAnsi="Cambria"/>
          <w:i/>
          <w:sz w:val="16"/>
          <w:szCs w:val="16"/>
          <w:shd w:val="clear" w:color="auto" w:fill="FFFFFF"/>
        </w:rPr>
        <w:t>Idrovo</w:t>
      </w:r>
      <w:proofErr w:type="spellEnd"/>
      <w:r w:rsidRPr="00746D30">
        <w:rPr>
          <w:rFonts w:ascii="Cambria" w:hAnsi="Cambria"/>
          <w:i/>
          <w:sz w:val="16"/>
          <w:szCs w:val="16"/>
          <w:shd w:val="clear" w:color="auto" w:fill="FFFFFF"/>
        </w:rPr>
        <w:t xml:space="preserve"> v. Ecuador</w:t>
      </w:r>
      <w:r w:rsidRPr="00746D30">
        <w:rPr>
          <w:rFonts w:ascii="Cambria" w:hAnsi="Cambria"/>
          <w:sz w:val="16"/>
          <w:szCs w:val="16"/>
        </w:rPr>
        <w:t xml:space="preserve">. </w:t>
      </w:r>
      <w:proofErr w:type="gramStart"/>
      <w:r w:rsidRPr="00746D30">
        <w:rPr>
          <w:rFonts w:ascii="Cambria" w:hAnsi="Cambria"/>
          <w:sz w:val="16"/>
          <w:szCs w:val="16"/>
        </w:rPr>
        <w:t>Preliminary Objections, Merits, Reparations, and Costs.</w:t>
      </w:r>
      <w:proofErr w:type="gramEnd"/>
      <w:r w:rsidRPr="00746D30">
        <w:rPr>
          <w:rFonts w:ascii="Cambria" w:hAnsi="Cambria"/>
          <w:sz w:val="16"/>
          <w:szCs w:val="16"/>
        </w:rPr>
        <w:t xml:space="preserve"> Judgment of Tuesday, July 05, 2011. </w:t>
      </w:r>
      <w:proofErr w:type="gramStart"/>
      <w:r w:rsidRPr="00746D30">
        <w:rPr>
          <w:rFonts w:ascii="Cambria" w:hAnsi="Cambria"/>
          <w:sz w:val="16"/>
          <w:szCs w:val="16"/>
        </w:rPr>
        <w:t>Series C No. 228, par. 105.</w:t>
      </w:r>
      <w:proofErr w:type="gramEnd"/>
    </w:p>
  </w:footnote>
  <w:footnote w:id="83">
    <w:p w:rsidR="00251F4C" w:rsidRPr="00D652B3" w:rsidRDefault="00251F4C" w:rsidP="008C213F">
      <w:pPr>
        <w:pStyle w:val="Textonotapie"/>
        <w:spacing w:before="120"/>
        <w:ind w:firstLine="720"/>
        <w:jc w:val="both"/>
        <w:rPr>
          <w:rFonts w:ascii="Cambria" w:hAnsi="Cambria"/>
          <w:bCs/>
          <w:sz w:val="16"/>
          <w:szCs w:val="16"/>
        </w:rPr>
      </w:pPr>
      <w:r w:rsidRPr="00746D30">
        <w:rPr>
          <w:rStyle w:val="Refdenotaalpie"/>
          <w:rFonts w:ascii="Cambria" w:hAnsi="Cambria"/>
          <w:sz w:val="16"/>
          <w:szCs w:val="16"/>
        </w:rPr>
        <w:footnoteRef/>
      </w:r>
      <w:r w:rsidRPr="00746D30">
        <w:rPr>
          <w:rFonts w:ascii="Cambria" w:hAnsi="Cambria"/>
          <w:sz w:val="16"/>
          <w:szCs w:val="16"/>
        </w:rPr>
        <w:t xml:space="preserve"> I/A Court HR. </w:t>
      </w:r>
      <w:r w:rsidRPr="00D652B3">
        <w:rPr>
          <w:rFonts w:ascii="Cambria" w:hAnsi="Cambria"/>
          <w:i/>
          <w:sz w:val="16"/>
          <w:szCs w:val="16"/>
          <w:shd w:val="clear" w:color="auto" w:fill="FFFFFF"/>
          <w:lang w:val="es-ES"/>
        </w:rPr>
        <w:t xml:space="preserve">Case </w:t>
      </w:r>
      <w:proofErr w:type="gramStart"/>
      <w:r w:rsidRPr="00D652B3">
        <w:rPr>
          <w:rFonts w:ascii="Cambria" w:hAnsi="Cambria"/>
          <w:i/>
          <w:sz w:val="16"/>
          <w:szCs w:val="16"/>
          <w:shd w:val="clear" w:color="auto" w:fill="FFFFFF"/>
          <w:lang w:val="es-ES"/>
        </w:rPr>
        <w:t>of  Mejía</w:t>
      </w:r>
      <w:proofErr w:type="gramEnd"/>
      <w:r w:rsidRPr="00D652B3">
        <w:rPr>
          <w:rFonts w:ascii="Cambria" w:hAnsi="Cambria"/>
          <w:i/>
          <w:sz w:val="16"/>
          <w:szCs w:val="16"/>
          <w:shd w:val="clear" w:color="auto" w:fill="FFFFFF"/>
          <w:lang w:val="es-ES"/>
        </w:rPr>
        <w:t xml:space="preserve"> </w:t>
      </w:r>
      <w:proofErr w:type="spellStart"/>
      <w:r w:rsidRPr="00D652B3">
        <w:rPr>
          <w:rFonts w:ascii="Cambria" w:hAnsi="Cambria"/>
          <w:i/>
          <w:sz w:val="16"/>
          <w:szCs w:val="16"/>
          <w:shd w:val="clear" w:color="auto" w:fill="FFFFFF"/>
          <w:lang w:val="es-ES"/>
        </w:rPr>
        <w:t>Idrovo</w:t>
      </w:r>
      <w:proofErr w:type="spellEnd"/>
      <w:r w:rsidRPr="00D652B3">
        <w:rPr>
          <w:rFonts w:ascii="Cambria" w:hAnsi="Cambria"/>
          <w:i/>
          <w:sz w:val="16"/>
          <w:szCs w:val="16"/>
          <w:shd w:val="clear" w:color="auto" w:fill="FFFFFF"/>
          <w:lang w:val="es-ES"/>
        </w:rPr>
        <w:t xml:space="preserve"> v. Ecuador</w:t>
      </w:r>
      <w:r w:rsidRPr="00D652B3">
        <w:rPr>
          <w:rFonts w:ascii="Cambria" w:hAnsi="Cambria"/>
          <w:sz w:val="16"/>
          <w:szCs w:val="16"/>
          <w:lang w:val="es-ES"/>
        </w:rPr>
        <w:t xml:space="preserve">. </w:t>
      </w:r>
      <w:proofErr w:type="gramStart"/>
      <w:r w:rsidRPr="00746D30">
        <w:rPr>
          <w:rFonts w:ascii="Cambria" w:hAnsi="Cambria"/>
          <w:sz w:val="16"/>
          <w:szCs w:val="16"/>
        </w:rPr>
        <w:t>Preliminary Objections, Merits, Reparations, and Costs.</w:t>
      </w:r>
      <w:proofErr w:type="gramEnd"/>
      <w:r w:rsidRPr="00746D30">
        <w:rPr>
          <w:rFonts w:ascii="Cambria" w:hAnsi="Cambria"/>
          <w:sz w:val="16"/>
          <w:szCs w:val="16"/>
        </w:rPr>
        <w:t xml:space="preserve"> Judgment of Tuesday, July 05, 2011. </w:t>
      </w:r>
      <w:proofErr w:type="gramStart"/>
      <w:r w:rsidRPr="00746D30">
        <w:rPr>
          <w:rFonts w:ascii="Cambria" w:hAnsi="Cambria"/>
          <w:sz w:val="16"/>
          <w:szCs w:val="16"/>
        </w:rPr>
        <w:t>Series C No. 228, par. 106.</w:t>
      </w:r>
      <w:proofErr w:type="gramEnd"/>
      <w:r w:rsidRPr="00746D30">
        <w:rPr>
          <w:rFonts w:ascii="Cambria" w:hAnsi="Cambria"/>
          <w:sz w:val="16"/>
          <w:szCs w:val="16"/>
        </w:rPr>
        <w:t xml:space="preserve"> </w:t>
      </w:r>
    </w:p>
  </w:footnote>
  <w:footnote w:id="84">
    <w:p w:rsidR="00251F4C" w:rsidRPr="00746D30" w:rsidRDefault="00251F4C" w:rsidP="008C213F">
      <w:pPr>
        <w:pStyle w:val="NormalWeb"/>
        <w:spacing w:before="120" w:beforeAutospacing="0" w:after="0" w:afterAutospacing="0"/>
        <w:ind w:firstLine="720"/>
        <w:jc w:val="both"/>
        <w:rPr>
          <w:rFonts w:ascii="Cambria" w:hAnsi="Cambria"/>
          <w:sz w:val="16"/>
          <w:szCs w:val="16"/>
        </w:rPr>
      </w:pPr>
      <w:r w:rsidRPr="00746D30">
        <w:rPr>
          <w:rStyle w:val="Refdenotaalpie"/>
          <w:rFonts w:ascii="Cambria" w:eastAsia="MS Gothic" w:hAnsi="Cambria"/>
          <w:sz w:val="16"/>
          <w:szCs w:val="16"/>
        </w:rPr>
        <w:footnoteRef/>
      </w:r>
      <w:r w:rsidRPr="00746D30">
        <w:rPr>
          <w:rFonts w:ascii="Cambria" w:hAnsi="Cambria"/>
          <w:sz w:val="16"/>
          <w:szCs w:val="16"/>
        </w:rPr>
        <w:t xml:space="preserve"> ECHR, Case of Matheus v. France, No. 62740/01, Judgment of March 31, 2005, par. 58; and ECHR, Case of Sabin </w:t>
      </w:r>
      <w:proofErr w:type="spellStart"/>
      <w:r w:rsidRPr="00746D30">
        <w:rPr>
          <w:rFonts w:ascii="Cambria" w:hAnsi="Cambria"/>
          <w:sz w:val="16"/>
          <w:szCs w:val="16"/>
        </w:rPr>
        <w:t>Popescu</w:t>
      </w:r>
      <w:proofErr w:type="spellEnd"/>
      <w:r w:rsidRPr="00746D30">
        <w:rPr>
          <w:rFonts w:ascii="Cambria" w:hAnsi="Cambria"/>
          <w:sz w:val="16"/>
          <w:szCs w:val="16"/>
        </w:rPr>
        <w:t xml:space="preserve"> v. Romania, n° 48102/99, Judgment of March 2, paragraphs 68ff. </w:t>
      </w:r>
    </w:p>
  </w:footnote>
  <w:footnote w:id="85">
    <w:p w:rsidR="00251F4C" w:rsidRPr="00746D30"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ECHR, Case of </w:t>
      </w:r>
      <w:proofErr w:type="spellStart"/>
      <w:proofErr w:type="gramStart"/>
      <w:r w:rsidRPr="00746D30">
        <w:rPr>
          <w:rFonts w:ascii="Cambria" w:hAnsi="Cambria"/>
          <w:sz w:val="16"/>
          <w:szCs w:val="16"/>
        </w:rPr>
        <w:t>Cocchiarella</w:t>
      </w:r>
      <w:proofErr w:type="spellEnd"/>
      <w:r w:rsidRPr="00746D30">
        <w:rPr>
          <w:rFonts w:ascii="Cambria" w:hAnsi="Cambria"/>
          <w:sz w:val="16"/>
          <w:szCs w:val="16"/>
        </w:rPr>
        <w:t xml:space="preserve">  v</w:t>
      </w:r>
      <w:proofErr w:type="gramEnd"/>
      <w:r w:rsidRPr="00746D30">
        <w:rPr>
          <w:rFonts w:ascii="Cambria" w:hAnsi="Cambria"/>
          <w:sz w:val="16"/>
          <w:szCs w:val="16"/>
        </w:rPr>
        <w:t>.</w:t>
      </w:r>
      <w:r w:rsidRPr="00746D30">
        <w:rPr>
          <w:rFonts w:ascii="Cambria" w:hAnsi="Cambria"/>
          <w:i/>
          <w:sz w:val="16"/>
          <w:szCs w:val="16"/>
        </w:rPr>
        <w:t xml:space="preserve"> </w:t>
      </w:r>
      <w:r w:rsidRPr="00746D30">
        <w:rPr>
          <w:rFonts w:ascii="Cambria" w:hAnsi="Cambria"/>
          <w:sz w:val="16"/>
          <w:szCs w:val="16"/>
        </w:rPr>
        <w:t xml:space="preserve">Italy. </w:t>
      </w:r>
      <w:proofErr w:type="gramStart"/>
      <w:r w:rsidRPr="00746D30">
        <w:rPr>
          <w:rFonts w:ascii="Cambria" w:hAnsi="Cambria"/>
          <w:sz w:val="16"/>
          <w:szCs w:val="16"/>
        </w:rPr>
        <w:t>Judgment of March 29, 2006, par. 89.</w:t>
      </w:r>
      <w:proofErr w:type="gramEnd"/>
    </w:p>
  </w:footnote>
  <w:footnote w:id="86">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i/>
          <w:sz w:val="16"/>
          <w:szCs w:val="16"/>
        </w:rPr>
        <w:t xml:space="preserve"> </w:t>
      </w:r>
      <w:r w:rsidRPr="00746D30">
        <w:rPr>
          <w:rFonts w:ascii="Cambria" w:hAnsi="Cambria"/>
          <w:sz w:val="16"/>
          <w:szCs w:val="16"/>
        </w:rPr>
        <w:t>ECHR, Matheus v.</w:t>
      </w:r>
      <w:r w:rsidRPr="00746D30">
        <w:rPr>
          <w:rFonts w:ascii="Cambria" w:hAnsi="Cambria"/>
          <w:i/>
          <w:sz w:val="16"/>
          <w:szCs w:val="16"/>
        </w:rPr>
        <w:t xml:space="preserve"> France.</w:t>
      </w:r>
      <w:r w:rsidRPr="00746D30">
        <w:rPr>
          <w:rFonts w:ascii="Cambria" w:hAnsi="Cambria"/>
          <w:sz w:val="16"/>
          <w:szCs w:val="16"/>
        </w:rPr>
        <w:t xml:space="preserve"> Judgment of June 31, 2005 [Tr. </w:t>
      </w:r>
      <w:proofErr w:type="gramStart"/>
      <w:r w:rsidRPr="00746D30">
        <w:rPr>
          <w:rFonts w:ascii="Cambria" w:hAnsi="Cambria"/>
          <w:sz w:val="16"/>
          <w:szCs w:val="16"/>
        </w:rPr>
        <w:t>sic</w:t>
      </w:r>
      <w:proofErr w:type="gramEnd"/>
      <w:r w:rsidRPr="00746D30">
        <w:rPr>
          <w:rFonts w:ascii="Cambria" w:hAnsi="Cambria"/>
          <w:sz w:val="16"/>
          <w:szCs w:val="16"/>
        </w:rPr>
        <w:t>.: March 31, 2005?], par. 58.</w:t>
      </w:r>
    </w:p>
  </w:footnote>
  <w:footnote w:id="87">
    <w:p w:rsidR="00251F4C" w:rsidRPr="00D652B3" w:rsidRDefault="00251F4C" w:rsidP="008C213F">
      <w:pPr>
        <w:pStyle w:val="Textonotapie"/>
        <w:spacing w:before="120"/>
        <w:ind w:firstLine="720"/>
        <w:jc w:val="both"/>
        <w:rPr>
          <w:rFonts w:ascii="Cambria" w:hAnsi="Cambria"/>
          <w:i/>
          <w:sz w:val="16"/>
          <w:szCs w:val="16"/>
        </w:rPr>
      </w:pPr>
      <w:r w:rsidRPr="00746D30">
        <w:rPr>
          <w:rStyle w:val="Refdenotaalpie"/>
          <w:rFonts w:ascii="Cambria" w:hAnsi="Cambria"/>
          <w:sz w:val="16"/>
          <w:szCs w:val="16"/>
        </w:rPr>
        <w:footnoteRef/>
      </w:r>
      <w:r w:rsidRPr="00746D30">
        <w:rPr>
          <w:rFonts w:ascii="Cambria" w:hAnsi="Cambria"/>
          <w:sz w:val="16"/>
          <w:szCs w:val="16"/>
        </w:rPr>
        <w:t xml:space="preserve"> I/A Court HR. </w:t>
      </w:r>
      <w:r w:rsidRPr="00746D30">
        <w:rPr>
          <w:rFonts w:ascii="Cambria" w:hAnsi="Cambria"/>
          <w:i/>
          <w:sz w:val="16"/>
          <w:szCs w:val="16"/>
          <w:shd w:val="clear" w:color="auto" w:fill="FFFFFF"/>
        </w:rPr>
        <w:t xml:space="preserve">Case </w:t>
      </w:r>
      <w:proofErr w:type="gramStart"/>
      <w:r w:rsidRPr="00746D30">
        <w:rPr>
          <w:rFonts w:ascii="Cambria" w:hAnsi="Cambria"/>
          <w:i/>
          <w:sz w:val="16"/>
          <w:szCs w:val="16"/>
          <w:shd w:val="clear" w:color="auto" w:fill="FFFFFF"/>
        </w:rPr>
        <w:t xml:space="preserve">of  </w:t>
      </w:r>
      <w:proofErr w:type="spellStart"/>
      <w:r w:rsidRPr="00746D30">
        <w:rPr>
          <w:rFonts w:ascii="Cambria" w:hAnsi="Cambria"/>
          <w:i/>
          <w:sz w:val="16"/>
          <w:szCs w:val="16"/>
          <w:shd w:val="clear" w:color="auto" w:fill="FFFFFF"/>
        </w:rPr>
        <w:t>Mejía</w:t>
      </w:r>
      <w:proofErr w:type="spellEnd"/>
      <w:proofErr w:type="gramEnd"/>
      <w:r w:rsidRPr="00746D30">
        <w:rPr>
          <w:rFonts w:ascii="Cambria" w:hAnsi="Cambria"/>
          <w:i/>
          <w:sz w:val="16"/>
          <w:szCs w:val="16"/>
          <w:shd w:val="clear" w:color="auto" w:fill="FFFFFF"/>
        </w:rPr>
        <w:t xml:space="preserve"> </w:t>
      </w:r>
      <w:proofErr w:type="spellStart"/>
      <w:r w:rsidRPr="00746D30">
        <w:rPr>
          <w:rFonts w:ascii="Cambria" w:hAnsi="Cambria"/>
          <w:i/>
          <w:sz w:val="16"/>
          <w:szCs w:val="16"/>
          <w:shd w:val="clear" w:color="auto" w:fill="FFFFFF"/>
        </w:rPr>
        <w:t>Idrovo</w:t>
      </w:r>
      <w:proofErr w:type="spellEnd"/>
      <w:r w:rsidRPr="00746D30">
        <w:rPr>
          <w:rFonts w:ascii="Cambria" w:hAnsi="Cambria"/>
          <w:i/>
          <w:sz w:val="16"/>
          <w:szCs w:val="16"/>
          <w:shd w:val="clear" w:color="auto" w:fill="FFFFFF"/>
        </w:rPr>
        <w:t xml:space="preserve"> v. Ecuador</w:t>
      </w:r>
      <w:r w:rsidRPr="00746D30">
        <w:rPr>
          <w:rFonts w:ascii="Cambria" w:hAnsi="Cambria"/>
          <w:sz w:val="16"/>
          <w:szCs w:val="16"/>
        </w:rPr>
        <w:t xml:space="preserve">. </w:t>
      </w:r>
      <w:proofErr w:type="gramStart"/>
      <w:r w:rsidRPr="00746D30">
        <w:rPr>
          <w:rFonts w:ascii="Cambria" w:hAnsi="Cambria"/>
          <w:sz w:val="16"/>
          <w:szCs w:val="16"/>
        </w:rPr>
        <w:t>Preliminary Objections, Merits, Reparations, and Costs.</w:t>
      </w:r>
      <w:proofErr w:type="gramEnd"/>
      <w:r w:rsidRPr="00746D30">
        <w:rPr>
          <w:rFonts w:ascii="Cambria" w:hAnsi="Cambria"/>
          <w:sz w:val="16"/>
          <w:szCs w:val="16"/>
        </w:rPr>
        <w:t xml:space="preserve"> Judgment of July 5, 2011. </w:t>
      </w:r>
      <w:proofErr w:type="gramStart"/>
      <w:r w:rsidRPr="00746D30">
        <w:rPr>
          <w:rFonts w:ascii="Cambria" w:hAnsi="Cambria"/>
          <w:sz w:val="16"/>
          <w:szCs w:val="16"/>
        </w:rPr>
        <w:t>Series C No. 228, par. 106.</w:t>
      </w:r>
      <w:proofErr w:type="gramEnd"/>
    </w:p>
  </w:footnote>
  <w:footnote w:id="88">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IACHR, Case 12.357, Application to the I/A Court H.R., Members of the National Association of Discharged and Retired Staff of the Office of the Comptroller General of the Republic of Peru, April 1, 2008, par. 54.</w:t>
      </w:r>
    </w:p>
  </w:footnote>
  <w:footnote w:id="89">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proofErr w:type="gramStart"/>
      <w:r w:rsidRPr="00746D30">
        <w:rPr>
          <w:rFonts w:ascii="Cambria" w:hAnsi="Cambria"/>
          <w:sz w:val="16"/>
          <w:szCs w:val="16"/>
        </w:rPr>
        <w:t xml:space="preserve">I/A Court HR. </w:t>
      </w:r>
      <w:r w:rsidRPr="00746D30">
        <w:rPr>
          <w:rFonts w:ascii="Cambria" w:hAnsi="Cambria"/>
          <w:i/>
          <w:sz w:val="16"/>
          <w:szCs w:val="16"/>
        </w:rPr>
        <w:t xml:space="preserve">Case of the “Five Pensioners” v. </w:t>
      </w:r>
      <w:r w:rsidRPr="00746D30">
        <w:rPr>
          <w:rFonts w:ascii="Cambria" w:hAnsi="Cambria"/>
          <w:sz w:val="16"/>
          <w:szCs w:val="16"/>
        </w:rPr>
        <w:t>Peru.</w:t>
      </w:r>
      <w:proofErr w:type="gramEnd"/>
      <w:r w:rsidRPr="00746D30">
        <w:rPr>
          <w:rFonts w:ascii="Cambria" w:hAnsi="Cambria"/>
          <w:sz w:val="16"/>
          <w:szCs w:val="16"/>
        </w:rPr>
        <w:t xml:space="preserve"> </w:t>
      </w:r>
      <w:proofErr w:type="gramStart"/>
      <w:r w:rsidRPr="00746D30">
        <w:rPr>
          <w:rFonts w:ascii="Cambria" w:hAnsi="Cambria"/>
          <w:sz w:val="16"/>
          <w:szCs w:val="16"/>
        </w:rPr>
        <w:t>Merits, Reparations and Costs.</w:t>
      </w:r>
      <w:proofErr w:type="gramEnd"/>
      <w:r w:rsidRPr="00746D30">
        <w:rPr>
          <w:rFonts w:ascii="Cambria" w:hAnsi="Cambria"/>
          <w:sz w:val="16"/>
          <w:szCs w:val="16"/>
        </w:rPr>
        <w:t xml:space="preserve"> Judgment of February 28, 2003. </w:t>
      </w:r>
      <w:proofErr w:type="gramStart"/>
      <w:r w:rsidRPr="00746D30">
        <w:rPr>
          <w:rFonts w:ascii="Cambria" w:hAnsi="Cambria"/>
          <w:sz w:val="16"/>
          <w:szCs w:val="16"/>
        </w:rPr>
        <w:t xml:space="preserve">Series C. No. 98; and </w:t>
      </w:r>
      <w:r w:rsidRPr="00746D30">
        <w:rPr>
          <w:rFonts w:ascii="Cambria" w:hAnsi="Cambria"/>
          <w:i/>
          <w:sz w:val="16"/>
          <w:szCs w:val="16"/>
          <w:shd w:val="clear" w:color="auto" w:fill="FFFFFF"/>
        </w:rPr>
        <w:t xml:space="preserve">Case of Acevedo </w:t>
      </w:r>
      <w:proofErr w:type="spellStart"/>
      <w:r w:rsidRPr="00746D30">
        <w:rPr>
          <w:rFonts w:ascii="Cambria" w:hAnsi="Cambria"/>
          <w:i/>
          <w:sz w:val="16"/>
          <w:szCs w:val="16"/>
          <w:shd w:val="clear" w:color="auto" w:fill="FFFFFF"/>
        </w:rPr>
        <w:t>Buendía</w:t>
      </w:r>
      <w:proofErr w:type="spellEnd"/>
      <w:r w:rsidRPr="00746D30">
        <w:rPr>
          <w:rFonts w:ascii="Cambria" w:hAnsi="Cambria"/>
          <w:i/>
          <w:sz w:val="16"/>
          <w:szCs w:val="16"/>
          <w:shd w:val="clear" w:color="auto" w:fill="FFFFFF"/>
        </w:rPr>
        <w:t xml:space="preserve"> et al. (“Discharged and Retired Employees of the Office of the Comptroller) v. Peru</w:t>
      </w:r>
      <w:r w:rsidRPr="00746D30">
        <w:rPr>
          <w:rFonts w:ascii="Cambria" w:hAnsi="Cambria"/>
          <w:sz w:val="16"/>
          <w:szCs w:val="16"/>
        </w:rPr>
        <w:t>.</w:t>
      </w:r>
      <w:proofErr w:type="gramEnd"/>
      <w:r w:rsidRPr="00746D30">
        <w:rPr>
          <w:rFonts w:ascii="Cambria" w:hAnsi="Cambria"/>
          <w:sz w:val="16"/>
          <w:szCs w:val="16"/>
        </w:rPr>
        <w:t xml:space="preserve"> </w:t>
      </w:r>
      <w:proofErr w:type="gramStart"/>
      <w:r w:rsidRPr="00746D30">
        <w:rPr>
          <w:rFonts w:ascii="Cambria" w:hAnsi="Cambria"/>
          <w:sz w:val="16"/>
          <w:szCs w:val="16"/>
        </w:rPr>
        <w:t>Preliminary Objection, Merits, Reparations and Costs.</w:t>
      </w:r>
      <w:proofErr w:type="gramEnd"/>
      <w:r w:rsidRPr="00746D30">
        <w:rPr>
          <w:rFonts w:ascii="Cambria" w:hAnsi="Cambria"/>
          <w:sz w:val="16"/>
          <w:szCs w:val="16"/>
        </w:rPr>
        <w:t xml:space="preserve"> Judgment </w:t>
      </w:r>
      <w:proofErr w:type="gramStart"/>
      <w:r w:rsidRPr="00746D30">
        <w:rPr>
          <w:rFonts w:ascii="Cambria" w:hAnsi="Cambria"/>
          <w:sz w:val="16"/>
          <w:szCs w:val="16"/>
        </w:rPr>
        <w:t>of  July</w:t>
      </w:r>
      <w:proofErr w:type="gramEnd"/>
      <w:r w:rsidRPr="00746D30">
        <w:rPr>
          <w:rFonts w:ascii="Cambria" w:hAnsi="Cambria"/>
          <w:sz w:val="16"/>
          <w:szCs w:val="16"/>
        </w:rPr>
        <w:t xml:space="preserve"> 1, 2009. </w:t>
      </w:r>
      <w:proofErr w:type="gramStart"/>
      <w:r w:rsidRPr="00746D30">
        <w:rPr>
          <w:rFonts w:ascii="Cambria" w:hAnsi="Cambria"/>
          <w:sz w:val="16"/>
          <w:szCs w:val="16"/>
        </w:rPr>
        <w:t>Series C No. 198.</w:t>
      </w:r>
      <w:proofErr w:type="gramEnd"/>
    </w:p>
  </w:footnote>
  <w:footnote w:id="90">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IACHR, Case 12.357, Application to the I/A Court H.R., Members of the National Association of Discharged and Retired Staff of the Office of the Comptroller General of the Republic of Peru, April 1, 2008, par. 63.</w:t>
      </w:r>
    </w:p>
  </w:footnote>
  <w:footnote w:id="91">
    <w:p w:rsidR="00251F4C" w:rsidRPr="00746D30" w:rsidRDefault="00251F4C" w:rsidP="008C213F">
      <w:pPr>
        <w:widowControl w:val="0"/>
        <w:autoSpaceDE w:val="0"/>
        <w:autoSpaceDN w:val="0"/>
        <w:adjustRightInd w:val="0"/>
        <w:spacing w:before="120"/>
        <w:ind w:firstLine="720"/>
        <w:jc w:val="both"/>
        <w:rPr>
          <w:rFonts w:ascii="Cambria" w:hAnsi="Cambria" w:cs="Times"/>
          <w:sz w:val="16"/>
          <w:szCs w:val="16"/>
        </w:rPr>
      </w:pPr>
      <w:r w:rsidRPr="00746D30">
        <w:rPr>
          <w:rStyle w:val="Refdenotaalpie"/>
          <w:rFonts w:ascii="Cambria" w:hAnsi="Cambria"/>
          <w:sz w:val="16"/>
          <w:szCs w:val="16"/>
        </w:rPr>
        <w:footnoteRef/>
      </w:r>
      <w:r w:rsidRPr="00746D30">
        <w:rPr>
          <w:rFonts w:ascii="Cambria" w:hAnsi="Cambria"/>
          <w:sz w:val="16"/>
          <w:szCs w:val="16"/>
        </w:rPr>
        <w:t xml:space="preserve"> See, for example, IACHR. Report No. 21/09. </w:t>
      </w:r>
      <w:proofErr w:type="gramStart"/>
      <w:r w:rsidRPr="00746D30">
        <w:rPr>
          <w:rFonts w:ascii="Cambria" w:hAnsi="Cambria"/>
          <w:sz w:val="16"/>
          <w:szCs w:val="16"/>
        </w:rPr>
        <w:t>Petitions965.-98, 638.-03, and 1044.-04.</w:t>
      </w:r>
      <w:proofErr w:type="gramEnd"/>
      <w:r w:rsidRPr="00746D30">
        <w:rPr>
          <w:rFonts w:ascii="Cambria" w:hAnsi="Cambria"/>
          <w:sz w:val="16"/>
          <w:szCs w:val="16"/>
        </w:rPr>
        <w:t xml:space="preserve"> </w:t>
      </w:r>
      <w:proofErr w:type="gramStart"/>
      <w:r w:rsidRPr="00746D30">
        <w:rPr>
          <w:rFonts w:ascii="Cambria" w:hAnsi="Cambria"/>
          <w:sz w:val="16"/>
          <w:szCs w:val="16"/>
        </w:rPr>
        <w:t>Joined.</w:t>
      </w:r>
      <w:proofErr w:type="gramEnd"/>
      <w:r w:rsidRPr="00746D30">
        <w:rPr>
          <w:rFonts w:ascii="Cambria" w:hAnsi="Cambria"/>
          <w:sz w:val="16"/>
          <w:szCs w:val="16"/>
        </w:rPr>
        <w:t xml:space="preserve"> </w:t>
      </w:r>
      <w:proofErr w:type="gramStart"/>
      <w:r w:rsidRPr="00746D30">
        <w:rPr>
          <w:rFonts w:ascii="Cambria" w:hAnsi="Cambria"/>
          <w:sz w:val="16"/>
          <w:szCs w:val="16"/>
        </w:rPr>
        <w:t>Admissibility.</w:t>
      </w:r>
      <w:proofErr w:type="gramEnd"/>
      <w:r w:rsidRPr="00746D30">
        <w:rPr>
          <w:rFonts w:ascii="Cambria" w:hAnsi="Cambria"/>
          <w:sz w:val="16"/>
          <w:szCs w:val="16"/>
        </w:rPr>
        <w:t xml:space="preserve"> National Association of Discharged and Retired Staff of </w:t>
      </w:r>
      <w:proofErr w:type="gramStart"/>
      <w:r w:rsidRPr="00746D30">
        <w:rPr>
          <w:rFonts w:ascii="Cambria" w:hAnsi="Cambria"/>
          <w:sz w:val="16"/>
          <w:szCs w:val="16"/>
        </w:rPr>
        <w:t>the  Tax</w:t>
      </w:r>
      <w:proofErr w:type="gramEnd"/>
      <w:r w:rsidRPr="00746D30">
        <w:rPr>
          <w:rFonts w:ascii="Cambria" w:hAnsi="Cambria"/>
          <w:sz w:val="16"/>
          <w:szCs w:val="16"/>
        </w:rPr>
        <w:t xml:space="preserve"> Authority (SUNAT). Peru. </w:t>
      </w:r>
      <w:proofErr w:type="gramStart"/>
      <w:r w:rsidRPr="00746D30">
        <w:rPr>
          <w:rFonts w:ascii="Cambria" w:hAnsi="Cambria"/>
          <w:sz w:val="16"/>
          <w:szCs w:val="16"/>
        </w:rPr>
        <w:t>March 19, 2009; IACHR.</w:t>
      </w:r>
      <w:proofErr w:type="gramEnd"/>
      <w:r w:rsidRPr="00746D30">
        <w:rPr>
          <w:rFonts w:ascii="Cambria" w:hAnsi="Cambria"/>
          <w:sz w:val="16"/>
          <w:szCs w:val="16"/>
        </w:rPr>
        <w:t xml:space="preserve"> Report No. 4/09. </w:t>
      </w:r>
      <w:proofErr w:type="gramStart"/>
      <w:r w:rsidRPr="00746D30">
        <w:rPr>
          <w:rFonts w:ascii="Cambria" w:hAnsi="Cambria"/>
          <w:sz w:val="16"/>
          <w:szCs w:val="16"/>
        </w:rPr>
        <w:t>Petition 914-98.</w:t>
      </w:r>
      <w:proofErr w:type="gramEnd"/>
      <w:r w:rsidRPr="00746D30">
        <w:rPr>
          <w:rFonts w:ascii="Cambria" w:hAnsi="Cambria"/>
          <w:sz w:val="16"/>
          <w:szCs w:val="16"/>
        </w:rPr>
        <w:t xml:space="preserve"> </w:t>
      </w:r>
      <w:proofErr w:type="gramStart"/>
      <w:r w:rsidRPr="00746D30">
        <w:rPr>
          <w:rFonts w:ascii="Cambria" w:hAnsi="Cambria"/>
          <w:sz w:val="16"/>
          <w:szCs w:val="16"/>
        </w:rPr>
        <w:t>Admissibility.</w:t>
      </w:r>
      <w:proofErr w:type="gramEnd"/>
      <w:r w:rsidRPr="00746D30">
        <w:rPr>
          <w:rFonts w:ascii="Cambria" w:hAnsi="Cambria"/>
          <w:sz w:val="16"/>
          <w:szCs w:val="16"/>
        </w:rPr>
        <w:t xml:space="preserve"> </w:t>
      </w:r>
      <w:proofErr w:type="gramStart"/>
      <w:r w:rsidRPr="00746D30">
        <w:rPr>
          <w:rFonts w:ascii="Cambria" w:hAnsi="Cambria"/>
          <w:sz w:val="16"/>
          <w:szCs w:val="16"/>
        </w:rPr>
        <w:t>Members of the ECASA Workers' Trade Union.</w:t>
      </w:r>
      <w:proofErr w:type="gramEnd"/>
      <w:r w:rsidRPr="00746D30">
        <w:rPr>
          <w:rFonts w:ascii="Cambria" w:hAnsi="Cambria"/>
          <w:sz w:val="16"/>
          <w:szCs w:val="16"/>
        </w:rPr>
        <w:t xml:space="preserve"> Peru. </w:t>
      </w:r>
      <w:proofErr w:type="gramStart"/>
      <w:r w:rsidRPr="00746D30">
        <w:rPr>
          <w:rFonts w:ascii="Cambria" w:hAnsi="Cambria"/>
          <w:sz w:val="16"/>
          <w:szCs w:val="16"/>
        </w:rPr>
        <w:t>February 11, 2009; and IACHR.</w:t>
      </w:r>
      <w:proofErr w:type="gramEnd"/>
      <w:r w:rsidRPr="00746D30">
        <w:rPr>
          <w:rFonts w:ascii="Cambria" w:hAnsi="Cambria"/>
          <w:sz w:val="16"/>
          <w:szCs w:val="16"/>
        </w:rPr>
        <w:t xml:space="preserve"> Report No. 86/01 Case 12.319. </w:t>
      </w:r>
      <w:proofErr w:type="gramStart"/>
      <w:r w:rsidRPr="00746D30">
        <w:rPr>
          <w:rFonts w:ascii="Cambria" w:hAnsi="Cambria"/>
          <w:sz w:val="16"/>
          <w:szCs w:val="16"/>
        </w:rPr>
        <w:t>National Federation of Maritime and Port Workers of Peru (FEMAPOR).</w:t>
      </w:r>
      <w:proofErr w:type="gramEnd"/>
      <w:r w:rsidRPr="00746D30">
        <w:rPr>
          <w:rFonts w:ascii="Cambria" w:hAnsi="Cambria"/>
          <w:sz w:val="16"/>
          <w:szCs w:val="16"/>
        </w:rPr>
        <w:t xml:space="preserve"> Félix Campos </w:t>
      </w:r>
      <w:proofErr w:type="spellStart"/>
      <w:r w:rsidRPr="00746D30">
        <w:rPr>
          <w:rFonts w:ascii="Cambria" w:hAnsi="Cambria"/>
          <w:sz w:val="16"/>
          <w:szCs w:val="16"/>
        </w:rPr>
        <w:t>Caipo</w:t>
      </w:r>
      <w:proofErr w:type="spellEnd"/>
      <w:r w:rsidRPr="00746D30">
        <w:rPr>
          <w:rFonts w:ascii="Cambria" w:hAnsi="Cambria"/>
          <w:sz w:val="16"/>
          <w:szCs w:val="16"/>
        </w:rPr>
        <w:t xml:space="preserve">, Sergio Valdivia Ayala, </w:t>
      </w:r>
      <w:proofErr w:type="spellStart"/>
      <w:r w:rsidRPr="00746D30">
        <w:rPr>
          <w:rFonts w:ascii="Cambria" w:hAnsi="Cambria"/>
          <w:sz w:val="16"/>
          <w:szCs w:val="16"/>
        </w:rPr>
        <w:t>Asisclo</w:t>
      </w:r>
      <w:proofErr w:type="spellEnd"/>
      <w:r w:rsidRPr="00746D30">
        <w:rPr>
          <w:rFonts w:ascii="Cambria" w:hAnsi="Cambria"/>
          <w:sz w:val="16"/>
          <w:szCs w:val="16"/>
        </w:rPr>
        <w:t xml:space="preserve"> </w:t>
      </w:r>
      <w:proofErr w:type="spellStart"/>
      <w:r w:rsidRPr="00746D30">
        <w:rPr>
          <w:rFonts w:ascii="Cambria" w:hAnsi="Cambria"/>
          <w:sz w:val="16"/>
          <w:szCs w:val="16"/>
        </w:rPr>
        <w:t>Chinapro</w:t>
      </w:r>
      <w:proofErr w:type="spellEnd"/>
      <w:r w:rsidRPr="00746D30">
        <w:rPr>
          <w:rFonts w:ascii="Cambria" w:hAnsi="Cambria"/>
          <w:sz w:val="16"/>
          <w:szCs w:val="16"/>
        </w:rPr>
        <w:t xml:space="preserve"> </w:t>
      </w:r>
      <w:proofErr w:type="spellStart"/>
      <w:r w:rsidRPr="00746D30">
        <w:rPr>
          <w:rFonts w:ascii="Cambria" w:hAnsi="Cambria"/>
          <w:sz w:val="16"/>
          <w:szCs w:val="16"/>
        </w:rPr>
        <w:t>Fernández</w:t>
      </w:r>
      <w:proofErr w:type="spellEnd"/>
      <w:r w:rsidRPr="00746D30">
        <w:rPr>
          <w:rFonts w:ascii="Cambria" w:hAnsi="Cambria"/>
          <w:sz w:val="16"/>
          <w:szCs w:val="16"/>
        </w:rPr>
        <w:t xml:space="preserve">, Víctor </w:t>
      </w:r>
      <w:proofErr w:type="spellStart"/>
      <w:r w:rsidRPr="00746D30">
        <w:rPr>
          <w:rFonts w:ascii="Cambria" w:hAnsi="Cambria"/>
          <w:sz w:val="16"/>
          <w:szCs w:val="16"/>
        </w:rPr>
        <w:t>Briceño</w:t>
      </w:r>
      <w:proofErr w:type="spellEnd"/>
      <w:r w:rsidRPr="00746D30">
        <w:rPr>
          <w:rFonts w:ascii="Cambria" w:hAnsi="Cambria"/>
          <w:sz w:val="16"/>
          <w:szCs w:val="16"/>
        </w:rPr>
        <w:t xml:space="preserve"> Miranda et al. 4.101 Maritime and Riverine Workers. Peru. October 10, 2001.</w:t>
      </w:r>
    </w:p>
  </w:footnote>
  <w:footnote w:id="92">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hyperlink r:id="rId3">
        <w:r w:rsidRPr="00746D30">
          <w:rPr>
            <w:rStyle w:val="Hipervnculo"/>
            <w:rFonts w:ascii="Cambria" w:hAnsi="Cambria"/>
            <w:sz w:val="16"/>
            <w:szCs w:val="16"/>
            <w:u w:val="none"/>
          </w:rPr>
          <w:t>Report of the Ombudsperson's Office No. 19</w:t>
        </w:r>
      </w:hyperlink>
      <w:r w:rsidRPr="00746D30">
        <w:rPr>
          <w:rFonts w:ascii="Cambria" w:hAnsi="Cambria"/>
          <w:sz w:val="16"/>
          <w:szCs w:val="16"/>
        </w:rPr>
        <w:t>, Ombudsperson's Office</w:t>
      </w:r>
      <w:proofErr w:type="gramStart"/>
      <w:r w:rsidRPr="00746D30">
        <w:rPr>
          <w:rFonts w:ascii="Cambria" w:hAnsi="Cambria"/>
          <w:sz w:val="16"/>
          <w:szCs w:val="16"/>
        </w:rPr>
        <w:t>,  The</w:t>
      </w:r>
      <w:proofErr w:type="gramEnd"/>
      <w:r w:rsidRPr="00746D30">
        <w:rPr>
          <w:rFonts w:ascii="Cambria" w:hAnsi="Cambria"/>
          <w:sz w:val="16"/>
          <w:szCs w:val="16"/>
        </w:rPr>
        <w:t xml:space="preserve"> State Administration's Failure to Comply with Judgments. October 1998. </w:t>
      </w:r>
    </w:p>
  </w:footnote>
  <w:footnote w:id="93">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hyperlink r:id="rId4">
        <w:r w:rsidRPr="00746D30">
          <w:rPr>
            <w:rStyle w:val="Hipervnculo"/>
            <w:rFonts w:ascii="Cambria" w:hAnsi="Cambria"/>
            <w:sz w:val="16"/>
            <w:szCs w:val="16"/>
            <w:u w:val="none"/>
          </w:rPr>
          <w:t>Report of the Ombudsperson's Office No. 19</w:t>
        </w:r>
      </w:hyperlink>
      <w:r w:rsidRPr="00746D30">
        <w:rPr>
          <w:rFonts w:ascii="Cambria" w:hAnsi="Cambria"/>
          <w:sz w:val="16"/>
          <w:szCs w:val="16"/>
        </w:rPr>
        <w:t>, Ombudsperson's Office</w:t>
      </w:r>
      <w:proofErr w:type="gramStart"/>
      <w:r w:rsidRPr="00746D30">
        <w:rPr>
          <w:rFonts w:ascii="Cambria" w:hAnsi="Cambria"/>
          <w:sz w:val="16"/>
          <w:szCs w:val="16"/>
        </w:rPr>
        <w:t>,  The</w:t>
      </w:r>
      <w:proofErr w:type="gramEnd"/>
      <w:r w:rsidRPr="00746D30">
        <w:rPr>
          <w:rFonts w:ascii="Cambria" w:hAnsi="Cambria"/>
          <w:sz w:val="16"/>
          <w:szCs w:val="16"/>
        </w:rPr>
        <w:t xml:space="preserve"> State Administration's Failure to Comply with Judgments. October 1998. </w:t>
      </w:r>
    </w:p>
  </w:footnote>
  <w:footnote w:id="94">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hyperlink r:id="rId5">
        <w:r w:rsidRPr="00746D30">
          <w:rPr>
            <w:rStyle w:val="Hipervnculo"/>
            <w:rFonts w:ascii="Cambria" w:hAnsi="Cambria"/>
            <w:sz w:val="16"/>
            <w:szCs w:val="16"/>
            <w:u w:val="none"/>
          </w:rPr>
          <w:t>Report of the Ombudsperson's Office No. 19</w:t>
        </w:r>
      </w:hyperlink>
      <w:r w:rsidRPr="00746D30">
        <w:rPr>
          <w:rFonts w:ascii="Cambria" w:hAnsi="Cambria"/>
          <w:sz w:val="16"/>
          <w:szCs w:val="16"/>
        </w:rPr>
        <w:t>, Ombudsperson's Office</w:t>
      </w:r>
      <w:proofErr w:type="gramStart"/>
      <w:r w:rsidRPr="00746D30">
        <w:rPr>
          <w:rFonts w:ascii="Cambria" w:hAnsi="Cambria"/>
          <w:sz w:val="16"/>
          <w:szCs w:val="16"/>
        </w:rPr>
        <w:t>,  The</w:t>
      </w:r>
      <w:proofErr w:type="gramEnd"/>
      <w:r w:rsidRPr="00746D30">
        <w:rPr>
          <w:rFonts w:ascii="Cambria" w:hAnsi="Cambria"/>
          <w:sz w:val="16"/>
          <w:szCs w:val="16"/>
        </w:rPr>
        <w:t xml:space="preserve"> State Administration's Failure to Comply with Judgments. October 1998. </w:t>
      </w:r>
    </w:p>
  </w:footnote>
  <w:footnote w:id="95">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hyperlink r:id="rId6">
        <w:r w:rsidRPr="00746D30">
          <w:rPr>
            <w:rStyle w:val="Hipervnculo"/>
            <w:rFonts w:ascii="Cambria" w:hAnsi="Cambria"/>
            <w:sz w:val="16"/>
            <w:szCs w:val="16"/>
            <w:u w:val="none"/>
          </w:rPr>
          <w:t>Report of the Ombudsperson's Office No. 19</w:t>
        </w:r>
      </w:hyperlink>
      <w:r w:rsidRPr="00746D30">
        <w:rPr>
          <w:rFonts w:ascii="Cambria" w:hAnsi="Cambria"/>
          <w:sz w:val="16"/>
          <w:szCs w:val="16"/>
        </w:rPr>
        <w:t>, Ombudsperson's Office</w:t>
      </w:r>
      <w:proofErr w:type="gramStart"/>
      <w:r w:rsidRPr="00746D30">
        <w:rPr>
          <w:rFonts w:ascii="Cambria" w:hAnsi="Cambria"/>
          <w:sz w:val="16"/>
          <w:szCs w:val="16"/>
        </w:rPr>
        <w:t>,  The</w:t>
      </w:r>
      <w:proofErr w:type="gramEnd"/>
      <w:r w:rsidRPr="00746D30">
        <w:rPr>
          <w:rFonts w:ascii="Cambria" w:hAnsi="Cambria"/>
          <w:sz w:val="16"/>
          <w:szCs w:val="16"/>
        </w:rPr>
        <w:t xml:space="preserve"> State Administration's Failure to Comply with Judgments. October 1998. </w:t>
      </w:r>
    </w:p>
  </w:footnote>
  <w:footnote w:id="96">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hyperlink r:id="rId7">
        <w:r w:rsidRPr="00746D30">
          <w:rPr>
            <w:rStyle w:val="Hipervnculo"/>
            <w:rFonts w:ascii="Cambria" w:hAnsi="Cambria"/>
            <w:sz w:val="16"/>
            <w:szCs w:val="16"/>
            <w:u w:val="none"/>
          </w:rPr>
          <w:t>Report of the Ombudsperson's Office No. 19</w:t>
        </w:r>
      </w:hyperlink>
      <w:r w:rsidRPr="00746D30">
        <w:rPr>
          <w:rFonts w:ascii="Cambria" w:hAnsi="Cambria"/>
          <w:sz w:val="16"/>
          <w:szCs w:val="16"/>
        </w:rPr>
        <w:t>, Ombudsperson's Office</w:t>
      </w:r>
      <w:proofErr w:type="gramStart"/>
      <w:r w:rsidRPr="00746D30">
        <w:rPr>
          <w:rFonts w:ascii="Cambria" w:hAnsi="Cambria"/>
          <w:sz w:val="16"/>
          <w:szCs w:val="16"/>
        </w:rPr>
        <w:t>,  The</w:t>
      </w:r>
      <w:proofErr w:type="gramEnd"/>
      <w:r w:rsidRPr="00746D30">
        <w:rPr>
          <w:rFonts w:ascii="Cambria" w:hAnsi="Cambria"/>
          <w:sz w:val="16"/>
          <w:szCs w:val="16"/>
        </w:rPr>
        <w:t xml:space="preserve"> State Administration's Failure to Comply with Judgments. October 1998. </w:t>
      </w:r>
    </w:p>
  </w:footnote>
  <w:footnote w:id="97">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hyperlink r:id="rId8">
        <w:r w:rsidRPr="00746D30">
          <w:rPr>
            <w:rStyle w:val="Hipervnculo"/>
            <w:rFonts w:ascii="Cambria" w:hAnsi="Cambria"/>
            <w:sz w:val="16"/>
            <w:szCs w:val="16"/>
            <w:u w:val="none"/>
          </w:rPr>
          <w:t>Report of the Ombudsperson's Office No. 19</w:t>
        </w:r>
      </w:hyperlink>
      <w:r w:rsidRPr="00746D30">
        <w:rPr>
          <w:rFonts w:ascii="Cambria" w:hAnsi="Cambria"/>
          <w:sz w:val="16"/>
          <w:szCs w:val="16"/>
        </w:rPr>
        <w:t>, Ombudsperson's Office</w:t>
      </w:r>
      <w:proofErr w:type="gramStart"/>
      <w:r w:rsidRPr="00746D30">
        <w:rPr>
          <w:rFonts w:ascii="Cambria" w:hAnsi="Cambria"/>
          <w:sz w:val="16"/>
          <w:szCs w:val="16"/>
        </w:rPr>
        <w:t>,  The</w:t>
      </w:r>
      <w:proofErr w:type="gramEnd"/>
      <w:r w:rsidRPr="00746D30">
        <w:rPr>
          <w:rFonts w:ascii="Cambria" w:hAnsi="Cambria"/>
          <w:sz w:val="16"/>
          <w:szCs w:val="16"/>
        </w:rPr>
        <w:t xml:space="preserve"> State Administration's Failure to Comply with Judgments. October 1998. </w:t>
      </w:r>
    </w:p>
  </w:footnote>
  <w:footnote w:id="98">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hyperlink r:id="rId9">
        <w:r w:rsidRPr="00746D30">
          <w:rPr>
            <w:rStyle w:val="Hipervnculo"/>
            <w:rFonts w:ascii="Cambria" w:hAnsi="Cambria"/>
            <w:sz w:val="16"/>
            <w:szCs w:val="16"/>
            <w:u w:val="none"/>
          </w:rPr>
          <w:t>Report of the Ombudsperson's Office No. 19</w:t>
        </w:r>
      </w:hyperlink>
      <w:r w:rsidRPr="00746D30">
        <w:rPr>
          <w:rFonts w:ascii="Cambria" w:hAnsi="Cambria"/>
          <w:sz w:val="16"/>
          <w:szCs w:val="16"/>
        </w:rPr>
        <w:t>, Ombudsperson's Office</w:t>
      </w:r>
      <w:proofErr w:type="gramStart"/>
      <w:r w:rsidRPr="00746D30">
        <w:rPr>
          <w:rFonts w:ascii="Cambria" w:hAnsi="Cambria"/>
          <w:sz w:val="16"/>
          <w:szCs w:val="16"/>
        </w:rPr>
        <w:t>,  The</w:t>
      </w:r>
      <w:proofErr w:type="gramEnd"/>
      <w:r w:rsidRPr="00746D30">
        <w:rPr>
          <w:rFonts w:ascii="Cambria" w:hAnsi="Cambria"/>
          <w:sz w:val="16"/>
          <w:szCs w:val="16"/>
        </w:rPr>
        <w:t xml:space="preserve"> State Administration's Failure to Comply with Judgments. October 1998. </w:t>
      </w:r>
    </w:p>
  </w:footnote>
  <w:footnote w:id="99">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Pr>
          <w:rFonts w:ascii="Cambria" w:hAnsi="Cambria"/>
          <w:sz w:val="16"/>
          <w:szCs w:val="16"/>
        </w:rPr>
        <w:t xml:space="preserve"> United Nations </w:t>
      </w:r>
      <w:r w:rsidRPr="00746D30">
        <w:rPr>
          <w:rFonts w:ascii="Cambria" w:hAnsi="Cambria"/>
          <w:sz w:val="16"/>
          <w:szCs w:val="16"/>
        </w:rPr>
        <w:t xml:space="preserve">Committee on Economic, Social and Cultural Rights (CESCR), General Comment No. 18, </w:t>
      </w:r>
      <w:proofErr w:type="gramStart"/>
      <w:r w:rsidRPr="00746D30">
        <w:rPr>
          <w:rFonts w:ascii="Cambria" w:hAnsi="Cambria"/>
          <w:sz w:val="16"/>
          <w:szCs w:val="16"/>
        </w:rPr>
        <w:t>The</w:t>
      </w:r>
      <w:proofErr w:type="gramEnd"/>
      <w:r w:rsidRPr="00746D30">
        <w:rPr>
          <w:rFonts w:ascii="Cambria" w:hAnsi="Cambria"/>
          <w:sz w:val="16"/>
          <w:szCs w:val="16"/>
        </w:rPr>
        <w:t xml:space="preserve"> Right to Work, 2005, par. 25.</w:t>
      </w:r>
    </w:p>
  </w:footnote>
  <w:footnote w:id="100">
    <w:p w:rsidR="00251F4C" w:rsidRPr="00D652B3" w:rsidRDefault="00251F4C" w:rsidP="00EA251E">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r>
        <w:rPr>
          <w:rFonts w:ascii="Cambria" w:hAnsi="Cambria"/>
          <w:sz w:val="16"/>
          <w:szCs w:val="16"/>
        </w:rPr>
        <w:t>ECHR, Arras et al. v. Italy, Judgment of February 14, 2002.</w:t>
      </w:r>
    </w:p>
  </w:footnote>
  <w:footnote w:id="101">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proofErr w:type="gramStart"/>
      <w:r w:rsidRPr="00746D30">
        <w:rPr>
          <w:rFonts w:ascii="Cambria" w:hAnsi="Cambria"/>
          <w:sz w:val="16"/>
          <w:szCs w:val="16"/>
        </w:rPr>
        <w:t xml:space="preserve">I/A Court HR. </w:t>
      </w:r>
      <w:r w:rsidRPr="00746D30">
        <w:rPr>
          <w:rFonts w:ascii="Cambria" w:hAnsi="Cambria"/>
          <w:i/>
          <w:sz w:val="16"/>
          <w:szCs w:val="16"/>
        </w:rPr>
        <w:t xml:space="preserve">Case of </w:t>
      </w:r>
      <w:proofErr w:type="spellStart"/>
      <w:r w:rsidRPr="00746D30">
        <w:rPr>
          <w:rFonts w:ascii="Cambria" w:hAnsi="Cambria"/>
          <w:i/>
          <w:sz w:val="16"/>
          <w:szCs w:val="16"/>
        </w:rPr>
        <w:t>García</w:t>
      </w:r>
      <w:proofErr w:type="spellEnd"/>
      <w:r w:rsidRPr="00746D30">
        <w:rPr>
          <w:rFonts w:ascii="Cambria" w:hAnsi="Cambria"/>
          <w:i/>
          <w:sz w:val="16"/>
          <w:szCs w:val="16"/>
        </w:rPr>
        <w:t xml:space="preserve"> </w:t>
      </w:r>
      <w:proofErr w:type="spellStart"/>
      <w:r w:rsidRPr="00746D30">
        <w:rPr>
          <w:rFonts w:ascii="Cambria" w:hAnsi="Cambria"/>
          <w:i/>
          <w:sz w:val="16"/>
          <w:szCs w:val="16"/>
        </w:rPr>
        <w:t>Asto</w:t>
      </w:r>
      <w:proofErr w:type="spellEnd"/>
      <w:r w:rsidRPr="00746D30">
        <w:rPr>
          <w:rFonts w:ascii="Cambria" w:hAnsi="Cambria"/>
          <w:i/>
          <w:sz w:val="16"/>
          <w:szCs w:val="16"/>
        </w:rPr>
        <w:t xml:space="preserve"> and </w:t>
      </w:r>
      <w:proofErr w:type="spellStart"/>
      <w:r w:rsidRPr="00746D30">
        <w:rPr>
          <w:rFonts w:ascii="Cambria" w:hAnsi="Cambria"/>
          <w:i/>
          <w:sz w:val="16"/>
          <w:szCs w:val="16"/>
        </w:rPr>
        <w:t>Ramírez</w:t>
      </w:r>
      <w:proofErr w:type="spellEnd"/>
      <w:r w:rsidRPr="00746D30">
        <w:rPr>
          <w:rFonts w:ascii="Cambria" w:hAnsi="Cambria"/>
          <w:i/>
          <w:sz w:val="16"/>
          <w:szCs w:val="16"/>
        </w:rPr>
        <w:t xml:space="preserve"> Rojas v.</w:t>
      </w:r>
      <w:proofErr w:type="gramEnd"/>
      <w:r w:rsidRPr="00746D30">
        <w:rPr>
          <w:rFonts w:ascii="Cambria" w:hAnsi="Cambria"/>
          <w:i/>
          <w:sz w:val="16"/>
          <w:szCs w:val="16"/>
        </w:rPr>
        <w:t xml:space="preserve">  Peru</w:t>
      </w:r>
      <w:r w:rsidRPr="00746D30">
        <w:rPr>
          <w:rFonts w:ascii="Cambria" w:hAnsi="Cambria"/>
          <w:sz w:val="16"/>
          <w:szCs w:val="16"/>
        </w:rPr>
        <w:t xml:space="preserve">. Judgment </w:t>
      </w:r>
      <w:proofErr w:type="gramStart"/>
      <w:r w:rsidRPr="00746D30">
        <w:rPr>
          <w:rFonts w:ascii="Cambria" w:hAnsi="Cambria"/>
          <w:sz w:val="16"/>
          <w:szCs w:val="16"/>
        </w:rPr>
        <w:t>of  November</w:t>
      </w:r>
      <w:proofErr w:type="gramEnd"/>
      <w:r w:rsidRPr="00746D30">
        <w:rPr>
          <w:rFonts w:ascii="Cambria" w:hAnsi="Cambria"/>
          <w:sz w:val="16"/>
          <w:szCs w:val="16"/>
        </w:rPr>
        <w:t xml:space="preserve"> 25, 2005. </w:t>
      </w:r>
      <w:proofErr w:type="gramStart"/>
      <w:r w:rsidRPr="00746D30">
        <w:rPr>
          <w:rFonts w:ascii="Cambria" w:hAnsi="Cambria"/>
          <w:sz w:val="16"/>
          <w:szCs w:val="16"/>
        </w:rPr>
        <w:t xml:space="preserve">Series C No. 137, par. 166; </w:t>
      </w:r>
      <w:r w:rsidRPr="00746D30">
        <w:rPr>
          <w:rFonts w:ascii="Cambria" w:hAnsi="Cambria"/>
          <w:i/>
          <w:sz w:val="16"/>
          <w:szCs w:val="16"/>
        </w:rPr>
        <w:t>Case of Gómez Palomino v. Peru.</w:t>
      </w:r>
      <w:proofErr w:type="gramEnd"/>
      <w:r w:rsidRPr="00746D30">
        <w:rPr>
          <w:rFonts w:ascii="Cambria" w:hAnsi="Cambria"/>
          <w:i/>
          <w:sz w:val="16"/>
          <w:szCs w:val="16"/>
        </w:rPr>
        <w:t xml:space="preserve"> </w:t>
      </w:r>
      <w:hyperlink r:id="rId10">
        <w:proofErr w:type="gramStart"/>
        <w:r w:rsidRPr="00746D30">
          <w:rPr>
            <w:rStyle w:val="Hipervnculo"/>
            <w:rFonts w:ascii="Cambria" w:hAnsi="Cambria"/>
            <w:color w:val="auto"/>
            <w:sz w:val="16"/>
            <w:szCs w:val="16"/>
            <w:u w:val="none"/>
            <w:shd w:val="clear" w:color="auto" w:fill="FFFFFF"/>
          </w:rPr>
          <w:t>Merits, Reparations and Costs.</w:t>
        </w:r>
        <w:proofErr w:type="gramEnd"/>
        <w:r w:rsidRPr="00746D30">
          <w:rPr>
            <w:rStyle w:val="Hipervnculo"/>
            <w:rFonts w:ascii="Cambria" w:hAnsi="Cambria"/>
            <w:color w:val="auto"/>
            <w:sz w:val="16"/>
            <w:szCs w:val="16"/>
            <w:u w:val="none"/>
            <w:shd w:val="clear" w:color="auto" w:fill="FFFFFF"/>
          </w:rPr>
          <w:t xml:space="preserve"> Judgment </w:t>
        </w:r>
        <w:proofErr w:type="gramStart"/>
        <w:r w:rsidRPr="00746D30">
          <w:rPr>
            <w:rStyle w:val="Hipervnculo"/>
            <w:rFonts w:ascii="Cambria" w:hAnsi="Cambria"/>
            <w:color w:val="auto"/>
            <w:sz w:val="16"/>
            <w:szCs w:val="16"/>
            <w:u w:val="none"/>
            <w:shd w:val="clear" w:color="auto" w:fill="FFFFFF"/>
          </w:rPr>
          <w:t>of  November</w:t>
        </w:r>
        <w:proofErr w:type="gramEnd"/>
        <w:r w:rsidRPr="00746D30">
          <w:rPr>
            <w:rStyle w:val="Hipervnculo"/>
            <w:rFonts w:ascii="Cambria" w:hAnsi="Cambria"/>
            <w:color w:val="auto"/>
            <w:sz w:val="16"/>
            <w:szCs w:val="16"/>
            <w:u w:val="none"/>
            <w:shd w:val="clear" w:color="auto" w:fill="FFFFFF"/>
          </w:rPr>
          <w:t xml:space="preserve"> 22, 2005. </w:t>
        </w:r>
        <w:proofErr w:type="gramStart"/>
        <w:r w:rsidRPr="00746D30">
          <w:rPr>
            <w:rStyle w:val="Hipervnculo"/>
            <w:rFonts w:ascii="Cambria" w:hAnsi="Cambria"/>
            <w:color w:val="auto"/>
            <w:sz w:val="16"/>
            <w:szCs w:val="16"/>
            <w:u w:val="none"/>
            <w:shd w:val="clear" w:color="auto" w:fill="FFFFFF"/>
          </w:rPr>
          <w:t>Series C No. 136</w:t>
        </w:r>
      </w:hyperlink>
      <w:r w:rsidRPr="00746D30">
        <w:rPr>
          <w:rFonts w:ascii="Cambria" w:hAnsi="Cambria"/>
          <w:sz w:val="16"/>
          <w:szCs w:val="16"/>
        </w:rPr>
        <w:t xml:space="preserve">, par. 85; and </w:t>
      </w:r>
      <w:r w:rsidRPr="00746D30">
        <w:rPr>
          <w:rFonts w:ascii="Cambria" w:hAnsi="Cambria"/>
          <w:i/>
          <w:sz w:val="16"/>
          <w:szCs w:val="16"/>
        </w:rPr>
        <w:t xml:space="preserve">Case of the </w:t>
      </w:r>
      <w:proofErr w:type="spellStart"/>
      <w:r w:rsidRPr="00746D30">
        <w:rPr>
          <w:rFonts w:ascii="Cambria" w:hAnsi="Cambria"/>
          <w:i/>
          <w:sz w:val="16"/>
          <w:szCs w:val="16"/>
        </w:rPr>
        <w:t>Moiwana</w:t>
      </w:r>
      <w:proofErr w:type="spellEnd"/>
      <w:r w:rsidRPr="00746D30">
        <w:rPr>
          <w:rFonts w:ascii="Cambria" w:hAnsi="Cambria"/>
          <w:i/>
          <w:sz w:val="16"/>
          <w:szCs w:val="16"/>
        </w:rPr>
        <w:t xml:space="preserve"> Community v. </w:t>
      </w:r>
      <w:r w:rsidRPr="00746D30">
        <w:rPr>
          <w:rFonts w:ascii="Cambria" w:hAnsi="Cambria"/>
          <w:sz w:val="16"/>
          <w:szCs w:val="16"/>
        </w:rPr>
        <w:t>Suriname.</w:t>
      </w:r>
      <w:proofErr w:type="gramEnd"/>
      <w:r w:rsidRPr="00746D30">
        <w:rPr>
          <w:rFonts w:ascii="Cambria" w:hAnsi="Cambria"/>
          <w:sz w:val="16"/>
          <w:szCs w:val="16"/>
        </w:rPr>
        <w:t xml:space="preserve"> Judgment </w:t>
      </w:r>
      <w:proofErr w:type="gramStart"/>
      <w:r w:rsidRPr="00746D30">
        <w:rPr>
          <w:rFonts w:ascii="Cambria" w:hAnsi="Cambria"/>
          <w:sz w:val="16"/>
          <w:szCs w:val="16"/>
        </w:rPr>
        <w:t>of  June</w:t>
      </w:r>
      <w:proofErr w:type="gramEnd"/>
      <w:r w:rsidRPr="00746D30">
        <w:rPr>
          <w:rFonts w:ascii="Cambria" w:hAnsi="Cambria"/>
          <w:sz w:val="16"/>
          <w:szCs w:val="16"/>
        </w:rPr>
        <w:t xml:space="preserve"> 15, 2005. </w:t>
      </w:r>
      <w:proofErr w:type="gramStart"/>
      <w:r w:rsidRPr="00746D30">
        <w:rPr>
          <w:rFonts w:ascii="Cambria" w:hAnsi="Cambria"/>
          <w:sz w:val="16"/>
          <w:szCs w:val="16"/>
        </w:rPr>
        <w:t>Series C No. 124, par. 160.</w:t>
      </w:r>
      <w:proofErr w:type="gramEnd"/>
    </w:p>
  </w:footnote>
  <w:footnote w:id="102">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ECHR, </w:t>
      </w:r>
      <w:r w:rsidRPr="00746D30">
        <w:rPr>
          <w:rFonts w:ascii="Cambria" w:hAnsi="Cambria"/>
          <w:i/>
          <w:sz w:val="16"/>
          <w:szCs w:val="16"/>
        </w:rPr>
        <w:t xml:space="preserve">Hornsby v. Greece. </w:t>
      </w:r>
      <w:proofErr w:type="gramStart"/>
      <w:r w:rsidRPr="00746D30">
        <w:rPr>
          <w:rFonts w:ascii="Cambria" w:hAnsi="Cambria"/>
          <w:sz w:val="16"/>
          <w:szCs w:val="16"/>
        </w:rPr>
        <w:t>Judgment of March 19, 1997, par. 40.</w:t>
      </w:r>
      <w:proofErr w:type="gramEnd"/>
      <w:r w:rsidRPr="00746D30">
        <w:rPr>
          <w:rFonts w:ascii="Cambria" w:hAnsi="Cambria"/>
          <w:sz w:val="16"/>
          <w:szCs w:val="16"/>
        </w:rPr>
        <w:t xml:space="preserve"> </w:t>
      </w:r>
    </w:p>
  </w:footnote>
  <w:footnote w:id="103">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ECHR, </w:t>
      </w:r>
      <w:r w:rsidRPr="00746D30">
        <w:rPr>
          <w:rFonts w:ascii="Cambria" w:hAnsi="Cambria"/>
          <w:i/>
          <w:sz w:val="16"/>
          <w:szCs w:val="16"/>
        </w:rPr>
        <w:t xml:space="preserve">Di </w:t>
      </w:r>
      <w:proofErr w:type="spellStart"/>
      <w:r w:rsidRPr="00746D30">
        <w:rPr>
          <w:rFonts w:ascii="Cambria" w:hAnsi="Cambria"/>
          <w:i/>
          <w:sz w:val="16"/>
          <w:szCs w:val="16"/>
        </w:rPr>
        <w:t>Pede</w:t>
      </w:r>
      <w:proofErr w:type="spellEnd"/>
      <w:r w:rsidRPr="00746D30">
        <w:rPr>
          <w:rFonts w:ascii="Cambria" w:hAnsi="Cambria"/>
          <w:i/>
          <w:sz w:val="16"/>
          <w:szCs w:val="16"/>
        </w:rPr>
        <w:t xml:space="preserve"> </w:t>
      </w:r>
      <w:r w:rsidRPr="00746D30">
        <w:rPr>
          <w:rFonts w:ascii="Cambria" w:hAnsi="Cambria"/>
          <w:sz w:val="16"/>
          <w:szCs w:val="16"/>
        </w:rPr>
        <w:t>v.</w:t>
      </w:r>
      <w:r w:rsidRPr="00746D30">
        <w:rPr>
          <w:rFonts w:ascii="Cambria" w:hAnsi="Cambria"/>
          <w:i/>
          <w:sz w:val="16"/>
          <w:szCs w:val="16"/>
        </w:rPr>
        <w:t xml:space="preserve"> Italy. </w:t>
      </w:r>
      <w:proofErr w:type="gramStart"/>
      <w:r w:rsidRPr="00746D30">
        <w:rPr>
          <w:rFonts w:ascii="Cambria" w:hAnsi="Cambria"/>
          <w:sz w:val="16"/>
          <w:szCs w:val="16"/>
        </w:rPr>
        <w:t>Judgment of September 26, 1996, par. 16.</w:t>
      </w:r>
      <w:proofErr w:type="gramEnd"/>
    </w:p>
  </w:footnote>
  <w:footnote w:id="104">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I/A Court HR</w:t>
      </w:r>
      <w:proofErr w:type="gramStart"/>
      <w:r w:rsidRPr="00746D30">
        <w:rPr>
          <w:rFonts w:ascii="Cambria" w:hAnsi="Cambria"/>
          <w:sz w:val="16"/>
          <w:szCs w:val="16"/>
        </w:rPr>
        <w:t xml:space="preserve">. </w:t>
      </w:r>
      <w:r w:rsidRPr="00746D30">
        <w:rPr>
          <w:rFonts w:ascii="Cambria" w:hAnsi="Cambria"/>
          <w:i/>
          <w:sz w:val="16"/>
          <w:szCs w:val="16"/>
          <w:shd w:val="clear" w:color="auto" w:fill="FFFFFF"/>
        </w:rPr>
        <w:t>.Case of the Massacre of Santo Domingo v.</w:t>
      </w:r>
      <w:proofErr w:type="gramEnd"/>
      <w:r w:rsidRPr="00746D30">
        <w:rPr>
          <w:rFonts w:ascii="Cambria" w:hAnsi="Cambria"/>
          <w:i/>
          <w:sz w:val="16"/>
          <w:szCs w:val="16"/>
          <w:shd w:val="clear" w:color="auto" w:fill="FFFFFF"/>
        </w:rPr>
        <w:t xml:space="preserve">  Colombia</w:t>
      </w:r>
      <w:r w:rsidRPr="00746D30">
        <w:rPr>
          <w:rFonts w:ascii="Cambria" w:hAnsi="Cambria"/>
          <w:sz w:val="16"/>
          <w:szCs w:val="16"/>
        </w:rPr>
        <w:t xml:space="preserve">. </w:t>
      </w:r>
      <w:proofErr w:type="gramStart"/>
      <w:r w:rsidRPr="00746D30">
        <w:rPr>
          <w:rFonts w:ascii="Cambria" w:hAnsi="Cambria"/>
          <w:sz w:val="16"/>
          <w:szCs w:val="16"/>
        </w:rPr>
        <w:t>Preliminary Objections, Merits and Reparations.</w:t>
      </w:r>
      <w:proofErr w:type="gramEnd"/>
      <w:r w:rsidRPr="00746D30">
        <w:rPr>
          <w:rFonts w:ascii="Cambria" w:hAnsi="Cambria"/>
          <w:sz w:val="16"/>
          <w:szCs w:val="16"/>
        </w:rPr>
        <w:t xml:space="preserve"> Judgment of November 30, 2012. </w:t>
      </w:r>
      <w:proofErr w:type="gramStart"/>
      <w:r w:rsidRPr="00746D30">
        <w:rPr>
          <w:rFonts w:ascii="Cambria" w:hAnsi="Cambria"/>
          <w:sz w:val="16"/>
          <w:szCs w:val="16"/>
        </w:rPr>
        <w:t>Series C No. 259, par. 164.</w:t>
      </w:r>
      <w:proofErr w:type="gramEnd"/>
    </w:p>
  </w:footnote>
  <w:footnote w:id="105">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proofErr w:type="gramStart"/>
      <w:r w:rsidRPr="00746D30">
        <w:rPr>
          <w:rFonts w:ascii="Cambria" w:hAnsi="Cambria"/>
          <w:sz w:val="16"/>
          <w:szCs w:val="16"/>
        </w:rPr>
        <w:t xml:space="preserve">I/A Court HR. </w:t>
      </w:r>
      <w:r w:rsidRPr="00746D30">
        <w:rPr>
          <w:rFonts w:ascii="Cambria" w:hAnsi="Cambria"/>
          <w:i/>
          <w:sz w:val="16"/>
          <w:szCs w:val="16"/>
        </w:rPr>
        <w:t>Case of Garibaldi v. Brazil</w:t>
      </w:r>
      <w:r w:rsidRPr="00746D30">
        <w:rPr>
          <w:rFonts w:ascii="Cambria" w:hAnsi="Cambria"/>
          <w:sz w:val="16"/>
          <w:szCs w:val="16"/>
        </w:rPr>
        <w:t xml:space="preserve">, </w:t>
      </w:r>
      <w:hyperlink r:id="rId11">
        <w:r w:rsidRPr="00746D30">
          <w:rPr>
            <w:rStyle w:val="Hipervnculo"/>
            <w:rFonts w:ascii="Cambria" w:hAnsi="Cambria"/>
            <w:color w:val="auto"/>
            <w:sz w:val="16"/>
            <w:szCs w:val="16"/>
            <w:u w:val="none"/>
            <w:shd w:val="clear" w:color="auto" w:fill="FFFFFF"/>
          </w:rPr>
          <w:t>Preliminary Objections, Merits, Reparations and Costs.</w:t>
        </w:r>
        <w:proofErr w:type="gramEnd"/>
        <w:r w:rsidRPr="00746D30">
          <w:rPr>
            <w:rStyle w:val="Hipervnculo"/>
            <w:rFonts w:ascii="Cambria" w:hAnsi="Cambria"/>
            <w:color w:val="auto"/>
            <w:sz w:val="16"/>
            <w:szCs w:val="16"/>
            <w:u w:val="none"/>
            <w:shd w:val="clear" w:color="auto" w:fill="FFFFFF"/>
          </w:rPr>
          <w:t xml:space="preserve"> Judgment of September 23, 2009. </w:t>
        </w:r>
        <w:proofErr w:type="gramStart"/>
        <w:r w:rsidRPr="00746D30">
          <w:rPr>
            <w:rStyle w:val="Hipervnculo"/>
            <w:rFonts w:ascii="Cambria" w:hAnsi="Cambria"/>
            <w:color w:val="auto"/>
            <w:sz w:val="16"/>
            <w:szCs w:val="16"/>
            <w:u w:val="none"/>
            <w:shd w:val="clear" w:color="auto" w:fill="FFFFFF"/>
          </w:rPr>
          <w:t>Series C No. 203</w:t>
        </w:r>
      </w:hyperlink>
      <w:r w:rsidRPr="00746D30">
        <w:rPr>
          <w:rFonts w:ascii="Cambria" w:hAnsi="Cambria"/>
          <w:sz w:val="16"/>
          <w:szCs w:val="16"/>
        </w:rPr>
        <w:t>, par. 138; Case of Valle Jaramillo et al. v.</w:t>
      </w:r>
      <w:r w:rsidRPr="00746D30">
        <w:rPr>
          <w:rFonts w:ascii="Cambria" w:hAnsi="Cambria"/>
          <w:i/>
          <w:sz w:val="16"/>
          <w:szCs w:val="16"/>
        </w:rPr>
        <w:t xml:space="preserve"> Colombia</w:t>
      </w:r>
      <w:r w:rsidRPr="00746D30">
        <w:rPr>
          <w:rFonts w:ascii="Cambria" w:hAnsi="Cambria"/>
          <w:sz w:val="16"/>
          <w:szCs w:val="16"/>
        </w:rPr>
        <w:t>.</w:t>
      </w:r>
      <w:proofErr w:type="gramEnd"/>
      <w:r w:rsidRPr="00746D30">
        <w:rPr>
          <w:rFonts w:ascii="Cambria" w:hAnsi="Cambria"/>
          <w:sz w:val="16"/>
          <w:szCs w:val="16"/>
        </w:rPr>
        <w:t xml:space="preserve"> </w:t>
      </w:r>
      <w:hyperlink r:id="rId12">
        <w:proofErr w:type="gramStart"/>
        <w:r w:rsidRPr="00746D30">
          <w:rPr>
            <w:rStyle w:val="Hipervnculo"/>
            <w:rFonts w:ascii="Cambria" w:hAnsi="Cambria"/>
            <w:color w:val="auto"/>
            <w:sz w:val="16"/>
            <w:szCs w:val="16"/>
            <w:u w:val="none"/>
            <w:shd w:val="clear" w:color="auto" w:fill="FFFFFF"/>
          </w:rPr>
          <w:t>Merits, Reparations, and Costs.</w:t>
        </w:r>
        <w:proofErr w:type="gramEnd"/>
        <w:r w:rsidRPr="00746D30">
          <w:rPr>
            <w:rStyle w:val="Hipervnculo"/>
            <w:rFonts w:ascii="Cambria" w:hAnsi="Cambria"/>
            <w:color w:val="auto"/>
            <w:sz w:val="16"/>
            <w:szCs w:val="16"/>
            <w:u w:val="none"/>
            <w:shd w:val="clear" w:color="auto" w:fill="FFFFFF"/>
          </w:rPr>
          <w:t xml:space="preserve"> Judgment of November 27, 2008. Series C No. 192</w:t>
        </w:r>
      </w:hyperlink>
      <w:r w:rsidRPr="00746D30">
        <w:rPr>
          <w:rFonts w:ascii="Cambria" w:hAnsi="Cambria"/>
          <w:sz w:val="16"/>
          <w:szCs w:val="16"/>
        </w:rPr>
        <w:t xml:space="preserve">, par. 155; and </w:t>
      </w:r>
      <w:hyperlink r:id="rId13">
        <w:r w:rsidRPr="00746D30">
          <w:rPr>
            <w:rStyle w:val="Hipervnculo"/>
            <w:rFonts w:ascii="Cambria" w:hAnsi="Cambria"/>
            <w:i/>
            <w:color w:val="auto"/>
            <w:sz w:val="16"/>
            <w:szCs w:val="16"/>
            <w:u w:val="none"/>
            <w:shd w:val="clear" w:color="auto" w:fill="FFFFFF"/>
          </w:rPr>
          <w:t xml:space="preserve">Case </w:t>
        </w:r>
        <w:proofErr w:type="gramStart"/>
        <w:r w:rsidRPr="00746D30">
          <w:rPr>
            <w:rStyle w:val="Hipervnculo"/>
            <w:rFonts w:ascii="Cambria" w:hAnsi="Cambria"/>
            <w:i/>
            <w:color w:val="auto"/>
            <w:sz w:val="16"/>
            <w:szCs w:val="16"/>
            <w:u w:val="none"/>
            <w:shd w:val="clear" w:color="auto" w:fill="FFFFFF"/>
          </w:rPr>
          <w:t xml:space="preserve">of  </w:t>
        </w:r>
        <w:proofErr w:type="spellStart"/>
        <w:r w:rsidRPr="00746D30">
          <w:rPr>
            <w:rStyle w:val="Hipervnculo"/>
            <w:rFonts w:ascii="Cambria" w:hAnsi="Cambria"/>
            <w:i/>
            <w:color w:val="auto"/>
            <w:sz w:val="16"/>
            <w:szCs w:val="16"/>
            <w:u w:val="none"/>
            <w:shd w:val="clear" w:color="auto" w:fill="FFFFFF"/>
          </w:rPr>
          <w:t>Kawas</w:t>
        </w:r>
        <w:proofErr w:type="spellEnd"/>
        <w:proofErr w:type="gramEnd"/>
        <w:r w:rsidRPr="00746D30">
          <w:rPr>
            <w:rStyle w:val="Hipervnculo"/>
            <w:rFonts w:ascii="Cambria" w:hAnsi="Cambria"/>
            <w:i/>
            <w:color w:val="auto"/>
            <w:sz w:val="16"/>
            <w:szCs w:val="16"/>
            <w:u w:val="none"/>
            <w:shd w:val="clear" w:color="auto" w:fill="FFFFFF"/>
          </w:rPr>
          <w:t xml:space="preserve"> </w:t>
        </w:r>
        <w:proofErr w:type="spellStart"/>
        <w:r w:rsidRPr="00746D30">
          <w:rPr>
            <w:rStyle w:val="Hipervnculo"/>
            <w:rFonts w:ascii="Cambria" w:hAnsi="Cambria"/>
            <w:i/>
            <w:color w:val="auto"/>
            <w:sz w:val="16"/>
            <w:szCs w:val="16"/>
            <w:u w:val="none"/>
            <w:shd w:val="clear" w:color="auto" w:fill="FFFFFF"/>
          </w:rPr>
          <w:t>Fernández</w:t>
        </w:r>
        <w:proofErr w:type="spellEnd"/>
        <w:r w:rsidRPr="00746D30">
          <w:rPr>
            <w:rStyle w:val="Hipervnculo"/>
            <w:rFonts w:ascii="Cambria" w:hAnsi="Cambria"/>
            <w:i/>
            <w:color w:val="auto"/>
            <w:sz w:val="16"/>
            <w:szCs w:val="16"/>
            <w:u w:val="none"/>
            <w:shd w:val="clear" w:color="auto" w:fill="FFFFFF"/>
          </w:rPr>
          <w:t xml:space="preserve"> v. Honduras.</w:t>
        </w:r>
        <w:r w:rsidRPr="00746D30">
          <w:rPr>
            <w:rStyle w:val="Hipervnculo"/>
            <w:rFonts w:ascii="Cambria" w:hAnsi="Cambria"/>
            <w:color w:val="auto"/>
            <w:sz w:val="16"/>
            <w:szCs w:val="16"/>
            <w:u w:val="none"/>
            <w:shd w:val="clear" w:color="auto" w:fill="FFFFFF"/>
          </w:rPr>
          <w:t xml:space="preserve"> </w:t>
        </w:r>
        <w:proofErr w:type="gramStart"/>
        <w:r w:rsidRPr="00746D30">
          <w:rPr>
            <w:rStyle w:val="Hipervnculo"/>
            <w:rFonts w:ascii="Cambria" w:hAnsi="Cambria"/>
            <w:color w:val="auto"/>
            <w:sz w:val="16"/>
            <w:szCs w:val="16"/>
            <w:u w:val="none"/>
            <w:shd w:val="clear" w:color="auto" w:fill="FFFFFF"/>
          </w:rPr>
          <w:t>Merits, Reparations, and Costs.</w:t>
        </w:r>
        <w:proofErr w:type="gramEnd"/>
        <w:r w:rsidRPr="00746D30">
          <w:rPr>
            <w:rStyle w:val="Hipervnculo"/>
            <w:rFonts w:ascii="Cambria" w:hAnsi="Cambria"/>
            <w:color w:val="auto"/>
            <w:sz w:val="16"/>
            <w:szCs w:val="16"/>
            <w:u w:val="none"/>
            <w:shd w:val="clear" w:color="auto" w:fill="FFFFFF"/>
          </w:rPr>
          <w:t xml:space="preserve"> </w:t>
        </w:r>
        <w:proofErr w:type="gramStart"/>
        <w:r w:rsidRPr="00746D30">
          <w:rPr>
            <w:rStyle w:val="Hipervnculo"/>
            <w:rFonts w:ascii="Cambria" w:hAnsi="Cambria"/>
            <w:color w:val="auto"/>
            <w:sz w:val="16"/>
            <w:szCs w:val="16"/>
            <w:u w:val="none"/>
            <w:shd w:val="clear" w:color="auto" w:fill="FFFFFF"/>
          </w:rPr>
          <w:t>Judgment of April 3, 2009, Series C No. 196</w:t>
        </w:r>
      </w:hyperlink>
      <w:r w:rsidRPr="00746D30">
        <w:rPr>
          <w:rFonts w:ascii="Cambria" w:hAnsi="Cambria"/>
          <w:sz w:val="16"/>
          <w:szCs w:val="16"/>
        </w:rPr>
        <w:t>, par. 115.</w:t>
      </w:r>
      <w:proofErr w:type="gramEnd"/>
    </w:p>
  </w:footnote>
  <w:footnote w:id="106">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IACHR, Case 12.357, Application to the I/A Court H.R., Members of the National Association of Discharged and Retired Staff of the Office of the Comptroller General of the Republic of Peru, April 1, 2008, par. 72. </w:t>
      </w:r>
      <w:proofErr w:type="gramStart"/>
      <w:r w:rsidRPr="00746D30">
        <w:rPr>
          <w:rFonts w:ascii="Cambria" w:hAnsi="Cambria"/>
          <w:sz w:val="16"/>
          <w:szCs w:val="16"/>
        </w:rPr>
        <w:t xml:space="preserve">I/A Court HR. </w:t>
      </w:r>
      <w:r w:rsidRPr="00746D30">
        <w:rPr>
          <w:rFonts w:ascii="Cambria" w:hAnsi="Cambria"/>
          <w:i/>
          <w:sz w:val="16"/>
          <w:szCs w:val="16"/>
        </w:rPr>
        <w:t xml:space="preserve">Case of </w:t>
      </w:r>
      <w:proofErr w:type="spellStart"/>
      <w:r w:rsidRPr="00746D30">
        <w:rPr>
          <w:rFonts w:ascii="Cambria" w:hAnsi="Cambria"/>
          <w:i/>
          <w:sz w:val="16"/>
          <w:szCs w:val="16"/>
        </w:rPr>
        <w:t>Chaparro</w:t>
      </w:r>
      <w:proofErr w:type="spellEnd"/>
      <w:r w:rsidRPr="00746D30">
        <w:rPr>
          <w:rFonts w:ascii="Cambria" w:hAnsi="Cambria"/>
          <w:i/>
          <w:sz w:val="16"/>
          <w:szCs w:val="16"/>
        </w:rPr>
        <w:t xml:space="preserve"> </w:t>
      </w:r>
      <w:proofErr w:type="spellStart"/>
      <w:r w:rsidRPr="00746D30">
        <w:rPr>
          <w:rFonts w:ascii="Cambria" w:hAnsi="Cambria"/>
          <w:i/>
          <w:sz w:val="16"/>
          <w:szCs w:val="16"/>
        </w:rPr>
        <w:t>Álvarez</w:t>
      </w:r>
      <w:proofErr w:type="spellEnd"/>
      <w:r w:rsidRPr="00746D30">
        <w:rPr>
          <w:rFonts w:ascii="Cambria" w:hAnsi="Cambria"/>
          <w:i/>
          <w:sz w:val="16"/>
          <w:szCs w:val="16"/>
        </w:rPr>
        <w:t xml:space="preserve"> and </w:t>
      </w:r>
      <w:proofErr w:type="spellStart"/>
      <w:r w:rsidRPr="00746D30">
        <w:rPr>
          <w:rFonts w:ascii="Cambria" w:hAnsi="Cambria"/>
          <w:i/>
          <w:sz w:val="16"/>
          <w:szCs w:val="16"/>
        </w:rPr>
        <w:t>Lapo</w:t>
      </w:r>
      <w:proofErr w:type="spellEnd"/>
      <w:r w:rsidRPr="00746D30">
        <w:rPr>
          <w:rFonts w:ascii="Cambria" w:hAnsi="Cambria"/>
          <w:i/>
          <w:sz w:val="16"/>
          <w:szCs w:val="16"/>
        </w:rPr>
        <w:t xml:space="preserve"> </w:t>
      </w:r>
      <w:proofErr w:type="spellStart"/>
      <w:r w:rsidRPr="00746D30">
        <w:rPr>
          <w:rFonts w:ascii="Cambria" w:hAnsi="Cambria"/>
          <w:i/>
          <w:sz w:val="16"/>
          <w:szCs w:val="16"/>
        </w:rPr>
        <w:t>Íñiguez</w:t>
      </w:r>
      <w:proofErr w:type="spellEnd"/>
      <w:r w:rsidRPr="00746D30">
        <w:rPr>
          <w:rFonts w:ascii="Cambria" w:hAnsi="Cambria"/>
          <w:i/>
          <w:sz w:val="16"/>
          <w:szCs w:val="16"/>
        </w:rPr>
        <w:t xml:space="preserve"> v. Ecuad</w:t>
      </w:r>
      <w:r w:rsidRPr="00746D30">
        <w:rPr>
          <w:rFonts w:ascii="Cambria" w:hAnsi="Cambria"/>
          <w:sz w:val="16"/>
          <w:szCs w:val="16"/>
        </w:rPr>
        <w:t>or.</w:t>
      </w:r>
      <w:proofErr w:type="gramEnd"/>
      <w:r w:rsidRPr="00746D30">
        <w:rPr>
          <w:rFonts w:ascii="Cambria" w:hAnsi="Cambria"/>
          <w:sz w:val="16"/>
          <w:szCs w:val="16"/>
        </w:rPr>
        <w:t xml:space="preserve"> </w:t>
      </w:r>
      <w:proofErr w:type="gramStart"/>
      <w:r w:rsidRPr="00746D30">
        <w:rPr>
          <w:rFonts w:ascii="Cambria" w:hAnsi="Cambria"/>
          <w:sz w:val="16"/>
          <w:szCs w:val="16"/>
        </w:rPr>
        <w:t>Preliminary Objections, Merits, Reparations, and Costs.</w:t>
      </w:r>
      <w:proofErr w:type="gramEnd"/>
      <w:r w:rsidRPr="00746D30">
        <w:rPr>
          <w:rFonts w:ascii="Cambria" w:hAnsi="Cambria"/>
          <w:sz w:val="16"/>
          <w:szCs w:val="16"/>
        </w:rPr>
        <w:t xml:space="preserve"> Judgment of November 21, 2007. </w:t>
      </w:r>
      <w:proofErr w:type="gramStart"/>
      <w:r w:rsidRPr="00746D30">
        <w:rPr>
          <w:rFonts w:ascii="Cambria" w:hAnsi="Cambria"/>
          <w:sz w:val="16"/>
          <w:szCs w:val="16"/>
        </w:rPr>
        <w:t>Series C No. 170, par. 174.</w:t>
      </w:r>
      <w:proofErr w:type="gramEnd"/>
    </w:p>
  </w:footnote>
  <w:footnote w:id="107">
    <w:p w:rsidR="00251F4C" w:rsidRPr="00746D30" w:rsidRDefault="00251F4C" w:rsidP="008C213F">
      <w:pPr>
        <w:spacing w:before="120"/>
        <w:ind w:firstLine="720"/>
        <w:jc w:val="both"/>
        <w:rPr>
          <w:rFonts w:ascii="Cambria" w:eastAsia="Times New Roman" w:hAnsi="Cambria"/>
          <w:sz w:val="16"/>
          <w:szCs w:val="16"/>
          <w:bdr w:val="none" w:sz="0" w:space="0" w:color="auto"/>
        </w:rPr>
      </w:pPr>
      <w:r w:rsidRPr="00746D30">
        <w:rPr>
          <w:rStyle w:val="Refdenotaalpie"/>
          <w:rFonts w:ascii="Cambria" w:hAnsi="Cambria"/>
          <w:sz w:val="16"/>
          <w:szCs w:val="16"/>
        </w:rPr>
        <w:footnoteRef/>
      </w:r>
      <w:r w:rsidRPr="00746D30">
        <w:rPr>
          <w:rFonts w:ascii="Cambria" w:hAnsi="Cambria"/>
          <w:sz w:val="16"/>
          <w:szCs w:val="16"/>
        </w:rPr>
        <w:t xml:space="preserve"> </w:t>
      </w:r>
      <w:proofErr w:type="gramStart"/>
      <w:r w:rsidRPr="00746D30">
        <w:rPr>
          <w:rFonts w:ascii="Cambria" w:hAnsi="Cambria"/>
          <w:color w:val="000000"/>
          <w:sz w:val="16"/>
          <w:szCs w:val="16"/>
          <w:bdr w:val="none" w:sz="0" w:space="0" w:color="auto"/>
          <w:shd w:val="clear" w:color="auto" w:fill="FFFFFF"/>
        </w:rPr>
        <w:t xml:space="preserve">I/A Court HR. </w:t>
      </w:r>
      <w:r w:rsidRPr="00746D30">
        <w:rPr>
          <w:rFonts w:ascii="Cambria" w:hAnsi="Cambria"/>
          <w:i/>
          <w:color w:val="000000"/>
          <w:sz w:val="16"/>
          <w:szCs w:val="16"/>
          <w:bdr w:val="none" w:sz="0" w:space="0" w:color="auto"/>
          <w:shd w:val="clear" w:color="auto" w:fill="FFFFFF"/>
        </w:rPr>
        <w:t>Case of the “Five Pensioners” v. Peru</w:t>
      </w:r>
      <w:r w:rsidRPr="00746D30">
        <w:rPr>
          <w:rFonts w:ascii="Cambria" w:hAnsi="Cambria"/>
          <w:color w:val="000000"/>
          <w:sz w:val="16"/>
          <w:szCs w:val="16"/>
          <w:bdr w:val="none" w:sz="0" w:space="0" w:color="auto"/>
          <w:shd w:val="clear" w:color="auto" w:fill="FFFFFF"/>
        </w:rPr>
        <w:t>.</w:t>
      </w:r>
      <w:proofErr w:type="gramEnd"/>
      <w:r w:rsidRPr="00746D30">
        <w:rPr>
          <w:rFonts w:ascii="Cambria" w:hAnsi="Cambria"/>
          <w:color w:val="000000"/>
          <w:sz w:val="16"/>
          <w:szCs w:val="16"/>
          <w:bdr w:val="none" w:sz="0" w:space="0" w:color="auto"/>
          <w:shd w:val="clear" w:color="auto" w:fill="FFFFFF"/>
        </w:rPr>
        <w:t xml:space="preserve"> </w:t>
      </w:r>
      <w:proofErr w:type="gramStart"/>
      <w:r w:rsidRPr="00746D30">
        <w:rPr>
          <w:rFonts w:ascii="Cambria" w:hAnsi="Cambria"/>
          <w:color w:val="000000"/>
          <w:sz w:val="16"/>
          <w:szCs w:val="16"/>
          <w:bdr w:val="none" w:sz="0" w:space="0" w:color="auto"/>
          <w:shd w:val="clear" w:color="auto" w:fill="FFFFFF"/>
        </w:rPr>
        <w:t>Merits, Reparations, and Costs.</w:t>
      </w:r>
      <w:proofErr w:type="gramEnd"/>
      <w:r w:rsidRPr="00746D30">
        <w:rPr>
          <w:rFonts w:ascii="Cambria" w:hAnsi="Cambria"/>
          <w:color w:val="000000"/>
          <w:sz w:val="16"/>
          <w:szCs w:val="16"/>
          <w:bdr w:val="none" w:sz="0" w:space="0" w:color="auto"/>
          <w:shd w:val="clear" w:color="auto" w:fill="FFFFFF"/>
        </w:rPr>
        <w:t xml:space="preserve"> Judgment of February 28, 2003. </w:t>
      </w:r>
      <w:proofErr w:type="gramStart"/>
      <w:r w:rsidRPr="00746D30">
        <w:rPr>
          <w:rFonts w:ascii="Cambria" w:hAnsi="Cambria"/>
          <w:color w:val="000000"/>
          <w:sz w:val="16"/>
          <w:szCs w:val="16"/>
          <w:bdr w:val="none" w:sz="0" w:space="0" w:color="auto"/>
          <w:shd w:val="clear" w:color="auto" w:fill="FFFFFF"/>
        </w:rPr>
        <w:t>Series C No. 98, par. 102.</w:t>
      </w:r>
      <w:proofErr w:type="gramEnd"/>
    </w:p>
  </w:footnote>
  <w:footnote w:id="108">
    <w:p w:rsidR="00251F4C" w:rsidRPr="00746D30" w:rsidRDefault="00251F4C" w:rsidP="008C213F">
      <w:pPr>
        <w:spacing w:before="120"/>
        <w:ind w:firstLine="720"/>
        <w:jc w:val="both"/>
        <w:rPr>
          <w:rFonts w:ascii="Cambria" w:eastAsia="Times New Roman" w:hAnsi="Cambria"/>
          <w:sz w:val="16"/>
          <w:szCs w:val="16"/>
          <w:bdr w:val="none" w:sz="0" w:space="0" w:color="auto"/>
        </w:rPr>
      </w:pPr>
      <w:r w:rsidRPr="00746D30">
        <w:rPr>
          <w:rStyle w:val="Refdenotaalpie"/>
          <w:rFonts w:ascii="Cambria" w:hAnsi="Cambria"/>
          <w:sz w:val="16"/>
          <w:szCs w:val="16"/>
        </w:rPr>
        <w:footnoteRef/>
      </w:r>
      <w:r w:rsidRPr="00746D30">
        <w:rPr>
          <w:rFonts w:ascii="Cambria" w:hAnsi="Cambria"/>
          <w:sz w:val="16"/>
          <w:szCs w:val="16"/>
        </w:rPr>
        <w:t xml:space="preserve"> </w:t>
      </w:r>
      <w:proofErr w:type="gramStart"/>
      <w:r w:rsidRPr="00746D30">
        <w:rPr>
          <w:rFonts w:ascii="Cambria" w:hAnsi="Cambria"/>
          <w:color w:val="000000"/>
          <w:sz w:val="16"/>
          <w:szCs w:val="16"/>
          <w:bdr w:val="none" w:sz="0" w:space="0" w:color="auto"/>
          <w:shd w:val="clear" w:color="auto" w:fill="FFFFFF"/>
        </w:rPr>
        <w:t xml:space="preserve">I/A Court HR. </w:t>
      </w:r>
      <w:r w:rsidRPr="00746D30">
        <w:rPr>
          <w:rFonts w:ascii="Cambria" w:hAnsi="Cambria"/>
          <w:i/>
          <w:color w:val="000000"/>
          <w:sz w:val="16"/>
          <w:szCs w:val="16"/>
          <w:bdr w:val="none" w:sz="0" w:space="0" w:color="auto"/>
          <w:shd w:val="clear" w:color="auto" w:fill="FFFFFF"/>
        </w:rPr>
        <w:t xml:space="preserve">Case of Salvador </w:t>
      </w:r>
      <w:proofErr w:type="spellStart"/>
      <w:r w:rsidRPr="00746D30">
        <w:rPr>
          <w:rFonts w:ascii="Cambria" w:hAnsi="Cambria"/>
          <w:i/>
          <w:color w:val="000000"/>
          <w:sz w:val="16"/>
          <w:szCs w:val="16"/>
          <w:bdr w:val="none" w:sz="0" w:space="0" w:color="auto"/>
          <w:shd w:val="clear" w:color="auto" w:fill="FFFFFF"/>
        </w:rPr>
        <w:t>Chiriboga</w:t>
      </w:r>
      <w:proofErr w:type="spellEnd"/>
      <w:r w:rsidRPr="00746D30">
        <w:rPr>
          <w:rFonts w:ascii="Cambria" w:hAnsi="Cambria"/>
          <w:i/>
          <w:color w:val="000000"/>
          <w:sz w:val="16"/>
          <w:szCs w:val="16"/>
          <w:bdr w:val="none" w:sz="0" w:space="0" w:color="auto"/>
          <w:shd w:val="clear" w:color="auto" w:fill="FFFFFF"/>
        </w:rPr>
        <w:t xml:space="preserve"> v. Ecuador</w:t>
      </w:r>
      <w:r w:rsidRPr="00746D30">
        <w:rPr>
          <w:rFonts w:ascii="Cambria" w:hAnsi="Cambria"/>
          <w:color w:val="000000"/>
          <w:sz w:val="16"/>
          <w:szCs w:val="16"/>
          <w:bdr w:val="none" w:sz="0" w:space="0" w:color="auto"/>
          <w:shd w:val="clear" w:color="auto" w:fill="FFFFFF"/>
        </w:rPr>
        <w:t>.</w:t>
      </w:r>
      <w:proofErr w:type="gramEnd"/>
      <w:r w:rsidRPr="00746D30">
        <w:rPr>
          <w:rFonts w:ascii="Cambria" w:hAnsi="Cambria"/>
          <w:color w:val="000000"/>
          <w:sz w:val="16"/>
          <w:szCs w:val="16"/>
          <w:bdr w:val="none" w:sz="0" w:space="0" w:color="auto"/>
          <w:shd w:val="clear" w:color="auto" w:fill="FFFFFF"/>
        </w:rPr>
        <w:t xml:space="preserve"> </w:t>
      </w:r>
      <w:proofErr w:type="gramStart"/>
      <w:r w:rsidRPr="00746D30">
        <w:rPr>
          <w:rFonts w:ascii="Cambria" w:hAnsi="Cambria"/>
          <w:color w:val="000000"/>
          <w:sz w:val="16"/>
          <w:szCs w:val="16"/>
          <w:bdr w:val="none" w:sz="0" w:space="0" w:color="auto"/>
          <w:shd w:val="clear" w:color="auto" w:fill="FFFFFF"/>
        </w:rPr>
        <w:t>Preliminary Objections and Merits.</w:t>
      </w:r>
      <w:proofErr w:type="gramEnd"/>
      <w:r w:rsidRPr="00746D30">
        <w:rPr>
          <w:rFonts w:ascii="Cambria" w:hAnsi="Cambria"/>
          <w:color w:val="000000"/>
          <w:sz w:val="16"/>
          <w:szCs w:val="16"/>
          <w:bdr w:val="none" w:sz="0" w:space="0" w:color="auto"/>
          <w:shd w:val="clear" w:color="auto" w:fill="FFFFFF"/>
        </w:rPr>
        <w:t xml:space="preserve"> Judgment of May 6, 2008. </w:t>
      </w:r>
      <w:proofErr w:type="gramStart"/>
      <w:r w:rsidRPr="00746D30">
        <w:rPr>
          <w:rFonts w:ascii="Cambria" w:hAnsi="Cambria"/>
          <w:color w:val="000000"/>
          <w:sz w:val="16"/>
          <w:szCs w:val="16"/>
          <w:bdr w:val="none" w:sz="0" w:space="0" w:color="auto"/>
          <w:shd w:val="clear" w:color="auto" w:fill="FFFFFF"/>
        </w:rPr>
        <w:t>Series C No. 179, par. 54.</w:t>
      </w:r>
      <w:proofErr w:type="gramEnd"/>
    </w:p>
  </w:footnote>
  <w:footnote w:id="109">
    <w:p w:rsidR="00251F4C" w:rsidRPr="00746D30" w:rsidRDefault="00251F4C" w:rsidP="008C213F">
      <w:pPr>
        <w:spacing w:before="120"/>
        <w:ind w:firstLine="720"/>
        <w:jc w:val="both"/>
        <w:rPr>
          <w:rFonts w:ascii="Cambria" w:eastAsia="Times New Roman" w:hAnsi="Cambria"/>
          <w:sz w:val="16"/>
          <w:szCs w:val="16"/>
          <w:bdr w:val="none" w:sz="0" w:space="0" w:color="auto"/>
        </w:rPr>
      </w:pPr>
      <w:r w:rsidRPr="00746D30">
        <w:rPr>
          <w:rStyle w:val="Refdenotaalpie"/>
          <w:rFonts w:ascii="Cambria" w:hAnsi="Cambria"/>
          <w:sz w:val="16"/>
          <w:szCs w:val="16"/>
        </w:rPr>
        <w:footnoteRef/>
      </w:r>
      <w:r w:rsidRPr="00746D30">
        <w:rPr>
          <w:rFonts w:ascii="Cambria" w:hAnsi="Cambria"/>
          <w:sz w:val="16"/>
          <w:szCs w:val="16"/>
        </w:rPr>
        <w:t xml:space="preserve"> </w:t>
      </w:r>
      <w:proofErr w:type="gramStart"/>
      <w:r w:rsidRPr="00746D30">
        <w:rPr>
          <w:rFonts w:ascii="Cambria" w:hAnsi="Cambria"/>
          <w:color w:val="000000"/>
          <w:sz w:val="16"/>
          <w:szCs w:val="16"/>
          <w:bdr w:val="none" w:sz="0" w:space="0" w:color="auto"/>
          <w:shd w:val="clear" w:color="auto" w:fill="FFFFFF"/>
        </w:rPr>
        <w:t xml:space="preserve">I/A Court HR. </w:t>
      </w:r>
      <w:r w:rsidRPr="00746D30">
        <w:rPr>
          <w:rFonts w:ascii="Cambria" w:hAnsi="Cambria"/>
          <w:i/>
          <w:color w:val="000000"/>
          <w:sz w:val="16"/>
          <w:szCs w:val="16"/>
          <w:bdr w:val="none" w:sz="0" w:space="0" w:color="auto"/>
          <w:shd w:val="clear" w:color="auto" w:fill="FFFFFF"/>
        </w:rPr>
        <w:t>Case of the “Five Pensioners” v. Peru</w:t>
      </w:r>
      <w:r w:rsidRPr="00746D30">
        <w:rPr>
          <w:rFonts w:ascii="Cambria" w:hAnsi="Cambria"/>
          <w:color w:val="000000"/>
          <w:sz w:val="16"/>
          <w:szCs w:val="16"/>
          <w:bdr w:val="none" w:sz="0" w:space="0" w:color="auto"/>
          <w:shd w:val="clear" w:color="auto" w:fill="FFFFFF"/>
        </w:rPr>
        <w:t>.</w:t>
      </w:r>
      <w:proofErr w:type="gramEnd"/>
      <w:r w:rsidRPr="00746D30">
        <w:rPr>
          <w:rFonts w:ascii="Cambria" w:hAnsi="Cambria"/>
          <w:color w:val="000000"/>
          <w:sz w:val="16"/>
          <w:szCs w:val="16"/>
          <w:bdr w:val="none" w:sz="0" w:space="0" w:color="auto"/>
          <w:shd w:val="clear" w:color="auto" w:fill="FFFFFF"/>
        </w:rPr>
        <w:t xml:space="preserve"> </w:t>
      </w:r>
      <w:proofErr w:type="gramStart"/>
      <w:r w:rsidRPr="00746D30">
        <w:rPr>
          <w:rFonts w:ascii="Cambria" w:hAnsi="Cambria"/>
          <w:color w:val="000000"/>
          <w:sz w:val="16"/>
          <w:szCs w:val="16"/>
          <w:bdr w:val="none" w:sz="0" w:space="0" w:color="auto"/>
          <w:shd w:val="clear" w:color="auto" w:fill="FFFFFF"/>
        </w:rPr>
        <w:t>Merits, Reparations, and Costs.</w:t>
      </w:r>
      <w:proofErr w:type="gramEnd"/>
      <w:r w:rsidRPr="00746D30">
        <w:rPr>
          <w:rFonts w:ascii="Cambria" w:hAnsi="Cambria"/>
          <w:color w:val="000000"/>
          <w:sz w:val="16"/>
          <w:szCs w:val="16"/>
          <w:bdr w:val="none" w:sz="0" w:space="0" w:color="auto"/>
          <w:shd w:val="clear" w:color="auto" w:fill="FFFFFF"/>
        </w:rPr>
        <w:t xml:space="preserve"> Judgment of February 28, 2003. </w:t>
      </w:r>
      <w:proofErr w:type="gramStart"/>
      <w:r w:rsidRPr="00746D30">
        <w:rPr>
          <w:rFonts w:ascii="Cambria" w:hAnsi="Cambria"/>
          <w:color w:val="000000"/>
          <w:sz w:val="16"/>
          <w:szCs w:val="16"/>
          <w:bdr w:val="none" w:sz="0" w:space="0" w:color="auto"/>
          <w:shd w:val="clear" w:color="auto" w:fill="FFFFFF"/>
        </w:rPr>
        <w:t>Series C No. 98, par. 103.</w:t>
      </w:r>
      <w:proofErr w:type="gramEnd"/>
      <w:r w:rsidRPr="00746D30">
        <w:rPr>
          <w:rFonts w:ascii="Cambria" w:hAnsi="Cambria"/>
          <w:b/>
          <w:color w:val="000000"/>
          <w:sz w:val="16"/>
          <w:szCs w:val="16"/>
          <w:bdr w:val="none" w:sz="0" w:space="0" w:color="auto"/>
          <w:shd w:val="clear" w:color="auto" w:fill="FFFFFF"/>
        </w:rPr>
        <w:t xml:space="preserve"> </w:t>
      </w:r>
    </w:p>
  </w:footnote>
  <w:footnote w:id="110">
    <w:p w:rsidR="00251F4C" w:rsidRPr="00746D30" w:rsidRDefault="00251F4C" w:rsidP="008C213F">
      <w:pPr>
        <w:spacing w:before="120"/>
        <w:ind w:firstLine="720"/>
        <w:jc w:val="both"/>
        <w:rPr>
          <w:rFonts w:ascii="Cambria" w:eastAsia="Times New Roman" w:hAnsi="Cambria"/>
          <w:sz w:val="16"/>
          <w:szCs w:val="16"/>
          <w:bdr w:val="none" w:sz="0" w:space="0" w:color="auto"/>
        </w:rPr>
      </w:pPr>
      <w:r w:rsidRPr="00746D30">
        <w:rPr>
          <w:rStyle w:val="Refdenotaalpie"/>
          <w:rFonts w:ascii="Cambria" w:hAnsi="Cambria"/>
          <w:sz w:val="16"/>
          <w:szCs w:val="16"/>
        </w:rPr>
        <w:footnoteRef/>
      </w:r>
      <w:r w:rsidRPr="00746D30">
        <w:rPr>
          <w:rFonts w:ascii="Cambria" w:hAnsi="Cambria"/>
          <w:sz w:val="16"/>
          <w:szCs w:val="16"/>
        </w:rPr>
        <w:t xml:space="preserve"> </w:t>
      </w:r>
      <w:proofErr w:type="gramStart"/>
      <w:r w:rsidRPr="00746D30">
        <w:rPr>
          <w:rFonts w:ascii="Cambria" w:hAnsi="Cambria"/>
          <w:color w:val="000000"/>
          <w:sz w:val="16"/>
          <w:szCs w:val="16"/>
          <w:bdr w:val="none" w:sz="0" w:space="0" w:color="auto"/>
          <w:shd w:val="clear" w:color="auto" w:fill="FFFFFF"/>
        </w:rPr>
        <w:t xml:space="preserve">I/A Court HR. </w:t>
      </w:r>
      <w:r w:rsidRPr="00746D30">
        <w:rPr>
          <w:rFonts w:ascii="Cambria" w:hAnsi="Cambria"/>
          <w:i/>
          <w:color w:val="000000"/>
          <w:sz w:val="16"/>
          <w:szCs w:val="16"/>
          <w:bdr w:val="none" w:sz="0" w:space="0" w:color="auto"/>
          <w:shd w:val="clear" w:color="auto" w:fill="FFFFFF"/>
        </w:rPr>
        <w:t>Case of the “Five Pensioners” v. Peru</w:t>
      </w:r>
      <w:r w:rsidRPr="00746D30">
        <w:rPr>
          <w:rFonts w:ascii="Cambria" w:hAnsi="Cambria"/>
          <w:color w:val="000000"/>
          <w:sz w:val="16"/>
          <w:szCs w:val="16"/>
          <w:bdr w:val="none" w:sz="0" w:space="0" w:color="auto"/>
          <w:shd w:val="clear" w:color="auto" w:fill="FFFFFF"/>
        </w:rPr>
        <w:t>.</w:t>
      </w:r>
      <w:proofErr w:type="gramEnd"/>
      <w:r w:rsidRPr="00746D30">
        <w:rPr>
          <w:rFonts w:ascii="Cambria" w:hAnsi="Cambria"/>
          <w:color w:val="000000"/>
          <w:sz w:val="16"/>
          <w:szCs w:val="16"/>
          <w:bdr w:val="none" w:sz="0" w:space="0" w:color="auto"/>
          <w:shd w:val="clear" w:color="auto" w:fill="FFFFFF"/>
        </w:rPr>
        <w:t xml:space="preserve"> </w:t>
      </w:r>
      <w:proofErr w:type="gramStart"/>
      <w:r w:rsidRPr="00746D30">
        <w:rPr>
          <w:rFonts w:ascii="Cambria" w:hAnsi="Cambria"/>
          <w:color w:val="000000"/>
          <w:sz w:val="16"/>
          <w:szCs w:val="16"/>
          <w:bdr w:val="none" w:sz="0" w:space="0" w:color="auto"/>
          <w:shd w:val="clear" w:color="auto" w:fill="FFFFFF"/>
        </w:rPr>
        <w:t>Merits, Reparations, and Costs.</w:t>
      </w:r>
      <w:proofErr w:type="gramEnd"/>
      <w:r w:rsidRPr="00746D30">
        <w:rPr>
          <w:rFonts w:ascii="Cambria" w:hAnsi="Cambria"/>
          <w:color w:val="000000"/>
          <w:sz w:val="16"/>
          <w:szCs w:val="16"/>
          <w:bdr w:val="none" w:sz="0" w:space="0" w:color="auto"/>
          <w:shd w:val="clear" w:color="auto" w:fill="FFFFFF"/>
        </w:rPr>
        <w:t xml:space="preserve"> Judgment of Friday, February 28, 2003. Series C No. 98, paragraphs 115 and 121.</w:t>
      </w:r>
      <w:r w:rsidRPr="00746D30">
        <w:rPr>
          <w:rFonts w:ascii="Cambria" w:hAnsi="Cambria"/>
          <w:b/>
          <w:color w:val="000000"/>
          <w:sz w:val="16"/>
          <w:szCs w:val="16"/>
          <w:bdr w:val="none" w:sz="0" w:space="0" w:color="auto"/>
          <w:shd w:val="clear" w:color="auto" w:fill="FFFFFF"/>
        </w:rPr>
        <w:t xml:space="preserve"> </w:t>
      </w:r>
    </w:p>
  </w:footnote>
  <w:footnote w:id="111">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proofErr w:type="gramStart"/>
      <w:r w:rsidRPr="00746D30">
        <w:rPr>
          <w:rFonts w:ascii="Cambria" w:hAnsi="Cambria"/>
          <w:sz w:val="16"/>
          <w:szCs w:val="16"/>
        </w:rPr>
        <w:t xml:space="preserve">I/A Court HR. </w:t>
      </w:r>
      <w:r w:rsidRPr="00746D30">
        <w:rPr>
          <w:rFonts w:ascii="Cambria" w:hAnsi="Cambria"/>
          <w:i/>
          <w:sz w:val="16"/>
          <w:szCs w:val="16"/>
          <w:shd w:val="clear" w:color="auto" w:fill="FFFFFF"/>
        </w:rPr>
        <w:t xml:space="preserve">Case of Acevedo </w:t>
      </w:r>
      <w:proofErr w:type="spellStart"/>
      <w:r w:rsidRPr="00746D30">
        <w:rPr>
          <w:rFonts w:ascii="Cambria" w:hAnsi="Cambria"/>
          <w:i/>
          <w:sz w:val="16"/>
          <w:szCs w:val="16"/>
          <w:shd w:val="clear" w:color="auto" w:fill="FFFFFF"/>
        </w:rPr>
        <w:t>Buendía</w:t>
      </w:r>
      <w:proofErr w:type="spellEnd"/>
      <w:r w:rsidRPr="00746D30">
        <w:rPr>
          <w:rFonts w:ascii="Cambria" w:hAnsi="Cambria"/>
          <w:i/>
          <w:sz w:val="16"/>
          <w:szCs w:val="16"/>
          <w:shd w:val="clear" w:color="auto" w:fill="FFFFFF"/>
        </w:rPr>
        <w:t xml:space="preserve"> et al. (“Discharged and Retired Employees of the Office of the Comptroller) v. Peru</w:t>
      </w:r>
      <w:r w:rsidRPr="00746D30">
        <w:rPr>
          <w:rFonts w:ascii="Cambria" w:hAnsi="Cambria"/>
          <w:sz w:val="16"/>
          <w:szCs w:val="16"/>
        </w:rPr>
        <w:t>.</w:t>
      </w:r>
      <w:proofErr w:type="gramEnd"/>
      <w:r w:rsidRPr="00746D30">
        <w:rPr>
          <w:rFonts w:ascii="Cambria" w:hAnsi="Cambria"/>
          <w:sz w:val="16"/>
          <w:szCs w:val="16"/>
        </w:rPr>
        <w:t xml:space="preserve"> </w:t>
      </w:r>
      <w:proofErr w:type="gramStart"/>
      <w:r w:rsidRPr="00746D30">
        <w:rPr>
          <w:rFonts w:ascii="Cambria" w:hAnsi="Cambria"/>
          <w:sz w:val="16"/>
          <w:szCs w:val="16"/>
        </w:rPr>
        <w:t>Preliminary Objection, Merits, Reparations and Costs.</w:t>
      </w:r>
      <w:proofErr w:type="gramEnd"/>
      <w:r w:rsidRPr="00746D30">
        <w:rPr>
          <w:rFonts w:ascii="Cambria" w:hAnsi="Cambria"/>
          <w:sz w:val="16"/>
          <w:szCs w:val="16"/>
        </w:rPr>
        <w:t xml:space="preserve"> Judgment </w:t>
      </w:r>
      <w:proofErr w:type="gramStart"/>
      <w:r w:rsidRPr="00746D30">
        <w:rPr>
          <w:rFonts w:ascii="Cambria" w:hAnsi="Cambria"/>
          <w:sz w:val="16"/>
          <w:szCs w:val="16"/>
        </w:rPr>
        <w:t>of  July</w:t>
      </w:r>
      <w:proofErr w:type="gramEnd"/>
      <w:r w:rsidRPr="00746D30">
        <w:rPr>
          <w:rFonts w:ascii="Cambria" w:hAnsi="Cambria"/>
          <w:sz w:val="16"/>
          <w:szCs w:val="16"/>
        </w:rPr>
        <w:t xml:space="preserve"> 1, 2009. </w:t>
      </w:r>
      <w:proofErr w:type="gramStart"/>
      <w:r w:rsidRPr="00746D30">
        <w:rPr>
          <w:rFonts w:ascii="Cambria" w:hAnsi="Cambria"/>
          <w:sz w:val="16"/>
          <w:szCs w:val="16"/>
        </w:rPr>
        <w:t>Series C No. 198, par. 88.</w:t>
      </w:r>
      <w:proofErr w:type="gramEnd"/>
      <w:r w:rsidRPr="00746D30">
        <w:rPr>
          <w:rFonts w:ascii="Cambria" w:hAnsi="Cambria"/>
          <w:sz w:val="16"/>
          <w:szCs w:val="16"/>
        </w:rPr>
        <w:t xml:space="preserve"> </w:t>
      </w:r>
    </w:p>
  </w:footnote>
  <w:footnote w:id="112">
    <w:p w:rsidR="00251F4C" w:rsidRPr="00D652B3" w:rsidRDefault="00251F4C" w:rsidP="008C213F">
      <w:pPr>
        <w:pStyle w:val="Textonotapie"/>
        <w:spacing w:before="120"/>
        <w:ind w:firstLine="720"/>
        <w:jc w:val="both"/>
        <w:rPr>
          <w:rFonts w:ascii="Cambria" w:hAnsi="Cambria"/>
          <w:sz w:val="16"/>
          <w:szCs w:val="16"/>
        </w:rPr>
      </w:pPr>
      <w:r w:rsidRPr="00746D30">
        <w:rPr>
          <w:rStyle w:val="Refdenotaalpie"/>
          <w:rFonts w:ascii="Cambria" w:hAnsi="Cambria"/>
          <w:sz w:val="16"/>
          <w:szCs w:val="16"/>
        </w:rPr>
        <w:footnoteRef/>
      </w:r>
      <w:r w:rsidRPr="00746D30">
        <w:rPr>
          <w:rFonts w:ascii="Cambria" w:hAnsi="Cambria"/>
          <w:sz w:val="16"/>
          <w:szCs w:val="16"/>
        </w:rPr>
        <w:t xml:space="preserve"> </w:t>
      </w:r>
      <w:proofErr w:type="gramStart"/>
      <w:r w:rsidRPr="00746D30">
        <w:rPr>
          <w:rFonts w:ascii="Cambria" w:hAnsi="Cambria"/>
          <w:sz w:val="16"/>
          <w:szCs w:val="16"/>
        </w:rPr>
        <w:t xml:space="preserve">I/A Court HR. </w:t>
      </w:r>
      <w:r w:rsidRPr="00746D30">
        <w:rPr>
          <w:rFonts w:ascii="Cambria" w:hAnsi="Cambria"/>
          <w:i/>
          <w:sz w:val="16"/>
          <w:szCs w:val="16"/>
          <w:shd w:val="clear" w:color="auto" w:fill="FFFFFF"/>
        </w:rPr>
        <w:t xml:space="preserve">Case of Acevedo </w:t>
      </w:r>
      <w:proofErr w:type="spellStart"/>
      <w:r w:rsidRPr="00746D30">
        <w:rPr>
          <w:rFonts w:ascii="Cambria" w:hAnsi="Cambria"/>
          <w:i/>
          <w:sz w:val="16"/>
          <w:szCs w:val="16"/>
          <w:shd w:val="clear" w:color="auto" w:fill="FFFFFF"/>
        </w:rPr>
        <w:t>Buendía</w:t>
      </w:r>
      <w:proofErr w:type="spellEnd"/>
      <w:r w:rsidRPr="00746D30">
        <w:rPr>
          <w:rFonts w:ascii="Cambria" w:hAnsi="Cambria"/>
          <w:i/>
          <w:sz w:val="16"/>
          <w:szCs w:val="16"/>
          <w:shd w:val="clear" w:color="auto" w:fill="FFFFFF"/>
        </w:rPr>
        <w:t xml:space="preserve"> et al. (“Discharged and Retired Employees of the Office of the Comptroller) v. Peru</w:t>
      </w:r>
      <w:r w:rsidRPr="00746D30">
        <w:rPr>
          <w:rFonts w:ascii="Cambria" w:hAnsi="Cambria"/>
          <w:sz w:val="16"/>
          <w:szCs w:val="16"/>
        </w:rPr>
        <w:t>.</w:t>
      </w:r>
      <w:proofErr w:type="gramEnd"/>
      <w:r w:rsidRPr="00746D30">
        <w:rPr>
          <w:rFonts w:ascii="Cambria" w:hAnsi="Cambria"/>
          <w:sz w:val="16"/>
          <w:szCs w:val="16"/>
        </w:rPr>
        <w:t xml:space="preserve"> </w:t>
      </w:r>
      <w:proofErr w:type="gramStart"/>
      <w:r w:rsidRPr="00746D30">
        <w:rPr>
          <w:rFonts w:ascii="Cambria" w:hAnsi="Cambria"/>
          <w:sz w:val="16"/>
          <w:szCs w:val="16"/>
        </w:rPr>
        <w:t>Preliminary Objection, Merits, Reparations and Costs.</w:t>
      </w:r>
      <w:proofErr w:type="gramEnd"/>
      <w:r w:rsidRPr="00746D30">
        <w:rPr>
          <w:rFonts w:ascii="Cambria" w:hAnsi="Cambria"/>
          <w:sz w:val="16"/>
          <w:szCs w:val="16"/>
        </w:rPr>
        <w:t xml:space="preserve"> Judgment of July 1, 2009. </w:t>
      </w:r>
      <w:proofErr w:type="gramStart"/>
      <w:r w:rsidRPr="00746D30">
        <w:rPr>
          <w:rFonts w:ascii="Cambria" w:hAnsi="Cambria"/>
          <w:sz w:val="16"/>
          <w:szCs w:val="16"/>
        </w:rPr>
        <w:t>Series C No. 198, par. 88.</w:t>
      </w:r>
      <w:proofErr w:type="gramEnd"/>
      <w:r w:rsidRPr="00746D30">
        <w:rPr>
          <w:rFonts w:ascii="Cambria" w:hAnsi="Cambria"/>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F4C" w:rsidRDefault="00251F4C" w:rsidP="004B316C">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251F4C" w:rsidRDefault="00251F4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F4C" w:rsidRPr="00EC7D62" w:rsidRDefault="00251F4C"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090328C"/>
    <w:lvl w:ilvl="0">
      <w:start w:val="1"/>
      <w:numFmt w:val="bullet"/>
      <w:pStyle w:val="Cuadrculamedia2"/>
      <w:lvlText w:val=""/>
      <w:lvlJc w:val="left"/>
      <w:pPr>
        <w:tabs>
          <w:tab w:val="num" w:pos="0"/>
        </w:tabs>
      </w:pPr>
      <w:rPr>
        <w:rFonts w:ascii="Symbol" w:hAnsi="Symbol" w:hint="default"/>
      </w:rPr>
    </w:lvl>
    <w:lvl w:ilvl="1">
      <w:start w:val="1"/>
      <w:numFmt w:val="bullet"/>
      <w:pStyle w:val="LightShading1"/>
      <w:lvlText w:val=""/>
      <w:lvlJc w:val="left"/>
      <w:pPr>
        <w:tabs>
          <w:tab w:val="num" w:pos="720"/>
        </w:tabs>
        <w:ind w:left="1080" w:hanging="360"/>
      </w:pPr>
      <w:rPr>
        <w:rFonts w:ascii="Symbol" w:hAnsi="Symbol" w:hint="default"/>
      </w:rPr>
    </w:lvl>
    <w:lvl w:ilvl="2">
      <w:start w:val="1"/>
      <w:numFmt w:val="bullet"/>
      <w:pStyle w:val="LightList1"/>
      <w:lvlText w:val="o"/>
      <w:lvlJc w:val="left"/>
      <w:pPr>
        <w:tabs>
          <w:tab w:val="num" w:pos="1440"/>
        </w:tabs>
        <w:ind w:left="1800" w:hanging="360"/>
      </w:pPr>
      <w:rPr>
        <w:rFonts w:ascii="Courier New" w:hAnsi="Courier New" w:hint="default"/>
      </w:rPr>
    </w:lvl>
    <w:lvl w:ilvl="3">
      <w:start w:val="1"/>
      <w:numFmt w:val="bullet"/>
      <w:pStyle w:val="LightGrid1"/>
      <w:lvlText w:val=""/>
      <w:lvlJc w:val="left"/>
      <w:pPr>
        <w:tabs>
          <w:tab w:val="num" w:pos="2160"/>
        </w:tabs>
        <w:ind w:left="2520" w:hanging="360"/>
      </w:pPr>
      <w:rPr>
        <w:rFonts w:ascii="Wingdings" w:hAnsi="Wingdings" w:hint="default"/>
      </w:rPr>
    </w:lvl>
    <w:lvl w:ilvl="4">
      <w:start w:val="1"/>
      <w:numFmt w:val="bullet"/>
      <w:pStyle w:val="MediumShading11"/>
      <w:lvlText w:val=""/>
      <w:lvlJc w:val="left"/>
      <w:pPr>
        <w:tabs>
          <w:tab w:val="num" w:pos="2880"/>
        </w:tabs>
        <w:ind w:left="3240" w:hanging="360"/>
      </w:pPr>
      <w:rPr>
        <w:rFonts w:ascii="Wingdings" w:hAnsi="Wingdings" w:hint="default"/>
      </w:rPr>
    </w:lvl>
    <w:lvl w:ilvl="5">
      <w:start w:val="1"/>
      <w:numFmt w:val="bullet"/>
      <w:pStyle w:val="MediumShading21"/>
      <w:lvlText w:val=""/>
      <w:lvlJc w:val="left"/>
      <w:pPr>
        <w:tabs>
          <w:tab w:val="num" w:pos="3600"/>
        </w:tabs>
        <w:ind w:left="3960" w:hanging="360"/>
      </w:pPr>
      <w:rPr>
        <w:rFonts w:ascii="Symbol" w:hAnsi="Symbol" w:hint="default"/>
      </w:rPr>
    </w:lvl>
    <w:lvl w:ilvl="6">
      <w:start w:val="1"/>
      <w:numFmt w:val="bullet"/>
      <w:pStyle w:val="MediumList11"/>
      <w:lvlText w:val="o"/>
      <w:lvlJc w:val="left"/>
      <w:pPr>
        <w:tabs>
          <w:tab w:val="num" w:pos="4320"/>
        </w:tabs>
        <w:ind w:left="4680" w:hanging="360"/>
      </w:pPr>
      <w:rPr>
        <w:rFonts w:ascii="Courier New" w:hAnsi="Courier New" w:hint="default"/>
      </w:rPr>
    </w:lvl>
    <w:lvl w:ilvl="7">
      <w:start w:val="1"/>
      <w:numFmt w:val="bullet"/>
      <w:pStyle w:val="MediumList21"/>
      <w:lvlText w:val=""/>
      <w:lvlJc w:val="left"/>
      <w:pPr>
        <w:tabs>
          <w:tab w:val="num" w:pos="5040"/>
        </w:tabs>
        <w:ind w:left="5400" w:hanging="360"/>
      </w:pPr>
      <w:rPr>
        <w:rFonts w:ascii="Wingdings" w:hAnsi="Wingdings" w:hint="default"/>
      </w:rPr>
    </w:lvl>
    <w:lvl w:ilvl="8">
      <w:start w:val="1"/>
      <w:numFmt w:val="bullet"/>
      <w:pStyle w:val="Estilo5"/>
      <w:lvlText w:val=""/>
      <w:lvlJc w:val="left"/>
      <w:pPr>
        <w:tabs>
          <w:tab w:val="num" w:pos="5760"/>
        </w:tabs>
        <w:ind w:left="6120" w:hanging="360"/>
      </w:pPr>
      <w:rPr>
        <w:rFonts w:ascii="Wingdings" w:hAnsi="Wingdings" w:hint="default"/>
      </w:rPr>
    </w:lvl>
  </w:abstractNum>
  <w:abstractNum w:abstractNumId="1">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1595340C"/>
    <w:multiLevelType w:val="hybridMultilevel"/>
    <w:tmpl w:val="082E2974"/>
    <w:lvl w:ilvl="0" w:tplc="B7280B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77D3EB2"/>
    <w:multiLevelType w:val="hybridMultilevel"/>
    <w:tmpl w:val="0860CF78"/>
    <w:lvl w:ilvl="0" w:tplc="46E664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9050020"/>
    <w:multiLevelType w:val="hybridMultilevel"/>
    <w:tmpl w:val="8FCE38EE"/>
    <w:lvl w:ilvl="0" w:tplc="57BAD2D0">
      <w:start w:val="1"/>
      <w:numFmt w:val="decimal"/>
      <w:lvlText w:val="%1."/>
      <w:lvlJc w:val="left"/>
      <w:pPr>
        <w:tabs>
          <w:tab w:val="num" w:pos="1429"/>
        </w:tabs>
        <w:ind w:firstLine="720"/>
      </w:pPr>
      <w:rPr>
        <w:rFonts w:ascii="Cambria" w:hAnsi="Cambria" w:cs="Times New Roman" w:hint="default"/>
        <w:b w:val="0"/>
        <w:i w:val="0"/>
        <w:sz w:val="20"/>
        <w:szCs w:val="20"/>
        <w:lang w:val="es-AR"/>
      </w:rPr>
    </w:lvl>
    <w:lvl w:ilvl="1" w:tplc="04090019">
      <w:start w:val="1"/>
      <w:numFmt w:val="lowerLetter"/>
      <w:lvlText w:val="%2."/>
      <w:lvlJc w:val="left"/>
      <w:pPr>
        <w:tabs>
          <w:tab w:val="num" w:pos="1440"/>
        </w:tabs>
        <w:ind w:left="1440" w:hanging="360"/>
      </w:pPr>
      <w:rPr>
        <w:rFonts w:cs="Times New Roman"/>
      </w:rPr>
    </w:lvl>
    <w:lvl w:ilvl="2" w:tplc="C66EDE0C">
      <w:start w:val="3"/>
      <w:numFmt w:val="upperRoman"/>
      <w:lvlText w:val="%3."/>
      <w:lvlJc w:val="left"/>
      <w:pPr>
        <w:tabs>
          <w:tab w:val="num" w:pos="2700"/>
        </w:tabs>
        <w:ind w:left="2700" w:hanging="720"/>
      </w:pPr>
      <w:rPr>
        <w:rFonts w:cs="Times New Roman" w:hint="default"/>
      </w:rPr>
    </w:lvl>
    <w:lvl w:ilvl="3" w:tplc="268AFC70">
      <w:start w:val="1"/>
      <w:numFmt w:val="decimal"/>
      <w:lvlText w:val="%4."/>
      <w:lvlJc w:val="left"/>
      <w:pPr>
        <w:tabs>
          <w:tab w:val="num" w:pos="2880"/>
        </w:tabs>
        <w:ind w:left="2880" w:hanging="360"/>
      </w:pPr>
      <w:rPr>
        <w:rFonts w:hint="default"/>
        <w:b/>
        <w:i w:val="0"/>
        <w:sz w:val="20"/>
        <w:szCs w:val="20"/>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1">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7">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nsid w:val="2FFF7F79"/>
    <w:multiLevelType w:val="hybridMultilevel"/>
    <w:tmpl w:val="DB6E93C0"/>
    <w:lvl w:ilvl="0" w:tplc="C0D662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5">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nsid w:val="37C65472"/>
    <w:multiLevelType w:val="hybridMultilevel"/>
    <w:tmpl w:val="B4603AC6"/>
    <w:lvl w:ilvl="0" w:tplc="1DF2145E">
      <w:start w:val="1"/>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1">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2">
    <w:nsid w:val="3C430424"/>
    <w:multiLevelType w:val="hybridMultilevel"/>
    <w:tmpl w:val="28EC4CF0"/>
    <w:lvl w:ilvl="0" w:tplc="16B68AC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3DC61D90"/>
    <w:multiLevelType w:val="hybridMultilevel"/>
    <w:tmpl w:val="7EA4E954"/>
    <w:lvl w:ilvl="0" w:tplc="8C565DD2">
      <w:start w:val="1"/>
      <w:numFmt w:val="decimal"/>
      <w:lvlText w:val="%1."/>
      <w:lvlJc w:val="left"/>
      <w:pPr>
        <w:tabs>
          <w:tab w:val="num" w:pos="1080"/>
        </w:tabs>
        <w:ind w:left="1080" w:hanging="360"/>
      </w:pPr>
      <w:rPr>
        <w:rFonts w:ascii="Cambria" w:hAnsi="Cambria" w:cs="Times New Roman" w:hint="default"/>
        <w:b w:val="0"/>
        <w:i w:val="0"/>
        <w:sz w:val="20"/>
        <w:szCs w:val="20"/>
        <w:lang w:val="es-ES_tradn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EDC4859"/>
    <w:multiLevelType w:val="hybridMultilevel"/>
    <w:tmpl w:val="D3528C34"/>
    <w:lvl w:ilvl="0" w:tplc="16B68ACC">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2DF19D7"/>
    <w:multiLevelType w:val="multilevel"/>
    <w:tmpl w:val="E7265BB0"/>
    <w:styleLink w:val="List5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46BD03E6"/>
    <w:multiLevelType w:val="hybridMultilevel"/>
    <w:tmpl w:val="4CA83BF0"/>
    <w:lvl w:ilvl="0" w:tplc="58B8DB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nsid w:val="492723E7"/>
    <w:multiLevelType w:val="multilevel"/>
    <w:tmpl w:val="0CF8CC36"/>
    <w:styleLink w:val="List2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4">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5">
    <w:nsid w:val="4F7B63B5"/>
    <w:multiLevelType w:val="hybridMultilevel"/>
    <w:tmpl w:val="89F4C518"/>
    <w:lvl w:ilvl="0" w:tplc="C43A80A0">
      <w:start w:val="1"/>
      <w:numFmt w:val="upperRoman"/>
      <w:pStyle w:val="Ttulo1"/>
      <w:lvlText w:val="%1."/>
      <w:lvlJc w:val="left"/>
      <w:pPr>
        <w:tabs>
          <w:tab w:val="num" w:pos="1080"/>
        </w:tabs>
        <w:ind w:left="1080" w:hanging="720"/>
      </w:pPr>
      <w:rPr>
        <w:rFonts w:hint="default"/>
      </w:rPr>
    </w:lvl>
    <w:lvl w:ilvl="1" w:tplc="736A0FE4">
      <w:start w:val="2"/>
      <w:numFmt w:val="upperLetter"/>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4F84482F"/>
    <w:multiLevelType w:val="hybridMultilevel"/>
    <w:tmpl w:val="37CC1D8A"/>
    <w:lvl w:ilvl="0" w:tplc="1342178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8">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1">
    <w:nsid w:val="5A73262A"/>
    <w:multiLevelType w:val="hybridMultilevel"/>
    <w:tmpl w:val="0F78D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3">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4">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6">
    <w:nsid w:val="66A101BB"/>
    <w:multiLevelType w:val="hybridMultilevel"/>
    <w:tmpl w:val="50C04F4C"/>
    <w:lvl w:ilvl="0" w:tplc="CB3E82CC">
      <w:start w:val="1"/>
      <w:numFmt w:val="upperRoman"/>
      <w:lvlText w:val="%1."/>
      <w:lvlJc w:val="left"/>
      <w:pPr>
        <w:tabs>
          <w:tab w:val="num" w:pos="1440"/>
        </w:tabs>
        <w:ind w:left="1440" w:hanging="720"/>
      </w:pPr>
      <w:rPr>
        <w:rFonts w:cs="Times New Roman" w:hint="default"/>
        <w:b/>
      </w:rPr>
    </w:lvl>
    <w:lvl w:ilvl="1" w:tplc="1DF2145E">
      <w:start w:val="1"/>
      <w:numFmt w:val="decimal"/>
      <w:lvlText w:val="%2."/>
      <w:lvlJc w:val="left"/>
      <w:pPr>
        <w:tabs>
          <w:tab w:val="num" w:pos="1800"/>
        </w:tabs>
        <w:ind w:left="1800" w:hanging="360"/>
      </w:pPr>
      <w:rPr>
        <w:rFonts w:cs="Times New Roman" w:hint="default"/>
      </w:rPr>
    </w:lvl>
    <w:lvl w:ilvl="2" w:tplc="881EAA16">
      <w:start w:val="1"/>
      <w:numFmt w:val="lowerLetter"/>
      <w:lvlText w:val="%3)"/>
      <w:lvlJc w:val="left"/>
      <w:pPr>
        <w:tabs>
          <w:tab w:val="num" w:pos="2700"/>
        </w:tabs>
        <w:ind w:left="2700" w:hanging="360"/>
      </w:pPr>
      <w:rPr>
        <w:rFonts w:cs="Times New Roman" w:hint="default"/>
      </w:rPr>
    </w:lvl>
    <w:lvl w:ilvl="3" w:tplc="B87E3F4A">
      <w:start w:val="2"/>
      <w:numFmt w:val="upperLetter"/>
      <w:lvlText w:val="%4."/>
      <w:lvlJc w:val="left"/>
      <w:pPr>
        <w:tabs>
          <w:tab w:val="num" w:pos="3240"/>
        </w:tabs>
        <w:ind w:left="3240" w:hanging="360"/>
      </w:pPr>
      <w:rPr>
        <w:rFonts w:cs="Times New Roman" w:hint="default"/>
      </w:rPr>
    </w:lvl>
    <w:lvl w:ilvl="4" w:tplc="817A8DEA">
      <w:start w:val="5"/>
      <w:numFmt w:val="bullet"/>
      <w:lvlText w:val="-"/>
      <w:lvlJc w:val="left"/>
      <w:pPr>
        <w:ind w:left="3960" w:hanging="360"/>
      </w:pPr>
      <w:rPr>
        <w:rFonts w:ascii="Cambria" w:eastAsia="Arial Unicode MS" w:hAnsi="Cambria" w:cs="Times New Roman" w:hint="default"/>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7">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9">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nsid w:val="745A711E"/>
    <w:multiLevelType w:val="multilevel"/>
    <w:tmpl w:val="ED88159C"/>
    <w:styleLink w:val="List4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nsid w:val="78C26FCF"/>
    <w:multiLevelType w:val="multilevel"/>
    <w:tmpl w:val="2FCAD168"/>
    <w:styleLink w:val="List3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3">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nsid w:val="7CE64D32"/>
    <w:multiLevelType w:val="hybridMultilevel"/>
    <w:tmpl w:val="9F8AF72C"/>
    <w:lvl w:ilvl="0" w:tplc="B09255D8">
      <w:start w:val="1"/>
      <w:numFmt w:val="decimal"/>
      <w:lvlText w:val="%1."/>
      <w:lvlJc w:val="left"/>
      <w:pPr>
        <w:tabs>
          <w:tab w:val="num" w:pos="0"/>
        </w:tabs>
      </w:pPr>
      <w:rPr>
        <w:rFonts w:ascii="Verdana" w:eastAsia="Times New Roman" w:hAnsi="Verdana" w:cs="Times New Roman" w:hint="default"/>
        <w:b w:val="0"/>
        <w:i w:val="0"/>
        <w:strike w:val="0"/>
        <w:color w:val="auto"/>
        <w:sz w:val="20"/>
      </w:rPr>
    </w:lvl>
    <w:lvl w:ilvl="1" w:tplc="3AAA13E2">
      <w:start w:val="1"/>
      <w:numFmt w:val="decimal"/>
      <w:lvlText w:val="%2."/>
      <w:lvlJc w:val="left"/>
      <w:pPr>
        <w:tabs>
          <w:tab w:val="num" w:pos="0"/>
        </w:tabs>
      </w:pPr>
      <w:rPr>
        <w:rFonts w:ascii="Verdana" w:eastAsia="Times New Roman" w:hAnsi="Verdana" w:cs="Times New Roman" w:hint="default"/>
        <w:b/>
        <w:i w:val="0"/>
        <w:strike w:val="0"/>
        <w:color w:val="auto"/>
        <w:sz w:val="20"/>
      </w:rPr>
    </w:lvl>
    <w:lvl w:ilvl="2" w:tplc="0409001B">
      <w:start w:val="1"/>
      <w:numFmt w:val="lowerRoman"/>
      <w:pStyle w:val="Estilo7"/>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7">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8">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5"/>
  </w:num>
  <w:num w:numId="3">
    <w:abstractNumId w:val="62"/>
  </w:num>
  <w:num w:numId="4">
    <w:abstractNumId w:val="24"/>
  </w:num>
  <w:num w:numId="5">
    <w:abstractNumId w:val="55"/>
  </w:num>
  <w:num w:numId="6">
    <w:abstractNumId w:val="30"/>
  </w:num>
  <w:num w:numId="7">
    <w:abstractNumId w:val="9"/>
  </w:num>
  <w:num w:numId="8">
    <w:abstractNumId w:val="19"/>
  </w:num>
  <w:num w:numId="9">
    <w:abstractNumId w:val="50"/>
  </w:num>
  <w:num w:numId="10">
    <w:abstractNumId w:val="1"/>
  </w:num>
  <w:num w:numId="11">
    <w:abstractNumId w:val="43"/>
  </w:num>
  <w:num w:numId="12">
    <w:abstractNumId w:val="44"/>
  </w:num>
  <w:num w:numId="13">
    <w:abstractNumId w:val="52"/>
  </w:num>
  <w:num w:numId="14">
    <w:abstractNumId w:val="2"/>
  </w:num>
  <w:num w:numId="15">
    <w:abstractNumId w:val="3"/>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16"/>
  </w:num>
  <w:num w:numId="23">
    <w:abstractNumId w:val="17"/>
  </w:num>
  <w:num w:numId="24">
    <w:abstractNumId w:val="18"/>
  </w:num>
  <w:num w:numId="25">
    <w:abstractNumId w:val="20"/>
  </w:num>
  <w:num w:numId="26">
    <w:abstractNumId w:val="21"/>
  </w:num>
  <w:num w:numId="27">
    <w:abstractNumId w:val="25"/>
  </w:num>
  <w:num w:numId="28">
    <w:abstractNumId w:val="26"/>
  </w:num>
  <w:num w:numId="29">
    <w:abstractNumId w:val="27"/>
  </w:num>
  <w:num w:numId="30">
    <w:abstractNumId w:val="29"/>
  </w:num>
  <w:num w:numId="31">
    <w:abstractNumId w:val="31"/>
  </w:num>
  <w:num w:numId="32">
    <w:abstractNumId w:val="35"/>
  </w:num>
  <w:num w:numId="33">
    <w:abstractNumId w:val="36"/>
  </w:num>
  <w:num w:numId="34">
    <w:abstractNumId w:val="37"/>
  </w:num>
  <w:num w:numId="35">
    <w:abstractNumId w:val="38"/>
  </w:num>
  <w:num w:numId="36">
    <w:abstractNumId w:val="39"/>
  </w:num>
  <w:num w:numId="37">
    <w:abstractNumId w:val="41"/>
  </w:num>
  <w:num w:numId="38">
    <w:abstractNumId w:val="42"/>
  </w:num>
  <w:num w:numId="39">
    <w:abstractNumId w:val="47"/>
  </w:num>
  <w:num w:numId="40">
    <w:abstractNumId w:val="48"/>
  </w:num>
  <w:num w:numId="41">
    <w:abstractNumId w:val="54"/>
  </w:num>
  <w:num w:numId="42">
    <w:abstractNumId w:val="58"/>
  </w:num>
  <w:num w:numId="43">
    <w:abstractNumId w:val="59"/>
  </w:num>
  <w:num w:numId="44">
    <w:abstractNumId w:val="60"/>
  </w:num>
  <w:num w:numId="45">
    <w:abstractNumId w:val="61"/>
  </w:num>
  <w:num w:numId="46">
    <w:abstractNumId w:val="63"/>
  </w:num>
  <w:num w:numId="47">
    <w:abstractNumId w:val="64"/>
  </w:num>
  <w:num w:numId="48">
    <w:abstractNumId w:val="65"/>
  </w:num>
  <w:num w:numId="49">
    <w:abstractNumId w:val="67"/>
  </w:num>
  <w:num w:numId="50">
    <w:abstractNumId w:val="68"/>
  </w:num>
  <w:num w:numId="51">
    <w:abstractNumId w:val="23"/>
  </w:num>
  <w:num w:numId="52">
    <w:abstractNumId w:val="49"/>
  </w:num>
  <w:num w:numId="53">
    <w:abstractNumId w:val="53"/>
  </w:num>
  <w:num w:numId="54">
    <w:abstractNumId w:val="45"/>
  </w:num>
  <w:num w:numId="55">
    <w:abstractNumId w:val="56"/>
  </w:num>
  <w:num w:numId="56">
    <w:abstractNumId w:val="0"/>
  </w:num>
  <w:num w:numId="57">
    <w:abstractNumId w:val="66"/>
  </w:num>
  <w:num w:numId="58">
    <w:abstractNumId w:val="33"/>
  </w:num>
  <w:num w:numId="59">
    <w:abstractNumId w:val="32"/>
  </w:num>
  <w:num w:numId="60">
    <w:abstractNumId w:val="34"/>
  </w:num>
  <w:num w:numId="61">
    <w:abstractNumId w:val="28"/>
  </w:num>
  <w:num w:numId="62">
    <w:abstractNumId w:val="22"/>
  </w:num>
  <w:num w:numId="63">
    <w:abstractNumId w:val="7"/>
  </w:num>
  <w:num w:numId="64">
    <w:abstractNumId w:val="57"/>
  </w:num>
  <w:num w:numId="65">
    <w:abstractNumId w:val="6"/>
  </w:num>
  <w:num w:numId="66">
    <w:abstractNumId w:val="51"/>
  </w:num>
  <w:num w:numId="67">
    <w:abstractNumId w:val="8"/>
  </w:num>
  <w:num w:numId="68">
    <w:abstractNumId w:val="46"/>
  </w:num>
  <w:num w:numId="69">
    <w:abstractNumId w:val="4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activeWritingStyle w:appName="MSWord" w:lang="pt-BR" w:vendorID="64" w:dllVersion="131078" w:nlCheck="1" w:checkStyle="0"/>
  <w:activeWritingStyle w:appName="MSWord" w:lang="es-VE"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s-EC" w:vendorID="64" w:dllVersion="131078" w:nlCheck="1" w:checkStyle="1"/>
  <w:activeWritingStyle w:appName="MSWord" w:lang="es-CL" w:vendorID="64" w:dllVersion="131078" w:nlCheck="1" w:checkStyle="1"/>
  <w:activeWritingStyle w:appName="MSWord" w:lang="es-AR" w:vendorID="64" w:dllVersion="131078" w:nlCheck="1" w:checkStyle="1"/>
  <w:activeWritingStyle w:appName="MSWord" w:lang="es-DO" w:vendorID="64" w:dllVersion="131078" w:nlCheck="1" w:checkStyle="1"/>
  <w:activeWritingStyle w:appName="MSWord" w:lang="fr-CA" w:vendorID="64" w:dllVersion="131078" w:nlCheck="1" w:checkStyle="1"/>
  <w:activeWritingStyle w:appName="MSWord" w:lang="es-PE" w:vendorID="64" w:dllVersion="131078" w:nlCheck="1" w:checkStyle="1"/>
  <w:activeWritingStyle w:appName="MSWord" w:lang="es-CR" w:vendorID="64" w:dllVersion="131078" w:nlCheck="1" w:checkStyle="1"/>
  <w:activeWritingStyle w:appName="MSWord" w:lang="fr-FR" w:vendorID="64" w:dllVersion="131078" w:nlCheck="1" w:checkStyle="1"/>
  <w:activeWritingStyle w:appName="MSWord" w:lang="en-AU" w:vendorID="64" w:dllVersion="131078" w:nlCheck="1" w:checkStyle="1"/>
  <w:proofState w:spelling="clean" w:grammar="clean"/>
  <w:doNotTrackMove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B2D5C"/>
    <w:rsid w:val="0000014F"/>
    <w:rsid w:val="0000036F"/>
    <w:rsid w:val="00000472"/>
    <w:rsid w:val="00000665"/>
    <w:rsid w:val="00000CDA"/>
    <w:rsid w:val="0000270F"/>
    <w:rsid w:val="00003017"/>
    <w:rsid w:val="00003585"/>
    <w:rsid w:val="00003756"/>
    <w:rsid w:val="000038FC"/>
    <w:rsid w:val="00003C0A"/>
    <w:rsid w:val="00003C98"/>
    <w:rsid w:val="00003E8B"/>
    <w:rsid w:val="00004260"/>
    <w:rsid w:val="00004A86"/>
    <w:rsid w:val="00004DE7"/>
    <w:rsid w:val="00005228"/>
    <w:rsid w:val="00005F8B"/>
    <w:rsid w:val="00006210"/>
    <w:rsid w:val="000065BB"/>
    <w:rsid w:val="0000665B"/>
    <w:rsid w:val="00006B28"/>
    <w:rsid w:val="00006E1F"/>
    <w:rsid w:val="000070D7"/>
    <w:rsid w:val="00007135"/>
    <w:rsid w:val="0000713D"/>
    <w:rsid w:val="0000721C"/>
    <w:rsid w:val="00007C3A"/>
    <w:rsid w:val="00007E1F"/>
    <w:rsid w:val="00010E7B"/>
    <w:rsid w:val="00010F73"/>
    <w:rsid w:val="0001139F"/>
    <w:rsid w:val="00011BFA"/>
    <w:rsid w:val="00011D28"/>
    <w:rsid w:val="00012E69"/>
    <w:rsid w:val="00013262"/>
    <w:rsid w:val="00013EF8"/>
    <w:rsid w:val="00015B68"/>
    <w:rsid w:val="00015CF2"/>
    <w:rsid w:val="00016669"/>
    <w:rsid w:val="000167C9"/>
    <w:rsid w:val="00016D84"/>
    <w:rsid w:val="0001714B"/>
    <w:rsid w:val="0001788C"/>
    <w:rsid w:val="00017896"/>
    <w:rsid w:val="00017D12"/>
    <w:rsid w:val="00020576"/>
    <w:rsid w:val="00021607"/>
    <w:rsid w:val="000216C0"/>
    <w:rsid w:val="00021B34"/>
    <w:rsid w:val="00022008"/>
    <w:rsid w:val="0002248F"/>
    <w:rsid w:val="00023070"/>
    <w:rsid w:val="000234A9"/>
    <w:rsid w:val="0002440E"/>
    <w:rsid w:val="00024A8B"/>
    <w:rsid w:val="00024A9E"/>
    <w:rsid w:val="000258DF"/>
    <w:rsid w:val="00027093"/>
    <w:rsid w:val="00027161"/>
    <w:rsid w:val="00027921"/>
    <w:rsid w:val="000308E4"/>
    <w:rsid w:val="00030CF4"/>
    <w:rsid w:val="00030EEA"/>
    <w:rsid w:val="00030EEC"/>
    <w:rsid w:val="0003140D"/>
    <w:rsid w:val="00032C1D"/>
    <w:rsid w:val="00032DB2"/>
    <w:rsid w:val="00033798"/>
    <w:rsid w:val="00033C0A"/>
    <w:rsid w:val="00033D3F"/>
    <w:rsid w:val="000345D6"/>
    <w:rsid w:val="000345D8"/>
    <w:rsid w:val="000348CD"/>
    <w:rsid w:val="00034B08"/>
    <w:rsid w:val="00035898"/>
    <w:rsid w:val="00036090"/>
    <w:rsid w:val="00036409"/>
    <w:rsid w:val="0003681B"/>
    <w:rsid w:val="0003738C"/>
    <w:rsid w:val="00037C0D"/>
    <w:rsid w:val="00040AE9"/>
    <w:rsid w:val="00040C3A"/>
    <w:rsid w:val="0004176A"/>
    <w:rsid w:val="000422ED"/>
    <w:rsid w:val="000423AC"/>
    <w:rsid w:val="00042615"/>
    <w:rsid w:val="00042707"/>
    <w:rsid w:val="000428AA"/>
    <w:rsid w:val="00042AA3"/>
    <w:rsid w:val="0004316F"/>
    <w:rsid w:val="00043A9B"/>
    <w:rsid w:val="000443AB"/>
    <w:rsid w:val="000444CD"/>
    <w:rsid w:val="0004481A"/>
    <w:rsid w:val="00044D50"/>
    <w:rsid w:val="00044DFD"/>
    <w:rsid w:val="000452BC"/>
    <w:rsid w:val="000455F8"/>
    <w:rsid w:val="00045932"/>
    <w:rsid w:val="00046100"/>
    <w:rsid w:val="0004618D"/>
    <w:rsid w:val="00046395"/>
    <w:rsid w:val="000465C7"/>
    <w:rsid w:val="0004682F"/>
    <w:rsid w:val="00046C0E"/>
    <w:rsid w:val="00050A98"/>
    <w:rsid w:val="00050BD1"/>
    <w:rsid w:val="00052C79"/>
    <w:rsid w:val="000531B7"/>
    <w:rsid w:val="0005362B"/>
    <w:rsid w:val="00053C8B"/>
    <w:rsid w:val="00053D00"/>
    <w:rsid w:val="00054266"/>
    <w:rsid w:val="00054BCE"/>
    <w:rsid w:val="00054D12"/>
    <w:rsid w:val="00055001"/>
    <w:rsid w:val="0005571E"/>
    <w:rsid w:val="00055963"/>
    <w:rsid w:val="00055FAD"/>
    <w:rsid w:val="00056D2E"/>
    <w:rsid w:val="00056E11"/>
    <w:rsid w:val="00057C20"/>
    <w:rsid w:val="000603D5"/>
    <w:rsid w:val="000608B5"/>
    <w:rsid w:val="00062052"/>
    <w:rsid w:val="00062663"/>
    <w:rsid w:val="00062A19"/>
    <w:rsid w:val="00062AD7"/>
    <w:rsid w:val="00062B74"/>
    <w:rsid w:val="000646CE"/>
    <w:rsid w:val="00064A26"/>
    <w:rsid w:val="00064A4D"/>
    <w:rsid w:val="00064D5C"/>
    <w:rsid w:val="00064D7F"/>
    <w:rsid w:val="00064F88"/>
    <w:rsid w:val="000659A5"/>
    <w:rsid w:val="00065A77"/>
    <w:rsid w:val="000664AA"/>
    <w:rsid w:val="00066DC1"/>
    <w:rsid w:val="00066DC3"/>
    <w:rsid w:val="00066EF9"/>
    <w:rsid w:val="0006717D"/>
    <w:rsid w:val="00067387"/>
    <w:rsid w:val="000673D7"/>
    <w:rsid w:val="0007061E"/>
    <w:rsid w:val="0007068E"/>
    <w:rsid w:val="00070D39"/>
    <w:rsid w:val="00070D46"/>
    <w:rsid w:val="0007147B"/>
    <w:rsid w:val="000716C5"/>
    <w:rsid w:val="00072A6F"/>
    <w:rsid w:val="00073559"/>
    <w:rsid w:val="0007379B"/>
    <w:rsid w:val="000738B8"/>
    <w:rsid w:val="00073936"/>
    <w:rsid w:val="0007430D"/>
    <w:rsid w:val="00074A70"/>
    <w:rsid w:val="00075027"/>
    <w:rsid w:val="000756B3"/>
    <w:rsid w:val="00075E23"/>
    <w:rsid w:val="00075F8F"/>
    <w:rsid w:val="000766DB"/>
    <w:rsid w:val="0007700D"/>
    <w:rsid w:val="000771A8"/>
    <w:rsid w:val="000776FB"/>
    <w:rsid w:val="00077E68"/>
    <w:rsid w:val="0008002E"/>
    <w:rsid w:val="00080090"/>
    <w:rsid w:val="00081241"/>
    <w:rsid w:val="000819B7"/>
    <w:rsid w:val="00082D95"/>
    <w:rsid w:val="000832CE"/>
    <w:rsid w:val="00083661"/>
    <w:rsid w:val="000838F8"/>
    <w:rsid w:val="0008426D"/>
    <w:rsid w:val="00084A48"/>
    <w:rsid w:val="000852BF"/>
    <w:rsid w:val="00085AAE"/>
    <w:rsid w:val="000862C6"/>
    <w:rsid w:val="0008725D"/>
    <w:rsid w:val="000873CC"/>
    <w:rsid w:val="00087C95"/>
    <w:rsid w:val="00087F4C"/>
    <w:rsid w:val="00090355"/>
    <w:rsid w:val="00091369"/>
    <w:rsid w:val="00093196"/>
    <w:rsid w:val="00093275"/>
    <w:rsid w:val="0009344A"/>
    <w:rsid w:val="000936FF"/>
    <w:rsid w:val="00093BD2"/>
    <w:rsid w:val="00093C1D"/>
    <w:rsid w:val="0009424C"/>
    <w:rsid w:val="000949E4"/>
    <w:rsid w:val="00095BE7"/>
    <w:rsid w:val="000971C4"/>
    <w:rsid w:val="00097447"/>
    <w:rsid w:val="000978D9"/>
    <w:rsid w:val="0009791F"/>
    <w:rsid w:val="00097DA5"/>
    <w:rsid w:val="000A0655"/>
    <w:rsid w:val="000A0743"/>
    <w:rsid w:val="000A0D6F"/>
    <w:rsid w:val="000A17E2"/>
    <w:rsid w:val="000A2C5F"/>
    <w:rsid w:val="000A3352"/>
    <w:rsid w:val="000A392E"/>
    <w:rsid w:val="000A3ADC"/>
    <w:rsid w:val="000A4648"/>
    <w:rsid w:val="000A495B"/>
    <w:rsid w:val="000A546E"/>
    <w:rsid w:val="000A55A4"/>
    <w:rsid w:val="000A56CB"/>
    <w:rsid w:val="000A575F"/>
    <w:rsid w:val="000A5CD6"/>
    <w:rsid w:val="000A7128"/>
    <w:rsid w:val="000A73B5"/>
    <w:rsid w:val="000A76B6"/>
    <w:rsid w:val="000A7E6B"/>
    <w:rsid w:val="000B08E4"/>
    <w:rsid w:val="000B0AB4"/>
    <w:rsid w:val="000B0AD2"/>
    <w:rsid w:val="000B15F9"/>
    <w:rsid w:val="000B21D2"/>
    <w:rsid w:val="000B2D3E"/>
    <w:rsid w:val="000B2FC1"/>
    <w:rsid w:val="000B30B2"/>
    <w:rsid w:val="000B33A5"/>
    <w:rsid w:val="000B389F"/>
    <w:rsid w:val="000B421C"/>
    <w:rsid w:val="000B5C0D"/>
    <w:rsid w:val="000B60D1"/>
    <w:rsid w:val="000B68EE"/>
    <w:rsid w:val="000B7473"/>
    <w:rsid w:val="000B77D4"/>
    <w:rsid w:val="000C185A"/>
    <w:rsid w:val="000C1AEB"/>
    <w:rsid w:val="000C1C31"/>
    <w:rsid w:val="000C1C40"/>
    <w:rsid w:val="000C21D9"/>
    <w:rsid w:val="000C246A"/>
    <w:rsid w:val="000C2D1E"/>
    <w:rsid w:val="000C326B"/>
    <w:rsid w:val="000C3537"/>
    <w:rsid w:val="000C35AA"/>
    <w:rsid w:val="000C38D0"/>
    <w:rsid w:val="000C39A1"/>
    <w:rsid w:val="000C3FAF"/>
    <w:rsid w:val="000C4608"/>
    <w:rsid w:val="000C46DB"/>
    <w:rsid w:val="000C49E5"/>
    <w:rsid w:val="000C5BC3"/>
    <w:rsid w:val="000C5BC5"/>
    <w:rsid w:val="000C606A"/>
    <w:rsid w:val="000C6197"/>
    <w:rsid w:val="000C6396"/>
    <w:rsid w:val="000C6E2F"/>
    <w:rsid w:val="000D0883"/>
    <w:rsid w:val="000D10DB"/>
    <w:rsid w:val="000D2264"/>
    <w:rsid w:val="000D2B31"/>
    <w:rsid w:val="000D2FEA"/>
    <w:rsid w:val="000D3087"/>
    <w:rsid w:val="000D38BF"/>
    <w:rsid w:val="000D4302"/>
    <w:rsid w:val="000D4EDA"/>
    <w:rsid w:val="000D5813"/>
    <w:rsid w:val="000D5F45"/>
    <w:rsid w:val="000D63AB"/>
    <w:rsid w:val="000D6940"/>
    <w:rsid w:val="000D6C2C"/>
    <w:rsid w:val="000D77A5"/>
    <w:rsid w:val="000D7D62"/>
    <w:rsid w:val="000D7E5C"/>
    <w:rsid w:val="000E15E0"/>
    <w:rsid w:val="000E1735"/>
    <w:rsid w:val="000E2C13"/>
    <w:rsid w:val="000E2F92"/>
    <w:rsid w:val="000E36DB"/>
    <w:rsid w:val="000E4430"/>
    <w:rsid w:val="000E4DE0"/>
    <w:rsid w:val="000E5573"/>
    <w:rsid w:val="000E5EB5"/>
    <w:rsid w:val="000E5F2D"/>
    <w:rsid w:val="000E68C0"/>
    <w:rsid w:val="000E696E"/>
    <w:rsid w:val="000E6BB4"/>
    <w:rsid w:val="000E6D56"/>
    <w:rsid w:val="000E6F30"/>
    <w:rsid w:val="000E74A1"/>
    <w:rsid w:val="000E786A"/>
    <w:rsid w:val="000E79C6"/>
    <w:rsid w:val="000E7DB1"/>
    <w:rsid w:val="000E7F36"/>
    <w:rsid w:val="000F02CF"/>
    <w:rsid w:val="000F05CF"/>
    <w:rsid w:val="000F0D25"/>
    <w:rsid w:val="000F144C"/>
    <w:rsid w:val="000F1BFB"/>
    <w:rsid w:val="000F200D"/>
    <w:rsid w:val="000F37CF"/>
    <w:rsid w:val="000F4860"/>
    <w:rsid w:val="000F5F5D"/>
    <w:rsid w:val="000F60D7"/>
    <w:rsid w:val="000F6422"/>
    <w:rsid w:val="000F675E"/>
    <w:rsid w:val="000F6BAD"/>
    <w:rsid w:val="00100C29"/>
    <w:rsid w:val="00100DF8"/>
    <w:rsid w:val="0010163B"/>
    <w:rsid w:val="00101CD1"/>
    <w:rsid w:val="00101D95"/>
    <w:rsid w:val="001020F4"/>
    <w:rsid w:val="0010210A"/>
    <w:rsid w:val="00103340"/>
    <w:rsid w:val="001048C3"/>
    <w:rsid w:val="00104D50"/>
    <w:rsid w:val="00104EEF"/>
    <w:rsid w:val="00104F8F"/>
    <w:rsid w:val="00105618"/>
    <w:rsid w:val="00105B63"/>
    <w:rsid w:val="00105BF1"/>
    <w:rsid w:val="00105C91"/>
    <w:rsid w:val="001063C9"/>
    <w:rsid w:val="00106BB9"/>
    <w:rsid w:val="00106D45"/>
    <w:rsid w:val="00107131"/>
    <w:rsid w:val="001072D6"/>
    <w:rsid w:val="001072DB"/>
    <w:rsid w:val="0010736F"/>
    <w:rsid w:val="00107C28"/>
    <w:rsid w:val="00107DE1"/>
    <w:rsid w:val="001108C5"/>
    <w:rsid w:val="00111119"/>
    <w:rsid w:val="0011146D"/>
    <w:rsid w:val="00111D90"/>
    <w:rsid w:val="00112E9A"/>
    <w:rsid w:val="001135F0"/>
    <w:rsid w:val="001137BC"/>
    <w:rsid w:val="00113F73"/>
    <w:rsid w:val="0011455B"/>
    <w:rsid w:val="001148E3"/>
    <w:rsid w:val="00114A3E"/>
    <w:rsid w:val="00114F8B"/>
    <w:rsid w:val="00114FA2"/>
    <w:rsid w:val="0011518A"/>
    <w:rsid w:val="0011559D"/>
    <w:rsid w:val="001159C2"/>
    <w:rsid w:val="00116A99"/>
    <w:rsid w:val="00116DE9"/>
    <w:rsid w:val="0011729F"/>
    <w:rsid w:val="00117804"/>
    <w:rsid w:val="001179C8"/>
    <w:rsid w:val="001207B6"/>
    <w:rsid w:val="00121CC2"/>
    <w:rsid w:val="00121DA5"/>
    <w:rsid w:val="001244C2"/>
    <w:rsid w:val="0012463E"/>
    <w:rsid w:val="00124FDB"/>
    <w:rsid w:val="0012544F"/>
    <w:rsid w:val="001256DB"/>
    <w:rsid w:val="00125A0D"/>
    <w:rsid w:val="00125D1F"/>
    <w:rsid w:val="00126439"/>
    <w:rsid w:val="001271B3"/>
    <w:rsid w:val="001272DF"/>
    <w:rsid w:val="0013019B"/>
    <w:rsid w:val="001302EC"/>
    <w:rsid w:val="00131531"/>
    <w:rsid w:val="001317DE"/>
    <w:rsid w:val="00131D92"/>
    <w:rsid w:val="00131FA4"/>
    <w:rsid w:val="00132419"/>
    <w:rsid w:val="00132556"/>
    <w:rsid w:val="00132991"/>
    <w:rsid w:val="00132BB6"/>
    <w:rsid w:val="00133EE5"/>
    <w:rsid w:val="00134213"/>
    <w:rsid w:val="001348B4"/>
    <w:rsid w:val="0013490B"/>
    <w:rsid w:val="00134CAE"/>
    <w:rsid w:val="00134EC9"/>
    <w:rsid w:val="00135773"/>
    <w:rsid w:val="00135AFF"/>
    <w:rsid w:val="001362B9"/>
    <w:rsid w:val="00136BF2"/>
    <w:rsid w:val="00136BFD"/>
    <w:rsid w:val="00136C3F"/>
    <w:rsid w:val="00137255"/>
    <w:rsid w:val="001375A9"/>
    <w:rsid w:val="00137B73"/>
    <w:rsid w:val="00137DCE"/>
    <w:rsid w:val="0014020B"/>
    <w:rsid w:val="00140ED0"/>
    <w:rsid w:val="001414D2"/>
    <w:rsid w:val="00141EE4"/>
    <w:rsid w:val="00142959"/>
    <w:rsid w:val="00142F23"/>
    <w:rsid w:val="001435E4"/>
    <w:rsid w:val="00144168"/>
    <w:rsid w:val="0014430E"/>
    <w:rsid w:val="00144A3C"/>
    <w:rsid w:val="00144E97"/>
    <w:rsid w:val="00144F7B"/>
    <w:rsid w:val="00144F9D"/>
    <w:rsid w:val="0014640C"/>
    <w:rsid w:val="001464BE"/>
    <w:rsid w:val="00146DFF"/>
    <w:rsid w:val="00147374"/>
    <w:rsid w:val="0014754E"/>
    <w:rsid w:val="00147CDE"/>
    <w:rsid w:val="00150901"/>
    <w:rsid w:val="001509F1"/>
    <w:rsid w:val="001518CD"/>
    <w:rsid w:val="001518FF"/>
    <w:rsid w:val="00151A9C"/>
    <w:rsid w:val="00153168"/>
    <w:rsid w:val="00153902"/>
    <w:rsid w:val="0015428A"/>
    <w:rsid w:val="00154311"/>
    <w:rsid w:val="0015476E"/>
    <w:rsid w:val="00155C93"/>
    <w:rsid w:val="00155CBD"/>
    <w:rsid w:val="0015623F"/>
    <w:rsid w:val="0015653E"/>
    <w:rsid w:val="001567E9"/>
    <w:rsid w:val="00156F91"/>
    <w:rsid w:val="0016081C"/>
    <w:rsid w:val="0016148D"/>
    <w:rsid w:val="001629BF"/>
    <w:rsid w:val="00163AF3"/>
    <w:rsid w:val="001642A7"/>
    <w:rsid w:val="001644A9"/>
    <w:rsid w:val="00165554"/>
    <w:rsid w:val="00165B4C"/>
    <w:rsid w:val="00165F1E"/>
    <w:rsid w:val="0016638B"/>
    <w:rsid w:val="0016793E"/>
    <w:rsid w:val="00167A34"/>
    <w:rsid w:val="00167A48"/>
    <w:rsid w:val="0017016B"/>
    <w:rsid w:val="00171223"/>
    <w:rsid w:val="00171A98"/>
    <w:rsid w:val="00172786"/>
    <w:rsid w:val="00172BA6"/>
    <w:rsid w:val="00173BFF"/>
    <w:rsid w:val="00173E25"/>
    <w:rsid w:val="00174320"/>
    <w:rsid w:val="00175231"/>
    <w:rsid w:val="00175358"/>
    <w:rsid w:val="00175520"/>
    <w:rsid w:val="00175ABB"/>
    <w:rsid w:val="00176353"/>
    <w:rsid w:val="001770BB"/>
    <w:rsid w:val="001777FD"/>
    <w:rsid w:val="0017788C"/>
    <w:rsid w:val="001801B2"/>
    <w:rsid w:val="001801CE"/>
    <w:rsid w:val="00180AF9"/>
    <w:rsid w:val="00181839"/>
    <w:rsid w:val="00181F9D"/>
    <w:rsid w:val="00182075"/>
    <w:rsid w:val="001820E3"/>
    <w:rsid w:val="00182194"/>
    <w:rsid w:val="00182E76"/>
    <w:rsid w:val="00182F97"/>
    <w:rsid w:val="0018301D"/>
    <w:rsid w:val="00183B96"/>
    <w:rsid w:val="00183D57"/>
    <w:rsid w:val="0018406F"/>
    <w:rsid w:val="00184368"/>
    <w:rsid w:val="00184CD1"/>
    <w:rsid w:val="0018609E"/>
    <w:rsid w:val="001869BA"/>
    <w:rsid w:val="00186D50"/>
    <w:rsid w:val="001875BF"/>
    <w:rsid w:val="00187970"/>
    <w:rsid w:val="00187F36"/>
    <w:rsid w:val="001904BF"/>
    <w:rsid w:val="0019090E"/>
    <w:rsid w:val="00190FB4"/>
    <w:rsid w:val="0019117A"/>
    <w:rsid w:val="00191D9E"/>
    <w:rsid w:val="00192CEC"/>
    <w:rsid w:val="0019315D"/>
    <w:rsid w:val="001935B7"/>
    <w:rsid w:val="00193E53"/>
    <w:rsid w:val="00196576"/>
    <w:rsid w:val="001974F7"/>
    <w:rsid w:val="00197D1C"/>
    <w:rsid w:val="001A0392"/>
    <w:rsid w:val="001A0A80"/>
    <w:rsid w:val="001A0E10"/>
    <w:rsid w:val="001A2E9E"/>
    <w:rsid w:val="001A326F"/>
    <w:rsid w:val="001A39C9"/>
    <w:rsid w:val="001A3D33"/>
    <w:rsid w:val="001A4150"/>
    <w:rsid w:val="001A4155"/>
    <w:rsid w:val="001A4B19"/>
    <w:rsid w:val="001A56BE"/>
    <w:rsid w:val="001A5D0E"/>
    <w:rsid w:val="001A6142"/>
    <w:rsid w:val="001A6A3C"/>
    <w:rsid w:val="001A732B"/>
    <w:rsid w:val="001A73F3"/>
    <w:rsid w:val="001A7821"/>
    <w:rsid w:val="001A7870"/>
    <w:rsid w:val="001A7911"/>
    <w:rsid w:val="001B05AB"/>
    <w:rsid w:val="001B0833"/>
    <w:rsid w:val="001B0CFF"/>
    <w:rsid w:val="001B21FD"/>
    <w:rsid w:val="001B24D6"/>
    <w:rsid w:val="001B2DA4"/>
    <w:rsid w:val="001B397A"/>
    <w:rsid w:val="001B4309"/>
    <w:rsid w:val="001B464B"/>
    <w:rsid w:val="001B4E9A"/>
    <w:rsid w:val="001B512E"/>
    <w:rsid w:val="001B58DF"/>
    <w:rsid w:val="001B6514"/>
    <w:rsid w:val="001B668D"/>
    <w:rsid w:val="001B73A3"/>
    <w:rsid w:val="001B73E2"/>
    <w:rsid w:val="001B7CF7"/>
    <w:rsid w:val="001C02FD"/>
    <w:rsid w:val="001C03FB"/>
    <w:rsid w:val="001C0846"/>
    <w:rsid w:val="001C08F4"/>
    <w:rsid w:val="001C0C84"/>
    <w:rsid w:val="001C1B41"/>
    <w:rsid w:val="001C1FDD"/>
    <w:rsid w:val="001C39B3"/>
    <w:rsid w:val="001C3B7C"/>
    <w:rsid w:val="001C4035"/>
    <w:rsid w:val="001C4D40"/>
    <w:rsid w:val="001C5071"/>
    <w:rsid w:val="001C5CF6"/>
    <w:rsid w:val="001C65BC"/>
    <w:rsid w:val="001C65C8"/>
    <w:rsid w:val="001C7030"/>
    <w:rsid w:val="001C741A"/>
    <w:rsid w:val="001C7D08"/>
    <w:rsid w:val="001C7FB9"/>
    <w:rsid w:val="001D0110"/>
    <w:rsid w:val="001D018F"/>
    <w:rsid w:val="001D0A2D"/>
    <w:rsid w:val="001D0C3F"/>
    <w:rsid w:val="001D0FE9"/>
    <w:rsid w:val="001D13D4"/>
    <w:rsid w:val="001D1AB6"/>
    <w:rsid w:val="001D2A57"/>
    <w:rsid w:val="001D3235"/>
    <w:rsid w:val="001D4838"/>
    <w:rsid w:val="001D4920"/>
    <w:rsid w:val="001D4DCB"/>
    <w:rsid w:val="001D517C"/>
    <w:rsid w:val="001D53DD"/>
    <w:rsid w:val="001D568D"/>
    <w:rsid w:val="001D57DD"/>
    <w:rsid w:val="001D5CAE"/>
    <w:rsid w:val="001D6250"/>
    <w:rsid w:val="001D65EF"/>
    <w:rsid w:val="001D679A"/>
    <w:rsid w:val="001D6933"/>
    <w:rsid w:val="001D714A"/>
    <w:rsid w:val="001D72C4"/>
    <w:rsid w:val="001D78C3"/>
    <w:rsid w:val="001D79BD"/>
    <w:rsid w:val="001D7D0B"/>
    <w:rsid w:val="001D7EE5"/>
    <w:rsid w:val="001E0794"/>
    <w:rsid w:val="001E0E8D"/>
    <w:rsid w:val="001E199C"/>
    <w:rsid w:val="001E1A30"/>
    <w:rsid w:val="001E20DA"/>
    <w:rsid w:val="001E3CF8"/>
    <w:rsid w:val="001E3D9F"/>
    <w:rsid w:val="001E44AA"/>
    <w:rsid w:val="001E478E"/>
    <w:rsid w:val="001E5710"/>
    <w:rsid w:val="001E6089"/>
    <w:rsid w:val="001E616F"/>
    <w:rsid w:val="001E626D"/>
    <w:rsid w:val="001E69EE"/>
    <w:rsid w:val="001E730E"/>
    <w:rsid w:val="001E7B01"/>
    <w:rsid w:val="001E7F5B"/>
    <w:rsid w:val="001F0BAC"/>
    <w:rsid w:val="001F1400"/>
    <w:rsid w:val="001F1FCA"/>
    <w:rsid w:val="001F2029"/>
    <w:rsid w:val="001F21BE"/>
    <w:rsid w:val="001F2493"/>
    <w:rsid w:val="001F2A99"/>
    <w:rsid w:val="001F2E46"/>
    <w:rsid w:val="001F3808"/>
    <w:rsid w:val="001F3C33"/>
    <w:rsid w:val="001F4AD7"/>
    <w:rsid w:val="001F5239"/>
    <w:rsid w:val="001F5F72"/>
    <w:rsid w:val="001F6B91"/>
    <w:rsid w:val="001F7317"/>
    <w:rsid w:val="001F7520"/>
    <w:rsid w:val="001F7DEA"/>
    <w:rsid w:val="00200042"/>
    <w:rsid w:val="0020074C"/>
    <w:rsid w:val="0020078A"/>
    <w:rsid w:val="002010F0"/>
    <w:rsid w:val="00202938"/>
    <w:rsid w:val="00202D93"/>
    <w:rsid w:val="002035AD"/>
    <w:rsid w:val="0020451F"/>
    <w:rsid w:val="00204E28"/>
    <w:rsid w:val="00205360"/>
    <w:rsid w:val="00205C87"/>
    <w:rsid w:val="00206580"/>
    <w:rsid w:val="00206FD6"/>
    <w:rsid w:val="00207A7B"/>
    <w:rsid w:val="00207D88"/>
    <w:rsid w:val="00207E60"/>
    <w:rsid w:val="00210CEC"/>
    <w:rsid w:val="00210D4F"/>
    <w:rsid w:val="00211639"/>
    <w:rsid w:val="002119CF"/>
    <w:rsid w:val="002126B2"/>
    <w:rsid w:val="0021289C"/>
    <w:rsid w:val="00212DC0"/>
    <w:rsid w:val="00212FEF"/>
    <w:rsid w:val="002139B8"/>
    <w:rsid w:val="00213CE7"/>
    <w:rsid w:val="00214F4E"/>
    <w:rsid w:val="002159C3"/>
    <w:rsid w:val="00215C4E"/>
    <w:rsid w:val="00215CB1"/>
    <w:rsid w:val="002163E3"/>
    <w:rsid w:val="0021687A"/>
    <w:rsid w:val="00216E12"/>
    <w:rsid w:val="002170A0"/>
    <w:rsid w:val="00217BE0"/>
    <w:rsid w:val="00217D58"/>
    <w:rsid w:val="00220995"/>
    <w:rsid w:val="00220C98"/>
    <w:rsid w:val="00221882"/>
    <w:rsid w:val="00221D3B"/>
    <w:rsid w:val="00222DA8"/>
    <w:rsid w:val="0022325B"/>
    <w:rsid w:val="0022363F"/>
    <w:rsid w:val="00223E1A"/>
    <w:rsid w:val="00223F08"/>
    <w:rsid w:val="0022476D"/>
    <w:rsid w:val="0022485A"/>
    <w:rsid w:val="002250A3"/>
    <w:rsid w:val="002259E0"/>
    <w:rsid w:val="002275B6"/>
    <w:rsid w:val="00230ED4"/>
    <w:rsid w:val="0023138D"/>
    <w:rsid w:val="0023177F"/>
    <w:rsid w:val="00231A7E"/>
    <w:rsid w:val="00231B3A"/>
    <w:rsid w:val="00232699"/>
    <w:rsid w:val="00233556"/>
    <w:rsid w:val="00233754"/>
    <w:rsid w:val="00233A2A"/>
    <w:rsid w:val="00233ADE"/>
    <w:rsid w:val="00234195"/>
    <w:rsid w:val="00234E9B"/>
    <w:rsid w:val="00235217"/>
    <w:rsid w:val="002367BF"/>
    <w:rsid w:val="00236BC1"/>
    <w:rsid w:val="00241871"/>
    <w:rsid w:val="00242435"/>
    <w:rsid w:val="0024399A"/>
    <w:rsid w:val="0024436B"/>
    <w:rsid w:val="00244577"/>
    <w:rsid w:val="0024466B"/>
    <w:rsid w:val="002447E7"/>
    <w:rsid w:val="00244DD4"/>
    <w:rsid w:val="00246249"/>
    <w:rsid w:val="00246D1F"/>
    <w:rsid w:val="002470AA"/>
    <w:rsid w:val="00247102"/>
    <w:rsid w:val="00247403"/>
    <w:rsid w:val="00247542"/>
    <w:rsid w:val="002501DF"/>
    <w:rsid w:val="002502FA"/>
    <w:rsid w:val="0025035A"/>
    <w:rsid w:val="00250F6D"/>
    <w:rsid w:val="00251A00"/>
    <w:rsid w:val="00251AD4"/>
    <w:rsid w:val="00251F4C"/>
    <w:rsid w:val="002528A3"/>
    <w:rsid w:val="00252986"/>
    <w:rsid w:val="00252D46"/>
    <w:rsid w:val="0025362D"/>
    <w:rsid w:val="00253D89"/>
    <w:rsid w:val="00253ECD"/>
    <w:rsid w:val="00255E75"/>
    <w:rsid w:val="002561F9"/>
    <w:rsid w:val="0025645E"/>
    <w:rsid w:val="002571C0"/>
    <w:rsid w:val="002571E1"/>
    <w:rsid w:val="0025721A"/>
    <w:rsid w:val="00257466"/>
    <w:rsid w:val="0025788C"/>
    <w:rsid w:val="00260014"/>
    <w:rsid w:val="0026030B"/>
    <w:rsid w:val="0026036B"/>
    <w:rsid w:val="00260498"/>
    <w:rsid w:val="00260B9D"/>
    <w:rsid w:val="00261D98"/>
    <w:rsid w:val="00261FF3"/>
    <w:rsid w:val="00262FE7"/>
    <w:rsid w:val="002639B4"/>
    <w:rsid w:val="00264C08"/>
    <w:rsid w:val="00265475"/>
    <w:rsid w:val="00265763"/>
    <w:rsid w:val="00265CC8"/>
    <w:rsid w:val="00266B56"/>
    <w:rsid w:val="00266B61"/>
    <w:rsid w:val="0026712A"/>
    <w:rsid w:val="00267FD8"/>
    <w:rsid w:val="0027028C"/>
    <w:rsid w:val="002704DB"/>
    <w:rsid w:val="00270CCF"/>
    <w:rsid w:val="00271490"/>
    <w:rsid w:val="00272278"/>
    <w:rsid w:val="00272A9A"/>
    <w:rsid w:val="00273352"/>
    <w:rsid w:val="00273B48"/>
    <w:rsid w:val="00274A4B"/>
    <w:rsid w:val="00275A72"/>
    <w:rsid w:val="00276D62"/>
    <w:rsid w:val="002773C2"/>
    <w:rsid w:val="00277F61"/>
    <w:rsid w:val="00280936"/>
    <w:rsid w:val="00280D03"/>
    <w:rsid w:val="00281754"/>
    <w:rsid w:val="002822DA"/>
    <w:rsid w:val="0028355D"/>
    <w:rsid w:val="002845CB"/>
    <w:rsid w:val="002849E0"/>
    <w:rsid w:val="00284DE8"/>
    <w:rsid w:val="00285069"/>
    <w:rsid w:val="00285772"/>
    <w:rsid w:val="00285F07"/>
    <w:rsid w:val="002861AB"/>
    <w:rsid w:val="002868D4"/>
    <w:rsid w:val="00286D5A"/>
    <w:rsid w:val="00287511"/>
    <w:rsid w:val="00287AD5"/>
    <w:rsid w:val="00290140"/>
    <w:rsid w:val="00291197"/>
    <w:rsid w:val="002915A4"/>
    <w:rsid w:val="00291852"/>
    <w:rsid w:val="00291CB2"/>
    <w:rsid w:val="00291E29"/>
    <w:rsid w:val="0029245A"/>
    <w:rsid w:val="00293632"/>
    <w:rsid w:val="002939B1"/>
    <w:rsid w:val="00293A69"/>
    <w:rsid w:val="00293BD4"/>
    <w:rsid w:val="00295B56"/>
    <w:rsid w:val="00295E72"/>
    <w:rsid w:val="002978D3"/>
    <w:rsid w:val="00297DAC"/>
    <w:rsid w:val="002A0AAE"/>
    <w:rsid w:val="002A0C80"/>
    <w:rsid w:val="002A0F05"/>
    <w:rsid w:val="002A1897"/>
    <w:rsid w:val="002A257A"/>
    <w:rsid w:val="002A2BB8"/>
    <w:rsid w:val="002A3123"/>
    <w:rsid w:val="002A357B"/>
    <w:rsid w:val="002A3A10"/>
    <w:rsid w:val="002A4AF0"/>
    <w:rsid w:val="002A51F5"/>
    <w:rsid w:val="002A55D8"/>
    <w:rsid w:val="002A5820"/>
    <w:rsid w:val="002A58AC"/>
    <w:rsid w:val="002A5980"/>
    <w:rsid w:val="002A59D5"/>
    <w:rsid w:val="002A5E63"/>
    <w:rsid w:val="002A5F69"/>
    <w:rsid w:val="002A62C7"/>
    <w:rsid w:val="002A6D47"/>
    <w:rsid w:val="002A6D6E"/>
    <w:rsid w:val="002A797C"/>
    <w:rsid w:val="002B02DF"/>
    <w:rsid w:val="002B049F"/>
    <w:rsid w:val="002B2064"/>
    <w:rsid w:val="002B2684"/>
    <w:rsid w:val="002B26AA"/>
    <w:rsid w:val="002B26C1"/>
    <w:rsid w:val="002B31DE"/>
    <w:rsid w:val="002B33A7"/>
    <w:rsid w:val="002B38D3"/>
    <w:rsid w:val="002B3A7D"/>
    <w:rsid w:val="002B5C25"/>
    <w:rsid w:val="002B5C5B"/>
    <w:rsid w:val="002B5CA7"/>
    <w:rsid w:val="002B6194"/>
    <w:rsid w:val="002B76B0"/>
    <w:rsid w:val="002B7DEB"/>
    <w:rsid w:val="002B7ED9"/>
    <w:rsid w:val="002C006D"/>
    <w:rsid w:val="002C0080"/>
    <w:rsid w:val="002C0102"/>
    <w:rsid w:val="002C0D63"/>
    <w:rsid w:val="002C15C4"/>
    <w:rsid w:val="002C1C64"/>
    <w:rsid w:val="002C2904"/>
    <w:rsid w:val="002C2B7C"/>
    <w:rsid w:val="002C34A2"/>
    <w:rsid w:val="002C3F66"/>
    <w:rsid w:val="002C4030"/>
    <w:rsid w:val="002C4287"/>
    <w:rsid w:val="002C42C4"/>
    <w:rsid w:val="002C4389"/>
    <w:rsid w:val="002C5523"/>
    <w:rsid w:val="002C591F"/>
    <w:rsid w:val="002C6225"/>
    <w:rsid w:val="002C65E0"/>
    <w:rsid w:val="002C6923"/>
    <w:rsid w:val="002D0E51"/>
    <w:rsid w:val="002D1830"/>
    <w:rsid w:val="002D18B6"/>
    <w:rsid w:val="002D18D9"/>
    <w:rsid w:val="002D2B26"/>
    <w:rsid w:val="002D2C84"/>
    <w:rsid w:val="002D31B6"/>
    <w:rsid w:val="002D3204"/>
    <w:rsid w:val="002D38A8"/>
    <w:rsid w:val="002D432A"/>
    <w:rsid w:val="002D49D8"/>
    <w:rsid w:val="002D6432"/>
    <w:rsid w:val="002D660F"/>
    <w:rsid w:val="002D6DFA"/>
    <w:rsid w:val="002D7C75"/>
    <w:rsid w:val="002D7EA2"/>
    <w:rsid w:val="002E07B0"/>
    <w:rsid w:val="002E1155"/>
    <w:rsid w:val="002E118C"/>
    <w:rsid w:val="002E11D8"/>
    <w:rsid w:val="002E187C"/>
    <w:rsid w:val="002E2177"/>
    <w:rsid w:val="002E2A8A"/>
    <w:rsid w:val="002E2BFD"/>
    <w:rsid w:val="002E2D5E"/>
    <w:rsid w:val="002E3978"/>
    <w:rsid w:val="002E3E41"/>
    <w:rsid w:val="002E4339"/>
    <w:rsid w:val="002E5579"/>
    <w:rsid w:val="002E583B"/>
    <w:rsid w:val="002E607F"/>
    <w:rsid w:val="002E67C3"/>
    <w:rsid w:val="002E68C8"/>
    <w:rsid w:val="002E7000"/>
    <w:rsid w:val="002E78CE"/>
    <w:rsid w:val="002F085C"/>
    <w:rsid w:val="002F0CCD"/>
    <w:rsid w:val="002F0FB2"/>
    <w:rsid w:val="002F1177"/>
    <w:rsid w:val="002F1ED2"/>
    <w:rsid w:val="002F225F"/>
    <w:rsid w:val="002F26D5"/>
    <w:rsid w:val="002F2D34"/>
    <w:rsid w:val="002F3964"/>
    <w:rsid w:val="002F3CDA"/>
    <w:rsid w:val="002F3F97"/>
    <w:rsid w:val="002F464F"/>
    <w:rsid w:val="002F485D"/>
    <w:rsid w:val="002F4876"/>
    <w:rsid w:val="002F5842"/>
    <w:rsid w:val="002F596C"/>
    <w:rsid w:val="002F5DAF"/>
    <w:rsid w:val="002F6034"/>
    <w:rsid w:val="002F6F78"/>
    <w:rsid w:val="003005A7"/>
    <w:rsid w:val="00300DE6"/>
    <w:rsid w:val="003018E5"/>
    <w:rsid w:val="00301E20"/>
    <w:rsid w:val="00301F70"/>
    <w:rsid w:val="00302347"/>
    <w:rsid w:val="00302733"/>
    <w:rsid w:val="00302A64"/>
    <w:rsid w:val="003034B3"/>
    <w:rsid w:val="003034CE"/>
    <w:rsid w:val="003037F0"/>
    <w:rsid w:val="00303974"/>
    <w:rsid w:val="003039F4"/>
    <w:rsid w:val="0030433B"/>
    <w:rsid w:val="003045D6"/>
    <w:rsid w:val="00304AD9"/>
    <w:rsid w:val="0030512D"/>
    <w:rsid w:val="00305956"/>
    <w:rsid w:val="0030616D"/>
    <w:rsid w:val="00306486"/>
    <w:rsid w:val="00306880"/>
    <w:rsid w:val="00306C37"/>
    <w:rsid w:val="00307920"/>
    <w:rsid w:val="00307B26"/>
    <w:rsid w:val="00307EE5"/>
    <w:rsid w:val="003106C3"/>
    <w:rsid w:val="0031128E"/>
    <w:rsid w:val="003112A9"/>
    <w:rsid w:val="00311901"/>
    <w:rsid w:val="00311EFE"/>
    <w:rsid w:val="003122F4"/>
    <w:rsid w:val="00312593"/>
    <w:rsid w:val="003126ED"/>
    <w:rsid w:val="00312F2F"/>
    <w:rsid w:val="00312F89"/>
    <w:rsid w:val="00312F99"/>
    <w:rsid w:val="00313AD6"/>
    <w:rsid w:val="00314078"/>
    <w:rsid w:val="00314A7F"/>
    <w:rsid w:val="00316517"/>
    <w:rsid w:val="00316E88"/>
    <w:rsid w:val="003170EA"/>
    <w:rsid w:val="00317250"/>
    <w:rsid w:val="00317EC9"/>
    <w:rsid w:val="00321576"/>
    <w:rsid w:val="0032186D"/>
    <w:rsid w:val="003229C1"/>
    <w:rsid w:val="00323190"/>
    <w:rsid w:val="00323253"/>
    <w:rsid w:val="0032363A"/>
    <w:rsid w:val="0032412C"/>
    <w:rsid w:val="003247D2"/>
    <w:rsid w:val="0032515D"/>
    <w:rsid w:val="003252C8"/>
    <w:rsid w:val="00325747"/>
    <w:rsid w:val="00325794"/>
    <w:rsid w:val="00325B5A"/>
    <w:rsid w:val="00326114"/>
    <w:rsid w:val="003268A6"/>
    <w:rsid w:val="00326F31"/>
    <w:rsid w:val="003273FC"/>
    <w:rsid w:val="003274CA"/>
    <w:rsid w:val="00327BA0"/>
    <w:rsid w:val="00327BFD"/>
    <w:rsid w:val="00330AD6"/>
    <w:rsid w:val="00330B2C"/>
    <w:rsid w:val="00331015"/>
    <w:rsid w:val="00331547"/>
    <w:rsid w:val="0033169F"/>
    <w:rsid w:val="00331880"/>
    <w:rsid w:val="00331D6B"/>
    <w:rsid w:val="00331DB6"/>
    <w:rsid w:val="00332983"/>
    <w:rsid w:val="003332ED"/>
    <w:rsid w:val="00333392"/>
    <w:rsid w:val="00333479"/>
    <w:rsid w:val="00333B27"/>
    <w:rsid w:val="003340F9"/>
    <w:rsid w:val="00334A3E"/>
    <w:rsid w:val="003351CA"/>
    <w:rsid w:val="00336412"/>
    <w:rsid w:val="003367AD"/>
    <w:rsid w:val="00336DBE"/>
    <w:rsid w:val="00337D8A"/>
    <w:rsid w:val="003401E5"/>
    <w:rsid w:val="003402C6"/>
    <w:rsid w:val="00340A13"/>
    <w:rsid w:val="00340E9B"/>
    <w:rsid w:val="00341959"/>
    <w:rsid w:val="00341D78"/>
    <w:rsid w:val="00341D8B"/>
    <w:rsid w:val="00342457"/>
    <w:rsid w:val="00342A5D"/>
    <w:rsid w:val="00343226"/>
    <w:rsid w:val="00343559"/>
    <w:rsid w:val="00343BE6"/>
    <w:rsid w:val="003450CB"/>
    <w:rsid w:val="00345593"/>
    <w:rsid w:val="00345FA9"/>
    <w:rsid w:val="00346183"/>
    <w:rsid w:val="00346643"/>
    <w:rsid w:val="00346C95"/>
    <w:rsid w:val="00346D2B"/>
    <w:rsid w:val="00347342"/>
    <w:rsid w:val="0034738C"/>
    <w:rsid w:val="00347AA1"/>
    <w:rsid w:val="00347B81"/>
    <w:rsid w:val="00350FEF"/>
    <w:rsid w:val="003513C8"/>
    <w:rsid w:val="003513F0"/>
    <w:rsid w:val="003523EE"/>
    <w:rsid w:val="00352C95"/>
    <w:rsid w:val="003530C9"/>
    <w:rsid w:val="00353767"/>
    <w:rsid w:val="0035379E"/>
    <w:rsid w:val="00353892"/>
    <w:rsid w:val="0035504C"/>
    <w:rsid w:val="00355188"/>
    <w:rsid w:val="003555B8"/>
    <w:rsid w:val="00355E3E"/>
    <w:rsid w:val="00356185"/>
    <w:rsid w:val="0035729D"/>
    <w:rsid w:val="00357AB2"/>
    <w:rsid w:val="00357E90"/>
    <w:rsid w:val="00360380"/>
    <w:rsid w:val="00360575"/>
    <w:rsid w:val="00360DF5"/>
    <w:rsid w:val="00360E13"/>
    <w:rsid w:val="00360EC9"/>
    <w:rsid w:val="00360F78"/>
    <w:rsid w:val="0036247E"/>
    <w:rsid w:val="003628E9"/>
    <w:rsid w:val="00363772"/>
    <w:rsid w:val="003639E7"/>
    <w:rsid w:val="00363A3F"/>
    <w:rsid w:val="003645B4"/>
    <w:rsid w:val="00364E00"/>
    <w:rsid w:val="0036502F"/>
    <w:rsid w:val="0036510E"/>
    <w:rsid w:val="00365AFD"/>
    <w:rsid w:val="003661B2"/>
    <w:rsid w:val="0036634F"/>
    <w:rsid w:val="00366ADD"/>
    <w:rsid w:val="003675E5"/>
    <w:rsid w:val="00367BDC"/>
    <w:rsid w:val="00367C3F"/>
    <w:rsid w:val="00370353"/>
    <w:rsid w:val="0037160C"/>
    <w:rsid w:val="00371913"/>
    <w:rsid w:val="00372131"/>
    <w:rsid w:val="00373626"/>
    <w:rsid w:val="003738D7"/>
    <w:rsid w:val="00373A0C"/>
    <w:rsid w:val="00373B73"/>
    <w:rsid w:val="00373E57"/>
    <w:rsid w:val="003742C8"/>
    <w:rsid w:val="003742D2"/>
    <w:rsid w:val="00374597"/>
    <w:rsid w:val="0037480D"/>
    <w:rsid w:val="00374B7D"/>
    <w:rsid w:val="00375706"/>
    <w:rsid w:val="00375D8A"/>
    <w:rsid w:val="00376D82"/>
    <w:rsid w:val="00377287"/>
    <w:rsid w:val="003803A8"/>
    <w:rsid w:val="00380B64"/>
    <w:rsid w:val="00380BCE"/>
    <w:rsid w:val="00380DD1"/>
    <w:rsid w:val="00381275"/>
    <w:rsid w:val="0038158C"/>
    <w:rsid w:val="003818C1"/>
    <w:rsid w:val="003819B8"/>
    <w:rsid w:val="00382C39"/>
    <w:rsid w:val="0038307F"/>
    <w:rsid w:val="003836AB"/>
    <w:rsid w:val="00383C51"/>
    <w:rsid w:val="00383FF6"/>
    <w:rsid w:val="003845EE"/>
    <w:rsid w:val="00384754"/>
    <w:rsid w:val="00384E4C"/>
    <w:rsid w:val="00385C70"/>
    <w:rsid w:val="0038683C"/>
    <w:rsid w:val="003868E9"/>
    <w:rsid w:val="00386A9E"/>
    <w:rsid w:val="00386CF0"/>
    <w:rsid w:val="00386F16"/>
    <w:rsid w:val="00387B9A"/>
    <w:rsid w:val="00387E8F"/>
    <w:rsid w:val="00387FC1"/>
    <w:rsid w:val="00390688"/>
    <w:rsid w:val="0039082B"/>
    <w:rsid w:val="00390C07"/>
    <w:rsid w:val="003912A6"/>
    <w:rsid w:val="00392130"/>
    <w:rsid w:val="003921AA"/>
    <w:rsid w:val="003930A2"/>
    <w:rsid w:val="00393445"/>
    <w:rsid w:val="00394466"/>
    <w:rsid w:val="00394AF9"/>
    <w:rsid w:val="00394CD0"/>
    <w:rsid w:val="00394EFE"/>
    <w:rsid w:val="0039660E"/>
    <w:rsid w:val="003978EF"/>
    <w:rsid w:val="00397AFA"/>
    <w:rsid w:val="00397C9F"/>
    <w:rsid w:val="003A31E7"/>
    <w:rsid w:val="003A38FB"/>
    <w:rsid w:val="003A3ACF"/>
    <w:rsid w:val="003A3D77"/>
    <w:rsid w:val="003A431E"/>
    <w:rsid w:val="003A5852"/>
    <w:rsid w:val="003A5933"/>
    <w:rsid w:val="003A5976"/>
    <w:rsid w:val="003A5CF9"/>
    <w:rsid w:val="003A5F02"/>
    <w:rsid w:val="003A6220"/>
    <w:rsid w:val="003A6E09"/>
    <w:rsid w:val="003A7106"/>
    <w:rsid w:val="003A723B"/>
    <w:rsid w:val="003A724A"/>
    <w:rsid w:val="003A7E29"/>
    <w:rsid w:val="003B0471"/>
    <w:rsid w:val="003B0A7F"/>
    <w:rsid w:val="003B0C66"/>
    <w:rsid w:val="003B3C70"/>
    <w:rsid w:val="003B3CD9"/>
    <w:rsid w:val="003B3EEC"/>
    <w:rsid w:val="003B451A"/>
    <w:rsid w:val="003B4D89"/>
    <w:rsid w:val="003B5118"/>
    <w:rsid w:val="003B56B1"/>
    <w:rsid w:val="003B5823"/>
    <w:rsid w:val="003B59D9"/>
    <w:rsid w:val="003B6C36"/>
    <w:rsid w:val="003B71FF"/>
    <w:rsid w:val="003B771B"/>
    <w:rsid w:val="003B78A3"/>
    <w:rsid w:val="003B7ACF"/>
    <w:rsid w:val="003B7B5D"/>
    <w:rsid w:val="003B7E4E"/>
    <w:rsid w:val="003B7E9C"/>
    <w:rsid w:val="003B7EF5"/>
    <w:rsid w:val="003C08D7"/>
    <w:rsid w:val="003C0A19"/>
    <w:rsid w:val="003C18BC"/>
    <w:rsid w:val="003C1A9C"/>
    <w:rsid w:val="003C2014"/>
    <w:rsid w:val="003C251B"/>
    <w:rsid w:val="003C2AB7"/>
    <w:rsid w:val="003C2ABC"/>
    <w:rsid w:val="003C3FB0"/>
    <w:rsid w:val="003C42AA"/>
    <w:rsid w:val="003C4326"/>
    <w:rsid w:val="003C5B0F"/>
    <w:rsid w:val="003C676B"/>
    <w:rsid w:val="003C7470"/>
    <w:rsid w:val="003C7713"/>
    <w:rsid w:val="003C7BD0"/>
    <w:rsid w:val="003D0A3D"/>
    <w:rsid w:val="003D13EF"/>
    <w:rsid w:val="003D19F6"/>
    <w:rsid w:val="003D1FF6"/>
    <w:rsid w:val="003D319A"/>
    <w:rsid w:val="003D32BF"/>
    <w:rsid w:val="003D3BC2"/>
    <w:rsid w:val="003D3BED"/>
    <w:rsid w:val="003D439F"/>
    <w:rsid w:val="003D4D71"/>
    <w:rsid w:val="003D5097"/>
    <w:rsid w:val="003D59E3"/>
    <w:rsid w:val="003D6240"/>
    <w:rsid w:val="003D64EB"/>
    <w:rsid w:val="003D679D"/>
    <w:rsid w:val="003D6EAA"/>
    <w:rsid w:val="003D722F"/>
    <w:rsid w:val="003E0724"/>
    <w:rsid w:val="003E0EC0"/>
    <w:rsid w:val="003E111D"/>
    <w:rsid w:val="003E130B"/>
    <w:rsid w:val="003E151B"/>
    <w:rsid w:val="003E1B7D"/>
    <w:rsid w:val="003E1CCE"/>
    <w:rsid w:val="003E22FD"/>
    <w:rsid w:val="003E24AB"/>
    <w:rsid w:val="003E2556"/>
    <w:rsid w:val="003E2978"/>
    <w:rsid w:val="003E2B6D"/>
    <w:rsid w:val="003E30F5"/>
    <w:rsid w:val="003E315B"/>
    <w:rsid w:val="003E36E8"/>
    <w:rsid w:val="003E3DAA"/>
    <w:rsid w:val="003E40BD"/>
    <w:rsid w:val="003E52CE"/>
    <w:rsid w:val="003E5767"/>
    <w:rsid w:val="003E6CA1"/>
    <w:rsid w:val="003E6F59"/>
    <w:rsid w:val="003E7128"/>
    <w:rsid w:val="003E73F9"/>
    <w:rsid w:val="003E7ACD"/>
    <w:rsid w:val="003F007D"/>
    <w:rsid w:val="003F1696"/>
    <w:rsid w:val="003F1A19"/>
    <w:rsid w:val="003F2AEF"/>
    <w:rsid w:val="003F342F"/>
    <w:rsid w:val="003F38EE"/>
    <w:rsid w:val="003F3CFA"/>
    <w:rsid w:val="003F46B5"/>
    <w:rsid w:val="003F49E4"/>
    <w:rsid w:val="003F4FFA"/>
    <w:rsid w:val="003F5ABB"/>
    <w:rsid w:val="003F6338"/>
    <w:rsid w:val="003F638A"/>
    <w:rsid w:val="003F6E8F"/>
    <w:rsid w:val="003F7E40"/>
    <w:rsid w:val="004001F4"/>
    <w:rsid w:val="004003F0"/>
    <w:rsid w:val="004007C2"/>
    <w:rsid w:val="004009FC"/>
    <w:rsid w:val="004011E9"/>
    <w:rsid w:val="00401A7F"/>
    <w:rsid w:val="0040313F"/>
    <w:rsid w:val="004042F1"/>
    <w:rsid w:val="0040438E"/>
    <w:rsid w:val="00404F46"/>
    <w:rsid w:val="00405361"/>
    <w:rsid w:val="00405A32"/>
    <w:rsid w:val="00405BC8"/>
    <w:rsid w:val="00405C29"/>
    <w:rsid w:val="00406CB5"/>
    <w:rsid w:val="00406F64"/>
    <w:rsid w:val="004119AE"/>
    <w:rsid w:val="00412250"/>
    <w:rsid w:val="00412267"/>
    <w:rsid w:val="004127E4"/>
    <w:rsid w:val="00412C81"/>
    <w:rsid w:val="00412C9A"/>
    <w:rsid w:val="004138E9"/>
    <w:rsid w:val="00414227"/>
    <w:rsid w:val="00415BBD"/>
    <w:rsid w:val="0041616C"/>
    <w:rsid w:val="00416215"/>
    <w:rsid w:val="00416470"/>
    <w:rsid w:val="004165C2"/>
    <w:rsid w:val="00417460"/>
    <w:rsid w:val="0041778C"/>
    <w:rsid w:val="0041782F"/>
    <w:rsid w:val="00417AC6"/>
    <w:rsid w:val="00417C85"/>
    <w:rsid w:val="00417CBD"/>
    <w:rsid w:val="00417E6F"/>
    <w:rsid w:val="00420489"/>
    <w:rsid w:val="004205DD"/>
    <w:rsid w:val="00420BC3"/>
    <w:rsid w:val="00421621"/>
    <w:rsid w:val="004216C5"/>
    <w:rsid w:val="00421995"/>
    <w:rsid w:val="00421A18"/>
    <w:rsid w:val="00421EFD"/>
    <w:rsid w:val="00422594"/>
    <w:rsid w:val="00422E2F"/>
    <w:rsid w:val="0042303C"/>
    <w:rsid w:val="004231F7"/>
    <w:rsid w:val="00423B60"/>
    <w:rsid w:val="00424452"/>
    <w:rsid w:val="00424962"/>
    <w:rsid w:val="00424A23"/>
    <w:rsid w:val="0042533D"/>
    <w:rsid w:val="004254C0"/>
    <w:rsid w:val="0042566E"/>
    <w:rsid w:val="0042699F"/>
    <w:rsid w:val="00427868"/>
    <w:rsid w:val="00427BBB"/>
    <w:rsid w:val="00430576"/>
    <w:rsid w:val="004308D1"/>
    <w:rsid w:val="004314FA"/>
    <w:rsid w:val="0043231F"/>
    <w:rsid w:val="0043250E"/>
    <w:rsid w:val="00432C81"/>
    <w:rsid w:val="0043310F"/>
    <w:rsid w:val="004331B4"/>
    <w:rsid w:val="0043456A"/>
    <w:rsid w:val="004347ED"/>
    <w:rsid w:val="00434849"/>
    <w:rsid w:val="004348D0"/>
    <w:rsid w:val="00435092"/>
    <w:rsid w:val="00435241"/>
    <w:rsid w:val="00435797"/>
    <w:rsid w:val="00435BC8"/>
    <w:rsid w:val="004363AB"/>
    <w:rsid w:val="00436503"/>
    <w:rsid w:val="00436FF4"/>
    <w:rsid w:val="00437367"/>
    <w:rsid w:val="00437845"/>
    <w:rsid w:val="004378F2"/>
    <w:rsid w:val="004378FB"/>
    <w:rsid w:val="00437CB9"/>
    <w:rsid w:val="00437D43"/>
    <w:rsid w:val="00437E1C"/>
    <w:rsid w:val="00437E20"/>
    <w:rsid w:val="00440B67"/>
    <w:rsid w:val="00440F62"/>
    <w:rsid w:val="004410E8"/>
    <w:rsid w:val="00441200"/>
    <w:rsid w:val="0044121F"/>
    <w:rsid w:val="00441AA4"/>
    <w:rsid w:val="00441ECB"/>
    <w:rsid w:val="00442243"/>
    <w:rsid w:val="004424FF"/>
    <w:rsid w:val="00442850"/>
    <w:rsid w:val="00443644"/>
    <w:rsid w:val="00443D9D"/>
    <w:rsid w:val="00444095"/>
    <w:rsid w:val="0044444F"/>
    <w:rsid w:val="00444C04"/>
    <w:rsid w:val="00446198"/>
    <w:rsid w:val="00446A1B"/>
    <w:rsid w:val="00447155"/>
    <w:rsid w:val="00447215"/>
    <w:rsid w:val="004479D4"/>
    <w:rsid w:val="00447F13"/>
    <w:rsid w:val="00450CA7"/>
    <w:rsid w:val="00450DEE"/>
    <w:rsid w:val="00450EE8"/>
    <w:rsid w:val="0045185C"/>
    <w:rsid w:val="004538B2"/>
    <w:rsid w:val="00453C42"/>
    <w:rsid w:val="00453E6F"/>
    <w:rsid w:val="004557E0"/>
    <w:rsid w:val="0045640E"/>
    <w:rsid w:val="00456CCA"/>
    <w:rsid w:val="00456F80"/>
    <w:rsid w:val="0045788B"/>
    <w:rsid w:val="00457A3B"/>
    <w:rsid w:val="004601D7"/>
    <w:rsid w:val="004602DF"/>
    <w:rsid w:val="004611CE"/>
    <w:rsid w:val="0046125C"/>
    <w:rsid w:val="0046192F"/>
    <w:rsid w:val="0046247F"/>
    <w:rsid w:val="00462771"/>
    <w:rsid w:val="00462D95"/>
    <w:rsid w:val="00462E55"/>
    <w:rsid w:val="00462F00"/>
    <w:rsid w:val="00462F66"/>
    <w:rsid w:val="00463AB9"/>
    <w:rsid w:val="00463C21"/>
    <w:rsid w:val="00463C4C"/>
    <w:rsid w:val="00464741"/>
    <w:rsid w:val="00464949"/>
    <w:rsid w:val="00466977"/>
    <w:rsid w:val="004669A8"/>
    <w:rsid w:val="00466D04"/>
    <w:rsid w:val="00466F31"/>
    <w:rsid w:val="00467534"/>
    <w:rsid w:val="00467B7E"/>
    <w:rsid w:val="00467D54"/>
    <w:rsid w:val="00470046"/>
    <w:rsid w:val="00470053"/>
    <w:rsid w:val="0047017B"/>
    <w:rsid w:val="00470193"/>
    <w:rsid w:val="0047063A"/>
    <w:rsid w:val="004706B2"/>
    <w:rsid w:val="004709B0"/>
    <w:rsid w:val="00470B7D"/>
    <w:rsid w:val="00470E85"/>
    <w:rsid w:val="004711FE"/>
    <w:rsid w:val="0047125D"/>
    <w:rsid w:val="00471484"/>
    <w:rsid w:val="0047196C"/>
    <w:rsid w:val="004719E3"/>
    <w:rsid w:val="00472759"/>
    <w:rsid w:val="0047286F"/>
    <w:rsid w:val="00473B36"/>
    <w:rsid w:val="00473B4A"/>
    <w:rsid w:val="0047462B"/>
    <w:rsid w:val="00474B8A"/>
    <w:rsid w:val="0047509E"/>
    <w:rsid w:val="0047544B"/>
    <w:rsid w:val="004762C7"/>
    <w:rsid w:val="004768CB"/>
    <w:rsid w:val="00477592"/>
    <w:rsid w:val="004806EB"/>
    <w:rsid w:val="00480A29"/>
    <w:rsid w:val="00480CDD"/>
    <w:rsid w:val="00480D60"/>
    <w:rsid w:val="00480E41"/>
    <w:rsid w:val="00480FFA"/>
    <w:rsid w:val="004812FD"/>
    <w:rsid w:val="004821E1"/>
    <w:rsid w:val="004826DF"/>
    <w:rsid w:val="004837BD"/>
    <w:rsid w:val="00484DFB"/>
    <w:rsid w:val="004859F8"/>
    <w:rsid w:val="00485F16"/>
    <w:rsid w:val="004862FF"/>
    <w:rsid w:val="00486431"/>
    <w:rsid w:val="004866AE"/>
    <w:rsid w:val="00486F1C"/>
    <w:rsid w:val="00486FF7"/>
    <w:rsid w:val="00487237"/>
    <w:rsid w:val="00490384"/>
    <w:rsid w:val="004904D3"/>
    <w:rsid w:val="00490A3E"/>
    <w:rsid w:val="00490E0C"/>
    <w:rsid w:val="004910CC"/>
    <w:rsid w:val="004921AB"/>
    <w:rsid w:val="0049241D"/>
    <w:rsid w:val="004929C8"/>
    <w:rsid w:val="00492B05"/>
    <w:rsid w:val="00492E0E"/>
    <w:rsid w:val="00492F3F"/>
    <w:rsid w:val="004930F4"/>
    <w:rsid w:val="00493B99"/>
    <w:rsid w:val="0049419D"/>
    <w:rsid w:val="0049438E"/>
    <w:rsid w:val="0049462E"/>
    <w:rsid w:val="00494B65"/>
    <w:rsid w:val="00494F1F"/>
    <w:rsid w:val="004956F6"/>
    <w:rsid w:val="00495B50"/>
    <w:rsid w:val="00495F35"/>
    <w:rsid w:val="00496186"/>
    <w:rsid w:val="00496351"/>
    <w:rsid w:val="004976AC"/>
    <w:rsid w:val="004A05B5"/>
    <w:rsid w:val="004A11F8"/>
    <w:rsid w:val="004A16C6"/>
    <w:rsid w:val="004A173E"/>
    <w:rsid w:val="004A1B09"/>
    <w:rsid w:val="004A1E90"/>
    <w:rsid w:val="004A1FF8"/>
    <w:rsid w:val="004A2094"/>
    <w:rsid w:val="004A258B"/>
    <w:rsid w:val="004A2F2E"/>
    <w:rsid w:val="004A2FFA"/>
    <w:rsid w:val="004A3419"/>
    <w:rsid w:val="004A5667"/>
    <w:rsid w:val="004A5D6F"/>
    <w:rsid w:val="004A5DA7"/>
    <w:rsid w:val="004A617D"/>
    <w:rsid w:val="004A7339"/>
    <w:rsid w:val="004A75C8"/>
    <w:rsid w:val="004A79F0"/>
    <w:rsid w:val="004A7E40"/>
    <w:rsid w:val="004A7E5C"/>
    <w:rsid w:val="004B01BA"/>
    <w:rsid w:val="004B0B09"/>
    <w:rsid w:val="004B1BE5"/>
    <w:rsid w:val="004B1C89"/>
    <w:rsid w:val="004B2543"/>
    <w:rsid w:val="004B2554"/>
    <w:rsid w:val="004B2AD6"/>
    <w:rsid w:val="004B2DCD"/>
    <w:rsid w:val="004B316C"/>
    <w:rsid w:val="004B31A2"/>
    <w:rsid w:val="004B327C"/>
    <w:rsid w:val="004B3A73"/>
    <w:rsid w:val="004B3ACD"/>
    <w:rsid w:val="004B3D32"/>
    <w:rsid w:val="004B3DE0"/>
    <w:rsid w:val="004B3E96"/>
    <w:rsid w:val="004B520F"/>
    <w:rsid w:val="004B541C"/>
    <w:rsid w:val="004B5C1A"/>
    <w:rsid w:val="004B5E6C"/>
    <w:rsid w:val="004B7532"/>
    <w:rsid w:val="004C0442"/>
    <w:rsid w:val="004C051E"/>
    <w:rsid w:val="004C0A07"/>
    <w:rsid w:val="004C0C8C"/>
    <w:rsid w:val="004C124F"/>
    <w:rsid w:val="004C1FA2"/>
    <w:rsid w:val="004C20D2"/>
    <w:rsid w:val="004C3017"/>
    <w:rsid w:val="004C4074"/>
    <w:rsid w:val="004C41EF"/>
    <w:rsid w:val="004C481E"/>
    <w:rsid w:val="004C4B62"/>
    <w:rsid w:val="004C4D01"/>
    <w:rsid w:val="004C526B"/>
    <w:rsid w:val="004C54C9"/>
    <w:rsid w:val="004C5730"/>
    <w:rsid w:val="004C57C1"/>
    <w:rsid w:val="004C5B63"/>
    <w:rsid w:val="004C5D37"/>
    <w:rsid w:val="004C5E9F"/>
    <w:rsid w:val="004C609C"/>
    <w:rsid w:val="004C642E"/>
    <w:rsid w:val="004C67C3"/>
    <w:rsid w:val="004C69F4"/>
    <w:rsid w:val="004C6A80"/>
    <w:rsid w:val="004D0630"/>
    <w:rsid w:val="004D0917"/>
    <w:rsid w:val="004D0F07"/>
    <w:rsid w:val="004D19C3"/>
    <w:rsid w:val="004D2149"/>
    <w:rsid w:val="004D30AE"/>
    <w:rsid w:val="004D3DAE"/>
    <w:rsid w:val="004D4057"/>
    <w:rsid w:val="004D4178"/>
    <w:rsid w:val="004D4704"/>
    <w:rsid w:val="004D4B43"/>
    <w:rsid w:val="004D4BC8"/>
    <w:rsid w:val="004D4FEE"/>
    <w:rsid w:val="004D5EBF"/>
    <w:rsid w:val="004D5ED4"/>
    <w:rsid w:val="004D6025"/>
    <w:rsid w:val="004D6324"/>
    <w:rsid w:val="004D6460"/>
    <w:rsid w:val="004D64FB"/>
    <w:rsid w:val="004D6AC8"/>
    <w:rsid w:val="004D6DF5"/>
    <w:rsid w:val="004D7133"/>
    <w:rsid w:val="004D741F"/>
    <w:rsid w:val="004D7BB7"/>
    <w:rsid w:val="004E07AE"/>
    <w:rsid w:val="004E0DAA"/>
    <w:rsid w:val="004E17C8"/>
    <w:rsid w:val="004E1D1E"/>
    <w:rsid w:val="004E1DE1"/>
    <w:rsid w:val="004E2649"/>
    <w:rsid w:val="004E274B"/>
    <w:rsid w:val="004E308B"/>
    <w:rsid w:val="004E3657"/>
    <w:rsid w:val="004E3B05"/>
    <w:rsid w:val="004E4868"/>
    <w:rsid w:val="004E4F80"/>
    <w:rsid w:val="004E50AF"/>
    <w:rsid w:val="004E54FC"/>
    <w:rsid w:val="004E58ED"/>
    <w:rsid w:val="004E6D2E"/>
    <w:rsid w:val="004E73D4"/>
    <w:rsid w:val="004E7996"/>
    <w:rsid w:val="004E79B7"/>
    <w:rsid w:val="004E7E35"/>
    <w:rsid w:val="004F0655"/>
    <w:rsid w:val="004F10D0"/>
    <w:rsid w:val="004F11A9"/>
    <w:rsid w:val="004F23A6"/>
    <w:rsid w:val="004F2C05"/>
    <w:rsid w:val="004F2EE9"/>
    <w:rsid w:val="004F3269"/>
    <w:rsid w:val="004F34D2"/>
    <w:rsid w:val="004F36CD"/>
    <w:rsid w:val="004F3C45"/>
    <w:rsid w:val="004F3CB3"/>
    <w:rsid w:val="004F46D8"/>
    <w:rsid w:val="004F4ACF"/>
    <w:rsid w:val="004F4FF8"/>
    <w:rsid w:val="004F5006"/>
    <w:rsid w:val="004F573D"/>
    <w:rsid w:val="004F57C9"/>
    <w:rsid w:val="004F5827"/>
    <w:rsid w:val="004F5B2D"/>
    <w:rsid w:val="004F604D"/>
    <w:rsid w:val="004F6A8C"/>
    <w:rsid w:val="004F6BA3"/>
    <w:rsid w:val="00501399"/>
    <w:rsid w:val="005013C5"/>
    <w:rsid w:val="00501D9A"/>
    <w:rsid w:val="00502E53"/>
    <w:rsid w:val="00503826"/>
    <w:rsid w:val="00503A50"/>
    <w:rsid w:val="0050429C"/>
    <w:rsid w:val="00504CC7"/>
    <w:rsid w:val="00504D4C"/>
    <w:rsid w:val="00504FE2"/>
    <w:rsid w:val="005055D2"/>
    <w:rsid w:val="005059A1"/>
    <w:rsid w:val="00505A3B"/>
    <w:rsid w:val="00505D03"/>
    <w:rsid w:val="0050633D"/>
    <w:rsid w:val="00506E20"/>
    <w:rsid w:val="005070E5"/>
    <w:rsid w:val="00507BC4"/>
    <w:rsid w:val="00510234"/>
    <w:rsid w:val="00510255"/>
    <w:rsid w:val="00510325"/>
    <w:rsid w:val="005107B8"/>
    <w:rsid w:val="00511514"/>
    <w:rsid w:val="00512302"/>
    <w:rsid w:val="00512714"/>
    <w:rsid w:val="005128E4"/>
    <w:rsid w:val="005133DB"/>
    <w:rsid w:val="005139D5"/>
    <w:rsid w:val="00513CB7"/>
    <w:rsid w:val="00513E30"/>
    <w:rsid w:val="0051487D"/>
    <w:rsid w:val="00514CA4"/>
    <w:rsid w:val="005155B3"/>
    <w:rsid w:val="00516871"/>
    <w:rsid w:val="005169D0"/>
    <w:rsid w:val="00516C63"/>
    <w:rsid w:val="00520869"/>
    <w:rsid w:val="00520AD9"/>
    <w:rsid w:val="005216DC"/>
    <w:rsid w:val="0052196E"/>
    <w:rsid w:val="00521C8E"/>
    <w:rsid w:val="0052356C"/>
    <w:rsid w:val="0052405D"/>
    <w:rsid w:val="0052425B"/>
    <w:rsid w:val="005245C0"/>
    <w:rsid w:val="0052469C"/>
    <w:rsid w:val="00524C2F"/>
    <w:rsid w:val="005254C4"/>
    <w:rsid w:val="00525560"/>
    <w:rsid w:val="0052567E"/>
    <w:rsid w:val="005260C9"/>
    <w:rsid w:val="00526252"/>
    <w:rsid w:val="00527688"/>
    <w:rsid w:val="005276EF"/>
    <w:rsid w:val="00527D40"/>
    <w:rsid w:val="00530E8B"/>
    <w:rsid w:val="005319E8"/>
    <w:rsid w:val="00531F93"/>
    <w:rsid w:val="0053252B"/>
    <w:rsid w:val="00532590"/>
    <w:rsid w:val="00532A86"/>
    <w:rsid w:val="0053366D"/>
    <w:rsid w:val="005342C2"/>
    <w:rsid w:val="00534382"/>
    <w:rsid w:val="00534464"/>
    <w:rsid w:val="0053714C"/>
    <w:rsid w:val="00537CBF"/>
    <w:rsid w:val="00537E23"/>
    <w:rsid w:val="00537E73"/>
    <w:rsid w:val="00540577"/>
    <w:rsid w:val="005406CB"/>
    <w:rsid w:val="00540C2B"/>
    <w:rsid w:val="00540EA2"/>
    <w:rsid w:val="005410E2"/>
    <w:rsid w:val="0054167E"/>
    <w:rsid w:val="00541F66"/>
    <w:rsid w:val="00542583"/>
    <w:rsid w:val="00542A9F"/>
    <w:rsid w:val="00543123"/>
    <w:rsid w:val="005432FB"/>
    <w:rsid w:val="00543FF6"/>
    <w:rsid w:val="00544007"/>
    <w:rsid w:val="00544570"/>
    <w:rsid w:val="00544C49"/>
    <w:rsid w:val="00544F8F"/>
    <w:rsid w:val="00544FB3"/>
    <w:rsid w:val="00544FDE"/>
    <w:rsid w:val="0054575C"/>
    <w:rsid w:val="00545A37"/>
    <w:rsid w:val="00545E4B"/>
    <w:rsid w:val="00546C44"/>
    <w:rsid w:val="0054729D"/>
    <w:rsid w:val="00547331"/>
    <w:rsid w:val="0054741E"/>
    <w:rsid w:val="005477CF"/>
    <w:rsid w:val="00547E2E"/>
    <w:rsid w:val="00550D2B"/>
    <w:rsid w:val="00550FA9"/>
    <w:rsid w:val="00551166"/>
    <w:rsid w:val="005516A1"/>
    <w:rsid w:val="00552344"/>
    <w:rsid w:val="0055250F"/>
    <w:rsid w:val="005534FC"/>
    <w:rsid w:val="00553A91"/>
    <w:rsid w:val="00553FAF"/>
    <w:rsid w:val="00555008"/>
    <w:rsid w:val="00556013"/>
    <w:rsid w:val="0055682B"/>
    <w:rsid w:val="00557B7A"/>
    <w:rsid w:val="00557E63"/>
    <w:rsid w:val="00557F06"/>
    <w:rsid w:val="00560543"/>
    <w:rsid w:val="00560687"/>
    <w:rsid w:val="005613EE"/>
    <w:rsid w:val="00561A87"/>
    <w:rsid w:val="00561FA0"/>
    <w:rsid w:val="00563887"/>
    <w:rsid w:val="00563977"/>
    <w:rsid w:val="00563F9A"/>
    <w:rsid w:val="005644B8"/>
    <w:rsid w:val="0056495C"/>
    <w:rsid w:val="00565026"/>
    <w:rsid w:val="00565A04"/>
    <w:rsid w:val="00566347"/>
    <w:rsid w:val="0056639B"/>
    <w:rsid w:val="00566BC9"/>
    <w:rsid w:val="005672F6"/>
    <w:rsid w:val="005674CB"/>
    <w:rsid w:val="00570607"/>
    <w:rsid w:val="00571064"/>
    <w:rsid w:val="005715B7"/>
    <w:rsid w:val="00572DDE"/>
    <w:rsid w:val="00573798"/>
    <w:rsid w:val="0057402A"/>
    <w:rsid w:val="0057447D"/>
    <w:rsid w:val="00574E64"/>
    <w:rsid w:val="00575540"/>
    <w:rsid w:val="00575E2A"/>
    <w:rsid w:val="0057643D"/>
    <w:rsid w:val="00576860"/>
    <w:rsid w:val="00576D03"/>
    <w:rsid w:val="00576F11"/>
    <w:rsid w:val="005771D0"/>
    <w:rsid w:val="005772F8"/>
    <w:rsid w:val="00577581"/>
    <w:rsid w:val="00580031"/>
    <w:rsid w:val="00580333"/>
    <w:rsid w:val="00580CCA"/>
    <w:rsid w:val="0058101F"/>
    <w:rsid w:val="0058194B"/>
    <w:rsid w:val="005825C4"/>
    <w:rsid w:val="00582609"/>
    <w:rsid w:val="00582F5F"/>
    <w:rsid w:val="00582FE3"/>
    <w:rsid w:val="0058377A"/>
    <w:rsid w:val="005837C1"/>
    <w:rsid w:val="005842E2"/>
    <w:rsid w:val="00584B56"/>
    <w:rsid w:val="00584D24"/>
    <w:rsid w:val="00584DD1"/>
    <w:rsid w:val="00585668"/>
    <w:rsid w:val="00585A52"/>
    <w:rsid w:val="00585A8F"/>
    <w:rsid w:val="00585E67"/>
    <w:rsid w:val="00585FFF"/>
    <w:rsid w:val="0058619A"/>
    <w:rsid w:val="005862CB"/>
    <w:rsid w:val="00587276"/>
    <w:rsid w:val="00587C05"/>
    <w:rsid w:val="00587D9C"/>
    <w:rsid w:val="00590A5F"/>
    <w:rsid w:val="00590B1D"/>
    <w:rsid w:val="00591708"/>
    <w:rsid w:val="005918C2"/>
    <w:rsid w:val="0059191A"/>
    <w:rsid w:val="00591D12"/>
    <w:rsid w:val="005921DF"/>
    <w:rsid w:val="005921FF"/>
    <w:rsid w:val="005923CF"/>
    <w:rsid w:val="00592F5D"/>
    <w:rsid w:val="00593031"/>
    <w:rsid w:val="00593896"/>
    <w:rsid w:val="00594FFE"/>
    <w:rsid w:val="00595E71"/>
    <w:rsid w:val="0059641C"/>
    <w:rsid w:val="00596572"/>
    <w:rsid w:val="0059662E"/>
    <w:rsid w:val="005967AB"/>
    <w:rsid w:val="00596865"/>
    <w:rsid w:val="00597060"/>
    <w:rsid w:val="0059717F"/>
    <w:rsid w:val="005976A9"/>
    <w:rsid w:val="00597D4B"/>
    <w:rsid w:val="005A0918"/>
    <w:rsid w:val="005A2996"/>
    <w:rsid w:val="005A3348"/>
    <w:rsid w:val="005A36F2"/>
    <w:rsid w:val="005A3E3F"/>
    <w:rsid w:val="005A46A2"/>
    <w:rsid w:val="005A5320"/>
    <w:rsid w:val="005A545C"/>
    <w:rsid w:val="005A55AD"/>
    <w:rsid w:val="005A5F2C"/>
    <w:rsid w:val="005A6D0E"/>
    <w:rsid w:val="005A71C6"/>
    <w:rsid w:val="005A763E"/>
    <w:rsid w:val="005A77C4"/>
    <w:rsid w:val="005A7A04"/>
    <w:rsid w:val="005A7D4B"/>
    <w:rsid w:val="005B018D"/>
    <w:rsid w:val="005B048D"/>
    <w:rsid w:val="005B1236"/>
    <w:rsid w:val="005B142C"/>
    <w:rsid w:val="005B155B"/>
    <w:rsid w:val="005B1C5F"/>
    <w:rsid w:val="005B2461"/>
    <w:rsid w:val="005B27A1"/>
    <w:rsid w:val="005B29D4"/>
    <w:rsid w:val="005B3859"/>
    <w:rsid w:val="005B3A06"/>
    <w:rsid w:val="005B3CF4"/>
    <w:rsid w:val="005B4313"/>
    <w:rsid w:val="005B458F"/>
    <w:rsid w:val="005B4B89"/>
    <w:rsid w:val="005B5065"/>
    <w:rsid w:val="005B52B0"/>
    <w:rsid w:val="005B586F"/>
    <w:rsid w:val="005B5E1E"/>
    <w:rsid w:val="005B66E4"/>
    <w:rsid w:val="005B6806"/>
    <w:rsid w:val="005B6890"/>
    <w:rsid w:val="005B6B30"/>
    <w:rsid w:val="005B70E5"/>
    <w:rsid w:val="005B7153"/>
    <w:rsid w:val="005C0276"/>
    <w:rsid w:val="005C04F7"/>
    <w:rsid w:val="005C0612"/>
    <w:rsid w:val="005C0771"/>
    <w:rsid w:val="005C1183"/>
    <w:rsid w:val="005C13B1"/>
    <w:rsid w:val="005C1795"/>
    <w:rsid w:val="005C223C"/>
    <w:rsid w:val="005C29D7"/>
    <w:rsid w:val="005C4225"/>
    <w:rsid w:val="005C439E"/>
    <w:rsid w:val="005C4651"/>
    <w:rsid w:val="005C4767"/>
    <w:rsid w:val="005C491E"/>
    <w:rsid w:val="005C4BC0"/>
    <w:rsid w:val="005C4F98"/>
    <w:rsid w:val="005C57A0"/>
    <w:rsid w:val="005C612F"/>
    <w:rsid w:val="005C6F03"/>
    <w:rsid w:val="005C71A5"/>
    <w:rsid w:val="005C7488"/>
    <w:rsid w:val="005D1F4F"/>
    <w:rsid w:val="005D3109"/>
    <w:rsid w:val="005D35DB"/>
    <w:rsid w:val="005D3BC9"/>
    <w:rsid w:val="005D3C3E"/>
    <w:rsid w:val="005D4463"/>
    <w:rsid w:val="005D46F5"/>
    <w:rsid w:val="005D4B0E"/>
    <w:rsid w:val="005D4BFB"/>
    <w:rsid w:val="005D50AA"/>
    <w:rsid w:val="005D52C5"/>
    <w:rsid w:val="005D5539"/>
    <w:rsid w:val="005D5CD2"/>
    <w:rsid w:val="005D5DBB"/>
    <w:rsid w:val="005E081B"/>
    <w:rsid w:val="005E09DC"/>
    <w:rsid w:val="005E1599"/>
    <w:rsid w:val="005E1D97"/>
    <w:rsid w:val="005E21D4"/>
    <w:rsid w:val="005E2A54"/>
    <w:rsid w:val="005E3919"/>
    <w:rsid w:val="005E39C7"/>
    <w:rsid w:val="005E4081"/>
    <w:rsid w:val="005E421A"/>
    <w:rsid w:val="005E441F"/>
    <w:rsid w:val="005E45A4"/>
    <w:rsid w:val="005E5437"/>
    <w:rsid w:val="005E5580"/>
    <w:rsid w:val="005E59D9"/>
    <w:rsid w:val="005E62F4"/>
    <w:rsid w:val="005E63E4"/>
    <w:rsid w:val="005E6507"/>
    <w:rsid w:val="005E65A7"/>
    <w:rsid w:val="005E66E5"/>
    <w:rsid w:val="005E699D"/>
    <w:rsid w:val="005E6C10"/>
    <w:rsid w:val="005F05EF"/>
    <w:rsid w:val="005F0DAD"/>
    <w:rsid w:val="005F0F33"/>
    <w:rsid w:val="005F10FD"/>
    <w:rsid w:val="005F12AF"/>
    <w:rsid w:val="005F178D"/>
    <w:rsid w:val="005F1F3B"/>
    <w:rsid w:val="005F25C4"/>
    <w:rsid w:val="005F2751"/>
    <w:rsid w:val="005F3A3B"/>
    <w:rsid w:val="005F3BAA"/>
    <w:rsid w:val="005F400F"/>
    <w:rsid w:val="005F41B6"/>
    <w:rsid w:val="005F505A"/>
    <w:rsid w:val="005F539F"/>
    <w:rsid w:val="005F6475"/>
    <w:rsid w:val="005F6AA6"/>
    <w:rsid w:val="005F6DBD"/>
    <w:rsid w:val="005F6F1E"/>
    <w:rsid w:val="005F74FD"/>
    <w:rsid w:val="005F7EE4"/>
    <w:rsid w:val="005F7FD1"/>
    <w:rsid w:val="00600363"/>
    <w:rsid w:val="00600DEB"/>
    <w:rsid w:val="0060104B"/>
    <w:rsid w:val="00601D10"/>
    <w:rsid w:val="00602192"/>
    <w:rsid w:val="00602481"/>
    <w:rsid w:val="00602BE9"/>
    <w:rsid w:val="006031D9"/>
    <w:rsid w:val="00603CC3"/>
    <w:rsid w:val="00603ED8"/>
    <w:rsid w:val="0060419C"/>
    <w:rsid w:val="006049D5"/>
    <w:rsid w:val="00605636"/>
    <w:rsid w:val="00605639"/>
    <w:rsid w:val="00605C21"/>
    <w:rsid w:val="00605DF3"/>
    <w:rsid w:val="00605F21"/>
    <w:rsid w:val="00606418"/>
    <w:rsid w:val="006078DA"/>
    <w:rsid w:val="00610191"/>
    <w:rsid w:val="006101C3"/>
    <w:rsid w:val="00610598"/>
    <w:rsid w:val="0061067B"/>
    <w:rsid w:val="00610D16"/>
    <w:rsid w:val="00611411"/>
    <w:rsid w:val="006118C9"/>
    <w:rsid w:val="00612699"/>
    <w:rsid w:val="006137AB"/>
    <w:rsid w:val="00613C6B"/>
    <w:rsid w:val="00614C69"/>
    <w:rsid w:val="00614F48"/>
    <w:rsid w:val="0061565D"/>
    <w:rsid w:val="00616517"/>
    <w:rsid w:val="00616733"/>
    <w:rsid w:val="00616A06"/>
    <w:rsid w:val="00616C27"/>
    <w:rsid w:val="00617467"/>
    <w:rsid w:val="00617C65"/>
    <w:rsid w:val="00617F15"/>
    <w:rsid w:val="00620D96"/>
    <w:rsid w:val="006219FF"/>
    <w:rsid w:val="0062206A"/>
    <w:rsid w:val="00622121"/>
    <w:rsid w:val="006222F0"/>
    <w:rsid w:val="00622D9E"/>
    <w:rsid w:val="00623415"/>
    <w:rsid w:val="0062361B"/>
    <w:rsid w:val="00623732"/>
    <w:rsid w:val="00624B07"/>
    <w:rsid w:val="00624C18"/>
    <w:rsid w:val="00625B29"/>
    <w:rsid w:val="0062667C"/>
    <w:rsid w:val="00626A1D"/>
    <w:rsid w:val="00626A68"/>
    <w:rsid w:val="00627295"/>
    <w:rsid w:val="00627303"/>
    <w:rsid w:val="0062761B"/>
    <w:rsid w:val="00627893"/>
    <w:rsid w:val="00627A84"/>
    <w:rsid w:val="00627C9F"/>
    <w:rsid w:val="00630099"/>
    <w:rsid w:val="006303C3"/>
    <w:rsid w:val="00630421"/>
    <w:rsid w:val="006308B0"/>
    <w:rsid w:val="00630F0A"/>
    <w:rsid w:val="006311E9"/>
    <w:rsid w:val="00632039"/>
    <w:rsid w:val="00632217"/>
    <w:rsid w:val="00632354"/>
    <w:rsid w:val="00632CED"/>
    <w:rsid w:val="00633006"/>
    <w:rsid w:val="0063380B"/>
    <w:rsid w:val="0063388A"/>
    <w:rsid w:val="006346A4"/>
    <w:rsid w:val="00634935"/>
    <w:rsid w:val="00634F0C"/>
    <w:rsid w:val="00635014"/>
    <w:rsid w:val="00636164"/>
    <w:rsid w:val="006367BE"/>
    <w:rsid w:val="006368A4"/>
    <w:rsid w:val="00637390"/>
    <w:rsid w:val="00637A7D"/>
    <w:rsid w:val="00637E9F"/>
    <w:rsid w:val="00640598"/>
    <w:rsid w:val="00641554"/>
    <w:rsid w:val="00641FFA"/>
    <w:rsid w:val="00642011"/>
    <w:rsid w:val="00642053"/>
    <w:rsid w:val="00642299"/>
    <w:rsid w:val="006427A2"/>
    <w:rsid w:val="00642810"/>
    <w:rsid w:val="006432DF"/>
    <w:rsid w:val="006443A2"/>
    <w:rsid w:val="00645394"/>
    <w:rsid w:val="00645737"/>
    <w:rsid w:val="0064625E"/>
    <w:rsid w:val="00646318"/>
    <w:rsid w:val="006463F5"/>
    <w:rsid w:val="00646412"/>
    <w:rsid w:val="00646AAA"/>
    <w:rsid w:val="0064745D"/>
    <w:rsid w:val="00647CBF"/>
    <w:rsid w:val="00647F10"/>
    <w:rsid w:val="006501D8"/>
    <w:rsid w:val="006504B1"/>
    <w:rsid w:val="00650B75"/>
    <w:rsid w:val="00650FD4"/>
    <w:rsid w:val="00651686"/>
    <w:rsid w:val="006517C3"/>
    <w:rsid w:val="006519E9"/>
    <w:rsid w:val="00651A84"/>
    <w:rsid w:val="00652129"/>
    <w:rsid w:val="00652333"/>
    <w:rsid w:val="00653C47"/>
    <w:rsid w:val="00654330"/>
    <w:rsid w:val="00654AA0"/>
    <w:rsid w:val="00654CA8"/>
    <w:rsid w:val="006559B7"/>
    <w:rsid w:val="00655DC3"/>
    <w:rsid w:val="00655F48"/>
    <w:rsid w:val="006565CC"/>
    <w:rsid w:val="00656A10"/>
    <w:rsid w:val="00657E2F"/>
    <w:rsid w:val="0066006C"/>
    <w:rsid w:val="006602D9"/>
    <w:rsid w:val="00661526"/>
    <w:rsid w:val="00661A1B"/>
    <w:rsid w:val="00662116"/>
    <w:rsid w:val="0066234E"/>
    <w:rsid w:val="00662351"/>
    <w:rsid w:val="00663AAF"/>
    <w:rsid w:val="00663EF4"/>
    <w:rsid w:val="006650A7"/>
    <w:rsid w:val="006651E9"/>
    <w:rsid w:val="00665324"/>
    <w:rsid w:val="00665BA0"/>
    <w:rsid w:val="00665EB9"/>
    <w:rsid w:val="00665F90"/>
    <w:rsid w:val="0066736C"/>
    <w:rsid w:val="0066745B"/>
    <w:rsid w:val="00667AB0"/>
    <w:rsid w:val="006700BC"/>
    <w:rsid w:val="0067030C"/>
    <w:rsid w:val="00671CD9"/>
    <w:rsid w:val="0067213E"/>
    <w:rsid w:val="00673038"/>
    <w:rsid w:val="0067328F"/>
    <w:rsid w:val="006745C7"/>
    <w:rsid w:val="00674D66"/>
    <w:rsid w:val="006758F4"/>
    <w:rsid w:val="00675D16"/>
    <w:rsid w:val="00676930"/>
    <w:rsid w:val="00676BEC"/>
    <w:rsid w:val="006774F4"/>
    <w:rsid w:val="00677817"/>
    <w:rsid w:val="00677AD8"/>
    <w:rsid w:val="00677C7A"/>
    <w:rsid w:val="0068001B"/>
    <w:rsid w:val="0068009E"/>
    <w:rsid w:val="0068096E"/>
    <w:rsid w:val="00680B66"/>
    <w:rsid w:val="0068105A"/>
    <w:rsid w:val="00681B7D"/>
    <w:rsid w:val="00682960"/>
    <w:rsid w:val="00682A00"/>
    <w:rsid w:val="006833DA"/>
    <w:rsid w:val="00683B3E"/>
    <w:rsid w:val="0068424C"/>
    <w:rsid w:val="006844D5"/>
    <w:rsid w:val="00684A8E"/>
    <w:rsid w:val="00684ADA"/>
    <w:rsid w:val="00684C05"/>
    <w:rsid w:val="00685083"/>
    <w:rsid w:val="006857A6"/>
    <w:rsid w:val="00685917"/>
    <w:rsid w:val="006868CE"/>
    <w:rsid w:val="00686C4E"/>
    <w:rsid w:val="00687233"/>
    <w:rsid w:val="0068775D"/>
    <w:rsid w:val="00687C60"/>
    <w:rsid w:val="006907CC"/>
    <w:rsid w:val="00691211"/>
    <w:rsid w:val="00691A60"/>
    <w:rsid w:val="006928EA"/>
    <w:rsid w:val="006945B0"/>
    <w:rsid w:val="00694B5E"/>
    <w:rsid w:val="006954B6"/>
    <w:rsid w:val="006959DA"/>
    <w:rsid w:val="00695A8A"/>
    <w:rsid w:val="00695E32"/>
    <w:rsid w:val="00696F5C"/>
    <w:rsid w:val="00697206"/>
    <w:rsid w:val="006A12EA"/>
    <w:rsid w:val="006A17D2"/>
    <w:rsid w:val="006A26BC"/>
    <w:rsid w:val="006A2D14"/>
    <w:rsid w:val="006A2FCE"/>
    <w:rsid w:val="006A416F"/>
    <w:rsid w:val="006A4388"/>
    <w:rsid w:val="006A5279"/>
    <w:rsid w:val="006A5378"/>
    <w:rsid w:val="006A5619"/>
    <w:rsid w:val="006A58F8"/>
    <w:rsid w:val="006A5D09"/>
    <w:rsid w:val="006A6116"/>
    <w:rsid w:val="006A6396"/>
    <w:rsid w:val="006A6530"/>
    <w:rsid w:val="006A686E"/>
    <w:rsid w:val="006A6C28"/>
    <w:rsid w:val="006A6E4C"/>
    <w:rsid w:val="006A6F86"/>
    <w:rsid w:val="006A73E6"/>
    <w:rsid w:val="006A75AD"/>
    <w:rsid w:val="006A789A"/>
    <w:rsid w:val="006B0320"/>
    <w:rsid w:val="006B09F4"/>
    <w:rsid w:val="006B0A06"/>
    <w:rsid w:val="006B140A"/>
    <w:rsid w:val="006B15CE"/>
    <w:rsid w:val="006B17C3"/>
    <w:rsid w:val="006B1A48"/>
    <w:rsid w:val="006B2CC7"/>
    <w:rsid w:val="006B2D5C"/>
    <w:rsid w:val="006B2FBF"/>
    <w:rsid w:val="006B33C4"/>
    <w:rsid w:val="006B351F"/>
    <w:rsid w:val="006B3714"/>
    <w:rsid w:val="006B3AF1"/>
    <w:rsid w:val="006B4D46"/>
    <w:rsid w:val="006B51B9"/>
    <w:rsid w:val="006B57E1"/>
    <w:rsid w:val="006B5B8E"/>
    <w:rsid w:val="006B69B5"/>
    <w:rsid w:val="006B6F29"/>
    <w:rsid w:val="006B71F6"/>
    <w:rsid w:val="006B7FA2"/>
    <w:rsid w:val="006C0FB6"/>
    <w:rsid w:val="006C11B7"/>
    <w:rsid w:val="006C128E"/>
    <w:rsid w:val="006C16D2"/>
    <w:rsid w:val="006C1767"/>
    <w:rsid w:val="006C17B3"/>
    <w:rsid w:val="006C1D5B"/>
    <w:rsid w:val="006C1E07"/>
    <w:rsid w:val="006C3B01"/>
    <w:rsid w:val="006C4468"/>
    <w:rsid w:val="006C4EB1"/>
    <w:rsid w:val="006C58EB"/>
    <w:rsid w:val="006C7244"/>
    <w:rsid w:val="006C7306"/>
    <w:rsid w:val="006D0196"/>
    <w:rsid w:val="006D0592"/>
    <w:rsid w:val="006D0772"/>
    <w:rsid w:val="006D0B3C"/>
    <w:rsid w:val="006D0E40"/>
    <w:rsid w:val="006D0F9A"/>
    <w:rsid w:val="006D132D"/>
    <w:rsid w:val="006D2C15"/>
    <w:rsid w:val="006D2E3E"/>
    <w:rsid w:val="006D2EC4"/>
    <w:rsid w:val="006D35C2"/>
    <w:rsid w:val="006D362F"/>
    <w:rsid w:val="006D39C6"/>
    <w:rsid w:val="006D5ED9"/>
    <w:rsid w:val="006D640D"/>
    <w:rsid w:val="006D6D14"/>
    <w:rsid w:val="006D7534"/>
    <w:rsid w:val="006D7816"/>
    <w:rsid w:val="006D7A70"/>
    <w:rsid w:val="006E0021"/>
    <w:rsid w:val="006E00A3"/>
    <w:rsid w:val="006E0166"/>
    <w:rsid w:val="006E1697"/>
    <w:rsid w:val="006E1A3B"/>
    <w:rsid w:val="006E26D2"/>
    <w:rsid w:val="006E2743"/>
    <w:rsid w:val="006E3AF6"/>
    <w:rsid w:val="006E3E8D"/>
    <w:rsid w:val="006E3EFB"/>
    <w:rsid w:val="006E434B"/>
    <w:rsid w:val="006E5002"/>
    <w:rsid w:val="006E54B0"/>
    <w:rsid w:val="006E56C1"/>
    <w:rsid w:val="006E58D1"/>
    <w:rsid w:val="006E5B92"/>
    <w:rsid w:val="006E5E19"/>
    <w:rsid w:val="006E6C59"/>
    <w:rsid w:val="006E72D0"/>
    <w:rsid w:val="006E7B34"/>
    <w:rsid w:val="006E7DF9"/>
    <w:rsid w:val="006F0078"/>
    <w:rsid w:val="006F09EB"/>
    <w:rsid w:val="006F0BBD"/>
    <w:rsid w:val="006F1121"/>
    <w:rsid w:val="006F241B"/>
    <w:rsid w:val="006F2B4A"/>
    <w:rsid w:val="006F34E3"/>
    <w:rsid w:val="006F3DC4"/>
    <w:rsid w:val="006F491C"/>
    <w:rsid w:val="006F4CE6"/>
    <w:rsid w:val="006F5AAE"/>
    <w:rsid w:val="006F5C1B"/>
    <w:rsid w:val="006F7EE3"/>
    <w:rsid w:val="00701983"/>
    <w:rsid w:val="00701F15"/>
    <w:rsid w:val="00701F4D"/>
    <w:rsid w:val="0070217A"/>
    <w:rsid w:val="007025F2"/>
    <w:rsid w:val="00702755"/>
    <w:rsid w:val="00702F28"/>
    <w:rsid w:val="007032B2"/>
    <w:rsid w:val="00703A3A"/>
    <w:rsid w:val="00703E40"/>
    <w:rsid w:val="00704084"/>
    <w:rsid w:val="00704237"/>
    <w:rsid w:val="007042C0"/>
    <w:rsid w:val="0070448F"/>
    <w:rsid w:val="0070498B"/>
    <w:rsid w:val="00704E13"/>
    <w:rsid w:val="0070526E"/>
    <w:rsid w:val="00705668"/>
    <w:rsid w:val="00705C69"/>
    <w:rsid w:val="00705E34"/>
    <w:rsid w:val="00706840"/>
    <w:rsid w:val="0070697F"/>
    <w:rsid w:val="007079BD"/>
    <w:rsid w:val="00707B7D"/>
    <w:rsid w:val="00710113"/>
    <w:rsid w:val="00710772"/>
    <w:rsid w:val="00710D41"/>
    <w:rsid w:val="007114BB"/>
    <w:rsid w:val="0071162D"/>
    <w:rsid w:val="00711B80"/>
    <w:rsid w:val="00711E01"/>
    <w:rsid w:val="00711F99"/>
    <w:rsid w:val="007124F8"/>
    <w:rsid w:val="007127FA"/>
    <w:rsid w:val="00713551"/>
    <w:rsid w:val="00713632"/>
    <w:rsid w:val="00713B81"/>
    <w:rsid w:val="00713E33"/>
    <w:rsid w:val="007146D8"/>
    <w:rsid w:val="007155B6"/>
    <w:rsid w:val="00717B02"/>
    <w:rsid w:val="007200CC"/>
    <w:rsid w:val="00720893"/>
    <w:rsid w:val="00720928"/>
    <w:rsid w:val="007209F2"/>
    <w:rsid w:val="00720F8E"/>
    <w:rsid w:val="007215FD"/>
    <w:rsid w:val="0072199C"/>
    <w:rsid w:val="00721B11"/>
    <w:rsid w:val="00721F44"/>
    <w:rsid w:val="007222C5"/>
    <w:rsid w:val="00722D18"/>
    <w:rsid w:val="00723A38"/>
    <w:rsid w:val="00724E06"/>
    <w:rsid w:val="007253B8"/>
    <w:rsid w:val="007255DB"/>
    <w:rsid w:val="00725E74"/>
    <w:rsid w:val="007264EF"/>
    <w:rsid w:val="00726EB2"/>
    <w:rsid w:val="007274DE"/>
    <w:rsid w:val="00727A5D"/>
    <w:rsid w:val="00727C60"/>
    <w:rsid w:val="007301C7"/>
    <w:rsid w:val="007303F5"/>
    <w:rsid w:val="0073120A"/>
    <w:rsid w:val="00731B6C"/>
    <w:rsid w:val="0073271A"/>
    <w:rsid w:val="00732A0F"/>
    <w:rsid w:val="00732AA5"/>
    <w:rsid w:val="00733029"/>
    <w:rsid w:val="00733344"/>
    <w:rsid w:val="00733A89"/>
    <w:rsid w:val="00733BC5"/>
    <w:rsid w:val="00733FB1"/>
    <w:rsid w:val="00734F47"/>
    <w:rsid w:val="00735244"/>
    <w:rsid w:val="007353CB"/>
    <w:rsid w:val="00735C10"/>
    <w:rsid w:val="00735E15"/>
    <w:rsid w:val="00736621"/>
    <w:rsid w:val="0073741F"/>
    <w:rsid w:val="00737E30"/>
    <w:rsid w:val="00740D0C"/>
    <w:rsid w:val="00741CA3"/>
    <w:rsid w:val="0074209F"/>
    <w:rsid w:val="007421AC"/>
    <w:rsid w:val="007425C7"/>
    <w:rsid w:val="007438F1"/>
    <w:rsid w:val="00744187"/>
    <w:rsid w:val="007441B6"/>
    <w:rsid w:val="00744387"/>
    <w:rsid w:val="007444E9"/>
    <w:rsid w:val="0074488D"/>
    <w:rsid w:val="0074509F"/>
    <w:rsid w:val="00745A9C"/>
    <w:rsid w:val="0074602F"/>
    <w:rsid w:val="0074626D"/>
    <w:rsid w:val="0074649B"/>
    <w:rsid w:val="0074670B"/>
    <w:rsid w:val="00746D30"/>
    <w:rsid w:val="00746D77"/>
    <w:rsid w:val="007470B2"/>
    <w:rsid w:val="00747573"/>
    <w:rsid w:val="0075008E"/>
    <w:rsid w:val="0075120E"/>
    <w:rsid w:val="007518E6"/>
    <w:rsid w:val="007522B3"/>
    <w:rsid w:val="0075265F"/>
    <w:rsid w:val="007527F2"/>
    <w:rsid w:val="007528B9"/>
    <w:rsid w:val="00752DDB"/>
    <w:rsid w:val="007536A9"/>
    <w:rsid w:val="007543A5"/>
    <w:rsid w:val="00754E62"/>
    <w:rsid w:val="0075543C"/>
    <w:rsid w:val="007554FC"/>
    <w:rsid w:val="007555A2"/>
    <w:rsid w:val="007555B4"/>
    <w:rsid w:val="00755FDC"/>
    <w:rsid w:val="00756151"/>
    <w:rsid w:val="007567C8"/>
    <w:rsid w:val="007573DE"/>
    <w:rsid w:val="007576D1"/>
    <w:rsid w:val="00757EE9"/>
    <w:rsid w:val="00762237"/>
    <w:rsid w:val="00762321"/>
    <w:rsid w:val="0076258E"/>
    <w:rsid w:val="00762BBB"/>
    <w:rsid w:val="00764578"/>
    <w:rsid w:val="007650EA"/>
    <w:rsid w:val="00765397"/>
    <w:rsid w:val="00765557"/>
    <w:rsid w:val="007658BB"/>
    <w:rsid w:val="00766170"/>
    <w:rsid w:val="0076643F"/>
    <w:rsid w:val="00766855"/>
    <w:rsid w:val="00766DE1"/>
    <w:rsid w:val="00766EA0"/>
    <w:rsid w:val="00766FD3"/>
    <w:rsid w:val="007673D9"/>
    <w:rsid w:val="0076751D"/>
    <w:rsid w:val="007716DA"/>
    <w:rsid w:val="00771C9A"/>
    <w:rsid w:val="00772433"/>
    <w:rsid w:val="00772A89"/>
    <w:rsid w:val="00772C4C"/>
    <w:rsid w:val="00772EFA"/>
    <w:rsid w:val="00774B7A"/>
    <w:rsid w:val="00774C6F"/>
    <w:rsid w:val="00774DF0"/>
    <w:rsid w:val="007753D7"/>
    <w:rsid w:val="007755C7"/>
    <w:rsid w:val="00776913"/>
    <w:rsid w:val="00776DC6"/>
    <w:rsid w:val="00780581"/>
    <w:rsid w:val="00780661"/>
    <w:rsid w:val="007809F9"/>
    <w:rsid w:val="00780F38"/>
    <w:rsid w:val="0078174E"/>
    <w:rsid w:val="00781B69"/>
    <w:rsid w:val="00782585"/>
    <w:rsid w:val="00782A6F"/>
    <w:rsid w:val="00782C20"/>
    <w:rsid w:val="00782CFB"/>
    <w:rsid w:val="0078460C"/>
    <w:rsid w:val="00784766"/>
    <w:rsid w:val="007848A4"/>
    <w:rsid w:val="00784E03"/>
    <w:rsid w:val="00785213"/>
    <w:rsid w:val="00785272"/>
    <w:rsid w:val="00785691"/>
    <w:rsid w:val="0078587D"/>
    <w:rsid w:val="00785B6E"/>
    <w:rsid w:val="00785BBF"/>
    <w:rsid w:val="00785BFC"/>
    <w:rsid w:val="00785F90"/>
    <w:rsid w:val="007863BC"/>
    <w:rsid w:val="0078689C"/>
    <w:rsid w:val="00790178"/>
    <w:rsid w:val="00790243"/>
    <w:rsid w:val="00790F8B"/>
    <w:rsid w:val="00790FAB"/>
    <w:rsid w:val="00791A91"/>
    <w:rsid w:val="00792525"/>
    <w:rsid w:val="00792A15"/>
    <w:rsid w:val="007938CA"/>
    <w:rsid w:val="00793AED"/>
    <w:rsid w:val="00793CB7"/>
    <w:rsid w:val="0079417D"/>
    <w:rsid w:val="00794475"/>
    <w:rsid w:val="00794641"/>
    <w:rsid w:val="007950AC"/>
    <w:rsid w:val="00796236"/>
    <w:rsid w:val="00796A26"/>
    <w:rsid w:val="00797DD9"/>
    <w:rsid w:val="007A0688"/>
    <w:rsid w:val="007A101F"/>
    <w:rsid w:val="007A10D1"/>
    <w:rsid w:val="007A17E4"/>
    <w:rsid w:val="007A1CE0"/>
    <w:rsid w:val="007A26BF"/>
    <w:rsid w:val="007A29CE"/>
    <w:rsid w:val="007A29E9"/>
    <w:rsid w:val="007A33CA"/>
    <w:rsid w:val="007A3EC1"/>
    <w:rsid w:val="007A4039"/>
    <w:rsid w:val="007A46C7"/>
    <w:rsid w:val="007A4794"/>
    <w:rsid w:val="007A4A25"/>
    <w:rsid w:val="007A539D"/>
    <w:rsid w:val="007A5817"/>
    <w:rsid w:val="007A5CA0"/>
    <w:rsid w:val="007A6B39"/>
    <w:rsid w:val="007A6E5C"/>
    <w:rsid w:val="007A7FED"/>
    <w:rsid w:val="007B01BB"/>
    <w:rsid w:val="007B03A8"/>
    <w:rsid w:val="007B043F"/>
    <w:rsid w:val="007B05F9"/>
    <w:rsid w:val="007B0A16"/>
    <w:rsid w:val="007B0CE3"/>
    <w:rsid w:val="007B0EC9"/>
    <w:rsid w:val="007B1F4F"/>
    <w:rsid w:val="007B2A37"/>
    <w:rsid w:val="007B2B9C"/>
    <w:rsid w:val="007B3C7F"/>
    <w:rsid w:val="007B3D30"/>
    <w:rsid w:val="007B4920"/>
    <w:rsid w:val="007B515B"/>
    <w:rsid w:val="007B52BC"/>
    <w:rsid w:val="007B5D67"/>
    <w:rsid w:val="007B60E9"/>
    <w:rsid w:val="007B6779"/>
    <w:rsid w:val="007B6CC3"/>
    <w:rsid w:val="007B7113"/>
    <w:rsid w:val="007B752C"/>
    <w:rsid w:val="007B7C16"/>
    <w:rsid w:val="007C01B1"/>
    <w:rsid w:val="007C0801"/>
    <w:rsid w:val="007C0C13"/>
    <w:rsid w:val="007C0DA5"/>
    <w:rsid w:val="007C1647"/>
    <w:rsid w:val="007C1B4C"/>
    <w:rsid w:val="007C2330"/>
    <w:rsid w:val="007C27C3"/>
    <w:rsid w:val="007C2FF6"/>
    <w:rsid w:val="007C3334"/>
    <w:rsid w:val="007C351D"/>
    <w:rsid w:val="007C4605"/>
    <w:rsid w:val="007C4D59"/>
    <w:rsid w:val="007C5F30"/>
    <w:rsid w:val="007C6751"/>
    <w:rsid w:val="007C68C5"/>
    <w:rsid w:val="007C6F41"/>
    <w:rsid w:val="007C6F65"/>
    <w:rsid w:val="007C7891"/>
    <w:rsid w:val="007C7D76"/>
    <w:rsid w:val="007C7E5C"/>
    <w:rsid w:val="007D0764"/>
    <w:rsid w:val="007D0B97"/>
    <w:rsid w:val="007D0C8C"/>
    <w:rsid w:val="007D10B3"/>
    <w:rsid w:val="007D1432"/>
    <w:rsid w:val="007D16DC"/>
    <w:rsid w:val="007D1DEE"/>
    <w:rsid w:val="007D2484"/>
    <w:rsid w:val="007D2494"/>
    <w:rsid w:val="007D2B98"/>
    <w:rsid w:val="007D33BB"/>
    <w:rsid w:val="007D389B"/>
    <w:rsid w:val="007D4D0A"/>
    <w:rsid w:val="007D4F01"/>
    <w:rsid w:val="007D5AD1"/>
    <w:rsid w:val="007D5F5F"/>
    <w:rsid w:val="007D63A9"/>
    <w:rsid w:val="007D733F"/>
    <w:rsid w:val="007D7C4D"/>
    <w:rsid w:val="007D7F07"/>
    <w:rsid w:val="007E0337"/>
    <w:rsid w:val="007E03CE"/>
    <w:rsid w:val="007E07FA"/>
    <w:rsid w:val="007E0A89"/>
    <w:rsid w:val="007E0D10"/>
    <w:rsid w:val="007E0D92"/>
    <w:rsid w:val="007E1554"/>
    <w:rsid w:val="007E1751"/>
    <w:rsid w:val="007E1768"/>
    <w:rsid w:val="007E21BC"/>
    <w:rsid w:val="007E2B3E"/>
    <w:rsid w:val="007E38E5"/>
    <w:rsid w:val="007E41D2"/>
    <w:rsid w:val="007E441B"/>
    <w:rsid w:val="007E4D79"/>
    <w:rsid w:val="007E5009"/>
    <w:rsid w:val="007E585F"/>
    <w:rsid w:val="007E5A40"/>
    <w:rsid w:val="007E5D40"/>
    <w:rsid w:val="007E61C5"/>
    <w:rsid w:val="007E6417"/>
    <w:rsid w:val="007E665B"/>
    <w:rsid w:val="007E67DC"/>
    <w:rsid w:val="007E799A"/>
    <w:rsid w:val="007F0264"/>
    <w:rsid w:val="007F0496"/>
    <w:rsid w:val="007F0713"/>
    <w:rsid w:val="007F0A18"/>
    <w:rsid w:val="007F0C72"/>
    <w:rsid w:val="007F0D3D"/>
    <w:rsid w:val="007F171B"/>
    <w:rsid w:val="007F1CD8"/>
    <w:rsid w:val="007F22E5"/>
    <w:rsid w:val="007F2DC3"/>
    <w:rsid w:val="007F3406"/>
    <w:rsid w:val="007F400D"/>
    <w:rsid w:val="007F48EE"/>
    <w:rsid w:val="007F4C17"/>
    <w:rsid w:val="007F5266"/>
    <w:rsid w:val="007F5537"/>
    <w:rsid w:val="007F5D54"/>
    <w:rsid w:val="007F6080"/>
    <w:rsid w:val="007F62F3"/>
    <w:rsid w:val="007F6C61"/>
    <w:rsid w:val="007F6F48"/>
    <w:rsid w:val="007F6F94"/>
    <w:rsid w:val="007F7D9D"/>
    <w:rsid w:val="0080085C"/>
    <w:rsid w:val="0080094F"/>
    <w:rsid w:val="00800B51"/>
    <w:rsid w:val="0080142B"/>
    <w:rsid w:val="00802182"/>
    <w:rsid w:val="00802E76"/>
    <w:rsid w:val="0080398A"/>
    <w:rsid w:val="00803A41"/>
    <w:rsid w:val="00803F1C"/>
    <w:rsid w:val="0080600E"/>
    <w:rsid w:val="0080612C"/>
    <w:rsid w:val="0080639F"/>
    <w:rsid w:val="008069D1"/>
    <w:rsid w:val="00806CE0"/>
    <w:rsid w:val="00810AC5"/>
    <w:rsid w:val="008124AE"/>
    <w:rsid w:val="00812ACD"/>
    <w:rsid w:val="008140C5"/>
    <w:rsid w:val="0081449E"/>
    <w:rsid w:val="008146EC"/>
    <w:rsid w:val="0081496B"/>
    <w:rsid w:val="00815207"/>
    <w:rsid w:val="00815497"/>
    <w:rsid w:val="00815A24"/>
    <w:rsid w:val="00815E08"/>
    <w:rsid w:val="00816112"/>
    <w:rsid w:val="00816A42"/>
    <w:rsid w:val="00816AE5"/>
    <w:rsid w:val="00816ED6"/>
    <w:rsid w:val="00817276"/>
    <w:rsid w:val="00817612"/>
    <w:rsid w:val="00817AA5"/>
    <w:rsid w:val="00817B08"/>
    <w:rsid w:val="00817E57"/>
    <w:rsid w:val="00817FC9"/>
    <w:rsid w:val="00821FF7"/>
    <w:rsid w:val="0082232D"/>
    <w:rsid w:val="0082287D"/>
    <w:rsid w:val="00822FF5"/>
    <w:rsid w:val="0082333F"/>
    <w:rsid w:val="00824A3F"/>
    <w:rsid w:val="00825623"/>
    <w:rsid w:val="008258DE"/>
    <w:rsid w:val="00825F67"/>
    <w:rsid w:val="00825FF9"/>
    <w:rsid w:val="00826860"/>
    <w:rsid w:val="008271E7"/>
    <w:rsid w:val="00827229"/>
    <w:rsid w:val="00827365"/>
    <w:rsid w:val="00827622"/>
    <w:rsid w:val="0082785F"/>
    <w:rsid w:val="008309CD"/>
    <w:rsid w:val="00830F17"/>
    <w:rsid w:val="0083146E"/>
    <w:rsid w:val="00832873"/>
    <w:rsid w:val="00832E7E"/>
    <w:rsid w:val="00833633"/>
    <w:rsid w:val="00833661"/>
    <w:rsid w:val="008338A4"/>
    <w:rsid w:val="00834158"/>
    <w:rsid w:val="00835216"/>
    <w:rsid w:val="00835223"/>
    <w:rsid w:val="00835819"/>
    <w:rsid w:val="0083588E"/>
    <w:rsid w:val="00835ED3"/>
    <w:rsid w:val="00836060"/>
    <w:rsid w:val="0083613A"/>
    <w:rsid w:val="0083681D"/>
    <w:rsid w:val="00836907"/>
    <w:rsid w:val="008375A0"/>
    <w:rsid w:val="00837C45"/>
    <w:rsid w:val="008417D9"/>
    <w:rsid w:val="008418D2"/>
    <w:rsid w:val="00841B6E"/>
    <w:rsid w:val="00841E8D"/>
    <w:rsid w:val="00842033"/>
    <w:rsid w:val="00842510"/>
    <w:rsid w:val="008436B8"/>
    <w:rsid w:val="0084424C"/>
    <w:rsid w:val="00844730"/>
    <w:rsid w:val="00844798"/>
    <w:rsid w:val="00845447"/>
    <w:rsid w:val="008456CB"/>
    <w:rsid w:val="008457C2"/>
    <w:rsid w:val="00845DC2"/>
    <w:rsid w:val="00846555"/>
    <w:rsid w:val="0084792D"/>
    <w:rsid w:val="00847996"/>
    <w:rsid w:val="00847D04"/>
    <w:rsid w:val="00847D66"/>
    <w:rsid w:val="008505C6"/>
    <w:rsid w:val="008508B9"/>
    <w:rsid w:val="00850E4D"/>
    <w:rsid w:val="00851220"/>
    <w:rsid w:val="00851BEA"/>
    <w:rsid w:val="00853B54"/>
    <w:rsid w:val="00853F9D"/>
    <w:rsid w:val="008540B6"/>
    <w:rsid w:val="0085423E"/>
    <w:rsid w:val="008548E4"/>
    <w:rsid w:val="0085567C"/>
    <w:rsid w:val="008556CA"/>
    <w:rsid w:val="008563A3"/>
    <w:rsid w:val="00857A82"/>
    <w:rsid w:val="00857D41"/>
    <w:rsid w:val="00857FA2"/>
    <w:rsid w:val="0086031A"/>
    <w:rsid w:val="00860B5F"/>
    <w:rsid w:val="00860BFE"/>
    <w:rsid w:val="008611BC"/>
    <w:rsid w:val="00861880"/>
    <w:rsid w:val="008619A1"/>
    <w:rsid w:val="00861B6C"/>
    <w:rsid w:val="00862253"/>
    <w:rsid w:val="008627EF"/>
    <w:rsid w:val="008629F3"/>
    <w:rsid w:val="00862EC5"/>
    <w:rsid w:val="008657F3"/>
    <w:rsid w:val="00865CB9"/>
    <w:rsid w:val="00865D59"/>
    <w:rsid w:val="00866186"/>
    <w:rsid w:val="008664EC"/>
    <w:rsid w:val="008668F6"/>
    <w:rsid w:val="00867189"/>
    <w:rsid w:val="00867A6D"/>
    <w:rsid w:val="0087074B"/>
    <w:rsid w:val="00871501"/>
    <w:rsid w:val="00871537"/>
    <w:rsid w:val="00871D0C"/>
    <w:rsid w:val="0087259A"/>
    <w:rsid w:val="00872A3D"/>
    <w:rsid w:val="00873836"/>
    <w:rsid w:val="00873F92"/>
    <w:rsid w:val="0087479F"/>
    <w:rsid w:val="008762FF"/>
    <w:rsid w:val="00876822"/>
    <w:rsid w:val="00876A9F"/>
    <w:rsid w:val="008771AD"/>
    <w:rsid w:val="0087747E"/>
    <w:rsid w:val="00877CD0"/>
    <w:rsid w:val="00880BC8"/>
    <w:rsid w:val="00881157"/>
    <w:rsid w:val="00881B88"/>
    <w:rsid w:val="0088200E"/>
    <w:rsid w:val="0088252D"/>
    <w:rsid w:val="00882A03"/>
    <w:rsid w:val="008833C1"/>
    <w:rsid w:val="00885450"/>
    <w:rsid w:val="00885553"/>
    <w:rsid w:val="00885737"/>
    <w:rsid w:val="00885974"/>
    <w:rsid w:val="00885CA7"/>
    <w:rsid w:val="00885E54"/>
    <w:rsid w:val="00886208"/>
    <w:rsid w:val="00887BD0"/>
    <w:rsid w:val="00887C19"/>
    <w:rsid w:val="00887C86"/>
    <w:rsid w:val="008902F5"/>
    <w:rsid w:val="00890650"/>
    <w:rsid w:val="008909B7"/>
    <w:rsid w:val="00890C56"/>
    <w:rsid w:val="008914B5"/>
    <w:rsid w:val="00891F36"/>
    <w:rsid w:val="0089369B"/>
    <w:rsid w:val="00893713"/>
    <w:rsid w:val="00893DFD"/>
    <w:rsid w:val="00893EF9"/>
    <w:rsid w:val="00894134"/>
    <w:rsid w:val="00894D26"/>
    <w:rsid w:val="00895389"/>
    <w:rsid w:val="00895D38"/>
    <w:rsid w:val="00896099"/>
    <w:rsid w:val="00896807"/>
    <w:rsid w:val="00896F65"/>
    <w:rsid w:val="00897338"/>
    <w:rsid w:val="0089759E"/>
    <w:rsid w:val="00897C86"/>
    <w:rsid w:val="00897D3C"/>
    <w:rsid w:val="00897DCF"/>
    <w:rsid w:val="00897E12"/>
    <w:rsid w:val="008A0437"/>
    <w:rsid w:val="008A0EC3"/>
    <w:rsid w:val="008A21D5"/>
    <w:rsid w:val="008A2501"/>
    <w:rsid w:val="008A2B89"/>
    <w:rsid w:val="008A2F89"/>
    <w:rsid w:val="008A42DF"/>
    <w:rsid w:val="008A4748"/>
    <w:rsid w:val="008A4985"/>
    <w:rsid w:val="008A4B90"/>
    <w:rsid w:val="008A5EA2"/>
    <w:rsid w:val="008A63C6"/>
    <w:rsid w:val="008A6B26"/>
    <w:rsid w:val="008A6C80"/>
    <w:rsid w:val="008A72C5"/>
    <w:rsid w:val="008A75D0"/>
    <w:rsid w:val="008A7874"/>
    <w:rsid w:val="008A7E0F"/>
    <w:rsid w:val="008B08E2"/>
    <w:rsid w:val="008B0C96"/>
    <w:rsid w:val="008B10ED"/>
    <w:rsid w:val="008B12F5"/>
    <w:rsid w:val="008B192D"/>
    <w:rsid w:val="008B1BBB"/>
    <w:rsid w:val="008B1E57"/>
    <w:rsid w:val="008B20E5"/>
    <w:rsid w:val="008B21E9"/>
    <w:rsid w:val="008B2D49"/>
    <w:rsid w:val="008B31CA"/>
    <w:rsid w:val="008B41A1"/>
    <w:rsid w:val="008B4CCC"/>
    <w:rsid w:val="008B5196"/>
    <w:rsid w:val="008B5210"/>
    <w:rsid w:val="008B573D"/>
    <w:rsid w:val="008B59E8"/>
    <w:rsid w:val="008B6888"/>
    <w:rsid w:val="008B6EC0"/>
    <w:rsid w:val="008B744E"/>
    <w:rsid w:val="008B751D"/>
    <w:rsid w:val="008B793B"/>
    <w:rsid w:val="008B7C48"/>
    <w:rsid w:val="008C056E"/>
    <w:rsid w:val="008C0A49"/>
    <w:rsid w:val="008C0C3D"/>
    <w:rsid w:val="008C1BB7"/>
    <w:rsid w:val="008C213F"/>
    <w:rsid w:val="008C294B"/>
    <w:rsid w:val="008C4927"/>
    <w:rsid w:val="008C5146"/>
    <w:rsid w:val="008C5543"/>
    <w:rsid w:val="008C5D43"/>
    <w:rsid w:val="008C5D8E"/>
    <w:rsid w:val="008C6103"/>
    <w:rsid w:val="008C6927"/>
    <w:rsid w:val="008C6949"/>
    <w:rsid w:val="008C6EAF"/>
    <w:rsid w:val="008C710F"/>
    <w:rsid w:val="008C74AB"/>
    <w:rsid w:val="008C7DB1"/>
    <w:rsid w:val="008D0DEE"/>
    <w:rsid w:val="008D0EC6"/>
    <w:rsid w:val="008D1A69"/>
    <w:rsid w:val="008D1FC9"/>
    <w:rsid w:val="008D21E0"/>
    <w:rsid w:val="008D2A0D"/>
    <w:rsid w:val="008D2E8E"/>
    <w:rsid w:val="008D3224"/>
    <w:rsid w:val="008D33B3"/>
    <w:rsid w:val="008D3F36"/>
    <w:rsid w:val="008D3FA1"/>
    <w:rsid w:val="008D4727"/>
    <w:rsid w:val="008D4768"/>
    <w:rsid w:val="008D4C94"/>
    <w:rsid w:val="008D5009"/>
    <w:rsid w:val="008D5572"/>
    <w:rsid w:val="008D65CF"/>
    <w:rsid w:val="008D6B20"/>
    <w:rsid w:val="008E0137"/>
    <w:rsid w:val="008E075C"/>
    <w:rsid w:val="008E0794"/>
    <w:rsid w:val="008E07BC"/>
    <w:rsid w:val="008E0960"/>
    <w:rsid w:val="008E0B0A"/>
    <w:rsid w:val="008E11CA"/>
    <w:rsid w:val="008E1471"/>
    <w:rsid w:val="008E1940"/>
    <w:rsid w:val="008E20A5"/>
    <w:rsid w:val="008E2248"/>
    <w:rsid w:val="008E25ED"/>
    <w:rsid w:val="008E2A39"/>
    <w:rsid w:val="008E2C2D"/>
    <w:rsid w:val="008E2FC3"/>
    <w:rsid w:val="008E3511"/>
    <w:rsid w:val="008E3759"/>
    <w:rsid w:val="008E4BB7"/>
    <w:rsid w:val="008E50F6"/>
    <w:rsid w:val="008E5A1F"/>
    <w:rsid w:val="008E6E7A"/>
    <w:rsid w:val="008E7255"/>
    <w:rsid w:val="008F0CBE"/>
    <w:rsid w:val="008F12CF"/>
    <w:rsid w:val="008F1912"/>
    <w:rsid w:val="008F1E69"/>
    <w:rsid w:val="008F1F8A"/>
    <w:rsid w:val="008F2478"/>
    <w:rsid w:val="008F25BE"/>
    <w:rsid w:val="008F3479"/>
    <w:rsid w:val="008F3E0A"/>
    <w:rsid w:val="008F425A"/>
    <w:rsid w:val="008F45C9"/>
    <w:rsid w:val="008F4711"/>
    <w:rsid w:val="008F4EFD"/>
    <w:rsid w:val="008F5B40"/>
    <w:rsid w:val="008F5E8B"/>
    <w:rsid w:val="008F5FB3"/>
    <w:rsid w:val="008F66DC"/>
    <w:rsid w:val="008F7553"/>
    <w:rsid w:val="009007BF"/>
    <w:rsid w:val="00900B16"/>
    <w:rsid w:val="00901A4C"/>
    <w:rsid w:val="00902609"/>
    <w:rsid w:val="0090270B"/>
    <w:rsid w:val="00902F13"/>
    <w:rsid w:val="009032C1"/>
    <w:rsid w:val="009041DC"/>
    <w:rsid w:val="009042DB"/>
    <w:rsid w:val="00904BD6"/>
    <w:rsid w:val="00905478"/>
    <w:rsid w:val="0090550F"/>
    <w:rsid w:val="009058D9"/>
    <w:rsid w:val="00905C12"/>
    <w:rsid w:val="00906E40"/>
    <w:rsid w:val="00907063"/>
    <w:rsid w:val="009072E5"/>
    <w:rsid w:val="00907F68"/>
    <w:rsid w:val="00910381"/>
    <w:rsid w:val="009105A9"/>
    <w:rsid w:val="0091063B"/>
    <w:rsid w:val="00910D7B"/>
    <w:rsid w:val="00911364"/>
    <w:rsid w:val="009115E7"/>
    <w:rsid w:val="00911823"/>
    <w:rsid w:val="00911DA9"/>
    <w:rsid w:val="009121A0"/>
    <w:rsid w:val="00912B46"/>
    <w:rsid w:val="0091348F"/>
    <w:rsid w:val="009137EA"/>
    <w:rsid w:val="00913D8D"/>
    <w:rsid w:val="009141AB"/>
    <w:rsid w:val="009148CF"/>
    <w:rsid w:val="00914ADF"/>
    <w:rsid w:val="009154A4"/>
    <w:rsid w:val="009155FB"/>
    <w:rsid w:val="0091583A"/>
    <w:rsid w:val="009158F7"/>
    <w:rsid w:val="00916621"/>
    <w:rsid w:val="009169CB"/>
    <w:rsid w:val="00916E0F"/>
    <w:rsid w:val="009170B8"/>
    <w:rsid w:val="009177D4"/>
    <w:rsid w:val="00920889"/>
    <w:rsid w:val="00920930"/>
    <w:rsid w:val="009209D4"/>
    <w:rsid w:val="00920A58"/>
    <w:rsid w:val="00920A8C"/>
    <w:rsid w:val="00920AB3"/>
    <w:rsid w:val="00921832"/>
    <w:rsid w:val="009219E0"/>
    <w:rsid w:val="00921AB4"/>
    <w:rsid w:val="00921F39"/>
    <w:rsid w:val="00921F55"/>
    <w:rsid w:val="00922964"/>
    <w:rsid w:val="00922D48"/>
    <w:rsid w:val="009238E7"/>
    <w:rsid w:val="00924C64"/>
    <w:rsid w:val="00924E1F"/>
    <w:rsid w:val="009251DB"/>
    <w:rsid w:val="00925367"/>
    <w:rsid w:val="00926755"/>
    <w:rsid w:val="00926AA0"/>
    <w:rsid w:val="00926D4F"/>
    <w:rsid w:val="009271A8"/>
    <w:rsid w:val="009275F3"/>
    <w:rsid w:val="00927ED8"/>
    <w:rsid w:val="0093120D"/>
    <w:rsid w:val="0093313B"/>
    <w:rsid w:val="00933700"/>
    <w:rsid w:val="00933EE9"/>
    <w:rsid w:val="00934959"/>
    <w:rsid w:val="009349BE"/>
    <w:rsid w:val="00934A2C"/>
    <w:rsid w:val="00934B4C"/>
    <w:rsid w:val="00934DFB"/>
    <w:rsid w:val="00935013"/>
    <w:rsid w:val="0093501B"/>
    <w:rsid w:val="009366E0"/>
    <w:rsid w:val="0093685A"/>
    <w:rsid w:val="00937BCD"/>
    <w:rsid w:val="00940DF6"/>
    <w:rsid w:val="009411A4"/>
    <w:rsid w:val="0094120E"/>
    <w:rsid w:val="00941EBA"/>
    <w:rsid w:val="009424DA"/>
    <w:rsid w:val="0094275B"/>
    <w:rsid w:val="00942EC2"/>
    <w:rsid w:val="00943552"/>
    <w:rsid w:val="0094444C"/>
    <w:rsid w:val="00944C59"/>
    <w:rsid w:val="00944F05"/>
    <w:rsid w:val="00945A76"/>
    <w:rsid w:val="00945C77"/>
    <w:rsid w:val="0094696E"/>
    <w:rsid w:val="009470BC"/>
    <w:rsid w:val="00947E15"/>
    <w:rsid w:val="009500D7"/>
    <w:rsid w:val="009503D9"/>
    <w:rsid w:val="009508AA"/>
    <w:rsid w:val="00950B7F"/>
    <w:rsid w:val="00950E0E"/>
    <w:rsid w:val="00951E65"/>
    <w:rsid w:val="0095229E"/>
    <w:rsid w:val="0095245A"/>
    <w:rsid w:val="0095257D"/>
    <w:rsid w:val="009529DA"/>
    <w:rsid w:val="00952EDD"/>
    <w:rsid w:val="00952FD1"/>
    <w:rsid w:val="00954991"/>
    <w:rsid w:val="009552C9"/>
    <w:rsid w:val="009556DC"/>
    <w:rsid w:val="00955960"/>
    <w:rsid w:val="00955AA1"/>
    <w:rsid w:val="009567A7"/>
    <w:rsid w:val="0095700E"/>
    <w:rsid w:val="00957E2C"/>
    <w:rsid w:val="00960AF4"/>
    <w:rsid w:val="00961148"/>
    <w:rsid w:val="00961AAB"/>
    <w:rsid w:val="0096395A"/>
    <w:rsid w:val="00964E61"/>
    <w:rsid w:val="00964FF0"/>
    <w:rsid w:val="00965364"/>
    <w:rsid w:val="00965692"/>
    <w:rsid w:val="00965FF1"/>
    <w:rsid w:val="009661AF"/>
    <w:rsid w:val="00966665"/>
    <w:rsid w:val="009666D9"/>
    <w:rsid w:val="00967024"/>
    <w:rsid w:val="00967045"/>
    <w:rsid w:val="0096706E"/>
    <w:rsid w:val="009673BF"/>
    <w:rsid w:val="009719FA"/>
    <w:rsid w:val="00971ADF"/>
    <w:rsid w:val="00972061"/>
    <w:rsid w:val="00972540"/>
    <w:rsid w:val="00972CBA"/>
    <w:rsid w:val="00972E9F"/>
    <w:rsid w:val="00973E7C"/>
    <w:rsid w:val="00974C38"/>
    <w:rsid w:val="0097544B"/>
    <w:rsid w:val="00975C4E"/>
    <w:rsid w:val="00975E4C"/>
    <w:rsid w:val="00975F13"/>
    <w:rsid w:val="00976577"/>
    <w:rsid w:val="00976633"/>
    <w:rsid w:val="0097742E"/>
    <w:rsid w:val="00977AE2"/>
    <w:rsid w:val="00977B1C"/>
    <w:rsid w:val="00977F70"/>
    <w:rsid w:val="00980B7F"/>
    <w:rsid w:val="00980E04"/>
    <w:rsid w:val="00980EDD"/>
    <w:rsid w:val="00981174"/>
    <w:rsid w:val="00981FBA"/>
    <w:rsid w:val="00982BBB"/>
    <w:rsid w:val="00984198"/>
    <w:rsid w:val="00984E1B"/>
    <w:rsid w:val="00985B24"/>
    <w:rsid w:val="00985C1C"/>
    <w:rsid w:val="00986095"/>
    <w:rsid w:val="00986489"/>
    <w:rsid w:val="00986E88"/>
    <w:rsid w:val="0098717C"/>
    <w:rsid w:val="00987846"/>
    <w:rsid w:val="009901A9"/>
    <w:rsid w:val="0099057A"/>
    <w:rsid w:val="00990CE5"/>
    <w:rsid w:val="0099106A"/>
    <w:rsid w:val="009910E7"/>
    <w:rsid w:val="00991613"/>
    <w:rsid w:val="00991BFF"/>
    <w:rsid w:val="00991EC9"/>
    <w:rsid w:val="00992087"/>
    <w:rsid w:val="009922A2"/>
    <w:rsid w:val="009923C4"/>
    <w:rsid w:val="009937D9"/>
    <w:rsid w:val="00993864"/>
    <w:rsid w:val="00995985"/>
    <w:rsid w:val="009959C9"/>
    <w:rsid w:val="0099633B"/>
    <w:rsid w:val="00996486"/>
    <w:rsid w:val="00997BC5"/>
    <w:rsid w:val="00997FDB"/>
    <w:rsid w:val="009A0323"/>
    <w:rsid w:val="009A03A9"/>
    <w:rsid w:val="009A092B"/>
    <w:rsid w:val="009A0CF3"/>
    <w:rsid w:val="009A1422"/>
    <w:rsid w:val="009A1B4C"/>
    <w:rsid w:val="009A1C21"/>
    <w:rsid w:val="009A25F6"/>
    <w:rsid w:val="009A30F6"/>
    <w:rsid w:val="009A3A22"/>
    <w:rsid w:val="009A3DB8"/>
    <w:rsid w:val="009A4AD3"/>
    <w:rsid w:val="009A4AE5"/>
    <w:rsid w:val="009A4B37"/>
    <w:rsid w:val="009A4EC8"/>
    <w:rsid w:val="009A4F41"/>
    <w:rsid w:val="009A56F1"/>
    <w:rsid w:val="009A585B"/>
    <w:rsid w:val="009A607F"/>
    <w:rsid w:val="009A69A0"/>
    <w:rsid w:val="009A7A66"/>
    <w:rsid w:val="009A7DF4"/>
    <w:rsid w:val="009B13D5"/>
    <w:rsid w:val="009B1688"/>
    <w:rsid w:val="009B2623"/>
    <w:rsid w:val="009B26E0"/>
    <w:rsid w:val="009B2830"/>
    <w:rsid w:val="009B3386"/>
    <w:rsid w:val="009B342D"/>
    <w:rsid w:val="009B3595"/>
    <w:rsid w:val="009B381B"/>
    <w:rsid w:val="009B4027"/>
    <w:rsid w:val="009B4685"/>
    <w:rsid w:val="009B4994"/>
    <w:rsid w:val="009B50A1"/>
    <w:rsid w:val="009B52CE"/>
    <w:rsid w:val="009B53F0"/>
    <w:rsid w:val="009B5C0A"/>
    <w:rsid w:val="009B5EF1"/>
    <w:rsid w:val="009B6281"/>
    <w:rsid w:val="009B62CA"/>
    <w:rsid w:val="009B6461"/>
    <w:rsid w:val="009B6585"/>
    <w:rsid w:val="009B6919"/>
    <w:rsid w:val="009B7119"/>
    <w:rsid w:val="009B7333"/>
    <w:rsid w:val="009B7D05"/>
    <w:rsid w:val="009C04E8"/>
    <w:rsid w:val="009C0C08"/>
    <w:rsid w:val="009C121B"/>
    <w:rsid w:val="009C1C1B"/>
    <w:rsid w:val="009C23B6"/>
    <w:rsid w:val="009C244A"/>
    <w:rsid w:val="009C3BA8"/>
    <w:rsid w:val="009C3C4B"/>
    <w:rsid w:val="009C3D85"/>
    <w:rsid w:val="009C44EC"/>
    <w:rsid w:val="009C475A"/>
    <w:rsid w:val="009C4C5F"/>
    <w:rsid w:val="009C54CA"/>
    <w:rsid w:val="009C6760"/>
    <w:rsid w:val="009C6A0D"/>
    <w:rsid w:val="009C777D"/>
    <w:rsid w:val="009C7BAA"/>
    <w:rsid w:val="009C7D64"/>
    <w:rsid w:val="009C7E38"/>
    <w:rsid w:val="009C7EA2"/>
    <w:rsid w:val="009D05C2"/>
    <w:rsid w:val="009D1822"/>
    <w:rsid w:val="009D1A08"/>
    <w:rsid w:val="009D230B"/>
    <w:rsid w:val="009D2ECA"/>
    <w:rsid w:val="009D33B2"/>
    <w:rsid w:val="009D3A41"/>
    <w:rsid w:val="009D3EF3"/>
    <w:rsid w:val="009D4083"/>
    <w:rsid w:val="009D5F93"/>
    <w:rsid w:val="009D74D7"/>
    <w:rsid w:val="009D7611"/>
    <w:rsid w:val="009E0B61"/>
    <w:rsid w:val="009E0C89"/>
    <w:rsid w:val="009E12CB"/>
    <w:rsid w:val="009E13FC"/>
    <w:rsid w:val="009E1BAF"/>
    <w:rsid w:val="009E21ED"/>
    <w:rsid w:val="009E3012"/>
    <w:rsid w:val="009E3833"/>
    <w:rsid w:val="009E45CB"/>
    <w:rsid w:val="009E4975"/>
    <w:rsid w:val="009E4A2A"/>
    <w:rsid w:val="009E4E45"/>
    <w:rsid w:val="009E4E91"/>
    <w:rsid w:val="009E53DE"/>
    <w:rsid w:val="009E5577"/>
    <w:rsid w:val="009E55C9"/>
    <w:rsid w:val="009E5DD1"/>
    <w:rsid w:val="009E5FE1"/>
    <w:rsid w:val="009E6937"/>
    <w:rsid w:val="009E695C"/>
    <w:rsid w:val="009E6C3E"/>
    <w:rsid w:val="009E6CC1"/>
    <w:rsid w:val="009E79F2"/>
    <w:rsid w:val="009E7C0B"/>
    <w:rsid w:val="009E7E3B"/>
    <w:rsid w:val="009F0F24"/>
    <w:rsid w:val="009F19B5"/>
    <w:rsid w:val="009F1D4D"/>
    <w:rsid w:val="009F1FC1"/>
    <w:rsid w:val="009F2EF7"/>
    <w:rsid w:val="009F33BF"/>
    <w:rsid w:val="009F3CAF"/>
    <w:rsid w:val="009F40AE"/>
    <w:rsid w:val="009F4735"/>
    <w:rsid w:val="009F4EFC"/>
    <w:rsid w:val="009F50F4"/>
    <w:rsid w:val="009F5402"/>
    <w:rsid w:val="009F55E8"/>
    <w:rsid w:val="009F6313"/>
    <w:rsid w:val="009F6409"/>
    <w:rsid w:val="009F6745"/>
    <w:rsid w:val="009F6C1A"/>
    <w:rsid w:val="009F7549"/>
    <w:rsid w:val="00A00BFD"/>
    <w:rsid w:val="00A0131C"/>
    <w:rsid w:val="00A01C60"/>
    <w:rsid w:val="00A01E78"/>
    <w:rsid w:val="00A0219A"/>
    <w:rsid w:val="00A025AC"/>
    <w:rsid w:val="00A027FA"/>
    <w:rsid w:val="00A029D7"/>
    <w:rsid w:val="00A03143"/>
    <w:rsid w:val="00A04282"/>
    <w:rsid w:val="00A04AF7"/>
    <w:rsid w:val="00A052AC"/>
    <w:rsid w:val="00A05477"/>
    <w:rsid w:val="00A06E28"/>
    <w:rsid w:val="00A072D4"/>
    <w:rsid w:val="00A0758B"/>
    <w:rsid w:val="00A07C4A"/>
    <w:rsid w:val="00A07E5F"/>
    <w:rsid w:val="00A104DF"/>
    <w:rsid w:val="00A10A00"/>
    <w:rsid w:val="00A1170C"/>
    <w:rsid w:val="00A12867"/>
    <w:rsid w:val="00A129F4"/>
    <w:rsid w:val="00A1346B"/>
    <w:rsid w:val="00A13654"/>
    <w:rsid w:val="00A139B1"/>
    <w:rsid w:val="00A13D36"/>
    <w:rsid w:val="00A149EA"/>
    <w:rsid w:val="00A15BCA"/>
    <w:rsid w:val="00A160DA"/>
    <w:rsid w:val="00A16B1B"/>
    <w:rsid w:val="00A16C0A"/>
    <w:rsid w:val="00A17003"/>
    <w:rsid w:val="00A17685"/>
    <w:rsid w:val="00A178DD"/>
    <w:rsid w:val="00A20460"/>
    <w:rsid w:val="00A219A8"/>
    <w:rsid w:val="00A21B9A"/>
    <w:rsid w:val="00A23138"/>
    <w:rsid w:val="00A231BB"/>
    <w:rsid w:val="00A23D7A"/>
    <w:rsid w:val="00A24801"/>
    <w:rsid w:val="00A2556A"/>
    <w:rsid w:val="00A25621"/>
    <w:rsid w:val="00A25E38"/>
    <w:rsid w:val="00A26681"/>
    <w:rsid w:val="00A2742D"/>
    <w:rsid w:val="00A27D5F"/>
    <w:rsid w:val="00A30A66"/>
    <w:rsid w:val="00A31632"/>
    <w:rsid w:val="00A3207B"/>
    <w:rsid w:val="00A322CA"/>
    <w:rsid w:val="00A328B3"/>
    <w:rsid w:val="00A32A18"/>
    <w:rsid w:val="00A32F4A"/>
    <w:rsid w:val="00A33F2C"/>
    <w:rsid w:val="00A344B3"/>
    <w:rsid w:val="00A34625"/>
    <w:rsid w:val="00A357AB"/>
    <w:rsid w:val="00A357FF"/>
    <w:rsid w:val="00A35CBB"/>
    <w:rsid w:val="00A3607C"/>
    <w:rsid w:val="00A36165"/>
    <w:rsid w:val="00A36B39"/>
    <w:rsid w:val="00A379F0"/>
    <w:rsid w:val="00A379F5"/>
    <w:rsid w:val="00A405E8"/>
    <w:rsid w:val="00A40EE9"/>
    <w:rsid w:val="00A411BD"/>
    <w:rsid w:val="00A41959"/>
    <w:rsid w:val="00A427A2"/>
    <w:rsid w:val="00A42CF6"/>
    <w:rsid w:val="00A430F9"/>
    <w:rsid w:val="00A43282"/>
    <w:rsid w:val="00A43286"/>
    <w:rsid w:val="00A43D5D"/>
    <w:rsid w:val="00A44165"/>
    <w:rsid w:val="00A4449E"/>
    <w:rsid w:val="00A44B9C"/>
    <w:rsid w:val="00A4583D"/>
    <w:rsid w:val="00A458BB"/>
    <w:rsid w:val="00A4661A"/>
    <w:rsid w:val="00A46904"/>
    <w:rsid w:val="00A46BA2"/>
    <w:rsid w:val="00A4737C"/>
    <w:rsid w:val="00A477D3"/>
    <w:rsid w:val="00A503DE"/>
    <w:rsid w:val="00A508E5"/>
    <w:rsid w:val="00A509E2"/>
    <w:rsid w:val="00A50B61"/>
    <w:rsid w:val="00A50B7B"/>
    <w:rsid w:val="00A50D2D"/>
    <w:rsid w:val="00A50F2F"/>
    <w:rsid w:val="00A50FCF"/>
    <w:rsid w:val="00A512A5"/>
    <w:rsid w:val="00A51744"/>
    <w:rsid w:val="00A528D1"/>
    <w:rsid w:val="00A52D34"/>
    <w:rsid w:val="00A5335B"/>
    <w:rsid w:val="00A5337B"/>
    <w:rsid w:val="00A53982"/>
    <w:rsid w:val="00A53CD9"/>
    <w:rsid w:val="00A54597"/>
    <w:rsid w:val="00A54AB9"/>
    <w:rsid w:val="00A550B7"/>
    <w:rsid w:val="00A55B8D"/>
    <w:rsid w:val="00A55C7B"/>
    <w:rsid w:val="00A55EEF"/>
    <w:rsid w:val="00A57053"/>
    <w:rsid w:val="00A57F82"/>
    <w:rsid w:val="00A60715"/>
    <w:rsid w:val="00A60DF4"/>
    <w:rsid w:val="00A610CD"/>
    <w:rsid w:val="00A61AE2"/>
    <w:rsid w:val="00A62487"/>
    <w:rsid w:val="00A62B85"/>
    <w:rsid w:val="00A62CF1"/>
    <w:rsid w:val="00A635E2"/>
    <w:rsid w:val="00A637C7"/>
    <w:rsid w:val="00A640EF"/>
    <w:rsid w:val="00A65066"/>
    <w:rsid w:val="00A65638"/>
    <w:rsid w:val="00A658E1"/>
    <w:rsid w:val="00A65AC3"/>
    <w:rsid w:val="00A65F7F"/>
    <w:rsid w:val="00A66089"/>
    <w:rsid w:val="00A66363"/>
    <w:rsid w:val="00A666C4"/>
    <w:rsid w:val="00A67020"/>
    <w:rsid w:val="00A678CE"/>
    <w:rsid w:val="00A67FD8"/>
    <w:rsid w:val="00A705EC"/>
    <w:rsid w:val="00A7105A"/>
    <w:rsid w:val="00A71079"/>
    <w:rsid w:val="00A71531"/>
    <w:rsid w:val="00A7190E"/>
    <w:rsid w:val="00A71B59"/>
    <w:rsid w:val="00A72174"/>
    <w:rsid w:val="00A7230A"/>
    <w:rsid w:val="00A72957"/>
    <w:rsid w:val="00A72EDD"/>
    <w:rsid w:val="00A731BF"/>
    <w:rsid w:val="00A73892"/>
    <w:rsid w:val="00A73B2E"/>
    <w:rsid w:val="00A73B7E"/>
    <w:rsid w:val="00A7401D"/>
    <w:rsid w:val="00A7407B"/>
    <w:rsid w:val="00A7408E"/>
    <w:rsid w:val="00A740B9"/>
    <w:rsid w:val="00A74A27"/>
    <w:rsid w:val="00A757F2"/>
    <w:rsid w:val="00A75A9C"/>
    <w:rsid w:val="00A76DB5"/>
    <w:rsid w:val="00A77001"/>
    <w:rsid w:val="00A800F5"/>
    <w:rsid w:val="00A80A6B"/>
    <w:rsid w:val="00A817B6"/>
    <w:rsid w:val="00A81D4D"/>
    <w:rsid w:val="00A81E6D"/>
    <w:rsid w:val="00A82364"/>
    <w:rsid w:val="00A82517"/>
    <w:rsid w:val="00A82EA7"/>
    <w:rsid w:val="00A82FB2"/>
    <w:rsid w:val="00A837F7"/>
    <w:rsid w:val="00A83D29"/>
    <w:rsid w:val="00A84096"/>
    <w:rsid w:val="00A842A0"/>
    <w:rsid w:val="00A84403"/>
    <w:rsid w:val="00A849C5"/>
    <w:rsid w:val="00A84A29"/>
    <w:rsid w:val="00A84A6C"/>
    <w:rsid w:val="00A84EEE"/>
    <w:rsid w:val="00A859F8"/>
    <w:rsid w:val="00A862F8"/>
    <w:rsid w:val="00A866D0"/>
    <w:rsid w:val="00A8677A"/>
    <w:rsid w:val="00A86937"/>
    <w:rsid w:val="00A87156"/>
    <w:rsid w:val="00A90A31"/>
    <w:rsid w:val="00A91484"/>
    <w:rsid w:val="00A918C1"/>
    <w:rsid w:val="00A9258C"/>
    <w:rsid w:val="00A92B2D"/>
    <w:rsid w:val="00A92D19"/>
    <w:rsid w:val="00A93138"/>
    <w:rsid w:val="00A9366F"/>
    <w:rsid w:val="00A938A9"/>
    <w:rsid w:val="00A94080"/>
    <w:rsid w:val="00A947E6"/>
    <w:rsid w:val="00A95457"/>
    <w:rsid w:val="00A95535"/>
    <w:rsid w:val="00A955FA"/>
    <w:rsid w:val="00A95C36"/>
    <w:rsid w:val="00A95C6E"/>
    <w:rsid w:val="00A95CBB"/>
    <w:rsid w:val="00A96001"/>
    <w:rsid w:val="00A978BF"/>
    <w:rsid w:val="00A97BA9"/>
    <w:rsid w:val="00A97FB6"/>
    <w:rsid w:val="00AA0751"/>
    <w:rsid w:val="00AA09A2"/>
    <w:rsid w:val="00AA09B7"/>
    <w:rsid w:val="00AA1294"/>
    <w:rsid w:val="00AA299D"/>
    <w:rsid w:val="00AA3666"/>
    <w:rsid w:val="00AA380B"/>
    <w:rsid w:val="00AA3DE2"/>
    <w:rsid w:val="00AA3DF8"/>
    <w:rsid w:val="00AA42C4"/>
    <w:rsid w:val="00AA4463"/>
    <w:rsid w:val="00AA552C"/>
    <w:rsid w:val="00AA5754"/>
    <w:rsid w:val="00AA61E8"/>
    <w:rsid w:val="00AA64DD"/>
    <w:rsid w:val="00AA652D"/>
    <w:rsid w:val="00AA78EE"/>
    <w:rsid w:val="00AA7937"/>
    <w:rsid w:val="00AB0351"/>
    <w:rsid w:val="00AB0512"/>
    <w:rsid w:val="00AB0C45"/>
    <w:rsid w:val="00AB1501"/>
    <w:rsid w:val="00AB15C9"/>
    <w:rsid w:val="00AB184F"/>
    <w:rsid w:val="00AB1C07"/>
    <w:rsid w:val="00AB21D6"/>
    <w:rsid w:val="00AB2F76"/>
    <w:rsid w:val="00AB314E"/>
    <w:rsid w:val="00AB36A9"/>
    <w:rsid w:val="00AB390C"/>
    <w:rsid w:val="00AB3B18"/>
    <w:rsid w:val="00AB43F6"/>
    <w:rsid w:val="00AB446E"/>
    <w:rsid w:val="00AB48B7"/>
    <w:rsid w:val="00AB59DE"/>
    <w:rsid w:val="00AB60D9"/>
    <w:rsid w:val="00AB62FD"/>
    <w:rsid w:val="00AB6544"/>
    <w:rsid w:val="00AB66AE"/>
    <w:rsid w:val="00AB66BF"/>
    <w:rsid w:val="00AB7183"/>
    <w:rsid w:val="00AB76A6"/>
    <w:rsid w:val="00AB7D09"/>
    <w:rsid w:val="00AC00C7"/>
    <w:rsid w:val="00AC0121"/>
    <w:rsid w:val="00AC02FB"/>
    <w:rsid w:val="00AC1248"/>
    <w:rsid w:val="00AC19CB"/>
    <w:rsid w:val="00AC2AC5"/>
    <w:rsid w:val="00AC3102"/>
    <w:rsid w:val="00AC3617"/>
    <w:rsid w:val="00AC4BEC"/>
    <w:rsid w:val="00AC5AD5"/>
    <w:rsid w:val="00AC5B89"/>
    <w:rsid w:val="00AC5F68"/>
    <w:rsid w:val="00AC6C7A"/>
    <w:rsid w:val="00AC7163"/>
    <w:rsid w:val="00AC74B7"/>
    <w:rsid w:val="00AC750B"/>
    <w:rsid w:val="00AC766D"/>
    <w:rsid w:val="00AD0B73"/>
    <w:rsid w:val="00AD1157"/>
    <w:rsid w:val="00AD198B"/>
    <w:rsid w:val="00AD1D81"/>
    <w:rsid w:val="00AD2972"/>
    <w:rsid w:val="00AD2DA0"/>
    <w:rsid w:val="00AD31E9"/>
    <w:rsid w:val="00AD452F"/>
    <w:rsid w:val="00AD4990"/>
    <w:rsid w:val="00AD6A7C"/>
    <w:rsid w:val="00AD6F41"/>
    <w:rsid w:val="00AD7729"/>
    <w:rsid w:val="00AD794D"/>
    <w:rsid w:val="00AD7F25"/>
    <w:rsid w:val="00AD7F4B"/>
    <w:rsid w:val="00AD7FD7"/>
    <w:rsid w:val="00AE0180"/>
    <w:rsid w:val="00AE02FB"/>
    <w:rsid w:val="00AE05ED"/>
    <w:rsid w:val="00AE063F"/>
    <w:rsid w:val="00AE0CEB"/>
    <w:rsid w:val="00AE103A"/>
    <w:rsid w:val="00AE16DB"/>
    <w:rsid w:val="00AE1770"/>
    <w:rsid w:val="00AE3479"/>
    <w:rsid w:val="00AE3A24"/>
    <w:rsid w:val="00AE46DB"/>
    <w:rsid w:val="00AE48BB"/>
    <w:rsid w:val="00AE4924"/>
    <w:rsid w:val="00AE5488"/>
    <w:rsid w:val="00AE6AC2"/>
    <w:rsid w:val="00AE6DE4"/>
    <w:rsid w:val="00AE6F91"/>
    <w:rsid w:val="00AE73B1"/>
    <w:rsid w:val="00AF03CA"/>
    <w:rsid w:val="00AF076C"/>
    <w:rsid w:val="00AF0DA1"/>
    <w:rsid w:val="00AF127A"/>
    <w:rsid w:val="00AF1EC1"/>
    <w:rsid w:val="00AF240F"/>
    <w:rsid w:val="00AF3064"/>
    <w:rsid w:val="00AF3572"/>
    <w:rsid w:val="00AF3E3C"/>
    <w:rsid w:val="00AF423D"/>
    <w:rsid w:val="00AF44C3"/>
    <w:rsid w:val="00AF4C2C"/>
    <w:rsid w:val="00AF4D3A"/>
    <w:rsid w:val="00AF52A5"/>
    <w:rsid w:val="00AF5571"/>
    <w:rsid w:val="00AF596C"/>
    <w:rsid w:val="00AF5E7A"/>
    <w:rsid w:val="00AF6A32"/>
    <w:rsid w:val="00AF6AFF"/>
    <w:rsid w:val="00AF7667"/>
    <w:rsid w:val="00AF77AE"/>
    <w:rsid w:val="00B000E6"/>
    <w:rsid w:val="00B00247"/>
    <w:rsid w:val="00B00FAB"/>
    <w:rsid w:val="00B0192B"/>
    <w:rsid w:val="00B01CCE"/>
    <w:rsid w:val="00B02FBE"/>
    <w:rsid w:val="00B0318B"/>
    <w:rsid w:val="00B0341D"/>
    <w:rsid w:val="00B05B37"/>
    <w:rsid w:val="00B06810"/>
    <w:rsid w:val="00B06C1C"/>
    <w:rsid w:val="00B07000"/>
    <w:rsid w:val="00B077CE"/>
    <w:rsid w:val="00B07EBA"/>
    <w:rsid w:val="00B102E9"/>
    <w:rsid w:val="00B107A9"/>
    <w:rsid w:val="00B10F4E"/>
    <w:rsid w:val="00B12686"/>
    <w:rsid w:val="00B1309A"/>
    <w:rsid w:val="00B13110"/>
    <w:rsid w:val="00B1311E"/>
    <w:rsid w:val="00B131AB"/>
    <w:rsid w:val="00B13D6E"/>
    <w:rsid w:val="00B14767"/>
    <w:rsid w:val="00B14F30"/>
    <w:rsid w:val="00B1664E"/>
    <w:rsid w:val="00B16EB9"/>
    <w:rsid w:val="00B1736D"/>
    <w:rsid w:val="00B17715"/>
    <w:rsid w:val="00B1773A"/>
    <w:rsid w:val="00B20723"/>
    <w:rsid w:val="00B21524"/>
    <w:rsid w:val="00B21948"/>
    <w:rsid w:val="00B2426C"/>
    <w:rsid w:val="00B24991"/>
    <w:rsid w:val="00B25283"/>
    <w:rsid w:val="00B2572A"/>
    <w:rsid w:val="00B25CDF"/>
    <w:rsid w:val="00B25D62"/>
    <w:rsid w:val="00B26289"/>
    <w:rsid w:val="00B262A4"/>
    <w:rsid w:val="00B264BC"/>
    <w:rsid w:val="00B26584"/>
    <w:rsid w:val="00B266DC"/>
    <w:rsid w:val="00B2694A"/>
    <w:rsid w:val="00B26AAC"/>
    <w:rsid w:val="00B26FB4"/>
    <w:rsid w:val="00B2753D"/>
    <w:rsid w:val="00B27BCD"/>
    <w:rsid w:val="00B302C7"/>
    <w:rsid w:val="00B30539"/>
    <w:rsid w:val="00B30977"/>
    <w:rsid w:val="00B314DB"/>
    <w:rsid w:val="00B316B6"/>
    <w:rsid w:val="00B349D1"/>
    <w:rsid w:val="00B34ACE"/>
    <w:rsid w:val="00B356B0"/>
    <w:rsid w:val="00B36240"/>
    <w:rsid w:val="00B36D53"/>
    <w:rsid w:val="00B3701B"/>
    <w:rsid w:val="00B3718B"/>
    <w:rsid w:val="00B37446"/>
    <w:rsid w:val="00B40069"/>
    <w:rsid w:val="00B4041B"/>
    <w:rsid w:val="00B4060E"/>
    <w:rsid w:val="00B40FB2"/>
    <w:rsid w:val="00B41C05"/>
    <w:rsid w:val="00B434AA"/>
    <w:rsid w:val="00B43AE5"/>
    <w:rsid w:val="00B43CAB"/>
    <w:rsid w:val="00B442C7"/>
    <w:rsid w:val="00B44C7C"/>
    <w:rsid w:val="00B456B1"/>
    <w:rsid w:val="00B45759"/>
    <w:rsid w:val="00B4632A"/>
    <w:rsid w:val="00B46A0F"/>
    <w:rsid w:val="00B46F78"/>
    <w:rsid w:val="00B473D0"/>
    <w:rsid w:val="00B476CE"/>
    <w:rsid w:val="00B50D3F"/>
    <w:rsid w:val="00B50E37"/>
    <w:rsid w:val="00B51482"/>
    <w:rsid w:val="00B530F1"/>
    <w:rsid w:val="00B5326D"/>
    <w:rsid w:val="00B53AD5"/>
    <w:rsid w:val="00B56419"/>
    <w:rsid w:val="00B56AC1"/>
    <w:rsid w:val="00B56B37"/>
    <w:rsid w:val="00B56D14"/>
    <w:rsid w:val="00B570E7"/>
    <w:rsid w:val="00B57F96"/>
    <w:rsid w:val="00B600F0"/>
    <w:rsid w:val="00B60964"/>
    <w:rsid w:val="00B6113A"/>
    <w:rsid w:val="00B61680"/>
    <w:rsid w:val="00B61F6A"/>
    <w:rsid w:val="00B62681"/>
    <w:rsid w:val="00B63484"/>
    <w:rsid w:val="00B636B5"/>
    <w:rsid w:val="00B64AE2"/>
    <w:rsid w:val="00B65B7D"/>
    <w:rsid w:val="00B65FAC"/>
    <w:rsid w:val="00B6650F"/>
    <w:rsid w:val="00B66DDF"/>
    <w:rsid w:val="00B66F20"/>
    <w:rsid w:val="00B6720D"/>
    <w:rsid w:val="00B71885"/>
    <w:rsid w:val="00B72332"/>
    <w:rsid w:val="00B727DB"/>
    <w:rsid w:val="00B72B38"/>
    <w:rsid w:val="00B73061"/>
    <w:rsid w:val="00B732CC"/>
    <w:rsid w:val="00B737FD"/>
    <w:rsid w:val="00B74B77"/>
    <w:rsid w:val="00B74CF0"/>
    <w:rsid w:val="00B75A71"/>
    <w:rsid w:val="00B772CB"/>
    <w:rsid w:val="00B7781C"/>
    <w:rsid w:val="00B8064A"/>
    <w:rsid w:val="00B80719"/>
    <w:rsid w:val="00B8166D"/>
    <w:rsid w:val="00B819AD"/>
    <w:rsid w:val="00B81C16"/>
    <w:rsid w:val="00B83ED3"/>
    <w:rsid w:val="00B84D32"/>
    <w:rsid w:val="00B84D3D"/>
    <w:rsid w:val="00B84FF0"/>
    <w:rsid w:val="00B85D0F"/>
    <w:rsid w:val="00B87ADF"/>
    <w:rsid w:val="00B87DB6"/>
    <w:rsid w:val="00B90768"/>
    <w:rsid w:val="00B90CB4"/>
    <w:rsid w:val="00B90D86"/>
    <w:rsid w:val="00B90E79"/>
    <w:rsid w:val="00B90EC1"/>
    <w:rsid w:val="00B91154"/>
    <w:rsid w:val="00B917C7"/>
    <w:rsid w:val="00B91CAC"/>
    <w:rsid w:val="00B92B20"/>
    <w:rsid w:val="00B92C9B"/>
    <w:rsid w:val="00B92D5A"/>
    <w:rsid w:val="00B93439"/>
    <w:rsid w:val="00B93FE4"/>
    <w:rsid w:val="00B9432B"/>
    <w:rsid w:val="00B944FB"/>
    <w:rsid w:val="00B94589"/>
    <w:rsid w:val="00B948CD"/>
    <w:rsid w:val="00B94B27"/>
    <w:rsid w:val="00B955AE"/>
    <w:rsid w:val="00B95CD3"/>
    <w:rsid w:val="00B95DE5"/>
    <w:rsid w:val="00B968A8"/>
    <w:rsid w:val="00B972EF"/>
    <w:rsid w:val="00B97310"/>
    <w:rsid w:val="00B97B72"/>
    <w:rsid w:val="00BA0A5E"/>
    <w:rsid w:val="00BA1C9C"/>
    <w:rsid w:val="00BA1D94"/>
    <w:rsid w:val="00BA2600"/>
    <w:rsid w:val="00BA276C"/>
    <w:rsid w:val="00BA2F04"/>
    <w:rsid w:val="00BA4746"/>
    <w:rsid w:val="00BA483C"/>
    <w:rsid w:val="00BA528B"/>
    <w:rsid w:val="00BA53BB"/>
    <w:rsid w:val="00BA573E"/>
    <w:rsid w:val="00BA5D29"/>
    <w:rsid w:val="00BA5E6A"/>
    <w:rsid w:val="00BA619C"/>
    <w:rsid w:val="00BA683E"/>
    <w:rsid w:val="00BA7312"/>
    <w:rsid w:val="00BA792D"/>
    <w:rsid w:val="00BA7A49"/>
    <w:rsid w:val="00BA7F1C"/>
    <w:rsid w:val="00BB01F4"/>
    <w:rsid w:val="00BB0213"/>
    <w:rsid w:val="00BB1F5B"/>
    <w:rsid w:val="00BB256D"/>
    <w:rsid w:val="00BB2D95"/>
    <w:rsid w:val="00BB306F"/>
    <w:rsid w:val="00BB35E4"/>
    <w:rsid w:val="00BB369E"/>
    <w:rsid w:val="00BB4116"/>
    <w:rsid w:val="00BB4253"/>
    <w:rsid w:val="00BB49EB"/>
    <w:rsid w:val="00BB52E6"/>
    <w:rsid w:val="00BB5322"/>
    <w:rsid w:val="00BB5FC7"/>
    <w:rsid w:val="00BB658B"/>
    <w:rsid w:val="00BB664F"/>
    <w:rsid w:val="00BB7104"/>
    <w:rsid w:val="00BB7C91"/>
    <w:rsid w:val="00BB7E95"/>
    <w:rsid w:val="00BC0622"/>
    <w:rsid w:val="00BC18C9"/>
    <w:rsid w:val="00BC2868"/>
    <w:rsid w:val="00BC2AFC"/>
    <w:rsid w:val="00BC2D8D"/>
    <w:rsid w:val="00BC4041"/>
    <w:rsid w:val="00BC433F"/>
    <w:rsid w:val="00BC4DAA"/>
    <w:rsid w:val="00BC4E19"/>
    <w:rsid w:val="00BC4F90"/>
    <w:rsid w:val="00BC57DB"/>
    <w:rsid w:val="00BC5941"/>
    <w:rsid w:val="00BC6005"/>
    <w:rsid w:val="00BC6020"/>
    <w:rsid w:val="00BC65A4"/>
    <w:rsid w:val="00BC668B"/>
    <w:rsid w:val="00BC668F"/>
    <w:rsid w:val="00BC6855"/>
    <w:rsid w:val="00BC6C67"/>
    <w:rsid w:val="00BC70E9"/>
    <w:rsid w:val="00BD0CF9"/>
    <w:rsid w:val="00BD0EB4"/>
    <w:rsid w:val="00BD2028"/>
    <w:rsid w:val="00BD2703"/>
    <w:rsid w:val="00BD33F7"/>
    <w:rsid w:val="00BD3A3F"/>
    <w:rsid w:val="00BD3D92"/>
    <w:rsid w:val="00BD41BB"/>
    <w:rsid w:val="00BD4730"/>
    <w:rsid w:val="00BD495B"/>
    <w:rsid w:val="00BD4B89"/>
    <w:rsid w:val="00BD5F33"/>
    <w:rsid w:val="00BD726E"/>
    <w:rsid w:val="00BE025B"/>
    <w:rsid w:val="00BE047B"/>
    <w:rsid w:val="00BE0D78"/>
    <w:rsid w:val="00BE120D"/>
    <w:rsid w:val="00BE1380"/>
    <w:rsid w:val="00BE167E"/>
    <w:rsid w:val="00BE1964"/>
    <w:rsid w:val="00BE2AE0"/>
    <w:rsid w:val="00BE3101"/>
    <w:rsid w:val="00BE31DC"/>
    <w:rsid w:val="00BE3526"/>
    <w:rsid w:val="00BE358A"/>
    <w:rsid w:val="00BE376B"/>
    <w:rsid w:val="00BE3D72"/>
    <w:rsid w:val="00BE3FD6"/>
    <w:rsid w:val="00BE4112"/>
    <w:rsid w:val="00BE4A27"/>
    <w:rsid w:val="00BE4C47"/>
    <w:rsid w:val="00BE65AE"/>
    <w:rsid w:val="00BE6BF1"/>
    <w:rsid w:val="00BE72B5"/>
    <w:rsid w:val="00BE73F9"/>
    <w:rsid w:val="00BE7B63"/>
    <w:rsid w:val="00BF03D8"/>
    <w:rsid w:val="00BF0ACA"/>
    <w:rsid w:val="00BF180B"/>
    <w:rsid w:val="00BF1823"/>
    <w:rsid w:val="00BF1A40"/>
    <w:rsid w:val="00BF2146"/>
    <w:rsid w:val="00BF339D"/>
    <w:rsid w:val="00BF3461"/>
    <w:rsid w:val="00BF34CC"/>
    <w:rsid w:val="00BF3DF6"/>
    <w:rsid w:val="00BF4CCB"/>
    <w:rsid w:val="00BF4D34"/>
    <w:rsid w:val="00BF5612"/>
    <w:rsid w:val="00BF5AF5"/>
    <w:rsid w:val="00BF6533"/>
    <w:rsid w:val="00BF6B82"/>
    <w:rsid w:val="00BF6FD8"/>
    <w:rsid w:val="00BF7D6D"/>
    <w:rsid w:val="00BF7F7C"/>
    <w:rsid w:val="00C0075D"/>
    <w:rsid w:val="00C01D45"/>
    <w:rsid w:val="00C01E60"/>
    <w:rsid w:val="00C0258D"/>
    <w:rsid w:val="00C0275D"/>
    <w:rsid w:val="00C02D36"/>
    <w:rsid w:val="00C02EA6"/>
    <w:rsid w:val="00C03680"/>
    <w:rsid w:val="00C03F9C"/>
    <w:rsid w:val="00C04314"/>
    <w:rsid w:val="00C045F5"/>
    <w:rsid w:val="00C047D5"/>
    <w:rsid w:val="00C047D9"/>
    <w:rsid w:val="00C04F37"/>
    <w:rsid w:val="00C052ED"/>
    <w:rsid w:val="00C054DF"/>
    <w:rsid w:val="00C0580F"/>
    <w:rsid w:val="00C05AAD"/>
    <w:rsid w:val="00C05C0C"/>
    <w:rsid w:val="00C05EC5"/>
    <w:rsid w:val="00C06120"/>
    <w:rsid w:val="00C062C0"/>
    <w:rsid w:val="00C067C3"/>
    <w:rsid w:val="00C071D4"/>
    <w:rsid w:val="00C1072B"/>
    <w:rsid w:val="00C10C6B"/>
    <w:rsid w:val="00C11042"/>
    <w:rsid w:val="00C116E8"/>
    <w:rsid w:val="00C11A27"/>
    <w:rsid w:val="00C12378"/>
    <w:rsid w:val="00C13281"/>
    <w:rsid w:val="00C135D0"/>
    <w:rsid w:val="00C13D44"/>
    <w:rsid w:val="00C143A1"/>
    <w:rsid w:val="00C14978"/>
    <w:rsid w:val="00C152A5"/>
    <w:rsid w:val="00C15A24"/>
    <w:rsid w:val="00C15A62"/>
    <w:rsid w:val="00C15E41"/>
    <w:rsid w:val="00C16451"/>
    <w:rsid w:val="00C169C4"/>
    <w:rsid w:val="00C174CA"/>
    <w:rsid w:val="00C17C8F"/>
    <w:rsid w:val="00C20E98"/>
    <w:rsid w:val="00C21762"/>
    <w:rsid w:val="00C21E02"/>
    <w:rsid w:val="00C2240A"/>
    <w:rsid w:val="00C22BEF"/>
    <w:rsid w:val="00C233AC"/>
    <w:rsid w:val="00C2355D"/>
    <w:rsid w:val="00C236C1"/>
    <w:rsid w:val="00C24543"/>
    <w:rsid w:val="00C247B9"/>
    <w:rsid w:val="00C2517B"/>
    <w:rsid w:val="00C25480"/>
    <w:rsid w:val="00C25607"/>
    <w:rsid w:val="00C256A2"/>
    <w:rsid w:val="00C26A02"/>
    <w:rsid w:val="00C2728C"/>
    <w:rsid w:val="00C300ED"/>
    <w:rsid w:val="00C30AC4"/>
    <w:rsid w:val="00C32539"/>
    <w:rsid w:val="00C32962"/>
    <w:rsid w:val="00C329B6"/>
    <w:rsid w:val="00C32AD3"/>
    <w:rsid w:val="00C33726"/>
    <w:rsid w:val="00C33ABF"/>
    <w:rsid w:val="00C33F62"/>
    <w:rsid w:val="00C34113"/>
    <w:rsid w:val="00C3457E"/>
    <w:rsid w:val="00C34CEF"/>
    <w:rsid w:val="00C34E9B"/>
    <w:rsid w:val="00C35013"/>
    <w:rsid w:val="00C3530F"/>
    <w:rsid w:val="00C3534A"/>
    <w:rsid w:val="00C3552C"/>
    <w:rsid w:val="00C3601A"/>
    <w:rsid w:val="00C3617B"/>
    <w:rsid w:val="00C3623E"/>
    <w:rsid w:val="00C37FDB"/>
    <w:rsid w:val="00C401C4"/>
    <w:rsid w:val="00C40219"/>
    <w:rsid w:val="00C40641"/>
    <w:rsid w:val="00C415F7"/>
    <w:rsid w:val="00C4160B"/>
    <w:rsid w:val="00C41985"/>
    <w:rsid w:val="00C41D1E"/>
    <w:rsid w:val="00C41D81"/>
    <w:rsid w:val="00C42BE7"/>
    <w:rsid w:val="00C433C4"/>
    <w:rsid w:val="00C437CD"/>
    <w:rsid w:val="00C441D8"/>
    <w:rsid w:val="00C44748"/>
    <w:rsid w:val="00C449B8"/>
    <w:rsid w:val="00C4519A"/>
    <w:rsid w:val="00C45415"/>
    <w:rsid w:val="00C45C34"/>
    <w:rsid w:val="00C45D0C"/>
    <w:rsid w:val="00C46810"/>
    <w:rsid w:val="00C50392"/>
    <w:rsid w:val="00C50E0A"/>
    <w:rsid w:val="00C512B7"/>
    <w:rsid w:val="00C51515"/>
    <w:rsid w:val="00C51B54"/>
    <w:rsid w:val="00C52032"/>
    <w:rsid w:val="00C5301B"/>
    <w:rsid w:val="00C5332A"/>
    <w:rsid w:val="00C533FC"/>
    <w:rsid w:val="00C54035"/>
    <w:rsid w:val="00C554CF"/>
    <w:rsid w:val="00C55590"/>
    <w:rsid w:val="00C5660B"/>
    <w:rsid w:val="00C573E1"/>
    <w:rsid w:val="00C578A4"/>
    <w:rsid w:val="00C604DB"/>
    <w:rsid w:val="00C60EAA"/>
    <w:rsid w:val="00C61082"/>
    <w:rsid w:val="00C616B6"/>
    <w:rsid w:val="00C62087"/>
    <w:rsid w:val="00C62141"/>
    <w:rsid w:val="00C62241"/>
    <w:rsid w:val="00C62CFF"/>
    <w:rsid w:val="00C6366B"/>
    <w:rsid w:val="00C639C6"/>
    <w:rsid w:val="00C639FB"/>
    <w:rsid w:val="00C6438A"/>
    <w:rsid w:val="00C65722"/>
    <w:rsid w:val="00C66807"/>
    <w:rsid w:val="00C66B72"/>
    <w:rsid w:val="00C66E3D"/>
    <w:rsid w:val="00C67600"/>
    <w:rsid w:val="00C67740"/>
    <w:rsid w:val="00C7030F"/>
    <w:rsid w:val="00C709FD"/>
    <w:rsid w:val="00C713CE"/>
    <w:rsid w:val="00C713D2"/>
    <w:rsid w:val="00C72736"/>
    <w:rsid w:val="00C73345"/>
    <w:rsid w:val="00C73D8E"/>
    <w:rsid w:val="00C74105"/>
    <w:rsid w:val="00C746F6"/>
    <w:rsid w:val="00C74A29"/>
    <w:rsid w:val="00C751A0"/>
    <w:rsid w:val="00C7582E"/>
    <w:rsid w:val="00C75A7C"/>
    <w:rsid w:val="00C7625C"/>
    <w:rsid w:val="00C762F5"/>
    <w:rsid w:val="00C768DE"/>
    <w:rsid w:val="00C769B0"/>
    <w:rsid w:val="00C76DF0"/>
    <w:rsid w:val="00C777AC"/>
    <w:rsid w:val="00C77EA2"/>
    <w:rsid w:val="00C80D43"/>
    <w:rsid w:val="00C817A5"/>
    <w:rsid w:val="00C825C1"/>
    <w:rsid w:val="00C8384D"/>
    <w:rsid w:val="00C842DF"/>
    <w:rsid w:val="00C84A25"/>
    <w:rsid w:val="00C851E6"/>
    <w:rsid w:val="00C85A89"/>
    <w:rsid w:val="00C85B93"/>
    <w:rsid w:val="00C85E9A"/>
    <w:rsid w:val="00C86F17"/>
    <w:rsid w:val="00C872FB"/>
    <w:rsid w:val="00C9052E"/>
    <w:rsid w:val="00C9157C"/>
    <w:rsid w:val="00C9176B"/>
    <w:rsid w:val="00C9192C"/>
    <w:rsid w:val="00C91F1F"/>
    <w:rsid w:val="00C91FAE"/>
    <w:rsid w:val="00C92371"/>
    <w:rsid w:val="00C925E5"/>
    <w:rsid w:val="00C9263A"/>
    <w:rsid w:val="00C92BBF"/>
    <w:rsid w:val="00C92DFD"/>
    <w:rsid w:val="00C9346A"/>
    <w:rsid w:val="00C93901"/>
    <w:rsid w:val="00C939C5"/>
    <w:rsid w:val="00C9443A"/>
    <w:rsid w:val="00C94E03"/>
    <w:rsid w:val="00C95188"/>
    <w:rsid w:val="00C9567A"/>
    <w:rsid w:val="00C96C27"/>
    <w:rsid w:val="00C97B5F"/>
    <w:rsid w:val="00C97F2E"/>
    <w:rsid w:val="00CA076A"/>
    <w:rsid w:val="00CA115B"/>
    <w:rsid w:val="00CA18FF"/>
    <w:rsid w:val="00CA1CFC"/>
    <w:rsid w:val="00CA2443"/>
    <w:rsid w:val="00CA28F3"/>
    <w:rsid w:val="00CA438E"/>
    <w:rsid w:val="00CA4570"/>
    <w:rsid w:val="00CA594D"/>
    <w:rsid w:val="00CA6001"/>
    <w:rsid w:val="00CA6347"/>
    <w:rsid w:val="00CA646A"/>
    <w:rsid w:val="00CA77C5"/>
    <w:rsid w:val="00CA7EA3"/>
    <w:rsid w:val="00CB0181"/>
    <w:rsid w:val="00CB0568"/>
    <w:rsid w:val="00CB1367"/>
    <w:rsid w:val="00CB15BF"/>
    <w:rsid w:val="00CB1774"/>
    <w:rsid w:val="00CB1B22"/>
    <w:rsid w:val="00CB212D"/>
    <w:rsid w:val="00CB2365"/>
    <w:rsid w:val="00CB2513"/>
    <w:rsid w:val="00CB25B4"/>
    <w:rsid w:val="00CB2660"/>
    <w:rsid w:val="00CB268E"/>
    <w:rsid w:val="00CB33DA"/>
    <w:rsid w:val="00CB3D2A"/>
    <w:rsid w:val="00CB51F9"/>
    <w:rsid w:val="00CB5B57"/>
    <w:rsid w:val="00CB6563"/>
    <w:rsid w:val="00CB6A15"/>
    <w:rsid w:val="00CB6BBC"/>
    <w:rsid w:val="00CB6CDB"/>
    <w:rsid w:val="00CB7019"/>
    <w:rsid w:val="00CB75DC"/>
    <w:rsid w:val="00CB768E"/>
    <w:rsid w:val="00CC0526"/>
    <w:rsid w:val="00CC0C3B"/>
    <w:rsid w:val="00CC20FD"/>
    <w:rsid w:val="00CC2355"/>
    <w:rsid w:val="00CC2479"/>
    <w:rsid w:val="00CC25EE"/>
    <w:rsid w:val="00CC2CE0"/>
    <w:rsid w:val="00CC2FB9"/>
    <w:rsid w:val="00CC3194"/>
    <w:rsid w:val="00CC33E4"/>
    <w:rsid w:val="00CC437D"/>
    <w:rsid w:val="00CC44AC"/>
    <w:rsid w:val="00CC4B44"/>
    <w:rsid w:val="00CC4FB6"/>
    <w:rsid w:val="00CC4FCD"/>
    <w:rsid w:val="00CC54BA"/>
    <w:rsid w:val="00CC5A69"/>
    <w:rsid w:val="00CC5E90"/>
    <w:rsid w:val="00CC5E9E"/>
    <w:rsid w:val="00CC6286"/>
    <w:rsid w:val="00CC62A2"/>
    <w:rsid w:val="00CC636E"/>
    <w:rsid w:val="00CC6EEB"/>
    <w:rsid w:val="00CC7018"/>
    <w:rsid w:val="00CC759E"/>
    <w:rsid w:val="00CC7B6E"/>
    <w:rsid w:val="00CC7BE0"/>
    <w:rsid w:val="00CC7D0D"/>
    <w:rsid w:val="00CD046C"/>
    <w:rsid w:val="00CD1103"/>
    <w:rsid w:val="00CD1947"/>
    <w:rsid w:val="00CD1B0D"/>
    <w:rsid w:val="00CD21DC"/>
    <w:rsid w:val="00CD241B"/>
    <w:rsid w:val="00CD2990"/>
    <w:rsid w:val="00CD2A95"/>
    <w:rsid w:val="00CD39A2"/>
    <w:rsid w:val="00CD3E9E"/>
    <w:rsid w:val="00CD49CE"/>
    <w:rsid w:val="00CD4BA5"/>
    <w:rsid w:val="00CD60C7"/>
    <w:rsid w:val="00CD63B8"/>
    <w:rsid w:val="00CD66CD"/>
    <w:rsid w:val="00CD72F1"/>
    <w:rsid w:val="00CE076C"/>
    <w:rsid w:val="00CE0946"/>
    <w:rsid w:val="00CE0F5A"/>
    <w:rsid w:val="00CE17C9"/>
    <w:rsid w:val="00CE1801"/>
    <w:rsid w:val="00CE2A89"/>
    <w:rsid w:val="00CE2FB5"/>
    <w:rsid w:val="00CE311B"/>
    <w:rsid w:val="00CE384C"/>
    <w:rsid w:val="00CE3D55"/>
    <w:rsid w:val="00CE434E"/>
    <w:rsid w:val="00CE44CE"/>
    <w:rsid w:val="00CE4A64"/>
    <w:rsid w:val="00CE5199"/>
    <w:rsid w:val="00CE547B"/>
    <w:rsid w:val="00CE59DE"/>
    <w:rsid w:val="00CE5A44"/>
    <w:rsid w:val="00CE5D46"/>
    <w:rsid w:val="00CE61EF"/>
    <w:rsid w:val="00CE66D5"/>
    <w:rsid w:val="00CE672C"/>
    <w:rsid w:val="00CE7C68"/>
    <w:rsid w:val="00CE7F4A"/>
    <w:rsid w:val="00CF012B"/>
    <w:rsid w:val="00CF02D8"/>
    <w:rsid w:val="00CF102F"/>
    <w:rsid w:val="00CF1FAC"/>
    <w:rsid w:val="00CF29AF"/>
    <w:rsid w:val="00CF2B4C"/>
    <w:rsid w:val="00CF351C"/>
    <w:rsid w:val="00CF4F4B"/>
    <w:rsid w:val="00CF5907"/>
    <w:rsid w:val="00CF5C49"/>
    <w:rsid w:val="00CF637A"/>
    <w:rsid w:val="00CF6787"/>
    <w:rsid w:val="00CF783F"/>
    <w:rsid w:val="00CF7E17"/>
    <w:rsid w:val="00D0014F"/>
    <w:rsid w:val="00D00383"/>
    <w:rsid w:val="00D00928"/>
    <w:rsid w:val="00D00C12"/>
    <w:rsid w:val="00D01456"/>
    <w:rsid w:val="00D01FD1"/>
    <w:rsid w:val="00D02DB7"/>
    <w:rsid w:val="00D03E7E"/>
    <w:rsid w:val="00D044BD"/>
    <w:rsid w:val="00D046C4"/>
    <w:rsid w:val="00D04F27"/>
    <w:rsid w:val="00D05894"/>
    <w:rsid w:val="00D059DE"/>
    <w:rsid w:val="00D062FF"/>
    <w:rsid w:val="00D063AD"/>
    <w:rsid w:val="00D066BF"/>
    <w:rsid w:val="00D068DE"/>
    <w:rsid w:val="00D078F2"/>
    <w:rsid w:val="00D07CD3"/>
    <w:rsid w:val="00D108E9"/>
    <w:rsid w:val="00D10E07"/>
    <w:rsid w:val="00D10F5B"/>
    <w:rsid w:val="00D1165D"/>
    <w:rsid w:val="00D11A5E"/>
    <w:rsid w:val="00D1255D"/>
    <w:rsid w:val="00D12665"/>
    <w:rsid w:val="00D12EFE"/>
    <w:rsid w:val="00D13CA7"/>
    <w:rsid w:val="00D13D09"/>
    <w:rsid w:val="00D13FCE"/>
    <w:rsid w:val="00D149F1"/>
    <w:rsid w:val="00D14F16"/>
    <w:rsid w:val="00D15325"/>
    <w:rsid w:val="00D15EC3"/>
    <w:rsid w:val="00D162A1"/>
    <w:rsid w:val="00D163F2"/>
    <w:rsid w:val="00D167FE"/>
    <w:rsid w:val="00D173C6"/>
    <w:rsid w:val="00D17482"/>
    <w:rsid w:val="00D17CC0"/>
    <w:rsid w:val="00D200F6"/>
    <w:rsid w:val="00D20226"/>
    <w:rsid w:val="00D202AC"/>
    <w:rsid w:val="00D20AB9"/>
    <w:rsid w:val="00D20BD7"/>
    <w:rsid w:val="00D20FB9"/>
    <w:rsid w:val="00D2116F"/>
    <w:rsid w:val="00D211CE"/>
    <w:rsid w:val="00D21320"/>
    <w:rsid w:val="00D21891"/>
    <w:rsid w:val="00D21966"/>
    <w:rsid w:val="00D21A95"/>
    <w:rsid w:val="00D21F40"/>
    <w:rsid w:val="00D22010"/>
    <w:rsid w:val="00D2281E"/>
    <w:rsid w:val="00D22E8A"/>
    <w:rsid w:val="00D2333E"/>
    <w:rsid w:val="00D2360B"/>
    <w:rsid w:val="00D236A7"/>
    <w:rsid w:val="00D239E9"/>
    <w:rsid w:val="00D248F7"/>
    <w:rsid w:val="00D24A7F"/>
    <w:rsid w:val="00D25974"/>
    <w:rsid w:val="00D25DA5"/>
    <w:rsid w:val="00D26301"/>
    <w:rsid w:val="00D26A84"/>
    <w:rsid w:val="00D27700"/>
    <w:rsid w:val="00D27B53"/>
    <w:rsid w:val="00D306D1"/>
    <w:rsid w:val="00D306F3"/>
    <w:rsid w:val="00D308F8"/>
    <w:rsid w:val="00D3143B"/>
    <w:rsid w:val="00D31642"/>
    <w:rsid w:val="00D31674"/>
    <w:rsid w:val="00D32002"/>
    <w:rsid w:val="00D32082"/>
    <w:rsid w:val="00D324B3"/>
    <w:rsid w:val="00D329C8"/>
    <w:rsid w:val="00D33614"/>
    <w:rsid w:val="00D33852"/>
    <w:rsid w:val="00D33903"/>
    <w:rsid w:val="00D33AF6"/>
    <w:rsid w:val="00D33E17"/>
    <w:rsid w:val="00D34291"/>
    <w:rsid w:val="00D343B8"/>
    <w:rsid w:val="00D34786"/>
    <w:rsid w:val="00D34CE7"/>
    <w:rsid w:val="00D34E8F"/>
    <w:rsid w:val="00D34EC4"/>
    <w:rsid w:val="00D35F98"/>
    <w:rsid w:val="00D363CB"/>
    <w:rsid w:val="00D367BC"/>
    <w:rsid w:val="00D3681A"/>
    <w:rsid w:val="00D36DC7"/>
    <w:rsid w:val="00D373F6"/>
    <w:rsid w:val="00D37B53"/>
    <w:rsid w:val="00D409A3"/>
    <w:rsid w:val="00D41BBF"/>
    <w:rsid w:val="00D41DC9"/>
    <w:rsid w:val="00D4291A"/>
    <w:rsid w:val="00D43262"/>
    <w:rsid w:val="00D43835"/>
    <w:rsid w:val="00D43A4E"/>
    <w:rsid w:val="00D44154"/>
    <w:rsid w:val="00D44CC0"/>
    <w:rsid w:val="00D44D1C"/>
    <w:rsid w:val="00D455DD"/>
    <w:rsid w:val="00D45802"/>
    <w:rsid w:val="00D4628A"/>
    <w:rsid w:val="00D46A1F"/>
    <w:rsid w:val="00D4736B"/>
    <w:rsid w:val="00D47537"/>
    <w:rsid w:val="00D47A8E"/>
    <w:rsid w:val="00D47AE8"/>
    <w:rsid w:val="00D5022E"/>
    <w:rsid w:val="00D503C3"/>
    <w:rsid w:val="00D506C4"/>
    <w:rsid w:val="00D50CF0"/>
    <w:rsid w:val="00D50D9E"/>
    <w:rsid w:val="00D50E69"/>
    <w:rsid w:val="00D51633"/>
    <w:rsid w:val="00D524E7"/>
    <w:rsid w:val="00D52A23"/>
    <w:rsid w:val="00D52D14"/>
    <w:rsid w:val="00D531E3"/>
    <w:rsid w:val="00D5390E"/>
    <w:rsid w:val="00D543A9"/>
    <w:rsid w:val="00D55A37"/>
    <w:rsid w:val="00D5671A"/>
    <w:rsid w:val="00D57276"/>
    <w:rsid w:val="00D57298"/>
    <w:rsid w:val="00D5757C"/>
    <w:rsid w:val="00D57732"/>
    <w:rsid w:val="00D57E70"/>
    <w:rsid w:val="00D57F66"/>
    <w:rsid w:val="00D6022F"/>
    <w:rsid w:val="00D60299"/>
    <w:rsid w:val="00D603D4"/>
    <w:rsid w:val="00D60F3A"/>
    <w:rsid w:val="00D612F9"/>
    <w:rsid w:val="00D61CF7"/>
    <w:rsid w:val="00D61FF7"/>
    <w:rsid w:val="00D62D3D"/>
    <w:rsid w:val="00D62EE3"/>
    <w:rsid w:val="00D64185"/>
    <w:rsid w:val="00D647EB"/>
    <w:rsid w:val="00D652B3"/>
    <w:rsid w:val="00D652B5"/>
    <w:rsid w:val="00D65495"/>
    <w:rsid w:val="00D65F09"/>
    <w:rsid w:val="00D664FC"/>
    <w:rsid w:val="00D66A14"/>
    <w:rsid w:val="00D67CC4"/>
    <w:rsid w:val="00D712D3"/>
    <w:rsid w:val="00D71422"/>
    <w:rsid w:val="00D7151E"/>
    <w:rsid w:val="00D7257D"/>
    <w:rsid w:val="00D72582"/>
    <w:rsid w:val="00D72DC6"/>
    <w:rsid w:val="00D744A5"/>
    <w:rsid w:val="00D74BA2"/>
    <w:rsid w:val="00D74D79"/>
    <w:rsid w:val="00D7519B"/>
    <w:rsid w:val="00D752E8"/>
    <w:rsid w:val="00D7558D"/>
    <w:rsid w:val="00D75E0D"/>
    <w:rsid w:val="00D7603D"/>
    <w:rsid w:val="00D7609D"/>
    <w:rsid w:val="00D76222"/>
    <w:rsid w:val="00D7682C"/>
    <w:rsid w:val="00D7684D"/>
    <w:rsid w:val="00D76B90"/>
    <w:rsid w:val="00D77087"/>
    <w:rsid w:val="00D80B10"/>
    <w:rsid w:val="00D80BAC"/>
    <w:rsid w:val="00D810A9"/>
    <w:rsid w:val="00D810EB"/>
    <w:rsid w:val="00D81D92"/>
    <w:rsid w:val="00D81DB1"/>
    <w:rsid w:val="00D8270C"/>
    <w:rsid w:val="00D82F90"/>
    <w:rsid w:val="00D832DD"/>
    <w:rsid w:val="00D83493"/>
    <w:rsid w:val="00D84471"/>
    <w:rsid w:val="00D84F1F"/>
    <w:rsid w:val="00D85115"/>
    <w:rsid w:val="00D85BCD"/>
    <w:rsid w:val="00D85EAB"/>
    <w:rsid w:val="00D85EF7"/>
    <w:rsid w:val="00D86219"/>
    <w:rsid w:val="00D86479"/>
    <w:rsid w:val="00D864FB"/>
    <w:rsid w:val="00D86926"/>
    <w:rsid w:val="00D86B51"/>
    <w:rsid w:val="00D86B6A"/>
    <w:rsid w:val="00D86C32"/>
    <w:rsid w:val="00D871DD"/>
    <w:rsid w:val="00D87369"/>
    <w:rsid w:val="00D8739D"/>
    <w:rsid w:val="00D878B9"/>
    <w:rsid w:val="00D87B8E"/>
    <w:rsid w:val="00D900B7"/>
    <w:rsid w:val="00D90284"/>
    <w:rsid w:val="00D91266"/>
    <w:rsid w:val="00D9160D"/>
    <w:rsid w:val="00D91F0B"/>
    <w:rsid w:val="00D92701"/>
    <w:rsid w:val="00D927A3"/>
    <w:rsid w:val="00D928B6"/>
    <w:rsid w:val="00D9291F"/>
    <w:rsid w:val="00D92C49"/>
    <w:rsid w:val="00D92CC8"/>
    <w:rsid w:val="00D9324C"/>
    <w:rsid w:val="00D938BF"/>
    <w:rsid w:val="00D9413C"/>
    <w:rsid w:val="00D9479F"/>
    <w:rsid w:val="00D94A3B"/>
    <w:rsid w:val="00D95A66"/>
    <w:rsid w:val="00D961AB"/>
    <w:rsid w:val="00D97446"/>
    <w:rsid w:val="00D974F6"/>
    <w:rsid w:val="00D9757F"/>
    <w:rsid w:val="00D97B6E"/>
    <w:rsid w:val="00DA05DA"/>
    <w:rsid w:val="00DA0ACA"/>
    <w:rsid w:val="00DA0B90"/>
    <w:rsid w:val="00DA0CF1"/>
    <w:rsid w:val="00DA14C8"/>
    <w:rsid w:val="00DA2039"/>
    <w:rsid w:val="00DA2351"/>
    <w:rsid w:val="00DA2675"/>
    <w:rsid w:val="00DA307A"/>
    <w:rsid w:val="00DA380D"/>
    <w:rsid w:val="00DA3E6F"/>
    <w:rsid w:val="00DA4592"/>
    <w:rsid w:val="00DA4E12"/>
    <w:rsid w:val="00DA59AB"/>
    <w:rsid w:val="00DA5FD7"/>
    <w:rsid w:val="00DA6705"/>
    <w:rsid w:val="00DA6D54"/>
    <w:rsid w:val="00DA7111"/>
    <w:rsid w:val="00DA7B5F"/>
    <w:rsid w:val="00DA7BF2"/>
    <w:rsid w:val="00DB00A0"/>
    <w:rsid w:val="00DB0A25"/>
    <w:rsid w:val="00DB11C3"/>
    <w:rsid w:val="00DB1255"/>
    <w:rsid w:val="00DB1335"/>
    <w:rsid w:val="00DB1657"/>
    <w:rsid w:val="00DB1843"/>
    <w:rsid w:val="00DB2856"/>
    <w:rsid w:val="00DB32E8"/>
    <w:rsid w:val="00DB330D"/>
    <w:rsid w:val="00DB397C"/>
    <w:rsid w:val="00DB39B4"/>
    <w:rsid w:val="00DB4292"/>
    <w:rsid w:val="00DB50A5"/>
    <w:rsid w:val="00DB567E"/>
    <w:rsid w:val="00DB5C1D"/>
    <w:rsid w:val="00DB69E7"/>
    <w:rsid w:val="00DB6BC5"/>
    <w:rsid w:val="00DB6CA2"/>
    <w:rsid w:val="00DB7AEB"/>
    <w:rsid w:val="00DC0183"/>
    <w:rsid w:val="00DC01D2"/>
    <w:rsid w:val="00DC0482"/>
    <w:rsid w:val="00DC0551"/>
    <w:rsid w:val="00DC0767"/>
    <w:rsid w:val="00DC0D80"/>
    <w:rsid w:val="00DC11E7"/>
    <w:rsid w:val="00DC1A2E"/>
    <w:rsid w:val="00DC1E9C"/>
    <w:rsid w:val="00DC2B87"/>
    <w:rsid w:val="00DC337C"/>
    <w:rsid w:val="00DC4351"/>
    <w:rsid w:val="00DC499C"/>
    <w:rsid w:val="00DC51DD"/>
    <w:rsid w:val="00DC5C29"/>
    <w:rsid w:val="00DC6095"/>
    <w:rsid w:val="00DC61EE"/>
    <w:rsid w:val="00DC67B2"/>
    <w:rsid w:val="00DC6B69"/>
    <w:rsid w:val="00DC6F0A"/>
    <w:rsid w:val="00DC6F6C"/>
    <w:rsid w:val="00DC6F7C"/>
    <w:rsid w:val="00DC7023"/>
    <w:rsid w:val="00DC769A"/>
    <w:rsid w:val="00DC7C71"/>
    <w:rsid w:val="00DC7E66"/>
    <w:rsid w:val="00DD0888"/>
    <w:rsid w:val="00DD0BBA"/>
    <w:rsid w:val="00DD1443"/>
    <w:rsid w:val="00DD2142"/>
    <w:rsid w:val="00DD24ED"/>
    <w:rsid w:val="00DD3D86"/>
    <w:rsid w:val="00DD3E65"/>
    <w:rsid w:val="00DD410F"/>
    <w:rsid w:val="00DD4C4D"/>
    <w:rsid w:val="00DD5B44"/>
    <w:rsid w:val="00DD5D7B"/>
    <w:rsid w:val="00DD65CF"/>
    <w:rsid w:val="00DD684B"/>
    <w:rsid w:val="00DD6D14"/>
    <w:rsid w:val="00DD6F74"/>
    <w:rsid w:val="00DD70D2"/>
    <w:rsid w:val="00DE02F3"/>
    <w:rsid w:val="00DE07D2"/>
    <w:rsid w:val="00DE09A1"/>
    <w:rsid w:val="00DE09A5"/>
    <w:rsid w:val="00DE0A59"/>
    <w:rsid w:val="00DE1353"/>
    <w:rsid w:val="00DE21FB"/>
    <w:rsid w:val="00DE2557"/>
    <w:rsid w:val="00DE2805"/>
    <w:rsid w:val="00DE2D1E"/>
    <w:rsid w:val="00DE2DCE"/>
    <w:rsid w:val="00DE30FA"/>
    <w:rsid w:val="00DE4C67"/>
    <w:rsid w:val="00DE610F"/>
    <w:rsid w:val="00DE6CA6"/>
    <w:rsid w:val="00DE710B"/>
    <w:rsid w:val="00DE7267"/>
    <w:rsid w:val="00DE792A"/>
    <w:rsid w:val="00DF01D3"/>
    <w:rsid w:val="00DF087C"/>
    <w:rsid w:val="00DF0C1C"/>
    <w:rsid w:val="00DF0F2C"/>
    <w:rsid w:val="00DF0FC5"/>
    <w:rsid w:val="00DF1B4B"/>
    <w:rsid w:val="00DF1BCE"/>
    <w:rsid w:val="00DF26AA"/>
    <w:rsid w:val="00DF26E3"/>
    <w:rsid w:val="00DF36A5"/>
    <w:rsid w:val="00DF41C7"/>
    <w:rsid w:val="00DF4976"/>
    <w:rsid w:val="00DF4BDC"/>
    <w:rsid w:val="00DF4DC3"/>
    <w:rsid w:val="00DF6137"/>
    <w:rsid w:val="00DF640C"/>
    <w:rsid w:val="00DF6D65"/>
    <w:rsid w:val="00DF6EE0"/>
    <w:rsid w:val="00DF7740"/>
    <w:rsid w:val="00E0018F"/>
    <w:rsid w:val="00E00575"/>
    <w:rsid w:val="00E007B6"/>
    <w:rsid w:val="00E00943"/>
    <w:rsid w:val="00E00A9E"/>
    <w:rsid w:val="00E00BED"/>
    <w:rsid w:val="00E00E8B"/>
    <w:rsid w:val="00E01699"/>
    <w:rsid w:val="00E01F68"/>
    <w:rsid w:val="00E0225F"/>
    <w:rsid w:val="00E0238B"/>
    <w:rsid w:val="00E025B6"/>
    <w:rsid w:val="00E02F88"/>
    <w:rsid w:val="00E0340B"/>
    <w:rsid w:val="00E03579"/>
    <w:rsid w:val="00E03D10"/>
    <w:rsid w:val="00E04626"/>
    <w:rsid w:val="00E04845"/>
    <w:rsid w:val="00E05117"/>
    <w:rsid w:val="00E05283"/>
    <w:rsid w:val="00E0542D"/>
    <w:rsid w:val="00E054BE"/>
    <w:rsid w:val="00E05590"/>
    <w:rsid w:val="00E05963"/>
    <w:rsid w:val="00E05DD4"/>
    <w:rsid w:val="00E06907"/>
    <w:rsid w:val="00E07283"/>
    <w:rsid w:val="00E073AA"/>
    <w:rsid w:val="00E07432"/>
    <w:rsid w:val="00E07651"/>
    <w:rsid w:val="00E07A00"/>
    <w:rsid w:val="00E07F44"/>
    <w:rsid w:val="00E100AC"/>
    <w:rsid w:val="00E10211"/>
    <w:rsid w:val="00E10B87"/>
    <w:rsid w:val="00E10F7B"/>
    <w:rsid w:val="00E11EFC"/>
    <w:rsid w:val="00E12008"/>
    <w:rsid w:val="00E129DA"/>
    <w:rsid w:val="00E12D6E"/>
    <w:rsid w:val="00E12FA4"/>
    <w:rsid w:val="00E132E4"/>
    <w:rsid w:val="00E1365D"/>
    <w:rsid w:val="00E138C0"/>
    <w:rsid w:val="00E140CF"/>
    <w:rsid w:val="00E14A07"/>
    <w:rsid w:val="00E1541F"/>
    <w:rsid w:val="00E15E74"/>
    <w:rsid w:val="00E161B6"/>
    <w:rsid w:val="00E166A0"/>
    <w:rsid w:val="00E168F4"/>
    <w:rsid w:val="00E16A50"/>
    <w:rsid w:val="00E16D17"/>
    <w:rsid w:val="00E206A7"/>
    <w:rsid w:val="00E209A8"/>
    <w:rsid w:val="00E20EBA"/>
    <w:rsid w:val="00E21558"/>
    <w:rsid w:val="00E2197C"/>
    <w:rsid w:val="00E219C7"/>
    <w:rsid w:val="00E21AB8"/>
    <w:rsid w:val="00E21F0D"/>
    <w:rsid w:val="00E2257A"/>
    <w:rsid w:val="00E2265D"/>
    <w:rsid w:val="00E226AD"/>
    <w:rsid w:val="00E2332B"/>
    <w:rsid w:val="00E236F6"/>
    <w:rsid w:val="00E239AD"/>
    <w:rsid w:val="00E23E3D"/>
    <w:rsid w:val="00E23EAA"/>
    <w:rsid w:val="00E23FC1"/>
    <w:rsid w:val="00E2435C"/>
    <w:rsid w:val="00E24E60"/>
    <w:rsid w:val="00E25B14"/>
    <w:rsid w:val="00E2717A"/>
    <w:rsid w:val="00E276D3"/>
    <w:rsid w:val="00E27E1F"/>
    <w:rsid w:val="00E30427"/>
    <w:rsid w:val="00E31199"/>
    <w:rsid w:val="00E3130F"/>
    <w:rsid w:val="00E3162A"/>
    <w:rsid w:val="00E31C5F"/>
    <w:rsid w:val="00E3229C"/>
    <w:rsid w:val="00E3282D"/>
    <w:rsid w:val="00E32E6B"/>
    <w:rsid w:val="00E334EE"/>
    <w:rsid w:val="00E34B4D"/>
    <w:rsid w:val="00E34B77"/>
    <w:rsid w:val="00E34E0F"/>
    <w:rsid w:val="00E34F67"/>
    <w:rsid w:val="00E34F86"/>
    <w:rsid w:val="00E35456"/>
    <w:rsid w:val="00E361C5"/>
    <w:rsid w:val="00E36321"/>
    <w:rsid w:val="00E3643F"/>
    <w:rsid w:val="00E36709"/>
    <w:rsid w:val="00E375F7"/>
    <w:rsid w:val="00E379FB"/>
    <w:rsid w:val="00E40449"/>
    <w:rsid w:val="00E404DA"/>
    <w:rsid w:val="00E40AE5"/>
    <w:rsid w:val="00E40EAA"/>
    <w:rsid w:val="00E42BC5"/>
    <w:rsid w:val="00E42DC6"/>
    <w:rsid w:val="00E43157"/>
    <w:rsid w:val="00E43391"/>
    <w:rsid w:val="00E443D8"/>
    <w:rsid w:val="00E44FB5"/>
    <w:rsid w:val="00E4564E"/>
    <w:rsid w:val="00E45D84"/>
    <w:rsid w:val="00E461CE"/>
    <w:rsid w:val="00E4688F"/>
    <w:rsid w:val="00E47085"/>
    <w:rsid w:val="00E47274"/>
    <w:rsid w:val="00E475CB"/>
    <w:rsid w:val="00E50985"/>
    <w:rsid w:val="00E5125E"/>
    <w:rsid w:val="00E5183E"/>
    <w:rsid w:val="00E52120"/>
    <w:rsid w:val="00E52778"/>
    <w:rsid w:val="00E53522"/>
    <w:rsid w:val="00E53BCF"/>
    <w:rsid w:val="00E551A3"/>
    <w:rsid w:val="00E555A6"/>
    <w:rsid w:val="00E55C9B"/>
    <w:rsid w:val="00E571A2"/>
    <w:rsid w:val="00E57951"/>
    <w:rsid w:val="00E6041E"/>
    <w:rsid w:val="00E60984"/>
    <w:rsid w:val="00E611C5"/>
    <w:rsid w:val="00E6134B"/>
    <w:rsid w:val="00E620D3"/>
    <w:rsid w:val="00E625E8"/>
    <w:rsid w:val="00E6318B"/>
    <w:rsid w:val="00E632A1"/>
    <w:rsid w:val="00E638E9"/>
    <w:rsid w:val="00E63F00"/>
    <w:rsid w:val="00E64205"/>
    <w:rsid w:val="00E64439"/>
    <w:rsid w:val="00E64C50"/>
    <w:rsid w:val="00E64F6D"/>
    <w:rsid w:val="00E65121"/>
    <w:rsid w:val="00E65231"/>
    <w:rsid w:val="00E65686"/>
    <w:rsid w:val="00E6583F"/>
    <w:rsid w:val="00E65D77"/>
    <w:rsid w:val="00E65EEA"/>
    <w:rsid w:val="00E671D9"/>
    <w:rsid w:val="00E6751B"/>
    <w:rsid w:val="00E67D4F"/>
    <w:rsid w:val="00E67FE0"/>
    <w:rsid w:val="00E7107C"/>
    <w:rsid w:val="00E7199C"/>
    <w:rsid w:val="00E71AC7"/>
    <w:rsid w:val="00E720CA"/>
    <w:rsid w:val="00E73DA2"/>
    <w:rsid w:val="00E73EA0"/>
    <w:rsid w:val="00E73F34"/>
    <w:rsid w:val="00E752DD"/>
    <w:rsid w:val="00E75431"/>
    <w:rsid w:val="00E75A4B"/>
    <w:rsid w:val="00E75F15"/>
    <w:rsid w:val="00E763FB"/>
    <w:rsid w:val="00E7757D"/>
    <w:rsid w:val="00E77E37"/>
    <w:rsid w:val="00E802E4"/>
    <w:rsid w:val="00E80D57"/>
    <w:rsid w:val="00E80FE4"/>
    <w:rsid w:val="00E81BF2"/>
    <w:rsid w:val="00E82893"/>
    <w:rsid w:val="00E82DD9"/>
    <w:rsid w:val="00E830D2"/>
    <w:rsid w:val="00E83682"/>
    <w:rsid w:val="00E83C3F"/>
    <w:rsid w:val="00E83F5C"/>
    <w:rsid w:val="00E840EE"/>
    <w:rsid w:val="00E841AF"/>
    <w:rsid w:val="00E84727"/>
    <w:rsid w:val="00E84E07"/>
    <w:rsid w:val="00E84EB5"/>
    <w:rsid w:val="00E85662"/>
    <w:rsid w:val="00E85940"/>
    <w:rsid w:val="00E8629D"/>
    <w:rsid w:val="00E86A9C"/>
    <w:rsid w:val="00E86B98"/>
    <w:rsid w:val="00E8734C"/>
    <w:rsid w:val="00E8744A"/>
    <w:rsid w:val="00E8789F"/>
    <w:rsid w:val="00E90B04"/>
    <w:rsid w:val="00E91BB5"/>
    <w:rsid w:val="00E92441"/>
    <w:rsid w:val="00E925A2"/>
    <w:rsid w:val="00E9272C"/>
    <w:rsid w:val="00E92C44"/>
    <w:rsid w:val="00E93945"/>
    <w:rsid w:val="00E93ACE"/>
    <w:rsid w:val="00E93FD8"/>
    <w:rsid w:val="00E943D5"/>
    <w:rsid w:val="00E94A36"/>
    <w:rsid w:val="00E9542C"/>
    <w:rsid w:val="00E956AB"/>
    <w:rsid w:val="00E95C05"/>
    <w:rsid w:val="00E960F8"/>
    <w:rsid w:val="00E96E07"/>
    <w:rsid w:val="00E96E11"/>
    <w:rsid w:val="00E96E1A"/>
    <w:rsid w:val="00E97468"/>
    <w:rsid w:val="00E97B71"/>
    <w:rsid w:val="00EA00A7"/>
    <w:rsid w:val="00EA030C"/>
    <w:rsid w:val="00EA058D"/>
    <w:rsid w:val="00EA094D"/>
    <w:rsid w:val="00EA0A0E"/>
    <w:rsid w:val="00EA0ACD"/>
    <w:rsid w:val="00EA1360"/>
    <w:rsid w:val="00EA16FC"/>
    <w:rsid w:val="00EA1F8F"/>
    <w:rsid w:val="00EA251E"/>
    <w:rsid w:val="00EA33E8"/>
    <w:rsid w:val="00EA3D34"/>
    <w:rsid w:val="00EA4459"/>
    <w:rsid w:val="00EA4585"/>
    <w:rsid w:val="00EA4702"/>
    <w:rsid w:val="00EA4837"/>
    <w:rsid w:val="00EA59B1"/>
    <w:rsid w:val="00EA59BB"/>
    <w:rsid w:val="00EA5C48"/>
    <w:rsid w:val="00EA5D1F"/>
    <w:rsid w:val="00EA68AD"/>
    <w:rsid w:val="00EA6E86"/>
    <w:rsid w:val="00EA7DAD"/>
    <w:rsid w:val="00EB0237"/>
    <w:rsid w:val="00EB0584"/>
    <w:rsid w:val="00EB0CC8"/>
    <w:rsid w:val="00EB0EBD"/>
    <w:rsid w:val="00EB1228"/>
    <w:rsid w:val="00EB1348"/>
    <w:rsid w:val="00EB13E5"/>
    <w:rsid w:val="00EB1949"/>
    <w:rsid w:val="00EB1FA6"/>
    <w:rsid w:val="00EB25FE"/>
    <w:rsid w:val="00EB26D3"/>
    <w:rsid w:val="00EB2AC2"/>
    <w:rsid w:val="00EB2D76"/>
    <w:rsid w:val="00EB38D2"/>
    <w:rsid w:val="00EB3952"/>
    <w:rsid w:val="00EB3F5A"/>
    <w:rsid w:val="00EB413B"/>
    <w:rsid w:val="00EB454D"/>
    <w:rsid w:val="00EB492B"/>
    <w:rsid w:val="00EB576A"/>
    <w:rsid w:val="00EB60D2"/>
    <w:rsid w:val="00EB65F1"/>
    <w:rsid w:val="00EB7776"/>
    <w:rsid w:val="00EC271E"/>
    <w:rsid w:val="00EC3420"/>
    <w:rsid w:val="00EC3F5A"/>
    <w:rsid w:val="00EC57CD"/>
    <w:rsid w:val="00EC5871"/>
    <w:rsid w:val="00EC5AE5"/>
    <w:rsid w:val="00EC5EC4"/>
    <w:rsid w:val="00EC5F21"/>
    <w:rsid w:val="00EC5FC9"/>
    <w:rsid w:val="00EC6162"/>
    <w:rsid w:val="00EC68A4"/>
    <w:rsid w:val="00EC6C07"/>
    <w:rsid w:val="00EC6FCD"/>
    <w:rsid w:val="00EC75CD"/>
    <w:rsid w:val="00EC7729"/>
    <w:rsid w:val="00ED13EE"/>
    <w:rsid w:val="00ED1421"/>
    <w:rsid w:val="00ED14D5"/>
    <w:rsid w:val="00ED1A3E"/>
    <w:rsid w:val="00ED1B04"/>
    <w:rsid w:val="00ED248C"/>
    <w:rsid w:val="00ED2824"/>
    <w:rsid w:val="00ED2B97"/>
    <w:rsid w:val="00ED3D04"/>
    <w:rsid w:val="00ED4148"/>
    <w:rsid w:val="00ED52D6"/>
    <w:rsid w:val="00ED67F1"/>
    <w:rsid w:val="00ED75BD"/>
    <w:rsid w:val="00ED76BE"/>
    <w:rsid w:val="00ED7C53"/>
    <w:rsid w:val="00EE0032"/>
    <w:rsid w:val="00EE0747"/>
    <w:rsid w:val="00EE07CF"/>
    <w:rsid w:val="00EE0E65"/>
    <w:rsid w:val="00EE0EF2"/>
    <w:rsid w:val="00EE0F3C"/>
    <w:rsid w:val="00EE0F71"/>
    <w:rsid w:val="00EE1908"/>
    <w:rsid w:val="00EE1F51"/>
    <w:rsid w:val="00EE2B93"/>
    <w:rsid w:val="00EE2D9F"/>
    <w:rsid w:val="00EE3156"/>
    <w:rsid w:val="00EE3EEA"/>
    <w:rsid w:val="00EE42B2"/>
    <w:rsid w:val="00EE507F"/>
    <w:rsid w:val="00EE51CE"/>
    <w:rsid w:val="00EE52BC"/>
    <w:rsid w:val="00EE5AB2"/>
    <w:rsid w:val="00EE6E06"/>
    <w:rsid w:val="00EE7DB5"/>
    <w:rsid w:val="00EF019F"/>
    <w:rsid w:val="00EF0CFD"/>
    <w:rsid w:val="00EF10AE"/>
    <w:rsid w:val="00EF1FDC"/>
    <w:rsid w:val="00EF20EA"/>
    <w:rsid w:val="00EF25E4"/>
    <w:rsid w:val="00EF293D"/>
    <w:rsid w:val="00EF3628"/>
    <w:rsid w:val="00EF3997"/>
    <w:rsid w:val="00EF3AAC"/>
    <w:rsid w:val="00EF3ACE"/>
    <w:rsid w:val="00EF3F5D"/>
    <w:rsid w:val="00EF4A52"/>
    <w:rsid w:val="00EF4D4A"/>
    <w:rsid w:val="00EF53F2"/>
    <w:rsid w:val="00EF55FC"/>
    <w:rsid w:val="00EF5F2C"/>
    <w:rsid w:val="00EF619B"/>
    <w:rsid w:val="00EF6A54"/>
    <w:rsid w:val="00EF6DE9"/>
    <w:rsid w:val="00EF7060"/>
    <w:rsid w:val="00EF73D7"/>
    <w:rsid w:val="00EF769D"/>
    <w:rsid w:val="00EF7710"/>
    <w:rsid w:val="00EF7AD6"/>
    <w:rsid w:val="00EF7B0E"/>
    <w:rsid w:val="00F00055"/>
    <w:rsid w:val="00F00735"/>
    <w:rsid w:val="00F00B55"/>
    <w:rsid w:val="00F01E62"/>
    <w:rsid w:val="00F02506"/>
    <w:rsid w:val="00F027CA"/>
    <w:rsid w:val="00F02987"/>
    <w:rsid w:val="00F02AD1"/>
    <w:rsid w:val="00F031DF"/>
    <w:rsid w:val="00F03977"/>
    <w:rsid w:val="00F03B99"/>
    <w:rsid w:val="00F0417F"/>
    <w:rsid w:val="00F04F35"/>
    <w:rsid w:val="00F0509B"/>
    <w:rsid w:val="00F053C0"/>
    <w:rsid w:val="00F05F94"/>
    <w:rsid w:val="00F065B7"/>
    <w:rsid w:val="00F06BB9"/>
    <w:rsid w:val="00F071A7"/>
    <w:rsid w:val="00F07BE5"/>
    <w:rsid w:val="00F1030E"/>
    <w:rsid w:val="00F107B2"/>
    <w:rsid w:val="00F10D7E"/>
    <w:rsid w:val="00F10EF7"/>
    <w:rsid w:val="00F10F5F"/>
    <w:rsid w:val="00F11B32"/>
    <w:rsid w:val="00F11CDE"/>
    <w:rsid w:val="00F11CF8"/>
    <w:rsid w:val="00F121B8"/>
    <w:rsid w:val="00F12E5C"/>
    <w:rsid w:val="00F141E4"/>
    <w:rsid w:val="00F14D01"/>
    <w:rsid w:val="00F14E7D"/>
    <w:rsid w:val="00F1510C"/>
    <w:rsid w:val="00F16E58"/>
    <w:rsid w:val="00F1755B"/>
    <w:rsid w:val="00F2057E"/>
    <w:rsid w:val="00F2093A"/>
    <w:rsid w:val="00F21548"/>
    <w:rsid w:val="00F219EA"/>
    <w:rsid w:val="00F22F20"/>
    <w:rsid w:val="00F23C77"/>
    <w:rsid w:val="00F23DB8"/>
    <w:rsid w:val="00F247A0"/>
    <w:rsid w:val="00F250C7"/>
    <w:rsid w:val="00F253CC"/>
    <w:rsid w:val="00F2551C"/>
    <w:rsid w:val="00F2579B"/>
    <w:rsid w:val="00F25A36"/>
    <w:rsid w:val="00F25CD8"/>
    <w:rsid w:val="00F2600C"/>
    <w:rsid w:val="00F26A2B"/>
    <w:rsid w:val="00F2702A"/>
    <w:rsid w:val="00F2796D"/>
    <w:rsid w:val="00F27A79"/>
    <w:rsid w:val="00F3016F"/>
    <w:rsid w:val="00F301F1"/>
    <w:rsid w:val="00F3062D"/>
    <w:rsid w:val="00F30798"/>
    <w:rsid w:val="00F30897"/>
    <w:rsid w:val="00F318EF"/>
    <w:rsid w:val="00F3246D"/>
    <w:rsid w:val="00F32627"/>
    <w:rsid w:val="00F328BD"/>
    <w:rsid w:val="00F33748"/>
    <w:rsid w:val="00F33955"/>
    <w:rsid w:val="00F34358"/>
    <w:rsid w:val="00F3585A"/>
    <w:rsid w:val="00F36342"/>
    <w:rsid w:val="00F3684D"/>
    <w:rsid w:val="00F3692A"/>
    <w:rsid w:val="00F36BBC"/>
    <w:rsid w:val="00F36DD3"/>
    <w:rsid w:val="00F37106"/>
    <w:rsid w:val="00F3776F"/>
    <w:rsid w:val="00F4059E"/>
    <w:rsid w:val="00F42707"/>
    <w:rsid w:val="00F42AAE"/>
    <w:rsid w:val="00F4360C"/>
    <w:rsid w:val="00F4406D"/>
    <w:rsid w:val="00F4462C"/>
    <w:rsid w:val="00F44C09"/>
    <w:rsid w:val="00F44C2B"/>
    <w:rsid w:val="00F44FED"/>
    <w:rsid w:val="00F458B4"/>
    <w:rsid w:val="00F45942"/>
    <w:rsid w:val="00F45B86"/>
    <w:rsid w:val="00F460BD"/>
    <w:rsid w:val="00F46421"/>
    <w:rsid w:val="00F46DCE"/>
    <w:rsid w:val="00F47813"/>
    <w:rsid w:val="00F503E5"/>
    <w:rsid w:val="00F506DB"/>
    <w:rsid w:val="00F50950"/>
    <w:rsid w:val="00F50C83"/>
    <w:rsid w:val="00F50E2F"/>
    <w:rsid w:val="00F5120C"/>
    <w:rsid w:val="00F519CF"/>
    <w:rsid w:val="00F52036"/>
    <w:rsid w:val="00F5266C"/>
    <w:rsid w:val="00F537C8"/>
    <w:rsid w:val="00F5380C"/>
    <w:rsid w:val="00F53D74"/>
    <w:rsid w:val="00F54ECA"/>
    <w:rsid w:val="00F5569F"/>
    <w:rsid w:val="00F557DF"/>
    <w:rsid w:val="00F56BA5"/>
    <w:rsid w:val="00F56C88"/>
    <w:rsid w:val="00F57702"/>
    <w:rsid w:val="00F57724"/>
    <w:rsid w:val="00F57978"/>
    <w:rsid w:val="00F605CF"/>
    <w:rsid w:val="00F607B9"/>
    <w:rsid w:val="00F60E22"/>
    <w:rsid w:val="00F60E5B"/>
    <w:rsid w:val="00F6165A"/>
    <w:rsid w:val="00F61A1A"/>
    <w:rsid w:val="00F61FE4"/>
    <w:rsid w:val="00F62600"/>
    <w:rsid w:val="00F62748"/>
    <w:rsid w:val="00F62D1E"/>
    <w:rsid w:val="00F63367"/>
    <w:rsid w:val="00F63CCB"/>
    <w:rsid w:val="00F640C5"/>
    <w:rsid w:val="00F64B8B"/>
    <w:rsid w:val="00F64DB1"/>
    <w:rsid w:val="00F653D2"/>
    <w:rsid w:val="00F65545"/>
    <w:rsid w:val="00F659EC"/>
    <w:rsid w:val="00F6703B"/>
    <w:rsid w:val="00F678B3"/>
    <w:rsid w:val="00F67A50"/>
    <w:rsid w:val="00F67B09"/>
    <w:rsid w:val="00F67C38"/>
    <w:rsid w:val="00F70327"/>
    <w:rsid w:val="00F711C6"/>
    <w:rsid w:val="00F7124D"/>
    <w:rsid w:val="00F71A9D"/>
    <w:rsid w:val="00F7244A"/>
    <w:rsid w:val="00F72BD4"/>
    <w:rsid w:val="00F73687"/>
    <w:rsid w:val="00F746C3"/>
    <w:rsid w:val="00F74E0A"/>
    <w:rsid w:val="00F75A47"/>
    <w:rsid w:val="00F75F3C"/>
    <w:rsid w:val="00F764FE"/>
    <w:rsid w:val="00F77DF8"/>
    <w:rsid w:val="00F804AE"/>
    <w:rsid w:val="00F8067B"/>
    <w:rsid w:val="00F82DD5"/>
    <w:rsid w:val="00F82E43"/>
    <w:rsid w:val="00F843AA"/>
    <w:rsid w:val="00F84D44"/>
    <w:rsid w:val="00F852F7"/>
    <w:rsid w:val="00F85A52"/>
    <w:rsid w:val="00F860B1"/>
    <w:rsid w:val="00F866A6"/>
    <w:rsid w:val="00F869AF"/>
    <w:rsid w:val="00F869E0"/>
    <w:rsid w:val="00F877C0"/>
    <w:rsid w:val="00F9043B"/>
    <w:rsid w:val="00F90590"/>
    <w:rsid w:val="00F90767"/>
    <w:rsid w:val="00F90CAC"/>
    <w:rsid w:val="00F90CC2"/>
    <w:rsid w:val="00F90CE4"/>
    <w:rsid w:val="00F91160"/>
    <w:rsid w:val="00F91542"/>
    <w:rsid w:val="00F917D1"/>
    <w:rsid w:val="00F92433"/>
    <w:rsid w:val="00F93F64"/>
    <w:rsid w:val="00F94216"/>
    <w:rsid w:val="00F9491D"/>
    <w:rsid w:val="00F954CA"/>
    <w:rsid w:val="00F9568E"/>
    <w:rsid w:val="00F957AE"/>
    <w:rsid w:val="00F95A27"/>
    <w:rsid w:val="00F96160"/>
    <w:rsid w:val="00F9653B"/>
    <w:rsid w:val="00F96778"/>
    <w:rsid w:val="00F97A52"/>
    <w:rsid w:val="00F97E2D"/>
    <w:rsid w:val="00F97E62"/>
    <w:rsid w:val="00FA02EB"/>
    <w:rsid w:val="00FA0338"/>
    <w:rsid w:val="00FA08DD"/>
    <w:rsid w:val="00FA093F"/>
    <w:rsid w:val="00FA0D48"/>
    <w:rsid w:val="00FA114B"/>
    <w:rsid w:val="00FA174E"/>
    <w:rsid w:val="00FA1A78"/>
    <w:rsid w:val="00FA1F84"/>
    <w:rsid w:val="00FA1FAA"/>
    <w:rsid w:val="00FA20B3"/>
    <w:rsid w:val="00FA2595"/>
    <w:rsid w:val="00FA2E9D"/>
    <w:rsid w:val="00FA3858"/>
    <w:rsid w:val="00FA3C98"/>
    <w:rsid w:val="00FA4035"/>
    <w:rsid w:val="00FA4293"/>
    <w:rsid w:val="00FA46DA"/>
    <w:rsid w:val="00FA4AD3"/>
    <w:rsid w:val="00FA57A0"/>
    <w:rsid w:val="00FA5957"/>
    <w:rsid w:val="00FA5C21"/>
    <w:rsid w:val="00FA5EAE"/>
    <w:rsid w:val="00FA60B9"/>
    <w:rsid w:val="00FA65A6"/>
    <w:rsid w:val="00FA66D9"/>
    <w:rsid w:val="00FA6A30"/>
    <w:rsid w:val="00FA6C23"/>
    <w:rsid w:val="00FA7494"/>
    <w:rsid w:val="00FA7605"/>
    <w:rsid w:val="00FA77B7"/>
    <w:rsid w:val="00FB069F"/>
    <w:rsid w:val="00FB098E"/>
    <w:rsid w:val="00FB1084"/>
    <w:rsid w:val="00FB14D9"/>
    <w:rsid w:val="00FB1666"/>
    <w:rsid w:val="00FB2096"/>
    <w:rsid w:val="00FB3D94"/>
    <w:rsid w:val="00FB3F5D"/>
    <w:rsid w:val="00FB4364"/>
    <w:rsid w:val="00FB43DD"/>
    <w:rsid w:val="00FB4BD3"/>
    <w:rsid w:val="00FB4EB8"/>
    <w:rsid w:val="00FB52E5"/>
    <w:rsid w:val="00FB60C9"/>
    <w:rsid w:val="00FB6151"/>
    <w:rsid w:val="00FB62CF"/>
    <w:rsid w:val="00FB6330"/>
    <w:rsid w:val="00FB64DE"/>
    <w:rsid w:val="00FB68F0"/>
    <w:rsid w:val="00FC0761"/>
    <w:rsid w:val="00FC1660"/>
    <w:rsid w:val="00FC3B9C"/>
    <w:rsid w:val="00FC3E44"/>
    <w:rsid w:val="00FC4122"/>
    <w:rsid w:val="00FC415B"/>
    <w:rsid w:val="00FC488C"/>
    <w:rsid w:val="00FC551C"/>
    <w:rsid w:val="00FC563C"/>
    <w:rsid w:val="00FC5691"/>
    <w:rsid w:val="00FC6038"/>
    <w:rsid w:val="00FC634A"/>
    <w:rsid w:val="00FC7319"/>
    <w:rsid w:val="00FC7D96"/>
    <w:rsid w:val="00FD0371"/>
    <w:rsid w:val="00FD05AE"/>
    <w:rsid w:val="00FD0E62"/>
    <w:rsid w:val="00FD0EFE"/>
    <w:rsid w:val="00FD13DD"/>
    <w:rsid w:val="00FD1971"/>
    <w:rsid w:val="00FD1CEF"/>
    <w:rsid w:val="00FD21EF"/>
    <w:rsid w:val="00FD26A1"/>
    <w:rsid w:val="00FD27E6"/>
    <w:rsid w:val="00FD2E3F"/>
    <w:rsid w:val="00FD3C3B"/>
    <w:rsid w:val="00FD3D23"/>
    <w:rsid w:val="00FD44C4"/>
    <w:rsid w:val="00FD4A7B"/>
    <w:rsid w:val="00FD4EC1"/>
    <w:rsid w:val="00FD4F75"/>
    <w:rsid w:val="00FD54DA"/>
    <w:rsid w:val="00FD5921"/>
    <w:rsid w:val="00FD60E3"/>
    <w:rsid w:val="00FD66F9"/>
    <w:rsid w:val="00FD70E8"/>
    <w:rsid w:val="00FD729D"/>
    <w:rsid w:val="00FD76F2"/>
    <w:rsid w:val="00FD79FF"/>
    <w:rsid w:val="00FD7ECB"/>
    <w:rsid w:val="00FE0851"/>
    <w:rsid w:val="00FE0BC9"/>
    <w:rsid w:val="00FE0EE6"/>
    <w:rsid w:val="00FE15F2"/>
    <w:rsid w:val="00FE18F9"/>
    <w:rsid w:val="00FE1F1B"/>
    <w:rsid w:val="00FE1F8C"/>
    <w:rsid w:val="00FE29EC"/>
    <w:rsid w:val="00FE350D"/>
    <w:rsid w:val="00FE45EF"/>
    <w:rsid w:val="00FE487F"/>
    <w:rsid w:val="00FE4928"/>
    <w:rsid w:val="00FE4EE4"/>
    <w:rsid w:val="00FE52B3"/>
    <w:rsid w:val="00FE5E14"/>
    <w:rsid w:val="00FE66A3"/>
    <w:rsid w:val="00FE6783"/>
    <w:rsid w:val="00FE6B45"/>
    <w:rsid w:val="00FE6BB0"/>
    <w:rsid w:val="00FE7413"/>
    <w:rsid w:val="00FF11B9"/>
    <w:rsid w:val="00FF1BD8"/>
    <w:rsid w:val="00FF222C"/>
    <w:rsid w:val="00FF2A34"/>
    <w:rsid w:val="00FF342C"/>
    <w:rsid w:val="00FF3556"/>
    <w:rsid w:val="00FF4706"/>
    <w:rsid w:val="00FF4D55"/>
    <w:rsid w:val="00FF4E38"/>
    <w:rsid w:val="00FF5851"/>
    <w:rsid w:val="00FF5EE6"/>
    <w:rsid w:val="00FF7367"/>
    <w:rsid w:val="00FF7B7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tex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iPriority="7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7753D7"/>
    <w:pPr>
      <w:pBdr>
        <w:top w:val="nil"/>
        <w:left w:val="nil"/>
        <w:bottom w:val="nil"/>
        <w:right w:val="nil"/>
        <w:between w:val="nil"/>
        <w:bar w:val="nil"/>
      </w:pBdr>
    </w:pPr>
    <w:rPr>
      <w:sz w:val="24"/>
      <w:szCs w:val="24"/>
      <w:bdr w:val="nil"/>
      <w:lang w:val="en-US" w:eastAsia="en-US"/>
    </w:rPr>
  </w:style>
  <w:style w:type="paragraph" w:styleId="Ttulo1">
    <w:name w:val="heading 1"/>
    <w:basedOn w:val="Normal"/>
    <w:next w:val="Normal"/>
    <w:link w:val="Ttulo1Car"/>
    <w:qFormat/>
    <w:rsid w:val="00E24E60"/>
    <w:pPr>
      <w:keepNext/>
      <w:numPr>
        <w:numId w:val="54"/>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ind w:left="1440"/>
      <w:outlineLvl w:val="0"/>
    </w:pPr>
    <w:rPr>
      <w:rFonts w:ascii="Cambria" w:eastAsia="Times New Roman" w:hAnsi="Cambria"/>
      <w:b/>
      <w:sz w:val="20"/>
      <w:szCs w:val="20"/>
      <w:bdr w:val="none" w:sz="0" w:space="0" w:color="auto"/>
      <w:lang w:val="es-ES_tradnl"/>
    </w:rPr>
  </w:style>
  <w:style w:type="paragraph" w:styleId="Ttulo2">
    <w:name w:val="heading 2"/>
    <w:basedOn w:val="Normal"/>
    <w:next w:val="Normal"/>
    <w:link w:val="Ttulo2Car"/>
    <w:qFormat/>
    <w:rsid w:val="00E24E60"/>
    <w:pPr>
      <w:keepNext/>
      <w:numPr>
        <w:ilvl w:val="2"/>
      </w:numPr>
      <w:pBdr>
        <w:top w:val="none" w:sz="0" w:space="0" w:color="auto"/>
        <w:left w:val="none" w:sz="0" w:space="0" w:color="auto"/>
        <w:bottom w:val="none" w:sz="0" w:space="0" w:color="auto"/>
        <w:right w:val="none" w:sz="0" w:space="0" w:color="auto"/>
        <w:between w:val="none" w:sz="0" w:space="0" w:color="auto"/>
        <w:bar w:val="none" w:sz="0" w:color="auto"/>
      </w:pBdr>
      <w:ind w:firstLine="720"/>
      <w:jc w:val="both"/>
      <w:outlineLvl w:val="1"/>
    </w:pPr>
    <w:rPr>
      <w:rFonts w:ascii="Cambria" w:eastAsia="Times New Roman" w:hAnsi="Cambria"/>
      <w:b/>
      <w:sz w:val="20"/>
      <w:szCs w:val="20"/>
      <w:bdr w:val="none" w:sz="0" w:space="0" w:color="auto"/>
      <w:lang w:val="es-ES_tradnl"/>
    </w:rPr>
  </w:style>
  <w:style w:type="paragraph" w:styleId="Ttulo3">
    <w:name w:val="heading 3"/>
    <w:basedOn w:val="Normal"/>
    <w:next w:val="Normal"/>
    <w:link w:val="Ttulo3Car"/>
    <w:qFormat/>
    <w:rsid w:val="004B316C"/>
    <w:pPr>
      <w:keepNext/>
      <w:keepLines/>
      <w:spacing w:before="200"/>
      <w:outlineLvl w:val="2"/>
    </w:pPr>
    <w:rPr>
      <w:rFonts w:ascii="Cambria" w:eastAsia="MS Gothic" w:hAnsi="Cambria"/>
      <w:b/>
      <w:bCs/>
      <w:color w:val="4F81BD"/>
    </w:rPr>
  </w:style>
  <w:style w:type="paragraph" w:styleId="Ttulo4">
    <w:name w:val="heading 4"/>
    <w:basedOn w:val="Normal"/>
    <w:next w:val="Normal"/>
    <w:link w:val="Ttulo4Car"/>
    <w:qFormat/>
    <w:rsid w:val="004B316C"/>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Arial" w:eastAsia="Times New Roman" w:hAnsi="Arial"/>
      <w:b/>
      <w:szCs w:val="20"/>
      <w:bdr w:val="none" w:sz="0" w:space="0" w:color="auto"/>
    </w:rPr>
  </w:style>
  <w:style w:type="paragraph" w:styleId="Ttulo5">
    <w:name w:val="heading 5"/>
    <w:basedOn w:val="Normal"/>
    <w:next w:val="Normal"/>
    <w:link w:val="Ttulo5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sz w:val="22"/>
      <w:szCs w:val="20"/>
      <w:bdr w:val="none" w:sz="0" w:space="0" w:color="auto"/>
    </w:rPr>
  </w:style>
  <w:style w:type="paragraph" w:styleId="Ttulo6">
    <w:name w:val="heading 6"/>
    <w:basedOn w:val="Normal"/>
    <w:next w:val="Normal"/>
    <w:link w:val="Ttulo6Car"/>
    <w:uiPriority w:val="9"/>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i/>
      <w:sz w:val="22"/>
      <w:szCs w:val="20"/>
      <w:bdr w:val="none" w:sz="0" w:space="0" w:color="auto"/>
    </w:rPr>
  </w:style>
  <w:style w:type="paragraph" w:styleId="Ttulo7">
    <w:name w:val="heading 7"/>
    <w:basedOn w:val="Normal"/>
    <w:next w:val="Normal"/>
    <w:link w:val="Ttulo7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Times New Roman" w:hAnsi="Arial"/>
      <w:sz w:val="20"/>
      <w:szCs w:val="20"/>
      <w:bdr w:val="none" w:sz="0" w:space="0" w:color="auto"/>
    </w:rPr>
  </w:style>
  <w:style w:type="paragraph" w:styleId="Ttulo8">
    <w:name w:val="heading 8"/>
    <w:basedOn w:val="Normal"/>
    <w:next w:val="Normal"/>
    <w:link w:val="Ttulo8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Times New Roman" w:hAnsi="Arial"/>
      <w:i/>
      <w:sz w:val="20"/>
      <w:szCs w:val="20"/>
      <w:bdr w:val="none" w:sz="0" w:space="0" w:color="auto"/>
    </w:rPr>
  </w:style>
  <w:style w:type="paragraph" w:styleId="Ttulo9">
    <w:name w:val="heading 9"/>
    <w:basedOn w:val="Normal"/>
    <w:next w:val="Normal"/>
    <w:link w:val="Ttulo9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b/>
      <w:i/>
      <w:sz w:val="18"/>
      <w:szCs w:val="20"/>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7753D7"/>
    <w:rPr>
      <w:u w:val="single"/>
    </w:rPr>
  </w:style>
  <w:style w:type="paragraph" w:customStyle="1" w:styleId="Cabeceraypie">
    <w:name w:val="Cabecera y pie"/>
    <w:rsid w:val="007753D7"/>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rsid w:val="007753D7"/>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rsid w:val="007753D7"/>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rsid w:val="007753D7"/>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Listavistosa-nfasis1">
    <w:name w:val="Colorful List Accent 1"/>
    <w:link w:val="Listavistosa-nfasis1Car"/>
    <w:uiPriority w:val="34"/>
    <w:qFormat/>
    <w:rsid w:val="007753D7"/>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rsid w:val="007753D7"/>
    <w:pPr>
      <w:numPr>
        <w:numId w:val="31"/>
      </w:numPr>
    </w:pPr>
  </w:style>
  <w:style w:type="numbering" w:customStyle="1" w:styleId="Estiloimportado1">
    <w:name w:val="Estilo importado 1"/>
    <w:rsid w:val="007753D7"/>
  </w:style>
  <w:style w:type="numbering" w:customStyle="1" w:styleId="List1">
    <w:name w:val="List 1"/>
    <w:basedOn w:val="Estiloimportado2"/>
    <w:rsid w:val="007753D7"/>
    <w:pPr>
      <w:numPr>
        <w:numId w:val="1"/>
      </w:numPr>
    </w:pPr>
  </w:style>
  <w:style w:type="numbering" w:customStyle="1" w:styleId="Estiloimportado2">
    <w:name w:val="Estilo importado 2"/>
    <w:rsid w:val="007753D7"/>
  </w:style>
  <w:style w:type="numbering" w:customStyle="1" w:styleId="List21">
    <w:name w:val="List 21"/>
    <w:basedOn w:val="Estiloimportado3"/>
    <w:rsid w:val="007753D7"/>
    <w:pPr>
      <w:numPr>
        <w:numId w:val="52"/>
      </w:numPr>
    </w:pPr>
  </w:style>
  <w:style w:type="numbering" w:customStyle="1" w:styleId="Estiloimportado3">
    <w:name w:val="Estilo importado 3"/>
    <w:rsid w:val="007753D7"/>
  </w:style>
  <w:style w:type="numbering" w:customStyle="1" w:styleId="List31">
    <w:name w:val="List 31"/>
    <w:basedOn w:val="Estiloimportado4"/>
    <w:rsid w:val="007753D7"/>
    <w:pPr>
      <w:numPr>
        <w:numId w:val="51"/>
      </w:numPr>
    </w:pPr>
  </w:style>
  <w:style w:type="numbering" w:customStyle="1" w:styleId="Estiloimportado4">
    <w:name w:val="Estilo importado 4"/>
    <w:rsid w:val="007753D7"/>
  </w:style>
  <w:style w:type="numbering" w:customStyle="1" w:styleId="List41">
    <w:name w:val="List 41"/>
    <w:basedOn w:val="Estiloimportado5"/>
    <w:rsid w:val="007753D7"/>
    <w:pPr>
      <w:numPr>
        <w:numId w:val="2"/>
      </w:numPr>
    </w:pPr>
  </w:style>
  <w:style w:type="numbering" w:customStyle="1" w:styleId="Estiloimportado5">
    <w:name w:val="Estilo importado 5"/>
    <w:rsid w:val="007753D7"/>
  </w:style>
  <w:style w:type="numbering" w:customStyle="1" w:styleId="List51">
    <w:name w:val="List 51"/>
    <w:basedOn w:val="Estiloimportado6"/>
    <w:rsid w:val="007753D7"/>
    <w:pPr>
      <w:numPr>
        <w:numId w:val="53"/>
      </w:numPr>
    </w:pPr>
  </w:style>
  <w:style w:type="numbering" w:customStyle="1" w:styleId="Estiloimportado6">
    <w:name w:val="Estilo importado 6"/>
    <w:rsid w:val="007753D7"/>
  </w:style>
  <w:style w:type="numbering" w:customStyle="1" w:styleId="List6">
    <w:name w:val="List 6"/>
    <w:basedOn w:val="Estiloimportado7"/>
    <w:rsid w:val="007753D7"/>
    <w:pPr>
      <w:numPr>
        <w:numId w:val="3"/>
      </w:numPr>
    </w:pPr>
  </w:style>
  <w:style w:type="numbering" w:customStyle="1" w:styleId="Estiloimportado7">
    <w:name w:val="Estilo importado 7"/>
    <w:rsid w:val="007753D7"/>
  </w:style>
  <w:style w:type="numbering" w:customStyle="1" w:styleId="List7">
    <w:name w:val="List 7"/>
    <w:basedOn w:val="Estiloimportado8"/>
    <w:rsid w:val="007753D7"/>
    <w:pPr>
      <w:numPr>
        <w:numId w:val="4"/>
      </w:numPr>
    </w:pPr>
  </w:style>
  <w:style w:type="numbering" w:customStyle="1" w:styleId="Estiloimportado8">
    <w:name w:val="Estilo importado 8"/>
    <w:rsid w:val="007753D7"/>
  </w:style>
  <w:style w:type="numbering" w:customStyle="1" w:styleId="List8">
    <w:name w:val="List 8"/>
    <w:basedOn w:val="Estiloimportado9"/>
    <w:rsid w:val="007753D7"/>
    <w:pPr>
      <w:numPr>
        <w:numId w:val="5"/>
      </w:numPr>
    </w:pPr>
  </w:style>
  <w:style w:type="numbering" w:customStyle="1" w:styleId="Estiloimportado9">
    <w:name w:val="Estilo importado 9"/>
    <w:rsid w:val="007753D7"/>
  </w:style>
  <w:style w:type="numbering" w:customStyle="1" w:styleId="List9">
    <w:name w:val="List 9"/>
    <w:basedOn w:val="Estiloimportado10"/>
    <w:rsid w:val="007753D7"/>
    <w:pPr>
      <w:numPr>
        <w:numId w:val="22"/>
      </w:numPr>
    </w:pPr>
  </w:style>
  <w:style w:type="numbering" w:customStyle="1" w:styleId="Estiloimportado10">
    <w:name w:val="Estilo importado 10"/>
    <w:rsid w:val="007753D7"/>
  </w:style>
  <w:style w:type="numbering" w:customStyle="1" w:styleId="List10">
    <w:name w:val="List 10"/>
    <w:basedOn w:val="Estiloimportado11"/>
    <w:rsid w:val="007753D7"/>
    <w:pPr>
      <w:numPr>
        <w:numId w:val="6"/>
      </w:numPr>
    </w:pPr>
  </w:style>
  <w:style w:type="numbering" w:customStyle="1" w:styleId="Estiloimportado11">
    <w:name w:val="Estilo importado 11"/>
    <w:rsid w:val="007753D7"/>
  </w:style>
  <w:style w:type="numbering" w:customStyle="1" w:styleId="List11">
    <w:name w:val="List 11"/>
    <w:basedOn w:val="Estiloimportado12"/>
    <w:rsid w:val="007753D7"/>
    <w:pPr>
      <w:numPr>
        <w:numId w:val="7"/>
      </w:numPr>
    </w:pPr>
  </w:style>
  <w:style w:type="numbering" w:customStyle="1" w:styleId="Estiloimportado12">
    <w:name w:val="Estilo importado 12"/>
    <w:rsid w:val="007753D7"/>
  </w:style>
  <w:style w:type="numbering" w:customStyle="1" w:styleId="List12">
    <w:name w:val="List 12"/>
    <w:basedOn w:val="Estiloimportado13"/>
    <w:rsid w:val="007753D7"/>
    <w:pPr>
      <w:numPr>
        <w:numId w:val="36"/>
      </w:numPr>
    </w:pPr>
  </w:style>
  <w:style w:type="numbering" w:customStyle="1" w:styleId="Estiloimportado13">
    <w:name w:val="Estilo importado 13"/>
    <w:rsid w:val="007753D7"/>
  </w:style>
  <w:style w:type="numbering" w:customStyle="1" w:styleId="List13">
    <w:name w:val="List 13"/>
    <w:basedOn w:val="Estiloimportado14"/>
    <w:rsid w:val="007753D7"/>
    <w:pPr>
      <w:numPr>
        <w:numId w:val="42"/>
      </w:numPr>
    </w:pPr>
  </w:style>
  <w:style w:type="numbering" w:customStyle="1" w:styleId="Estiloimportado14">
    <w:name w:val="Estilo importado 14"/>
    <w:rsid w:val="007753D7"/>
  </w:style>
  <w:style w:type="numbering" w:customStyle="1" w:styleId="List14">
    <w:name w:val="List 14"/>
    <w:basedOn w:val="Estiloimportado15"/>
    <w:rsid w:val="007753D7"/>
    <w:pPr>
      <w:numPr>
        <w:numId w:val="17"/>
      </w:numPr>
    </w:pPr>
  </w:style>
  <w:style w:type="numbering" w:customStyle="1" w:styleId="Estiloimportado15">
    <w:name w:val="Estilo importado 15"/>
    <w:rsid w:val="007753D7"/>
  </w:style>
  <w:style w:type="numbering" w:customStyle="1" w:styleId="List15">
    <w:name w:val="List 15"/>
    <w:basedOn w:val="Estiloimportado16"/>
    <w:rsid w:val="007753D7"/>
    <w:pPr>
      <w:numPr>
        <w:numId w:val="16"/>
      </w:numPr>
    </w:pPr>
  </w:style>
  <w:style w:type="numbering" w:customStyle="1" w:styleId="Estiloimportado16">
    <w:name w:val="Estilo importado 16"/>
    <w:rsid w:val="007753D7"/>
  </w:style>
  <w:style w:type="numbering" w:customStyle="1" w:styleId="List16">
    <w:name w:val="List 16"/>
    <w:basedOn w:val="Estiloimportado16"/>
    <w:rsid w:val="007753D7"/>
    <w:pPr>
      <w:numPr>
        <w:numId w:val="10"/>
      </w:numPr>
    </w:pPr>
  </w:style>
  <w:style w:type="numbering" w:customStyle="1" w:styleId="List17">
    <w:name w:val="List 17"/>
    <w:basedOn w:val="Estiloimportado17"/>
    <w:rsid w:val="007753D7"/>
    <w:pPr>
      <w:numPr>
        <w:numId w:val="25"/>
      </w:numPr>
    </w:pPr>
  </w:style>
  <w:style w:type="numbering" w:customStyle="1" w:styleId="Estiloimportado17">
    <w:name w:val="Estilo importado 17"/>
    <w:rsid w:val="007753D7"/>
  </w:style>
  <w:style w:type="numbering" w:customStyle="1" w:styleId="List18">
    <w:name w:val="List 18"/>
    <w:basedOn w:val="Estiloimportado18"/>
    <w:rsid w:val="007753D7"/>
    <w:pPr>
      <w:numPr>
        <w:numId w:val="27"/>
      </w:numPr>
    </w:pPr>
  </w:style>
  <w:style w:type="numbering" w:customStyle="1" w:styleId="Estiloimportado18">
    <w:name w:val="Estilo importado 18"/>
    <w:rsid w:val="007753D7"/>
  </w:style>
  <w:style w:type="numbering" w:customStyle="1" w:styleId="List19">
    <w:name w:val="List 19"/>
    <w:basedOn w:val="Estiloimportado10"/>
    <w:rsid w:val="007753D7"/>
    <w:pPr>
      <w:numPr>
        <w:numId w:val="19"/>
      </w:numPr>
    </w:pPr>
  </w:style>
  <w:style w:type="numbering" w:customStyle="1" w:styleId="List20">
    <w:name w:val="List 20"/>
    <w:basedOn w:val="Estiloimportado12"/>
    <w:rsid w:val="007753D7"/>
    <w:pPr>
      <w:numPr>
        <w:numId w:val="43"/>
      </w:numPr>
    </w:pPr>
  </w:style>
  <w:style w:type="numbering" w:customStyle="1" w:styleId="List211">
    <w:name w:val="List 211"/>
    <w:basedOn w:val="Estiloimportado19"/>
    <w:rsid w:val="007753D7"/>
    <w:pPr>
      <w:numPr>
        <w:numId w:val="38"/>
      </w:numPr>
    </w:pPr>
  </w:style>
  <w:style w:type="numbering" w:customStyle="1" w:styleId="Estiloimportado19">
    <w:name w:val="Estilo importado 19"/>
    <w:rsid w:val="007753D7"/>
  </w:style>
  <w:style w:type="numbering" w:customStyle="1" w:styleId="List22">
    <w:name w:val="List 22"/>
    <w:basedOn w:val="Estiloimportado19"/>
    <w:rsid w:val="007753D7"/>
    <w:pPr>
      <w:numPr>
        <w:numId w:val="28"/>
      </w:numPr>
    </w:pPr>
  </w:style>
  <w:style w:type="numbering" w:customStyle="1" w:styleId="List23">
    <w:name w:val="List 23"/>
    <w:basedOn w:val="Estiloimportado19"/>
    <w:rsid w:val="007753D7"/>
    <w:pPr>
      <w:numPr>
        <w:numId w:val="18"/>
      </w:numPr>
    </w:pPr>
  </w:style>
  <w:style w:type="numbering" w:customStyle="1" w:styleId="List24">
    <w:name w:val="List 24"/>
    <w:basedOn w:val="Estiloimportado20"/>
    <w:rsid w:val="007753D7"/>
    <w:pPr>
      <w:numPr>
        <w:numId w:val="13"/>
      </w:numPr>
    </w:pPr>
  </w:style>
  <w:style w:type="numbering" w:customStyle="1" w:styleId="Estiloimportado20">
    <w:name w:val="Estilo importado 20"/>
    <w:rsid w:val="007753D7"/>
  </w:style>
  <w:style w:type="numbering" w:customStyle="1" w:styleId="List25">
    <w:name w:val="List 25"/>
    <w:basedOn w:val="Estiloimportado21"/>
    <w:rsid w:val="007753D7"/>
    <w:pPr>
      <w:numPr>
        <w:numId w:val="15"/>
      </w:numPr>
    </w:pPr>
  </w:style>
  <w:style w:type="numbering" w:customStyle="1" w:styleId="Estiloimportado21">
    <w:name w:val="Estilo importado 21"/>
    <w:rsid w:val="007753D7"/>
  </w:style>
  <w:style w:type="numbering" w:customStyle="1" w:styleId="List26">
    <w:name w:val="List 26"/>
    <w:basedOn w:val="Estiloimportado22"/>
    <w:rsid w:val="007753D7"/>
    <w:pPr>
      <w:numPr>
        <w:numId w:val="49"/>
      </w:numPr>
    </w:pPr>
  </w:style>
  <w:style w:type="numbering" w:customStyle="1" w:styleId="Estiloimportado22">
    <w:name w:val="Estilo importado 22"/>
    <w:rsid w:val="007753D7"/>
  </w:style>
  <w:style w:type="numbering" w:customStyle="1" w:styleId="List27">
    <w:name w:val="List 27"/>
    <w:basedOn w:val="Estiloimportado23"/>
    <w:rsid w:val="007753D7"/>
    <w:pPr>
      <w:numPr>
        <w:numId w:val="41"/>
      </w:numPr>
    </w:pPr>
  </w:style>
  <w:style w:type="numbering" w:customStyle="1" w:styleId="Estiloimportado23">
    <w:name w:val="Estilo importado 23"/>
    <w:rsid w:val="007753D7"/>
  </w:style>
  <w:style w:type="numbering" w:customStyle="1" w:styleId="List28">
    <w:name w:val="List 28"/>
    <w:basedOn w:val="Estiloimportado24"/>
    <w:rsid w:val="007753D7"/>
    <w:pPr>
      <w:numPr>
        <w:numId w:val="30"/>
      </w:numPr>
    </w:pPr>
  </w:style>
  <w:style w:type="numbering" w:customStyle="1" w:styleId="Estiloimportado24">
    <w:name w:val="Estilo importado 24"/>
    <w:rsid w:val="007753D7"/>
  </w:style>
  <w:style w:type="numbering" w:customStyle="1" w:styleId="List29">
    <w:name w:val="List 29"/>
    <w:basedOn w:val="Estiloimportado25"/>
    <w:rsid w:val="007753D7"/>
    <w:pPr>
      <w:numPr>
        <w:numId w:val="34"/>
      </w:numPr>
    </w:pPr>
  </w:style>
  <w:style w:type="numbering" w:customStyle="1" w:styleId="Estiloimportado25">
    <w:name w:val="Estilo importado 25"/>
    <w:rsid w:val="007753D7"/>
  </w:style>
  <w:style w:type="numbering" w:customStyle="1" w:styleId="List30">
    <w:name w:val="List 30"/>
    <w:basedOn w:val="Estiloimportado26"/>
    <w:rsid w:val="007753D7"/>
    <w:pPr>
      <w:numPr>
        <w:numId w:val="32"/>
      </w:numPr>
    </w:pPr>
  </w:style>
  <w:style w:type="numbering" w:customStyle="1" w:styleId="Estiloimportado26">
    <w:name w:val="Estilo importado 26"/>
    <w:rsid w:val="007753D7"/>
  </w:style>
  <w:style w:type="numbering" w:customStyle="1" w:styleId="List311">
    <w:name w:val="List 311"/>
    <w:basedOn w:val="Estiloimportado27"/>
    <w:rsid w:val="007753D7"/>
    <w:pPr>
      <w:numPr>
        <w:numId w:val="45"/>
      </w:numPr>
    </w:pPr>
  </w:style>
  <w:style w:type="numbering" w:customStyle="1" w:styleId="Estiloimportado27">
    <w:name w:val="Estilo importado 27"/>
    <w:rsid w:val="007753D7"/>
  </w:style>
  <w:style w:type="numbering" w:customStyle="1" w:styleId="List32">
    <w:name w:val="List 32"/>
    <w:basedOn w:val="Estiloimportado28"/>
    <w:rsid w:val="007753D7"/>
    <w:pPr>
      <w:numPr>
        <w:numId w:val="48"/>
      </w:numPr>
    </w:pPr>
  </w:style>
  <w:style w:type="numbering" w:customStyle="1" w:styleId="Estiloimportado28">
    <w:name w:val="Estilo importado 28"/>
    <w:rsid w:val="007753D7"/>
  </w:style>
  <w:style w:type="paragraph" w:styleId="Textonotapie">
    <w:name w:val="footnote text"/>
    <w:aliases w:val="Footnote Text Char Char Char Char Char,Footnote Text Char Char Char Char,FA Fu,Footnote reference,Footnote Text Char Char Char,FA Fußnotentext,FA Fuﬂnotentext,Texto nota pie Car,Footnote Text Cha,Footnote Text Char Char,footnote text,Ca,f"/>
    <w:link w:val="TextonotapieCar2"/>
    <w:qFormat/>
    <w:rsid w:val="007753D7"/>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numbering" w:customStyle="1" w:styleId="List33">
    <w:name w:val="List 33"/>
    <w:basedOn w:val="Estiloimportado29"/>
    <w:rsid w:val="007753D7"/>
    <w:pPr>
      <w:numPr>
        <w:numId w:val="26"/>
      </w:numPr>
    </w:pPr>
  </w:style>
  <w:style w:type="numbering" w:customStyle="1" w:styleId="Estiloimportado29">
    <w:name w:val="Estilo importado 29"/>
    <w:rsid w:val="007753D7"/>
  </w:style>
  <w:style w:type="numbering" w:customStyle="1" w:styleId="List34">
    <w:name w:val="List 34"/>
    <w:basedOn w:val="Estiloimportado30"/>
    <w:rsid w:val="007753D7"/>
    <w:pPr>
      <w:numPr>
        <w:numId w:val="11"/>
      </w:numPr>
    </w:pPr>
  </w:style>
  <w:style w:type="numbering" w:customStyle="1" w:styleId="Estiloimportado30">
    <w:name w:val="Estilo importado 30"/>
    <w:rsid w:val="007753D7"/>
  </w:style>
  <w:style w:type="numbering" w:customStyle="1" w:styleId="List35">
    <w:name w:val="List 35"/>
    <w:basedOn w:val="Estiloimportado31"/>
    <w:rsid w:val="007753D7"/>
    <w:pPr>
      <w:numPr>
        <w:numId w:val="8"/>
      </w:numPr>
    </w:pPr>
  </w:style>
  <w:style w:type="numbering" w:customStyle="1" w:styleId="Estiloimportado31">
    <w:name w:val="Estilo importado 31"/>
    <w:rsid w:val="007753D7"/>
  </w:style>
  <w:style w:type="numbering" w:customStyle="1" w:styleId="List36">
    <w:name w:val="List 36"/>
    <w:basedOn w:val="Estiloimportado32"/>
    <w:rsid w:val="007753D7"/>
    <w:pPr>
      <w:numPr>
        <w:numId w:val="14"/>
      </w:numPr>
    </w:pPr>
  </w:style>
  <w:style w:type="numbering" w:customStyle="1" w:styleId="Estiloimportado32">
    <w:name w:val="Estilo importado 32"/>
    <w:rsid w:val="007753D7"/>
  </w:style>
  <w:style w:type="numbering" w:customStyle="1" w:styleId="List37">
    <w:name w:val="List 37"/>
    <w:basedOn w:val="Estiloimportado33"/>
    <w:rsid w:val="007753D7"/>
    <w:pPr>
      <w:numPr>
        <w:numId w:val="47"/>
      </w:numPr>
    </w:pPr>
  </w:style>
  <w:style w:type="numbering" w:customStyle="1" w:styleId="Estiloimportado33">
    <w:name w:val="Estilo importado 33"/>
    <w:rsid w:val="007753D7"/>
  </w:style>
  <w:style w:type="numbering" w:customStyle="1" w:styleId="List38">
    <w:name w:val="List 38"/>
    <w:basedOn w:val="Estiloimportado34"/>
    <w:rsid w:val="007753D7"/>
    <w:pPr>
      <w:numPr>
        <w:numId w:val="35"/>
      </w:numPr>
    </w:pPr>
  </w:style>
  <w:style w:type="numbering" w:customStyle="1" w:styleId="Estiloimportado34">
    <w:name w:val="Estilo importado 34"/>
    <w:rsid w:val="007753D7"/>
  </w:style>
  <w:style w:type="numbering" w:customStyle="1" w:styleId="List39">
    <w:name w:val="List 39"/>
    <w:basedOn w:val="Estiloimportado35"/>
    <w:rsid w:val="007753D7"/>
    <w:pPr>
      <w:numPr>
        <w:numId w:val="46"/>
      </w:numPr>
    </w:pPr>
  </w:style>
  <w:style w:type="numbering" w:customStyle="1" w:styleId="Estiloimportado35">
    <w:name w:val="Estilo importado 35"/>
    <w:rsid w:val="007753D7"/>
  </w:style>
  <w:style w:type="numbering" w:customStyle="1" w:styleId="List40">
    <w:name w:val="List 40"/>
    <w:basedOn w:val="Estiloimportado36"/>
    <w:rsid w:val="007753D7"/>
    <w:pPr>
      <w:numPr>
        <w:numId w:val="21"/>
      </w:numPr>
    </w:pPr>
  </w:style>
  <w:style w:type="numbering" w:customStyle="1" w:styleId="Estiloimportado36">
    <w:name w:val="Estilo importado 36"/>
    <w:rsid w:val="007753D7"/>
  </w:style>
  <w:style w:type="numbering" w:customStyle="1" w:styleId="List411">
    <w:name w:val="List 411"/>
    <w:basedOn w:val="Estiloimportado37"/>
    <w:rsid w:val="007753D7"/>
    <w:pPr>
      <w:numPr>
        <w:numId w:val="44"/>
      </w:numPr>
    </w:pPr>
  </w:style>
  <w:style w:type="numbering" w:customStyle="1" w:styleId="Estiloimportado37">
    <w:name w:val="Estilo importado 37"/>
    <w:rsid w:val="007753D7"/>
  </w:style>
  <w:style w:type="numbering" w:customStyle="1" w:styleId="List42">
    <w:name w:val="List 42"/>
    <w:basedOn w:val="Estiloimportado12"/>
    <w:rsid w:val="007753D7"/>
    <w:pPr>
      <w:numPr>
        <w:numId w:val="12"/>
      </w:numPr>
    </w:pPr>
  </w:style>
  <w:style w:type="numbering" w:customStyle="1" w:styleId="List43">
    <w:name w:val="List 43"/>
    <w:basedOn w:val="Estiloimportado38"/>
    <w:rsid w:val="007753D7"/>
    <w:pPr>
      <w:numPr>
        <w:numId w:val="23"/>
      </w:numPr>
    </w:pPr>
  </w:style>
  <w:style w:type="numbering" w:customStyle="1" w:styleId="Estiloimportado38">
    <w:name w:val="Estilo importado 38"/>
    <w:rsid w:val="007753D7"/>
  </w:style>
  <w:style w:type="numbering" w:customStyle="1" w:styleId="List44">
    <w:name w:val="List 44"/>
    <w:basedOn w:val="Estiloimportado39"/>
    <w:rsid w:val="007753D7"/>
    <w:pPr>
      <w:numPr>
        <w:numId w:val="40"/>
      </w:numPr>
    </w:pPr>
  </w:style>
  <w:style w:type="numbering" w:customStyle="1" w:styleId="Estiloimportado39">
    <w:name w:val="Estilo importado 39"/>
    <w:rsid w:val="007753D7"/>
  </w:style>
  <w:style w:type="numbering" w:customStyle="1" w:styleId="List45">
    <w:name w:val="List 45"/>
    <w:basedOn w:val="Estiloimportado40"/>
    <w:rsid w:val="007753D7"/>
    <w:pPr>
      <w:numPr>
        <w:numId w:val="20"/>
      </w:numPr>
    </w:pPr>
  </w:style>
  <w:style w:type="numbering" w:customStyle="1" w:styleId="Estiloimportado40">
    <w:name w:val="Estilo importado 40"/>
    <w:rsid w:val="007753D7"/>
  </w:style>
  <w:style w:type="numbering" w:customStyle="1" w:styleId="List46">
    <w:name w:val="List 46"/>
    <w:basedOn w:val="Estiloimportado41"/>
    <w:rsid w:val="007753D7"/>
    <w:pPr>
      <w:numPr>
        <w:numId w:val="24"/>
      </w:numPr>
    </w:pPr>
  </w:style>
  <w:style w:type="numbering" w:customStyle="1" w:styleId="Estiloimportado41">
    <w:name w:val="Estilo importado 41"/>
    <w:rsid w:val="007753D7"/>
  </w:style>
  <w:style w:type="numbering" w:customStyle="1" w:styleId="List47">
    <w:name w:val="List 47"/>
    <w:basedOn w:val="Estiloimportado42"/>
    <w:rsid w:val="007753D7"/>
    <w:pPr>
      <w:numPr>
        <w:numId w:val="29"/>
      </w:numPr>
    </w:pPr>
  </w:style>
  <w:style w:type="numbering" w:customStyle="1" w:styleId="Estiloimportado42">
    <w:name w:val="Estilo importado 42"/>
    <w:rsid w:val="007753D7"/>
  </w:style>
  <w:style w:type="numbering" w:customStyle="1" w:styleId="List48">
    <w:name w:val="List 48"/>
    <w:basedOn w:val="Estiloimportado43"/>
    <w:rsid w:val="007753D7"/>
    <w:pPr>
      <w:numPr>
        <w:numId w:val="50"/>
      </w:numPr>
    </w:pPr>
  </w:style>
  <w:style w:type="numbering" w:customStyle="1" w:styleId="Estiloimportado43">
    <w:name w:val="Estilo importado 43"/>
    <w:rsid w:val="007753D7"/>
  </w:style>
  <w:style w:type="numbering" w:customStyle="1" w:styleId="List49">
    <w:name w:val="List 49"/>
    <w:basedOn w:val="Estiloimportado44"/>
    <w:rsid w:val="007753D7"/>
    <w:pPr>
      <w:numPr>
        <w:numId w:val="39"/>
      </w:numPr>
    </w:pPr>
  </w:style>
  <w:style w:type="numbering" w:customStyle="1" w:styleId="Estiloimportado44">
    <w:name w:val="Estilo importado 44"/>
    <w:rsid w:val="007753D7"/>
  </w:style>
  <w:style w:type="numbering" w:customStyle="1" w:styleId="List50">
    <w:name w:val="List 50"/>
    <w:basedOn w:val="Estiloimportado45"/>
    <w:rsid w:val="007753D7"/>
    <w:pPr>
      <w:numPr>
        <w:numId w:val="37"/>
      </w:numPr>
    </w:pPr>
  </w:style>
  <w:style w:type="numbering" w:customStyle="1" w:styleId="Estiloimportado45">
    <w:name w:val="Estilo importado 45"/>
    <w:rsid w:val="007753D7"/>
  </w:style>
  <w:style w:type="numbering" w:customStyle="1" w:styleId="List511">
    <w:name w:val="List 511"/>
    <w:basedOn w:val="Estiloimportado46"/>
    <w:rsid w:val="007753D7"/>
    <w:pPr>
      <w:numPr>
        <w:numId w:val="33"/>
      </w:numPr>
    </w:pPr>
  </w:style>
  <w:style w:type="numbering" w:customStyle="1" w:styleId="Estiloimportado46">
    <w:name w:val="Estilo importado 46"/>
    <w:rsid w:val="007753D7"/>
  </w:style>
  <w:style w:type="numbering" w:customStyle="1" w:styleId="List52">
    <w:name w:val="List 52"/>
    <w:basedOn w:val="Estiloimportado1"/>
    <w:rsid w:val="007753D7"/>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E24E60"/>
    <w:rPr>
      <w:rFonts w:ascii="Cambria" w:eastAsia="Times New Roman" w:hAnsi="Cambria"/>
      <w:b/>
      <w:bdr w:val="none" w:sz="0" w:space="0" w:color="auto"/>
      <w:lang w:val="es-ES_tradnl" w:eastAsia="en-US"/>
    </w:rPr>
  </w:style>
  <w:style w:type="table" w:styleId="Cuadrculamedia2-nfasis1">
    <w:name w:val="Medium Grid 2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qFormat/>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qFormat/>
    <w:rsid w:val="00835223"/>
    <w:pPr>
      <w:tabs>
        <w:tab w:val="left" w:pos="1440"/>
        <w:tab w:val="right" w:leader="dot" w:pos="9360"/>
      </w:tabs>
      <w:spacing w:after="100"/>
    </w:pPr>
    <w:rPr>
      <w:rFonts w:ascii="Calibri" w:hAnsi="Calibri"/>
      <w:sz w:val="22"/>
    </w:rPr>
  </w:style>
  <w:style w:type="paragraph" w:styleId="TDC3">
    <w:name w:val="toc 3"/>
    <w:basedOn w:val="Normal"/>
    <w:next w:val="Normal"/>
    <w:autoRedefine/>
    <w:uiPriority w:val="39"/>
    <w:unhideWhenUsed/>
    <w:qFormat/>
    <w:rsid w:val="005C4225"/>
    <w:pPr>
      <w:tabs>
        <w:tab w:val="left" w:pos="880"/>
        <w:tab w:val="right" w:leader="dot" w:pos="9350"/>
      </w:tabs>
      <w:spacing w:after="100"/>
      <w:ind w:left="2160" w:hanging="720"/>
    </w:pPr>
  </w:style>
  <w:style w:type="paragraph" w:styleId="TDC4">
    <w:name w:val="toc 4"/>
    <w:basedOn w:val="Normal"/>
    <w:next w:val="Normal"/>
    <w:autoRedefine/>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rsid w:val="00A50FCF"/>
    <w:rPr>
      <w:rFonts w:ascii="Cambria" w:eastAsia="Cambria" w:hAnsi="Cambria" w:cs="Cambria"/>
      <w:color w:val="000000"/>
      <w:sz w:val="24"/>
      <w:szCs w:val="24"/>
      <w:u w:color="000000"/>
      <w:lang w:val="en-US"/>
    </w:rPr>
  </w:style>
  <w:style w:type="character" w:customStyle="1" w:styleId="Ttulo3Car">
    <w:name w:val="Título 3 Car"/>
    <w:link w:val="Ttulo3"/>
    <w:rsid w:val="004B316C"/>
    <w:rPr>
      <w:rFonts w:ascii="Cambria" w:eastAsia="MS Gothic" w:hAnsi="Cambria" w:cs="Times New Roman"/>
      <w:b/>
      <w:bCs/>
      <w:color w:val="4F81BD"/>
      <w:sz w:val="24"/>
      <w:szCs w:val="24"/>
      <w:lang w:val="en-US" w:eastAsia="en-US"/>
    </w:rPr>
  </w:style>
  <w:style w:type="character" w:customStyle="1" w:styleId="Ttulo2Car">
    <w:name w:val="Título 2 Car"/>
    <w:link w:val="Ttulo2"/>
    <w:rsid w:val="00E24E60"/>
    <w:rPr>
      <w:rFonts w:ascii="Cambria" w:eastAsia="Times New Roman" w:hAnsi="Cambria"/>
      <w:b/>
      <w:bdr w:val="none" w:sz="0" w:space="0" w:color="auto"/>
      <w:lang w:val="es-ES_tradnl" w:eastAsia="en-US"/>
    </w:rPr>
  </w:style>
  <w:style w:type="character" w:customStyle="1" w:styleId="Ttulo4Car">
    <w:name w:val="Título 4 Car"/>
    <w:link w:val="Ttulo4"/>
    <w:rsid w:val="004B316C"/>
    <w:rPr>
      <w:rFonts w:ascii="Arial" w:eastAsia="Times New Roman" w:hAnsi="Arial"/>
      <w:b/>
      <w:sz w:val="24"/>
      <w:bdr w:val="none" w:sz="0" w:space="0" w:color="auto"/>
      <w:lang w:val="en-US" w:eastAsia="en-US"/>
    </w:rPr>
  </w:style>
  <w:style w:type="character" w:customStyle="1" w:styleId="Ttulo5Car">
    <w:name w:val="Título 5 Car"/>
    <w:link w:val="Ttulo5"/>
    <w:rsid w:val="004B316C"/>
    <w:rPr>
      <w:rFonts w:eastAsia="Times New Roman"/>
      <w:sz w:val="22"/>
      <w:bdr w:val="none" w:sz="0" w:space="0" w:color="auto"/>
      <w:lang w:val="en-US" w:eastAsia="en-US"/>
    </w:rPr>
  </w:style>
  <w:style w:type="character" w:customStyle="1" w:styleId="Ttulo6Car">
    <w:name w:val="Título 6 Car"/>
    <w:link w:val="Ttulo6"/>
    <w:rsid w:val="004B316C"/>
    <w:rPr>
      <w:rFonts w:eastAsia="Times New Roman"/>
      <w:i/>
      <w:sz w:val="22"/>
      <w:bdr w:val="none" w:sz="0" w:space="0" w:color="auto"/>
      <w:lang w:val="en-US" w:eastAsia="en-US"/>
    </w:rPr>
  </w:style>
  <w:style w:type="character" w:customStyle="1" w:styleId="Ttulo7Car">
    <w:name w:val="Título 7 Car"/>
    <w:link w:val="Ttulo7"/>
    <w:rsid w:val="004B316C"/>
    <w:rPr>
      <w:rFonts w:ascii="Arial" w:eastAsia="Times New Roman" w:hAnsi="Arial"/>
      <w:bdr w:val="none" w:sz="0" w:space="0" w:color="auto"/>
      <w:lang w:val="en-US" w:eastAsia="en-US"/>
    </w:rPr>
  </w:style>
  <w:style w:type="character" w:customStyle="1" w:styleId="Ttulo8Car">
    <w:name w:val="Título 8 Car"/>
    <w:link w:val="Ttulo8"/>
    <w:rsid w:val="004B316C"/>
    <w:rPr>
      <w:rFonts w:ascii="Arial" w:eastAsia="Times New Roman" w:hAnsi="Arial"/>
      <w:i/>
      <w:bdr w:val="none" w:sz="0" w:space="0" w:color="auto"/>
      <w:lang w:val="en-US" w:eastAsia="en-US"/>
    </w:rPr>
  </w:style>
  <w:style w:type="character" w:customStyle="1" w:styleId="Ttulo9Car">
    <w:name w:val="Título 9 Car"/>
    <w:link w:val="Ttulo9"/>
    <w:rsid w:val="004B316C"/>
    <w:rPr>
      <w:rFonts w:ascii="Arial" w:eastAsia="Times New Roman" w:hAnsi="Arial"/>
      <w:b/>
      <w:i/>
      <w:sz w:val="18"/>
      <w:bdr w:val="none" w:sz="0" w:space="0" w:color="auto"/>
      <w:lang w:val="en-US" w:eastAsia="en-US"/>
    </w:rPr>
  </w:style>
  <w:style w:type="numbering" w:customStyle="1" w:styleId="NoList1">
    <w:name w:val="No List1"/>
    <w:next w:val="Sinlista"/>
    <w:semiHidden/>
    <w:unhideWhenUsed/>
    <w:rsid w:val="004B316C"/>
  </w:style>
  <w:style w:type="character" w:customStyle="1" w:styleId="SangradetextonormalCar">
    <w:name w:val="Sangría de texto normal Car"/>
    <w:link w:val="Sangradetextonormal"/>
    <w:rsid w:val="004B316C"/>
    <w:rPr>
      <w:rFonts w:eastAsia="Times New Roman"/>
      <w:color w:val="000000"/>
      <w:sz w:val="24"/>
      <w:szCs w:val="24"/>
      <w:u w:color="000000"/>
      <w:lang w:val="es-ES_tradnl"/>
    </w:rPr>
  </w:style>
  <w:style w:type="character" w:customStyle="1" w:styleId="TextonotapieCar2">
    <w:name w:val="Texto nota pie Car2"/>
    <w:aliases w:val="Footnote Text Char Char Char Char Char Car1,Footnote Text Char Char Char Char Car1,FA Fu Car1,Footnote reference Car1,Footnote Text Char Char Char Car1,FA Fußnotentext Car1,FA Fuﬂnotentext Car,Texto nota pie Car Car1,Ca Car,f Car"/>
    <w:link w:val="Textonotapie"/>
    <w:rsid w:val="004B316C"/>
    <w:rPr>
      <w:rFonts w:ascii="Calibri" w:eastAsia="Calibri" w:hAnsi="Calibri" w:cs="Calibri"/>
      <w:color w:val="000000"/>
      <w:u w:color="000000"/>
      <w:lang w:val="en-US"/>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 de nota al pi,Ref,R"/>
    <w:qFormat/>
    <w:rsid w:val="004B316C"/>
    <w:rPr>
      <w:rFonts w:ascii="Verdana" w:hAnsi="Verdana"/>
      <w:sz w:val="22"/>
      <w:vertAlign w:val="superscript"/>
    </w:rPr>
  </w:style>
  <w:style w:type="character" w:customStyle="1" w:styleId="Style">
    <w:name w:val="Style"/>
    <w:rsid w:val="004B316C"/>
    <w:rPr>
      <w:rFonts w:ascii="Times New Roman" w:hAnsi="Times New Roman"/>
      <w:sz w:val="22"/>
      <w:vertAlign w:val="superscript"/>
    </w:rPr>
  </w:style>
  <w:style w:type="paragraph" w:customStyle="1" w:styleId="Style1">
    <w:name w:val="Style1"/>
    <w:basedOn w:val="Textonotapie"/>
    <w:autoRedefine/>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ascii="Univers" w:eastAsia="Times New Roman" w:hAnsi="Univers" w:cs="Times New Roman"/>
      <w:color w:val="auto"/>
      <w:sz w:val="16"/>
      <w:szCs w:val="16"/>
      <w:bdr w:val="none" w:sz="0" w:space="0" w:color="auto"/>
      <w:lang w:val="es-PY" w:eastAsia="en-US"/>
    </w:rPr>
  </w:style>
  <w:style w:type="paragraph" w:customStyle="1" w:styleId="Style10">
    <w:name w:val="Style 1"/>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408" w:lineRule="atLeast"/>
      <w:jc w:val="both"/>
    </w:pPr>
    <w:rPr>
      <w:rFonts w:eastAsia="Times New Roman"/>
      <w:bdr w:val="none" w:sz="0" w:space="0" w:color="auto"/>
    </w:rPr>
  </w:style>
  <w:style w:type="paragraph" w:customStyle="1" w:styleId="Style4">
    <w:name w:val="Style 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408" w:lineRule="atLeast"/>
      <w:jc w:val="both"/>
    </w:pPr>
    <w:rPr>
      <w:rFonts w:eastAsia="Times New Roman"/>
      <w:bdr w:val="none" w:sz="0" w:space="0" w:color="auto"/>
    </w:rPr>
  </w:style>
  <w:style w:type="paragraph" w:customStyle="1" w:styleId="Style31">
    <w:name w:val="Style 3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204" w:line="1116" w:lineRule="exact"/>
      <w:jc w:val="center"/>
    </w:pPr>
    <w:rPr>
      <w:rFonts w:eastAsia="Times New Roman"/>
      <w:bdr w:val="none" w:sz="0" w:space="0" w:color="auto"/>
    </w:rPr>
  </w:style>
  <w:style w:type="paragraph" w:customStyle="1" w:styleId="Style36">
    <w:name w:val="Style 3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right="72"/>
      <w:jc w:val="both"/>
    </w:pPr>
    <w:rPr>
      <w:rFonts w:eastAsia="Times New Roman"/>
      <w:bdr w:val="none" w:sz="0" w:space="0" w:color="auto"/>
    </w:rPr>
  </w:style>
  <w:style w:type="paragraph" w:customStyle="1" w:styleId="Style11">
    <w:name w:val="Style 1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jc w:val="both"/>
    </w:pPr>
    <w:rPr>
      <w:rFonts w:eastAsia="Times New Roman"/>
      <w:bdr w:val="none" w:sz="0" w:space="0" w:color="auto"/>
    </w:rPr>
  </w:style>
  <w:style w:type="paragraph" w:customStyle="1" w:styleId="Style14">
    <w:name w:val="Style 1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left="504" w:right="72" w:hanging="504"/>
      <w:jc w:val="both"/>
    </w:pPr>
    <w:rPr>
      <w:rFonts w:eastAsia="Times New Roman"/>
      <w:bdr w:val="none" w:sz="0" w:space="0" w:color="auto"/>
    </w:rPr>
  </w:style>
  <w:style w:type="paragraph" w:customStyle="1" w:styleId="Style27">
    <w:name w:val="Style 2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360" w:lineRule="auto"/>
      <w:ind w:left="360" w:hanging="360"/>
      <w:jc w:val="both"/>
    </w:pPr>
    <w:rPr>
      <w:rFonts w:eastAsia="Times New Roman"/>
      <w:bdr w:val="none" w:sz="0" w:space="0" w:color="auto"/>
    </w:rPr>
  </w:style>
  <w:style w:type="paragraph" w:customStyle="1" w:styleId="Style16">
    <w:name w:val="Style 1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hanging="360"/>
      <w:jc w:val="both"/>
    </w:pPr>
    <w:rPr>
      <w:rFonts w:eastAsia="Times New Roman"/>
      <w:bdr w:val="none" w:sz="0" w:space="0" w:color="auto"/>
    </w:rPr>
  </w:style>
  <w:style w:type="paragraph" w:customStyle="1" w:styleId="Style17">
    <w:name w:val="Style 1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9">
    <w:name w:val="Style 1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504" w:right="72" w:hanging="504"/>
      <w:jc w:val="both"/>
    </w:pPr>
    <w:rPr>
      <w:rFonts w:eastAsia="Times New Roman"/>
      <w:bdr w:val="none" w:sz="0" w:space="0" w:color="auto"/>
    </w:rPr>
  </w:style>
  <w:style w:type="paragraph" w:customStyle="1" w:styleId="Style21">
    <w:name w:val="Style 2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jc w:val="both"/>
    </w:pPr>
    <w:rPr>
      <w:rFonts w:eastAsia="Times New Roman"/>
      <w:bdr w:val="none" w:sz="0" w:space="0" w:color="auto"/>
    </w:rPr>
  </w:style>
  <w:style w:type="paragraph" w:customStyle="1" w:styleId="Style22">
    <w:name w:val="Style 2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pPr>
    <w:rPr>
      <w:rFonts w:eastAsia="Times New Roman"/>
      <w:bdr w:val="none" w:sz="0" w:space="0" w:color="auto"/>
    </w:rPr>
  </w:style>
  <w:style w:type="paragraph" w:customStyle="1" w:styleId="Style24">
    <w:name w:val="Style 2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left="504" w:right="72" w:hanging="504"/>
      <w:jc w:val="both"/>
    </w:pPr>
    <w:rPr>
      <w:rFonts w:eastAsia="Times New Roman"/>
      <w:bdr w:val="none" w:sz="0" w:space="0" w:color="auto"/>
    </w:rPr>
  </w:style>
  <w:style w:type="paragraph" w:styleId="Mapadeldocumento">
    <w:name w:val="Document Map"/>
    <w:basedOn w:val="Normal"/>
    <w:link w:val="MapadeldocumentoCar"/>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Times New Roman" w:hAnsi="Tahoma" w:cs="Tahoma"/>
      <w:sz w:val="20"/>
      <w:szCs w:val="20"/>
      <w:bdr w:val="none" w:sz="0" w:space="0" w:color="auto"/>
    </w:rPr>
  </w:style>
  <w:style w:type="character" w:customStyle="1" w:styleId="MapadeldocumentoCar">
    <w:name w:val="Mapa del documento Car"/>
    <w:link w:val="Mapadeldocumento"/>
    <w:semiHidden/>
    <w:rsid w:val="004B316C"/>
    <w:rPr>
      <w:rFonts w:ascii="Tahoma" w:eastAsia="Times New Roman" w:hAnsi="Tahoma" w:cs="Tahoma"/>
      <w:bdr w:val="none" w:sz="0" w:space="0" w:color="auto"/>
      <w:shd w:val="clear" w:color="auto" w:fill="000080"/>
      <w:lang w:val="en-US" w:eastAsia="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20"/>
      <w:szCs w:val="20"/>
      <w:bdr w:val="none" w:sz="0" w:space="0" w:color="auto"/>
    </w:rPr>
  </w:style>
  <w:style w:type="character" w:customStyle="1" w:styleId="TextoindependienteCar">
    <w:name w:val="Texto independiente Car"/>
    <w:aliases w:val="Body Text Char Car Car Car Car Car Car Car Car Car Car Car Car Car Car,Body Text Char Car Car Car Car Car Car Car Car Car Car Car Car Car1"/>
    <w:link w:val="Textoindependiente"/>
    <w:rsid w:val="004B316C"/>
    <w:rPr>
      <w:rFonts w:eastAsia="Times New Roman"/>
      <w:bdr w:val="none" w:sz="0" w:space="0" w:color="auto"/>
      <w:lang w:val="en-US" w:eastAsia="en-US"/>
    </w:rPr>
  </w:style>
  <w:style w:type="paragraph" w:customStyle="1" w:styleId="Style6">
    <w:name w:val="Style 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jc w:val="both"/>
    </w:pPr>
    <w:rPr>
      <w:rFonts w:eastAsia="Times New Roman"/>
      <w:bdr w:val="none" w:sz="0" w:space="0" w:color="auto"/>
    </w:rPr>
  </w:style>
  <w:style w:type="paragraph" w:customStyle="1" w:styleId="Style29">
    <w:name w:val="Style 2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right="72"/>
      <w:jc w:val="both"/>
    </w:pPr>
    <w:rPr>
      <w:rFonts w:eastAsia="Times New Roman"/>
      <w:bdr w:val="none" w:sz="0" w:space="0" w:color="auto"/>
    </w:rPr>
  </w:style>
  <w:style w:type="paragraph" w:customStyle="1" w:styleId="Style28">
    <w:name w:val="Style 2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left="72"/>
      <w:jc w:val="both"/>
    </w:pPr>
    <w:rPr>
      <w:rFonts w:eastAsia="Times New Roman"/>
      <w:bdr w:val="none" w:sz="0" w:space="0" w:color="auto"/>
    </w:rPr>
  </w:style>
  <w:style w:type="paragraph" w:customStyle="1" w:styleId="Style26">
    <w:name w:val="Style 2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00">
    <w:name w:val="Style 1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jc w:val="both"/>
    </w:pPr>
    <w:rPr>
      <w:rFonts w:eastAsia="Times New Roman"/>
      <w:bdr w:val="none" w:sz="0" w:space="0" w:color="auto"/>
    </w:rPr>
  </w:style>
  <w:style w:type="paragraph" w:customStyle="1" w:styleId="Style12">
    <w:name w:val="Style 1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3">
    <w:name w:val="Style 13"/>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2" w:firstLine="72"/>
      <w:jc w:val="both"/>
    </w:pPr>
    <w:rPr>
      <w:rFonts w:eastAsia="Times New Roman"/>
      <w:bdr w:val="none" w:sz="0" w:space="0" w:color="auto"/>
    </w:rPr>
  </w:style>
  <w:style w:type="paragraph" w:customStyle="1" w:styleId="Style2">
    <w:name w:val="Style 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5">
    <w:name w:val="Style 1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648" w:right="72"/>
    </w:pPr>
    <w:rPr>
      <w:rFonts w:eastAsia="Times New Roman"/>
      <w:bdr w:val="none" w:sz="0" w:space="0" w:color="auto"/>
    </w:rPr>
  </w:style>
  <w:style w:type="paragraph" w:customStyle="1" w:styleId="Style25">
    <w:name w:val="Style 2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pPr>
    <w:rPr>
      <w:rFonts w:eastAsia="Times New Roman"/>
      <w:bdr w:val="none" w:sz="0" w:space="0" w:color="auto"/>
    </w:rPr>
  </w:style>
  <w:style w:type="paragraph" w:customStyle="1" w:styleId="Style18">
    <w:name w:val="Style 1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20">
    <w:name w:val="Style 2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pPr>
    <w:rPr>
      <w:rFonts w:eastAsia="Times New Roman"/>
      <w:bdr w:val="none" w:sz="0" w:space="0" w:color="auto"/>
    </w:rPr>
  </w:style>
  <w:style w:type="table" w:styleId="Tablaconcuadrcula">
    <w:name w:val="Table Grid"/>
    <w:basedOn w:val="Tablanormal"/>
    <w:rsid w:val="004B316C"/>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1,Normal (Web) Char Char,Normal (Web) Char1 Char,Normal (Web) Char Char Char"/>
    <w:basedOn w:val="Normal"/>
    <w:uiPriority w:val="99"/>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Textoennegrita">
    <w:name w:val="Strong"/>
    <w:uiPriority w:val="22"/>
    <w:qFormat/>
    <w:rsid w:val="004B316C"/>
    <w:rPr>
      <w:b/>
      <w:bCs/>
    </w:rPr>
  </w:style>
  <w:style w:type="character" w:customStyle="1" w:styleId="Heading1CharCharCharCharCharChar">
    <w:name w:val="Heading 1 Char Char Char Char Char Char"/>
    <w:rsid w:val="004B316C"/>
    <w:rPr>
      <w:rFonts w:ascii="Univers" w:hAnsi="Univers" w:cs="Arial"/>
      <w:kern w:val="36"/>
      <w:sz w:val="22"/>
      <w:szCs w:val="22"/>
      <w:lang w:val="en-US" w:eastAsia="en-US" w:bidi="ar-SA"/>
    </w:rPr>
  </w:style>
  <w:style w:type="paragraph" w:styleId="Sangra2detindependiente">
    <w:name w:val="Body Text Indent 2"/>
    <w:basedOn w:val="Normal"/>
    <w:link w:val="Sangra2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360"/>
    </w:pPr>
    <w:rPr>
      <w:rFonts w:eastAsia="Times New Roman"/>
      <w:sz w:val="20"/>
      <w:szCs w:val="20"/>
      <w:bdr w:val="none" w:sz="0" w:space="0" w:color="auto"/>
    </w:rPr>
  </w:style>
  <w:style w:type="character" w:customStyle="1" w:styleId="Sangra2detindependienteCar">
    <w:name w:val="Sangría 2 de t. independiente Car"/>
    <w:link w:val="Sangra2detindependiente"/>
    <w:rsid w:val="004B316C"/>
    <w:rPr>
      <w:rFonts w:eastAsia="Times New Roman"/>
      <w:bdr w:val="none" w:sz="0" w:space="0" w:color="auto"/>
      <w:lang w:val="en-US" w:eastAsia="en-US"/>
    </w:rPr>
  </w:style>
  <w:style w:type="paragraph" w:customStyle="1" w:styleId="Default">
    <w:name w:val="Default"/>
    <w:link w:val="DefaultChar"/>
    <w:rsid w:val="004B316C"/>
    <w:pPr>
      <w:autoSpaceDE w:val="0"/>
      <w:autoSpaceDN w:val="0"/>
      <w:adjustRightInd w:val="0"/>
    </w:pPr>
    <w:rPr>
      <w:rFonts w:eastAsia="Times New Roman"/>
      <w:color w:val="000000"/>
      <w:sz w:val="24"/>
      <w:szCs w:val="24"/>
      <w:lang w:val="en-US" w:eastAsia="en-US"/>
    </w:rPr>
  </w:style>
  <w:style w:type="character" w:customStyle="1" w:styleId="ju-005fpara--char">
    <w:name w:val="ju-005fpara--char"/>
    <w:basedOn w:val="Fuentedeprrafopredeter"/>
    <w:rsid w:val="004B316C"/>
  </w:style>
  <w:style w:type="paragraph" w:customStyle="1" w:styleId="Sinespaciado1">
    <w:name w:val="Sin espaciado1"/>
    <w:qFormat/>
    <w:rsid w:val="004B316C"/>
    <w:rPr>
      <w:rFonts w:ascii="Calibri" w:eastAsia="Calibri" w:hAnsi="Calibri"/>
      <w:sz w:val="22"/>
      <w:szCs w:val="22"/>
      <w:lang w:val="es-ES" w:eastAsia="en-US"/>
    </w:rPr>
  </w:style>
  <w:style w:type="character" w:customStyle="1" w:styleId="normal--char">
    <w:name w:val="normal--char"/>
    <w:basedOn w:val="Fuentedeprrafopredeter"/>
    <w:rsid w:val="004B316C"/>
  </w:style>
  <w:style w:type="paragraph" w:styleId="Ttulo">
    <w:name w:val="Title"/>
    <w:basedOn w:val="Normal"/>
    <w:link w:val="Ttulo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Times New Roman" w:hAnsi="Univers"/>
      <w:b/>
      <w:sz w:val="22"/>
      <w:szCs w:val="20"/>
      <w:bdr w:val="none" w:sz="0" w:space="0" w:color="auto"/>
      <w:lang w:val="es-ES"/>
    </w:rPr>
  </w:style>
  <w:style w:type="character" w:customStyle="1" w:styleId="TtuloCar">
    <w:name w:val="Título Car"/>
    <w:link w:val="Ttulo"/>
    <w:rsid w:val="004B316C"/>
    <w:rPr>
      <w:rFonts w:ascii="Univers" w:eastAsia="Times New Roman" w:hAnsi="Univers"/>
      <w:b/>
      <w:sz w:val="22"/>
      <w:bdr w:val="none" w:sz="0" w:space="0" w:color="auto"/>
      <w:lang w:eastAsia="en-US"/>
    </w:rPr>
  </w:style>
  <w:style w:type="character" w:customStyle="1" w:styleId="antetitulo1">
    <w:name w:val="antetitulo1"/>
    <w:rsid w:val="004B316C"/>
    <w:rPr>
      <w:rFonts w:ascii="Verdana" w:hAnsi="Verdana"/>
      <w:b w:val="0"/>
      <w:bCs w:val="0"/>
      <w:strike w:val="0"/>
      <w:dstrike w:val="0"/>
      <w:color w:val="CC0000"/>
      <w:sz w:val="15"/>
      <w:szCs w:val="15"/>
      <w:u w:val="none"/>
      <w:effect w:val="none"/>
    </w:rPr>
  </w:style>
  <w:style w:type="character" w:customStyle="1" w:styleId="ju-005fcase-0020char--char">
    <w:name w:val="ju-005fcase-0020char--char"/>
    <w:basedOn w:val="Fuentedeprrafopredeter"/>
    <w:rsid w:val="004B316C"/>
  </w:style>
  <w:style w:type="paragraph" w:customStyle="1" w:styleId="Blockquote">
    <w:name w:val="Blockquote"/>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after="100"/>
      <w:ind w:left="360" w:right="360"/>
    </w:pPr>
    <w:rPr>
      <w:rFonts w:eastAsia="Times New Roman"/>
      <w:snapToGrid w:val="0"/>
      <w:szCs w:val="20"/>
      <w:bdr w:val="none" w:sz="0" w:space="0" w:color="auto"/>
    </w:rPr>
  </w:style>
  <w:style w:type="paragraph" w:styleId="TDC5">
    <w:name w:val="toc 5"/>
    <w:basedOn w:val="Normal"/>
    <w:next w:val="Normal"/>
    <w:autoRedefine/>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ind w:left="800"/>
    </w:pPr>
    <w:rPr>
      <w:rFonts w:eastAsia="Times New Roman"/>
      <w:sz w:val="20"/>
      <w:szCs w:val="20"/>
      <w:bdr w:val="none" w:sz="0" w:space="0" w:color="auto"/>
    </w:r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4B316C"/>
    <w:rPr>
      <w:rFonts w:cs="Times New Roman"/>
      <w:lang w:val="es-ES_tradnl" w:eastAsia="en-US" w:bidi="ar-SA"/>
    </w:rPr>
  </w:style>
  <w:style w:type="paragraph" w:customStyle="1" w:styleId="Car">
    <w:name w:val="Car"/>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Times New Roman"/>
      <w:noProof/>
      <w:color w:val="000000"/>
      <w:sz w:val="20"/>
      <w:szCs w:val="20"/>
      <w:bdr w:val="none" w:sz="0" w:space="0" w:color="auto"/>
      <w:lang w:val="es-CO" w:eastAsia="es-ES"/>
    </w:rPr>
  </w:style>
  <w:style w:type="paragraph" w:customStyle="1" w:styleId="Prrafonumerado">
    <w:name w:val="Párrafo numerado"/>
    <w:basedOn w:val="Normal"/>
    <w:autoRedefine/>
    <w:rsid w:val="004B316C"/>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right="760"/>
      <w:jc w:val="both"/>
    </w:pPr>
    <w:rPr>
      <w:rFonts w:ascii="Univers" w:eastAsia="Times New Roman" w:hAnsi="Univers"/>
      <w:sz w:val="18"/>
      <w:szCs w:val="18"/>
      <w:bdr w:val="none" w:sz="0" w:space="0" w:color="auto"/>
      <w:lang w:val="es-CO" w:eastAsia="es-ES"/>
    </w:rPr>
  </w:style>
  <w:style w:type="paragraph" w:styleId="Textoindependiente3">
    <w:name w:val="Body Text 3"/>
    <w:basedOn w:val="Normal"/>
    <w:link w:val="Textoindependiente3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Textoindependiente3Car">
    <w:name w:val="Texto independiente 3 Car"/>
    <w:link w:val="Textoindependiente3"/>
    <w:rsid w:val="004B316C"/>
    <w:rPr>
      <w:rFonts w:eastAsia="Times New Roman"/>
      <w:sz w:val="16"/>
      <w:szCs w:val="16"/>
      <w:bdr w:val="none" w:sz="0" w:space="0" w:color="auto"/>
      <w:lang w:val="en-US" w:eastAsia="en-US"/>
    </w:rPr>
  </w:style>
  <w:style w:type="paragraph" w:styleId="Sangra3detindependiente">
    <w:name w:val="Body Text Indent 3"/>
    <w:basedOn w:val="Normal"/>
    <w:link w:val="Sangra3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Times New Roman"/>
      <w:sz w:val="16"/>
      <w:szCs w:val="16"/>
      <w:bdr w:val="none" w:sz="0" w:space="0" w:color="auto"/>
    </w:rPr>
  </w:style>
  <w:style w:type="character" w:customStyle="1" w:styleId="Sangra3detindependienteCar">
    <w:name w:val="Sangría 3 de t. independiente Car"/>
    <w:link w:val="Sangra3detindependiente"/>
    <w:rsid w:val="004B316C"/>
    <w:rPr>
      <w:rFonts w:eastAsia="Times New Roman"/>
      <w:sz w:val="16"/>
      <w:szCs w:val="16"/>
      <w:bdr w:val="none" w:sz="0" w:space="0" w:color="auto"/>
      <w:lang w:val="en-US" w:eastAsia="en-US"/>
    </w:rPr>
  </w:style>
  <w:style w:type="character" w:customStyle="1" w:styleId="FootnoteCharacters">
    <w:name w:val="Footnote Characters"/>
    <w:rsid w:val="004B316C"/>
    <w:rPr>
      <w:vertAlign w:val="superscript"/>
    </w:rPr>
  </w:style>
  <w:style w:type="character" w:customStyle="1" w:styleId="WW-FootnoteCharacters">
    <w:name w:val="WW-Footnote Characters"/>
    <w:rsid w:val="004B316C"/>
    <w:rPr>
      <w:rFonts w:ascii="Universal" w:hAnsi="Universal"/>
      <w:sz w:val="16"/>
      <w:vertAlign w:val="superscript"/>
    </w:rPr>
  </w:style>
  <w:style w:type="character" w:customStyle="1" w:styleId="textonavy1">
    <w:name w:val="texto_navy1"/>
    <w:rsid w:val="004B316C"/>
    <w:rPr>
      <w:color w:val="000080"/>
    </w:rPr>
  </w:style>
  <w:style w:type="paragraph" w:customStyle="1" w:styleId="Style3">
    <w:name w:val="Style 3"/>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both"/>
    </w:pPr>
    <w:rPr>
      <w:rFonts w:eastAsia="Times New Roman"/>
      <w:bdr w:val="none" w:sz="0" w:space="0" w:color="auto"/>
    </w:rPr>
  </w:style>
  <w:style w:type="paragraph" w:customStyle="1" w:styleId="Style5">
    <w:name w:val="Style 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line="360" w:lineRule="auto"/>
      <w:jc w:val="both"/>
    </w:pPr>
    <w:rPr>
      <w:rFonts w:eastAsia="Times New Roman"/>
      <w:bdr w:val="none" w:sz="0" w:space="0" w:color="auto"/>
    </w:rPr>
  </w:style>
  <w:style w:type="paragraph" w:customStyle="1" w:styleId="Style7">
    <w:name w:val="Style 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right="72"/>
      <w:jc w:val="both"/>
    </w:pPr>
    <w:rPr>
      <w:rFonts w:eastAsia="Times New Roman"/>
      <w:bdr w:val="none" w:sz="0" w:space="0" w:color="auto"/>
    </w:rPr>
  </w:style>
  <w:style w:type="character" w:styleId="nfasis">
    <w:name w:val="Emphasis"/>
    <w:qFormat/>
    <w:rsid w:val="004B316C"/>
    <w:rPr>
      <w:i/>
      <w:iCs/>
    </w:rPr>
  </w:style>
  <w:style w:type="character" w:styleId="Refdecomentario">
    <w:name w:val="annotation reference"/>
    <w:semiHidden/>
    <w:rsid w:val="004B316C"/>
    <w:rPr>
      <w:sz w:val="16"/>
      <w:szCs w:val="16"/>
    </w:rPr>
  </w:style>
  <w:style w:type="paragraph" w:styleId="Textocomentario">
    <w:name w:val="annotation text"/>
    <w:basedOn w:val="Normal"/>
    <w:link w:val="TextocomentarioCar"/>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ocomentarioCar">
    <w:name w:val="Texto comentario Car"/>
    <w:link w:val="Textocomentario"/>
    <w:semiHidden/>
    <w:rsid w:val="004B316C"/>
    <w:rPr>
      <w:rFonts w:eastAsia="Times New Roman"/>
      <w:bdr w:val="none" w:sz="0" w:space="0" w:color="auto"/>
      <w:lang w:val="en-US" w:eastAsia="en-US"/>
    </w:rPr>
  </w:style>
  <w:style w:type="character" w:customStyle="1" w:styleId="st1">
    <w:name w:val="st1"/>
    <w:basedOn w:val="Fuentedeprrafopredeter"/>
    <w:rsid w:val="006F34E3"/>
  </w:style>
  <w:style w:type="paragraph" w:styleId="Textoindependiente2">
    <w:name w:val="Body Text 2"/>
    <w:basedOn w:val="Normal"/>
    <w:link w:val="Textoindependiente2Car"/>
    <w:unhideWhenUsed/>
    <w:rsid w:val="005F74FD"/>
    <w:pPr>
      <w:spacing w:after="120" w:line="480" w:lineRule="auto"/>
    </w:pPr>
  </w:style>
  <w:style w:type="character" w:customStyle="1" w:styleId="Textoindependiente2Car">
    <w:name w:val="Texto independiente 2 Car"/>
    <w:link w:val="Textoindependiente2"/>
    <w:semiHidden/>
    <w:rsid w:val="005F74FD"/>
    <w:rPr>
      <w:sz w:val="24"/>
      <w:szCs w:val="24"/>
      <w:lang w:val="en-US" w:eastAsia="en-US"/>
    </w:rPr>
  </w:style>
  <w:style w:type="paragraph" w:styleId="Textosinformato">
    <w:name w:val="Plain Text"/>
    <w:basedOn w:val="Normal"/>
    <w:link w:val="TextosinformatoCar"/>
    <w:uiPriority w:val="99"/>
    <w:unhideWhenUsed/>
    <w:rsid w:val="006D5ED9"/>
    <w:rPr>
      <w:rFonts w:ascii="Consolas" w:hAnsi="Consolas" w:cs="Consolas"/>
      <w:sz w:val="21"/>
      <w:szCs w:val="21"/>
    </w:rPr>
  </w:style>
  <w:style w:type="character" w:customStyle="1" w:styleId="TextosinformatoCar">
    <w:name w:val="Texto sin formato Car"/>
    <w:link w:val="Textosinformato"/>
    <w:uiPriority w:val="99"/>
    <w:semiHidden/>
    <w:rsid w:val="006D5ED9"/>
    <w:rPr>
      <w:rFonts w:ascii="Consolas" w:hAnsi="Consolas" w:cs="Consolas"/>
      <w:sz w:val="21"/>
      <w:szCs w:val="21"/>
      <w:lang w:val="en-US" w:eastAsia="en-US"/>
    </w:rPr>
  </w:style>
  <w:style w:type="character" w:customStyle="1" w:styleId="Listavistosa-nfasis1Car">
    <w:name w:val="Lista vistosa - Énfasis 1 Car"/>
    <w:link w:val="Listavistosa-nfasis1"/>
    <w:uiPriority w:val="34"/>
    <w:locked/>
    <w:rsid w:val="00AA09B7"/>
    <w:rPr>
      <w:rFonts w:ascii="Cambria" w:eastAsia="Cambria" w:hAnsi="Cambria" w:cs="Cambria"/>
      <w:color w:val="000000"/>
      <w:sz w:val="24"/>
      <w:szCs w:val="24"/>
      <w:u w:color="000000"/>
      <w:lang w:val="en-US"/>
    </w:rPr>
  </w:style>
  <w:style w:type="character" w:customStyle="1" w:styleId="BodyTextChar1">
    <w:name w:val="Body Text Char1"/>
    <w:aliases w:val="Body Text Char Char,Body Text Char Car Car Car Car Car Car Car Car Car Car Car Car Car Char,Body Text Char Car Car Car Car Car Car Car Car Car Car Car Car Char"/>
    <w:semiHidden/>
    <w:locked/>
    <w:rsid w:val="00E40449"/>
    <w:rPr>
      <w:rFonts w:ascii="Univers" w:eastAsia="Batang" w:hAnsi="Univers"/>
      <w:spacing w:val="-2"/>
      <w:sz w:val="22"/>
      <w:lang w:val="es-ES_tradnl" w:eastAsia="en-US" w:bidi="ar-SA"/>
    </w:rPr>
  </w:style>
  <w:style w:type="character" w:customStyle="1" w:styleId="FootnoteTextChar2">
    <w:name w:val="Footnote Text Char2"/>
    <w:aliases w:val="Footnote Text Char Char Char Char Char Char2,Footnote Text Char Char Char Char Char11,Footnote reference Char2,FA Fu Char2,Footnote Text Char Char Char Char11,Footnote Text Cha Char2,FA Fußnotentext Char2,FA Fuﬂnotentext Char2,f Cha"/>
    <w:semiHidden/>
    <w:locked/>
    <w:rsid w:val="00E40449"/>
    <w:rPr>
      <w:rFonts w:ascii="Univers" w:hAnsi="Univers" w:cs="Times New Roman"/>
      <w:lang w:val="es-ES_tradnl" w:eastAsia="x-none"/>
    </w:rPr>
  </w:style>
  <w:style w:type="paragraph" w:styleId="Subttulo">
    <w:name w:val="Subtitle"/>
    <w:basedOn w:val="Normal"/>
    <w:link w:val="SubttuloCar"/>
    <w:qFormat/>
    <w:rsid w:val="00E40449"/>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Batang" w:hAnsi="Arial" w:cs="Arial"/>
      <w:bdr w:val="none" w:sz="0" w:space="0" w:color="auto"/>
      <w:lang w:val="es-ES_tradnl"/>
    </w:rPr>
  </w:style>
  <w:style w:type="character" w:customStyle="1" w:styleId="SubttuloCar">
    <w:name w:val="Subtítulo Car"/>
    <w:link w:val="Subttulo"/>
    <w:rsid w:val="00E40449"/>
    <w:rPr>
      <w:rFonts w:ascii="Arial" w:eastAsia="Batang" w:hAnsi="Arial" w:cs="Arial"/>
      <w:sz w:val="24"/>
      <w:szCs w:val="24"/>
      <w:bdr w:val="none" w:sz="0" w:space="0" w:color="auto"/>
      <w:lang w:val="es-ES_tradnl" w:eastAsia="en-US"/>
    </w:rPr>
  </w:style>
  <w:style w:type="paragraph" w:styleId="Lista2">
    <w:name w:val="List 2"/>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Batang" w:hAnsi="Univers"/>
      <w:sz w:val="22"/>
      <w:szCs w:val="20"/>
      <w:bdr w:val="none" w:sz="0" w:space="0" w:color="auto"/>
      <w:lang w:val="es-ES_tradnl"/>
    </w:rPr>
  </w:style>
  <w:style w:type="character" w:customStyle="1" w:styleId="NormalWebChar">
    <w:name w:val="Normal (Web) Char"/>
    <w:aliases w:val="Normal (Web) Char1 Char1,Normal (Web) Char Char Char1,Normal (Web) Char1 Char Char,Normal (Web) Char Char Char Char"/>
    <w:rsid w:val="00E40449"/>
    <w:rPr>
      <w:sz w:val="24"/>
      <w:lang w:val="en-US" w:eastAsia="en-US"/>
    </w:rPr>
  </w:style>
  <w:style w:type="paragraph" w:styleId="Textodebloque">
    <w:name w:val="Block Text"/>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Univers" w:eastAsia="Batang" w:hAnsi="Univers"/>
      <w:sz w:val="18"/>
      <w:szCs w:val="20"/>
      <w:bdr w:val="none" w:sz="0" w:space="0" w:color="auto"/>
      <w:lang w:val="es-ES_tradnl"/>
    </w:rPr>
  </w:style>
  <w:style w:type="paragraph" w:styleId="Lista3">
    <w:name w:val="List 3"/>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1080" w:hanging="360"/>
    </w:pPr>
    <w:rPr>
      <w:rFonts w:ascii="Univers" w:eastAsia="Batang" w:hAnsi="Univers"/>
      <w:sz w:val="22"/>
      <w:szCs w:val="20"/>
      <w:bdr w:val="none" w:sz="0" w:space="0" w:color="auto"/>
      <w:lang w:val="es-ES_tradnl"/>
    </w:rPr>
  </w:style>
  <w:style w:type="paragraph" w:customStyle="1" w:styleId="Sangradetindependiente">
    <w:name w:val="SangrÌa de t. independiente"/>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Batang" w:hAnsi="Garamond"/>
      <w:szCs w:val="20"/>
      <w:bdr w:val="none" w:sz="0" w:space="0" w:color="auto"/>
      <w:lang w:val="es-ES_tradnl" w:eastAsia="ar-SA"/>
    </w:rPr>
  </w:style>
  <w:style w:type="character" w:styleId="Hipervnculovisitado">
    <w:name w:val="FollowedHyperlink"/>
    <w:rsid w:val="00E40449"/>
    <w:rPr>
      <w:rFonts w:cs="Times New Roman"/>
      <w:color w:val="800080"/>
      <w:u w:val="single"/>
    </w:rPr>
  </w:style>
  <w:style w:type="character" w:customStyle="1" w:styleId="ifinal011">
    <w:name w:val="ifinal011"/>
    <w:rsid w:val="00E40449"/>
    <w:rPr>
      <w:rFonts w:ascii="Verdana" w:hAnsi="Verdana"/>
      <w:color w:val="003399"/>
      <w:sz w:val="12"/>
    </w:rPr>
  </w:style>
  <w:style w:type="paragraph" w:customStyle="1" w:styleId="PlaceholderText1">
    <w:name w:val="Placeholder Text1"/>
    <w:basedOn w:val="Normal"/>
    <w:rsid w:val="00E40449"/>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0"/>
      </w:tabs>
      <w:outlineLvl w:val="0"/>
    </w:pPr>
    <w:rPr>
      <w:rFonts w:ascii="Verdana" w:eastAsia="MS Gothic" w:hAnsi="Verdana"/>
      <w:sz w:val="20"/>
      <w:bdr w:val="none" w:sz="0" w:space="0" w:color="auto"/>
      <w:lang w:val="es-ES_tradnl"/>
    </w:rPr>
  </w:style>
  <w:style w:type="paragraph" w:styleId="Cuadrculamedia2">
    <w:name w:val="Medium Grid 2"/>
    <w:basedOn w:val="Normal"/>
    <w:uiPriority w:val="1"/>
    <w:qFormat/>
    <w:rsid w:val="00E40449"/>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0"/>
        <w:tab w:val="num" w:pos="720"/>
      </w:tabs>
      <w:ind w:left="1080" w:hanging="360"/>
      <w:outlineLvl w:val="1"/>
    </w:pPr>
    <w:rPr>
      <w:rFonts w:ascii="Verdana" w:eastAsia="MS Gothic" w:hAnsi="Verdana"/>
      <w:sz w:val="20"/>
      <w:bdr w:val="none" w:sz="0" w:space="0" w:color="auto"/>
      <w:lang w:val="es-ES_tradnl"/>
    </w:rPr>
  </w:style>
  <w:style w:type="paragraph" w:customStyle="1" w:styleId="LightShading1">
    <w:name w:val="Light Shading1"/>
    <w:basedOn w:val="Normal"/>
    <w:rsid w:val="00E40449"/>
    <w:pPr>
      <w:keepNext/>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40"/>
      </w:tabs>
      <w:ind w:left="1800"/>
      <w:outlineLvl w:val="2"/>
    </w:pPr>
    <w:rPr>
      <w:rFonts w:ascii="Verdana" w:eastAsia="MS Gothic" w:hAnsi="Verdana"/>
      <w:sz w:val="20"/>
      <w:bdr w:val="none" w:sz="0" w:space="0" w:color="auto"/>
      <w:lang w:val="es-ES_tradnl"/>
    </w:rPr>
  </w:style>
  <w:style w:type="paragraph" w:customStyle="1" w:styleId="LightList1">
    <w:name w:val="Light List1"/>
    <w:basedOn w:val="Normal"/>
    <w:rsid w:val="00E40449"/>
    <w:pPr>
      <w:keepNext/>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2160"/>
      </w:tabs>
      <w:ind w:left="2520"/>
      <w:outlineLvl w:val="3"/>
    </w:pPr>
    <w:rPr>
      <w:rFonts w:ascii="Verdana" w:eastAsia="MS Gothic" w:hAnsi="Verdana"/>
      <w:sz w:val="20"/>
      <w:bdr w:val="none" w:sz="0" w:space="0" w:color="auto"/>
      <w:lang w:val="es-ES_tradnl"/>
    </w:rPr>
  </w:style>
  <w:style w:type="paragraph" w:customStyle="1" w:styleId="LightGrid1">
    <w:name w:val="Light Grid1"/>
    <w:basedOn w:val="Normal"/>
    <w:rsid w:val="00E40449"/>
    <w:pPr>
      <w:keepNext/>
      <w:numPr>
        <w:ilvl w:val="3"/>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2880"/>
      </w:tabs>
      <w:ind w:left="3240"/>
      <w:outlineLvl w:val="4"/>
    </w:pPr>
    <w:rPr>
      <w:rFonts w:ascii="Verdana" w:eastAsia="MS Gothic" w:hAnsi="Verdana"/>
      <w:sz w:val="20"/>
      <w:bdr w:val="none" w:sz="0" w:space="0" w:color="auto"/>
      <w:lang w:val="es-ES_tradnl"/>
    </w:rPr>
  </w:style>
  <w:style w:type="paragraph" w:customStyle="1" w:styleId="MediumShading11">
    <w:name w:val="Medium Shading 11"/>
    <w:basedOn w:val="Normal"/>
    <w:rsid w:val="00E40449"/>
    <w:pPr>
      <w:keepNext/>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880"/>
        <w:tab w:val="num" w:pos="3600"/>
      </w:tabs>
      <w:ind w:left="3960"/>
      <w:outlineLvl w:val="5"/>
    </w:pPr>
    <w:rPr>
      <w:rFonts w:ascii="Verdana" w:eastAsia="MS Gothic" w:hAnsi="Verdana"/>
      <w:sz w:val="20"/>
      <w:bdr w:val="none" w:sz="0" w:space="0" w:color="auto"/>
      <w:lang w:val="es-ES_tradnl"/>
    </w:rPr>
  </w:style>
  <w:style w:type="paragraph" w:customStyle="1" w:styleId="MediumShading21">
    <w:name w:val="Medium Shading 21"/>
    <w:basedOn w:val="Normal"/>
    <w:rsid w:val="00E40449"/>
    <w:pPr>
      <w:keepNext/>
      <w:numPr>
        <w:ilvl w:val="5"/>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600"/>
        <w:tab w:val="num" w:pos="4320"/>
      </w:tabs>
      <w:ind w:left="4680"/>
      <w:outlineLvl w:val="6"/>
    </w:pPr>
    <w:rPr>
      <w:rFonts w:ascii="Verdana" w:eastAsia="MS Gothic" w:hAnsi="Verdana"/>
      <w:sz w:val="20"/>
      <w:bdr w:val="none" w:sz="0" w:space="0" w:color="auto"/>
      <w:lang w:val="es-ES_tradnl"/>
    </w:rPr>
  </w:style>
  <w:style w:type="paragraph" w:customStyle="1" w:styleId="MediumList11">
    <w:name w:val="Medium List 11"/>
    <w:basedOn w:val="Normal"/>
    <w:rsid w:val="00E40449"/>
    <w:pPr>
      <w:keepNext/>
      <w:numPr>
        <w:ilvl w:val="6"/>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4320"/>
        <w:tab w:val="num" w:pos="5040"/>
      </w:tabs>
      <w:ind w:left="5400"/>
      <w:outlineLvl w:val="7"/>
    </w:pPr>
    <w:rPr>
      <w:rFonts w:ascii="Verdana" w:eastAsia="MS Gothic" w:hAnsi="Verdana"/>
      <w:sz w:val="20"/>
      <w:bdr w:val="none" w:sz="0" w:space="0" w:color="auto"/>
      <w:lang w:val="es-ES_tradnl"/>
    </w:rPr>
  </w:style>
  <w:style w:type="paragraph" w:customStyle="1" w:styleId="MediumList21">
    <w:name w:val="Medium List 21"/>
    <w:basedOn w:val="Normal"/>
    <w:rsid w:val="00E40449"/>
    <w:pPr>
      <w:keepNext/>
      <w:numPr>
        <w:ilvl w:val="7"/>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5040"/>
        <w:tab w:val="num" w:pos="5760"/>
      </w:tabs>
      <w:ind w:left="6120"/>
      <w:outlineLvl w:val="8"/>
    </w:pPr>
    <w:rPr>
      <w:rFonts w:ascii="Verdana" w:eastAsia="MS Gothic" w:hAnsi="Verdana"/>
      <w:sz w:val="20"/>
      <w:bdr w:val="none" w:sz="0" w:space="0" w:color="auto"/>
      <w:lang w:val="es-ES_tradnl"/>
    </w:rPr>
  </w:style>
  <w:style w:type="paragraph" w:customStyle="1" w:styleId="Estilo5">
    <w:name w:val="Estilo5"/>
    <w:basedOn w:val="Ttulo1"/>
    <w:next w:val="Normal"/>
    <w:rsid w:val="00E40449"/>
    <w:pPr>
      <w:numPr>
        <w:ilvl w:val="8"/>
        <w:numId w:val="56"/>
      </w:numPr>
      <w:tabs>
        <w:tab w:val="clear" w:pos="5760"/>
      </w:tabs>
      <w:spacing w:before="240" w:after="60"/>
      <w:ind w:left="0" w:firstLine="0"/>
      <w:jc w:val="both"/>
    </w:pPr>
    <w:rPr>
      <w:rFonts w:ascii="Verdana" w:eastAsia="Batang" w:hAnsi="Verdana" w:cs="Arial"/>
      <w:b w:val="0"/>
      <w:bCs/>
      <w:kern w:val="32"/>
      <w:szCs w:val="24"/>
      <w:lang w:val="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locked/>
    <w:rsid w:val="00E40449"/>
    <w:rPr>
      <w:rFonts w:ascii="Univers" w:eastAsia="Batang" w:hAnsi="Univers"/>
      <w:lang w:val="es-CO" w:eastAsia="en-US" w:bidi="ar-SA"/>
    </w:rPr>
  </w:style>
  <w:style w:type="character" w:customStyle="1" w:styleId="apple-converted-space">
    <w:name w:val="apple-converted-space"/>
    <w:rsid w:val="00E40449"/>
    <w:rPr>
      <w:rFonts w:cs="Times New Roman"/>
    </w:rPr>
  </w:style>
  <w:style w:type="paragraph" w:customStyle="1" w:styleId="Estilo7">
    <w:name w:val="Estilo7"/>
    <w:basedOn w:val="Normal"/>
    <w:rsid w:val="00E40449"/>
    <w:pPr>
      <w:numPr>
        <w:ilvl w:val="2"/>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851"/>
      </w:tabs>
      <w:spacing w:before="120" w:after="120"/>
      <w:jc w:val="both"/>
    </w:pPr>
    <w:rPr>
      <w:rFonts w:ascii="Verdana" w:eastAsia="Batang" w:hAnsi="Verdana"/>
      <w:b/>
      <w:i/>
      <w:sz w:val="20"/>
      <w:szCs w:val="20"/>
      <w:bdr w:val="none" w:sz="0" w:space="0" w:color="auto"/>
      <w:lang w:val="es-ES_tradnl" w:eastAsia="es-MX"/>
    </w:rPr>
  </w:style>
  <w:style w:type="character" w:customStyle="1" w:styleId="skypepnhprintcontainer">
    <w:name w:val="skype_pnh_print_container"/>
    <w:rsid w:val="00E40449"/>
    <w:rPr>
      <w:rFonts w:cs="Times New Roman"/>
    </w:rPr>
  </w:style>
  <w:style w:type="character" w:customStyle="1" w:styleId="skypepnhcontainer">
    <w:name w:val="skype_pnh_container"/>
    <w:rsid w:val="00E40449"/>
    <w:rPr>
      <w:rFonts w:cs="Times New Roman"/>
    </w:rPr>
  </w:style>
  <w:style w:type="character" w:customStyle="1" w:styleId="s6b621b36">
    <w:name w:val="s6b621b36"/>
    <w:rsid w:val="00E40449"/>
    <w:rPr>
      <w:rFonts w:cs="Times New Roman"/>
    </w:rPr>
  </w:style>
  <w:style w:type="character" w:customStyle="1" w:styleId="tituloarticulo1">
    <w:name w:val="titulo_articulo1"/>
    <w:rsid w:val="00E40449"/>
    <w:rPr>
      <w:rFonts w:ascii="Arial" w:hAnsi="Arial"/>
      <w:b/>
      <w:sz w:val="36"/>
    </w:rPr>
  </w:style>
  <w:style w:type="paragraph" w:styleId="Asuntodelcomentario">
    <w:name w:val="annotation subject"/>
    <w:basedOn w:val="Textocomentario"/>
    <w:next w:val="Textocomentario"/>
    <w:link w:val="AsuntodelcomentarioCar"/>
    <w:semiHidden/>
    <w:rsid w:val="00E40449"/>
    <w:rPr>
      <w:rFonts w:ascii="Univers" w:eastAsia="Batang" w:hAnsi="Univers"/>
      <w:sz w:val="22"/>
      <w:lang w:val="es-ES_tradnl"/>
    </w:rPr>
  </w:style>
  <w:style w:type="character" w:customStyle="1" w:styleId="AsuntodelcomentarioCar">
    <w:name w:val="Asunto del comentario Car"/>
    <w:link w:val="Asuntodelcomentario"/>
    <w:semiHidden/>
    <w:rsid w:val="00E40449"/>
    <w:rPr>
      <w:rFonts w:ascii="Univers" w:eastAsia="Batang" w:hAnsi="Univers"/>
      <w:sz w:val="22"/>
      <w:bdr w:val="none" w:sz="0" w:space="0" w:color="auto"/>
      <w:lang w:val="es-ES_tradnl" w:eastAsia="en-US"/>
    </w:rPr>
  </w:style>
  <w:style w:type="character" w:customStyle="1" w:styleId="ListParagraphChar1">
    <w:name w:val="List Paragraph Char1"/>
    <w:aliases w:val="Footnote Char2"/>
    <w:locked/>
    <w:rsid w:val="00E40449"/>
    <w:rPr>
      <w:rFonts w:ascii="Verdana" w:hAnsi="Verdana"/>
      <w:lang w:val="es-ES_tradnl" w:eastAsia="x-none"/>
    </w:rPr>
  </w:style>
  <w:style w:type="paragraph" w:styleId="Sombreadovistoso-nfasis1">
    <w:name w:val="Colorful Shading Accent 1"/>
    <w:hidden/>
    <w:uiPriority w:val="71"/>
    <w:rsid w:val="00E40449"/>
    <w:rPr>
      <w:rFonts w:ascii="Univers" w:eastAsia="Batang" w:hAnsi="Univers"/>
      <w:sz w:val="22"/>
      <w:lang w:val="es-ES_tradnl" w:eastAsia="en-US"/>
    </w:rPr>
  </w:style>
  <w:style w:type="character" w:customStyle="1" w:styleId="apple-style-span">
    <w:name w:val="apple-style-span"/>
    <w:rsid w:val="00E40449"/>
  </w:style>
  <w:style w:type="character" w:customStyle="1" w:styleId="DefaultChar">
    <w:name w:val="Default Char"/>
    <w:link w:val="Default"/>
    <w:rsid w:val="00424452"/>
    <w:rPr>
      <w:rFonts w:eastAsia="Times New Roman"/>
      <w:color w:val="000000"/>
      <w:sz w:val="24"/>
      <w:szCs w:val="24"/>
      <w:bdr w:val="none" w:sz="0" w:space="0" w:color="auto"/>
      <w:lang w:val="en-US" w:eastAsia="en-US"/>
    </w:rPr>
  </w:style>
  <w:style w:type="paragraph" w:customStyle="1" w:styleId="TOCHeading">
    <w:name w:val="TOC Heading"/>
    <w:basedOn w:val="Ttulo1"/>
    <w:next w:val="Normal"/>
    <w:uiPriority w:val="39"/>
    <w:semiHidden/>
    <w:unhideWhenUsed/>
    <w:qFormat/>
    <w:rsid w:val="00526252"/>
    <w:pPr>
      <w:keepLines/>
      <w:numPr>
        <w:numId w:val="0"/>
      </w:numPr>
      <w:spacing w:before="480" w:line="276" w:lineRule="auto"/>
      <w:outlineLvl w:val="9"/>
    </w:pPr>
    <w:rPr>
      <w:rFonts w:eastAsia="MS Gothic"/>
      <w:bCs/>
      <w:color w:val="365F91"/>
      <w:sz w:val="28"/>
      <w:szCs w:val="28"/>
      <w:lang w:val="en-US" w:eastAsia="ja-JP"/>
    </w:rPr>
  </w:style>
  <w:style w:type="paragraph" w:customStyle="1" w:styleId="ColorfulList-Accent12">
    <w:name w:val="Colorful List - Accent 12"/>
    <w:link w:val="ColorfulList-Accent1Char"/>
    <w:uiPriority w:val="34"/>
    <w:qFormat/>
    <w:rsid w:val="005D3C3E"/>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ColorfulList-Accent1Char">
    <w:name w:val="Colorful List - Accent 1 Char"/>
    <w:link w:val="ColorfulList-Accent12"/>
    <w:uiPriority w:val="34"/>
    <w:locked/>
    <w:rsid w:val="005D3C3E"/>
    <w:rPr>
      <w:rFonts w:ascii="Cambria" w:eastAsia="Cambria" w:hAnsi="Cambria" w:cs="Cambria"/>
      <w:color w:val="000000"/>
      <w:sz w:val="24"/>
      <w:szCs w:val="24"/>
      <w:u w:color="000000"/>
      <w:lang w:val="en-US"/>
    </w:rPr>
  </w:style>
  <w:style w:type="paragraph" w:customStyle="1" w:styleId="footnote">
    <w:name w:val="footnote"/>
    <w:basedOn w:val="NormalWeb"/>
    <w:rsid w:val="009E12CB"/>
  </w:style>
  <w:style w:type="character" w:styleId="Cuadrculamedia1">
    <w:name w:val="Medium Grid 1"/>
    <w:uiPriority w:val="99"/>
    <w:semiHidden/>
    <w:rsid w:val="00C762F5"/>
    <w:rPr>
      <w:color w:val="808080"/>
    </w:rPr>
  </w:style>
  <w:style w:type="character" w:customStyle="1" w:styleId="sb8d990e2">
    <w:name w:val="sb8d990e2"/>
    <w:basedOn w:val="Fuentedeprrafopredeter"/>
    <w:rsid w:val="00417C85"/>
  </w:style>
  <w:style w:type="character" w:customStyle="1" w:styleId="StyleUnivers10pt">
    <w:name w:val="Style Univers 10 pt"/>
    <w:rsid w:val="004D4057"/>
    <w:rPr>
      <w:rFonts w:ascii="Univers" w:hAnsi="Univers"/>
      <w:sz w:val="20"/>
    </w:rPr>
  </w:style>
  <w:style w:type="paragraph" w:customStyle="1" w:styleId="ColorfulList-Accent11">
    <w:name w:val="Colorful List - Accent 11"/>
    <w:basedOn w:val="Normal"/>
    <w:uiPriority w:val="34"/>
    <w:qFormat/>
    <w:rsid w:val="00762237"/>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bdr w:val="none" w:sz="0" w:space="0" w:color="auto"/>
    </w:rPr>
  </w:style>
  <w:style w:type="paragraph" w:styleId="HTMLconformatoprevio">
    <w:name w:val="HTML Preformatted"/>
    <w:basedOn w:val="Normal"/>
    <w:link w:val="HTMLconformatoprevioCar"/>
    <w:uiPriority w:val="99"/>
    <w:semiHidden/>
    <w:unhideWhenUsed/>
    <w:rsid w:val="007025F2"/>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link w:val="HTMLconformatoprevio"/>
    <w:uiPriority w:val="99"/>
    <w:semiHidden/>
    <w:rsid w:val="007025F2"/>
    <w:rPr>
      <w:rFonts w:ascii="Courier New" w:eastAsia="Times New Roman" w:hAnsi="Courier New" w:cs="Courier New"/>
      <w:bdr w:val="none" w:sz="0" w:space="0" w:color="auto"/>
      <w:lang w:val="en-US" w:eastAsia="en-US"/>
    </w:rPr>
  </w:style>
  <w:style w:type="paragraph" w:styleId="Textonotaalfinal">
    <w:name w:val="endnote text"/>
    <w:basedOn w:val="Normal"/>
    <w:link w:val="TextonotaalfinalCar"/>
    <w:rsid w:val="008C213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bidi="en-US"/>
    </w:rPr>
  </w:style>
  <w:style w:type="character" w:customStyle="1" w:styleId="TextonotaalfinalCar">
    <w:name w:val="Texto nota al final Car"/>
    <w:link w:val="Textonotaalfinal"/>
    <w:rsid w:val="008C213F"/>
    <w:rPr>
      <w:rFonts w:eastAsia="Times New Roman"/>
      <w:sz w:val="24"/>
      <w:szCs w:val="24"/>
      <w:bdr w:val="none" w:sz="0" w:space="0" w:color="auto"/>
      <w:lang w:val="en-US" w:eastAsia="en-US" w:bidi="en-US"/>
    </w:rPr>
  </w:style>
  <w:style w:type="character" w:customStyle="1" w:styleId="BodyTextIndentChar1">
    <w:name w:val="Body Text Indent Char1"/>
    <w:locked/>
    <w:rsid w:val="008C213F"/>
    <w:rPr>
      <w:rFonts w:eastAsia="Times New Roman"/>
      <w:color w:val="000000"/>
      <w:sz w:val="24"/>
      <w:szCs w:val="24"/>
      <w:u w:color="000000"/>
      <w:lang w:val="en-US"/>
    </w:rPr>
  </w:style>
  <w:style w:type="paragraph" w:customStyle="1" w:styleId="MediumGrid1-Accent21">
    <w:name w:val="Medium Grid 1 - Accent 21"/>
    <w:basedOn w:val="Normal"/>
    <w:uiPriority w:val="34"/>
    <w:qFormat/>
    <w:rsid w:val="008C213F"/>
    <w:pPr>
      <w:ind w:left="720"/>
    </w:pPr>
    <w:rPr>
      <w:lang w:bidi="en-US"/>
    </w:rPr>
  </w:style>
  <w:style w:type="paragraph" w:styleId="TDC6">
    <w:name w:val="toc 6"/>
    <w:basedOn w:val="Normal"/>
    <w:next w:val="Normal"/>
    <w:autoRedefine/>
    <w:uiPriority w:val="39"/>
    <w:unhideWhenUsed/>
    <w:rsid w:val="008C213F"/>
    <w:pPr>
      <w:ind w:left="1200"/>
    </w:pPr>
  </w:style>
  <w:style w:type="paragraph" w:styleId="TDC7">
    <w:name w:val="toc 7"/>
    <w:basedOn w:val="Normal"/>
    <w:next w:val="Normal"/>
    <w:autoRedefine/>
    <w:uiPriority w:val="39"/>
    <w:unhideWhenUsed/>
    <w:rsid w:val="008C213F"/>
    <w:pPr>
      <w:ind w:left="1440"/>
    </w:pPr>
  </w:style>
  <w:style w:type="paragraph" w:styleId="TDC8">
    <w:name w:val="toc 8"/>
    <w:basedOn w:val="Normal"/>
    <w:next w:val="Normal"/>
    <w:autoRedefine/>
    <w:uiPriority w:val="39"/>
    <w:unhideWhenUsed/>
    <w:rsid w:val="008C213F"/>
    <w:pPr>
      <w:ind w:left="1680"/>
    </w:pPr>
  </w:style>
  <w:style w:type="paragraph" w:styleId="TDC9">
    <w:name w:val="toc 9"/>
    <w:basedOn w:val="Normal"/>
    <w:next w:val="Normal"/>
    <w:autoRedefine/>
    <w:uiPriority w:val="39"/>
    <w:unhideWhenUsed/>
    <w:rsid w:val="008C213F"/>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0900">
      <w:bodyDiv w:val="1"/>
      <w:marLeft w:val="0"/>
      <w:marRight w:val="0"/>
      <w:marTop w:val="0"/>
      <w:marBottom w:val="0"/>
      <w:divBdr>
        <w:top w:val="none" w:sz="0" w:space="0" w:color="auto"/>
        <w:left w:val="none" w:sz="0" w:space="0" w:color="auto"/>
        <w:bottom w:val="none" w:sz="0" w:space="0" w:color="auto"/>
        <w:right w:val="none" w:sz="0" w:space="0" w:color="auto"/>
      </w:divBdr>
      <w:divsChild>
        <w:div w:id="1614703790">
          <w:marLeft w:val="0"/>
          <w:marRight w:val="0"/>
          <w:marTop w:val="0"/>
          <w:marBottom w:val="0"/>
          <w:divBdr>
            <w:top w:val="none" w:sz="0" w:space="0" w:color="auto"/>
            <w:left w:val="none" w:sz="0" w:space="0" w:color="auto"/>
            <w:bottom w:val="none" w:sz="0" w:space="0" w:color="auto"/>
            <w:right w:val="none" w:sz="0" w:space="0" w:color="auto"/>
          </w:divBdr>
          <w:divsChild>
            <w:div w:id="1615555170">
              <w:marLeft w:val="0"/>
              <w:marRight w:val="0"/>
              <w:marTop w:val="0"/>
              <w:marBottom w:val="0"/>
              <w:divBdr>
                <w:top w:val="none" w:sz="0" w:space="0" w:color="auto"/>
                <w:left w:val="none" w:sz="0" w:space="0" w:color="auto"/>
                <w:bottom w:val="none" w:sz="0" w:space="0" w:color="auto"/>
                <w:right w:val="none" w:sz="0" w:space="0" w:color="auto"/>
              </w:divBdr>
              <w:divsChild>
                <w:div w:id="170875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3949">
      <w:bodyDiv w:val="1"/>
      <w:marLeft w:val="0"/>
      <w:marRight w:val="0"/>
      <w:marTop w:val="0"/>
      <w:marBottom w:val="0"/>
      <w:divBdr>
        <w:top w:val="none" w:sz="0" w:space="0" w:color="auto"/>
        <w:left w:val="none" w:sz="0" w:space="0" w:color="auto"/>
        <w:bottom w:val="none" w:sz="0" w:space="0" w:color="auto"/>
        <w:right w:val="none" w:sz="0" w:space="0" w:color="auto"/>
      </w:divBdr>
      <w:divsChild>
        <w:div w:id="2063870308">
          <w:marLeft w:val="0"/>
          <w:marRight w:val="0"/>
          <w:marTop w:val="0"/>
          <w:marBottom w:val="0"/>
          <w:divBdr>
            <w:top w:val="none" w:sz="0" w:space="0" w:color="auto"/>
            <w:left w:val="none" w:sz="0" w:space="0" w:color="auto"/>
            <w:bottom w:val="none" w:sz="0" w:space="0" w:color="auto"/>
            <w:right w:val="none" w:sz="0" w:space="0" w:color="auto"/>
          </w:divBdr>
          <w:divsChild>
            <w:div w:id="1778405652">
              <w:marLeft w:val="0"/>
              <w:marRight w:val="0"/>
              <w:marTop w:val="0"/>
              <w:marBottom w:val="0"/>
              <w:divBdr>
                <w:top w:val="none" w:sz="0" w:space="0" w:color="auto"/>
                <w:left w:val="none" w:sz="0" w:space="0" w:color="auto"/>
                <w:bottom w:val="none" w:sz="0" w:space="0" w:color="auto"/>
                <w:right w:val="none" w:sz="0" w:space="0" w:color="auto"/>
              </w:divBdr>
              <w:divsChild>
                <w:div w:id="87242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9093">
      <w:bodyDiv w:val="1"/>
      <w:marLeft w:val="0"/>
      <w:marRight w:val="0"/>
      <w:marTop w:val="0"/>
      <w:marBottom w:val="0"/>
      <w:divBdr>
        <w:top w:val="none" w:sz="0" w:space="0" w:color="auto"/>
        <w:left w:val="none" w:sz="0" w:space="0" w:color="auto"/>
        <w:bottom w:val="none" w:sz="0" w:space="0" w:color="auto"/>
        <w:right w:val="none" w:sz="0" w:space="0" w:color="auto"/>
      </w:divBdr>
    </w:div>
    <w:div w:id="217208730">
      <w:bodyDiv w:val="1"/>
      <w:marLeft w:val="0"/>
      <w:marRight w:val="0"/>
      <w:marTop w:val="0"/>
      <w:marBottom w:val="0"/>
      <w:divBdr>
        <w:top w:val="none" w:sz="0" w:space="0" w:color="auto"/>
        <w:left w:val="none" w:sz="0" w:space="0" w:color="auto"/>
        <w:bottom w:val="none" w:sz="0" w:space="0" w:color="auto"/>
        <w:right w:val="none" w:sz="0" w:space="0" w:color="auto"/>
      </w:divBdr>
      <w:divsChild>
        <w:div w:id="226035566">
          <w:marLeft w:val="0"/>
          <w:marRight w:val="0"/>
          <w:marTop w:val="0"/>
          <w:marBottom w:val="0"/>
          <w:divBdr>
            <w:top w:val="none" w:sz="0" w:space="0" w:color="auto"/>
            <w:left w:val="none" w:sz="0" w:space="0" w:color="auto"/>
            <w:bottom w:val="none" w:sz="0" w:space="0" w:color="auto"/>
            <w:right w:val="none" w:sz="0" w:space="0" w:color="auto"/>
          </w:divBdr>
          <w:divsChild>
            <w:div w:id="1873301713">
              <w:marLeft w:val="0"/>
              <w:marRight w:val="0"/>
              <w:marTop w:val="0"/>
              <w:marBottom w:val="0"/>
              <w:divBdr>
                <w:top w:val="none" w:sz="0" w:space="0" w:color="auto"/>
                <w:left w:val="none" w:sz="0" w:space="0" w:color="auto"/>
                <w:bottom w:val="none" w:sz="0" w:space="0" w:color="auto"/>
                <w:right w:val="none" w:sz="0" w:space="0" w:color="auto"/>
              </w:divBdr>
              <w:divsChild>
                <w:div w:id="104217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087795">
      <w:bodyDiv w:val="1"/>
      <w:marLeft w:val="0"/>
      <w:marRight w:val="0"/>
      <w:marTop w:val="0"/>
      <w:marBottom w:val="0"/>
      <w:divBdr>
        <w:top w:val="none" w:sz="0" w:space="0" w:color="auto"/>
        <w:left w:val="none" w:sz="0" w:space="0" w:color="auto"/>
        <w:bottom w:val="none" w:sz="0" w:space="0" w:color="auto"/>
        <w:right w:val="none" w:sz="0" w:space="0" w:color="auto"/>
      </w:divBdr>
      <w:divsChild>
        <w:div w:id="615672209">
          <w:marLeft w:val="0"/>
          <w:marRight w:val="0"/>
          <w:marTop w:val="0"/>
          <w:marBottom w:val="0"/>
          <w:divBdr>
            <w:top w:val="none" w:sz="0" w:space="0" w:color="auto"/>
            <w:left w:val="none" w:sz="0" w:space="0" w:color="auto"/>
            <w:bottom w:val="none" w:sz="0" w:space="0" w:color="auto"/>
            <w:right w:val="none" w:sz="0" w:space="0" w:color="auto"/>
          </w:divBdr>
          <w:divsChild>
            <w:div w:id="488667486">
              <w:marLeft w:val="0"/>
              <w:marRight w:val="0"/>
              <w:marTop w:val="0"/>
              <w:marBottom w:val="0"/>
              <w:divBdr>
                <w:top w:val="none" w:sz="0" w:space="0" w:color="auto"/>
                <w:left w:val="none" w:sz="0" w:space="0" w:color="auto"/>
                <w:bottom w:val="none" w:sz="0" w:space="0" w:color="auto"/>
                <w:right w:val="none" w:sz="0" w:space="0" w:color="auto"/>
              </w:divBdr>
              <w:divsChild>
                <w:div w:id="53538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0335">
      <w:bodyDiv w:val="1"/>
      <w:marLeft w:val="0"/>
      <w:marRight w:val="0"/>
      <w:marTop w:val="0"/>
      <w:marBottom w:val="0"/>
      <w:divBdr>
        <w:top w:val="none" w:sz="0" w:space="0" w:color="auto"/>
        <w:left w:val="none" w:sz="0" w:space="0" w:color="auto"/>
        <w:bottom w:val="none" w:sz="0" w:space="0" w:color="auto"/>
        <w:right w:val="none" w:sz="0" w:space="0" w:color="auto"/>
      </w:divBdr>
    </w:div>
    <w:div w:id="362901482">
      <w:bodyDiv w:val="1"/>
      <w:marLeft w:val="0"/>
      <w:marRight w:val="0"/>
      <w:marTop w:val="0"/>
      <w:marBottom w:val="0"/>
      <w:divBdr>
        <w:top w:val="none" w:sz="0" w:space="0" w:color="auto"/>
        <w:left w:val="none" w:sz="0" w:space="0" w:color="auto"/>
        <w:bottom w:val="none" w:sz="0" w:space="0" w:color="auto"/>
        <w:right w:val="none" w:sz="0" w:space="0" w:color="auto"/>
      </w:divBdr>
    </w:div>
    <w:div w:id="396171635">
      <w:bodyDiv w:val="1"/>
      <w:marLeft w:val="0"/>
      <w:marRight w:val="0"/>
      <w:marTop w:val="0"/>
      <w:marBottom w:val="0"/>
      <w:divBdr>
        <w:top w:val="none" w:sz="0" w:space="0" w:color="auto"/>
        <w:left w:val="none" w:sz="0" w:space="0" w:color="auto"/>
        <w:bottom w:val="none" w:sz="0" w:space="0" w:color="auto"/>
        <w:right w:val="none" w:sz="0" w:space="0" w:color="auto"/>
      </w:divBdr>
    </w:div>
    <w:div w:id="431360052">
      <w:bodyDiv w:val="1"/>
      <w:marLeft w:val="0"/>
      <w:marRight w:val="0"/>
      <w:marTop w:val="0"/>
      <w:marBottom w:val="0"/>
      <w:divBdr>
        <w:top w:val="none" w:sz="0" w:space="0" w:color="auto"/>
        <w:left w:val="none" w:sz="0" w:space="0" w:color="auto"/>
        <w:bottom w:val="none" w:sz="0" w:space="0" w:color="auto"/>
        <w:right w:val="none" w:sz="0" w:space="0" w:color="auto"/>
      </w:divBdr>
    </w:div>
    <w:div w:id="454327789">
      <w:bodyDiv w:val="1"/>
      <w:marLeft w:val="0"/>
      <w:marRight w:val="0"/>
      <w:marTop w:val="0"/>
      <w:marBottom w:val="0"/>
      <w:divBdr>
        <w:top w:val="none" w:sz="0" w:space="0" w:color="auto"/>
        <w:left w:val="none" w:sz="0" w:space="0" w:color="auto"/>
        <w:bottom w:val="none" w:sz="0" w:space="0" w:color="auto"/>
        <w:right w:val="none" w:sz="0" w:space="0" w:color="auto"/>
      </w:divBdr>
    </w:div>
    <w:div w:id="572394939">
      <w:bodyDiv w:val="1"/>
      <w:marLeft w:val="0"/>
      <w:marRight w:val="0"/>
      <w:marTop w:val="0"/>
      <w:marBottom w:val="0"/>
      <w:divBdr>
        <w:top w:val="none" w:sz="0" w:space="0" w:color="auto"/>
        <w:left w:val="none" w:sz="0" w:space="0" w:color="auto"/>
        <w:bottom w:val="none" w:sz="0" w:space="0" w:color="auto"/>
        <w:right w:val="none" w:sz="0" w:space="0" w:color="auto"/>
      </w:divBdr>
      <w:divsChild>
        <w:div w:id="1909606406">
          <w:marLeft w:val="0"/>
          <w:marRight w:val="0"/>
          <w:marTop w:val="0"/>
          <w:marBottom w:val="0"/>
          <w:divBdr>
            <w:top w:val="none" w:sz="0" w:space="0" w:color="auto"/>
            <w:left w:val="none" w:sz="0" w:space="0" w:color="auto"/>
            <w:bottom w:val="none" w:sz="0" w:space="0" w:color="auto"/>
            <w:right w:val="none" w:sz="0" w:space="0" w:color="auto"/>
          </w:divBdr>
          <w:divsChild>
            <w:div w:id="309869785">
              <w:marLeft w:val="0"/>
              <w:marRight w:val="0"/>
              <w:marTop w:val="0"/>
              <w:marBottom w:val="0"/>
              <w:divBdr>
                <w:top w:val="none" w:sz="0" w:space="0" w:color="auto"/>
                <w:left w:val="none" w:sz="0" w:space="0" w:color="auto"/>
                <w:bottom w:val="none" w:sz="0" w:space="0" w:color="auto"/>
                <w:right w:val="none" w:sz="0" w:space="0" w:color="auto"/>
              </w:divBdr>
              <w:divsChild>
                <w:div w:id="957755225">
                  <w:marLeft w:val="0"/>
                  <w:marRight w:val="0"/>
                  <w:marTop w:val="0"/>
                  <w:marBottom w:val="0"/>
                  <w:divBdr>
                    <w:top w:val="none" w:sz="0" w:space="0" w:color="auto"/>
                    <w:left w:val="none" w:sz="0" w:space="0" w:color="auto"/>
                    <w:bottom w:val="none" w:sz="0" w:space="0" w:color="auto"/>
                    <w:right w:val="none" w:sz="0" w:space="0" w:color="auto"/>
                  </w:divBdr>
                  <w:divsChild>
                    <w:div w:id="10392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230229">
      <w:bodyDiv w:val="1"/>
      <w:marLeft w:val="0"/>
      <w:marRight w:val="0"/>
      <w:marTop w:val="0"/>
      <w:marBottom w:val="0"/>
      <w:divBdr>
        <w:top w:val="none" w:sz="0" w:space="0" w:color="auto"/>
        <w:left w:val="none" w:sz="0" w:space="0" w:color="auto"/>
        <w:bottom w:val="none" w:sz="0" w:space="0" w:color="auto"/>
        <w:right w:val="none" w:sz="0" w:space="0" w:color="auto"/>
      </w:divBdr>
    </w:div>
    <w:div w:id="669524764">
      <w:bodyDiv w:val="1"/>
      <w:marLeft w:val="0"/>
      <w:marRight w:val="0"/>
      <w:marTop w:val="0"/>
      <w:marBottom w:val="0"/>
      <w:divBdr>
        <w:top w:val="none" w:sz="0" w:space="0" w:color="auto"/>
        <w:left w:val="none" w:sz="0" w:space="0" w:color="auto"/>
        <w:bottom w:val="none" w:sz="0" w:space="0" w:color="auto"/>
        <w:right w:val="none" w:sz="0" w:space="0" w:color="auto"/>
      </w:divBdr>
    </w:div>
    <w:div w:id="816646408">
      <w:bodyDiv w:val="1"/>
      <w:marLeft w:val="0"/>
      <w:marRight w:val="0"/>
      <w:marTop w:val="0"/>
      <w:marBottom w:val="0"/>
      <w:divBdr>
        <w:top w:val="none" w:sz="0" w:space="0" w:color="auto"/>
        <w:left w:val="none" w:sz="0" w:space="0" w:color="auto"/>
        <w:bottom w:val="none" w:sz="0" w:space="0" w:color="auto"/>
        <w:right w:val="none" w:sz="0" w:space="0" w:color="auto"/>
      </w:divBdr>
    </w:div>
    <w:div w:id="823395924">
      <w:bodyDiv w:val="1"/>
      <w:marLeft w:val="0"/>
      <w:marRight w:val="0"/>
      <w:marTop w:val="0"/>
      <w:marBottom w:val="0"/>
      <w:divBdr>
        <w:top w:val="none" w:sz="0" w:space="0" w:color="auto"/>
        <w:left w:val="none" w:sz="0" w:space="0" w:color="auto"/>
        <w:bottom w:val="none" w:sz="0" w:space="0" w:color="auto"/>
        <w:right w:val="none" w:sz="0" w:space="0" w:color="auto"/>
      </w:divBdr>
    </w:div>
    <w:div w:id="869807112">
      <w:bodyDiv w:val="1"/>
      <w:marLeft w:val="0"/>
      <w:marRight w:val="0"/>
      <w:marTop w:val="0"/>
      <w:marBottom w:val="0"/>
      <w:divBdr>
        <w:top w:val="none" w:sz="0" w:space="0" w:color="auto"/>
        <w:left w:val="none" w:sz="0" w:space="0" w:color="auto"/>
        <w:bottom w:val="none" w:sz="0" w:space="0" w:color="auto"/>
        <w:right w:val="none" w:sz="0" w:space="0" w:color="auto"/>
      </w:divBdr>
    </w:div>
    <w:div w:id="912397683">
      <w:bodyDiv w:val="1"/>
      <w:marLeft w:val="0"/>
      <w:marRight w:val="0"/>
      <w:marTop w:val="0"/>
      <w:marBottom w:val="0"/>
      <w:divBdr>
        <w:top w:val="none" w:sz="0" w:space="0" w:color="auto"/>
        <w:left w:val="none" w:sz="0" w:space="0" w:color="auto"/>
        <w:bottom w:val="none" w:sz="0" w:space="0" w:color="auto"/>
        <w:right w:val="none" w:sz="0" w:space="0" w:color="auto"/>
      </w:divBdr>
    </w:div>
    <w:div w:id="976683759">
      <w:bodyDiv w:val="1"/>
      <w:marLeft w:val="0"/>
      <w:marRight w:val="0"/>
      <w:marTop w:val="0"/>
      <w:marBottom w:val="0"/>
      <w:divBdr>
        <w:top w:val="none" w:sz="0" w:space="0" w:color="auto"/>
        <w:left w:val="none" w:sz="0" w:space="0" w:color="auto"/>
        <w:bottom w:val="none" w:sz="0" w:space="0" w:color="auto"/>
        <w:right w:val="none" w:sz="0" w:space="0" w:color="auto"/>
      </w:divBdr>
      <w:divsChild>
        <w:div w:id="10740136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60763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34011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71273860">
      <w:bodyDiv w:val="1"/>
      <w:marLeft w:val="0"/>
      <w:marRight w:val="0"/>
      <w:marTop w:val="0"/>
      <w:marBottom w:val="0"/>
      <w:divBdr>
        <w:top w:val="none" w:sz="0" w:space="0" w:color="auto"/>
        <w:left w:val="none" w:sz="0" w:space="0" w:color="auto"/>
        <w:bottom w:val="none" w:sz="0" w:space="0" w:color="auto"/>
        <w:right w:val="none" w:sz="0" w:space="0" w:color="auto"/>
      </w:divBdr>
    </w:div>
    <w:div w:id="1220936955">
      <w:bodyDiv w:val="1"/>
      <w:marLeft w:val="0"/>
      <w:marRight w:val="0"/>
      <w:marTop w:val="0"/>
      <w:marBottom w:val="0"/>
      <w:divBdr>
        <w:top w:val="none" w:sz="0" w:space="0" w:color="auto"/>
        <w:left w:val="none" w:sz="0" w:space="0" w:color="auto"/>
        <w:bottom w:val="none" w:sz="0" w:space="0" w:color="auto"/>
        <w:right w:val="none" w:sz="0" w:space="0" w:color="auto"/>
      </w:divBdr>
      <w:divsChild>
        <w:div w:id="804811409">
          <w:marLeft w:val="0"/>
          <w:marRight w:val="0"/>
          <w:marTop w:val="0"/>
          <w:marBottom w:val="0"/>
          <w:divBdr>
            <w:top w:val="none" w:sz="0" w:space="0" w:color="auto"/>
            <w:left w:val="none" w:sz="0" w:space="0" w:color="auto"/>
            <w:bottom w:val="none" w:sz="0" w:space="0" w:color="auto"/>
            <w:right w:val="none" w:sz="0" w:space="0" w:color="auto"/>
          </w:divBdr>
          <w:divsChild>
            <w:div w:id="992490227">
              <w:marLeft w:val="0"/>
              <w:marRight w:val="0"/>
              <w:marTop w:val="0"/>
              <w:marBottom w:val="0"/>
              <w:divBdr>
                <w:top w:val="none" w:sz="0" w:space="0" w:color="auto"/>
                <w:left w:val="none" w:sz="0" w:space="0" w:color="auto"/>
                <w:bottom w:val="none" w:sz="0" w:space="0" w:color="auto"/>
                <w:right w:val="none" w:sz="0" w:space="0" w:color="auto"/>
              </w:divBdr>
              <w:divsChild>
                <w:div w:id="105952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056838">
      <w:bodyDiv w:val="1"/>
      <w:marLeft w:val="0"/>
      <w:marRight w:val="0"/>
      <w:marTop w:val="0"/>
      <w:marBottom w:val="0"/>
      <w:divBdr>
        <w:top w:val="none" w:sz="0" w:space="0" w:color="auto"/>
        <w:left w:val="none" w:sz="0" w:space="0" w:color="auto"/>
        <w:bottom w:val="none" w:sz="0" w:space="0" w:color="auto"/>
        <w:right w:val="none" w:sz="0" w:space="0" w:color="auto"/>
      </w:divBdr>
    </w:div>
    <w:div w:id="1336569766">
      <w:bodyDiv w:val="1"/>
      <w:marLeft w:val="0"/>
      <w:marRight w:val="0"/>
      <w:marTop w:val="0"/>
      <w:marBottom w:val="0"/>
      <w:divBdr>
        <w:top w:val="none" w:sz="0" w:space="0" w:color="auto"/>
        <w:left w:val="none" w:sz="0" w:space="0" w:color="auto"/>
        <w:bottom w:val="none" w:sz="0" w:space="0" w:color="auto"/>
        <w:right w:val="none" w:sz="0" w:space="0" w:color="auto"/>
      </w:divBdr>
    </w:div>
    <w:div w:id="1390032220">
      <w:bodyDiv w:val="1"/>
      <w:marLeft w:val="0"/>
      <w:marRight w:val="0"/>
      <w:marTop w:val="0"/>
      <w:marBottom w:val="0"/>
      <w:divBdr>
        <w:top w:val="none" w:sz="0" w:space="0" w:color="auto"/>
        <w:left w:val="none" w:sz="0" w:space="0" w:color="auto"/>
        <w:bottom w:val="none" w:sz="0" w:space="0" w:color="auto"/>
        <w:right w:val="none" w:sz="0" w:space="0" w:color="auto"/>
      </w:divBdr>
      <w:divsChild>
        <w:div w:id="1793479875">
          <w:marLeft w:val="0"/>
          <w:marRight w:val="0"/>
          <w:marTop w:val="0"/>
          <w:marBottom w:val="0"/>
          <w:divBdr>
            <w:top w:val="none" w:sz="0" w:space="0" w:color="auto"/>
            <w:left w:val="none" w:sz="0" w:space="0" w:color="auto"/>
            <w:bottom w:val="none" w:sz="0" w:space="0" w:color="auto"/>
            <w:right w:val="none" w:sz="0" w:space="0" w:color="auto"/>
          </w:divBdr>
          <w:divsChild>
            <w:div w:id="59988567">
              <w:marLeft w:val="0"/>
              <w:marRight w:val="0"/>
              <w:marTop w:val="0"/>
              <w:marBottom w:val="0"/>
              <w:divBdr>
                <w:top w:val="none" w:sz="0" w:space="0" w:color="auto"/>
                <w:left w:val="none" w:sz="0" w:space="0" w:color="auto"/>
                <w:bottom w:val="none" w:sz="0" w:space="0" w:color="auto"/>
                <w:right w:val="none" w:sz="0" w:space="0" w:color="auto"/>
              </w:divBdr>
              <w:divsChild>
                <w:div w:id="2141341908">
                  <w:marLeft w:val="0"/>
                  <w:marRight w:val="0"/>
                  <w:marTop w:val="0"/>
                  <w:marBottom w:val="0"/>
                  <w:divBdr>
                    <w:top w:val="none" w:sz="0" w:space="0" w:color="auto"/>
                    <w:left w:val="none" w:sz="0" w:space="0" w:color="auto"/>
                    <w:bottom w:val="none" w:sz="0" w:space="0" w:color="auto"/>
                    <w:right w:val="none" w:sz="0" w:space="0" w:color="auto"/>
                  </w:divBdr>
                  <w:divsChild>
                    <w:div w:id="72633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920160">
      <w:bodyDiv w:val="1"/>
      <w:marLeft w:val="0"/>
      <w:marRight w:val="0"/>
      <w:marTop w:val="0"/>
      <w:marBottom w:val="0"/>
      <w:divBdr>
        <w:top w:val="none" w:sz="0" w:space="0" w:color="auto"/>
        <w:left w:val="none" w:sz="0" w:space="0" w:color="auto"/>
        <w:bottom w:val="none" w:sz="0" w:space="0" w:color="auto"/>
        <w:right w:val="none" w:sz="0" w:space="0" w:color="auto"/>
      </w:divBdr>
      <w:divsChild>
        <w:div w:id="1778017893">
          <w:marLeft w:val="0"/>
          <w:marRight w:val="0"/>
          <w:marTop w:val="0"/>
          <w:marBottom w:val="0"/>
          <w:divBdr>
            <w:top w:val="none" w:sz="0" w:space="0" w:color="auto"/>
            <w:left w:val="none" w:sz="0" w:space="0" w:color="auto"/>
            <w:bottom w:val="none" w:sz="0" w:space="0" w:color="auto"/>
            <w:right w:val="none" w:sz="0" w:space="0" w:color="auto"/>
          </w:divBdr>
          <w:divsChild>
            <w:div w:id="518545274">
              <w:marLeft w:val="0"/>
              <w:marRight w:val="0"/>
              <w:marTop w:val="0"/>
              <w:marBottom w:val="0"/>
              <w:divBdr>
                <w:top w:val="none" w:sz="0" w:space="0" w:color="auto"/>
                <w:left w:val="none" w:sz="0" w:space="0" w:color="auto"/>
                <w:bottom w:val="none" w:sz="0" w:space="0" w:color="auto"/>
                <w:right w:val="none" w:sz="0" w:space="0" w:color="auto"/>
              </w:divBdr>
              <w:divsChild>
                <w:div w:id="14956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28871">
      <w:bodyDiv w:val="1"/>
      <w:marLeft w:val="0"/>
      <w:marRight w:val="0"/>
      <w:marTop w:val="0"/>
      <w:marBottom w:val="0"/>
      <w:divBdr>
        <w:top w:val="none" w:sz="0" w:space="0" w:color="auto"/>
        <w:left w:val="none" w:sz="0" w:space="0" w:color="auto"/>
        <w:bottom w:val="none" w:sz="0" w:space="0" w:color="auto"/>
        <w:right w:val="none" w:sz="0" w:space="0" w:color="auto"/>
      </w:divBdr>
      <w:divsChild>
        <w:div w:id="2000881240">
          <w:marLeft w:val="0"/>
          <w:marRight w:val="0"/>
          <w:marTop w:val="0"/>
          <w:marBottom w:val="0"/>
          <w:divBdr>
            <w:top w:val="none" w:sz="0" w:space="0" w:color="auto"/>
            <w:left w:val="none" w:sz="0" w:space="0" w:color="auto"/>
            <w:bottom w:val="none" w:sz="0" w:space="0" w:color="auto"/>
            <w:right w:val="none" w:sz="0" w:space="0" w:color="auto"/>
          </w:divBdr>
          <w:divsChild>
            <w:div w:id="183977375">
              <w:marLeft w:val="0"/>
              <w:marRight w:val="0"/>
              <w:marTop w:val="0"/>
              <w:marBottom w:val="0"/>
              <w:divBdr>
                <w:top w:val="none" w:sz="0" w:space="0" w:color="auto"/>
                <w:left w:val="none" w:sz="0" w:space="0" w:color="auto"/>
                <w:bottom w:val="none" w:sz="0" w:space="0" w:color="auto"/>
                <w:right w:val="none" w:sz="0" w:space="0" w:color="auto"/>
              </w:divBdr>
              <w:divsChild>
                <w:div w:id="4332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459133">
      <w:bodyDiv w:val="1"/>
      <w:marLeft w:val="0"/>
      <w:marRight w:val="0"/>
      <w:marTop w:val="0"/>
      <w:marBottom w:val="0"/>
      <w:divBdr>
        <w:top w:val="none" w:sz="0" w:space="0" w:color="auto"/>
        <w:left w:val="none" w:sz="0" w:space="0" w:color="auto"/>
        <w:bottom w:val="none" w:sz="0" w:space="0" w:color="auto"/>
        <w:right w:val="none" w:sz="0" w:space="0" w:color="auto"/>
      </w:divBdr>
    </w:div>
    <w:div w:id="1620455607">
      <w:bodyDiv w:val="1"/>
      <w:marLeft w:val="0"/>
      <w:marRight w:val="0"/>
      <w:marTop w:val="0"/>
      <w:marBottom w:val="0"/>
      <w:divBdr>
        <w:top w:val="none" w:sz="0" w:space="0" w:color="auto"/>
        <w:left w:val="none" w:sz="0" w:space="0" w:color="auto"/>
        <w:bottom w:val="none" w:sz="0" w:space="0" w:color="auto"/>
        <w:right w:val="none" w:sz="0" w:space="0" w:color="auto"/>
      </w:divBdr>
      <w:divsChild>
        <w:div w:id="1885410878">
          <w:marLeft w:val="0"/>
          <w:marRight w:val="0"/>
          <w:marTop w:val="0"/>
          <w:marBottom w:val="0"/>
          <w:divBdr>
            <w:top w:val="none" w:sz="0" w:space="0" w:color="auto"/>
            <w:left w:val="none" w:sz="0" w:space="0" w:color="auto"/>
            <w:bottom w:val="none" w:sz="0" w:space="0" w:color="auto"/>
            <w:right w:val="none" w:sz="0" w:space="0" w:color="auto"/>
          </w:divBdr>
          <w:divsChild>
            <w:div w:id="862671937">
              <w:marLeft w:val="0"/>
              <w:marRight w:val="0"/>
              <w:marTop w:val="0"/>
              <w:marBottom w:val="0"/>
              <w:divBdr>
                <w:top w:val="none" w:sz="0" w:space="0" w:color="auto"/>
                <w:left w:val="none" w:sz="0" w:space="0" w:color="auto"/>
                <w:bottom w:val="none" w:sz="0" w:space="0" w:color="auto"/>
                <w:right w:val="none" w:sz="0" w:space="0" w:color="auto"/>
              </w:divBdr>
              <w:divsChild>
                <w:div w:id="9130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409882">
      <w:bodyDiv w:val="1"/>
      <w:marLeft w:val="0"/>
      <w:marRight w:val="0"/>
      <w:marTop w:val="0"/>
      <w:marBottom w:val="0"/>
      <w:divBdr>
        <w:top w:val="none" w:sz="0" w:space="0" w:color="auto"/>
        <w:left w:val="none" w:sz="0" w:space="0" w:color="auto"/>
        <w:bottom w:val="none" w:sz="0" w:space="0" w:color="auto"/>
        <w:right w:val="none" w:sz="0" w:space="0" w:color="auto"/>
      </w:divBdr>
      <w:divsChild>
        <w:div w:id="1767460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83245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4449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75709477">
      <w:bodyDiv w:val="1"/>
      <w:marLeft w:val="0"/>
      <w:marRight w:val="0"/>
      <w:marTop w:val="0"/>
      <w:marBottom w:val="0"/>
      <w:divBdr>
        <w:top w:val="none" w:sz="0" w:space="0" w:color="auto"/>
        <w:left w:val="none" w:sz="0" w:space="0" w:color="auto"/>
        <w:bottom w:val="none" w:sz="0" w:space="0" w:color="auto"/>
        <w:right w:val="none" w:sz="0" w:space="0" w:color="auto"/>
      </w:divBdr>
      <w:divsChild>
        <w:div w:id="1982227836">
          <w:marLeft w:val="0"/>
          <w:marRight w:val="0"/>
          <w:marTop w:val="0"/>
          <w:marBottom w:val="0"/>
          <w:divBdr>
            <w:top w:val="none" w:sz="0" w:space="0" w:color="auto"/>
            <w:left w:val="none" w:sz="0" w:space="0" w:color="auto"/>
            <w:bottom w:val="none" w:sz="0" w:space="0" w:color="auto"/>
            <w:right w:val="none" w:sz="0" w:space="0" w:color="auto"/>
          </w:divBdr>
          <w:divsChild>
            <w:div w:id="184757938">
              <w:marLeft w:val="0"/>
              <w:marRight w:val="0"/>
              <w:marTop w:val="0"/>
              <w:marBottom w:val="0"/>
              <w:divBdr>
                <w:top w:val="none" w:sz="0" w:space="0" w:color="auto"/>
                <w:left w:val="none" w:sz="0" w:space="0" w:color="auto"/>
                <w:bottom w:val="none" w:sz="0" w:space="0" w:color="auto"/>
                <w:right w:val="none" w:sz="0" w:space="0" w:color="auto"/>
              </w:divBdr>
              <w:divsChild>
                <w:div w:id="76507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791968368">
      <w:bodyDiv w:val="1"/>
      <w:marLeft w:val="0"/>
      <w:marRight w:val="0"/>
      <w:marTop w:val="0"/>
      <w:marBottom w:val="0"/>
      <w:divBdr>
        <w:top w:val="none" w:sz="0" w:space="0" w:color="auto"/>
        <w:left w:val="none" w:sz="0" w:space="0" w:color="auto"/>
        <w:bottom w:val="none" w:sz="0" w:space="0" w:color="auto"/>
        <w:right w:val="none" w:sz="0" w:space="0" w:color="auto"/>
      </w:divBdr>
      <w:divsChild>
        <w:div w:id="456724534">
          <w:marLeft w:val="0"/>
          <w:marRight w:val="0"/>
          <w:marTop w:val="0"/>
          <w:marBottom w:val="0"/>
          <w:divBdr>
            <w:top w:val="none" w:sz="0" w:space="0" w:color="auto"/>
            <w:left w:val="none" w:sz="0" w:space="0" w:color="auto"/>
            <w:bottom w:val="none" w:sz="0" w:space="0" w:color="auto"/>
            <w:right w:val="none" w:sz="0" w:space="0" w:color="auto"/>
          </w:divBdr>
          <w:divsChild>
            <w:div w:id="1916433413">
              <w:marLeft w:val="0"/>
              <w:marRight w:val="0"/>
              <w:marTop w:val="0"/>
              <w:marBottom w:val="0"/>
              <w:divBdr>
                <w:top w:val="none" w:sz="0" w:space="0" w:color="auto"/>
                <w:left w:val="none" w:sz="0" w:space="0" w:color="auto"/>
                <w:bottom w:val="none" w:sz="0" w:space="0" w:color="auto"/>
                <w:right w:val="none" w:sz="0" w:space="0" w:color="auto"/>
              </w:divBdr>
              <w:divsChild>
                <w:div w:id="1300066048">
                  <w:marLeft w:val="0"/>
                  <w:marRight w:val="0"/>
                  <w:marTop w:val="0"/>
                  <w:marBottom w:val="0"/>
                  <w:divBdr>
                    <w:top w:val="none" w:sz="0" w:space="0" w:color="auto"/>
                    <w:left w:val="none" w:sz="0" w:space="0" w:color="auto"/>
                    <w:bottom w:val="none" w:sz="0" w:space="0" w:color="auto"/>
                    <w:right w:val="none" w:sz="0" w:space="0" w:color="auto"/>
                  </w:divBdr>
                </w:div>
                <w:div w:id="207080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587744">
      <w:bodyDiv w:val="1"/>
      <w:marLeft w:val="0"/>
      <w:marRight w:val="0"/>
      <w:marTop w:val="0"/>
      <w:marBottom w:val="0"/>
      <w:divBdr>
        <w:top w:val="none" w:sz="0" w:space="0" w:color="auto"/>
        <w:left w:val="none" w:sz="0" w:space="0" w:color="auto"/>
        <w:bottom w:val="none" w:sz="0" w:space="0" w:color="auto"/>
        <w:right w:val="none" w:sz="0" w:space="0" w:color="auto"/>
      </w:divBdr>
    </w:div>
    <w:div w:id="1839805601">
      <w:bodyDiv w:val="1"/>
      <w:marLeft w:val="0"/>
      <w:marRight w:val="0"/>
      <w:marTop w:val="0"/>
      <w:marBottom w:val="0"/>
      <w:divBdr>
        <w:top w:val="none" w:sz="0" w:space="0" w:color="auto"/>
        <w:left w:val="none" w:sz="0" w:space="0" w:color="auto"/>
        <w:bottom w:val="none" w:sz="0" w:space="0" w:color="auto"/>
        <w:right w:val="none" w:sz="0" w:space="0" w:color="auto"/>
      </w:divBdr>
      <w:divsChild>
        <w:div w:id="24913458">
          <w:marLeft w:val="0"/>
          <w:marRight w:val="0"/>
          <w:marTop w:val="0"/>
          <w:marBottom w:val="0"/>
          <w:divBdr>
            <w:top w:val="none" w:sz="0" w:space="0" w:color="auto"/>
            <w:left w:val="none" w:sz="0" w:space="0" w:color="auto"/>
            <w:bottom w:val="none" w:sz="0" w:space="0" w:color="auto"/>
            <w:right w:val="none" w:sz="0" w:space="0" w:color="auto"/>
          </w:divBdr>
          <w:divsChild>
            <w:div w:id="673724396">
              <w:marLeft w:val="0"/>
              <w:marRight w:val="0"/>
              <w:marTop w:val="0"/>
              <w:marBottom w:val="0"/>
              <w:divBdr>
                <w:top w:val="none" w:sz="0" w:space="0" w:color="auto"/>
                <w:left w:val="none" w:sz="0" w:space="0" w:color="auto"/>
                <w:bottom w:val="none" w:sz="0" w:space="0" w:color="auto"/>
                <w:right w:val="none" w:sz="0" w:space="0" w:color="auto"/>
              </w:divBdr>
              <w:divsChild>
                <w:div w:id="67084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963980">
      <w:bodyDiv w:val="1"/>
      <w:marLeft w:val="0"/>
      <w:marRight w:val="0"/>
      <w:marTop w:val="0"/>
      <w:marBottom w:val="0"/>
      <w:divBdr>
        <w:top w:val="none" w:sz="0" w:space="0" w:color="auto"/>
        <w:left w:val="none" w:sz="0" w:space="0" w:color="auto"/>
        <w:bottom w:val="none" w:sz="0" w:space="0" w:color="auto"/>
        <w:right w:val="none" w:sz="0" w:space="0" w:color="auto"/>
      </w:divBdr>
      <w:divsChild>
        <w:div w:id="21711777">
          <w:marLeft w:val="0"/>
          <w:marRight w:val="0"/>
          <w:marTop w:val="0"/>
          <w:marBottom w:val="0"/>
          <w:divBdr>
            <w:top w:val="none" w:sz="0" w:space="0" w:color="auto"/>
            <w:left w:val="none" w:sz="0" w:space="0" w:color="auto"/>
            <w:bottom w:val="none" w:sz="0" w:space="0" w:color="auto"/>
            <w:right w:val="none" w:sz="0" w:space="0" w:color="auto"/>
          </w:divBdr>
          <w:divsChild>
            <w:div w:id="1650017355">
              <w:marLeft w:val="0"/>
              <w:marRight w:val="0"/>
              <w:marTop w:val="0"/>
              <w:marBottom w:val="0"/>
              <w:divBdr>
                <w:top w:val="none" w:sz="0" w:space="0" w:color="auto"/>
                <w:left w:val="none" w:sz="0" w:space="0" w:color="auto"/>
                <w:bottom w:val="none" w:sz="0" w:space="0" w:color="auto"/>
                <w:right w:val="none" w:sz="0" w:space="0" w:color="auto"/>
              </w:divBdr>
              <w:divsChild>
                <w:div w:id="117946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320407">
      <w:bodyDiv w:val="1"/>
      <w:marLeft w:val="0"/>
      <w:marRight w:val="0"/>
      <w:marTop w:val="0"/>
      <w:marBottom w:val="0"/>
      <w:divBdr>
        <w:top w:val="none" w:sz="0" w:space="0" w:color="auto"/>
        <w:left w:val="none" w:sz="0" w:space="0" w:color="auto"/>
        <w:bottom w:val="none" w:sz="0" w:space="0" w:color="auto"/>
        <w:right w:val="none" w:sz="0" w:space="0" w:color="auto"/>
      </w:divBdr>
    </w:div>
    <w:div w:id="2005665976">
      <w:bodyDiv w:val="1"/>
      <w:marLeft w:val="0"/>
      <w:marRight w:val="0"/>
      <w:marTop w:val="0"/>
      <w:marBottom w:val="0"/>
      <w:divBdr>
        <w:top w:val="none" w:sz="0" w:space="0" w:color="auto"/>
        <w:left w:val="none" w:sz="0" w:space="0" w:color="auto"/>
        <w:bottom w:val="none" w:sz="0" w:space="0" w:color="auto"/>
        <w:right w:val="none" w:sz="0" w:space="0" w:color="auto"/>
      </w:divBdr>
    </w:div>
    <w:div w:id="2039357256">
      <w:bodyDiv w:val="1"/>
      <w:marLeft w:val="0"/>
      <w:marRight w:val="0"/>
      <w:marTop w:val="0"/>
      <w:marBottom w:val="0"/>
      <w:divBdr>
        <w:top w:val="none" w:sz="0" w:space="0" w:color="auto"/>
        <w:left w:val="none" w:sz="0" w:space="0" w:color="auto"/>
        <w:bottom w:val="none" w:sz="0" w:space="0" w:color="auto"/>
        <w:right w:val="none" w:sz="0" w:space="0" w:color="auto"/>
      </w:divBdr>
      <w:divsChild>
        <w:div w:id="992835716">
          <w:marLeft w:val="0"/>
          <w:marRight w:val="0"/>
          <w:marTop w:val="0"/>
          <w:marBottom w:val="0"/>
          <w:divBdr>
            <w:top w:val="none" w:sz="0" w:space="0" w:color="auto"/>
            <w:left w:val="none" w:sz="0" w:space="0" w:color="auto"/>
            <w:bottom w:val="none" w:sz="0" w:space="0" w:color="auto"/>
            <w:right w:val="none" w:sz="0" w:space="0" w:color="auto"/>
          </w:divBdr>
          <w:divsChild>
            <w:div w:id="819346187">
              <w:marLeft w:val="0"/>
              <w:marRight w:val="0"/>
              <w:marTop w:val="0"/>
              <w:marBottom w:val="0"/>
              <w:divBdr>
                <w:top w:val="none" w:sz="0" w:space="0" w:color="auto"/>
                <w:left w:val="none" w:sz="0" w:space="0" w:color="auto"/>
                <w:bottom w:val="none" w:sz="0" w:space="0" w:color="auto"/>
                <w:right w:val="none" w:sz="0" w:space="0" w:color="auto"/>
              </w:divBdr>
              <w:divsChild>
                <w:div w:id="143936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723829">
      <w:bodyDiv w:val="1"/>
      <w:marLeft w:val="0"/>
      <w:marRight w:val="0"/>
      <w:marTop w:val="0"/>
      <w:marBottom w:val="0"/>
      <w:divBdr>
        <w:top w:val="none" w:sz="0" w:space="0" w:color="auto"/>
        <w:left w:val="none" w:sz="0" w:space="0" w:color="auto"/>
        <w:bottom w:val="none" w:sz="0" w:space="0" w:color="auto"/>
        <w:right w:val="none" w:sz="0" w:space="0" w:color="auto"/>
      </w:divBdr>
    </w:div>
    <w:div w:id="2060976800">
      <w:bodyDiv w:val="1"/>
      <w:marLeft w:val="0"/>
      <w:marRight w:val="0"/>
      <w:marTop w:val="0"/>
      <w:marBottom w:val="0"/>
      <w:divBdr>
        <w:top w:val="none" w:sz="0" w:space="0" w:color="auto"/>
        <w:left w:val="none" w:sz="0" w:space="0" w:color="auto"/>
        <w:bottom w:val="none" w:sz="0" w:space="0" w:color="auto"/>
        <w:right w:val="none" w:sz="0" w:space="0" w:color="auto"/>
      </w:divBdr>
    </w:div>
    <w:div w:id="2096509803">
      <w:bodyDiv w:val="1"/>
      <w:marLeft w:val="0"/>
      <w:marRight w:val="0"/>
      <w:marTop w:val="0"/>
      <w:marBottom w:val="0"/>
      <w:divBdr>
        <w:top w:val="none" w:sz="0" w:space="0" w:color="auto"/>
        <w:left w:val="none" w:sz="0" w:space="0" w:color="auto"/>
        <w:bottom w:val="none" w:sz="0" w:space="0" w:color="auto"/>
        <w:right w:val="none" w:sz="0" w:space="0" w:color="auto"/>
      </w:divBdr>
    </w:div>
    <w:div w:id="213328225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monografias.com/trabajos12/rete/rete.s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defensoria.gob.pe/modules/Downloads/informes/defensoriales/informe_19.pdf" TargetMode="External"/><Relationship Id="rId13" Type="http://schemas.openxmlformats.org/officeDocument/2006/relationships/hyperlink" Target="http://joomla.corteidh.or.cr:8080/joomla/es/casos-contenciosos/38-jurisprudencia/824-corte-idh-caso-kawas-fernandez-vs-honduras-fondo-reparaciones-y-costas-sentencia-de-3-de-abril-de-2009-serie-c-no-196" TargetMode="External"/><Relationship Id="rId3" Type="http://schemas.openxmlformats.org/officeDocument/2006/relationships/hyperlink" Target="http://www.defensoria.gob.pe/modules/Downloads/informes/defensoriales/informe_19.pdf" TargetMode="External"/><Relationship Id="rId7" Type="http://schemas.openxmlformats.org/officeDocument/2006/relationships/hyperlink" Target="http://www.defensoria.gob.pe/modules/Downloads/informes/defensoriales/informe_19.pdf" TargetMode="External"/><Relationship Id="rId12" Type="http://schemas.openxmlformats.org/officeDocument/2006/relationships/hyperlink" Target="http://joomla.corteidh.or.cr:8080/joomla/es/casos-contenciosos/38-jurisprudencia/1334-corte-idh-caso-valle-jaramillo-y-otros-vs-colombia-fondo-reparaciones-y-costas-sentencia-de-27-de-noviembre-de-2008-serie-c-no-192" TargetMode="External"/><Relationship Id="rId2" Type="http://schemas.openxmlformats.org/officeDocument/2006/relationships/hyperlink" Target="http://www.oas.org/juridico/PDFs/mesicic4_per_dec20530.pdf" TargetMode="External"/><Relationship Id="rId1" Type="http://schemas.openxmlformats.org/officeDocument/2006/relationships/hyperlink" Target="http://www.cidh.org/annualrep/2010eng/PEAD147-98EN.DOC" TargetMode="External"/><Relationship Id="rId6" Type="http://schemas.openxmlformats.org/officeDocument/2006/relationships/hyperlink" Target="http://www.defensoria.gob.pe/modules/Downloads/informes/defensoriales/informe_19.pdf" TargetMode="External"/><Relationship Id="rId11" Type="http://schemas.openxmlformats.org/officeDocument/2006/relationships/hyperlink" Target="http://joomla.corteidh.or.cr:8080/joomla/es/casos-contenciosos/38-jurisprudencia/882-corte-idh-caso-garibaldi-vs-brasil-excepciones-preliminares-fondo-reparaciones-y-costas-sentencia-de-23-de-septiembre-de-2009-serie-c-no-203" TargetMode="External"/><Relationship Id="rId5" Type="http://schemas.openxmlformats.org/officeDocument/2006/relationships/hyperlink" Target="http://www.defensoria.gob.pe/modules/Downloads/informes/defensoriales/informe_19.pdf" TargetMode="External"/><Relationship Id="rId10" Type="http://schemas.openxmlformats.org/officeDocument/2006/relationships/hyperlink" Target="http://joomla.corteidh.or.cr:8080/joomla/es/casos-contenciosos/38-jurisprudencia/698-corte-idh-caso-gomez-palomino-vs-peru-fondo-reparaciones-y-costas-sentencia-de-22-de-noviembre-de-2005-serie-c-no-136" TargetMode="External"/><Relationship Id="rId4" Type="http://schemas.openxmlformats.org/officeDocument/2006/relationships/hyperlink" Target="http://www.defensoria.gob.pe/modules/Downloads/informes/defensoriales/informe_19.pdf" TargetMode="External"/><Relationship Id="rId9" Type="http://schemas.openxmlformats.org/officeDocument/2006/relationships/hyperlink" Target="http://www.defensoria.gob.pe/modules/Downloads/informes/defensoriales/informe_19.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2F846-D768-47E6-9B8A-3B7045962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7231</Words>
  <Characters>39773</Characters>
  <Application>Microsoft Office Word</Application>
  <DocSecurity>0</DocSecurity>
  <Lines>331</Lines>
  <Paragraphs>93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46911</CharactersWithSpaces>
  <SharedDoc>false</SharedDoc>
  <HLinks>
    <vt:vector size="84" baseType="variant">
      <vt:variant>
        <vt:i4>1179742</vt:i4>
      </vt:variant>
      <vt:variant>
        <vt:i4>69</vt:i4>
      </vt:variant>
      <vt:variant>
        <vt:i4>0</vt:i4>
      </vt:variant>
      <vt:variant>
        <vt:i4>5</vt:i4>
      </vt:variant>
      <vt:variant>
        <vt:lpwstr>http://www.monografias.com/trabajos12/rete/rete.shtml</vt:lpwstr>
      </vt:variant>
      <vt:variant>
        <vt:lpwstr/>
      </vt:variant>
      <vt:variant>
        <vt:i4>2752628</vt:i4>
      </vt:variant>
      <vt:variant>
        <vt:i4>36</vt:i4>
      </vt:variant>
      <vt:variant>
        <vt:i4>0</vt:i4>
      </vt:variant>
      <vt:variant>
        <vt:i4>5</vt:i4>
      </vt:variant>
      <vt:variant>
        <vt:lpwstr>http://joomla.corteidh.or.cr:8080/joomla/es/casos-contenciosos/38-jurisprudencia/824-corte-idh-caso-kawas-fernandez-vs-honduras-fondo-reparaciones-y-costas-sentencia-de-3-de-abril-de-2009-serie-c-no-196</vt:lpwstr>
      </vt:variant>
      <vt:variant>
        <vt:lpwstr/>
      </vt:variant>
      <vt:variant>
        <vt:i4>4259865</vt:i4>
      </vt:variant>
      <vt:variant>
        <vt:i4>33</vt:i4>
      </vt:variant>
      <vt:variant>
        <vt:i4>0</vt:i4>
      </vt:variant>
      <vt:variant>
        <vt:i4>5</vt:i4>
      </vt:variant>
      <vt:variant>
        <vt:lpwstr>http://joomla.corteidh.or.cr:8080/joomla/es/casos-contenciosos/38-jurisprudencia/1334-corte-idh-caso-valle-jaramillo-y-otros-vs-colombia-fondo-reparaciones-y-costas-sentencia-de-27-de-noviembre-de-2008-serie-c-no-192</vt:lpwstr>
      </vt:variant>
      <vt:variant>
        <vt:lpwstr/>
      </vt:variant>
      <vt:variant>
        <vt:i4>1507339</vt:i4>
      </vt:variant>
      <vt:variant>
        <vt:i4>30</vt:i4>
      </vt:variant>
      <vt:variant>
        <vt:i4>0</vt:i4>
      </vt:variant>
      <vt:variant>
        <vt:i4>5</vt:i4>
      </vt:variant>
      <vt:variant>
        <vt:lpwstr>http://joomla.corteidh.or.cr:8080/joomla/es/casos-contenciosos/38-jurisprudencia/882-corte-idh-caso-garibaldi-vs-brasil-excepciones-preliminares-fondo-reparaciones-y-costas-sentencia-de-23-de-septiembre-de-2009-serie-c-no-203</vt:lpwstr>
      </vt:variant>
      <vt:variant>
        <vt:lpwstr/>
      </vt:variant>
      <vt:variant>
        <vt:i4>7995500</vt:i4>
      </vt:variant>
      <vt:variant>
        <vt:i4>27</vt:i4>
      </vt:variant>
      <vt:variant>
        <vt:i4>0</vt:i4>
      </vt:variant>
      <vt:variant>
        <vt:i4>5</vt:i4>
      </vt:variant>
      <vt:variant>
        <vt:lpwstr>http://joomla.corteidh.or.cr:8080/joomla/es/casos-contenciosos/38-jurisprudencia/698-corte-idh-caso-gomez-palomino-vs-peru-fondo-reparaciones-y-costas-sentencia-de-22-de-noviembre-de-2005-serie-c-no-136</vt:lpwstr>
      </vt:variant>
      <vt:variant>
        <vt:lpwstr/>
      </vt:variant>
      <vt:variant>
        <vt:i4>3211286</vt:i4>
      </vt:variant>
      <vt:variant>
        <vt:i4>24</vt:i4>
      </vt:variant>
      <vt:variant>
        <vt:i4>0</vt:i4>
      </vt:variant>
      <vt:variant>
        <vt:i4>5</vt:i4>
      </vt:variant>
      <vt:variant>
        <vt:lpwstr>http://www.defensoria.gob.pe/modules/Downloads/informes/defensoriales/informe_19.pdf</vt:lpwstr>
      </vt:variant>
      <vt:variant>
        <vt:lpwstr/>
      </vt:variant>
      <vt:variant>
        <vt:i4>3211286</vt:i4>
      </vt:variant>
      <vt:variant>
        <vt:i4>21</vt:i4>
      </vt:variant>
      <vt:variant>
        <vt:i4>0</vt:i4>
      </vt:variant>
      <vt:variant>
        <vt:i4>5</vt:i4>
      </vt:variant>
      <vt:variant>
        <vt:lpwstr>http://www.defensoria.gob.pe/modules/Downloads/informes/defensoriales/informe_19.pdf</vt:lpwstr>
      </vt:variant>
      <vt:variant>
        <vt:lpwstr/>
      </vt:variant>
      <vt:variant>
        <vt:i4>3211286</vt:i4>
      </vt:variant>
      <vt:variant>
        <vt:i4>18</vt:i4>
      </vt:variant>
      <vt:variant>
        <vt:i4>0</vt:i4>
      </vt:variant>
      <vt:variant>
        <vt:i4>5</vt:i4>
      </vt:variant>
      <vt:variant>
        <vt:lpwstr>http://www.defensoria.gob.pe/modules/Downloads/informes/defensoriales/informe_19.pdf</vt:lpwstr>
      </vt:variant>
      <vt:variant>
        <vt:lpwstr/>
      </vt:variant>
      <vt:variant>
        <vt:i4>3211286</vt:i4>
      </vt:variant>
      <vt:variant>
        <vt:i4>15</vt:i4>
      </vt:variant>
      <vt:variant>
        <vt:i4>0</vt:i4>
      </vt:variant>
      <vt:variant>
        <vt:i4>5</vt:i4>
      </vt:variant>
      <vt:variant>
        <vt:lpwstr>http://www.defensoria.gob.pe/modules/Downloads/informes/defensoriales/informe_19.pdf</vt:lpwstr>
      </vt:variant>
      <vt:variant>
        <vt:lpwstr/>
      </vt:variant>
      <vt:variant>
        <vt:i4>3211286</vt:i4>
      </vt:variant>
      <vt:variant>
        <vt:i4>12</vt:i4>
      </vt:variant>
      <vt:variant>
        <vt:i4>0</vt:i4>
      </vt:variant>
      <vt:variant>
        <vt:i4>5</vt:i4>
      </vt:variant>
      <vt:variant>
        <vt:lpwstr>http://www.defensoria.gob.pe/modules/Downloads/informes/defensoriales/informe_19.pdf</vt:lpwstr>
      </vt:variant>
      <vt:variant>
        <vt:lpwstr/>
      </vt:variant>
      <vt:variant>
        <vt:i4>3211286</vt:i4>
      </vt:variant>
      <vt:variant>
        <vt:i4>9</vt:i4>
      </vt:variant>
      <vt:variant>
        <vt:i4>0</vt:i4>
      </vt:variant>
      <vt:variant>
        <vt:i4>5</vt:i4>
      </vt:variant>
      <vt:variant>
        <vt:lpwstr>http://www.defensoria.gob.pe/modules/Downloads/informes/defensoriales/informe_19.pdf</vt:lpwstr>
      </vt:variant>
      <vt:variant>
        <vt:lpwstr/>
      </vt:variant>
      <vt:variant>
        <vt:i4>3211286</vt:i4>
      </vt:variant>
      <vt:variant>
        <vt:i4>6</vt:i4>
      </vt:variant>
      <vt:variant>
        <vt:i4>0</vt:i4>
      </vt:variant>
      <vt:variant>
        <vt:i4>5</vt:i4>
      </vt:variant>
      <vt:variant>
        <vt:lpwstr>http://www.defensoria.gob.pe/modules/Downloads/informes/defensoriales/informe_19.pdf</vt:lpwstr>
      </vt:variant>
      <vt:variant>
        <vt:lpwstr/>
      </vt:variant>
      <vt:variant>
        <vt:i4>2556028</vt:i4>
      </vt:variant>
      <vt:variant>
        <vt:i4>3</vt:i4>
      </vt:variant>
      <vt:variant>
        <vt:i4>0</vt:i4>
      </vt:variant>
      <vt:variant>
        <vt:i4>5</vt:i4>
      </vt:variant>
      <vt:variant>
        <vt:lpwstr>http://www.oas.org/juridico/PDFs/mesicic4_per_dec20530.pdf</vt:lpwstr>
      </vt:variant>
      <vt:variant>
        <vt:lpwstr/>
      </vt:variant>
      <vt:variant>
        <vt:i4>6946878</vt:i4>
      </vt:variant>
      <vt:variant>
        <vt:i4>0</vt:i4>
      </vt:variant>
      <vt:variant>
        <vt:i4>0</vt:i4>
      </vt:variant>
      <vt:variant>
        <vt:i4>5</vt:i4>
      </vt:variant>
      <vt:variant>
        <vt:lpwstr>http://www.cidh.org/annualrep/2010eng/PEAD147-98EN.DOC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2018-01-31T16:09:00Z</cp:lastPrinted>
  <dcterms:created xsi:type="dcterms:W3CDTF">2018-01-31T16:08:00Z</dcterms:created>
  <dcterms:modified xsi:type="dcterms:W3CDTF">2018-01-31T16:09:00Z</dcterms:modified>
</cp:coreProperties>
</file>