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ED6" w:rsidRPr="00521804" w:rsidRDefault="008C3ED6" w:rsidP="00B10467">
      <w:pPr>
        <w:suppressAutoHyphens/>
        <w:spacing w:after="0" w:line="240" w:lineRule="auto"/>
        <w:jc w:val="right"/>
        <w:rPr>
          <w:rFonts w:cs="Arial"/>
          <w:sz w:val="20"/>
          <w:szCs w:val="20"/>
          <w:lang w:val="es-CO"/>
        </w:rPr>
      </w:pPr>
      <w:bookmarkStart w:id="0" w:name="_GoBack"/>
      <w:bookmarkEnd w:id="0"/>
    </w:p>
    <w:p w:rsidR="008C3ED6" w:rsidRPr="00521804" w:rsidRDefault="008C3ED6" w:rsidP="00B10467">
      <w:pPr>
        <w:suppressAutoHyphens/>
        <w:spacing w:after="0" w:line="240" w:lineRule="auto"/>
        <w:jc w:val="right"/>
        <w:rPr>
          <w:rFonts w:cs="Arial"/>
          <w:sz w:val="20"/>
          <w:szCs w:val="20"/>
          <w:lang w:val="es-CO"/>
        </w:rPr>
      </w:pPr>
    </w:p>
    <w:p w:rsidR="00251530" w:rsidRPr="00521804" w:rsidRDefault="00382625" w:rsidP="00B10467">
      <w:pPr>
        <w:suppressAutoHyphens/>
        <w:spacing w:after="0" w:line="240" w:lineRule="auto"/>
        <w:jc w:val="right"/>
        <w:rPr>
          <w:rFonts w:cs="Arial"/>
          <w:b/>
          <w:sz w:val="20"/>
          <w:szCs w:val="20"/>
          <w:lang w:val="pt-BR"/>
        </w:rPr>
      </w:pPr>
      <w:r w:rsidRPr="00521804">
        <w:rPr>
          <w:rFonts w:cs="Arial"/>
          <w:sz w:val="20"/>
          <w:szCs w:val="20"/>
          <w:lang w:val="pt-BR"/>
        </w:rPr>
        <w:t>13</w:t>
      </w:r>
      <w:r w:rsidR="00251530" w:rsidRPr="00521804">
        <w:rPr>
          <w:rFonts w:cs="Arial"/>
          <w:sz w:val="20"/>
          <w:szCs w:val="20"/>
          <w:lang w:val="pt-BR"/>
        </w:rPr>
        <w:t xml:space="preserve"> de </w:t>
      </w:r>
      <w:proofErr w:type="gramStart"/>
      <w:r w:rsidRPr="00521804">
        <w:rPr>
          <w:rFonts w:cs="Arial"/>
          <w:sz w:val="20"/>
          <w:szCs w:val="20"/>
          <w:lang w:val="pt-BR"/>
        </w:rPr>
        <w:t>jul</w:t>
      </w:r>
      <w:r w:rsidR="000F4D9B" w:rsidRPr="00521804">
        <w:rPr>
          <w:rFonts w:cs="Arial"/>
          <w:sz w:val="20"/>
          <w:szCs w:val="20"/>
          <w:lang w:val="pt-BR"/>
        </w:rPr>
        <w:t>io</w:t>
      </w:r>
      <w:proofErr w:type="gramEnd"/>
      <w:r w:rsidR="00251530" w:rsidRPr="00521804">
        <w:rPr>
          <w:rFonts w:cs="Arial"/>
          <w:sz w:val="20"/>
          <w:szCs w:val="20"/>
          <w:lang w:val="pt-BR"/>
        </w:rPr>
        <w:t xml:space="preserve"> de 201</w:t>
      </w:r>
      <w:r w:rsidR="000F4D9B" w:rsidRPr="00521804">
        <w:rPr>
          <w:rFonts w:cs="Arial"/>
          <w:sz w:val="20"/>
          <w:szCs w:val="20"/>
          <w:lang w:val="pt-BR"/>
        </w:rPr>
        <w:t>7</w:t>
      </w:r>
    </w:p>
    <w:p w:rsidR="00251530" w:rsidRPr="00521804" w:rsidRDefault="00661FF8" w:rsidP="00B10467">
      <w:pPr>
        <w:tabs>
          <w:tab w:val="left" w:pos="720"/>
          <w:tab w:val="center" w:pos="6480"/>
        </w:tabs>
        <w:spacing w:after="0" w:line="240" w:lineRule="auto"/>
        <w:jc w:val="both"/>
        <w:rPr>
          <w:rFonts w:cs="Arial"/>
          <w:b/>
          <w:sz w:val="20"/>
          <w:szCs w:val="20"/>
          <w:lang w:val="pt-BR"/>
        </w:rPr>
      </w:pPr>
      <w:r w:rsidRPr="00521804">
        <w:rPr>
          <w:rFonts w:cs="Arial"/>
          <w:b/>
          <w:sz w:val="20"/>
          <w:szCs w:val="20"/>
          <w:lang w:val="pt-BR"/>
        </w:rPr>
        <w:t>REF</w:t>
      </w:r>
      <w:r w:rsidR="00251530" w:rsidRPr="00521804">
        <w:rPr>
          <w:rFonts w:cs="Arial"/>
          <w:b/>
          <w:sz w:val="20"/>
          <w:szCs w:val="20"/>
          <w:lang w:val="pt-BR"/>
        </w:rPr>
        <w:t>.:</w:t>
      </w:r>
      <w:bookmarkStart w:id="1" w:name="Peticion_n"/>
      <w:bookmarkEnd w:id="1"/>
      <w:r w:rsidRPr="00521804">
        <w:rPr>
          <w:rFonts w:cs="Arial"/>
          <w:b/>
          <w:sz w:val="20"/>
          <w:szCs w:val="20"/>
          <w:lang w:val="pt-BR"/>
        </w:rPr>
        <w:tab/>
        <w:t>Caso Nº</w:t>
      </w:r>
      <w:r w:rsidR="00251530" w:rsidRPr="00521804">
        <w:rPr>
          <w:rFonts w:cs="Arial"/>
          <w:b/>
          <w:sz w:val="20"/>
          <w:szCs w:val="20"/>
          <w:lang w:val="pt-BR"/>
        </w:rPr>
        <w:t xml:space="preserve"> </w:t>
      </w:r>
      <w:r w:rsidR="00251530" w:rsidRPr="00521804">
        <w:rPr>
          <w:b/>
          <w:sz w:val="20"/>
          <w:szCs w:val="20"/>
          <w:lang w:val="pt-BR"/>
        </w:rPr>
        <w:t>12.</w:t>
      </w:r>
      <w:r w:rsidR="00382625" w:rsidRPr="00521804">
        <w:rPr>
          <w:b/>
          <w:sz w:val="20"/>
          <w:szCs w:val="20"/>
          <w:lang w:val="pt-BR"/>
        </w:rPr>
        <w:t>772</w:t>
      </w:r>
    </w:p>
    <w:p w:rsidR="00251530" w:rsidRPr="00521804" w:rsidRDefault="00E36F41" w:rsidP="00B10467">
      <w:pPr>
        <w:tabs>
          <w:tab w:val="left" w:pos="720"/>
          <w:tab w:val="center" w:pos="6480"/>
        </w:tabs>
        <w:spacing w:after="0" w:line="240" w:lineRule="auto"/>
        <w:ind w:left="720"/>
        <w:jc w:val="both"/>
        <w:rPr>
          <w:rFonts w:cs="Arial"/>
          <w:b/>
          <w:sz w:val="20"/>
          <w:szCs w:val="20"/>
          <w:lang w:val="es-CR"/>
        </w:rPr>
      </w:pPr>
      <w:r w:rsidRPr="00521804">
        <w:rPr>
          <w:rFonts w:cs="Arial"/>
          <w:b/>
          <w:sz w:val="20"/>
          <w:szCs w:val="20"/>
          <w:lang w:val="es-CR"/>
        </w:rPr>
        <w:t>Oscar Muelle Flores</w:t>
      </w:r>
      <w:r w:rsidR="00964313" w:rsidRPr="00521804">
        <w:rPr>
          <w:rFonts w:cs="Arial"/>
          <w:b/>
          <w:sz w:val="20"/>
          <w:szCs w:val="20"/>
          <w:lang w:val="es-CR"/>
        </w:rPr>
        <w:t xml:space="preserve"> </w:t>
      </w:r>
    </w:p>
    <w:p w:rsidR="00251530" w:rsidRPr="00521804" w:rsidRDefault="00251530" w:rsidP="00B10467">
      <w:pPr>
        <w:tabs>
          <w:tab w:val="left" w:pos="720"/>
          <w:tab w:val="center" w:pos="6480"/>
        </w:tabs>
        <w:spacing w:after="0" w:line="240" w:lineRule="auto"/>
        <w:ind w:left="720"/>
        <w:jc w:val="both"/>
        <w:rPr>
          <w:rFonts w:cs="Arial"/>
          <w:b/>
          <w:sz w:val="20"/>
          <w:szCs w:val="20"/>
          <w:lang w:val="es-ES_tradnl"/>
        </w:rPr>
      </w:pPr>
      <w:r w:rsidRPr="00521804">
        <w:rPr>
          <w:rFonts w:cs="Arial"/>
          <w:b/>
          <w:sz w:val="20"/>
          <w:szCs w:val="20"/>
          <w:lang w:val="es-ES_tradnl"/>
        </w:rPr>
        <w:t xml:space="preserve">Perú </w:t>
      </w:r>
    </w:p>
    <w:p w:rsidR="00251530" w:rsidRPr="00521804" w:rsidRDefault="00251530" w:rsidP="00B10467">
      <w:pPr>
        <w:tabs>
          <w:tab w:val="left" w:pos="720"/>
          <w:tab w:val="center" w:pos="6480"/>
        </w:tabs>
        <w:spacing w:after="0" w:line="240" w:lineRule="auto"/>
        <w:jc w:val="both"/>
        <w:rPr>
          <w:rFonts w:cs="Arial"/>
          <w:sz w:val="20"/>
          <w:szCs w:val="20"/>
          <w:lang w:val="es-PE"/>
        </w:rPr>
      </w:pPr>
    </w:p>
    <w:p w:rsidR="00251530" w:rsidRPr="00521804" w:rsidRDefault="00251530" w:rsidP="00B10467">
      <w:pPr>
        <w:tabs>
          <w:tab w:val="left" w:pos="720"/>
          <w:tab w:val="center" w:pos="6480"/>
        </w:tabs>
        <w:spacing w:after="0" w:line="240" w:lineRule="auto"/>
        <w:jc w:val="both"/>
        <w:rPr>
          <w:rFonts w:cs="Arial"/>
          <w:sz w:val="20"/>
          <w:szCs w:val="20"/>
          <w:lang w:val="es-PE"/>
        </w:rPr>
      </w:pPr>
      <w:r w:rsidRPr="00521804">
        <w:rPr>
          <w:rFonts w:cs="Arial"/>
          <w:sz w:val="20"/>
          <w:szCs w:val="20"/>
          <w:lang w:val="es-PE"/>
        </w:rPr>
        <w:t>Señor Secretario:</w:t>
      </w:r>
    </w:p>
    <w:p w:rsidR="00251530" w:rsidRPr="00521804" w:rsidRDefault="00251530" w:rsidP="00B10467">
      <w:pPr>
        <w:spacing w:after="0" w:line="240" w:lineRule="auto"/>
        <w:rPr>
          <w:rFonts w:cs="Arial"/>
          <w:sz w:val="20"/>
          <w:szCs w:val="20"/>
          <w:lang w:val="es-CO"/>
        </w:rPr>
      </w:pPr>
    </w:p>
    <w:p w:rsidR="00251530" w:rsidRPr="00521804" w:rsidRDefault="00251530" w:rsidP="00B10467">
      <w:pPr>
        <w:widowControl w:val="0"/>
        <w:autoSpaceDE w:val="0"/>
        <w:autoSpaceDN w:val="0"/>
        <w:adjustRightInd w:val="0"/>
        <w:spacing w:after="0" w:line="240" w:lineRule="auto"/>
        <w:ind w:firstLine="720"/>
        <w:jc w:val="both"/>
        <w:rPr>
          <w:rFonts w:cs="Arial"/>
          <w:sz w:val="20"/>
          <w:szCs w:val="20"/>
          <w:lang w:val="es-CO"/>
        </w:rPr>
      </w:pPr>
      <w:r w:rsidRPr="00521804">
        <w:rPr>
          <w:sz w:val="20"/>
          <w:szCs w:val="20"/>
          <w:lang w:val="es-CO"/>
        </w:rPr>
        <w:tab/>
        <w:t>Tengo el agrado de dirigirme a usted</w:t>
      </w:r>
      <w:r w:rsidR="00927010" w:rsidRPr="00521804">
        <w:rPr>
          <w:sz w:val="20"/>
          <w:szCs w:val="20"/>
          <w:lang w:val="es-CO"/>
        </w:rPr>
        <w:t>,</w:t>
      </w:r>
      <w:r w:rsidRPr="00521804">
        <w:rPr>
          <w:sz w:val="20"/>
          <w:szCs w:val="20"/>
          <w:lang w:val="es-CO"/>
        </w:rPr>
        <w:t xml:space="preserve"> en nombre de la Comisión Interamericana de Derechos Humanos</w:t>
      </w:r>
      <w:r w:rsidR="00927010" w:rsidRPr="00521804">
        <w:rPr>
          <w:sz w:val="20"/>
          <w:szCs w:val="20"/>
          <w:lang w:val="es-CO"/>
        </w:rPr>
        <w:t>,</w:t>
      </w:r>
      <w:r w:rsidRPr="00521804">
        <w:rPr>
          <w:sz w:val="20"/>
          <w:szCs w:val="20"/>
          <w:lang w:val="es-CO"/>
        </w:rPr>
        <w:t xml:space="preserve"> con el objeto</w:t>
      </w:r>
      <w:r w:rsidRPr="00521804">
        <w:rPr>
          <w:rFonts w:cs="Arial"/>
          <w:sz w:val="20"/>
          <w:szCs w:val="20"/>
          <w:lang w:val="es-CO"/>
        </w:rPr>
        <w:t xml:space="preserve"> de someter a la jurisdicción de la Honorable Corte Interame</w:t>
      </w:r>
      <w:r w:rsidR="00661FF8" w:rsidRPr="00521804">
        <w:rPr>
          <w:rFonts w:cs="Arial"/>
          <w:sz w:val="20"/>
          <w:szCs w:val="20"/>
          <w:lang w:val="es-CO"/>
        </w:rPr>
        <w:t>ricana de Derechos Humanos, el C</w:t>
      </w:r>
      <w:r w:rsidRPr="00521804">
        <w:rPr>
          <w:rFonts w:cs="Arial"/>
          <w:sz w:val="20"/>
          <w:szCs w:val="20"/>
          <w:lang w:val="es-CO"/>
        </w:rPr>
        <w:t>aso</w:t>
      </w:r>
      <w:r w:rsidR="00927010" w:rsidRPr="00521804">
        <w:rPr>
          <w:rFonts w:cs="Arial"/>
          <w:sz w:val="20"/>
          <w:szCs w:val="20"/>
          <w:lang w:val="es-CO"/>
        </w:rPr>
        <w:t xml:space="preserve"> </w:t>
      </w:r>
      <w:r w:rsidR="00661FF8" w:rsidRPr="00521804">
        <w:rPr>
          <w:rFonts w:cs="Arial"/>
          <w:sz w:val="20"/>
          <w:szCs w:val="20"/>
          <w:lang w:val="es-CO"/>
        </w:rPr>
        <w:t xml:space="preserve">Nº </w:t>
      </w:r>
      <w:r w:rsidRPr="00521804">
        <w:rPr>
          <w:rFonts w:cs="Arial"/>
          <w:sz w:val="20"/>
          <w:szCs w:val="20"/>
          <w:lang w:val="es-CO"/>
        </w:rPr>
        <w:t>12.</w:t>
      </w:r>
      <w:r w:rsidR="00A9565D" w:rsidRPr="00521804">
        <w:rPr>
          <w:rFonts w:cs="Arial"/>
          <w:sz w:val="20"/>
          <w:szCs w:val="20"/>
          <w:lang w:val="es-CO"/>
        </w:rPr>
        <w:t>772</w:t>
      </w:r>
      <w:r w:rsidRPr="00521804">
        <w:rPr>
          <w:rFonts w:cs="Arial"/>
          <w:sz w:val="20"/>
          <w:szCs w:val="20"/>
          <w:lang w:val="es-CO"/>
        </w:rPr>
        <w:t xml:space="preserve"> – </w:t>
      </w:r>
      <w:r w:rsidR="00A9565D" w:rsidRPr="00521804">
        <w:rPr>
          <w:rFonts w:cs="Arial"/>
          <w:sz w:val="20"/>
          <w:szCs w:val="20"/>
          <w:lang w:val="es-CO"/>
        </w:rPr>
        <w:t>Oscar Muelle Flores</w:t>
      </w:r>
      <w:r w:rsidR="00841921" w:rsidRPr="00521804">
        <w:rPr>
          <w:rFonts w:cs="Arial"/>
          <w:sz w:val="20"/>
          <w:szCs w:val="20"/>
          <w:lang w:val="es-CO"/>
        </w:rPr>
        <w:t xml:space="preserve"> </w:t>
      </w:r>
      <w:r w:rsidRPr="00521804">
        <w:rPr>
          <w:rFonts w:cs="Arial"/>
          <w:sz w:val="20"/>
          <w:szCs w:val="20"/>
          <w:lang w:val="es-CO"/>
        </w:rPr>
        <w:t xml:space="preserve">respecto de la República de Perú (en adelante “el Estado”, “el Estado peruano” o “Perú”). </w:t>
      </w:r>
    </w:p>
    <w:p w:rsidR="00251530" w:rsidRPr="00521804" w:rsidRDefault="00251530" w:rsidP="00B10467">
      <w:pPr>
        <w:spacing w:after="0" w:line="240" w:lineRule="auto"/>
        <w:jc w:val="both"/>
        <w:rPr>
          <w:rFonts w:cs="Arial"/>
          <w:sz w:val="20"/>
          <w:szCs w:val="20"/>
          <w:lang w:val="es-CO"/>
        </w:rPr>
      </w:pPr>
    </w:p>
    <w:p w:rsidR="00841921" w:rsidRPr="00521804" w:rsidRDefault="00251530" w:rsidP="00C04AEE">
      <w:pPr>
        <w:widowControl w:val="0"/>
        <w:autoSpaceDE w:val="0"/>
        <w:autoSpaceDN w:val="0"/>
        <w:adjustRightInd w:val="0"/>
        <w:spacing w:after="0" w:line="240" w:lineRule="auto"/>
        <w:ind w:firstLine="720"/>
        <w:jc w:val="both"/>
        <w:rPr>
          <w:sz w:val="20"/>
          <w:szCs w:val="20"/>
          <w:lang w:val="es-MX"/>
        </w:rPr>
      </w:pPr>
      <w:r w:rsidRPr="00521804">
        <w:rPr>
          <w:sz w:val="20"/>
          <w:szCs w:val="20"/>
          <w:lang w:val="es-ES"/>
        </w:rPr>
        <w:t>El</w:t>
      </w:r>
      <w:r w:rsidR="00C04AEE" w:rsidRPr="00521804">
        <w:rPr>
          <w:sz w:val="20"/>
          <w:szCs w:val="20"/>
          <w:lang w:val="es-ES"/>
        </w:rPr>
        <w:t xml:space="preserve"> presente caso se relaciona </w:t>
      </w:r>
      <w:r w:rsidR="00C04AEE" w:rsidRPr="00521804">
        <w:rPr>
          <w:sz w:val="20"/>
          <w:szCs w:val="20"/>
          <w:lang w:val="es-MX"/>
        </w:rPr>
        <w:t>con la violación del derecho a la tutela judicial efectiva como consecu</w:t>
      </w:r>
      <w:r w:rsidR="00661FF8" w:rsidRPr="00521804">
        <w:rPr>
          <w:sz w:val="20"/>
          <w:szCs w:val="20"/>
          <w:lang w:val="es-MX"/>
        </w:rPr>
        <w:t>encia del incumplimiento, durante</w:t>
      </w:r>
      <w:r w:rsidR="00C04AEE" w:rsidRPr="00521804">
        <w:rPr>
          <w:sz w:val="20"/>
          <w:szCs w:val="20"/>
          <w:lang w:val="es-MX"/>
        </w:rPr>
        <w:t xml:space="preserve"> </w:t>
      </w:r>
      <w:r w:rsidR="00D619A9" w:rsidRPr="00521804">
        <w:rPr>
          <w:sz w:val="20"/>
          <w:szCs w:val="20"/>
          <w:lang w:val="es-MX"/>
        </w:rPr>
        <w:t>24 años</w:t>
      </w:r>
      <w:r w:rsidR="00C04AEE" w:rsidRPr="00521804">
        <w:rPr>
          <w:sz w:val="20"/>
          <w:szCs w:val="20"/>
          <w:lang w:val="es-MX"/>
        </w:rPr>
        <w:t xml:space="preserve">, </w:t>
      </w:r>
      <w:r w:rsidR="00572669" w:rsidRPr="00521804">
        <w:rPr>
          <w:sz w:val="20"/>
          <w:szCs w:val="20"/>
          <w:lang w:val="es-MX"/>
        </w:rPr>
        <w:t>de una sentencia judicial a favor del señor Muelle Flores</w:t>
      </w:r>
      <w:r w:rsidR="00C04AEE" w:rsidRPr="00521804">
        <w:rPr>
          <w:sz w:val="20"/>
          <w:szCs w:val="20"/>
          <w:lang w:val="es-MX"/>
        </w:rPr>
        <w:t xml:space="preserve"> en el marco de un recurso de amparo en el que se ordenó su reincorporac</w:t>
      </w:r>
      <w:r w:rsidR="00572669" w:rsidRPr="00521804">
        <w:rPr>
          <w:sz w:val="20"/>
          <w:szCs w:val="20"/>
          <w:lang w:val="es-MX"/>
        </w:rPr>
        <w:t>ión al régimen pensionario del D</w:t>
      </w:r>
      <w:r w:rsidR="00C04AEE" w:rsidRPr="00521804">
        <w:rPr>
          <w:sz w:val="20"/>
          <w:szCs w:val="20"/>
          <w:lang w:val="es-MX"/>
        </w:rPr>
        <w:t xml:space="preserve">ecreto Ley </w:t>
      </w:r>
      <w:r w:rsidR="00661FF8" w:rsidRPr="00521804">
        <w:rPr>
          <w:sz w:val="20"/>
          <w:szCs w:val="20"/>
          <w:lang w:val="es-MX"/>
        </w:rPr>
        <w:t xml:space="preserve">Nº </w:t>
      </w:r>
      <w:r w:rsidR="00EB369B">
        <w:rPr>
          <w:sz w:val="20"/>
          <w:szCs w:val="20"/>
          <w:lang w:val="es-MX"/>
        </w:rPr>
        <w:t>20</w:t>
      </w:r>
      <w:r w:rsidR="00C04AEE" w:rsidRPr="00521804">
        <w:rPr>
          <w:sz w:val="20"/>
          <w:szCs w:val="20"/>
          <w:lang w:val="es-MX"/>
        </w:rPr>
        <w:t xml:space="preserve">530. </w:t>
      </w:r>
      <w:r w:rsidR="00661FF8" w:rsidRPr="00521804">
        <w:rPr>
          <w:sz w:val="20"/>
          <w:szCs w:val="20"/>
          <w:lang w:val="es-MX"/>
        </w:rPr>
        <w:t xml:space="preserve"> </w:t>
      </w:r>
      <w:r w:rsidR="00C04AEE" w:rsidRPr="00521804">
        <w:rPr>
          <w:sz w:val="20"/>
          <w:szCs w:val="20"/>
          <w:lang w:val="es-MX"/>
        </w:rPr>
        <w:t>La Comisión determinó que el Estado</w:t>
      </w:r>
      <w:r w:rsidR="00E76B8B" w:rsidRPr="00521804">
        <w:rPr>
          <w:sz w:val="20"/>
          <w:szCs w:val="20"/>
          <w:lang w:val="es-MX"/>
        </w:rPr>
        <w:t xml:space="preserve"> peruano</w:t>
      </w:r>
      <w:r w:rsidR="00C04AEE" w:rsidRPr="00521804">
        <w:rPr>
          <w:sz w:val="20"/>
          <w:szCs w:val="20"/>
          <w:lang w:val="es-MX"/>
        </w:rPr>
        <w:t xml:space="preserve"> incurrió en responsabilidad internacional, en primer lugar, debido a que sus propias autoridades incumplieron el fallo judicial favorable al señor Muelle y, en segundo lugar, debido a la inefectividad de los mecanismos judiciales activados posteriormente para lograr dicho cumplimiento. </w:t>
      </w:r>
      <w:r w:rsidR="00661FF8" w:rsidRPr="00521804">
        <w:rPr>
          <w:sz w:val="20"/>
          <w:szCs w:val="20"/>
          <w:lang w:val="es-MX"/>
        </w:rPr>
        <w:t xml:space="preserve"> </w:t>
      </w:r>
      <w:r w:rsidR="00C04AEE" w:rsidRPr="00521804">
        <w:rPr>
          <w:sz w:val="20"/>
          <w:szCs w:val="20"/>
          <w:lang w:val="es-MX"/>
        </w:rPr>
        <w:t>La Comisión determinó que el presente caso se enmarca en una problemática estructural ya conocida por los órganos del sistema interamericano y por la propia</w:t>
      </w:r>
      <w:r w:rsidR="00661FF8" w:rsidRPr="00521804">
        <w:rPr>
          <w:sz w:val="20"/>
          <w:szCs w:val="20"/>
          <w:lang w:val="es-MX"/>
        </w:rPr>
        <w:t xml:space="preserve"> Defensoría del Pueblo, relativa</w:t>
      </w:r>
      <w:r w:rsidR="00C04AEE" w:rsidRPr="00521804">
        <w:rPr>
          <w:sz w:val="20"/>
          <w:szCs w:val="20"/>
          <w:lang w:val="es-MX"/>
        </w:rPr>
        <w:t xml:space="preserve"> al incumplimiento de fallos judiciales, en particular aquellos relacionados con derechos pensionarios. </w:t>
      </w:r>
      <w:r w:rsidR="00661FF8" w:rsidRPr="00521804">
        <w:rPr>
          <w:sz w:val="20"/>
          <w:szCs w:val="20"/>
          <w:lang w:val="es-MX"/>
        </w:rPr>
        <w:t xml:space="preserve"> </w:t>
      </w:r>
      <w:r w:rsidR="00C04AEE" w:rsidRPr="00521804">
        <w:rPr>
          <w:sz w:val="20"/>
          <w:szCs w:val="20"/>
          <w:lang w:val="es-MX"/>
        </w:rPr>
        <w:t>Asimismo, la Comisión declaró que los hechos del presente caso constituyeron un</w:t>
      </w:r>
      <w:r w:rsidR="00661FF8" w:rsidRPr="00521804">
        <w:rPr>
          <w:sz w:val="20"/>
          <w:szCs w:val="20"/>
          <w:lang w:val="es-MX"/>
        </w:rPr>
        <w:t>a</w:t>
      </w:r>
      <w:r w:rsidR="00C04AEE" w:rsidRPr="00521804">
        <w:rPr>
          <w:sz w:val="20"/>
          <w:szCs w:val="20"/>
          <w:lang w:val="es-MX"/>
        </w:rPr>
        <w:t xml:space="preserve"> violación a la garantía de plazo razonable y al derecho a la propiedad privada, pues las pensiones niveladas conforme al Decreto referido, entraron al patrimonio del señor Muelle mediante la decisión judicial que le fue favorable, pero no ha podido ejercer tal derecho.</w:t>
      </w:r>
    </w:p>
    <w:p w:rsidR="004D48D1" w:rsidRPr="00521804" w:rsidRDefault="004D48D1" w:rsidP="00C04AEE">
      <w:pPr>
        <w:widowControl w:val="0"/>
        <w:autoSpaceDE w:val="0"/>
        <w:autoSpaceDN w:val="0"/>
        <w:adjustRightInd w:val="0"/>
        <w:spacing w:after="0" w:line="240" w:lineRule="auto"/>
        <w:ind w:firstLine="720"/>
        <w:jc w:val="both"/>
        <w:rPr>
          <w:sz w:val="20"/>
          <w:szCs w:val="20"/>
          <w:lang w:val="es-MX"/>
        </w:rPr>
      </w:pPr>
    </w:p>
    <w:p w:rsidR="004D48D1" w:rsidRPr="00521804" w:rsidRDefault="004D48D1" w:rsidP="004D48D1">
      <w:pPr>
        <w:widowControl w:val="0"/>
        <w:autoSpaceDE w:val="0"/>
        <w:autoSpaceDN w:val="0"/>
        <w:adjustRightInd w:val="0"/>
        <w:spacing w:after="0" w:line="240" w:lineRule="auto"/>
        <w:ind w:firstLine="720"/>
        <w:jc w:val="both"/>
        <w:rPr>
          <w:rFonts w:cs="Arial"/>
          <w:sz w:val="20"/>
          <w:szCs w:val="20"/>
          <w:lang w:val="es-CO"/>
        </w:rPr>
      </w:pPr>
      <w:r w:rsidRPr="00521804">
        <w:rPr>
          <w:rFonts w:cs="Arial"/>
          <w:sz w:val="20"/>
          <w:szCs w:val="20"/>
          <w:lang w:val="es-CO"/>
        </w:rPr>
        <w:t xml:space="preserve">El Estado ratificó la Convención Americana sobre Derechos Humanos el 12 de julio de 1978 y aceptó la competencia contenciosa de la Corte el 21 de enero de 1981.  </w:t>
      </w:r>
    </w:p>
    <w:p w:rsidR="004D48D1" w:rsidRPr="00521804" w:rsidRDefault="004D48D1" w:rsidP="004D48D1">
      <w:pPr>
        <w:spacing w:after="0" w:line="240" w:lineRule="auto"/>
        <w:jc w:val="both"/>
        <w:rPr>
          <w:rFonts w:cs="Arial"/>
          <w:snapToGrid w:val="0"/>
          <w:sz w:val="20"/>
          <w:szCs w:val="20"/>
          <w:lang w:val="es-CO"/>
        </w:rPr>
      </w:pPr>
    </w:p>
    <w:p w:rsidR="004D48D1" w:rsidRPr="00521804" w:rsidRDefault="004D48D1" w:rsidP="004D48D1">
      <w:pPr>
        <w:widowControl w:val="0"/>
        <w:autoSpaceDE w:val="0"/>
        <w:autoSpaceDN w:val="0"/>
        <w:adjustRightInd w:val="0"/>
        <w:spacing w:after="0" w:line="240" w:lineRule="auto"/>
        <w:ind w:firstLine="720"/>
        <w:jc w:val="both"/>
        <w:rPr>
          <w:sz w:val="20"/>
          <w:szCs w:val="20"/>
          <w:lang w:val="es-ES"/>
        </w:rPr>
      </w:pPr>
      <w:r w:rsidRPr="00521804">
        <w:rPr>
          <w:sz w:val="20"/>
          <w:szCs w:val="20"/>
          <w:lang w:val="es-CO"/>
        </w:rPr>
        <w:t xml:space="preserve">La Comisión ha designado al Comisionado Paulo Vannuchi y al Secretario Ejecutivo Paulo Abrão, como </w:t>
      </w:r>
      <w:r w:rsidRPr="00521804">
        <w:rPr>
          <w:rFonts w:cs="Arial"/>
          <w:sz w:val="20"/>
          <w:szCs w:val="20"/>
          <w:lang w:val="es-CO"/>
        </w:rPr>
        <w:t>sus</w:t>
      </w:r>
      <w:r w:rsidRPr="00521804">
        <w:rPr>
          <w:sz w:val="20"/>
          <w:szCs w:val="20"/>
          <w:lang w:val="es-CO"/>
        </w:rPr>
        <w:t xml:space="preserve"> delegados. Asimismo, Elizabeth Abi-Mershed, Secretaria Ejecutiva Adjunta y Silvia Serrano Guzmán y </w:t>
      </w:r>
      <w:r w:rsidR="00B4467E" w:rsidRPr="00521804">
        <w:rPr>
          <w:sz w:val="20"/>
          <w:szCs w:val="20"/>
          <w:lang w:val="es-CO"/>
        </w:rPr>
        <w:t>Erick Acuña Pereda</w:t>
      </w:r>
      <w:r w:rsidRPr="00521804">
        <w:rPr>
          <w:sz w:val="20"/>
          <w:szCs w:val="20"/>
          <w:lang w:val="es-CO"/>
        </w:rPr>
        <w:t>, abogada</w:t>
      </w:r>
      <w:r w:rsidR="00B4467E" w:rsidRPr="00521804">
        <w:rPr>
          <w:sz w:val="20"/>
          <w:szCs w:val="20"/>
          <w:lang w:val="es-CO"/>
        </w:rPr>
        <w:t xml:space="preserve"> y abogado</w:t>
      </w:r>
      <w:r w:rsidRPr="00521804">
        <w:rPr>
          <w:sz w:val="20"/>
          <w:szCs w:val="20"/>
          <w:lang w:val="es-CO"/>
        </w:rPr>
        <w:t xml:space="preserve"> de la Secretaría Ejecutiva de</w:t>
      </w:r>
      <w:r w:rsidR="00B4467E" w:rsidRPr="00521804">
        <w:rPr>
          <w:sz w:val="20"/>
          <w:szCs w:val="20"/>
          <w:lang w:val="es-CO"/>
        </w:rPr>
        <w:t xml:space="preserve"> la CIDH, actuarán como asesora y asesor</w:t>
      </w:r>
      <w:r w:rsidRPr="00521804">
        <w:rPr>
          <w:sz w:val="20"/>
          <w:szCs w:val="20"/>
          <w:lang w:val="es-CO"/>
        </w:rPr>
        <w:t xml:space="preserve"> legales.</w:t>
      </w:r>
    </w:p>
    <w:p w:rsidR="007571EC" w:rsidRPr="00521804" w:rsidRDefault="007571EC" w:rsidP="00B10467">
      <w:pPr>
        <w:widowControl w:val="0"/>
        <w:autoSpaceDE w:val="0"/>
        <w:autoSpaceDN w:val="0"/>
        <w:adjustRightInd w:val="0"/>
        <w:spacing w:after="0" w:line="240" w:lineRule="auto"/>
        <w:ind w:firstLine="720"/>
        <w:jc w:val="both"/>
        <w:rPr>
          <w:rFonts w:eastAsia="Times New Roman"/>
          <w:color w:val="000000"/>
          <w:sz w:val="20"/>
          <w:szCs w:val="20"/>
          <w:u w:color="000000"/>
          <w:lang w:val="es-ES" w:eastAsia="es-ES"/>
        </w:rPr>
      </w:pPr>
    </w:p>
    <w:p w:rsidR="004E4A7E" w:rsidRPr="00521804" w:rsidRDefault="00251530" w:rsidP="00B10467">
      <w:pPr>
        <w:widowControl w:val="0"/>
        <w:autoSpaceDE w:val="0"/>
        <w:autoSpaceDN w:val="0"/>
        <w:adjustRightInd w:val="0"/>
        <w:spacing w:after="0" w:line="240" w:lineRule="auto"/>
        <w:ind w:firstLine="720"/>
        <w:jc w:val="both"/>
        <w:rPr>
          <w:sz w:val="20"/>
          <w:szCs w:val="20"/>
          <w:lang w:val="es-AR"/>
        </w:rPr>
      </w:pPr>
      <w:r w:rsidRPr="00521804">
        <w:rPr>
          <w:rFonts w:cs="Arial"/>
          <w:sz w:val="20"/>
          <w:szCs w:val="20"/>
          <w:lang w:val="es-CO"/>
        </w:rPr>
        <w:t xml:space="preserve">De conformidad con el artículo 35 del Reglamento de la Corte Interamericana, la Comisión adjunta </w:t>
      </w:r>
      <w:r w:rsidRPr="00521804">
        <w:rPr>
          <w:sz w:val="20"/>
          <w:szCs w:val="20"/>
          <w:lang w:val="es-CO"/>
        </w:rPr>
        <w:t xml:space="preserve">copia del </w:t>
      </w:r>
      <w:r w:rsidR="00467255" w:rsidRPr="00521804">
        <w:rPr>
          <w:sz w:val="20"/>
          <w:szCs w:val="20"/>
          <w:lang w:val="es-CO"/>
        </w:rPr>
        <w:t>I</w:t>
      </w:r>
      <w:r w:rsidRPr="00521804">
        <w:rPr>
          <w:sz w:val="20"/>
          <w:szCs w:val="20"/>
          <w:lang w:val="es-CO"/>
        </w:rPr>
        <w:t xml:space="preserve">nforme </w:t>
      </w:r>
      <w:r w:rsidR="007A55B2" w:rsidRPr="00521804">
        <w:rPr>
          <w:sz w:val="20"/>
          <w:szCs w:val="20"/>
          <w:lang w:val="es-CO"/>
        </w:rPr>
        <w:t xml:space="preserve">Nº </w:t>
      </w:r>
      <w:r w:rsidR="00B659D4" w:rsidRPr="00521804">
        <w:rPr>
          <w:sz w:val="20"/>
          <w:szCs w:val="20"/>
          <w:lang w:val="es-CO"/>
        </w:rPr>
        <w:t>3</w:t>
      </w:r>
      <w:r w:rsidR="00BE3F28" w:rsidRPr="00521804">
        <w:rPr>
          <w:sz w:val="20"/>
          <w:szCs w:val="20"/>
          <w:lang w:val="es-CO"/>
        </w:rPr>
        <w:t>/</w:t>
      </w:r>
      <w:r w:rsidRPr="00521804">
        <w:rPr>
          <w:sz w:val="20"/>
          <w:szCs w:val="20"/>
          <w:lang w:val="es-CO"/>
        </w:rPr>
        <w:t>1</w:t>
      </w:r>
      <w:r w:rsidR="00B659D4" w:rsidRPr="00521804">
        <w:rPr>
          <w:sz w:val="20"/>
          <w:szCs w:val="20"/>
          <w:lang w:val="es-CO"/>
        </w:rPr>
        <w:t>7</w:t>
      </w:r>
      <w:r w:rsidRPr="00521804">
        <w:rPr>
          <w:sz w:val="20"/>
          <w:szCs w:val="20"/>
          <w:lang w:val="es-CO"/>
        </w:rPr>
        <w:t xml:space="preserve"> elaborado en observancia del artículo 50 de la Convención, así como copia de la totalidad del expediente ante la Comisión Interamericana (Apéndice I) y los anexos ut</w:t>
      </w:r>
      <w:r w:rsidR="00467255" w:rsidRPr="00521804">
        <w:rPr>
          <w:sz w:val="20"/>
          <w:szCs w:val="20"/>
          <w:lang w:val="es-CO"/>
        </w:rPr>
        <w:t>ilizados en la elaboración del I</w:t>
      </w:r>
      <w:r w:rsidRPr="00521804">
        <w:rPr>
          <w:sz w:val="20"/>
          <w:szCs w:val="20"/>
          <w:lang w:val="es-CO"/>
        </w:rPr>
        <w:t xml:space="preserve">nforme </w:t>
      </w:r>
      <w:r w:rsidR="00467255" w:rsidRPr="00521804">
        <w:rPr>
          <w:sz w:val="20"/>
          <w:szCs w:val="20"/>
          <w:lang w:val="es-CO"/>
        </w:rPr>
        <w:t xml:space="preserve">Nº </w:t>
      </w:r>
      <w:r w:rsidR="003053FE" w:rsidRPr="00521804">
        <w:rPr>
          <w:sz w:val="20"/>
          <w:szCs w:val="20"/>
          <w:lang w:val="es-CO"/>
        </w:rPr>
        <w:t>3</w:t>
      </w:r>
      <w:r w:rsidRPr="00521804">
        <w:rPr>
          <w:sz w:val="20"/>
          <w:szCs w:val="20"/>
          <w:lang w:val="es-CO"/>
        </w:rPr>
        <w:t>/1</w:t>
      </w:r>
      <w:r w:rsidR="003053FE" w:rsidRPr="00521804">
        <w:rPr>
          <w:sz w:val="20"/>
          <w:szCs w:val="20"/>
          <w:lang w:val="es-CO"/>
        </w:rPr>
        <w:t>7</w:t>
      </w:r>
      <w:r w:rsidRPr="00521804">
        <w:rPr>
          <w:sz w:val="20"/>
          <w:szCs w:val="20"/>
          <w:lang w:val="es-CO"/>
        </w:rPr>
        <w:t xml:space="preserve"> (Anexos). </w:t>
      </w:r>
      <w:r w:rsidR="007A55B2" w:rsidRPr="00521804">
        <w:rPr>
          <w:sz w:val="20"/>
          <w:szCs w:val="20"/>
          <w:lang w:val="es-CO"/>
        </w:rPr>
        <w:t xml:space="preserve"> </w:t>
      </w:r>
      <w:r w:rsidRPr="00521804">
        <w:rPr>
          <w:sz w:val="20"/>
          <w:szCs w:val="20"/>
          <w:lang w:val="es-CO"/>
        </w:rPr>
        <w:t xml:space="preserve">Dicho informe de fondo </w:t>
      </w:r>
      <w:r w:rsidRPr="00521804">
        <w:rPr>
          <w:sz w:val="20"/>
          <w:szCs w:val="20"/>
          <w:lang w:val="es-AR"/>
        </w:rPr>
        <w:t xml:space="preserve">fue notificado al Estado de Perú mediante comunicación de </w:t>
      </w:r>
      <w:r w:rsidR="000954B3" w:rsidRPr="00521804">
        <w:rPr>
          <w:sz w:val="20"/>
          <w:szCs w:val="20"/>
          <w:lang w:val="es-AR"/>
        </w:rPr>
        <w:t>13</w:t>
      </w:r>
      <w:r w:rsidR="004E4A7E" w:rsidRPr="00521804">
        <w:rPr>
          <w:sz w:val="20"/>
          <w:szCs w:val="20"/>
          <w:lang w:val="es-AR"/>
        </w:rPr>
        <w:t xml:space="preserve"> de </w:t>
      </w:r>
      <w:r w:rsidR="000954B3" w:rsidRPr="00521804">
        <w:rPr>
          <w:sz w:val="20"/>
          <w:szCs w:val="20"/>
          <w:lang w:val="es-AR"/>
        </w:rPr>
        <w:t xml:space="preserve">febrero </w:t>
      </w:r>
      <w:r w:rsidRPr="00521804">
        <w:rPr>
          <w:sz w:val="20"/>
          <w:szCs w:val="20"/>
          <w:lang w:val="es-AR"/>
        </w:rPr>
        <w:t>de 201</w:t>
      </w:r>
      <w:r w:rsidR="004E4A7E" w:rsidRPr="00521804">
        <w:rPr>
          <w:sz w:val="20"/>
          <w:szCs w:val="20"/>
          <w:lang w:val="es-AR"/>
        </w:rPr>
        <w:t>7</w:t>
      </w:r>
      <w:r w:rsidRPr="00521804">
        <w:rPr>
          <w:sz w:val="20"/>
          <w:szCs w:val="20"/>
          <w:lang w:val="es-AR"/>
        </w:rPr>
        <w:t xml:space="preserve">, otorgándole un plazo de dos meses para informar sobre el cumplimiento de las </w:t>
      </w:r>
      <w:r w:rsidRPr="00521804">
        <w:rPr>
          <w:rFonts w:cs="Arial"/>
          <w:sz w:val="20"/>
          <w:szCs w:val="20"/>
          <w:lang w:val="es-CO"/>
        </w:rPr>
        <w:t>recomendaciones</w:t>
      </w:r>
      <w:r w:rsidR="00963770" w:rsidRPr="00521804">
        <w:rPr>
          <w:sz w:val="20"/>
          <w:szCs w:val="20"/>
          <w:lang w:val="es-AR"/>
        </w:rPr>
        <w:t>.</w:t>
      </w:r>
      <w:r w:rsidR="00927010" w:rsidRPr="00521804">
        <w:rPr>
          <w:sz w:val="20"/>
          <w:szCs w:val="20"/>
          <w:lang w:val="es-AR"/>
        </w:rPr>
        <w:t xml:space="preserve"> </w:t>
      </w:r>
      <w:r w:rsidR="007A55B2" w:rsidRPr="00521804">
        <w:rPr>
          <w:sz w:val="20"/>
          <w:szCs w:val="20"/>
          <w:lang w:val="es-AR"/>
        </w:rPr>
        <w:t xml:space="preserve"> </w:t>
      </w:r>
      <w:r w:rsidRPr="00521804">
        <w:rPr>
          <w:sz w:val="20"/>
          <w:szCs w:val="20"/>
          <w:lang w:val="es-AR"/>
        </w:rPr>
        <w:t>El Estado de Perú</w:t>
      </w:r>
      <w:r w:rsidR="004E4A7E" w:rsidRPr="00521804">
        <w:rPr>
          <w:sz w:val="20"/>
          <w:szCs w:val="20"/>
          <w:lang w:val="es-AR"/>
        </w:rPr>
        <w:t xml:space="preserve"> solicitó una primera prórroga, la cual fue otorgada por la Comisión. </w:t>
      </w:r>
      <w:r w:rsidR="00927010" w:rsidRPr="00521804">
        <w:rPr>
          <w:sz w:val="20"/>
          <w:szCs w:val="20"/>
          <w:lang w:val="es-AR"/>
        </w:rPr>
        <w:t xml:space="preserve"> </w:t>
      </w:r>
      <w:r w:rsidR="004E4A7E" w:rsidRPr="00521804">
        <w:rPr>
          <w:sz w:val="20"/>
          <w:szCs w:val="20"/>
          <w:lang w:val="es-AR"/>
        </w:rPr>
        <w:t xml:space="preserve">Sin embargo, el Estado no presentó información sustantiva que revelara </w:t>
      </w:r>
      <w:proofErr w:type="gramStart"/>
      <w:r w:rsidR="004E4A7E" w:rsidRPr="00521804">
        <w:rPr>
          <w:sz w:val="20"/>
          <w:szCs w:val="20"/>
          <w:lang w:val="es-AR"/>
        </w:rPr>
        <w:t>avances</w:t>
      </w:r>
      <w:proofErr w:type="gramEnd"/>
      <w:r w:rsidR="004E4A7E" w:rsidRPr="00521804">
        <w:rPr>
          <w:sz w:val="20"/>
          <w:szCs w:val="20"/>
          <w:lang w:val="es-AR"/>
        </w:rPr>
        <w:t xml:space="preserve"> relevantes en el cumplimiento de las recomendaciones del informe de fondo. </w:t>
      </w:r>
      <w:r w:rsidR="00927010" w:rsidRPr="00521804">
        <w:rPr>
          <w:sz w:val="20"/>
          <w:szCs w:val="20"/>
          <w:lang w:val="es-AR"/>
        </w:rPr>
        <w:t xml:space="preserve"> </w:t>
      </w:r>
      <w:r w:rsidR="004E4A7E" w:rsidRPr="00521804">
        <w:rPr>
          <w:sz w:val="20"/>
          <w:szCs w:val="20"/>
          <w:lang w:val="es-AR"/>
        </w:rPr>
        <w:t xml:space="preserve">En particular, </w:t>
      </w:r>
      <w:r w:rsidR="00D619A9" w:rsidRPr="00521804">
        <w:rPr>
          <w:sz w:val="20"/>
          <w:szCs w:val="20"/>
          <w:lang w:val="es-AR"/>
        </w:rPr>
        <w:t xml:space="preserve">la Comisión observó que en la etapa posterior a la emisión del informe de fondo, continuaron algunos de los obstáculos que según dicho informe han impedido durante 24 años el efectivo cumplimiento de la sentencia original. </w:t>
      </w:r>
    </w:p>
    <w:p w:rsidR="00251530" w:rsidRPr="00521804" w:rsidRDefault="00251530" w:rsidP="007A55B2">
      <w:pPr>
        <w:widowControl w:val="0"/>
        <w:autoSpaceDE w:val="0"/>
        <w:autoSpaceDN w:val="0"/>
        <w:adjustRightInd w:val="0"/>
        <w:spacing w:after="0" w:line="240" w:lineRule="auto"/>
        <w:jc w:val="both"/>
        <w:rPr>
          <w:sz w:val="20"/>
          <w:szCs w:val="20"/>
          <w:lang w:val="es-AR"/>
        </w:rPr>
      </w:pPr>
    </w:p>
    <w:p w:rsidR="008C3ED6" w:rsidRPr="00521804" w:rsidRDefault="008C3ED6" w:rsidP="007A55B2">
      <w:pPr>
        <w:widowControl w:val="0"/>
        <w:autoSpaceDE w:val="0"/>
        <w:autoSpaceDN w:val="0"/>
        <w:adjustRightInd w:val="0"/>
        <w:spacing w:after="0" w:line="240" w:lineRule="auto"/>
        <w:jc w:val="both"/>
        <w:rPr>
          <w:sz w:val="20"/>
          <w:szCs w:val="20"/>
          <w:lang w:val="es-AR"/>
        </w:rPr>
      </w:pPr>
    </w:p>
    <w:p w:rsidR="008C3ED6" w:rsidRPr="00521804" w:rsidRDefault="008C3ED6" w:rsidP="008C3ED6">
      <w:pPr>
        <w:spacing w:after="0" w:line="240" w:lineRule="auto"/>
        <w:jc w:val="both"/>
        <w:rPr>
          <w:rFonts w:cs="Arial"/>
          <w:snapToGrid w:val="0"/>
          <w:sz w:val="20"/>
          <w:szCs w:val="20"/>
          <w:lang w:val="es-CO"/>
        </w:rPr>
      </w:pPr>
      <w:r w:rsidRPr="00521804">
        <w:rPr>
          <w:rFonts w:cs="Arial"/>
          <w:snapToGrid w:val="0"/>
          <w:sz w:val="20"/>
          <w:szCs w:val="20"/>
          <w:lang w:val="es-CO"/>
        </w:rPr>
        <w:t>Señor</w:t>
      </w:r>
    </w:p>
    <w:p w:rsidR="008C3ED6" w:rsidRPr="00521804" w:rsidRDefault="008C3ED6" w:rsidP="008C3ED6">
      <w:pPr>
        <w:suppressAutoHyphens/>
        <w:spacing w:after="0" w:line="240" w:lineRule="auto"/>
        <w:rPr>
          <w:rFonts w:cs="Arial"/>
          <w:snapToGrid w:val="0"/>
          <w:sz w:val="20"/>
          <w:szCs w:val="20"/>
          <w:lang w:val="es-CO"/>
        </w:rPr>
      </w:pPr>
      <w:r w:rsidRPr="00521804">
        <w:rPr>
          <w:rFonts w:cs="Arial"/>
          <w:snapToGrid w:val="0"/>
          <w:sz w:val="20"/>
          <w:szCs w:val="20"/>
          <w:lang w:val="es-CO"/>
        </w:rPr>
        <w:t>Pablo Saavedra Alessandri, Secretario</w:t>
      </w:r>
    </w:p>
    <w:p w:rsidR="008C3ED6" w:rsidRPr="00521804" w:rsidRDefault="008C3ED6" w:rsidP="008C3ED6">
      <w:pPr>
        <w:suppressAutoHyphens/>
        <w:spacing w:after="0" w:line="240" w:lineRule="auto"/>
        <w:rPr>
          <w:rFonts w:cs="Arial"/>
          <w:snapToGrid w:val="0"/>
          <w:sz w:val="20"/>
          <w:szCs w:val="20"/>
          <w:lang w:val="es-ES_tradnl"/>
        </w:rPr>
      </w:pPr>
      <w:r w:rsidRPr="00521804">
        <w:rPr>
          <w:rFonts w:cs="Arial"/>
          <w:snapToGrid w:val="0"/>
          <w:sz w:val="20"/>
          <w:szCs w:val="20"/>
          <w:lang w:val="es-ES_tradnl"/>
        </w:rPr>
        <w:t>Corte Interamericana de Derechos Humanos</w:t>
      </w:r>
    </w:p>
    <w:p w:rsidR="008C3ED6" w:rsidRPr="00521804" w:rsidRDefault="008C3ED6" w:rsidP="008C3ED6">
      <w:pPr>
        <w:suppressAutoHyphens/>
        <w:spacing w:after="0" w:line="240" w:lineRule="auto"/>
        <w:rPr>
          <w:rFonts w:cs="Arial"/>
          <w:snapToGrid w:val="0"/>
          <w:sz w:val="20"/>
          <w:szCs w:val="20"/>
          <w:lang w:val="es-ES_tradnl"/>
        </w:rPr>
      </w:pPr>
      <w:r w:rsidRPr="00521804">
        <w:rPr>
          <w:rFonts w:cs="Arial"/>
          <w:snapToGrid w:val="0"/>
          <w:sz w:val="20"/>
          <w:szCs w:val="20"/>
          <w:lang w:val="es-ES_tradnl"/>
        </w:rPr>
        <w:t>Apartado 6906-1000</w:t>
      </w:r>
    </w:p>
    <w:p w:rsidR="008C3ED6" w:rsidRPr="00521804" w:rsidRDefault="008C3ED6" w:rsidP="008C3ED6">
      <w:pPr>
        <w:suppressAutoHyphens/>
        <w:spacing w:after="0" w:line="240" w:lineRule="auto"/>
        <w:rPr>
          <w:rFonts w:cs="Arial"/>
          <w:snapToGrid w:val="0"/>
          <w:sz w:val="20"/>
          <w:szCs w:val="20"/>
          <w:lang w:val="es-ES_tradnl"/>
        </w:rPr>
      </w:pPr>
      <w:r w:rsidRPr="00521804">
        <w:rPr>
          <w:rFonts w:cs="Arial"/>
          <w:snapToGrid w:val="0"/>
          <w:sz w:val="20"/>
          <w:szCs w:val="20"/>
          <w:lang w:val="es-ES_tradnl"/>
        </w:rPr>
        <w:t>San José, Costa Rica</w:t>
      </w:r>
    </w:p>
    <w:p w:rsidR="008C3ED6" w:rsidRPr="00521804" w:rsidRDefault="008C3ED6" w:rsidP="007A55B2">
      <w:pPr>
        <w:widowControl w:val="0"/>
        <w:autoSpaceDE w:val="0"/>
        <w:autoSpaceDN w:val="0"/>
        <w:adjustRightInd w:val="0"/>
        <w:spacing w:after="0" w:line="240" w:lineRule="auto"/>
        <w:jc w:val="both"/>
        <w:rPr>
          <w:sz w:val="20"/>
          <w:szCs w:val="20"/>
          <w:lang w:val="es-AR"/>
        </w:rPr>
      </w:pPr>
    </w:p>
    <w:p w:rsidR="00E3024D" w:rsidRPr="00521804" w:rsidRDefault="00251530" w:rsidP="00B10467">
      <w:pPr>
        <w:widowControl w:val="0"/>
        <w:autoSpaceDE w:val="0"/>
        <w:autoSpaceDN w:val="0"/>
        <w:adjustRightInd w:val="0"/>
        <w:spacing w:after="0" w:line="240" w:lineRule="auto"/>
        <w:ind w:firstLine="720"/>
        <w:jc w:val="both"/>
        <w:rPr>
          <w:sz w:val="20"/>
          <w:szCs w:val="20"/>
          <w:lang w:val="es-AR"/>
        </w:rPr>
      </w:pPr>
      <w:r w:rsidRPr="00521804">
        <w:rPr>
          <w:sz w:val="20"/>
          <w:szCs w:val="20"/>
          <w:lang w:val="es-AR"/>
        </w:rPr>
        <w:t>En consecuencia, la Comisión decidió</w:t>
      </w:r>
      <w:r w:rsidR="004E4A7E" w:rsidRPr="00521804">
        <w:rPr>
          <w:sz w:val="20"/>
          <w:szCs w:val="20"/>
          <w:lang w:val="es-AR"/>
        </w:rPr>
        <w:t xml:space="preserve"> no otorgar la segunda prórroga solicitada por el Estado peruano y</w:t>
      </w:r>
      <w:r w:rsidRPr="00521804">
        <w:rPr>
          <w:sz w:val="20"/>
          <w:szCs w:val="20"/>
          <w:lang w:val="es-AR"/>
        </w:rPr>
        <w:t xml:space="preserve"> someter el presente caso a la jurisdicción de la Corte Interamericana por la </w:t>
      </w:r>
      <w:r w:rsidRPr="00521804">
        <w:rPr>
          <w:rFonts w:cs="Arial"/>
          <w:sz w:val="20"/>
          <w:szCs w:val="20"/>
          <w:lang w:val="es-CO"/>
        </w:rPr>
        <w:t>necesidad</w:t>
      </w:r>
      <w:r w:rsidRPr="00521804">
        <w:rPr>
          <w:sz w:val="20"/>
          <w:szCs w:val="20"/>
          <w:lang w:val="es-AR"/>
        </w:rPr>
        <w:t xml:space="preserve"> de obtención de justicia para la víctima</w:t>
      </w:r>
      <w:r w:rsidR="00AE07E3" w:rsidRPr="00521804">
        <w:rPr>
          <w:sz w:val="20"/>
          <w:szCs w:val="20"/>
          <w:lang w:val="es-AR"/>
        </w:rPr>
        <w:t>.</w:t>
      </w:r>
      <w:r w:rsidR="005A32EA" w:rsidRPr="00521804">
        <w:rPr>
          <w:sz w:val="20"/>
          <w:szCs w:val="20"/>
          <w:lang w:val="es-AR"/>
        </w:rPr>
        <w:t xml:space="preserve"> </w:t>
      </w:r>
      <w:r w:rsidR="007A55B2" w:rsidRPr="00521804">
        <w:rPr>
          <w:sz w:val="20"/>
          <w:szCs w:val="20"/>
          <w:lang w:val="es-AR"/>
        </w:rPr>
        <w:t xml:space="preserve"> </w:t>
      </w:r>
      <w:r w:rsidRPr="00521804">
        <w:rPr>
          <w:sz w:val="20"/>
          <w:szCs w:val="20"/>
          <w:lang w:val="es-CO"/>
        </w:rPr>
        <w:t>La Comisión Interamericana somete a la jurisdicción de la Corte la totalidad de los hechos y violaciones de de</w:t>
      </w:r>
      <w:r w:rsidR="00D004EA" w:rsidRPr="00521804">
        <w:rPr>
          <w:sz w:val="20"/>
          <w:szCs w:val="20"/>
          <w:lang w:val="es-CO"/>
        </w:rPr>
        <w:t>rechos humanos descritos en el Informe de F</w:t>
      </w:r>
      <w:r w:rsidRPr="00521804">
        <w:rPr>
          <w:sz w:val="20"/>
          <w:szCs w:val="20"/>
          <w:lang w:val="es-CO"/>
        </w:rPr>
        <w:t xml:space="preserve">ondo </w:t>
      </w:r>
      <w:r w:rsidR="00D004EA" w:rsidRPr="00521804">
        <w:rPr>
          <w:sz w:val="20"/>
          <w:szCs w:val="20"/>
          <w:lang w:val="es-CO"/>
        </w:rPr>
        <w:t xml:space="preserve">Nº </w:t>
      </w:r>
      <w:r w:rsidR="00AE07E3" w:rsidRPr="00521804">
        <w:rPr>
          <w:sz w:val="20"/>
          <w:szCs w:val="20"/>
          <w:lang w:val="es-CO"/>
        </w:rPr>
        <w:t>3</w:t>
      </w:r>
      <w:r w:rsidRPr="00521804">
        <w:rPr>
          <w:sz w:val="20"/>
          <w:szCs w:val="20"/>
          <w:lang w:val="es-CO"/>
        </w:rPr>
        <w:t>/1</w:t>
      </w:r>
      <w:r w:rsidR="00AE07E3" w:rsidRPr="00521804">
        <w:rPr>
          <w:sz w:val="20"/>
          <w:szCs w:val="20"/>
          <w:lang w:val="es-CO"/>
        </w:rPr>
        <w:t>7</w:t>
      </w:r>
      <w:r w:rsidRPr="00521804">
        <w:rPr>
          <w:sz w:val="20"/>
          <w:szCs w:val="20"/>
          <w:lang w:val="es-CO"/>
        </w:rPr>
        <w:t xml:space="preserve">. </w:t>
      </w:r>
    </w:p>
    <w:p w:rsidR="00E3024D" w:rsidRPr="00521804" w:rsidRDefault="00E3024D" w:rsidP="00B10467">
      <w:pPr>
        <w:widowControl w:val="0"/>
        <w:autoSpaceDE w:val="0"/>
        <w:autoSpaceDN w:val="0"/>
        <w:adjustRightInd w:val="0"/>
        <w:spacing w:after="0" w:line="240" w:lineRule="auto"/>
        <w:ind w:firstLine="720"/>
        <w:jc w:val="both"/>
        <w:rPr>
          <w:sz w:val="20"/>
          <w:szCs w:val="20"/>
          <w:lang w:val="es-AR"/>
        </w:rPr>
      </w:pPr>
    </w:p>
    <w:p w:rsidR="00E3024D" w:rsidRPr="00521804" w:rsidRDefault="00251530" w:rsidP="00B10467">
      <w:pPr>
        <w:widowControl w:val="0"/>
        <w:autoSpaceDE w:val="0"/>
        <w:autoSpaceDN w:val="0"/>
        <w:adjustRightInd w:val="0"/>
        <w:spacing w:after="0" w:line="240" w:lineRule="auto"/>
        <w:ind w:firstLine="720"/>
        <w:jc w:val="both"/>
        <w:rPr>
          <w:sz w:val="20"/>
          <w:szCs w:val="20"/>
          <w:lang w:val="es-AR"/>
        </w:rPr>
      </w:pPr>
      <w:r w:rsidRPr="00521804">
        <w:rPr>
          <w:sz w:val="20"/>
          <w:szCs w:val="20"/>
          <w:lang w:val="es-CO"/>
        </w:rPr>
        <w:t>En ese sentido, la Comisión solicita a la Corte que concluya y declare la responsabilidad internacional del</w:t>
      </w:r>
      <w:r w:rsidRPr="00521804">
        <w:rPr>
          <w:rFonts w:cs="Arial"/>
          <w:sz w:val="20"/>
          <w:szCs w:val="20"/>
          <w:lang w:val="es-CL"/>
        </w:rPr>
        <w:t xml:space="preserve"> Estado de </w:t>
      </w:r>
      <w:r w:rsidRPr="00521804">
        <w:rPr>
          <w:rFonts w:cs="Arial"/>
          <w:sz w:val="20"/>
          <w:szCs w:val="20"/>
          <w:lang w:val="es-CO"/>
        </w:rPr>
        <w:t>Perú</w:t>
      </w:r>
      <w:r w:rsidR="00E3024D" w:rsidRPr="00521804">
        <w:rPr>
          <w:rFonts w:cs="Arial"/>
          <w:sz w:val="20"/>
          <w:szCs w:val="20"/>
          <w:lang w:val="es-CO"/>
        </w:rPr>
        <w:t xml:space="preserve"> </w:t>
      </w:r>
      <w:r w:rsidR="006A0D47" w:rsidRPr="00521804">
        <w:rPr>
          <w:rFonts w:eastAsia="Times New Roman"/>
          <w:sz w:val="20"/>
          <w:szCs w:val="20"/>
          <w:lang w:val="es-ES"/>
        </w:rPr>
        <w:t>por</w:t>
      </w:r>
      <w:r w:rsidR="006A0D47" w:rsidRPr="00521804">
        <w:rPr>
          <w:sz w:val="20"/>
          <w:szCs w:val="20"/>
          <w:lang w:val="es-ES"/>
        </w:rPr>
        <w:t xml:space="preserve"> la violación de los derechos a las garantías judiciales, propiedad privada y protección judicial, establecido en los artículos 8.1, 21, 25.1 y 25.2.c) de la Convención Americana, en relación con las obligaciones establecidas en el artículo 1.1 del mismo instrumento, en perjuicio de Oscar Muelle Flores. </w:t>
      </w:r>
      <w:r w:rsidR="007A55B2" w:rsidRPr="00521804">
        <w:rPr>
          <w:sz w:val="20"/>
          <w:szCs w:val="20"/>
          <w:lang w:val="es-ES"/>
        </w:rPr>
        <w:t xml:space="preserve"> </w:t>
      </w:r>
      <w:r w:rsidR="006A0D47" w:rsidRPr="00521804">
        <w:rPr>
          <w:sz w:val="20"/>
          <w:szCs w:val="20"/>
          <w:lang w:val="es-ES"/>
        </w:rPr>
        <w:t>Asimismo, la Comisión concluye que el Estado incumplió las obligaciones establecidas en el artículo 2 del mismo instrumento.</w:t>
      </w:r>
      <w:r w:rsidR="00E3024D" w:rsidRPr="00521804">
        <w:rPr>
          <w:rFonts w:eastAsia="Times New Roman" w:cs="Arial"/>
          <w:color w:val="000000"/>
          <w:sz w:val="20"/>
          <w:szCs w:val="20"/>
          <w:u w:color="000000"/>
          <w:lang w:val="es-ES" w:eastAsia="es-ES"/>
        </w:rPr>
        <w:t xml:space="preserve"> </w:t>
      </w:r>
    </w:p>
    <w:p w:rsidR="00251530" w:rsidRPr="00521804" w:rsidRDefault="00251530" w:rsidP="00B10467">
      <w:pPr>
        <w:autoSpaceDE w:val="0"/>
        <w:autoSpaceDN w:val="0"/>
        <w:adjustRightInd w:val="0"/>
        <w:spacing w:after="0" w:line="240" w:lineRule="auto"/>
        <w:ind w:left="720" w:right="480"/>
        <w:jc w:val="both"/>
        <w:rPr>
          <w:sz w:val="20"/>
          <w:szCs w:val="20"/>
          <w:lang w:val="es-CO"/>
        </w:rPr>
      </w:pPr>
    </w:p>
    <w:p w:rsidR="00251530" w:rsidRPr="00521804" w:rsidRDefault="00A6072B" w:rsidP="00B10467">
      <w:pPr>
        <w:autoSpaceDE w:val="0"/>
        <w:autoSpaceDN w:val="0"/>
        <w:adjustRightInd w:val="0"/>
        <w:spacing w:after="0" w:line="240" w:lineRule="auto"/>
        <w:ind w:left="720" w:right="480"/>
        <w:jc w:val="both"/>
        <w:rPr>
          <w:sz w:val="20"/>
          <w:szCs w:val="20"/>
          <w:lang w:val="es-CO"/>
        </w:rPr>
      </w:pPr>
      <w:r w:rsidRPr="00521804">
        <w:rPr>
          <w:sz w:val="20"/>
          <w:szCs w:val="20"/>
          <w:lang w:val="es-CO"/>
        </w:rPr>
        <w:t>Igualmente</w:t>
      </w:r>
      <w:r w:rsidR="00251530" w:rsidRPr="00521804">
        <w:rPr>
          <w:sz w:val="20"/>
          <w:szCs w:val="20"/>
          <w:lang w:val="es-CO"/>
        </w:rPr>
        <w:t>, la Comisión solicita a la Corte que establezca las siguientes medidas de reparación:</w:t>
      </w:r>
    </w:p>
    <w:p w:rsidR="00B10467" w:rsidRPr="00521804" w:rsidRDefault="00B10467" w:rsidP="00B10467">
      <w:pPr>
        <w:autoSpaceDE w:val="0"/>
        <w:autoSpaceDN w:val="0"/>
        <w:adjustRightInd w:val="0"/>
        <w:spacing w:after="0" w:line="240" w:lineRule="auto"/>
        <w:ind w:left="720" w:right="480"/>
        <w:jc w:val="both"/>
        <w:rPr>
          <w:sz w:val="20"/>
          <w:szCs w:val="20"/>
          <w:lang w:val="es-CO"/>
        </w:rPr>
      </w:pPr>
    </w:p>
    <w:p w:rsidR="00805FE2" w:rsidRPr="00521804" w:rsidRDefault="00805FE2" w:rsidP="00230021">
      <w:pPr>
        <w:numPr>
          <w:ilvl w:val="0"/>
          <w:numId w:val="5"/>
        </w:numPr>
        <w:tabs>
          <w:tab w:val="left" w:pos="1080"/>
        </w:tabs>
        <w:spacing w:after="0" w:line="240" w:lineRule="auto"/>
        <w:ind w:left="720" w:right="720" w:firstLine="0"/>
        <w:jc w:val="both"/>
        <w:rPr>
          <w:rFonts w:eastAsia="Times New Roman"/>
          <w:sz w:val="20"/>
          <w:szCs w:val="20"/>
          <w:lang w:val="es-ES"/>
        </w:rPr>
      </w:pPr>
      <w:r w:rsidRPr="00521804">
        <w:rPr>
          <w:rFonts w:eastAsia="Times New Roman"/>
          <w:sz w:val="20"/>
          <w:szCs w:val="20"/>
          <w:lang w:val="es-ES"/>
        </w:rPr>
        <w:t>Dar cumplimiento a la mayor brevedad posible a las sentencias de la Corte Suprema de Justicia de</w:t>
      </w:r>
      <w:r w:rsidR="007A55B2" w:rsidRPr="00521804">
        <w:rPr>
          <w:rFonts w:eastAsia="Times New Roman"/>
          <w:sz w:val="20"/>
          <w:szCs w:val="20"/>
          <w:lang w:val="es-ES"/>
        </w:rPr>
        <w:t>l</w:t>
      </w:r>
      <w:r w:rsidRPr="00521804">
        <w:rPr>
          <w:rFonts w:eastAsia="Times New Roman"/>
          <w:sz w:val="20"/>
          <w:szCs w:val="20"/>
          <w:lang w:val="es-ES"/>
        </w:rPr>
        <w:t xml:space="preserve"> 2 de febrero de 1993 y del Tribunal Constitucional de</w:t>
      </w:r>
      <w:r w:rsidR="007A55B2" w:rsidRPr="00521804">
        <w:rPr>
          <w:rFonts w:eastAsia="Times New Roman"/>
          <w:sz w:val="20"/>
          <w:szCs w:val="20"/>
          <w:lang w:val="es-ES"/>
        </w:rPr>
        <w:t>l</w:t>
      </w:r>
      <w:r w:rsidRPr="00521804">
        <w:rPr>
          <w:rFonts w:eastAsia="Times New Roman"/>
          <w:sz w:val="20"/>
          <w:szCs w:val="20"/>
          <w:lang w:val="es-ES"/>
        </w:rPr>
        <w:t xml:space="preserve"> 10 de diciembre de 1999. Esto implica la adopción inmediata por parte del Estado peruano de las medidas necesarias para el pago de la pensión al señor Muelle Flores en los términos </w:t>
      </w:r>
      <w:r w:rsidR="00C36AA7" w:rsidRPr="00521804">
        <w:rPr>
          <w:rFonts w:eastAsia="Times New Roman"/>
          <w:sz w:val="20"/>
          <w:szCs w:val="20"/>
          <w:lang w:val="es-ES"/>
        </w:rPr>
        <w:t>mediante</w:t>
      </w:r>
      <w:r w:rsidRPr="00521804">
        <w:rPr>
          <w:rFonts w:eastAsia="Times New Roman"/>
          <w:sz w:val="20"/>
          <w:szCs w:val="20"/>
          <w:lang w:val="es-ES"/>
        </w:rPr>
        <w:t xml:space="preserve"> los cuales le fue reconocido judicialmente, es decir, bajo el régimen del Decreto Ley </w:t>
      </w:r>
      <w:r w:rsidR="007A55B2" w:rsidRPr="00521804">
        <w:rPr>
          <w:rFonts w:eastAsia="Times New Roman"/>
          <w:sz w:val="20"/>
          <w:szCs w:val="20"/>
          <w:lang w:val="es-ES"/>
        </w:rPr>
        <w:t xml:space="preserve">Nº </w:t>
      </w:r>
      <w:r w:rsidRPr="00521804">
        <w:rPr>
          <w:rFonts w:eastAsia="Times New Roman"/>
          <w:sz w:val="20"/>
          <w:szCs w:val="20"/>
          <w:lang w:val="es-ES"/>
        </w:rPr>
        <w:t xml:space="preserve">20530. </w:t>
      </w:r>
      <w:r w:rsidR="007A55B2" w:rsidRPr="00521804">
        <w:rPr>
          <w:rFonts w:eastAsia="Times New Roman"/>
          <w:sz w:val="20"/>
          <w:szCs w:val="20"/>
          <w:lang w:val="es-ES"/>
        </w:rPr>
        <w:t xml:space="preserve"> </w:t>
      </w:r>
      <w:r w:rsidRPr="00521804">
        <w:rPr>
          <w:rFonts w:eastAsia="Times New Roman"/>
          <w:sz w:val="20"/>
          <w:szCs w:val="20"/>
          <w:lang w:val="es-ES"/>
        </w:rPr>
        <w:t xml:space="preserve">Lo anterior incluye el pago de las pensiones dejadas de percibir desde el momento de su jubilación hasta la fecha en que se haga efectivo el pago. </w:t>
      </w:r>
      <w:r w:rsidR="007A55B2" w:rsidRPr="00521804">
        <w:rPr>
          <w:rFonts w:eastAsia="Times New Roman"/>
          <w:sz w:val="20"/>
          <w:szCs w:val="20"/>
          <w:lang w:val="es-ES"/>
        </w:rPr>
        <w:t xml:space="preserve"> </w:t>
      </w:r>
      <w:r w:rsidRPr="00521804">
        <w:rPr>
          <w:rFonts w:eastAsia="Times New Roman"/>
          <w:sz w:val="20"/>
          <w:szCs w:val="20"/>
          <w:lang w:val="es-ES"/>
        </w:rPr>
        <w:t>Tomando en cuenta los estándares desarrollados en el presente informe sobre las obligaciones del Estado en el marco de privatización de empresas estatales, Perú no podrá oponer la privatización de la empresa para abstenerse de cumplir con esta recomendación.</w:t>
      </w:r>
    </w:p>
    <w:p w:rsidR="00805FE2" w:rsidRPr="00521804" w:rsidRDefault="00805FE2" w:rsidP="00230021">
      <w:pPr>
        <w:tabs>
          <w:tab w:val="left" w:pos="1080"/>
        </w:tabs>
        <w:spacing w:after="0" w:line="240" w:lineRule="auto"/>
        <w:ind w:left="720" w:right="720"/>
        <w:jc w:val="both"/>
        <w:rPr>
          <w:rFonts w:eastAsia="Times New Roman"/>
          <w:sz w:val="20"/>
          <w:szCs w:val="20"/>
          <w:lang w:val="es-ES"/>
        </w:rPr>
      </w:pPr>
    </w:p>
    <w:p w:rsidR="00A20562" w:rsidRPr="00521804" w:rsidRDefault="00805FE2" w:rsidP="00230021">
      <w:pPr>
        <w:numPr>
          <w:ilvl w:val="0"/>
          <w:numId w:val="5"/>
        </w:numPr>
        <w:tabs>
          <w:tab w:val="left" w:pos="1080"/>
        </w:tabs>
        <w:spacing w:after="0" w:line="240" w:lineRule="auto"/>
        <w:ind w:left="720" w:right="720" w:firstLine="0"/>
        <w:jc w:val="both"/>
        <w:rPr>
          <w:rFonts w:eastAsia="Times New Roman"/>
          <w:sz w:val="20"/>
          <w:szCs w:val="20"/>
          <w:lang w:val="es-ES"/>
        </w:rPr>
      </w:pPr>
      <w:r w:rsidRPr="00521804">
        <w:rPr>
          <w:rFonts w:eastAsia="Times New Roman"/>
          <w:sz w:val="20"/>
          <w:szCs w:val="20"/>
          <w:lang w:val="es-ES"/>
        </w:rPr>
        <w:t>Reparar integralmente las violaciones declaradas en el informe, incluyendo una debida compensación que incluya el daño material e inmaterial causado.</w:t>
      </w:r>
    </w:p>
    <w:p w:rsidR="00A20562" w:rsidRPr="00521804" w:rsidRDefault="00A20562" w:rsidP="00230021">
      <w:pPr>
        <w:tabs>
          <w:tab w:val="left" w:pos="1080"/>
        </w:tabs>
        <w:spacing w:after="0" w:line="240" w:lineRule="auto"/>
        <w:ind w:left="720" w:right="720"/>
        <w:jc w:val="both"/>
        <w:rPr>
          <w:rFonts w:eastAsia="Times New Roman"/>
          <w:sz w:val="20"/>
          <w:szCs w:val="20"/>
          <w:lang w:val="es-ES"/>
        </w:rPr>
      </w:pPr>
    </w:p>
    <w:p w:rsidR="00B10467" w:rsidRPr="00521804" w:rsidRDefault="00805FE2" w:rsidP="00230021">
      <w:pPr>
        <w:numPr>
          <w:ilvl w:val="0"/>
          <w:numId w:val="5"/>
        </w:numPr>
        <w:tabs>
          <w:tab w:val="left" w:pos="1080"/>
        </w:tabs>
        <w:spacing w:after="0" w:line="240" w:lineRule="auto"/>
        <w:ind w:left="720" w:right="720" w:firstLine="0"/>
        <w:jc w:val="both"/>
        <w:rPr>
          <w:rFonts w:eastAsia="Times New Roman"/>
          <w:sz w:val="20"/>
          <w:szCs w:val="20"/>
          <w:lang w:val="es-ES"/>
        </w:rPr>
      </w:pPr>
      <w:r w:rsidRPr="00521804">
        <w:rPr>
          <w:rFonts w:eastAsia="Times New Roman"/>
          <w:sz w:val="20"/>
          <w:szCs w:val="20"/>
          <w:lang w:val="es-ES"/>
        </w:rPr>
        <w:t xml:space="preserve">Adoptar las medidas legislativas o de otra índole necesarias para evitar la repetición de las violaciones declaradas en el informe. </w:t>
      </w:r>
      <w:r w:rsidR="007A55B2" w:rsidRPr="00521804">
        <w:rPr>
          <w:rFonts w:eastAsia="Times New Roman"/>
          <w:sz w:val="20"/>
          <w:szCs w:val="20"/>
          <w:lang w:val="es-ES"/>
        </w:rPr>
        <w:t xml:space="preserve"> </w:t>
      </w:r>
      <w:r w:rsidRPr="00521804">
        <w:rPr>
          <w:rFonts w:eastAsia="Times New Roman"/>
          <w:sz w:val="20"/>
          <w:szCs w:val="20"/>
          <w:lang w:val="es-ES"/>
        </w:rPr>
        <w:t>Al respecto, el Estado deberá disponer las medidas necesarias para: i) Asegurar que las empresas estatales cumplan con los fallos judiciales que reconocen derechos pensionarios a ex-trabajadores; ii) Asegurar que en el marco de la privatización de empresas privadas se dispongan las debidas salvaguardas para que tal actuación no impida el cumplimiento de sentencias judiciales a favor de las personas jubiladas; iii) Asegurar que los procesos de ejecución de sentencia cumplan con el estándar convencional de sencillez y rapidez; y iv) Asegurar que las autoridades judiciales que conocen tales procesos se encuentren facultados legalmente y apliquen en la práctica los mecanismos coercitivos necesarios para garantizar el cumplimiento de los fallos judiciales.</w:t>
      </w:r>
    </w:p>
    <w:p w:rsidR="00742334" w:rsidRPr="00521804" w:rsidRDefault="00742334" w:rsidP="00303963">
      <w:pPr>
        <w:widowControl w:val="0"/>
        <w:autoSpaceDE w:val="0"/>
        <w:autoSpaceDN w:val="0"/>
        <w:adjustRightInd w:val="0"/>
        <w:spacing w:after="0" w:line="240" w:lineRule="auto"/>
        <w:jc w:val="both"/>
        <w:rPr>
          <w:rFonts w:cs="Arial"/>
          <w:sz w:val="20"/>
          <w:szCs w:val="20"/>
          <w:lang w:val="es-CL"/>
        </w:rPr>
      </w:pPr>
    </w:p>
    <w:p w:rsidR="0030421E" w:rsidRPr="00521804" w:rsidRDefault="0030421E" w:rsidP="0030421E">
      <w:pPr>
        <w:tabs>
          <w:tab w:val="left" w:pos="720"/>
          <w:tab w:val="left" w:pos="2880"/>
        </w:tabs>
        <w:spacing w:after="0" w:line="240" w:lineRule="auto"/>
        <w:jc w:val="both"/>
        <w:rPr>
          <w:rFonts w:eastAsia="Times New Roman" w:cs="Cambria"/>
          <w:sz w:val="20"/>
          <w:szCs w:val="20"/>
          <w:lang w:val="es-CO"/>
        </w:rPr>
      </w:pPr>
      <w:r w:rsidRPr="00521804">
        <w:rPr>
          <w:rFonts w:cs="Arial"/>
          <w:sz w:val="20"/>
          <w:szCs w:val="20"/>
          <w:lang w:val="es-CL"/>
        </w:rPr>
        <w:tab/>
      </w:r>
      <w:r w:rsidR="00251530" w:rsidRPr="00521804">
        <w:rPr>
          <w:rFonts w:cs="Arial"/>
          <w:sz w:val="20"/>
          <w:szCs w:val="20"/>
          <w:lang w:val="es-CL"/>
        </w:rPr>
        <w:t xml:space="preserve">Además de la necesidad de obtención de justicia por la falta de cumplimiento de las recomendaciones del </w:t>
      </w:r>
      <w:r w:rsidR="00251530" w:rsidRPr="00521804">
        <w:rPr>
          <w:rFonts w:cs="Arial"/>
          <w:sz w:val="20"/>
          <w:szCs w:val="20"/>
          <w:lang w:val="es-CO"/>
        </w:rPr>
        <w:t>informe</w:t>
      </w:r>
      <w:r w:rsidR="00251530" w:rsidRPr="00521804">
        <w:rPr>
          <w:rFonts w:cs="Arial"/>
          <w:sz w:val="20"/>
          <w:szCs w:val="20"/>
          <w:lang w:val="es-CL"/>
        </w:rPr>
        <w:t xml:space="preserve"> de fondo, la Comisión considera que el </w:t>
      </w:r>
      <w:r w:rsidR="008135F6" w:rsidRPr="00521804">
        <w:rPr>
          <w:rFonts w:cs="Arial"/>
          <w:sz w:val="20"/>
          <w:szCs w:val="20"/>
          <w:lang w:val="es-CL"/>
        </w:rPr>
        <w:t xml:space="preserve">presente </w:t>
      </w:r>
      <w:r w:rsidR="00251530" w:rsidRPr="00521804">
        <w:rPr>
          <w:rFonts w:cs="Arial"/>
          <w:sz w:val="20"/>
          <w:szCs w:val="20"/>
          <w:lang w:val="es-CL"/>
        </w:rPr>
        <w:t>caso p</w:t>
      </w:r>
      <w:r w:rsidR="00850714" w:rsidRPr="00521804">
        <w:rPr>
          <w:rFonts w:cs="Arial"/>
          <w:sz w:val="20"/>
          <w:szCs w:val="20"/>
          <w:lang w:val="es-CL"/>
        </w:rPr>
        <w:t>lantea</w:t>
      </w:r>
      <w:r w:rsidR="00251530" w:rsidRPr="00521804">
        <w:rPr>
          <w:rFonts w:cs="Arial"/>
          <w:sz w:val="20"/>
          <w:szCs w:val="20"/>
          <w:lang w:val="es-CL"/>
        </w:rPr>
        <w:t xml:space="preserve"> cuestiones d</w:t>
      </w:r>
      <w:r w:rsidR="00BE5406" w:rsidRPr="00521804">
        <w:rPr>
          <w:rFonts w:cs="Arial"/>
          <w:sz w:val="20"/>
          <w:szCs w:val="20"/>
          <w:lang w:val="es-CL"/>
        </w:rPr>
        <w:t>e orden público interamericano.</w:t>
      </w:r>
      <w:r w:rsidR="00F71348" w:rsidRPr="00521804">
        <w:rPr>
          <w:rFonts w:cs="Arial"/>
          <w:sz w:val="20"/>
          <w:szCs w:val="20"/>
          <w:lang w:val="es-CL"/>
        </w:rPr>
        <w:t xml:space="preserve"> </w:t>
      </w:r>
      <w:r w:rsidR="005855FB" w:rsidRPr="00521804">
        <w:rPr>
          <w:rFonts w:cs="Arial"/>
          <w:sz w:val="20"/>
          <w:szCs w:val="20"/>
          <w:lang w:val="es-CL"/>
        </w:rPr>
        <w:t xml:space="preserve"> </w:t>
      </w:r>
      <w:r w:rsidR="00BE5406" w:rsidRPr="00521804">
        <w:rPr>
          <w:rFonts w:cs="Arial"/>
          <w:sz w:val="20"/>
          <w:szCs w:val="20"/>
          <w:lang w:val="es-CL"/>
        </w:rPr>
        <w:t xml:space="preserve">Específicamente, el </w:t>
      </w:r>
      <w:r w:rsidRPr="00521804">
        <w:rPr>
          <w:rFonts w:eastAsia="Times New Roman" w:cs="Cambria"/>
          <w:sz w:val="20"/>
          <w:szCs w:val="20"/>
          <w:lang w:val="es-CO"/>
        </w:rPr>
        <w:t>caso constituye una manifestación de un problema de alcance estructural relativo al incumplimiento de sentencias judiciales, particularmente en lo relativo a derechos pensiona</w:t>
      </w:r>
      <w:r w:rsidR="00BE5406" w:rsidRPr="00521804">
        <w:rPr>
          <w:rFonts w:eastAsia="Times New Roman" w:cs="Cambria"/>
          <w:sz w:val="20"/>
          <w:szCs w:val="20"/>
          <w:lang w:val="es-CO"/>
        </w:rPr>
        <w:t>rios</w:t>
      </w:r>
      <w:r w:rsidRPr="00521804">
        <w:rPr>
          <w:rFonts w:eastAsia="Times New Roman" w:cs="Cambria"/>
          <w:sz w:val="20"/>
          <w:szCs w:val="20"/>
          <w:lang w:val="es-CO"/>
        </w:rPr>
        <w:t>.</w:t>
      </w:r>
      <w:r w:rsidR="00BE5406" w:rsidRPr="00521804">
        <w:rPr>
          <w:rFonts w:eastAsia="Times New Roman" w:cs="Cambria"/>
          <w:sz w:val="20"/>
          <w:szCs w:val="20"/>
          <w:lang w:val="es-CO"/>
        </w:rPr>
        <w:t xml:space="preserve"> </w:t>
      </w:r>
      <w:r w:rsidR="005855FB" w:rsidRPr="00521804">
        <w:rPr>
          <w:rFonts w:eastAsia="Times New Roman" w:cs="Cambria"/>
          <w:sz w:val="20"/>
          <w:szCs w:val="20"/>
          <w:lang w:val="es-CO"/>
        </w:rPr>
        <w:t xml:space="preserve"> </w:t>
      </w:r>
      <w:r w:rsidR="00BE5406" w:rsidRPr="00521804">
        <w:rPr>
          <w:rFonts w:eastAsia="Times New Roman" w:cs="Cambria"/>
          <w:sz w:val="20"/>
          <w:szCs w:val="20"/>
          <w:lang w:val="es-CO"/>
        </w:rPr>
        <w:t>Tanto la Comisión como la Corte han conocido algunos casos sobre esta temática que, conforme se ha indicado en el informe de fondo en el presente caso, hacen parte de un contexto más general</w:t>
      </w:r>
      <w:r w:rsidR="005855FB" w:rsidRPr="00521804">
        <w:rPr>
          <w:rFonts w:eastAsia="Times New Roman" w:cs="Cambria"/>
          <w:sz w:val="20"/>
          <w:szCs w:val="20"/>
          <w:lang w:val="es-CO"/>
        </w:rPr>
        <w:t xml:space="preserve"> reconocid</w:t>
      </w:r>
      <w:r w:rsidR="00FF21CE" w:rsidRPr="00521804">
        <w:rPr>
          <w:rFonts w:eastAsia="Times New Roman" w:cs="Cambria"/>
          <w:sz w:val="20"/>
          <w:szCs w:val="20"/>
          <w:lang w:val="es-CO"/>
        </w:rPr>
        <w:t>o</w:t>
      </w:r>
      <w:r w:rsidR="00AB6170" w:rsidRPr="00521804">
        <w:rPr>
          <w:rFonts w:eastAsia="Times New Roman" w:cs="Cambria"/>
          <w:sz w:val="20"/>
          <w:szCs w:val="20"/>
          <w:lang w:val="es-CO"/>
        </w:rPr>
        <w:t xml:space="preserve"> por la Defensoría del Pueblo y </w:t>
      </w:r>
      <w:r w:rsidR="00BE5406" w:rsidRPr="00521804">
        <w:rPr>
          <w:rFonts w:eastAsia="Times New Roman" w:cs="Cambria"/>
          <w:sz w:val="20"/>
          <w:szCs w:val="20"/>
          <w:lang w:val="es-CO"/>
        </w:rPr>
        <w:t xml:space="preserve">que constituye una fuente de denegación de justicia en materia de derechos económicos, sociales y culturales. </w:t>
      </w:r>
      <w:r w:rsidR="005855FB" w:rsidRPr="00521804">
        <w:rPr>
          <w:rFonts w:eastAsia="Times New Roman" w:cs="Cambria"/>
          <w:sz w:val="20"/>
          <w:szCs w:val="20"/>
          <w:lang w:val="es-CO"/>
        </w:rPr>
        <w:t xml:space="preserve"> </w:t>
      </w:r>
      <w:r w:rsidR="00AB6170" w:rsidRPr="00521804">
        <w:rPr>
          <w:rFonts w:eastAsia="Times New Roman" w:cs="Cambria"/>
          <w:sz w:val="20"/>
          <w:szCs w:val="20"/>
          <w:lang w:val="es-CO"/>
        </w:rPr>
        <w:t>En ese sentido, este caso plantea a la Honorable Corte la oportunidad de referirse a dicho contexto y, especialmente, de dictar las medidas de no repetición de carácter estructural que sean pertinente</w:t>
      </w:r>
      <w:r w:rsidR="003E36C8" w:rsidRPr="00521804">
        <w:rPr>
          <w:rFonts w:eastAsia="Times New Roman" w:cs="Cambria"/>
          <w:sz w:val="20"/>
          <w:szCs w:val="20"/>
          <w:lang w:val="es-CO"/>
        </w:rPr>
        <w:t>s.</w:t>
      </w:r>
      <w:r w:rsidR="00BE5406" w:rsidRPr="00521804">
        <w:rPr>
          <w:rFonts w:eastAsia="Times New Roman" w:cs="Cambria"/>
          <w:sz w:val="20"/>
          <w:szCs w:val="20"/>
          <w:lang w:val="es-CO"/>
        </w:rPr>
        <w:t xml:space="preserve"> </w:t>
      </w:r>
      <w:r w:rsidR="005855FB" w:rsidRPr="00521804">
        <w:rPr>
          <w:rFonts w:eastAsia="Times New Roman" w:cs="Cambria"/>
          <w:sz w:val="20"/>
          <w:szCs w:val="20"/>
          <w:lang w:val="es-CO"/>
        </w:rPr>
        <w:t xml:space="preserve"> </w:t>
      </w:r>
      <w:r w:rsidR="000123C2" w:rsidRPr="00521804">
        <w:rPr>
          <w:rFonts w:eastAsia="Times New Roman" w:cs="Cambria"/>
          <w:sz w:val="20"/>
          <w:szCs w:val="20"/>
          <w:lang w:val="es-CO"/>
        </w:rPr>
        <w:t xml:space="preserve">Además de lo anterior, el caso plantea una situación novedosa en materia de incumplimiento de sentencias judiciales por parte de una entidad estatal en circunastancias en las cuales tiene lugar </w:t>
      </w:r>
      <w:r w:rsidRPr="00521804">
        <w:rPr>
          <w:rFonts w:eastAsia="Times New Roman" w:cs="Cambria"/>
          <w:sz w:val="20"/>
          <w:szCs w:val="20"/>
          <w:lang w:val="es-CO"/>
        </w:rPr>
        <w:t>la privatización de la</w:t>
      </w:r>
      <w:r w:rsidR="000123C2" w:rsidRPr="00521804">
        <w:rPr>
          <w:rFonts w:eastAsia="Times New Roman" w:cs="Cambria"/>
          <w:sz w:val="20"/>
          <w:szCs w:val="20"/>
          <w:lang w:val="es-CO"/>
        </w:rPr>
        <w:t xml:space="preserve"> misma</w:t>
      </w:r>
      <w:r w:rsidRPr="00521804">
        <w:rPr>
          <w:rFonts w:eastAsia="Times New Roman" w:cs="Cambria"/>
          <w:sz w:val="20"/>
          <w:szCs w:val="20"/>
          <w:lang w:val="es-CO"/>
        </w:rPr>
        <w:t xml:space="preserve">. </w:t>
      </w:r>
      <w:r w:rsidR="005855FB" w:rsidRPr="00521804">
        <w:rPr>
          <w:rFonts w:eastAsia="Times New Roman" w:cs="Cambria"/>
          <w:sz w:val="20"/>
          <w:szCs w:val="20"/>
          <w:lang w:val="es-CO"/>
        </w:rPr>
        <w:t xml:space="preserve"> Asimismo</w:t>
      </w:r>
      <w:r w:rsidRPr="00521804">
        <w:rPr>
          <w:rFonts w:eastAsia="Times New Roman" w:cs="Cambria"/>
          <w:sz w:val="20"/>
          <w:szCs w:val="20"/>
          <w:lang w:val="es-CO"/>
        </w:rPr>
        <w:t xml:space="preserve">, el caso permitiría a la Corte pronunciarse sobre las obligaciones del Estado al </w:t>
      </w:r>
      <w:r w:rsidRPr="00521804">
        <w:rPr>
          <w:rFonts w:eastAsia="Times New Roman" w:cs="Cambria"/>
          <w:sz w:val="20"/>
          <w:szCs w:val="20"/>
          <w:lang w:val="es-CO"/>
        </w:rPr>
        <w:lastRenderedPageBreak/>
        <w:t xml:space="preserve">momento de privatizar una </w:t>
      </w:r>
      <w:r w:rsidR="003A247E" w:rsidRPr="00521804">
        <w:rPr>
          <w:rFonts w:eastAsia="Times New Roman" w:cs="Cambria"/>
          <w:sz w:val="20"/>
          <w:szCs w:val="20"/>
          <w:lang w:val="es-CO"/>
        </w:rPr>
        <w:t>entidad</w:t>
      </w:r>
      <w:r w:rsidRPr="00521804">
        <w:rPr>
          <w:rFonts w:eastAsia="Times New Roman" w:cs="Cambria"/>
          <w:sz w:val="20"/>
          <w:szCs w:val="20"/>
          <w:lang w:val="es-CO"/>
        </w:rPr>
        <w:t xml:space="preserve">, en cuanto a los derechos de los trabajadores y jubilados de la misma, particularmente cuando fueron reconocidos judicialmente. </w:t>
      </w:r>
    </w:p>
    <w:p w:rsidR="00342E3D" w:rsidRPr="00521804" w:rsidRDefault="00342E3D" w:rsidP="00B10467">
      <w:pPr>
        <w:widowControl w:val="0"/>
        <w:autoSpaceDE w:val="0"/>
        <w:autoSpaceDN w:val="0"/>
        <w:adjustRightInd w:val="0"/>
        <w:spacing w:after="0" w:line="240" w:lineRule="auto"/>
        <w:ind w:firstLine="720"/>
        <w:jc w:val="both"/>
        <w:rPr>
          <w:rFonts w:eastAsia="Times New Roman" w:cs="Cambria"/>
          <w:sz w:val="20"/>
          <w:szCs w:val="20"/>
          <w:lang w:val="es-CO"/>
        </w:rPr>
      </w:pPr>
    </w:p>
    <w:p w:rsidR="00251530" w:rsidRPr="00521804" w:rsidRDefault="00251530" w:rsidP="00B10467">
      <w:pPr>
        <w:widowControl w:val="0"/>
        <w:autoSpaceDE w:val="0"/>
        <w:autoSpaceDN w:val="0"/>
        <w:adjustRightInd w:val="0"/>
        <w:spacing w:after="0" w:line="240" w:lineRule="auto"/>
        <w:ind w:firstLine="720"/>
        <w:jc w:val="both"/>
        <w:rPr>
          <w:rFonts w:cs="Arial"/>
          <w:sz w:val="20"/>
          <w:szCs w:val="20"/>
          <w:lang w:val="es-CL"/>
        </w:rPr>
      </w:pPr>
      <w:r w:rsidRPr="00521804">
        <w:rPr>
          <w:rFonts w:cs="Arial"/>
          <w:sz w:val="20"/>
          <w:szCs w:val="20"/>
          <w:lang w:val="es-CL"/>
        </w:rPr>
        <w:t xml:space="preserve">En virtud de que estas cuestiones afectan de manera relevante el orden público interamericano, de conformidad </w:t>
      </w:r>
      <w:r w:rsidRPr="00521804">
        <w:rPr>
          <w:rFonts w:eastAsia="Times New Roman" w:cs="Cambria"/>
          <w:sz w:val="20"/>
          <w:szCs w:val="20"/>
          <w:lang w:val="es-CO"/>
        </w:rPr>
        <w:t>con</w:t>
      </w:r>
      <w:r w:rsidRPr="00521804">
        <w:rPr>
          <w:rFonts w:cs="Arial"/>
          <w:sz w:val="20"/>
          <w:szCs w:val="20"/>
          <w:lang w:val="es-CL"/>
        </w:rPr>
        <w:t xml:space="preserve"> el artículo 35.1 f) del Reglamento de la Corte Interamericana, la Comisión se permite ofrecer la siguiente declaración pericial:</w:t>
      </w:r>
    </w:p>
    <w:p w:rsidR="00251530" w:rsidRPr="00521804" w:rsidRDefault="00251530" w:rsidP="00B10467">
      <w:pPr>
        <w:autoSpaceDE w:val="0"/>
        <w:autoSpaceDN w:val="0"/>
        <w:adjustRightInd w:val="0"/>
        <w:spacing w:after="0" w:line="240" w:lineRule="auto"/>
        <w:ind w:right="480"/>
        <w:jc w:val="both"/>
        <w:rPr>
          <w:rFonts w:cs="Arial"/>
          <w:sz w:val="20"/>
          <w:szCs w:val="20"/>
          <w:lang w:val="es-CL"/>
        </w:rPr>
      </w:pPr>
    </w:p>
    <w:p w:rsidR="00251530" w:rsidRPr="00521804" w:rsidRDefault="00251530" w:rsidP="00B10467">
      <w:pPr>
        <w:widowControl w:val="0"/>
        <w:autoSpaceDE w:val="0"/>
        <w:autoSpaceDN w:val="0"/>
        <w:adjustRightInd w:val="0"/>
        <w:spacing w:after="0" w:line="240" w:lineRule="auto"/>
        <w:ind w:firstLine="720"/>
        <w:jc w:val="both"/>
        <w:rPr>
          <w:rFonts w:eastAsia="Times New Roman" w:cs="Cambria"/>
          <w:sz w:val="20"/>
          <w:szCs w:val="20"/>
          <w:lang w:val="es-CO"/>
        </w:rPr>
      </w:pPr>
      <w:r w:rsidRPr="00521804">
        <w:rPr>
          <w:rFonts w:cs="Courier New"/>
          <w:b/>
          <w:sz w:val="20"/>
          <w:szCs w:val="20"/>
          <w:lang w:val="es-ES_tradnl"/>
        </w:rPr>
        <w:t>Perito/a cuyo nombre será informado a la brevedad</w:t>
      </w:r>
      <w:r w:rsidRPr="00521804">
        <w:rPr>
          <w:rFonts w:cs="Courier New"/>
          <w:sz w:val="20"/>
          <w:szCs w:val="20"/>
          <w:lang w:val="es-ES_tradnl"/>
        </w:rPr>
        <w:t xml:space="preserve">, quien declarará </w:t>
      </w:r>
      <w:r w:rsidR="0077407E" w:rsidRPr="00521804">
        <w:rPr>
          <w:rFonts w:cs="Courier New"/>
          <w:sz w:val="20"/>
          <w:szCs w:val="20"/>
          <w:lang w:val="es-ES_tradnl"/>
        </w:rPr>
        <w:t>sobre</w:t>
      </w:r>
      <w:r w:rsidR="00BD19E3" w:rsidRPr="00521804">
        <w:rPr>
          <w:rFonts w:cs="Courier New"/>
          <w:sz w:val="20"/>
          <w:szCs w:val="20"/>
          <w:lang w:val="es-ES_tradnl"/>
        </w:rPr>
        <w:t xml:space="preserve"> </w:t>
      </w:r>
      <w:r w:rsidR="007A39D0" w:rsidRPr="00521804">
        <w:rPr>
          <w:rFonts w:cs="Courier New"/>
          <w:sz w:val="20"/>
          <w:szCs w:val="20"/>
          <w:lang w:val="es-ES_tradnl"/>
        </w:rPr>
        <w:t xml:space="preserve">la falta de cumplimiento de sentencias judiciales que reconocen derechos pensionarios </w:t>
      </w:r>
      <w:r w:rsidR="00B7580B" w:rsidRPr="00521804">
        <w:rPr>
          <w:rFonts w:cs="Courier New"/>
          <w:sz w:val="20"/>
          <w:szCs w:val="20"/>
          <w:lang w:val="es-ES_tradnl"/>
        </w:rPr>
        <w:t xml:space="preserve">como una forma de denegación de justicia en general y, específicamente, en materia de derechos económicos, sociales y culturales. </w:t>
      </w:r>
      <w:r w:rsidR="005855FB" w:rsidRPr="00521804">
        <w:rPr>
          <w:rFonts w:cs="Courier New"/>
          <w:sz w:val="20"/>
          <w:szCs w:val="20"/>
          <w:lang w:val="es-ES_tradnl"/>
        </w:rPr>
        <w:t xml:space="preserve"> </w:t>
      </w:r>
      <w:r w:rsidR="00B7580B" w:rsidRPr="00521804">
        <w:rPr>
          <w:rFonts w:cs="Courier New"/>
          <w:sz w:val="20"/>
          <w:szCs w:val="20"/>
          <w:lang w:val="es-ES_tradnl"/>
        </w:rPr>
        <w:t>El/la perito/a tomará en cuenta los hechos del caso para pronunciarse sobre los obstáculos que se presentaron en el mismo</w:t>
      </w:r>
      <w:r w:rsidR="005855FB" w:rsidRPr="00521804">
        <w:rPr>
          <w:rFonts w:cs="Courier New"/>
          <w:sz w:val="20"/>
          <w:szCs w:val="20"/>
          <w:lang w:val="es-ES_tradnl"/>
        </w:rPr>
        <w:t>,</w:t>
      </w:r>
      <w:r w:rsidR="00B7580B" w:rsidRPr="00521804">
        <w:rPr>
          <w:rFonts w:cs="Courier New"/>
          <w:sz w:val="20"/>
          <w:szCs w:val="20"/>
          <w:lang w:val="es-ES_tradnl"/>
        </w:rPr>
        <w:t xml:space="preserve"> a la luz tanto de los derechos a las garantías judiciales y protección judicial, como del derecho a la propiedad privada. </w:t>
      </w:r>
      <w:r w:rsidR="005855FB" w:rsidRPr="00521804">
        <w:rPr>
          <w:rFonts w:cs="Courier New"/>
          <w:sz w:val="20"/>
          <w:szCs w:val="20"/>
          <w:lang w:val="es-ES_tradnl"/>
        </w:rPr>
        <w:t xml:space="preserve"> </w:t>
      </w:r>
      <w:r w:rsidR="00B7580B" w:rsidRPr="00521804">
        <w:rPr>
          <w:rFonts w:cs="Courier New"/>
          <w:sz w:val="20"/>
          <w:szCs w:val="20"/>
          <w:lang w:val="es-ES_tradnl"/>
        </w:rPr>
        <w:t>En particular, el/la perito/a se referirá a las obligaciones que resultan exigibles a los Estados en el contexto de priva</w:t>
      </w:r>
      <w:r w:rsidR="005855FB" w:rsidRPr="00521804">
        <w:rPr>
          <w:rFonts w:cs="Courier New"/>
          <w:sz w:val="20"/>
          <w:szCs w:val="20"/>
          <w:lang w:val="es-ES_tradnl"/>
        </w:rPr>
        <w:t>tiza</w:t>
      </w:r>
      <w:r w:rsidR="00B7580B" w:rsidRPr="00521804">
        <w:rPr>
          <w:rFonts w:cs="Courier New"/>
          <w:sz w:val="20"/>
          <w:szCs w:val="20"/>
          <w:lang w:val="es-ES_tradnl"/>
        </w:rPr>
        <w:t xml:space="preserve">ción de una empresa frente a los derechos de los trabajadores y jubilados, incluyendo el cumplimiento de fallos judiciales sobre la materia emitidos con anterioridad a la privatización. </w:t>
      </w:r>
    </w:p>
    <w:p w:rsidR="00251530" w:rsidRPr="00521804" w:rsidRDefault="00251530" w:rsidP="00B10467">
      <w:pPr>
        <w:tabs>
          <w:tab w:val="left" w:pos="0"/>
        </w:tabs>
        <w:spacing w:after="0" w:line="240" w:lineRule="auto"/>
        <w:ind w:firstLine="720"/>
        <w:jc w:val="both"/>
        <w:rPr>
          <w:sz w:val="20"/>
          <w:szCs w:val="20"/>
          <w:lang w:val="es-AR"/>
        </w:rPr>
      </w:pPr>
    </w:p>
    <w:p w:rsidR="00251530" w:rsidRPr="00521804" w:rsidRDefault="00251530" w:rsidP="00B10467">
      <w:pPr>
        <w:widowControl w:val="0"/>
        <w:autoSpaceDE w:val="0"/>
        <w:autoSpaceDN w:val="0"/>
        <w:adjustRightInd w:val="0"/>
        <w:spacing w:after="0" w:line="240" w:lineRule="auto"/>
        <w:ind w:firstLine="720"/>
        <w:jc w:val="both"/>
        <w:rPr>
          <w:sz w:val="20"/>
          <w:szCs w:val="20"/>
          <w:lang w:val="es-CO"/>
        </w:rPr>
      </w:pPr>
      <w:r w:rsidRPr="00521804">
        <w:rPr>
          <w:sz w:val="20"/>
          <w:szCs w:val="20"/>
          <w:lang w:val="es-AR"/>
        </w:rPr>
        <w:t xml:space="preserve">El CV del/la perito/a ofrecido/a </w:t>
      </w:r>
      <w:r w:rsidR="008E2F77" w:rsidRPr="00521804">
        <w:rPr>
          <w:sz w:val="20"/>
          <w:szCs w:val="20"/>
          <w:lang w:val="es-CO"/>
        </w:rPr>
        <w:t>será incluido en los anexos al Informe de F</w:t>
      </w:r>
      <w:r w:rsidRPr="00521804">
        <w:rPr>
          <w:sz w:val="20"/>
          <w:szCs w:val="20"/>
          <w:lang w:val="es-CO"/>
        </w:rPr>
        <w:t xml:space="preserve">ondo </w:t>
      </w:r>
      <w:r w:rsidR="008E2F77" w:rsidRPr="00521804">
        <w:rPr>
          <w:sz w:val="20"/>
          <w:szCs w:val="20"/>
          <w:lang w:val="es-CO"/>
        </w:rPr>
        <w:t xml:space="preserve">Nº </w:t>
      </w:r>
      <w:r w:rsidR="003722D9" w:rsidRPr="00521804">
        <w:rPr>
          <w:sz w:val="20"/>
          <w:szCs w:val="20"/>
          <w:lang w:val="es-CO"/>
        </w:rPr>
        <w:t>3</w:t>
      </w:r>
      <w:r w:rsidRPr="00521804">
        <w:rPr>
          <w:sz w:val="20"/>
          <w:szCs w:val="20"/>
          <w:lang w:val="es-CO"/>
        </w:rPr>
        <w:t>/1</w:t>
      </w:r>
      <w:r w:rsidR="003722D9" w:rsidRPr="00521804">
        <w:rPr>
          <w:sz w:val="20"/>
          <w:szCs w:val="20"/>
          <w:lang w:val="es-CO"/>
        </w:rPr>
        <w:t>7</w:t>
      </w:r>
      <w:r w:rsidRPr="00521804">
        <w:rPr>
          <w:sz w:val="20"/>
          <w:szCs w:val="20"/>
          <w:lang w:val="es-CO"/>
        </w:rPr>
        <w:t xml:space="preserve">. </w:t>
      </w:r>
      <w:r w:rsidR="002450AA" w:rsidRPr="00521804">
        <w:rPr>
          <w:sz w:val="20"/>
          <w:szCs w:val="20"/>
          <w:lang w:val="es-CO"/>
        </w:rPr>
        <w:t xml:space="preserve"> </w:t>
      </w:r>
      <w:r w:rsidRPr="00521804">
        <w:rPr>
          <w:sz w:val="20"/>
          <w:szCs w:val="20"/>
          <w:lang w:val="es-ES_tradnl"/>
        </w:rPr>
        <w:t xml:space="preserve">La Comisión pone en conocimiento de la Corte </w:t>
      </w:r>
      <w:r w:rsidR="008106B9" w:rsidRPr="00521804">
        <w:rPr>
          <w:sz w:val="20"/>
          <w:szCs w:val="20"/>
          <w:lang w:val="es-ES_tradnl"/>
        </w:rPr>
        <w:t>l</w:t>
      </w:r>
      <w:r w:rsidR="008E2F77" w:rsidRPr="00521804">
        <w:rPr>
          <w:sz w:val="20"/>
          <w:szCs w:val="20"/>
          <w:lang w:val="es-ES_tradnl"/>
        </w:rPr>
        <w:t>os siguientes datos de quien ha actuado como peticionario</w:t>
      </w:r>
      <w:r w:rsidR="008106B9" w:rsidRPr="00521804">
        <w:rPr>
          <w:sz w:val="20"/>
          <w:szCs w:val="20"/>
          <w:lang w:val="es-ES_tradnl"/>
        </w:rPr>
        <w:t xml:space="preserve"> a lo largo del trámite interamericano: </w:t>
      </w:r>
    </w:p>
    <w:p w:rsidR="003722D9" w:rsidRPr="00521804" w:rsidRDefault="003722D9" w:rsidP="00B10467">
      <w:pPr>
        <w:autoSpaceDE w:val="0"/>
        <w:autoSpaceDN w:val="0"/>
        <w:adjustRightInd w:val="0"/>
        <w:spacing w:after="0" w:line="240" w:lineRule="auto"/>
        <w:jc w:val="center"/>
        <w:rPr>
          <w:rFonts w:cs="Arial"/>
          <w:sz w:val="20"/>
          <w:szCs w:val="20"/>
          <w:lang w:val="es-ES_tradnl"/>
        </w:rPr>
      </w:pPr>
    </w:p>
    <w:p w:rsidR="008C3ED6" w:rsidRPr="00521804" w:rsidRDefault="008C3ED6" w:rsidP="008C3ED6">
      <w:pPr>
        <w:spacing w:after="0" w:line="240" w:lineRule="auto"/>
        <w:jc w:val="center"/>
        <w:rPr>
          <w:bCs/>
          <w:iCs/>
          <w:sz w:val="20"/>
          <w:szCs w:val="20"/>
          <w:lang w:val="es-ES"/>
        </w:rPr>
      </w:pPr>
      <w:r w:rsidRPr="00521804">
        <w:rPr>
          <w:bCs/>
          <w:iCs/>
          <w:sz w:val="20"/>
          <w:szCs w:val="20"/>
          <w:lang w:val="es-ES"/>
        </w:rPr>
        <w:t>Oscar Muelle Flores</w:t>
      </w:r>
    </w:p>
    <w:p w:rsidR="003722D9" w:rsidRPr="00521804" w:rsidRDefault="00EA4802" w:rsidP="008C3ED6">
      <w:pPr>
        <w:autoSpaceDE w:val="0"/>
        <w:autoSpaceDN w:val="0"/>
        <w:adjustRightInd w:val="0"/>
        <w:spacing w:after="0" w:line="240" w:lineRule="auto"/>
        <w:jc w:val="center"/>
        <w:rPr>
          <w:rFonts w:cs="Arial"/>
          <w:sz w:val="20"/>
          <w:szCs w:val="20"/>
          <w:lang w:val="es-ES_tradnl"/>
        </w:rPr>
      </w:pPr>
      <w:proofErr w:type="spellStart"/>
      <w:proofErr w:type="gramStart"/>
      <w:r w:rsidRPr="00EA4802">
        <w:rPr>
          <w:bCs/>
          <w:iCs/>
          <w:sz w:val="20"/>
          <w:szCs w:val="20"/>
          <w:highlight w:val="black"/>
          <w:lang w:val="es-ES"/>
        </w:rPr>
        <w:t>xxxxxxxxxxxxxxxxxxxxxxxxxxx</w:t>
      </w:r>
      <w:proofErr w:type="spellEnd"/>
      <w:proofErr w:type="gramEnd"/>
    </w:p>
    <w:p w:rsidR="00742334" w:rsidRPr="00521804" w:rsidRDefault="00742334" w:rsidP="00B10467">
      <w:pPr>
        <w:autoSpaceDE w:val="0"/>
        <w:autoSpaceDN w:val="0"/>
        <w:adjustRightInd w:val="0"/>
        <w:spacing w:after="0" w:line="240" w:lineRule="auto"/>
        <w:jc w:val="center"/>
        <w:rPr>
          <w:rFonts w:cs="Arial"/>
          <w:sz w:val="20"/>
          <w:szCs w:val="20"/>
          <w:lang w:val="es-ES_tradnl"/>
        </w:rPr>
      </w:pPr>
    </w:p>
    <w:p w:rsidR="00251530" w:rsidRPr="00521804" w:rsidRDefault="00251530" w:rsidP="00B10467">
      <w:pPr>
        <w:tabs>
          <w:tab w:val="left" w:pos="0"/>
        </w:tabs>
        <w:spacing w:after="0" w:line="240" w:lineRule="auto"/>
        <w:ind w:firstLine="720"/>
        <w:jc w:val="both"/>
        <w:rPr>
          <w:rFonts w:cs="Arial"/>
          <w:sz w:val="20"/>
          <w:szCs w:val="20"/>
          <w:lang w:val="es-CO"/>
        </w:rPr>
      </w:pPr>
      <w:r w:rsidRPr="00521804">
        <w:rPr>
          <w:rFonts w:cs="Arial"/>
          <w:sz w:val="20"/>
          <w:szCs w:val="20"/>
          <w:lang w:val="es-CO"/>
        </w:rPr>
        <w:t>Aprovecho la oportunidad para saludar a usted muy atentamente,</w:t>
      </w:r>
    </w:p>
    <w:p w:rsidR="00251530" w:rsidRPr="00521804" w:rsidRDefault="00251530" w:rsidP="00B10467">
      <w:pPr>
        <w:suppressAutoHyphens/>
        <w:spacing w:after="0" w:line="240" w:lineRule="auto"/>
        <w:rPr>
          <w:rFonts w:cs="Arial"/>
          <w:snapToGrid w:val="0"/>
          <w:sz w:val="20"/>
          <w:szCs w:val="20"/>
          <w:lang w:val="es-CO"/>
        </w:rPr>
      </w:pPr>
    </w:p>
    <w:p w:rsidR="002450AA" w:rsidRPr="00521804" w:rsidRDefault="002450AA" w:rsidP="00B10467">
      <w:pPr>
        <w:suppressAutoHyphens/>
        <w:spacing w:after="0" w:line="240" w:lineRule="auto"/>
        <w:rPr>
          <w:rFonts w:cs="Arial"/>
          <w:snapToGrid w:val="0"/>
          <w:sz w:val="20"/>
          <w:szCs w:val="20"/>
          <w:lang w:val="es-CO"/>
        </w:rPr>
      </w:pPr>
    </w:p>
    <w:p w:rsidR="002450AA" w:rsidRPr="00521804" w:rsidRDefault="002450AA" w:rsidP="00B10467">
      <w:pPr>
        <w:suppressAutoHyphens/>
        <w:spacing w:after="0" w:line="240" w:lineRule="auto"/>
        <w:rPr>
          <w:rFonts w:cs="Arial"/>
          <w:snapToGrid w:val="0"/>
          <w:sz w:val="20"/>
          <w:szCs w:val="20"/>
          <w:lang w:val="es-CO"/>
        </w:rPr>
      </w:pPr>
    </w:p>
    <w:p w:rsidR="002450AA" w:rsidRPr="00521804" w:rsidRDefault="002450AA" w:rsidP="00B10467">
      <w:pPr>
        <w:suppressAutoHyphens/>
        <w:spacing w:after="0" w:line="240" w:lineRule="auto"/>
        <w:rPr>
          <w:rFonts w:cs="Arial"/>
          <w:snapToGrid w:val="0"/>
          <w:sz w:val="20"/>
          <w:szCs w:val="20"/>
          <w:lang w:val="es-CO"/>
        </w:rPr>
      </w:pPr>
    </w:p>
    <w:p w:rsidR="00251530" w:rsidRPr="00AB3D13" w:rsidRDefault="00EA4802" w:rsidP="00EA4802">
      <w:pPr>
        <w:suppressAutoHyphens/>
        <w:spacing w:after="0" w:line="240" w:lineRule="auto"/>
        <w:ind w:left="3600" w:firstLine="720"/>
        <w:rPr>
          <w:rFonts w:cs="Arial"/>
          <w:snapToGrid w:val="0"/>
          <w:color w:val="A6A6A6"/>
          <w:sz w:val="18"/>
          <w:szCs w:val="20"/>
          <w:lang w:val="es-CO"/>
        </w:rPr>
      </w:pPr>
      <w:r w:rsidRPr="00AB3D13">
        <w:rPr>
          <w:rFonts w:cs="Arial"/>
          <w:snapToGrid w:val="0"/>
          <w:color w:val="A6A6A6"/>
          <w:sz w:val="18"/>
          <w:szCs w:val="20"/>
          <w:lang w:val="es-CO"/>
        </w:rPr>
        <w:t xml:space="preserve">       Firmado en el original</w:t>
      </w:r>
    </w:p>
    <w:p w:rsidR="00251530" w:rsidRPr="00521804" w:rsidRDefault="00251530" w:rsidP="002450AA">
      <w:pPr>
        <w:suppressAutoHyphens/>
        <w:spacing w:after="0" w:line="240" w:lineRule="auto"/>
        <w:ind w:left="3600" w:firstLine="720"/>
        <w:rPr>
          <w:rFonts w:cs="Arial"/>
          <w:snapToGrid w:val="0"/>
          <w:sz w:val="20"/>
          <w:szCs w:val="20"/>
          <w:lang w:val="es-CO"/>
        </w:rPr>
      </w:pPr>
      <w:r w:rsidRPr="00521804">
        <w:rPr>
          <w:rFonts w:cs="Arial"/>
          <w:snapToGrid w:val="0"/>
          <w:sz w:val="20"/>
          <w:szCs w:val="20"/>
          <w:lang w:val="es-CO"/>
        </w:rPr>
        <w:t xml:space="preserve"> </w:t>
      </w:r>
      <w:r w:rsidR="002972D3" w:rsidRPr="00521804">
        <w:rPr>
          <w:rFonts w:cs="Arial"/>
          <w:snapToGrid w:val="0"/>
          <w:sz w:val="20"/>
          <w:szCs w:val="20"/>
          <w:lang w:val="es-CO"/>
        </w:rPr>
        <w:t xml:space="preserve">  </w:t>
      </w:r>
      <w:r w:rsidRPr="00521804">
        <w:rPr>
          <w:rFonts w:cs="Arial"/>
          <w:snapToGrid w:val="0"/>
          <w:sz w:val="20"/>
          <w:szCs w:val="20"/>
          <w:lang w:val="es-CO"/>
        </w:rPr>
        <w:t xml:space="preserve"> </w:t>
      </w:r>
      <w:r w:rsidR="00DA4AD1" w:rsidRPr="00521804">
        <w:rPr>
          <w:rFonts w:cs="Arial"/>
          <w:snapToGrid w:val="0"/>
          <w:sz w:val="20"/>
          <w:szCs w:val="20"/>
          <w:lang w:val="es-CO"/>
        </w:rPr>
        <w:t xml:space="preserve">Elizabeth Abi-Mershed </w:t>
      </w:r>
    </w:p>
    <w:p w:rsidR="00251530" w:rsidRPr="00521804" w:rsidRDefault="002450AA" w:rsidP="002450AA">
      <w:pPr>
        <w:suppressAutoHyphens/>
        <w:spacing w:after="0" w:line="240" w:lineRule="auto"/>
        <w:ind w:left="3600"/>
        <w:rPr>
          <w:sz w:val="20"/>
          <w:szCs w:val="20"/>
          <w:lang w:val="es-CO"/>
        </w:rPr>
      </w:pPr>
      <w:r w:rsidRPr="00521804">
        <w:rPr>
          <w:rFonts w:cs="Arial"/>
          <w:snapToGrid w:val="0"/>
          <w:sz w:val="20"/>
          <w:szCs w:val="20"/>
          <w:lang w:val="es-CO"/>
        </w:rPr>
        <w:t xml:space="preserve">              </w:t>
      </w:r>
      <w:r w:rsidR="00DA4AD1" w:rsidRPr="00521804">
        <w:rPr>
          <w:rFonts w:cs="Arial"/>
          <w:snapToGrid w:val="0"/>
          <w:sz w:val="20"/>
          <w:szCs w:val="20"/>
          <w:lang w:val="es-CO"/>
        </w:rPr>
        <w:t>Secretaria Ejecutiva Adjunta</w:t>
      </w:r>
      <w:r w:rsidR="00251530" w:rsidRPr="00521804">
        <w:rPr>
          <w:rFonts w:cs="Arial"/>
          <w:snapToGrid w:val="0"/>
          <w:sz w:val="20"/>
          <w:szCs w:val="20"/>
          <w:lang w:val="es-CO"/>
        </w:rPr>
        <w:t xml:space="preserve"> </w:t>
      </w:r>
    </w:p>
    <w:p w:rsidR="00251530" w:rsidRPr="00521804" w:rsidRDefault="00251530" w:rsidP="00B10467">
      <w:pPr>
        <w:spacing w:after="0" w:line="240" w:lineRule="auto"/>
        <w:rPr>
          <w:sz w:val="20"/>
          <w:szCs w:val="20"/>
          <w:lang w:val="es-CO"/>
        </w:rPr>
      </w:pPr>
    </w:p>
    <w:p w:rsidR="007E2CE9" w:rsidRPr="00521804" w:rsidRDefault="007E2CE9" w:rsidP="00B10467">
      <w:pPr>
        <w:spacing w:after="0" w:line="240" w:lineRule="auto"/>
        <w:rPr>
          <w:sz w:val="20"/>
          <w:szCs w:val="20"/>
          <w:lang w:val="es-CO"/>
        </w:rPr>
      </w:pPr>
    </w:p>
    <w:sectPr w:rsidR="007E2CE9" w:rsidRPr="00521804" w:rsidSect="0062724F">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EA3" w:rsidRDefault="00075EA3">
      <w:pPr>
        <w:spacing w:after="0" w:line="240" w:lineRule="auto"/>
      </w:pPr>
      <w:r>
        <w:separator/>
      </w:r>
    </w:p>
  </w:endnote>
  <w:endnote w:type="continuationSeparator" w:id="0">
    <w:p w:rsidR="00075EA3" w:rsidRDefault="0007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24F" w:rsidRDefault="0062724F" w:rsidP="0062724F">
    <w:pPr>
      <w:pStyle w:val="Piedepgina"/>
      <w:spacing w:line="360" w:lineRule="auto"/>
    </w:pPr>
    <w:r>
      <w:pict>
        <v:rect id="_x0000_i1026" style="width:0;height:1.5pt" o:hralign="center" o:hrstd="t" o:hr="t" fillcolor="#a0a0a0" stroked="f"/>
      </w:pict>
    </w:r>
  </w:p>
  <w:p w:rsidR="0062724F" w:rsidRDefault="0062724F" w:rsidP="0062724F">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9" type="#_x0000_t75" style="width:403.2pt;height:25.3pt;visibility:visible">
          <v:imagedata r:id="rId1" o:title="footer-es"/>
        </v:shape>
      </w:pict>
    </w:r>
  </w:p>
  <w:p w:rsidR="0062724F" w:rsidRDefault="0062724F" w:rsidP="0062724F">
    <w:pPr>
      <w:pStyle w:val="Piedepgina"/>
    </w:pPr>
  </w:p>
  <w:p w:rsidR="0062724F" w:rsidRDefault="006272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EA3" w:rsidRDefault="00075EA3">
      <w:pPr>
        <w:spacing w:after="0" w:line="240" w:lineRule="auto"/>
      </w:pPr>
      <w:r>
        <w:separator/>
      </w:r>
    </w:p>
  </w:footnote>
  <w:footnote w:type="continuationSeparator" w:id="0">
    <w:p w:rsidR="00075EA3" w:rsidRDefault="00075E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24F" w:rsidRDefault="0062724F" w:rsidP="0062724F">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85pt;height:35.8pt;visibility:visible">
          <v:imagedata r:id="rId1" o:title="cidh-es"/>
        </v:shape>
      </w:pict>
    </w:r>
    <w:r>
      <w:tab/>
      <w:t xml:space="preserve">                                                                            </w:t>
    </w:r>
    <w:r w:rsidRPr="008A5CB5">
      <w:rPr>
        <w:noProof/>
      </w:rPr>
      <w:pict>
        <v:shape id="Picture 2" o:spid="_x0000_i1028" type="#_x0000_t75" style="width:129.6pt;height:37.55pt;visibility:visible">
          <v:imagedata r:id="rId2" o:title="oea-es"/>
        </v:shape>
      </w:pict>
    </w:r>
  </w:p>
  <w:p w:rsidR="0062724F" w:rsidRDefault="0062724F" w:rsidP="0062724F">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16AB3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2A4834"/>
    <w:multiLevelType w:val="hybridMultilevel"/>
    <w:tmpl w:val="8DF0B26A"/>
    <w:lvl w:ilvl="0" w:tplc="91A00AB4">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FF60FE"/>
    <w:multiLevelType w:val="hybridMultilevel"/>
    <w:tmpl w:val="656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BD03E6"/>
    <w:multiLevelType w:val="hybridMultilevel"/>
    <w:tmpl w:val="4CA83BF0"/>
    <w:lvl w:ilvl="0" w:tplc="58B8D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B4460CA"/>
    <w:multiLevelType w:val="hybridMultilevel"/>
    <w:tmpl w:val="07B85AD8"/>
    <w:lvl w:ilvl="0" w:tplc="67D6E770">
      <w:start w:val="1"/>
      <w:numFmt w:val="decimal"/>
      <w:lvlText w:val="%1."/>
      <w:lvlJc w:val="left"/>
      <w:pPr>
        <w:tabs>
          <w:tab w:val="num" w:pos="927"/>
        </w:tabs>
        <w:ind w:left="927" w:hanging="360"/>
      </w:pPr>
      <w:rPr>
        <w:rFonts w:cs="Arial"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1530"/>
    <w:rsid w:val="000123C2"/>
    <w:rsid w:val="00041929"/>
    <w:rsid w:val="00075EA3"/>
    <w:rsid w:val="0008211C"/>
    <w:rsid w:val="000933BD"/>
    <w:rsid w:val="000954B3"/>
    <w:rsid w:val="000C6AFC"/>
    <w:rsid w:val="000F4D9B"/>
    <w:rsid w:val="00113BFB"/>
    <w:rsid w:val="001E7791"/>
    <w:rsid w:val="001F5B62"/>
    <w:rsid w:val="00230021"/>
    <w:rsid w:val="002366E8"/>
    <w:rsid w:val="002414CA"/>
    <w:rsid w:val="002450AA"/>
    <w:rsid w:val="00251530"/>
    <w:rsid w:val="00274A40"/>
    <w:rsid w:val="002972D3"/>
    <w:rsid w:val="002B4088"/>
    <w:rsid w:val="002C22E4"/>
    <w:rsid w:val="00303963"/>
    <w:rsid w:val="0030421E"/>
    <w:rsid w:val="003053FE"/>
    <w:rsid w:val="00342E3D"/>
    <w:rsid w:val="003722D9"/>
    <w:rsid w:val="00374388"/>
    <w:rsid w:val="00382625"/>
    <w:rsid w:val="003A247E"/>
    <w:rsid w:val="003B657C"/>
    <w:rsid w:val="003E36C8"/>
    <w:rsid w:val="003E77F3"/>
    <w:rsid w:val="004108B8"/>
    <w:rsid w:val="004346F5"/>
    <w:rsid w:val="0045699E"/>
    <w:rsid w:val="00467255"/>
    <w:rsid w:val="00480CF5"/>
    <w:rsid w:val="00485836"/>
    <w:rsid w:val="004A5EBE"/>
    <w:rsid w:val="004B79E8"/>
    <w:rsid w:val="004C6BEC"/>
    <w:rsid w:val="004D48D1"/>
    <w:rsid w:val="004E4A7E"/>
    <w:rsid w:val="00521804"/>
    <w:rsid w:val="00572669"/>
    <w:rsid w:val="005855FB"/>
    <w:rsid w:val="005A32EA"/>
    <w:rsid w:val="0062724F"/>
    <w:rsid w:val="006458EC"/>
    <w:rsid w:val="00661FF8"/>
    <w:rsid w:val="00673082"/>
    <w:rsid w:val="006854A7"/>
    <w:rsid w:val="006A0D47"/>
    <w:rsid w:val="006A6638"/>
    <w:rsid w:val="006B40F2"/>
    <w:rsid w:val="006C6851"/>
    <w:rsid w:val="00742334"/>
    <w:rsid w:val="00756E4B"/>
    <w:rsid w:val="007571EC"/>
    <w:rsid w:val="00767063"/>
    <w:rsid w:val="0077407E"/>
    <w:rsid w:val="00775473"/>
    <w:rsid w:val="0079151B"/>
    <w:rsid w:val="007A39D0"/>
    <w:rsid w:val="007A55B2"/>
    <w:rsid w:val="007D01F8"/>
    <w:rsid w:val="007E2CE9"/>
    <w:rsid w:val="00805FE2"/>
    <w:rsid w:val="008106B9"/>
    <w:rsid w:val="008135F6"/>
    <w:rsid w:val="00825FE0"/>
    <w:rsid w:val="0082634B"/>
    <w:rsid w:val="00841921"/>
    <w:rsid w:val="00850714"/>
    <w:rsid w:val="0088166D"/>
    <w:rsid w:val="008B02C6"/>
    <w:rsid w:val="008C3ED6"/>
    <w:rsid w:val="008E29E9"/>
    <w:rsid w:val="008E2F77"/>
    <w:rsid w:val="008E3FAA"/>
    <w:rsid w:val="008F541D"/>
    <w:rsid w:val="00914BDE"/>
    <w:rsid w:val="00927010"/>
    <w:rsid w:val="00963770"/>
    <w:rsid w:val="00964313"/>
    <w:rsid w:val="009830B6"/>
    <w:rsid w:val="00A20562"/>
    <w:rsid w:val="00A40D90"/>
    <w:rsid w:val="00A56881"/>
    <w:rsid w:val="00A6072B"/>
    <w:rsid w:val="00A60B0E"/>
    <w:rsid w:val="00A918E4"/>
    <w:rsid w:val="00A9565D"/>
    <w:rsid w:val="00AB3D13"/>
    <w:rsid w:val="00AB6170"/>
    <w:rsid w:val="00AE07E3"/>
    <w:rsid w:val="00AF1B69"/>
    <w:rsid w:val="00B10467"/>
    <w:rsid w:val="00B351E4"/>
    <w:rsid w:val="00B4467E"/>
    <w:rsid w:val="00B659D4"/>
    <w:rsid w:val="00B7580B"/>
    <w:rsid w:val="00BC65EB"/>
    <w:rsid w:val="00BD19E3"/>
    <w:rsid w:val="00BE39C8"/>
    <w:rsid w:val="00BE3F28"/>
    <w:rsid w:val="00BE5406"/>
    <w:rsid w:val="00C04AEE"/>
    <w:rsid w:val="00C36AA7"/>
    <w:rsid w:val="00CE3CE3"/>
    <w:rsid w:val="00D004EA"/>
    <w:rsid w:val="00D57F7B"/>
    <w:rsid w:val="00D619A9"/>
    <w:rsid w:val="00DA4AD1"/>
    <w:rsid w:val="00E3024D"/>
    <w:rsid w:val="00E36F41"/>
    <w:rsid w:val="00E61031"/>
    <w:rsid w:val="00E76B8B"/>
    <w:rsid w:val="00E91056"/>
    <w:rsid w:val="00EA4802"/>
    <w:rsid w:val="00EB369B"/>
    <w:rsid w:val="00F71348"/>
    <w:rsid w:val="00FD5B27"/>
    <w:rsid w:val="00FF21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51530"/>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251530"/>
    <w:rPr>
      <w:rFonts w:eastAsia="Batang"/>
      <w:sz w:val="22"/>
      <w:szCs w:val="22"/>
    </w:rPr>
  </w:style>
  <w:style w:type="paragraph" w:styleId="Piedepgina">
    <w:name w:val="footer"/>
    <w:basedOn w:val="Normal"/>
    <w:link w:val="PiedepginaCar"/>
    <w:rsid w:val="00251530"/>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251530"/>
    <w:rPr>
      <w:rFonts w:ascii="Times New Roman" w:eastAsia="Times New Roman" w:hAnsi="Times New Roman"/>
      <w:sz w:val="24"/>
      <w:szCs w:val="24"/>
      <w:lang w:val="es-ES" w:eastAsia="es-ES"/>
    </w:rPr>
  </w:style>
  <w:style w:type="paragraph" w:styleId="Sangradetextonormal">
    <w:name w:val="Body Text Indent"/>
    <w:link w:val="SangradetextonormalCar"/>
    <w:rsid w:val="00841921"/>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841921"/>
    <w:rPr>
      <w:rFonts w:ascii="Times New Roman" w:eastAsia="Times New Roman" w:hAnsi="Times New Roman"/>
      <w:color w:val="000000"/>
      <w:sz w:val="24"/>
      <w:szCs w:val="24"/>
      <w:u w:color="000000"/>
      <w:bdr w:val="nil"/>
      <w:lang w:val="es-ES_tradnl" w:eastAsia="es-ES"/>
    </w:rPr>
  </w:style>
  <w:style w:type="paragraph" w:customStyle="1" w:styleId="MediumGrid1-Accent21">
    <w:name w:val="Medium Grid 1 - Accent 21"/>
    <w:uiPriority w:val="34"/>
    <w:qFormat/>
    <w:rsid w:val="00B10467"/>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styleId="Hipervnculo">
    <w:name w:val="Hyperlink"/>
    <w:uiPriority w:val="99"/>
    <w:unhideWhenUsed/>
    <w:rsid w:val="002450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3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9C465-9FB1-4379-8140-671F282B5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1433</Words>
  <Characters>7883</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2018-01-31T16:02:00Z</cp:lastPrinted>
  <dcterms:created xsi:type="dcterms:W3CDTF">2018-01-31T16:02:00Z</dcterms:created>
  <dcterms:modified xsi:type="dcterms:W3CDTF">2018-01-31T16:02:00Z</dcterms:modified>
</cp:coreProperties>
</file>